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3640A" w14:textId="3B660625" w:rsidR="006D649A" w:rsidRPr="00901D05" w:rsidRDefault="006D649A" w:rsidP="00860174">
      <w:pPr>
        <w:pStyle w:val="Title"/>
      </w:pPr>
      <w:r>
        <w:t>What does net zero mean for the Hunter?</w:t>
      </w:r>
    </w:p>
    <w:p w14:paraId="69E1B0C4" w14:textId="04EBEC28" w:rsidR="006D649A" w:rsidRDefault="006D649A" w:rsidP="00860174">
      <w:pPr>
        <w:spacing w:before="240"/>
      </w:pPr>
      <w:r>
        <w:t>The Hunter has always played a vital role in powering the nation. Now as Australia moves towards net zero, the region is undergoing an economic transformation, creating new industries, jobs and opportunities.</w:t>
      </w:r>
    </w:p>
    <w:p w14:paraId="124746F1" w14:textId="77777777" w:rsidR="006D649A" w:rsidRPr="00901D05" w:rsidRDefault="006D649A" w:rsidP="006D649A">
      <w:pPr>
        <w:pStyle w:val="Heading1"/>
        <w:rPr>
          <w:rFonts w:hint="eastAsia"/>
        </w:rPr>
      </w:pPr>
      <w:r w:rsidRPr="00901D05">
        <w:t>New industries</w:t>
      </w:r>
    </w:p>
    <w:p w14:paraId="53794911" w14:textId="386706C4" w:rsidR="006D649A" w:rsidRDefault="006D649A" w:rsidP="006D649A">
      <w:r>
        <w:t>The Hunter’s economy is expanding to include new industries of the future.</w:t>
      </w:r>
    </w:p>
    <w:p w14:paraId="6EF4EFE2" w14:textId="17E49F09" w:rsidR="006D649A" w:rsidRPr="00901D05" w:rsidRDefault="006D649A" w:rsidP="006D649A">
      <w:pPr>
        <w:rPr>
          <w:rStyle w:val="Emphasis"/>
        </w:rPr>
      </w:pPr>
      <w:r>
        <w:rPr>
          <w:rStyle w:val="Emphasis"/>
        </w:rPr>
        <w:t xml:space="preserve">Hunter Valley </w:t>
      </w:r>
      <w:r w:rsidRPr="00901D05">
        <w:rPr>
          <w:rStyle w:val="Emphasis"/>
        </w:rPr>
        <w:t>Hydrogen</w:t>
      </w:r>
      <w:r>
        <w:rPr>
          <w:rStyle w:val="Emphasis"/>
        </w:rPr>
        <w:t xml:space="preserve"> Hub</w:t>
      </w:r>
      <w:r w:rsidRPr="00901D05">
        <w:rPr>
          <w:rStyle w:val="Emphasis"/>
        </w:rPr>
        <w:t xml:space="preserve"> </w:t>
      </w:r>
    </w:p>
    <w:p w14:paraId="7C45A08A" w14:textId="77777777" w:rsidR="006D649A" w:rsidRPr="005B0B55" w:rsidRDefault="006D649A" w:rsidP="005B0B55">
      <w:pPr>
        <w:pStyle w:val="ListParagraph"/>
      </w:pPr>
      <w:r w:rsidRPr="005B0B55">
        <w:t>52,000 tonnes of greenhouse gas emissions saved annually</w:t>
      </w:r>
    </w:p>
    <w:p w14:paraId="3E36EC21" w14:textId="77777777" w:rsidR="006D649A" w:rsidRPr="005B0B55" w:rsidRDefault="006D649A" w:rsidP="005B0B55">
      <w:pPr>
        <w:pStyle w:val="ListParagraph"/>
      </w:pPr>
      <w:r w:rsidRPr="005B0B55">
        <w:t>$70M through the Australian Government’s Regional Hydrogen Hubs Program</w:t>
      </w:r>
    </w:p>
    <w:p w14:paraId="2073E1D7" w14:textId="77777777" w:rsidR="006D649A" w:rsidRPr="00962CD3" w:rsidRDefault="006D649A" w:rsidP="00962CD3">
      <w:pPr>
        <w:pStyle w:val="Heading2"/>
        <w:rPr>
          <w:rFonts w:hint="eastAsia"/>
        </w:rPr>
      </w:pPr>
      <w:r w:rsidRPr="00962CD3">
        <w:t>New jobs</w:t>
      </w:r>
    </w:p>
    <w:p w14:paraId="18ABC4D5" w14:textId="1FC2EA3D" w:rsidR="006D649A" w:rsidRDefault="006D649A" w:rsidP="006D649A">
      <w:r>
        <w:t xml:space="preserve">As the Hunter’s economy changes, it is creating new jobs in renewable energy, manufacturing and construction. </w:t>
      </w:r>
    </w:p>
    <w:p w14:paraId="05EEDBA5" w14:textId="040EE6A4" w:rsidR="006D649A" w:rsidRDefault="006D649A" w:rsidP="006D649A">
      <w:pPr>
        <w:pStyle w:val="ListParagraph"/>
      </w:pPr>
      <w:r>
        <w:t>10,000 new jobs by 2030.</w:t>
      </w:r>
      <w:r>
        <w:rPr>
          <w:vertAlign w:val="superscript"/>
        </w:rPr>
        <w:t>1</w:t>
      </w:r>
    </w:p>
    <w:p w14:paraId="376D0AF4" w14:textId="06AB4638" w:rsidR="006D649A" w:rsidRPr="006D649A" w:rsidRDefault="006D649A" w:rsidP="006D649A">
      <w:pPr>
        <w:rPr>
          <w:rStyle w:val="SubtleReference"/>
        </w:rPr>
      </w:pPr>
      <w:r>
        <w:rPr>
          <w:rStyle w:val="SubtleReference"/>
          <w:vertAlign w:val="superscript"/>
        </w:rPr>
        <w:t>1</w:t>
      </w:r>
      <w:r>
        <w:rPr>
          <w:rStyle w:val="SubtleReference"/>
        </w:rPr>
        <w:t xml:space="preserve"> </w:t>
      </w:r>
      <w:r w:rsidRPr="006D649A">
        <w:rPr>
          <w:rStyle w:val="SubtleReference"/>
        </w:rPr>
        <w:t>KPMG, ‘Economic Briefing – August | Economic Transition Forces in the Hunter’, 2023, accessed 11 September 2024.</w:t>
      </w:r>
    </w:p>
    <w:p w14:paraId="6D4A0D74" w14:textId="14345D15" w:rsidR="006D649A" w:rsidRPr="004B271D" w:rsidRDefault="006D649A" w:rsidP="004B271D">
      <w:pPr>
        <w:pStyle w:val="Heading3"/>
        <w:rPr>
          <w:rFonts w:hint="eastAsia"/>
        </w:rPr>
      </w:pPr>
      <w:r w:rsidRPr="004B271D">
        <w:t>New investment</w:t>
      </w:r>
    </w:p>
    <w:p w14:paraId="2087891B" w14:textId="122BBA27" w:rsidR="006D649A" w:rsidRDefault="006D649A" w:rsidP="006D649A">
      <w:r>
        <w:t>New projects in the planning or delivery stages are bringing billions of dollars of investment to the Hunter.</w:t>
      </w:r>
    </w:p>
    <w:p w14:paraId="0430D45C" w14:textId="4D44E7A9" w:rsidR="006D649A" w:rsidRDefault="006D649A" w:rsidP="006D649A">
      <w:r>
        <w:t>The new Port of Newcastle Clean Energy Precinct will receive:</w:t>
      </w:r>
    </w:p>
    <w:p w14:paraId="085FE3C7" w14:textId="3143921E" w:rsidR="006D649A" w:rsidRDefault="006D649A" w:rsidP="006D649A">
      <w:pPr>
        <w:pStyle w:val="ListParagraph"/>
        <w:rPr>
          <w:vertAlign w:val="superscript"/>
        </w:rPr>
      </w:pPr>
      <w:r>
        <w:t>$100M from the Australian Government (October 2022-23 Budget)</w:t>
      </w:r>
      <w:r>
        <w:rPr>
          <w:vertAlign w:val="superscript"/>
        </w:rPr>
        <w:t>1</w:t>
      </w:r>
    </w:p>
    <w:p w14:paraId="00C8D078" w14:textId="4B1351A7" w:rsidR="006D649A" w:rsidRPr="006D649A" w:rsidRDefault="006D649A" w:rsidP="006D649A">
      <w:pPr>
        <w:rPr>
          <w:rStyle w:val="SubtleReference"/>
        </w:rPr>
      </w:pPr>
      <w:r>
        <w:rPr>
          <w:rStyle w:val="SubtleReference"/>
          <w:vertAlign w:val="superscript"/>
        </w:rPr>
        <w:t>1</w:t>
      </w:r>
      <w:r>
        <w:rPr>
          <w:rStyle w:val="SubtleReference"/>
        </w:rPr>
        <w:t xml:space="preserve"> </w:t>
      </w:r>
      <w:r w:rsidRPr="006D649A">
        <w:rPr>
          <w:rStyle w:val="SubtleReference"/>
        </w:rPr>
        <w:t>Port of Newcastle, ‘Port of Newcastle Clean Energy Precinct’, 2024, accessed 11 September 2024.</w:t>
      </w:r>
    </w:p>
    <w:p w14:paraId="0AA38483" w14:textId="2E3C8CF3" w:rsidR="006D649A" w:rsidRPr="00F6081C" w:rsidRDefault="006D649A" w:rsidP="006D649A">
      <w:pPr>
        <w:pStyle w:val="Heading4"/>
        <w:rPr>
          <w:rFonts w:hint="eastAsia"/>
        </w:rPr>
      </w:pPr>
      <w:r w:rsidRPr="00F6081C">
        <w:t xml:space="preserve">New </w:t>
      </w:r>
      <w:r>
        <w:t>lif</w:t>
      </w:r>
      <w:r w:rsidR="009D0152">
        <w:t>e</w:t>
      </w:r>
      <w:r>
        <w:t xml:space="preserve"> for old facilities </w:t>
      </w:r>
    </w:p>
    <w:p w14:paraId="5EF0CAAF" w14:textId="569C90E9" w:rsidR="006D649A" w:rsidRDefault="006D649A" w:rsidP="006D649A">
      <w:r>
        <w:t>Historic mines are being rehabilitated, like the Rhondda Colliery, which is transforming into a motor park and tourism facility. Once completed, this will be Australia’s first dedicated resort park for motoring fans. It will create:</w:t>
      </w:r>
    </w:p>
    <w:p w14:paraId="532B8CDD" w14:textId="08D3F9D3" w:rsidR="006D649A" w:rsidRDefault="006D649A" w:rsidP="006D649A">
      <w:pPr>
        <w:pStyle w:val="ListParagraph"/>
      </w:pPr>
      <w:r>
        <w:t>450+ construction jobs</w:t>
      </w:r>
    </w:p>
    <w:p w14:paraId="40FD2149" w14:textId="5FFB311A" w:rsidR="006D649A" w:rsidRDefault="006D649A" w:rsidP="006D649A">
      <w:pPr>
        <w:pStyle w:val="ListParagraph"/>
      </w:pPr>
      <w:r>
        <w:t>229 permanent roles</w:t>
      </w:r>
    </w:p>
    <w:p w14:paraId="046B0030" w14:textId="629B6795" w:rsidR="006D649A" w:rsidRPr="00860174" w:rsidRDefault="006D649A">
      <w:pPr>
        <w:rPr>
          <w:i/>
          <w:iCs/>
        </w:rPr>
      </w:pPr>
      <w:r>
        <w:rPr>
          <w:rStyle w:val="Emphasis"/>
        </w:rPr>
        <w:t>To find out how the Hunter is powering the energy transformation, visit futuremadeinaustralia.gov.au</w:t>
      </w:r>
      <w:bookmarkStart w:id="0" w:name="_GoBack"/>
      <w:bookmarkEnd w:id="0"/>
    </w:p>
    <w:sectPr w:rsidR="006D649A" w:rsidRPr="00860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9A"/>
    <w:rsid w:val="00371944"/>
    <w:rsid w:val="004B271D"/>
    <w:rsid w:val="005B0B55"/>
    <w:rsid w:val="006D649A"/>
    <w:rsid w:val="00860174"/>
    <w:rsid w:val="008B126E"/>
    <w:rsid w:val="00941EB7"/>
    <w:rsid w:val="00962CD3"/>
    <w:rsid w:val="009D0152"/>
    <w:rsid w:val="00C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1507"/>
  <w15:chartTrackingRefBased/>
  <w15:docId w15:val="{487E3ADC-5C15-4A9A-A6A6-BE7D6FE3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9A"/>
  </w:style>
  <w:style w:type="paragraph" w:styleId="Heading1">
    <w:name w:val="heading 1"/>
    <w:basedOn w:val="Normal"/>
    <w:next w:val="Normal"/>
    <w:link w:val="Heading1Char"/>
    <w:uiPriority w:val="9"/>
    <w:qFormat/>
    <w:rsid w:val="006D6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6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6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6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49A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D649A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6D649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ShareHubID xmlns="e771ab56-0c5d-40e7-b080-2686d2b89623" xsi:nil="true"/>
    <Comments xmlns="http://schemas.microsoft.com/sharepoint/v3" xsi:nil="true"/>
    <_dlc_DocId xmlns="d0dfa800-9ef0-44cb-8a12-633e29de1e0b">PMCdoc-213507164-58954</_dlc_DocId>
    <_dlc_DocIdUrl xmlns="d0dfa800-9ef0-44cb-8a12-633e29de1e0b">
      <Url>https://pmc01.sharepoint.com/sites/pmc-ms-cb/_layouts/15/DocIdRedir.aspx?ID=PMCdoc-213507164-58954</Url>
      <Description>PMCdoc-213507164-58954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1CA8F-A167-444D-B0BA-87D4549CE6E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d0dfa800-9ef0-44cb-8a12-633e29de1e0b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e771ab56-0c5d-40e7-b080-2686d2b896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A78DDE-4836-4436-9FAE-61E28EF7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EF8A0-11A8-4A2D-A106-CF33E73FF2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5AB1B2-E63C-4AB7-B0EF-5B7856B97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2024-09-19T04:25:00Z</dcterms:created>
  <dcterms:modified xsi:type="dcterms:W3CDTF">2024-10-22T00:40:00Z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MediaServiceImageTags">
    <vt:lpwstr/>
  </property>
  <property fmtid="{D5CDD505-2E9C-101B-9397-08002B2CF9AE}" pid="4" name="_dlc_DocIdItemGuid">
    <vt:lpwstr>c693f5e0-b2f6-4f97-93c3-c8f8094417d2</vt:lpwstr>
  </property>
  <property fmtid="{D5CDD505-2E9C-101B-9397-08002B2CF9AE}" pid="5" name="TaxKeyword">
    <vt:lpwstr/>
  </property>
  <property fmtid="{D5CDD505-2E9C-101B-9397-08002B2CF9AE}" pid="6" name="InformationMarker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8" name="Order">
    <vt:r8>524900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FolderID">
    <vt:lpwstr/>
  </property>
  <property fmtid="{D5CDD505-2E9C-101B-9397-08002B2CF9AE}" pid="12" name="SharedWithUser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e7e012ac5fbc421c95a9ddf50de22788">
    <vt:lpwstr>OFFICIAL|9e0ec9cb-4e7f-4d4a-bd32-1ee7525c6d87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