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31610" w14:textId="03669001" w:rsidR="003C5633" w:rsidRPr="004A132D" w:rsidRDefault="003C5633" w:rsidP="7600E0A6">
      <w:pPr>
        <w:spacing w:line="360" w:lineRule="auto"/>
        <w:rPr>
          <w:rFonts w:cs="Times New Roman"/>
          <w:b/>
          <w:bCs/>
          <w:spacing w:val="-2"/>
          <w:sz w:val="32"/>
          <w:szCs w:val="32"/>
        </w:rPr>
      </w:pPr>
      <w:r w:rsidRPr="7600E0A6">
        <w:rPr>
          <w:rFonts w:cs="Times New Roman"/>
          <w:b/>
          <w:bCs/>
          <w:spacing w:val="-2"/>
          <w:sz w:val="32"/>
          <w:szCs w:val="32"/>
        </w:rPr>
        <w:t xml:space="preserve">Ninth periodic report submitted by Australia under article 18 of the Convention on the Elimination </w:t>
      </w:r>
      <w:r w:rsidR="0017228C" w:rsidRPr="7600E0A6">
        <w:rPr>
          <w:rFonts w:cs="Times New Roman"/>
          <w:b/>
          <w:bCs/>
          <w:spacing w:val="-2"/>
          <w:sz w:val="32"/>
          <w:szCs w:val="32"/>
        </w:rPr>
        <w:t>of All Forms of Discrimination a</w:t>
      </w:r>
      <w:r w:rsidRPr="7600E0A6">
        <w:rPr>
          <w:rFonts w:cs="Times New Roman"/>
          <w:b/>
          <w:bCs/>
          <w:spacing w:val="-2"/>
          <w:sz w:val="32"/>
          <w:szCs w:val="32"/>
        </w:rPr>
        <w:t>gain</w:t>
      </w:r>
      <w:r w:rsidR="00F80E84" w:rsidRPr="7600E0A6">
        <w:rPr>
          <w:rFonts w:cs="Times New Roman"/>
          <w:b/>
          <w:bCs/>
          <w:spacing w:val="-2"/>
          <w:sz w:val="32"/>
          <w:szCs w:val="32"/>
        </w:rPr>
        <w:t>st</w:t>
      </w:r>
      <w:r w:rsidRPr="7600E0A6">
        <w:rPr>
          <w:rFonts w:cs="Times New Roman"/>
          <w:b/>
          <w:bCs/>
          <w:spacing w:val="-2"/>
          <w:sz w:val="32"/>
          <w:szCs w:val="32"/>
        </w:rPr>
        <w:t xml:space="preserve"> Women</w:t>
      </w:r>
      <w:r w:rsidR="0017228C" w:rsidRPr="7600E0A6">
        <w:rPr>
          <w:rStyle w:val="FootnoteReference"/>
          <w:rFonts w:cs="Times New Roman"/>
          <w:b/>
          <w:bCs/>
          <w:spacing w:val="-2"/>
          <w:sz w:val="32"/>
          <w:szCs w:val="32"/>
        </w:rPr>
        <w:footnoteReference w:id="2"/>
      </w:r>
    </w:p>
    <w:sdt>
      <w:sdtPr>
        <w:rPr>
          <w:rFonts w:asciiTheme="minorHAnsi" w:eastAsiaTheme="minorEastAsia" w:hAnsiTheme="minorHAnsi" w:cstheme="minorBidi"/>
          <w:i/>
          <w:iCs/>
          <w:noProof/>
          <w:color w:val="auto"/>
          <w:kern w:val="2"/>
          <w:sz w:val="24"/>
          <w:szCs w:val="24"/>
          <w:lang w:val="en-AU"/>
          <w14:ligatures w14:val="standardContextual"/>
        </w:rPr>
        <w:id w:val="-682811913"/>
        <w:docPartObj>
          <w:docPartGallery w:val="Table of Contents"/>
          <w:docPartUnique/>
        </w:docPartObj>
      </w:sdtPr>
      <w:sdtEndPr>
        <w:rPr>
          <w:i w:val="0"/>
          <w:iCs w:val="0"/>
          <w14:ligatures w14:val="none"/>
        </w:rPr>
      </w:sdtEndPr>
      <w:sdtContent>
        <w:p w14:paraId="6A8A0A83" w14:textId="6FA768D1" w:rsidR="003C5633" w:rsidRPr="006C3A97" w:rsidRDefault="006C3A97" w:rsidP="006C3A97">
          <w:pPr>
            <w:pStyle w:val="TOCHeading"/>
            <w:spacing w:after="240"/>
            <w:rPr>
              <w:rFonts w:asciiTheme="minorHAnsi" w:hAnsiTheme="minorHAnsi" w:cs="Times New Roman"/>
              <w:b/>
              <w:color w:val="auto"/>
              <w:sz w:val="28"/>
              <w:szCs w:val="24"/>
            </w:rPr>
          </w:pPr>
          <w:r w:rsidRPr="006C3A97">
            <w:rPr>
              <w:rFonts w:asciiTheme="minorHAnsi" w:hAnsiTheme="minorHAnsi" w:cs="Times New Roman"/>
              <w:b/>
              <w:color w:val="auto"/>
              <w:sz w:val="28"/>
              <w:szCs w:val="24"/>
            </w:rPr>
            <w:t>CONTENTS</w:t>
          </w:r>
        </w:p>
        <w:p w14:paraId="0D883AD7" w14:textId="3C7DDECA" w:rsidR="00C05E7F" w:rsidRDefault="003C5633">
          <w:pPr>
            <w:pStyle w:val="TOC1"/>
            <w:rPr>
              <w:rFonts w:eastAsiaTheme="minorEastAsia"/>
              <w:b w:val="0"/>
              <w:kern w:val="0"/>
              <w:sz w:val="22"/>
              <w:szCs w:val="22"/>
              <w:lang w:eastAsia="en-AU"/>
            </w:rPr>
          </w:pPr>
          <w:r w:rsidRPr="004A132D">
            <w:rPr>
              <w:rFonts w:cs="Times New Roman"/>
            </w:rPr>
            <w:fldChar w:fldCharType="begin"/>
          </w:r>
          <w:r w:rsidRPr="004A132D">
            <w:rPr>
              <w:rFonts w:cs="Times New Roman"/>
            </w:rPr>
            <w:instrText xml:space="preserve"> TOC \o "1-3" \h \z \u </w:instrText>
          </w:r>
          <w:r w:rsidRPr="004A132D">
            <w:rPr>
              <w:rFonts w:cs="Times New Roman"/>
            </w:rPr>
            <w:fldChar w:fldCharType="separate"/>
          </w:r>
          <w:hyperlink w:anchor="_Toc175556747" w:history="1">
            <w:r w:rsidR="00C05E7F" w:rsidRPr="00756B76">
              <w:rPr>
                <w:rStyle w:val="Hyperlink"/>
              </w:rPr>
              <w:t>Introduction</w:t>
            </w:r>
            <w:r w:rsidR="00C05E7F">
              <w:rPr>
                <w:webHidden/>
              </w:rPr>
              <w:tab/>
            </w:r>
            <w:r w:rsidR="00C05E7F">
              <w:rPr>
                <w:webHidden/>
              </w:rPr>
              <w:fldChar w:fldCharType="begin"/>
            </w:r>
            <w:r w:rsidR="00C05E7F">
              <w:rPr>
                <w:webHidden/>
              </w:rPr>
              <w:instrText xml:space="preserve"> PAGEREF _Toc175556747 \h </w:instrText>
            </w:r>
            <w:r w:rsidR="00C05E7F">
              <w:rPr>
                <w:webHidden/>
              </w:rPr>
            </w:r>
            <w:r w:rsidR="00C05E7F">
              <w:rPr>
                <w:webHidden/>
              </w:rPr>
              <w:fldChar w:fldCharType="separate"/>
            </w:r>
            <w:r w:rsidR="00C05E7F">
              <w:rPr>
                <w:webHidden/>
              </w:rPr>
              <w:t>5</w:t>
            </w:r>
            <w:r w:rsidR="00C05E7F">
              <w:rPr>
                <w:webHidden/>
              </w:rPr>
              <w:fldChar w:fldCharType="end"/>
            </w:r>
          </w:hyperlink>
        </w:p>
        <w:p w14:paraId="3E460C31" w14:textId="19928ACC" w:rsidR="00C05E7F" w:rsidRDefault="000826E7">
          <w:pPr>
            <w:pStyle w:val="TOC2"/>
            <w:rPr>
              <w:rFonts w:eastAsiaTheme="minorEastAsia"/>
              <w:kern w:val="0"/>
              <w:sz w:val="22"/>
              <w:szCs w:val="22"/>
              <w:lang w:eastAsia="en-AU"/>
            </w:rPr>
          </w:pPr>
          <w:hyperlink w:anchor="_Toc175556748" w:history="1">
            <w:r w:rsidR="00C05E7F" w:rsidRPr="00756B76">
              <w:rPr>
                <w:rStyle w:val="Hyperlink"/>
              </w:rPr>
              <w:t>Australia’s system of government</w:t>
            </w:r>
            <w:r w:rsidR="00C05E7F">
              <w:rPr>
                <w:webHidden/>
              </w:rPr>
              <w:tab/>
            </w:r>
            <w:r w:rsidR="00C05E7F">
              <w:rPr>
                <w:webHidden/>
              </w:rPr>
              <w:fldChar w:fldCharType="begin"/>
            </w:r>
            <w:r w:rsidR="00C05E7F">
              <w:rPr>
                <w:webHidden/>
              </w:rPr>
              <w:instrText xml:space="preserve"> PAGEREF _Toc175556748 \h </w:instrText>
            </w:r>
            <w:r w:rsidR="00C05E7F">
              <w:rPr>
                <w:webHidden/>
              </w:rPr>
            </w:r>
            <w:r w:rsidR="00C05E7F">
              <w:rPr>
                <w:webHidden/>
              </w:rPr>
              <w:fldChar w:fldCharType="separate"/>
            </w:r>
            <w:r w:rsidR="00C05E7F">
              <w:rPr>
                <w:webHidden/>
              </w:rPr>
              <w:t>8</w:t>
            </w:r>
            <w:r w:rsidR="00C05E7F">
              <w:rPr>
                <w:webHidden/>
              </w:rPr>
              <w:fldChar w:fldCharType="end"/>
            </w:r>
          </w:hyperlink>
        </w:p>
        <w:p w14:paraId="204E9596" w14:textId="7AEE366A" w:rsidR="00C05E7F" w:rsidRDefault="000826E7">
          <w:pPr>
            <w:pStyle w:val="TOC2"/>
            <w:rPr>
              <w:rFonts w:eastAsiaTheme="minorEastAsia"/>
              <w:kern w:val="0"/>
              <w:sz w:val="22"/>
              <w:szCs w:val="22"/>
              <w:lang w:eastAsia="en-AU"/>
            </w:rPr>
          </w:pPr>
          <w:hyperlink w:anchor="_Toc175556749" w:history="1">
            <w:r w:rsidR="00C05E7F" w:rsidRPr="00756B76">
              <w:rPr>
                <w:rStyle w:val="Hyperlink"/>
              </w:rPr>
              <w:t>Preparation of the periodic report</w:t>
            </w:r>
            <w:r w:rsidR="00C05E7F">
              <w:rPr>
                <w:webHidden/>
              </w:rPr>
              <w:tab/>
            </w:r>
            <w:r w:rsidR="00C05E7F">
              <w:rPr>
                <w:webHidden/>
              </w:rPr>
              <w:fldChar w:fldCharType="begin"/>
            </w:r>
            <w:r w:rsidR="00C05E7F">
              <w:rPr>
                <w:webHidden/>
              </w:rPr>
              <w:instrText xml:space="preserve"> PAGEREF _Toc175556749 \h </w:instrText>
            </w:r>
            <w:r w:rsidR="00C05E7F">
              <w:rPr>
                <w:webHidden/>
              </w:rPr>
            </w:r>
            <w:r w:rsidR="00C05E7F">
              <w:rPr>
                <w:webHidden/>
              </w:rPr>
              <w:fldChar w:fldCharType="separate"/>
            </w:r>
            <w:r w:rsidR="00C05E7F">
              <w:rPr>
                <w:webHidden/>
              </w:rPr>
              <w:t>8</w:t>
            </w:r>
            <w:r w:rsidR="00C05E7F">
              <w:rPr>
                <w:webHidden/>
              </w:rPr>
              <w:fldChar w:fldCharType="end"/>
            </w:r>
          </w:hyperlink>
        </w:p>
        <w:p w14:paraId="01CD508C" w14:textId="3036CE21" w:rsidR="00C05E7F" w:rsidRDefault="000826E7">
          <w:pPr>
            <w:pStyle w:val="TOC1"/>
            <w:rPr>
              <w:rFonts w:eastAsiaTheme="minorEastAsia"/>
              <w:b w:val="0"/>
              <w:kern w:val="0"/>
              <w:sz w:val="22"/>
              <w:szCs w:val="22"/>
              <w:lang w:eastAsia="en-AU"/>
            </w:rPr>
          </w:pPr>
          <w:hyperlink w:anchor="_Toc175556750" w:history="1">
            <w:r w:rsidR="00C05E7F" w:rsidRPr="00756B76">
              <w:rPr>
                <w:rStyle w:val="Hyperlink"/>
              </w:rPr>
              <w:t>Question 1: Women’s rights and gender equality in relation to the pandemic, recovery efforts and global crises</w:t>
            </w:r>
            <w:r w:rsidR="00C05E7F">
              <w:rPr>
                <w:webHidden/>
              </w:rPr>
              <w:tab/>
            </w:r>
            <w:r w:rsidR="00C05E7F">
              <w:rPr>
                <w:webHidden/>
              </w:rPr>
              <w:fldChar w:fldCharType="begin"/>
            </w:r>
            <w:r w:rsidR="00C05E7F">
              <w:rPr>
                <w:webHidden/>
              </w:rPr>
              <w:instrText xml:space="preserve"> PAGEREF _Toc175556750 \h </w:instrText>
            </w:r>
            <w:r w:rsidR="00C05E7F">
              <w:rPr>
                <w:webHidden/>
              </w:rPr>
            </w:r>
            <w:r w:rsidR="00C05E7F">
              <w:rPr>
                <w:webHidden/>
              </w:rPr>
              <w:fldChar w:fldCharType="separate"/>
            </w:r>
            <w:r w:rsidR="00C05E7F">
              <w:rPr>
                <w:webHidden/>
              </w:rPr>
              <w:t>9</w:t>
            </w:r>
            <w:r w:rsidR="00C05E7F">
              <w:rPr>
                <w:webHidden/>
              </w:rPr>
              <w:fldChar w:fldCharType="end"/>
            </w:r>
          </w:hyperlink>
        </w:p>
        <w:p w14:paraId="3C97AF0D" w14:textId="14C131EF" w:rsidR="00C05E7F" w:rsidRDefault="000826E7">
          <w:pPr>
            <w:pStyle w:val="TOC2"/>
            <w:rPr>
              <w:rFonts w:eastAsiaTheme="minorEastAsia"/>
              <w:kern w:val="0"/>
              <w:sz w:val="22"/>
              <w:szCs w:val="22"/>
              <w:lang w:eastAsia="en-AU"/>
            </w:rPr>
          </w:pPr>
          <w:hyperlink w:anchor="_Toc175556751" w:history="1">
            <w:r w:rsidR="00C05E7F" w:rsidRPr="00756B76">
              <w:rPr>
                <w:rStyle w:val="Hyperlink"/>
              </w:rPr>
              <w:t>Health response</w:t>
            </w:r>
            <w:r w:rsidR="00C05E7F">
              <w:rPr>
                <w:webHidden/>
              </w:rPr>
              <w:tab/>
            </w:r>
            <w:r w:rsidR="00C05E7F">
              <w:rPr>
                <w:webHidden/>
              </w:rPr>
              <w:fldChar w:fldCharType="begin"/>
            </w:r>
            <w:r w:rsidR="00C05E7F">
              <w:rPr>
                <w:webHidden/>
              </w:rPr>
              <w:instrText xml:space="preserve"> PAGEREF _Toc175556751 \h </w:instrText>
            </w:r>
            <w:r w:rsidR="00C05E7F">
              <w:rPr>
                <w:webHidden/>
              </w:rPr>
            </w:r>
            <w:r w:rsidR="00C05E7F">
              <w:rPr>
                <w:webHidden/>
              </w:rPr>
              <w:fldChar w:fldCharType="separate"/>
            </w:r>
            <w:r w:rsidR="00C05E7F">
              <w:rPr>
                <w:webHidden/>
              </w:rPr>
              <w:t>9</w:t>
            </w:r>
            <w:r w:rsidR="00C05E7F">
              <w:rPr>
                <w:webHidden/>
              </w:rPr>
              <w:fldChar w:fldCharType="end"/>
            </w:r>
          </w:hyperlink>
        </w:p>
        <w:p w14:paraId="2223554D" w14:textId="031BDDEB" w:rsidR="00C05E7F" w:rsidRDefault="000826E7">
          <w:pPr>
            <w:pStyle w:val="TOC2"/>
            <w:rPr>
              <w:rFonts w:eastAsiaTheme="minorEastAsia"/>
              <w:kern w:val="0"/>
              <w:sz w:val="22"/>
              <w:szCs w:val="22"/>
              <w:lang w:eastAsia="en-AU"/>
            </w:rPr>
          </w:pPr>
          <w:hyperlink w:anchor="_Toc175556752" w:history="1">
            <w:r w:rsidR="00C05E7F" w:rsidRPr="00756B76">
              <w:rPr>
                <w:rStyle w:val="Hyperlink"/>
              </w:rPr>
              <w:t>Financial support</w:t>
            </w:r>
            <w:r w:rsidR="00C05E7F">
              <w:rPr>
                <w:webHidden/>
              </w:rPr>
              <w:tab/>
            </w:r>
            <w:r w:rsidR="00C05E7F">
              <w:rPr>
                <w:webHidden/>
              </w:rPr>
              <w:fldChar w:fldCharType="begin"/>
            </w:r>
            <w:r w:rsidR="00C05E7F">
              <w:rPr>
                <w:webHidden/>
              </w:rPr>
              <w:instrText xml:space="preserve"> PAGEREF _Toc175556752 \h </w:instrText>
            </w:r>
            <w:r w:rsidR="00C05E7F">
              <w:rPr>
                <w:webHidden/>
              </w:rPr>
            </w:r>
            <w:r w:rsidR="00C05E7F">
              <w:rPr>
                <w:webHidden/>
              </w:rPr>
              <w:fldChar w:fldCharType="separate"/>
            </w:r>
            <w:r w:rsidR="00C05E7F">
              <w:rPr>
                <w:webHidden/>
              </w:rPr>
              <w:t>10</w:t>
            </w:r>
            <w:r w:rsidR="00C05E7F">
              <w:rPr>
                <w:webHidden/>
              </w:rPr>
              <w:fldChar w:fldCharType="end"/>
            </w:r>
          </w:hyperlink>
        </w:p>
        <w:p w14:paraId="408C31B5" w14:textId="19BED5ED" w:rsidR="00C05E7F" w:rsidRDefault="000826E7">
          <w:pPr>
            <w:pStyle w:val="TOC2"/>
            <w:rPr>
              <w:rFonts w:eastAsiaTheme="minorEastAsia"/>
              <w:kern w:val="0"/>
              <w:sz w:val="22"/>
              <w:szCs w:val="22"/>
              <w:lang w:eastAsia="en-AU"/>
            </w:rPr>
          </w:pPr>
          <w:hyperlink w:anchor="_Toc175556753" w:history="1">
            <w:r w:rsidR="00C05E7F" w:rsidRPr="00756B76">
              <w:rPr>
                <w:rStyle w:val="Hyperlink"/>
              </w:rPr>
              <w:t>Women’s safety</w:t>
            </w:r>
            <w:r w:rsidR="00C05E7F">
              <w:rPr>
                <w:webHidden/>
              </w:rPr>
              <w:tab/>
            </w:r>
            <w:r w:rsidR="00C05E7F">
              <w:rPr>
                <w:webHidden/>
              </w:rPr>
              <w:fldChar w:fldCharType="begin"/>
            </w:r>
            <w:r w:rsidR="00C05E7F">
              <w:rPr>
                <w:webHidden/>
              </w:rPr>
              <w:instrText xml:space="preserve"> PAGEREF _Toc175556753 \h </w:instrText>
            </w:r>
            <w:r w:rsidR="00C05E7F">
              <w:rPr>
                <w:webHidden/>
              </w:rPr>
            </w:r>
            <w:r w:rsidR="00C05E7F">
              <w:rPr>
                <w:webHidden/>
              </w:rPr>
              <w:fldChar w:fldCharType="separate"/>
            </w:r>
            <w:r w:rsidR="00C05E7F">
              <w:rPr>
                <w:webHidden/>
              </w:rPr>
              <w:t>11</w:t>
            </w:r>
            <w:r w:rsidR="00C05E7F">
              <w:rPr>
                <w:webHidden/>
              </w:rPr>
              <w:fldChar w:fldCharType="end"/>
            </w:r>
          </w:hyperlink>
        </w:p>
        <w:p w14:paraId="5D5BB236" w14:textId="4E5249BE" w:rsidR="00C05E7F" w:rsidRDefault="000826E7">
          <w:pPr>
            <w:pStyle w:val="TOC2"/>
            <w:rPr>
              <w:rFonts w:eastAsiaTheme="minorEastAsia"/>
              <w:kern w:val="0"/>
              <w:sz w:val="22"/>
              <w:szCs w:val="22"/>
              <w:lang w:eastAsia="en-AU"/>
            </w:rPr>
          </w:pPr>
          <w:hyperlink w:anchor="_Toc175556754" w:history="1">
            <w:r w:rsidR="00C05E7F" w:rsidRPr="00756B76">
              <w:rPr>
                <w:rStyle w:val="Hyperlink"/>
              </w:rPr>
              <w:t>Future responses to crises</w:t>
            </w:r>
            <w:r w:rsidR="00C05E7F">
              <w:rPr>
                <w:webHidden/>
              </w:rPr>
              <w:tab/>
            </w:r>
            <w:r w:rsidR="00C05E7F">
              <w:rPr>
                <w:webHidden/>
              </w:rPr>
              <w:fldChar w:fldCharType="begin"/>
            </w:r>
            <w:r w:rsidR="00C05E7F">
              <w:rPr>
                <w:webHidden/>
              </w:rPr>
              <w:instrText xml:space="preserve"> PAGEREF _Toc175556754 \h </w:instrText>
            </w:r>
            <w:r w:rsidR="00C05E7F">
              <w:rPr>
                <w:webHidden/>
              </w:rPr>
            </w:r>
            <w:r w:rsidR="00C05E7F">
              <w:rPr>
                <w:webHidden/>
              </w:rPr>
              <w:fldChar w:fldCharType="separate"/>
            </w:r>
            <w:r w:rsidR="00C05E7F">
              <w:rPr>
                <w:webHidden/>
              </w:rPr>
              <w:t>12</w:t>
            </w:r>
            <w:r w:rsidR="00C05E7F">
              <w:rPr>
                <w:webHidden/>
              </w:rPr>
              <w:fldChar w:fldCharType="end"/>
            </w:r>
          </w:hyperlink>
        </w:p>
        <w:p w14:paraId="21D0AA12" w14:textId="3B2D0074" w:rsidR="00C05E7F" w:rsidRDefault="000826E7">
          <w:pPr>
            <w:pStyle w:val="TOC1"/>
            <w:rPr>
              <w:rFonts w:eastAsiaTheme="minorEastAsia"/>
              <w:b w:val="0"/>
              <w:kern w:val="0"/>
              <w:sz w:val="22"/>
              <w:szCs w:val="22"/>
              <w:lang w:eastAsia="en-AU"/>
            </w:rPr>
          </w:pPr>
          <w:hyperlink w:anchor="_Toc175556755" w:history="1">
            <w:r w:rsidR="00C05E7F" w:rsidRPr="00756B76">
              <w:rPr>
                <w:rStyle w:val="Hyperlink"/>
              </w:rPr>
              <w:t>Question 2 and 3: Legislative and institutional framework</w:t>
            </w:r>
            <w:r w:rsidR="00C05E7F">
              <w:rPr>
                <w:webHidden/>
              </w:rPr>
              <w:tab/>
            </w:r>
            <w:r w:rsidR="00C05E7F">
              <w:rPr>
                <w:webHidden/>
              </w:rPr>
              <w:fldChar w:fldCharType="begin"/>
            </w:r>
            <w:r w:rsidR="00C05E7F">
              <w:rPr>
                <w:webHidden/>
              </w:rPr>
              <w:instrText xml:space="preserve"> PAGEREF _Toc175556755 \h </w:instrText>
            </w:r>
            <w:r w:rsidR="00C05E7F">
              <w:rPr>
                <w:webHidden/>
              </w:rPr>
            </w:r>
            <w:r w:rsidR="00C05E7F">
              <w:rPr>
                <w:webHidden/>
              </w:rPr>
              <w:fldChar w:fldCharType="separate"/>
            </w:r>
            <w:r w:rsidR="00C05E7F">
              <w:rPr>
                <w:webHidden/>
              </w:rPr>
              <w:t>12</w:t>
            </w:r>
            <w:r w:rsidR="00C05E7F">
              <w:rPr>
                <w:webHidden/>
              </w:rPr>
              <w:fldChar w:fldCharType="end"/>
            </w:r>
          </w:hyperlink>
        </w:p>
        <w:p w14:paraId="5D192FF5" w14:textId="5980C5BC" w:rsidR="00C05E7F" w:rsidRDefault="000826E7">
          <w:pPr>
            <w:pStyle w:val="TOC2"/>
            <w:rPr>
              <w:rFonts w:eastAsiaTheme="minorEastAsia"/>
              <w:kern w:val="0"/>
              <w:sz w:val="22"/>
              <w:szCs w:val="22"/>
              <w:lang w:eastAsia="en-AU"/>
            </w:rPr>
          </w:pPr>
          <w:hyperlink w:anchor="_Toc175556756" w:history="1">
            <w:r w:rsidR="00C05E7F" w:rsidRPr="00756B76">
              <w:rPr>
                <w:rStyle w:val="Hyperlink"/>
              </w:rPr>
              <w:t>Question 2: Reservation to article 11(2) of the Convention</w:t>
            </w:r>
            <w:r w:rsidR="00C05E7F">
              <w:rPr>
                <w:webHidden/>
              </w:rPr>
              <w:tab/>
            </w:r>
            <w:r w:rsidR="00C05E7F">
              <w:rPr>
                <w:webHidden/>
              </w:rPr>
              <w:fldChar w:fldCharType="begin"/>
            </w:r>
            <w:r w:rsidR="00C05E7F">
              <w:rPr>
                <w:webHidden/>
              </w:rPr>
              <w:instrText xml:space="preserve"> PAGEREF _Toc175556756 \h </w:instrText>
            </w:r>
            <w:r w:rsidR="00C05E7F">
              <w:rPr>
                <w:webHidden/>
              </w:rPr>
            </w:r>
            <w:r w:rsidR="00C05E7F">
              <w:rPr>
                <w:webHidden/>
              </w:rPr>
              <w:fldChar w:fldCharType="separate"/>
            </w:r>
            <w:r w:rsidR="00C05E7F">
              <w:rPr>
                <w:webHidden/>
              </w:rPr>
              <w:t>12</w:t>
            </w:r>
            <w:r w:rsidR="00C05E7F">
              <w:rPr>
                <w:webHidden/>
              </w:rPr>
              <w:fldChar w:fldCharType="end"/>
            </w:r>
          </w:hyperlink>
        </w:p>
        <w:p w14:paraId="2A51A56B" w14:textId="63E038B1" w:rsidR="00C05E7F" w:rsidRDefault="000826E7">
          <w:pPr>
            <w:pStyle w:val="TOC2"/>
            <w:rPr>
              <w:rFonts w:eastAsiaTheme="minorEastAsia"/>
              <w:kern w:val="0"/>
              <w:sz w:val="22"/>
              <w:szCs w:val="22"/>
              <w:lang w:eastAsia="en-AU"/>
            </w:rPr>
          </w:pPr>
          <w:hyperlink w:anchor="_Toc175556757" w:history="1">
            <w:r w:rsidR="00C05E7F" w:rsidRPr="00756B76">
              <w:rPr>
                <w:rStyle w:val="Hyperlink"/>
              </w:rPr>
              <w:t>Question 3: Legislative amendments following previous concluding observations</w:t>
            </w:r>
            <w:r w:rsidR="00C05E7F">
              <w:rPr>
                <w:webHidden/>
              </w:rPr>
              <w:tab/>
            </w:r>
            <w:r w:rsidR="00C05E7F">
              <w:rPr>
                <w:webHidden/>
              </w:rPr>
              <w:fldChar w:fldCharType="begin"/>
            </w:r>
            <w:r w:rsidR="00C05E7F">
              <w:rPr>
                <w:webHidden/>
              </w:rPr>
              <w:instrText xml:space="preserve"> PAGEREF _Toc175556757 \h </w:instrText>
            </w:r>
            <w:r w:rsidR="00C05E7F">
              <w:rPr>
                <w:webHidden/>
              </w:rPr>
            </w:r>
            <w:r w:rsidR="00C05E7F">
              <w:rPr>
                <w:webHidden/>
              </w:rPr>
              <w:fldChar w:fldCharType="separate"/>
            </w:r>
            <w:r w:rsidR="00C05E7F">
              <w:rPr>
                <w:webHidden/>
              </w:rPr>
              <w:t>14</w:t>
            </w:r>
            <w:r w:rsidR="00C05E7F">
              <w:rPr>
                <w:webHidden/>
              </w:rPr>
              <w:fldChar w:fldCharType="end"/>
            </w:r>
          </w:hyperlink>
        </w:p>
        <w:p w14:paraId="1943C46D" w14:textId="1F3A3981" w:rsidR="00C05E7F" w:rsidRDefault="000826E7">
          <w:pPr>
            <w:pStyle w:val="TOC1"/>
            <w:rPr>
              <w:rFonts w:eastAsiaTheme="minorEastAsia"/>
              <w:b w:val="0"/>
              <w:kern w:val="0"/>
              <w:sz w:val="22"/>
              <w:szCs w:val="22"/>
              <w:lang w:eastAsia="en-AU"/>
            </w:rPr>
          </w:pPr>
          <w:hyperlink w:anchor="_Toc175556758" w:history="1">
            <w:r w:rsidR="00C05E7F" w:rsidRPr="00756B76">
              <w:rPr>
                <w:rStyle w:val="Hyperlink"/>
              </w:rPr>
              <w:t>Question 4: Constitutional and legal framework</w:t>
            </w:r>
            <w:r w:rsidR="00C05E7F">
              <w:rPr>
                <w:webHidden/>
              </w:rPr>
              <w:tab/>
            </w:r>
            <w:r w:rsidR="00C05E7F">
              <w:rPr>
                <w:webHidden/>
              </w:rPr>
              <w:fldChar w:fldCharType="begin"/>
            </w:r>
            <w:r w:rsidR="00C05E7F">
              <w:rPr>
                <w:webHidden/>
              </w:rPr>
              <w:instrText xml:space="preserve"> PAGEREF _Toc175556758 \h </w:instrText>
            </w:r>
            <w:r w:rsidR="00C05E7F">
              <w:rPr>
                <w:webHidden/>
              </w:rPr>
            </w:r>
            <w:r w:rsidR="00C05E7F">
              <w:rPr>
                <w:webHidden/>
              </w:rPr>
              <w:fldChar w:fldCharType="separate"/>
            </w:r>
            <w:r w:rsidR="00C05E7F">
              <w:rPr>
                <w:webHidden/>
              </w:rPr>
              <w:t>17</w:t>
            </w:r>
            <w:r w:rsidR="00C05E7F">
              <w:rPr>
                <w:webHidden/>
              </w:rPr>
              <w:fldChar w:fldCharType="end"/>
            </w:r>
          </w:hyperlink>
        </w:p>
        <w:p w14:paraId="57D3592C" w14:textId="18C37BD7" w:rsidR="00C05E7F" w:rsidRDefault="000826E7">
          <w:pPr>
            <w:pStyle w:val="TOC2"/>
            <w:rPr>
              <w:rFonts w:eastAsiaTheme="minorEastAsia"/>
              <w:kern w:val="0"/>
              <w:sz w:val="22"/>
              <w:szCs w:val="22"/>
              <w:lang w:eastAsia="en-AU"/>
            </w:rPr>
          </w:pPr>
          <w:hyperlink w:anchor="_Toc175556759" w:history="1">
            <w:r w:rsidR="00C05E7F" w:rsidRPr="00756B76">
              <w:rPr>
                <w:rStyle w:val="Hyperlink"/>
              </w:rPr>
              <w:t>Question 4a: Federal human rights and anti-discrimination legislation</w:t>
            </w:r>
            <w:r w:rsidR="00C05E7F">
              <w:rPr>
                <w:webHidden/>
              </w:rPr>
              <w:tab/>
            </w:r>
            <w:r w:rsidR="00C05E7F">
              <w:rPr>
                <w:webHidden/>
              </w:rPr>
              <w:fldChar w:fldCharType="begin"/>
            </w:r>
            <w:r w:rsidR="00C05E7F">
              <w:rPr>
                <w:webHidden/>
              </w:rPr>
              <w:instrText xml:space="preserve"> PAGEREF _Toc175556759 \h </w:instrText>
            </w:r>
            <w:r w:rsidR="00C05E7F">
              <w:rPr>
                <w:webHidden/>
              </w:rPr>
            </w:r>
            <w:r w:rsidR="00C05E7F">
              <w:rPr>
                <w:webHidden/>
              </w:rPr>
              <w:fldChar w:fldCharType="separate"/>
            </w:r>
            <w:r w:rsidR="00C05E7F">
              <w:rPr>
                <w:webHidden/>
              </w:rPr>
              <w:t>17</w:t>
            </w:r>
            <w:r w:rsidR="00C05E7F">
              <w:rPr>
                <w:webHidden/>
              </w:rPr>
              <w:fldChar w:fldCharType="end"/>
            </w:r>
          </w:hyperlink>
        </w:p>
        <w:p w14:paraId="6210C313" w14:textId="06C3CB56" w:rsidR="00C05E7F" w:rsidRDefault="000826E7">
          <w:pPr>
            <w:pStyle w:val="TOC2"/>
            <w:rPr>
              <w:rFonts w:eastAsiaTheme="minorEastAsia"/>
              <w:kern w:val="0"/>
              <w:sz w:val="22"/>
              <w:szCs w:val="22"/>
              <w:lang w:eastAsia="en-AU"/>
            </w:rPr>
          </w:pPr>
          <w:hyperlink w:anchor="_Toc175556760" w:history="1">
            <w:r w:rsidR="00C05E7F" w:rsidRPr="00756B76">
              <w:rPr>
                <w:rStyle w:val="Hyperlink"/>
              </w:rPr>
              <w:t>Question 4b: Recognition of First Nations People in the Constitution</w:t>
            </w:r>
            <w:r w:rsidR="00C05E7F">
              <w:rPr>
                <w:webHidden/>
              </w:rPr>
              <w:tab/>
            </w:r>
            <w:r w:rsidR="00C05E7F">
              <w:rPr>
                <w:webHidden/>
              </w:rPr>
              <w:fldChar w:fldCharType="begin"/>
            </w:r>
            <w:r w:rsidR="00C05E7F">
              <w:rPr>
                <w:webHidden/>
              </w:rPr>
              <w:instrText xml:space="preserve"> PAGEREF _Toc175556760 \h </w:instrText>
            </w:r>
            <w:r w:rsidR="00C05E7F">
              <w:rPr>
                <w:webHidden/>
              </w:rPr>
            </w:r>
            <w:r w:rsidR="00C05E7F">
              <w:rPr>
                <w:webHidden/>
              </w:rPr>
              <w:fldChar w:fldCharType="separate"/>
            </w:r>
            <w:r w:rsidR="00C05E7F">
              <w:rPr>
                <w:webHidden/>
              </w:rPr>
              <w:t>18</w:t>
            </w:r>
            <w:r w:rsidR="00C05E7F">
              <w:rPr>
                <w:webHidden/>
              </w:rPr>
              <w:fldChar w:fldCharType="end"/>
            </w:r>
          </w:hyperlink>
        </w:p>
        <w:p w14:paraId="3818A4CB" w14:textId="6141774C" w:rsidR="00C05E7F" w:rsidRDefault="000826E7">
          <w:pPr>
            <w:pStyle w:val="TOC2"/>
            <w:rPr>
              <w:rFonts w:eastAsiaTheme="minorEastAsia"/>
              <w:kern w:val="0"/>
              <w:sz w:val="22"/>
              <w:szCs w:val="22"/>
              <w:lang w:eastAsia="en-AU"/>
            </w:rPr>
          </w:pPr>
          <w:hyperlink w:anchor="_Toc175556761" w:history="1">
            <w:r w:rsidR="00C05E7F" w:rsidRPr="00756B76">
              <w:rPr>
                <w:rStyle w:val="Hyperlink"/>
              </w:rPr>
              <w:t>Question 4c: Harmonising federal, state and territory legislation</w:t>
            </w:r>
            <w:r w:rsidR="00C05E7F">
              <w:rPr>
                <w:webHidden/>
              </w:rPr>
              <w:tab/>
            </w:r>
            <w:r w:rsidR="00C05E7F">
              <w:rPr>
                <w:webHidden/>
              </w:rPr>
              <w:fldChar w:fldCharType="begin"/>
            </w:r>
            <w:r w:rsidR="00C05E7F">
              <w:rPr>
                <w:webHidden/>
              </w:rPr>
              <w:instrText xml:space="preserve"> PAGEREF _Toc175556761 \h </w:instrText>
            </w:r>
            <w:r w:rsidR="00C05E7F">
              <w:rPr>
                <w:webHidden/>
              </w:rPr>
            </w:r>
            <w:r w:rsidR="00C05E7F">
              <w:rPr>
                <w:webHidden/>
              </w:rPr>
              <w:fldChar w:fldCharType="separate"/>
            </w:r>
            <w:r w:rsidR="00C05E7F">
              <w:rPr>
                <w:webHidden/>
              </w:rPr>
              <w:t>18</w:t>
            </w:r>
            <w:r w:rsidR="00C05E7F">
              <w:rPr>
                <w:webHidden/>
              </w:rPr>
              <w:fldChar w:fldCharType="end"/>
            </w:r>
          </w:hyperlink>
        </w:p>
        <w:p w14:paraId="2476C103" w14:textId="3DBBC5EE" w:rsidR="00C05E7F" w:rsidRDefault="000826E7">
          <w:pPr>
            <w:pStyle w:val="TOC2"/>
            <w:rPr>
              <w:rFonts w:eastAsiaTheme="minorEastAsia"/>
              <w:kern w:val="0"/>
              <w:sz w:val="22"/>
              <w:szCs w:val="22"/>
              <w:lang w:eastAsia="en-AU"/>
            </w:rPr>
          </w:pPr>
          <w:hyperlink w:anchor="_Toc175556762" w:history="1">
            <w:r w:rsidR="00C05E7F" w:rsidRPr="00756B76">
              <w:rPr>
                <w:rStyle w:val="Hyperlink"/>
              </w:rPr>
              <w:t>Question 4d: Enhancing effectiveness of the Sex Discrimination Act</w:t>
            </w:r>
            <w:r w:rsidR="00C05E7F">
              <w:rPr>
                <w:webHidden/>
              </w:rPr>
              <w:tab/>
            </w:r>
            <w:r w:rsidR="00C05E7F">
              <w:rPr>
                <w:webHidden/>
              </w:rPr>
              <w:fldChar w:fldCharType="begin"/>
            </w:r>
            <w:r w:rsidR="00C05E7F">
              <w:rPr>
                <w:webHidden/>
              </w:rPr>
              <w:instrText xml:space="preserve"> PAGEREF _Toc175556762 \h </w:instrText>
            </w:r>
            <w:r w:rsidR="00C05E7F">
              <w:rPr>
                <w:webHidden/>
              </w:rPr>
            </w:r>
            <w:r w:rsidR="00C05E7F">
              <w:rPr>
                <w:webHidden/>
              </w:rPr>
              <w:fldChar w:fldCharType="separate"/>
            </w:r>
            <w:r w:rsidR="00C05E7F">
              <w:rPr>
                <w:webHidden/>
              </w:rPr>
              <w:t>19</w:t>
            </w:r>
            <w:r w:rsidR="00C05E7F">
              <w:rPr>
                <w:webHidden/>
              </w:rPr>
              <w:fldChar w:fldCharType="end"/>
            </w:r>
          </w:hyperlink>
        </w:p>
        <w:p w14:paraId="7AD74B94" w14:textId="1FFA2B73" w:rsidR="00C05E7F" w:rsidRDefault="000826E7">
          <w:pPr>
            <w:pStyle w:val="TOC1"/>
            <w:rPr>
              <w:rFonts w:eastAsiaTheme="minorEastAsia"/>
              <w:b w:val="0"/>
              <w:kern w:val="0"/>
              <w:sz w:val="22"/>
              <w:szCs w:val="22"/>
              <w:lang w:eastAsia="en-AU"/>
            </w:rPr>
          </w:pPr>
          <w:hyperlink w:anchor="_Toc175556763" w:history="1">
            <w:r w:rsidR="00C05E7F" w:rsidRPr="00756B76">
              <w:rPr>
                <w:rStyle w:val="Hyperlink"/>
              </w:rPr>
              <w:t>Question 5: Access to justice</w:t>
            </w:r>
            <w:r w:rsidR="00C05E7F">
              <w:rPr>
                <w:webHidden/>
              </w:rPr>
              <w:tab/>
            </w:r>
            <w:r w:rsidR="00C05E7F">
              <w:rPr>
                <w:webHidden/>
              </w:rPr>
              <w:fldChar w:fldCharType="begin"/>
            </w:r>
            <w:r w:rsidR="00C05E7F">
              <w:rPr>
                <w:webHidden/>
              </w:rPr>
              <w:instrText xml:space="preserve"> PAGEREF _Toc175556763 \h </w:instrText>
            </w:r>
            <w:r w:rsidR="00C05E7F">
              <w:rPr>
                <w:webHidden/>
              </w:rPr>
            </w:r>
            <w:r w:rsidR="00C05E7F">
              <w:rPr>
                <w:webHidden/>
              </w:rPr>
              <w:fldChar w:fldCharType="separate"/>
            </w:r>
            <w:r w:rsidR="00C05E7F">
              <w:rPr>
                <w:webHidden/>
              </w:rPr>
              <w:t>20</w:t>
            </w:r>
            <w:r w:rsidR="00C05E7F">
              <w:rPr>
                <w:webHidden/>
              </w:rPr>
              <w:fldChar w:fldCharType="end"/>
            </w:r>
          </w:hyperlink>
        </w:p>
        <w:p w14:paraId="307B7583" w14:textId="356D2719" w:rsidR="00C05E7F" w:rsidRDefault="000826E7">
          <w:pPr>
            <w:pStyle w:val="TOC2"/>
            <w:rPr>
              <w:rFonts w:eastAsiaTheme="minorEastAsia"/>
              <w:kern w:val="0"/>
              <w:sz w:val="22"/>
              <w:szCs w:val="22"/>
              <w:lang w:eastAsia="en-AU"/>
            </w:rPr>
          </w:pPr>
          <w:hyperlink w:anchor="_Toc175556764" w:history="1">
            <w:r w:rsidR="00C05E7F" w:rsidRPr="00756B76">
              <w:rPr>
                <w:rStyle w:val="Hyperlink"/>
              </w:rPr>
              <w:t>Question 5a: Australian Law Reform Commission 1986 recommendations on the recognition of Aboriginal customary laws</w:t>
            </w:r>
            <w:r w:rsidR="00C05E7F">
              <w:rPr>
                <w:webHidden/>
              </w:rPr>
              <w:tab/>
            </w:r>
            <w:r w:rsidR="00C05E7F">
              <w:rPr>
                <w:webHidden/>
              </w:rPr>
              <w:fldChar w:fldCharType="begin"/>
            </w:r>
            <w:r w:rsidR="00C05E7F">
              <w:rPr>
                <w:webHidden/>
              </w:rPr>
              <w:instrText xml:space="preserve"> PAGEREF _Toc175556764 \h </w:instrText>
            </w:r>
            <w:r w:rsidR="00C05E7F">
              <w:rPr>
                <w:webHidden/>
              </w:rPr>
            </w:r>
            <w:r w:rsidR="00C05E7F">
              <w:rPr>
                <w:webHidden/>
              </w:rPr>
              <w:fldChar w:fldCharType="separate"/>
            </w:r>
            <w:r w:rsidR="00C05E7F">
              <w:rPr>
                <w:webHidden/>
              </w:rPr>
              <w:t>20</w:t>
            </w:r>
            <w:r w:rsidR="00C05E7F">
              <w:rPr>
                <w:webHidden/>
              </w:rPr>
              <w:fldChar w:fldCharType="end"/>
            </w:r>
          </w:hyperlink>
        </w:p>
        <w:p w14:paraId="0B57E91A" w14:textId="726D9718" w:rsidR="00C05E7F" w:rsidRDefault="000826E7">
          <w:pPr>
            <w:pStyle w:val="TOC2"/>
            <w:rPr>
              <w:rFonts w:eastAsiaTheme="minorEastAsia"/>
              <w:kern w:val="0"/>
              <w:sz w:val="22"/>
              <w:szCs w:val="22"/>
              <w:lang w:eastAsia="en-AU"/>
            </w:rPr>
          </w:pPr>
          <w:hyperlink w:anchor="_Toc175556765" w:history="1">
            <w:r w:rsidR="00C05E7F" w:rsidRPr="00756B76">
              <w:rPr>
                <w:rStyle w:val="Hyperlink"/>
              </w:rPr>
              <w:t>Question 5b: Productivity Commission 2014 recommendations on access to justice arrangements</w:t>
            </w:r>
            <w:r w:rsidR="00C05E7F">
              <w:rPr>
                <w:webHidden/>
              </w:rPr>
              <w:tab/>
            </w:r>
            <w:r w:rsidR="00C05E7F">
              <w:rPr>
                <w:webHidden/>
              </w:rPr>
              <w:fldChar w:fldCharType="begin"/>
            </w:r>
            <w:r w:rsidR="00C05E7F">
              <w:rPr>
                <w:webHidden/>
              </w:rPr>
              <w:instrText xml:space="preserve"> PAGEREF _Toc175556765 \h </w:instrText>
            </w:r>
            <w:r w:rsidR="00C05E7F">
              <w:rPr>
                <w:webHidden/>
              </w:rPr>
            </w:r>
            <w:r w:rsidR="00C05E7F">
              <w:rPr>
                <w:webHidden/>
              </w:rPr>
              <w:fldChar w:fldCharType="separate"/>
            </w:r>
            <w:r w:rsidR="00C05E7F">
              <w:rPr>
                <w:webHidden/>
              </w:rPr>
              <w:t>20</w:t>
            </w:r>
            <w:r w:rsidR="00C05E7F">
              <w:rPr>
                <w:webHidden/>
              </w:rPr>
              <w:fldChar w:fldCharType="end"/>
            </w:r>
          </w:hyperlink>
        </w:p>
        <w:p w14:paraId="46963B00" w14:textId="1EAB383A" w:rsidR="00C05E7F" w:rsidRDefault="000826E7">
          <w:pPr>
            <w:pStyle w:val="TOC2"/>
            <w:rPr>
              <w:rFonts w:eastAsiaTheme="minorEastAsia"/>
              <w:kern w:val="0"/>
              <w:sz w:val="22"/>
              <w:szCs w:val="22"/>
              <w:lang w:eastAsia="en-AU"/>
            </w:rPr>
          </w:pPr>
          <w:hyperlink w:anchor="_Toc175556766" w:history="1">
            <w:r w:rsidR="00C05E7F" w:rsidRPr="00756B76">
              <w:rPr>
                <w:rStyle w:val="Hyperlink"/>
              </w:rPr>
              <w:t>Question 5c: Australian Law Reform Commission’s 2019 review of the family law system</w:t>
            </w:r>
            <w:r w:rsidR="00C05E7F">
              <w:rPr>
                <w:webHidden/>
              </w:rPr>
              <w:tab/>
            </w:r>
            <w:r w:rsidR="00C05E7F">
              <w:rPr>
                <w:webHidden/>
              </w:rPr>
              <w:fldChar w:fldCharType="begin"/>
            </w:r>
            <w:r w:rsidR="00C05E7F">
              <w:rPr>
                <w:webHidden/>
              </w:rPr>
              <w:instrText xml:space="preserve"> PAGEREF _Toc175556766 \h </w:instrText>
            </w:r>
            <w:r w:rsidR="00C05E7F">
              <w:rPr>
                <w:webHidden/>
              </w:rPr>
            </w:r>
            <w:r w:rsidR="00C05E7F">
              <w:rPr>
                <w:webHidden/>
              </w:rPr>
              <w:fldChar w:fldCharType="separate"/>
            </w:r>
            <w:r w:rsidR="00C05E7F">
              <w:rPr>
                <w:webHidden/>
              </w:rPr>
              <w:t>21</w:t>
            </w:r>
            <w:r w:rsidR="00C05E7F">
              <w:rPr>
                <w:webHidden/>
              </w:rPr>
              <w:fldChar w:fldCharType="end"/>
            </w:r>
          </w:hyperlink>
        </w:p>
        <w:p w14:paraId="0C623D74" w14:textId="7420E241" w:rsidR="00C05E7F" w:rsidRDefault="000826E7">
          <w:pPr>
            <w:pStyle w:val="TOC2"/>
            <w:rPr>
              <w:rFonts w:eastAsiaTheme="minorEastAsia"/>
              <w:kern w:val="0"/>
              <w:sz w:val="22"/>
              <w:szCs w:val="22"/>
              <w:lang w:eastAsia="en-AU"/>
            </w:rPr>
          </w:pPr>
          <w:hyperlink w:anchor="_Toc175556767" w:history="1">
            <w:r w:rsidR="00C05E7F" w:rsidRPr="00756B76">
              <w:rPr>
                <w:rStyle w:val="Hyperlink"/>
              </w:rPr>
              <w:t>Question 5d: Indigenous legal professionals</w:t>
            </w:r>
            <w:r w:rsidR="00C05E7F">
              <w:rPr>
                <w:webHidden/>
              </w:rPr>
              <w:tab/>
            </w:r>
            <w:r w:rsidR="00C05E7F">
              <w:rPr>
                <w:webHidden/>
              </w:rPr>
              <w:fldChar w:fldCharType="begin"/>
            </w:r>
            <w:r w:rsidR="00C05E7F">
              <w:rPr>
                <w:webHidden/>
              </w:rPr>
              <w:instrText xml:space="preserve"> PAGEREF _Toc175556767 \h </w:instrText>
            </w:r>
            <w:r w:rsidR="00C05E7F">
              <w:rPr>
                <w:webHidden/>
              </w:rPr>
            </w:r>
            <w:r w:rsidR="00C05E7F">
              <w:rPr>
                <w:webHidden/>
              </w:rPr>
              <w:fldChar w:fldCharType="separate"/>
            </w:r>
            <w:r w:rsidR="00C05E7F">
              <w:rPr>
                <w:webHidden/>
              </w:rPr>
              <w:t>22</w:t>
            </w:r>
            <w:r w:rsidR="00C05E7F">
              <w:rPr>
                <w:webHidden/>
              </w:rPr>
              <w:fldChar w:fldCharType="end"/>
            </w:r>
          </w:hyperlink>
        </w:p>
        <w:p w14:paraId="2FDC4570" w14:textId="14F1EC17" w:rsidR="00C05E7F" w:rsidRDefault="000826E7">
          <w:pPr>
            <w:pStyle w:val="TOC1"/>
            <w:rPr>
              <w:rFonts w:eastAsiaTheme="minorEastAsia"/>
              <w:b w:val="0"/>
              <w:kern w:val="0"/>
              <w:sz w:val="22"/>
              <w:szCs w:val="22"/>
              <w:lang w:eastAsia="en-AU"/>
            </w:rPr>
          </w:pPr>
          <w:hyperlink w:anchor="_Toc175556768" w:history="1">
            <w:r w:rsidR="00C05E7F" w:rsidRPr="00756B76">
              <w:rPr>
                <w:rStyle w:val="Hyperlink"/>
              </w:rPr>
              <w:t>Question 6: National human rights institution</w:t>
            </w:r>
            <w:r w:rsidR="00C05E7F">
              <w:rPr>
                <w:webHidden/>
              </w:rPr>
              <w:tab/>
            </w:r>
            <w:r w:rsidR="00C05E7F">
              <w:rPr>
                <w:webHidden/>
              </w:rPr>
              <w:fldChar w:fldCharType="begin"/>
            </w:r>
            <w:r w:rsidR="00C05E7F">
              <w:rPr>
                <w:webHidden/>
              </w:rPr>
              <w:instrText xml:space="preserve"> PAGEREF _Toc175556768 \h </w:instrText>
            </w:r>
            <w:r w:rsidR="00C05E7F">
              <w:rPr>
                <w:webHidden/>
              </w:rPr>
            </w:r>
            <w:r w:rsidR="00C05E7F">
              <w:rPr>
                <w:webHidden/>
              </w:rPr>
              <w:fldChar w:fldCharType="separate"/>
            </w:r>
            <w:r w:rsidR="00C05E7F">
              <w:rPr>
                <w:webHidden/>
              </w:rPr>
              <w:t>22</w:t>
            </w:r>
            <w:r w:rsidR="00C05E7F">
              <w:rPr>
                <w:webHidden/>
              </w:rPr>
              <w:fldChar w:fldCharType="end"/>
            </w:r>
          </w:hyperlink>
        </w:p>
        <w:p w14:paraId="3060994E" w14:textId="5D9ADB0A" w:rsidR="00C05E7F" w:rsidRDefault="000826E7">
          <w:pPr>
            <w:pStyle w:val="TOC1"/>
            <w:rPr>
              <w:rFonts w:eastAsiaTheme="minorEastAsia"/>
              <w:b w:val="0"/>
              <w:kern w:val="0"/>
              <w:sz w:val="22"/>
              <w:szCs w:val="22"/>
              <w:lang w:eastAsia="en-AU"/>
            </w:rPr>
          </w:pPr>
          <w:hyperlink w:anchor="_Toc175556769" w:history="1">
            <w:r w:rsidR="00C05E7F" w:rsidRPr="00756B76">
              <w:rPr>
                <w:rStyle w:val="Hyperlink"/>
              </w:rPr>
              <w:t>Question 7: Temporary special measures</w:t>
            </w:r>
            <w:r w:rsidR="00C05E7F">
              <w:rPr>
                <w:webHidden/>
              </w:rPr>
              <w:tab/>
            </w:r>
            <w:r w:rsidR="00C05E7F">
              <w:rPr>
                <w:webHidden/>
              </w:rPr>
              <w:fldChar w:fldCharType="begin"/>
            </w:r>
            <w:r w:rsidR="00C05E7F">
              <w:rPr>
                <w:webHidden/>
              </w:rPr>
              <w:instrText xml:space="preserve"> PAGEREF _Toc175556769 \h </w:instrText>
            </w:r>
            <w:r w:rsidR="00C05E7F">
              <w:rPr>
                <w:webHidden/>
              </w:rPr>
            </w:r>
            <w:r w:rsidR="00C05E7F">
              <w:rPr>
                <w:webHidden/>
              </w:rPr>
              <w:fldChar w:fldCharType="separate"/>
            </w:r>
            <w:r w:rsidR="00C05E7F">
              <w:rPr>
                <w:webHidden/>
              </w:rPr>
              <w:t>24</w:t>
            </w:r>
            <w:r w:rsidR="00C05E7F">
              <w:rPr>
                <w:webHidden/>
              </w:rPr>
              <w:fldChar w:fldCharType="end"/>
            </w:r>
          </w:hyperlink>
        </w:p>
        <w:p w14:paraId="04E600FC" w14:textId="048CA3D8" w:rsidR="00C05E7F" w:rsidRDefault="000826E7">
          <w:pPr>
            <w:pStyle w:val="TOC2"/>
            <w:rPr>
              <w:rFonts w:eastAsiaTheme="minorEastAsia"/>
              <w:kern w:val="0"/>
              <w:sz w:val="22"/>
              <w:szCs w:val="22"/>
              <w:lang w:eastAsia="en-AU"/>
            </w:rPr>
          </w:pPr>
          <w:hyperlink w:anchor="_Toc175556770" w:history="1">
            <w:r w:rsidR="00C05E7F" w:rsidRPr="00756B76">
              <w:rPr>
                <w:rStyle w:val="Hyperlink"/>
              </w:rPr>
              <w:t>Example: Education and employment</w:t>
            </w:r>
            <w:r w:rsidR="00C05E7F">
              <w:rPr>
                <w:webHidden/>
              </w:rPr>
              <w:tab/>
            </w:r>
            <w:r w:rsidR="00C05E7F">
              <w:rPr>
                <w:webHidden/>
              </w:rPr>
              <w:fldChar w:fldCharType="begin"/>
            </w:r>
            <w:r w:rsidR="00C05E7F">
              <w:rPr>
                <w:webHidden/>
              </w:rPr>
              <w:instrText xml:space="preserve"> PAGEREF _Toc175556770 \h </w:instrText>
            </w:r>
            <w:r w:rsidR="00C05E7F">
              <w:rPr>
                <w:webHidden/>
              </w:rPr>
            </w:r>
            <w:r w:rsidR="00C05E7F">
              <w:rPr>
                <w:webHidden/>
              </w:rPr>
              <w:fldChar w:fldCharType="separate"/>
            </w:r>
            <w:r w:rsidR="00C05E7F">
              <w:rPr>
                <w:webHidden/>
              </w:rPr>
              <w:t>24</w:t>
            </w:r>
            <w:r w:rsidR="00C05E7F">
              <w:rPr>
                <w:webHidden/>
              </w:rPr>
              <w:fldChar w:fldCharType="end"/>
            </w:r>
          </w:hyperlink>
        </w:p>
        <w:p w14:paraId="06C06724" w14:textId="32234F34" w:rsidR="00C05E7F" w:rsidRDefault="000826E7">
          <w:pPr>
            <w:pStyle w:val="TOC2"/>
            <w:rPr>
              <w:rFonts w:eastAsiaTheme="minorEastAsia"/>
              <w:kern w:val="0"/>
              <w:sz w:val="22"/>
              <w:szCs w:val="22"/>
              <w:lang w:eastAsia="en-AU"/>
            </w:rPr>
          </w:pPr>
          <w:hyperlink w:anchor="_Toc175556771" w:history="1">
            <w:r w:rsidR="00C05E7F" w:rsidRPr="00756B76">
              <w:rPr>
                <w:rStyle w:val="Hyperlink"/>
              </w:rPr>
              <w:t>Gender-responsive public procurement</w:t>
            </w:r>
            <w:r w:rsidR="00C05E7F">
              <w:rPr>
                <w:webHidden/>
              </w:rPr>
              <w:tab/>
            </w:r>
            <w:r w:rsidR="00C05E7F">
              <w:rPr>
                <w:webHidden/>
              </w:rPr>
              <w:fldChar w:fldCharType="begin"/>
            </w:r>
            <w:r w:rsidR="00C05E7F">
              <w:rPr>
                <w:webHidden/>
              </w:rPr>
              <w:instrText xml:space="preserve"> PAGEREF _Toc175556771 \h </w:instrText>
            </w:r>
            <w:r w:rsidR="00C05E7F">
              <w:rPr>
                <w:webHidden/>
              </w:rPr>
            </w:r>
            <w:r w:rsidR="00C05E7F">
              <w:rPr>
                <w:webHidden/>
              </w:rPr>
              <w:fldChar w:fldCharType="separate"/>
            </w:r>
            <w:r w:rsidR="00C05E7F">
              <w:rPr>
                <w:webHidden/>
              </w:rPr>
              <w:t>25</w:t>
            </w:r>
            <w:r w:rsidR="00C05E7F">
              <w:rPr>
                <w:webHidden/>
              </w:rPr>
              <w:fldChar w:fldCharType="end"/>
            </w:r>
          </w:hyperlink>
        </w:p>
        <w:p w14:paraId="1E418E45" w14:textId="6D839053" w:rsidR="00C05E7F" w:rsidRDefault="000826E7">
          <w:pPr>
            <w:pStyle w:val="TOC1"/>
            <w:rPr>
              <w:rFonts w:eastAsiaTheme="minorEastAsia"/>
              <w:b w:val="0"/>
              <w:kern w:val="0"/>
              <w:sz w:val="22"/>
              <w:szCs w:val="22"/>
              <w:lang w:eastAsia="en-AU"/>
            </w:rPr>
          </w:pPr>
          <w:hyperlink w:anchor="_Toc175556772" w:history="1">
            <w:r w:rsidR="00C05E7F" w:rsidRPr="00756B76">
              <w:rPr>
                <w:rStyle w:val="Hyperlink"/>
              </w:rPr>
              <w:t>Question 8: Stereotypes and harmful practices</w:t>
            </w:r>
            <w:r w:rsidR="00C05E7F">
              <w:rPr>
                <w:webHidden/>
              </w:rPr>
              <w:tab/>
            </w:r>
            <w:r w:rsidR="00C05E7F">
              <w:rPr>
                <w:webHidden/>
              </w:rPr>
              <w:fldChar w:fldCharType="begin"/>
            </w:r>
            <w:r w:rsidR="00C05E7F">
              <w:rPr>
                <w:webHidden/>
              </w:rPr>
              <w:instrText xml:space="preserve"> PAGEREF _Toc175556772 \h </w:instrText>
            </w:r>
            <w:r w:rsidR="00C05E7F">
              <w:rPr>
                <w:webHidden/>
              </w:rPr>
            </w:r>
            <w:r w:rsidR="00C05E7F">
              <w:rPr>
                <w:webHidden/>
              </w:rPr>
              <w:fldChar w:fldCharType="separate"/>
            </w:r>
            <w:r w:rsidR="00C05E7F">
              <w:rPr>
                <w:webHidden/>
              </w:rPr>
              <w:t>26</w:t>
            </w:r>
            <w:r w:rsidR="00C05E7F">
              <w:rPr>
                <w:webHidden/>
              </w:rPr>
              <w:fldChar w:fldCharType="end"/>
            </w:r>
          </w:hyperlink>
        </w:p>
        <w:p w14:paraId="53FBBDC3" w14:textId="7796F861" w:rsidR="00C05E7F" w:rsidRDefault="000826E7">
          <w:pPr>
            <w:pStyle w:val="TOC2"/>
            <w:rPr>
              <w:rFonts w:eastAsiaTheme="minorEastAsia"/>
              <w:kern w:val="0"/>
              <w:sz w:val="22"/>
              <w:szCs w:val="22"/>
              <w:lang w:eastAsia="en-AU"/>
            </w:rPr>
          </w:pPr>
          <w:hyperlink w:anchor="_Toc175556773" w:history="1">
            <w:r w:rsidR="00C05E7F" w:rsidRPr="00756B76">
              <w:rPr>
                <w:rStyle w:val="Hyperlink"/>
              </w:rPr>
              <w:t>Overcoming discriminatory stereotypes</w:t>
            </w:r>
            <w:r w:rsidR="00C05E7F">
              <w:rPr>
                <w:webHidden/>
              </w:rPr>
              <w:tab/>
            </w:r>
            <w:r w:rsidR="00C05E7F">
              <w:rPr>
                <w:webHidden/>
              </w:rPr>
              <w:fldChar w:fldCharType="begin"/>
            </w:r>
            <w:r w:rsidR="00C05E7F">
              <w:rPr>
                <w:webHidden/>
              </w:rPr>
              <w:instrText xml:space="preserve"> PAGEREF _Toc175556773 \h </w:instrText>
            </w:r>
            <w:r w:rsidR="00C05E7F">
              <w:rPr>
                <w:webHidden/>
              </w:rPr>
            </w:r>
            <w:r w:rsidR="00C05E7F">
              <w:rPr>
                <w:webHidden/>
              </w:rPr>
              <w:fldChar w:fldCharType="separate"/>
            </w:r>
            <w:r w:rsidR="00C05E7F">
              <w:rPr>
                <w:webHidden/>
              </w:rPr>
              <w:t>26</w:t>
            </w:r>
            <w:r w:rsidR="00C05E7F">
              <w:rPr>
                <w:webHidden/>
              </w:rPr>
              <w:fldChar w:fldCharType="end"/>
            </w:r>
          </w:hyperlink>
        </w:p>
        <w:p w14:paraId="7BABD3BA" w14:textId="3C4DBF08" w:rsidR="00C05E7F" w:rsidRDefault="000826E7">
          <w:pPr>
            <w:pStyle w:val="TOC2"/>
            <w:rPr>
              <w:rFonts w:eastAsiaTheme="minorEastAsia"/>
              <w:kern w:val="0"/>
              <w:sz w:val="22"/>
              <w:szCs w:val="22"/>
              <w:lang w:eastAsia="en-AU"/>
            </w:rPr>
          </w:pPr>
          <w:hyperlink w:anchor="_Toc175556774" w:history="1">
            <w:r w:rsidR="00C05E7F" w:rsidRPr="00756B76">
              <w:rPr>
                <w:rStyle w:val="Hyperlink"/>
              </w:rPr>
              <w:t>Sexist portrayals of women in the media and online abuse</w:t>
            </w:r>
            <w:r w:rsidR="00C05E7F">
              <w:rPr>
                <w:webHidden/>
              </w:rPr>
              <w:tab/>
            </w:r>
            <w:r w:rsidR="00C05E7F">
              <w:rPr>
                <w:webHidden/>
              </w:rPr>
              <w:fldChar w:fldCharType="begin"/>
            </w:r>
            <w:r w:rsidR="00C05E7F">
              <w:rPr>
                <w:webHidden/>
              </w:rPr>
              <w:instrText xml:space="preserve"> PAGEREF _Toc175556774 \h </w:instrText>
            </w:r>
            <w:r w:rsidR="00C05E7F">
              <w:rPr>
                <w:webHidden/>
              </w:rPr>
            </w:r>
            <w:r w:rsidR="00C05E7F">
              <w:rPr>
                <w:webHidden/>
              </w:rPr>
              <w:fldChar w:fldCharType="separate"/>
            </w:r>
            <w:r w:rsidR="00C05E7F">
              <w:rPr>
                <w:webHidden/>
              </w:rPr>
              <w:t>26</w:t>
            </w:r>
            <w:r w:rsidR="00C05E7F">
              <w:rPr>
                <w:webHidden/>
              </w:rPr>
              <w:fldChar w:fldCharType="end"/>
            </w:r>
          </w:hyperlink>
        </w:p>
        <w:p w14:paraId="09E68A5F" w14:textId="16A62FE9" w:rsidR="00C05E7F" w:rsidRDefault="000826E7">
          <w:pPr>
            <w:pStyle w:val="TOC2"/>
            <w:rPr>
              <w:rFonts w:eastAsiaTheme="minorEastAsia"/>
              <w:kern w:val="0"/>
              <w:sz w:val="22"/>
              <w:szCs w:val="22"/>
              <w:lang w:eastAsia="en-AU"/>
            </w:rPr>
          </w:pPr>
          <w:hyperlink w:anchor="_Toc175556775" w:history="1">
            <w:r w:rsidR="00C05E7F" w:rsidRPr="00756B76">
              <w:rPr>
                <w:rStyle w:val="Hyperlink"/>
              </w:rPr>
              <w:t>Preventing and protecting women and girls from forced marriage</w:t>
            </w:r>
            <w:r w:rsidR="00C05E7F">
              <w:rPr>
                <w:webHidden/>
              </w:rPr>
              <w:tab/>
            </w:r>
            <w:r w:rsidR="00C05E7F">
              <w:rPr>
                <w:webHidden/>
              </w:rPr>
              <w:fldChar w:fldCharType="begin"/>
            </w:r>
            <w:r w:rsidR="00C05E7F">
              <w:rPr>
                <w:webHidden/>
              </w:rPr>
              <w:instrText xml:space="preserve"> PAGEREF _Toc175556775 \h </w:instrText>
            </w:r>
            <w:r w:rsidR="00C05E7F">
              <w:rPr>
                <w:webHidden/>
              </w:rPr>
            </w:r>
            <w:r w:rsidR="00C05E7F">
              <w:rPr>
                <w:webHidden/>
              </w:rPr>
              <w:fldChar w:fldCharType="separate"/>
            </w:r>
            <w:r w:rsidR="00C05E7F">
              <w:rPr>
                <w:webHidden/>
              </w:rPr>
              <w:t>27</w:t>
            </w:r>
            <w:r w:rsidR="00C05E7F">
              <w:rPr>
                <w:webHidden/>
              </w:rPr>
              <w:fldChar w:fldCharType="end"/>
            </w:r>
          </w:hyperlink>
        </w:p>
        <w:p w14:paraId="6C572577" w14:textId="4761BC17" w:rsidR="00C05E7F" w:rsidRDefault="000826E7">
          <w:pPr>
            <w:pStyle w:val="TOC1"/>
            <w:rPr>
              <w:rFonts w:eastAsiaTheme="minorEastAsia"/>
              <w:b w:val="0"/>
              <w:kern w:val="0"/>
              <w:sz w:val="22"/>
              <w:szCs w:val="22"/>
              <w:lang w:eastAsia="en-AU"/>
            </w:rPr>
          </w:pPr>
          <w:hyperlink w:anchor="_Toc175556776" w:history="1">
            <w:r w:rsidR="00C05E7F" w:rsidRPr="00756B76">
              <w:rPr>
                <w:rStyle w:val="Hyperlink"/>
              </w:rPr>
              <w:t>Question 9: Gender-based violence against women</w:t>
            </w:r>
            <w:r w:rsidR="00C05E7F">
              <w:rPr>
                <w:webHidden/>
              </w:rPr>
              <w:tab/>
            </w:r>
            <w:r w:rsidR="00C05E7F">
              <w:rPr>
                <w:webHidden/>
              </w:rPr>
              <w:fldChar w:fldCharType="begin"/>
            </w:r>
            <w:r w:rsidR="00C05E7F">
              <w:rPr>
                <w:webHidden/>
              </w:rPr>
              <w:instrText xml:space="preserve"> PAGEREF _Toc175556776 \h </w:instrText>
            </w:r>
            <w:r w:rsidR="00C05E7F">
              <w:rPr>
                <w:webHidden/>
              </w:rPr>
            </w:r>
            <w:r w:rsidR="00C05E7F">
              <w:rPr>
                <w:webHidden/>
              </w:rPr>
              <w:fldChar w:fldCharType="separate"/>
            </w:r>
            <w:r w:rsidR="00C05E7F">
              <w:rPr>
                <w:webHidden/>
              </w:rPr>
              <w:t>29</w:t>
            </w:r>
            <w:r w:rsidR="00C05E7F">
              <w:rPr>
                <w:webHidden/>
              </w:rPr>
              <w:fldChar w:fldCharType="end"/>
            </w:r>
          </w:hyperlink>
        </w:p>
        <w:p w14:paraId="664546F5" w14:textId="5D49E65A" w:rsidR="00C05E7F" w:rsidRDefault="000826E7">
          <w:pPr>
            <w:pStyle w:val="TOC2"/>
            <w:rPr>
              <w:rFonts w:eastAsiaTheme="minorEastAsia"/>
              <w:kern w:val="0"/>
              <w:sz w:val="22"/>
              <w:szCs w:val="22"/>
              <w:lang w:eastAsia="en-AU"/>
            </w:rPr>
          </w:pPr>
          <w:hyperlink w:anchor="_Toc175556777" w:history="1">
            <w:r w:rsidR="00C05E7F" w:rsidRPr="00756B76">
              <w:rPr>
                <w:rStyle w:val="Hyperlink"/>
              </w:rPr>
              <w:t>Changing behaviours and attitudes that lead to gender-based violence</w:t>
            </w:r>
            <w:r w:rsidR="00C05E7F">
              <w:rPr>
                <w:webHidden/>
              </w:rPr>
              <w:tab/>
            </w:r>
            <w:r w:rsidR="00C05E7F">
              <w:rPr>
                <w:webHidden/>
              </w:rPr>
              <w:fldChar w:fldCharType="begin"/>
            </w:r>
            <w:r w:rsidR="00C05E7F">
              <w:rPr>
                <w:webHidden/>
              </w:rPr>
              <w:instrText xml:space="preserve"> PAGEREF _Toc175556777 \h </w:instrText>
            </w:r>
            <w:r w:rsidR="00C05E7F">
              <w:rPr>
                <w:webHidden/>
              </w:rPr>
            </w:r>
            <w:r w:rsidR="00C05E7F">
              <w:rPr>
                <w:webHidden/>
              </w:rPr>
              <w:fldChar w:fldCharType="separate"/>
            </w:r>
            <w:r w:rsidR="00C05E7F">
              <w:rPr>
                <w:webHidden/>
              </w:rPr>
              <w:t>29</w:t>
            </w:r>
            <w:r w:rsidR="00C05E7F">
              <w:rPr>
                <w:webHidden/>
              </w:rPr>
              <w:fldChar w:fldCharType="end"/>
            </w:r>
          </w:hyperlink>
        </w:p>
        <w:p w14:paraId="0AC0013F" w14:textId="44C29053" w:rsidR="00C05E7F" w:rsidRDefault="000826E7">
          <w:pPr>
            <w:pStyle w:val="TOC2"/>
            <w:rPr>
              <w:rFonts w:eastAsiaTheme="minorEastAsia"/>
              <w:kern w:val="0"/>
              <w:sz w:val="22"/>
              <w:szCs w:val="22"/>
              <w:lang w:eastAsia="en-AU"/>
            </w:rPr>
          </w:pPr>
          <w:hyperlink w:anchor="_Toc175556778" w:history="1">
            <w:r w:rsidR="00C05E7F" w:rsidRPr="00756B76">
              <w:rPr>
                <w:rStyle w:val="Hyperlink"/>
              </w:rPr>
              <w:t>Question 9a: Federal legislation on gender-based violence</w:t>
            </w:r>
            <w:r w:rsidR="00C05E7F">
              <w:rPr>
                <w:webHidden/>
              </w:rPr>
              <w:tab/>
            </w:r>
            <w:r w:rsidR="00C05E7F">
              <w:rPr>
                <w:webHidden/>
              </w:rPr>
              <w:fldChar w:fldCharType="begin"/>
            </w:r>
            <w:r w:rsidR="00C05E7F">
              <w:rPr>
                <w:webHidden/>
              </w:rPr>
              <w:instrText xml:space="preserve"> PAGEREF _Toc175556778 \h </w:instrText>
            </w:r>
            <w:r w:rsidR="00C05E7F">
              <w:rPr>
                <w:webHidden/>
              </w:rPr>
            </w:r>
            <w:r w:rsidR="00C05E7F">
              <w:rPr>
                <w:webHidden/>
              </w:rPr>
              <w:fldChar w:fldCharType="separate"/>
            </w:r>
            <w:r w:rsidR="00C05E7F">
              <w:rPr>
                <w:webHidden/>
              </w:rPr>
              <w:t>30</w:t>
            </w:r>
            <w:r w:rsidR="00C05E7F">
              <w:rPr>
                <w:webHidden/>
              </w:rPr>
              <w:fldChar w:fldCharType="end"/>
            </w:r>
          </w:hyperlink>
        </w:p>
        <w:p w14:paraId="02FC7202" w14:textId="37820D0B" w:rsidR="00C05E7F" w:rsidRDefault="000826E7">
          <w:pPr>
            <w:pStyle w:val="TOC2"/>
            <w:rPr>
              <w:rFonts w:eastAsiaTheme="minorEastAsia"/>
              <w:kern w:val="0"/>
              <w:sz w:val="22"/>
              <w:szCs w:val="22"/>
              <w:lang w:eastAsia="en-AU"/>
            </w:rPr>
          </w:pPr>
          <w:hyperlink w:anchor="_Toc175556779" w:history="1">
            <w:r w:rsidR="00C05E7F" w:rsidRPr="00756B76">
              <w:rPr>
                <w:rStyle w:val="Hyperlink"/>
              </w:rPr>
              <w:t>Question 9b and 9c: Implementation status of the National Plan to End Violence against Women</w:t>
            </w:r>
            <w:r w:rsidR="00C05E7F">
              <w:rPr>
                <w:webHidden/>
              </w:rPr>
              <w:tab/>
            </w:r>
            <w:r w:rsidR="00C05E7F">
              <w:rPr>
                <w:webHidden/>
              </w:rPr>
              <w:fldChar w:fldCharType="begin"/>
            </w:r>
            <w:r w:rsidR="00C05E7F">
              <w:rPr>
                <w:webHidden/>
              </w:rPr>
              <w:instrText xml:space="preserve"> PAGEREF _Toc175556779 \h </w:instrText>
            </w:r>
            <w:r w:rsidR="00C05E7F">
              <w:rPr>
                <w:webHidden/>
              </w:rPr>
            </w:r>
            <w:r w:rsidR="00C05E7F">
              <w:rPr>
                <w:webHidden/>
              </w:rPr>
              <w:fldChar w:fldCharType="separate"/>
            </w:r>
            <w:r w:rsidR="00C05E7F">
              <w:rPr>
                <w:webHidden/>
              </w:rPr>
              <w:t>31</w:t>
            </w:r>
            <w:r w:rsidR="00C05E7F">
              <w:rPr>
                <w:webHidden/>
              </w:rPr>
              <w:fldChar w:fldCharType="end"/>
            </w:r>
          </w:hyperlink>
        </w:p>
        <w:p w14:paraId="29AE58F8" w14:textId="1FD6D724" w:rsidR="00C05E7F" w:rsidRDefault="000826E7">
          <w:pPr>
            <w:pStyle w:val="TOC2"/>
            <w:rPr>
              <w:rFonts w:eastAsiaTheme="minorEastAsia"/>
              <w:kern w:val="0"/>
              <w:sz w:val="22"/>
              <w:szCs w:val="22"/>
              <w:lang w:eastAsia="en-AU"/>
            </w:rPr>
          </w:pPr>
          <w:hyperlink w:anchor="_Toc175556780" w:history="1">
            <w:r w:rsidR="00C05E7F" w:rsidRPr="00756B76">
              <w:rPr>
                <w:rStyle w:val="Hyperlink"/>
              </w:rPr>
              <w:t>Question 9d: Prevention and early intervention</w:t>
            </w:r>
            <w:r w:rsidR="00C05E7F">
              <w:rPr>
                <w:webHidden/>
              </w:rPr>
              <w:tab/>
            </w:r>
            <w:r w:rsidR="00C05E7F">
              <w:rPr>
                <w:webHidden/>
              </w:rPr>
              <w:fldChar w:fldCharType="begin"/>
            </w:r>
            <w:r w:rsidR="00C05E7F">
              <w:rPr>
                <w:webHidden/>
              </w:rPr>
              <w:instrText xml:space="preserve"> PAGEREF _Toc175556780 \h </w:instrText>
            </w:r>
            <w:r w:rsidR="00C05E7F">
              <w:rPr>
                <w:webHidden/>
              </w:rPr>
            </w:r>
            <w:r w:rsidR="00C05E7F">
              <w:rPr>
                <w:webHidden/>
              </w:rPr>
              <w:fldChar w:fldCharType="separate"/>
            </w:r>
            <w:r w:rsidR="00C05E7F">
              <w:rPr>
                <w:webHidden/>
              </w:rPr>
              <w:t>32</w:t>
            </w:r>
            <w:r w:rsidR="00C05E7F">
              <w:rPr>
                <w:webHidden/>
              </w:rPr>
              <w:fldChar w:fldCharType="end"/>
            </w:r>
          </w:hyperlink>
        </w:p>
        <w:p w14:paraId="2097FC50" w14:textId="4DC27927" w:rsidR="00C05E7F" w:rsidRDefault="000826E7">
          <w:pPr>
            <w:pStyle w:val="TOC2"/>
            <w:rPr>
              <w:rFonts w:eastAsiaTheme="minorEastAsia"/>
              <w:kern w:val="0"/>
              <w:sz w:val="22"/>
              <w:szCs w:val="22"/>
              <w:lang w:eastAsia="en-AU"/>
            </w:rPr>
          </w:pPr>
          <w:hyperlink w:anchor="_Toc175556781" w:history="1">
            <w:r w:rsidR="00C05E7F" w:rsidRPr="00756B76">
              <w:rPr>
                <w:rStyle w:val="Hyperlink"/>
              </w:rPr>
              <w:t>Implementing findings of the National System for Domestic and Family Violence Death Review report</w:t>
            </w:r>
            <w:r w:rsidR="00C05E7F">
              <w:rPr>
                <w:webHidden/>
              </w:rPr>
              <w:tab/>
            </w:r>
            <w:r w:rsidR="00C05E7F">
              <w:rPr>
                <w:webHidden/>
              </w:rPr>
              <w:fldChar w:fldCharType="begin"/>
            </w:r>
            <w:r w:rsidR="00C05E7F">
              <w:rPr>
                <w:webHidden/>
              </w:rPr>
              <w:instrText xml:space="preserve"> PAGEREF _Toc175556781 \h </w:instrText>
            </w:r>
            <w:r w:rsidR="00C05E7F">
              <w:rPr>
                <w:webHidden/>
              </w:rPr>
            </w:r>
            <w:r w:rsidR="00C05E7F">
              <w:rPr>
                <w:webHidden/>
              </w:rPr>
              <w:fldChar w:fldCharType="separate"/>
            </w:r>
            <w:r w:rsidR="00C05E7F">
              <w:rPr>
                <w:webHidden/>
              </w:rPr>
              <w:t>33</w:t>
            </w:r>
            <w:r w:rsidR="00C05E7F">
              <w:rPr>
                <w:webHidden/>
              </w:rPr>
              <w:fldChar w:fldCharType="end"/>
            </w:r>
          </w:hyperlink>
        </w:p>
        <w:p w14:paraId="01B747DB" w14:textId="782270D8" w:rsidR="00C05E7F" w:rsidRDefault="000826E7">
          <w:pPr>
            <w:pStyle w:val="TOC1"/>
            <w:rPr>
              <w:rFonts w:eastAsiaTheme="minorEastAsia"/>
              <w:b w:val="0"/>
              <w:kern w:val="0"/>
              <w:sz w:val="22"/>
              <w:szCs w:val="22"/>
              <w:lang w:eastAsia="en-AU"/>
            </w:rPr>
          </w:pPr>
          <w:hyperlink w:anchor="_Toc175556782" w:history="1">
            <w:r w:rsidR="00C05E7F" w:rsidRPr="00756B76">
              <w:rPr>
                <w:rStyle w:val="Hyperlink"/>
              </w:rPr>
              <w:t>Question 10: Extraterritorial obligations</w:t>
            </w:r>
            <w:r w:rsidR="00C05E7F">
              <w:rPr>
                <w:webHidden/>
              </w:rPr>
              <w:tab/>
            </w:r>
            <w:r w:rsidR="00C05E7F">
              <w:rPr>
                <w:webHidden/>
              </w:rPr>
              <w:fldChar w:fldCharType="begin"/>
            </w:r>
            <w:r w:rsidR="00C05E7F">
              <w:rPr>
                <w:webHidden/>
              </w:rPr>
              <w:instrText xml:space="preserve"> PAGEREF _Toc175556782 \h </w:instrText>
            </w:r>
            <w:r w:rsidR="00C05E7F">
              <w:rPr>
                <w:webHidden/>
              </w:rPr>
            </w:r>
            <w:r w:rsidR="00C05E7F">
              <w:rPr>
                <w:webHidden/>
              </w:rPr>
              <w:fldChar w:fldCharType="separate"/>
            </w:r>
            <w:r w:rsidR="00C05E7F">
              <w:rPr>
                <w:webHidden/>
              </w:rPr>
              <w:t>33</w:t>
            </w:r>
            <w:r w:rsidR="00C05E7F">
              <w:rPr>
                <w:webHidden/>
              </w:rPr>
              <w:fldChar w:fldCharType="end"/>
            </w:r>
          </w:hyperlink>
        </w:p>
        <w:p w14:paraId="6F4C5846" w14:textId="7592E9FC" w:rsidR="00C05E7F" w:rsidRDefault="000826E7">
          <w:pPr>
            <w:pStyle w:val="TOC2"/>
            <w:rPr>
              <w:rFonts w:eastAsiaTheme="minorEastAsia"/>
              <w:kern w:val="0"/>
              <w:sz w:val="22"/>
              <w:szCs w:val="22"/>
              <w:lang w:eastAsia="en-AU"/>
            </w:rPr>
          </w:pPr>
          <w:hyperlink w:anchor="_Toc175556783" w:history="1">
            <w:r w:rsidR="00C05E7F" w:rsidRPr="00756B76">
              <w:rPr>
                <w:rStyle w:val="Hyperlink"/>
              </w:rPr>
              <w:t>National action plan on business and human rights</w:t>
            </w:r>
            <w:r w:rsidR="00C05E7F">
              <w:rPr>
                <w:webHidden/>
              </w:rPr>
              <w:tab/>
            </w:r>
            <w:r w:rsidR="00C05E7F">
              <w:rPr>
                <w:webHidden/>
              </w:rPr>
              <w:fldChar w:fldCharType="begin"/>
            </w:r>
            <w:r w:rsidR="00C05E7F">
              <w:rPr>
                <w:webHidden/>
              </w:rPr>
              <w:instrText xml:space="preserve"> PAGEREF _Toc175556783 \h </w:instrText>
            </w:r>
            <w:r w:rsidR="00C05E7F">
              <w:rPr>
                <w:webHidden/>
              </w:rPr>
            </w:r>
            <w:r w:rsidR="00C05E7F">
              <w:rPr>
                <w:webHidden/>
              </w:rPr>
              <w:fldChar w:fldCharType="separate"/>
            </w:r>
            <w:r w:rsidR="00C05E7F">
              <w:rPr>
                <w:webHidden/>
              </w:rPr>
              <w:t>33</w:t>
            </w:r>
            <w:r w:rsidR="00C05E7F">
              <w:rPr>
                <w:webHidden/>
              </w:rPr>
              <w:fldChar w:fldCharType="end"/>
            </w:r>
          </w:hyperlink>
        </w:p>
        <w:p w14:paraId="5EE36CB7" w14:textId="2C0D8F49" w:rsidR="00C05E7F" w:rsidRDefault="000826E7">
          <w:pPr>
            <w:pStyle w:val="TOC2"/>
            <w:rPr>
              <w:rFonts w:eastAsiaTheme="minorEastAsia"/>
              <w:kern w:val="0"/>
              <w:sz w:val="22"/>
              <w:szCs w:val="22"/>
              <w:lang w:eastAsia="en-AU"/>
            </w:rPr>
          </w:pPr>
          <w:hyperlink w:anchor="_Toc175556784" w:history="1">
            <w:r w:rsidR="00C05E7F" w:rsidRPr="00756B76">
              <w:rPr>
                <w:rStyle w:val="Hyperlink"/>
              </w:rPr>
              <w:t>Free, prior informed consent of Indigenous women affected before any large-scale development and extractive industry project is approved</w:t>
            </w:r>
            <w:r w:rsidR="00C05E7F">
              <w:rPr>
                <w:webHidden/>
              </w:rPr>
              <w:tab/>
            </w:r>
            <w:r w:rsidR="00C05E7F">
              <w:rPr>
                <w:webHidden/>
              </w:rPr>
              <w:fldChar w:fldCharType="begin"/>
            </w:r>
            <w:r w:rsidR="00C05E7F">
              <w:rPr>
                <w:webHidden/>
              </w:rPr>
              <w:instrText xml:space="preserve"> PAGEREF _Toc175556784 \h </w:instrText>
            </w:r>
            <w:r w:rsidR="00C05E7F">
              <w:rPr>
                <w:webHidden/>
              </w:rPr>
            </w:r>
            <w:r w:rsidR="00C05E7F">
              <w:rPr>
                <w:webHidden/>
              </w:rPr>
              <w:fldChar w:fldCharType="separate"/>
            </w:r>
            <w:r w:rsidR="00C05E7F">
              <w:rPr>
                <w:webHidden/>
              </w:rPr>
              <w:t>34</w:t>
            </w:r>
            <w:r w:rsidR="00C05E7F">
              <w:rPr>
                <w:webHidden/>
              </w:rPr>
              <w:fldChar w:fldCharType="end"/>
            </w:r>
          </w:hyperlink>
        </w:p>
        <w:p w14:paraId="55CE9FFD" w14:textId="16A21EEB" w:rsidR="00C05E7F" w:rsidRDefault="000826E7">
          <w:pPr>
            <w:pStyle w:val="TOC2"/>
            <w:rPr>
              <w:rFonts w:eastAsiaTheme="minorEastAsia"/>
              <w:kern w:val="0"/>
              <w:sz w:val="22"/>
              <w:szCs w:val="22"/>
              <w:lang w:eastAsia="en-AU"/>
            </w:rPr>
          </w:pPr>
          <w:hyperlink w:anchor="_Toc175556785" w:history="1">
            <w:r w:rsidR="00C05E7F" w:rsidRPr="00756B76">
              <w:rPr>
                <w:rStyle w:val="Hyperlink"/>
              </w:rPr>
              <w:t>Measures taken to investigate violations of women’s human rights by business corporations</w:t>
            </w:r>
            <w:r w:rsidR="00C05E7F">
              <w:rPr>
                <w:webHidden/>
              </w:rPr>
              <w:tab/>
            </w:r>
            <w:r w:rsidR="00C05E7F">
              <w:rPr>
                <w:webHidden/>
              </w:rPr>
              <w:fldChar w:fldCharType="begin"/>
            </w:r>
            <w:r w:rsidR="00C05E7F">
              <w:rPr>
                <w:webHidden/>
              </w:rPr>
              <w:instrText xml:space="preserve"> PAGEREF _Toc175556785 \h </w:instrText>
            </w:r>
            <w:r w:rsidR="00C05E7F">
              <w:rPr>
                <w:webHidden/>
              </w:rPr>
            </w:r>
            <w:r w:rsidR="00C05E7F">
              <w:rPr>
                <w:webHidden/>
              </w:rPr>
              <w:fldChar w:fldCharType="separate"/>
            </w:r>
            <w:r w:rsidR="00C05E7F">
              <w:rPr>
                <w:webHidden/>
              </w:rPr>
              <w:t>35</w:t>
            </w:r>
            <w:r w:rsidR="00C05E7F">
              <w:rPr>
                <w:webHidden/>
              </w:rPr>
              <w:fldChar w:fldCharType="end"/>
            </w:r>
          </w:hyperlink>
        </w:p>
        <w:p w14:paraId="72DCA23F" w14:textId="118DB931" w:rsidR="00C05E7F" w:rsidRDefault="000826E7">
          <w:pPr>
            <w:pStyle w:val="TOC2"/>
            <w:rPr>
              <w:rFonts w:eastAsiaTheme="minorEastAsia"/>
              <w:kern w:val="0"/>
              <w:sz w:val="22"/>
              <w:szCs w:val="22"/>
              <w:lang w:eastAsia="en-AU"/>
            </w:rPr>
          </w:pPr>
          <w:hyperlink w:anchor="_Toc175556786" w:history="1">
            <w:r w:rsidR="00C05E7F" w:rsidRPr="00756B76">
              <w:rPr>
                <w:rStyle w:val="Hyperlink"/>
              </w:rPr>
              <w:t>Compensation and rehabilitation of women victims of the Bougainville conflict</w:t>
            </w:r>
            <w:r w:rsidR="00C05E7F">
              <w:rPr>
                <w:webHidden/>
              </w:rPr>
              <w:tab/>
            </w:r>
            <w:r w:rsidR="00C05E7F">
              <w:rPr>
                <w:webHidden/>
              </w:rPr>
              <w:fldChar w:fldCharType="begin"/>
            </w:r>
            <w:r w:rsidR="00C05E7F">
              <w:rPr>
                <w:webHidden/>
              </w:rPr>
              <w:instrText xml:space="preserve"> PAGEREF _Toc175556786 \h </w:instrText>
            </w:r>
            <w:r w:rsidR="00C05E7F">
              <w:rPr>
                <w:webHidden/>
              </w:rPr>
            </w:r>
            <w:r w:rsidR="00C05E7F">
              <w:rPr>
                <w:webHidden/>
              </w:rPr>
              <w:fldChar w:fldCharType="separate"/>
            </w:r>
            <w:r w:rsidR="00C05E7F">
              <w:rPr>
                <w:webHidden/>
              </w:rPr>
              <w:t>35</w:t>
            </w:r>
            <w:r w:rsidR="00C05E7F">
              <w:rPr>
                <w:webHidden/>
              </w:rPr>
              <w:fldChar w:fldCharType="end"/>
            </w:r>
          </w:hyperlink>
        </w:p>
        <w:p w14:paraId="154935F6" w14:textId="5B47C457" w:rsidR="00C05E7F" w:rsidRDefault="000826E7">
          <w:pPr>
            <w:pStyle w:val="TOC1"/>
            <w:rPr>
              <w:rFonts w:eastAsiaTheme="minorEastAsia"/>
              <w:b w:val="0"/>
              <w:kern w:val="0"/>
              <w:sz w:val="22"/>
              <w:szCs w:val="22"/>
              <w:lang w:eastAsia="en-AU"/>
            </w:rPr>
          </w:pPr>
          <w:hyperlink w:anchor="_Toc175556787" w:history="1">
            <w:r w:rsidR="00C05E7F" w:rsidRPr="00756B76">
              <w:rPr>
                <w:rStyle w:val="Hyperlink"/>
              </w:rPr>
              <w:t>Question 11: Climate change and disaster risk-reduction</w:t>
            </w:r>
            <w:r w:rsidR="00C05E7F">
              <w:rPr>
                <w:webHidden/>
              </w:rPr>
              <w:tab/>
            </w:r>
            <w:r w:rsidR="00C05E7F">
              <w:rPr>
                <w:webHidden/>
              </w:rPr>
              <w:fldChar w:fldCharType="begin"/>
            </w:r>
            <w:r w:rsidR="00C05E7F">
              <w:rPr>
                <w:webHidden/>
              </w:rPr>
              <w:instrText xml:space="preserve"> PAGEREF _Toc175556787 \h </w:instrText>
            </w:r>
            <w:r w:rsidR="00C05E7F">
              <w:rPr>
                <w:webHidden/>
              </w:rPr>
            </w:r>
            <w:r w:rsidR="00C05E7F">
              <w:rPr>
                <w:webHidden/>
              </w:rPr>
              <w:fldChar w:fldCharType="separate"/>
            </w:r>
            <w:r w:rsidR="00C05E7F">
              <w:rPr>
                <w:webHidden/>
              </w:rPr>
              <w:t>35</w:t>
            </w:r>
            <w:r w:rsidR="00C05E7F">
              <w:rPr>
                <w:webHidden/>
              </w:rPr>
              <w:fldChar w:fldCharType="end"/>
            </w:r>
          </w:hyperlink>
        </w:p>
        <w:p w14:paraId="34A7E793" w14:textId="3A18B4B9" w:rsidR="00C05E7F" w:rsidRDefault="000826E7">
          <w:pPr>
            <w:pStyle w:val="TOC1"/>
            <w:rPr>
              <w:rFonts w:eastAsiaTheme="minorEastAsia"/>
              <w:b w:val="0"/>
              <w:kern w:val="0"/>
              <w:sz w:val="22"/>
              <w:szCs w:val="22"/>
              <w:lang w:eastAsia="en-AU"/>
            </w:rPr>
          </w:pPr>
          <w:hyperlink w:anchor="_Toc175556788" w:history="1">
            <w:r w:rsidR="00C05E7F" w:rsidRPr="00756B76">
              <w:rPr>
                <w:rStyle w:val="Hyperlink"/>
              </w:rPr>
              <w:t>Question 12: Trafficking, exploitation of prostitution</w:t>
            </w:r>
            <w:r w:rsidR="00C05E7F">
              <w:rPr>
                <w:webHidden/>
              </w:rPr>
              <w:tab/>
            </w:r>
            <w:r w:rsidR="00C05E7F">
              <w:rPr>
                <w:webHidden/>
              </w:rPr>
              <w:fldChar w:fldCharType="begin"/>
            </w:r>
            <w:r w:rsidR="00C05E7F">
              <w:rPr>
                <w:webHidden/>
              </w:rPr>
              <w:instrText xml:space="preserve"> PAGEREF _Toc175556788 \h </w:instrText>
            </w:r>
            <w:r w:rsidR="00C05E7F">
              <w:rPr>
                <w:webHidden/>
              </w:rPr>
            </w:r>
            <w:r w:rsidR="00C05E7F">
              <w:rPr>
                <w:webHidden/>
              </w:rPr>
              <w:fldChar w:fldCharType="separate"/>
            </w:r>
            <w:r w:rsidR="00C05E7F">
              <w:rPr>
                <w:webHidden/>
              </w:rPr>
              <w:t>37</w:t>
            </w:r>
            <w:r w:rsidR="00C05E7F">
              <w:rPr>
                <w:webHidden/>
              </w:rPr>
              <w:fldChar w:fldCharType="end"/>
            </w:r>
          </w:hyperlink>
        </w:p>
        <w:p w14:paraId="286BB7A3" w14:textId="0720FC60" w:rsidR="00C05E7F" w:rsidRDefault="000826E7">
          <w:pPr>
            <w:pStyle w:val="TOC2"/>
            <w:rPr>
              <w:rFonts w:eastAsiaTheme="minorEastAsia"/>
              <w:kern w:val="0"/>
              <w:sz w:val="22"/>
              <w:szCs w:val="22"/>
              <w:lang w:eastAsia="en-AU"/>
            </w:rPr>
          </w:pPr>
          <w:hyperlink w:anchor="_Toc175556789" w:history="1">
            <w:r w:rsidR="00C05E7F" w:rsidRPr="00756B76">
              <w:rPr>
                <w:rStyle w:val="Hyperlink"/>
              </w:rPr>
              <w:t>Question 12a: Number of investigations, prosecutions, convictions and sentences imposed on traffickers</w:t>
            </w:r>
            <w:r w:rsidR="00C05E7F">
              <w:rPr>
                <w:webHidden/>
              </w:rPr>
              <w:tab/>
            </w:r>
            <w:r w:rsidR="00C05E7F">
              <w:rPr>
                <w:webHidden/>
              </w:rPr>
              <w:fldChar w:fldCharType="begin"/>
            </w:r>
            <w:r w:rsidR="00C05E7F">
              <w:rPr>
                <w:webHidden/>
              </w:rPr>
              <w:instrText xml:space="preserve"> PAGEREF _Toc175556789 \h </w:instrText>
            </w:r>
            <w:r w:rsidR="00C05E7F">
              <w:rPr>
                <w:webHidden/>
              </w:rPr>
            </w:r>
            <w:r w:rsidR="00C05E7F">
              <w:rPr>
                <w:webHidden/>
              </w:rPr>
              <w:fldChar w:fldCharType="separate"/>
            </w:r>
            <w:r w:rsidR="00C05E7F">
              <w:rPr>
                <w:webHidden/>
              </w:rPr>
              <w:t>37</w:t>
            </w:r>
            <w:r w:rsidR="00C05E7F">
              <w:rPr>
                <w:webHidden/>
              </w:rPr>
              <w:fldChar w:fldCharType="end"/>
            </w:r>
          </w:hyperlink>
        </w:p>
        <w:p w14:paraId="4770BBC2" w14:textId="2B9E5240" w:rsidR="00C05E7F" w:rsidRDefault="000826E7">
          <w:pPr>
            <w:pStyle w:val="TOC2"/>
            <w:rPr>
              <w:rFonts w:eastAsiaTheme="minorEastAsia"/>
              <w:kern w:val="0"/>
              <w:sz w:val="22"/>
              <w:szCs w:val="22"/>
              <w:lang w:eastAsia="en-AU"/>
            </w:rPr>
          </w:pPr>
          <w:hyperlink w:anchor="_Toc175556790" w:history="1">
            <w:r w:rsidR="00C05E7F" w:rsidRPr="00756B76">
              <w:rPr>
                <w:rStyle w:val="Hyperlink"/>
              </w:rPr>
              <w:t>Question 12b: Pacific Australia Labour Mobility (PALM) scheme</w:t>
            </w:r>
            <w:r w:rsidR="00C05E7F">
              <w:rPr>
                <w:webHidden/>
              </w:rPr>
              <w:tab/>
            </w:r>
            <w:r w:rsidR="00C05E7F">
              <w:rPr>
                <w:webHidden/>
              </w:rPr>
              <w:fldChar w:fldCharType="begin"/>
            </w:r>
            <w:r w:rsidR="00C05E7F">
              <w:rPr>
                <w:webHidden/>
              </w:rPr>
              <w:instrText xml:space="preserve"> PAGEREF _Toc175556790 \h </w:instrText>
            </w:r>
            <w:r w:rsidR="00C05E7F">
              <w:rPr>
                <w:webHidden/>
              </w:rPr>
            </w:r>
            <w:r w:rsidR="00C05E7F">
              <w:rPr>
                <w:webHidden/>
              </w:rPr>
              <w:fldChar w:fldCharType="separate"/>
            </w:r>
            <w:r w:rsidR="00C05E7F">
              <w:rPr>
                <w:webHidden/>
              </w:rPr>
              <w:t>38</w:t>
            </w:r>
            <w:r w:rsidR="00C05E7F">
              <w:rPr>
                <w:webHidden/>
              </w:rPr>
              <w:fldChar w:fldCharType="end"/>
            </w:r>
          </w:hyperlink>
        </w:p>
        <w:p w14:paraId="4ADFEF9F" w14:textId="6A9611B7" w:rsidR="00C05E7F" w:rsidRDefault="000826E7">
          <w:pPr>
            <w:pStyle w:val="TOC2"/>
            <w:rPr>
              <w:rFonts w:eastAsiaTheme="minorEastAsia"/>
              <w:kern w:val="0"/>
              <w:sz w:val="22"/>
              <w:szCs w:val="22"/>
              <w:lang w:eastAsia="en-AU"/>
            </w:rPr>
          </w:pPr>
          <w:hyperlink w:anchor="_Toc175556791" w:history="1">
            <w:r w:rsidR="00C05E7F" w:rsidRPr="00756B76">
              <w:rPr>
                <w:rStyle w:val="Hyperlink"/>
              </w:rPr>
              <w:t>Question 12b: Measures to implement the Modern Slavery Act</w:t>
            </w:r>
            <w:r w:rsidR="00C05E7F">
              <w:rPr>
                <w:webHidden/>
              </w:rPr>
              <w:tab/>
            </w:r>
            <w:r w:rsidR="00C05E7F">
              <w:rPr>
                <w:webHidden/>
              </w:rPr>
              <w:fldChar w:fldCharType="begin"/>
            </w:r>
            <w:r w:rsidR="00C05E7F">
              <w:rPr>
                <w:webHidden/>
              </w:rPr>
              <w:instrText xml:space="preserve"> PAGEREF _Toc175556791 \h </w:instrText>
            </w:r>
            <w:r w:rsidR="00C05E7F">
              <w:rPr>
                <w:webHidden/>
              </w:rPr>
            </w:r>
            <w:r w:rsidR="00C05E7F">
              <w:rPr>
                <w:webHidden/>
              </w:rPr>
              <w:fldChar w:fldCharType="separate"/>
            </w:r>
            <w:r w:rsidR="00C05E7F">
              <w:rPr>
                <w:webHidden/>
              </w:rPr>
              <w:t>38</w:t>
            </w:r>
            <w:r w:rsidR="00C05E7F">
              <w:rPr>
                <w:webHidden/>
              </w:rPr>
              <w:fldChar w:fldCharType="end"/>
            </w:r>
          </w:hyperlink>
        </w:p>
        <w:p w14:paraId="0BF8810E" w14:textId="47E45736" w:rsidR="00C05E7F" w:rsidRDefault="000826E7">
          <w:pPr>
            <w:pStyle w:val="TOC2"/>
            <w:rPr>
              <w:rFonts w:eastAsiaTheme="minorEastAsia"/>
              <w:kern w:val="0"/>
              <w:sz w:val="22"/>
              <w:szCs w:val="22"/>
              <w:lang w:eastAsia="en-AU"/>
            </w:rPr>
          </w:pPr>
          <w:hyperlink w:anchor="_Toc175556792" w:history="1">
            <w:r w:rsidR="00C05E7F" w:rsidRPr="00756B76">
              <w:rPr>
                <w:rStyle w:val="Hyperlink"/>
              </w:rPr>
              <w:t>Question 12b: Support for Trafficked People Program</w:t>
            </w:r>
            <w:r w:rsidR="00C05E7F">
              <w:rPr>
                <w:webHidden/>
              </w:rPr>
              <w:tab/>
            </w:r>
            <w:r w:rsidR="00C05E7F">
              <w:rPr>
                <w:webHidden/>
              </w:rPr>
              <w:fldChar w:fldCharType="begin"/>
            </w:r>
            <w:r w:rsidR="00C05E7F">
              <w:rPr>
                <w:webHidden/>
              </w:rPr>
              <w:instrText xml:space="preserve"> PAGEREF _Toc175556792 \h </w:instrText>
            </w:r>
            <w:r w:rsidR="00C05E7F">
              <w:rPr>
                <w:webHidden/>
              </w:rPr>
            </w:r>
            <w:r w:rsidR="00C05E7F">
              <w:rPr>
                <w:webHidden/>
              </w:rPr>
              <w:fldChar w:fldCharType="separate"/>
            </w:r>
            <w:r w:rsidR="00C05E7F">
              <w:rPr>
                <w:webHidden/>
              </w:rPr>
              <w:t>39</w:t>
            </w:r>
            <w:r w:rsidR="00C05E7F">
              <w:rPr>
                <w:webHidden/>
              </w:rPr>
              <w:fldChar w:fldCharType="end"/>
            </w:r>
          </w:hyperlink>
        </w:p>
        <w:p w14:paraId="577BA4D7" w14:textId="75E0EF38" w:rsidR="00C05E7F" w:rsidRDefault="000826E7">
          <w:pPr>
            <w:pStyle w:val="TOC2"/>
            <w:rPr>
              <w:rFonts w:eastAsiaTheme="minorEastAsia"/>
              <w:kern w:val="0"/>
              <w:sz w:val="22"/>
              <w:szCs w:val="22"/>
              <w:lang w:eastAsia="en-AU"/>
            </w:rPr>
          </w:pPr>
          <w:hyperlink w:anchor="_Toc175556793" w:history="1">
            <w:r w:rsidR="00C05E7F" w:rsidRPr="00756B76">
              <w:rPr>
                <w:rStyle w:val="Hyperlink"/>
              </w:rPr>
              <w:t>Question 12b: Early identification and referral of victims of trafficking</w:t>
            </w:r>
            <w:r w:rsidR="00C05E7F">
              <w:rPr>
                <w:webHidden/>
              </w:rPr>
              <w:tab/>
            </w:r>
            <w:r w:rsidR="00C05E7F">
              <w:rPr>
                <w:webHidden/>
              </w:rPr>
              <w:fldChar w:fldCharType="begin"/>
            </w:r>
            <w:r w:rsidR="00C05E7F">
              <w:rPr>
                <w:webHidden/>
              </w:rPr>
              <w:instrText xml:space="preserve"> PAGEREF _Toc175556793 \h </w:instrText>
            </w:r>
            <w:r w:rsidR="00C05E7F">
              <w:rPr>
                <w:webHidden/>
              </w:rPr>
            </w:r>
            <w:r w:rsidR="00C05E7F">
              <w:rPr>
                <w:webHidden/>
              </w:rPr>
              <w:fldChar w:fldCharType="separate"/>
            </w:r>
            <w:r w:rsidR="00C05E7F">
              <w:rPr>
                <w:webHidden/>
              </w:rPr>
              <w:t>40</w:t>
            </w:r>
            <w:r w:rsidR="00C05E7F">
              <w:rPr>
                <w:webHidden/>
              </w:rPr>
              <w:fldChar w:fldCharType="end"/>
            </w:r>
          </w:hyperlink>
        </w:p>
        <w:p w14:paraId="3D6FB322" w14:textId="50F63416" w:rsidR="00C05E7F" w:rsidRDefault="000826E7">
          <w:pPr>
            <w:pStyle w:val="TOC2"/>
            <w:rPr>
              <w:rFonts w:eastAsiaTheme="minorEastAsia"/>
              <w:kern w:val="0"/>
              <w:sz w:val="22"/>
              <w:szCs w:val="22"/>
              <w:lang w:eastAsia="en-AU"/>
            </w:rPr>
          </w:pPr>
          <w:hyperlink w:anchor="_Toc175556794" w:history="1">
            <w:r w:rsidR="00C05E7F" w:rsidRPr="00756B76">
              <w:rPr>
                <w:rStyle w:val="Hyperlink"/>
              </w:rPr>
              <w:t>Question 12c part 1: De-criminalising sex work</w:t>
            </w:r>
            <w:r w:rsidR="00C05E7F">
              <w:rPr>
                <w:webHidden/>
              </w:rPr>
              <w:tab/>
            </w:r>
            <w:r w:rsidR="00C05E7F">
              <w:rPr>
                <w:webHidden/>
              </w:rPr>
              <w:fldChar w:fldCharType="begin"/>
            </w:r>
            <w:r w:rsidR="00C05E7F">
              <w:rPr>
                <w:webHidden/>
              </w:rPr>
              <w:instrText xml:space="preserve"> PAGEREF _Toc175556794 \h </w:instrText>
            </w:r>
            <w:r w:rsidR="00C05E7F">
              <w:rPr>
                <w:webHidden/>
              </w:rPr>
            </w:r>
            <w:r w:rsidR="00C05E7F">
              <w:rPr>
                <w:webHidden/>
              </w:rPr>
              <w:fldChar w:fldCharType="separate"/>
            </w:r>
            <w:r w:rsidR="00C05E7F">
              <w:rPr>
                <w:webHidden/>
              </w:rPr>
              <w:t>40</w:t>
            </w:r>
            <w:r w:rsidR="00C05E7F">
              <w:rPr>
                <w:webHidden/>
              </w:rPr>
              <w:fldChar w:fldCharType="end"/>
            </w:r>
          </w:hyperlink>
        </w:p>
        <w:p w14:paraId="0137EFD4" w14:textId="4B9F9DC7" w:rsidR="00C05E7F" w:rsidRDefault="000826E7">
          <w:pPr>
            <w:pStyle w:val="TOC2"/>
            <w:rPr>
              <w:rFonts w:eastAsiaTheme="minorEastAsia"/>
              <w:kern w:val="0"/>
              <w:sz w:val="22"/>
              <w:szCs w:val="22"/>
              <w:lang w:eastAsia="en-AU"/>
            </w:rPr>
          </w:pPr>
          <w:hyperlink w:anchor="_Toc175556795" w:history="1">
            <w:r w:rsidR="00C05E7F" w:rsidRPr="00756B76">
              <w:rPr>
                <w:rStyle w:val="Hyperlink"/>
              </w:rPr>
              <w:t>Question 12c part 2: Addressing sexual servitude and exploitation</w:t>
            </w:r>
            <w:r w:rsidR="00C05E7F">
              <w:rPr>
                <w:webHidden/>
              </w:rPr>
              <w:tab/>
            </w:r>
            <w:r w:rsidR="00C05E7F">
              <w:rPr>
                <w:webHidden/>
              </w:rPr>
              <w:fldChar w:fldCharType="begin"/>
            </w:r>
            <w:r w:rsidR="00C05E7F">
              <w:rPr>
                <w:webHidden/>
              </w:rPr>
              <w:instrText xml:space="preserve"> PAGEREF _Toc175556795 \h </w:instrText>
            </w:r>
            <w:r w:rsidR="00C05E7F">
              <w:rPr>
                <w:webHidden/>
              </w:rPr>
            </w:r>
            <w:r w:rsidR="00C05E7F">
              <w:rPr>
                <w:webHidden/>
              </w:rPr>
              <w:fldChar w:fldCharType="separate"/>
            </w:r>
            <w:r w:rsidR="00C05E7F">
              <w:rPr>
                <w:webHidden/>
              </w:rPr>
              <w:t>41</w:t>
            </w:r>
            <w:r w:rsidR="00C05E7F">
              <w:rPr>
                <w:webHidden/>
              </w:rPr>
              <w:fldChar w:fldCharType="end"/>
            </w:r>
          </w:hyperlink>
        </w:p>
        <w:p w14:paraId="59F84EA3" w14:textId="24B99FE5" w:rsidR="00C05E7F" w:rsidRDefault="000826E7">
          <w:pPr>
            <w:pStyle w:val="TOC2"/>
            <w:rPr>
              <w:rFonts w:eastAsiaTheme="minorEastAsia"/>
              <w:kern w:val="0"/>
              <w:sz w:val="22"/>
              <w:szCs w:val="22"/>
              <w:lang w:eastAsia="en-AU"/>
            </w:rPr>
          </w:pPr>
          <w:hyperlink w:anchor="_Toc175556796" w:history="1">
            <w:r w:rsidR="00C05E7F" w:rsidRPr="00756B76">
              <w:rPr>
                <w:rStyle w:val="Hyperlink"/>
              </w:rPr>
              <w:t>Question 12d part 1: 3-Year Review of Modern Slavery Act</w:t>
            </w:r>
            <w:r w:rsidR="00C05E7F">
              <w:rPr>
                <w:webHidden/>
              </w:rPr>
              <w:tab/>
            </w:r>
            <w:r w:rsidR="00C05E7F">
              <w:rPr>
                <w:webHidden/>
              </w:rPr>
              <w:fldChar w:fldCharType="begin"/>
            </w:r>
            <w:r w:rsidR="00C05E7F">
              <w:rPr>
                <w:webHidden/>
              </w:rPr>
              <w:instrText xml:space="preserve"> PAGEREF _Toc175556796 \h </w:instrText>
            </w:r>
            <w:r w:rsidR="00C05E7F">
              <w:rPr>
                <w:webHidden/>
              </w:rPr>
            </w:r>
            <w:r w:rsidR="00C05E7F">
              <w:rPr>
                <w:webHidden/>
              </w:rPr>
              <w:fldChar w:fldCharType="separate"/>
            </w:r>
            <w:r w:rsidR="00C05E7F">
              <w:rPr>
                <w:webHidden/>
              </w:rPr>
              <w:t>41</w:t>
            </w:r>
            <w:r w:rsidR="00C05E7F">
              <w:rPr>
                <w:webHidden/>
              </w:rPr>
              <w:fldChar w:fldCharType="end"/>
            </w:r>
          </w:hyperlink>
        </w:p>
        <w:p w14:paraId="25EDAD04" w14:textId="3FD44348" w:rsidR="00C05E7F" w:rsidRDefault="000826E7">
          <w:pPr>
            <w:pStyle w:val="TOC2"/>
            <w:rPr>
              <w:rFonts w:eastAsiaTheme="minorEastAsia"/>
              <w:kern w:val="0"/>
              <w:sz w:val="22"/>
              <w:szCs w:val="22"/>
              <w:lang w:eastAsia="en-AU"/>
            </w:rPr>
          </w:pPr>
          <w:hyperlink w:anchor="_Toc175556797" w:history="1">
            <w:r w:rsidR="00C05E7F" w:rsidRPr="00756B76">
              <w:rPr>
                <w:rStyle w:val="Hyperlink"/>
              </w:rPr>
              <w:t>Question 12d part 2: Implementation of the National Plan to Combat Modern Slavery 2020</w:t>
            </w:r>
            <w:r w:rsidR="00C05E7F" w:rsidRPr="00756B76">
              <w:rPr>
                <w:rStyle w:val="Hyperlink"/>
              </w:rPr>
              <w:noBreakHyphen/>
              <w:t>2025</w:t>
            </w:r>
            <w:r w:rsidR="00C05E7F">
              <w:rPr>
                <w:webHidden/>
              </w:rPr>
              <w:tab/>
            </w:r>
            <w:r w:rsidR="00C05E7F">
              <w:rPr>
                <w:webHidden/>
              </w:rPr>
              <w:fldChar w:fldCharType="begin"/>
            </w:r>
            <w:r w:rsidR="00C05E7F">
              <w:rPr>
                <w:webHidden/>
              </w:rPr>
              <w:instrText xml:space="preserve"> PAGEREF _Toc175556797 \h </w:instrText>
            </w:r>
            <w:r w:rsidR="00C05E7F">
              <w:rPr>
                <w:webHidden/>
              </w:rPr>
            </w:r>
            <w:r w:rsidR="00C05E7F">
              <w:rPr>
                <w:webHidden/>
              </w:rPr>
              <w:fldChar w:fldCharType="separate"/>
            </w:r>
            <w:r w:rsidR="00C05E7F">
              <w:rPr>
                <w:webHidden/>
              </w:rPr>
              <w:t>42</w:t>
            </w:r>
            <w:r w:rsidR="00C05E7F">
              <w:rPr>
                <w:webHidden/>
              </w:rPr>
              <w:fldChar w:fldCharType="end"/>
            </w:r>
          </w:hyperlink>
        </w:p>
        <w:p w14:paraId="2A1343AD" w14:textId="4C196518" w:rsidR="00C05E7F" w:rsidRDefault="000826E7">
          <w:pPr>
            <w:pStyle w:val="TOC2"/>
            <w:rPr>
              <w:rFonts w:eastAsiaTheme="minorEastAsia"/>
              <w:kern w:val="0"/>
              <w:sz w:val="22"/>
              <w:szCs w:val="22"/>
              <w:lang w:eastAsia="en-AU"/>
            </w:rPr>
          </w:pPr>
          <w:hyperlink w:anchor="_Toc175556798" w:history="1">
            <w:r w:rsidR="00C05E7F" w:rsidRPr="00756B76">
              <w:rPr>
                <w:rStyle w:val="Hyperlink"/>
              </w:rPr>
              <w:t>Question 12e: Support for victims of trafficking</w:t>
            </w:r>
            <w:r w:rsidR="00C05E7F">
              <w:rPr>
                <w:webHidden/>
              </w:rPr>
              <w:tab/>
            </w:r>
            <w:r w:rsidR="00C05E7F">
              <w:rPr>
                <w:webHidden/>
              </w:rPr>
              <w:fldChar w:fldCharType="begin"/>
            </w:r>
            <w:r w:rsidR="00C05E7F">
              <w:rPr>
                <w:webHidden/>
              </w:rPr>
              <w:instrText xml:space="preserve"> PAGEREF _Toc175556798 \h </w:instrText>
            </w:r>
            <w:r w:rsidR="00C05E7F">
              <w:rPr>
                <w:webHidden/>
              </w:rPr>
            </w:r>
            <w:r w:rsidR="00C05E7F">
              <w:rPr>
                <w:webHidden/>
              </w:rPr>
              <w:fldChar w:fldCharType="separate"/>
            </w:r>
            <w:r w:rsidR="00C05E7F">
              <w:rPr>
                <w:webHidden/>
              </w:rPr>
              <w:t>42</w:t>
            </w:r>
            <w:r w:rsidR="00C05E7F">
              <w:rPr>
                <w:webHidden/>
              </w:rPr>
              <w:fldChar w:fldCharType="end"/>
            </w:r>
          </w:hyperlink>
        </w:p>
        <w:p w14:paraId="401819CA" w14:textId="02B2F723" w:rsidR="00C05E7F" w:rsidRDefault="000826E7">
          <w:pPr>
            <w:pStyle w:val="TOC1"/>
            <w:rPr>
              <w:rFonts w:eastAsiaTheme="minorEastAsia"/>
              <w:b w:val="0"/>
              <w:kern w:val="0"/>
              <w:sz w:val="22"/>
              <w:szCs w:val="22"/>
              <w:lang w:eastAsia="en-AU"/>
            </w:rPr>
          </w:pPr>
          <w:hyperlink w:anchor="_Toc175556799" w:history="1">
            <w:r w:rsidR="00C05E7F" w:rsidRPr="00756B76">
              <w:rPr>
                <w:rStyle w:val="Hyperlink"/>
              </w:rPr>
              <w:t>Question 13: Participation in political and public life</w:t>
            </w:r>
            <w:r w:rsidR="00C05E7F">
              <w:rPr>
                <w:webHidden/>
              </w:rPr>
              <w:tab/>
            </w:r>
            <w:r w:rsidR="00C05E7F">
              <w:rPr>
                <w:webHidden/>
              </w:rPr>
              <w:fldChar w:fldCharType="begin"/>
            </w:r>
            <w:r w:rsidR="00C05E7F">
              <w:rPr>
                <w:webHidden/>
              </w:rPr>
              <w:instrText xml:space="preserve"> PAGEREF _Toc175556799 \h </w:instrText>
            </w:r>
            <w:r w:rsidR="00C05E7F">
              <w:rPr>
                <w:webHidden/>
              </w:rPr>
            </w:r>
            <w:r w:rsidR="00C05E7F">
              <w:rPr>
                <w:webHidden/>
              </w:rPr>
              <w:fldChar w:fldCharType="separate"/>
            </w:r>
            <w:r w:rsidR="00C05E7F">
              <w:rPr>
                <w:webHidden/>
              </w:rPr>
              <w:t>43</w:t>
            </w:r>
            <w:r w:rsidR="00C05E7F">
              <w:rPr>
                <w:webHidden/>
              </w:rPr>
              <w:fldChar w:fldCharType="end"/>
            </w:r>
          </w:hyperlink>
        </w:p>
        <w:p w14:paraId="77A24155" w14:textId="145235CA" w:rsidR="00C05E7F" w:rsidRDefault="000826E7">
          <w:pPr>
            <w:pStyle w:val="TOC2"/>
            <w:rPr>
              <w:rFonts w:eastAsiaTheme="minorEastAsia"/>
              <w:kern w:val="0"/>
              <w:sz w:val="22"/>
              <w:szCs w:val="22"/>
              <w:lang w:eastAsia="en-AU"/>
            </w:rPr>
          </w:pPr>
          <w:hyperlink w:anchor="_Toc175556800" w:history="1">
            <w:r w:rsidR="00C05E7F" w:rsidRPr="00756B76">
              <w:rPr>
                <w:rStyle w:val="Hyperlink"/>
              </w:rPr>
              <w:t>Representation of women in political and public life</w:t>
            </w:r>
            <w:r w:rsidR="00C05E7F">
              <w:rPr>
                <w:webHidden/>
              </w:rPr>
              <w:tab/>
            </w:r>
            <w:r w:rsidR="00C05E7F">
              <w:rPr>
                <w:webHidden/>
              </w:rPr>
              <w:fldChar w:fldCharType="begin"/>
            </w:r>
            <w:r w:rsidR="00C05E7F">
              <w:rPr>
                <w:webHidden/>
              </w:rPr>
              <w:instrText xml:space="preserve"> PAGEREF _Toc175556800 \h </w:instrText>
            </w:r>
            <w:r w:rsidR="00C05E7F">
              <w:rPr>
                <w:webHidden/>
              </w:rPr>
            </w:r>
            <w:r w:rsidR="00C05E7F">
              <w:rPr>
                <w:webHidden/>
              </w:rPr>
              <w:fldChar w:fldCharType="separate"/>
            </w:r>
            <w:r w:rsidR="00C05E7F">
              <w:rPr>
                <w:webHidden/>
              </w:rPr>
              <w:t>43</w:t>
            </w:r>
            <w:r w:rsidR="00C05E7F">
              <w:rPr>
                <w:webHidden/>
              </w:rPr>
              <w:fldChar w:fldCharType="end"/>
            </w:r>
          </w:hyperlink>
        </w:p>
        <w:p w14:paraId="26B149C0" w14:textId="28688DAF" w:rsidR="00C05E7F" w:rsidRDefault="000826E7">
          <w:pPr>
            <w:pStyle w:val="TOC2"/>
            <w:rPr>
              <w:rFonts w:eastAsiaTheme="minorEastAsia"/>
              <w:kern w:val="0"/>
              <w:sz w:val="22"/>
              <w:szCs w:val="22"/>
              <w:lang w:eastAsia="en-AU"/>
            </w:rPr>
          </w:pPr>
          <w:hyperlink w:anchor="_Toc175556801" w:history="1">
            <w:r w:rsidR="00C05E7F" w:rsidRPr="00756B76">
              <w:rPr>
                <w:rStyle w:val="Hyperlink"/>
              </w:rPr>
              <w:t>Representation of women on Government boards</w:t>
            </w:r>
            <w:r w:rsidR="00C05E7F">
              <w:rPr>
                <w:webHidden/>
              </w:rPr>
              <w:tab/>
            </w:r>
            <w:r w:rsidR="00C05E7F">
              <w:rPr>
                <w:webHidden/>
              </w:rPr>
              <w:fldChar w:fldCharType="begin"/>
            </w:r>
            <w:r w:rsidR="00C05E7F">
              <w:rPr>
                <w:webHidden/>
              </w:rPr>
              <w:instrText xml:space="preserve"> PAGEREF _Toc175556801 \h </w:instrText>
            </w:r>
            <w:r w:rsidR="00C05E7F">
              <w:rPr>
                <w:webHidden/>
              </w:rPr>
            </w:r>
            <w:r w:rsidR="00C05E7F">
              <w:rPr>
                <w:webHidden/>
              </w:rPr>
              <w:fldChar w:fldCharType="separate"/>
            </w:r>
            <w:r w:rsidR="00C05E7F">
              <w:rPr>
                <w:webHidden/>
              </w:rPr>
              <w:t>44</w:t>
            </w:r>
            <w:r w:rsidR="00C05E7F">
              <w:rPr>
                <w:webHidden/>
              </w:rPr>
              <w:fldChar w:fldCharType="end"/>
            </w:r>
          </w:hyperlink>
        </w:p>
        <w:p w14:paraId="7A670591" w14:textId="36431DE9" w:rsidR="00C05E7F" w:rsidRDefault="000826E7">
          <w:pPr>
            <w:pStyle w:val="TOC2"/>
            <w:rPr>
              <w:rFonts w:eastAsiaTheme="minorEastAsia"/>
              <w:kern w:val="0"/>
              <w:sz w:val="22"/>
              <w:szCs w:val="22"/>
              <w:lang w:eastAsia="en-AU"/>
            </w:rPr>
          </w:pPr>
          <w:hyperlink w:anchor="_Toc175556802" w:history="1">
            <w:r w:rsidR="00C05E7F" w:rsidRPr="00756B76">
              <w:rPr>
                <w:rStyle w:val="Hyperlink"/>
              </w:rPr>
              <w:t>Recognition of women in public life</w:t>
            </w:r>
            <w:r w:rsidR="00C05E7F">
              <w:rPr>
                <w:webHidden/>
              </w:rPr>
              <w:tab/>
            </w:r>
            <w:r w:rsidR="00C05E7F">
              <w:rPr>
                <w:webHidden/>
              </w:rPr>
              <w:fldChar w:fldCharType="begin"/>
            </w:r>
            <w:r w:rsidR="00C05E7F">
              <w:rPr>
                <w:webHidden/>
              </w:rPr>
              <w:instrText xml:space="preserve"> PAGEREF _Toc175556802 \h </w:instrText>
            </w:r>
            <w:r w:rsidR="00C05E7F">
              <w:rPr>
                <w:webHidden/>
              </w:rPr>
            </w:r>
            <w:r w:rsidR="00C05E7F">
              <w:rPr>
                <w:webHidden/>
              </w:rPr>
              <w:fldChar w:fldCharType="separate"/>
            </w:r>
            <w:r w:rsidR="00C05E7F">
              <w:rPr>
                <w:webHidden/>
              </w:rPr>
              <w:t>44</w:t>
            </w:r>
            <w:r w:rsidR="00C05E7F">
              <w:rPr>
                <w:webHidden/>
              </w:rPr>
              <w:fldChar w:fldCharType="end"/>
            </w:r>
          </w:hyperlink>
        </w:p>
        <w:p w14:paraId="5D4D7C11" w14:textId="7B571F2F" w:rsidR="00C05E7F" w:rsidRDefault="000826E7">
          <w:pPr>
            <w:pStyle w:val="TOC1"/>
            <w:rPr>
              <w:rFonts w:eastAsiaTheme="minorEastAsia"/>
              <w:b w:val="0"/>
              <w:kern w:val="0"/>
              <w:sz w:val="22"/>
              <w:szCs w:val="22"/>
              <w:lang w:eastAsia="en-AU"/>
            </w:rPr>
          </w:pPr>
          <w:hyperlink w:anchor="_Toc175556803" w:history="1">
            <w:r w:rsidR="00C05E7F" w:rsidRPr="00756B76">
              <w:rPr>
                <w:rStyle w:val="Hyperlink"/>
              </w:rPr>
              <w:t>Question 14: Women, peace and security</w:t>
            </w:r>
            <w:r w:rsidR="00C05E7F">
              <w:rPr>
                <w:webHidden/>
              </w:rPr>
              <w:tab/>
            </w:r>
            <w:r w:rsidR="00C05E7F">
              <w:rPr>
                <w:webHidden/>
              </w:rPr>
              <w:fldChar w:fldCharType="begin"/>
            </w:r>
            <w:r w:rsidR="00C05E7F">
              <w:rPr>
                <w:webHidden/>
              </w:rPr>
              <w:instrText xml:space="preserve"> PAGEREF _Toc175556803 \h </w:instrText>
            </w:r>
            <w:r w:rsidR="00C05E7F">
              <w:rPr>
                <w:webHidden/>
              </w:rPr>
            </w:r>
            <w:r w:rsidR="00C05E7F">
              <w:rPr>
                <w:webHidden/>
              </w:rPr>
              <w:fldChar w:fldCharType="separate"/>
            </w:r>
            <w:r w:rsidR="00C05E7F">
              <w:rPr>
                <w:webHidden/>
              </w:rPr>
              <w:t>45</w:t>
            </w:r>
            <w:r w:rsidR="00C05E7F">
              <w:rPr>
                <w:webHidden/>
              </w:rPr>
              <w:fldChar w:fldCharType="end"/>
            </w:r>
          </w:hyperlink>
        </w:p>
        <w:p w14:paraId="009D83B4" w14:textId="37A23C95" w:rsidR="00C05E7F" w:rsidRDefault="000826E7">
          <w:pPr>
            <w:pStyle w:val="TOC2"/>
            <w:rPr>
              <w:rFonts w:eastAsiaTheme="minorEastAsia"/>
              <w:kern w:val="0"/>
              <w:sz w:val="22"/>
              <w:szCs w:val="22"/>
              <w:lang w:eastAsia="en-AU"/>
            </w:rPr>
          </w:pPr>
          <w:hyperlink w:anchor="_Toc175556804" w:history="1">
            <w:r w:rsidR="00C05E7F" w:rsidRPr="00756B76">
              <w:rPr>
                <w:rStyle w:val="Hyperlink"/>
              </w:rPr>
              <w:t>National Action Plan on Women, Peace and Security</w:t>
            </w:r>
            <w:r w:rsidR="00C05E7F">
              <w:rPr>
                <w:webHidden/>
              </w:rPr>
              <w:tab/>
            </w:r>
            <w:r w:rsidR="00C05E7F">
              <w:rPr>
                <w:webHidden/>
              </w:rPr>
              <w:fldChar w:fldCharType="begin"/>
            </w:r>
            <w:r w:rsidR="00C05E7F">
              <w:rPr>
                <w:webHidden/>
              </w:rPr>
              <w:instrText xml:space="preserve"> PAGEREF _Toc175556804 \h </w:instrText>
            </w:r>
            <w:r w:rsidR="00C05E7F">
              <w:rPr>
                <w:webHidden/>
              </w:rPr>
            </w:r>
            <w:r w:rsidR="00C05E7F">
              <w:rPr>
                <w:webHidden/>
              </w:rPr>
              <w:fldChar w:fldCharType="separate"/>
            </w:r>
            <w:r w:rsidR="00C05E7F">
              <w:rPr>
                <w:webHidden/>
              </w:rPr>
              <w:t>45</w:t>
            </w:r>
            <w:r w:rsidR="00C05E7F">
              <w:rPr>
                <w:webHidden/>
              </w:rPr>
              <w:fldChar w:fldCharType="end"/>
            </w:r>
          </w:hyperlink>
        </w:p>
        <w:p w14:paraId="35D2369B" w14:textId="2BE815FA" w:rsidR="00C05E7F" w:rsidRDefault="000826E7">
          <w:pPr>
            <w:pStyle w:val="TOC1"/>
            <w:rPr>
              <w:rFonts w:eastAsiaTheme="minorEastAsia"/>
              <w:b w:val="0"/>
              <w:kern w:val="0"/>
              <w:sz w:val="22"/>
              <w:szCs w:val="22"/>
              <w:lang w:eastAsia="en-AU"/>
            </w:rPr>
          </w:pPr>
          <w:hyperlink w:anchor="_Toc175556805" w:history="1">
            <w:r w:rsidR="00C05E7F" w:rsidRPr="00756B76">
              <w:rPr>
                <w:rStyle w:val="Hyperlink"/>
              </w:rPr>
              <w:t>Question 15: Nationality</w:t>
            </w:r>
            <w:r w:rsidR="00C05E7F">
              <w:rPr>
                <w:webHidden/>
              </w:rPr>
              <w:tab/>
            </w:r>
            <w:r w:rsidR="00C05E7F">
              <w:rPr>
                <w:webHidden/>
              </w:rPr>
              <w:fldChar w:fldCharType="begin"/>
            </w:r>
            <w:r w:rsidR="00C05E7F">
              <w:rPr>
                <w:webHidden/>
              </w:rPr>
              <w:instrText xml:space="preserve"> PAGEREF _Toc175556805 \h </w:instrText>
            </w:r>
            <w:r w:rsidR="00C05E7F">
              <w:rPr>
                <w:webHidden/>
              </w:rPr>
            </w:r>
            <w:r w:rsidR="00C05E7F">
              <w:rPr>
                <w:webHidden/>
              </w:rPr>
              <w:fldChar w:fldCharType="separate"/>
            </w:r>
            <w:r w:rsidR="00C05E7F">
              <w:rPr>
                <w:webHidden/>
              </w:rPr>
              <w:t>47</w:t>
            </w:r>
            <w:r w:rsidR="00C05E7F">
              <w:rPr>
                <w:webHidden/>
              </w:rPr>
              <w:fldChar w:fldCharType="end"/>
            </w:r>
          </w:hyperlink>
        </w:p>
        <w:p w14:paraId="5C85A436" w14:textId="7195954E" w:rsidR="00C05E7F" w:rsidRDefault="000826E7">
          <w:pPr>
            <w:pStyle w:val="TOC1"/>
            <w:rPr>
              <w:rFonts w:eastAsiaTheme="minorEastAsia"/>
              <w:b w:val="0"/>
              <w:kern w:val="0"/>
              <w:sz w:val="22"/>
              <w:szCs w:val="22"/>
              <w:lang w:eastAsia="en-AU"/>
            </w:rPr>
          </w:pPr>
          <w:hyperlink w:anchor="_Toc175556806" w:history="1">
            <w:r w:rsidR="00C05E7F" w:rsidRPr="00756B76">
              <w:rPr>
                <w:rStyle w:val="Hyperlink"/>
              </w:rPr>
              <w:t>Question 16: Education</w:t>
            </w:r>
            <w:r w:rsidR="00C05E7F">
              <w:rPr>
                <w:webHidden/>
              </w:rPr>
              <w:tab/>
            </w:r>
            <w:r w:rsidR="00C05E7F">
              <w:rPr>
                <w:webHidden/>
              </w:rPr>
              <w:fldChar w:fldCharType="begin"/>
            </w:r>
            <w:r w:rsidR="00C05E7F">
              <w:rPr>
                <w:webHidden/>
              </w:rPr>
              <w:instrText xml:space="preserve"> PAGEREF _Toc175556806 \h </w:instrText>
            </w:r>
            <w:r w:rsidR="00C05E7F">
              <w:rPr>
                <w:webHidden/>
              </w:rPr>
            </w:r>
            <w:r w:rsidR="00C05E7F">
              <w:rPr>
                <w:webHidden/>
              </w:rPr>
              <w:fldChar w:fldCharType="separate"/>
            </w:r>
            <w:r w:rsidR="00C05E7F">
              <w:rPr>
                <w:webHidden/>
              </w:rPr>
              <w:t>48</w:t>
            </w:r>
            <w:r w:rsidR="00C05E7F">
              <w:rPr>
                <w:webHidden/>
              </w:rPr>
              <w:fldChar w:fldCharType="end"/>
            </w:r>
          </w:hyperlink>
        </w:p>
        <w:p w14:paraId="0DF99100" w14:textId="032BAF3A" w:rsidR="00C05E7F" w:rsidRDefault="000826E7">
          <w:pPr>
            <w:pStyle w:val="TOC2"/>
            <w:rPr>
              <w:rFonts w:eastAsiaTheme="minorEastAsia"/>
              <w:kern w:val="0"/>
              <w:sz w:val="22"/>
              <w:szCs w:val="22"/>
              <w:lang w:eastAsia="en-AU"/>
            </w:rPr>
          </w:pPr>
          <w:hyperlink w:anchor="_Toc175556807" w:history="1">
            <w:r w:rsidR="00C05E7F" w:rsidRPr="00756B76">
              <w:rPr>
                <w:rStyle w:val="Hyperlink"/>
              </w:rPr>
              <w:t>Question 16a: Denial of education on the basis of motherhood</w:t>
            </w:r>
            <w:r w:rsidR="00C05E7F">
              <w:rPr>
                <w:webHidden/>
              </w:rPr>
              <w:tab/>
            </w:r>
            <w:r w:rsidR="00C05E7F">
              <w:rPr>
                <w:webHidden/>
              </w:rPr>
              <w:fldChar w:fldCharType="begin"/>
            </w:r>
            <w:r w:rsidR="00C05E7F">
              <w:rPr>
                <w:webHidden/>
              </w:rPr>
              <w:instrText xml:space="preserve"> PAGEREF _Toc175556807 \h </w:instrText>
            </w:r>
            <w:r w:rsidR="00C05E7F">
              <w:rPr>
                <w:webHidden/>
              </w:rPr>
            </w:r>
            <w:r w:rsidR="00C05E7F">
              <w:rPr>
                <w:webHidden/>
              </w:rPr>
              <w:fldChar w:fldCharType="separate"/>
            </w:r>
            <w:r w:rsidR="00C05E7F">
              <w:rPr>
                <w:webHidden/>
              </w:rPr>
              <w:t>48</w:t>
            </w:r>
            <w:r w:rsidR="00C05E7F">
              <w:rPr>
                <w:webHidden/>
              </w:rPr>
              <w:fldChar w:fldCharType="end"/>
            </w:r>
          </w:hyperlink>
        </w:p>
        <w:p w14:paraId="3A3C5743" w14:textId="147ECB51" w:rsidR="00C05E7F" w:rsidRDefault="000826E7">
          <w:pPr>
            <w:pStyle w:val="TOC2"/>
            <w:rPr>
              <w:rFonts w:eastAsiaTheme="minorEastAsia"/>
              <w:kern w:val="0"/>
              <w:sz w:val="22"/>
              <w:szCs w:val="22"/>
              <w:lang w:eastAsia="en-AU"/>
            </w:rPr>
          </w:pPr>
          <w:hyperlink w:anchor="_Toc175556808" w:history="1">
            <w:r w:rsidR="00C05E7F" w:rsidRPr="00756B76">
              <w:rPr>
                <w:rStyle w:val="Hyperlink"/>
              </w:rPr>
              <w:t>Question 16b: Science, technology, engineering and mathematics (STEM) academy for Indigenous girls</w:t>
            </w:r>
            <w:r w:rsidR="00C05E7F">
              <w:rPr>
                <w:webHidden/>
              </w:rPr>
              <w:tab/>
            </w:r>
            <w:r w:rsidR="00C05E7F">
              <w:rPr>
                <w:webHidden/>
              </w:rPr>
              <w:fldChar w:fldCharType="begin"/>
            </w:r>
            <w:r w:rsidR="00C05E7F">
              <w:rPr>
                <w:webHidden/>
              </w:rPr>
              <w:instrText xml:space="preserve"> PAGEREF _Toc175556808 \h </w:instrText>
            </w:r>
            <w:r w:rsidR="00C05E7F">
              <w:rPr>
                <w:webHidden/>
              </w:rPr>
            </w:r>
            <w:r w:rsidR="00C05E7F">
              <w:rPr>
                <w:webHidden/>
              </w:rPr>
              <w:fldChar w:fldCharType="separate"/>
            </w:r>
            <w:r w:rsidR="00C05E7F">
              <w:rPr>
                <w:webHidden/>
              </w:rPr>
              <w:t>52</w:t>
            </w:r>
            <w:r w:rsidR="00C05E7F">
              <w:rPr>
                <w:webHidden/>
              </w:rPr>
              <w:fldChar w:fldCharType="end"/>
            </w:r>
          </w:hyperlink>
        </w:p>
        <w:p w14:paraId="37EC69E6" w14:textId="27D4706F" w:rsidR="00C05E7F" w:rsidRDefault="000826E7">
          <w:pPr>
            <w:pStyle w:val="TOC2"/>
            <w:rPr>
              <w:rFonts w:eastAsiaTheme="minorEastAsia"/>
              <w:kern w:val="0"/>
              <w:sz w:val="22"/>
              <w:szCs w:val="22"/>
              <w:lang w:eastAsia="en-AU"/>
            </w:rPr>
          </w:pPr>
          <w:hyperlink w:anchor="_Toc175556809" w:history="1">
            <w:r w:rsidR="00C05E7F" w:rsidRPr="00756B76">
              <w:rPr>
                <w:rStyle w:val="Hyperlink"/>
              </w:rPr>
              <w:t>Question 16b: Make use of information and communications technology to enhance access to education for girls and women in remote regions</w:t>
            </w:r>
            <w:r w:rsidR="00C05E7F">
              <w:rPr>
                <w:webHidden/>
              </w:rPr>
              <w:tab/>
            </w:r>
            <w:r w:rsidR="00C05E7F">
              <w:rPr>
                <w:webHidden/>
              </w:rPr>
              <w:fldChar w:fldCharType="begin"/>
            </w:r>
            <w:r w:rsidR="00C05E7F">
              <w:rPr>
                <w:webHidden/>
              </w:rPr>
              <w:instrText xml:space="preserve"> PAGEREF _Toc175556809 \h </w:instrText>
            </w:r>
            <w:r w:rsidR="00C05E7F">
              <w:rPr>
                <w:webHidden/>
              </w:rPr>
            </w:r>
            <w:r w:rsidR="00C05E7F">
              <w:rPr>
                <w:webHidden/>
              </w:rPr>
              <w:fldChar w:fldCharType="separate"/>
            </w:r>
            <w:r w:rsidR="00C05E7F">
              <w:rPr>
                <w:webHidden/>
              </w:rPr>
              <w:t>52</w:t>
            </w:r>
            <w:r w:rsidR="00C05E7F">
              <w:rPr>
                <w:webHidden/>
              </w:rPr>
              <w:fldChar w:fldCharType="end"/>
            </w:r>
          </w:hyperlink>
        </w:p>
        <w:p w14:paraId="03A77E1E" w14:textId="6F1C830E" w:rsidR="00C05E7F" w:rsidRDefault="000826E7">
          <w:pPr>
            <w:pStyle w:val="TOC2"/>
            <w:rPr>
              <w:rFonts w:eastAsiaTheme="minorEastAsia"/>
              <w:kern w:val="0"/>
              <w:sz w:val="22"/>
              <w:szCs w:val="22"/>
              <w:lang w:eastAsia="en-AU"/>
            </w:rPr>
          </w:pPr>
          <w:hyperlink w:anchor="_Toc175556810" w:history="1">
            <w:r w:rsidR="00C05E7F" w:rsidRPr="00756B76">
              <w:rPr>
                <w:rStyle w:val="Hyperlink"/>
              </w:rPr>
              <w:t>Question 16b: Measures to promote non-traditional educational choices of girls and women in particular STEM and ICT</w:t>
            </w:r>
            <w:r w:rsidR="00C05E7F">
              <w:rPr>
                <w:webHidden/>
              </w:rPr>
              <w:tab/>
            </w:r>
            <w:r w:rsidR="00C05E7F">
              <w:rPr>
                <w:webHidden/>
              </w:rPr>
              <w:fldChar w:fldCharType="begin"/>
            </w:r>
            <w:r w:rsidR="00C05E7F">
              <w:rPr>
                <w:webHidden/>
              </w:rPr>
              <w:instrText xml:space="preserve"> PAGEREF _Toc175556810 \h </w:instrText>
            </w:r>
            <w:r w:rsidR="00C05E7F">
              <w:rPr>
                <w:webHidden/>
              </w:rPr>
            </w:r>
            <w:r w:rsidR="00C05E7F">
              <w:rPr>
                <w:webHidden/>
              </w:rPr>
              <w:fldChar w:fldCharType="separate"/>
            </w:r>
            <w:r w:rsidR="00C05E7F">
              <w:rPr>
                <w:webHidden/>
              </w:rPr>
              <w:t>53</w:t>
            </w:r>
            <w:r w:rsidR="00C05E7F">
              <w:rPr>
                <w:webHidden/>
              </w:rPr>
              <w:fldChar w:fldCharType="end"/>
            </w:r>
          </w:hyperlink>
        </w:p>
        <w:p w14:paraId="4B9DE50B" w14:textId="7A5DA6CF" w:rsidR="00C05E7F" w:rsidRDefault="000826E7">
          <w:pPr>
            <w:pStyle w:val="TOC2"/>
            <w:rPr>
              <w:rFonts w:eastAsiaTheme="minorEastAsia"/>
              <w:kern w:val="0"/>
              <w:sz w:val="22"/>
              <w:szCs w:val="22"/>
              <w:lang w:eastAsia="en-AU"/>
            </w:rPr>
          </w:pPr>
          <w:hyperlink w:anchor="_Toc175556811" w:history="1">
            <w:r w:rsidR="00C05E7F" w:rsidRPr="00756B76">
              <w:rPr>
                <w:rStyle w:val="Hyperlink"/>
              </w:rPr>
              <w:t>Question 16c: Safe and inclusive learning environment</w:t>
            </w:r>
            <w:r w:rsidR="00C05E7F">
              <w:rPr>
                <w:webHidden/>
              </w:rPr>
              <w:tab/>
            </w:r>
            <w:r w:rsidR="00C05E7F">
              <w:rPr>
                <w:webHidden/>
              </w:rPr>
              <w:fldChar w:fldCharType="begin"/>
            </w:r>
            <w:r w:rsidR="00C05E7F">
              <w:rPr>
                <w:webHidden/>
              </w:rPr>
              <w:instrText xml:space="preserve"> PAGEREF _Toc175556811 \h </w:instrText>
            </w:r>
            <w:r w:rsidR="00C05E7F">
              <w:rPr>
                <w:webHidden/>
              </w:rPr>
            </w:r>
            <w:r w:rsidR="00C05E7F">
              <w:rPr>
                <w:webHidden/>
              </w:rPr>
              <w:fldChar w:fldCharType="separate"/>
            </w:r>
            <w:r w:rsidR="00C05E7F">
              <w:rPr>
                <w:webHidden/>
              </w:rPr>
              <w:t>53</w:t>
            </w:r>
            <w:r w:rsidR="00C05E7F">
              <w:rPr>
                <w:webHidden/>
              </w:rPr>
              <w:fldChar w:fldCharType="end"/>
            </w:r>
          </w:hyperlink>
        </w:p>
        <w:p w14:paraId="0368ADEB" w14:textId="3621C3E5" w:rsidR="00C05E7F" w:rsidRDefault="000826E7">
          <w:pPr>
            <w:pStyle w:val="TOC2"/>
            <w:rPr>
              <w:rFonts w:eastAsiaTheme="minorEastAsia"/>
              <w:kern w:val="0"/>
              <w:sz w:val="22"/>
              <w:szCs w:val="22"/>
              <w:lang w:eastAsia="en-AU"/>
            </w:rPr>
          </w:pPr>
          <w:hyperlink w:anchor="_Toc175556812" w:history="1">
            <w:r w:rsidR="00C05E7F" w:rsidRPr="00756B76">
              <w:rPr>
                <w:rStyle w:val="Hyperlink"/>
              </w:rPr>
              <w:t>Question 16d: Secondary schools established in Indigenous communities</w:t>
            </w:r>
            <w:r w:rsidR="00C05E7F">
              <w:rPr>
                <w:webHidden/>
              </w:rPr>
              <w:tab/>
            </w:r>
            <w:r w:rsidR="00C05E7F">
              <w:rPr>
                <w:webHidden/>
              </w:rPr>
              <w:fldChar w:fldCharType="begin"/>
            </w:r>
            <w:r w:rsidR="00C05E7F">
              <w:rPr>
                <w:webHidden/>
              </w:rPr>
              <w:instrText xml:space="preserve"> PAGEREF _Toc175556812 \h </w:instrText>
            </w:r>
            <w:r w:rsidR="00C05E7F">
              <w:rPr>
                <w:webHidden/>
              </w:rPr>
            </w:r>
            <w:r w:rsidR="00C05E7F">
              <w:rPr>
                <w:webHidden/>
              </w:rPr>
              <w:fldChar w:fldCharType="separate"/>
            </w:r>
            <w:r w:rsidR="00C05E7F">
              <w:rPr>
                <w:webHidden/>
              </w:rPr>
              <w:t>56</w:t>
            </w:r>
            <w:r w:rsidR="00C05E7F">
              <w:rPr>
                <w:webHidden/>
              </w:rPr>
              <w:fldChar w:fldCharType="end"/>
            </w:r>
          </w:hyperlink>
        </w:p>
        <w:p w14:paraId="61E4B875" w14:textId="198480FD" w:rsidR="00C05E7F" w:rsidRDefault="000826E7">
          <w:pPr>
            <w:pStyle w:val="TOC2"/>
            <w:rPr>
              <w:rFonts w:eastAsiaTheme="minorEastAsia"/>
              <w:kern w:val="0"/>
              <w:sz w:val="22"/>
              <w:szCs w:val="22"/>
              <w:lang w:eastAsia="en-AU"/>
            </w:rPr>
          </w:pPr>
          <w:hyperlink w:anchor="_Toc175556813" w:history="1">
            <w:r w:rsidR="00C05E7F" w:rsidRPr="00756B76">
              <w:rPr>
                <w:rStyle w:val="Hyperlink"/>
              </w:rPr>
              <w:t>Question 16d: Incorporating education on First Nations communities into the school curriculum</w:t>
            </w:r>
            <w:r w:rsidR="00C05E7F">
              <w:rPr>
                <w:webHidden/>
              </w:rPr>
              <w:tab/>
            </w:r>
            <w:r w:rsidR="00C05E7F">
              <w:rPr>
                <w:webHidden/>
              </w:rPr>
              <w:fldChar w:fldCharType="begin"/>
            </w:r>
            <w:r w:rsidR="00C05E7F">
              <w:rPr>
                <w:webHidden/>
              </w:rPr>
              <w:instrText xml:space="preserve"> PAGEREF _Toc175556813 \h </w:instrText>
            </w:r>
            <w:r w:rsidR="00C05E7F">
              <w:rPr>
                <w:webHidden/>
              </w:rPr>
            </w:r>
            <w:r w:rsidR="00C05E7F">
              <w:rPr>
                <w:webHidden/>
              </w:rPr>
              <w:fldChar w:fldCharType="separate"/>
            </w:r>
            <w:r w:rsidR="00C05E7F">
              <w:rPr>
                <w:webHidden/>
              </w:rPr>
              <w:t>56</w:t>
            </w:r>
            <w:r w:rsidR="00C05E7F">
              <w:rPr>
                <w:webHidden/>
              </w:rPr>
              <w:fldChar w:fldCharType="end"/>
            </w:r>
          </w:hyperlink>
        </w:p>
        <w:p w14:paraId="1E85412A" w14:textId="43741D88" w:rsidR="00C05E7F" w:rsidRDefault="000826E7">
          <w:pPr>
            <w:pStyle w:val="TOC1"/>
            <w:rPr>
              <w:rFonts w:eastAsiaTheme="minorEastAsia"/>
              <w:b w:val="0"/>
              <w:kern w:val="0"/>
              <w:sz w:val="22"/>
              <w:szCs w:val="22"/>
              <w:lang w:eastAsia="en-AU"/>
            </w:rPr>
          </w:pPr>
          <w:hyperlink w:anchor="_Toc175556814" w:history="1">
            <w:r w:rsidR="00C05E7F" w:rsidRPr="00756B76">
              <w:rPr>
                <w:rStyle w:val="Hyperlink"/>
              </w:rPr>
              <w:t>Question 17: Employment</w:t>
            </w:r>
            <w:r w:rsidR="00C05E7F">
              <w:rPr>
                <w:webHidden/>
              </w:rPr>
              <w:tab/>
            </w:r>
            <w:r w:rsidR="00C05E7F">
              <w:rPr>
                <w:webHidden/>
              </w:rPr>
              <w:fldChar w:fldCharType="begin"/>
            </w:r>
            <w:r w:rsidR="00C05E7F">
              <w:rPr>
                <w:webHidden/>
              </w:rPr>
              <w:instrText xml:space="preserve"> PAGEREF _Toc175556814 \h </w:instrText>
            </w:r>
            <w:r w:rsidR="00C05E7F">
              <w:rPr>
                <w:webHidden/>
              </w:rPr>
            </w:r>
            <w:r w:rsidR="00C05E7F">
              <w:rPr>
                <w:webHidden/>
              </w:rPr>
              <w:fldChar w:fldCharType="separate"/>
            </w:r>
            <w:r w:rsidR="00C05E7F">
              <w:rPr>
                <w:webHidden/>
              </w:rPr>
              <w:t>57</w:t>
            </w:r>
            <w:r w:rsidR="00C05E7F">
              <w:rPr>
                <w:webHidden/>
              </w:rPr>
              <w:fldChar w:fldCharType="end"/>
            </w:r>
          </w:hyperlink>
        </w:p>
        <w:p w14:paraId="7921A7DE" w14:textId="41F1A30C" w:rsidR="00C05E7F" w:rsidRDefault="000826E7">
          <w:pPr>
            <w:pStyle w:val="TOC2"/>
            <w:rPr>
              <w:rFonts w:eastAsiaTheme="minorEastAsia"/>
              <w:kern w:val="0"/>
              <w:sz w:val="22"/>
              <w:szCs w:val="22"/>
              <w:lang w:eastAsia="en-AU"/>
            </w:rPr>
          </w:pPr>
          <w:hyperlink w:anchor="_Toc175556815" w:history="1">
            <w:r w:rsidR="00C05E7F" w:rsidRPr="00756B76">
              <w:rPr>
                <w:rStyle w:val="Hyperlink"/>
              </w:rPr>
              <w:t>Addressing gender segregated industries and occupations</w:t>
            </w:r>
            <w:r w:rsidR="00C05E7F">
              <w:rPr>
                <w:webHidden/>
              </w:rPr>
              <w:tab/>
            </w:r>
            <w:r w:rsidR="00C05E7F">
              <w:rPr>
                <w:webHidden/>
              </w:rPr>
              <w:fldChar w:fldCharType="begin"/>
            </w:r>
            <w:r w:rsidR="00C05E7F">
              <w:rPr>
                <w:webHidden/>
              </w:rPr>
              <w:instrText xml:space="preserve"> PAGEREF _Toc175556815 \h </w:instrText>
            </w:r>
            <w:r w:rsidR="00C05E7F">
              <w:rPr>
                <w:webHidden/>
              </w:rPr>
            </w:r>
            <w:r w:rsidR="00C05E7F">
              <w:rPr>
                <w:webHidden/>
              </w:rPr>
              <w:fldChar w:fldCharType="separate"/>
            </w:r>
            <w:r w:rsidR="00C05E7F">
              <w:rPr>
                <w:webHidden/>
              </w:rPr>
              <w:t>57</w:t>
            </w:r>
            <w:r w:rsidR="00C05E7F">
              <w:rPr>
                <w:webHidden/>
              </w:rPr>
              <w:fldChar w:fldCharType="end"/>
            </w:r>
          </w:hyperlink>
        </w:p>
        <w:p w14:paraId="1B31F805" w14:textId="4B834ADE" w:rsidR="00C05E7F" w:rsidRDefault="000826E7">
          <w:pPr>
            <w:pStyle w:val="TOC2"/>
            <w:rPr>
              <w:rFonts w:eastAsiaTheme="minorEastAsia"/>
              <w:kern w:val="0"/>
              <w:sz w:val="22"/>
              <w:szCs w:val="22"/>
              <w:lang w:eastAsia="en-AU"/>
            </w:rPr>
          </w:pPr>
          <w:hyperlink w:anchor="_Toc175556816" w:history="1">
            <w:r w:rsidR="00C05E7F" w:rsidRPr="00756B76">
              <w:rPr>
                <w:rStyle w:val="Hyperlink"/>
              </w:rPr>
              <w:t>Implement the principle of equal pay for work of equal value</w:t>
            </w:r>
            <w:r w:rsidR="00C05E7F">
              <w:rPr>
                <w:webHidden/>
              </w:rPr>
              <w:tab/>
            </w:r>
            <w:r w:rsidR="00C05E7F">
              <w:rPr>
                <w:webHidden/>
              </w:rPr>
              <w:fldChar w:fldCharType="begin"/>
            </w:r>
            <w:r w:rsidR="00C05E7F">
              <w:rPr>
                <w:webHidden/>
              </w:rPr>
              <w:instrText xml:space="preserve"> PAGEREF _Toc175556816 \h </w:instrText>
            </w:r>
            <w:r w:rsidR="00C05E7F">
              <w:rPr>
                <w:webHidden/>
              </w:rPr>
            </w:r>
            <w:r w:rsidR="00C05E7F">
              <w:rPr>
                <w:webHidden/>
              </w:rPr>
              <w:fldChar w:fldCharType="separate"/>
            </w:r>
            <w:r w:rsidR="00C05E7F">
              <w:rPr>
                <w:webHidden/>
              </w:rPr>
              <w:t>58</w:t>
            </w:r>
            <w:r w:rsidR="00C05E7F">
              <w:rPr>
                <w:webHidden/>
              </w:rPr>
              <w:fldChar w:fldCharType="end"/>
            </w:r>
          </w:hyperlink>
        </w:p>
        <w:p w14:paraId="6704A1C5" w14:textId="704C08F5" w:rsidR="00C05E7F" w:rsidRDefault="000826E7">
          <w:pPr>
            <w:pStyle w:val="TOC2"/>
            <w:rPr>
              <w:rFonts w:eastAsiaTheme="minorEastAsia"/>
              <w:kern w:val="0"/>
              <w:sz w:val="22"/>
              <w:szCs w:val="22"/>
              <w:lang w:eastAsia="en-AU"/>
            </w:rPr>
          </w:pPr>
          <w:hyperlink w:anchor="_Toc175556817" w:history="1">
            <w:r w:rsidR="00C05E7F" w:rsidRPr="00756B76">
              <w:rPr>
                <w:rStyle w:val="Hyperlink"/>
              </w:rPr>
              <w:t>Implementation of 2017 Senate Inquiry into gender segregation in the workplace</w:t>
            </w:r>
            <w:r w:rsidR="00C05E7F">
              <w:rPr>
                <w:webHidden/>
              </w:rPr>
              <w:tab/>
            </w:r>
            <w:r w:rsidR="00C05E7F">
              <w:rPr>
                <w:webHidden/>
              </w:rPr>
              <w:fldChar w:fldCharType="begin"/>
            </w:r>
            <w:r w:rsidR="00C05E7F">
              <w:rPr>
                <w:webHidden/>
              </w:rPr>
              <w:instrText xml:space="preserve"> PAGEREF _Toc175556817 \h </w:instrText>
            </w:r>
            <w:r w:rsidR="00C05E7F">
              <w:rPr>
                <w:webHidden/>
              </w:rPr>
            </w:r>
            <w:r w:rsidR="00C05E7F">
              <w:rPr>
                <w:webHidden/>
              </w:rPr>
              <w:fldChar w:fldCharType="separate"/>
            </w:r>
            <w:r w:rsidR="00C05E7F">
              <w:rPr>
                <w:webHidden/>
              </w:rPr>
              <w:t>59</w:t>
            </w:r>
            <w:r w:rsidR="00C05E7F">
              <w:rPr>
                <w:webHidden/>
              </w:rPr>
              <w:fldChar w:fldCharType="end"/>
            </w:r>
          </w:hyperlink>
        </w:p>
        <w:p w14:paraId="37BEE71F" w14:textId="3014599B" w:rsidR="00C05E7F" w:rsidRDefault="000826E7">
          <w:pPr>
            <w:pStyle w:val="TOC2"/>
            <w:rPr>
              <w:rFonts w:eastAsiaTheme="minorEastAsia"/>
              <w:kern w:val="0"/>
              <w:sz w:val="22"/>
              <w:szCs w:val="22"/>
              <w:lang w:eastAsia="en-AU"/>
            </w:rPr>
          </w:pPr>
          <w:hyperlink w:anchor="_Toc175556818" w:history="1">
            <w:r w:rsidR="00C05E7F" w:rsidRPr="00756B76">
              <w:rPr>
                <w:rStyle w:val="Hyperlink"/>
              </w:rPr>
              <w:t>AHRC report “Supporting working parents: pregnancy and return to work national review”</w:t>
            </w:r>
            <w:r w:rsidR="00C05E7F">
              <w:rPr>
                <w:webHidden/>
              </w:rPr>
              <w:tab/>
            </w:r>
            <w:r w:rsidR="00C05E7F">
              <w:rPr>
                <w:webHidden/>
              </w:rPr>
              <w:fldChar w:fldCharType="begin"/>
            </w:r>
            <w:r w:rsidR="00C05E7F">
              <w:rPr>
                <w:webHidden/>
              </w:rPr>
              <w:instrText xml:space="preserve"> PAGEREF _Toc175556818 \h </w:instrText>
            </w:r>
            <w:r w:rsidR="00C05E7F">
              <w:rPr>
                <w:webHidden/>
              </w:rPr>
            </w:r>
            <w:r w:rsidR="00C05E7F">
              <w:rPr>
                <w:webHidden/>
              </w:rPr>
              <w:fldChar w:fldCharType="separate"/>
            </w:r>
            <w:r w:rsidR="00C05E7F">
              <w:rPr>
                <w:webHidden/>
              </w:rPr>
              <w:t>59</w:t>
            </w:r>
            <w:r w:rsidR="00C05E7F">
              <w:rPr>
                <w:webHidden/>
              </w:rPr>
              <w:fldChar w:fldCharType="end"/>
            </w:r>
          </w:hyperlink>
        </w:p>
        <w:p w14:paraId="31B560F6" w14:textId="0B88CD12" w:rsidR="00C05E7F" w:rsidRDefault="000826E7">
          <w:pPr>
            <w:pStyle w:val="TOC2"/>
            <w:rPr>
              <w:rFonts w:eastAsiaTheme="minorEastAsia"/>
              <w:kern w:val="0"/>
              <w:sz w:val="22"/>
              <w:szCs w:val="22"/>
              <w:lang w:eastAsia="en-AU"/>
            </w:rPr>
          </w:pPr>
          <w:hyperlink w:anchor="_Toc175556819" w:history="1">
            <w:r w:rsidR="00C05E7F" w:rsidRPr="00756B76">
              <w:rPr>
                <w:rStyle w:val="Hyperlink"/>
              </w:rPr>
              <w:t>Question 17a: Code of Practice</w:t>
            </w:r>
            <w:r w:rsidR="00C05E7F">
              <w:rPr>
                <w:webHidden/>
              </w:rPr>
              <w:tab/>
            </w:r>
            <w:r w:rsidR="00C05E7F">
              <w:rPr>
                <w:webHidden/>
              </w:rPr>
              <w:fldChar w:fldCharType="begin"/>
            </w:r>
            <w:r w:rsidR="00C05E7F">
              <w:rPr>
                <w:webHidden/>
              </w:rPr>
              <w:instrText xml:space="preserve"> PAGEREF _Toc175556819 \h </w:instrText>
            </w:r>
            <w:r w:rsidR="00C05E7F">
              <w:rPr>
                <w:webHidden/>
              </w:rPr>
            </w:r>
            <w:r w:rsidR="00C05E7F">
              <w:rPr>
                <w:webHidden/>
              </w:rPr>
              <w:fldChar w:fldCharType="separate"/>
            </w:r>
            <w:r w:rsidR="00C05E7F">
              <w:rPr>
                <w:webHidden/>
              </w:rPr>
              <w:t>59</w:t>
            </w:r>
            <w:r w:rsidR="00C05E7F">
              <w:rPr>
                <w:webHidden/>
              </w:rPr>
              <w:fldChar w:fldCharType="end"/>
            </w:r>
          </w:hyperlink>
        </w:p>
        <w:p w14:paraId="165588E6" w14:textId="67B3C133" w:rsidR="00C05E7F" w:rsidRDefault="000826E7">
          <w:pPr>
            <w:pStyle w:val="TOC2"/>
            <w:rPr>
              <w:rFonts w:eastAsiaTheme="minorEastAsia"/>
              <w:kern w:val="0"/>
              <w:sz w:val="22"/>
              <w:szCs w:val="22"/>
              <w:lang w:eastAsia="en-AU"/>
            </w:rPr>
          </w:pPr>
          <w:hyperlink w:anchor="_Toc175556820" w:history="1">
            <w:r w:rsidR="00C05E7F" w:rsidRPr="00756B76">
              <w:rPr>
                <w:rStyle w:val="Hyperlink"/>
              </w:rPr>
              <w:t>Question 17b: Gender analysis of Australia’s pension fund</w:t>
            </w:r>
            <w:r w:rsidR="00C05E7F">
              <w:rPr>
                <w:webHidden/>
              </w:rPr>
              <w:tab/>
            </w:r>
            <w:r w:rsidR="00C05E7F">
              <w:rPr>
                <w:webHidden/>
              </w:rPr>
              <w:fldChar w:fldCharType="begin"/>
            </w:r>
            <w:r w:rsidR="00C05E7F">
              <w:rPr>
                <w:webHidden/>
              </w:rPr>
              <w:instrText xml:space="preserve"> PAGEREF _Toc175556820 \h </w:instrText>
            </w:r>
            <w:r w:rsidR="00C05E7F">
              <w:rPr>
                <w:webHidden/>
              </w:rPr>
            </w:r>
            <w:r w:rsidR="00C05E7F">
              <w:rPr>
                <w:webHidden/>
              </w:rPr>
              <w:fldChar w:fldCharType="separate"/>
            </w:r>
            <w:r w:rsidR="00C05E7F">
              <w:rPr>
                <w:webHidden/>
              </w:rPr>
              <w:t>60</w:t>
            </w:r>
            <w:r w:rsidR="00C05E7F">
              <w:rPr>
                <w:webHidden/>
              </w:rPr>
              <w:fldChar w:fldCharType="end"/>
            </w:r>
          </w:hyperlink>
        </w:p>
        <w:p w14:paraId="6A7196A0" w14:textId="5ACE578B" w:rsidR="00C05E7F" w:rsidRDefault="000826E7">
          <w:pPr>
            <w:pStyle w:val="TOC2"/>
            <w:rPr>
              <w:rFonts w:eastAsiaTheme="minorEastAsia"/>
              <w:kern w:val="0"/>
              <w:sz w:val="22"/>
              <w:szCs w:val="22"/>
              <w:lang w:eastAsia="en-AU"/>
            </w:rPr>
          </w:pPr>
          <w:hyperlink w:anchor="_Toc175556821" w:history="1">
            <w:r w:rsidR="00C05E7F" w:rsidRPr="00756B76">
              <w:rPr>
                <w:rStyle w:val="Hyperlink"/>
                <w:rFonts w:eastAsiaTheme="majorEastAsia"/>
                <w:lang w:val="en-NZ"/>
              </w:rPr>
              <w:t xml:space="preserve">Question 17c: </w:t>
            </w:r>
            <w:r w:rsidR="00C05E7F" w:rsidRPr="00756B76">
              <w:rPr>
                <w:rStyle w:val="Hyperlink"/>
              </w:rPr>
              <w:t>Respect@Work Report</w:t>
            </w:r>
            <w:r w:rsidR="00C05E7F">
              <w:rPr>
                <w:webHidden/>
              </w:rPr>
              <w:tab/>
            </w:r>
            <w:r w:rsidR="00C05E7F">
              <w:rPr>
                <w:webHidden/>
              </w:rPr>
              <w:fldChar w:fldCharType="begin"/>
            </w:r>
            <w:r w:rsidR="00C05E7F">
              <w:rPr>
                <w:webHidden/>
              </w:rPr>
              <w:instrText xml:space="preserve"> PAGEREF _Toc175556821 \h </w:instrText>
            </w:r>
            <w:r w:rsidR="00C05E7F">
              <w:rPr>
                <w:webHidden/>
              </w:rPr>
            </w:r>
            <w:r w:rsidR="00C05E7F">
              <w:rPr>
                <w:webHidden/>
              </w:rPr>
              <w:fldChar w:fldCharType="separate"/>
            </w:r>
            <w:r w:rsidR="00C05E7F">
              <w:rPr>
                <w:webHidden/>
              </w:rPr>
              <w:t>60</w:t>
            </w:r>
            <w:r w:rsidR="00C05E7F">
              <w:rPr>
                <w:webHidden/>
              </w:rPr>
              <w:fldChar w:fldCharType="end"/>
            </w:r>
          </w:hyperlink>
        </w:p>
        <w:p w14:paraId="22AC655F" w14:textId="0F077C5E" w:rsidR="00C05E7F" w:rsidRDefault="000826E7">
          <w:pPr>
            <w:pStyle w:val="TOC1"/>
            <w:rPr>
              <w:rFonts w:eastAsiaTheme="minorEastAsia"/>
              <w:b w:val="0"/>
              <w:kern w:val="0"/>
              <w:sz w:val="22"/>
              <w:szCs w:val="22"/>
              <w:lang w:eastAsia="en-AU"/>
            </w:rPr>
          </w:pPr>
          <w:hyperlink w:anchor="_Toc175556822" w:history="1">
            <w:r w:rsidR="00C05E7F" w:rsidRPr="00756B76">
              <w:rPr>
                <w:rStyle w:val="Hyperlink"/>
              </w:rPr>
              <w:t>Question 18: Sexual harassment</w:t>
            </w:r>
            <w:r w:rsidR="00C05E7F">
              <w:rPr>
                <w:webHidden/>
              </w:rPr>
              <w:tab/>
            </w:r>
            <w:r w:rsidR="00C05E7F">
              <w:rPr>
                <w:webHidden/>
              </w:rPr>
              <w:fldChar w:fldCharType="begin"/>
            </w:r>
            <w:r w:rsidR="00C05E7F">
              <w:rPr>
                <w:webHidden/>
              </w:rPr>
              <w:instrText xml:space="preserve"> PAGEREF _Toc175556822 \h </w:instrText>
            </w:r>
            <w:r w:rsidR="00C05E7F">
              <w:rPr>
                <w:webHidden/>
              </w:rPr>
            </w:r>
            <w:r w:rsidR="00C05E7F">
              <w:rPr>
                <w:webHidden/>
              </w:rPr>
              <w:fldChar w:fldCharType="separate"/>
            </w:r>
            <w:r w:rsidR="00C05E7F">
              <w:rPr>
                <w:webHidden/>
              </w:rPr>
              <w:t>62</w:t>
            </w:r>
            <w:r w:rsidR="00C05E7F">
              <w:rPr>
                <w:webHidden/>
              </w:rPr>
              <w:fldChar w:fldCharType="end"/>
            </w:r>
          </w:hyperlink>
        </w:p>
        <w:p w14:paraId="4AB9C0E8" w14:textId="7886DD3D" w:rsidR="00C05E7F" w:rsidRDefault="000826E7">
          <w:pPr>
            <w:pStyle w:val="TOC2"/>
            <w:rPr>
              <w:rFonts w:eastAsiaTheme="minorEastAsia"/>
              <w:kern w:val="0"/>
              <w:sz w:val="22"/>
              <w:szCs w:val="22"/>
              <w:lang w:eastAsia="en-AU"/>
            </w:rPr>
          </w:pPr>
          <w:hyperlink w:anchor="_Toc175556823" w:history="1">
            <w:r w:rsidR="00C05E7F" w:rsidRPr="00756B76">
              <w:rPr>
                <w:rStyle w:val="Hyperlink"/>
              </w:rPr>
              <w:t>Addressing workplace sexual harassment</w:t>
            </w:r>
            <w:r w:rsidR="00C05E7F">
              <w:rPr>
                <w:webHidden/>
              </w:rPr>
              <w:tab/>
            </w:r>
            <w:r w:rsidR="00C05E7F">
              <w:rPr>
                <w:webHidden/>
              </w:rPr>
              <w:fldChar w:fldCharType="begin"/>
            </w:r>
            <w:r w:rsidR="00C05E7F">
              <w:rPr>
                <w:webHidden/>
              </w:rPr>
              <w:instrText xml:space="preserve"> PAGEREF _Toc175556823 \h </w:instrText>
            </w:r>
            <w:r w:rsidR="00C05E7F">
              <w:rPr>
                <w:webHidden/>
              </w:rPr>
            </w:r>
            <w:r w:rsidR="00C05E7F">
              <w:rPr>
                <w:webHidden/>
              </w:rPr>
              <w:fldChar w:fldCharType="separate"/>
            </w:r>
            <w:r w:rsidR="00C05E7F">
              <w:rPr>
                <w:webHidden/>
              </w:rPr>
              <w:t>62</w:t>
            </w:r>
            <w:r w:rsidR="00C05E7F">
              <w:rPr>
                <w:webHidden/>
              </w:rPr>
              <w:fldChar w:fldCharType="end"/>
            </w:r>
          </w:hyperlink>
        </w:p>
        <w:p w14:paraId="532A647D" w14:textId="5EC9D0B5" w:rsidR="00C05E7F" w:rsidRDefault="000826E7">
          <w:pPr>
            <w:pStyle w:val="TOC2"/>
            <w:rPr>
              <w:rFonts w:eastAsiaTheme="minorEastAsia"/>
              <w:kern w:val="0"/>
              <w:sz w:val="22"/>
              <w:szCs w:val="22"/>
              <w:lang w:eastAsia="en-AU"/>
            </w:rPr>
          </w:pPr>
          <w:hyperlink w:anchor="_Toc175556824" w:history="1">
            <w:r w:rsidR="00C05E7F" w:rsidRPr="00756B76">
              <w:rPr>
                <w:rStyle w:val="Hyperlink"/>
              </w:rPr>
              <w:t>Independent Review into Commonwealth Parliamentary Workplaces</w:t>
            </w:r>
            <w:r w:rsidR="00C05E7F">
              <w:rPr>
                <w:webHidden/>
              </w:rPr>
              <w:tab/>
            </w:r>
            <w:r w:rsidR="00C05E7F">
              <w:rPr>
                <w:webHidden/>
              </w:rPr>
              <w:fldChar w:fldCharType="begin"/>
            </w:r>
            <w:r w:rsidR="00C05E7F">
              <w:rPr>
                <w:webHidden/>
              </w:rPr>
              <w:instrText xml:space="preserve"> PAGEREF _Toc175556824 \h </w:instrText>
            </w:r>
            <w:r w:rsidR="00C05E7F">
              <w:rPr>
                <w:webHidden/>
              </w:rPr>
            </w:r>
            <w:r w:rsidR="00C05E7F">
              <w:rPr>
                <w:webHidden/>
              </w:rPr>
              <w:fldChar w:fldCharType="separate"/>
            </w:r>
            <w:r w:rsidR="00C05E7F">
              <w:rPr>
                <w:webHidden/>
              </w:rPr>
              <w:t>63</w:t>
            </w:r>
            <w:r w:rsidR="00C05E7F">
              <w:rPr>
                <w:webHidden/>
              </w:rPr>
              <w:fldChar w:fldCharType="end"/>
            </w:r>
          </w:hyperlink>
        </w:p>
        <w:p w14:paraId="1C5DF1F2" w14:textId="30A3C8F2" w:rsidR="00C05E7F" w:rsidRDefault="000826E7">
          <w:pPr>
            <w:pStyle w:val="TOC1"/>
            <w:rPr>
              <w:rFonts w:eastAsiaTheme="minorEastAsia"/>
              <w:b w:val="0"/>
              <w:kern w:val="0"/>
              <w:sz w:val="22"/>
              <w:szCs w:val="22"/>
              <w:lang w:eastAsia="en-AU"/>
            </w:rPr>
          </w:pPr>
          <w:hyperlink w:anchor="_Toc175556825" w:history="1">
            <w:r w:rsidR="00C05E7F" w:rsidRPr="00756B76">
              <w:rPr>
                <w:rStyle w:val="Hyperlink"/>
              </w:rPr>
              <w:t>Question 19: Health</w:t>
            </w:r>
            <w:r w:rsidR="00C05E7F">
              <w:rPr>
                <w:webHidden/>
              </w:rPr>
              <w:tab/>
            </w:r>
            <w:r w:rsidR="00C05E7F">
              <w:rPr>
                <w:webHidden/>
              </w:rPr>
              <w:fldChar w:fldCharType="begin"/>
            </w:r>
            <w:r w:rsidR="00C05E7F">
              <w:rPr>
                <w:webHidden/>
              </w:rPr>
              <w:instrText xml:space="preserve"> PAGEREF _Toc175556825 \h </w:instrText>
            </w:r>
            <w:r w:rsidR="00C05E7F">
              <w:rPr>
                <w:webHidden/>
              </w:rPr>
            </w:r>
            <w:r w:rsidR="00C05E7F">
              <w:rPr>
                <w:webHidden/>
              </w:rPr>
              <w:fldChar w:fldCharType="separate"/>
            </w:r>
            <w:r w:rsidR="00C05E7F">
              <w:rPr>
                <w:webHidden/>
              </w:rPr>
              <w:t>64</w:t>
            </w:r>
            <w:r w:rsidR="00C05E7F">
              <w:rPr>
                <w:webHidden/>
              </w:rPr>
              <w:fldChar w:fldCharType="end"/>
            </w:r>
          </w:hyperlink>
        </w:p>
        <w:p w14:paraId="5B177EEB" w14:textId="53BE1E7C" w:rsidR="00C05E7F" w:rsidRDefault="000826E7">
          <w:pPr>
            <w:pStyle w:val="TOC2"/>
            <w:rPr>
              <w:rFonts w:eastAsiaTheme="minorEastAsia"/>
              <w:kern w:val="0"/>
              <w:sz w:val="22"/>
              <w:szCs w:val="22"/>
              <w:lang w:eastAsia="en-AU"/>
            </w:rPr>
          </w:pPr>
          <w:hyperlink w:anchor="_Toc175556826" w:history="1">
            <w:r w:rsidR="00C05E7F" w:rsidRPr="00756B76">
              <w:rPr>
                <w:rStyle w:val="Hyperlink"/>
              </w:rPr>
              <w:t>Abortion services in Australia’s states and territories</w:t>
            </w:r>
            <w:r w:rsidR="00C05E7F">
              <w:rPr>
                <w:webHidden/>
              </w:rPr>
              <w:tab/>
            </w:r>
            <w:r w:rsidR="00C05E7F">
              <w:rPr>
                <w:webHidden/>
              </w:rPr>
              <w:fldChar w:fldCharType="begin"/>
            </w:r>
            <w:r w:rsidR="00C05E7F">
              <w:rPr>
                <w:webHidden/>
              </w:rPr>
              <w:instrText xml:space="preserve"> PAGEREF _Toc175556826 \h </w:instrText>
            </w:r>
            <w:r w:rsidR="00C05E7F">
              <w:rPr>
                <w:webHidden/>
              </w:rPr>
            </w:r>
            <w:r w:rsidR="00C05E7F">
              <w:rPr>
                <w:webHidden/>
              </w:rPr>
              <w:fldChar w:fldCharType="separate"/>
            </w:r>
            <w:r w:rsidR="00C05E7F">
              <w:rPr>
                <w:webHidden/>
              </w:rPr>
              <w:t>65</w:t>
            </w:r>
            <w:r w:rsidR="00C05E7F">
              <w:rPr>
                <w:webHidden/>
              </w:rPr>
              <w:fldChar w:fldCharType="end"/>
            </w:r>
          </w:hyperlink>
        </w:p>
        <w:p w14:paraId="2F6CEB71" w14:textId="28BD16E6" w:rsidR="00C05E7F" w:rsidRDefault="000826E7">
          <w:pPr>
            <w:pStyle w:val="TOC2"/>
            <w:rPr>
              <w:rFonts w:eastAsiaTheme="minorEastAsia"/>
              <w:kern w:val="0"/>
              <w:sz w:val="22"/>
              <w:szCs w:val="22"/>
              <w:lang w:eastAsia="en-AU"/>
            </w:rPr>
          </w:pPr>
          <w:hyperlink w:anchor="_Toc175556827" w:history="1">
            <w:r w:rsidR="00C05E7F" w:rsidRPr="00756B76">
              <w:rPr>
                <w:rStyle w:val="Hyperlink"/>
              </w:rPr>
              <w:t>Question 19a: Mental health</w:t>
            </w:r>
            <w:r w:rsidR="00C05E7F">
              <w:rPr>
                <w:webHidden/>
              </w:rPr>
              <w:tab/>
            </w:r>
            <w:r w:rsidR="00C05E7F">
              <w:rPr>
                <w:webHidden/>
              </w:rPr>
              <w:fldChar w:fldCharType="begin"/>
            </w:r>
            <w:r w:rsidR="00C05E7F">
              <w:rPr>
                <w:webHidden/>
              </w:rPr>
              <w:instrText xml:space="preserve"> PAGEREF _Toc175556827 \h </w:instrText>
            </w:r>
            <w:r w:rsidR="00C05E7F">
              <w:rPr>
                <w:webHidden/>
              </w:rPr>
            </w:r>
            <w:r w:rsidR="00C05E7F">
              <w:rPr>
                <w:webHidden/>
              </w:rPr>
              <w:fldChar w:fldCharType="separate"/>
            </w:r>
            <w:r w:rsidR="00C05E7F">
              <w:rPr>
                <w:webHidden/>
              </w:rPr>
              <w:t>66</w:t>
            </w:r>
            <w:r w:rsidR="00C05E7F">
              <w:rPr>
                <w:webHidden/>
              </w:rPr>
              <w:fldChar w:fldCharType="end"/>
            </w:r>
          </w:hyperlink>
        </w:p>
        <w:p w14:paraId="00912160" w14:textId="303C3D7B" w:rsidR="00C05E7F" w:rsidRDefault="000826E7">
          <w:pPr>
            <w:pStyle w:val="TOC2"/>
            <w:rPr>
              <w:rFonts w:eastAsiaTheme="minorEastAsia"/>
              <w:kern w:val="0"/>
              <w:sz w:val="22"/>
              <w:szCs w:val="22"/>
              <w:lang w:eastAsia="en-AU"/>
            </w:rPr>
          </w:pPr>
          <w:hyperlink w:anchor="_Toc175556828" w:history="1">
            <w:r w:rsidR="00C05E7F" w:rsidRPr="00756B76">
              <w:rPr>
                <w:rStyle w:val="Hyperlink"/>
              </w:rPr>
              <w:t>Question 19b: Transgender women</w:t>
            </w:r>
            <w:r w:rsidR="00C05E7F">
              <w:rPr>
                <w:webHidden/>
              </w:rPr>
              <w:tab/>
            </w:r>
            <w:r w:rsidR="00C05E7F">
              <w:rPr>
                <w:webHidden/>
              </w:rPr>
              <w:fldChar w:fldCharType="begin"/>
            </w:r>
            <w:r w:rsidR="00C05E7F">
              <w:rPr>
                <w:webHidden/>
              </w:rPr>
              <w:instrText xml:space="preserve"> PAGEREF _Toc175556828 \h </w:instrText>
            </w:r>
            <w:r w:rsidR="00C05E7F">
              <w:rPr>
                <w:webHidden/>
              </w:rPr>
            </w:r>
            <w:r w:rsidR="00C05E7F">
              <w:rPr>
                <w:webHidden/>
              </w:rPr>
              <w:fldChar w:fldCharType="separate"/>
            </w:r>
            <w:r w:rsidR="00C05E7F">
              <w:rPr>
                <w:webHidden/>
              </w:rPr>
              <w:t>69</w:t>
            </w:r>
            <w:r w:rsidR="00C05E7F">
              <w:rPr>
                <w:webHidden/>
              </w:rPr>
              <w:fldChar w:fldCharType="end"/>
            </w:r>
          </w:hyperlink>
        </w:p>
        <w:p w14:paraId="5ABA12C0" w14:textId="3721959E" w:rsidR="00C05E7F" w:rsidRDefault="000826E7">
          <w:pPr>
            <w:pStyle w:val="TOC2"/>
            <w:rPr>
              <w:rFonts w:eastAsiaTheme="minorEastAsia"/>
              <w:kern w:val="0"/>
              <w:sz w:val="22"/>
              <w:szCs w:val="22"/>
              <w:lang w:eastAsia="en-AU"/>
            </w:rPr>
          </w:pPr>
          <w:hyperlink w:anchor="_Toc175556829" w:history="1">
            <w:r w:rsidR="00C05E7F" w:rsidRPr="00756B76">
              <w:rPr>
                <w:rStyle w:val="Hyperlink"/>
              </w:rPr>
              <w:t>Question 19c: Culturally appropriate, gender-sensitive and non-discriminatory health-care services, and training for Indigenous health professionals</w:t>
            </w:r>
            <w:r w:rsidR="00C05E7F">
              <w:rPr>
                <w:webHidden/>
              </w:rPr>
              <w:tab/>
            </w:r>
            <w:r w:rsidR="00C05E7F">
              <w:rPr>
                <w:webHidden/>
              </w:rPr>
              <w:fldChar w:fldCharType="begin"/>
            </w:r>
            <w:r w:rsidR="00C05E7F">
              <w:rPr>
                <w:webHidden/>
              </w:rPr>
              <w:instrText xml:space="preserve"> PAGEREF _Toc175556829 \h </w:instrText>
            </w:r>
            <w:r w:rsidR="00C05E7F">
              <w:rPr>
                <w:webHidden/>
              </w:rPr>
            </w:r>
            <w:r w:rsidR="00C05E7F">
              <w:rPr>
                <w:webHidden/>
              </w:rPr>
              <w:fldChar w:fldCharType="separate"/>
            </w:r>
            <w:r w:rsidR="00C05E7F">
              <w:rPr>
                <w:webHidden/>
              </w:rPr>
              <w:t>72</w:t>
            </w:r>
            <w:r w:rsidR="00C05E7F">
              <w:rPr>
                <w:webHidden/>
              </w:rPr>
              <w:fldChar w:fldCharType="end"/>
            </w:r>
          </w:hyperlink>
        </w:p>
        <w:p w14:paraId="2F6E3667" w14:textId="7E9D43F2" w:rsidR="00C05E7F" w:rsidRDefault="000826E7">
          <w:pPr>
            <w:pStyle w:val="TOC2"/>
            <w:rPr>
              <w:rFonts w:eastAsiaTheme="minorEastAsia"/>
              <w:kern w:val="0"/>
              <w:sz w:val="22"/>
              <w:szCs w:val="22"/>
              <w:lang w:eastAsia="en-AU"/>
            </w:rPr>
          </w:pPr>
          <w:hyperlink w:anchor="_Toc175556830" w:history="1">
            <w:r w:rsidR="00C05E7F" w:rsidRPr="00756B76">
              <w:rPr>
                <w:rStyle w:val="Hyperlink"/>
              </w:rPr>
              <w:t>Question 19d: National strategic framework for the mental health and social and emotional well-being of Aboriginal and Torres Strait Islander peoples including steps taken to address intergenerational trauma in culturally appropriate ways.</w:t>
            </w:r>
            <w:r w:rsidR="00C05E7F">
              <w:rPr>
                <w:webHidden/>
              </w:rPr>
              <w:tab/>
            </w:r>
            <w:r w:rsidR="00C05E7F">
              <w:rPr>
                <w:webHidden/>
              </w:rPr>
              <w:fldChar w:fldCharType="begin"/>
            </w:r>
            <w:r w:rsidR="00C05E7F">
              <w:rPr>
                <w:webHidden/>
              </w:rPr>
              <w:instrText xml:space="preserve"> PAGEREF _Toc175556830 \h </w:instrText>
            </w:r>
            <w:r w:rsidR="00C05E7F">
              <w:rPr>
                <w:webHidden/>
              </w:rPr>
            </w:r>
            <w:r w:rsidR="00C05E7F">
              <w:rPr>
                <w:webHidden/>
              </w:rPr>
              <w:fldChar w:fldCharType="separate"/>
            </w:r>
            <w:r w:rsidR="00C05E7F">
              <w:rPr>
                <w:webHidden/>
              </w:rPr>
              <w:t>74</w:t>
            </w:r>
            <w:r w:rsidR="00C05E7F">
              <w:rPr>
                <w:webHidden/>
              </w:rPr>
              <w:fldChar w:fldCharType="end"/>
            </w:r>
          </w:hyperlink>
        </w:p>
        <w:p w14:paraId="3229ECE1" w14:textId="56090C1F" w:rsidR="00C05E7F" w:rsidRDefault="000826E7">
          <w:pPr>
            <w:pStyle w:val="TOC1"/>
            <w:rPr>
              <w:rFonts w:eastAsiaTheme="minorEastAsia"/>
              <w:b w:val="0"/>
              <w:kern w:val="0"/>
              <w:sz w:val="22"/>
              <w:szCs w:val="22"/>
              <w:lang w:eastAsia="en-AU"/>
            </w:rPr>
          </w:pPr>
          <w:hyperlink w:anchor="_Toc175556831" w:history="1">
            <w:r w:rsidR="00C05E7F" w:rsidRPr="00756B76">
              <w:rPr>
                <w:rStyle w:val="Hyperlink"/>
              </w:rPr>
              <w:t>Question 20: Social and economic benefits</w:t>
            </w:r>
            <w:r w:rsidR="00C05E7F">
              <w:rPr>
                <w:webHidden/>
              </w:rPr>
              <w:tab/>
            </w:r>
            <w:r w:rsidR="00C05E7F">
              <w:rPr>
                <w:webHidden/>
              </w:rPr>
              <w:fldChar w:fldCharType="begin"/>
            </w:r>
            <w:r w:rsidR="00C05E7F">
              <w:rPr>
                <w:webHidden/>
              </w:rPr>
              <w:instrText xml:space="preserve"> PAGEREF _Toc175556831 \h </w:instrText>
            </w:r>
            <w:r w:rsidR="00C05E7F">
              <w:rPr>
                <w:webHidden/>
              </w:rPr>
            </w:r>
            <w:r w:rsidR="00C05E7F">
              <w:rPr>
                <w:webHidden/>
              </w:rPr>
              <w:fldChar w:fldCharType="separate"/>
            </w:r>
            <w:r w:rsidR="00C05E7F">
              <w:rPr>
                <w:webHidden/>
              </w:rPr>
              <w:t>75</w:t>
            </w:r>
            <w:r w:rsidR="00C05E7F">
              <w:rPr>
                <w:webHidden/>
              </w:rPr>
              <w:fldChar w:fldCharType="end"/>
            </w:r>
          </w:hyperlink>
        </w:p>
        <w:p w14:paraId="0D7136F4" w14:textId="29E4BDFF" w:rsidR="00C05E7F" w:rsidRDefault="000826E7">
          <w:pPr>
            <w:pStyle w:val="TOC2"/>
            <w:rPr>
              <w:rFonts w:eastAsiaTheme="minorEastAsia"/>
              <w:kern w:val="0"/>
              <w:sz w:val="22"/>
              <w:szCs w:val="22"/>
              <w:lang w:eastAsia="en-AU"/>
            </w:rPr>
          </w:pPr>
          <w:hyperlink w:anchor="_Toc175556832" w:history="1">
            <w:r w:rsidR="00C05E7F" w:rsidRPr="00756B76">
              <w:rPr>
                <w:rStyle w:val="Hyperlink"/>
              </w:rPr>
              <w:t>Question 20a: Ensuring an adequate standard of living</w:t>
            </w:r>
            <w:r w:rsidR="00C05E7F">
              <w:rPr>
                <w:webHidden/>
              </w:rPr>
              <w:tab/>
            </w:r>
            <w:r w:rsidR="00C05E7F">
              <w:rPr>
                <w:webHidden/>
              </w:rPr>
              <w:fldChar w:fldCharType="begin"/>
            </w:r>
            <w:r w:rsidR="00C05E7F">
              <w:rPr>
                <w:webHidden/>
              </w:rPr>
              <w:instrText xml:space="preserve"> PAGEREF _Toc175556832 \h </w:instrText>
            </w:r>
            <w:r w:rsidR="00C05E7F">
              <w:rPr>
                <w:webHidden/>
              </w:rPr>
            </w:r>
            <w:r w:rsidR="00C05E7F">
              <w:rPr>
                <w:webHidden/>
              </w:rPr>
              <w:fldChar w:fldCharType="separate"/>
            </w:r>
            <w:r w:rsidR="00C05E7F">
              <w:rPr>
                <w:webHidden/>
              </w:rPr>
              <w:t>75</w:t>
            </w:r>
            <w:r w:rsidR="00C05E7F">
              <w:rPr>
                <w:webHidden/>
              </w:rPr>
              <w:fldChar w:fldCharType="end"/>
            </w:r>
          </w:hyperlink>
        </w:p>
        <w:p w14:paraId="4B55DF7E" w14:textId="42217FCA" w:rsidR="00C05E7F" w:rsidRDefault="000826E7">
          <w:pPr>
            <w:pStyle w:val="TOC2"/>
            <w:rPr>
              <w:rFonts w:eastAsiaTheme="minorEastAsia"/>
              <w:kern w:val="0"/>
              <w:sz w:val="22"/>
              <w:szCs w:val="22"/>
              <w:lang w:eastAsia="en-AU"/>
            </w:rPr>
          </w:pPr>
          <w:hyperlink w:anchor="_Toc175556833" w:history="1">
            <w:r w:rsidR="00C05E7F" w:rsidRPr="00756B76">
              <w:rPr>
                <w:rStyle w:val="Hyperlink"/>
              </w:rPr>
              <w:t>Question 20b: Economic empowerment of single mothers</w:t>
            </w:r>
            <w:r w:rsidR="00C05E7F">
              <w:rPr>
                <w:webHidden/>
              </w:rPr>
              <w:tab/>
            </w:r>
            <w:r w:rsidR="00C05E7F">
              <w:rPr>
                <w:webHidden/>
              </w:rPr>
              <w:fldChar w:fldCharType="begin"/>
            </w:r>
            <w:r w:rsidR="00C05E7F">
              <w:rPr>
                <w:webHidden/>
              </w:rPr>
              <w:instrText xml:space="preserve"> PAGEREF _Toc175556833 \h </w:instrText>
            </w:r>
            <w:r w:rsidR="00C05E7F">
              <w:rPr>
                <w:webHidden/>
              </w:rPr>
            </w:r>
            <w:r w:rsidR="00C05E7F">
              <w:rPr>
                <w:webHidden/>
              </w:rPr>
              <w:fldChar w:fldCharType="separate"/>
            </w:r>
            <w:r w:rsidR="00C05E7F">
              <w:rPr>
                <w:webHidden/>
              </w:rPr>
              <w:t>76</w:t>
            </w:r>
            <w:r w:rsidR="00C05E7F">
              <w:rPr>
                <w:webHidden/>
              </w:rPr>
              <w:fldChar w:fldCharType="end"/>
            </w:r>
          </w:hyperlink>
        </w:p>
        <w:p w14:paraId="386BCF19" w14:textId="7D6C9C3E" w:rsidR="00C05E7F" w:rsidRDefault="000826E7">
          <w:pPr>
            <w:pStyle w:val="TOC1"/>
            <w:rPr>
              <w:rFonts w:eastAsiaTheme="minorEastAsia"/>
              <w:b w:val="0"/>
              <w:kern w:val="0"/>
              <w:sz w:val="22"/>
              <w:szCs w:val="22"/>
              <w:lang w:eastAsia="en-AU"/>
            </w:rPr>
          </w:pPr>
          <w:hyperlink w:anchor="_Toc175556834" w:history="1">
            <w:r w:rsidR="00C05E7F" w:rsidRPr="00756B76">
              <w:rPr>
                <w:rStyle w:val="Hyperlink"/>
              </w:rPr>
              <w:t>Question 21: Indigenous women</w:t>
            </w:r>
            <w:r w:rsidR="00C05E7F">
              <w:rPr>
                <w:webHidden/>
              </w:rPr>
              <w:tab/>
            </w:r>
            <w:r w:rsidR="00C05E7F">
              <w:rPr>
                <w:webHidden/>
              </w:rPr>
              <w:fldChar w:fldCharType="begin"/>
            </w:r>
            <w:r w:rsidR="00C05E7F">
              <w:rPr>
                <w:webHidden/>
              </w:rPr>
              <w:instrText xml:space="preserve"> PAGEREF _Toc175556834 \h </w:instrText>
            </w:r>
            <w:r w:rsidR="00C05E7F">
              <w:rPr>
                <w:webHidden/>
              </w:rPr>
            </w:r>
            <w:r w:rsidR="00C05E7F">
              <w:rPr>
                <w:webHidden/>
              </w:rPr>
              <w:fldChar w:fldCharType="separate"/>
            </w:r>
            <w:r w:rsidR="00C05E7F">
              <w:rPr>
                <w:webHidden/>
              </w:rPr>
              <w:t>77</w:t>
            </w:r>
            <w:r w:rsidR="00C05E7F">
              <w:rPr>
                <w:webHidden/>
              </w:rPr>
              <w:fldChar w:fldCharType="end"/>
            </w:r>
          </w:hyperlink>
        </w:p>
        <w:p w14:paraId="1AF4C242" w14:textId="37FF3417" w:rsidR="00C05E7F" w:rsidRDefault="000826E7">
          <w:pPr>
            <w:pStyle w:val="TOC2"/>
            <w:rPr>
              <w:rFonts w:eastAsiaTheme="minorEastAsia"/>
              <w:kern w:val="0"/>
              <w:sz w:val="22"/>
              <w:szCs w:val="22"/>
              <w:lang w:eastAsia="en-AU"/>
            </w:rPr>
          </w:pPr>
          <w:hyperlink w:anchor="_Toc175556835" w:history="1">
            <w:r w:rsidR="00C05E7F" w:rsidRPr="00756B76">
              <w:rPr>
                <w:rStyle w:val="Hyperlink"/>
              </w:rPr>
              <w:t>Question 21a: National Congress of Australia’s First Peoples</w:t>
            </w:r>
            <w:r w:rsidR="00C05E7F">
              <w:rPr>
                <w:webHidden/>
              </w:rPr>
              <w:tab/>
            </w:r>
            <w:r w:rsidR="00C05E7F">
              <w:rPr>
                <w:webHidden/>
              </w:rPr>
              <w:fldChar w:fldCharType="begin"/>
            </w:r>
            <w:r w:rsidR="00C05E7F">
              <w:rPr>
                <w:webHidden/>
              </w:rPr>
              <w:instrText xml:space="preserve"> PAGEREF _Toc175556835 \h </w:instrText>
            </w:r>
            <w:r w:rsidR="00C05E7F">
              <w:rPr>
                <w:webHidden/>
              </w:rPr>
            </w:r>
            <w:r w:rsidR="00C05E7F">
              <w:rPr>
                <w:webHidden/>
              </w:rPr>
              <w:fldChar w:fldCharType="separate"/>
            </w:r>
            <w:r w:rsidR="00C05E7F">
              <w:rPr>
                <w:webHidden/>
              </w:rPr>
              <w:t>77</w:t>
            </w:r>
            <w:r w:rsidR="00C05E7F">
              <w:rPr>
                <w:webHidden/>
              </w:rPr>
              <w:fldChar w:fldCharType="end"/>
            </w:r>
          </w:hyperlink>
        </w:p>
        <w:p w14:paraId="3ACD1F17" w14:textId="1288CD41" w:rsidR="00C05E7F" w:rsidRDefault="000826E7">
          <w:pPr>
            <w:pStyle w:val="TOC2"/>
            <w:rPr>
              <w:rFonts w:eastAsiaTheme="minorEastAsia"/>
              <w:kern w:val="0"/>
              <w:sz w:val="22"/>
              <w:szCs w:val="22"/>
              <w:lang w:eastAsia="en-AU"/>
            </w:rPr>
          </w:pPr>
          <w:hyperlink w:anchor="_Toc175556836" w:history="1">
            <w:r w:rsidR="00C05E7F" w:rsidRPr="00756B76">
              <w:rPr>
                <w:rStyle w:val="Hyperlink"/>
              </w:rPr>
              <w:t>Question 21b: Safe, secure and affordable housing</w:t>
            </w:r>
            <w:r w:rsidR="00C05E7F">
              <w:rPr>
                <w:webHidden/>
              </w:rPr>
              <w:tab/>
            </w:r>
            <w:r w:rsidR="00C05E7F">
              <w:rPr>
                <w:webHidden/>
              </w:rPr>
              <w:fldChar w:fldCharType="begin"/>
            </w:r>
            <w:r w:rsidR="00C05E7F">
              <w:rPr>
                <w:webHidden/>
              </w:rPr>
              <w:instrText xml:space="preserve"> PAGEREF _Toc175556836 \h </w:instrText>
            </w:r>
            <w:r w:rsidR="00C05E7F">
              <w:rPr>
                <w:webHidden/>
              </w:rPr>
            </w:r>
            <w:r w:rsidR="00C05E7F">
              <w:rPr>
                <w:webHidden/>
              </w:rPr>
              <w:fldChar w:fldCharType="separate"/>
            </w:r>
            <w:r w:rsidR="00C05E7F">
              <w:rPr>
                <w:webHidden/>
              </w:rPr>
              <w:t>78</w:t>
            </w:r>
            <w:r w:rsidR="00C05E7F">
              <w:rPr>
                <w:webHidden/>
              </w:rPr>
              <w:fldChar w:fldCharType="end"/>
            </w:r>
          </w:hyperlink>
        </w:p>
        <w:p w14:paraId="6A2E8946" w14:textId="1047E114" w:rsidR="00C05E7F" w:rsidRDefault="000826E7">
          <w:pPr>
            <w:pStyle w:val="TOC1"/>
            <w:rPr>
              <w:rFonts w:eastAsiaTheme="minorEastAsia"/>
              <w:b w:val="0"/>
              <w:kern w:val="0"/>
              <w:sz w:val="22"/>
              <w:szCs w:val="22"/>
              <w:lang w:eastAsia="en-AU"/>
            </w:rPr>
          </w:pPr>
          <w:hyperlink w:anchor="_Toc175556837" w:history="1">
            <w:r w:rsidR="00C05E7F" w:rsidRPr="00756B76">
              <w:rPr>
                <w:rStyle w:val="Hyperlink"/>
              </w:rPr>
              <w:t>Question 22: Refugee and asylum-seeking women</w:t>
            </w:r>
            <w:r w:rsidR="00C05E7F">
              <w:rPr>
                <w:webHidden/>
              </w:rPr>
              <w:tab/>
            </w:r>
            <w:r w:rsidR="00C05E7F">
              <w:rPr>
                <w:webHidden/>
              </w:rPr>
              <w:fldChar w:fldCharType="begin"/>
            </w:r>
            <w:r w:rsidR="00C05E7F">
              <w:rPr>
                <w:webHidden/>
              </w:rPr>
              <w:instrText xml:space="preserve"> PAGEREF _Toc175556837 \h </w:instrText>
            </w:r>
            <w:r w:rsidR="00C05E7F">
              <w:rPr>
                <w:webHidden/>
              </w:rPr>
            </w:r>
            <w:r w:rsidR="00C05E7F">
              <w:rPr>
                <w:webHidden/>
              </w:rPr>
              <w:fldChar w:fldCharType="separate"/>
            </w:r>
            <w:r w:rsidR="00C05E7F">
              <w:rPr>
                <w:webHidden/>
              </w:rPr>
              <w:t>79</w:t>
            </w:r>
            <w:r w:rsidR="00C05E7F">
              <w:rPr>
                <w:webHidden/>
              </w:rPr>
              <w:fldChar w:fldCharType="end"/>
            </w:r>
          </w:hyperlink>
        </w:p>
        <w:p w14:paraId="16552D0E" w14:textId="1462B614" w:rsidR="00C05E7F" w:rsidRDefault="000826E7">
          <w:pPr>
            <w:pStyle w:val="TOC2"/>
            <w:rPr>
              <w:rFonts w:eastAsiaTheme="minorEastAsia"/>
              <w:kern w:val="0"/>
              <w:sz w:val="22"/>
              <w:szCs w:val="22"/>
              <w:lang w:eastAsia="en-AU"/>
            </w:rPr>
          </w:pPr>
          <w:hyperlink w:anchor="_Toc175556838" w:history="1">
            <w:r w:rsidR="00C05E7F" w:rsidRPr="00756B76">
              <w:rPr>
                <w:rStyle w:val="Hyperlink"/>
              </w:rPr>
              <w:t>Question 22a: Intercepting and returning asylum-seeking women and girls arriving by sea</w:t>
            </w:r>
            <w:r w:rsidR="00C05E7F">
              <w:rPr>
                <w:webHidden/>
              </w:rPr>
              <w:tab/>
            </w:r>
            <w:r w:rsidR="00C05E7F">
              <w:rPr>
                <w:webHidden/>
              </w:rPr>
              <w:fldChar w:fldCharType="begin"/>
            </w:r>
            <w:r w:rsidR="00C05E7F">
              <w:rPr>
                <w:webHidden/>
              </w:rPr>
              <w:instrText xml:space="preserve"> PAGEREF _Toc175556838 \h </w:instrText>
            </w:r>
            <w:r w:rsidR="00C05E7F">
              <w:rPr>
                <w:webHidden/>
              </w:rPr>
            </w:r>
            <w:r w:rsidR="00C05E7F">
              <w:rPr>
                <w:webHidden/>
              </w:rPr>
              <w:fldChar w:fldCharType="separate"/>
            </w:r>
            <w:r w:rsidR="00C05E7F">
              <w:rPr>
                <w:webHidden/>
              </w:rPr>
              <w:t>79</w:t>
            </w:r>
            <w:r w:rsidR="00C05E7F">
              <w:rPr>
                <w:webHidden/>
              </w:rPr>
              <w:fldChar w:fldCharType="end"/>
            </w:r>
          </w:hyperlink>
        </w:p>
        <w:p w14:paraId="5CAE37C5" w14:textId="3AEF9DC3" w:rsidR="00C05E7F" w:rsidRDefault="000826E7">
          <w:pPr>
            <w:pStyle w:val="TOC2"/>
            <w:rPr>
              <w:rFonts w:eastAsiaTheme="minorEastAsia"/>
              <w:kern w:val="0"/>
              <w:sz w:val="22"/>
              <w:szCs w:val="22"/>
              <w:lang w:eastAsia="en-AU"/>
            </w:rPr>
          </w:pPr>
          <w:hyperlink w:anchor="_Toc175556839" w:history="1">
            <w:r w:rsidR="00C05E7F" w:rsidRPr="00756B76">
              <w:rPr>
                <w:rStyle w:val="Hyperlink"/>
              </w:rPr>
              <w:t>Question 22b: Regional processing arrangements</w:t>
            </w:r>
            <w:r w:rsidR="00C05E7F">
              <w:rPr>
                <w:webHidden/>
              </w:rPr>
              <w:tab/>
            </w:r>
            <w:r w:rsidR="00C05E7F">
              <w:rPr>
                <w:webHidden/>
              </w:rPr>
              <w:fldChar w:fldCharType="begin"/>
            </w:r>
            <w:r w:rsidR="00C05E7F">
              <w:rPr>
                <w:webHidden/>
              </w:rPr>
              <w:instrText xml:space="preserve"> PAGEREF _Toc175556839 \h </w:instrText>
            </w:r>
            <w:r w:rsidR="00C05E7F">
              <w:rPr>
                <w:webHidden/>
              </w:rPr>
            </w:r>
            <w:r w:rsidR="00C05E7F">
              <w:rPr>
                <w:webHidden/>
              </w:rPr>
              <w:fldChar w:fldCharType="separate"/>
            </w:r>
            <w:r w:rsidR="00C05E7F">
              <w:rPr>
                <w:webHidden/>
              </w:rPr>
              <w:t>80</w:t>
            </w:r>
            <w:r w:rsidR="00C05E7F">
              <w:rPr>
                <w:webHidden/>
              </w:rPr>
              <w:fldChar w:fldCharType="end"/>
            </w:r>
          </w:hyperlink>
        </w:p>
        <w:p w14:paraId="229E578F" w14:textId="41AA6763" w:rsidR="00C05E7F" w:rsidRDefault="000826E7">
          <w:pPr>
            <w:pStyle w:val="TOC2"/>
            <w:rPr>
              <w:rFonts w:eastAsiaTheme="minorEastAsia"/>
              <w:kern w:val="0"/>
              <w:sz w:val="22"/>
              <w:szCs w:val="22"/>
              <w:lang w:eastAsia="en-AU"/>
            </w:rPr>
          </w:pPr>
          <w:hyperlink w:anchor="_Toc175556840" w:history="1">
            <w:r w:rsidR="00C05E7F" w:rsidRPr="00756B76">
              <w:rPr>
                <w:rStyle w:val="Hyperlink"/>
              </w:rPr>
              <w:t>Question 22c: Mandatory detention</w:t>
            </w:r>
            <w:r w:rsidR="00C05E7F">
              <w:rPr>
                <w:webHidden/>
              </w:rPr>
              <w:tab/>
            </w:r>
            <w:r w:rsidR="00C05E7F">
              <w:rPr>
                <w:webHidden/>
              </w:rPr>
              <w:fldChar w:fldCharType="begin"/>
            </w:r>
            <w:r w:rsidR="00C05E7F">
              <w:rPr>
                <w:webHidden/>
              </w:rPr>
              <w:instrText xml:space="preserve"> PAGEREF _Toc175556840 \h </w:instrText>
            </w:r>
            <w:r w:rsidR="00C05E7F">
              <w:rPr>
                <w:webHidden/>
              </w:rPr>
            </w:r>
            <w:r w:rsidR="00C05E7F">
              <w:rPr>
                <w:webHidden/>
              </w:rPr>
              <w:fldChar w:fldCharType="separate"/>
            </w:r>
            <w:r w:rsidR="00C05E7F">
              <w:rPr>
                <w:webHidden/>
              </w:rPr>
              <w:t>81</w:t>
            </w:r>
            <w:r w:rsidR="00C05E7F">
              <w:rPr>
                <w:webHidden/>
              </w:rPr>
              <w:fldChar w:fldCharType="end"/>
            </w:r>
          </w:hyperlink>
        </w:p>
        <w:p w14:paraId="2F91DE5E" w14:textId="690E443A" w:rsidR="00C05E7F" w:rsidRDefault="000826E7">
          <w:pPr>
            <w:pStyle w:val="TOC2"/>
            <w:rPr>
              <w:rFonts w:eastAsiaTheme="minorEastAsia"/>
              <w:kern w:val="0"/>
              <w:sz w:val="22"/>
              <w:szCs w:val="22"/>
              <w:lang w:eastAsia="en-AU"/>
            </w:rPr>
          </w:pPr>
          <w:hyperlink w:anchor="_Toc175556841" w:history="1">
            <w:r w:rsidR="00C05E7F" w:rsidRPr="00756B76">
              <w:rPr>
                <w:rStyle w:val="Hyperlink"/>
              </w:rPr>
              <w:t>Question 22d: Access to health and education</w:t>
            </w:r>
            <w:r w:rsidR="00C05E7F">
              <w:rPr>
                <w:webHidden/>
              </w:rPr>
              <w:tab/>
            </w:r>
            <w:r w:rsidR="00C05E7F">
              <w:rPr>
                <w:webHidden/>
              </w:rPr>
              <w:fldChar w:fldCharType="begin"/>
            </w:r>
            <w:r w:rsidR="00C05E7F">
              <w:rPr>
                <w:webHidden/>
              </w:rPr>
              <w:instrText xml:space="preserve"> PAGEREF _Toc175556841 \h </w:instrText>
            </w:r>
            <w:r w:rsidR="00C05E7F">
              <w:rPr>
                <w:webHidden/>
              </w:rPr>
            </w:r>
            <w:r w:rsidR="00C05E7F">
              <w:rPr>
                <w:webHidden/>
              </w:rPr>
              <w:fldChar w:fldCharType="separate"/>
            </w:r>
            <w:r w:rsidR="00C05E7F">
              <w:rPr>
                <w:webHidden/>
              </w:rPr>
              <w:t>81</w:t>
            </w:r>
            <w:r w:rsidR="00C05E7F">
              <w:rPr>
                <w:webHidden/>
              </w:rPr>
              <w:fldChar w:fldCharType="end"/>
            </w:r>
          </w:hyperlink>
        </w:p>
        <w:p w14:paraId="0A0C98B0" w14:textId="7AD28A92" w:rsidR="00C05E7F" w:rsidRDefault="000826E7">
          <w:pPr>
            <w:pStyle w:val="TOC2"/>
            <w:rPr>
              <w:rFonts w:eastAsiaTheme="minorEastAsia"/>
              <w:kern w:val="0"/>
              <w:sz w:val="22"/>
              <w:szCs w:val="22"/>
              <w:lang w:eastAsia="en-AU"/>
            </w:rPr>
          </w:pPr>
          <w:hyperlink w:anchor="_Toc175556842" w:history="1">
            <w:r w:rsidR="00C05E7F" w:rsidRPr="00756B76">
              <w:rPr>
                <w:rStyle w:val="Hyperlink"/>
                <w:lang w:val="en-NZ"/>
              </w:rPr>
              <w:t xml:space="preserve">Question 22e: </w:t>
            </w:r>
            <w:r w:rsidR="00C05E7F" w:rsidRPr="00756B76">
              <w:rPr>
                <w:rStyle w:val="Hyperlink"/>
              </w:rPr>
              <w:t>Status resolution support services</w:t>
            </w:r>
            <w:r w:rsidR="00C05E7F">
              <w:rPr>
                <w:webHidden/>
              </w:rPr>
              <w:tab/>
            </w:r>
            <w:r w:rsidR="00C05E7F">
              <w:rPr>
                <w:webHidden/>
              </w:rPr>
              <w:fldChar w:fldCharType="begin"/>
            </w:r>
            <w:r w:rsidR="00C05E7F">
              <w:rPr>
                <w:webHidden/>
              </w:rPr>
              <w:instrText xml:space="preserve"> PAGEREF _Toc175556842 \h </w:instrText>
            </w:r>
            <w:r w:rsidR="00C05E7F">
              <w:rPr>
                <w:webHidden/>
              </w:rPr>
            </w:r>
            <w:r w:rsidR="00C05E7F">
              <w:rPr>
                <w:webHidden/>
              </w:rPr>
              <w:fldChar w:fldCharType="separate"/>
            </w:r>
            <w:r w:rsidR="00C05E7F">
              <w:rPr>
                <w:webHidden/>
              </w:rPr>
              <w:t>82</w:t>
            </w:r>
            <w:r w:rsidR="00C05E7F">
              <w:rPr>
                <w:webHidden/>
              </w:rPr>
              <w:fldChar w:fldCharType="end"/>
            </w:r>
          </w:hyperlink>
        </w:p>
        <w:p w14:paraId="204A57EE" w14:textId="5BA08C00" w:rsidR="00C05E7F" w:rsidRDefault="000826E7">
          <w:pPr>
            <w:pStyle w:val="TOC2"/>
            <w:rPr>
              <w:rFonts w:eastAsiaTheme="minorEastAsia"/>
              <w:kern w:val="0"/>
              <w:sz w:val="22"/>
              <w:szCs w:val="22"/>
              <w:lang w:eastAsia="en-AU"/>
            </w:rPr>
          </w:pPr>
          <w:hyperlink w:anchor="_Toc175556843" w:history="1">
            <w:r w:rsidR="00C05E7F" w:rsidRPr="00756B76">
              <w:rPr>
                <w:rStyle w:val="Hyperlink"/>
              </w:rPr>
              <w:t>Question 22f: Gender-based violence in immigration facilities</w:t>
            </w:r>
            <w:r w:rsidR="00C05E7F">
              <w:rPr>
                <w:webHidden/>
              </w:rPr>
              <w:tab/>
            </w:r>
            <w:r w:rsidR="00C05E7F">
              <w:rPr>
                <w:webHidden/>
              </w:rPr>
              <w:fldChar w:fldCharType="begin"/>
            </w:r>
            <w:r w:rsidR="00C05E7F">
              <w:rPr>
                <w:webHidden/>
              </w:rPr>
              <w:instrText xml:space="preserve"> PAGEREF _Toc175556843 \h </w:instrText>
            </w:r>
            <w:r w:rsidR="00C05E7F">
              <w:rPr>
                <w:webHidden/>
              </w:rPr>
            </w:r>
            <w:r w:rsidR="00C05E7F">
              <w:rPr>
                <w:webHidden/>
              </w:rPr>
              <w:fldChar w:fldCharType="separate"/>
            </w:r>
            <w:r w:rsidR="00C05E7F">
              <w:rPr>
                <w:webHidden/>
              </w:rPr>
              <w:t>83</w:t>
            </w:r>
            <w:r w:rsidR="00C05E7F">
              <w:rPr>
                <w:webHidden/>
              </w:rPr>
              <w:fldChar w:fldCharType="end"/>
            </w:r>
          </w:hyperlink>
        </w:p>
        <w:p w14:paraId="5F1BFD95" w14:textId="46DF33C6" w:rsidR="00C05E7F" w:rsidRDefault="000826E7">
          <w:pPr>
            <w:pStyle w:val="TOC1"/>
            <w:rPr>
              <w:rFonts w:eastAsiaTheme="minorEastAsia"/>
              <w:b w:val="0"/>
              <w:kern w:val="0"/>
              <w:sz w:val="22"/>
              <w:szCs w:val="22"/>
              <w:lang w:eastAsia="en-AU"/>
            </w:rPr>
          </w:pPr>
          <w:hyperlink w:anchor="_Toc175556844" w:history="1">
            <w:r w:rsidR="00C05E7F" w:rsidRPr="00756B76">
              <w:rPr>
                <w:rStyle w:val="Hyperlink"/>
              </w:rPr>
              <w:t>Question 23: Women in criminal justice detention</w:t>
            </w:r>
            <w:r w:rsidR="00C05E7F">
              <w:rPr>
                <w:webHidden/>
              </w:rPr>
              <w:tab/>
            </w:r>
            <w:r w:rsidR="00C05E7F">
              <w:rPr>
                <w:webHidden/>
              </w:rPr>
              <w:fldChar w:fldCharType="begin"/>
            </w:r>
            <w:r w:rsidR="00C05E7F">
              <w:rPr>
                <w:webHidden/>
              </w:rPr>
              <w:instrText xml:space="preserve"> PAGEREF _Toc175556844 \h </w:instrText>
            </w:r>
            <w:r w:rsidR="00C05E7F">
              <w:rPr>
                <w:webHidden/>
              </w:rPr>
            </w:r>
            <w:r w:rsidR="00C05E7F">
              <w:rPr>
                <w:webHidden/>
              </w:rPr>
              <w:fldChar w:fldCharType="separate"/>
            </w:r>
            <w:r w:rsidR="00C05E7F">
              <w:rPr>
                <w:webHidden/>
              </w:rPr>
              <w:t>83</w:t>
            </w:r>
            <w:r w:rsidR="00C05E7F">
              <w:rPr>
                <w:webHidden/>
              </w:rPr>
              <w:fldChar w:fldCharType="end"/>
            </w:r>
          </w:hyperlink>
        </w:p>
        <w:p w14:paraId="4FDC18D7" w14:textId="284F40EE" w:rsidR="00C05E7F" w:rsidRDefault="000826E7">
          <w:pPr>
            <w:pStyle w:val="TOC2"/>
            <w:rPr>
              <w:rFonts w:eastAsiaTheme="minorEastAsia"/>
              <w:kern w:val="0"/>
              <w:sz w:val="22"/>
              <w:szCs w:val="22"/>
              <w:lang w:eastAsia="en-AU"/>
            </w:rPr>
          </w:pPr>
          <w:hyperlink w:anchor="_Toc175556845" w:history="1">
            <w:r w:rsidR="00C05E7F" w:rsidRPr="00756B76">
              <w:rPr>
                <w:rStyle w:val="Hyperlink"/>
              </w:rPr>
              <w:t>Question 23a: Holistic early intervention, design prevention and diversion strategies</w:t>
            </w:r>
            <w:r w:rsidR="00C05E7F">
              <w:rPr>
                <w:webHidden/>
              </w:rPr>
              <w:tab/>
            </w:r>
            <w:r w:rsidR="00C05E7F">
              <w:rPr>
                <w:webHidden/>
              </w:rPr>
              <w:fldChar w:fldCharType="begin"/>
            </w:r>
            <w:r w:rsidR="00C05E7F">
              <w:rPr>
                <w:webHidden/>
              </w:rPr>
              <w:instrText xml:space="preserve"> PAGEREF _Toc175556845 \h </w:instrText>
            </w:r>
            <w:r w:rsidR="00C05E7F">
              <w:rPr>
                <w:webHidden/>
              </w:rPr>
            </w:r>
            <w:r w:rsidR="00C05E7F">
              <w:rPr>
                <w:webHidden/>
              </w:rPr>
              <w:fldChar w:fldCharType="separate"/>
            </w:r>
            <w:r w:rsidR="00C05E7F">
              <w:rPr>
                <w:webHidden/>
              </w:rPr>
              <w:t>83</w:t>
            </w:r>
            <w:r w:rsidR="00C05E7F">
              <w:rPr>
                <w:webHidden/>
              </w:rPr>
              <w:fldChar w:fldCharType="end"/>
            </w:r>
          </w:hyperlink>
        </w:p>
        <w:p w14:paraId="49B1D688" w14:textId="248FCFE2" w:rsidR="00C05E7F" w:rsidRDefault="000826E7">
          <w:pPr>
            <w:pStyle w:val="TOC2"/>
            <w:rPr>
              <w:rFonts w:eastAsiaTheme="minorEastAsia"/>
              <w:kern w:val="0"/>
              <w:sz w:val="22"/>
              <w:szCs w:val="22"/>
              <w:lang w:eastAsia="en-AU"/>
            </w:rPr>
          </w:pPr>
          <w:hyperlink w:anchor="_Toc175556846" w:history="1">
            <w:r w:rsidR="00C05E7F" w:rsidRPr="00756B76">
              <w:rPr>
                <w:rStyle w:val="Hyperlink"/>
              </w:rPr>
              <w:t>Question 23b: Supporting the needs of women in prison</w:t>
            </w:r>
            <w:r w:rsidR="00C05E7F">
              <w:rPr>
                <w:webHidden/>
              </w:rPr>
              <w:tab/>
            </w:r>
            <w:r w:rsidR="00C05E7F">
              <w:rPr>
                <w:webHidden/>
              </w:rPr>
              <w:fldChar w:fldCharType="begin"/>
            </w:r>
            <w:r w:rsidR="00C05E7F">
              <w:rPr>
                <w:webHidden/>
              </w:rPr>
              <w:instrText xml:space="preserve"> PAGEREF _Toc175556846 \h </w:instrText>
            </w:r>
            <w:r w:rsidR="00C05E7F">
              <w:rPr>
                <w:webHidden/>
              </w:rPr>
            </w:r>
            <w:r w:rsidR="00C05E7F">
              <w:rPr>
                <w:webHidden/>
              </w:rPr>
              <w:fldChar w:fldCharType="separate"/>
            </w:r>
            <w:r w:rsidR="00C05E7F">
              <w:rPr>
                <w:webHidden/>
              </w:rPr>
              <w:t>85</w:t>
            </w:r>
            <w:r w:rsidR="00C05E7F">
              <w:rPr>
                <w:webHidden/>
              </w:rPr>
              <w:fldChar w:fldCharType="end"/>
            </w:r>
          </w:hyperlink>
        </w:p>
        <w:p w14:paraId="468004DC" w14:textId="3C6CF38D" w:rsidR="00C05E7F" w:rsidRDefault="000826E7">
          <w:pPr>
            <w:pStyle w:val="TOC2"/>
            <w:rPr>
              <w:rFonts w:eastAsiaTheme="minorEastAsia"/>
              <w:kern w:val="0"/>
              <w:sz w:val="22"/>
              <w:szCs w:val="22"/>
              <w:lang w:eastAsia="en-AU"/>
            </w:rPr>
          </w:pPr>
          <w:hyperlink w:anchor="_Toc175556847" w:history="1">
            <w:r w:rsidR="00C05E7F" w:rsidRPr="00756B76">
              <w:rPr>
                <w:rStyle w:val="Hyperlink"/>
              </w:rPr>
              <w:t>Question 23c: Comprehensive health screening</w:t>
            </w:r>
            <w:r w:rsidR="00C05E7F">
              <w:rPr>
                <w:webHidden/>
              </w:rPr>
              <w:tab/>
            </w:r>
            <w:r w:rsidR="00C05E7F">
              <w:rPr>
                <w:webHidden/>
              </w:rPr>
              <w:fldChar w:fldCharType="begin"/>
            </w:r>
            <w:r w:rsidR="00C05E7F">
              <w:rPr>
                <w:webHidden/>
              </w:rPr>
              <w:instrText xml:space="preserve"> PAGEREF _Toc175556847 \h </w:instrText>
            </w:r>
            <w:r w:rsidR="00C05E7F">
              <w:rPr>
                <w:webHidden/>
              </w:rPr>
            </w:r>
            <w:r w:rsidR="00C05E7F">
              <w:rPr>
                <w:webHidden/>
              </w:rPr>
              <w:fldChar w:fldCharType="separate"/>
            </w:r>
            <w:r w:rsidR="00C05E7F">
              <w:rPr>
                <w:webHidden/>
              </w:rPr>
              <w:t>86</w:t>
            </w:r>
            <w:r w:rsidR="00C05E7F">
              <w:rPr>
                <w:webHidden/>
              </w:rPr>
              <w:fldChar w:fldCharType="end"/>
            </w:r>
          </w:hyperlink>
        </w:p>
        <w:p w14:paraId="38474384" w14:textId="1CDD44D0" w:rsidR="00C05E7F" w:rsidRDefault="000826E7">
          <w:pPr>
            <w:pStyle w:val="TOC2"/>
            <w:rPr>
              <w:rFonts w:eastAsiaTheme="minorEastAsia"/>
              <w:kern w:val="0"/>
              <w:sz w:val="22"/>
              <w:szCs w:val="22"/>
              <w:lang w:eastAsia="en-AU"/>
            </w:rPr>
          </w:pPr>
          <w:hyperlink w:anchor="_Toc175556848" w:history="1">
            <w:r w:rsidR="00C05E7F" w:rsidRPr="00756B76">
              <w:rPr>
                <w:rStyle w:val="Hyperlink"/>
              </w:rPr>
              <w:t>Question 23d: Gender-sensitive training and behaviour of correctional staff, and complaints mechanisms</w:t>
            </w:r>
            <w:r w:rsidR="00C05E7F">
              <w:rPr>
                <w:webHidden/>
              </w:rPr>
              <w:tab/>
            </w:r>
            <w:r w:rsidR="00C05E7F">
              <w:rPr>
                <w:webHidden/>
              </w:rPr>
              <w:fldChar w:fldCharType="begin"/>
            </w:r>
            <w:r w:rsidR="00C05E7F">
              <w:rPr>
                <w:webHidden/>
              </w:rPr>
              <w:instrText xml:space="preserve"> PAGEREF _Toc175556848 \h </w:instrText>
            </w:r>
            <w:r w:rsidR="00C05E7F">
              <w:rPr>
                <w:webHidden/>
              </w:rPr>
            </w:r>
            <w:r w:rsidR="00C05E7F">
              <w:rPr>
                <w:webHidden/>
              </w:rPr>
              <w:fldChar w:fldCharType="separate"/>
            </w:r>
            <w:r w:rsidR="00C05E7F">
              <w:rPr>
                <w:webHidden/>
              </w:rPr>
              <w:t>87</w:t>
            </w:r>
            <w:r w:rsidR="00C05E7F">
              <w:rPr>
                <w:webHidden/>
              </w:rPr>
              <w:fldChar w:fldCharType="end"/>
            </w:r>
          </w:hyperlink>
        </w:p>
        <w:p w14:paraId="20F5DF65" w14:textId="384E921B" w:rsidR="00C05E7F" w:rsidRDefault="000826E7">
          <w:pPr>
            <w:pStyle w:val="TOC2"/>
            <w:rPr>
              <w:rFonts w:eastAsiaTheme="minorEastAsia"/>
              <w:kern w:val="0"/>
              <w:sz w:val="22"/>
              <w:szCs w:val="22"/>
              <w:lang w:eastAsia="en-AU"/>
            </w:rPr>
          </w:pPr>
          <w:hyperlink w:anchor="_Toc175556849" w:history="1">
            <w:r w:rsidR="00C05E7F" w:rsidRPr="00756B76">
              <w:rPr>
                <w:rStyle w:val="Hyperlink"/>
              </w:rPr>
              <w:t>Question 23e: Investigations, prosecutions and punishments of cases of sexual violence against women in detention</w:t>
            </w:r>
            <w:r w:rsidR="00C05E7F">
              <w:rPr>
                <w:webHidden/>
              </w:rPr>
              <w:tab/>
            </w:r>
            <w:r w:rsidR="00C05E7F">
              <w:rPr>
                <w:webHidden/>
              </w:rPr>
              <w:fldChar w:fldCharType="begin"/>
            </w:r>
            <w:r w:rsidR="00C05E7F">
              <w:rPr>
                <w:webHidden/>
              </w:rPr>
              <w:instrText xml:space="preserve"> PAGEREF _Toc175556849 \h </w:instrText>
            </w:r>
            <w:r w:rsidR="00C05E7F">
              <w:rPr>
                <w:webHidden/>
              </w:rPr>
            </w:r>
            <w:r w:rsidR="00C05E7F">
              <w:rPr>
                <w:webHidden/>
              </w:rPr>
              <w:fldChar w:fldCharType="separate"/>
            </w:r>
            <w:r w:rsidR="00C05E7F">
              <w:rPr>
                <w:webHidden/>
              </w:rPr>
              <w:t>88</w:t>
            </w:r>
            <w:r w:rsidR="00C05E7F">
              <w:rPr>
                <w:webHidden/>
              </w:rPr>
              <w:fldChar w:fldCharType="end"/>
            </w:r>
          </w:hyperlink>
        </w:p>
        <w:p w14:paraId="1387E143" w14:textId="461EE41C" w:rsidR="00C05E7F" w:rsidRDefault="000826E7">
          <w:pPr>
            <w:pStyle w:val="TOC2"/>
            <w:rPr>
              <w:rFonts w:eastAsiaTheme="minorEastAsia"/>
              <w:kern w:val="0"/>
              <w:sz w:val="22"/>
              <w:szCs w:val="22"/>
              <w:lang w:eastAsia="en-AU"/>
            </w:rPr>
          </w:pPr>
          <w:hyperlink w:anchor="_Toc175556850" w:history="1">
            <w:r w:rsidR="00C05E7F" w:rsidRPr="00756B76">
              <w:rPr>
                <w:rStyle w:val="Hyperlink"/>
              </w:rPr>
              <w:t>Question 23f: Alternative screening methods</w:t>
            </w:r>
            <w:r w:rsidR="00C05E7F">
              <w:rPr>
                <w:webHidden/>
              </w:rPr>
              <w:tab/>
            </w:r>
            <w:r w:rsidR="00C05E7F">
              <w:rPr>
                <w:webHidden/>
              </w:rPr>
              <w:fldChar w:fldCharType="begin"/>
            </w:r>
            <w:r w:rsidR="00C05E7F">
              <w:rPr>
                <w:webHidden/>
              </w:rPr>
              <w:instrText xml:space="preserve"> PAGEREF _Toc175556850 \h </w:instrText>
            </w:r>
            <w:r w:rsidR="00C05E7F">
              <w:rPr>
                <w:webHidden/>
              </w:rPr>
            </w:r>
            <w:r w:rsidR="00C05E7F">
              <w:rPr>
                <w:webHidden/>
              </w:rPr>
              <w:fldChar w:fldCharType="separate"/>
            </w:r>
            <w:r w:rsidR="00C05E7F">
              <w:rPr>
                <w:webHidden/>
              </w:rPr>
              <w:t>89</w:t>
            </w:r>
            <w:r w:rsidR="00C05E7F">
              <w:rPr>
                <w:webHidden/>
              </w:rPr>
              <w:fldChar w:fldCharType="end"/>
            </w:r>
          </w:hyperlink>
        </w:p>
        <w:p w14:paraId="5ED98A53" w14:textId="2C584A01" w:rsidR="00C05E7F" w:rsidRDefault="000826E7">
          <w:pPr>
            <w:pStyle w:val="TOC2"/>
            <w:rPr>
              <w:rFonts w:eastAsiaTheme="minorEastAsia"/>
              <w:kern w:val="0"/>
              <w:sz w:val="22"/>
              <w:szCs w:val="22"/>
              <w:lang w:eastAsia="en-AU"/>
            </w:rPr>
          </w:pPr>
          <w:hyperlink w:anchor="_Toc175556851" w:history="1">
            <w:r w:rsidR="00C05E7F" w:rsidRPr="00756B76">
              <w:rPr>
                <w:rStyle w:val="Hyperlink"/>
              </w:rPr>
              <w:t>Question 23g: Women’s conditions of detention</w:t>
            </w:r>
            <w:r w:rsidR="00C05E7F">
              <w:rPr>
                <w:webHidden/>
              </w:rPr>
              <w:tab/>
            </w:r>
            <w:r w:rsidR="00C05E7F">
              <w:rPr>
                <w:webHidden/>
              </w:rPr>
              <w:fldChar w:fldCharType="begin"/>
            </w:r>
            <w:r w:rsidR="00C05E7F">
              <w:rPr>
                <w:webHidden/>
              </w:rPr>
              <w:instrText xml:space="preserve"> PAGEREF _Toc175556851 \h </w:instrText>
            </w:r>
            <w:r w:rsidR="00C05E7F">
              <w:rPr>
                <w:webHidden/>
              </w:rPr>
            </w:r>
            <w:r w:rsidR="00C05E7F">
              <w:rPr>
                <w:webHidden/>
              </w:rPr>
              <w:fldChar w:fldCharType="separate"/>
            </w:r>
            <w:r w:rsidR="00C05E7F">
              <w:rPr>
                <w:webHidden/>
              </w:rPr>
              <w:t>91</w:t>
            </w:r>
            <w:r w:rsidR="00C05E7F">
              <w:rPr>
                <w:webHidden/>
              </w:rPr>
              <w:fldChar w:fldCharType="end"/>
            </w:r>
          </w:hyperlink>
        </w:p>
        <w:p w14:paraId="5A9C7AD3" w14:textId="371CA5D9" w:rsidR="00C05E7F" w:rsidRDefault="000826E7">
          <w:pPr>
            <w:pStyle w:val="TOC1"/>
            <w:rPr>
              <w:rFonts w:eastAsiaTheme="minorEastAsia"/>
              <w:b w:val="0"/>
              <w:kern w:val="0"/>
              <w:sz w:val="22"/>
              <w:szCs w:val="22"/>
              <w:lang w:eastAsia="en-AU"/>
            </w:rPr>
          </w:pPr>
          <w:hyperlink w:anchor="_Toc175556852" w:history="1">
            <w:r w:rsidR="00C05E7F" w:rsidRPr="00756B76">
              <w:rPr>
                <w:rStyle w:val="Hyperlink"/>
              </w:rPr>
              <w:t>Question 24: Marriage and family relations</w:t>
            </w:r>
            <w:r w:rsidR="00C05E7F">
              <w:rPr>
                <w:webHidden/>
              </w:rPr>
              <w:tab/>
            </w:r>
            <w:r w:rsidR="00C05E7F">
              <w:rPr>
                <w:webHidden/>
              </w:rPr>
              <w:fldChar w:fldCharType="begin"/>
            </w:r>
            <w:r w:rsidR="00C05E7F">
              <w:rPr>
                <w:webHidden/>
              </w:rPr>
              <w:instrText xml:space="preserve"> PAGEREF _Toc175556852 \h </w:instrText>
            </w:r>
            <w:r w:rsidR="00C05E7F">
              <w:rPr>
                <w:webHidden/>
              </w:rPr>
            </w:r>
            <w:r w:rsidR="00C05E7F">
              <w:rPr>
                <w:webHidden/>
              </w:rPr>
              <w:fldChar w:fldCharType="separate"/>
            </w:r>
            <w:r w:rsidR="00C05E7F">
              <w:rPr>
                <w:webHidden/>
              </w:rPr>
              <w:t>92</w:t>
            </w:r>
            <w:r w:rsidR="00C05E7F">
              <w:rPr>
                <w:webHidden/>
              </w:rPr>
              <w:fldChar w:fldCharType="end"/>
            </w:r>
          </w:hyperlink>
        </w:p>
        <w:p w14:paraId="4020E757" w14:textId="69BD8CF5" w:rsidR="00C05E7F" w:rsidRDefault="000826E7">
          <w:pPr>
            <w:pStyle w:val="TOC2"/>
            <w:rPr>
              <w:rFonts w:eastAsiaTheme="minorEastAsia"/>
              <w:kern w:val="0"/>
              <w:sz w:val="22"/>
              <w:szCs w:val="22"/>
              <w:lang w:eastAsia="en-AU"/>
            </w:rPr>
          </w:pPr>
          <w:hyperlink w:anchor="_Toc175556853" w:history="1">
            <w:r w:rsidR="00C05E7F" w:rsidRPr="00756B76">
              <w:rPr>
                <w:rStyle w:val="Hyperlink"/>
              </w:rPr>
              <w:t>Family Law Act amendments</w:t>
            </w:r>
            <w:r w:rsidR="00C05E7F">
              <w:rPr>
                <w:webHidden/>
              </w:rPr>
              <w:tab/>
            </w:r>
            <w:r w:rsidR="00C05E7F">
              <w:rPr>
                <w:webHidden/>
              </w:rPr>
              <w:fldChar w:fldCharType="begin"/>
            </w:r>
            <w:r w:rsidR="00C05E7F">
              <w:rPr>
                <w:webHidden/>
              </w:rPr>
              <w:instrText xml:space="preserve"> PAGEREF _Toc175556853 \h </w:instrText>
            </w:r>
            <w:r w:rsidR="00C05E7F">
              <w:rPr>
                <w:webHidden/>
              </w:rPr>
            </w:r>
            <w:r w:rsidR="00C05E7F">
              <w:rPr>
                <w:webHidden/>
              </w:rPr>
              <w:fldChar w:fldCharType="separate"/>
            </w:r>
            <w:r w:rsidR="00C05E7F">
              <w:rPr>
                <w:webHidden/>
              </w:rPr>
              <w:t>92</w:t>
            </w:r>
            <w:r w:rsidR="00C05E7F">
              <w:rPr>
                <w:webHidden/>
              </w:rPr>
              <w:fldChar w:fldCharType="end"/>
            </w:r>
          </w:hyperlink>
        </w:p>
        <w:p w14:paraId="4957C3A8" w14:textId="34D0DC2F" w:rsidR="00C05E7F" w:rsidRDefault="000826E7">
          <w:pPr>
            <w:pStyle w:val="TOC2"/>
            <w:rPr>
              <w:rFonts w:eastAsiaTheme="minorEastAsia"/>
              <w:kern w:val="0"/>
              <w:sz w:val="22"/>
              <w:szCs w:val="22"/>
              <w:lang w:eastAsia="en-AU"/>
            </w:rPr>
          </w:pPr>
          <w:hyperlink w:anchor="_Toc175556854" w:history="1">
            <w:r w:rsidR="00C05E7F" w:rsidRPr="00756B76">
              <w:rPr>
                <w:rStyle w:val="Hyperlink"/>
              </w:rPr>
              <w:t>Cultural-community divorce</w:t>
            </w:r>
            <w:r w:rsidR="00C05E7F">
              <w:rPr>
                <w:webHidden/>
              </w:rPr>
              <w:tab/>
            </w:r>
            <w:r w:rsidR="00C05E7F">
              <w:rPr>
                <w:webHidden/>
              </w:rPr>
              <w:fldChar w:fldCharType="begin"/>
            </w:r>
            <w:r w:rsidR="00C05E7F">
              <w:rPr>
                <w:webHidden/>
              </w:rPr>
              <w:instrText xml:space="preserve"> PAGEREF _Toc175556854 \h </w:instrText>
            </w:r>
            <w:r w:rsidR="00C05E7F">
              <w:rPr>
                <w:webHidden/>
              </w:rPr>
            </w:r>
            <w:r w:rsidR="00C05E7F">
              <w:rPr>
                <w:webHidden/>
              </w:rPr>
              <w:fldChar w:fldCharType="separate"/>
            </w:r>
            <w:r w:rsidR="00C05E7F">
              <w:rPr>
                <w:webHidden/>
              </w:rPr>
              <w:t>92</w:t>
            </w:r>
            <w:r w:rsidR="00C05E7F">
              <w:rPr>
                <w:webHidden/>
              </w:rPr>
              <w:fldChar w:fldCharType="end"/>
            </w:r>
          </w:hyperlink>
        </w:p>
        <w:p w14:paraId="46F9CFB5" w14:textId="4FFC7868" w:rsidR="00C05E7F" w:rsidRDefault="000826E7">
          <w:pPr>
            <w:pStyle w:val="TOC1"/>
            <w:rPr>
              <w:rFonts w:eastAsiaTheme="minorEastAsia"/>
              <w:b w:val="0"/>
              <w:kern w:val="0"/>
              <w:sz w:val="22"/>
              <w:szCs w:val="22"/>
              <w:lang w:eastAsia="en-AU"/>
            </w:rPr>
          </w:pPr>
          <w:hyperlink w:anchor="_Toc175556855" w:history="1">
            <w:r w:rsidR="00C05E7F" w:rsidRPr="00756B76">
              <w:rPr>
                <w:rStyle w:val="Hyperlink"/>
              </w:rPr>
              <w:t>Question 25: Additional information</w:t>
            </w:r>
            <w:r w:rsidR="00C05E7F">
              <w:rPr>
                <w:webHidden/>
              </w:rPr>
              <w:tab/>
            </w:r>
            <w:r w:rsidR="00C05E7F">
              <w:rPr>
                <w:webHidden/>
              </w:rPr>
              <w:fldChar w:fldCharType="begin"/>
            </w:r>
            <w:r w:rsidR="00C05E7F">
              <w:rPr>
                <w:webHidden/>
              </w:rPr>
              <w:instrText xml:space="preserve"> PAGEREF _Toc175556855 \h </w:instrText>
            </w:r>
            <w:r w:rsidR="00C05E7F">
              <w:rPr>
                <w:webHidden/>
              </w:rPr>
            </w:r>
            <w:r w:rsidR="00C05E7F">
              <w:rPr>
                <w:webHidden/>
              </w:rPr>
              <w:fldChar w:fldCharType="separate"/>
            </w:r>
            <w:r w:rsidR="00C05E7F">
              <w:rPr>
                <w:webHidden/>
              </w:rPr>
              <w:t>93</w:t>
            </w:r>
            <w:r w:rsidR="00C05E7F">
              <w:rPr>
                <w:webHidden/>
              </w:rPr>
              <w:fldChar w:fldCharType="end"/>
            </w:r>
          </w:hyperlink>
        </w:p>
        <w:p w14:paraId="78A23E1F" w14:textId="7F1474C8" w:rsidR="00C05E7F" w:rsidRDefault="000826E7">
          <w:pPr>
            <w:pStyle w:val="TOC2"/>
            <w:rPr>
              <w:rFonts w:eastAsiaTheme="minorEastAsia"/>
              <w:kern w:val="0"/>
              <w:sz w:val="22"/>
              <w:szCs w:val="22"/>
              <w:lang w:eastAsia="en-AU"/>
            </w:rPr>
          </w:pPr>
          <w:hyperlink w:anchor="_Toc175556856" w:history="1">
            <w:r w:rsidR="00C05E7F" w:rsidRPr="00756B76">
              <w:rPr>
                <w:rStyle w:val="Hyperlink"/>
              </w:rPr>
              <w:t>Integrate a gender perspective into efforts to achieve the Sustainable Development Goals (SDGs)</w:t>
            </w:r>
            <w:r w:rsidR="00C05E7F">
              <w:rPr>
                <w:webHidden/>
              </w:rPr>
              <w:tab/>
            </w:r>
            <w:r w:rsidR="00C05E7F">
              <w:rPr>
                <w:webHidden/>
              </w:rPr>
              <w:fldChar w:fldCharType="begin"/>
            </w:r>
            <w:r w:rsidR="00C05E7F">
              <w:rPr>
                <w:webHidden/>
              </w:rPr>
              <w:instrText xml:space="preserve"> PAGEREF _Toc175556856 \h </w:instrText>
            </w:r>
            <w:r w:rsidR="00C05E7F">
              <w:rPr>
                <w:webHidden/>
              </w:rPr>
            </w:r>
            <w:r w:rsidR="00C05E7F">
              <w:rPr>
                <w:webHidden/>
              </w:rPr>
              <w:fldChar w:fldCharType="separate"/>
            </w:r>
            <w:r w:rsidR="00C05E7F">
              <w:rPr>
                <w:webHidden/>
              </w:rPr>
              <w:t>93</w:t>
            </w:r>
            <w:r w:rsidR="00C05E7F">
              <w:rPr>
                <w:webHidden/>
              </w:rPr>
              <w:fldChar w:fldCharType="end"/>
            </w:r>
          </w:hyperlink>
        </w:p>
        <w:p w14:paraId="033636A2" w14:textId="44C675EF" w:rsidR="00C05E7F" w:rsidRDefault="000826E7">
          <w:pPr>
            <w:pStyle w:val="TOC1"/>
            <w:rPr>
              <w:rFonts w:eastAsiaTheme="minorEastAsia"/>
              <w:b w:val="0"/>
              <w:kern w:val="0"/>
              <w:sz w:val="22"/>
              <w:szCs w:val="22"/>
              <w:lang w:eastAsia="en-AU"/>
            </w:rPr>
          </w:pPr>
          <w:hyperlink w:anchor="_Toc175556857" w:history="1">
            <w:r w:rsidR="00C05E7F" w:rsidRPr="00756B76">
              <w:rPr>
                <w:rStyle w:val="Hyperlink"/>
                <w:rFonts w:cs="Calibri"/>
              </w:rPr>
              <w:t>Glossary</w:t>
            </w:r>
            <w:r w:rsidR="00C05E7F">
              <w:rPr>
                <w:webHidden/>
              </w:rPr>
              <w:tab/>
            </w:r>
            <w:r w:rsidR="00C05E7F">
              <w:rPr>
                <w:webHidden/>
              </w:rPr>
              <w:fldChar w:fldCharType="begin"/>
            </w:r>
            <w:r w:rsidR="00C05E7F">
              <w:rPr>
                <w:webHidden/>
              </w:rPr>
              <w:instrText xml:space="preserve"> PAGEREF _Toc175556857 \h </w:instrText>
            </w:r>
            <w:r w:rsidR="00C05E7F">
              <w:rPr>
                <w:webHidden/>
              </w:rPr>
            </w:r>
            <w:r w:rsidR="00C05E7F">
              <w:rPr>
                <w:webHidden/>
              </w:rPr>
              <w:fldChar w:fldCharType="separate"/>
            </w:r>
            <w:r w:rsidR="00C05E7F">
              <w:rPr>
                <w:webHidden/>
              </w:rPr>
              <w:t>94</w:t>
            </w:r>
            <w:r w:rsidR="00C05E7F">
              <w:rPr>
                <w:webHidden/>
              </w:rPr>
              <w:fldChar w:fldCharType="end"/>
            </w:r>
          </w:hyperlink>
        </w:p>
        <w:p w14:paraId="3B8DED6D" w14:textId="41BD12D5" w:rsidR="003C5633" w:rsidRPr="004A132D" w:rsidRDefault="003C5633" w:rsidP="00FA7770">
          <w:pPr>
            <w:pStyle w:val="TOC2"/>
          </w:pPr>
          <w:r w:rsidRPr="004A132D">
            <w:rPr>
              <w:rFonts w:cs="Times New Roman"/>
            </w:rPr>
            <w:fldChar w:fldCharType="end"/>
          </w:r>
        </w:p>
      </w:sdtContent>
    </w:sdt>
    <w:p w14:paraId="235F1857" w14:textId="77777777" w:rsidR="0052505F" w:rsidRDefault="0052505F">
      <w:pPr>
        <w:rPr>
          <w:rFonts w:cs="Times New Roman"/>
          <w:b/>
          <w:bCs/>
        </w:rPr>
      </w:pPr>
      <w:r>
        <w:rPr>
          <w:rFonts w:cs="Times New Roman"/>
          <w:b/>
          <w:bCs/>
        </w:rPr>
        <w:br w:type="page"/>
      </w:r>
    </w:p>
    <w:p w14:paraId="4C147AE0" w14:textId="0CFD1AF4" w:rsidR="001416A2" w:rsidRPr="0052505F" w:rsidRDefault="0052505F" w:rsidP="0052505F">
      <w:pPr>
        <w:spacing w:line="360" w:lineRule="auto"/>
        <w:ind w:left="1036"/>
        <w:rPr>
          <w:rFonts w:cs="Times New Roman"/>
          <w:b/>
          <w:bCs/>
          <w:spacing w:val="-2"/>
          <w:sz w:val="28"/>
        </w:rPr>
      </w:pPr>
      <w:r w:rsidRPr="0052505F">
        <w:rPr>
          <w:rFonts w:cs="Times New Roman"/>
          <w:b/>
          <w:bCs/>
          <w:spacing w:val="-2"/>
          <w:sz w:val="28"/>
        </w:rPr>
        <w:lastRenderedPageBreak/>
        <w:t xml:space="preserve">Ninth </w:t>
      </w:r>
      <w:r w:rsidR="001416A2" w:rsidRPr="0052505F">
        <w:rPr>
          <w:rFonts w:cs="Times New Roman"/>
          <w:b/>
          <w:bCs/>
          <w:spacing w:val="-2"/>
          <w:sz w:val="28"/>
        </w:rPr>
        <w:t xml:space="preserve">periodic report submitted by Australia under </w:t>
      </w:r>
      <w:r w:rsidRPr="0052505F">
        <w:rPr>
          <w:rFonts w:cs="Times New Roman"/>
          <w:b/>
          <w:bCs/>
          <w:spacing w:val="-2"/>
          <w:sz w:val="28"/>
        </w:rPr>
        <w:t>Article</w:t>
      </w:r>
      <w:r w:rsidR="001416A2" w:rsidRPr="0052505F">
        <w:rPr>
          <w:rFonts w:cs="Times New Roman"/>
          <w:b/>
          <w:bCs/>
          <w:spacing w:val="-2"/>
          <w:sz w:val="28"/>
        </w:rPr>
        <w:t xml:space="preserve"> 18 of the </w:t>
      </w:r>
      <w:r>
        <w:rPr>
          <w:rFonts w:cs="Times New Roman"/>
          <w:b/>
          <w:bCs/>
          <w:spacing w:val="-2"/>
          <w:sz w:val="28"/>
        </w:rPr>
        <w:br/>
      </w:r>
      <w:r w:rsidR="001416A2" w:rsidRPr="0052505F">
        <w:rPr>
          <w:rFonts w:cs="Times New Roman"/>
          <w:b/>
          <w:bCs/>
          <w:spacing w:val="-2"/>
          <w:sz w:val="28"/>
        </w:rPr>
        <w:t>Convention</w:t>
      </w:r>
      <w:r w:rsidRPr="0052505F">
        <w:rPr>
          <w:rFonts w:cs="Times New Roman"/>
          <w:b/>
          <w:bCs/>
          <w:spacing w:val="-2"/>
          <w:sz w:val="28"/>
        </w:rPr>
        <w:t xml:space="preserve"> on the Elimination of All Forms of Discrimination </w:t>
      </w:r>
      <w:r w:rsidR="0017228C">
        <w:rPr>
          <w:rFonts w:cs="Times New Roman"/>
          <w:b/>
          <w:bCs/>
          <w:spacing w:val="-2"/>
          <w:sz w:val="28"/>
        </w:rPr>
        <w:t>a</w:t>
      </w:r>
      <w:r w:rsidRPr="0052505F">
        <w:rPr>
          <w:rFonts w:cs="Times New Roman"/>
          <w:b/>
          <w:bCs/>
          <w:spacing w:val="-2"/>
          <w:sz w:val="28"/>
        </w:rPr>
        <w:t>gainst Women</w:t>
      </w:r>
    </w:p>
    <w:p w14:paraId="48BAC588" w14:textId="77777777" w:rsidR="00F347A9" w:rsidRPr="001766AB" w:rsidRDefault="00827EEB" w:rsidP="001766AB">
      <w:pPr>
        <w:pStyle w:val="Heading1"/>
      </w:pPr>
      <w:bookmarkStart w:id="0" w:name="_Toc174011657"/>
      <w:bookmarkStart w:id="1" w:name="_Toc175556747"/>
      <w:r w:rsidRPr="001766AB">
        <w:t>Introduction</w:t>
      </w:r>
      <w:bookmarkEnd w:id="0"/>
      <w:bookmarkEnd w:id="1"/>
      <w:r w:rsidRPr="001766AB">
        <w:t xml:space="preserve"> </w:t>
      </w:r>
    </w:p>
    <w:p w14:paraId="4038CA4C" w14:textId="228E340F" w:rsidR="00D43405" w:rsidRPr="004A132D" w:rsidRDefault="00AD43E6" w:rsidP="0002378E">
      <w:pPr>
        <w:pStyle w:val="Numbers"/>
        <w:tabs>
          <w:tab w:val="clear" w:pos="1701"/>
          <w:tab w:val="clear" w:pos="2835"/>
        </w:tabs>
        <w:ind w:left="1418" w:right="1106" w:hanging="357"/>
        <w:rPr>
          <w:rFonts w:asciiTheme="minorHAnsi" w:hAnsiTheme="minorHAnsi"/>
        </w:rPr>
      </w:pPr>
      <w:r w:rsidRPr="004A132D">
        <w:rPr>
          <w:rFonts w:asciiTheme="minorHAnsi" w:hAnsiTheme="minorHAnsi"/>
        </w:rPr>
        <w:t xml:space="preserve">Australia welcomes the opportunity to </w:t>
      </w:r>
      <w:r w:rsidR="000F6DB0" w:rsidRPr="004A132D">
        <w:rPr>
          <w:rFonts w:asciiTheme="minorHAnsi" w:hAnsiTheme="minorHAnsi"/>
        </w:rPr>
        <w:t>submit to the</w:t>
      </w:r>
      <w:r w:rsidRPr="004A132D">
        <w:rPr>
          <w:rFonts w:asciiTheme="minorHAnsi" w:hAnsiTheme="minorHAnsi"/>
        </w:rPr>
        <w:t xml:space="preserve"> Committee on the Elimination of Discrimination against Women </w:t>
      </w:r>
      <w:r w:rsidR="000F6DB0" w:rsidRPr="004A132D">
        <w:rPr>
          <w:rFonts w:asciiTheme="minorHAnsi" w:hAnsiTheme="minorHAnsi"/>
        </w:rPr>
        <w:t>(Committee) its ninth periodic report on the Convention on the Elimination of All Forms of Discrimination against Women (C</w:t>
      </w:r>
      <w:r w:rsidR="00135CB2" w:rsidRPr="004A132D">
        <w:rPr>
          <w:rFonts w:asciiTheme="minorHAnsi" w:hAnsiTheme="minorHAnsi"/>
        </w:rPr>
        <w:t>onvention</w:t>
      </w:r>
      <w:r w:rsidR="000F6DB0" w:rsidRPr="004A132D">
        <w:rPr>
          <w:rFonts w:asciiTheme="minorHAnsi" w:hAnsiTheme="minorHAnsi"/>
        </w:rPr>
        <w:t>)</w:t>
      </w:r>
      <w:r w:rsidRPr="004A132D">
        <w:rPr>
          <w:rFonts w:asciiTheme="minorHAnsi" w:hAnsiTheme="minorHAnsi"/>
        </w:rPr>
        <w:t>. Th</w:t>
      </w:r>
      <w:r w:rsidR="00DC350D" w:rsidRPr="004A132D">
        <w:rPr>
          <w:rFonts w:asciiTheme="minorHAnsi" w:hAnsiTheme="minorHAnsi"/>
        </w:rPr>
        <w:t>is</w:t>
      </w:r>
      <w:r w:rsidR="001E2FAF" w:rsidRPr="004A132D">
        <w:rPr>
          <w:rFonts w:asciiTheme="minorHAnsi" w:hAnsiTheme="minorHAnsi"/>
        </w:rPr>
        <w:t xml:space="preserve"> </w:t>
      </w:r>
      <w:r w:rsidR="0017228C">
        <w:rPr>
          <w:rFonts w:asciiTheme="minorHAnsi" w:hAnsiTheme="minorHAnsi"/>
        </w:rPr>
        <w:t xml:space="preserve">periodic </w:t>
      </w:r>
      <w:r w:rsidR="001E2FAF" w:rsidRPr="004A132D">
        <w:rPr>
          <w:rFonts w:asciiTheme="minorHAnsi" w:hAnsiTheme="minorHAnsi"/>
        </w:rPr>
        <w:t>r</w:t>
      </w:r>
      <w:r w:rsidRPr="004A132D">
        <w:rPr>
          <w:rFonts w:asciiTheme="minorHAnsi" w:hAnsiTheme="minorHAnsi"/>
        </w:rPr>
        <w:t>eport responds to the list of issues provided by th</w:t>
      </w:r>
      <w:r w:rsidR="00640A46" w:rsidRPr="004A132D">
        <w:rPr>
          <w:rFonts w:asciiTheme="minorHAnsi" w:hAnsiTheme="minorHAnsi"/>
        </w:rPr>
        <w:t xml:space="preserve">e Committee on 6 March 2023 and </w:t>
      </w:r>
      <w:r w:rsidRPr="004A132D">
        <w:rPr>
          <w:rFonts w:asciiTheme="minorHAnsi" w:hAnsiTheme="minorHAnsi"/>
        </w:rPr>
        <w:t xml:space="preserve">provides an </w:t>
      </w:r>
      <w:r w:rsidR="000F6DB0" w:rsidRPr="004A132D">
        <w:rPr>
          <w:rFonts w:asciiTheme="minorHAnsi" w:hAnsiTheme="minorHAnsi"/>
        </w:rPr>
        <w:t xml:space="preserve">overview of key measures taken by Australia to </w:t>
      </w:r>
      <w:r w:rsidR="00095218" w:rsidRPr="004A132D">
        <w:rPr>
          <w:rFonts w:asciiTheme="minorHAnsi" w:hAnsiTheme="minorHAnsi"/>
        </w:rPr>
        <w:t>advance gender equali</w:t>
      </w:r>
      <w:r w:rsidR="00170DEF" w:rsidRPr="004A132D">
        <w:rPr>
          <w:rFonts w:asciiTheme="minorHAnsi" w:hAnsiTheme="minorHAnsi"/>
        </w:rPr>
        <w:t>ty.</w:t>
      </w:r>
    </w:p>
    <w:p w14:paraId="5DB5A1EB" w14:textId="7BFF7575" w:rsidR="00D43405" w:rsidRPr="004A132D" w:rsidRDefault="004C608D" w:rsidP="0002378E">
      <w:pPr>
        <w:pStyle w:val="Numbers"/>
        <w:tabs>
          <w:tab w:val="clear" w:pos="1701"/>
        </w:tabs>
        <w:ind w:left="1418" w:right="1104"/>
        <w:rPr>
          <w:rFonts w:asciiTheme="minorHAnsi" w:hAnsiTheme="minorHAnsi"/>
        </w:rPr>
      </w:pPr>
      <w:r w:rsidRPr="004A132D">
        <w:rPr>
          <w:rFonts w:asciiTheme="minorHAnsi" w:hAnsiTheme="minorHAnsi"/>
        </w:rPr>
        <w:t xml:space="preserve">Australia has made remarkable progress to achieve gender equality </w:t>
      </w:r>
      <w:r w:rsidR="00B42A76" w:rsidRPr="004A132D">
        <w:rPr>
          <w:rFonts w:asciiTheme="minorHAnsi" w:hAnsiTheme="minorHAnsi"/>
        </w:rPr>
        <w:t>o</w:t>
      </w:r>
      <w:r w:rsidR="0067604A" w:rsidRPr="004A132D">
        <w:rPr>
          <w:rFonts w:asciiTheme="minorHAnsi" w:hAnsiTheme="minorHAnsi"/>
        </w:rPr>
        <w:t xml:space="preserve">ver the last </w:t>
      </w:r>
      <w:r w:rsidR="00A77ED3" w:rsidRPr="004A132D">
        <w:rPr>
          <w:rFonts w:asciiTheme="minorHAnsi" w:hAnsiTheme="minorHAnsi"/>
        </w:rPr>
        <w:br/>
      </w:r>
      <w:r w:rsidR="0067604A" w:rsidRPr="004A132D">
        <w:rPr>
          <w:rFonts w:asciiTheme="minorHAnsi" w:hAnsiTheme="minorHAnsi"/>
        </w:rPr>
        <w:t>40 years.</w:t>
      </w:r>
      <w:r w:rsidR="00B42A76" w:rsidRPr="004A132D">
        <w:rPr>
          <w:rFonts w:asciiTheme="minorHAnsi" w:hAnsiTheme="minorHAnsi"/>
        </w:rPr>
        <w:t xml:space="preserve"> However, distinct challenges continue to impede women’s equality</w:t>
      </w:r>
      <w:r w:rsidR="003410C8" w:rsidRPr="004A132D">
        <w:rPr>
          <w:rFonts w:asciiTheme="minorHAnsi" w:hAnsiTheme="minorHAnsi"/>
        </w:rPr>
        <w:t>.</w:t>
      </w:r>
      <w:r w:rsidRPr="004A132D">
        <w:rPr>
          <w:rFonts w:asciiTheme="minorHAnsi" w:hAnsiTheme="minorHAnsi"/>
        </w:rPr>
        <w:t xml:space="preserve"> </w:t>
      </w:r>
      <w:r w:rsidR="003410C8" w:rsidRPr="004A132D">
        <w:rPr>
          <w:rFonts w:asciiTheme="minorHAnsi" w:hAnsiTheme="minorHAnsi"/>
        </w:rPr>
        <w:t>Australia’s Status of Women Report Card is r</w:t>
      </w:r>
      <w:r w:rsidR="0067604A" w:rsidRPr="004A132D">
        <w:rPr>
          <w:rFonts w:asciiTheme="minorHAnsi" w:hAnsiTheme="minorHAnsi"/>
        </w:rPr>
        <w:t>eleased annually on International Women’s Day</w:t>
      </w:r>
      <w:r w:rsidR="003410C8" w:rsidRPr="004A132D">
        <w:rPr>
          <w:rFonts w:asciiTheme="minorHAnsi" w:hAnsiTheme="minorHAnsi"/>
        </w:rPr>
        <w:t xml:space="preserve"> and </w:t>
      </w:r>
      <w:r w:rsidR="0067604A" w:rsidRPr="004A132D">
        <w:rPr>
          <w:rFonts w:asciiTheme="minorHAnsi" w:hAnsiTheme="minorHAnsi"/>
        </w:rPr>
        <w:t xml:space="preserve">includes the most </w:t>
      </w:r>
      <w:r w:rsidR="003410C8" w:rsidRPr="004A132D">
        <w:rPr>
          <w:rFonts w:asciiTheme="minorHAnsi" w:hAnsiTheme="minorHAnsi"/>
        </w:rPr>
        <w:t>up to date</w:t>
      </w:r>
      <w:r w:rsidR="0067604A" w:rsidRPr="004A132D">
        <w:rPr>
          <w:rFonts w:asciiTheme="minorHAnsi" w:hAnsiTheme="minorHAnsi"/>
        </w:rPr>
        <w:t xml:space="preserve"> available data on the social and economic equality issues facing women and girls in Australia (</w:t>
      </w:r>
      <w:r w:rsidR="0067604A" w:rsidRPr="004A132D">
        <w:rPr>
          <w:rFonts w:asciiTheme="minorHAnsi" w:hAnsiTheme="minorHAnsi"/>
          <w:u w:val="single"/>
        </w:rPr>
        <w:t>Appendix 1</w:t>
      </w:r>
      <w:r w:rsidR="0067604A" w:rsidRPr="004A132D">
        <w:rPr>
          <w:rFonts w:asciiTheme="minorHAnsi" w:hAnsiTheme="minorHAnsi"/>
        </w:rPr>
        <w:t>).</w:t>
      </w:r>
    </w:p>
    <w:p w14:paraId="1C11AC2F" w14:textId="77777777" w:rsidR="00D43405" w:rsidRPr="004A132D" w:rsidRDefault="0085560F" w:rsidP="0002378E">
      <w:pPr>
        <w:pStyle w:val="Numbers"/>
        <w:tabs>
          <w:tab w:val="clear" w:pos="1701"/>
        </w:tabs>
        <w:ind w:left="1418" w:right="1104"/>
        <w:rPr>
          <w:rFonts w:asciiTheme="minorHAnsi" w:hAnsiTheme="minorHAnsi"/>
        </w:rPr>
      </w:pPr>
      <w:r w:rsidRPr="004A132D">
        <w:rPr>
          <w:rFonts w:asciiTheme="minorHAnsi" w:hAnsiTheme="minorHAnsi"/>
        </w:rPr>
        <w:t>Australia is committed to being a global leader on gender equality and is putting gender equality at the heart</w:t>
      </w:r>
      <w:r w:rsidR="00D20FCC" w:rsidRPr="004A132D">
        <w:rPr>
          <w:rFonts w:asciiTheme="minorHAnsi" w:hAnsiTheme="minorHAnsi"/>
        </w:rPr>
        <w:t xml:space="preserve"> of policy and decision-making. </w:t>
      </w:r>
      <w:r w:rsidRPr="004A132D">
        <w:rPr>
          <w:rFonts w:asciiTheme="minorHAnsi" w:hAnsiTheme="minorHAnsi"/>
        </w:rPr>
        <w:t>The Australian Government’s ambitious reform agenda is being delivered in partnership with state and territory governments and guided by consultation with the Australian public, civil society organisations and First Nations communities.</w:t>
      </w:r>
      <w:r w:rsidRPr="004A132D">
        <w:rPr>
          <w:rStyle w:val="FootnoteReference"/>
          <w:rFonts w:asciiTheme="minorHAnsi" w:hAnsiTheme="minorHAnsi"/>
        </w:rPr>
        <w:footnoteReference w:id="3"/>
      </w:r>
      <w:r w:rsidRPr="004A132D">
        <w:rPr>
          <w:rFonts w:asciiTheme="minorHAnsi" w:hAnsiTheme="minorHAnsi"/>
        </w:rPr>
        <w:t xml:space="preserve"> </w:t>
      </w:r>
    </w:p>
    <w:p w14:paraId="6D074B8E" w14:textId="6C42CC7A" w:rsidR="00B34018" w:rsidRPr="004A132D" w:rsidRDefault="00B34018" w:rsidP="0002378E">
      <w:pPr>
        <w:pStyle w:val="Numbers"/>
        <w:tabs>
          <w:tab w:val="clear" w:pos="1701"/>
        </w:tabs>
        <w:ind w:left="1418" w:right="1104"/>
        <w:rPr>
          <w:rFonts w:asciiTheme="minorHAnsi" w:hAnsiTheme="minorHAnsi"/>
        </w:rPr>
      </w:pPr>
      <w:r w:rsidRPr="004A132D">
        <w:rPr>
          <w:rFonts w:asciiTheme="minorHAnsi" w:hAnsiTheme="minorHAnsi"/>
        </w:rPr>
        <w:t>Australia’s first ever national strategy to achieve gender e</w:t>
      </w:r>
      <w:r w:rsidR="00B349C9" w:rsidRPr="004A132D">
        <w:rPr>
          <w:rFonts w:asciiTheme="minorHAnsi" w:hAnsiTheme="minorHAnsi"/>
        </w:rPr>
        <w:t>q</w:t>
      </w:r>
      <w:r w:rsidR="00B42AEF" w:rsidRPr="004A132D">
        <w:rPr>
          <w:rFonts w:asciiTheme="minorHAnsi" w:hAnsiTheme="minorHAnsi"/>
        </w:rPr>
        <w:t>uality</w:t>
      </w:r>
      <w:r w:rsidR="00095218" w:rsidRPr="004A132D">
        <w:rPr>
          <w:rFonts w:asciiTheme="minorHAnsi" w:hAnsiTheme="minorHAnsi"/>
        </w:rPr>
        <w:t xml:space="preserve">, </w:t>
      </w:r>
      <w:r w:rsidRPr="004A132D">
        <w:rPr>
          <w:rFonts w:asciiTheme="minorHAnsi" w:hAnsiTheme="minorHAnsi"/>
          <w:i/>
        </w:rPr>
        <w:t>Working for Women: A Strategy for Gender Equality</w:t>
      </w:r>
      <w:r w:rsidRPr="004A132D">
        <w:rPr>
          <w:rFonts w:asciiTheme="minorHAnsi" w:hAnsiTheme="minorHAnsi"/>
        </w:rPr>
        <w:t xml:space="preserve"> (</w:t>
      </w:r>
      <w:r w:rsidR="00095218" w:rsidRPr="004A132D">
        <w:rPr>
          <w:rFonts w:asciiTheme="minorHAnsi" w:hAnsiTheme="minorHAnsi"/>
        </w:rPr>
        <w:t>Working for Women</w:t>
      </w:r>
      <w:r w:rsidRPr="004A132D">
        <w:rPr>
          <w:rFonts w:asciiTheme="minorHAnsi" w:hAnsiTheme="minorHAnsi"/>
        </w:rPr>
        <w:t xml:space="preserve"> Strategy)</w:t>
      </w:r>
      <w:r w:rsidR="00095218" w:rsidRPr="004A132D">
        <w:rPr>
          <w:rFonts w:asciiTheme="minorHAnsi" w:hAnsiTheme="minorHAnsi"/>
        </w:rPr>
        <w:t>,</w:t>
      </w:r>
      <w:r w:rsidR="00B42AEF" w:rsidRPr="004A132D">
        <w:rPr>
          <w:rFonts w:asciiTheme="minorHAnsi" w:hAnsiTheme="minorHAnsi"/>
        </w:rPr>
        <w:t xml:space="preserve"> </w:t>
      </w:r>
      <w:r w:rsidR="00095218" w:rsidRPr="004A132D">
        <w:rPr>
          <w:rFonts w:asciiTheme="minorHAnsi" w:hAnsiTheme="minorHAnsi"/>
        </w:rPr>
        <w:t>was released in March</w:t>
      </w:r>
      <w:r w:rsidR="00B42AEF" w:rsidRPr="004A132D">
        <w:rPr>
          <w:rFonts w:asciiTheme="minorHAnsi" w:hAnsiTheme="minorHAnsi"/>
        </w:rPr>
        <w:t xml:space="preserve"> 2024 </w:t>
      </w:r>
      <w:r w:rsidR="00095218" w:rsidRPr="004A132D">
        <w:rPr>
          <w:rFonts w:asciiTheme="minorHAnsi" w:hAnsiTheme="minorHAnsi"/>
        </w:rPr>
        <w:t xml:space="preserve">and will </w:t>
      </w:r>
      <w:r w:rsidR="00B42AEF" w:rsidRPr="004A132D">
        <w:rPr>
          <w:rFonts w:asciiTheme="minorHAnsi" w:hAnsiTheme="minorHAnsi"/>
        </w:rPr>
        <w:t>guide whole-of-community</w:t>
      </w:r>
      <w:r w:rsidR="003410C8" w:rsidRPr="004A132D">
        <w:rPr>
          <w:rFonts w:asciiTheme="minorHAnsi" w:hAnsiTheme="minorHAnsi"/>
        </w:rPr>
        <w:t xml:space="preserve"> actions</w:t>
      </w:r>
      <w:r w:rsidR="00B42AEF" w:rsidRPr="004A132D">
        <w:rPr>
          <w:rFonts w:asciiTheme="minorHAnsi" w:hAnsiTheme="minorHAnsi"/>
        </w:rPr>
        <w:t xml:space="preserve"> to prioritise </w:t>
      </w:r>
      <w:r w:rsidR="003410C8" w:rsidRPr="004A132D">
        <w:rPr>
          <w:rFonts w:asciiTheme="minorHAnsi" w:hAnsiTheme="minorHAnsi"/>
        </w:rPr>
        <w:t xml:space="preserve">measures </w:t>
      </w:r>
      <w:r w:rsidR="00B42AEF" w:rsidRPr="004A132D">
        <w:rPr>
          <w:rFonts w:asciiTheme="minorHAnsi" w:hAnsiTheme="minorHAnsi"/>
        </w:rPr>
        <w:t xml:space="preserve">to achieve a gender-equal society. </w:t>
      </w:r>
      <w:r w:rsidR="000211E8" w:rsidRPr="004A132D">
        <w:rPr>
          <w:rFonts w:asciiTheme="minorHAnsi" w:hAnsiTheme="minorHAnsi"/>
        </w:rPr>
        <w:t xml:space="preserve">The </w:t>
      </w:r>
      <w:r w:rsidR="00F73767" w:rsidRPr="004A132D">
        <w:rPr>
          <w:rFonts w:asciiTheme="minorHAnsi" w:hAnsiTheme="minorHAnsi"/>
        </w:rPr>
        <w:t xml:space="preserve">Working for Women Strategy </w:t>
      </w:r>
      <w:r w:rsidRPr="004A132D">
        <w:rPr>
          <w:rFonts w:asciiTheme="minorHAnsi" w:hAnsiTheme="minorHAnsi"/>
        </w:rPr>
        <w:t xml:space="preserve">sets a path to make progress towards the </w:t>
      </w:r>
      <w:r w:rsidR="000211E8" w:rsidRPr="004A132D">
        <w:rPr>
          <w:rFonts w:asciiTheme="minorHAnsi" w:hAnsiTheme="minorHAnsi"/>
        </w:rPr>
        <w:t xml:space="preserve">Australian </w:t>
      </w:r>
      <w:r w:rsidRPr="004A132D">
        <w:rPr>
          <w:rFonts w:asciiTheme="minorHAnsi" w:hAnsiTheme="minorHAnsi"/>
        </w:rPr>
        <w:t xml:space="preserve">Government’s vision over the next 10 years, and focuses on gender-based violence; unpaid and paid care; economic equality and security; health; and leadership, representation and decision-making. </w:t>
      </w:r>
      <w:r w:rsidR="000211E8" w:rsidRPr="004A132D">
        <w:rPr>
          <w:rFonts w:asciiTheme="minorHAnsi" w:hAnsiTheme="minorHAnsi"/>
        </w:rPr>
        <w:t xml:space="preserve"> </w:t>
      </w:r>
    </w:p>
    <w:p w14:paraId="4BEA878A" w14:textId="396963EF" w:rsidR="004519F3" w:rsidRPr="004A132D" w:rsidRDefault="004519F3" w:rsidP="0002378E">
      <w:pPr>
        <w:pStyle w:val="Numbers"/>
        <w:tabs>
          <w:tab w:val="clear" w:pos="1701"/>
          <w:tab w:val="clear" w:pos="2268"/>
        </w:tabs>
        <w:ind w:left="1418"/>
        <w:rPr>
          <w:rFonts w:asciiTheme="minorHAnsi" w:hAnsiTheme="minorHAnsi"/>
        </w:rPr>
      </w:pPr>
      <w:r w:rsidRPr="004A132D">
        <w:rPr>
          <w:rFonts w:asciiTheme="minorHAnsi" w:hAnsiTheme="minorHAnsi"/>
        </w:rPr>
        <w:t xml:space="preserve">The </w:t>
      </w:r>
      <w:r w:rsidR="000211E8" w:rsidRPr="004A132D">
        <w:rPr>
          <w:rFonts w:asciiTheme="minorHAnsi" w:hAnsiTheme="minorHAnsi"/>
        </w:rPr>
        <w:t>Working for Women Strategy</w:t>
      </w:r>
      <w:r w:rsidRPr="004A132D">
        <w:rPr>
          <w:rFonts w:asciiTheme="minorHAnsi" w:hAnsiTheme="minorHAnsi"/>
        </w:rPr>
        <w:t xml:space="preserve"> supports the work of similar state and territory plans and complements other Australian Government efforts to </w:t>
      </w:r>
      <w:r w:rsidR="000211E8" w:rsidRPr="004A132D">
        <w:rPr>
          <w:rFonts w:asciiTheme="minorHAnsi" w:hAnsiTheme="minorHAnsi"/>
        </w:rPr>
        <w:t>achieve</w:t>
      </w:r>
      <w:r w:rsidRPr="004A132D">
        <w:rPr>
          <w:rFonts w:asciiTheme="minorHAnsi" w:hAnsiTheme="minorHAnsi"/>
        </w:rPr>
        <w:t xml:space="preserve"> gender </w:t>
      </w:r>
      <w:r w:rsidRPr="004A132D">
        <w:rPr>
          <w:rFonts w:asciiTheme="minorHAnsi" w:hAnsiTheme="minorHAnsi"/>
        </w:rPr>
        <w:lastRenderedPageBreak/>
        <w:t>equality</w:t>
      </w:r>
      <w:r w:rsidR="00C1130F" w:rsidRPr="004A132D">
        <w:rPr>
          <w:rFonts w:asciiTheme="minorHAnsi" w:hAnsiTheme="minorHAnsi"/>
        </w:rPr>
        <w:t xml:space="preserve">. This includes significant national commitments on women’s safety and health, led through the </w:t>
      </w:r>
      <w:r w:rsidR="00C1130F" w:rsidRPr="004A132D">
        <w:rPr>
          <w:rFonts w:asciiTheme="minorHAnsi" w:hAnsiTheme="minorHAnsi"/>
          <w:i/>
        </w:rPr>
        <w:t>National Plan to End Violence against Women and Children 2022–2032</w:t>
      </w:r>
      <w:r w:rsidR="00C1130F" w:rsidRPr="004A132D">
        <w:rPr>
          <w:rFonts w:asciiTheme="minorHAnsi" w:hAnsiTheme="minorHAnsi"/>
        </w:rPr>
        <w:t xml:space="preserve"> (National </w:t>
      </w:r>
      <w:r w:rsidR="002E06BD" w:rsidRPr="004A132D">
        <w:rPr>
          <w:rFonts w:asciiTheme="minorHAnsi" w:hAnsiTheme="minorHAnsi"/>
        </w:rPr>
        <w:t xml:space="preserve">Plan to </w:t>
      </w:r>
      <w:r w:rsidR="00F73767" w:rsidRPr="004A132D">
        <w:rPr>
          <w:rFonts w:asciiTheme="minorHAnsi" w:hAnsiTheme="minorHAnsi"/>
        </w:rPr>
        <w:t>E</w:t>
      </w:r>
      <w:r w:rsidR="002E06BD" w:rsidRPr="004A132D">
        <w:rPr>
          <w:rFonts w:asciiTheme="minorHAnsi" w:hAnsiTheme="minorHAnsi"/>
        </w:rPr>
        <w:t xml:space="preserve">nd </w:t>
      </w:r>
      <w:r w:rsidR="00F73767" w:rsidRPr="004A132D">
        <w:rPr>
          <w:rFonts w:asciiTheme="minorHAnsi" w:hAnsiTheme="minorHAnsi"/>
        </w:rPr>
        <w:t>V</w:t>
      </w:r>
      <w:r w:rsidR="00C1130F" w:rsidRPr="004A132D">
        <w:rPr>
          <w:rFonts w:asciiTheme="minorHAnsi" w:hAnsiTheme="minorHAnsi"/>
        </w:rPr>
        <w:t xml:space="preserve">iolence against Women) and the </w:t>
      </w:r>
      <w:r w:rsidR="00C1130F" w:rsidRPr="004A132D">
        <w:rPr>
          <w:rFonts w:asciiTheme="minorHAnsi" w:hAnsiTheme="minorHAnsi"/>
          <w:i/>
        </w:rPr>
        <w:t>National Women’s Health Strategy 2020–2030</w:t>
      </w:r>
      <w:r w:rsidR="00C1130F" w:rsidRPr="004A132D">
        <w:rPr>
          <w:rFonts w:asciiTheme="minorHAnsi" w:hAnsiTheme="minorHAnsi"/>
        </w:rPr>
        <w:t xml:space="preserve"> (National Women’s Health Strategy).</w:t>
      </w:r>
    </w:p>
    <w:p w14:paraId="7F5E83D5" w14:textId="2ABCDA61" w:rsidR="009D77A4" w:rsidRPr="004A132D" w:rsidRDefault="00C1130F" w:rsidP="0002378E">
      <w:pPr>
        <w:pStyle w:val="Numbers"/>
        <w:tabs>
          <w:tab w:val="clear" w:pos="1701"/>
          <w:tab w:val="clear" w:pos="2268"/>
        </w:tabs>
        <w:ind w:left="1418"/>
        <w:rPr>
          <w:rFonts w:asciiTheme="minorHAnsi" w:hAnsiTheme="minorHAnsi"/>
        </w:rPr>
      </w:pPr>
      <w:r w:rsidRPr="004A132D">
        <w:rPr>
          <w:rFonts w:asciiTheme="minorHAnsi" w:hAnsiTheme="minorHAnsi"/>
        </w:rPr>
        <w:t xml:space="preserve">Rates of violence against women in Australia have remained alarmingly high over recent decades, in spite of increased efforts across the country. </w:t>
      </w:r>
      <w:r w:rsidR="00B349C9" w:rsidRPr="004A132D">
        <w:rPr>
          <w:rFonts w:asciiTheme="minorHAnsi" w:hAnsiTheme="minorHAnsi"/>
        </w:rPr>
        <w:t xml:space="preserve">In October 2022, the Australian </w:t>
      </w:r>
      <w:r w:rsidR="0011648C" w:rsidRPr="004A132D">
        <w:rPr>
          <w:rFonts w:asciiTheme="minorHAnsi" w:hAnsiTheme="minorHAnsi"/>
        </w:rPr>
        <w:t xml:space="preserve">Government </w:t>
      </w:r>
      <w:r w:rsidR="00B349C9" w:rsidRPr="004A132D">
        <w:rPr>
          <w:rFonts w:asciiTheme="minorHAnsi" w:hAnsiTheme="minorHAnsi"/>
        </w:rPr>
        <w:t xml:space="preserve">and state and territory governments released the </w:t>
      </w:r>
      <w:r w:rsidR="00B87A35" w:rsidRPr="004A132D">
        <w:rPr>
          <w:rFonts w:asciiTheme="minorHAnsi" w:hAnsiTheme="minorHAnsi"/>
        </w:rPr>
        <w:t xml:space="preserve">National Plan to </w:t>
      </w:r>
      <w:r w:rsidR="00F73767" w:rsidRPr="004A132D">
        <w:rPr>
          <w:rFonts w:asciiTheme="minorHAnsi" w:hAnsiTheme="minorHAnsi"/>
        </w:rPr>
        <w:t>E</w:t>
      </w:r>
      <w:r w:rsidR="00B87A35" w:rsidRPr="004A132D">
        <w:rPr>
          <w:rFonts w:asciiTheme="minorHAnsi" w:hAnsiTheme="minorHAnsi"/>
        </w:rPr>
        <w:t xml:space="preserve">nd </w:t>
      </w:r>
      <w:r w:rsidR="00F73767" w:rsidRPr="004A132D">
        <w:rPr>
          <w:rFonts w:asciiTheme="minorHAnsi" w:hAnsiTheme="minorHAnsi"/>
        </w:rPr>
        <w:t>V</w:t>
      </w:r>
      <w:r w:rsidR="00B87A35" w:rsidRPr="004A132D">
        <w:rPr>
          <w:rFonts w:asciiTheme="minorHAnsi" w:hAnsiTheme="minorHAnsi"/>
        </w:rPr>
        <w:t>iolence against Women</w:t>
      </w:r>
      <w:r w:rsidR="0011648C" w:rsidRPr="004A132D">
        <w:rPr>
          <w:rFonts w:asciiTheme="minorHAnsi" w:hAnsiTheme="minorHAnsi"/>
        </w:rPr>
        <w:t xml:space="preserve"> </w:t>
      </w:r>
      <w:r w:rsidR="00B349C9" w:rsidRPr="004A132D">
        <w:rPr>
          <w:rFonts w:asciiTheme="minorHAnsi" w:hAnsiTheme="minorHAnsi"/>
        </w:rPr>
        <w:t xml:space="preserve">to </w:t>
      </w:r>
      <w:r w:rsidR="00E42BBE" w:rsidRPr="004A132D">
        <w:rPr>
          <w:rFonts w:asciiTheme="minorHAnsi" w:hAnsiTheme="minorHAnsi"/>
        </w:rPr>
        <w:t xml:space="preserve">guide </w:t>
      </w:r>
      <w:r w:rsidR="0095684C" w:rsidRPr="004A132D">
        <w:rPr>
          <w:rFonts w:asciiTheme="minorHAnsi" w:hAnsiTheme="minorHAnsi"/>
        </w:rPr>
        <w:t>a</w:t>
      </w:r>
      <w:r w:rsidR="00E42BBE" w:rsidRPr="004A132D">
        <w:rPr>
          <w:rFonts w:asciiTheme="minorHAnsi" w:hAnsiTheme="minorHAnsi"/>
        </w:rPr>
        <w:t>ction to achieve our goal of en</w:t>
      </w:r>
      <w:r w:rsidR="00DE4209" w:rsidRPr="004A132D">
        <w:rPr>
          <w:rFonts w:asciiTheme="minorHAnsi" w:hAnsiTheme="minorHAnsi"/>
        </w:rPr>
        <w:t xml:space="preserve">ding violence in one generation, as well as the </w:t>
      </w:r>
      <w:r w:rsidR="00DE4209" w:rsidRPr="004A132D">
        <w:rPr>
          <w:rFonts w:asciiTheme="minorHAnsi" w:hAnsiTheme="minorHAnsi"/>
          <w:i/>
        </w:rPr>
        <w:t xml:space="preserve">First Action Plan </w:t>
      </w:r>
      <w:r w:rsidR="009340F8" w:rsidRPr="004A132D">
        <w:rPr>
          <w:rFonts w:asciiTheme="minorHAnsi" w:hAnsiTheme="minorHAnsi"/>
          <w:i/>
        </w:rPr>
        <w:t>2023-2027</w:t>
      </w:r>
      <w:r w:rsidR="009340F8" w:rsidRPr="004A132D">
        <w:rPr>
          <w:rFonts w:asciiTheme="minorHAnsi" w:hAnsiTheme="minorHAnsi"/>
        </w:rPr>
        <w:t xml:space="preserve"> </w:t>
      </w:r>
      <w:r w:rsidR="00DE4209" w:rsidRPr="004A132D">
        <w:rPr>
          <w:rFonts w:asciiTheme="minorHAnsi" w:hAnsiTheme="minorHAnsi"/>
        </w:rPr>
        <w:t xml:space="preserve">and </w:t>
      </w:r>
      <w:r w:rsidR="00DC10B3" w:rsidRPr="004A132D">
        <w:rPr>
          <w:rFonts w:asciiTheme="minorHAnsi" w:hAnsiTheme="minorHAnsi"/>
        </w:rPr>
        <w:br/>
      </w:r>
      <w:r w:rsidR="004E1C8B" w:rsidRPr="004A132D">
        <w:rPr>
          <w:rFonts w:asciiTheme="minorHAnsi" w:hAnsiTheme="minorHAnsi"/>
          <w:i/>
        </w:rPr>
        <w:t>Aboriginal and Torres Strait Islander Action Plan 2023–2025</w:t>
      </w:r>
      <w:r w:rsidR="004E1C8B" w:rsidRPr="004A132D">
        <w:rPr>
          <w:rFonts w:asciiTheme="minorHAnsi" w:hAnsiTheme="minorHAnsi"/>
        </w:rPr>
        <w:t xml:space="preserve"> (Aboriginal and Torres Strait Islander Action Plan). </w:t>
      </w:r>
    </w:p>
    <w:p w14:paraId="67F48640" w14:textId="384FB064" w:rsidR="008D2FF2" w:rsidRPr="004A132D" w:rsidRDefault="00486D5A" w:rsidP="0002378E">
      <w:pPr>
        <w:pStyle w:val="Numbers"/>
        <w:tabs>
          <w:tab w:val="clear" w:pos="1701"/>
        </w:tabs>
        <w:ind w:left="1418"/>
        <w:rPr>
          <w:rFonts w:asciiTheme="minorHAnsi" w:hAnsiTheme="minorHAnsi"/>
        </w:rPr>
      </w:pPr>
      <w:r w:rsidRPr="004A132D">
        <w:rPr>
          <w:rFonts w:asciiTheme="minorHAnsi" w:hAnsiTheme="minorHAnsi"/>
        </w:rPr>
        <w:t xml:space="preserve">There have been substantial improvements in women’s economic equality in recent decades with increases to women’s workforce participation, growth in women’s level of educational attainment, reductions in the gender pay gap and narrowing of the retirement income gap. However, </w:t>
      </w:r>
      <w:r w:rsidR="00EC77FD" w:rsidRPr="004A132D">
        <w:rPr>
          <w:rFonts w:asciiTheme="minorHAnsi" w:hAnsiTheme="minorHAnsi"/>
        </w:rPr>
        <w:t>despite</w:t>
      </w:r>
      <w:r w:rsidRPr="004A132D">
        <w:rPr>
          <w:rFonts w:asciiTheme="minorHAnsi" w:hAnsiTheme="minorHAnsi"/>
        </w:rPr>
        <w:t xml:space="preserve"> more work </w:t>
      </w:r>
      <w:r w:rsidR="00D16518" w:rsidRPr="004A132D">
        <w:rPr>
          <w:rFonts w:asciiTheme="minorHAnsi" w:hAnsiTheme="minorHAnsi"/>
        </w:rPr>
        <w:t xml:space="preserve">being required </w:t>
      </w:r>
      <w:r w:rsidRPr="004A132D">
        <w:rPr>
          <w:rFonts w:asciiTheme="minorHAnsi" w:hAnsiTheme="minorHAnsi"/>
        </w:rPr>
        <w:t>to achieve economic equali</w:t>
      </w:r>
      <w:r w:rsidR="00EC77FD" w:rsidRPr="004A132D">
        <w:rPr>
          <w:rFonts w:asciiTheme="minorHAnsi" w:hAnsiTheme="minorHAnsi"/>
        </w:rPr>
        <w:t>ty</w:t>
      </w:r>
      <w:r w:rsidR="00D16518" w:rsidRPr="004A132D">
        <w:rPr>
          <w:rFonts w:asciiTheme="minorHAnsi" w:hAnsiTheme="minorHAnsi"/>
        </w:rPr>
        <w:t>;</w:t>
      </w:r>
      <w:r w:rsidR="00EC77FD" w:rsidRPr="004A132D">
        <w:rPr>
          <w:rFonts w:asciiTheme="minorHAnsi" w:hAnsiTheme="minorHAnsi"/>
        </w:rPr>
        <w:t xml:space="preserve"> s</w:t>
      </w:r>
      <w:r w:rsidR="000247D6" w:rsidRPr="004A132D">
        <w:rPr>
          <w:rFonts w:asciiTheme="minorHAnsi" w:hAnsiTheme="minorHAnsi"/>
        </w:rPr>
        <w:t>ignificant legislative</w:t>
      </w:r>
      <w:r w:rsidR="00EC77FD" w:rsidRPr="004A132D">
        <w:rPr>
          <w:rFonts w:asciiTheme="minorHAnsi" w:hAnsiTheme="minorHAnsi"/>
        </w:rPr>
        <w:t>, policy</w:t>
      </w:r>
      <w:r w:rsidR="000247D6" w:rsidRPr="004A132D">
        <w:rPr>
          <w:rFonts w:asciiTheme="minorHAnsi" w:hAnsiTheme="minorHAnsi"/>
        </w:rPr>
        <w:t xml:space="preserve"> </w:t>
      </w:r>
      <w:r w:rsidR="008D2FF2" w:rsidRPr="004A132D">
        <w:rPr>
          <w:rFonts w:asciiTheme="minorHAnsi" w:hAnsiTheme="minorHAnsi"/>
        </w:rPr>
        <w:t xml:space="preserve">and structural </w:t>
      </w:r>
      <w:r w:rsidR="000247D6" w:rsidRPr="004A132D">
        <w:rPr>
          <w:rFonts w:asciiTheme="minorHAnsi" w:hAnsiTheme="minorHAnsi"/>
        </w:rPr>
        <w:t xml:space="preserve">reforms </w:t>
      </w:r>
      <w:r w:rsidR="00EC77FD" w:rsidRPr="004A132D">
        <w:rPr>
          <w:rFonts w:asciiTheme="minorHAnsi" w:hAnsiTheme="minorHAnsi"/>
        </w:rPr>
        <w:t>have been implemented. This includes:</w:t>
      </w:r>
    </w:p>
    <w:p w14:paraId="2ACF3977" w14:textId="40FA62A0" w:rsidR="00EC77FD" w:rsidRPr="004A132D" w:rsidRDefault="00D20FCC" w:rsidP="00561D0E">
      <w:pPr>
        <w:pStyle w:val="Numbers"/>
        <w:numPr>
          <w:ilvl w:val="1"/>
          <w:numId w:val="1"/>
        </w:numPr>
        <w:rPr>
          <w:rFonts w:asciiTheme="minorHAnsi" w:hAnsiTheme="minorHAnsi"/>
        </w:rPr>
      </w:pPr>
      <w:r w:rsidRPr="004A132D">
        <w:rPr>
          <w:rFonts w:asciiTheme="minorHAnsi" w:hAnsiTheme="minorHAnsi"/>
        </w:rPr>
        <w:t>reintroducing</w:t>
      </w:r>
      <w:r w:rsidR="00EC77FD" w:rsidRPr="004A132D">
        <w:rPr>
          <w:rFonts w:asciiTheme="minorHAnsi" w:hAnsiTheme="minorHAnsi"/>
        </w:rPr>
        <w:t xml:space="preserve"> gender responsive budgeting and gender impact assessments to the federal Budget process, whereby policymakers are now required to consider the gender impact of all </w:t>
      </w:r>
      <w:r w:rsidRPr="004A132D">
        <w:rPr>
          <w:rFonts w:asciiTheme="minorHAnsi" w:hAnsiTheme="minorHAnsi"/>
        </w:rPr>
        <w:t xml:space="preserve">new </w:t>
      </w:r>
      <w:r w:rsidR="00EC77FD" w:rsidRPr="004A132D">
        <w:rPr>
          <w:rFonts w:asciiTheme="minorHAnsi" w:hAnsiTheme="minorHAnsi"/>
        </w:rPr>
        <w:t>proposals;</w:t>
      </w:r>
    </w:p>
    <w:p w14:paraId="6ADC5981" w14:textId="77777777" w:rsidR="00646505" w:rsidRPr="004A132D" w:rsidRDefault="00EC77FD" w:rsidP="00561D0E">
      <w:pPr>
        <w:pStyle w:val="Numbers"/>
        <w:numPr>
          <w:ilvl w:val="1"/>
          <w:numId w:val="1"/>
        </w:numPr>
        <w:rPr>
          <w:rFonts w:asciiTheme="minorHAnsi" w:hAnsiTheme="minorHAnsi"/>
        </w:rPr>
      </w:pPr>
      <w:r w:rsidRPr="004A132D">
        <w:rPr>
          <w:rFonts w:asciiTheme="minorHAnsi" w:hAnsiTheme="minorHAnsi"/>
        </w:rPr>
        <w:t>making the</w:t>
      </w:r>
      <w:r w:rsidR="00646505" w:rsidRPr="004A132D">
        <w:rPr>
          <w:rFonts w:asciiTheme="minorHAnsi" w:hAnsiTheme="minorHAnsi"/>
        </w:rPr>
        <w:t xml:space="preserve"> Go</w:t>
      </w:r>
      <w:r w:rsidRPr="004A132D">
        <w:rPr>
          <w:rFonts w:asciiTheme="minorHAnsi" w:hAnsiTheme="minorHAnsi"/>
        </w:rPr>
        <w:t>vernment’s Paid Parental Leave s</w:t>
      </w:r>
      <w:r w:rsidR="00646505" w:rsidRPr="004A132D">
        <w:rPr>
          <w:rFonts w:asciiTheme="minorHAnsi" w:hAnsiTheme="minorHAnsi"/>
        </w:rPr>
        <w:t>cheme longer, more flexible, accessible and gender equitable, sending a strong signal that both parents play a role in caring for their children</w:t>
      </w:r>
      <w:r w:rsidRPr="004A132D">
        <w:rPr>
          <w:rFonts w:asciiTheme="minorHAnsi" w:hAnsiTheme="minorHAnsi"/>
        </w:rPr>
        <w:t>;</w:t>
      </w:r>
    </w:p>
    <w:p w14:paraId="22628A73" w14:textId="77777777" w:rsidR="00646505" w:rsidRPr="004A132D" w:rsidRDefault="00EC77FD" w:rsidP="00561D0E">
      <w:pPr>
        <w:pStyle w:val="Numbers"/>
        <w:numPr>
          <w:ilvl w:val="1"/>
          <w:numId w:val="1"/>
        </w:numPr>
        <w:rPr>
          <w:rFonts w:asciiTheme="minorHAnsi" w:hAnsiTheme="minorHAnsi"/>
        </w:rPr>
      </w:pPr>
      <w:r w:rsidRPr="004A132D">
        <w:rPr>
          <w:rFonts w:asciiTheme="minorHAnsi" w:hAnsiTheme="minorHAnsi"/>
        </w:rPr>
        <w:t>driving</w:t>
      </w:r>
      <w:r w:rsidR="00646505" w:rsidRPr="004A132D">
        <w:rPr>
          <w:rFonts w:asciiTheme="minorHAnsi" w:hAnsiTheme="minorHAnsi"/>
        </w:rPr>
        <w:t xml:space="preserve"> transparency and action by amending the </w:t>
      </w:r>
      <w:r w:rsidR="00646505" w:rsidRPr="004A132D">
        <w:rPr>
          <w:rFonts w:asciiTheme="minorHAnsi" w:hAnsiTheme="minorHAnsi"/>
          <w:i/>
        </w:rPr>
        <w:t>Workplace Gender Equality Act 2012</w:t>
      </w:r>
      <w:r w:rsidR="00FE7DBB" w:rsidRPr="004A132D">
        <w:rPr>
          <w:rFonts w:asciiTheme="minorHAnsi" w:hAnsiTheme="minorHAnsi"/>
        </w:rPr>
        <w:t xml:space="preserve"> (Cth) (WGE</w:t>
      </w:r>
      <w:r w:rsidRPr="004A132D">
        <w:rPr>
          <w:rFonts w:asciiTheme="minorHAnsi" w:hAnsiTheme="minorHAnsi"/>
        </w:rPr>
        <w:t xml:space="preserve"> Act) </w:t>
      </w:r>
      <w:r w:rsidR="00646505" w:rsidRPr="004A132D">
        <w:rPr>
          <w:rFonts w:asciiTheme="minorHAnsi" w:hAnsiTheme="minorHAnsi"/>
        </w:rPr>
        <w:t xml:space="preserve">enabling the Workplace Gender Equality Agency </w:t>
      </w:r>
      <w:r w:rsidR="00757B7A" w:rsidRPr="004A132D">
        <w:rPr>
          <w:rFonts w:asciiTheme="minorHAnsi" w:hAnsiTheme="minorHAnsi"/>
        </w:rPr>
        <w:t xml:space="preserve">(WGEA) </w:t>
      </w:r>
      <w:r w:rsidR="00646505" w:rsidRPr="004A132D">
        <w:rPr>
          <w:rFonts w:asciiTheme="minorHAnsi" w:hAnsiTheme="minorHAnsi"/>
        </w:rPr>
        <w:t>to publish the gender pay gap of employers with 100 or more employees</w:t>
      </w:r>
      <w:r w:rsidRPr="004A132D">
        <w:rPr>
          <w:rFonts w:asciiTheme="minorHAnsi" w:hAnsiTheme="minorHAnsi"/>
        </w:rPr>
        <w:t>;</w:t>
      </w:r>
    </w:p>
    <w:p w14:paraId="39661680" w14:textId="77777777" w:rsidR="00B26ED6" w:rsidRPr="004A132D" w:rsidRDefault="00EC77FD" w:rsidP="00561D0E">
      <w:pPr>
        <w:pStyle w:val="Numbers"/>
        <w:numPr>
          <w:ilvl w:val="1"/>
          <w:numId w:val="1"/>
        </w:numPr>
        <w:rPr>
          <w:rFonts w:asciiTheme="minorHAnsi" w:hAnsiTheme="minorHAnsi"/>
        </w:rPr>
      </w:pPr>
      <w:r w:rsidRPr="004A132D">
        <w:rPr>
          <w:rFonts w:asciiTheme="minorHAnsi" w:hAnsiTheme="minorHAnsi"/>
        </w:rPr>
        <w:t>improving</w:t>
      </w:r>
      <w:r w:rsidR="00646505" w:rsidRPr="004A132D">
        <w:rPr>
          <w:rFonts w:asciiTheme="minorHAnsi" w:hAnsiTheme="minorHAnsi"/>
        </w:rPr>
        <w:t xml:space="preserve"> affordability of early childhood education and care </w:t>
      </w:r>
      <w:r w:rsidR="007A6C21" w:rsidRPr="004A132D">
        <w:rPr>
          <w:rFonts w:asciiTheme="minorHAnsi" w:hAnsiTheme="minorHAnsi"/>
        </w:rPr>
        <w:t xml:space="preserve">and </w:t>
      </w:r>
      <w:r w:rsidR="00646505" w:rsidRPr="004A132D">
        <w:rPr>
          <w:rFonts w:asciiTheme="minorHAnsi" w:hAnsiTheme="minorHAnsi"/>
        </w:rPr>
        <w:t>invest</w:t>
      </w:r>
      <w:r w:rsidR="007A6C21" w:rsidRPr="004A132D">
        <w:rPr>
          <w:rFonts w:asciiTheme="minorHAnsi" w:hAnsiTheme="minorHAnsi"/>
        </w:rPr>
        <w:t>ing</w:t>
      </w:r>
      <w:r w:rsidR="00646505" w:rsidRPr="004A132D">
        <w:rPr>
          <w:rFonts w:asciiTheme="minorHAnsi" w:hAnsiTheme="minorHAnsi"/>
        </w:rPr>
        <w:t xml:space="preserve"> in childcare accessibility for First Nations families</w:t>
      </w:r>
      <w:r w:rsidRPr="004A132D">
        <w:rPr>
          <w:rFonts w:asciiTheme="minorHAnsi" w:hAnsiTheme="minorHAnsi"/>
        </w:rPr>
        <w:t>;</w:t>
      </w:r>
      <w:r w:rsidR="00646505" w:rsidRPr="004A132D">
        <w:rPr>
          <w:rFonts w:asciiTheme="minorHAnsi" w:hAnsiTheme="minorHAnsi"/>
        </w:rPr>
        <w:t xml:space="preserve"> </w:t>
      </w:r>
    </w:p>
    <w:p w14:paraId="4539F99A" w14:textId="50CDB561" w:rsidR="00B76B53" w:rsidRPr="00D33A7C" w:rsidRDefault="00B76B53" w:rsidP="00561D0E">
      <w:pPr>
        <w:pStyle w:val="Numbers"/>
        <w:numPr>
          <w:ilvl w:val="1"/>
          <w:numId w:val="1"/>
        </w:numPr>
        <w:rPr>
          <w:rFonts w:asciiTheme="minorHAnsi" w:hAnsiTheme="minorHAnsi"/>
        </w:rPr>
      </w:pPr>
      <w:r>
        <w:rPr>
          <w:rFonts w:asciiTheme="minorHAnsi" w:hAnsiTheme="minorHAnsi"/>
          <w:lang w:val="en-AU"/>
        </w:rPr>
        <w:lastRenderedPageBreak/>
        <w:t>i</w:t>
      </w:r>
      <w:r w:rsidRPr="00B76B53">
        <w:rPr>
          <w:rFonts w:asciiTheme="minorHAnsi" w:hAnsiTheme="minorHAnsi"/>
          <w:lang w:val="en-AU"/>
        </w:rPr>
        <w:t xml:space="preserve">nvesting to better value paid care work and feminised industries, through reforming aged care, early childhood education and care, veterans’ care and disability support to create a sustainable and productive care and support economy that delivers quality care and support with quality jobs; </w:t>
      </w:r>
    </w:p>
    <w:p w14:paraId="79500165" w14:textId="446A6274" w:rsidR="00717BDC" w:rsidRPr="004A132D" w:rsidRDefault="00EC77FD" w:rsidP="00561D0E">
      <w:pPr>
        <w:pStyle w:val="Numbers"/>
        <w:numPr>
          <w:ilvl w:val="1"/>
          <w:numId w:val="1"/>
        </w:numPr>
        <w:rPr>
          <w:rFonts w:asciiTheme="minorHAnsi" w:hAnsiTheme="minorHAnsi"/>
        </w:rPr>
      </w:pPr>
      <w:r w:rsidRPr="004A132D">
        <w:rPr>
          <w:rFonts w:asciiTheme="minorHAnsi" w:hAnsiTheme="minorHAnsi"/>
        </w:rPr>
        <w:t xml:space="preserve">making gender equality an objective of the </w:t>
      </w:r>
      <w:r w:rsidRPr="004A132D">
        <w:rPr>
          <w:rFonts w:asciiTheme="minorHAnsi" w:hAnsiTheme="minorHAnsi"/>
          <w:i/>
        </w:rPr>
        <w:t>Fair Work Act 2009</w:t>
      </w:r>
      <w:r w:rsidRPr="004A132D">
        <w:rPr>
          <w:rFonts w:asciiTheme="minorHAnsi" w:hAnsiTheme="minorHAnsi"/>
        </w:rPr>
        <w:t xml:space="preserve"> (Cth) (Fair Work Act)</w:t>
      </w:r>
      <w:r w:rsidR="00092BD9" w:rsidRPr="004A132D">
        <w:rPr>
          <w:rFonts w:asciiTheme="minorHAnsi" w:hAnsiTheme="minorHAnsi"/>
        </w:rPr>
        <w:t xml:space="preserve"> as well as</w:t>
      </w:r>
      <w:r w:rsidRPr="004A132D">
        <w:rPr>
          <w:rFonts w:asciiTheme="minorHAnsi" w:hAnsiTheme="minorHAnsi"/>
        </w:rPr>
        <w:t>, banning pay secrecy, legislating a statutory equal remuneration principle and establishing an Expert Panel on Pay Equity in the</w:t>
      </w:r>
      <w:r w:rsidR="00757B7A" w:rsidRPr="004A132D">
        <w:rPr>
          <w:rFonts w:asciiTheme="minorHAnsi" w:hAnsiTheme="minorHAnsi"/>
        </w:rPr>
        <w:t xml:space="preserve"> national</w:t>
      </w:r>
      <w:r w:rsidRPr="004A132D">
        <w:rPr>
          <w:rFonts w:asciiTheme="minorHAnsi" w:hAnsiTheme="minorHAnsi"/>
        </w:rPr>
        <w:t xml:space="preserve"> Fair Work Commission</w:t>
      </w:r>
      <w:r w:rsidR="00092BD9" w:rsidRPr="004A132D">
        <w:rPr>
          <w:rFonts w:asciiTheme="minorHAnsi" w:hAnsiTheme="minorHAnsi"/>
        </w:rPr>
        <w:t xml:space="preserve">; </w:t>
      </w:r>
    </w:p>
    <w:p w14:paraId="52D500D5" w14:textId="51629AF8" w:rsidR="00717BDC" w:rsidRPr="006C3A97" w:rsidRDefault="00092BD9" w:rsidP="00561D0E">
      <w:pPr>
        <w:pStyle w:val="Numbers"/>
        <w:numPr>
          <w:ilvl w:val="1"/>
          <w:numId w:val="1"/>
        </w:numPr>
        <w:rPr>
          <w:rFonts w:asciiTheme="minorHAnsi" w:hAnsiTheme="minorHAnsi"/>
          <w:spacing w:val="-2"/>
        </w:rPr>
      </w:pPr>
      <w:r w:rsidRPr="006C3A97">
        <w:rPr>
          <w:rFonts w:asciiTheme="minorHAnsi" w:hAnsiTheme="minorHAnsi"/>
          <w:spacing w:val="-2"/>
        </w:rPr>
        <w:t>establishing entitlement</w:t>
      </w:r>
      <w:r w:rsidR="00717BDC" w:rsidRPr="006C3A97">
        <w:rPr>
          <w:rFonts w:asciiTheme="minorHAnsi" w:hAnsiTheme="minorHAnsi"/>
          <w:spacing w:val="-2"/>
        </w:rPr>
        <w:t>s</w:t>
      </w:r>
      <w:r w:rsidRPr="006C3A97">
        <w:rPr>
          <w:rFonts w:asciiTheme="minorHAnsi" w:hAnsiTheme="minorHAnsi"/>
          <w:spacing w:val="-2"/>
        </w:rPr>
        <w:t xml:space="preserve"> to paid family and domestic violence leave; and </w:t>
      </w:r>
    </w:p>
    <w:p w14:paraId="0D750A42" w14:textId="6E29C0C4" w:rsidR="00EC77FD" w:rsidRPr="004A132D" w:rsidRDefault="00092BD9" w:rsidP="00561D0E">
      <w:pPr>
        <w:pStyle w:val="Numbers"/>
        <w:numPr>
          <w:ilvl w:val="1"/>
          <w:numId w:val="1"/>
        </w:numPr>
        <w:rPr>
          <w:rFonts w:asciiTheme="minorHAnsi" w:hAnsiTheme="minorHAnsi"/>
        </w:rPr>
      </w:pPr>
      <w:r w:rsidRPr="004A132D">
        <w:rPr>
          <w:rFonts w:asciiTheme="minorHAnsi" w:hAnsiTheme="minorHAnsi"/>
        </w:rPr>
        <w:t>prohibiting discrimination against employees on the basis of gender identity, intersex status, breastfeeding and subjection to family and domestic violence</w:t>
      </w:r>
      <w:r w:rsidR="00EC77FD" w:rsidRPr="004A132D">
        <w:rPr>
          <w:rFonts w:asciiTheme="minorHAnsi" w:hAnsiTheme="minorHAnsi"/>
        </w:rPr>
        <w:t>.</w:t>
      </w:r>
    </w:p>
    <w:p w14:paraId="5E174810" w14:textId="2D23BA0C" w:rsidR="00D20FCC" w:rsidRPr="004A132D" w:rsidRDefault="00C1130F" w:rsidP="0002378E">
      <w:pPr>
        <w:pStyle w:val="Numbers"/>
        <w:tabs>
          <w:tab w:val="clear" w:pos="1701"/>
          <w:tab w:val="clear" w:pos="2268"/>
        </w:tabs>
        <w:ind w:left="1418"/>
        <w:rPr>
          <w:rFonts w:asciiTheme="minorHAnsi" w:hAnsiTheme="minorHAnsi"/>
        </w:rPr>
      </w:pPr>
      <w:r w:rsidRPr="004A132D">
        <w:rPr>
          <w:rFonts w:asciiTheme="minorHAnsi" w:hAnsiTheme="minorHAnsi"/>
        </w:rPr>
        <w:t>Gender equality in Australia cannot be achieved without reconciliation and equality for First Nations women</w:t>
      </w:r>
      <w:r w:rsidR="00E63D71" w:rsidRPr="004A132D">
        <w:rPr>
          <w:rFonts w:asciiTheme="minorHAnsi" w:hAnsiTheme="minorHAnsi"/>
        </w:rPr>
        <w:t>,</w:t>
      </w:r>
      <w:r w:rsidR="00724686" w:rsidRPr="004A132D">
        <w:rPr>
          <w:rFonts w:asciiTheme="minorHAnsi" w:hAnsiTheme="minorHAnsi"/>
        </w:rPr>
        <w:t xml:space="preserve"> </w:t>
      </w:r>
      <w:r w:rsidRPr="004A132D">
        <w:rPr>
          <w:rFonts w:asciiTheme="minorHAnsi" w:hAnsiTheme="minorHAnsi"/>
        </w:rPr>
        <w:t>girls</w:t>
      </w:r>
      <w:r w:rsidR="00E63D71" w:rsidRPr="004A132D">
        <w:rPr>
          <w:rFonts w:asciiTheme="minorHAnsi" w:hAnsiTheme="minorHAnsi"/>
        </w:rPr>
        <w:t xml:space="preserve"> and gender diverse persons</w:t>
      </w:r>
      <w:r w:rsidRPr="004A132D">
        <w:rPr>
          <w:rFonts w:asciiTheme="minorHAnsi" w:hAnsiTheme="minorHAnsi"/>
        </w:rPr>
        <w:t>.</w:t>
      </w:r>
      <w:r w:rsidR="00EC77FD" w:rsidRPr="004A132D">
        <w:rPr>
          <w:rFonts w:asciiTheme="minorHAnsi" w:hAnsiTheme="minorHAnsi"/>
        </w:rPr>
        <w:t xml:space="preserve"> </w:t>
      </w:r>
      <w:r w:rsidR="004E1C8B" w:rsidRPr="004A132D">
        <w:rPr>
          <w:rFonts w:asciiTheme="minorHAnsi" w:hAnsiTheme="minorHAnsi"/>
        </w:rPr>
        <w:t>The Australia</w:t>
      </w:r>
      <w:r w:rsidR="000211E8" w:rsidRPr="004A132D">
        <w:rPr>
          <w:rFonts w:asciiTheme="minorHAnsi" w:hAnsiTheme="minorHAnsi"/>
        </w:rPr>
        <w:t>n</w:t>
      </w:r>
      <w:r w:rsidR="00EC77FD" w:rsidRPr="004A132D">
        <w:rPr>
          <w:rFonts w:asciiTheme="minorHAnsi" w:hAnsiTheme="minorHAnsi"/>
        </w:rPr>
        <w:t xml:space="preserve"> Government is committed to listening to and working </w:t>
      </w:r>
      <w:r w:rsidR="0026366A" w:rsidRPr="004A132D">
        <w:rPr>
          <w:rFonts w:asciiTheme="minorHAnsi" w:hAnsiTheme="minorHAnsi"/>
        </w:rPr>
        <w:t xml:space="preserve">in partnership </w:t>
      </w:r>
      <w:r w:rsidR="00EC77FD" w:rsidRPr="004A132D">
        <w:rPr>
          <w:rFonts w:asciiTheme="minorHAnsi" w:hAnsiTheme="minorHAnsi"/>
        </w:rPr>
        <w:t xml:space="preserve">with </w:t>
      </w:r>
      <w:r w:rsidR="0002378E" w:rsidRPr="004A132D">
        <w:rPr>
          <w:rFonts w:asciiTheme="minorHAnsi" w:hAnsiTheme="minorHAnsi"/>
        </w:rPr>
        <w:br/>
      </w:r>
      <w:r w:rsidR="00EC77FD" w:rsidRPr="004A132D">
        <w:rPr>
          <w:rFonts w:asciiTheme="minorHAnsi" w:hAnsiTheme="minorHAnsi"/>
        </w:rPr>
        <w:t>First Nations women to achieve change</w:t>
      </w:r>
      <w:r w:rsidR="008F417D" w:rsidRPr="004A132D">
        <w:rPr>
          <w:rFonts w:asciiTheme="minorHAnsi" w:hAnsiTheme="minorHAnsi"/>
          <w:lang w:val="en-AU"/>
        </w:rPr>
        <w:t xml:space="preserve">, in line with the Priority Reforms under the </w:t>
      </w:r>
      <w:r w:rsidR="008F417D" w:rsidRPr="004A132D">
        <w:rPr>
          <w:rFonts w:asciiTheme="minorHAnsi" w:hAnsiTheme="minorHAnsi"/>
          <w:i/>
          <w:lang w:val="en-AU"/>
        </w:rPr>
        <w:t xml:space="preserve">National Agreement on Closing the Gap </w:t>
      </w:r>
      <w:r w:rsidR="008F417D" w:rsidRPr="004A132D">
        <w:rPr>
          <w:rFonts w:asciiTheme="minorHAnsi" w:hAnsiTheme="minorHAnsi"/>
          <w:lang w:val="en-AU"/>
        </w:rPr>
        <w:t>(Closing the Gap)</w:t>
      </w:r>
      <w:r w:rsidR="00EC77FD" w:rsidRPr="004A132D">
        <w:rPr>
          <w:rFonts w:asciiTheme="minorHAnsi" w:hAnsiTheme="minorHAnsi"/>
        </w:rPr>
        <w:t xml:space="preserve">. </w:t>
      </w:r>
      <w:r w:rsidR="00D20FCC" w:rsidRPr="004A132D">
        <w:rPr>
          <w:rFonts w:asciiTheme="minorHAnsi" w:hAnsiTheme="minorHAnsi"/>
        </w:rPr>
        <w:t xml:space="preserve">First Nations women are leading </w:t>
      </w:r>
      <w:r w:rsidR="003C4925" w:rsidRPr="004A132D">
        <w:rPr>
          <w:rFonts w:asciiTheme="minorHAnsi" w:hAnsiTheme="minorHAnsi"/>
        </w:rPr>
        <w:t xml:space="preserve">and engaging in </w:t>
      </w:r>
      <w:r w:rsidR="00D20FCC" w:rsidRPr="004A132D">
        <w:rPr>
          <w:rFonts w:asciiTheme="minorHAnsi" w:hAnsiTheme="minorHAnsi"/>
        </w:rPr>
        <w:t>a significant body of work to address their unique</w:t>
      </w:r>
      <w:r w:rsidR="00717BDC" w:rsidRPr="004A132D">
        <w:rPr>
          <w:rFonts w:asciiTheme="minorHAnsi" w:hAnsiTheme="minorHAnsi"/>
        </w:rPr>
        <w:t xml:space="preserve"> lived </w:t>
      </w:r>
      <w:r w:rsidR="00D20FCC" w:rsidRPr="004A132D">
        <w:rPr>
          <w:rFonts w:asciiTheme="minorHAnsi" w:hAnsiTheme="minorHAnsi"/>
        </w:rPr>
        <w:t xml:space="preserve">experiences in relation to racism and gender inequality. This includes through the </w:t>
      </w:r>
      <w:r w:rsidR="00D20FCC" w:rsidRPr="004A132D">
        <w:rPr>
          <w:rFonts w:asciiTheme="minorHAnsi" w:hAnsiTheme="minorHAnsi"/>
          <w:i/>
        </w:rPr>
        <w:t>Wiyi Yani U Thangani (Women’s Voices): Securing Our Rights, Securing Our Future Report</w:t>
      </w:r>
      <w:r w:rsidR="00D20FCC" w:rsidRPr="004A132D">
        <w:rPr>
          <w:rFonts w:asciiTheme="minorHAnsi" w:hAnsiTheme="minorHAnsi"/>
        </w:rPr>
        <w:t xml:space="preserve"> (Wiyi Yani U Thangani)</w:t>
      </w:r>
      <w:r w:rsidR="006C1415" w:rsidRPr="004A132D">
        <w:rPr>
          <w:rFonts w:asciiTheme="minorHAnsi" w:hAnsiTheme="minorHAnsi"/>
        </w:rPr>
        <w:t xml:space="preserve">, </w:t>
      </w:r>
      <w:r w:rsidR="006C1415" w:rsidRPr="004A132D">
        <w:rPr>
          <w:rFonts w:asciiTheme="minorHAnsi" w:hAnsiTheme="minorHAnsi"/>
          <w:lang w:val="en-AU"/>
        </w:rPr>
        <w:t>the Wiyi Yani U Thangani Change Agenda for First Nations Gender Justice</w:t>
      </w:r>
      <w:r w:rsidR="00717BDC" w:rsidRPr="004A132D">
        <w:rPr>
          <w:rFonts w:asciiTheme="minorHAnsi" w:hAnsiTheme="minorHAnsi"/>
          <w:lang w:val="en-AU"/>
        </w:rPr>
        <w:t>,</w:t>
      </w:r>
      <w:r w:rsidR="00D20FCC" w:rsidRPr="004A132D">
        <w:rPr>
          <w:rFonts w:asciiTheme="minorHAnsi" w:hAnsiTheme="minorHAnsi"/>
        </w:rPr>
        <w:t xml:space="preserve"> its Implementation Framework and Change Agenda</w:t>
      </w:r>
      <w:r w:rsidR="00717BDC" w:rsidRPr="004A132D">
        <w:rPr>
          <w:rFonts w:asciiTheme="minorHAnsi" w:hAnsiTheme="minorHAnsi"/>
        </w:rPr>
        <w:t>;</w:t>
      </w:r>
      <w:r w:rsidR="00D20FCC" w:rsidRPr="004A132D">
        <w:rPr>
          <w:rFonts w:asciiTheme="minorHAnsi" w:hAnsiTheme="minorHAnsi"/>
        </w:rPr>
        <w:t xml:space="preserve"> and the Aboriginal and Torres Strait Islander Action Plan under the </w:t>
      </w:r>
      <w:r w:rsidR="00B87A35" w:rsidRPr="004A132D">
        <w:rPr>
          <w:rFonts w:asciiTheme="minorHAnsi" w:hAnsiTheme="minorHAnsi"/>
        </w:rPr>
        <w:t xml:space="preserve">National Plan to </w:t>
      </w:r>
      <w:r w:rsidR="00F73767" w:rsidRPr="004A132D">
        <w:rPr>
          <w:rFonts w:asciiTheme="minorHAnsi" w:hAnsiTheme="minorHAnsi"/>
        </w:rPr>
        <w:t>E</w:t>
      </w:r>
      <w:r w:rsidR="00B87A35" w:rsidRPr="004A132D">
        <w:rPr>
          <w:rFonts w:asciiTheme="minorHAnsi" w:hAnsiTheme="minorHAnsi"/>
        </w:rPr>
        <w:t xml:space="preserve">nd </w:t>
      </w:r>
      <w:r w:rsidR="00F73767" w:rsidRPr="004A132D">
        <w:rPr>
          <w:rFonts w:asciiTheme="minorHAnsi" w:hAnsiTheme="minorHAnsi"/>
        </w:rPr>
        <w:t>V</w:t>
      </w:r>
      <w:r w:rsidR="00B87A35" w:rsidRPr="004A132D">
        <w:rPr>
          <w:rFonts w:asciiTheme="minorHAnsi" w:hAnsiTheme="minorHAnsi"/>
        </w:rPr>
        <w:t>iolence against Women</w:t>
      </w:r>
      <w:r w:rsidR="00D20FCC" w:rsidRPr="004A132D">
        <w:rPr>
          <w:rFonts w:asciiTheme="minorHAnsi" w:hAnsiTheme="minorHAnsi"/>
        </w:rPr>
        <w:t>.</w:t>
      </w:r>
    </w:p>
    <w:p w14:paraId="3E346F98" w14:textId="2C9A20EA" w:rsidR="00CC5702" w:rsidRPr="004A132D" w:rsidRDefault="00D20FCC" w:rsidP="0002378E">
      <w:pPr>
        <w:pStyle w:val="Numbers"/>
        <w:tabs>
          <w:tab w:val="clear" w:pos="1701"/>
          <w:tab w:val="clear" w:pos="2268"/>
        </w:tabs>
        <w:ind w:left="1418"/>
        <w:rPr>
          <w:rFonts w:asciiTheme="minorHAnsi" w:hAnsiTheme="minorHAnsi"/>
        </w:rPr>
      </w:pPr>
      <w:r w:rsidRPr="004A132D">
        <w:rPr>
          <w:rFonts w:asciiTheme="minorHAnsi" w:hAnsiTheme="minorHAnsi"/>
        </w:rPr>
        <w:t>A</w:t>
      </w:r>
      <w:r w:rsidR="004E1C8B" w:rsidRPr="004A132D">
        <w:rPr>
          <w:rFonts w:asciiTheme="minorHAnsi" w:hAnsiTheme="minorHAnsi"/>
        </w:rPr>
        <w:t xml:space="preserve">ustralia also pursues gender equality as a core value and priority across Australia’s foreign policy, </w:t>
      </w:r>
      <w:r w:rsidR="00D239AF" w:rsidRPr="004A132D">
        <w:rPr>
          <w:rFonts w:asciiTheme="minorHAnsi" w:hAnsiTheme="minorHAnsi"/>
        </w:rPr>
        <w:t xml:space="preserve">international </w:t>
      </w:r>
      <w:r w:rsidR="004E1C8B" w:rsidRPr="004A132D">
        <w:rPr>
          <w:rFonts w:asciiTheme="minorHAnsi" w:hAnsiTheme="minorHAnsi"/>
        </w:rPr>
        <w:t>development cooperation, humanitarian action, trade and security efforts. Through Australia’s International Development Policy</w:t>
      </w:r>
      <w:r w:rsidR="001B4F61" w:rsidRPr="004A132D">
        <w:rPr>
          <w:rFonts w:asciiTheme="minorHAnsi" w:hAnsiTheme="minorHAnsi"/>
        </w:rPr>
        <w:t xml:space="preserve">, </w:t>
      </w:r>
      <w:r w:rsidR="004E1C8B" w:rsidRPr="004A132D">
        <w:rPr>
          <w:rFonts w:asciiTheme="minorHAnsi" w:hAnsiTheme="minorHAnsi"/>
        </w:rPr>
        <w:t xml:space="preserve">we </w:t>
      </w:r>
      <w:r w:rsidR="00D239AF" w:rsidRPr="004A132D">
        <w:rPr>
          <w:rFonts w:asciiTheme="minorHAnsi" w:hAnsiTheme="minorHAnsi"/>
        </w:rPr>
        <w:t>advance</w:t>
      </w:r>
      <w:r w:rsidR="007A5C26" w:rsidRPr="004A132D">
        <w:rPr>
          <w:rFonts w:asciiTheme="minorHAnsi" w:hAnsiTheme="minorHAnsi"/>
        </w:rPr>
        <w:t xml:space="preserve"> </w:t>
      </w:r>
      <w:r w:rsidR="004E1C8B" w:rsidRPr="004A132D">
        <w:rPr>
          <w:rFonts w:asciiTheme="minorHAnsi" w:hAnsiTheme="minorHAnsi"/>
        </w:rPr>
        <w:t>gender equality as a key commitment and core issue for action.</w:t>
      </w:r>
      <w:r w:rsidR="009A3FB3" w:rsidRPr="004A132D">
        <w:rPr>
          <w:rFonts w:asciiTheme="minorHAnsi" w:hAnsiTheme="minorHAnsi"/>
        </w:rPr>
        <w:t xml:space="preserve"> </w:t>
      </w:r>
      <w:r w:rsidR="00CC5702" w:rsidRPr="004A132D">
        <w:rPr>
          <w:rFonts w:asciiTheme="minorHAnsi" w:hAnsiTheme="minorHAnsi"/>
        </w:rPr>
        <w:t xml:space="preserve">Australia </w:t>
      </w:r>
      <w:r w:rsidR="0092423F" w:rsidRPr="004A132D">
        <w:rPr>
          <w:rFonts w:asciiTheme="minorHAnsi" w:hAnsiTheme="minorHAnsi"/>
        </w:rPr>
        <w:t xml:space="preserve">has a </w:t>
      </w:r>
      <w:r w:rsidR="00CC5702" w:rsidRPr="004A132D">
        <w:rPr>
          <w:rFonts w:asciiTheme="minorHAnsi" w:hAnsiTheme="minorHAnsi"/>
        </w:rPr>
        <w:t xml:space="preserve">target that 80 per cent of overseas development investments effectively </w:t>
      </w:r>
      <w:r w:rsidR="00CC5702" w:rsidRPr="004A132D">
        <w:rPr>
          <w:rFonts w:asciiTheme="minorHAnsi" w:hAnsiTheme="minorHAnsi"/>
        </w:rPr>
        <w:lastRenderedPageBreak/>
        <w:t>address gender equality, and</w:t>
      </w:r>
      <w:r w:rsidR="0060076B" w:rsidRPr="004A132D">
        <w:rPr>
          <w:rFonts w:asciiTheme="minorHAnsi" w:hAnsiTheme="minorHAnsi"/>
        </w:rPr>
        <w:t xml:space="preserve"> a</w:t>
      </w:r>
      <w:r w:rsidR="00CC5702" w:rsidRPr="004A132D">
        <w:rPr>
          <w:rFonts w:asciiTheme="minorHAnsi" w:hAnsiTheme="minorHAnsi"/>
        </w:rPr>
        <w:t xml:space="preserve"> requirement that all investments over $3 million have a gender equality objective.</w:t>
      </w:r>
    </w:p>
    <w:p w14:paraId="7CA9F5A1" w14:textId="77777777" w:rsidR="000020BE" w:rsidRPr="004A132D" w:rsidRDefault="000020BE" w:rsidP="008D63FD">
      <w:pPr>
        <w:pStyle w:val="Heading2"/>
      </w:pPr>
      <w:bookmarkStart w:id="2" w:name="_Toc175556748"/>
      <w:r w:rsidRPr="004A132D">
        <w:t>Australia’s system of government</w:t>
      </w:r>
      <w:bookmarkEnd w:id="2"/>
    </w:p>
    <w:p w14:paraId="1F411268" w14:textId="77777777" w:rsidR="000020BE" w:rsidRPr="004A132D" w:rsidRDefault="000020BE" w:rsidP="0002378E">
      <w:pPr>
        <w:pStyle w:val="Numbers"/>
        <w:tabs>
          <w:tab w:val="clear" w:pos="1701"/>
          <w:tab w:val="clear" w:pos="2268"/>
        </w:tabs>
        <w:ind w:left="1418"/>
        <w:rPr>
          <w:rFonts w:asciiTheme="minorHAnsi" w:hAnsiTheme="minorHAnsi"/>
        </w:rPr>
      </w:pPr>
      <w:r w:rsidRPr="004A132D">
        <w:rPr>
          <w:rFonts w:asciiTheme="minorHAnsi" w:hAnsiTheme="minorHAnsi"/>
        </w:rPr>
        <w:t>Australia has a federal constitutional system in which legislative, executive and judicial powers are shared or distributed between the Australian Government and the constituent states and territories</w:t>
      </w:r>
      <w:r w:rsidR="00766B94" w:rsidRPr="004A132D">
        <w:rPr>
          <w:rFonts w:asciiTheme="minorHAnsi" w:hAnsiTheme="minorHAnsi"/>
        </w:rPr>
        <w:t>.</w:t>
      </w:r>
    </w:p>
    <w:p w14:paraId="1E6BEF6F" w14:textId="77777777" w:rsidR="008D2FF2" w:rsidRPr="004A132D" w:rsidRDefault="008D2FF2" w:rsidP="0002378E">
      <w:pPr>
        <w:pStyle w:val="Numbers"/>
        <w:tabs>
          <w:tab w:val="clear" w:pos="1701"/>
          <w:tab w:val="clear" w:pos="2268"/>
        </w:tabs>
        <w:ind w:left="1418"/>
        <w:rPr>
          <w:rFonts w:asciiTheme="minorHAnsi" w:hAnsiTheme="minorHAnsi"/>
        </w:rPr>
      </w:pPr>
      <w:r w:rsidRPr="004A132D">
        <w:rPr>
          <w:rFonts w:asciiTheme="minorHAnsi" w:hAnsiTheme="minorHAnsi"/>
        </w:rPr>
        <w:t>Under Australia’s system of government, powers are distributed between:</w:t>
      </w:r>
    </w:p>
    <w:p w14:paraId="2DCD2C06" w14:textId="53A4669F" w:rsidR="008D2FF2" w:rsidRPr="004A132D" w:rsidRDefault="00157D7F" w:rsidP="00561D0E">
      <w:pPr>
        <w:pStyle w:val="SingleTxtG"/>
        <w:numPr>
          <w:ilvl w:val="1"/>
          <w:numId w:val="1"/>
        </w:numPr>
        <w:spacing w:line="360" w:lineRule="auto"/>
        <w:rPr>
          <w:rFonts w:asciiTheme="minorHAnsi" w:hAnsiTheme="minorHAnsi"/>
          <w:sz w:val="24"/>
          <w:szCs w:val="24"/>
        </w:rPr>
      </w:pPr>
      <w:r w:rsidRPr="004A132D">
        <w:rPr>
          <w:rFonts w:asciiTheme="minorHAnsi" w:hAnsiTheme="minorHAnsi"/>
          <w:sz w:val="24"/>
          <w:szCs w:val="24"/>
        </w:rPr>
        <w:t>t</w:t>
      </w:r>
      <w:r w:rsidR="008D2FF2" w:rsidRPr="004A132D">
        <w:rPr>
          <w:rFonts w:asciiTheme="minorHAnsi" w:hAnsiTheme="minorHAnsi"/>
          <w:sz w:val="24"/>
          <w:szCs w:val="24"/>
        </w:rPr>
        <w:t>he Australian Government;</w:t>
      </w:r>
    </w:p>
    <w:p w14:paraId="331EAC96" w14:textId="54B6C37F" w:rsidR="008D2FF2" w:rsidRPr="006C3A97" w:rsidRDefault="00157D7F" w:rsidP="00561D0E">
      <w:pPr>
        <w:pStyle w:val="SingleTxtG"/>
        <w:numPr>
          <w:ilvl w:val="1"/>
          <w:numId w:val="1"/>
        </w:numPr>
        <w:spacing w:line="360" w:lineRule="auto"/>
        <w:rPr>
          <w:rFonts w:asciiTheme="minorHAnsi" w:hAnsiTheme="minorHAnsi"/>
          <w:spacing w:val="-2"/>
          <w:sz w:val="24"/>
          <w:szCs w:val="24"/>
        </w:rPr>
      </w:pPr>
      <w:r w:rsidRPr="006C3A97">
        <w:rPr>
          <w:rFonts w:asciiTheme="minorHAnsi" w:hAnsiTheme="minorHAnsi"/>
          <w:spacing w:val="-2"/>
          <w:sz w:val="24"/>
          <w:szCs w:val="24"/>
        </w:rPr>
        <w:t>6</w:t>
      </w:r>
      <w:r w:rsidR="008D2FF2" w:rsidRPr="006C3A97">
        <w:rPr>
          <w:rFonts w:asciiTheme="minorHAnsi" w:hAnsiTheme="minorHAnsi"/>
          <w:spacing w:val="-2"/>
          <w:sz w:val="24"/>
          <w:szCs w:val="24"/>
        </w:rPr>
        <w:t xml:space="preserve"> </w:t>
      </w:r>
      <w:r w:rsidR="00766B94" w:rsidRPr="006C3A97">
        <w:rPr>
          <w:rFonts w:asciiTheme="minorHAnsi" w:hAnsiTheme="minorHAnsi"/>
          <w:spacing w:val="-2"/>
          <w:sz w:val="24"/>
          <w:szCs w:val="24"/>
        </w:rPr>
        <w:t>state governments</w:t>
      </w:r>
      <w:r w:rsidR="006C3A97" w:rsidRPr="006C3A97">
        <w:rPr>
          <w:rFonts w:asciiTheme="minorHAnsi" w:hAnsiTheme="minorHAnsi"/>
          <w:spacing w:val="-2"/>
          <w:sz w:val="24"/>
          <w:szCs w:val="24"/>
        </w:rPr>
        <w:t>:</w:t>
      </w:r>
      <w:r w:rsidR="008D2FF2" w:rsidRPr="006C3A97">
        <w:rPr>
          <w:rFonts w:asciiTheme="minorHAnsi" w:hAnsiTheme="minorHAnsi"/>
          <w:spacing w:val="-2"/>
          <w:sz w:val="24"/>
          <w:szCs w:val="24"/>
        </w:rPr>
        <w:t xml:space="preserve"> New </w:t>
      </w:r>
      <w:r w:rsidR="00766B94" w:rsidRPr="006C3A97">
        <w:rPr>
          <w:rFonts w:asciiTheme="minorHAnsi" w:hAnsiTheme="minorHAnsi"/>
          <w:spacing w:val="-2"/>
          <w:sz w:val="24"/>
          <w:szCs w:val="24"/>
        </w:rPr>
        <w:t xml:space="preserve">South Wales (NSW), </w:t>
      </w:r>
      <w:r w:rsidR="008D2FF2" w:rsidRPr="006C3A97">
        <w:rPr>
          <w:rFonts w:asciiTheme="minorHAnsi" w:hAnsiTheme="minorHAnsi"/>
          <w:spacing w:val="-2"/>
          <w:sz w:val="24"/>
          <w:szCs w:val="24"/>
        </w:rPr>
        <w:t xml:space="preserve">Queensland (QLD), </w:t>
      </w:r>
      <w:r w:rsidR="00766B94" w:rsidRPr="006C3A97">
        <w:rPr>
          <w:rFonts w:asciiTheme="minorHAnsi" w:hAnsiTheme="minorHAnsi"/>
          <w:spacing w:val="-2"/>
          <w:sz w:val="24"/>
          <w:szCs w:val="24"/>
        </w:rPr>
        <w:t>South Australia (SA), Tasmania (TAS</w:t>
      </w:r>
      <w:r w:rsidR="007A6C21" w:rsidRPr="006C3A97">
        <w:rPr>
          <w:rFonts w:asciiTheme="minorHAnsi" w:hAnsiTheme="minorHAnsi"/>
          <w:spacing w:val="-2"/>
          <w:sz w:val="24"/>
          <w:szCs w:val="24"/>
        </w:rPr>
        <w:t>),</w:t>
      </w:r>
      <w:r w:rsidR="00766B94" w:rsidRPr="006C3A97">
        <w:rPr>
          <w:rFonts w:asciiTheme="minorHAnsi" w:hAnsiTheme="minorHAnsi"/>
          <w:spacing w:val="-2"/>
          <w:sz w:val="24"/>
          <w:szCs w:val="24"/>
        </w:rPr>
        <w:t xml:space="preserve"> Victori</w:t>
      </w:r>
      <w:r w:rsidR="000211E8" w:rsidRPr="006C3A97">
        <w:rPr>
          <w:rFonts w:asciiTheme="minorHAnsi" w:hAnsiTheme="minorHAnsi"/>
          <w:spacing w:val="-2"/>
          <w:sz w:val="24"/>
          <w:szCs w:val="24"/>
        </w:rPr>
        <w:t>a (VIC), Western Australia (WA);</w:t>
      </w:r>
    </w:p>
    <w:p w14:paraId="3ACFB821" w14:textId="71DC9CE4" w:rsidR="008D2FF2" w:rsidRPr="006C3A97" w:rsidRDefault="00157D7F" w:rsidP="00561D0E">
      <w:pPr>
        <w:pStyle w:val="SingleTxtG"/>
        <w:numPr>
          <w:ilvl w:val="1"/>
          <w:numId w:val="1"/>
        </w:numPr>
        <w:spacing w:line="360" w:lineRule="auto"/>
        <w:rPr>
          <w:rFonts w:asciiTheme="minorHAnsi" w:hAnsiTheme="minorHAnsi"/>
          <w:spacing w:val="-2"/>
          <w:sz w:val="24"/>
          <w:szCs w:val="24"/>
        </w:rPr>
      </w:pPr>
      <w:r w:rsidRPr="006C3A97">
        <w:rPr>
          <w:rFonts w:asciiTheme="minorHAnsi" w:hAnsiTheme="minorHAnsi"/>
          <w:spacing w:val="-2"/>
          <w:sz w:val="24"/>
          <w:szCs w:val="24"/>
        </w:rPr>
        <w:t>2</w:t>
      </w:r>
      <w:r w:rsidR="008D2FF2" w:rsidRPr="006C3A97">
        <w:rPr>
          <w:rFonts w:asciiTheme="minorHAnsi" w:hAnsiTheme="minorHAnsi"/>
          <w:spacing w:val="-2"/>
          <w:sz w:val="24"/>
          <w:szCs w:val="24"/>
        </w:rPr>
        <w:t xml:space="preserve"> self-go</w:t>
      </w:r>
      <w:r w:rsidR="00766B94" w:rsidRPr="006C3A97">
        <w:rPr>
          <w:rFonts w:asciiTheme="minorHAnsi" w:hAnsiTheme="minorHAnsi"/>
          <w:spacing w:val="-2"/>
          <w:sz w:val="24"/>
          <w:szCs w:val="24"/>
        </w:rPr>
        <w:t>verning territory governments</w:t>
      </w:r>
      <w:r w:rsidR="006C3A97" w:rsidRPr="006C3A97">
        <w:rPr>
          <w:rFonts w:asciiTheme="minorHAnsi" w:hAnsiTheme="minorHAnsi"/>
          <w:spacing w:val="-2"/>
          <w:sz w:val="24"/>
          <w:szCs w:val="24"/>
        </w:rPr>
        <w:t>:</w:t>
      </w:r>
      <w:r w:rsidR="00766B94" w:rsidRPr="006C3A97">
        <w:rPr>
          <w:rFonts w:asciiTheme="minorHAnsi" w:hAnsiTheme="minorHAnsi"/>
          <w:spacing w:val="-2"/>
          <w:sz w:val="24"/>
          <w:szCs w:val="24"/>
        </w:rPr>
        <w:t xml:space="preserve"> </w:t>
      </w:r>
      <w:r w:rsidR="008D2FF2" w:rsidRPr="006C3A97">
        <w:rPr>
          <w:rFonts w:asciiTheme="minorHAnsi" w:hAnsiTheme="minorHAnsi"/>
          <w:spacing w:val="-2"/>
          <w:sz w:val="24"/>
          <w:szCs w:val="24"/>
        </w:rPr>
        <w:t xml:space="preserve">the </w:t>
      </w:r>
      <w:r w:rsidR="00766B94" w:rsidRPr="006C3A97">
        <w:rPr>
          <w:rFonts w:asciiTheme="minorHAnsi" w:hAnsiTheme="minorHAnsi"/>
          <w:spacing w:val="-2"/>
          <w:sz w:val="24"/>
          <w:szCs w:val="24"/>
        </w:rPr>
        <w:t xml:space="preserve">Australian Capital Territory (ACT) </w:t>
      </w:r>
      <w:r w:rsidR="000211E8" w:rsidRPr="006C3A97">
        <w:rPr>
          <w:rFonts w:asciiTheme="minorHAnsi" w:hAnsiTheme="minorHAnsi"/>
          <w:spacing w:val="-2"/>
          <w:sz w:val="24"/>
          <w:szCs w:val="24"/>
        </w:rPr>
        <w:t>and the Northern Territory (NT);</w:t>
      </w:r>
    </w:p>
    <w:p w14:paraId="4DD7A853" w14:textId="77777777" w:rsidR="008D2FF2" w:rsidRPr="004A132D" w:rsidRDefault="000020BE" w:rsidP="00561D0E">
      <w:pPr>
        <w:pStyle w:val="SingleTxtG"/>
        <w:numPr>
          <w:ilvl w:val="1"/>
          <w:numId w:val="1"/>
        </w:numPr>
        <w:spacing w:line="360" w:lineRule="auto"/>
        <w:rPr>
          <w:rFonts w:asciiTheme="minorHAnsi" w:hAnsiTheme="minorHAnsi"/>
          <w:sz w:val="24"/>
          <w:szCs w:val="24"/>
        </w:rPr>
      </w:pPr>
      <w:r w:rsidRPr="004A132D">
        <w:rPr>
          <w:rFonts w:asciiTheme="minorHAnsi" w:hAnsiTheme="minorHAnsi"/>
          <w:sz w:val="24"/>
          <w:szCs w:val="24"/>
        </w:rPr>
        <w:t>537</w:t>
      </w:r>
      <w:r w:rsidR="008D2FF2" w:rsidRPr="004A132D">
        <w:rPr>
          <w:rFonts w:asciiTheme="minorHAnsi" w:hAnsiTheme="minorHAnsi"/>
          <w:sz w:val="24"/>
          <w:szCs w:val="24"/>
        </w:rPr>
        <w:t xml:space="preserve"> local </w:t>
      </w:r>
      <w:r w:rsidR="00766B94" w:rsidRPr="004A132D">
        <w:rPr>
          <w:rFonts w:asciiTheme="minorHAnsi" w:hAnsiTheme="minorHAnsi"/>
          <w:sz w:val="24"/>
          <w:szCs w:val="24"/>
        </w:rPr>
        <w:t xml:space="preserve">government </w:t>
      </w:r>
      <w:r w:rsidR="008D2FF2" w:rsidRPr="004A132D">
        <w:rPr>
          <w:rFonts w:asciiTheme="minorHAnsi" w:hAnsiTheme="minorHAnsi"/>
          <w:sz w:val="24"/>
          <w:szCs w:val="24"/>
        </w:rPr>
        <w:t>councils.</w:t>
      </w:r>
    </w:p>
    <w:p w14:paraId="656145ED" w14:textId="1C88F1A1" w:rsidR="009F351D" w:rsidRPr="004A132D" w:rsidRDefault="009F351D" w:rsidP="0002378E">
      <w:pPr>
        <w:pStyle w:val="Numbers"/>
        <w:tabs>
          <w:tab w:val="clear" w:pos="1701"/>
          <w:tab w:val="clear" w:pos="2268"/>
        </w:tabs>
        <w:ind w:left="1418"/>
        <w:rPr>
          <w:rFonts w:asciiTheme="minorHAnsi" w:hAnsiTheme="minorHAnsi"/>
        </w:rPr>
      </w:pPr>
      <w:r w:rsidRPr="004A132D">
        <w:rPr>
          <w:rFonts w:asciiTheme="minorHAnsi" w:hAnsiTheme="minorHAnsi"/>
        </w:rPr>
        <w:t xml:space="preserve">The Australian Government (also referred to </w:t>
      </w:r>
      <w:r w:rsidR="00545B13" w:rsidRPr="004A132D">
        <w:rPr>
          <w:rFonts w:asciiTheme="minorHAnsi" w:hAnsiTheme="minorHAnsi"/>
        </w:rPr>
        <w:t xml:space="preserve">as </w:t>
      </w:r>
      <w:r w:rsidR="00C106B8" w:rsidRPr="004A132D">
        <w:rPr>
          <w:rFonts w:asciiTheme="minorHAnsi" w:hAnsiTheme="minorHAnsi"/>
        </w:rPr>
        <w:t xml:space="preserve">the </w:t>
      </w:r>
      <w:r w:rsidRPr="004A132D">
        <w:rPr>
          <w:rFonts w:asciiTheme="minorHAnsi" w:hAnsiTheme="minorHAnsi"/>
        </w:rPr>
        <w:t xml:space="preserve">federal government in this </w:t>
      </w:r>
      <w:r w:rsidR="0017228C">
        <w:rPr>
          <w:rFonts w:asciiTheme="minorHAnsi" w:hAnsiTheme="minorHAnsi"/>
        </w:rPr>
        <w:t xml:space="preserve">periodic </w:t>
      </w:r>
      <w:r w:rsidRPr="004A132D">
        <w:rPr>
          <w:rFonts w:asciiTheme="minorHAnsi" w:hAnsiTheme="minorHAnsi"/>
        </w:rPr>
        <w:t xml:space="preserve">report) works closely with states and territories on measures to progress gender equality.  </w:t>
      </w:r>
      <w:r w:rsidR="00105E99" w:rsidRPr="004A132D">
        <w:rPr>
          <w:rFonts w:asciiTheme="minorHAnsi" w:hAnsiTheme="minorHAnsi"/>
        </w:rPr>
        <w:t xml:space="preserve">This </w:t>
      </w:r>
      <w:r w:rsidR="0017228C">
        <w:rPr>
          <w:rFonts w:asciiTheme="minorHAnsi" w:hAnsiTheme="minorHAnsi"/>
        </w:rPr>
        <w:t xml:space="preserve">periodic </w:t>
      </w:r>
      <w:r w:rsidR="00105E99" w:rsidRPr="004A132D">
        <w:rPr>
          <w:rFonts w:asciiTheme="minorHAnsi" w:hAnsiTheme="minorHAnsi"/>
        </w:rPr>
        <w:t xml:space="preserve">report focuses on the </w:t>
      </w:r>
      <w:r w:rsidR="00766B94" w:rsidRPr="004A132D">
        <w:rPr>
          <w:rFonts w:asciiTheme="minorHAnsi" w:hAnsiTheme="minorHAnsi"/>
        </w:rPr>
        <w:t>Australian G</w:t>
      </w:r>
      <w:r w:rsidR="00E137E6" w:rsidRPr="004A132D">
        <w:rPr>
          <w:rFonts w:asciiTheme="minorHAnsi" w:hAnsiTheme="minorHAnsi"/>
        </w:rPr>
        <w:t xml:space="preserve">overnment’s </w:t>
      </w:r>
      <w:r w:rsidR="00C106B8" w:rsidRPr="004A132D">
        <w:rPr>
          <w:rFonts w:asciiTheme="minorHAnsi" w:hAnsiTheme="minorHAnsi"/>
        </w:rPr>
        <w:t>actions</w:t>
      </w:r>
      <w:r w:rsidR="00E137E6" w:rsidRPr="004A132D">
        <w:rPr>
          <w:rFonts w:asciiTheme="minorHAnsi" w:hAnsiTheme="minorHAnsi"/>
        </w:rPr>
        <w:t xml:space="preserve"> at a national level</w:t>
      </w:r>
      <w:r w:rsidR="00105E99" w:rsidRPr="004A132D">
        <w:rPr>
          <w:rFonts w:asciiTheme="minorHAnsi" w:hAnsiTheme="minorHAnsi"/>
        </w:rPr>
        <w:t xml:space="preserve"> and where relevant</w:t>
      </w:r>
      <w:r w:rsidR="00766B94" w:rsidRPr="004A132D">
        <w:rPr>
          <w:rFonts w:asciiTheme="minorHAnsi" w:hAnsiTheme="minorHAnsi"/>
        </w:rPr>
        <w:t xml:space="preserve"> to the question</w:t>
      </w:r>
      <w:r w:rsidR="00105E99" w:rsidRPr="004A132D">
        <w:rPr>
          <w:rFonts w:asciiTheme="minorHAnsi" w:hAnsiTheme="minorHAnsi"/>
        </w:rPr>
        <w:t xml:space="preserve">, </w:t>
      </w:r>
      <w:r w:rsidR="00C106B8" w:rsidRPr="004A132D">
        <w:rPr>
          <w:rFonts w:asciiTheme="minorHAnsi" w:hAnsiTheme="minorHAnsi"/>
        </w:rPr>
        <w:t xml:space="preserve">outlines </w:t>
      </w:r>
      <w:r w:rsidR="000211E8" w:rsidRPr="004A132D">
        <w:rPr>
          <w:rFonts w:asciiTheme="minorHAnsi" w:hAnsiTheme="minorHAnsi"/>
        </w:rPr>
        <w:t>state and territory</w:t>
      </w:r>
      <w:r w:rsidR="00766B94" w:rsidRPr="004A132D">
        <w:rPr>
          <w:rFonts w:asciiTheme="minorHAnsi" w:hAnsiTheme="minorHAnsi"/>
        </w:rPr>
        <w:t xml:space="preserve"> </w:t>
      </w:r>
      <w:r w:rsidR="00C106B8" w:rsidRPr="004A132D">
        <w:rPr>
          <w:rFonts w:asciiTheme="minorHAnsi" w:hAnsiTheme="minorHAnsi"/>
        </w:rPr>
        <w:t xml:space="preserve">measures. </w:t>
      </w:r>
      <w:r w:rsidRPr="004A132D">
        <w:rPr>
          <w:rFonts w:asciiTheme="minorHAnsi" w:hAnsiTheme="minorHAnsi"/>
        </w:rPr>
        <w:t>States and territories have undertaken significant reform on gender equality</w:t>
      </w:r>
      <w:r w:rsidR="00727301" w:rsidRPr="004A132D">
        <w:rPr>
          <w:rFonts w:asciiTheme="minorHAnsi" w:hAnsiTheme="minorHAnsi"/>
        </w:rPr>
        <w:t>,</w:t>
      </w:r>
      <w:r w:rsidRPr="004A132D">
        <w:rPr>
          <w:rFonts w:asciiTheme="minorHAnsi" w:hAnsiTheme="minorHAnsi"/>
        </w:rPr>
        <w:t xml:space="preserve"> particularly on </w:t>
      </w:r>
      <w:r w:rsidR="00C106B8" w:rsidRPr="004A132D">
        <w:rPr>
          <w:rFonts w:asciiTheme="minorHAnsi" w:hAnsiTheme="minorHAnsi"/>
        </w:rPr>
        <w:t xml:space="preserve">implementing </w:t>
      </w:r>
      <w:r w:rsidRPr="004A132D">
        <w:rPr>
          <w:rFonts w:asciiTheme="minorHAnsi" w:hAnsiTheme="minorHAnsi"/>
        </w:rPr>
        <w:t xml:space="preserve">gender equality strategies, </w:t>
      </w:r>
      <w:r w:rsidR="000211E8" w:rsidRPr="004A132D">
        <w:rPr>
          <w:rFonts w:asciiTheme="minorHAnsi" w:hAnsiTheme="minorHAnsi"/>
        </w:rPr>
        <w:t xml:space="preserve">on </w:t>
      </w:r>
      <w:r w:rsidR="00835B84" w:rsidRPr="004A132D">
        <w:rPr>
          <w:rFonts w:asciiTheme="minorHAnsi" w:hAnsiTheme="minorHAnsi"/>
        </w:rPr>
        <w:t xml:space="preserve">gender-based violence, </w:t>
      </w:r>
      <w:r w:rsidR="00C106B8" w:rsidRPr="004A132D">
        <w:rPr>
          <w:rFonts w:asciiTheme="minorHAnsi" w:hAnsiTheme="minorHAnsi"/>
        </w:rPr>
        <w:t xml:space="preserve">in </w:t>
      </w:r>
      <w:r w:rsidRPr="004A132D">
        <w:rPr>
          <w:rFonts w:asciiTheme="minorHAnsi" w:hAnsiTheme="minorHAnsi"/>
        </w:rPr>
        <w:t>education, health</w:t>
      </w:r>
      <w:r w:rsidR="00C106B8" w:rsidRPr="004A132D">
        <w:rPr>
          <w:rFonts w:asciiTheme="minorHAnsi" w:hAnsiTheme="minorHAnsi"/>
        </w:rPr>
        <w:t>, justice</w:t>
      </w:r>
      <w:r w:rsidRPr="004A132D">
        <w:rPr>
          <w:rFonts w:asciiTheme="minorHAnsi" w:hAnsiTheme="minorHAnsi"/>
        </w:rPr>
        <w:t xml:space="preserve"> and </w:t>
      </w:r>
      <w:r w:rsidR="00C106B8" w:rsidRPr="004A132D">
        <w:rPr>
          <w:rFonts w:asciiTheme="minorHAnsi" w:hAnsiTheme="minorHAnsi"/>
        </w:rPr>
        <w:t xml:space="preserve">in </w:t>
      </w:r>
      <w:r w:rsidR="00727301" w:rsidRPr="004A132D">
        <w:rPr>
          <w:rFonts w:asciiTheme="minorHAnsi" w:hAnsiTheme="minorHAnsi"/>
        </w:rPr>
        <w:t>correctional setting. D</w:t>
      </w:r>
      <w:r w:rsidRPr="004A132D">
        <w:rPr>
          <w:rFonts w:asciiTheme="minorHAnsi" w:hAnsiTheme="minorHAnsi"/>
        </w:rPr>
        <w:t xml:space="preserve">ue to the brevity of this </w:t>
      </w:r>
      <w:r w:rsidR="0017228C">
        <w:rPr>
          <w:rFonts w:asciiTheme="minorHAnsi" w:hAnsiTheme="minorHAnsi"/>
        </w:rPr>
        <w:t xml:space="preserve">periodic </w:t>
      </w:r>
      <w:r w:rsidRPr="004A132D">
        <w:rPr>
          <w:rFonts w:asciiTheme="minorHAnsi" w:hAnsiTheme="minorHAnsi"/>
        </w:rPr>
        <w:t xml:space="preserve">report, </w:t>
      </w:r>
      <w:r w:rsidR="00C106B8" w:rsidRPr="004A132D">
        <w:rPr>
          <w:rFonts w:asciiTheme="minorHAnsi" w:hAnsiTheme="minorHAnsi"/>
        </w:rPr>
        <w:t xml:space="preserve">only a snapshot of these measures across the </w:t>
      </w:r>
      <w:r w:rsidR="00C944BD" w:rsidRPr="004A132D">
        <w:rPr>
          <w:rFonts w:asciiTheme="minorHAnsi" w:hAnsiTheme="minorHAnsi"/>
        </w:rPr>
        <w:t>8</w:t>
      </w:r>
      <w:r w:rsidR="00C106B8" w:rsidRPr="004A132D">
        <w:rPr>
          <w:rFonts w:asciiTheme="minorHAnsi" w:hAnsiTheme="minorHAnsi"/>
        </w:rPr>
        <w:t xml:space="preserve"> jurisdictions </w:t>
      </w:r>
      <w:r w:rsidR="00157D7F" w:rsidRPr="004A132D">
        <w:rPr>
          <w:rFonts w:asciiTheme="minorHAnsi" w:hAnsiTheme="minorHAnsi"/>
        </w:rPr>
        <w:t>is</w:t>
      </w:r>
      <w:r w:rsidR="00C106B8" w:rsidRPr="004A132D">
        <w:rPr>
          <w:rFonts w:asciiTheme="minorHAnsi" w:hAnsiTheme="minorHAnsi"/>
        </w:rPr>
        <w:t xml:space="preserve"> provided. </w:t>
      </w:r>
    </w:p>
    <w:p w14:paraId="5FC483C4" w14:textId="0233B2D6" w:rsidR="000020BE" w:rsidRPr="004A132D" w:rsidRDefault="005F56F4" w:rsidP="001766AB">
      <w:pPr>
        <w:pStyle w:val="Heading2"/>
      </w:pPr>
      <w:bookmarkStart w:id="3" w:name="_Toc175556749"/>
      <w:r w:rsidRPr="004A132D">
        <w:t xml:space="preserve">Preparation of </w:t>
      </w:r>
      <w:r w:rsidR="0017228C">
        <w:t>the periodic</w:t>
      </w:r>
      <w:r w:rsidRPr="004A132D">
        <w:t xml:space="preserve"> report</w:t>
      </w:r>
      <w:bookmarkEnd w:id="3"/>
    </w:p>
    <w:p w14:paraId="10FFDAE9" w14:textId="700611FC" w:rsidR="005F56F4" w:rsidRPr="004A132D" w:rsidRDefault="00F42CB0" w:rsidP="0002378E">
      <w:pPr>
        <w:pStyle w:val="Numbers"/>
        <w:tabs>
          <w:tab w:val="clear" w:pos="1701"/>
          <w:tab w:val="clear" w:pos="2268"/>
        </w:tabs>
        <w:ind w:left="1418"/>
        <w:rPr>
          <w:rFonts w:asciiTheme="minorHAnsi" w:hAnsiTheme="minorHAnsi"/>
          <w:highlight w:val="yellow"/>
        </w:rPr>
      </w:pPr>
      <w:r w:rsidRPr="004A132D">
        <w:rPr>
          <w:rFonts w:asciiTheme="minorHAnsi" w:hAnsiTheme="minorHAnsi"/>
          <w:i/>
          <w:highlight w:val="yellow"/>
        </w:rPr>
        <w:t>[Placeholder: paragraph 13 will detail the public consultation process undertaken as part of</w:t>
      </w:r>
      <w:r w:rsidR="006C3A97">
        <w:rPr>
          <w:rFonts w:asciiTheme="minorHAnsi" w:hAnsiTheme="minorHAnsi"/>
          <w:i/>
          <w:highlight w:val="yellow"/>
        </w:rPr>
        <w:t xml:space="preserve"> our</w:t>
      </w:r>
      <w:r w:rsidRPr="004A132D">
        <w:rPr>
          <w:rFonts w:asciiTheme="minorHAnsi" w:hAnsiTheme="minorHAnsi"/>
          <w:i/>
          <w:highlight w:val="yellow"/>
        </w:rPr>
        <w:t xml:space="preserve"> intention to provide a full and robust report on Australia’s progress under the Convention. A summary of the public consultation response will be included in an Appendix to </w:t>
      </w:r>
      <w:r w:rsidR="0017228C">
        <w:rPr>
          <w:rFonts w:asciiTheme="minorHAnsi" w:hAnsiTheme="minorHAnsi"/>
          <w:i/>
          <w:highlight w:val="yellow"/>
        </w:rPr>
        <w:t>the periodic</w:t>
      </w:r>
      <w:r w:rsidRPr="004A132D">
        <w:rPr>
          <w:rFonts w:asciiTheme="minorHAnsi" w:hAnsiTheme="minorHAnsi"/>
          <w:i/>
          <w:highlight w:val="yellow"/>
        </w:rPr>
        <w:t xml:space="preserve"> report</w:t>
      </w:r>
      <w:r w:rsidR="003A4021" w:rsidRPr="004A132D">
        <w:rPr>
          <w:rFonts w:asciiTheme="minorHAnsi" w:hAnsiTheme="minorHAnsi"/>
          <w:i/>
          <w:highlight w:val="yellow"/>
        </w:rPr>
        <w:t>]</w:t>
      </w:r>
      <w:r w:rsidRPr="004A132D">
        <w:rPr>
          <w:rFonts w:asciiTheme="minorHAnsi" w:hAnsiTheme="minorHAnsi"/>
          <w:i/>
          <w:highlight w:val="yellow"/>
        </w:rPr>
        <w:t>.</w:t>
      </w:r>
    </w:p>
    <w:p w14:paraId="4C70120E" w14:textId="3C4A1F5C" w:rsidR="00727301" w:rsidRPr="004A132D" w:rsidRDefault="00F5380D" w:rsidP="00157D7F">
      <w:pPr>
        <w:pStyle w:val="Numbers"/>
        <w:tabs>
          <w:tab w:val="clear" w:pos="1701"/>
          <w:tab w:val="clear" w:pos="2268"/>
        </w:tabs>
        <w:ind w:left="1418"/>
        <w:rPr>
          <w:rFonts w:asciiTheme="minorHAnsi" w:hAnsiTheme="minorHAnsi"/>
          <w:lang w:val="en-NZ"/>
        </w:rPr>
      </w:pPr>
      <w:r w:rsidRPr="004A132D">
        <w:rPr>
          <w:rFonts w:asciiTheme="minorHAnsi" w:hAnsiTheme="minorHAnsi"/>
        </w:rPr>
        <w:t xml:space="preserve">The Australian Government deeply values the perspectives of Australian civil society, and to demonstrate our commitment to accountability and </w:t>
      </w:r>
      <w:r w:rsidR="00C67CBF" w:rsidRPr="004A132D">
        <w:rPr>
          <w:rFonts w:asciiTheme="minorHAnsi" w:hAnsiTheme="minorHAnsi"/>
        </w:rPr>
        <w:t>transparency</w:t>
      </w:r>
      <w:r w:rsidRPr="004A132D">
        <w:rPr>
          <w:rFonts w:asciiTheme="minorHAnsi" w:hAnsiTheme="minorHAnsi"/>
        </w:rPr>
        <w:t xml:space="preserve">, </w:t>
      </w:r>
      <w:r w:rsidRPr="004A132D">
        <w:rPr>
          <w:rFonts w:asciiTheme="minorHAnsi" w:hAnsiTheme="minorHAnsi"/>
        </w:rPr>
        <w:lastRenderedPageBreak/>
        <w:t xml:space="preserve">funded </w:t>
      </w:r>
      <w:r w:rsidR="00727301" w:rsidRPr="004A132D">
        <w:rPr>
          <w:rFonts w:asciiTheme="minorHAnsi" w:hAnsiTheme="minorHAnsi"/>
        </w:rPr>
        <w:t xml:space="preserve">Australia’s </w:t>
      </w:r>
      <w:r w:rsidR="00C944BD" w:rsidRPr="004A132D">
        <w:rPr>
          <w:rFonts w:asciiTheme="minorHAnsi" w:hAnsiTheme="minorHAnsi"/>
        </w:rPr>
        <w:t>6</w:t>
      </w:r>
      <w:r w:rsidRPr="004A132D">
        <w:rPr>
          <w:rFonts w:asciiTheme="minorHAnsi" w:hAnsiTheme="minorHAnsi"/>
        </w:rPr>
        <w:t xml:space="preserve"> National Women’s Alliances to develop an independent shadow report.</w:t>
      </w:r>
      <w:r w:rsidR="008607E1" w:rsidRPr="004A132D">
        <w:rPr>
          <w:rStyle w:val="FootnoteReference"/>
          <w:rFonts w:asciiTheme="minorHAnsi" w:hAnsiTheme="minorHAnsi"/>
        </w:rPr>
        <w:footnoteReference w:id="4"/>
      </w:r>
      <w:r w:rsidRPr="004A132D">
        <w:rPr>
          <w:rFonts w:asciiTheme="minorHAnsi" w:hAnsiTheme="minorHAnsi"/>
        </w:rPr>
        <w:t xml:space="preserve">   </w:t>
      </w:r>
    </w:p>
    <w:p w14:paraId="705DFEA7" w14:textId="7CE3DBB1" w:rsidR="003107B2" w:rsidRPr="005F6B4E" w:rsidRDefault="008037D8" w:rsidP="005F6B4E">
      <w:pPr>
        <w:pStyle w:val="Heading1"/>
      </w:pPr>
      <w:bookmarkStart w:id="4" w:name="_Toc174011658"/>
      <w:bookmarkStart w:id="5" w:name="_Toc175556750"/>
      <w:r w:rsidRPr="005F6B4E">
        <w:t xml:space="preserve">Question 1: </w:t>
      </w:r>
      <w:r w:rsidR="003A53D4" w:rsidRPr="005F6B4E">
        <w:t>Women’s rights and gender equality in relation to the pandemic</w:t>
      </w:r>
      <w:r w:rsidR="00C91E51" w:rsidRPr="005F6B4E">
        <w:t>,</w:t>
      </w:r>
      <w:r w:rsidR="003A53D4" w:rsidRPr="005F6B4E">
        <w:t xml:space="preserve"> recovery efforts</w:t>
      </w:r>
      <w:r w:rsidR="00C91E51" w:rsidRPr="005F6B4E">
        <w:t xml:space="preserve"> and global crises</w:t>
      </w:r>
      <w:bookmarkEnd w:id="4"/>
      <w:bookmarkEnd w:id="5"/>
      <w:r w:rsidR="00BD69C7" w:rsidRPr="005F6B4E">
        <w:t xml:space="preserve"> </w:t>
      </w:r>
    </w:p>
    <w:p w14:paraId="60FF5137" w14:textId="18157705" w:rsidR="00EC1A4B" w:rsidRPr="004A132D" w:rsidRDefault="0049600E" w:rsidP="0002378E">
      <w:pPr>
        <w:pStyle w:val="Numbers"/>
        <w:tabs>
          <w:tab w:val="clear" w:pos="1701"/>
          <w:tab w:val="clear" w:pos="2268"/>
          <w:tab w:val="clear" w:pos="2835"/>
        </w:tabs>
        <w:ind w:left="1418"/>
        <w:rPr>
          <w:rFonts w:asciiTheme="minorHAnsi" w:hAnsiTheme="minorHAnsi"/>
        </w:rPr>
      </w:pPr>
      <w:r w:rsidRPr="004A132D">
        <w:rPr>
          <w:rFonts w:asciiTheme="minorHAnsi" w:hAnsiTheme="minorHAnsi"/>
        </w:rPr>
        <w:t>The Australian Government’s response to the COVID-19 pandemic involved the development of a range of national health strategies and plans, which considered the diverse health needs of all Australians.</w:t>
      </w:r>
      <w:r w:rsidRPr="004A132D">
        <w:rPr>
          <w:rStyle w:val="FootnoteReference"/>
          <w:rFonts w:asciiTheme="minorHAnsi" w:hAnsiTheme="minorHAnsi"/>
        </w:rPr>
        <w:footnoteReference w:id="5"/>
      </w:r>
      <w:r w:rsidRPr="004A132D">
        <w:rPr>
          <w:rFonts w:asciiTheme="minorHAnsi" w:hAnsiTheme="minorHAnsi"/>
        </w:rPr>
        <w:t xml:space="preserve"> </w:t>
      </w:r>
      <w:r w:rsidR="00351768" w:rsidRPr="004A132D">
        <w:rPr>
          <w:rFonts w:asciiTheme="minorHAnsi" w:hAnsiTheme="minorHAnsi"/>
        </w:rPr>
        <w:t xml:space="preserve">In recognition that the </w:t>
      </w:r>
      <w:r w:rsidR="00BD69C7" w:rsidRPr="004A132D">
        <w:rPr>
          <w:rFonts w:asciiTheme="minorHAnsi" w:hAnsiTheme="minorHAnsi"/>
        </w:rPr>
        <w:t xml:space="preserve">COVID-19 pandemic </w:t>
      </w:r>
      <w:r w:rsidR="007B1EFC" w:rsidRPr="004A132D">
        <w:rPr>
          <w:rFonts w:asciiTheme="minorHAnsi" w:hAnsiTheme="minorHAnsi"/>
        </w:rPr>
        <w:t xml:space="preserve">would </w:t>
      </w:r>
      <w:r w:rsidR="002171AC" w:rsidRPr="004A132D">
        <w:rPr>
          <w:rFonts w:asciiTheme="minorHAnsi" w:hAnsiTheme="minorHAnsi"/>
        </w:rPr>
        <w:t>exacerbate existing gender inequalities</w:t>
      </w:r>
      <w:r w:rsidR="00835E75" w:rsidRPr="004A132D">
        <w:rPr>
          <w:rFonts w:asciiTheme="minorHAnsi" w:hAnsiTheme="minorHAnsi"/>
        </w:rPr>
        <w:t xml:space="preserve"> </w:t>
      </w:r>
      <w:r w:rsidR="007B1EFC" w:rsidRPr="004A132D">
        <w:rPr>
          <w:rFonts w:asciiTheme="minorHAnsi" w:hAnsiTheme="minorHAnsi"/>
        </w:rPr>
        <w:t>a</w:t>
      </w:r>
      <w:r w:rsidR="00351768" w:rsidRPr="004A132D">
        <w:rPr>
          <w:rFonts w:asciiTheme="minorHAnsi" w:hAnsiTheme="minorHAnsi"/>
        </w:rPr>
        <w:t>nd violence against women</w:t>
      </w:r>
      <w:r w:rsidR="007B1EFC" w:rsidRPr="004A132D">
        <w:rPr>
          <w:rFonts w:asciiTheme="minorHAnsi" w:hAnsiTheme="minorHAnsi"/>
        </w:rPr>
        <w:t xml:space="preserve"> in Australia</w:t>
      </w:r>
      <w:r w:rsidR="00351768" w:rsidRPr="004A132D">
        <w:rPr>
          <w:rFonts w:asciiTheme="minorHAnsi" w:hAnsiTheme="minorHAnsi"/>
        </w:rPr>
        <w:t xml:space="preserve">, the Australian Government put in place </w:t>
      </w:r>
      <w:r w:rsidR="00EC1A4B" w:rsidRPr="004A132D">
        <w:rPr>
          <w:rFonts w:asciiTheme="minorHAnsi" w:hAnsiTheme="minorHAnsi"/>
        </w:rPr>
        <w:t xml:space="preserve">measures to </w:t>
      </w:r>
      <w:r w:rsidR="007B1EFC" w:rsidRPr="004A132D">
        <w:rPr>
          <w:rFonts w:asciiTheme="minorHAnsi" w:hAnsiTheme="minorHAnsi"/>
        </w:rPr>
        <w:t xml:space="preserve">guard against backsliding on gender equality and women’s empowerment, </w:t>
      </w:r>
      <w:r w:rsidR="00EC1A4B" w:rsidRPr="004A132D">
        <w:rPr>
          <w:rFonts w:asciiTheme="minorHAnsi" w:hAnsiTheme="minorHAnsi"/>
        </w:rPr>
        <w:t xml:space="preserve">as well as future-proof against other global crises. </w:t>
      </w:r>
    </w:p>
    <w:p w14:paraId="2B60687F" w14:textId="44CE6D63" w:rsidR="002A321D" w:rsidRPr="004A132D" w:rsidRDefault="002A321D" w:rsidP="008D63FD">
      <w:pPr>
        <w:pStyle w:val="Heading2"/>
      </w:pPr>
      <w:bookmarkStart w:id="6" w:name="_Toc175556751"/>
      <w:r w:rsidRPr="004A132D">
        <w:t>Health response</w:t>
      </w:r>
      <w:bookmarkEnd w:id="6"/>
    </w:p>
    <w:p w14:paraId="2C95899C" w14:textId="786E06B6" w:rsidR="00835E75" w:rsidRPr="004A132D" w:rsidRDefault="00835E75" w:rsidP="0002378E">
      <w:pPr>
        <w:pStyle w:val="Numbers"/>
        <w:tabs>
          <w:tab w:val="clear" w:pos="2835"/>
        </w:tabs>
        <w:ind w:left="1418"/>
        <w:rPr>
          <w:rFonts w:asciiTheme="minorHAnsi" w:hAnsiTheme="minorHAnsi"/>
        </w:rPr>
      </w:pPr>
      <w:r w:rsidRPr="004A132D">
        <w:rPr>
          <w:rFonts w:asciiTheme="minorHAnsi" w:hAnsiTheme="minorHAnsi"/>
        </w:rPr>
        <w:t xml:space="preserve">The Australian Government implemented </w:t>
      </w:r>
      <w:r w:rsidR="00727301" w:rsidRPr="004A132D">
        <w:rPr>
          <w:rFonts w:asciiTheme="minorHAnsi" w:hAnsiTheme="minorHAnsi"/>
        </w:rPr>
        <w:t>various</w:t>
      </w:r>
      <w:r w:rsidRPr="004A132D">
        <w:rPr>
          <w:rFonts w:asciiTheme="minorHAnsi" w:hAnsiTheme="minorHAnsi"/>
        </w:rPr>
        <w:t xml:space="preserve"> health-related initiatives targeted to women. For example:</w:t>
      </w:r>
    </w:p>
    <w:p w14:paraId="7FCCE55B" w14:textId="69D26245" w:rsidR="00835E75" w:rsidRPr="004A132D" w:rsidRDefault="00835E75" w:rsidP="00561D0E">
      <w:pPr>
        <w:pStyle w:val="SingleTxtG"/>
        <w:numPr>
          <w:ilvl w:val="1"/>
          <w:numId w:val="1"/>
        </w:numPr>
        <w:spacing w:line="360" w:lineRule="auto"/>
        <w:rPr>
          <w:rFonts w:asciiTheme="minorHAnsi" w:hAnsiTheme="minorHAnsi"/>
          <w:sz w:val="24"/>
          <w:szCs w:val="24"/>
        </w:rPr>
      </w:pPr>
      <w:r w:rsidRPr="004A132D">
        <w:rPr>
          <w:rFonts w:asciiTheme="minorHAnsi" w:hAnsiTheme="minorHAnsi"/>
          <w:sz w:val="24"/>
          <w:szCs w:val="24"/>
        </w:rPr>
        <w:t>Funding of $11.4 million was provided to the Multicultural Centre for Women’s Health from March 2022 to February 2024, to estab</w:t>
      </w:r>
      <w:r w:rsidR="000002CE" w:rsidRPr="004A132D">
        <w:rPr>
          <w:rFonts w:asciiTheme="minorHAnsi" w:hAnsiTheme="minorHAnsi"/>
          <w:sz w:val="24"/>
          <w:szCs w:val="24"/>
        </w:rPr>
        <w:t xml:space="preserve">lish and implement the Health in My Language program, to deliver COVID-19 </w:t>
      </w:r>
      <w:r w:rsidRPr="004A132D">
        <w:rPr>
          <w:rFonts w:asciiTheme="minorHAnsi" w:hAnsiTheme="minorHAnsi"/>
          <w:sz w:val="24"/>
          <w:szCs w:val="24"/>
        </w:rPr>
        <w:t xml:space="preserve">vaccine </w:t>
      </w:r>
      <w:r w:rsidR="000002CE" w:rsidRPr="004A132D">
        <w:rPr>
          <w:rFonts w:asciiTheme="minorHAnsi" w:hAnsiTheme="minorHAnsi"/>
          <w:sz w:val="24"/>
          <w:szCs w:val="24"/>
        </w:rPr>
        <w:t>information and health education to</w:t>
      </w:r>
      <w:r w:rsidRPr="004A132D">
        <w:rPr>
          <w:rFonts w:asciiTheme="minorHAnsi" w:hAnsiTheme="minorHAnsi"/>
          <w:sz w:val="24"/>
          <w:szCs w:val="24"/>
        </w:rPr>
        <w:t xml:space="preserve"> culturally and linguistically diverse people </w:t>
      </w:r>
      <w:r w:rsidR="000002CE" w:rsidRPr="004A132D">
        <w:rPr>
          <w:rFonts w:asciiTheme="minorHAnsi" w:hAnsiTheme="minorHAnsi"/>
          <w:sz w:val="24"/>
          <w:szCs w:val="24"/>
        </w:rPr>
        <w:t>in their languages.</w:t>
      </w:r>
      <w:r w:rsidRPr="004A132D">
        <w:rPr>
          <w:rFonts w:asciiTheme="minorHAnsi" w:hAnsiTheme="minorHAnsi"/>
          <w:sz w:val="24"/>
          <w:szCs w:val="24"/>
        </w:rPr>
        <w:t>  </w:t>
      </w:r>
    </w:p>
    <w:p w14:paraId="7287E365" w14:textId="77777777" w:rsidR="00043425" w:rsidRPr="004A132D" w:rsidRDefault="00835E75" w:rsidP="00043425">
      <w:pPr>
        <w:pStyle w:val="SingleTxtG"/>
        <w:numPr>
          <w:ilvl w:val="1"/>
          <w:numId w:val="1"/>
        </w:numPr>
        <w:spacing w:line="360" w:lineRule="auto"/>
        <w:rPr>
          <w:rFonts w:asciiTheme="minorHAnsi" w:hAnsiTheme="minorHAnsi"/>
          <w:sz w:val="24"/>
          <w:szCs w:val="24"/>
        </w:rPr>
      </w:pPr>
      <w:r w:rsidRPr="004A132D">
        <w:rPr>
          <w:rFonts w:asciiTheme="minorHAnsi" w:hAnsiTheme="minorHAnsi"/>
          <w:sz w:val="24"/>
          <w:szCs w:val="24"/>
        </w:rPr>
        <w:t>To respond to the marked decrease in breast and cervical cancer screening at different points during COVID-19, f</w:t>
      </w:r>
      <w:r w:rsidR="00225D33" w:rsidRPr="004A132D">
        <w:rPr>
          <w:rFonts w:asciiTheme="minorHAnsi" w:hAnsiTheme="minorHAnsi"/>
          <w:sz w:val="24"/>
          <w:szCs w:val="24"/>
        </w:rPr>
        <w:t xml:space="preserve">unding of </w:t>
      </w:r>
      <w:r w:rsidRPr="004A132D">
        <w:rPr>
          <w:rFonts w:asciiTheme="minorHAnsi" w:hAnsiTheme="minorHAnsi"/>
          <w:sz w:val="24"/>
          <w:szCs w:val="24"/>
        </w:rPr>
        <w:t xml:space="preserve">$9.7 million </w:t>
      </w:r>
      <w:r w:rsidR="00225D33" w:rsidRPr="004A132D">
        <w:rPr>
          <w:rFonts w:asciiTheme="minorHAnsi" w:hAnsiTheme="minorHAnsi"/>
          <w:sz w:val="24"/>
          <w:szCs w:val="24"/>
        </w:rPr>
        <w:t>was provided</w:t>
      </w:r>
      <w:r w:rsidRPr="004A132D">
        <w:rPr>
          <w:rFonts w:asciiTheme="minorHAnsi" w:hAnsiTheme="minorHAnsi"/>
          <w:sz w:val="24"/>
          <w:szCs w:val="24"/>
        </w:rPr>
        <w:t xml:space="preserve"> to BreastScreen Australia </w:t>
      </w:r>
      <w:r w:rsidR="00225D33" w:rsidRPr="004A132D">
        <w:rPr>
          <w:rFonts w:asciiTheme="minorHAnsi" w:hAnsiTheme="minorHAnsi"/>
          <w:sz w:val="24"/>
          <w:szCs w:val="24"/>
        </w:rPr>
        <w:t xml:space="preserve">in 2022 </w:t>
      </w:r>
      <w:r w:rsidRPr="004A132D">
        <w:rPr>
          <w:rFonts w:asciiTheme="minorHAnsi" w:hAnsiTheme="minorHAnsi"/>
          <w:sz w:val="24"/>
          <w:szCs w:val="24"/>
        </w:rPr>
        <w:t>for surge capacity for women who missed or delayed breast screening because of COVID</w:t>
      </w:r>
      <w:r w:rsidRPr="004A132D">
        <w:rPr>
          <w:rFonts w:asciiTheme="minorHAnsi" w:hAnsiTheme="minorHAnsi"/>
          <w:sz w:val="24"/>
          <w:szCs w:val="24"/>
        </w:rPr>
        <w:noBreakHyphen/>
        <w:t>19.</w:t>
      </w:r>
    </w:p>
    <w:p w14:paraId="622B85F6" w14:textId="78875127" w:rsidR="004F4C02" w:rsidRPr="004A132D" w:rsidRDefault="004F4C02" w:rsidP="0002378E">
      <w:pPr>
        <w:pStyle w:val="Numbers"/>
        <w:tabs>
          <w:tab w:val="clear" w:pos="1701"/>
          <w:tab w:val="clear" w:pos="2268"/>
        </w:tabs>
        <w:ind w:left="1418"/>
        <w:rPr>
          <w:rFonts w:asciiTheme="minorHAnsi" w:hAnsiTheme="minorHAnsi"/>
        </w:rPr>
      </w:pPr>
      <w:r w:rsidRPr="004A132D">
        <w:rPr>
          <w:rFonts w:asciiTheme="minorHAnsi" w:hAnsiTheme="minorHAnsi"/>
        </w:rPr>
        <w:lastRenderedPageBreak/>
        <w:t xml:space="preserve">Australia assessed its national capacity as being ‘high’ (score of 5/5) against the International Health Regulations Indicator C1.2 – Gender equality in health emergencies in the 2022 States </w:t>
      </w:r>
      <w:r w:rsidR="00EA4670" w:rsidRPr="004A132D">
        <w:rPr>
          <w:rFonts w:asciiTheme="minorHAnsi" w:hAnsiTheme="minorHAnsi"/>
        </w:rPr>
        <w:t>p</w:t>
      </w:r>
      <w:r w:rsidRPr="004A132D">
        <w:rPr>
          <w:rFonts w:asciiTheme="minorHAnsi" w:hAnsiTheme="minorHAnsi"/>
        </w:rPr>
        <w:t>arty self-assessment annual reporting tool.</w:t>
      </w:r>
      <w:r w:rsidR="00613936" w:rsidRPr="004A132D">
        <w:rPr>
          <w:rStyle w:val="FootnoteReference"/>
          <w:rFonts w:asciiTheme="minorHAnsi" w:hAnsiTheme="minorHAnsi"/>
        </w:rPr>
        <w:footnoteReference w:id="6"/>
      </w:r>
      <w:r w:rsidR="00DA65AF" w:rsidRPr="004A132D">
        <w:rPr>
          <w:rFonts w:asciiTheme="minorHAnsi" w:hAnsiTheme="minorHAnsi"/>
        </w:rPr>
        <w:t xml:space="preserve"> </w:t>
      </w:r>
      <w:r w:rsidR="00661F84" w:rsidRPr="004A132D">
        <w:rPr>
          <w:rFonts w:asciiTheme="minorHAnsi" w:hAnsiTheme="minorHAnsi"/>
        </w:rPr>
        <w:t>T</w:t>
      </w:r>
      <w:r w:rsidR="00194EC2" w:rsidRPr="004A132D">
        <w:rPr>
          <w:rFonts w:asciiTheme="minorHAnsi" w:hAnsiTheme="minorHAnsi"/>
        </w:rPr>
        <w:t xml:space="preserve">he following </w:t>
      </w:r>
      <w:r w:rsidR="00EA4670" w:rsidRPr="004A132D">
        <w:rPr>
          <w:rFonts w:asciiTheme="minorHAnsi" w:hAnsiTheme="minorHAnsi"/>
        </w:rPr>
        <w:t>has</w:t>
      </w:r>
      <w:r w:rsidR="00194EC2" w:rsidRPr="004A132D">
        <w:rPr>
          <w:rFonts w:asciiTheme="minorHAnsi" w:hAnsiTheme="minorHAnsi"/>
        </w:rPr>
        <w:t xml:space="preserve"> contributed to this high scoring</w:t>
      </w:r>
      <w:r w:rsidR="00661F84" w:rsidRPr="004A132D">
        <w:rPr>
          <w:rFonts w:asciiTheme="minorHAnsi" w:hAnsiTheme="minorHAnsi"/>
        </w:rPr>
        <w:t>:</w:t>
      </w:r>
    </w:p>
    <w:p w14:paraId="612D8D7F" w14:textId="5EAE0CC0" w:rsidR="00CF5F1B" w:rsidRPr="004A132D" w:rsidRDefault="00661F84" w:rsidP="00561D0E">
      <w:pPr>
        <w:pStyle w:val="Numbers"/>
        <w:numPr>
          <w:ilvl w:val="0"/>
          <w:numId w:val="10"/>
        </w:numPr>
        <w:rPr>
          <w:rFonts w:asciiTheme="minorHAnsi" w:hAnsiTheme="minorHAnsi"/>
        </w:rPr>
      </w:pPr>
      <w:r w:rsidRPr="004A132D">
        <w:rPr>
          <w:rFonts w:asciiTheme="minorHAnsi" w:hAnsiTheme="minorHAnsi"/>
        </w:rPr>
        <w:t xml:space="preserve">The Australian Government committed to expanding its approach to gender budgeting and from the 2023-24 </w:t>
      </w:r>
      <w:r w:rsidR="00157D7F" w:rsidRPr="004A132D">
        <w:rPr>
          <w:rFonts w:asciiTheme="minorHAnsi" w:hAnsiTheme="minorHAnsi"/>
        </w:rPr>
        <w:t>Mid-Year Economic and Fiscal Outlook</w:t>
      </w:r>
      <w:r w:rsidRPr="004A132D">
        <w:rPr>
          <w:rFonts w:asciiTheme="minorHAnsi" w:hAnsiTheme="minorHAnsi"/>
        </w:rPr>
        <w:t>, gender responsive budgeting has been embedded across the budget process. All government agencies now play a greater role in delivering gender equality outcomes and are required to conduct gender analysis on all new policy proposals. The Australian Government invested $589.3 million through the 2023-24 Budget to end violence against women and children</w:t>
      </w:r>
      <w:r w:rsidR="00157D7F" w:rsidRPr="004A132D">
        <w:rPr>
          <w:rFonts w:asciiTheme="minorHAnsi" w:hAnsiTheme="minorHAnsi"/>
        </w:rPr>
        <w:t xml:space="preserve"> </w:t>
      </w:r>
      <w:r w:rsidRPr="004A132D">
        <w:rPr>
          <w:rFonts w:asciiTheme="minorHAnsi" w:hAnsiTheme="minorHAnsi"/>
        </w:rPr>
        <w:t>building on the previo</w:t>
      </w:r>
      <w:r w:rsidR="00EA4670" w:rsidRPr="004A132D">
        <w:rPr>
          <w:rFonts w:asciiTheme="minorHAnsi" w:hAnsiTheme="minorHAnsi"/>
        </w:rPr>
        <w:t>us year’s</w:t>
      </w:r>
      <w:r w:rsidRPr="004A132D">
        <w:rPr>
          <w:rFonts w:asciiTheme="minorHAnsi" w:hAnsiTheme="minorHAnsi"/>
        </w:rPr>
        <w:t xml:space="preserve"> record investment of $1.7 billion. This additional investment includes dedicated funding for First Nations women’s safety.</w:t>
      </w:r>
    </w:p>
    <w:p w14:paraId="65FC3907" w14:textId="76B42C15" w:rsidR="00661F84" w:rsidRPr="004A132D" w:rsidRDefault="00661F84" w:rsidP="00561D0E">
      <w:pPr>
        <w:pStyle w:val="Numbers"/>
        <w:numPr>
          <w:ilvl w:val="0"/>
          <w:numId w:val="10"/>
        </w:numPr>
        <w:rPr>
          <w:rFonts w:asciiTheme="minorHAnsi" w:hAnsiTheme="minorHAnsi"/>
        </w:rPr>
      </w:pPr>
      <w:r w:rsidRPr="004A132D">
        <w:rPr>
          <w:rFonts w:asciiTheme="minorHAnsi" w:hAnsiTheme="minorHAnsi"/>
        </w:rPr>
        <w:t>The Australian National Action Plan on Women, Peace and Security 2021-2031 acknowledges that humanitarian crises affect people differently and disproportionally affect women and girls, with 60</w:t>
      </w:r>
      <w:r w:rsidR="00033B94" w:rsidRPr="004A132D">
        <w:rPr>
          <w:rFonts w:asciiTheme="minorHAnsi" w:hAnsiTheme="minorHAnsi"/>
        </w:rPr>
        <w:t xml:space="preserve"> per cent</w:t>
      </w:r>
      <w:r w:rsidRPr="004A132D">
        <w:rPr>
          <w:rFonts w:asciiTheme="minorHAnsi" w:hAnsiTheme="minorHAnsi"/>
        </w:rPr>
        <w:t xml:space="preserve"> of maternal mortality occurring in humanitarian and fragile settings.</w:t>
      </w:r>
      <w:r w:rsidR="00621A4F" w:rsidRPr="004A132D">
        <w:rPr>
          <w:rStyle w:val="FootnoteReference"/>
          <w:rFonts w:asciiTheme="minorHAnsi" w:hAnsiTheme="minorHAnsi"/>
        </w:rPr>
        <w:footnoteReference w:id="7"/>
      </w:r>
      <w:r w:rsidRPr="004A132D">
        <w:rPr>
          <w:rFonts w:asciiTheme="minorHAnsi" w:hAnsiTheme="minorHAnsi"/>
        </w:rPr>
        <w:t xml:space="preserve"> The Australian Government actions aim to adopt a gender-responsive approach to resilience, relief and recovery in humanitarian action, and stabilisation, development and disaster management. The Australian Government actions also aim to engage men and boys to protect and advocate for the rights and inclusion of women and girls in all stages of humanitarian assistance. </w:t>
      </w:r>
    </w:p>
    <w:p w14:paraId="18249DB5" w14:textId="77777777" w:rsidR="00ED1F24" w:rsidRPr="004A132D" w:rsidRDefault="00DD12C0" w:rsidP="008D63FD">
      <w:pPr>
        <w:pStyle w:val="Heading2"/>
      </w:pPr>
      <w:bookmarkStart w:id="7" w:name="_Toc175556752"/>
      <w:r w:rsidRPr="004A132D">
        <w:t>Financial support</w:t>
      </w:r>
      <w:bookmarkEnd w:id="7"/>
    </w:p>
    <w:p w14:paraId="4FC2EC43" w14:textId="50854FA6" w:rsidR="007769F9" w:rsidRPr="004A132D" w:rsidRDefault="006355F1" w:rsidP="0002378E">
      <w:pPr>
        <w:pStyle w:val="Numbers"/>
        <w:tabs>
          <w:tab w:val="clear" w:pos="1701"/>
          <w:tab w:val="clear" w:pos="2268"/>
          <w:tab w:val="clear" w:pos="2835"/>
        </w:tabs>
        <w:ind w:left="1418"/>
        <w:rPr>
          <w:rFonts w:asciiTheme="minorHAnsi" w:hAnsiTheme="minorHAnsi"/>
        </w:rPr>
      </w:pPr>
      <w:r w:rsidRPr="004A132D">
        <w:rPr>
          <w:rFonts w:asciiTheme="minorHAnsi" w:hAnsiTheme="minorHAnsi"/>
        </w:rPr>
        <w:t xml:space="preserve">Women were more likely to experience economic insecurity during the </w:t>
      </w:r>
      <w:r w:rsidR="00BB7CBA" w:rsidRPr="004A132D">
        <w:rPr>
          <w:rFonts w:asciiTheme="minorHAnsi" w:hAnsiTheme="minorHAnsi"/>
        </w:rPr>
        <w:t xml:space="preserve">COVID-19 </w:t>
      </w:r>
      <w:r w:rsidRPr="004A132D">
        <w:rPr>
          <w:rFonts w:asciiTheme="minorHAnsi" w:hAnsiTheme="minorHAnsi"/>
        </w:rPr>
        <w:t>pandemic</w:t>
      </w:r>
      <w:r w:rsidR="00EC1A4B" w:rsidRPr="004A132D">
        <w:rPr>
          <w:rFonts w:asciiTheme="minorHAnsi" w:hAnsiTheme="minorHAnsi"/>
        </w:rPr>
        <w:t xml:space="preserve"> due to a </w:t>
      </w:r>
      <w:r w:rsidR="00EA4670" w:rsidRPr="004A132D">
        <w:rPr>
          <w:rFonts w:asciiTheme="minorHAnsi" w:hAnsiTheme="minorHAnsi"/>
        </w:rPr>
        <w:t>number</w:t>
      </w:r>
      <w:r w:rsidR="00EC1A4B" w:rsidRPr="004A132D">
        <w:rPr>
          <w:rFonts w:asciiTheme="minorHAnsi" w:hAnsiTheme="minorHAnsi"/>
        </w:rPr>
        <w:t xml:space="preserve"> of factors including existing labour market inequalities, </w:t>
      </w:r>
      <w:r w:rsidR="00BB7CBA" w:rsidRPr="004A132D">
        <w:rPr>
          <w:rFonts w:asciiTheme="minorHAnsi" w:hAnsiTheme="minorHAnsi"/>
        </w:rPr>
        <w:t xml:space="preserve">taking on a disproportionate share of unpaid care and domestic work, and </w:t>
      </w:r>
      <w:r w:rsidR="00BB7CBA" w:rsidRPr="004A132D">
        <w:rPr>
          <w:rFonts w:asciiTheme="minorHAnsi" w:hAnsiTheme="minorHAnsi"/>
        </w:rPr>
        <w:lastRenderedPageBreak/>
        <w:t>female</w:t>
      </w:r>
      <w:r w:rsidR="0049103B" w:rsidRPr="004A132D">
        <w:rPr>
          <w:rFonts w:asciiTheme="minorHAnsi" w:hAnsiTheme="minorHAnsi"/>
        </w:rPr>
        <w:noBreakHyphen/>
      </w:r>
      <w:r w:rsidR="00BB7CBA" w:rsidRPr="004A132D">
        <w:rPr>
          <w:rFonts w:asciiTheme="minorHAnsi" w:hAnsiTheme="minorHAnsi"/>
        </w:rPr>
        <w:t xml:space="preserve">dominated industries </w:t>
      </w:r>
      <w:r w:rsidR="0073792B" w:rsidRPr="004A132D">
        <w:rPr>
          <w:rFonts w:asciiTheme="minorHAnsi" w:hAnsiTheme="minorHAnsi"/>
        </w:rPr>
        <w:t xml:space="preserve">such as </w:t>
      </w:r>
      <w:r w:rsidR="00C946A6" w:rsidRPr="004A132D">
        <w:rPr>
          <w:rFonts w:asciiTheme="minorHAnsi" w:hAnsiTheme="minorHAnsi"/>
        </w:rPr>
        <w:t>childcare, health</w:t>
      </w:r>
      <w:r w:rsidR="00960675" w:rsidRPr="004A132D">
        <w:rPr>
          <w:rFonts w:asciiTheme="minorHAnsi" w:hAnsiTheme="minorHAnsi"/>
        </w:rPr>
        <w:t>care</w:t>
      </w:r>
      <w:r w:rsidR="00C946A6" w:rsidRPr="004A132D">
        <w:rPr>
          <w:rFonts w:asciiTheme="minorHAnsi" w:hAnsiTheme="minorHAnsi"/>
        </w:rPr>
        <w:t xml:space="preserve">, retail and hospitality </w:t>
      </w:r>
      <w:r w:rsidR="00BB7CBA" w:rsidRPr="004A132D">
        <w:rPr>
          <w:rFonts w:asciiTheme="minorHAnsi" w:hAnsiTheme="minorHAnsi"/>
        </w:rPr>
        <w:t>being most affected by health restrictions</w:t>
      </w:r>
      <w:r w:rsidRPr="004A132D">
        <w:rPr>
          <w:rFonts w:asciiTheme="minorHAnsi" w:hAnsiTheme="minorHAnsi"/>
        </w:rPr>
        <w:t xml:space="preserve">. </w:t>
      </w:r>
    </w:p>
    <w:p w14:paraId="03EEB96F" w14:textId="1A1CBBC1" w:rsidR="00210C98" w:rsidRPr="004A132D" w:rsidRDefault="00ED1F24" w:rsidP="0002378E">
      <w:pPr>
        <w:pStyle w:val="Numbers"/>
        <w:tabs>
          <w:tab w:val="clear" w:pos="1701"/>
          <w:tab w:val="clear" w:pos="2268"/>
        </w:tabs>
        <w:ind w:left="1418"/>
        <w:rPr>
          <w:rFonts w:asciiTheme="minorHAnsi" w:hAnsiTheme="minorHAnsi"/>
        </w:rPr>
      </w:pPr>
      <w:r w:rsidRPr="004A132D">
        <w:rPr>
          <w:rFonts w:asciiTheme="minorHAnsi" w:hAnsiTheme="minorHAnsi"/>
        </w:rPr>
        <w:t xml:space="preserve">The </w:t>
      </w:r>
      <w:r w:rsidR="00FE1A7D" w:rsidRPr="004A132D">
        <w:rPr>
          <w:rFonts w:asciiTheme="minorHAnsi" w:hAnsiTheme="minorHAnsi"/>
        </w:rPr>
        <w:t xml:space="preserve">Australian </w:t>
      </w:r>
      <w:r w:rsidRPr="004A132D">
        <w:rPr>
          <w:rFonts w:asciiTheme="minorHAnsi" w:hAnsiTheme="minorHAnsi"/>
        </w:rPr>
        <w:t xml:space="preserve">Government </w:t>
      </w:r>
      <w:r w:rsidR="00225D33" w:rsidRPr="004A132D">
        <w:rPr>
          <w:rFonts w:asciiTheme="minorHAnsi" w:hAnsiTheme="minorHAnsi"/>
        </w:rPr>
        <w:t xml:space="preserve">delivered a </w:t>
      </w:r>
      <w:r w:rsidR="004056EE" w:rsidRPr="004A132D">
        <w:rPr>
          <w:rFonts w:asciiTheme="minorHAnsi" w:hAnsiTheme="minorHAnsi"/>
        </w:rPr>
        <w:t xml:space="preserve">series of economic support measures </w:t>
      </w:r>
      <w:r w:rsidR="00DD12C0" w:rsidRPr="004A132D">
        <w:rPr>
          <w:rFonts w:asciiTheme="minorHAnsi" w:hAnsiTheme="minorHAnsi"/>
        </w:rPr>
        <w:t>during COVID-19</w:t>
      </w:r>
      <w:r w:rsidR="00266B46" w:rsidRPr="004A132D">
        <w:rPr>
          <w:rFonts w:asciiTheme="minorHAnsi" w:hAnsiTheme="minorHAnsi"/>
        </w:rPr>
        <w:t xml:space="preserve"> that</w:t>
      </w:r>
      <w:r w:rsidR="00960675" w:rsidRPr="004A132D">
        <w:rPr>
          <w:rFonts w:asciiTheme="minorHAnsi" w:hAnsiTheme="minorHAnsi"/>
        </w:rPr>
        <w:t xml:space="preserve"> benefited women, noting </w:t>
      </w:r>
      <w:r w:rsidR="00F24A2F" w:rsidRPr="004A132D">
        <w:rPr>
          <w:rFonts w:asciiTheme="minorHAnsi" w:hAnsiTheme="minorHAnsi"/>
        </w:rPr>
        <w:t>women</w:t>
      </w:r>
      <w:r w:rsidR="00960675" w:rsidRPr="004A132D">
        <w:rPr>
          <w:rFonts w:asciiTheme="minorHAnsi" w:hAnsiTheme="minorHAnsi"/>
        </w:rPr>
        <w:t xml:space="preserve"> comprised a </w:t>
      </w:r>
      <w:r w:rsidR="00266B46" w:rsidRPr="004A132D">
        <w:rPr>
          <w:rFonts w:asciiTheme="minorHAnsi" w:hAnsiTheme="minorHAnsi"/>
        </w:rPr>
        <w:t xml:space="preserve">slightly </w:t>
      </w:r>
      <w:r w:rsidR="00960675" w:rsidRPr="004A132D">
        <w:rPr>
          <w:rFonts w:asciiTheme="minorHAnsi" w:hAnsiTheme="minorHAnsi"/>
        </w:rPr>
        <w:t xml:space="preserve">larger proportion of </w:t>
      </w:r>
      <w:r w:rsidR="004056EE" w:rsidRPr="004A132D">
        <w:rPr>
          <w:rFonts w:asciiTheme="minorHAnsi" w:hAnsiTheme="minorHAnsi"/>
        </w:rPr>
        <w:t>recipients receiving economic support</w:t>
      </w:r>
      <w:r w:rsidR="00B941E0" w:rsidRPr="004A132D">
        <w:rPr>
          <w:rFonts w:asciiTheme="minorHAnsi" w:hAnsiTheme="minorHAnsi"/>
        </w:rPr>
        <w:t>.</w:t>
      </w:r>
      <w:r w:rsidR="004056EE" w:rsidRPr="004A132D">
        <w:rPr>
          <w:rFonts w:asciiTheme="minorHAnsi" w:hAnsiTheme="minorHAnsi"/>
        </w:rPr>
        <w:t xml:space="preserve"> </w:t>
      </w:r>
      <w:r w:rsidR="00EE5F33" w:rsidRPr="004A132D">
        <w:rPr>
          <w:rFonts w:asciiTheme="minorHAnsi" w:hAnsiTheme="minorHAnsi"/>
        </w:rPr>
        <w:t>For example:</w:t>
      </w:r>
    </w:p>
    <w:p w14:paraId="784C8ACC" w14:textId="374A106E" w:rsidR="003107B2" w:rsidRPr="004A132D" w:rsidRDefault="003107B2" w:rsidP="00561D0E">
      <w:pPr>
        <w:pStyle w:val="SingleTxtG"/>
        <w:numPr>
          <w:ilvl w:val="1"/>
          <w:numId w:val="1"/>
        </w:numPr>
        <w:spacing w:line="360" w:lineRule="auto"/>
        <w:rPr>
          <w:rFonts w:asciiTheme="minorHAnsi" w:hAnsiTheme="minorHAnsi"/>
          <w:sz w:val="24"/>
          <w:szCs w:val="24"/>
        </w:rPr>
      </w:pPr>
      <w:r w:rsidRPr="004A132D">
        <w:rPr>
          <w:rFonts w:asciiTheme="minorHAnsi" w:hAnsiTheme="minorHAnsi"/>
          <w:sz w:val="24"/>
          <w:szCs w:val="24"/>
        </w:rPr>
        <w:t>The JobKeeper Payment was</w:t>
      </w:r>
      <w:r w:rsidR="00F066D5" w:rsidRPr="004A132D">
        <w:rPr>
          <w:rFonts w:asciiTheme="minorHAnsi" w:hAnsiTheme="minorHAnsi"/>
          <w:sz w:val="24"/>
          <w:szCs w:val="24"/>
          <w:lang w:val="en-AU"/>
        </w:rPr>
        <w:t xml:space="preserve"> one of the</w:t>
      </w:r>
      <w:r w:rsidRPr="004A132D">
        <w:rPr>
          <w:rFonts w:asciiTheme="minorHAnsi" w:hAnsiTheme="minorHAnsi"/>
          <w:sz w:val="24"/>
          <w:szCs w:val="24"/>
        </w:rPr>
        <w:t xml:space="preserve"> the largest fiscal measure</w:t>
      </w:r>
      <w:r w:rsidR="0049103B" w:rsidRPr="004A132D">
        <w:rPr>
          <w:rFonts w:asciiTheme="minorHAnsi" w:hAnsiTheme="minorHAnsi"/>
          <w:sz w:val="24"/>
          <w:szCs w:val="24"/>
        </w:rPr>
        <w:t>s</w:t>
      </w:r>
      <w:r w:rsidRPr="004A132D">
        <w:rPr>
          <w:rFonts w:asciiTheme="minorHAnsi" w:hAnsiTheme="minorHAnsi"/>
          <w:sz w:val="24"/>
          <w:szCs w:val="24"/>
        </w:rPr>
        <w:t xml:space="preserve"> in Australia’s history. T</w:t>
      </w:r>
      <w:r w:rsidR="00E33D32" w:rsidRPr="004A132D">
        <w:rPr>
          <w:rFonts w:asciiTheme="minorHAnsi" w:hAnsiTheme="minorHAnsi"/>
          <w:sz w:val="24"/>
          <w:szCs w:val="24"/>
        </w:rPr>
        <w:t xml:space="preserve">he </w:t>
      </w:r>
      <w:r w:rsidR="00857FF0" w:rsidRPr="004A132D">
        <w:rPr>
          <w:rFonts w:asciiTheme="minorHAnsi" w:hAnsiTheme="minorHAnsi"/>
          <w:sz w:val="24"/>
          <w:szCs w:val="24"/>
        </w:rPr>
        <w:t>measure, which</w:t>
      </w:r>
      <w:r w:rsidR="00E33D32" w:rsidRPr="004A132D">
        <w:rPr>
          <w:rFonts w:asciiTheme="minorHAnsi" w:hAnsiTheme="minorHAnsi"/>
          <w:sz w:val="24"/>
          <w:szCs w:val="24"/>
        </w:rPr>
        <w:t xml:space="preserve"> ran between March 2020 </w:t>
      </w:r>
      <w:r w:rsidR="00266B46" w:rsidRPr="004A132D">
        <w:rPr>
          <w:rFonts w:asciiTheme="minorHAnsi" w:hAnsiTheme="minorHAnsi"/>
          <w:sz w:val="24"/>
          <w:szCs w:val="24"/>
        </w:rPr>
        <w:t>and</w:t>
      </w:r>
      <w:r w:rsidR="00E33D32" w:rsidRPr="004A132D">
        <w:rPr>
          <w:rFonts w:asciiTheme="minorHAnsi" w:hAnsiTheme="minorHAnsi"/>
          <w:sz w:val="24"/>
          <w:szCs w:val="24"/>
        </w:rPr>
        <w:t xml:space="preserve"> </w:t>
      </w:r>
      <w:r w:rsidRPr="004A132D">
        <w:rPr>
          <w:rFonts w:asciiTheme="minorHAnsi" w:hAnsiTheme="minorHAnsi"/>
          <w:sz w:val="24"/>
          <w:szCs w:val="24"/>
        </w:rPr>
        <w:t xml:space="preserve">March 2021, supported businesses and households </w:t>
      </w:r>
      <w:r w:rsidR="00EA4670" w:rsidRPr="004A132D">
        <w:rPr>
          <w:rFonts w:asciiTheme="minorHAnsi" w:hAnsiTheme="minorHAnsi"/>
          <w:sz w:val="24"/>
          <w:szCs w:val="24"/>
        </w:rPr>
        <w:t>with</w:t>
      </w:r>
      <w:r w:rsidRPr="004A132D">
        <w:rPr>
          <w:rFonts w:asciiTheme="minorHAnsi" w:hAnsiTheme="minorHAnsi"/>
          <w:sz w:val="24"/>
          <w:szCs w:val="24"/>
        </w:rPr>
        <w:t xml:space="preserve"> temporary and targeted payments. </w:t>
      </w:r>
      <w:r w:rsidR="00835E75" w:rsidRPr="004A132D">
        <w:rPr>
          <w:rFonts w:asciiTheme="minorHAnsi" w:hAnsiTheme="minorHAnsi"/>
          <w:sz w:val="24"/>
          <w:szCs w:val="24"/>
        </w:rPr>
        <w:t xml:space="preserve">On average, 55 per cent of JobKeeper recipients were men and 45 per cent were women, compared with </w:t>
      </w:r>
      <w:r w:rsidR="000863D6" w:rsidRPr="004A132D">
        <w:rPr>
          <w:rFonts w:asciiTheme="minorHAnsi" w:hAnsiTheme="minorHAnsi"/>
          <w:sz w:val="24"/>
          <w:szCs w:val="24"/>
        </w:rPr>
        <w:t>men</w:t>
      </w:r>
      <w:r w:rsidR="00835E75" w:rsidRPr="004A132D">
        <w:rPr>
          <w:rFonts w:asciiTheme="minorHAnsi" w:hAnsiTheme="minorHAnsi"/>
          <w:sz w:val="24"/>
          <w:szCs w:val="24"/>
        </w:rPr>
        <w:t xml:space="preserve"> and women’s pre</w:t>
      </w:r>
      <w:r w:rsidR="00157D7F" w:rsidRPr="004A132D">
        <w:rPr>
          <w:rFonts w:asciiTheme="minorHAnsi" w:hAnsiTheme="minorHAnsi"/>
          <w:sz w:val="24"/>
          <w:szCs w:val="24"/>
        </w:rPr>
        <w:noBreakHyphen/>
      </w:r>
      <w:r w:rsidR="00835E75" w:rsidRPr="004A132D">
        <w:rPr>
          <w:rFonts w:asciiTheme="minorHAnsi" w:hAnsiTheme="minorHAnsi"/>
          <w:sz w:val="24"/>
          <w:szCs w:val="24"/>
        </w:rPr>
        <w:t>pandemic shares of employment of 52.9 per cent and 47.1 per cent respectively.</w:t>
      </w:r>
      <w:r w:rsidR="00835E75" w:rsidRPr="004A132D">
        <w:rPr>
          <w:rStyle w:val="FootnoteReference"/>
          <w:rFonts w:asciiTheme="minorHAnsi" w:hAnsiTheme="minorHAnsi"/>
          <w:sz w:val="24"/>
          <w:szCs w:val="24"/>
        </w:rPr>
        <w:footnoteReference w:id="8"/>
      </w:r>
    </w:p>
    <w:p w14:paraId="2B75AC25" w14:textId="77777777" w:rsidR="00ED1F24" w:rsidRPr="004A132D" w:rsidRDefault="006355F1" w:rsidP="00561D0E">
      <w:pPr>
        <w:pStyle w:val="SingleTxtG"/>
        <w:numPr>
          <w:ilvl w:val="1"/>
          <w:numId w:val="1"/>
        </w:numPr>
        <w:spacing w:line="360" w:lineRule="auto"/>
        <w:rPr>
          <w:rFonts w:asciiTheme="minorHAnsi" w:hAnsiTheme="minorHAnsi"/>
          <w:sz w:val="24"/>
          <w:szCs w:val="24"/>
        </w:rPr>
      </w:pPr>
      <w:r w:rsidRPr="004A132D">
        <w:rPr>
          <w:rFonts w:asciiTheme="minorHAnsi" w:hAnsiTheme="minorHAnsi"/>
          <w:sz w:val="24"/>
          <w:szCs w:val="24"/>
        </w:rPr>
        <w:t>An</w:t>
      </w:r>
      <w:r w:rsidR="00ED1F24" w:rsidRPr="004A132D">
        <w:rPr>
          <w:rFonts w:asciiTheme="minorHAnsi" w:hAnsiTheme="minorHAnsi"/>
          <w:sz w:val="24"/>
          <w:szCs w:val="24"/>
        </w:rPr>
        <w:t xml:space="preserve"> additional top-up payment, Coronavirus Supplement, </w:t>
      </w:r>
      <w:r w:rsidR="00225D33" w:rsidRPr="004A132D">
        <w:rPr>
          <w:rFonts w:asciiTheme="minorHAnsi" w:hAnsiTheme="minorHAnsi"/>
          <w:sz w:val="24"/>
          <w:szCs w:val="24"/>
        </w:rPr>
        <w:t>was</w:t>
      </w:r>
      <w:r w:rsidRPr="004A132D">
        <w:rPr>
          <w:rFonts w:asciiTheme="minorHAnsi" w:hAnsiTheme="minorHAnsi"/>
          <w:sz w:val="24"/>
          <w:szCs w:val="24"/>
        </w:rPr>
        <w:t xml:space="preserve"> provided </w:t>
      </w:r>
      <w:r w:rsidR="00ED1F24" w:rsidRPr="004A132D">
        <w:rPr>
          <w:rFonts w:asciiTheme="minorHAnsi" w:hAnsiTheme="minorHAnsi"/>
          <w:sz w:val="24"/>
          <w:szCs w:val="24"/>
        </w:rPr>
        <w:t>for new and existing recipients</w:t>
      </w:r>
      <w:r w:rsidR="00E33D32" w:rsidRPr="004A132D">
        <w:rPr>
          <w:rFonts w:asciiTheme="minorHAnsi" w:hAnsiTheme="minorHAnsi"/>
          <w:sz w:val="24"/>
          <w:szCs w:val="24"/>
        </w:rPr>
        <w:t xml:space="preserve"> of select </w:t>
      </w:r>
      <w:r w:rsidR="007B06D8" w:rsidRPr="004A132D">
        <w:rPr>
          <w:rFonts w:asciiTheme="minorHAnsi" w:hAnsiTheme="minorHAnsi"/>
          <w:sz w:val="24"/>
          <w:szCs w:val="24"/>
        </w:rPr>
        <w:t xml:space="preserve">social security </w:t>
      </w:r>
      <w:r w:rsidR="00266B46" w:rsidRPr="004A132D">
        <w:rPr>
          <w:rFonts w:asciiTheme="minorHAnsi" w:hAnsiTheme="minorHAnsi"/>
          <w:sz w:val="24"/>
          <w:szCs w:val="24"/>
        </w:rPr>
        <w:t>payments</w:t>
      </w:r>
      <w:r w:rsidR="00FE1A7D" w:rsidRPr="004A132D">
        <w:rPr>
          <w:rFonts w:asciiTheme="minorHAnsi" w:hAnsiTheme="minorHAnsi"/>
          <w:sz w:val="24"/>
          <w:szCs w:val="24"/>
        </w:rPr>
        <w:t xml:space="preserve">. </w:t>
      </w:r>
      <w:r w:rsidR="002A321D" w:rsidRPr="004A132D">
        <w:rPr>
          <w:rFonts w:asciiTheme="minorHAnsi" w:hAnsiTheme="minorHAnsi"/>
          <w:sz w:val="24"/>
          <w:szCs w:val="24"/>
        </w:rPr>
        <w:t>Around 54 per cent of Coronavirus Supplement recipients were women.</w:t>
      </w:r>
    </w:p>
    <w:p w14:paraId="5C59E0FB" w14:textId="200B9BF9" w:rsidR="00835E75" w:rsidRPr="004A132D" w:rsidRDefault="003C4925" w:rsidP="00561D0E">
      <w:pPr>
        <w:pStyle w:val="SingleTxtG"/>
        <w:numPr>
          <w:ilvl w:val="1"/>
          <w:numId w:val="1"/>
        </w:numPr>
        <w:spacing w:line="360" w:lineRule="auto"/>
        <w:rPr>
          <w:rFonts w:asciiTheme="minorHAnsi" w:hAnsiTheme="minorHAnsi"/>
          <w:sz w:val="24"/>
          <w:szCs w:val="24"/>
        </w:rPr>
      </w:pPr>
      <w:r w:rsidRPr="004A132D">
        <w:rPr>
          <w:rFonts w:asciiTheme="minorHAnsi" w:hAnsiTheme="minorHAnsi"/>
          <w:sz w:val="24"/>
          <w:szCs w:val="24"/>
        </w:rPr>
        <w:t xml:space="preserve">Two </w:t>
      </w:r>
      <w:r w:rsidR="006355F1" w:rsidRPr="004A132D">
        <w:rPr>
          <w:rFonts w:asciiTheme="minorHAnsi" w:hAnsiTheme="minorHAnsi"/>
          <w:sz w:val="24"/>
          <w:szCs w:val="24"/>
        </w:rPr>
        <w:t>Economic Support Payments were provided to eligible social security</w:t>
      </w:r>
      <w:r w:rsidR="00225D33" w:rsidRPr="004A132D">
        <w:rPr>
          <w:rFonts w:asciiTheme="minorHAnsi" w:hAnsiTheme="minorHAnsi"/>
          <w:sz w:val="24"/>
          <w:szCs w:val="24"/>
        </w:rPr>
        <w:t xml:space="preserve"> recipients</w:t>
      </w:r>
      <w:r w:rsidR="006355F1" w:rsidRPr="004A132D">
        <w:rPr>
          <w:rFonts w:asciiTheme="minorHAnsi" w:hAnsiTheme="minorHAnsi"/>
          <w:sz w:val="24"/>
          <w:szCs w:val="24"/>
        </w:rPr>
        <w:t xml:space="preserve">, </w:t>
      </w:r>
      <w:r w:rsidR="001C6279" w:rsidRPr="004A132D">
        <w:rPr>
          <w:rFonts w:asciiTheme="minorHAnsi" w:hAnsiTheme="minorHAnsi"/>
          <w:sz w:val="24"/>
          <w:szCs w:val="24"/>
        </w:rPr>
        <w:t>Family Tax Benefit Recipients</w:t>
      </w:r>
      <w:r w:rsidR="008C59D9" w:rsidRPr="004A132D">
        <w:rPr>
          <w:rFonts w:asciiTheme="minorHAnsi" w:hAnsiTheme="minorHAnsi"/>
          <w:sz w:val="24"/>
          <w:szCs w:val="24"/>
        </w:rPr>
        <w:t xml:space="preserve">, </w:t>
      </w:r>
      <w:r w:rsidR="006355F1" w:rsidRPr="004A132D">
        <w:rPr>
          <w:rFonts w:asciiTheme="minorHAnsi" w:hAnsiTheme="minorHAnsi"/>
          <w:sz w:val="24"/>
          <w:szCs w:val="24"/>
        </w:rPr>
        <w:t xml:space="preserve">veterans, income support recipients and concession card holders. </w:t>
      </w:r>
      <w:r w:rsidR="00225D33" w:rsidRPr="004A132D">
        <w:rPr>
          <w:rFonts w:asciiTheme="minorHAnsi" w:hAnsiTheme="minorHAnsi"/>
          <w:sz w:val="24"/>
          <w:szCs w:val="24"/>
        </w:rPr>
        <w:t>For the</w:t>
      </w:r>
      <w:r w:rsidR="006355F1" w:rsidRPr="004A132D">
        <w:rPr>
          <w:rFonts w:asciiTheme="minorHAnsi" w:hAnsiTheme="minorHAnsi"/>
          <w:sz w:val="24"/>
          <w:szCs w:val="24"/>
        </w:rPr>
        <w:t xml:space="preserve"> first payment, 58 per cent </w:t>
      </w:r>
      <w:r w:rsidR="00225D33" w:rsidRPr="004A132D">
        <w:rPr>
          <w:rFonts w:asciiTheme="minorHAnsi" w:hAnsiTheme="minorHAnsi"/>
          <w:sz w:val="24"/>
          <w:szCs w:val="24"/>
        </w:rPr>
        <w:t xml:space="preserve">of recipients </w:t>
      </w:r>
      <w:r w:rsidR="006355F1" w:rsidRPr="004A132D">
        <w:rPr>
          <w:rFonts w:asciiTheme="minorHAnsi" w:hAnsiTheme="minorHAnsi"/>
          <w:sz w:val="24"/>
          <w:szCs w:val="24"/>
        </w:rPr>
        <w:t>were women</w:t>
      </w:r>
      <w:r w:rsidR="00225D33" w:rsidRPr="004A132D">
        <w:rPr>
          <w:rFonts w:asciiTheme="minorHAnsi" w:hAnsiTheme="minorHAnsi"/>
          <w:sz w:val="24"/>
          <w:szCs w:val="24"/>
        </w:rPr>
        <w:t xml:space="preserve"> and for the </w:t>
      </w:r>
      <w:r w:rsidR="006355F1" w:rsidRPr="004A132D">
        <w:rPr>
          <w:rFonts w:asciiTheme="minorHAnsi" w:hAnsiTheme="minorHAnsi"/>
          <w:sz w:val="24"/>
          <w:szCs w:val="24"/>
        </w:rPr>
        <w:t xml:space="preserve">second payment, 60 per cent </w:t>
      </w:r>
      <w:r w:rsidR="00225D33" w:rsidRPr="004A132D">
        <w:rPr>
          <w:rFonts w:asciiTheme="minorHAnsi" w:hAnsiTheme="minorHAnsi"/>
          <w:sz w:val="24"/>
          <w:szCs w:val="24"/>
        </w:rPr>
        <w:t xml:space="preserve">of recipients </w:t>
      </w:r>
      <w:r w:rsidR="006355F1" w:rsidRPr="004A132D">
        <w:rPr>
          <w:rFonts w:asciiTheme="minorHAnsi" w:hAnsiTheme="minorHAnsi"/>
          <w:sz w:val="24"/>
          <w:szCs w:val="24"/>
        </w:rPr>
        <w:t>were women.</w:t>
      </w:r>
    </w:p>
    <w:p w14:paraId="7F18D958" w14:textId="77777777" w:rsidR="00ED1F24" w:rsidRPr="004A132D" w:rsidRDefault="00ED1F24" w:rsidP="008C4A44">
      <w:pPr>
        <w:pStyle w:val="Heading2"/>
      </w:pPr>
      <w:bookmarkStart w:id="8" w:name="_Toc174011659"/>
      <w:bookmarkStart w:id="9" w:name="_Toc175556753"/>
      <w:r w:rsidRPr="004A132D">
        <w:t>Women’s safety</w:t>
      </w:r>
      <w:bookmarkEnd w:id="8"/>
      <w:bookmarkEnd w:id="9"/>
    </w:p>
    <w:p w14:paraId="7756EED7" w14:textId="09B0C420" w:rsidR="00C54292" w:rsidRPr="004A132D" w:rsidRDefault="006355F1" w:rsidP="0002378E">
      <w:pPr>
        <w:pStyle w:val="Numbers"/>
        <w:tabs>
          <w:tab w:val="clear" w:pos="1701"/>
          <w:tab w:val="clear" w:pos="2268"/>
        </w:tabs>
        <w:ind w:left="1418"/>
        <w:rPr>
          <w:rFonts w:asciiTheme="minorHAnsi" w:hAnsiTheme="minorHAnsi"/>
        </w:rPr>
      </w:pPr>
      <w:r w:rsidRPr="004A132D">
        <w:rPr>
          <w:rFonts w:asciiTheme="minorHAnsi" w:hAnsiTheme="minorHAnsi"/>
        </w:rPr>
        <w:t xml:space="preserve">The COVID-19 pandemic coincided with the onset or escalation of </w:t>
      </w:r>
      <w:r w:rsidR="00A8089F" w:rsidRPr="004A132D">
        <w:rPr>
          <w:rFonts w:asciiTheme="minorHAnsi" w:hAnsiTheme="minorHAnsi"/>
        </w:rPr>
        <w:t xml:space="preserve">physical and sexual </w:t>
      </w:r>
      <w:r w:rsidRPr="004A132D">
        <w:rPr>
          <w:rFonts w:asciiTheme="minorHAnsi" w:hAnsiTheme="minorHAnsi"/>
        </w:rPr>
        <w:t>violence</w:t>
      </w:r>
      <w:r w:rsidR="0068068C" w:rsidRPr="004A132D">
        <w:rPr>
          <w:rFonts w:asciiTheme="minorHAnsi" w:hAnsiTheme="minorHAnsi"/>
        </w:rPr>
        <w:t xml:space="preserve"> against women by a current or former cohabiting partner</w:t>
      </w:r>
      <w:r w:rsidRPr="004A132D">
        <w:rPr>
          <w:rFonts w:asciiTheme="minorHAnsi" w:hAnsiTheme="minorHAnsi"/>
        </w:rPr>
        <w:t xml:space="preserve">. </w:t>
      </w:r>
      <w:r w:rsidR="00A46DEC" w:rsidRPr="004A132D">
        <w:rPr>
          <w:rFonts w:asciiTheme="minorHAnsi" w:hAnsiTheme="minorHAnsi"/>
        </w:rPr>
        <w:t>In</w:t>
      </w:r>
      <w:r w:rsidR="00157D7F" w:rsidRPr="004A132D">
        <w:rPr>
          <w:rFonts w:asciiTheme="minorHAnsi" w:hAnsiTheme="minorHAnsi"/>
        </w:rPr>
        <w:t> </w:t>
      </w:r>
      <w:r w:rsidR="00A46DEC" w:rsidRPr="004A132D">
        <w:rPr>
          <w:rFonts w:asciiTheme="minorHAnsi" w:hAnsiTheme="minorHAnsi"/>
        </w:rPr>
        <w:t>Australia, s</w:t>
      </w:r>
      <w:r w:rsidR="00290332" w:rsidRPr="004A132D">
        <w:rPr>
          <w:rFonts w:asciiTheme="minorHAnsi" w:hAnsiTheme="minorHAnsi"/>
        </w:rPr>
        <w:t xml:space="preserve">pecific groups of women were more likely to </w:t>
      </w:r>
      <w:r w:rsidR="00F1738C" w:rsidRPr="004A132D">
        <w:rPr>
          <w:rFonts w:asciiTheme="minorHAnsi" w:hAnsiTheme="minorHAnsi"/>
        </w:rPr>
        <w:t>experience</w:t>
      </w:r>
      <w:r w:rsidR="00290332" w:rsidRPr="004A132D">
        <w:rPr>
          <w:rFonts w:asciiTheme="minorHAnsi" w:hAnsiTheme="minorHAnsi"/>
        </w:rPr>
        <w:t xml:space="preserve"> physical and sexual violence during the pandemic</w:t>
      </w:r>
      <w:r w:rsidR="00F1738C" w:rsidRPr="004A132D">
        <w:rPr>
          <w:rFonts w:asciiTheme="minorHAnsi" w:hAnsiTheme="minorHAnsi"/>
        </w:rPr>
        <w:t>. This included</w:t>
      </w:r>
      <w:r w:rsidR="00290332" w:rsidRPr="004A132D">
        <w:rPr>
          <w:rFonts w:asciiTheme="minorHAnsi" w:hAnsiTheme="minorHAnsi"/>
        </w:rPr>
        <w:t xml:space="preserve"> Aboriginal and Torres Strait Islander women, young women aged 18 to 24, women with a restrictive health condition, women with disability, pregnant women, migrant and refugee women</w:t>
      </w:r>
      <w:r w:rsidR="00F242C2" w:rsidRPr="004A132D">
        <w:rPr>
          <w:rFonts w:asciiTheme="minorHAnsi" w:hAnsiTheme="minorHAnsi"/>
        </w:rPr>
        <w:t xml:space="preserve"> (</w:t>
      </w:r>
      <w:r w:rsidR="00290332" w:rsidRPr="004A132D">
        <w:rPr>
          <w:rFonts w:asciiTheme="minorHAnsi" w:hAnsiTheme="minorHAnsi"/>
        </w:rPr>
        <w:t>including those on temporary visas</w:t>
      </w:r>
      <w:r w:rsidR="00F242C2" w:rsidRPr="004A132D">
        <w:rPr>
          <w:rFonts w:asciiTheme="minorHAnsi" w:hAnsiTheme="minorHAnsi"/>
        </w:rPr>
        <w:t>)</w:t>
      </w:r>
      <w:r w:rsidR="00290332" w:rsidRPr="004A132D">
        <w:rPr>
          <w:rFonts w:asciiTheme="minorHAnsi" w:hAnsiTheme="minorHAnsi"/>
        </w:rPr>
        <w:t xml:space="preserve">, and </w:t>
      </w:r>
      <w:r w:rsidR="00F242C2" w:rsidRPr="004A132D">
        <w:rPr>
          <w:rFonts w:asciiTheme="minorHAnsi" w:hAnsiTheme="minorHAnsi"/>
        </w:rPr>
        <w:t xml:space="preserve">with </w:t>
      </w:r>
      <w:r w:rsidR="00290332" w:rsidRPr="004A132D">
        <w:rPr>
          <w:rFonts w:asciiTheme="minorHAnsi" w:hAnsiTheme="minorHAnsi"/>
        </w:rPr>
        <w:t xml:space="preserve">women </w:t>
      </w:r>
      <w:r w:rsidR="00F1738C" w:rsidRPr="004A132D">
        <w:rPr>
          <w:rFonts w:asciiTheme="minorHAnsi" w:hAnsiTheme="minorHAnsi"/>
        </w:rPr>
        <w:t xml:space="preserve">experiencing </w:t>
      </w:r>
      <w:r w:rsidR="00290332" w:rsidRPr="004A132D">
        <w:rPr>
          <w:rFonts w:asciiTheme="minorHAnsi" w:hAnsiTheme="minorHAnsi"/>
        </w:rPr>
        <w:t>financial stress.</w:t>
      </w:r>
    </w:p>
    <w:p w14:paraId="5D15A145" w14:textId="77777777" w:rsidR="00ED1F24" w:rsidRPr="004A132D" w:rsidRDefault="00ED1F24" w:rsidP="0002378E">
      <w:pPr>
        <w:pStyle w:val="Numbers"/>
        <w:ind w:left="1418"/>
        <w:rPr>
          <w:rFonts w:asciiTheme="minorHAnsi" w:hAnsiTheme="minorHAnsi"/>
        </w:rPr>
      </w:pPr>
      <w:r w:rsidRPr="004A132D">
        <w:rPr>
          <w:rFonts w:asciiTheme="minorHAnsi" w:hAnsiTheme="minorHAnsi"/>
        </w:rPr>
        <w:lastRenderedPageBreak/>
        <w:t>The Australian Government provided $130 million to state and territory governments in 2020 under the National Partnership on COVID-19 Domesti</w:t>
      </w:r>
      <w:r w:rsidR="00C31125" w:rsidRPr="004A132D">
        <w:rPr>
          <w:rFonts w:asciiTheme="minorHAnsi" w:hAnsiTheme="minorHAnsi"/>
        </w:rPr>
        <w:t>c and Family Violence Responses. This is</w:t>
      </w:r>
      <w:r w:rsidRPr="004A132D">
        <w:rPr>
          <w:rFonts w:asciiTheme="minorHAnsi" w:hAnsiTheme="minorHAnsi"/>
        </w:rPr>
        <w:t xml:space="preserve"> to invest in services to support women and children who were experiencing or at risk of violence during the pandemic. </w:t>
      </w:r>
      <w:r w:rsidR="00DF142C" w:rsidRPr="004A132D">
        <w:rPr>
          <w:rFonts w:asciiTheme="minorHAnsi" w:hAnsiTheme="minorHAnsi"/>
        </w:rPr>
        <w:t xml:space="preserve">The Australian Government </w:t>
      </w:r>
      <w:r w:rsidR="000002CE" w:rsidRPr="004A132D">
        <w:rPr>
          <w:rFonts w:asciiTheme="minorHAnsi" w:hAnsiTheme="minorHAnsi"/>
        </w:rPr>
        <w:t xml:space="preserve">also </w:t>
      </w:r>
      <w:r w:rsidR="00DF142C" w:rsidRPr="004A132D">
        <w:rPr>
          <w:rFonts w:asciiTheme="minorHAnsi" w:hAnsiTheme="minorHAnsi"/>
        </w:rPr>
        <w:t xml:space="preserve">provided $260.7 million to the National </w:t>
      </w:r>
      <w:r w:rsidR="00C31125" w:rsidRPr="004A132D">
        <w:rPr>
          <w:rFonts w:asciiTheme="minorHAnsi" w:hAnsiTheme="minorHAnsi"/>
        </w:rPr>
        <w:t xml:space="preserve">Partnership in 2021-23, and </w:t>
      </w:r>
      <w:r w:rsidR="00DF142C" w:rsidRPr="004A132D">
        <w:rPr>
          <w:rFonts w:asciiTheme="minorHAnsi" w:hAnsiTheme="minorHAnsi"/>
        </w:rPr>
        <w:t xml:space="preserve">committed a further $159 million for 2023-25. </w:t>
      </w:r>
      <w:r w:rsidRPr="004A132D">
        <w:rPr>
          <w:rFonts w:asciiTheme="minorHAnsi" w:hAnsiTheme="minorHAnsi"/>
        </w:rPr>
        <w:t xml:space="preserve">Australian Government funding to states </w:t>
      </w:r>
      <w:r w:rsidR="000002CE" w:rsidRPr="004A132D">
        <w:rPr>
          <w:rFonts w:asciiTheme="minorHAnsi" w:hAnsiTheme="minorHAnsi"/>
        </w:rPr>
        <w:t xml:space="preserve">and territories </w:t>
      </w:r>
      <w:r w:rsidRPr="004A132D">
        <w:rPr>
          <w:rFonts w:asciiTheme="minorHAnsi" w:hAnsiTheme="minorHAnsi"/>
        </w:rPr>
        <w:t>for frontli</w:t>
      </w:r>
      <w:r w:rsidR="000002CE" w:rsidRPr="004A132D">
        <w:rPr>
          <w:rFonts w:asciiTheme="minorHAnsi" w:hAnsiTheme="minorHAnsi"/>
        </w:rPr>
        <w:t xml:space="preserve">ne violence services continued during </w:t>
      </w:r>
      <w:r w:rsidRPr="004A132D">
        <w:rPr>
          <w:rFonts w:asciiTheme="minorHAnsi" w:hAnsiTheme="minorHAnsi"/>
        </w:rPr>
        <w:t>this time.</w:t>
      </w:r>
      <w:r w:rsidR="00DF142C" w:rsidRPr="004A132D">
        <w:rPr>
          <w:rFonts w:asciiTheme="minorHAnsi" w:hAnsiTheme="minorHAnsi"/>
        </w:rPr>
        <w:t xml:space="preserve"> </w:t>
      </w:r>
    </w:p>
    <w:p w14:paraId="21D8B4F3" w14:textId="77777777" w:rsidR="00873F25" w:rsidRPr="004A132D" w:rsidRDefault="002B59AE" w:rsidP="008D63FD">
      <w:pPr>
        <w:pStyle w:val="Heading2"/>
      </w:pPr>
      <w:bookmarkStart w:id="10" w:name="_Toc175556754"/>
      <w:r w:rsidRPr="004A132D">
        <w:t>Future responses to crises</w:t>
      </w:r>
      <w:bookmarkEnd w:id="10"/>
    </w:p>
    <w:p w14:paraId="11A2A2CD" w14:textId="3FDE8A94" w:rsidR="00873F25" w:rsidRPr="004A132D" w:rsidRDefault="009D44F3" w:rsidP="0002378E">
      <w:pPr>
        <w:pStyle w:val="Numbers"/>
        <w:tabs>
          <w:tab w:val="clear" w:pos="2268"/>
          <w:tab w:val="clear" w:pos="2835"/>
          <w:tab w:val="left" w:pos="2269"/>
        </w:tabs>
        <w:ind w:left="1418"/>
        <w:rPr>
          <w:rFonts w:asciiTheme="minorHAnsi" w:hAnsiTheme="minorHAnsi"/>
          <w:i/>
        </w:rPr>
      </w:pPr>
      <w:r w:rsidRPr="004A132D">
        <w:rPr>
          <w:rFonts w:asciiTheme="minorHAnsi" w:hAnsiTheme="minorHAnsi"/>
        </w:rPr>
        <w:t xml:space="preserve">The </w:t>
      </w:r>
      <w:r w:rsidR="00240001" w:rsidRPr="004A132D">
        <w:rPr>
          <w:rFonts w:asciiTheme="minorHAnsi" w:hAnsiTheme="minorHAnsi"/>
        </w:rPr>
        <w:t>Australian</w:t>
      </w:r>
      <w:r w:rsidR="007244F0" w:rsidRPr="004A132D">
        <w:rPr>
          <w:rFonts w:asciiTheme="minorHAnsi" w:hAnsiTheme="minorHAnsi"/>
        </w:rPr>
        <w:t xml:space="preserve"> Government</w:t>
      </w:r>
      <w:r w:rsidRPr="004A132D">
        <w:rPr>
          <w:rFonts w:asciiTheme="minorHAnsi" w:hAnsiTheme="minorHAnsi"/>
        </w:rPr>
        <w:t xml:space="preserve"> COVID-19 Response Inquiry is underway to identify lessons learn</w:t>
      </w:r>
      <w:r w:rsidR="002E06BD" w:rsidRPr="004A132D">
        <w:rPr>
          <w:rFonts w:asciiTheme="minorHAnsi" w:hAnsiTheme="minorHAnsi"/>
        </w:rPr>
        <w:t>ed</w:t>
      </w:r>
      <w:r w:rsidRPr="004A132D">
        <w:rPr>
          <w:rFonts w:asciiTheme="minorHAnsi" w:hAnsiTheme="minorHAnsi"/>
        </w:rPr>
        <w:t xml:space="preserve"> during the COVID-19 pandemic </w:t>
      </w:r>
      <w:r w:rsidR="00CF2CDB" w:rsidRPr="004A132D">
        <w:rPr>
          <w:rFonts w:asciiTheme="minorHAnsi" w:hAnsiTheme="minorHAnsi"/>
        </w:rPr>
        <w:t xml:space="preserve">in order </w:t>
      </w:r>
      <w:r w:rsidRPr="004A132D">
        <w:rPr>
          <w:rFonts w:asciiTheme="minorHAnsi" w:hAnsiTheme="minorHAnsi"/>
        </w:rPr>
        <w:t xml:space="preserve">to improve Australia’s preparedness for future pandemics. The </w:t>
      </w:r>
      <w:r w:rsidR="007244F0" w:rsidRPr="004A132D">
        <w:rPr>
          <w:rFonts w:asciiTheme="minorHAnsi" w:hAnsiTheme="minorHAnsi"/>
        </w:rPr>
        <w:t>i</w:t>
      </w:r>
      <w:r w:rsidRPr="004A132D">
        <w:rPr>
          <w:rFonts w:asciiTheme="minorHAnsi" w:hAnsiTheme="minorHAnsi"/>
        </w:rPr>
        <w:t xml:space="preserve">nquiry </w:t>
      </w:r>
      <w:r w:rsidR="007244F0" w:rsidRPr="004A132D">
        <w:rPr>
          <w:rFonts w:asciiTheme="minorHAnsi" w:hAnsiTheme="minorHAnsi"/>
        </w:rPr>
        <w:t>is</w:t>
      </w:r>
      <w:r w:rsidRPr="004A132D">
        <w:rPr>
          <w:rFonts w:asciiTheme="minorHAnsi" w:hAnsiTheme="minorHAnsi"/>
        </w:rPr>
        <w:t xml:space="preserve"> consider</w:t>
      </w:r>
      <w:r w:rsidR="007244F0" w:rsidRPr="004A132D">
        <w:rPr>
          <w:rFonts w:asciiTheme="minorHAnsi" w:hAnsiTheme="minorHAnsi"/>
        </w:rPr>
        <w:t>ing</w:t>
      </w:r>
      <w:r w:rsidRPr="004A132D">
        <w:rPr>
          <w:rFonts w:asciiTheme="minorHAnsi" w:hAnsiTheme="minorHAnsi"/>
        </w:rPr>
        <w:t xml:space="preserve"> opportunities to better target future responses to the needs of particular populations, including across genders, age groups, socio-economic status, geographic location, people with disability, First Nations peoples and communities and people from culturally and linguistically diverse communities.</w:t>
      </w:r>
      <w:r w:rsidR="001150E6" w:rsidRPr="004A132D">
        <w:rPr>
          <w:rFonts w:asciiTheme="minorHAnsi" w:hAnsiTheme="minorHAnsi"/>
        </w:rPr>
        <w:t xml:space="preserve"> </w:t>
      </w:r>
      <w:r w:rsidR="002B59AE" w:rsidRPr="004A132D">
        <w:rPr>
          <w:rFonts w:asciiTheme="minorHAnsi" w:hAnsiTheme="minorHAnsi"/>
        </w:rPr>
        <w:t xml:space="preserve">The </w:t>
      </w:r>
      <w:r w:rsidR="00B941E0" w:rsidRPr="004A132D">
        <w:rPr>
          <w:rFonts w:asciiTheme="minorHAnsi" w:hAnsiTheme="minorHAnsi"/>
        </w:rPr>
        <w:t xml:space="preserve">final report </w:t>
      </w:r>
      <w:r w:rsidR="002B59AE" w:rsidRPr="004A132D">
        <w:rPr>
          <w:rFonts w:asciiTheme="minorHAnsi" w:hAnsiTheme="minorHAnsi"/>
        </w:rPr>
        <w:t xml:space="preserve">is due </w:t>
      </w:r>
      <w:r w:rsidR="00D02D2A" w:rsidRPr="004A132D">
        <w:rPr>
          <w:rFonts w:asciiTheme="minorHAnsi" w:hAnsiTheme="minorHAnsi"/>
        </w:rPr>
        <w:t>in</w:t>
      </w:r>
      <w:r w:rsidR="001150E6" w:rsidRPr="004A132D">
        <w:rPr>
          <w:rFonts w:asciiTheme="minorHAnsi" w:hAnsiTheme="minorHAnsi"/>
        </w:rPr>
        <w:t xml:space="preserve"> September 2024.</w:t>
      </w:r>
    </w:p>
    <w:p w14:paraId="274C41C1" w14:textId="6107D5DE" w:rsidR="002B59AE" w:rsidRPr="004A132D" w:rsidRDefault="00EC1A4B" w:rsidP="0002378E">
      <w:pPr>
        <w:pStyle w:val="Numbers"/>
        <w:tabs>
          <w:tab w:val="clear" w:pos="2268"/>
          <w:tab w:val="clear" w:pos="2835"/>
          <w:tab w:val="left" w:pos="2269"/>
        </w:tabs>
        <w:ind w:left="1418"/>
        <w:rPr>
          <w:rFonts w:asciiTheme="minorHAnsi" w:hAnsiTheme="minorHAnsi"/>
          <w:i/>
        </w:rPr>
      </w:pPr>
      <w:r w:rsidRPr="004A132D">
        <w:rPr>
          <w:rFonts w:asciiTheme="minorHAnsi" w:hAnsiTheme="minorHAnsi"/>
        </w:rPr>
        <w:t>The Australian Government is committed to</w:t>
      </w:r>
      <w:r w:rsidR="002B59AE" w:rsidRPr="004A132D">
        <w:rPr>
          <w:rFonts w:asciiTheme="minorHAnsi" w:hAnsiTheme="minorHAnsi"/>
        </w:rPr>
        <w:t xml:space="preserve"> ensuring </w:t>
      </w:r>
      <w:r w:rsidR="000002CE" w:rsidRPr="004A132D">
        <w:rPr>
          <w:rFonts w:asciiTheme="minorHAnsi" w:hAnsiTheme="minorHAnsi"/>
        </w:rPr>
        <w:t xml:space="preserve">a gender-responsive approach to climate change, disaster and crisis mitigation, preparedness, response and recovery efforts </w:t>
      </w:r>
      <w:r w:rsidR="002B59AE" w:rsidRPr="004A132D">
        <w:rPr>
          <w:rFonts w:asciiTheme="minorHAnsi" w:hAnsiTheme="minorHAnsi"/>
        </w:rPr>
        <w:t>including in leadership and advisory positions</w:t>
      </w:r>
      <w:r w:rsidRPr="004A132D">
        <w:rPr>
          <w:rFonts w:asciiTheme="minorHAnsi" w:hAnsiTheme="minorHAnsi"/>
        </w:rPr>
        <w:t>.</w:t>
      </w:r>
      <w:r w:rsidR="000002CE" w:rsidRPr="004A132D">
        <w:rPr>
          <w:rFonts w:asciiTheme="minorHAnsi" w:hAnsiTheme="minorHAnsi"/>
        </w:rPr>
        <w:t xml:space="preserve"> </w:t>
      </w:r>
      <w:r w:rsidR="00A1662C" w:rsidRPr="004A132D">
        <w:rPr>
          <w:rFonts w:asciiTheme="minorHAnsi" w:hAnsiTheme="minorHAnsi"/>
          <w:lang w:val="en-AU"/>
        </w:rPr>
        <w:t>The Australian Government recognises the need to ensure disaster management arrangements are inclusive and provide opportunities for diverse representation and meaningful participation in governance mechanisms.</w:t>
      </w:r>
    </w:p>
    <w:p w14:paraId="33835431" w14:textId="77777777" w:rsidR="00390047" w:rsidRPr="005F6B4E" w:rsidRDefault="000952AF" w:rsidP="005F6B4E">
      <w:pPr>
        <w:pStyle w:val="Heading1"/>
      </w:pPr>
      <w:bookmarkStart w:id="11" w:name="_Toc174011660"/>
      <w:bookmarkStart w:id="12" w:name="_Toc175556755"/>
      <w:r w:rsidRPr="005F6B4E">
        <w:t xml:space="preserve">Question 2 and 3: </w:t>
      </w:r>
      <w:r w:rsidR="00390047" w:rsidRPr="005F6B4E">
        <w:t>Legislative and institutional framework</w:t>
      </w:r>
      <w:bookmarkEnd w:id="11"/>
      <w:bookmarkEnd w:id="12"/>
      <w:r w:rsidR="00390047" w:rsidRPr="005F6B4E">
        <w:t xml:space="preserve"> </w:t>
      </w:r>
    </w:p>
    <w:p w14:paraId="5041B5CA" w14:textId="77777777" w:rsidR="00135CB2" w:rsidRPr="004A132D" w:rsidRDefault="00FD3AFA" w:rsidP="008C4A44">
      <w:pPr>
        <w:pStyle w:val="Heading2"/>
      </w:pPr>
      <w:bookmarkStart w:id="13" w:name="_Toc174011661"/>
      <w:bookmarkStart w:id="14" w:name="_Toc175556756"/>
      <w:r w:rsidRPr="004A132D">
        <w:t xml:space="preserve">Question 2: </w:t>
      </w:r>
      <w:r w:rsidR="00135CB2" w:rsidRPr="004A132D">
        <w:t>Reservation to article 11(2) of the Convention</w:t>
      </w:r>
      <w:bookmarkEnd w:id="13"/>
      <w:bookmarkEnd w:id="14"/>
      <w:r w:rsidR="00135CB2" w:rsidRPr="004A132D">
        <w:t xml:space="preserve"> </w:t>
      </w:r>
    </w:p>
    <w:p w14:paraId="03E7E5FF" w14:textId="42DE8ABA" w:rsidR="00347936" w:rsidRPr="004A132D" w:rsidRDefault="00616343" w:rsidP="0002378E">
      <w:pPr>
        <w:pStyle w:val="Numbers"/>
        <w:ind w:left="1418"/>
        <w:rPr>
          <w:rFonts w:asciiTheme="minorHAnsi" w:hAnsiTheme="minorHAnsi"/>
        </w:rPr>
      </w:pPr>
      <w:r w:rsidRPr="004A132D">
        <w:rPr>
          <w:rFonts w:asciiTheme="minorHAnsi" w:hAnsiTheme="minorHAnsi"/>
        </w:rPr>
        <w:t xml:space="preserve">Australia is reviewing its reservation to article 11(2) of the Convention in relation to maternity leave with pay, noting the existence of and recent reforms to Australia’s </w:t>
      </w:r>
      <w:r w:rsidR="001265DA" w:rsidRPr="004A132D">
        <w:rPr>
          <w:rFonts w:asciiTheme="minorHAnsi" w:hAnsiTheme="minorHAnsi"/>
        </w:rPr>
        <w:t xml:space="preserve">legislated Paid Parental Leave (PPL) </w:t>
      </w:r>
      <w:r w:rsidRPr="004A132D">
        <w:rPr>
          <w:rFonts w:asciiTheme="minorHAnsi" w:hAnsiTheme="minorHAnsi"/>
        </w:rPr>
        <w:t>scheme, with a view to withdrawing the reservation.</w:t>
      </w:r>
    </w:p>
    <w:p w14:paraId="726F126B" w14:textId="7D3A9803" w:rsidR="00850D9A" w:rsidRPr="004A132D" w:rsidRDefault="00DF142C" w:rsidP="0002378E">
      <w:pPr>
        <w:pStyle w:val="Numbers"/>
        <w:ind w:left="1418"/>
        <w:rPr>
          <w:rFonts w:asciiTheme="minorHAnsi" w:hAnsiTheme="minorHAnsi"/>
        </w:rPr>
      </w:pPr>
      <w:r w:rsidRPr="004A132D">
        <w:rPr>
          <w:rFonts w:asciiTheme="minorHAnsi" w:hAnsiTheme="minorHAnsi"/>
        </w:rPr>
        <w:t>Australia has a national</w:t>
      </w:r>
      <w:r w:rsidR="00C276A4" w:rsidRPr="004A132D">
        <w:rPr>
          <w:rFonts w:asciiTheme="minorHAnsi" w:hAnsiTheme="minorHAnsi"/>
        </w:rPr>
        <w:t xml:space="preserve">, </w:t>
      </w:r>
      <w:r w:rsidR="0045465B" w:rsidRPr="004A132D">
        <w:rPr>
          <w:rFonts w:asciiTheme="minorHAnsi" w:hAnsiTheme="minorHAnsi"/>
        </w:rPr>
        <w:t>federally</w:t>
      </w:r>
      <w:r w:rsidR="00C276A4" w:rsidRPr="004A132D">
        <w:rPr>
          <w:rFonts w:asciiTheme="minorHAnsi" w:hAnsiTheme="minorHAnsi"/>
        </w:rPr>
        <w:t xml:space="preserve"> funded</w:t>
      </w:r>
      <w:r w:rsidR="004A7A71" w:rsidRPr="004A132D">
        <w:rPr>
          <w:rFonts w:asciiTheme="minorHAnsi" w:hAnsiTheme="minorHAnsi"/>
        </w:rPr>
        <w:t xml:space="preserve"> </w:t>
      </w:r>
      <w:r w:rsidR="001265DA" w:rsidRPr="004A132D">
        <w:rPr>
          <w:rFonts w:asciiTheme="minorHAnsi" w:hAnsiTheme="minorHAnsi"/>
        </w:rPr>
        <w:t>PPL</w:t>
      </w:r>
      <w:r w:rsidR="00F1638D" w:rsidRPr="004A132D">
        <w:rPr>
          <w:rFonts w:asciiTheme="minorHAnsi" w:hAnsiTheme="minorHAnsi"/>
        </w:rPr>
        <w:t xml:space="preserve"> </w:t>
      </w:r>
      <w:r w:rsidRPr="004A132D">
        <w:rPr>
          <w:rFonts w:asciiTheme="minorHAnsi" w:hAnsiTheme="minorHAnsi"/>
        </w:rPr>
        <w:t xml:space="preserve">scheme, introduced on 1 January 2011. Under the scheme, eligible working parents across Australia can access </w:t>
      </w:r>
      <w:r w:rsidR="00B87DF6" w:rsidRPr="004A132D">
        <w:rPr>
          <w:rFonts w:asciiTheme="minorHAnsi" w:hAnsiTheme="minorHAnsi"/>
        </w:rPr>
        <w:t xml:space="preserve">a </w:t>
      </w:r>
      <w:r w:rsidRPr="004A132D">
        <w:rPr>
          <w:rFonts w:asciiTheme="minorHAnsi" w:hAnsiTheme="minorHAnsi"/>
        </w:rPr>
        <w:lastRenderedPageBreak/>
        <w:t>pay</w:t>
      </w:r>
      <w:r w:rsidR="00B87DF6" w:rsidRPr="004A132D">
        <w:rPr>
          <w:rFonts w:asciiTheme="minorHAnsi" w:hAnsiTheme="minorHAnsi"/>
        </w:rPr>
        <w:t>ment</w:t>
      </w:r>
      <w:r w:rsidRPr="004A132D">
        <w:rPr>
          <w:rFonts w:asciiTheme="minorHAnsi" w:hAnsiTheme="minorHAnsi"/>
        </w:rPr>
        <w:t xml:space="preserve"> for </w:t>
      </w:r>
      <w:r w:rsidR="00B87DF6" w:rsidRPr="004A132D">
        <w:rPr>
          <w:rFonts w:asciiTheme="minorHAnsi" w:hAnsiTheme="minorHAnsi"/>
        </w:rPr>
        <w:t xml:space="preserve">taking time off work to care for a </w:t>
      </w:r>
      <w:r w:rsidR="000407E9" w:rsidRPr="004A132D">
        <w:rPr>
          <w:rFonts w:asciiTheme="minorHAnsi" w:hAnsiTheme="minorHAnsi"/>
        </w:rPr>
        <w:t>new-born</w:t>
      </w:r>
      <w:r w:rsidR="00B87DF6" w:rsidRPr="004A132D">
        <w:rPr>
          <w:rFonts w:asciiTheme="minorHAnsi" w:hAnsiTheme="minorHAnsi"/>
        </w:rPr>
        <w:t xml:space="preserve"> or newly adopted child</w:t>
      </w:r>
      <w:r w:rsidRPr="004A132D">
        <w:rPr>
          <w:rFonts w:asciiTheme="minorHAnsi" w:hAnsiTheme="minorHAnsi"/>
        </w:rPr>
        <w:t xml:space="preserve">. </w:t>
      </w:r>
      <w:r w:rsidR="004A7A71" w:rsidRPr="004A132D">
        <w:rPr>
          <w:rFonts w:asciiTheme="minorHAnsi" w:hAnsiTheme="minorHAnsi"/>
        </w:rPr>
        <w:t xml:space="preserve">Eligibility is based on factors such as income, </w:t>
      </w:r>
      <w:r w:rsidR="00B87DF6" w:rsidRPr="004A132D">
        <w:rPr>
          <w:rFonts w:asciiTheme="minorHAnsi" w:hAnsiTheme="minorHAnsi"/>
        </w:rPr>
        <w:t xml:space="preserve">a </w:t>
      </w:r>
      <w:r w:rsidR="004A7A71" w:rsidRPr="004A132D">
        <w:rPr>
          <w:rFonts w:asciiTheme="minorHAnsi" w:hAnsiTheme="minorHAnsi"/>
        </w:rPr>
        <w:t>work test and residency rules.</w:t>
      </w:r>
      <w:r w:rsidR="004A7A71" w:rsidRPr="004A132D">
        <w:rPr>
          <w:rStyle w:val="FootnoteReference"/>
          <w:rFonts w:asciiTheme="minorHAnsi" w:hAnsiTheme="minorHAnsi"/>
        </w:rPr>
        <w:footnoteReference w:id="9"/>
      </w:r>
      <w:r w:rsidR="004A7A71" w:rsidRPr="004A132D">
        <w:rPr>
          <w:rFonts w:asciiTheme="minorHAnsi" w:hAnsiTheme="minorHAnsi"/>
        </w:rPr>
        <w:t xml:space="preserve"> </w:t>
      </w:r>
    </w:p>
    <w:p w14:paraId="2A228836" w14:textId="36A261E1" w:rsidR="00F1638D" w:rsidRPr="004A132D" w:rsidRDefault="009542C6" w:rsidP="0002378E">
      <w:pPr>
        <w:pStyle w:val="Numbers"/>
        <w:ind w:left="1418"/>
        <w:rPr>
          <w:rFonts w:asciiTheme="minorHAnsi" w:hAnsiTheme="minorHAnsi"/>
        </w:rPr>
      </w:pPr>
      <w:r w:rsidRPr="004A132D">
        <w:rPr>
          <w:rFonts w:asciiTheme="minorHAnsi" w:hAnsiTheme="minorHAnsi"/>
        </w:rPr>
        <w:t>Si</w:t>
      </w:r>
      <w:r w:rsidR="004A7A71" w:rsidRPr="004A132D">
        <w:rPr>
          <w:rFonts w:asciiTheme="minorHAnsi" w:hAnsiTheme="minorHAnsi"/>
        </w:rPr>
        <w:t>n</w:t>
      </w:r>
      <w:r w:rsidRPr="004A132D">
        <w:rPr>
          <w:rFonts w:asciiTheme="minorHAnsi" w:hAnsiTheme="minorHAnsi"/>
        </w:rPr>
        <w:t xml:space="preserve">ce </w:t>
      </w:r>
      <w:r w:rsidR="00961891" w:rsidRPr="004A132D">
        <w:rPr>
          <w:rFonts w:asciiTheme="minorHAnsi" w:hAnsiTheme="minorHAnsi"/>
        </w:rPr>
        <w:t>202</w:t>
      </w:r>
      <w:r w:rsidR="006C2477" w:rsidRPr="004A132D">
        <w:rPr>
          <w:rFonts w:asciiTheme="minorHAnsi" w:hAnsiTheme="minorHAnsi"/>
        </w:rPr>
        <w:t>3</w:t>
      </w:r>
      <w:r w:rsidR="00581457" w:rsidRPr="004A132D">
        <w:rPr>
          <w:rFonts w:asciiTheme="minorHAnsi" w:hAnsiTheme="minorHAnsi"/>
        </w:rPr>
        <w:t>,</w:t>
      </w:r>
      <w:r w:rsidR="004A7A71" w:rsidRPr="004A132D">
        <w:rPr>
          <w:rFonts w:asciiTheme="minorHAnsi" w:hAnsiTheme="minorHAnsi"/>
        </w:rPr>
        <w:t xml:space="preserve"> the Australian Government has </w:t>
      </w:r>
      <w:r w:rsidR="00B87DF6" w:rsidRPr="004A132D">
        <w:rPr>
          <w:rFonts w:asciiTheme="minorHAnsi" w:hAnsiTheme="minorHAnsi"/>
        </w:rPr>
        <w:t xml:space="preserve">modernised </w:t>
      </w:r>
      <w:r w:rsidR="00A64CBA" w:rsidRPr="004A132D">
        <w:rPr>
          <w:rFonts w:asciiTheme="minorHAnsi" w:hAnsiTheme="minorHAnsi"/>
        </w:rPr>
        <w:t>Australia’s</w:t>
      </w:r>
      <w:r w:rsidR="004A7A71" w:rsidRPr="004A132D">
        <w:rPr>
          <w:rFonts w:asciiTheme="minorHAnsi" w:hAnsiTheme="minorHAnsi"/>
        </w:rPr>
        <w:t xml:space="preserve"> </w:t>
      </w:r>
      <w:r w:rsidR="00F1638D" w:rsidRPr="004A132D">
        <w:rPr>
          <w:rFonts w:asciiTheme="minorHAnsi" w:hAnsiTheme="minorHAnsi"/>
        </w:rPr>
        <w:t>PPL</w:t>
      </w:r>
      <w:r w:rsidR="004A7A71" w:rsidRPr="004A132D">
        <w:rPr>
          <w:rFonts w:asciiTheme="minorHAnsi" w:hAnsiTheme="minorHAnsi"/>
        </w:rPr>
        <w:t xml:space="preserve"> </w:t>
      </w:r>
      <w:r w:rsidR="00A64CBA" w:rsidRPr="004A132D">
        <w:rPr>
          <w:rFonts w:asciiTheme="minorHAnsi" w:hAnsiTheme="minorHAnsi"/>
        </w:rPr>
        <w:t>s</w:t>
      </w:r>
      <w:r w:rsidR="004A7A71" w:rsidRPr="004A132D">
        <w:rPr>
          <w:rFonts w:asciiTheme="minorHAnsi" w:hAnsiTheme="minorHAnsi"/>
        </w:rPr>
        <w:t>cheme</w:t>
      </w:r>
      <w:r w:rsidR="00B87DF6" w:rsidRPr="004A132D">
        <w:rPr>
          <w:rFonts w:asciiTheme="minorHAnsi" w:hAnsiTheme="minorHAnsi"/>
        </w:rPr>
        <w:t xml:space="preserve"> to make it more accessible, flexible and </w:t>
      </w:r>
      <w:r w:rsidR="00E85947" w:rsidRPr="004A132D">
        <w:rPr>
          <w:rFonts w:asciiTheme="minorHAnsi" w:hAnsiTheme="minorHAnsi"/>
        </w:rPr>
        <w:t xml:space="preserve">to </w:t>
      </w:r>
      <w:r w:rsidR="00B87DF6" w:rsidRPr="004A132D">
        <w:rPr>
          <w:rFonts w:asciiTheme="minorHAnsi" w:hAnsiTheme="minorHAnsi"/>
        </w:rPr>
        <w:t xml:space="preserve">promote </w:t>
      </w:r>
      <w:r w:rsidR="00581457" w:rsidRPr="004A132D">
        <w:rPr>
          <w:rFonts w:asciiTheme="minorHAnsi" w:hAnsiTheme="minorHAnsi"/>
        </w:rPr>
        <w:t>an</w:t>
      </w:r>
      <w:r w:rsidR="00B87DF6" w:rsidRPr="004A132D">
        <w:rPr>
          <w:rFonts w:asciiTheme="minorHAnsi" w:hAnsiTheme="minorHAnsi"/>
        </w:rPr>
        <w:t xml:space="preserve"> </w:t>
      </w:r>
      <w:r w:rsidR="00581457" w:rsidRPr="004A132D">
        <w:rPr>
          <w:rFonts w:asciiTheme="minorHAnsi" w:hAnsiTheme="minorHAnsi"/>
        </w:rPr>
        <w:t>equal</w:t>
      </w:r>
      <w:r w:rsidR="00B87DF6" w:rsidRPr="004A132D">
        <w:rPr>
          <w:rFonts w:asciiTheme="minorHAnsi" w:hAnsiTheme="minorHAnsi"/>
        </w:rPr>
        <w:t xml:space="preserve"> distribution of paid and unpaid work within households</w:t>
      </w:r>
      <w:r w:rsidR="004A7A71" w:rsidRPr="004A132D">
        <w:rPr>
          <w:rFonts w:asciiTheme="minorHAnsi" w:hAnsiTheme="minorHAnsi"/>
        </w:rPr>
        <w:t xml:space="preserve">. </w:t>
      </w:r>
      <w:r w:rsidR="00BA1BCF" w:rsidRPr="004A132D">
        <w:rPr>
          <w:rFonts w:asciiTheme="minorHAnsi" w:hAnsiTheme="minorHAnsi"/>
        </w:rPr>
        <w:t>K</w:t>
      </w:r>
      <w:r w:rsidR="00DF7DC4" w:rsidRPr="004A132D">
        <w:rPr>
          <w:rFonts w:asciiTheme="minorHAnsi" w:hAnsiTheme="minorHAnsi"/>
        </w:rPr>
        <w:t>ey reforms include</w:t>
      </w:r>
      <w:r w:rsidR="00F1638D" w:rsidRPr="004A132D">
        <w:rPr>
          <w:rFonts w:asciiTheme="minorHAnsi" w:hAnsiTheme="minorHAnsi"/>
        </w:rPr>
        <w:t>:</w:t>
      </w:r>
    </w:p>
    <w:p w14:paraId="09D0447B" w14:textId="5C0B6F24" w:rsidR="00F1638D" w:rsidRPr="004A132D" w:rsidRDefault="00DF7DC4" w:rsidP="00561D0E">
      <w:pPr>
        <w:pStyle w:val="SingleTxtG"/>
        <w:numPr>
          <w:ilvl w:val="1"/>
          <w:numId w:val="1"/>
        </w:numPr>
        <w:spacing w:line="360" w:lineRule="auto"/>
        <w:rPr>
          <w:rFonts w:asciiTheme="minorHAnsi" w:hAnsiTheme="minorHAnsi"/>
          <w:sz w:val="24"/>
          <w:szCs w:val="24"/>
        </w:rPr>
      </w:pPr>
      <w:r w:rsidRPr="004A132D">
        <w:rPr>
          <w:rFonts w:asciiTheme="minorHAnsi" w:hAnsiTheme="minorHAnsi"/>
          <w:sz w:val="24"/>
          <w:szCs w:val="24"/>
        </w:rPr>
        <w:t xml:space="preserve">expanding the number of weeks available from </w:t>
      </w:r>
      <w:r w:rsidR="002F4C79" w:rsidRPr="004A132D">
        <w:rPr>
          <w:rFonts w:asciiTheme="minorHAnsi" w:hAnsiTheme="minorHAnsi"/>
          <w:sz w:val="24"/>
          <w:szCs w:val="24"/>
        </w:rPr>
        <w:t xml:space="preserve">20 weeks </w:t>
      </w:r>
      <w:r w:rsidR="00241C7A" w:rsidRPr="004A132D">
        <w:rPr>
          <w:rFonts w:asciiTheme="minorHAnsi" w:hAnsiTheme="minorHAnsi"/>
          <w:sz w:val="24"/>
          <w:szCs w:val="24"/>
          <w:lang w:val="en-AU"/>
        </w:rPr>
        <w:t xml:space="preserve">by </w:t>
      </w:r>
      <w:r w:rsidR="00520DF4" w:rsidRPr="004A132D">
        <w:rPr>
          <w:rFonts w:asciiTheme="minorHAnsi" w:hAnsiTheme="minorHAnsi"/>
          <w:sz w:val="24"/>
          <w:szCs w:val="24"/>
          <w:lang w:val="en-AU"/>
        </w:rPr>
        <w:t>2</w:t>
      </w:r>
      <w:r w:rsidR="00241C7A" w:rsidRPr="004A132D">
        <w:rPr>
          <w:rFonts w:asciiTheme="minorHAnsi" w:hAnsiTheme="minorHAnsi"/>
          <w:sz w:val="24"/>
          <w:szCs w:val="24"/>
          <w:lang w:val="en-AU"/>
        </w:rPr>
        <w:t xml:space="preserve"> weeks each year from 1 July 2024, until it reaches </w:t>
      </w:r>
      <w:r w:rsidR="002F4C79" w:rsidRPr="004A132D">
        <w:rPr>
          <w:rFonts w:asciiTheme="minorHAnsi" w:hAnsiTheme="minorHAnsi"/>
          <w:sz w:val="24"/>
          <w:szCs w:val="24"/>
        </w:rPr>
        <w:t xml:space="preserve">26 weeks per family </w:t>
      </w:r>
      <w:r w:rsidR="00241C7A" w:rsidRPr="004A132D">
        <w:rPr>
          <w:rFonts w:asciiTheme="minorHAnsi" w:hAnsiTheme="minorHAnsi"/>
          <w:sz w:val="24"/>
          <w:szCs w:val="24"/>
        </w:rPr>
        <w:t>from 1 July 2026</w:t>
      </w:r>
      <w:r w:rsidR="00E1219F" w:rsidRPr="004A132D">
        <w:rPr>
          <w:rFonts w:asciiTheme="minorHAnsi" w:hAnsiTheme="minorHAnsi"/>
          <w:sz w:val="24"/>
          <w:szCs w:val="24"/>
        </w:rPr>
        <w:t>;</w:t>
      </w:r>
    </w:p>
    <w:p w14:paraId="15DFD364" w14:textId="5907AA13" w:rsidR="00F1638D" w:rsidRPr="004A132D" w:rsidRDefault="00BA1BCF" w:rsidP="00561D0E">
      <w:pPr>
        <w:pStyle w:val="SingleTxtG"/>
        <w:numPr>
          <w:ilvl w:val="1"/>
          <w:numId w:val="1"/>
        </w:numPr>
        <w:spacing w:line="360" w:lineRule="auto"/>
        <w:rPr>
          <w:rFonts w:asciiTheme="minorHAnsi" w:hAnsiTheme="minorHAnsi"/>
          <w:sz w:val="24"/>
          <w:szCs w:val="24"/>
        </w:rPr>
      </w:pPr>
      <w:r w:rsidRPr="004A132D">
        <w:rPr>
          <w:rFonts w:asciiTheme="minorHAnsi" w:hAnsiTheme="minorHAnsi"/>
          <w:sz w:val="24"/>
          <w:szCs w:val="24"/>
        </w:rPr>
        <w:t xml:space="preserve">making the scheme </w:t>
      </w:r>
      <w:r w:rsidR="00566DE5" w:rsidRPr="004A132D">
        <w:rPr>
          <w:rFonts w:asciiTheme="minorHAnsi" w:hAnsiTheme="minorHAnsi"/>
          <w:sz w:val="24"/>
          <w:szCs w:val="24"/>
        </w:rPr>
        <w:t xml:space="preserve">more </w:t>
      </w:r>
      <w:r w:rsidRPr="004A132D">
        <w:rPr>
          <w:rFonts w:asciiTheme="minorHAnsi" w:hAnsiTheme="minorHAnsi"/>
          <w:sz w:val="24"/>
          <w:szCs w:val="24"/>
        </w:rPr>
        <w:t>gender neutral so either parent can claim</w:t>
      </w:r>
      <w:r w:rsidR="002E06BD" w:rsidRPr="004A132D">
        <w:rPr>
          <w:rFonts w:asciiTheme="minorHAnsi" w:hAnsiTheme="minorHAnsi"/>
          <w:sz w:val="24"/>
          <w:szCs w:val="24"/>
        </w:rPr>
        <w:t xml:space="preserve"> </w:t>
      </w:r>
      <w:r w:rsidR="00154181" w:rsidRPr="004A132D">
        <w:rPr>
          <w:rFonts w:asciiTheme="minorHAnsi" w:hAnsiTheme="minorHAnsi"/>
          <w:sz w:val="24"/>
          <w:szCs w:val="24"/>
        </w:rPr>
        <w:t>first</w:t>
      </w:r>
      <w:r w:rsidR="00E1219F" w:rsidRPr="004A132D">
        <w:rPr>
          <w:rFonts w:asciiTheme="minorHAnsi" w:hAnsiTheme="minorHAnsi"/>
          <w:sz w:val="24"/>
          <w:szCs w:val="24"/>
        </w:rPr>
        <w:t>;</w:t>
      </w:r>
    </w:p>
    <w:p w14:paraId="46BD595A" w14:textId="2F3467A3" w:rsidR="00B87DF6" w:rsidRPr="004A132D" w:rsidRDefault="00F1638D" w:rsidP="00050B20">
      <w:pPr>
        <w:pStyle w:val="SingleTxtG"/>
        <w:numPr>
          <w:ilvl w:val="1"/>
          <w:numId w:val="1"/>
        </w:numPr>
        <w:spacing w:line="360" w:lineRule="auto"/>
        <w:rPr>
          <w:rFonts w:asciiTheme="minorHAnsi" w:hAnsiTheme="minorHAnsi"/>
          <w:sz w:val="24"/>
          <w:szCs w:val="24"/>
        </w:rPr>
      </w:pPr>
      <w:r w:rsidRPr="004A132D">
        <w:rPr>
          <w:rFonts w:asciiTheme="minorHAnsi" w:hAnsiTheme="minorHAnsi"/>
          <w:sz w:val="24"/>
          <w:szCs w:val="24"/>
        </w:rPr>
        <w:t xml:space="preserve">introducing ‘reserved leave’ from 1 July 2026, which means that each parent will have 4 weeks of </w:t>
      </w:r>
      <w:r w:rsidR="00EC0960" w:rsidRPr="004A132D">
        <w:rPr>
          <w:rFonts w:asciiTheme="minorHAnsi" w:hAnsiTheme="minorHAnsi"/>
          <w:sz w:val="24"/>
          <w:szCs w:val="24"/>
        </w:rPr>
        <w:t>entitlement</w:t>
      </w:r>
      <w:r w:rsidRPr="004A132D">
        <w:rPr>
          <w:rFonts w:asciiTheme="minorHAnsi" w:hAnsiTheme="minorHAnsi"/>
          <w:sz w:val="24"/>
          <w:szCs w:val="24"/>
        </w:rPr>
        <w:t xml:space="preserve"> for their exclusive use, with the remaining 18 weeks available to be shared</w:t>
      </w:r>
      <w:r w:rsidR="00D109D6" w:rsidRPr="004A132D">
        <w:rPr>
          <w:rFonts w:asciiTheme="minorHAnsi" w:hAnsiTheme="minorHAnsi"/>
          <w:sz w:val="24"/>
          <w:szCs w:val="24"/>
        </w:rPr>
        <w:t>. Additionally</w:t>
      </w:r>
      <w:r w:rsidR="0001503B" w:rsidRPr="004A132D">
        <w:rPr>
          <w:rFonts w:asciiTheme="minorHAnsi" w:hAnsiTheme="minorHAnsi"/>
          <w:sz w:val="24"/>
          <w:szCs w:val="24"/>
        </w:rPr>
        <w:t xml:space="preserve">, the Government has committed to paying superannuation on its PPL scheme from 1 July 2025, subject to the passage of legislation, to help reduce the gendered gaps present in superannuation balances at the time of retirement and </w:t>
      </w:r>
      <w:r w:rsidR="00E85947" w:rsidRPr="004A132D">
        <w:rPr>
          <w:rFonts w:asciiTheme="minorHAnsi" w:hAnsiTheme="minorHAnsi"/>
          <w:sz w:val="24"/>
          <w:szCs w:val="24"/>
        </w:rPr>
        <w:t xml:space="preserve">to </w:t>
      </w:r>
      <w:r w:rsidR="0001503B" w:rsidRPr="004A132D">
        <w:rPr>
          <w:rFonts w:asciiTheme="minorHAnsi" w:hAnsiTheme="minorHAnsi"/>
          <w:sz w:val="24"/>
          <w:szCs w:val="24"/>
        </w:rPr>
        <w:t>signal that taking time out of paid work to care for children is a normal part of working life for both parents.</w:t>
      </w:r>
      <w:r w:rsidR="0001503B" w:rsidRPr="004A132D">
        <w:rPr>
          <w:rStyle w:val="FootnoteReference"/>
          <w:rFonts w:asciiTheme="minorHAnsi" w:hAnsiTheme="minorHAnsi"/>
          <w:sz w:val="24"/>
          <w:szCs w:val="24"/>
        </w:rPr>
        <w:footnoteReference w:id="10"/>
      </w:r>
    </w:p>
    <w:p w14:paraId="6919AA1C" w14:textId="4C7181E4" w:rsidR="00DF7DC4" w:rsidRDefault="00DF7DC4" w:rsidP="0002378E">
      <w:pPr>
        <w:pStyle w:val="Numbers"/>
        <w:tabs>
          <w:tab w:val="clear" w:pos="2835"/>
        </w:tabs>
        <w:ind w:left="1418"/>
        <w:rPr>
          <w:rFonts w:asciiTheme="minorHAnsi" w:hAnsiTheme="minorHAnsi"/>
        </w:rPr>
      </w:pPr>
      <w:r w:rsidRPr="004A132D">
        <w:rPr>
          <w:rFonts w:asciiTheme="minorHAnsi" w:hAnsiTheme="minorHAnsi"/>
        </w:rPr>
        <w:t xml:space="preserve">The Australian Government’s </w:t>
      </w:r>
      <w:r w:rsidR="00AC3A9D" w:rsidRPr="004A132D">
        <w:rPr>
          <w:rFonts w:asciiTheme="minorHAnsi" w:hAnsiTheme="minorHAnsi"/>
        </w:rPr>
        <w:t>PPL</w:t>
      </w:r>
      <w:r w:rsidRPr="004A132D">
        <w:rPr>
          <w:rFonts w:asciiTheme="minorHAnsi" w:hAnsiTheme="minorHAnsi"/>
        </w:rPr>
        <w:t xml:space="preserve"> scheme is provided in addition to employer</w:t>
      </w:r>
      <w:r w:rsidR="00D80131" w:rsidRPr="004A132D">
        <w:rPr>
          <w:rFonts w:asciiTheme="minorHAnsi" w:hAnsiTheme="minorHAnsi"/>
        </w:rPr>
        <w:noBreakHyphen/>
      </w:r>
      <w:r w:rsidRPr="004A132D">
        <w:rPr>
          <w:rFonts w:asciiTheme="minorHAnsi" w:hAnsiTheme="minorHAnsi"/>
        </w:rPr>
        <w:t>funded paid parental leave schemes operating through statutory entitlements, enterprise agreements and workplace policies. Employers ar</w:t>
      </w:r>
      <w:r w:rsidR="00E125F1" w:rsidRPr="004A132D">
        <w:rPr>
          <w:rFonts w:asciiTheme="minorHAnsi" w:hAnsiTheme="minorHAnsi"/>
        </w:rPr>
        <w:t>e building on the g</w:t>
      </w:r>
      <w:r w:rsidR="00AC3A9D" w:rsidRPr="004A132D">
        <w:rPr>
          <w:rFonts w:asciiTheme="minorHAnsi" w:hAnsiTheme="minorHAnsi"/>
        </w:rPr>
        <w:t>overnment’s PPL s</w:t>
      </w:r>
      <w:r w:rsidRPr="004A132D">
        <w:rPr>
          <w:rFonts w:asciiTheme="minorHAnsi" w:hAnsiTheme="minorHAnsi"/>
        </w:rPr>
        <w:t>cheme, with around 63</w:t>
      </w:r>
      <w:r w:rsidR="00621A4F" w:rsidRPr="004A132D">
        <w:rPr>
          <w:rFonts w:asciiTheme="minorHAnsi" w:hAnsiTheme="minorHAnsi"/>
        </w:rPr>
        <w:t xml:space="preserve"> per cent </w:t>
      </w:r>
      <w:r w:rsidRPr="004A132D">
        <w:rPr>
          <w:rFonts w:asciiTheme="minorHAnsi" w:hAnsiTheme="minorHAnsi"/>
        </w:rPr>
        <w:t>of Australian employers with 100 or more employees offering their own paid parental leave, 33</w:t>
      </w:r>
      <w:r w:rsidR="00621A4F" w:rsidRPr="004A132D">
        <w:rPr>
          <w:rFonts w:asciiTheme="minorHAnsi" w:hAnsiTheme="minorHAnsi"/>
        </w:rPr>
        <w:t xml:space="preserve"> per cent </w:t>
      </w:r>
      <w:r w:rsidRPr="004A132D">
        <w:rPr>
          <w:rFonts w:asciiTheme="minorHAnsi" w:hAnsiTheme="minorHAnsi"/>
        </w:rPr>
        <w:t xml:space="preserve">of these </w:t>
      </w:r>
      <w:r w:rsidR="00E85947" w:rsidRPr="004A132D">
        <w:rPr>
          <w:rFonts w:asciiTheme="minorHAnsi" w:hAnsiTheme="minorHAnsi"/>
        </w:rPr>
        <w:t>offer</w:t>
      </w:r>
      <w:r w:rsidRPr="004A132D">
        <w:rPr>
          <w:rFonts w:asciiTheme="minorHAnsi" w:hAnsiTheme="minorHAnsi"/>
        </w:rPr>
        <w:t xml:space="preserve"> paid parental leave </w:t>
      </w:r>
      <w:r w:rsidR="00621A4F" w:rsidRPr="004A132D">
        <w:rPr>
          <w:rFonts w:asciiTheme="minorHAnsi" w:hAnsiTheme="minorHAnsi"/>
        </w:rPr>
        <w:t xml:space="preserve">regardless of gender, while 86 per cent </w:t>
      </w:r>
      <w:r w:rsidRPr="004A132D">
        <w:rPr>
          <w:rFonts w:asciiTheme="minorHAnsi" w:hAnsiTheme="minorHAnsi"/>
        </w:rPr>
        <w:t>of employers who offer their own paid parental leave also pay superannuation on that leave.</w:t>
      </w:r>
    </w:p>
    <w:p w14:paraId="3990E02B" w14:textId="1CCF7DB0" w:rsidR="002714D4" w:rsidRPr="004A132D" w:rsidRDefault="002714D4" w:rsidP="006A40A0">
      <w:pPr>
        <w:pStyle w:val="Numbers"/>
        <w:numPr>
          <w:ilvl w:val="1"/>
          <w:numId w:val="1"/>
        </w:numPr>
        <w:tabs>
          <w:tab w:val="clear" w:pos="2835"/>
        </w:tabs>
        <w:rPr>
          <w:rFonts w:asciiTheme="minorHAnsi" w:hAnsiTheme="minorHAnsi"/>
        </w:rPr>
      </w:pPr>
      <w:r>
        <w:rPr>
          <w:rFonts w:asciiTheme="minorHAnsi" w:hAnsiTheme="minorHAnsi"/>
        </w:rPr>
        <w:lastRenderedPageBreak/>
        <w:t xml:space="preserve">Under the National Employment Standards, all employees in the national workplace relations system are entitled to unpaid parental leave and related entitlements. Each parent can take up to 12 months unpaid parental leave or up to 24 months if their employer agrees. This is not affected by how much leave their partner takes. </w:t>
      </w:r>
    </w:p>
    <w:p w14:paraId="189FDAE7" w14:textId="77777777" w:rsidR="00097499" w:rsidRPr="004A132D" w:rsidRDefault="00FD3AFA" w:rsidP="006F0B60">
      <w:pPr>
        <w:pStyle w:val="Heading2"/>
        <w:keepNext/>
      </w:pPr>
      <w:bookmarkStart w:id="15" w:name="_Toc174011662"/>
      <w:bookmarkStart w:id="16" w:name="_Toc175556757"/>
      <w:r w:rsidRPr="004A132D">
        <w:t xml:space="preserve">Question 3: </w:t>
      </w:r>
      <w:r w:rsidR="00135CB2" w:rsidRPr="004A132D">
        <w:t>Legislative amendments following previous concluding observations</w:t>
      </w:r>
      <w:bookmarkEnd w:id="15"/>
      <w:bookmarkEnd w:id="16"/>
      <w:r w:rsidR="00135CB2" w:rsidRPr="004A132D">
        <w:t xml:space="preserve"> </w:t>
      </w:r>
    </w:p>
    <w:p w14:paraId="479D8484" w14:textId="7771FF6B" w:rsidR="00CE59D9" w:rsidRPr="004A132D" w:rsidRDefault="0010547F" w:rsidP="0002378E">
      <w:pPr>
        <w:pStyle w:val="Numbers"/>
        <w:tabs>
          <w:tab w:val="clear" w:pos="2835"/>
        </w:tabs>
        <w:ind w:left="1418"/>
        <w:rPr>
          <w:rFonts w:asciiTheme="minorHAnsi" w:hAnsiTheme="minorHAnsi"/>
        </w:rPr>
      </w:pPr>
      <w:r w:rsidRPr="004A132D">
        <w:rPr>
          <w:rFonts w:asciiTheme="minorHAnsi" w:hAnsiTheme="minorHAnsi"/>
        </w:rPr>
        <w:t>Since</w:t>
      </w:r>
      <w:r w:rsidR="00403AED" w:rsidRPr="004A132D">
        <w:rPr>
          <w:rFonts w:asciiTheme="minorHAnsi" w:hAnsiTheme="minorHAnsi"/>
        </w:rPr>
        <w:t xml:space="preserve"> submission of</w:t>
      </w:r>
      <w:r w:rsidRPr="004A132D">
        <w:rPr>
          <w:rFonts w:asciiTheme="minorHAnsi" w:hAnsiTheme="minorHAnsi"/>
        </w:rPr>
        <w:t xml:space="preserve"> Australia’s </w:t>
      </w:r>
      <w:r w:rsidR="00093D56" w:rsidRPr="004A132D">
        <w:rPr>
          <w:rFonts w:asciiTheme="minorHAnsi" w:hAnsiTheme="minorHAnsi"/>
        </w:rPr>
        <w:t>eighth</w:t>
      </w:r>
      <w:r w:rsidR="00F80E84">
        <w:rPr>
          <w:rFonts w:asciiTheme="minorHAnsi" w:hAnsiTheme="minorHAnsi"/>
        </w:rPr>
        <w:t xml:space="preserve"> p</w:t>
      </w:r>
      <w:r w:rsidR="00403AED" w:rsidRPr="004A132D">
        <w:rPr>
          <w:rFonts w:asciiTheme="minorHAnsi" w:hAnsiTheme="minorHAnsi"/>
        </w:rPr>
        <w:t xml:space="preserve">eriodic </w:t>
      </w:r>
      <w:r w:rsidR="00F80E84">
        <w:rPr>
          <w:rFonts w:asciiTheme="minorHAnsi" w:hAnsiTheme="minorHAnsi"/>
        </w:rPr>
        <w:t>r</w:t>
      </w:r>
      <w:r w:rsidR="00403AED" w:rsidRPr="004A132D">
        <w:rPr>
          <w:rFonts w:asciiTheme="minorHAnsi" w:hAnsiTheme="minorHAnsi"/>
        </w:rPr>
        <w:t xml:space="preserve">eport </w:t>
      </w:r>
      <w:r w:rsidR="00D65112" w:rsidRPr="004A132D">
        <w:rPr>
          <w:rFonts w:asciiTheme="minorHAnsi" w:hAnsiTheme="minorHAnsi"/>
        </w:rPr>
        <w:t>in 2016</w:t>
      </w:r>
      <w:r w:rsidRPr="004A132D">
        <w:rPr>
          <w:rFonts w:asciiTheme="minorHAnsi" w:hAnsiTheme="minorHAnsi"/>
        </w:rPr>
        <w:t>, a number of legislative reforms have had a positive impact on women’s rights and gender equality.</w:t>
      </w:r>
      <w:r w:rsidR="009E42AC" w:rsidRPr="004A132D">
        <w:rPr>
          <w:rFonts w:asciiTheme="minorHAnsi" w:hAnsiTheme="minorHAnsi"/>
        </w:rPr>
        <w:t xml:space="preserve"> </w:t>
      </w:r>
    </w:p>
    <w:p w14:paraId="00F1A96D" w14:textId="0D6C1FAA" w:rsidR="00864531" w:rsidRPr="004A132D" w:rsidRDefault="00864531" w:rsidP="0002378E">
      <w:pPr>
        <w:pStyle w:val="Numbers"/>
        <w:tabs>
          <w:tab w:val="clear" w:pos="2835"/>
        </w:tabs>
        <w:ind w:left="1418"/>
        <w:rPr>
          <w:rFonts w:asciiTheme="minorHAnsi" w:hAnsiTheme="minorHAnsi"/>
        </w:rPr>
      </w:pPr>
      <w:r w:rsidRPr="004A132D">
        <w:rPr>
          <w:rFonts w:asciiTheme="minorHAnsi" w:hAnsiTheme="minorHAnsi"/>
        </w:rPr>
        <w:t>In</w:t>
      </w:r>
      <w:r w:rsidR="009057D9" w:rsidRPr="004A132D">
        <w:rPr>
          <w:rFonts w:asciiTheme="minorHAnsi" w:hAnsiTheme="minorHAnsi"/>
        </w:rPr>
        <w:t xml:space="preserve"> 2017, the </w:t>
      </w:r>
      <w:r w:rsidR="009057D9" w:rsidRPr="004A132D">
        <w:rPr>
          <w:rFonts w:asciiTheme="minorHAnsi" w:hAnsiTheme="minorHAnsi"/>
          <w:i/>
        </w:rPr>
        <w:t>Marriage Act 1961 (Cth)</w:t>
      </w:r>
      <w:r w:rsidR="009057D9" w:rsidRPr="004A132D">
        <w:rPr>
          <w:rFonts w:asciiTheme="minorHAnsi" w:hAnsiTheme="minorHAnsi"/>
        </w:rPr>
        <w:t xml:space="preserve"> </w:t>
      </w:r>
      <w:r w:rsidR="000E2B9D" w:rsidRPr="004A132D">
        <w:rPr>
          <w:rFonts w:asciiTheme="minorHAnsi" w:hAnsiTheme="minorHAnsi"/>
        </w:rPr>
        <w:t xml:space="preserve">(Marriage Act) </w:t>
      </w:r>
      <w:r w:rsidR="009057D9" w:rsidRPr="004A132D">
        <w:rPr>
          <w:rFonts w:asciiTheme="minorHAnsi" w:hAnsiTheme="minorHAnsi"/>
        </w:rPr>
        <w:t xml:space="preserve">was amended to </w:t>
      </w:r>
      <w:r w:rsidRPr="004A132D">
        <w:rPr>
          <w:rFonts w:asciiTheme="minorHAnsi" w:hAnsiTheme="minorHAnsi"/>
        </w:rPr>
        <w:t>enable same</w:t>
      </w:r>
      <w:r w:rsidR="00D80131" w:rsidRPr="004A132D">
        <w:rPr>
          <w:rFonts w:asciiTheme="minorHAnsi" w:hAnsiTheme="minorHAnsi"/>
        </w:rPr>
        <w:noBreakHyphen/>
      </w:r>
      <w:r w:rsidRPr="004A132D">
        <w:rPr>
          <w:rFonts w:asciiTheme="minorHAnsi" w:hAnsiTheme="minorHAnsi"/>
        </w:rPr>
        <w:t>sex couples to legally marry in Australia</w:t>
      </w:r>
      <w:r w:rsidR="009057D9" w:rsidRPr="004A132D">
        <w:rPr>
          <w:rFonts w:asciiTheme="minorHAnsi" w:hAnsiTheme="minorHAnsi"/>
        </w:rPr>
        <w:t>. The right to marry in Australia is no longer determined by sex or gender.</w:t>
      </w:r>
      <w:r w:rsidR="00AA3C24" w:rsidRPr="004A132D">
        <w:rPr>
          <w:rFonts w:asciiTheme="minorHAnsi" w:hAnsiTheme="minorHAnsi"/>
        </w:rPr>
        <w:t xml:space="preserve"> </w:t>
      </w:r>
      <w:r w:rsidRPr="004A132D">
        <w:rPr>
          <w:rFonts w:asciiTheme="minorHAnsi" w:hAnsiTheme="minorHAnsi"/>
        </w:rPr>
        <w:t>Same-sex marriages represented 6</w:t>
      </w:r>
      <w:r w:rsidR="00621A4F" w:rsidRPr="004A132D">
        <w:rPr>
          <w:rFonts w:asciiTheme="minorHAnsi" w:hAnsiTheme="minorHAnsi"/>
        </w:rPr>
        <w:t xml:space="preserve"> per cent </w:t>
      </w:r>
      <w:r w:rsidR="00AA3C24" w:rsidRPr="004A132D">
        <w:rPr>
          <w:rFonts w:asciiTheme="minorHAnsi" w:hAnsiTheme="minorHAnsi"/>
        </w:rPr>
        <w:t xml:space="preserve">of all marriages in 2018, </w:t>
      </w:r>
      <w:r w:rsidRPr="004A132D">
        <w:rPr>
          <w:rFonts w:asciiTheme="minorHAnsi" w:hAnsiTheme="minorHAnsi"/>
        </w:rPr>
        <w:t>5</w:t>
      </w:r>
      <w:r w:rsidR="00621A4F" w:rsidRPr="004A132D">
        <w:rPr>
          <w:rFonts w:asciiTheme="minorHAnsi" w:hAnsiTheme="minorHAnsi"/>
        </w:rPr>
        <w:t xml:space="preserve"> per cent </w:t>
      </w:r>
      <w:r w:rsidRPr="004A132D">
        <w:rPr>
          <w:rFonts w:asciiTheme="minorHAnsi" w:hAnsiTheme="minorHAnsi"/>
        </w:rPr>
        <w:t>in 2019, 4</w:t>
      </w:r>
      <w:r w:rsidR="00621A4F" w:rsidRPr="004A132D">
        <w:rPr>
          <w:rFonts w:asciiTheme="minorHAnsi" w:hAnsiTheme="minorHAnsi"/>
        </w:rPr>
        <w:t xml:space="preserve"> per cent </w:t>
      </w:r>
      <w:r w:rsidRPr="004A132D">
        <w:rPr>
          <w:rFonts w:asciiTheme="minorHAnsi" w:hAnsiTheme="minorHAnsi"/>
        </w:rPr>
        <w:t>in 2020 and 3</w:t>
      </w:r>
      <w:r w:rsidR="00621A4F" w:rsidRPr="004A132D">
        <w:rPr>
          <w:rFonts w:asciiTheme="minorHAnsi" w:hAnsiTheme="minorHAnsi"/>
        </w:rPr>
        <w:t xml:space="preserve"> per cent</w:t>
      </w:r>
      <w:r w:rsidRPr="004A132D">
        <w:rPr>
          <w:rFonts w:asciiTheme="minorHAnsi" w:hAnsiTheme="minorHAnsi"/>
        </w:rPr>
        <w:t xml:space="preserve"> in 2021.</w:t>
      </w:r>
      <w:r w:rsidRPr="004A132D">
        <w:rPr>
          <w:rStyle w:val="FootnoteReference"/>
          <w:rFonts w:asciiTheme="minorHAnsi" w:hAnsiTheme="minorHAnsi"/>
        </w:rPr>
        <w:footnoteReference w:id="11"/>
      </w:r>
    </w:p>
    <w:p w14:paraId="51FD7C89" w14:textId="77777777" w:rsidR="008D13BC" w:rsidRPr="004A132D" w:rsidRDefault="00C178CB" w:rsidP="0002378E">
      <w:pPr>
        <w:pStyle w:val="Numbers"/>
        <w:tabs>
          <w:tab w:val="clear" w:pos="2835"/>
        </w:tabs>
        <w:ind w:left="1418"/>
        <w:rPr>
          <w:rFonts w:asciiTheme="minorHAnsi" w:hAnsiTheme="minorHAnsi"/>
        </w:rPr>
      </w:pPr>
      <w:r w:rsidRPr="004A132D">
        <w:rPr>
          <w:rFonts w:asciiTheme="minorHAnsi" w:hAnsiTheme="minorHAnsi"/>
        </w:rPr>
        <w:t>The</w:t>
      </w:r>
      <w:r w:rsidR="00C63967" w:rsidRPr="004A132D">
        <w:rPr>
          <w:rFonts w:asciiTheme="minorHAnsi" w:hAnsiTheme="minorHAnsi"/>
        </w:rPr>
        <w:t xml:space="preserve"> </w:t>
      </w:r>
      <w:r w:rsidR="00C63967" w:rsidRPr="004A132D">
        <w:rPr>
          <w:rFonts w:asciiTheme="minorHAnsi" w:hAnsiTheme="minorHAnsi"/>
          <w:i/>
        </w:rPr>
        <w:t>Crimes (Domestic and Personal Violence) Act 2007</w:t>
      </w:r>
      <w:r w:rsidR="00C63967" w:rsidRPr="004A132D">
        <w:rPr>
          <w:rFonts w:asciiTheme="minorHAnsi" w:hAnsiTheme="minorHAnsi"/>
        </w:rPr>
        <w:t xml:space="preserve"> (NSW) </w:t>
      </w:r>
      <w:r w:rsidRPr="004A132D">
        <w:rPr>
          <w:rFonts w:asciiTheme="minorHAnsi" w:hAnsiTheme="minorHAnsi"/>
        </w:rPr>
        <w:t>has undergone a series of amendments to</w:t>
      </w:r>
      <w:r w:rsidR="00E02FE7" w:rsidRPr="004A132D">
        <w:rPr>
          <w:rFonts w:asciiTheme="minorHAnsi" w:hAnsiTheme="minorHAnsi"/>
        </w:rPr>
        <w:t xml:space="preserve"> ensure the</w:t>
      </w:r>
      <w:r w:rsidR="00C63967" w:rsidRPr="004A132D">
        <w:rPr>
          <w:rFonts w:asciiTheme="minorHAnsi" w:hAnsiTheme="minorHAnsi"/>
        </w:rPr>
        <w:t xml:space="preserve"> safety and protection of victim-survivors in domestic violence situations are at the forefront of police response</w:t>
      </w:r>
      <w:r w:rsidR="00864531" w:rsidRPr="004A132D">
        <w:rPr>
          <w:rFonts w:asciiTheme="minorHAnsi" w:hAnsiTheme="minorHAnsi"/>
        </w:rPr>
        <w:t>.</w:t>
      </w:r>
      <w:r w:rsidR="008D13BC" w:rsidRPr="004A132D">
        <w:rPr>
          <w:rFonts w:asciiTheme="minorHAnsi" w:hAnsiTheme="minorHAnsi"/>
        </w:rPr>
        <w:t xml:space="preserve"> From 2018 to 2020, amendments were made to:</w:t>
      </w:r>
    </w:p>
    <w:p w14:paraId="049F679F" w14:textId="67A16B87" w:rsidR="008D13BC" w:rsidRPr="004A132D" w:rsidRDefault="008D13BC" w:rsidP="00561D0E">
      <w:pPr>
        <w:pStyle w:val="SingleTxtG"/>
        <w:numPr>
          <w:ilvl w:val="1"/>
          <w:numId w:val="1"/>
        </w:numPr>
        <w:spacing w:line="360" w:lineRule="auto"/>
        <w:rPr>
          <w:rFonts w:asciiTheme="minorHAnsi" w:hAnsiTheme="minorHAnsi"/>
          <w:sz w:val="24"/>
          <w:szCs w:val="24"/>
        </w:rPr>
      </w:pPr>
      <w:r w:rsidRPr="004A132D">
        <w:rPr>
          <w:rFonts w:asciiTheme="minorHAnsi" w:hAnsiTheme="minorHAnsi"/>
          <w:sz w:val="24"/>
          <w:szCs w:val="24"/>
        </w:rPr>
        <w:t>extend the default duration of Apprehended Personal Violence Orders (</w:t>
      </w:r>
      <w:r w:rsidR="004809BD" w:rsidRPr="004A132D">
        <w:rPr>
          <w:rFonts w:asciiTheme="minorHAnsi" w:hAnsiTheme="minorHAnsi"/>
          <w:sz w:val="24"/>
          <w:szCs w:val="24"/>
        </w:rPr>
        <w:t>A</w:t>
      </w:r>
      <w:r w:rsidR="004809BD">
        <w:rPr>
          <w:rFonts w:asciiTheme="minorHAnsi" w:hAnsiTheme="minorHAnsi"/>
          <w:sz w:val="24"/>
          <w:szCs w:val="24"/>
        </w:rPr>
        <w:t>P</w:t>
      </w:r>
      <w:r w:rsidR="004809BD" w:rsidRPr="004A132D">
        <w:rPr>
          <w:rFonts w:asciiTheme="minorHAnsi" w:hAnsiTheme="minorHAnsi"/>
          <w:sz w:val="24"/>
          <w:szCs w:val="24"/>
        </w:rPr>
        <w:t>VOs</w:t>
      </w:r>
      <w:r w:rsidRPr="004A132D">
        <w:rPr>
          <w:rFonts w:asciiTheme="minorHAnsi" w:hAnsiTheme="minorHAnsi"/>
          <w:sz w:val="24"/>
          <w:szCs w:val="24"/>
        </w:rPr>
        <w:t xml:space="preserve">) from one year to </w:t>
      </w:r>
      <w:r w:rsidR="00520DF4" w:rsidRPr="004A132D">
        <w:rPr>
          <w:rFonts w:asciiTheme="minorHAnsi" w:hAnsiTheme="minorHAnsi"/>
          <w:sz w:val="24"/>
          <w:szCs w:val="24"/>
        </w:rPr>
        <w:t>2</w:t>
      </w:r>
      <w:r w:rsidRPr="004A132D">
        <w:rPr>
          <w:rFonts w:asciiTheme="minorHAnsi" w:hAnsiTheme="minorHAnsi"/>
          <w:sz w:val="24"/>
          <w:szCs w:val="24"/>
        </w:rPr>
        <w:t xml:space="preserve"> years (s 79A);</w:t>
      </w:r>
    </w:p>
    <w:p w14:paraId="7256E127" w14:textId="5DC964AE" w:rsidR="008D13BC" w:rsidRPr="004A132D" w:rsidRDefault="008D13BC" w:rsidP="00561D0E">
      <w:pPr>
        <w:pStyle w:val="SingleTxtG"/>
        <w:numPr>
          <w:ilvl w:val="1"/>
          <w:numId w:val="1"/>
        </w:numPr>
        <w:spacing w:line="360" w:lineRule="auto"/>
        <w:rPr>
          <w:rFonts w:asciiTheme="minorHAnsi" w:hAnsiTheme="minorHAnsi"/>
          <w:sz w:val="24"/>
          <w:szCs w:val="24"/>
        </w:rPr>
      </w:pPr>
      <w:r w:rsidRPr="004A132D">
        <w:rPr>
          <w:rFonts w:asciiTheme="minorHAnsi" w:hAnsiTheme="minorHAnsi"/>
          <w:sz w:val="24"/>
          <w:szCs w:val="24"/>
        </w:rPr>
        <w:t xml:space="preserve">clarify that </w:t>
      </w:r>
      <w:r w:rsidR="004809BD">
        <w:rPr>
          <w:rFonts w:asciiTheme="minorHAnsi" w:hAnsiTheme="minorHAnsi"/>
          <w:sz w:val="24"/>
          <w:szCs w:val="24"/>
        </w:rPr>
        <w:t>Apprehended Domestic Violence Orders (</w:t>
      </w:r>
      <w:r w:rsidRPr="004A132D">
        <w:rPr>
          <w:rFonts w:asciiTheme="minorHAnsi" w:hAnsiTheme="minorHAnsi"/>
          <w:sz w:val="24"/>
          <w:szCs w:val="24"/>
        </w:rPr>
        <w:t>ADVOs</w:t>
      </w:r>
      <w:r w:rsidR="004809BD">
        <w:rPr>
          <w:rFonts w:asciiTheme="minorHAnsi" w:hAnsiTheme="minorHAnsi"/>
          <w:sz w:val="24"/>
          <w:szCs w:val="24"/>
        </w:rPr>
        <w:t>)</w:t>
      </w:r>
      <w:r w:rsidRPr="004A132D">
        <w:rPr>
          <w:rFonts w:asciiTheme="minorHAnsi" w:hAnsiTheme="minorHAnsi"/>
          <w:sz w:val="24"/>
          <w:szCs w:val="24"/>
        </w:rPr>
        <w:t xml:space="preserve"> may be sought and made for an indefinite duration in severe cases (s 79B);</w:t>
      </w:r>
    </w:p>
    <w:p w14:paraId="0A087D52" w14:textId="5818AF70" w:rsidR="008D13BC" w:rsidRPr="004A132D" w:rsidRDefault="008D13BC" w:rsidP="00561D0E">
      <w:pPr>
        <w:pStyle w:val="SingleTxtG"/>
        <w:numPr>
          <w:ilvl w:val="1"/>
          <w:numId w:val="1"/>
        </w:numPr>
        <w:spacing w:line="360" w:lineRule="auto"/>
        <w:rPr>
          <w:rFonts w:asciiTheme="minorHAnsi" w:hAnsiTheme="minorHAnsi"/>
          <w:sz w:val="24"/>
          <w:szCs w:val="24"/>
        </w:rPr>
      </w:pPr>
      <w:r w:rsidRPr="004A132D">
        <w:rPr>
          <w:rFonts w:asciiTheme="minorHAnsi" w:hAnsiTheme="minorHAnsi"/>
          <w:sz w:val="24"/>
          <w:szCs w:val="24"/>
        </w:rPr>
        <w:t xml:space="preserve">require ADVOs to be made against adult offenders sentenced to a prison term with a duration </w:t>
      </w:r>
      <w:r w:rsidR="00520DF4" w:rsidRPr="004A132D">
        <w:rPr>
          <w:rFonts w:asciiTheme="minorHAnsi" w:hAnsiTheme="minorHAnsi"/>
          <w:sz w:val="24"/>
          <w:szCs w:val="24"/>
        </w:rPr>
        <w:t>2</w:t>
      </w:r>
      <w:r w:rsidRPr="004A132D">
        <w:rPr>
          <w:rFonts w:asciiTheme="minorHAnsi" w:hAnsiTheme="minorHAnsi"/>
          <w:sz w:val="24"/>
          <w:szCs w:val="24"/>
        </w:rPr>
        <w:t xml:space="preserve"> years longer than their prison sentence (s 39(2A) and (2C));</w:t>
      </w:r>
    </w:p>
    <w:p w14:paraId="02BC78DA" w14:textId="77777777" w:rsidR="008D13BC" w:rsidRPr="004A132D" w:rsidRDefault="008D13BC" w:rsidP="00561D0E">
      <w:pPr>
        <w:pStyle w:val="SingleTxtG"/>
        <w:numPr>
          <w:ilvl w:val="1"/>
          <w:numId w:val="1"/>
        </w:numPr>
        <w:spacing w:line="360" w:lineRule="auto"/>
        <w:rPr>
          <w:rFonts w:asciiTheme="minorHAnsi" w:hAnsiTheme="minorHAnsi"/>
          <w:sz w:val="24"/>
          <w:szCs w:val="24"/>
        </w:rPr>
      </w:pPr>
      <w:r w:rsidRPr="004A132D">
        <w:rPr>
          <w:rFonts w:asciiTheme="minorHAnsi" w:hAnsiTheme="minorHAnsi"/>
          <w:sz w:val="24"/>
          <w:szCs w:val="24"/>
        </w:rPr>
        <w:t>expressly provide for the matters that the court is to consider when determining the duration of an ADVO (s 79A(3)); and</w:t>
      </w:r>
    </w:p>
    <w:p w14:paraId="1374F04E" w14:textId="220DD8F0" w:rsidR="008D13BC" w:rsidRPr="004A132D" w:rsidRDefault="008D13BC" w:rsidP="00561D0E">
      <w:pPr>
        <w:pStyle w:val="SingleTxtG"/>
        <w:numPr>
          <w:ilvl w:val="1"/>
          <w:numId w:val="1"/>
        </w:numPr>
        <w:spacing w:line="360" w:lineRule="auto"/>
        <w:rPr>
          <w:rFonts w:asciiTheme="minorHAnsi" w:hAnsiTheme="minorHAnsi"/>
          <w:sz w:val="24"/>
          <w:szCs w:val="24"/>
        </w:rPr>
      </w:pPr>
      <w:r w:rsidRPr="004A132D">
        <w:rPr>
          <w:rFonts w:asciiTheme="minorHAnsi" w:hAnsiTheme="minorHAnsi"/>
          <w:sz w:val="24"/>
          <w:szCs w:val="24"/>
        </w:rPr>
        <w:lastRenderedPageBreak/>
        <w:t xml:space="preserve">clarify police powers to vary </w:t>
      </w:r>
      <w:r w:rsidR="004809BD">
        <w:rPr>
          <w:rFonts w:asciiTheme="minorHAnsi" w:hAnsiTheme="minorHAnsi"/>
          <w:sz w:val="24"/>
          <w:szCs w:val="24"/>
        </w:rPr>
        <w:t>Apprehended Violence Orders</w:t>
      </w:r>
      <w:r w:rsidRPr="004A132D">
        <w:rPr>
          <w:rFonts w:asciiTheme="minorHAnsi" w:hAnsiTheme="minorHAnsi"/>
          <w:sz w:val="24"/>
          <w:szCs w:val="24"/>
        </w:rPr>
        <w:t xml:space="preserve"> conditions in urgent circumstances (various provisions under Part 7 (s 27(3A), 28B, 29, 32(1)(c), 33(1)(b) and 33A(1)).</w:t>
      </w:r>
      <w:r w:rsidRPr="004A132D">
        <w:rPr>
          <w:rStyle w:val="FootnoteReference"/>
          <w:rFonts w:asciiTheme="minorHAnsi" w:hAnsiTheme="minorHAnsi"/>
          <w:sz w:val="24"/>
          <w:szCs w:val="24"/>
        </w:rPr>
        <w:footnoteReference w:id="12"/>
      </w:r>
      <w:r w:rsidRPr="004A132D">
        <w:rPr>
          <w:rFonts w:asciiTheme="minorHAnsi" w:hAnsiTheme="minorHAnsi"/>
          <w:sz w:val="24"/>
          <w:szCs w:val="24"/>
        </w:rPr>
        <w:t xml:space="preserve"> </w:t>
      </w:r>
    </w:p>
    <w:p w14:paraId="0833A128" w14:textId="36D2872C" w:rsidR="00825918" w:rsidRPr="004A132D" w:rsidRDefault="00825918" w:rsidP="00700EF8">
      <w:pPr>
        <w:ind w:left="1440" w:firstLine="720"/>
        <w:rPr>
          <w:rFonts w:cs="Times New Roman"/>
        </w:rPr>
      </w:pPr>
      <w:r w:rsidRPr="004A132D">
        <w:rPr>
          <w:rFonts w:cs="Times New Roman"/>
        </w:rPr>
        <w:t xml:space="preserve">These </w:t>
      </w:r>
      <w:r w:rsidR="00E85947" w:rsidRPr="004A132D">
        <w:rPr>
          <w:rFonts w:cs="Times New Roman"/>
        </w:rPr>
        <w:t xml:space="preserve">reforms </w:t>
      </w:r>
      <w:r w:rsidRPr="004A132D">
        <w:rPr>
          <w:rFonts w:cs="Times New Roman"/>
        </w:rPr>
        <w:t xml:space="preserve">commenced between March 2020 and March 2021. </w:t>
      </w:r>
    </w:p>
    <w:p w14:paraId="3FBA2438" w14:textId="77777777" w:rsidR="00825918" w:rsidRPr="004A132D" w:rsidRDefault="00825918" w:rsidP="00825918">
      <w:pPr>
        <w:ind w:left="633"/>
        <w:rPr>
          <w:rFonts w:cs="Times New Roman"/>
        </w:rPr>
      </w:pPr>
    </w:p>
    <w:p w14:paraId="630C4405" w14:textId="653BEA55" w:rsidR="003A561A" w:rsidRPr="004A132D" w:rsidRDefault="00825918" w:rsidP="0002378E">
      <w:pPr>
        <w:pStyle w:val="Numbers"/>
        <w:tabs>
          <w:tab w:val="clear" w:pos="2835"/>
        </w:tabs>
        <w:ind w:left="1418"/>
        <w:rPr>
          <w:rFonts w:asciiTheme="minorHAnsi" w:hAnsiTheme="minorHAnsi"/>
        </w:rPr>
      </w:pPr>
      <w:r w:rsidRPr="004A132D">
        <w:rPr>
          <w:rFonts w:asciiTheme="minorHAnsi" w:hAnsiTheme="minorHAnsi"/>
        </w:rPr>
        <w:t xml:space="preserve">Following </w:t>
      </w:r>
      <w:r w:rsidR="00E85947" w:rsidRPr="004A132D">
        <w:rPr>
          <w:rFonts w:asciiTheme="minorHAnsi" w:hAnsiTheme="minorHAnsi"/>
        </w:rPr>
        <w:t>the</w:t>
      </w:r>
      <w:r w:rsidRPr="004A132D">
        <w:rPr>
          <w:rFonts w:asciiTheme="minorHAnsi" w:hAnsiTheme="minorHAnsi"/>
        </w:rPr>
        <w:t xml:space="preserve"> reforms to ADVO duration, the NSW Bureau of</w:t>
      </w:r>
      <w:r w:rsidR="00E85947" w:rsidRPr="004A132D">
        <w:rPr>
          <w:rFonts w:asciiTheme="minorHAnsi" w:hAnsiTheme="minorHAnsi"/>
        </w:rPr>
        <w:t xml:space="preserve"> Crime Statistics and Research</w:t>
      </w:r>
      <w:r w:rsidRPr="004A132D">
        <w:rPr>
          <w:rFonts w:asciiTheme="minorHAnsi" w:hAnsiTheme="minorHAnsi"/>
          <w:b/>
          <w:bCs/>
        </w:rPr>
        <w:t xml:space="preserve"> </w:t>
      </w:r>
      <w:r w:rsidRPr="004A132D">
        <w:rPr>
          <w:rFonts w:asciiTheme="minorHAnsi" w:hAnsiTheme="minorHAnsi"/>
        </w:rPr>
        <w:t>released a report in November 2023 on the impact of ADVO duration on offending and breaches.</w:t>
      </w:r>
      <w:r w:rsidRPr="004A132D">
        <w:rPr>
          <w:rStyle w:val="FootnoteReference"/>
          <w:rFonts w:asciiTheme="minorHAnsi" w:hAnsiTheme="minorHAnsi"/>
        </w:rPr>
        <w:footnoteReference w:id="13"/>
      </w:r>
      <w:r w:rsidRPr="004A132D">
        <w:rPr>
          <w:rFonts w:asciiTheme="minorHAnsi" w:hAnsiTheme="minorHAnsi"/>
        </w:rPr>
        <w:t xml:space="preserve"> </w:t>
      </w:r>
    </w:p>
    <w:p w14:paraId="689A5F30" w14:textId="27B3008E" w:rsidR="003A561A" w:rsidRPr="004A132D" w:rsidRDefault="00443D34" w:rsidP="0002378E">
      <w:pPr>
        <w:pStyle w:val="Numbers"/>
        <w:tabs>
          <w:tab w:val="clear" w:pos="2835"/>
        </w:tabs>
        <w:ind w:left="1418"/>
        <w:rPr>
          <w:rFonts w:asciiTheme="minorHAnsi" w:hAnsiTheme="minorHAnsi"/>
        </w:rPr>
      </w:pPr>
      <w:r w:rsidRPr="004A132D">
        <w:rPr>
          <w:rFonts w:asciiTheme="minorHAnsi" w:hAnsiTheme="minorHAnsi"/>
        </w:rPr>
        <w:t xml:space="preserve">In 2022, as part of the reforms made by the </w:t>
      </w:r>
      <w:r w:rsidRPr="004A132D">
        <w:rPr>
          <w:rFonts w:asciiTheme="minorHAnsi" w:hAnsiTheme="minorHAnsi"/>
          <w:i/>
        </w:rPr>
        <w:t>Crimes Legislation Amendment (Coercive Control) Act 2022</w:t>
      </w:r>
      <w:r w:rsidRPr="004A132D">
        <w:rPr>
          <w:rFonts w:asciiTheme="minorHAnsi" w:hAnsiTheme="minorHAnsi"/>
        </w:rPr>
        <w:t xml:space="preserve"> (NSW), a statutory definition of “domestic abuse” was introduced into the </w:t>
      </w:r>
      <w:r w:rsidRPr="004A132D">
        <w:rPr>
          <w:rFonts w:asciiTheme="minorHAnsi" w:hAnsiTheme="minorHAnsi"/>
          <w:i/>
        </w:rPr>
        <w:t>Crimes (Domestic and Personal Violence) Act 2007</w:t>
      </w:r>
      <w:r w:rsidRPr="004A132D">
        <w:rPr>
          <w:rFonts w:asciiTheme="minorHAnsi" w:hAnsiTheme="minorHAnsi"/>
        </w:rPr>
        <w:t xml:space="preserve"> (NSW) as section 6A. </w:t>
      </w:r>
      <w:r w:rsidR="00DC10B3" w:rsidRPr="004A132D">
        <w:rPr>
          <w:rFonts w:asciiTheme="minorHAnsi" w:hAnsiTheme="minorHAnsi"/>
        </w:rPr>
        <w:t>‘</w:t>
      </w:r>
      <w:r w:rsidRPr="004A132D">
        <w:rPr>
          <w:rFonts w:asciiTheme="minorHAnsi" w:hAnsiTheme="minorHAnsi"/>
        </w:rPr>
        <w:t>Domestic abuse</w:t>
      </w:r>
      <w:r w:rsidR="00DC10B3" w:rsidRPr="004A132D">
        <w:rPr>
          <w:rFonts w:asciiTheme="minorHAnsi" w:hAnsiTheme="minorHAnsi"/>
        </w:rPr>
        <w:t>’</w:t>
      </w:r>
      <w:r w:rsidRPr="004A132D">
        <w:rPr>
          <w:rFonts w:asciiTheme="minorHAnsi" w:hAnsiTheme="minorHAnsi"/>
        </w:rPr>
        <w:t xml:space="preserve"> is defined as any behaviour by a person directed against another person with whom they have a domestic relationship that is violent or threatening behaviour, behaviour that coerces or controls the second person, or behaviour that causes the second person to fear for their safety or wellbeing or the safety or wellbeing of another person. </w:t>
      </w:r>
    </w:p>
    <w:p w14:paraId="05429972" w14:textId="639CE5CF" w:rsidR="0027266B" w:rsidRPr="004A132D" w:rsidRDefault="00A42876" w:rsidP="0002378E">
      <w:pPr>
        <w:pStyle w:val="Numbers"/>
        <w:tabs>
          <w:tab w:val="clear" w:pos="2835"/>
        </w:tabs>
        <w:ind w:left="1418"/>
        <w:rPr>
          <w:rFonts w:asciiTheme="minorHAnsi" w:hAnsiTheme="minorHAnsi"/>
        </w:rPr>
      </w:pPr>
      <w:r w:rsidRPr="004A132D">
        <w:rPr>
          <w:rFonts w:asciiTheme="minorHAnsi" w:hAnsiTheme="minorHAnsi"/>
        </w:rPr>
        <w:t>In 2013, t</w:t>
      </w:r>
      <w:r w:rsidR="009057D9" w:rsidRPr="004A132D">
        <w:rPr>
          <w:rFonts w:asciiTheme="minorHAnsi" w:hAnsiTheme="minorHAnsi"/>
        </w:rPr>
        <w:t xml:space="preserve">he </w:t>
      </w:r>
      <w:r w:rsidR="009057D9" w:rsidRPr="004A132D">
        <w:rPr>
          <w:rFonts w:asciiTheme="minorHAnsi" w:hAnsiTheme="minorHAnsi"/>
          <w:i/>
        </w:rPr>
        <w:t>Crimes Legislation Amendment (Slavery, Slavery-like Conditions and People Trafficking) Act 2013</w:t>
      </w:r>
      <w:r w:rsidR="009057D9" w:rsidRPr="004A132D">
        <w:rPr>
          <w:rFonts w:asciiTheme="minorHAnsi" w:hAnsiTheme="minorHAnsi"/>
        </w:rPr>
        <w:t xml:space="preserve"> (Cth) criminalised forced marriage and harbouring a victim of trafficking, and established the standalone offences of forced labour and organ traffi</w:t>
      </w:r>
      <w:r w:rsidR="002A1CB4" w:rsidRPr="004A132D">
        <w:rPr>
          <w:rFonts w:asciiTheme="minorHAnsi" w:hAnsiTheme="minorHAnsi"/>
        </w:rPr>
        <w:t>cking</w:t>
      </w:r>
      <w:r w:rsidR="003A4AFE" w:rsidRPr="004A132D">
        <w:rPr>
          <w:rFonts w:asciiTheme="minorHAnsi" w:hAnsiTheme="minorHAnsi"/>
        </w:rPr>
        <w:t xml:space="preserve"> (</w:t>
      </w:r>
      <w:r w:rsidR="003A4AFE" w:rsidRPr="004A132D">
        <w:rPr>
          <w:rFonts w:asciiTheme="minorHAnsi" w:hAnsiTheme="minorHAnsi"/>
          <w:lang w:val="en-AU"/>
        </w:rPr>
        <w:t xml:space="preserve">trafficking in persons for the purpose of organ removal). Subsequent amendments (the </w:t>
      </w:r>
      <w:r w:rsidR="003A4AFE" w:rsidRPr="004A132D">
        <w:rPr>
          <w:rFonts w:asciiTheme="minorHAnsi" w:hAnsiTheme="minorHAnsi"/>
          <w:i/>
          <w:lang w:val="en-AU"/>
        </w:rPr>
        <w:t xml:space="preserve">Crimes Legislation Amendment (Powers, Offences and Other Measures) Act 2015 </w:t>
      </w:r>
      <w:r w:rsidR="003A4AFE" w:rsidRPr="004A132D">
        <w:rPr>
          <w:rFonts w:asciiTheme="minorHAnsi" w:hAnsiTheme="minorHAnsi"/>
          <w:lang w:val="en-AU"/>
        </w:rPr>
        <w:t xml:space="preserve">(Cth) and the </w:t>
      </w:r>
      <w:r w:rsidR="003A4AFE" w:rsidRPr="004A132D">
        <w:rPr>
          <w:rFonts w:asciiTheme="minorHAnsi" w:hAnsiTheme="minorHAnsi"/>
          <w:i/>
          <w:lang w:val="en-AU"/>
        </w:rPr>
        <w:t xml:space="preserve">Combatting Child Sexual Exploitation Legislation Amendment Act 2019 </w:t>
      </w:r>
      <w:r w:rsidR="003A4AFE" w:rsidRPr="004A132D">
        <w:rPr>
          <w:rFonts w:asciiTheme="minorHAnsi" w:hAnsiTheme="minorHAnsi"/>
          <w:lang w:val="en-AU"/>
        </w:rPr>
        <w:t>(Cth)) expanded the definition of forced marriage, increased applicable penalties, and explicitly captured all marriages involving children under 16.</w:t>
      </w:r>
      <w:r w:rsidR="009057D9" w:rsidRPr="004A132D">
        <w:rPr>
          <w:rFonts w:asciiTheme="minorHAnsi" w:hAnsiTheme="minorHAnsi"/>
        </w:rPr>
        <w:t xml:space="preserve"> </w:t>
      </w:r>
      <w:r w:rsidR="00A91BAC" w:rsidRPr="004A132D">
        <w:rPr>
          <w:rFonts w:asciiTheme="minorHAnsi" w:hAnsiTheme="minorHAnsi"/>
        </w:rPr>
        <w:t>Since criminalisation</w:t>
      </w:r>
      <w:r w:rsidR="003C006E" w:rsidRPr="004A132D">
        <w:rPr>
          <w:rFonts w:asciiTheme="minorHAnsi" w:hAnsiTheme="minorHAnsi"/>
        </w:rPr>
        <w:t xml:space="preserve"> in 2013</w:t>
      </w:r>
      <w:r w:rsidR="00A91BAC" w:rsidRPr="004A132D">
        <w:rPr>
          <w:rFonts w:asciiTheme="minorHAnsi" w:hAnsiTheme="minorHAnsi"/>
        </w:rPr>
        <w:t xml:space="preserve">, </w:t>
      </w:r>
      <w:r w:rsidR="003C006E" w:rsidRPr="004A132D">
        <w:rPr>
          <w:rFonts w:asciiTheme="minorHAnsi" w:hAnsiTheme="minorHAnsi"/>
        </w:rPr>
        <w:t xml:space="preserve">the Australian Federal Police report that </w:t>
      </w:r>
      <w:r w:rsidR="00A91BAC" w:rsidRPr="004A132D">
        <w:rPr>
          <w:rFonts w:asciiTheme="minorHAnsi" w:hAnsiTheme="minorHAnsi"/>
        </w:rPr>
        <w:t>forced marriage</w:t>
      </w:r>
      <w:r w:rsidR="003C006E" w:rsidRPr="004A132D">
        <w:rPr>
          <w:rFonts w:asciiTheme="minorHAnsi" w:hAnsiTheme="minorHAnsi"/>
        </w:rPr>
        <w:t xml:space="preserve"> is the most reported crime</w:t>
      </w:r>
      <w:r w:rsidR="00034C07" w:rsidRPr="004A132D">
        <w:rPr>
          <w:rFonts w:asciiTheme="minorHAnsi" w:hAnsiTheme="minorHAnsi"/>
        </w:rPr>
        <w:t xml:space="preserve"> within the definition of</w:t>
      </w:r>
      <w:r w:rsidR="0045385E" w:rsidRPr="004A132D">
        <w:rPr>
          <w:rFonts w:asciiTheme="minorHAnsi" w:hAnsiTheme="minorHAnsi"/>
        </w:rPr>
        <w:t xml:space="preserve"> </w:t>
      </w:r>
      <w:r w:rsidR="003C006E" w:rsidRPr="004A132D">
        <w:rPr>
          <w:rFonts w:asciiTheme="minorHAnsi" w:hAnsiTheme="minorHAnsi"/>
        </w:rPr>
        <w:t>human trafficking</w:t>
      </w:r>
      <w:r w:rsidR="0045385E" w:rsidRPr="004A132D">
        <w:rPr>
          <w:rFonts w:asciiTheme="minorHAnsi" w:hAnsiTheme="minorHAnsi"/>
        </w:rPr>
        <w:t xml:space="preserve"> and slavery</w:t>
      </w:r>
      <w:r w:rsidR="00034C07" w:rsidRPr="004A132D">
        <w:rPr>
          <w:rFonts w:asciiTheme="minorHAnsi" w:hAnsiTheme="minorHAnsi"/>
        </w:rPr>
        <w:t>.</w:t>
      </w:r>
      <w:r w:rsidR="00A91BAC" w:rsidRPr="004A132D">
        <w:rPr>
          <w:rFonts w:asciiTheme="minorHAnsi" w:hAnsiTheme="minorHAnsi"/>
        </w:rPr>
        <w:t xml:space="preserve"> </w:t>
      </w:r>
      <w:r w:rsidR="0045385E" w:rsidRPr="004A132D">
        <w:rPr>
          <w:rFonts w:asciiTheme="minorHAnsi" w:hAnsiTheme="minorHAnsi"/>
        </w:rPr>
        <w:t xml:space="preserve">In responding to reports, and under Australian law, forced </w:t>
      </w:r>
      <w:r w:rsidR="0045385E" w:rsidRPr="004A132D">
        <w:rPr>
          <w:rFonts w:asciiTheme="minorHAnsi" w:hAnsiTheme="minorHAnsi"/>
        </w:rPr>
        <w:lastRenderedPageBreak/>
        <w:t xml:space="preserve">marriage is understood </w:t>
      </w:r>
      <w:r w:rsidR="00A91BAC" w:rsidRPr="004A132D">
        <w:rPr>
          <w:rFonts w:asciiTheme="minorHAnsi" w:hAnsiTheme="minorHAnsi"/>
        </w:rPr>
        <w:t xml:space="preserve">as a form of gender-based violence, with complex social, family and cultural dimensions. </w:t>
      </w:r>
    </w:p>
    <w:p w14:paraId="67055831" w14:textId="116E51B4" w:rsidR="004F5CAA" w:rsidRPr="004A132D" w:rsidRDefault="00034C07" w:rsidP="0002378E">
      <w:pPr>
        <w:pStyle w:val="Numbers"/>
        <w:tabs>
          <w:tab w:val="clear" w:pos="2835"/>
        </w:tabs>
        <w:ind w:left="1418"/>
        <w:rPr>
          <w:rFonts w:asciiTheme="minorHAnsi" w:hAnsiTheme="minorHAnsi"/>
        </w:rPr>
      </w:pPr>
      <w:r w:rsidRPr="004A132D">
        <w:rPr>
          <w:rFonts w:asciiTheme="minorHAnsi" w:hAnsiTheme="minorHAnsi"/>
        </w:rPr>
        <w:t xml:space="preserve">In 2013 </w:t>
      </w:r>
      <w:r w:rsidR="009907D9" w:rsidRPr="004A132D">
        <w:rPr>
          <w:rFonts w:asciiTheme="minorHAnsi" w:hAnsiTheme="minorHAnsi"/>
        </w:rPr>
        <w:t xml:space="preserve">the </w:t>
      </w:r>
      <w:r w:rsidR="00E17E67" w:rsidRPr="004A132D">
        <w:rPr>
          <w:rFonts w:asciiTheme="minorHAnsi" w:hAnsiTheme="minorHAnsi"/>
          <w:i/>
        </w:rPr>
        <w:t>Sex Discrimination Act 1984</w:t>
      </w:r>
      <w:r w:rsidR="00E17E67" w:rsidRPr="004A132D">
        <w:rPr>
          <w:rFonts w:asciiTheme="minorHAnsi" w:hAnsiTheme="minorHAnsi"/>
        </w:rPr>
        <w:t xml:space="preserve"> (Cth) </w:t>
      </w:r>
      <w:r w:rsidR="000E2B9D" w:rsidRPr="004A132D">
        <w:rPr>
          <w:rFonts w:asciiTheme="minorHAnsi" w:hAnsiTheme="minorHAnsi"/>
        </w:rPr>
        <w:t xml:space="preserve">(Sex Discrimination Act) </w:t>
      </w:r>
      <w:r w:rsidR="00E17E67" w:rsidRPr="004A132D">
        <w:rPr>
          <w:rFonts w:asciiTheme="minorHAnsi" w:hAnsiTheme="minorHAnsi"/>
        </w:rPr>
        <w:t>was amended</w:t>
      </w:r>
      <w:r w:rsidRPr="004A132D">
        <w:rPr>
          <w:rFonts w:asciiTheme="minorHAnsi" w:hAnsiTheme="minorHAnsi"/>
        </w:rPr>
        <w:t xml:space="preserve"> </w:t>
      </w:r>
      <w:r w:rsidR="00E17E67" w:rsidRPr="004A132D">
        <w:rPr>
          <w:rFonts w:asciiTheme="minorHAnsi" w:hAnsiTheme="minorHAnsi"/>
        </w:rPr>
        <w:t xml:space="preserve">to prohibit direct discrimination against employees on the basis of their family responsibilities, and </w:t>
      </w:r>
      <w:r w:rsidRPr="004A132D">
        <w:rPr>
          <w:rFonts w:asciiTheme="minorHAnsi" w:hAnsiTheme="minorHAnsi"/>
        </w:rPr>
        <w:t xml:space="preserve">to </w:t>
      </w:r>
      <w:r w:rsidR="00E17E67" w:rsidRPr="004A132D">
        <w:rPr>
          <w:rFonts w:asciiTheme="minorHAnsi" w:hAnsiTheme="minorHAnsi"/>
        </w:rPr>
        <w:t>prohibit discrimination on the grounds of breastfeeding, sexual orientation, gender identity and intersex status in a number of areas of public life</w:t>
      </w:r>
      <w:r w:rsidRPr="004A132D">
        <w:rPr>
          <w:rFonts w:asciiTheme="minorHAnsi" w:hAnsiTheme="minorHAnsi"/>
        </w:rPr>
        <w:t>. Since 2013</w:t>
      </w:r>
      <w:r w:rsidR="009907D9" w:rsidRPr="004A132D">
        <w:rPr>
          <w:rFonts w:asciiTheme="minorHAnsi" w:hAnsiTheme="minorHAnsi"/>
        </w:rPr>
        <w:t xml:space="preserve"> </w:t>
      </w:r>
      <w:r w:rsidR="00E17E67" w:rsidRPr="004A132D">
        <w:rPr>
          <w:rFonts w:asciiTheme="minorHAnsi" w:hAnsiTheme="minorHAnsi"/>
        </w:rPr>
        <w:t xml:space="preserve">the </w:t>
      </w:r>
      <w:r w:rsidR="00A91BAC" w:rsidRPr="004A132D">
        <w:rPr>
          <w:rFonts w:asciiTheme="minorHAnsi" w:hAnsiTheme="minorHAnsi"/>
        </w:rPr>
        <w:t>Australian Human Rights Commission</w:t>
      </w:r>
      <w:r w:rsidR="00E17E67" w:rsidRPr="004A132D">
        <w:rPr>
          <w:rFonts w:asciiTheme="minorHAnsi" w:hAnsiTheme="minorHAnsi"/>
        </w:rPr>
        <w:t xml:space="preserve"> </w:t>
      </w:r>
      <w:r w:rsidR="005273EE" w:rsidRPr="004A132D">
        <w:rPr>
          <w:rFonts w:asciiTheme="minorHAnsi" w:hAnsiTheme="minorHAnsi"/>
        </w:rPr>
        <w:t>(AHRC)</w:t>
      </w:r>
      <w:r w:rsidR="00494066" w:rsidRPr="004A132D">
        <w:rPr>
          <w:rFonts w:asciiTheme="minorHAnsi" w:hAnsiTheme="minorHAnsi"/>
        </w:rPr>
        <w:t>, Australia’s national human rights institution</w:t>
      </w:r>
      <w:r w:rsidR="005273EE" w:rsidRPr="004A132D">
        <w:rPr>
          <w:rFonts w:asciiTheme="minorHAnsi" w:hAnsiTheme="minorHAnsi"/>
        </w:rPr>
        <w:t xml:space="preserve"> </w:t>
      </w:r>
      <w:r w:rsidR="00E17E67" w:rsidRPr="004A132D">
        <w:rPr>
          <w:rFonts w:asciiTheme="minorHAnsi" w:hAnsiTheme="minorHAnsi"/>
        </w:rPr>
        <w:t>has investigated over 1</w:t>
      </w:r>
      <w:r w:rsidR="0058208B" w:rsidRPr="004A132D">
        <w:rPr>
          <w:rFonts w:asciiTheme="minorHAnsi" w:hAnsiTheme="minorHAnsi"/>
        </w:rPr>
        <w:t>,</w:t>
      </w:r>
      <w:r w:rsidR="00E17E67" w:rsidRPr="004A132D">
        <w:rPr>
          <w:rFonts w:asciiTheme="minorHAnsi" w:hAnsiTheme="minorHAnsi"/>
        </w:rPr>
        <w:t>400 complaints of unlawful discrimination on the</w:t>
      </w:r>
      <w:r w:rsidR="009907D9" w:rsidRPr="004A132D">
        <w:rPr>
          <w:rFonts w:asciiTheme="minorHAnsi" w:hAnsiTheme="minorHAnsi"/>
        </w:rPr>
        <w:t>se</w:t>
      </w:r>
      <w:r w:rsidR="00E17E67" w:rsidRPr="004A132D">
        <w:rPr>
          <w:rFonts w:asciiTheme="minorHAnsi" w:hAnsiTheme="minorHAnsi"/>
        </w:rPr>
        <w:t xml:space="preserve"> grounds</w:t>
      </w:r>
      <w:r w:rsidR="009907D9" w:rsidRPr="004A132D">
        <w:rPr>
          <w:rFonts w:asciiTheme="minorHAnsi" w:hAnsiTheme="minorHAnsi"/>
        </w:rPr>
        <w:t>.</w:t>
      </w:r>
    </w:p>
    <w:p w14:paraId="53154F54" w14:textId="277D940F" w:rsidR="00EA0B37" w:rsidRPr="004A132D" w:rsidRDefault="00BB7361" w:rsidP="0002378E">
      <w:pPr>
        <w:pStyle w:val="Numbers"/>
        <w:tabs>
          <w:tab w:val="clear" w:pos="2835"/>
        </w:tabs>
        <w:ind w:left="1418"/>
        <w:rPr>
          <w:rFonts w:asciiTheme="minorHAnsi" w:hAnsiTheme="minorHAnsi"/>
        </w:rPr>
      </w:pPr>
      <w:r w:rsidRPr="004A132D">
        <w:rPr>
          <w:rFonts w:asciiTheme="minorHAnsi" w:hAnsiTheme="minorHAnsi"/>
        </w:rPr>
        <w:t xml:space="preserve">Between 2021 </w:t>
      </w:r>
      <w:r w:rsidR="0004715A" w:rsidRPr="004A132D">
        <w:rPr>
          <w:rFonts w:asciiTheme="minorHAnsi" w:hAnsiTheme="minorHAnsi"/>
        </w:rPr>
        <w:t>and</w:t>
      </w:r>
      <w:r w:rsidRPr="004A132D">
        <w:rPr>
          <w:rFonts w:asciiTheme="minorHAnsi" w:hAnsiTheme="minorHAnsi"/>
        </w:rPr>
        <w:t xml:space="preserve"> 2023, the Australian Government made significant amendments to the Sex Discrimination Act in response to recommendations from </w:t>
      </w:r>
      <w:r w:rsidRPr="004A132D">
        <w:rPr>
          <w:rFonts w:asciiTheme="minorHAnsi" w:hAnsiTheme="minorHAnsi"/>
          <w:i/>
        </w:rPr>
        <w:t>Respect@Work: Sexual Harassment National Inquiry Report</w:t>
      </w:r>
      <w:r w:rsidR="000E2B9D" w:rsidRPr="004A132D">
        <w:rPr>
          <w:rFonts w:asciiTheme="minorHAnsi" w:hAnsiTheme="minorHAnsi"/>
        </w:rPr>
        <w:t xml:space="preserve"> (Respect@Work Report). </w:t>
      </w:r>
      <w:r w:rsidR="00162A67" w:rsidRPr="004A132D">
        <w:rPr>
          <w:rFonts w:asciiTheme="minorHAnsi" w:hAnsiTheme="minorHAnsi"/>
        </w:rPr>
        <w:t>The Government</w:t>
      </w:r>
      <w:r w:rsidRPr="004A132D">
        <w:rPr>
          <w:rFonts w:asciiTheme="minorHAnsi" w:hAnsiTheme="minorHAnsi"/>
        </w:rPr>
        <w:t xml:space="preserve"> passed the </w:t>
      </w:r>
      <w:r w:rsidRPr="004A132D">
        <w:rPr>
          <w:rFonts w:asciiTheme="minorHAnsi" w:hAnsiTheme="minorHAnsi"/>
          <w:i/>
        </w:rPr>
        <w:t>Anti-Discrimination and Human Rights Legislation (Respect@Work) Act 2022</w:t>
      </w:r>
      <w:r w:rsidR="0004715A" w:rsidRPr="004A132D">
        <w:rPr>
          <w:rFonts w:asciiTheme="minorHAnsi" w:hAnsiTheme="minorHAnsi"/>
        </w:rPr>
        <w:t xml:space="preserve"> (Cth) </w:t>
      </w:r>
      <w:r w:rsidRPr="004A132D">
        <w:rPr>
          <w:rFonts w:asciiTheme="minorHAnsi" w:hAnsiTheme="minorHAnsi"/>
        </w:rPr>
        <w:t xml:space="preserve">which progresses gender equality by ensuring women are able to earn a living in safe, sexual harassment-free workplaces. </w:t>
      </w:r>
      <w:r w:rsidR="009907D9" w:rsidRPr="004A132D">
        <w:rPr>
          <w:rFonts w:asciiTheme="minorHAnsi" w:hAnsiTheme="minorHAnsi"/>
        </w:rPr>
        <w:t>The key reform was introducing</w:t>
      </w:r>
      <w:r w:rsidR="00D80468" w:rsidRPr="004A132D">
        <w:rPr>
          <w:rFonts w:asciiTheme="minorHAnsi" w:hAnsiTheme="minorHAnsi"/>
        </w:rPr>
        <w:t xml:space="preserve"> a </w:t>
      </w:r>
      <w:r w:rsidRPr="004A132D">
        <w:rPr>
          <w:rFonts w:asciiTheme="minorHAnsi" w:hAnsiTheme="minorHAnsi"/>
        </w:rPr>
        <w:t xml:space="preserve">duty on employers to take practical and meaningful action to prevent relevant unlawful conduct in the workplace and </w:t>
      </w:r>
      <w:r w:rsidR="00D80468" w:rsidRPr="004A132D">
        <w:rPr>
          <w:rFonts w:asciiTheme="minorHAnsi" w:hAnsiTheme="minorHAnsi"/>
        </w:rPr>
        <w:t xml:space="preserve">to take reasonable and proportionate measures to eliminate sex discrimination, sexual and sex-based harassment, hostile work environments, and victimisation as far as possible, along with complementary compliance and enforcement functions for the </w:t>
      </w:r>
      <w:r w:rsidR="005273EE" w:rsidRPr="004A132D">
        <w:rPr>
          <w:rFonts w:asciiTheme="minorHAnsi" w:hAnsiTheme="minorHAnsi"/>
        </w:rPr>
        <w:t>AHRC</w:t>
      </w:r>
      <w:r w:rsidR="00D80468" w:rsidRPr="004A132D">
        <w:rPr>
          <w:rFonts w:asciiTheme="minorHAnsi" w:hAnsiTheme="minorHAnsi"/>
        </w:rPr>
        <w:t>.</w:t>
      </w:r>
    </w:p>
    <w:p w14:paraId="73912932" w14:textId="14C9B496" w:rsidR="008F4ED1" w:rsidRPr="004A132D" w:rsidRDefault="00F067E9" w:rsidP="0002378E">
      <w:pPr>
        <w:pStyle w:val="Numbers"/>
        <w:tabs>
          <w:tab w:val="clear" w:pos="2835"/>
        </w:tabs>
        <w:ind w:left="1418"/>
        <w:rPr>
          <w:rFonts w:asciiTheme="minorHAnsi" w:hAnsiTheme="minorHAnsi"/>
        </w:rPr>
      </w:pPr>
      <w:r w:rsidRPr="004A132D">
        <w:rPr>
          <w:rFonts w:asciiTheme="minorHAnsi" w:hAnsiTheme="minorHAnsi"/>
        </w:rPr>
        <w:t>In 2023</w:t>
      </w:r>
      <w:r w:rsidR="00586230" w:rsidRPr="004A132D">
        <w:rPr>
          <w:rFonts w:asciiTheme="minorHAnsi" w:hAnsiTheme="minorHAnsi"/>
        </w:rPr>
        <w:t xml:space="preserve"> amendments to the </w:t>
      </w:r>
      <w:r w:rsidR="00586230" w:rsidRPr="004A132D">
        <w:rPr>
          <w:rFonts w:asciiTheme="minorHAnsi" w:hAnsiTheme="minorHAnsi"/>
          <w:i/>
        </w:rPr>
        <w:t>Family Law Act 1975</w:t>
      </w:r>
      <w:r w:rsidR="00586230" w:rsidRPr="004A132D">
        <w:rPr>
          <w:rFonts w:asciiTheme="minorHAnsi" w:hAnsiTheme="minorHAnsi"/>
        </w:rPr>
        <w:t xml:space="preserve"> (Cth)</w:t>
      </w:r>
      <w:r w:rsidR="000E2B9D" w:rsidRPr="004A132D">
        <w:rPr>
          <w:rFonts w:asciiTheme="minorHAnsi" w:hAnsiTheme="minorHAnsi"/>
        </w:rPr>
        <w:t xml:space="preserve"> (Family Law Act)</w:t>
      </w:r>
      <w:r w:rsidR="00586230" w:rsidRPr="004A132D">
        <w:rPr>
          <w:rFonts w:asciiTheme="minorHAnsi" w:hAnsiTheme="minorHAnsi"/>
        </w:rPr>
        <w:t xml:space="preserve"> </w:t>
      </w:r>
      <w:r w:rsidR="0007059A" w:rsidRPr="004A132D">
        <w:rPr>
          <w:rFonts w:asciiTheme="minorHAnsi" w:hAnsiTheme="minorHAnsi"/>
        </w:rPr>
        <w:t>made the</w:t>
      </w:r>
      <w:r w:rsidR="00E17E67" w:rsidRPr="004A132D">
        <w:rPr>
          <w:rFonts w:asciiTheme="minorHAnsi" w:hAnsiTheme="minorHAnsi"/>
        </w:rPr>
        <w:t xml:space="preserve"> family law system safer and simpler for separating families to navigate,</w:t>
      </w:r>
      <w:r w:rsidRPr="004A132D">
        <w:rPr>
          <w:rFonts w:asciiTheme="minorHAnsi" w:hAnsiTheme="minorHAnsi"/>
        </w:rPr>
        <w:t xml:space="preserve"> introducing </w:t>
      </w:r>
      <w:r w:rsidR="0007059A" w:rsidRPr="004A132D">
        <w:rPr>
          <w:rFonts w:asciiTheme="minorHAnsi" w:hAnsiTheme="minorHAnsi"/>
        </w:rPr>
        <w:t xml:space="preserve">a </w:t>
      </w:r>
      <w:r w:rsidR="00E17E67" w:rsidRPr="004A132D">
        <w:rPr>
          <w:rFonts w:asciiTheme="minorHAnsi" w:hAnsiTheme="minorHAnsi"/>
        </w:rPr>
        <w:t xml:space="preserve">requirement </w:t>
      </w:r>
      <w:r w:rsidRPr="004A132D">
        <w:rPr>
          <w:rFonts w:asciiTheme="minorHAnsi" w:hAnsiTheme="minorHAnsi"/>
        </w:rPr>
        <w:t xml:space="preserve">that the court must </w:t>
      </w:r>
      <w:r w:rsidR="00E17E67" w:rsidRPr="004A132D">
        <w:rPr>
          <w:rFonts w:asciiTheme="minorHAnsi" w:hAnsiTheme="minorHAnsi"/>
        </w:rPr>
        <w:t xml:space="preserve">consider arrangements </w:t>
      </w:r>
      <w:r w:rsidRPr="004A132D">
        <w:rPr>
          <w:rFonts w:asciiTheme="minorHAnsi" w:hAnsiTheme="minorHAnsi"/>
        </w:rPr>
        <w:t xml:space="preserve">that </w:t>
      </w:r>
      <w:r w:rsidR="00E17E67" w:rsidRPr="004A132D">
        <w:rPr>
          <w:rFonts w:asciiTheme="minorHAnsi" w:hAnsiTheme="minorHAnsi"/>
        </w:rPr>
        <w:t xml:space="preserve">promote the safety of the child and the child’s carers, including safety from family violence, abuse, neglect or other harm. </w:t>
      </w:r>
      <w:r w:rsidR="0007059A" w:rsidRPr="004A132D">
        <w:rPr>
          <w:rFonts w:asciiTheme="minorHAnsi" w:hAnsiTheme="minorHAnsi"/>
        </w:rPr>
        <w:t>There are also measures to protect victim-survivors of family violence from systems abuse through the introduction of harmful proceedings orders</w:t>
      </w:r>
      <w:r w:rsidR="00A80A7D" w:rsidRPr="004A132D">
        <w:rPr>
          <w:rFonts w:asciiTheme="minorHAnsi" w:hAnsiTheme="minorHAnsi"/>
        </w:rPr>
        <w:t>.</w:t>
      </w:r>
    </w:p>
    <w:p w14:paraId="22E661A5" w14:textId="2F746C55" w:rsidR="007E3D2E" w:rsidRPr="004A132D" w:rsidRDefault="0007059A" w:rsidP="0002378E">
      <w:pPr>
        <w:pStyle w:val="Numbers"/>
        <w:tabs>
          <w:tab w:val="clear" w:pos="2835"/>
        </w:tabs>
        <w:ind w:left="1418"/>
        <w:rPr>
          <w:rFonts w:asciiTheme="minorHAnsi" w:hAnsiTheme="minorHAnsi"/>
        </w:rPr>
      </w:pPr>
      <w:r w:rsidRPr="004A132D">
        <w:rPr>
          <w:rFonts w:asciiTheme="minorHAnsi" w:hAnsiTheme="minorHAnsi"/>
        </w:rPr>
        <w:t xml:space="preserve">To drive transparency, further amendments were made to the </w:t>
      </w:r>
      <w:r w:rsidR="00575986" w:rsidRPr="004A132D">
        <w:rPr>
          <w:rFonts w:asciiTheme="minorHAnsi" w:hAnsiTheme="minorHAnsi"/>
        </w:rPr>
        <w:t>WGE</w:t>
      </w:r>
      <w:r w:rsidR="000E2B9D" w:rsidRPr="004A132D">
        <w:rPr>
          <w:rFonts w:asciiTheme="minorHAnsi" w:hAnsiTheme="minorHAnsi"/>
        </w:rPr>
        <w:t xml:space="preserve"> Act </w:t>
      </w:r>
      <w:r w:rsidRPr="004A132D">
        <w:rPr>
          <w:rFonts w:asciiTheme="minorHAnsi" w:hAnsiTheme="minorHAnsi"/>
        </w:rPr>
        <w:t>in 2023</w:t>
      </w:r>
      <w:r w:rsidR="0043473D" w:rsidRPr="004A132D">
        <w:rPr>
          <w:rFonts w:asciiTheme="minorHAnsi" w:hAnsiTheme="minorHAnsi"/>
        </w:rPr>
        <w:t xml:space="preserve">, </w:t>
      </w:r>
      <w:r w:rsidRPr="004A132D">
        <w:rPr>
          <w:rFonts w:asciiTheme="minorHAnsi" w:hAnsiTheme="minorHAnsi"/>
        </w:rPr>
        <w:t xml:space="preserve">to enable </w:t>
      </w:r>
      <w:r w:rsidR="00757B7A" w:rsidRPr="004A132D">
        <w:rPr>
          <w:rFonts w:asciiTheme="minorHAnsi" w:hAnsiTheme="minorHAnsi"/>
        </w:rPr>
        <w:t>WGEA</w:t>
      </w:r>
      <w:r w:rsidRPr="004A132D">
        <w:rPr>
          <w:rFonts w:asciiTheme="minorHAnsi" w:hAnsiTheme="minorHAnsi"/>
        </w:rPr>
        <w:t xml:space="preserve"> to publish the gender pay gap of </w:t>
      </w:r>
      <w:r w:rsidR="00575986" w:rsidRPr="004A132D">
        <w:rPr>
          <w:rFonts w:asciiTheme="minorHAnsi" w:hAnsiTheme="minorHAnsi"/>
        </w:rPr>
        <w:t xml:space="preserve">relevant </w:t>
      </w:r>
      <w:r w:rsidRPr="004A132D">
        <w:rPr>
          <w:rFonts w:asciiTheme="minorHAnsi" w:hAnsiTheme="minorHAnsi"/>
        </w:rPr>
        <w:t xml:space="preserve">employers with 100 or more </w:t>
      </w:r>
      <w:r w:rsidRPr="004A132D">
        <w:rPr>
          <w:rFonts w:asciiTheme="minorHAnsi" w:hAnsiTheme="minorHAnsi"/>
        </w:rPr>
        <w:lastRenderedPageBreak/>
        <w:t>employees</w:t>
      </w:r>
      <w:r w:rsidR="00575986" w:rsidRPr="004A132D">
        <w:rPr>
          <w:rFonts w:asciiTheme="minorHAnsi" w:hAnsiTheme="minorHAnsi"/>
        </w:rPr>
        <w:t xml:space="preserve"> (mandatory under the WGE Act)</w:t>
      </w:r>
      <w:r w:rsidRPr="004A132D">
        <w:rPr>
          <w:rFonts w:asciiTheme="minorHAnsi" w:hAnsiTheme="minorHAnsi"/>
        </w:rPr>
        <w:t xml:space="preserve">, in addition to its existing functions to publish the gender pay gap at a national, industry and occupational level. </w:t>
      </w:r>
    </w:p>
    <w:p w14:paraId="7B3CC1CB" w14:textId="77777777" w:rsidR="00390047" w:rsidRPr="005F6B4E" w:rsidRDefault="00743C52" w:rsidP="005F6B4E">
      <w:pPr>
        <w:pStyle w:val="Heading1"/>
      </w:pPr>
      <w:bookmarkStart w:id="17" w:name="_Toc174011663"/>
      <w:bookmarkStart w:id="18" w:name="_Toc175556758"/>
      <w:r w:rsidRPr="005F6B4E">
        <w:t xml:space="preserve">Question 4: </w:t>
      </w:r>
      <w:r w:rsidR="00390047" w:rsidRPr="005F6B4E">
        <w:t>Constitutional and legal framework</w:t>
      </w:r>
      <w:bookmarkEnd w:id="17"/>
      <w:bookmarkEnd w:id="18"/>
    </w:p>
    <w:p w14:paraId="64E37431" w14:textId="77777777" w:rsidR="00FD3AFA" w:rsidRPr="004A132D" w:rsidRDefault="00FD3AFA" w:rsidP="001554A5">
      <w:pPr>
        <w:pStyle w:val="Heading2"/>
      </w:pPr>
      <w:bookmarkStart w:id="19" w:name="_Toc174011664"/>
      <w:bookmarkStart w:id="20" w:name="_Toc175556759"/>
      <w:r w:rsidRPr="004A132D">
        <w:t>Question 4a: Federal human rights and anti-discrimination legislation</w:t>
      </w:r>
      <w:bookmarkEnd w:id="19"/>
      <w:bookmarkEnd w:id="20"/>
      <w:r w:rsidRPr="004A132D">
        <w:t xml:space="preserve"> </w:t>
      </w:r>
    </w:p>
    <w:p w14:paraId="04ED67ED" w14:textId="77777777" w:rsidR="00DA223F" w:rsidRPr="004A132D" w:rsidRDefault="00DA223F" w:rsidP="0002378E">
      <w:pPr>
        <w:pStyle w:val="Numbers"/>
        <w:ind w:left="1418"/>
        <w:rPr>
          <w:rFonts w:asciiTheme="minorHAnsi" w:hAnsiTheme="minorHAnsi"/>
        </w:rPr>
      </w:pPr>
      <w:r w:rsidRPr="004A132D">
        <w:rPr>
          <w:rFonts w:asciiTheme="minorHAnsi" w:hAnsiTheme="minorHAnsi"/>
        </w:rPr>
        <w:t>Australia has a strong framework for protecting and advancing human rights through</w:t>
      </w:r>
      <w:r w:rsidR="00D14BF2" w:rsidRPr="004A132D">
        <w:rPr>
          <w:rFonts w:asciiTheme="minorHAnsi" w:hAnsiTheme="minorHAnsi"/>
        </w:rPr>
        <w:t xml:space="preserve"> a combination of </w:t>
      </w:r>
      <w:r w:rsidR="002A353B" w:rsidRPr="004A132D">
        <w:rPr>
          <w:rFonts w:asciiTheme="minorHAnsi" w:hAnsiTheme="minorHAnsi"/>
        </w:rPr>
        <w:t>federal</w:t>
      </w:r>
      <w:r w:rsidRPr="004A132D">
        <w:rPr>
          <w:rFonts w:asciiTheme="minorHAnsi" w:hAnsiTheme="minorHAnsi"/>
        </w:rPr>
        <w:t xml:space="preserve">, state and territory legislation and administrative measures, policy and practice, </w:t>
      </w:r>
      <w:r w:rsidR="00D03557" w:rsidRPr="004A132D">
        <w:rPr>
          <w:rFonts w:asciiTheme="minorHAnsi" w:hAnsiTheme="minorHAnsi"/>
        </w:rPr>
        <w:t xml:space="preserve">and </w:t>
      </w:r>
      <w:r w:rsidR="00D14BF2" w:rsidRPr="004A132D">
        <w:rPr>
          <w:rFonts w:asciiTheme="minorHAnsi" w:hAnsiTheme="minorHAnsi"/>
        </w:rPr>
        <w:t xml:space="preserve">constitutionally entrenched </w:t>
      </w:r>
      <w:r w:rsidRPr="004A132D">
        <w:rPr>
          <w:rFonts w:asciiTheme="minorHAnsi" w:hAnsiTheme="minorHAnsi"/>
        </w:rPr>
        <w:t>institutions such as</w:t>
      </w:r>
      <w:r w:rsidR="00D14BF2" w:rsidRPr="004A132D">
        <w:rPr>
          <w:rFonts w:asciiTheme="minorHAnsi" w:hAnsiTheme="minorHAnsi"/>
        </w:rPr>
        <w:t xml:space="preserve"> an</w:t>
      </w:r>
      <w:r w:rsidRPr="004A132D">
        <w:rPr>
          <w:rFonts w:asciiTheme="minorHAnsi" w:hAnsiTheme="minorHAnsi"/>
        </w:rPr>
        <w:t xml:space="preserve"> independent </w:t>
      </w:r>
      <w:r w:rsidR="00D14BF2" w:rsidRPr="004A132D">
        <w:rPr>
          <w:rFonts w:asciiTheme="minorHAnsi" w:hAnsiTheme="minorHAnsi"/>
        </w:rPr>
        <w:t xml:space="preserve">judiciary, limited constitutional rights, </w:t>
      </w:r>
      <w:r w:rsidRPr="004A132D">
        <w:rPr>
          <w:rFonts w:asciiTheme="minorHAnsi" w:hAnsiTheme="minorHAnsi"/>
        </w:rPr>
        <w:t>and the common law.</w:t>
      </w:r>
    </w:p>
    <w:p w14:paraId="22B8A6B2" w14:textId="77777777" w:rsidR="00D03557" w:rsidRPr="004A132D" w:rsidRDefault="002A353B" w:rsidP="0002378E">
      <w:pPr>
        <w:pStyle w:val="Numbers"/>
        <w:ind w:left="1418"/>
        <w:rPr>
          <w:rFonts w:asciiTheme="minorHAnsi" w:hAnsiTheme="minorHAnsi"/>
        </w:rPr>
      </w:pPr>
      <w:r w:rsidRPr="004A132D">
        <w:rPr>
          <w:rFonts w:asciiTheme="minorHAnsi" w:hAnsiTheme="minorHAnsi"/>
        </w:rPr>
        <w:t>Federal</w:t>
      </w:r>
      <w:r w:rsidR="0090720C" w:rsidRPr="004A132D">
        <w:rPr>
          <w:rFonts w:asciiTheme="minorHAnsi" w:hAnsiTheme="minorHAnsi"/>
        </w:rPr>
        <w:t xml:space="preserve"> </w:t>
      </w:r>
      <w:r w:rsidR="00AA7DE2" w:rsidRPr="004A132D">
        <w:rPr>
          <w:rFonts w:asciiTheme="minorHAnsi" w:hAnsiTheme="minorHAnsi"/>
        </w:rPr>
        <w:t xml:space="preserve">anti-discrimination legislation prohibits both direct and indirect discrimination </w:t>
      </w:r>
      <w:r w:rsidR="00CD5DED" w:rsidRPr="004A132D">
        <w:rPr>
          <w:rFonts w:asciiTheme="minorHAnsi" w:hAnsiTheme="minorHAnsi"/>
        </w:rPr>
        <w:t>based on</w:t>
      </w:r>
      <w:r w:rsidR="00AA7DE2" w:rsidRPr="004A132D">
        <w:rPr>
          <w:rFonts w:asciiTheme="minorHAnsi" w:hAnsiTheme="minorHAnsi"/>
        </w:rPr>
        <w:t xml:space="preserve"> protected attributes in key areas of public life, including employment, education, the provision of goods and services</w:t>
      </w:r>
      <w:r w:rsidR="00D03557" w:rsidRPr="004A132D">
        <w:rPr>
          <w:rFonts w:asciiTheme="minorHAnsi" w:hAnsiTheme="minorHAnsi"/>
        </w:rPr>
        <w:t>,</w:t>
      </w:r>
      <w:r w:rsidR="00AA7DE2" w:rsidRPr="004A132D">
        <w:rPr>
          <w:rFonts w:asciiTheme="minorHAnsi" w:hAnsiTheme="minorHAnsi"/>
        </w:rPr>
        <w:t xml:space="preserve"> and facilities and accommodation. </w:t>
      </w:r>
      <w:r w:rsidR="00E004A5" w:rsidRPr="004A132D">
        <w:rPr>
          <w:rFonts w:asciiTheme="minorHAnsi" w:hAnsiTheme="minorHAnsi"/>
        </w:rPr>
        <w:t>Federal</w:t>
      </w:r>
      <w:r w:rsidR="00AA7DE2" w:rsidRPr="004A132D">
        <w:rPr>
          <w:rFonts w:asciiTheme="minorHAnsi" w:hAnsiTheme="minorHAnsi"/>
        </w:rPr>
        <w:t xml:space="preserve"> anti-discrimination legislation is concerned with regulating public life rather than the private domain. This approach aims to strike a balance between the rights to equality and non-discrimination and privacy. </w:t>
      </w:r>
    </w:p>
    <w:p w14:paraId="20DFCBF7" w14:textId="77777777" w:rsidR="00AA7DE2" w:rsidRPr="004A132D" w:rsidRDefault="00AA7DE2" w:rsidP="0002378E">
      <w:pPr>
        <w:pStyle w:val="Numbers"/>
        <w:ind w:left="1418"/>
        <w:rPr>
          <w:rFonts w:asciiTheme="minorHAnsi" w:hAnsiTheme="minorHAnsi"/>
        </w:rPr>
      </w:pPr>
      <w:r w:rsidRPr="004A132D">
        <w:rPr>
          <w:rFonts w:asciiTheme="minorHAnsi" w:hAnsiTheme="minorHAnsi"/>
        </w:rPr>
        <w:t xml:space="preserve">At the </w:t>
      </w:r>
      <w:r w:rsidR="00E004A5" w:rsidRPr="004A132D">
        <w:rPr>
          <w:rFonts w:asciiTheme="minorHAnsi" w:hAnsiTheme="minorHAnsi"/>
        </w:rPr>
        <w:t>federal</w:t>
      </w:r>
      <w:r w:rsidRPr="004A132D">
        <w:rPr>
          <w:rFonts w:asciiTheme="minorHAnsi" w:hAnsiTheme="minorHAnsi"/>
        </w:rPr>
        <w:t xml:space="preserve"> level, Australian anti-discrimination legislation comprises of the </w:t>
      </w:r>
      <w:r w:rsidR="000E2B9D" w:rsidRPr="004A132D">
        <w:rPr>
          <w:rFonts w:asciiTheme="minorHAnsi" w:hAnsiTheme="minorHAnsi"/>
        </w:rPr>
        <w:t>Sex Discrimination Act</w:t>
      </w:r>
      <w:r w:rsidRPr="004A132D">
        <w:rPr>
          <w:rFonts w:asciiTheme="minorHAnsi" w:hAnsiTheme="minorHAnsi"/>
        </w:rPr>
        <w:t>,</w:t>
      </w:r>
      <w:r w:rsidRPr="004A132D">
        <w:rPr>
          <w:rFonts w:asciiTheme="minorHAnsi" w:hAnsiTheme="minorHAnsi"/>
          <w:i/>
        </w:rPr>
        <w:t xml:space="preserve"> Disability Discrimination Act 1992 </w:t>
      </w:r>
      <w:r w:rsidRPr="004A132D">
        <w:rPr>
          <w:rFonts w:asciiTheme="minorHAnsi" w:hAnsiTheme="minorHAnsi"/>
        </w:rPr>
        <w:t>(Cth),</w:t>
      </w:r>
      <w:r w:rsidRPr="004A132D">
        <w:rPr>
          <w:rFonts w:asciiTheme="minorHAnsi" w:hAnsiTheme="minorHAnsi"/>
          <w:i/>
        </w:rPr>
        <w:t xml:space="preserve"> Racial Discrimination Act 1975 </w:t>
      </w:r>
      <w:r w:rsidRPr="004A132D">
        <w:rPr>
          <w:rFonts w:asciiTheme="minorHAnsi" w:hAnsiTheme="minorHAnsi"/>
        </w:rPr>
        <w:t xml:space="preserve">(Cth) </w:t>
      </w:r>
      <w:r w:rsidR="000E2B9D" w:rsidRPr="004A132D">
        <w:rPr>
          <w:rFonts w:asciiTheme="minorHAnsi" w:hAnsiTheme="minorHAnsi"/>
        </w:rPr>
        <w:t xml:space="preserve">(Racial Discrimination Act) </w:t>
      </w:r>
      <w:r w:rsidRPr="004A132D">
        <w:rPr>
          <w:rFonts w:asciiTheme="minorHAnsi" w:hAnsiTheme="minorHAnsi"/>
        </w:rPr>
        <w:t xml:space="preserve">and </w:t>
      </w:r>
      <w:r w:rsidRPr="004A132D">
        <w:rPr>
          <w:rFonts w:asciiTheme="minorHAnsi" w:hAnsiTheme="minorHAnsi"/>
          <w:i/>
        </w:rPr>
        <w:t xml:space="preserve">Age Discrimination Act 2004 </w:t>
      </w:r>
      <w:r w:rsidRPr="004A132D">
        <w:rPr>
          <w:rFonts w:asciiTheme="minorHAnsi" w:hAnsiTheme="minorHAnsi"/>
        </w:rPr>
        <w:t xml:space="preserve">(Cth). Australia’s anti-discrimination legislation does not expressly prescribe a process for making complaints of intersecting </w:t>
      </w:r>
      <w:r w:rsidR="000F67B5" w:rsidRPr="004A132D">
        <w:rPr>
          <w:rFonts w:asciiTheme="minorHAnsi" w:hAnsiTheme="minorHAnsi"/>
        </w:rPr>
        <w:t>discrimination;</w:t>
      </w:r>
      <w:r w:rsidR="00E5184C" w:rsidRPr="004A132D">
        <w:rPr>
          <w:rFonts w:asciiTheme="minorHAnsi" w:hAnsiTheme="minorHAnsi"/>
        </w:rPr>
        <w:t xml:space="preserve"> </w:t>
      </w:r>
      <w:r w:rsidR="000F67B5" w:rsidRPr="004A132D">
        <w:rPr>
          <w:rFonts w:asciiTheme="minorHAnsi" w:hAnsiTheme="minorHAnsi"/>
        </w:rPr>
        <w:t xml:space="preserve">however, </w:t>
      </w:r>
      <w:r w:rsidRPr="004A132D">
        <w:rPr>
          <w:rFonts w:asciiTheme="minorHAnsi" w:hAnsiTheme="minorHAnsi"/>
        </w:rPr>
        <w:t xml:space="preserve">complainants are able to make complaints to the </w:t>
      </w:r>
      <w:r w:rsidR="00494066" w:rsidRPr="004A132D">
        <w:rPr>
          <w:rFonts w:asciiTheme="minorHAnsi" w:hAnsiTheme="minorHAnsi"/>
        </w:rPr>
        <w:t>AHRC</w:t>
      </w:r>
      <w:r w:rsidRPr="004A132D">
        <w:rPr>
          <w:rFonts w:asciiTheme="minorHAnsi" w:hAnsiTheme="minorHAnsi"/>
        </w:rPr>
        <w:t xml:space="preserve"> on multiple grounds of discrimination. </w:t>
      </w:r>
    </w:p>
    <w:p w14:paraId="44A07947" w14:textId="7CBD46F8" w:rsidR="00AA7DE2" w:rsidRPr="004A132D" w:rsidRDefault="00AA7DE2" w:rsidP="0002378E">
      <w:pPr>
        <w:pStyle w:val="Numbers"/>
        <w:ind w:left="1418"/>
        <w:rPr>
          <w:rFonts w:asciiTheme="minorHAnsi" w:hAnsiTheme="minorHAnsi"/>
        </w:rPr>
      </w:pPr>
      <w:r w:rsidRPr="004A132D">
        <w:rPr>
          <w:rFonts w:asciiTheme="minorHAnsi" w:hAnsiTheme="minorHAnsi"/>
        </w:rPr>
        <w:t xml:space="preserve">The Sex Discrimination Act is the </w:t>
      </w:r>
      <w:r w:rsidR="00E004A5" w:rsidRPr="004A132D">
        <w:rPr>
          <w:rFonts w:asciiTheme="minorHAnsi" w:hAnsiTheme="minorHAnsi"/>
        </w:rPr>
        <w:t xml:space="preserve">primary </w:t>
      </w:r>
      <w:r w:rsidRPr="004A132D">
        <w:rPr>
          <w:rFonts w:asciiTheme="minorHAnsi" w:hAnsiTheme="minorHAnsi"/>
        </w:rPr>
        <w:t xml:space="preserve">legislation </w:t>
      </w:r>
      <w:r w:rsidR="00FB5623" w:rsidRPr="004A132D">
        <w:rPr>
          <w:rFonts w:asciiTheme="minorHAnsi" w:hAnsiTheme="minorHAnsi"/>
        </w:rPr>
        <w:t xml:space="preserve">that </w:t>
      </w:r>
      <w:r w:rsidRPr="004A132D">
        <w:rPr>
          <w:rFonts w:asciiTheme="minorHAnsi" w:hAnsiTheme="minorHAnsi"/>
        </w:rPr>
        <w:t>mak</w:t>
      </w:r>
      <w:r w:rsidR="00FB5623" w:rsidRPr="004A132D">
        <w:rPr>
          <w:rFonts w:asciiTheme="minorHAnsi" w:hAnsiTheme="minorHAnsi"/>
        </w:rPr>
        <w:t>es</w:t>
      </w:r>
      <w:r w:rsidRPr="004A132D">
        <w:rPr>
          <w:rFonts w:asciiTheme="minorHAnsi" w:hAnsiTheme="minorHAnsi"/>
        </w:rPr>
        <w:t xml:space="preserve"> discrimination against women unlawful. It gives effect to many of Australia’s o</w:t>
      </w:r>
      <w:r w:rsidR="00E004A5" w:rsidRPr="004A132D">
        <w:rPr>
          <w:rFonts w:asciiTheme="minorHAnsi" w:hAnsiTheme="minorHAnsi"/>
        </w:rPr>
        <w:t xml:space="preserve">bligations under the Convention. </w:t>
      </w:r>
      <w:r w:rsidRPr="004A132D">
        <w:rPr>
          <w:rFonts w:asciiTheme="minorHAnsi" w:hAnsiTheme="minorHAnsi"/>
        </w:rPr>
        <w:t>The Sex Discrimination Act prohibits discrimination on the grounds of sex, marital or relationship status, pregnancy or potential pregnancy, breastfeeding, sexual orientation, gender identity or intersex status. It also prohibits discrimination on the ground</w:t>
      </w:r>
      <w:r w:rsidR="00040CEE" w:rsidRPr="004A132D">
        <w:rPr>
          <w:rFonts w:asciiTheme="minorHAnsi" w:hAnsiTheme="minorHAnsi"/>
        </w:rPr>
        <w:t>s</w:t>
      </w:r>
      <w:r w:rsidRPr="004A132D">
        <w:rPr>
          <w:rFonts w:asciiTheme="minorHAnsi" w:hAnsiTheme="minorHAnsi"/>
        </w:rPr>
        <w:t xml:space="preserve"> of family responsibilities in the area of work, sexual and sex-based harassment and subjecting someone to a hostile work environment, and includes a positive duty on employers to eliminate certain forms of sex discrimination. The Sex Discrimination Act also promotes t</w:t>
      </w:r>
      <w:r w:rsidR="006C3A97">
        <w:rPr>
          <w:rFonts w:asciiTheme="minorHAnsi" w:hAnsiTheme="minorHAnsi"/>
        </w:rPr>
        <w:t>he principle of gender equality;</w:t>
      </w:r>
      <w:r w:rsidRPr="004A132D">
        <w:rPr>
          <w:rFonts w:asciiTheme="minorHAnsi" w:hAnsiTheme="minorHAnsi"/>
        </w:rPr>
        <w:t xml:space="preserve"> </w:t>
      </w:r>
      <w:r w:rsidR="006C3A97">
        <w:rPr>
          <w:rFonts w:asciiTheme="minorHAnsi" w:hAnsiTheme="minorHAnsi"/>
        </w:rPr>
        <w:t>the objective</w:t>
      </w:r>
      <w:r w:rsidRPr="004A132D">
        <w:rPr>
          <w:rFonts w:asciiTheme="minorHAnsi" w:hAnsiTheme="minorHAnsi"/>
        </w:rPr>
        <w:t xml:space="preserve"> to achieve</w:t>
      </w:r>
      <w:r w:rsidR="006C3A97">
        <w:rPr>
          <w:rFonts w:asciiTheme="minorHAnsi" w:hAnsiTheme="minorHAnsi"/>
        </w:rPr>
        <w:t>,</w:t>
      </w:r>
      <w:r w:rsidRPr="004A132D">
        <w:rPr>
          <w:rFonts w:asciiTheme="minorHAnsi" w:hAnsiTheme="minorHAnsi"/>
        </w:rPr>
        <w:t xml:space="preserve"> so far as </w:t>
      </w:r>
      <w:r w:rsidR="006C3A97">
        <w:rPr>
          <w:rFonts w:asciiTheme="minorHAnsi" w:hAnsiTheme="minorHAnsi"/>
        </w:rPr>
        <w:t xml:space="preserve">is </w:t>
      </w:r>
      <w:r w:rsidRPr="004A132D">
        <w:rPr>
          <w:rFonts w:asciiTheme="minorHAnsi" w:hAnsiTheme="minorHAnsi"/>
        </w:rPr>
        <w:t>practicable, substantive equality between men and women.</w:t>
      </w:r>
    </w:p>
    <w:p w14:paraId="5B597B9F" w14:textId="75B07CB0" w:rsidR="003D0E7B" w:rsidRPr="004A132D" w:rsidRDefault="00306854" w:rsidP="0002378E">
      <w:pPr>
        <w:pStyle w:val="Numbers"/>
        <w:ind w:left="1418"/>
        <w:rPr>
          <w:rFonts w:asciiTheme="minorHAnsi" w:hAnsiTheme="minorHAnsi"/>
        </w:rPr>
      </w:pPr>
      <w:r w:rsidRPr="004A132D">
        <w:rPr>
          <w:rFonts w:asciiTheme="minorHAnsi" w:hAnsiTheme="minorHAnsi"/>
        </w:rPr>
        <w:lastRenderedPageBreak/>
        <w:t xml:space="preserve">On 15 March 2023, the </w:t>
      </w:r>
      <w:r w:rsidR="00063073" w:rsidRPr="004A132D">
        <w:rPr>
          <w:rFonts w:asciiTheme="minorHAnsi" w:hAnsiTheme="minorHAnsi"/>
        </w:rPr>
        <w:t xml:space="preserve">Australian </w:t>
      </w:r>
      <w:r w:rsidRPr="004A132D">
        <w:rPr>
          <w:rFonts w:asciiTheme="minorHAnsi" w:hAnsiTheme="minorHAnsi"/>
        </w:rPr>
        <w:t>Attorney-</w:t>
      </w:r>
      <w:r w:rsidR="00DA223F" w:rsidRPr="004A132D">
        <w:rPr>
          <w:rFonts w:asciiTheme="minorHAnsi" w:hAnsiTheme="minorHAnsi"/>
        </w:rPr>
        <w:t xml:space="preserve">General </w:t>
      </w:r>
      <w:r w:rsidR="00743C52" w:rsidRPr="004A132D">
        <w:rPr>
          <w:rFonts w:asciiTheme="minorHAnsi" w:hAnsiTheme="minorHAnsi"/>
        </w:rPr>
        <w:t xml:space="preserve">referred </w:t>
      </w:r>
      <w:r w:rsidR="003D0E7B" w:rsidRPr="004A132D">
        <w:rPr>
          <w:rFonts w:asciiTheme="minorHAnsi" w:hAnsiTheme="minorHAnsi"/>
        </w:rPr>
        <w:t>to the federal Parliamentary Joint Committee on Human Rights (PJCHR) Australi</w:t>
      </w:r>
      <w:r w:rsidR="009B0E53" w:rsidRPr="004A132D">
        <w:rPr>
          <w:rFonts w:asciiTheme="minorHAnsi" w:hAnsiTheme="minorHAnsi"/>
        </w:rPr>
        <w:t xml:space="preserve">a’s Human Rights Framework for </w:t>
      </w:r>
      <w:r w:rsidR="00553DA1" w:rsidRPr="004A132D">
        <w:rPr>
          <w:rFonts w:asciiTheme="minorHAnsi" w:hAnsiTheme="minorHAnsi"/>
        </w:rPr>
        <w:t>i</w:t>
      </w:r>
      <w:r w:rsidR="003D0E7B" w:rsidRPr="004A132D">
        <w:rPr>
          <w:rFonts w:asciiTheme="minorHAnsi" w:hAnsiTheme="minorHAnsi"/>
        </w:rPr>
        <w:t xml:space="preserve">nquiry and </w:t>
      </w:r>
      <w:r w:rsidR="00553DA1" w:rsidRPr="004A132D">
        <w:rPr>
          <w:rFonts w:asciiTheme="minorHAnsi" w:hAnsiTheme="minorHAnsi"/>
        </w:rPr>
        <w:t>r</w:t>
      </w:r>
      <w:r w:rsidR="003D0E7B" w:rsidRPr="004A132D">
        <w:rPr>
          <w:rFonts w:asciiTheme="minorHAnsi" w:hAnsiTheme="minorHAnsi"/>
        </w:rPr>
        <w:t xml:space="preserve">eport. </w:t>
      </w:r>
    </w:p>
    <w:p w14:paraId="12E87302" w14:textId="0F43B830" w:rsidR="003D0E7B" w:rsidRPr="004A132D" w:rsidRDefault="003D0E7B" w:rsidP="00561D0E">
      <w:pPr>
        <w:pStyle w:val="Numbers"/>
        <w:numPr>
          <w:ilvl w:val="1"/>
          <w:numId w:val="1"/>
        </w:numPr>
        <w:rPr>
          <w:rFonts w:asciiTheme="minorHAnsi" w:hAnsiTheme="minorHAnsi"/>
        </w:rPr>
      </w:pPr>
      <w:r w:rsidRPr="004A132D">
        <w:rPr>
          <w:rFonts w:asciiTheme="minorHAnsi" w:hAnsiTheme="minorHAnsi"/>
        </w:rPr>
        <w:t xml:space="preserve">The PJCHR tabled its report on </w:t>
      </w:r>
      <w:r w:rsidR="00743C52" w:rsidRPr="004A132D">
        <w:rPr>
          <w:rFonts w:asciiTheme="minorHAnsi" w:hAnsiTheme="minorHAnsi"/>
        </w:rPr>
        <w:t>30 May 2024</w:t>
      </w:r>
      <w:r w:rsidRPr="004A132D">
        <w:rPr>
          <w:rFonts w:asciiTheme="minorHAnsi" w:hAnsiTheme="minorHAnsi"/>
        </w:rPr>
        <w:t>, and made 17 recommendations directed towards improving human rights protection in Australia.</w:t>
      </w:r>
      <w:r w:rsidR="00B06A93" w:rsidRPr="004A132D">
        <w:rPr>
          <w:rFonts w:asciiTheme="minorHAnsi" w:hAnsiTheme="minorHAnsi"/>
        </w:rPr>
        <w:t xml:space="preserve"> </w:t>
      </w:r>
      <w:r w:rsidRPr="004A132D">
        <w:rPr>
          <w:rFonts w:asciiTheme="minorHAnsi" w:hAnsiTheme="minorHAnsi"/>
        </w:rPr>
        <w:t>The Committee recommended the Australian Parliament:</w:t>
      </w:r>
    </w:p>
    <w:p w14:paraId="7A90CAF2" w14:textId="77777777" w:rsidR="003D0E7B" w:rsidRPr="004A132D" w:rsidRDefault="003D0E7B" w:rsidP="00561D0E">
      <w:pPr>
        <w:pStyle w:val="Numbers"/>
        <w:numPr>
          <w:ilvl w:val="2"/>
          <w:numId w:val="1"/>
        </w:numPr>
        <w:rPr>
          <w:rFonts w:asciiTheme="minorHAnsi" w:hAnsiTheme="minorHAnsi"/>
        </w:rPr>
      </w:pPr>
      <w:r w:rsidRPr="004A132D">
        <w:rPr>
          <w:rFonts w:asciiTheme="minorHAnsi" w:hAnsiTheme="minorHAnsi"/>
        </w:rPr>
        <w:t>enact a federal Human Rights Act;</w:t>
      </w:r>
    </w:p>
    <w:p w14:paraId="1FC6A119" w14:textId="77777777" w:rsidR="003D0E7B" w:rsidRPr="004A132D" w:rsidRDefault="003D0E7B" w:rsidP="00561D0E">
      <w:pPr>
        <w:pStyle w:val="Numbers"/>
        <w:numPr>
          <w:ilvl w:val="2"/>
          <w:numId w:val="1"/>
        </w:numPr>
        <w:rPr>
          <w:rFonts w:asciiTheme="minorHAnsi" w:hAnsiTheme="minorHAnsi"/>
        </w:rPr>
      </w:pPr>
      <w:r w:rsidRPr="004A132D">
        <w:rPr>
          <w:rFonts w:asciiTheme="minorHAnsi" w:hAnsiTheme="minorHAnsi"/>
        </w:rPr>
        <w:t>commit to national human rights education;</w:t>
      </w:r>
    </w:p>
    <w:p w14:paraId="221F073D" w14:textId="77777777" w:rsidR="003D0E7B" w:rsidRPr="004A132D" w:rsidRDefault="003D0E7B" w:rsidP="00561D0E">
      <w:pPr>
        <w:pStyle w:val="Numbers"/>
        <w:numPr>
          <w:ilvl w:val="2"/>
          <w:numId w:val="1"/>
        </w:numPr>
        <w:rPr>
          <w:rFonts w:asciiTheme="minorHAnsi" w:hAnsiTheme="minorHAnsi"/>
        </w:rPr>
      </w:pPr>
      <w:r w:rsidRPr="004A132D">
        <w:rPr>
          <w:rFonts w:asciiTheme="minorHAnsi" w:hAnsiTheme="minorHAnsi"/>
        </w:rPr>
        <w:t xml:space="preserve">enhance human rights parliamentary scrutiny; and </w:t>
      </w:r>
    </w:p>
    <w:p w14:paraId="1B6569C2" w14:textId="614DFDE6" w:rsidR="003D0E7B" w:rsidRPr="004A132D" w:rsidRDefault="003D0E7B" w:rsidP="00561D0E">
      <w:pPr>
        <w:pStyle w:val="Numbers"/>
        <w:numPr>
          <w:ilvl w:val="2"/>
          <w:numId w:val="1"/>
        </w:numPr>
        <w:rPr>
          <w:rFonts w:asciiTheme="minorHAnsi" w:hAnsiTheme="minorHAnsi"/>
          <w:spacing w:val="-2"/>
        </w:rPr>
      </w:pPr>
      <w:r w:rsidRPr="004A132D">
        <w:rPr>
          <w:rFonts w:asciiTheme="minorHAnsi" w:hAnsiTheme="minorHAnsi"/>
          <w:spacing w:val="-2"/>
        </w:rPr>
        <w:t>review all existing legislation for compatibility with human rights.</w:t>
      </w:r>
    </w:p>
    <w:p w14:paraId="1C96EC9A" w14:textId="303A7D7A" w:rsidR="003D0E7B" w:rsidRPr="004A132D" w:rsidRDefault="003D0E7B" w:rsidP="00B8423E">
      <w:pPr>
        <w:pStyle w:val="Numbers"/>
        <w:numPr>
          <w:ilvl w:val="1"/>
          <w:numId w:val="1"/>
        </w:numPr>
        <w:rPr>
          <w:rFonts w:asciiTheme="minorHAnsi" w:hAnsiTheme="minorHAnsi"/>
          <w:spacing w:val="-2"/>
        </w:rPr>
      </w:pPr>
      <w:r w:rsidRPr="004A132D">
        <w:rPr>
          <w:rFonts w:asciiTheme="minorHAnsi" w:hAnsiTheme="minorHAnsi"/>
          <w:spacing w:val="-2"/>
        </w:rPr>
        <w:t>The Australian Government is considering the Committee’s report.</w:t>
      </w:r>
    </w:p>
    <w:p w14:paraId="64FFA177" w14:textId="77777777" w:rsidR="00FD3AFA" w:rsidRPr="004A132D" w:rsidRDefault="00FD3AFA" w:rsidP="00B8423E">
      <w:pPr>
        <w:pStyle w:val="Heading2"/>
      </w:pPr>
      <w:bookmarkStart w:id="21" w:name="_Toc174011665"/>
      <w:bookmarkStart w:id="22" w:name="_Toc175556760"/>
      <w:r w:rsidRPr="004A132D">
        <w:t>Question 4b: Recognition of First Nations People in the Constitution</w:t>
      </w:r>
      <w:bookmarkEnd w:id="21"/>
      <w:bookmarkEnd w:id="22"/>
      <w:r w:rsidRPr="004A132D">
        <w:t xml:space="preserve">  </w:t>
      </w:r>
    </w:p>
    <w:p w14:paraId="3DE2440C" w14:textId="77777777" w:rsidR="005621C9" w:rsidRPr="004A132D" w:rsidRDefault="005621C9" w:rsidP="0002378E">
      <w:pPr>
        <w:pStyle w:val="Numbers"/>
        <w:ind w:left="1418"/>
        <w:rPr>
          <w:rFonts w:asciiTheme="minorHAnsi" w:hAnsiTheme="minorHAnsi"/>
        </w:rPr>
      </w:pPr>
      <w:r w:rsidRPr="004A132D">
        <w:rPr>
          <w:rFonts w:asciiTheme="minorHAnsi" w:hAnsiTheme="minorHAnsi"/>
        </w:rPr>
        <w:t xml:space="preserve">In October 2023, the </w:t>
      </w:r>
      <w:r w:rsidR="007123DB" w:rsidRPr="004A132D">
        <w:rPr>
          <w:rFonts w:asciiTheme="minorHAnsi" w:hAnsiTheme="minorHAnsi"/>
        </w:rPr>
        <w:t xml:space="preserve">Australian </w:t>
      </w:r>
      <w:r w:rsidRPr="004A132D">
        <w:rPr>
          <w:rFonts w:asciiTheme="minorHAnsi" w:hAnsiTheme="minorHAnsi"/>
        </w:rPr>
        <w:t xml:space="preserve">Government </w:t>
      </w:r>
      <w:r w:rsidR="007123DB" w:rsidRPr="004A132D">
        <w:rPr>
          <w:rFonts w:asciiTheme="minorHAnsi" w:hAnsiTheme="minorHAnsi"/>
        </w:rPr>
        <w:t>held</w:t>
      </w:r>
      <w:r w:rsidRPr="004A132D">
        <w:rPr>
          <w:rFonts w:asciiTheme="minorHAnsi" w:hAnsiTheme="minorHAnsi"/>
        </w:rPr>
        <w:t xml:space="preserve"> a referendum to recognise the First Peoples of Australia in the Constitution through an Aboriginal and Torres Strait Islander Voice. The referendum did not pass. The </w:t>
      </w:r>
      <w:r w:rsidR="007123DB" w:rsidRPr="004A132D">
        <w:rPr>
          <w:rFonts w:asciiTheme="minorHAnsi" w:hAnsiTheme="minorHAnsi"/>
        </w:rPr>
        <w:t xml:space="preserve">Australian </w:t>
      </w:r>
      <w:r w:rsidRPr="004A132D">
        <w:rPr>
          <w:rFonts w:asciiTheme="minorHAnsi" w:hAnsiTheme="minorHAnsi"/>
        </w:rPr>
        <w:t xml:space="preserve">Government respects the outcome of the referendum. </w:t>
      </w:r>
    </w:p>
    <w:p w14:paraId="2C5956D4" w14:textId="77777777" w:rsidR="00EA3FD5" w:rsidRPr="004A132D" w:rsidRDefault="005621C9" w:rsidP="0002378E">
      <w:pPr>
        <w:pStyle w:val="Numbers"/>
        <w:ind w:left="1418"/>
        <w:rPr>
          <w:rFonts w:asciiTheme="minorHAnsi" w:hAnsiTheme="minorHAnsi"/>
        </w:rPr>
      </w:pPr>
      <w:r w:rsidRPr="004A132D">
        <w:rPr>
          <w:rFonts w:asciiTheme="minorHAnsi" w:hAnsiTheme="minorHAnsi"/>
        </w:rPr>
        <w:t xml:space="preserve">The </w:t>
      </w:r>
      <w:r w:rsidR="00575986" w:rsidRPr="004A132D">
        <w:rPr>
          <w:rFonts w:asciiTheme="minorHAnsi" w:hAnsiTheme="minorHAnsi"/>
        </w:rPr>
        <w:t xml:space="preserve">Australian </w:t>
      </w:r>
      <w:r w:rsidRPr="004A132D">
        <w:rPr>
          <w:rFonts w:asciiTheme="minorHAnsi" w:hAnsiTheme="minorHAnsi"/>
        </w:rPr>
        <w:t>Government will continue to listen to Aboriginal and Torres Strait Islander peoples and communities to advance reconciliation and achieve better outcomes for Aboriginal and Torres Strait Islander peoples, including women.</w:t>
      </w:r>
    </w:p>
    <w:p w14:paraId="7A64CE04" w14:textId="77777777" w:rsidR="00FD3AFA" w:rsidRPr="004A132D" w:rsidRDefault="00FD3AFA" w:rsidP="00C12EB6">
      <w:pPr>
        <w:pStyle w:val="Heading2"/>
      </w:pPr>
      <w:bookmarkStart w:id="23" w:name="_Toc174011666"/>
      <w:bookmarkStart w:id="24" w:name="_Toc175556761"/>
      <w:r w:rsidRPr="004A132D">
        <w:t>Question 4c: Harmonising federal, state and territory legislation</w:t>
      </w:r>
      <w:bookmarkEnd w:id="23"/>
      <w:bookmarkEnd w:id="24"/>
      <w:r w:rsidRPr="004A132D">
        <w:t xml:space="preserve">  </w:t>
      </w:r>
    </w:p>
    <w:p w14:paraId="084068D7" w14:textId="7A4F25E2" w:rsidR="00FD3AFA" w:rsidRPr="004A132D" w:rsidRDefault="00264AB8" w:rsidP="0002378E">
      <w:pPr>
        <w:pStyle w:val="Numbers"/>
        <w:tabs>
          <w:tab w:val="clear" w:pos="2835"/>
        </w:tabs>
        <w:ind w:left="1418"/>
        <w:rPr>
          <w:rFonts w:asciiTheme="minorHAnsi" w:hAnsiTheme="minorHAnsi"/>
        </w:rPr>
      </w:pPr>
      <w:r w:rsidRPr="004A132D">
        <w:rPr>
          <w:rFonts w:asciiTheme="minorHAnsi" w:hAnsiTheme="minorHAnsi"/>
        </w:rPr>
        <w:t>All Australian state and territory jurisdictions have adopted comprehensive anti</w:t>
      </w:r>
      <w:r w:rsidR="00DB60F5" w:rsidRPr="004A132D">
        <w:rPr>
          <w:rFonts w:asciiTheme="minorHAnsi" w:hAnsiTheme="minorHAnsi"/>
        </w:rPr>
        <w:noBreakHyphen/>
      </w:r>
      <w:r w:rsidRPr="004A132D">
        <w:rPr>
          <w:rFonts w:asciiTheme="minorHAnsi" w:hAnsiTheme="minorHAnsi"/>
        </w:rPr>
        <w:t xml:space="preserve">discrimination legislation </w:t>
      </w:r>
      <w:r w:rsidR="0078335C" w:rsidRPr="004A132D">
        <w:rPr>
          <w:rFonts w:asciiTheme="minorHAnsi" w:hAnsiTheme="minorHAnsi"/>
        </w:rPr>
        <w:t>that</w:t>
      </w:r>
      <w:r w:rsidR="00B13CAF" w:rsidRPr="004A132D">
        <w:rPr>
          <w:rFonts w:asciiTheme="minorHAnsi" w:hAnsiTheme="minorHAnsi"/>
        </w:rPr>
        <w:t xml:space="preserve"> </w:t>
      </w:r>
      <w:r w:rsidR="00B3134C" w:rsidRPr="004A132D">
        <w:rPr>
          <w:rFonts w:asciiTheme="minorHAnsi" w:hAnsiTheme="minorHAnsi"/>
        </w:rPr>
        <w:t>makes discrimination unlawful</w:t>
      </w:r>
      <w:r w:rsidRPr="004A132D">
        <w:rPr>
          <w:rFonts w:asciiTheme="minorHAnsi" w:hAnsiTheme="minorHAnsi"/>
        </w:rPr>
        <w:t xml:space="preserve"> on the basis of p</w:t>
      </w:r>
      <w:r w:rsidR="0078335C" w:rsidRPr="004A132D">
        <w:rPr>
          <w:rFonts w:asciiTheme="minorHAnsi" w:hAnsiTheme="minorHAnsi"/>
        </w:rPr>
        <w:t>rotected</w:t>
      </w:r>
      <w:r w:rsidRPr="004A132D">
        <w:rPr>
          <w:rFonts w:asciiTheme="minorHAnsi" w:hAnsiTheme="minorHAnsi"/>
        </w:rPr>
        <w:t xml:space="preserve"> attributes, including sex and gender identity:</w:t>
      </w:r>
    </w:p>
    <w:p w14:paraId="2A02BD79" w14:textId="77777777" w:rsidR="00FD3AFA" w:rsidRPr="004A132D" w:rsidRDefault="00FD3AFA" w:rsidP="00561D0E">
      <w:pPr>
        <w:pStyle w:val="SingleTxtG"/>
        <w:numPr>
          <w:ilvl w:val="1"/>
          <w:numId w:val="1"/>
        </w:numPr>
        <w:spacing w:line="360" w:lineRule="auto"/>
        <w:rPr>
          <w:rFonts w:asciiTheme="minorHAnsi" w:hAnsiTheme="minorHAnsi"/>
          <w:sz w:val="24"/>
          <w:szCs w:val="24"/>
          <w:lang w:val="en-NZ"/>
        </w:rPr>
      </w:pPr>
      <w:r w:rsidRPr="004A132D">
        <w:rPr>
          <w:rFonts w:asciiTheme="minorHAnsi" w:hAnsiTheme="minorHAnsi"/>
          <w:sz w:val="24"/>
          <w:szCs w:val="24"/>
          <w:lang w:val="en-NZ"/>
        </w:rPr>
        <w:t xml:space="preserve">ACT: </w:t>
      </w:r>
      <w:r w:rsidRPr="004A132D">
        <w:rPr>
          <w:rFonts w:asciiTheme="minorHAnsi" w:hAnsiTheme="minorHAnsi"/>
          <w:i/>
          <w:sz w:val="24"/>
          <w:szCs w:val="24"/>
          <w:lang w:val="en-NZ"/>
        </w:rPr>
        <w:t>Discrimination Act 1991</w:t>
      </w:r>
      <w:r w:rsidRPr="004A132D">
        <w:rPr>
          <w:rFonts w:asciiTheme="minorHAnsi" w:hAnsiTheme="minorHAnsi"/>
          <w:sz w:val="24"/>
          <w:szCs w:val="24"/>
          <w:lang w:val="en-NZ"/>
        </w:rPr>
        <w:t xml:space="preserve">, </w:t>
      </w:r>
      <w:r w:rsidRPr="004A132D">
        <w:rPr>
          <w:rFonts w:asciiTheme="minorHAnsi" w:hAnsiTheme="minorHAnsi"/>
          <w:i/>
          <w:sz w:val="24"/>
          <w:szCs w:val="24"/>
          <w:lang w:val="en-NZ"/>
        </w:rPr>
        <w:t>Human Rights Act 2004;</w:t>
      </w:r>
    </w:p>
    <w:p w14:paraId="462B9BBB" w14:textId="77777777" w:rsidR="00FD3AFA" w:rsidRPr="004A132D" w:rsidRDefault="00FD3AFA" w:rsidP="00561D0E">
      <w:pPr>
        <w:pStyle w:val="SingleTxtG"/>
        <w:numPr>
          <w:ilvl w:val="1"/>
          <w:numId w:val="1"/>
        </w:numPr>
        <w:spacing w:line="360" w:lineRule="auto"/>
        <w:rPr>
          <w:rFonts w:asciiTheme="minorHAnsi" w:hAnsiTheme="minorHAnsi"/>
          <w:sz w:val="24"/>
          <w:szCs w:val="24"/>
          <w:lang w:val="en-NZ"/>
        </w:rPr>
      </w:pPr>
      <w:r w:rsidRPr="004A132D">
        <w:rPr>
          <w:rFonts w:asciiTheme="minorHAnsi" w:hAnsiTheme="minorHAnsi"/>
          <w:sz w:val="24"/>
          <w:szCs w:val="24"/>
          <w:lang w:val="en-NZ"/>
        </w:rPr>
        <w:t xml:space="preserve">NSW: </w:t>
      </w:r>
      <w:r w:rsidRPr="004A132D">
        <w:rPr>
          <w:rFonts w:asciiTheme="minorHAnsi" w:hAnsiTheme="minorHAnsi"/>
          <w:i/>
          <w:sz w:val="24"/>
          <w:szCs w:val="24"/>
          <w:lang w:val="en-NZ"/>
        </w:rPr>
        <w:t>Anti-Discrimination Act 1977</w:t>
      </w:r>
      <w:r w:rsidRPr="004A132D">
        <w:rPr>
          <w:rFonts w:asciiTheme="minorHAnsi" w:hAnsiTheme="minorHAnsi"/>
          <w:sz w:val="24"/>
          <w:szCs w:val="24"/>
          <w:lang w:val="en-NZ"/>
        </w:rPr>
        <w:t>;</w:t>
      </w:r>
    </w:p>
    <w:p w14:paraId="1202276F" w14:textId="77777777" w:rsidR="00FD3AFA" w:rsidRPr="004A132D" w:rsidRDefault="00FD3AFA" w:rsidP="00561D0E">
      <w:pPr>
        <w:pStyle w:val="SingleTxtG"/>
        <w:numPr>
          <w:ilvl w:val="1"/>
          <w:numId w:val="1"/>
        </w:numPr>
        <w:spacing w:line="360" w:lineRule="auto"/>
        <w:rPr>
          <w:rFonts w:asciiTheme="minorHAnsi" w:hAnsiTheme="minorHAnsi"/>
          <w:sz w:val="24"/>
          <w:szCs w:val="24"/>
          <w:lang w:val="en-NZ"/>
        </w:rPr>
      </w:pPr>
      <w:r w:rsidRPr="004A132D">
        <w:rPr>
          <w:rFonts w:asciiTheme="minorHAnsi" w:hAnsiTheme="minorHAnsi"/>
          <w:sz w:val="24"/>
          <w:szCs w:val="24"/>
          <w:lang w:val="en-NZ"/>
        </w:rPr>
        <w:t xml:space="preserve">NT: </w:t>
      </w:r>
      <w:r w:rsidRPr="004A132D">
        <w:rPr>
          <w:rFonts w:asciiTheme="minorHAnsi" w:hAnsiTheme="minorHAnsi"/>
          <w:i/>
          <w:sz w:val="24"/>
          <w:szCs w:val="24"/>
          <w:lang w:val="en-NZ"/>
        </w:rPr>
        <w:t>Anti-Discrimination Act 1992</w:t>
      </w:r>
      <w:r w:rsidRPr="004A132D">
        <w:rPr>
          <w:rFonts w:asciiTheme="minorHAnsi" w:hAnsiTheme="minorHAnsi"/>
          <w:sz w:val="24"/>
          <w:szCs w:val="24"/>
          <w:lang w:val="en-NZ"/>
        </w:rPr>
        <w:t xml:space="preserve">; </w:t>
      </w:r>
    </w:p>
    <w:p w14:paraId="77AF8046" w14:textId="77777777" w:rsidR="00FD3AFA" w:rsidRPr="004A132D" w:rsidRDefault="00FD3AFA" w:rsidP="00561D0E">
      <w:pPr>
        <w:pStyle w:val="SingleTxtG"/>
        <w:numPr>
          <w:ilvl w:val="1"/>
          <w:numId w:val="1"/>
        </w:numPr>
        <w:spacing w:line="360" w:lineRule="auto"/>
        <w:rPr>
          <w:rFonts w:asciiTheme="minorHAnsi" w:hAnsiTheme="minorHAnsi"/>
          <w:sz w:val="24"/>
          <w:szCs w:val="24"/>
          <w:lang w:val="en-NZ"/>
        </w:rPr>
      </w:pPr>
      <w:r w:rsidRPr="004A132D">
        <w:rPr>
          <w:rFonts w:asciiTheme="minorHAnsi" w:hAnsiTheme="minorHAnsi"/>
          <w:sz w:val="24"/>
          <w:szCs w:val="24"/>
          <w:lang w:val="en-NZ"/>
        </w:rPr>
        <w:t xml:space="preserve">QLD: </w:t>
      </w:r>
      <w:r w:rsidRPr="004A132D">
        <w:rPr>
          <w:rFonts w:asciiTheme="minorHAnsi" w:hAnsiTheme="minorHAnsi"/>
          <w:i/>
          <w:sz w:val="24"/>
          <w:szCs w:val="24"/>
          <w:lang w:val="en-NZ"/>
        </w:rPr>
        <w:t>Anti-Discrimination Act 1991</w:t>
      </w:r>
      <w:r w:rsidRPr="004A132D">
        <w:rPr>
          <w:rFonts w:asciiTheme="minorHAnsi" w:hAnsiTheme="minorHAnsi"/>
          <w:sz w:val="24"/>
          <w:szCs w:val="24"/>
          <w:lang w:val="en-NZ"/>
        </w:rPr>
        <w:t xml:space="preserve">, </w:t>
      </w:r>
      <w:r w:rsidRPr="004A132D">
        <w:rPr>
          <w:rFonts w:asciiTheme="minorHAnsi" w:hAnsiTheme="minorHAnsi"/>
          <w:i/>
          <w:sz w:val="24"/>
          <w:szCs w:val="24"/>
          <w:lang w:val="en-NZ"/>
        </w:rPr>
        <w:t>Human Rights Act 2019</w:t>
      </w:r>
      <w:r w:rsidRPr="004A132D">
        <w:rPr>
          <w:rFonts w:asciiTheme="minorHAnsi" w:hAnsiTheme="minorHAnsi"/>
          <w:sz w:val="24"/>
          <w:szCs w:val="24"/>
          <w:lang w:val="en-NZ"/>
        </w:rPr>
        <w:t xml:space="preserve">; </w:t>
      </w:r>
    </w:p>
    <w:p w14:paraId="22D8EB0D" w14:textId="77777777" w:rsidR="00FD3AFA" w:rsidRPr="004A132D" w:rsidRDefault="00FD3AFA" w:rsidP="00561D0E">
      <w:pPr>
        <w:pStyle w:val="SingleTxtG"/>
        <w:numPr>
          <w:ilvl w:val="1"/>
          <w:numId w:val="1"/>
        </w:numPr>
        <w:spacing w:line="360" w:lineRule="auto"/>
        <w:rPr>
          <w:rFonts w:asciiTheme="minorHAnsi" w:hAnsiTheme="minorHAnsi"/>
          <w:sz w:val="24"/>
          <w:szCs w:val="24"/>
          <w:lang w:val="en-NZ"/>
        </w:rPr>
      </w:pPr>
      <w:r w:rsidRPr="004A132D">
        <w:rPr>
          <w:rFonts w:asciiTheme="minorHAnsi" w:hAnsiTheme="minorHAnsi"/>
          <w:sz w:val="24"/>
          <w:szCs w:val="24"/>
          <w:lang w:val="en-NZ"/>
        </w:rPr>
        <w:t xml:space="preserve">SA: </w:t>
      </w:r>
      <w:r w:rsidRPr="004A132D">
        <w:rPr>
          <w:rFonts w:asciiTheme="minorHAnsi" w:hAnsiTheme="minorHAnsi"/>
          <w:i/>
          <w:sz w:val="24"/>
          <w:szCs w:val="24"/>
          <w:lang w:val="en-NZ"/>
        </w:rPr>
        <w:t>Equal Opportunity Act 1984</w:t>
      </w:r>
      <w:r w:rsidRPr="004A132D">
        <w:rPr>
          <w:rFonts w:asciiTheme="minorHAnsi" w:hAnsiTheme="minorHAnsi"/>
          <w:sz w:val="24"/>
          <w:szCs w:val="24"/>
          <w:lang w:val="en-NZ"/>
        </w:rPr>
        <w:t xml:space="preserve">; </w:t>
      </w:r>
    </w:p>
    <w:p w14:paraId="76BE21AB" w14:textId="77777777" w:rsidR="00FD3AFA" w:rsidRPr="004A132D" w:rsidRDefault="00FD3AFA" w:rsidP="00561D0E">
      <w:pPr>
        <w:pStyle w:val="SingleTxtG"/>
        <w:numPr>
          <w:ilvl w:val="1"/>
          <w:numId w:val="1"/>
        </w:numPr>
        <w:spacing w:line="360" w:lineRule="auto"/>
        <w:rPr>
          <w:rFonts w:asciiTheme="minorHAnsi" w:hAnsiTheme="minorHAnsi"/>
          <w:sz w:val="24"/>
          <w:szCs w:val="24"/>
          <w:lang w:val="en-NZ"/>
        </w:rPr>
      </w:pPr>
      <w:r w:rsidRPr="004A132D">
        <w:rPr>
          <w:rFonts w:asciiTheme="minorHAnsi" w:hAnsiTheme="minorHAnsi"/>
          <w:sz w:val="24"/>
          <w:szCs w:val="24"/>
          <w:lang w:val="en-NZ"/>
        </w:rPr>
        <w:lastRenderedPageBreak/>
        <w:t xml:space="preserve">TAS: </w:t>
      </w:r>
      <w:r w:rsidRPr="004A132D">
        <w:rPr>
          <w:rFonts w:asciiTheme="minorHAnsi" w:hAnsiTheme="minorHAnsi"/>
          <w:i/>
          <w:sz w:val="24"/>
          <w:szCs w:val="24"/>
          <w:lang w:val="en-NZ"/>
        </w:rPr>
        <w:t>Anti-Discrimination Act 1998</w:t>
      </w:r>
      <w:r w:rsidRPr="004A132D">
        <w:rPr>
          <w:rFonts w:asciiTheme="minorHAnsi" w:hAnsiTheme="minorHAnsi"/>
          <w:sz w:val="24"/>
          <w:szCs w:val="24"/>
          <w:lang w:val="en-NZ"/>
        </w:rPr>
        <w:t xml:space="preserve">; </w:t>
      </w:r>
    </w:p>
    <w:p w14:paraId="771E960D" w14:textId="77777777" w:rsidR="00FD3AFA" w:rsidRPr="004A132D" w:rsidRDefault="00FD3AFA" w:rsidP="00561D0E">
      <w:pPr>
        <w:pStyle w:val="SingleTxtG"/>
        <w:numPr>
          <w:ilvl w:val="1"/>
          <w:numId w:val="1"/>
        </w:numPr>
        <w:spacing w:line="360" w:lineRule="auto"/>
        <w:rPr>
          <w:rFonts w:asciiTheme="minorHAnsi" w:hAnsiTheme="minorHAnsi"/>
          <w:sz w:val="24"/>
          <w:szCs w:val="24"/>
          <w:lang w:val="en-NZ"/>
        </w:rPr>
      </w:pPr>
      <w:r w:rsidRPr="004A132D">
        <w:rPr>
          <w:rFonts w:asciiTheme="minorHAnsi" w:hAnsiTheme="minorHAnsi"/>
          <w:sz w:val="24"/>
          <w:szCs w:val="24"/>
          <w:lang w:val="en-NZ"/>
        </w:rPr>
        <w:t xml:space="preserve">VIC: </w:t>
      </w:r>
      <w:r w:rsidRPr="004A132D">
        <w:rPr>
          <w:rFonts w:asciiTheme="minorHAnsi" w:hAnsiTheme="minorHAnsi"/>
          <w:i/>
          <w:sz w:val="24"/>
          <w:szCs w:val="24"/>
          <w:lang w:val="en-NZ"/>
        </w:rPr>
        <w:t>Equal Opportunity Act 2010</w:t>
      </w:r>
      <w:r w:rsidRPr="004A132D">
        <w:rPr>
          <w:rFonts w:asciiTheme="minorHAnsi" w:hAnsiTheme="minorHAnsi"/>
          <w:sz w:val="24"/>
          <w:szCs w:val="24"/>
          <w:lang w:val="en-NZ"/>
        </w:rPr>
        <w:t xml:space="preserve">, </w:t>
      </w:r>
      <w:r w:rsidRPr="004A132D">
        <w:rPr>
          <w:rFonts w:asciiTheme="minorHAnsi" w:hAnsiTheme="minorHAnsi"/>
          <w:i/>
          <w:sz w:val="24"/>
          <w:szCs w:val="24"/>
          <w:lang w:val="en-NZ"/>
        </w:rPr>
        <w:t>Charter of Human Rights and Responsibilities Act 2006</w:t>
      </w:r>
      <w:r w:rsidRPr="004A132D">
        <w:rPr>
          <w:rFonts w:asciiTheme="minorHAnsi" w:hAnsiTheme="minorHAnsi"/>
          <w:sz w:val="24"/>
          <w:szCs w:val="24"/>
          <w:lang w:val="en-NZ"/>
        </w:rPr>
        <w:t xml:space="preserve">; </w:t>
      </w:r>
    </w:p>
    <w:p w14:paraId="6B6F7784" w14:textId="77777777" w:rsidR="00FD3AFA" w:rsidRPr="004A132D" w:rsidRDefault="00FD3AFA" w:rsidP="00561D0E">
      <w:pPr>
        <w:pStyle w:val="SingleTxtG"/>
        <w:numPr>
          <w:ilvl w:val="1"/>
          <w:numId w:val="1"/>
        </w:numPr>
        <w:spacing w:line="360" w:lineRule="auto"/>
        <w:rPr>
          <w:rFonts w:asciiTheme="minorHAnsi" w:hAnsiTheme="minorHAnsi"/>
          <w:sz w:val="24"/>
          <w:szCs w:val="24"/>
          <w:lang w:val="en-NZ"/>
        </w:rPr>
      </w:pPr>
      <w:r w:rsidRPr="004A132D">
        <w:rPr>
          <w:rFonts w:asciiTheme="minorHAnsi" w:hAnsiTheme="minorHAnsi"/>
          <w:sz w:val="24"/>
          <w:szCs w:val="24"/>
          <w:lang w:val="en-NZ"/>
        </w:rPr>
        <w:t xml:space="preserve">WA: </w:t>
      </w:r>
      <w:r w:rsidRPr="004A132D">
        <w:rPr>
          <w:rFonts w:asciiTheme="minorHAnsi" w:hAnsiTheme="minorHAnsi"/>
          <w:i/>
          <w:sz w:val="24"/>
          <w:szCs w:val="24"/>
          <w:lang w:val="en-NZ"/>
        </w:rPr>
        <w:t>Equal Opportunity Act 1984</w:t>
      </w:r>
      <w:r w:rsidRPr="004A132D">
        <w:rPr>
          <w:rFonts w:asciiTheme="minorHAnsi" w:hAnsiTheme="minorHAnsi"/>
          <w:sz w:val="24"/>
          <w:szCs w:val="24"/>
          <w:lang w:val="en-NZ"/>
        </w:rPr>
        <w:t>.</w:t>
      </w:r>
    </w:p>
    <w:p w14:paraId="2E48FA77" w14:textId="01333692" w:rsidR="007166EE" w:rsidRPr="004A132D" w:rsidRDefault="007166EE" w:rsidP="0002378E">
      <w:pPr>
        <w:pStyle w:val="Numbers"/>
        <w:ind w:left="1418"/>
        <w:rPr>
          <w:rFonts w:asciiTheme="minorHAnsi" w:hAnsiTheme="minorHAnsi"/>
        </w:rPr>
      </w:pPr>
      <w:r w:rsidRPr="004A132D">
        <w:rPr>
          <w:rFonts w:asciiTheme="minorHAnsi" w:hAnsiTheme="minorHAnsi"/>
        </w:rPr>
        <w:t xml:space="preserve">Where a state law is inconsistent with a </w:t>
      </w:r>
      <w:r w:rsidR="00E903B2" w:rsidRPr="004A132D">
        <w:rPr>
          <w:rFonts w:asciiTheme="minorHAnsi" w:hAnsiTheme="minorHAnsi"/>
        </w:rPr>
        <w:t>federal</w:t>
      </w:r>
      <w:r w:rsidRPr="004A132D">
        <w:rPr>
          <w:rFonts w:asciiTheme="minorHAnsi" w:hAnsiTheme="minorHAnsi"/>
        </w:rPr>
        <w:t xml:space="preserve"> law, section 109 of the </w:t>
      </w:r>
      <w:r w:rsidR="00575986" w:rsidRPr="004A132D">
        <w:rPr>
          <w:rFonts w:asciiTheme="minorHAnsi" w:hAnsiTheme="minorHAnsi"/>
        </w:rPr>
        <w:t xml:space="preserve">Australian </w:t>
      </w:r>
      <w:r w:rsidRPr="004A132D">
        <w:rPr>
          <w:rFonts w:asciiTheme="minorHAnsi" w:hAnsiTheme="minorHAnsi"/>
        </w:rPr>
        <w:t xml:space="preserve">Constitution provides </w:t>
      </w:r>
      <w:r w:rsidR="00FC6907" w:rsidRPr="004A132D">
        <w:rPr>
          <w:rFonts w:asciiTheme="minorHAnsi" w:hAnsiTheme="minorHAnsi"/>
        </w:rPr>
        <w:t xml:space="preserve">for the </w:t>
      </w:r>
      <w:r w:rsidR="00B13CAF" w:rsidRPr="004A132D">
        <w:rPr>
          <w:rFonts w:asciiTheme="minorHAnsi" w:hAnsiTheme="minorHAnsi"/>
        </w:rPr>
        <w:t>federal</w:t>
      </w:r>
      <w:r w:rsidRPr="004A132D">
        <w:rPr>
          <w:rFonts w:asciiTheme="minorHAnsi" w:hAnsiTheme="minorHAnsi"/>
        </w:rPr>
        <w:t xml:space="preserve"> law </w:t>
      </w:r>
      <w:r w:rsidR="00DB60F5" w:rsidRPr="004A132D">
        <w:rPr>
          <w:rFonts w:asciiTheme="minorHAnsi" w:hAnsiTheme="minorHAnsi"/>
        </w:rPr>
        <w:t xml:space="preserve">to </w:t>
      </w:r>
      <w:r w:rsidRPr="004A132D">
        <w:rPr>
          <w:rFonts w:asciiTheme="minorHAnsi" w:hAnsiTheme="minorHAnsi"/>
        </w:rPr>
        <w:t>prevail</w:t>
      </w:r>
      <w:r w:rsidR="00FD4760" w:rsidRPr="004A132D">
        <w:rPr>
          <w:rFonts w:asciiTheme="minorHAnsi" w:hAnsiTheme="minorHAnsi"/>
        </w:rPr>
        <w:t xml:space="preserve">, </w:t>
      </w:r>
      <w:r w:rsidR="00FD4760" w:rsidRPr="004A132D">
        <w:rPr>
          <w:rFonts w:asciiTheme="minorHAnsi" w:hAnsiTheme="minorHAnsi"/>
          <w:lang w:val="en-AU"/>
        </w:rPr>
        <w:t>rendering the state law inoperative</w:t>
      </w:r>
      <w:r w:rsidRPr="004A132D">
        <w:rPr>
          <w:rFonts w:asciiTheme="minorHAnsi" w:hAnsiTheme="minorHAnsi"/>
        </w:rPr>
        <w:t xml:space="preserve"> to the extent of the incons</w:t>
      </w:r>
      <w:r w:rsidR="00B3134C" w:rsidRPr="004A132D">
        <w:rPr>
          <w:rFonts w:asciiTheme="minorHAnsi" w:hAnsiTheme="minorHAnsi"/>
        </w:rPr>
        <w:t xml:space="preserve">istency. </w:t>
      </w:r>
      <w:r w:rsidR="00FD4760" w:rsidRPr="004A132D">
        <w:rPr>
          <w:rFonts w:asciiTheme="minorHAnsi" w:hAnsiTheme="minorHAnsi"/>
          <w:lang w:val="en-AU"/>
        </w:rPr>
        <w:t xml:space="preserve">Similar principles apply to any inconsistency between territory laws and Commonwealth laws. </w:t>
      </w:r>
      <w:r w:rsidR="00B3134C" w:rsidRPr="004A132D">
        <w:rPr>
          <w:rFonts w:asciiTheme="minorHAnsi" w:hAnsiTheme="minorHAnsi"/>
        </w:rPr>
        <w:t>Th</w:t>
      </w:r>
      <w:r w:rsidR="00FD4760" w:rsidRPr="004A132D">
        <w:rPr>
          <w:rFonts w:asciiTheme="minorHAnsi" w:hAnsiTheme="minorHAnsi"/>
        </w:rPr>
        <w:t xml:space="preserve">ese rules </w:t>
      </w:r>
      <w:r w:rsidR="00B3134C" w:rsidRPr="004A132D">
        <w:rPr>
          <w:rFonts w:asciiTheme="minorHAnsi" w:hAnsiTheme="minorHAnsi"/>
        </w:rPr>
        <w:t xml:space="preserve">would apply to any inconsistencies between state or territory anti-discrimination legislation and the </w:t>
      </w:r>
      <w:r w:rsidR="000E2B9D" w:rsidRPr="004A132D">
        <w:rPr>
          <w:rFonts w:asciiTheme="minorHAnsi" w:hAnsiTheme="minorHAnsi"/>
        </w:rPr>
        <w:t>Sex Discrimination Act</w:t>
      </w:r>
      <w:r w:rsidR="00B3134C" w:rsidRPr="004A132D">
        <w:rPr>
          <w:rFonts w:asciiTheme="minorHAnsi" w:hAnsiTheme="minorHAnsi"/>
        </w:rPr>
        <w:t xml:space="preserve">. </w:t>
      </w:r>
      <w:r w:rsidRPr="004A132D">
        <w:rPr>
          <w:rFonts w:asciiTheme="minorHAnsi" w:hAnsiTheme="minorHAnsi"/>
        </w:rPr>
        <w:t xml:space="preserve">Federal </w:t>
      </w:r>
      <w:r w:rsidR="00FD4760" w:rsidRPr="004A132D">
        <w:rPr>
          <w:rFonts w:asciiTheme="minorHAnsi" w:hAnsiTheme="minorHAnsi"/>
        </w:rPr>
        <w:t>anti-</w:t>
      </w:r>
      <w:r w:rsidRPr="004A132D">
        <w:rPr>
          <w:rFonts w:asciiTheme="minorHAnsi" w:hAnsiTheme="minorHAnsi"/>
        </w:rPr>
        <w:t xml:space="preserve">discrimination legislation does not displace or limit the operation of state and territory laws </w:t>
      </w:r>
      <w:r w:rsidR="00972DE4" w:rsidRPr="004A132D">
        <w:rPr>
          <w:rFonts w:asciiTheme="minorHAnsi" w:hAnsiTheme="minorHAnsi"/>
        </w:rPr>
        <w:t>where</w:t>
      </w:r>
      <w:r w:rsidRPr="004A132D">
        <w:rPr>
          <w:rFonts w:asciiTheme="minorHAnsi" w:hAnsiTheme="minorHAnsi"/>
        </w:rPr>
        <w:t xml:space="preserve"> </w:t>
      </w:r>
      <w:r w:rsidR="00DB7F12" w:rsidRPr="004A132D">
        <w:rPr>
          <w:rFonts w:asciiTheme="minorHAnsi" w:hAnsiTheme="minorHAnsi"/>
        </w:rPr>
        <w:t xml:space="preserve">they </w:t>
      </w:r>
      <w:r w:rsidRPr="004A132D">
        <w:rPr>
          <w:rFonts w:asciiTheme="minorHAnsi" w:hAnsiTheme="minorHAnsi"/>
        </w:rPr>
        <w:t xml:space="preserve">are capable of operating concurrently. </w:t>
      </w:r>
    </w:p>
    <w:p w14:paraId="40BD7648" w14:textId="08095A00" w:rsidR="009817A6" w:rsidRPr="004A132D" w:rsidRDefault="00B3134C" w:rsidP="0002378E">
      <w:pPr>
        <w:pStyle w:val="Numbers"/>
        <w:ind w:left="1418"/>
        <w:rPr>
          <w:rFonts w:asciiTheme="minorHAnsi" w:hAnsiTheme="minorHAnsi"/>
        </w:rPr>
      </w:pPr>
      <w:r w:rsidRPr="004A132D">
        <w:rPr>
          <w:rFonts w:asciiTheme="minorHAnsi" w:hAnsiTheme="minorHAnsi"/>
        </w:rPr>
        <w:t>Whil</w:t>
      </w:r>
      <w:r w:rsidR="00DB60F5" w:rsidRPr="004A132D">
        <w:rPr>
          <w:rFonts w:asciiTheme="minorHAnsi" w:hAnsiTheme="minorHAnsi"/>
        </w:rPr>
        <w:t>e</w:t>
      </w:r>
      <w:r w:rsidRPr="004A132D">
        <w:rPr>
          <w:rFonts w:asciiTheme="minorHAnsi" w:hAnsiTheme="minorHAnsi"/>
        </w:rPr>
        <w:t xml:space="preserve"> states and territories are responsible for their own anti-discrimination legislation, </w:t>
      </w:r>
      <w:r w:rsidR="009817A6" w:rsidRPr="004A132D">
        <w:rPr>
          <w:rFonts w:asciiTheme="minorHAnsi" w:hAnsiTheme="minorHAnsi"/>
        </w:rPr>
        <w:t>the</w:t>
      </w:r>
      <w:r w:rsidRPr="004A132D">
        <w:rPr>
          <w:rFonts w:asciiTheme="minorHAnsi" w:hAnsiTheme="minorHAnsi"/>
        </w:rPr>
        <w:t xml:space="preserve"> </w:t>
      </w:r>
      <w:r w:rsidR="007166EE" w:rsidRPr="004A132D">
        <w:rPr>
          <w:rFonts w:asciiTheme="minorHAnsi" w:hAnsiTheme="minorHAnsi"/>
        </w:rPr>
        <w:t xml:space="preserve">Australian Government </w:t>
      </w:r>
      <w:r w:rsidR="009817A6" w:rsidRPr="004A132D">
        <w:rPr>
          <w:rFonts w:asciiTheme="minorHAnsi" w:hAnsiTheme="minorHAnsi"/>
        </w:rPr>
        <w:t>works closely with</w:t>
      </w:r>
      <w:r w:rsidRPr="004A132D">
        <w:rPr>
          <w:rFonts w:asciiTheme="minorHAnsi" w:hAnsiTheme="minorHAnsi"/>
        </w:rPr>
        <w:t xml:space="preserve"> states and territories to </w:t>
      </w:r>
      <w:r w:rsidR="00884794" w:rsidRPr="004A132D">
        <w:rPr>
          <w:rFonts w:asciiTheme="minorHAnsi" w:hAnsiTheme="minorHAnsi"/>
        </w:rPr>
        <w:t xml:space="preserve">bring leadership to the </w:t>
      </w:r>
      <w:r w:rsidRPr="004A132D">
        <w:rPr>
          <w:rFonts w:asciiTheme="minorHAnsi" w:hAnsiTheme="minorHAnsi"/>
        </w:rPr>
        <w:t>consistency</w:t>
      </w:r>
      <w:r w:rsidR="00884794" w:rsidRPr="004A132D">
        <w:rPr>
          <w:rFonts w:asciiTheme="minorHAnsi" w:hAnsiTheme="minorHAnsi"/>
        </w:rPr>
        <w:t xml:space="preserve"> and application</w:t>
      </w:r>
      <w:r w:rsidRPr="004A132D">
        <w:rPr>
          <w:rFonts w:asciiTheme="minorHAnsi" w:hAnsiTheme="minorHAnsi"/>
        </w:rPr>
        <w:t xml:space="preserve"> </w:t>
      </w:r>
      <w:r w:rsidR="00884794" w:rsidRPr="004A132D">
        <w:rPr>
          <w:rFonts w:asciiTheme="minorHAnsi" w:hAnsiTheme="minorHAnsi"/>
        </w:rPr>
        <w:t xml:space="preserve">of the Convention as well as </w:t>
      </w:r>
      <w:r w:rsidR="002275CC" w:rsidRPr="004A132D">
        <w:rPr>
          <w:rFonts w:asciiTheme="minorHAnsi" w:hAnsiTheme="minorHAnsi"/>
        </w:rPr>
        <w:t xml:space="preserve">domestic anti-discrimination </w:t>
      </w:r>
      <w:r w:rsidRPr="004A132D">
        <w:rPr>
          <w:rFonts w:asciiTheme="minorHAnsi" w:hAnsiTheme="minorHAnsi"/>
        </w:rPr>
        <w:t>legislation and policy</w:t>
      </w:r>
      <w:r w:rsidR="00FB0E15" w:rsidRPr="004A132D">
        <w:rPr>
          <w:rFonts w:asciiTheme="minorHAnsi" w:hAnsiTheme="minorHAnsi"/>
        </w:rPr>
        <w:t>.</w:t>
      </w:r>
    </w:p>
    <w:p w14:paraId="69627917" w14:textId="062209D4" w:rsidR="00040CEE" w:rsidRPr="004A132D" w:rsidRDefault="00B3134C" w:rsidP="00A15EC3">
      <w:pPr>
        <w:pStyle w:val="Numbers"/>
        <w:numPr>
          <w:ilvl w:val="1"/>
          <w:numId w:val="1"/>
        </w:numPr>
        <w:rPr>
          <w:rFonts w:asciiTheme="minorHAnsi" w:hAnsiTheme="minorHAnsi"/>
        </w:rPr>
      </w:pPr>
      <w:r w:rsidRPr="004A132D">
        <w:rPr>
          <w:rFonts w:asciiTheme="minorHAnsi" w:hAnsiTheme="minorHAnsi"/>
        </w:rPr>
        <w:t>For example,</w:t>
      </w:r>
      <w:r w:rsidR="007166EE" w:rsidRPr="004A132D">
        <w:rPr>
          <w:rFonts w:asciiTheme="minorHAnsi" w:hAnsiTheme="minorHAnsi"/>
        </w:rPr>
        <w:t xml:space="preserve"> </w:t>
      </w:r>
      <w:r w:rsidR="00B0229C" w:rsidRPr="004A132D">
        <w:rPr>
          <w:rFonts w:asciiTheme="minorHAnsi" w:hAnsiTheme="minorHAnsi"/>
        </w:rPr>
        <w:t xml:space="preserve">during </w:t>
      </w:r>
      <w:r w:rsidR="00620EB6" w:rsidRPr="004A132D">
        <w:rPr>
          <w:rFonts w:asciiTheme="minorHAnsi" w:hAnsiTheme="minorHAnsi"/>
        </w:rPr>
        <w:t xml:space="preserve">2021-2023, </w:t>
      </w:r>
      <w:r w:rsidR="006D0885" w:rsidRPr="004A132D">
        <w:rPr>
          <w:rFonts w:asciiTheme="minorHAnsi" w:hAnsiTheme="minorHAnsi"/>
        </w:rPr>
        <w:t xml:space="preserve">the </w:t>
      </w:r>
      <w:r w:rsidR="007166EE" w:rsidRPr="004A132D">
        <w:rPr>
          <w:rFonts w:asciiTheme="minorHAnsi" w:hAnsiTheme="minorHAnsi"/>
        </w:rPr>
        <w:t>Standing Council of Attorneys</w:t>
      </w:r>
      <w:r w:rsidR="00DB60F5" w:rsidRPr="004A132D">
        <w:rPr>
          <w:rFonts w:asciiTheme="minorHAnsi" w:hAnsiTheme="minorHAnsi"/>
        </w:rPr>
        <w:noBreakHyphen/>
      </w:r>
      <w:r w:rsidR="007166EE" w:rsidRPr="004A132D">
        <w:rPr>
          <w:rFonts w:asciiTheme="minorHAnsi" w:hAnsiTheme="minorHAnsi"/>
        </w:rPr>
        <w:t>General</w:t>
      </w:r>
      <w:r w:rsidR="006D0885" w:rsidRPr="004A132D">
        <w:rPr>
          <w:rFonts w:asciiTheme="minorHAnsi" w:hAnsiTheme="minorHAnsi"/>
        </w:rPr>
        <w:t xml:space="preserve"> (all state, territory and federal </w:t>
      </w:r>
      <w:r w:rsidR="00DB7F12" w:rsidRPr="004A132D">
        <w:rPr>
          <w:rFonts w:asciiTheme="minorHAnsi" w:hAnsiTheme="minorHAnsi"/>
        </w:rPr>
        <w:t>Attorneys-General)</w:t>
      </w:r>
      <w:r w:rsidR="006D0885" w:rsidRPr="004A132D">
        <w:rPr>
          <w:rFonts w:asciiTheme="minorHAnsi" w:hAnsiTheme="minorHAnsi"/>
        </w:rPr>
        <w:t xml:space="preserve"> </w:t>
      </w:r>
      <w:r w:rsidR="00F8797D" w:rsidRPr="004A132D">
        <w:rPr>
          <w:rFonts w:asciiTheme="minorHAnsi" w:hAnsiTheme="minorHAnsi"/>
        </w:rPr>
        <w:t xml:space="preserve">reviewed the consistency of sexual harassment and sex discrimination laws in response to </w:t>
      </w:r>
      <w:r w:rsidR="00494066" w:rsidRPr="004A132D">
        <w:rPr>
          <w:rFonts w:asciiTheme="minorHAnsi" w:hAnsiTheme="minorHAnsi"/>
        </w:rPr>
        <w:t>the AHRC</w:t>
      </w:r>
      <w:r w:rsidR="00D65112" w:rsidRPr="004A132D">
        <w:rPr>
          <w:rFonts w:asciiTheme="minorHAnsi" w:hAnsiTheme="minorHAnsi"/>
        </w:rPr>
        <w:t xml:space="preserve">’s </w:t>
      </w:r>
      <w:r w:rsidR="00FB0E15" w:rsidRPr="004A132D">
        <w:rPr>
          <w:rFonts w:asciiTheme="minorHAnsi" w:hAnsiTheme="minorHAnsi"/>
          <w:i/>
        </w:rPr>
        <w:t xml:space="preserve">2020 </w:t>
      </w:r>
      <w:r w:rsidR="000E2B9D" w:rsidRPr="004A132D">
        <w:rPr>
          <w:rFonts w:asciiTheme="minorHAnsi" w:hAnsiTheme="minorHAnsi"/>
          <w:i/>
        </w:rPr>
        <w:t>Respect@Work Report</w:t>
      </w:r>
      <w:r w:rsidR="000E2B9D" w:rsidRPr="004A132D">
        <w:rPr>
          <w:rFonts w:asciiTheme="minorHAnsi" w:hAnsiTheme="minorHAnsi"/>
        </w:rPr>
        <w:t xml:space="preserve">. </w:t>
      </w:r>
      <w:r w:rsidR="00F8797D" w:rsidRPr="004A132D">
        <w:rPr>
          <w:rFonts w:asciiTheme="minorHAnsi" w:hAnsiTheme="minorHAnsi"/>
        </w:rPr>
        <w:t>In</w:t>
      </w:r>
      <w:r w:rsidR="00A15EC3" w:rsidRPr="004A132D">
        <w:rPr>
          <w:rFonts w:asciiTheme="minorHAnsi" w:hAnsiTheme="minorHAnsi"/>
        </w:rPr>
        <w:t> </w:t>
      </w:r>
      <w:r w:rsidR="00F8797D" w:rsidRPr="004A132D">
        <w:rPr>
          <w:rFonts w:asciiTheme="minorHAnsi" w:hAnsiTheme="minorHAnsi"/>
        </w:rPr>
        <w:t xml:space="preserve">September 2023, Attorneys-General </w:t>
      </w:r>
      <w:r w:rsidR="00180783" w:rsidRPr="004A132D">
        <w:rPr>
          <w:rFonts w:asciiTheme="minorHAnsi" w:hAnsiTheme="minorHAnsi"/>
        </w:rPr>
        <w:t xml:space="preserve">published the executive summary of the legislative review and </w:t>
      </w:r>
      <w:r w:rsidR="00F8797D" w:rsidRPr="004A132D">
        <w:rPr>
          <w:rFonts w:asciiTheme="minorHAnsi" w:hAnsiTheme="minorHAnsi"/>
        </w:rPr>
        <w:t xml:space="preserve">agreed to continue progressing further legislative alignment to improve consistency across jurisdictions </w:t>
      </w:r>
      <w:r w:rsidR="007166EE" w:rsidRPr="004A132D">
        <w:rPr>
          <w:rFonts w:asciiTheme="minorHAnsi" w:hAnsiTheme="minorHAnsi"/>
        </w:rPr>
        <w:t>noting that in a federal system any changes to state and territory legislation is a matter for individual jurisdictions to determine.</w:t>
      </w:r>
      <w:r w:rsidR="008F6A4C">
        <w:rPr>
          <w:rStyle w:val="FootnoteReference"/>
          <w:rFonts w:asciiTheme="minorHAnsi" w:hAnsiTheme="minorHAnsi"/>
        </w:rPr>
        <w:footnoteReference w:id="14"/>
      </w:r>
    </w:p>
    <w:p w14:paraId="31BB9DC1" w14:textId="0C4902D3" w:rsidR="00EA3FD5" w:rsidRPr="004A132D" w:rsidRDefault="00F8797D" w:rsidP="008C4A44">
      <w:pPr>
        <w:pStyle w:val="Heading2"/>
        <w:rPr>
          <w:b w:val="0"/>
        </w:rPr>
      </w:pPr>
      <w:bookmarkStart w:id="25" w:name="_Toc174011667"/>
      <w:bookmarkStart w:id="26" w:name="_Toc175556762"/>
      <w:r w:rsidRPr="004A132D">
        <w:t>Question 4d: Enhancing effectiveness of the Sex Discrimination Act</w:t>
      </w:r>
      <w:bookmarkEnd w:id="25"/>
      <w:bookmarkEnd w:id="26"/>
      <w:r w:rsidRPr="004A132D">
        <w:t xml:space="preserve"> </w:t>
      </w:r>
    </w:p>
    <w:p w14:paraId="059FB3C2" w14:textId="23E2BCF4" w:rsidR="00966398" w:rsidRPr="004A132D" w:rsidRDefault="00966398" w:rsidP="0002378E">
      <w:pPr>
        <w:pStyle w:val="Numbers"/>
        <w:ind w:left="1418"/>
        <w:rPr>
          <w:rFonts w:asciiTheme="minorHAnsi" w:hAnsiTheme="minorHAnsi"/>
        </w:rPr>
      </w:pPr>
      <w:r w:rsidRPr="004A132D">
        <w:rPr>
          <w:rFonts w:asciiTheme="minorHAnsi" w:hAnsiTheme="minorHAnsi"/>
        </w:rPr>
        <w:t xml:space="preserve">The Australian Government continues to carefully consider and respond to recommendations to enhance the effectiveness of the Sex Discrimination Act, and </w:t>
      </w:r>
      <w:r w:rsidRPr="004A132D">
        <w:rPr>
          <w:rFonts w:asciiTheme="minorHAnsi" w:hAnsiTheme="minorHAnsi"/>
        </w:rPr>
        <w:lastRenderedPageBreak/>
        <w:t xml:space="preserve">has made several further amendments to the Act since the </w:t>
      </w:r>
      <w:r w:rsidR="006B08E4" w:rsidRPr="004A132D">
        <w:rPr>
          <w:rFonts w:asciiTheme="minorHAnsi" w:hAnsiTheme="minorHAnsi"/>
          <w:i/>
        </w:rPr>
        <w:t>2008 Senate Standing Committee on Legal and Constitutional Affairs</w:t>
      </w:r>
      <w:r w:rsidRPr="004A132D">
        <w:rPr>
          <w:rFonts w:asciiTheme="minorHAnsi" w:hAnsiTheme="minorHAnsi"/>
          <w:i/>
        </w:rPr>
        <w:t xml:space="preserve"> </w:t>
      </w:r>
      <w:r w:rsidR="00040CEE" w:rsidRPr="004A132D">
        <w:rPr>
          <w:rFonts w:asciiTheme="minorHAnsi" w:hAnsiTheme="minorHAnsi"/>
          <w:i/>
        </w:rPr>
        <w:t>R</w:t>
      </w:r>
      <w:r w:rsidRPr="004A132D">
        <w:rPr>
          <w:rFonts w:asciiTheme="minorHAnsi" w:hAnsiTheme="minorHAnsi"/>
          <w:i/>
        </w:rPr>
        <w:t>eport</w:t>
      </w:r>
      <w:r w:rsidRPr="004A132D">
        <w:rPr>
          <w:rFonts w:asciiTheme="minorHAnsi" w:hAnsiTheme="minorHAnsi"/>
        </w:rPr>
        <w:t xml:space="preserve">. Key amendments to the Sex Discrimination Act </w:t>
      </w:r>
      <w:r w:rsidR="006B08E4" w:rsidRPr="004A132D">
        <w:rPr>
          <w:rFonts w:asciiTheme="minorHAnsi" w:hAnsiTheme="minorHAnsi"/>
        </w:rPr>
        <w:t xml:space="preserve">are outlined in questions 3, 4a and 17c. </w:t>
      </w:r>
    </w:p>
    <w:p w14:paraId="5ABFC742" w14:textId="77777777" w:rsidR="00ED5D24" w:rsidRPr="005F6B4E" w:rsidRDefault="00581483" w:rsidP="005F6B4E">
      <w:pPr>
        <w:pStyle w:val="Heading1"/>
      </w:pPr>
      <w:bookmarkStart w:id="27" w:name="_Toc174011668"/>
      <w:bookmarkStart w:id="28" w:name="_Toc175556763"/>
      <w:r w:rsidRPr="005F6B4E">
        <w:t xml:space="preserve">Question 5: </w:t>
      </w:r>
      <w:r w:rsidR="00ED5D24" w:rsidRPr="005F6B4E">
        <w:t>Access to justice</w:t>
      </w:r>
      <w:bookmarkEnd w:id="27"/>
      <w:bookmarkEnd w:id="28"/>
      <w:r w:rsidR="00ED5D24" w:rsidRPr="005F6B4E">
        <w:t xml:space="preserve"> </w:t>
      </w:r>
    </w:p>
    <w:p w14:paraId="0A4C0825" w14:textId="77777777" w:rsidR="00581483" w:rsidRPr="004A132D" w:rsidRDefault="00581483" w:rsidP="008C4A44">
      <w:pPr>
        <w:pStyle w:val="Heading2"/>
        <w:rPr>
          <w:b w:val="0"/>
        </w:rPr>
      </w:pPr>
      <w:bookmarkStart w:id="29" w:name="_Toc174011669"/>
      <w:bookmarkStart w:id="30" w:name="_Toc175556764"/>
      <w:r w:rsidRPr="004A132D">
        <w:t>Question 5a: Australian Law Reform Commission 19</w:t>
      </w:r>
      <w:r w:rsidR="00703065" w:rsidRPr="004A132D">
        <w:t>8</w:t>
      </w:r>
      <w:r w:rsidRPr="004A132D">
        <w:t>6 recommendations on the recognition of Aboriginal customary laws</w:t>
      </w:r>
      <w:bookmarkEnd w:id="29"/>
      <w:bookmarkEnd w:id="30"/>
    </w:p>
    <w:p w14:paraId="21E12CC4" w14:textId="14A4AB14" w:rsidR="00182A72" w:rsidRPr="004A132D" w:rsidRDefault="00182A72" w:rsidP="0002378E">
      <w:pPr>
        <w:pStyle w:val="Numbers"/>
        <w:ind w:left="1418"/>
        <w:rPr>
          <w:rFonts w:asciiTheme="minorHAnsi" w:hAnsiTheme="minorHAnsi"/>
        </w:rPr>
      </w:pPr>
      <w:r w:rsidRPr="004A132D">
        <w:rPr>
          <w:rFonts w:asciiTheme="minorHAnsi" w:hAnsiTheme="minorHAnsi"/>
        </w:rPr>
        <w:t xml:space="preserve">In 1992, the High Court of Australia handed down its decision in </w:t>
      </w:r>
      <w:r w:rsidRPr="004A132D">
        <w:rPr>
          <w:rFonts w:asciiTheme="minorHAnsi" w:hAnsiTheme="minorHAnsi"/>
          <w:i/>
        </w:rPr>
        <w:t>Mabo v Queensland</w:t>
      </w:r>
      <w:r w:rsidRPr="004A132D">
        <w:rPr>
          <w:rFonts w:asciiTheme="minorHAnsi" w:hAnsiTheme="minorHAnsi"/>
        </w:rPr>
        <w:t xml:space="preserve"> (No 2) [1992] HCA 23; (1992) 175 CLR 1 (3 June 1992) </w:t>
      </w:r>
      <w:r w:rsidR="00040CEE" w:rsidRPr="004A132D">
        <w:rPr>
          <w:rFonts w:asciiTheme="minorHAnsi" w:hAnsiTheme="minorHAnsi"/>
        </w:rPr>
        <w:t>(</w:t>
      </w:r>
      <w:r w:rsidRPr="004A132D">
        <w:rPr>
          <w:rFonts w:asciiTheme="minorHAnsi" w:hAnsiTheme="minorHAnsi"/>
        </w:rPr>
        <w:t>Mabo No. 2</w:t>
      </w:r>
      <w:r w:rsidR="00040CEE" w:rsidRPr="004A132D">
        <w:rPr>
          <w:rFonts w:asciiTheme="minorHAnsi" w:hAnsiTheme="minorHAnsi"/>
        </w:rPr>
        <w:t>)</w:t>
      </w:r>
      <w:r w:rsidRPr="004A132D">
        <w:rPr>
          <w:rFonts w:asciiTheme="minorHAnsi" w:hAnsiTheme="minorHAnsi"/>
        </w:rPr>
        <w:t>. The court recognised that the Meriam people of the Torres Strait held “native title” over part of their traditional lands. The court found that the common law of Australia recognises rights and interests to land held by Indigenous people under their traditional laws and customs.</w:t>
      </w:r>
    </w:p>
    <w:p w14:paraId="567F0CF4" w14:textId="70804D7B" w:rsidR="00182A72" w:rsidRPr="004A132D" w:rsidRDefault="00182A72" w:rsidP="0002378E">
      <w:pPr>
        <w:pStyle w:val="Numbers"/>
        <w:ind w:left="1418"/>
        <w:rPr>
          <w:rFonts w:asciiTheme="minorHAnsi" w:hAnsiTheme="minorHAnsi"/>
        </w:rPr>
      </w:pPr>
      <w:r w:rsidRPr="004A132D">
        <w:rPr>
          <w:rFonts w:asciiTheme="minorHAnsi" w:hAnsiTheme="minorHAnsi"/>
        </w:rPr>
        <w:t xml:space="preserve">The source of native title rights and interests is the traditional laws and customs of the native </w:t>
      </w:r>
      <w:r w:rsidR="002534A6" w:rsidRPr="004A132D">
        <w:rPr>
          <w:rFonts w:asciiTheme="minorHAnsi" w:hAnsiTheme="minorHAnsi"/>
        </w:rPr>
        <w:t>titleholders</w:t>
      </w:r>
      <w:r w:rsidRPr="004A132D">
        <w:rPr>
          <w:rFonts w:asciiTheme="minorHAnsi" w:hAnsiTheme="minorHAnsi"/>
        </w:rPr>
        <w:t>. This means the nature of native title rights and interests varies from community to community.</w:t>
      </w:r>
    </w:p>
    <w:p w14:paraId="6320DDDB" w14:textId="1E25D34A" w:rsidR="00F316A4" w:rsidRPr="004A132D" w:rsidRDefault="00182A72" w:rsidP="0002378E">
      <w:pPr>
        <w:pStyle w:val="Numbers"/>
        <w:ind w:left="1418"/>
        <w:rPr>
          <w:rFonts w:asciiTheme="minorHAnsi" w:hAnsiTheme="minorHAnsi"/>
          <w:i/>
          <w:iCs/>
        </w:rPr>
      </w:pPr>
      <w:r w:rsidRPr="004A132D">
        <w:rPr>
          <w:rFonts w:asciiTheme="minorHAnsi" w:hAnsiTheme="minorHAnsi"/>
        </w:rPr>
        <w:t>Following the decision in Mabo No.</w:t>
      </w:r>
      <w:r w:rsidR="00040CEE" w:rsidRPr="004A132D">
        <w:rPr>
          <w:rFonts w:asciiTheme="minorHAnsi" w:hAnsiTheme="minorHAnsi"/>
        </w:rPr>
        <w:t xml:space="preserve"> </w:t>
      </w:r>
      <w:r w:rsidRPr="004A132D">
        <w:rPr>
          <w:rFonts w:asciiTheme="minorHAnsi" w:hAnsiTheme="minorHAnsi"/>
        </w:rPr>
        <w:t xml:space="preserve">2, the government enacted the </w:t>
      </w:r>
      <w:r w:rsidRPr="004A132D">
        <w:rPr>
          <w:rFonts w:asciiTheme="minorHAnsi" w:hAnsiTheme="minorHAnsi"/>
          <w:i/>
          <w:iCs/>
        </w:rPr>
        <w:t>Native Title Act 1993</w:t>
      </w:r>
      <w:r w:rsidRPr="004A132D">
        <w:rPr>
          <w:rFonts w:asciiTheme="minorHAnsi" w:hAnsiTheme="minorHAnsi"/>
        </w:rPr>
        <w:t xml:space="preserve">, which commenced on 1 January 1994. The Act has a number of functions. </w:t>
      </w:r>
      <w:r w:rsidR="00E94B07" w:rsidRPr="004A132D">
        <w:rPr>
          <w:rFonts w:asciiTheme="minorHAnsi" w:hAnsiTheme="minorHAnsi"/>
        </w:rPr>
        <w:br/>
      </w:r>
      <w:r w:rsidRPr="004A132D">
        <w:rPr>
          <w:rFonts w:asciiTheme="minorHAnsi" w:hAnsiTheme="minorHAnsi"/>
        </w:rPr>
        <w:t>It</w:t>
      </w:r>
      <w:r w:rsidR="00E94B07" w:rsidRPr="004A132D">
        <w:rPr>
          <w:rFonts w:asciiTheme="minorHAnsi" w:hAnsiTheme="minorHAnsi"/>
        </w:rPr>
        <w:t xml:space="preserve"> </w:t>
      </w:r>
      <w:r w:rsidRPr="004A132D">
        <w:rPr>
          <w:rFonts w:asciiTheme="minorHAnsi" w:hAnsiTheme="minorHAnsi"/>
        </w:rPr>
        <w:t>creates processes through which native title can be recognised and protected.</w:t>
      </w:r>
    </w:p>
    <w:p w14:paraId="7EEC0601" w14:textId="77777777" w:rsidR="00CE59D9" w:rsidRPr="004A132D" w:rsidRDefault="00581483" w:rsidP="00BC3E6B">
      <w:pPr>
        <w:pStyle w:val="Heading2"/>
        <w:rPr>
          <w:b w:val="0"/>
        </w:rPr>
      </w:pPr>
      <w:bookmarkStart w:id="31" w:name="_Toc174011670"/>
      <w:bookmarkStart w:id="32" w:name="_Toc175556765"/>
      <w:r w:rsidRPr="004A132D">
        <w:t>Question 5b: Productivity Commission 2014 recommendations on access to justice arrangements</w:t>
      </w:r>
      <w:bookmarkEnd w:id="31"/>
      <w:bookmarkEnd w:id="32"/>
      <w:r w:rsidRPr="004A132D">
        <w:t xml:space="preserve"> </w:t>
      </w:r>
    </w:p>
    <w:p w14:paraId="3FAF4056" w14:textId="77777777" w:rsidR="00F316A4" w:rsidRPr="004A132D" w:rsidRDefault="00581483" w:rsidP="0002378E">
      <w:pPr>
        <w:pStyle w:val="Numbers"/>
        <w:ind w:left="1418"/>
        <w:rPr>
          <w:rFonts w:asciiTheme="minorHAnsi" w:hAnsiTheme="minorHAnsi"/>
        </w:rPr>
      </w:pPr>
      <w:r w:rsidRPr="004A132D">
        <w:rPr>
          <w:rFonts w:asciiTheme="minorHAnsi" w:hAnsiTheme="minorHAnsi"/>
        </w:rPr>
        <w:t>The Australian Government’s</w:t>
      </w:r>
      <w:r w:rsidR="00F316A4" w:rsidRPr="004A132D">
        <w:rPr>
          <w:rFonts w:asciiTheme="minorHAnsi" w:hAnsiTheme="minorHAnsi"/>
        </w:rPr>
        <w:t xml:space="preserve"> response to the </w:t>
      </w:r>
      <w:r w:rsidR="00F316A4" w:rsidRPr="004A132D">
        <w:rPr>
          <w:rFonts w:asciiTheme="minorHAnsi" w:hAnsiTheme="minorHAnsi"/>
          <w:i/>
        </w:rPr>
        <w:t>2014 Productivity Commission Inquiry Report</w:t>
      </w:r>
      <w:r w:rsidR="00F316A4" w:rsidRPr="004A132D">
        <w:rPr>
          <w:rFonts w:asciiTheme="minorHAnsi" w:hAnsiTheme="minorHAnsi"/>
        </w:rPr>
        <w:t xml:space="preserve"> </w:t>
      </w:r>
      <w:r w:rsidR="00F316A4" w:rsidRPr="004A132D">
        <w:rPr>
          <w:rFonts w:asciiTheme="minorHAnsi" w:hAnsiTheme="minorHAnsi"/>
          <w:i/>
        </w:rPr>
        <w:t>into Access to Justice Arra</w:t>
      </w:r>
      <w:r w:rsidR="00BC3E6B" w:rsidRPr="004A132D">
        <w:rPr>
          <w:rFonts w:asciiTheme="minorHAnsi" w:hAnsiTheme="minorHAnsi"/>
          <w:i/>
        </w:rPr>
        <w:t>ngements</w:t>
      </w:r>
      <w:r w:rsidR="00BC3E6B" w:rsidRPr="004A132D">
        <w:rPr>
          <w:rFonts w:asciiTheme="minorHAnsi" w:hAnsiTheme="minorHAnsi"/>
        </w:rPr>
        <w:t xml:space="preserve"> was published in 2016.</w:t>
      </w:r>
      <w:r w:rsidR="00BC3E6B" w:rsidRPr="004A132D">
        <w:rPr>
          <w:rStyle w:val="FootnoteReference"/>
          <w:rFonts w:asciiTheme="minorHAnsi" w:hAnsiTheme="minorHAnsi"/>
        </w:rPr>
        <w:footnoteReference w:id="15"/>
      </w:r>
      <w:r w:rsidR="00BC3E6B" w:rsidRPr="004A132D">
        <w:rPr>
          <w:rFonts w:asciiTheme="minorHAnsi" w:hAnsiTheme="minorHAnsi"/>
        </w:rPr>
        <w:t xml:space="preserve"> </w:t>
      </w:r>
      <w:r w:rsidRPr="004A132D">
        <w:rPr>
          <w:rFonts w:asciiTheme="minorHAnsi" w:hAnsiTheme="minorHAnsi"/>
        </w:rPr>
        <w:t>Responses to the Committee’s interest in specific recommendations are addressed below:</w:t>
      </w:r>
    </w:p>
    <w:p w14:paraId="4143F357" w14:textId="7EB27CED" w:rsidR="00F316A4" w:rsidRPr="004A132D" w:rsidRDefault="00581483" w:rsidP="00561D0E">
      <w:pPr>
        <w:pStyle w:val="Numbers"/>
        <w:numPr>
          <w:ilvl w:val="1"/>
          <w:numId w:val="1"/>
        </w:numPr>
        <w:rPr>
          <w:rFonts w:asciiTheme="minorHAnsi" w:hAnsiTheme="minorHAnsi"/>
        </w:rPr>
      </w:pPr>
      <w:r w:rsidRPr="004A132D">
        <w:rPr>
          <w:rFonts w:asciiTheme="minorHAnsi" w:hAnsiTheme="minorHAnsi"/>
        </w:rPr>
        <w:t>Recommendation</w:t>
      </w:r>
      <w:r w:rsidR="00040CEE" w:rsidRPr="004A132D">
        <w:rPr>
          <w:rFonts w:asciiTheme="minorHAnsi" w:hAnsiTheme="minorHAnsi"/>
        </w:rPr>
        <w:t xml:space="preserve"> 16.3: t</w:t>
      </w:r>
      <w:r w:rsidR="00F316A4" w:rsidRPr="004A132D">
        <w:rPr>
          <w:rFonts w:asciiTheme="minorHAnsi" w:hAnsiTheme="minorHAnsi"/>
        </w:rPr>
        <w:t xml:space="preserve">he Legal Aid Schemes and Services Approval 2023 </w:t>
      </w:r>
      <w:r w:rsidR="00FD0280" w:rsidRPr="004A132D">
        <w:rPr>
          <w:rFonts w:asciiTheme="minorHAnsi" w:hAnsiTheme="minorHAnsi"/>
        </w:rPr>
        <w:t xml:space="preserve">allows people who receive legal assistance from the providers listed within it to be exempt from court fees (e.g. document filing or service provision fees) </w:t>
      </w:r>
      <w:r w:rsidR="00F316A4" w:rsidRPr="004A132D">
        <w:rPr>
          <w:rFonts w:asciiTheme="minorHAnsi" w:hAnsiTheme="minorHAnsi"/>
        </w:rPr>
        <w:t xml:space="preserve">in the federal courts (Federal Circuit and Family </w:t>
      </w:r>
      <w:r w:rsidR="00F316A4" w:rsidRPr="004A132D">
        <w:rPr>
          <w:rFonts w:asciiTheme="minorHAnsi" w:hAnsiTheme="minorHAnsi"/>
        </w:rPr>
        <w:lastRenderedPageBreak/>
        <w:t xml:space="preserve">Court of Australia, Federal Court of Australia and High Court of Australia). </w:t>
      </w:r>
    </w:p>
    <w:p w14:paraId="66DB311C" w14:textId="1FB09C11" w:rsidR="00F316A4" w:rsidRPr="004A132D" w:rsidRDefault="00581483" w:rsidP="00561D0E">
      <w:pPr>
        <w:pStyle w:val="Numbers"/>
        <w:numPr>
          <w:ilvl w:val="1"/>
          <w:numId w:val="1"/>
        </w:numPr>
        <w:rPr>
          <w:rFonts w:asciiTheme="minorHAnsi" w:hAnsiTheme="minorHAnsi"/>
        </w:rPr>
      </w:pPr>
      <w:r w:rsidRPr="004A132D">
        <w:rPr>
          <w:rFonts w:asciiTheme="minorHAnsi" w:hAnsiTheme="minorHAnsi"/>
        </w:rPr>
        <w:t>R</w:t>
      </w:r>
      <w:r w:rsidR="00F316A4" w:rsidRPr="004A132D">
        <w:rPr>
          <w:rFonts w:asciiTheme="minorHAnsi" w:hAnsiTheme="minorHAnsi"/>
        </w:rPr>
        <w:t xml:space="preserve">ecommendation 21.6: </w:t>
      </w:r>
      <w:r w:rsidR="00040CEE" w:rsidRPr="004A132D">
        <w:rPr>
          <w:rFonts w:asciiTheme="minorHAnsi" w:hAnsiTheme="minorHAnsi"/>
        </w:rPr>
        <w:t>s</w:t>
      </w:r>
      <w:r w:rsidR="00F316A4" w:rsidRPr="004A132D">
        <w:rPr>
          <w:rFonts w:asciiTheme="minorHAnsi" w:hAnsiTheme="minorHAnsi"/>
        </w:rPr>
        <w:t xml:space="preserve">ince 2015, </w:t>
      </w:r>
      <w:r w:rsidR="00A13472" w:rsidRPr="004A132D">
        <w:rPr>
          <w:rFonts w:asciiTheme="minorHAnsi" w:hAnsiTheme="minorHAnsi"/>
        </w:rPr>
        <w:t>federal</w:t>
      </w:r>
      <w:r w:rsidR="00F316A4" w:rsidRPr="004A132D">
        <w:rPr>
          <w:rFonts w:asciiTheme="minorHAnsi" w:hAnsiTheme="minorHAnsi"/>
        </w:rPr>
        <w:t xml:space="preserve"> funding (previously under the National Partnership Agreement and Indigenous L</w:t>
      </w:r>
      <w:r w:rsidR="00BC3E6B" w:rsidRPr="004A132D">
        <w:rPr>
          <w:rFonts w:asciiTheme="minorHAnsi" w:hAnsiTheme="minorHAnsi"/>
        </w:rPr>
        <w:t>egal Assistance Programme</w:t>
      </w:r>
      <w:r w:rsidR="00F316A4" w:rsidRPr="004A132D">
        <w:rPr>
          <w:rFonts w:asciiTheme="minorHAnsi" w:hAnsiTheme="minorHAnsi"/>
        </w:rPr>
        <w:t>, and now the National Legal Assistance Partnership (NLAP)) has been allocated using specific funding allocation models for each funding stream – legal aid commissions, community legal centres and Indigenous legal assistance services</w:t>
      </w:r>
      <w:r w:rsidR="005273EE" w:rsidRPr="004A132D">
        <w:rPr>
          <w:rFonts w:asciiTheme="minorHAnsi" w:hAnsiTheme="minorHAnsi"/>
        </w:rPr>
        <w:t>.</w:t>
      </w:r>
    </w:p>
    <w:p w14:paraId="01F7FD94" w14:textId="41FBF6C3" w:rsidR="00F316A4" w:rsidRPr="004A132D" w:rsidRDefault="00581483" w:rsidP="00561D0E">
      <w:pPr>
        <w:pStyle w:val="Numbers"/>
        <w:numPr>
          <w:ilvl w:val="1"/>
          <w:numId w:val="1"/>
        </w:numPr>
        <w:rPr>
          <w:rFonts w:asciiTheme="minorHAnsi" w:hAnsiTheme="minorHAnsi"/>
        </w:rPr>
      </w:pPr>
      <w:r w:rsidRPr="004A132D">
        <w:rPr>
          <w:rFonts w:asciiTheme="minorHAnsi" w:hAnsiTheme="minorHAnsi"/>
        </w:rPr>
        <w:t>R</w:t>
      </w:r>
      <w:r w:rsidR="00222DED" w:rsidRPr="004A132D">
        <w:rPr>
          <w:rFonts w:asciiTheme="minorHAnsi" w:hAnsiTheme="minorHAnsi"/>
        </w:rPr>
        <w:t>ecommendation 25: i</w:t>
      </w:r>
      <w:r w:rsidR="00F316A4" w:rsidRPr="004A132D">
        <w:rPr>
          <w:rFonts w:asciiTheme="minorHAnsi" w:hAnsiTheme="minorHAnsi"/>
        </w:rPr>
        <w:t xml:space="preserve">n 2015, a National Legal Assistance Data Standards Manual was developed. The Manual standardises definitions, counting rules and collection protocols for the legal assistance sector. </w:t>
      </w:r>
      <w:r w:rsidR="00FD0280" w:rsidRPr="004A132D">
        <w:rPr>
          <w:rFonts w:asciiTheme="minorHAnsi" w:hAnsiTheme="minorHAnsi"/>
        </w:rPr>
        <w:t>The Australian Attorney-General’s Department</w:t>
      </w:r>
      <w:r w:rsidR="00F316A4" w:rsidRPr="004A132D">
        <w:rPr>
          <w:rFonts w:asciiTheme="minorHAnsi" w:hAnsiTheme="minorHAnsi"/>
        </w:rPr>
        <w:t xml:space="preserve"> is partnering with the Australian Bureau of Statistics </w:t>
      </w:r>
      <w:r w:rsidR="00843B2F" w:rsidRPr="004A132D">
        <w:rPr>
          <w:rFonts w:asciiTheme="minorHAnsi" w:hAnsiTheme="minorHAnsi"/>
        </w:rPr>
        <w:t>(ABS)</w:t>
      </w:r>
      <w:r w:rsidR="00B1096A" w:rsidRPr="004A132D">
        <w:rPr>
          <w:rFonts w:asciiTheme="minorHAnsi" w:hAnsiTheme="minorHAnsi"/>
        </w:rPr>
        <w:t>, Australia’s national statistical agency,</w:t>
      </w:r>
      <w:r w:rsidR="00843B2F" w:rsidRPr="004A132D">
        <w:rPr>
          <w:rFonts w:asciiTheme="minorHAnsi" w:hAnsiTheme="minorHAnsi"/>
        </w:rPr>
        <w:t xml:space="preserve"> </w:t>
      </w:r>
      <w:r w:rsidR="00F316A4" w:rsidRPr="004A132D">
        <w:rPr>
          <w:rFonts w:asciiTheme="minorHAnsi" w:hAnsiTheme="minorHAnsi"/>
        </w:rPr>
        <w:t>to deliver the first Australia-wide legal assistance data collection</w:t>
      </w:r>
      <w:r w:rsidR="00182A72" w:rsidRPr="004A132D">
        <w:rPr>
          <w:rFonts w:asciiTheme="minorHAnsi" w:hAnsiTheme="minorHAnsi"/>
        </w:rPr>
        <w:t>. This was published on 9 May 2024.</w:t>
      </w:r>
      <w:r w:rsidR="00F316A4" w:rsidRPr="004A132D">
        <w:rPr>
          <w:rFonts w:asciiTheme="minorHAnsi" w:hAnsiTheme="minorHAnsi"/>
        </w:rPr>
        <w:t xml:space="preserve">  </w:t>
      </w:r>
    </w:p>
    <w:p w14:paraId="21C7DAA7" w14:textId="73D2A862" w:rsidR="00650496" w:rsidRPr="004A132D" w:rsidRDefault="008534E6" w:rsidP="00561D0E">
      <w:pPr>
        <w:pStyle w:val="Numbers"/>
        <w:numPr>
          <w:ilvl w:val="1"/>
          <w:numId w:val="1"/>
        </w:numPr>
        <w:rPr>
          <w:rFonts w:asciiTheme="minorHAnsi" w:hAnsiTheme="minorHAnsi"/>
        </w:rPr>
      </w:pPr>
      <w:r w:rsidRPr="004A132D">
        <w:rPr>
          <w:rFonts w:asciiTheme="minorHAnsi" w:hAnsiTheme="minorHAnsi"/>
        </w:rPr>
        <w:t xml:space="preserve">Recommendation </w:t>
      </w:r>
      <w:r w:rsidR="00A13472" w:rsidRPr="004A132D">
        <w:rPr>
          <w:rFonts w:asciiTheme="minorHAnsi" w:hAnsiTheme="minorHAnsi"/>
        </w:rPr>
        <w:t>22</w:t>
      </w:r>
      <w:r w:rsidR="00222DED" w:rsidRPr="004A132D">
        <w:rPr>
          <w:rFonts w:asciiTheme="minorHAnsi" w:hAnsiTheme="minorHAnsi"/>
        </w:rPr>
        <w:t>: l</w:t>
      </w:r>
      <w:r w:rsidR="00F316A4" w:rsidRPr="004A132D">
        <w:rPr>
          <w:rFonts w:asciiTheme="minorHAnsi" w:hAnsiTheme="minorHAnsi"/>
        </w:rPr>
        <w:t xml:space="preserve">egal assistance funding and funding to Aboriginal and Torres Strait Islander Legal Services (ATSILS) is a shared responsibility of the </w:t>
      </w:r>
      <w:r w:rsidR="005273EE" w:rsidRPr="004A132D">
        <w:rPr>
          <w:rFonts w:asciiTheme="minorHAnsi" w:hAnsiTheme="minorHAnsi"/>
        </w:rPr>
        <w:t>Australian Government</w:t>
      </w:r>
      <w:r w:rsidR="00F316A4" w:rsidRPr="004A132D">
        <w:rPr>
          <w:rFonts w:asciiTheme="minorHAnsi" w:hAnsiTheme="minorHAnsi"/>
        </w:rPr>
        <w:t xml:space="preserve"> and all states and territories. Delivering </w:t>
      </w:r>
      <w:r w:rsidR="005273EE" w:rsidRPr="004A132D">
        <w:rPr>
          <w:rFonts w:asciiTheme="minorHAnsi" w:hAnsiTheme="minorHAnsi"/>
        </w:rPr>
        <w:t>federal</w:t>
      </w:r>
      <w:r w:rsidR="00F316A4" w:rsidRPr="004A132D">
        <w:rPr>
          <w:rFonts w:asciiTheme="minorHAnsi" w:hAnsiTheme="minorHAnsi"/>
        </w:rPr>
        <w:t xml:space="preserve"> funding for ATSILS through the NLAP better promotes this shared responsibility.</w:t>
      </w:r>
    </w:p>
    <w:p w14:paraId="0B1C01E1" w14:textId="6B3134C6" w:rsidR="00F7100D" w:rsidRPr="004A132D" w:rsidRDefault="00FD0280" w:rsidP="008C4A44">
      <w:pPr>
        <w:pStyle w:val="Heading2"/>
        <w:rPr>
          <w:b w:val="0"/>
        </w:rPr>
      </w:pPr>
      <w:bookmarkStart w:id="33" w:name="_Toc174011671"/>
      <w:bookmarkStart w:id="34" w:name="_Toc175556766"/>
      <w:r w:rsidRPr="004A132D">
        <w:t>Question 5c: Australian Law Reform Commission</w:t>
      </w:r>
      <w:r w:rsidR="00222DED" w:rsidRPr="004A132D">
        <w:t>’s</w:t>
      </w:r>
      <w:r w:rsidRPr="004A132D">
        <w:t xml:space="preserve"> 2019 review of the family law system</w:t>
      </w:r>
      <w:bookmarkEnd w:id="33"/>
      <w:bookmarkEnd w:id="34"/>
      <w:r w:rsidRPr="004A132D">
        <w:t xml:space="preserve"> </w:t>
      </w:r>
    </w:p>
    <w:p w14:paraId="4C80CA9C" w14:textId="77777777" w:rsidR="00A80A7D" w:rsidRPr="004A132D" w:rsidRDefault="00A80A7D" w:rsidP="0002378E">
      <w:pPr>
        <w:pStyle w:val="Numbers"/>
        <w:ind w:left="1418"/>
        <w:rPr>
          <w:rFonts w:asciiTheme="minorHAnsi" w:hAnsiTheme="minorHAnsi"/>
        </w:rPr>
      </w:pPr>
      <w:r w:rsidRPr="004A132D">
        <w:rPr>
          <w:rFonts w:asciiTheme="minorHAnsi" w:hAnsiTheme="minorHAnsi"/>
        </w:rPr>
        <w:t xml:space="preserve">The Australian Government’s response to the </w:t>
      </w:r>
      <w:r w:rsidRPr="004A132D">
        <w:rPr>
          <w:rFonts w:asciiTheme="minorHAnsi" w:hAnsiTheme="minorHAnsi"/>
          <w:i/>
        </w:rPr>
        <w:t>2019 Australian Law Reform Commission Inquiry into the Family Law System</w:t>
      </w:r>
      <w:r w:rsidRPr="004A132D">
        <w:rPr>
          <w:rFonts w:asciiTheme="minorHAnsi" w:hAnsiTheme="minorHAnsi"/>
        </w:rPr>
        <w:t xml:space="preserve"> was published in 2021.</w:t>
      </w:r>
      <w:r w:rsidRPr="004A132D">
        <w:rPr>
          <w:rStyle w:val="FootnoteReference"/>
          <w:rFonts w:asciiTheme="minorHAnsi" w:hAnsiTheme="minorHAnsi"/>
          <w:lang w:val="en-NZ"/>
        </w:rPr>
        <w:footnoteReference w:id="16"/>
      </w:r>
      <w:r w:rsidRPr="004A132D">
        <w:rPr>
          <w:rFonts w:asciiTheme="minorHAnsi" w:hAnsiTheme="minorHAnsi"/>
        </w:rPr>
        <w:t xml:space="preserve"> Responses to the Committee’s interest in specific recommendations are addressed below:</w:t>
      </w:r>
    </w:p>
    <w:p w14:paraId="03E9B385" w14:textId="6B5F209C" w:rsidR="00A80A7D" w:rsidRPr="004A132D" w:rsidRDefault="00222DED" w:rsidP="00561D0E">
      <w:pPr>
        <w:pStyle w:val="Numbers"/>
        <w:numPr>
          <w:ilvl w:val="1"/>
          <w:numId w:val="1"/>
        </w:numPr>
        <w:rPr>
          <w:rFonts w:asciiTheme="minorHAnsi" w:hAnsiTheme="minorHAnsi"/>
        </w:rPr>
      </w:pPr>
      <w:r w:rsidRPr="004A132D">
        <w:rPr>
          <w:rFonts w:asciiTheme="minorHAnsi" w:hAnsiTheme="minorHAnsi"/>
        </w:rPr>
        <w:t>Recommendation 9: i</w:t>
      </w:r>
      <w:r w:rsidR="00A80A7D" w:rsidRPr="004A132D">
        <w:rPr>
          <w:rFonts w:asciiTheme="minorHAnsi" w:hAnsiTheme="minorHAnsi"/>
        </w:rPr>
        <w:t xml:space="preserve">n November 2023, the </w:t>
      </w:r>
      <w:r w:rsidR="000E2B9D" w:rsidRPr="004A132D">
        <w:rPr>
          <w:rFonts w:asciiTheme="minorHAnsi" w:hAnsiTheme="minorHAnsi"/>
        </w:rPr>
        <w:t xml:space="preserve">Family Law Act </w:t>
      </w:r>
      <w:r w:rsidR="00A80A7D" w:rsidRPr="004A132D">
        <w:rPr>
          <w:rFonts w:asciiTheme="minorHAnsi" w:hAnsiTheme="minorHAnsi"/>
        </w:rPr>
        <w:t>was amended to</w:t>
      </w:r>
      <w:r w:rsidR="006E0DDF" w:rsidRPr="004A132D">
        <w:rPr>
          <w:rFonts w:asciiTheme="minorHAnsi" w:hAnsiTheme="minorHAnsi"/>
        </w:rPr>
        <w:t xml:space="preserve"> expand the </w:t>
      </w:r>
      <w:r w:rsidR="00A80A7D" w:rsidRPr="004A132D">
        <w:rPr>
          <w:rFonts w:asciiTheme="minorHAnsi" w:hAnsiTheme="minorHAnsi"/>
        </w:rPr>
        <w:t>definitions relating to the concept of ‘family’ to be more inclusive of Aboriginal and Torres Strait Islander culture and traditions</w:t>
      </w:r>
      <w:r w:rsidR="006E0DDF" w:rsidRPr="004A132D">
        <w:rPr>
          <w:rFonts w:asciiTheme="minorHAnsi" w:hAnsiTheme="minorHAnsi"/>
        </w:rPr>
        <w:t xml:space="preserve">. This amendment is intended to reflect that Indigenous </w:t>
      </w:r>
      <w:r w:rsidR="006E0DDF" w:rsidRPr="004A132D">
        <w:rPr>
          <w:rFonts w:asciiTheme="minorHAnsi" w:hAnsiTheme="minorHAnsi"/>
        </w:rPr>
        <w:lastRenderedPageBreak/>
        <w:t>peoples may have extended family structures or kinship systems and that child</w:t>
      </w:r>
      <w:r w:rsidR="00945084" w:rsidRPr="004A132D">
        <w:rPr>
          <w:rFonts w:asciiTheme="minorHAnsi" w:hAnsiTheme="minorHAnsi"/>
        </w:rPr>
        <w:noBreakHyphen/>
      </w:r>
      <w:r w:rsidR="006E0DDF" w:rsidRPr="004A132D">
        <w:rPr>
          <w:rFonts w:asciiTheme="minorHAnsi" w:hAnsiTheme="minorHAnsi"/>
        </w:rPr>
        <w:t>rearing responsibilities may extend beyond the immediate family group or what is reflected in the current definition of ‘relative’ or ‘member of the family’.</w:t>
      </w:r>
    </w:p>
    <w:p w14:paraId="3798978F" w14:textId="384C60E9" w:rsidR="00AA063D" w:rsidRPr="004A132D" w:rsidRDefault="006E0DDF" w:rsidP="00561D0E">
      <w:pPr>
        <w:pStyle w:val="Numbers"/>
        <w:numPr>
          <w:ilvl w:val="1"/>
          <w:numId w:val="1"/>
        </w:numPr>
        <w:rPr>
          <w:rFonts w:asciiTheme="minorHAnsi" w:hAnsiTheme="minorHAnsi"/>
        </w:rPr>
      </w:pPr>
      <w:r w:rsidRPr="004A132D">
        <w:rPr>
          <w:rFonts w:asciiTheme="minorHAnsi" w:hAnsiTheme="minorHAnsi"/>
        </w:rPr>
        <w:t xml:space="preserve">Recommendation 45: </w:t>
      </w:r>
      <w:r w:rsidR="00986E2D" w:rsidRPr="004A132D">
        <w:rPr>
          <w:rFonts w:asciiTheme="minorHAnsi" w:hAnsiTheme="minorHAnsi"/>
        </w:rPr>
        <w:t>t</w:t>
      </w:r>
      <w:r w:rsidR="00F7100D" w:rsidRPr="004A132D">
        <w:rPr>
          <w:rFonts w:asciiTheme="minorHAnsi" w:hAnsiTheme="minorHAnsi"/>
        </w:rPr>
        <w:t xml:space="preserve">he </w:t>
      </w:r>
      <w:r w:rsidR="00EE67F0" w:rsidRPr="004A132D">
        <w:rPr>
          <w:rFonts w:asciiTheme="minorHAnsi" w:hAnsiTheme="minorHAnsi"/>
        </w:rPr>
        <w:t xml:space="preserve">Federal Circuit and Family Court of Australia </w:t>
      </w:r>
      <w:r w:rsidR="00F7100D" w:rsidRPr="004A132D">
        <w:rPr>
          <w:rFonts w:asciiTheme="minorHAnsi" w:hAnsiTheme="minorHAnsi"/>
        </w:rPr>
        <w:t>has engaged 12 Indigenous Family Liaison Officers</w:t>
      </w:r>
      <w:r w:rsidR="005273EE" w:rsidRPr="004A132D">
        <w:rPr>
          <w:rFonts w:asciiTheme="minorHAnsi" w:hAnsiTheme="minorHAnsi"/>
        </w:rPr>
        <w:t xml:space="preserve"> </w:t>
      </w:r>
      <w:r w:rsidR="00F7100D" w:rsidRPr="004A132D">
        <w:rPr>
          <w:rFonts w:asciiTheme="minorHAnsi" w:hAnsiTheme="minorHAnsi"/>
        </w:rPr>
        <w:t xml:space="preserve">across Australia to support </w:t>
      </w:r>
      <w:r w:rsidRPr="004A132D">
        <w:rPr>
          <w:rFonts w:asciiTheme="minorHAnsi" w:hAnsiTheme="minorHAnsi"/>
        </w:rPr>
        <w:t>Indigenous</w:t>
      </w:r>
      <w:r w:rsidR="00F7100D" w:rsidRPr="004A132D">
        <w:rPr>
          <w:rFonts w:asciiTheme="minorHAnsi" w:hAnsiTheme="minorHAnsi"/>
        </w:rPr>
        <w:t xml:space="preserve"> </w:t>
      </w:r>
      <w:r w:rsidR="00FE6D52" w:rsidRPr="004A132D">
        <w:rPr>
          <w:rFonts w:asciiTheme="minorHAnsi" w:hAnsiTheme="minorHAnsi"/>
        </w:rPr>
        <w:t xml:space="preserve">Australian </w:t>
      </w:r>
      <w:r w:rsidR="00F7100D" w:rsidRPr="004A132D">
        <w:rPr>
          <w:rFonts w:asciiTheme="minorHAnsi" w:hAnsiTheme="minorHAnsi"/>
        </w:rPr>
        <w:t xml:space="preserve">women and children engaging with the family court system. </w:t>
      </w:r>
    </w:p>
    <w:p w14:paraId="73FB2329" w14:textId="77777777" w:rsidR="006E0DDF" w:rsidRPr="004A132D" w:rsidRDefault="006E0DDF" w:rsidP="008C4A44">
      <w:pPr>
        <w:pStyle w:val="Heading2"/>
        <w:rPr>
          <w:b w:val="0"/>
        </w:rPr>
      </w:pPr>
      <w:bookmarkStart w:id="35" w:name="_Toc174011672"/>
      <w:bookmarkStart w:id="36" w:name="_Toc175556767"/>
      <w:r w:rsidRPr="004A132D">
        <w:t>Question 5d: Indigenous legal professionals</w:t>
      </w:r>
      <w:bookmarkEnd w:id="35"/>
      <w:bookmarkEnd w:id="36"/>
      <w:r w:rsidRPr="004A132D">
        <w:t xml:space="preserve">  </w:t>
      </w:r>
    </w:p>
    <w:p w14:paraId="0480D069" w14:textId="2DE63E0E" w:rsidR="00253A29" w:rsidRPr="004A132D" w:rsidRDefault="000605FB" w:rsidP="0002378E">
      <w:pPr>
        <w:pStyle w:val="Numbers"/>
        <w:ind w:left="1418"/>
        <w:rPr>
          <w:rFonts w:asciiTheme="minorHAnsi" w:hAnsiTheme="minorHAnsi"/>
        </w:rPr>
      </w:pPr>
      <w:r w:rsidRPr="004A132D">
        <w:rPr>
          <w:rFonts w:asciiTheme="minorHAnsi" w:hAnsiTheme="minorHAnsi"/>
        </w:rPr>
        <w:t xml:space="preserve">The Australian Government provides funding to the legal assistance sector, which provides culturally appropriate legal and other services to </w:t>
      </w:r>
      <w:r w:rsidR="00986E2D" w:rsidRPr="004A132D">
        <w:rPr>
          <w:rFonts w:asciiTheme="minorHAnsi" w:hAnsiTheme="minorHAnsi"/>
        </w:rPr>
        <w:t>Indigenous p</w:t>
      </w:r>
      <w:r w:rsidR="00253A29" w:rsidRPr="004A132D">
        <w:rPr>
          <w:rFonts w:asciiTheme="minorHAnsi" w:hAnsiTheme="minorHAnsi"/>
        </w:rPr>
        <w:t>eoples</w:t>
      </w:r>
      <w:r w:rsidRPr="004A132D">
        <w:rPr>
          <w:rFonts w:asciiTheme="minorHAnsi" w:hAnsiTheme="minorHAnsi"/>
        </w:rPr>
        <w:t xml:space="preserve">, including women. </w:t>
      </w:r>
      <w:r w:rsidR="00253A29" w:rsidRPr="004A132D">
        <w:rPr>
          <w:rFonts w:asciiTheme="minorHAnsi" w:hAnsiTheme="minorHAnsi"/>
        </w:rPr>
        <w:t xml:space="preserve">This includes funding to </w:t>
      </w:r>
      <w:r w:rsidR="005273EE" w:rsidRPr="004A132D">
        <w:rPr>
          <w:rFonts w:asciiTheme="minorHAnsi" w:hAnsiTheme="minorHAnsi"/>
        </w:rPr>
        <w:t>ATSILS</w:t>
      </w:r>
      <w:r w:rsidR="00253A29" w:rsidRPr="004A132D">
        <w:rPr>
          <w:rFonts w:asciiTheme="minorHAnsi" w:hAnsiTheme="minorHAnsi"/>
        </w:rPr>
        <w:t xml:space="preserve"> and to Family Violence P</w:t>
      </w:r>
      <w:r w:rsidR="00562479" w:rsidRPr="004A132D">
        <w:rPr>
          <w:rFonts w:asciiTheme="minorHAnsi" w:hAnsiTheme="minorHAnsi"/>
        </w:rPr>
        <w:t>revention Legal Services</w:t>
      </w:r>
      <w:r w:rsidR="00253A29" w:rsidRPr="004A132D">
        <w:rPr>
          <w:rFonts w:asciiTheme="minorHAnsi" w:hAnsiTheme="minorHAnsi"/>
        </w:rPr>
        <w:t xml:space="preserve">, as well as to their peak representative bodies. </w:t>
      </w:r>
    </w:p>
    <w:p w14:paraId="5CC81101" w14:textId="63FCDE49" w:rsidR="000605FB" w:rsidRPr="004A132D" w:rsidRDefault="000605FB" w:rsidP="0002378E">
      <w:pPr>
        <w:pStyle w:val="Numbers"/>
        <w:ind w:left="1418"/>
        <w:rPr>
          <w:rFonts w:asciiTheme="minorHAnsi" w:hAnsiTheme="minorHAnsi"/>
        </w:rPr>
      </w:pPr>
      <w:r w:rsidRPr="004A132D">
        <w:rPr>
          <w:rFonts w:asciiTheme="minorHAnsi" w:hAnsiTheme="minorHAnsi"/>
        </w:rPr>
        <w:t xml:space="preserve">First Nations legal professionals are employed across the </w:t>
      </w:r>
      <w:r w:rsidR="00253A29" w:rsidRPr="004A132D">
        <w:rPr>
          <w:rFonts w:asciiTheme="minorHAnsi" w:hAnsiTheme="minorHAnsi"/>
        </w:rPr>
        <w:t xml:space="preserve">legal </w:t>
      </w:r>
      <w:r w:rsidRPr="004A132D">
        <w:rPr>
          <w:rFonts w:asciiTheme="minorHAnsi" w:hAnsiTheme="minorHAnsi"/>
        </w:rPr>
        <w:t xml:space="preserve">sector. </w:t>
      </w:r>
      <w:r w:rsidR="00253A29" w:rsidRPr="004A132D">
        <w:rPr>
          <w:rFonts w:asciiTheme="minorHAnsi" w:hAnsiTheme="minorHAnsi"/>
        </w:rPr>
        <w:t xml:space="preserve">In 2022, </w:t>
      </w:r>
      <w:r w:rsidR="00986E2D" w:rsidRPr="004A132D">
        <w:rPr>
          <w:rFonts w:asciiTheme="minorHAnsi" w:hAnsiTheme="minorHAnsi"/>
        </w:rPr>
        <w:br/>
      </w:r>
      <w:r w:rsidR="00253A29" w:rsidRPr="004A132D">
        <w:rPr>
          <w:rFonts w:asciiTheme="minorHAnsi" w:hAnsiTheme="minorHAnsi"/>
        </w:rPr>
        <w:t>749 solicitors identified as A</w:t>
      </w:r>
      <w:r w:rsidR="00986E2D" w:rsidRPr="004A132D">
        <w:rPr>
          <w:rFonts w:asciiTheme="minorHAnsi" w:hAnsiTheme="minorHAnsi"/>
        </w:rPr>
        <w:t>boriginal and/or Torres Strait I</w:t>
      </w:r>
      <w:r w:rsidR="00253A29" w:rsidRPr="004A132D">
        <w:rPr>
          <w:rFonts w:asciiTheme="minorHAnsi" w:hAnsiTheme="minorHAnsi"/>
        </w:rPr>
        <w:t xml:space="preserve">slander, representing </w:t>
      </w:r>
      <w:r w:rsidR="00621A4F" w:rsidRPr="004A132D">
        <w:rPr>
          <w:rFonts w:asciiTheme="minorHAnsi" w:hAnsiTheme="minorHAnsi"/>
        </w:rPr>
        <w:br/>
      </w:r>
      <w:r w:rsidR="00253A29" w:rsidRPr="004A132D">
        <w:rPr>
          <w:rFonts w:asciiTheme="minorHAnsi" w:hAnsiTheme="minorHAnsi"/>
        </w:rPr>
        <w:t>0.8</w:t>
      </w:r>
      <w:r w:rsidR="00621A4F" w:rsidRPr="004A132D">
        <w:rPr>
          <w:rFonts w:asciiTheme="minorHAnsi" w:hAnsiTheme="minorHAnsi"/>
        </w:rPr>
        <w:t xml:space="preserve"> per cen</w:t>
      </w:r>
      <w:r w:rsidR="00DC10B3" w:rsidRPr="004A132D">
        <w:rPr>
          <w:rFonts w:asciiTheme="minorHAnsi" w:hAnsiTheme="minorHAnsi"/>
        </w:rPr>
        <w:t>t</w:t>
      </w:r>
      <w:r w:rsidR="00253A29" w:rsidRPr="004A132D">
        <w:rPr>
          <w:rFonts w:asciiTheme="minorHAnsi" w:hAnsiTheme="minorHAnsi"/>
        </w:rPr>
        <w:t xml:space="preserve"> of all solicitors in Australia. Since 2014, this trend has remained relatively stable. Consistent with the gender distribution of the total profession, there were more female than male Aboriginal and/or Torres Strait Islander solicitors (57</w:t>
      </w:r>
      <w:r w:rsidR="00A15EC3" w:rsidRPr="004A132D">
        <w:rPr>
          <w:rFonts w:asciiTheme="minorHAnsi" w:hAnsiTheme="minorHAnsi"/>
        </w:rPr>
        <w:t> </w:t>
      </w:r>
      <w:r w:rsidR="00621A4F" w:rsidRPr="004A132D">
        <w:rPr>
          <w:rFonts w:asciiTheme="minorHAnsi" w:hAnsiTheme="minorHAnsi"/>
        </w:rPr>
        <w:t>per cent</w:t>
      </w:r>
      <w:r w:rsidR="00253A29" w:rsidRPr="004A132D">
        <w:rPr>
          <w:rFonts w:asciiTheme="minorHAnsi" w:hAnsiTheme="minorHAnsi"/>
        </w:rPr>
        <w:t xml:space="preserve"> versus 43</w:t>
      </w:r>
      <w:r w:rsidR="00621A4F" w:rsidRPr="004A132D">
        <w:rPr>
          <w:rFonts w:asciiTheme="minorHAnsi" w:hAnsiTheme="minorHAnsi"/>
        </w:rPr>
        <w:t xml:space="preserve"> per cent</w:t>
      </w:r>
      <w:r w:rsidR="00253A29" w:rsidRPr="004A132D">
        <w:rPr>
          <w:rFonts w:asciiTheme="minorHAnsi" w:hAnsiTheme="minorHAnsi"/>
        </w:rPr>
        <w:t>).</w:t>
      </w:r>
      <w:r w:rsidR="005273EE" w:rsidRPr="004A132D">
        <w:rPr>
          <w:rStyle w:val="FootnoteReference"/>
          <w:rFonts w:asciiTheme="minorHAnsi" w:hAnsiTheme="minorHAnsi"/>
        </w:rPr>
        <w:footnoteReference w:id="17"/>
      </w:r>
      <w:r w:rsidR="005273EE" w:rsidRPr="004A132D">
        <w:rPr>
          <w:rFonts w:asciiTheme="minorHAnsi" w:hAnsiTheme="minorHAnsi"/>
        </w:rPr>
        <w:t xml:space="preserve"> </w:t>
      </w:r>
      <w:r w:rsidR="00253A29" w:rsidRPr="004A132D">
        <w:rPr>
          <w:rFonts w:asciiTheme="minorHAnsi" w:hAnsiTheme="minorHAnsi"/>
        </w:rPr>
        <w:t xml:space="preserve"> </w:t>
      </w:r>
    </w:p>
    <w:p w14:paraId="02412A6F" w14:textId="129D43B1" w:rsidR="00F7100D" w:rsidRPr="004A132D" w:rsidRDefault="000605FB" w:rsidP="0002378E">
      <w:pPr>
        <w:pStyle w:val="Numbers"/>
        <w:ind w:left="1418"/>
        <w:rPr>
          <w:rFonts w:asciiTheme="minorHAnsi" w:hAnsiTheme="minorHAnsi"/>
        </w:rPr>
      </w:pPr>
      <w:r w:rsidRPr="004A132D">
        <w:rPr>
          <w:rFonts w:asciiTheme="minorHAnsi" w:hAnsiTheme="minorHAnsi"/>
        </w:rPr>
        <w:t xml:space="preserve">The Australian Government funds a network of 14 native title representative bodies and native title service providers to assist native title claimants and holders. Under the </w:t>
      </w:r>
      <w:r w:rsidRPr="004A132D">
        <w:rPr>
          <w:rFonts w:asciiTheme="minorHAnsi" w:hAnsiTheme="minorHAnsi"/>
          <w:i/>
        </w:rPr>
        <w:t xml:space="preserve">Native Title Act 1993 </w:t>
      </w:r>
      <w:r w:rsidRPr="004A132D">
        <w:rPr>
          <w:rFonts w:asciiTheme="minorHAnsi" w:hAnsiTheme="minorHAnsi"/>
        </w:rPr>
        <w:t>(Cth), native title claimants can make an application to the Federal Court of Australia to have their native title recognised by Australian law.</w:t>
      </w:r>
      <w:r w:rsidR="00812EF3" w:rsidRPr="004A132D">
        <w:rPr>
          <w:rFonts w:asciiTheme="minorHAnsi" w:hAnsiTheme="minorHAnsi"/>
        </w:rPr>
        <w:t xml:space="preserve"> Native title protects the recognised rights to country from further forced dispossession in perpetuity, until and unless the Native Title holders cede those rights for compensation on just terms. </w:t>
      </w:r>
    </w:p>
    <w:p w14:paraId="19059A5A" w14:textId="77777777" w:rsidR="00ED5D24" w:rsidRPr="005F6B4E" w:rsidRDefault="00253A29" w:rsidP="005F6B4E">
      <w:pPr>
        <w:pStyle w:val="Heading1"/>
      </w:pPr>
      <w:bookmarkStart w:id="37" w:name="_Toc174011673"/>
      <w:bookmarkStart w:id="38" w:name="_Toc175556768"/>
      <w:r w:rsidRPr="005F6B4E">
        <w:t xml:space="preserve">Question 6: </w:t>
      </w:r>
      <w:r w:rsidR="00ED5D24" w:rsidRPr="005F6B4E">
        <w:t>National human rights institution</w:t>
      </w:r>
      <w:bookmarkEnd w:id="37"/>
      <w:bookmarkEnd w:id="38"/>
      <w:r w:rsidR="00ED5D24" w:rsidRPr="005F6B4E">
        <w:t xml:space="preserve"> </w:t>
      </w:r>
    </w:p>
    <w:p w14:paraId="06FF20C1" w14:textId="77777777" w:rsidR="0090150D" w:rsidRPr="004A132D" w:rsidRDefault="0090150D" w:rsidP="0002378E">
      <w:pPr>
        <w:pStyle w:val="Numbers"/>
        <w:ind w:left="1418"/>
        <w:rPr>
          <w:rFonts w:asciiTheme="minorHAnsi" w:hAnsiTheme="minorHAnsi"/>
        </w:rPr>
      </w:pPr>
      <w:r w:rsidRPr="004A132D">
        <w:rPr>
          <w:rFonts w:asciiTheme="minorHAnsi" w:hAnsiTheme="minorHAnsi"/>
        </w:rPr>
        <w:t xml:space="preserve">The Australian Government supports the work of the </w:t>
      </w:r>
      <w:r w:rsidR="005273EE" w:rsidRPr="004A132D">
        <w:rPr>
          <w:rFonts w:asciiTheme="minorHAnsi" w:hAnsiTheme="minorHAnsi"/>
        </w:rPr>
        <w:t>AHRC</w:t>
      </w:r>
      <w:r w:rsidRPr="004A132D">
        <w:rPr>
          <w:rFonts w:asciiTheme="minorHAnsi" w:hAnsiTheme="minorHAnsi"/>
        </w:rPr>
        <w:t xml:space="preserve"> as Australia’s independent National Human Rights Institution (NHRI). An independent and </w:t>
      </w:r>
      <w:r w:rsidRPr="004A132D">
        <w:rPr>
          <w:rFonts w:asciiTheme="minorHAnsi" w:hAnsiTheme="minorHAnsi"/>
        </w:rPr>
        <w:lastRenderedPageBreak/>
        <w:t>appropriately resourced NHRI is central to Australia’s domestic and international human rights agenda.</w:t>
      </w:r>
    </w:p>
    <w:p w14:paraId="04983D1F" w14:textId="77777777" w:rsidR="0090150D" w:rsidRPr="004A132D" w:rsidRDefault="0090150D" w:rsidP="0002378E">
      <w:pPr>
        <w:pStyle w:val="Numbers"/>
        <w:ind w:left="1418"/>
        <w:rPr>
          <w:rFonts w:asciiTheme="minorHAnsi" w:hAnsiTheme="minorHAnsi"/>
        </w:rPr>
      </w:pPr>
      <w:r w:rsidRPr="004A132D">
        <w:rPr>
          <w:rFonts w:asciiTheme="minorHAnsi" w:hAnsiTheme="minorHAnsi"/>
        </w:rPr>
        <w:t>T</w:t>
      </w:r>
      <w:r w:rsidR="00B65FB7" w:rsidRPr="004A132D">
        <w:rPr>
          <w:rFonts w:asciiTheme="minorHAnsi" w:hAnsiTheme="minorHAnsi"/>
        </w:rPr>
        <w:t xml:space="preserve">o address the </w:t>
      </w:r>
      <w:r w:rsidR="005273EE" w:rsidRPr="004A132D">
        <w:rPr>
          <w:rFonts w:asciiTheme="minorHAnsi" w:hAnsiTheme="minorHAnsi"/>
        </w:rPr>
        <w:t xml:space="preserve">Global Alliance of </w:t>
      </w:r>
      <w:r w:rsidR="00023334" w:rsidRPr="004A132D">
        <w:rPr>
          <w:rFonts w:asciiTheme="minorHAnsi" w:hAnsiTheme="minorHAnsi"/>
        </w:rPr>
        <w:t>NHRI</w:t>
      </w:r>
      <w:r w:rsidR="005273EE" w:rsidRPr="004A132D">
        <w:rPr>
          <w:rFonts w:asciiTheme="minorHAnsi" w:hAnsiTheme="minorHAnsi"/>
        </w:rPr>
        <w:t xml:space="preserve"> Sub-Committee on Accreditation (</w:t>
      </w:r>
      <w:r w:rsidR="00B032D6" w:rsidRPr="004A132D">
        <w:rPr>
          <w:rFonts w:asciiTheme="minorHAnsi" w:hAnsiTheme="minorHAnsi"/>
        </w:rPr>
        <w:t>SCA</w:t>
      </w:r>
      <w:r w:rsidR="005273EE" w:rsidRPr="004A132D">
        <w:rPr>
          <w:rFonts w:asciiTheme="minorHAnsi" w:hAnsiTheme="minorHAnsi"/>
        </w:rPr>
        <w:t>)</w:t>
      </w:r>
      <w:r w:rsidR="00B032D6" w:rsidRPr="004A132D">
        <w:rPr>
          <w:rFonts w:asciiTheme="minorHAnsi" w:hAnsiTheme="minorHAnsi"/>
        </w:rPr>
        <w:t xml:space="preserve">’s </w:t>
      </w:r>
      <w:r w:rsidR="00B65FB7" w:rsidRPr="004A132D">
        <w:rPr>
          <w:rFonts w:asciiTheme="minorHAnsi" w:hAnsiTheme="minorHAnsi"/>
        </w:rPr>
        <w:t xml:space="preserve">2022 </w:t>
      </w:r>
      <w:r w:rsidR="00B032D6" w:rsidRPr="004A132D">
        <w:rPr>
          <w:rFonts w:asciiTheme="minorHAnsi" w:hAnsiTheme="minorHAnsi"/>
        </w:rPr>
        <w:t xml:space="preserve">recommendations, </w:t>
      </w:r>
      <w:r w:rsidR="00721629" w:rsidRPr="004A132D">
        <w:rPr>
          <w:rFonts w:asciiTheme="minorHAnsi" w:hAnsiTheme="minorHAnsi"/>
        </w:rPr>
        <w:t>t</w:t>
      </w:r>
      <w:r w:rsidRPr="004A132D">
        <w:rPr>
          <w:rFonts w:asciiTheme="minorHAnsi" w:hAnsiTheme="minorHAnsi"/>
        </w:rPr>
        <w:t>he Australian Government passed legislative amendments, developed draft Policy and Guidelines and provided</w:t>
      </w:r>
      <w:r w:rsidR="00D30741" w:rsidRPr="004A132D">
        <w:rPr>
          <w:rFonts w:asciiTheme="minorHAnsi" w:hAnsiTheme="minorHAnsi"/>
        </w:rPr>
        <w:t xml:space="preserve"> additional funding to the AHRC.</w:t>
      </w:r>
    </w:p>
    <w:p w14:paraId="5F6D79CB" w14:textId="5294F0E7" w:rsidR="0090150D" w:rsidRPr="004A132D" w:rsidRDefault="0090150D" w:rsidP="00561D0E">
      <w:pPr>
        <w:pStyle w:val="Numbers"/>
        <w:numPr>
          <w:ilvl w:val="1"/>
          <w:numId w:val="1"/>
        </w:numPr>
        <w:rPr>
          <w:rFonts w:asciiTheme="minorHAnsi" w:hAnsiTheme="minorHAnsi"/>
        </w:rPr>
      </w:pPr>
      <w:r w:rsidRPr="004A132D">
        <w:rPr>
          <w:rFonts w:asciiTheme="minorHAnsi" w:hAnsiTheme="minorHAnsi"/>
        </w:rPr>
        <w:t xml:space="preserve">The </w:t>
      </w:r>
      <w:r w:rsidR="00B248DB" w:rsidRPr="004A132D">
        <w:rPr>
          <w:rFonts w:asciiTheme="minorHAnsi" w:hAnsiTheme="minorHAnsi"/>
        </w:rPr>
        <w:t>A</w:t>
      </w:r>
      <w:r w:rsidR="00B248DB" w:rsidRPr="004A132D">
        <w:rPr>
          <w:rFonts w:asciiTheme="minorHAnsi" w:hAnsiTheme="minorHAnsi"/>
          <w:i/>
        </w:rPr>
        <w:t>ustralian</w:t>
      </w:r>
      <w:r w:rsidR="00B248DB" w:rsidRPr="004A132D">
        <w:rPr>
          <w:rFonts w:asciiTheme="minorHAnsi" w:hAnsiTheme="minorHAnsi"/>
        </w:rPr>
        <w:t xml:space="preserve"> </w:t>
      </w:r>
      <w:r w:rsidRPr="004A132D">
        <w:rPr>
          <w:rFonts w:asciiTheme="minorHAnsi" w:hAnsiTheme="minorHAnsi"/>
          <w:i/>
        </w:rPr>
        <w:t>Human Rights Commission Legislation Amendment (Selection and Appointment) Act 2022</w:t>
      </w:r>
      <w:r w:rsidRPr="004A132D">
        <w:rPr>
          <w:rFonts w:asciiTheme="minorHAnsi" w:hAnsiTheme="minorHAnsi"/>
        </w:rPr>
        <w:t xml:space="preserve"> </w:t>
      </w:r>
      <w:r w:rsidR="00B248DB" w:rsidRPr="004A132D">
        <w:rPr>
          <w:rFonts w:asciiTheme="minorHAnsi" w:hAnsiTheme="minorHAnsi"/>
        </w:rPr>
        <w:t xml:space="preserve">(Cth) </w:t>
      </w:r>
      <w:r w:rsidRPr="004A132D">
        <w:rPr>
          <w:rFonts w:asciiTheme="minorHAnsi" w:hAnsiTheme="minorHAnsi"/>
        </w:rPr>
        <w:t xml:space="preserve">commenced on </w:t>
      </w:r>
      <w:r w:rsidR="00E94B07" w:rsidRPr="004A132D">
        <w:rPr>
          <w:rFonts w:asciiTheme="minorHAnsi" w:hAnsiTheme="minorHAnsi"/>
        </w:rPr>
        <w:br/>
      </w:r>
      <w:r w:rsidRPr="004A132D">
        <w:rPr>
          <w:rFonts w:asciiTheme="minorHAnsi" w:hAnsiTheme="minorHAnsi"/>
        </w:rPr>
        <w:t>10</w:t>
      </w:r>
      <w:r w:rsidR="00E94B07" w:rsidRPr="004A132D">
        <w:rPr>
          <w:rFonts w:asciiTheme="minorHAnsi" w:hAnsiTheme="minorHAnsi"/>
        </w:rPr>
        <w:t xml:space="preserve"> </w:t>
      </w:r>
      <w:r w:rsidRPr="004A132D">
        <w:rPr>
          <w:rFonts w:asciiTheme="minorHAnsi" w:hAnsiTheme="minorHAnsi"/>
        </w:rPr>
        <w:t xml:space="preserve">November 2022 </w:t>
      </w:r>
      <w:r w:rsidR="00986E2D" w:rsidRPr="004A132D">
        <w:rPr>
          <w:rFonts w:asciiTheme="minorHAnsi" w:hAnsiTheme="minorHAnsi"/>
        </w:rPr>
        <w:t xml:space="preserve">– it </w:t>
      </w:r>
      <w:r w:rsidRPr="004A132D">
        <w:rPr>
          <w:rFonts w:asciiTheme="minorHAnsi" w:hAnsiTheme="minorHAnsi"/>
        </w:rPr>
        <w:t>requires all AHRC appointments be made by a merit-based and publicly advertised selection process</w:t>
      </w:r>
      <w:r w:rsidR="00B248DB" w:rsidRPr="004A132D">
        <w:rPr>
          <w:rFonts w:asciiTheme="minorHAnsi" w:hAnsiTheme="minorHAnsi"/>
        </w:rPr>
        <w:t>, consistent with the Paris Principles</w:t>
      </w:r>
      <w:r w:rsidRPr="004A132D">
        <w:rPr>
          <w:rFonts w:asciiTheme="minorHAnsi" w:hAnsiTheme="minorHAnsi"/>
        </w:rPr>
        <w:t xml:space="preserve">. </w:t>
      </w:r>
    </w:p>
    <w:p w14:paraId="05E64F0B" w14:textId="4B43C159" w:rsidR="00B032D6" w:rsidRPr="004A132D" w:rsidRDefault="00B248DB" w:rsidP="00561D0E">
      <w:pPr>
        <w:pStyle w:val="Numbers"/>
        <w:numPr>
          <w:ilvl w:val="1"/>
          <w:numId w:val="1"/>
        </w:numPr>
        <w:rPr>
          <w:rFonts w:asciiTheme="minorHAnsi" w:hAnsiTheme="minorHAnsi"/>
        </w:rPr>
      </w:pPr>
      <w:r w:rsidRPr="004A132D">
        <w:rPr>
          <w:rFonts w:asciiTheme="minorHAnsi" w:hAnsiTheme="minorHAnsi"/>
        </w:rPr>
        <w:t xml:space="preserve">The </w:t>
      </w:r>
      <w:r w:rsidR="0090150D" w:rsidRPr="004A132D">
        <w:rPr>
          <w:rFonts w:asciiTheme="minorHAnsi" w:hAnsiTheme="minorHAnsi"/>
        </w:rPr>
        <w:t xml:space="preserve">Australian Government developed </w:t>
      </w:r>
      <w:r w:rsidR="00F05D55" w:rsidRPr="004A132D">
        <w:rPr>
          <w:rFonts w:asciiTheme="minorHAnsi" w:hAnsiTheme="minorHAnsi"/>
        </w:rPr>
        <w:t xml:space="preserve">a </w:t>
      </w:r>
      <w:r w:rsidR="00A77ED3" w:rsidRPr="004A132D">
        <w:rPr>
          <w:rFonts w:asciiTheme="minorHAnsi" w:hAnsiTheme="minorHAnsi"/>
        </w:rPr>
        <w:t>p</w:t>
      </w:r>
      <w:r w:rsidR="0090150D" w:rsidRPr="004A132D">
        <w:rPr>
          <w:rFonts w:asciiTheme="minorHAnsi" w:hAnsiTheme="minorHAnsi"/>
        </w:rPr>
        <w:t>o</w:t>
      </w:r>
      <w:r w:rsidR="00A77ED3" w:rsidRPr="004A132D">
        <w:rPr>
          <w:rFonts w:asciiTheme="minorHAnsi" w:hAnsiTheme="minorHAnsi"/>
        </w:rPr>
        <w:t>licy and guidelines for a</w:t>
      </w:r>
      <w:r w:rsidR="0090150D" w:rsidRPr="004A132D">
        <w:rPr>
          <w:rFonts w:asciiTheme="minorHAnsi" w:hAnsiTheme="minorHAnsi"/>
        </w:rPr>
        <w:t>ppointments</w:t>
      </w:r>
      <w:r w:rsidRPr="004A132D">
        <w:rPr>
          <w:rFonts w:asciiTheme="minorHAnsi" w:hAnsiTheme="minorHAnsi"/>
        </w:rPr>
        <w:t xml:space="preserve"> to </w:t>
      </w:r>
      <w:r w:rsidR="0090150D" w:rsidRPr="004A132D">
        <w:rPr>
          <w:rFonts w:asciiTheme="minorHAnsi" w:hAnsiTheme="minorHAnsi"/>
        </w:rPr>
        <w:t>the AHRC</w:t>
      </w:r>
      <w:r w:rsidRPr="004A132D">
        <w:rPr>
          <w:rFonts w:asciiTheme="minorHAnsi" w:hAnsiTheme="minorHAnsi"/>
        </w:rPr>
        <w:t>,</w:t>
      </w:r>
      <w:r w:rsidR="0090150D" w:rsidRPr="004A132D">
        <w:rPr>
          <w:rFonts w:asciiTheme="minorHAnsi" w:hAnsiTheme="minorHAnsi"/>
        </w:rPr>
        <w:t xml:space="preserve"> </w:t>
      </w:r>
      <w:r w:rsidRPr="004A132D">
        <w:rPr>
          <w:rFonts w:asciiTheme="minorHAnsi" w:hAnsiTheme="minorHAnsi"/>
        </w:rPr>
        <w:t xml:space="preserve">following public consultation, </w:t>
      </w:r>
      <w:r w:rsidR="0090150D" w:rsidRPr="004A132D">
        <w:rPr>
          <w:rFonts w:asciiTheme="minorHAnsi" w:hAnsiTheme="minorHAnsi"/>
        </w:rPr>
        <w:t xml:space="preserve">about the </w:t>
      </w:r>
      <w:r w:rsidRPr="004A132D">
        <w:rPr>
          <w:rFonts w:asciiTheme="minorHAnsi" w:hAnsiTheme="minorHAnsi"/>
        </w:rPr>
        <w:t xml:space="preserve">appointment processes for the president and commissioners to the </w:t>
      </w:r>
      <w:r w:rsidR="005273EE" w:rsidRPr="004A132D">
        <w:rPr>
          <w:rFonts w:asciiTheme="minorHAnsi" w:hAnsiTheme="minorHAnsi"/>
        </w:rPr>
        <w:t>AHRC</w:t>
      </w:r>
      <w:r w:rsidRPr="004A132D">
        <w:rPr>
          <w:rFonts w:asciiTheme="minorHAnsi" w:hAnsiTheme="minorHAnsi"/>
        </w:rPr>
        <w:t>.</w:t>
      </w:r>
    </w:p>
    <w:p w14:paraId="6F9C9B6D" w14:textId="138BAC94" w:rsidR="00A77ED3" w:rsidRPr="004A132D" w:rsidRDefault="006E4A1D" w:rsidP="00A77ED3">
      <w:pPr>
        <w:pStyle w:val="Numbers"/>
        <w:numPr>
          <w:ilvl w:val="1"/>
          <w:numId w:val="1"/>
        </w:numPr>
        <w:rPr>
          <w:rFonts w:asciiTheme="minorHAnsi" w:hAnsiTheme="minorHAnsi"/>
        </w:rPr>
      </w:pPr>
      <w:r w:rsidRPr="004A132D">
        <w:rPr>
          <w:rFonts w:asciiTheme="minorHAnsi" w:hAnsiTheme="minorHAnsi"/>
        </w:rPr>
        <w:t>In 2022,</w:t>
      </w:r>
      <w:r w:rsidR="0090150D" w:rsidRPr="004A132D">
        <w:rPr>
          <w:rFonts w:asciiTheme="minorHAnsi" w:hAnsiTheme="minorHAnsi"/>
        </w:rPr>
        <w:t xml:space="preserve"> the Australian Government invested an additional $49.8 million over </w:t>
      </w:r>
      <w:r w:rsidR="00520DF4" w:rsidRPr="004A132D">
        <w:rPr>
          <w:rFonts w:asciiTheme="minorHAnsi" w:hAnsiTheme="minorHAnsi"/>
        </w:rPr>
        <w:t>4</w:t>
      </w:r>
      <w:r w:rsidR="0090150D" w:rsidRPr="004A132D">
        <w:rPr>
          <w:rFonts w:asciiTheme="minorHAnsi" w:hAnsiTheme="minorHAnsi"/>
        </w:rPr>
        <w:t xml:space="preserve"> years</w:t>
      </w:r>
      <w:r w:rsidR="00B65FB7" w:rsidRPr="004A132D">
        <w:rPr>
          <w:rFonts w:asciiTheme="minorHAnsi" w:hAnsiTheme="minorHAnsi"/>
        </w:rPr>
        <w:t xml:space="preserve"> to the AHRC</w:t>
      </w:r>
      <w:r w:rsidR="0090150D" w:rsidRPr="004A132D">
        <w:rPr>
          <w:rFonts w:asciiTheme="minorHAnsi" w:hAnsiTheme="minorHAnsi"/>
        </w:rPr>
        <w:t xml:space="preserve">. </w:t>
      </w:r>
      <w:r w:rsidR="002275CC" w:rsidRPr="004A132D">
        <w:rPr>
          <w:rFonts w:asciiTheme="minorHAnsi" w:hAnsiTheme="minorHAnsi"/>
        </w:rPr>
        <w:t xml:space="preserve">The additional funding comprised support for the implementation of Respect@Work Report recommendations, a National Anti-Racism Strategy which includes the development of an anti-racism Framework and the extension of the </w:t>
      </w:r>
      <w:r w:rsidR="002275CC" w:rsidRPr="004A132D">
        <w:rPr>
          <w:rFonts w:asciiTheme="minorHAnsi" w:hAnsiTheme="minorHAnsi"/>
          <w:i/>
        </w:rPr>
        <w:t xml:space="preserve">‘Racism. It Stops with Me’ </w:t>
      </w:r>
      <w:r w:rsidR="002275CC" w:rsidRPr="004A132D">
        <w:rPr>
          <w:rFonts w:asciiTheme="minorHAnsi" w:hAnsiTheme="minorHAnsi"/>
        </w:rPr>
        <w:t>campaign, and ongoing base funding</w:t>
      </w:r>
      <w:r w:rsidR="00E4617B" w:rsidRPr="004A132D">
        <w:rPr>
          <w:rFonts w:asciiTheme="minorHAnsi" w:hAnsiTheme="minorHAnsi"/>
        </w:rPr>
        <w:t>.</w:t>
      </w:r>
    </w:p>
    <w:p w14:paraId="27751809" w14:textId="799EF8E7" w:rsidR="004B0451" w:rsidRPr="004A132D" w:rsidRDefault="004B0451" w:rsidP="00A77ED3">
      <w:pPr>
        <w:pStyle w:val="Numbers"/>
        <w:numPr>
          <w:ilvl w:val="1"/>
          <w:numId w:val="1"/>
        </w:numPr>
        <w:rPr>
          <w:rFonts w:asciiTheme="minorHAnsi" w:hAnsiTheme="minorHAnsi"/>
        </w:rPr>
      </w:pPr>
      <w:r w:rsidRPr="004A132D">
        <w:rPr>
          <w:rFonts w:asciiTheme="minorHAnsi" w:hAnsiTheme="minorHAnsi"/>
        </w:rPr>
        <w:t>The Commission’s annual appropriations from Government for 2024-25 are $32.1</w:t>
      </w:r>
      <w:r w:rsidR="00DC10B3" w:rsidRPr="004A132D">
        <w:rPr>
          <w:rFonts w:asciiTheme="minorHAnsi" w:hAnsiTheme="minorHAnsi"/>
        </w:rPr>
        <w:t xml:space="preserve"> </w:t>
      </w:r>
      <w:r w:rsidRPr="004A132D">
        <w:rPr>
          <w:rFonts w:asciiTheme="minorHAnsi" w:hAnsiTheme="minorHAnsi"/>
        </w:rPr>
        <w:t>million.</w:t>
      </w:r>
    </w:p>
    <w:p w14:paraId="5227E8A3" w14:textId="76A7CE1B" w:rsidR="00E4617B" w:rsidRPr="004A132D" w:rsidRDefault="00E4617B" w:rsidP="0002378E">
      <w:pPr>
        <w:pStyle w:val="Numbers"/>
        <w:ind w:left="1418"/>
        <w:rPr>
          <w:rFonts w:asciiTheme="minorHAnsi" w:hAnsiTheme="minorHAnsi"/>
        </w:rPr>
      </w:pPr>
      <w:r w:rsidRPr="004A132D">
        <w:rPr>
          <w:rFonts w:asciiTheme="minorHAnsi" w:hAnsiTheme="minorHAnsi"/>
        </w:rPr>
        <w:t xml:space="preserve">In July 2023, Dr Anna Cody was appointed as Australia’s Sex Discrimination Commissioner </w:t>
      </w:r>
      <w:r w:rsidR="00107A84" w:rsidRPr="004A132D">
        <w:rPr>
          <w:rFonts w:asciiTheme="minorHAnsi" w:hAnsiTheme="minorHAnsi"/>
        </w:rPr>
        <w:t xml:space="preserve">for a term of </w:t>
      </w:r>
      <w:r w:rsidR="00520DF4" w:rsidRPr="004A132D">
        <w:rPr>
          <w:rFonts w:asciiTheme="minorHAnsi" w:hAnsiTheme="minorHAnsi"/>
        </w:rPr>
        <w:t>5</w:t>
      </w:r>
      <w:r w:rsidR="00107A84" w:rsidRPr="004A132D">
        <w:rPr>
          <w:rFonts w:asciiTheme="minorHAnsi" w:hAnsiTheme="minorHAnsi"/>
        </w:rPr>
        <w:t xml:space="preserve"> years </w:t>
      </w:r>
      <w:r w:rsidRPr="004A132D">
        <w:rPr>
          <w:rFonts w:asciiTheme="minorHAnsi" w:hAnsiTheme="minorHAnsi"/>
        </w:rPr>
        <w:t xml:space="preserve">under a merit-based selection process. </w:t>
      </w:r>
      <w:r w:rsidR="00107A84" w:rsidRPr="004A132D">
        <w:rPr>
          <w:rFonts w:asciiTheme="minorHAnsi" w:hAnsiTheme="minorHAnsi"/>
        </w:rPr>
        <w:t xml:space="preserve">The former Commissioner, Ms Kate Jenkins, finished her </w:t>
      </w:r>
      <w:r w:rsidR="00520DF4" w:rsidRPr="004A132D">
        <w:rPr>
          <w:rFonts w:asciiTheme="minorHAnsi" w:hAnsiTheme="minorHAnsi"/>
        </w:rPr>
        <w:t>7</w:t>
      </w:r>
      <w:r w:rsidR="00104C33" w:rsidRPr="004A132D">
        <w:rPr>
          <w:rFonts w:asciiTheme="minorHAnsi" w:hAnsiTheme="minorHAnsi"/>
        </w:rPr>
        <w:t>-year</w:t>
      </w:r>
      <w:r w:rsidR="00197FA4" w:rsidRPr="004A132D">
        <w:rPr>
          <w:rFonts w:asciiTheme="minorHAnsi" w:hAnsiTheme="minorHAnsi"/>
        </w:rPr>
        <w:t xml:space="preserve"> term in April 2023.</w:t>
      </w:r>
    </w:p>
    <w:p w14:paraId="6014871C" w14:textId="77777777" w:rsidR="0090150D" w:rsidRPr="004A132D" w:rsidRDefault="0090150D" w:rsidP="0002378E">
      <w:pPr>
        <w:pStyle w:val="Numbers"/>
        <w:ind w:left="1418"/>
        <w:rPr>
          <w:rFonts w:asciiTheme="minorHAnsi" w:hAnsiTheme="minorHAnsi"/>
        </w:rPr>
      </w:pPr>
      <w:r w:rsidRPr="004A132D">
        <w:rPr>
          <w:rFonts w:asciiTheme="minorHAnsi" w:hAnsiTheme="minorHAnsi"/>
        </w:rPr>
        <w:t>The Australian Government will continue t</w:t>
      </w:r>
      <w:r w:rsidR="003D2426" w:rsidRPr="004A132D">
        <w:rPr>
          <w:rFonts w:asciiTheme="minorHAnsi" w:hAnsiTheme="minorHAnsi"/>
        </w:rPr>
        <w:t xml:space="preserve">o work closely with the AHRC to </w:t>
      </w:r>
      <w:r w:rsidRPr="004A132D">
        <w:rPr>
          <w:rFonts w:asciiTheme="minorHAnsi" w:hAnsiTheme="minorHAnsi"/>
        </w:rPr>
        <w:t xml:space="preserve">ensure it is appropriately resourced to conduct its work, including </w:t>
      </w:r>
      <w:r w:rsidR="00104C33" w:rsidRPr="004A132D">
        <w:rPr>
          <w:rFonts w:asciiTheme="minorHAnsi" w:hAnsiTheme="minorHAnsi"/>
        </w:rPr>
        <w:t>discharging</w:t>
      </w:r>
      <w:r w:rsidRPr="004A132D">
        <w:rPr>
          <w:rFonts w:asciiTheme="minorHAnsi" w:hAnsiTheme="minorHAnsi"/>
        </w:rPr>
        <w:t xml:space="preserve"> its mandate on women’s rights and gender equality.</w:t>
      </w:r>
    </w:p>
    <w:p w14:paraId="0E902B78" w14:textId="77777777" w:rsidR="00ED5D24" w:rsidRPr="005F6B4E" w:rsidRDefault="00DD6213" w:rsidP="005F6B4E">
      <w:pPr>
        <w:pStyle w:val="Heading1"/>
      </w:pPr>
      <w:bookmarkStart w:id="39" w:name="_Toc174011674"/>
      <w:bookmarkStart w:id="40" w:name="_Toc175556769"/>
      <w:r w:rsidRPr="005F6B4E">
        <w:lastRenderedPageBreak/>
        <w:t xml:space="preserve">Question 7: </w:t>
      </w:r>
      <w:r w:rsidR="00ED5D24" w:rsidRPr="005F6B4E">
        <w:t>Temporary special measures</w:t>
      </w:r>
      <w:bookmarkEnd w:id="39"/>
      <w:bookmarkEnd w:id="40"/>
      <w:r w:rsidR="00ED5D24" w:rsidRPr="005F6B4E">
        <w:t xml:space="preserve"> </w:t>
      </w:r>
    </w:p>
    <w:p w14:paraId="4BE05C75" w14:textId="77777777" w:rsidR="00A924BF" w:rsidRPr="004A132D" w:rsidRDefault="007822A9" w:rsidP="0002378E">
      <w:pPr>
        <w:pStyle w:val="Numbers"/>
        <w:tabs>
          <w:tab w:val="clear" w:pos="2835"/>
        </w:tabs>
        <w:ind w:left="1418"/>
        <w:rPr>
          <w:rFonts w:asciiTheme="minorHAnsi" w:hAnsiTheme="minorHAnsi"/>
        </w:rPr>
      </w:pPr>
      <w:r w:rsidRPr="004A132D">
        <w:rPr>
          <w:rFonts w:asciiTheme="minorHAnsi" w:hAnsiTheme="minorHAnsi"/>
        </w:rPr>
        <w:t xml:space="preserve">The </w:t>
      </w:r>
      <w:r w:rsidR="000E2B9D" w:rsidRPr="004A132D">
        <w:rPr>
          <w:rFonts w:asciiTheme="minorHAnsi" w:hAnsiTheme="minorHAnsi"/>
        </w:rPr>
        <w:t xml:space="preserve">Sex Discrimination Act </w:t>
      </w:r>
      <w:r w:rsidRPr="004A132D">
        <w:rPr>
          <w:rFonts w:asciiTheme="minorHAnsi" w:hAnsiTheme="minorHAnsi"/>
        </w:rPr>
        <w:t xml:space="preserve">provides that a person does not discriminate against another person if a measure is intended to achieve substantive equality. </w:t>
      </w:r>
      <w:r w:rsidR="00A924BF" w:rsidRPr="004A132D">
        <w:rPr>
          <w:rFonts w:asciiTheme="minorHAnsi" w:hAnsiTheme="minorHAnsi"/>
        </w:rPr>
        <w:t xml:space="preserve">The Act allows the use of affirmative action by allowing a person to take ‘special measures’ to achieve substantive equality between men and women. </w:t>
      </w:r>
      <w:r w:rsidRPr="004A132D">
        <w:rPr>
          <w:rFonts w:asciiTheme="minorHAnsi" w:hAnsiTheme="minorHAnsi"/>
        </w:rPr>
        <w:t xml:space="preserve">Intersectional special measures are possible if the special measure complies with all relevant legislative requirements under </w:t>
      </w:r>
      <w:r w:rsidR="00ED70D5" w:rsidRPr="004A132D">
        <w:rPr>
          <w:rFonts w:asciiTheme="minorHAnsi" w:hAnsiTheme="minorHAnsi"/>
        </w:rPr>
        <w:t>the relevant Act. Similarly, the</w:t>
      </w:r>
      <w:r w:rsidR="000E2B9D" w:rsidRPr="004A132D">
        <w:rPr>
          <w:rFonts w:asciiTheme="minorHAnsi" w:hAnsiTheme="minorHAnsi"/>
        </w:rPr>
        <w:t xml:space="preserve"> Rac</w:t>
      </w:r>
      <w:r w:rsidR="004B0451" w:rsidRPr="004A132D">
        <w:rPr>
          <w:rFonts w:asciiTheme="minorHAnsi" w:hAnsiTheme="minorHAnsi"/>
        </w:rPr>
        <w:t>e</w:t>
      </w:r>
      <w:r w:rsidR="000E2B9D" w:rsidRPr="004A132D">
        <w:rPr>
          <w:rFonts w:asciiTheme="minorHAnsi" w:hAnsiTheme="minorHAnsi"/>
        </w:rPr>
        <w:t xml:space="preserve"> Discrimination Act</w:t>
      </w:r>
      <w:r w:rsidR="00ED70D5" w:rsidRPr="004A132D">
        <w:rPr>
          <w:rFonts w:asciiTheme="minorHAnsi" w:hAnsiTheme="minorHAnsi"/>
        </w:rPr>
        <w:t xml:space="preserve"> allows for ‘special measures’ to be taken to advance the human rights of certain racial or ethnic groups of individuals.</w:t>
      </w:r>
    </w:p>
    <w:p w14:paraId="7947C161" w14:textId="77777777" w:rsidR="007822A9" w:rsidRPr="004A132D" w:rsidRDefault="007822A9" w:rsidP="0002378E">
      <w:pPr>
        <w:pStyle w:val="Numbers"/>
        <w:tabs>
          <w:tab w:val="clear" w:pos="2835"/>
        </w:tabs>
        <w:ind w:left="1418"/>
        <w:rPr>
          <w:rFonts w:asciiTheme="minorHAnsi" w:hAnsiTheme="minorHAnsi"/>
        </w:rPr>
      </w:pPr>
      <w:r w:rsidRPr="004A132D">
        <w:rPr>
          <w:rFonts w:asciiTheme="minorHAnsi" w:hAnsiTheme="minorHAnsi"/>
        </w:rPr>
        <w:t>The Sex Discrimination Act also empowers the AHRC to grant temporary exemptions from certain provisions under the Act that would normally constitute unlawful discrimination.</w:t>
      </w:r>
      <w:r w:rsidR="009B0696" w:rsidRPr="004A132D">
        <w:rPr>
          <w:rStyle w:val="FootnoteReference"/>
          <w:rFonts w:asciiTheme="minorHAnsi" w:hAnsiTheme="minorHAnsi"/>
        </w:rPr>
        <w:footnoteReference w:id="18"/>
      </w:r>
    </w:p>
    <w:p w14:paraId="50D28E03" w14:textId="5F7F046A" w:rsidR="0080726A" w:rsidRPr="004A132D" w:rsidRDefault="0030142A" w:rsidP="0002378E">
      <w:pPr>
        <w:pStyle w:val="Numbers"/>
        <w:ind w:left="1418"/>
        <w:rPr>
          <w:rFonts w:asciiTheme="minorHAnsi" w:hAnsiTheme="minorHAnsi"/>
        </w:rPr>
      </w:pPr>
      <w:r w:rsidRPr="004A132D">
        <w:rPr>
          <w:rFonts w:asciiTheme="minorHAnsi" w:hAnsiTheme="minorHAnsi"/>
        </w:rPr>
        <w:t>The Australian Government has implemented a range of initiates to accelerate substantive equality between women and men. Measures to increase the representation of w</w:t>
      </w:r>
      <w:r w:rsidR="0080726A" w:rsidRPr="004A132D">
        <w:rPr>
          <w:rFonts w:asciiTheme="minorHAnsi" w:hAnsiTheme="minorHAnsi"/>
        </w:rPr>
        <w:t xml:space="preserve">omen in </w:t>
      </w:r>
      <w:r w:rsidR="002A4249" w:rsidRPr="004A132D">
        <w:rPr>
          <w:rFonts w:asciiTheme="minorHAnsi" w:hAnsiTheme="minorHAnsi"/>
        </w:rPr>
        <w:t xml:space="preserve">political and </w:t>
      </w:r>
      <w:r w:rsidR="0080726A" w:rsidRPr="004A132D">
        <w:rPr>
          <w:rFonts w:asciiTheme="minorHAnsi" w:hAnsiTheme="minorHAnsi"/>
        </w:rPr>
        <w:t>public life</w:t>
      </w:r>
      <w:r w:rsidRPr="004A132D">
        <w:rPr>
          <w:rFonts w:asciiTheme="minorHAnsi" w:hAnsiTheme="minorHAnsi"/>
        </w:rPr>
        <w:t xml:space="preserve"> can be found in</w:t>
      </w:r>
      <w:r w:rsidR="0080726A" w:rsidRPr="004A132D">
        <w:rPr>
          <w:rFonts w:asciiTheme="minorHAnsi" w:hAnsiTheme="minorHAnsi"/>
        </w:rPr>
        <w:t xml:space="preserve"> question 13. </w:t>
      </w:r>
      <w:r w:rsidR="00DC10B3" w:rsidRPr="004A132D">
        <w:rPr>
          <w:rFonts w:asciiTheme="minorHAnsi" w:hAnsiTheme="minorHAnsi"/>
        </w:rPr>
        <w:br/>
      </w:r>
      <w:r w:rsidR="00DA5F26" w:rsidRPr="004A132D">
        <w:rPr>
          <w:rFonts w:asciiTheme="minorHAnsi" w:hAnsiTheme="minorHAnsi"/>
        </w:rPr>
        <w:t>Two</w:t>
      </w:r>
      <w:r w:rsidRPr="004A132D">
        <w:rPr>
          <w:rFonts w:asciiTheme="minorHAnsi" w:hAnsiTheme="minorHAnsi"/>
        </w:rPr>
        <w:t xml:space="preserve"> further examples are</w:t>
      </w:r>
      <w:r w:rsidR="00DA5F26" w:rsidRPr="004A132D">
        <w:rPr>
          <w:rFonts w:asciiTheme="minorHAnsi" w:hAnsiTheme="minorHAnsi"/>
        </w:rPr>
        <w:t xml:space="preserve"> outlined</w:t>
      </w:r>
      <w:r w:rsidRPr="004A132D">
        <w:rPr>
          <w:rFonts w:asciiTheme="minorHAnsi" w:hAnsiTheme="minorHAnsi"/>
        </w:rPr>
        <w:t xml:space="preserve"> below.</w:t>
      </w:r>
    </w:p>
    <w:p w14:paraId="389EF8F5" w14:textId="77777777" w:rsidR="00D30FEE" w:rsidRPr="004A132D" w:rsidRDefault="00B26DE3" w:rsidP="00B26DE3">
      <w:pPr>
        <w:pStyle w:val="Heading2"/>
      </w:pPr>
      <w:bookmarkStart w:id="41" w:name="_Toc174011675"/>
      <w:bookmarkStart w:id="42" w:name="_Toc175556770"/>
      <w:r w:rsidRPr="004A132D">
        <w:t xml:space="preserve">Example: </w:t>
      </w:r>
      <w:r w:rsidR="00D30FEE" w:rsidRPr="004A132D">
        <w:t>Education and employment</w:t>
      </w:r>
      <w:bookmarkEnd w:id="41"/>
      <w:bookmarkEnd w:id="42"/>
    </w:p>
    <w:p w14:paraId="45C1B01C" w14:textId="3526FA4C" w:rsidR="001B3CF8" w:rsidRPr="004A132D" w:rsidRDefault="00D30FEE" w:rsidP="005C681F">
      <w:pPr>
        <w:pStyle w:val="Numbers"/>
        <w:numPr>
          <w:ilvl w:val="1"/>
          <w:numId w:val="1"/>
        </w:numPr>
        <w:rPr>
          <w:rFonts w:asciiTheme="minorHAnsi" w:hAnsiTheme="minorHAnsi"/>
        </w:rPr>
      </w:pPr>
      <w:r w:rsidRPr="004A132D">
        <w:rPr>
          <w:rFonts w:asciiTheme="minorHAnsi" w:hAnsiTheme="minorHAnsi"/>
        </w:rPr>
        <w:t>The Au</w:t>
      </w:r>
      <w:r w:rsidR="001B3CF8" w:rsidRPr="004A132D">
        <w:rPr>
          <w:rFonts w:asciiTheme="minorHAnsi" w:hAnsiTheme="minorHAnsi"/>
        </w:rPr>
        <w:t xml:space="preserve">stralian Skills Guarantee, which comes into effect on 1 July 2024, </w:t>
      </w:r>
      <w:r w:rsidRPr="004A132D">
        <w:rPr>
          <w:rFonts w:asciiTheme="minorHAnsi" w:hAnsiTheme="minorHAnsi"/>
        </w:rPr>
        <w:t>introduces national targets for women to increase the proportion of women working on major projects in information and communication technology and construction and drive long-term sustainable change to reduce gender segregation in the apprenticeship system.</w:t>
      </w:r>
      <w:r w:rsidR="001B3CF8" w:rsidRPr="004A132D">
        <w:rPr>
          <w:rFonts w:asciiTheme="minorHAnsi" w:hAnsiTheme="minorHAnsi"/>
        </w:rPr>
        <w:t xml:space="preserve"> The </w:t>
      </w:r>
      <w:r w:rsidR="00E56A2F" w:rsidRPr="004A132D">
        <w:rPr>
          <w:rFonts w:asciiTheme="minorHAnsi" w:hAnsiTheme="minorHAnsi"/>
        </w:rPr>
        <w:t>2024-2028 National</w:t>
      </w:r>
      <w:r w:rsidR="001B3CF8" w:rsidRPr="004A132D">
        <w:rPr>
          <w:rFonts w:asciiTheme="minorHAnsi" w:hAnsiTheme="minorHAnsi"/>
        </w:rPr>
        <w:t xml:space="preserve"> Skills Agreement</w:t>
      </w:r>
      <w:r w:rsidR="001511E7" w:rsidRPr="004A132D">
        <w:rPr>
          <w:rFonts w:asciiTheme="minorHAnsi" w:hAnsiTheme="minorHAnsi"/>
        </w:rPr>
        <w:t xml:space="preserve">, a </w:t>
      </w:r>
      <w:r w:rsidR="00520DF4" w:rsidRPr="004A132D">
        <w:rPr>
          <w:rFonts w:asciiTheme="minorHAnsi" w:hAnsiTheme="minorHAnsi"/>
        </w:rPr>
        <w:t>5</w:t>
      </w:r>
      <w:r w:rsidR="001511E7" w:rsidRPr="004A132D">
        <w:rPr>
          <w:rFonts w:asciiTheme="minorHAnsi" w:hAnsiTheme="minorHAnsi"/>
        </w:rPr>
        <w:t>-year joint agreement between the Australian Government</w:t>
      </w:r>
      <w:r w:rsidR="00E56A2F" w:rsidRPr="004A132D">
        <w:rPr>
          <w:rFonts w:asciiTheme="minorHAnsi" w:hAnsiTheme="minorHAnsi"/>
        </w:rPr>
        <w:t>,</w:t>
      </w:r>
      <w:r w:rsidR="005C681F" w:rsidRPr="004A132D">
        <w:rPr>
          <w:rFonts w:asciiTheme="minorHAnsi" w:hAnsiTheme="minorHAnsi"/>
        </w:rPr>
        <w:t xml:space="preserve"> </w:t>
      </w:r>
      <w:r w:rsidR="001511E7" w:rsidRPr="004A132D">
        <w:rPr>
          <w:rFonts w:asciiTheme="minorHAnsi" w:hAnsiTheme="minorHAnsi"/>
        </w:rPr>
        <w:t xml:space="preserve">states and territories </w:t>
      </w:r>
      <w:r w:rsidR="00E56A2F" w:rsidRPr="004A132D">
        <w:rPr>
          <w:rFonts w:asciiTheme="minorHAnsi" w:hAnsiTheme="minorHAnsi"/>
        </w:rPr>
        <w:t xml:space="preserve">working in partnership </w:t>
      </w:r>
      <w:r w:rsidR="001511E7" w:rsidRPr="004A132D">
        <w:rPr>
          <w:rFonts w:asciiTheme="minorHAnsi" w:hAnsiTheme="minorHAnsi"/>
        </w:rPr>
        <w:t>to strength</w:t>
      </w:r>
      <w:r w:rsidR="00E56A2F" w:rsidRPr="004A132D">
        <w:rPr>
          <w:rFonts w:asciiTheme="minorHAnsi" w:hAnsiTheme="minorHAnsi"/>
        </w:rPr>
        <w:t>en</w:t>
      </w:r>
      <w:r w:rsidR="001511E7" w:rsidRPr="004A132D">
        <w:rPr>
          <w:rFonts w:asciiTheme="minorHAnsi" w:hAnsiTheme="minorHAnsi"/>
        </w:rPr>
        <w:t xml:space="preserve"> the vocational education and training sector,</w:t>
      </w:r>
      <w:r w:rsidR="001B3CF8" w:rsidRPr="004A132D">
        <w:rPr>
          <w:rFonts w:asciiTheme="minorHAnsi" w:hAnsiTheme="minorHAnsi"/>
        </w:rPr>
        <w:t xml:space="preserve"> includes gender equality as one of the agreed national priorities</w:t>
      </w:r>
      <w:r w:rsidR="00E56A2F" w:rsidRPr="004A132D">
        <w:rPr>
          <w:rFonts w:asciiTheme="minorHAnsi" w:hAnsiTheme="minorHAnsi"/>
        </w:rPr>
        <w:t xml:space="preserve"> to </w:t>
      </w:r>
      <w:r w:rsidR="00E56A2F" w:rsidRPr="004A132D">
        <w:rPr>
          <w:rFonts w:asciiTheme="minorHAnsi" w:hAnsiTheme="minorHAnsi"/>
          <w:lang w:val="en-AU"/>
        </w:rPr>
        <w:t>improve women’s economic participation, reduce industry and occupation gender segregation and the gender pay gap.</w:t>
      </w:r>
    </w:p>
    <w:p w14:paraId="328E0B99" w14:textId="2B27172C" w:rsidR="001B3CF8" w:rsidRPr="004A132D" w:rsidRDefault="001B3CF8" w:rsidP="005C681F">
      <w:pPr>
        <w:pStyle w:val="Numbers"/>
        <w:numPr>
          <w:ilvl w:val="1"/>
          <w:numId w:val="1"/>
        </w:numPr>
        <w:rPr>
          <w:rFonts w:asciiTheme="minorHAnsi" w:hAnsiTheme="minorHAnsi"/>
        </w:rPr>
      </w:pPr>
      <w:r w:rsidRPr="004A132D">
        <w:rPr>
          <w:rFonts w:asciiTheme="minorHAnsi" w:hAnsiTheme="minorHAnsi"/>
        </w:rPr>
        <w:lastRenderedPageBreak/>
        <w:t>The federal and state and territory governments’ Fee-Free TAFE initiative is continuing to exceed targets and remove financial barriers to training and upskilling.</w:t>
      </w:r>
      <w:r w:rsidRPr="004A132D">
        <w:rPr>
          <w:rStyle w:val="FootnoteReference"/>
          <w:rFonts w:asciiTheme="minorHAnsi" w:hAnsiTheme="minorHAnsi"/>
        </w:rPr>
        <w:footnoteReference w:id="19"/>
      </w:r>
      <w:r w:rsidRPr="004A132D">
        <w:rPr>
          <w:rFonts w:asciiTheme="minorHAnsi" w:hAnsiTheme="minorHAnsi"/>
        </w:rPr>
        <w:t xml:space="preserve"> Fee-Free TAFE is targeted towards priority cohorts, including women facing economic insecurity, women undertaking study in non-traditional fields, unpaid carers, First Nations Australians, and people with disability. In 2023, more than 355,000 Australians enrolled in Fee-Free TAFE, surpassing the initial first year target of 180,000 places, </w:t>
      </w:r>
      <w:r w:rsidR="00E56A2F" w:rsidRPr="004A132D">
        <w:rPr>
          <w:rFonts w:asciiTheme="minorHAnsi" w:hAnsiTheme="minorHAnsi"/>
        </w:rPr>
        <w:t>over</w:t>
      </w:r>
      <w:r w:rsidRPr="004A132D">
        <w:rPr>
          <w:rFonts w:asciiTheme="minorHAnsi" w:hAnsiTheme="minorHAnsi"/>
        </w:rPr>
        <w:t xml:space="preserve"> 6</w:t>
      </w:r>
      <w:r w:rsidR="00E56A2F" w:rsidRPr="004A132D">
        <w:rPr>
          <w:rFonts w:asciiTheme="minorHAnsi" w:hAnsiTheme="minorHAnsi"/>
        </w:rPr>
        <w:t>1</w:t>
      </w:r>
      <w:r w:rsidRPr="004A132D">
        <w:rPr>
          <w:rFonts w:asciiTheme="minorHAnsi" w:hAnsiTheme="minorHAnsi"/>
        </w:rPr>
        <w:t xml:space="preserve"> per cent of these enrolments by women.</w:t>
      </w:r>
    </w:p>
    <w:p w14:paraId="2B36C9A9" w14:textId="718D9660" w:rsidR="008C34EF" w:rsidRPr="004A132D" w:rsidRDefault="008C34EF" w:rsidP="005C681F">
      <w:pPr>
        <w:pStyle w:val="Numbers"/>
        <w:numPr>
          <w:ilvl w:val="1"/>
          <w:numId w:val="1"/>
        </w:numPr>
        <w:rPr>
          <w:rFonts w:asciiTheme="minorHAnsi" w:hAnsiTheme="minorHAnsi"/>
        </w:rPr>
      </w:pPr>
      <w:r w:rsidRPr="004A132D">
        <w:rPr>
          <w:rFonts w:asciiTheme="minorHAnsi" w:hAnsiTheme="minorHAnsi"/>
        </w:rPr>
        <w:t>The Fee-Free TAFE initiative is supported by the TAFE Technology Fund with $50 million in funding to support TAFEs around the country to upgrade and expand their facilities, such as laboratories, workshops, and IT services. This will support women undertak</w:t>
      </w:r>
      <w:r w:rsidR="003733D2" w:rsidRPr="004A132D">
        <w:rPr>
          <w:rFonts w:asciiTheme="minorHAnsi" w:hAnsiTheme="minorHAnsi"/>
        </w:rPr>
        <w:t>ing</w:t>
      </w:r>
      <w:r w:rsidRPr="004A132D">
        <w:rPr>
          <w:rFonts w:asciiTheme="minorHAnsi" w:hAnsiTheme="minorHAnsi"/>
        </w:rPr>
        <w:t xml:space="preserve"> training, through the improvement of training infrastructure. </w:t>
      </w:r>
    </w:p>
    <w:p w14:paraId="0E5FB5DE" w14:textId="77777777" w:rsidR="00DA5F26" w:rsidRPr="004A132D" w:rsidRDefault="00DA5F26" w:rsidP="00DA5F26">
      <w:pPr>
        <w:pStyle w:val="Heading2"/>
      </w:pPr>
      <w:bookmarkStart w:id="43" w:name="_Toc174011676"/>
      <w:bookmarkStart w:id="44" w:name="_Toc175556771"/>
      <w:r w:rsidRPr="004A132D">
        <w:t>Gender-responsive public procurement</w:t>
      </w:r>
      <w:bookmarkEnd w:id="43"/>
      <w:bookmarkEnd w:id="44"/>
      <w:r w:rsidRPr="004A132D">
        <w:t xml:space="preserve"> </w:t>
      </w:r>
    </w:p>
    <w:p w14:paraId="08D0AB7E" w14:textId="77777777" w:rsidR="00DA5F26" w:rsidRPr="004A132D" w:rsidRDefault="00DA5F26" w:rsidP="0002378E">
      <w:pPr>
        <w:pStyle w:val="Numbers"/>
        <w:ind w:left="1418"/>
        <w:rPr>
          <w:rFonts w:asciiTheme="minorHAnsi" w:hAnsiTheme="minorHAnsi"/>
        </w:rPr>
      </w:pPr>
      <w:r w:rsidRPr="004A132D">
        <w:rPr>
          <w:rFonts w:asciiTheme="minorHAnsi" w:hAnsiTheme="minorHAnsi"/>
        </w:rPr>
        <w:t xml:space="preserve">Public procurement is a key lever that governments have available to boost women’s economic equality and drive progress toward gender equality. </w:t>
      </w:r>
    </w:p>
    <w:p w14:paraId="484FA9D5" w14:textId="77777777" w:rsidR="00DA5F26" w:rsidRPr="004A132D" w:rsidRDefault="00DA5F26" w:rsidP="0002378E">
      <w:pPr>
        <w:pStyle w:val="Numbers"/>
        <w:ind w:left="1418"/>
        <w:rPr>
          <w:rFonts w:asciiTheme="minorHAnsi" w:hAnsiTheme="minorHAnsi"/>
        </w:rPr>
      </w:pPr>
      <w:r w:rsidRPr="004A132D">
        <w:rPr>
          <w:rFonts w:asciiTheme="minorHAnsi" w:hAnsiTheme="minorHAnsi"/>
        </w:rPr>
        <w:t>Through the Workplace Gender Equality Procurement Principles, relevant businesses that employ 100 or more pe</w:t>
      </w:r>
      <w:r w:rsidR="00FE7DBB" w:rsidRPr="004A132D">
        <w:rPr>
          <w:rFonts w:asciiTheme="minorHAnsi" w:hAnsiTheme="minorHAnsi"/>
        </w:rPr>
        <w:t>ople must be compliant with the WGE Act</w:t>
      </w:r>
      <w:r w:rsidRPr="004A132D">
        <w:rPr>
          <w:rFonts w:asciiTheme="minorHAnsi" w:hAnsiTheme="minorHAnsi"/>
        </w:rPr>
        <w:t xml:space="preserve"> </w:t>
      </w:r>
      <w:r w:rsidR="00B42082" w:rsidRPr="004A132D">
        <w:rPr>
          <w:rFonts w:asciiTheme="minorHAnsi" w:hAnsiTheme="minorHAnsi"/>
        </w:rPr>
        <w:t xml:space="preserve">in order to be eligible to win Australian Government </w:t>
      </w:r>
      <w:r w:rsidRPr="004A132D">
        <w:rPr>
          <w:rFonts w:asciiTheme="minorHAnsi" w:hAnsiTheme="minorHAnsi"/>
        </w:rPr>
        <w:t xml:space="preserve">work. Compliance requires employers to meet gender equality standards, report to the </w:t>
      </w:r>
      <w:r w:rsidR="00757B7A" w:rsidRPr="004A132D">
        <w:rPr>
          <w:rFonts w:asciiTheme="minorHAnsi" w:hAnsiTheme="minorHAnsi"/>
        </w:rPr>
        <w:t>WGEA</w:t>
      </w:r>
      <w:r w:rsidRPr="004A132D">
        <w:rPr>
          <w:rFonts w:asciiTheme="minorHAnsi" w:hAnsiTheme="minorHAnsi"/>
        </w:rPr>
        <w:t xml:space="preserve"> on their performance against Gender Equality Indicators, and communicate their performance to employees, shareholders and governing bodies.</w:t>
      </w:r>
    </w:p>
    <w:p w14:paraId="33333EE6" w14:textId="180E0D62" w:rsidR="00DA5F26" w:rsidRDefault="00DA5F26" w:rsidP="0002378E">
      <w:pPr>
        <w:pStyle w:val="Numbers"/>
        <w:ind w:left="1418"/>
        <w:rPr>
          <w:rFonts w:asciiTheme="minorHAnsi" w:hAnsiTheme="minorHAnsi"/>
        </w:rPr>
      </w:pPr>
      <w:r w:rsidRPr="004A132D">
        <w:rPr>
          <w:rFonts w:asciiTheme="minorHAnsi" w:hAnsiTheme="minorHAnsi"/>
        </w:rPr>
        <w:t xml:space="preserve">The </w:t>
      </w:r>
      <w:r w:rsidR="00DF5408" w:rsidRPr="004A132D">
        <w:rPr>
          <w:rFonts w:asciiTheme="minorHAnsi" w:hAnsiTheme="minorHAnsi"/>
        </w:rPr>
        <w:t xml:space="preserve">Australian </w:t>
      </w:r>
      <w:r w:rsidRPr="004A132D">
        <w:rPr>
          <w:rFonts w:asciiTheme="minorHAnsi" w:hAnsiTheme="minorHAnsi"/>
        </w:rPr>
        <w:t xml:space="preserve">Government will also introduce a requirement for businesses with 500 or more employees to commit to – and achieve – workplace targets against at least </w:t>
      </w:r>
      <w:r w:rsidR="00232E8B" w:rsidRPr="004A132D">
        <w:rPr>
          <w:rFonts w:asciiTheme="minorHAnsi" w:hAnsiTheme="minorHAnsi"/>
        </w:rPr>
        <w:t>3</w:t>
      </w:r>
      <w:r w:rsidRPr="004A132D">
        <w:rPr>
          <w:rFonts w:asciiTheme="minorHAnsi" w:hAnsiTheme="minorHAnsi"/>
        </w:rPr>
        <w:t xml:space="preserve"> of the Gender Equality Indicators, in order to win government work.</w:t>
      </w:r>
    </w:p>
    <w:p w14:paraId="6E241EFF" w14:textId="77777777" w:rsidR="00C05E7F" w:rsidRPr="004A132D" w:rsidRDefault="00C05E7F" w:rsidP="00C05E7F">
      <w:pPr>
        <w:pStyle w:val="Numbers"/>
        <w:numPr>
          <w:ilvl w:val="0"/>
          <w:numId w:val="0"/>
        </w:numPr>
        <w:ind w:left="1418"/>
        <w:rPr>
          <w:rFonts w:asciiTheme="minorHAnsi" w:hAnsiTheme="minorHAnsi"/>
        </w:rPr>
      </w:pPr>
    </w:p>
    <w:p w14:paraId="5000D452" w14:textId="01F385F6" w:rsidR="00ED5D24" w:rsidRPr="005F6B4E" w:rsidRDefault="00962911" w:rsidP="005F6B4E">
      <w:pPr>
        <w:pStyle w:val="Heading1"/>
      </w:pPr>
      <w:bookmarkStart w:id="45" w:name="_Toc174011677"/>
      <w:bookmarkStart w:id="46" w:name="_Toc175556772"/>
      <w:r w:rsidRPr="005F6B4E">
        <w:lastRenderedPageBreak/>
        <w:t xml:space="preserve">Question 8: </w:t>
      </w:r>
      <w:r w:rsidR="00ED5D24" w:rsidRPr="005F6B4E">
        <w:t>Stereotypes and harmful practices</w:t>
      </w:r>
      <w:bookmarkEnd w:id="45"/>
      <w:bookmarkEnd w:id="46"/>
    </w:p>
    <w:p w14:paraId="4ADE34AA" w14:textId="77777777" w:rsidR="0044646D" w:rsidRPr="004A132D" w:rsidRDefault="00E105E7" w:rsidP="00962911">
      <w:pPr>
        <w:pStyle w:val="Heading2"/>
      </w:pPr>
      <w:bookmarkStart w:id="47" w:name="_Toc174011678"/>
      <w:bookmarkStart w:id="48" w:name="_Toc175556773"/>
      <w:r w:rsidRPr="004A132D">
        <w:t>Overcoming discriminatory stereotypes</w:t>
      </w:r>
      <w:bookmarkEnd w:id="47"/>
      <w:bookmarkEnd w:id="48"/>
    </w:p>
    <w:p w14:paraId="499746A8" w14:textId="77777777" w:rsidR="000E3FEC" w:rsidRPr="004A132D" w:rsidRDefault="000E3FEC" w:rsidP="0002378E">
      <w:pPr>
        <w:pStyle w:val="Numbers"/>
        <w:ind w:left="1418"/>
        <w:rPr>
          <w:rFonts w:asciiTheme="minorHAnsi" w:hAnsiTheme="minorHAnsi"/>
        </w:rPr>
      </w:pPr>
      <w:r w:rsidRPr="004A132D">
        <w:rPr>
          <w:rFonts w:asciiTheme="minorHAnsi" w:hAnsiTheme="minorHAnsi"/>
        </w:rPr>
        <w:t xml:space="preserve">Australia recognises that to achieve gender equality, rigid attitudes and behaviours around gender need to keep changing. This means challenging stereotypes that limit how people behave, are perceived and are treated at work, at school, in relationships, in their homes, online and by their communities. </w:t>
      </w:r>
    </w:p>
    <w:p w14:paraId="4B7E8042" w14:textId="771AB1EE" w:rsidR="00C50D00" w:rsidRPr="004A132D" w:rsidRDefault="0098115B" w:rsidP="0002378E">
      <w:pPr>
        <w:pStyle w:val="Numbers"/>
        <w:ind w:left="1418"/>
        <w:rPr>
          <w:rFonts w:asciiTheme="minorHAnsi" w:hAnsiTheme="minorHAnsi"/>
        </w:rPr>
      </w:pPr>
      <w:r w:rsidRPr="004A132D">
        <w:rPr>
          <w:rFonts w:asciiTheme="minorHAnsi" w:hAnsiTheme="minorHAnsi"/>
        </w:rPr>
        <w:t xml:space="preserve">The </w:t>
      </w:r>
      <w:r w:rsidR="000E3FEC" w:rsidRPr="004A132D">
        <w:rPr>
          <w:rFonts w:asciiTheme="minorHAnsi" w:hAnsiTheme="minorHAnsi"/>
        </w:rPr>
        <w:t>Working for Women</w:t>
      </w:r>
      <w:r w:rsidR="00010574" w:rsidRPr="004A132D">
        <w:rPr>
          <w:rFonts w:asciiTheme="minorHAnsi" w:hAnsiTheme="minorHAnsi"/>
          <w:i/>
        </w:rPr>
        <w:t xml:space="preserve"> </w:t>
      </w:r>
      <w:r w:rsidR="008C6A06" w:rsidRPr="004A132D">
        <w:rPr>
          <w:rFonts w:asciiTheme="minorHAnsi" w:hAnsiTheme="minorHAnsi"/>
        </w:rPr>
        <w:t>S</w:t>
      </w:r>
      <w:r w:rsidR="00010574" w:rsidRPr="004A132D">
        <w:rPr>
          <w:rFonts w:asciiTheme="minorHAnsi" w:hAnsiTheme="minorHAnsi"/>
        </w:rPr>
        <w:t>trategy</w:t>
      </w:r>
      <w:r w:rsidR="00F717EB">
        <w:rPr>
          <w:rFonts w:asciiTheme="minorHAnsi" w:hAnsiTheme="minorHAnsi"/>
        </w:rPr>
        <w:t xml:space="preserve"> </w:t>
      </w:r>
      <w:r w:rsidR="000E3FEC" w:rsidRPr="004A132D">
        <w:rPr>
          <w:rFonts w:asciiTheme="minorHAnsi" w:hAnsiTheme="minorHAnsi"/>
        </w:rPr>
        <w:t xml:space="preserve">recognises addressing gender attitudes and stereotypes </w:t>
      </w:r>
      <w:r w:rsidR="003733D2" w:rsidRPr="004A132D">
        <w:rPr>
          <w:rFonts w:asciiTheme="minorHAnsi" w:hAnsiTheme="minorHAnsi"/>
        </w:rPr>
        <w:t>is</w:t>
      </w:r>
      <w:r w:rsidR="000E3FEC" w:rsidRPr="004A132D">
        <w:rPr>
          <w:rFonts w:asciiTheme="minorHAnsi" w:hAnsiTheme="minorHAnsi"/>
        </w:rPr>
        <w:t xml:space="preserve"> foundation</w:t>
      </w:r>
      <w:r w:rsidR="00411A42" w:rsidRPr="004A132D">
        <w:rPr>
          <w:rFonts w:asciiTheme="minorHAnsi" w:hAnsiTheme="minorHAnsi"/>
        </w:rPr>
        <w:t>al to</w:t>
      </w:r>
      <w:r w:rsidR="00EB6C5E" w:rsidRPr="004A132D">
        <w:rPr>
          <w:rFonts w:asciiTheme="minorHAnsi" w:hAnsiTheme="minorHAnsi"/>
        </w:rPr>
        <w:t xml:space="preserve"> achieve gender equality. Each priority area in the </w:t>
      </w:r>
      <w:r w:rsidR="003733D2" w:rsidRPr="004A132D">
        <w:rPr>
          <w:rFonts w:asciiTheme="minorHAnsi" w:hAnsiTheme="minorHAnsi"/>
        </w:rPr>
        <w:t>Working for Women</w:t>
      </w:r>
      <w:r w:rsidR="003733D2" w:rsidRPr="004A132D">
        <w:rPr>
          <w:rFonts w:asciiTheme="minorHAnsi" w:hAnsiTheme="minorHAnsi"/>
          <w:i/>
        </w:rPr>
        <w:t xml:space="preserve"> </w:t>
      </w:r>
      <w:r w:rsidR="003733D2" w:rsidRPr="004A132D">
        <w:rPr>
          <w:rFonts w:asciiTheme="minorHAnsi" w:hAnsiTheme="minorHAnsi"/>
        </w:rPr>
        <w:t>Strategy</w:t>
      </w:r>
      <w:r w:rsidR="00EB6C5E" w:rsidRPr="004A132D">
        <w:rPr>
          <w:rFonts w:asciiTheme="minorHAnsi" w:hAnsiTheme="minorHAnsi"/>
        </w:rPr>
        <w:t xml:space="preserve"> is underpinned by gender attitudes and stereotypes. </w:t>
      </w:r>
      <w:r w:rsidR="000E3FEC" w:rsidRPr="004A132D">
        <w:rPr>
          <w:rFonts w:asciiTheme="minorHAnsi" w:hAnsiTheme="minorHAnsi"/>
        </w:rPr>
        <w:t xml:space="preserve">It also recognises that change is </w:t>
      </w:r>
      <w:r w:rsidR="00411A42" w:rsidRPr="004A132D">
        <w:rPr>
          <w:rFonts w:asciiTheme="minorHAnsi" w:hAnsiTheme="minorHAnsi"/>
        </w:rPr>
        <w:t>needed at a community level as g</w:t>
      </w:r>
      <w:r w:rsidR="000E3FEC" w:rsidRPr="004A132D">
        <w:rPr>
          <w:rFonts w:asciiTheme="minorHAnsi" w:hAnsiTheme="minorHAnsi"/>
        </w:rPr>
        <w:t xml:space="preserve">overnment alone cannot change individual attitudes. </w:t>
      </w:r>
      <w:r w:rsidR="003733D2" w:rsidRPr="004A132D">
        <w:rPr>
          <w:rFonts w:asciiTheme="minorHAnsi" w:hAnsiTheme="minorHAnsi"/>
        </w:rPr>
        <w:t>The Working for Women</w:t>
      </w:r>
      <w:r w:rsidR="003733D2" w:rsidRPr="004A132D">
        <w:rPr>
          <w:rFonts w:asciiTheme="minorHAnsi" w:hAnsiTheme="minorHAnsi"/>
          <w:i/>
        </w:rPr>
        <w:t xml:space="preserve"> </w:t>
      </w:r>
      <w:r w:rsidR="003733D2" w:rsidRPr="004A132D">
        <w:rPr>
          <w:rFonts w:asciiTheme="minorHAnsi" w:hAnsiTheme="minorHAnsi"/>
        </w:rPr>
        <w:t>Strategy</w:t>
      </w:r>
      <w:r w:rsidR="003733D2" w:rsidRPr="004A132D" w:rsidDel="003733D2">
        <w:rPr>
          <w:rFonts w:asciiTheme="minorHAnsi" w:hAnsiTheme="minorHAnsi"/>
        </w:rPr>
        <w:t xml:space="preserve"> </w:t>
      </w:r>
      <w:r w:rsidR="009B4AEF" w:rsidRPr="004A132D">
        <w:rPr>
          <w:rFonts w:asciiTheme="minorHAnsi" w:hAnsiTheme="minorHAnsi"/>
        </w:rPr>
        <w:t xml:space="preserve">is complemented by the work underway on state and territory strategies to address harmful gender stereotypes. </w:t>
      </w:r>
    </w:p>
    <w:p w14:paraId="4F0B4D07" w14:textId="78743A02" w:rsidR="00411A42" w:rsidRPr="004A132D" w:rsidRDefault="00190B48" w:rsidP="0002378E">
      <w:pPr>
        <w:pStyle w:val="Numbers"/>
        <w:ind w:left="1418"/>
        <w:rPr>
          <w:rFonts w:asciiTheme="minorHAnsi" w:hAnsiTheme="minorHAnsi"/>
        </w:rPr>
      </w:pPr>
      <w:r w:rsidRPr="004A132D">
        <w:rPr>
          <w:rFonts w:asciiTheme="minorHAnsi" w:hAnsiTheme="minorHAnsi"/>
        </w:rPr>
        <w:t>Australian Government</w:t>
      </w:r>
      <w:r w:rsidR="00411A42" w:rsidRPr="004A132D">
        <w:rPr>
          <w:rFonts w:asciiTheme="minorHAnsi" w:hAnsiTheme="minorHAnsi"/>
        </w:rPr>
        <w:t xml:space="preserve"> action across priority areas can help to drive practical </w:t>
      </w:r>
      <w:r w:rsidR="004B0451" w:rsidRPr="004A132D">
        <w:rPr>
          <w:rFonts w:asciiTheme="minorHAnsi" w:hAnsiTheme="minorHAnsi"/>
        </w:rPr>
        <w:t xml:space="preserve">and meaningful </w:t>
      </w:r>
      <w:r w:rsidR="00411A42" w:rsidRPr="004A132D">
        <w:rPr>
          <w:rFonts w:asciiTheme="minorHAnsi" w:hAnsiTheme="minorHAnsi"/>
        </w:rPr>
        <w:t>change on gender norms. This includes work under</w:t>
      </w:r>
      <w:r w:rsidR="00C12EB6" w:rsidRPr="004A132D">
        <w:rPr>
          <w:rFonts w:asciiTheme="minorHAnsi" w:hAnsiTheme="minorHAnsi"/>
        </w:rPr>
        <w:t xml:space="preserve"> the </w:t>
      </w:r>
      <w:r w:rsidR="002E06BD" w:rsidRPr="004A132D">
        <w:rPr>
          <w:rFonts w:asciiTheme="minorHAnsi" w:hAnsiTheme="minorHAnsi"/>
        </w:rPr>
        <w:t xml:space="preserve">National Plan to </w:t>
      </w:r>
      <w:r w:rsidR="00F73767" w:rsidRPr="004A132D">
        <w:rPr>
          <w:rFonts w:asciiTheme="minorHAnsi" w:hAnsiTheme="minorHAnsi"/>
        </w:rPr>
        <w:t>E</w:t>
      </w:r>
      <w:r w:rsidR="002E06BD" w:rsidRPr="004A132D">
        <w:rPr>
          <w:rFonts w:asciiTheme="minorHAnsi" w:hAnsiTheme="minorHAnsi"/>
        </w:rPr>
        <w:t xml:space="preserve">nd </w:t>
      </w:r>
      <w:r w:rsidR="00F73767" w:rsidRPr="004A132D">
        <w:rPr>
          <w:rFonts w:asciiTheme="minorHAnsi" w:hAnsiTheme="minorHAnsi"/>
        </w:rPr>
        <w:t>V</w:t>
      </w:r>
      <w:r w:rsidR="002E06BD" w:rsidRPr="004A132D">
        <w:rPr>
          <w:rFonts w:asciiTheme="minorHAnsi" w:hAnsiTheme="minorHAnsi"/>
        </w:rPr>
        <w:t>iolence against Women</w:t>
      </w:r>
      <w:r w:rsidR="00411A42" w:rsidRPr="004A132D">
        <w:rPr>
          <w:rFonts w:asciiTheme="minorHAnsi" w:hAnsiTheme="minorHAnsi"/>
        </w:rPr>
        <w:t xml:space="preserve">; the Government’s </w:t>
      </w:r>
      <w:r w:rsidRPr="004A132D">
        <w:rPr>
          <w:rFonts w:asciiTheme="minorHAnsi" w:hAnsiTheme="minorHAnsi"/>
        </w:rPr>
        <w:t>PPL scheme</w:t>
      </w:r>
      <w:r w:rsidR="00411A42" w:rsidRPr="004A132D">
        <w:rPr>
          <w:rFonts w:asciiTheme="minorHAnsi" w:hAnsiTheme="minorHAnsi"/>
        </w:rPr>
        <w:t xml:space="preserve">, which has been reformed to encourage uptake from men and more shared care between partners; and efforts to reduce gender segregation in industries and workplaces. The </w:t>
      </w:r>
      <w:r w:rsidRPr="004A132D">
        <w:rPr>
          <w:rFonts w:asciiTheme="minorHAnsi" w:hAnsiTheme="minorHAnsi"/>
        </w:rPr>
        <w:t xml:space="preserve">Australian </w:t>
      </w:r>
      <w:r w:rsidR="00411A42" w:rsidRPr="004A132D">
        <w:rPr>
          <w:rFonts w:asciiTheme="minorHAnsi" w:hAnsiTheme="minorHAnsi"/>
        </w:rPr>
        <w:t xml:space="preserve">Government </w:t>
      </w:r>
      <w:r w:rsidRPr="004A132D">
        <w:rPr>
          <w:rFonts w:asciiTheme="minorHAnsi" w:hAnsiTheme="minorHAnsi"/>
        </w:rPr>
        <w:t>will</w:t>
      </w:r>
      <w:r w:rsidR="00411A42" w:rsidRPr="004A132D">
        <w:rPr>
          <w:rFonts w:asciiTheme="minorHAnsi" w:hAnsiTheme="minorHAnsi"/>
        </w:rPr>
        <w:t xml:space="preserve"> further develop the evidence base on how society views women and girls, demonstrate equality in its leadership and public service, and explore options</w:t>
      </w:r>
      <w:r w:rsidR="00340053" w:rsidRPr="004A132D">
        <w:rPr>
          <w:rFonts w:asciiTheme="minorHAnsi" w:hAnsiTheme="minorHAnsi"/>
        </w:rPr>
        <w:t xml:space="preserve"> for reform which </w:t>
      </w:r>
      <w:r w:rsidR="00411A42" w:rsidRPr="004A132D">
        <w:rPr>
          <w:rFonts w:asciiTheme="minorHAnsi" w:hAnsiTheme="minorHAnsi"/>
        </w:rPr>
        <w:t xml:space="preserve">improve the representation of women in media and </w:t>
      </w:r>
      <w:r w:rsidR="00340053" w:rsidRPr="004A132D">
        <w:rPr>
          <w:rFonts w:asciiTheme="minorHAnsi" w:hAnsiTheme="minorHAnsi"/>
        </w:rPr>
        <w:t>advertising.</w:t>
      </w:r>
    </w:p>
    <w:p w14:paraId="7F96D257" w14:textId="77777777" w:rsidR="00E105E7" w:rsidRPr="004A132D" w:rsidRDefault="00E105E7" w:rsidP="00962911">
      <w:pPr>
        <w:pStyle w:val="Heading2"/>
      </w:pPr>
      <w:bookmarkStart w:id="49" w:name="_Toc174011679"/>
      <w:bookmarkStart w:id="50" w:name="_Toc175556774"/>
      <w:r w:rsidRPr="004A132D">
        <w:t>Sexist portrayals of women in the media</w:t>
      </w:r>
      <w:r w:rsidR="007C1282" w:rsidRPr="004A132D">
        <w:t xml:space="preserve"> and online abuse</w:t>
      </w:r>
      <w:bookmarkEnd w:id="49"/>
      <w:bookmarkEnd w:id="50"/>
    </w:p>
    <w:p w14:paraId="58105AC6" w14:textId="77777777" w:rsidR="007C1282" w:rsidRPr="004A132D" w:rsidRDefault="007C1282" w:rsidP="0002378E">
      <w:pPr>
        <w:pStyle w:val="Numbers"/>
        <w:ind w:left="1418"/>
        <w:rPr>
          <w:rFonts w:asciiTheme="minorHAnsi" w:hAnsiTheme="minorHAnsi"/>
        </w:rPr>
      </w:pPr>
      <w:r w:rsidRPr="004A132D">
        <w:rPr>
          <w:rFonts w:asciiTheme="minorHAnsi" w:hAnsiTheme="minorHAnsi"/>
        </w:rPr>
        <w:t xml:space="preserve">Media has an important role in elevating diverse talent and leaders, delivering diverse stories and promoting women’s reporting and participation in highly visible and influential areas. </w:t>
      </w:r>
    </w:p>
    <w:p w14:paraId="067751D9" w14:textId="1C94F7DE" w:rsidR="00E105E7" w:rsidRPr="004A132D" w:rsidRDefault="00E105E7" w:rsidP="0002378E">
      <w:pPr>
        <w:pStyle w:val="Numbers"/>
        <w:ind w:left="1418"/>
        <w:rPr>
          <w:rFonts w:asciiTheme="minorHAnsi" w:hAnsiTheme="minorHAnsi"/>
        </w:rPr>
      </w:pPr>
      <w:r w:rsidRPr="004A132D">
        <w:rPr>
          <w:rFonts w:asciiTheme="minorHAnsi" w:hAnsiTheme="minorHAnsi"/>
        </w:rPr>
        <w:t xml:space="preserve">The </w:t>
      </w:r>
      <w:r w:rsidR="00E174FB" w:rsidRPr="004A132D">
        <w:rPr>
          <w:rFonts w:asciiTheme="minorHAnsi" w:hAnsiTheme="minorHAnsi"/>
        </w:rPr>
        <w:t>Australia</w:t>
      </w:r>
      <w:r w:rsidR="00411A42" w:rsidRPr="004A132D">
        <w:rPr>
          <w:rFonts w:asciiTheme="minorHAnsi" w:hAnsiTheme="minorHAnsi"/>
        </w:rPr>
        <w:t>n</w:t>
      </w:r>
      <w:r w:rsidR="00E174FB" w:rsidRPr="004A132D">
        <w:rPr>
          <w:rFonts w:asciiTheme="minorHAnsi" w:hAnsiTheme="minorHAnsi"/>
        </w:rPr>
        <w:t xml:space="preserve"> Government</w:t>
      </w:r>
      <w:r w:rsidRPr="004A132D">
        <w:rPr>
          <w:rFonts w:asciiTheme="minorHAnsi" w:hAnsiTheme="minorHAnsi"/>
        </w:rPr>
        <w:t xml:space="preserve"> </w:t>
      </w:r>
      <w:r w:rsidR="00230F88" w:rsidRPr="004A132D">
        <w:rPr>
          <w:rFonts w:asciiTheme="minorHAnsi" w:hAnsiTheme="minorHAnsi"/>
        </w:rPr>
        <w:t xml:space="preserve">has provided funding between 2021 and 2027 to </w:t>
      </w:r>
      <w:r w:rsidR="00A77ED3" w:rsidRPr="004A132D">
        <w:rPr>
          <w:rFonts w:asciiTheme="minorHAnsi" w:hAnsiTheme="minorHAnsi"/>
        </w:rPr>
        <w:br/>
      </w:r>
      <w:r w:rsidRPr="004A132D">
        <w:rPr>
          <w:rFonts w:asciiTheme="minorHAnsi" w:hAnsiTheme="minorHAnsi"/>
        </w:rPr>
        <w:t>Our</w:t>
      </w:r>
      <w:r w:rsidR="00A77ED3" w:rsidRPr="004A132D">
        <w:rPr>
          <w:rFonts w:asciiTheme="minorHAnsi" w:hAnsiTheme="minorHAnsi"/>
        </w:rPr>
        <w:t xml:space="preserve"> </w:t>
      </w:r>
      <w:r w:rsidRPr="004A132D">
        <w:rPr>
          <w:rFonts w:asciiTheme="minorHAnsi" w:hAnsiTheme="minorHAnsi"/>
        </w:rPr>
        <w:t>Watch</w:t>
      </w:r>
      <w:r w:rsidR="007C1282" w:rsidRPr="004A132D">
        <w:rPr>
          <w:rFonts w:asciiTheme="minorHAnsi" w:hAnsiTheme="minorHAnsi"/>
        </w:rPr>
        <w:t>, an independent, not for profit organisation established to drive nationwide change in culture, behaviours and power imbalances to prevent violence against women and their children,</w:t>
      </w:r>
      <w:r w:rsidRPr="004A132D">
        <w:rPr>
          <w:rFonts w:asciiTheme="minorHAnsi" w:hAnsiTheme="minorHAnsi"/>
        </w:rPr>
        <w:t xml:space="preserve"> to expand its national media </w:t>
      </w:r>
      <w:r w:rsidRPr="004A132D">
        <w:rPr>
          <w:rFonts w:asciiTheme="minorHAnsi" w:hAnsiTheme="minorHAnsi"/>
        </w:rPr>
        <w:lastRenderedPageBreak/>
        <w:t>engagement initiative which promotes responsible and ethical repo</w:t>
      </w:r>
      <w:r w:rsidR="00E174FB" w:rsidRPr="004A132D">
        <w:rPr>
          <w:rFonts w:asciiTheme="minorHAnsi" w:hAnsiTheme="minorHAnsi"/>
        </w:rPr>
        <w:t xml:space="preserve">rting of violence </w:t>
      </w:r>
      <w:bookmarkStart w:id="51" w:name="_GoBack"/>
      <w:bookmarkEnd w:id="51"/>
      <w:r w:rsidR="00E174FB" w:rsidRPr="004A132D">
        <w:rPr>
          <w:rFonts w:asciiTheme="minorHAnsi" w:hAnsiTheme="minorHAnsi"/>
        </w:rPr>
        <w:t xml:space="preserve">against women. </w:t>
      </w:r>
    </w:p>
    <w:p w14:paraId="2A8BA53C" w14:textId="15A60C32" w:rsidR="00354D69" w:rsidRPr="004A132D" w:rsidRDefault="00B12DEB" w:rsidP="004B650F">
      <w:pPr>
        <w:pStyle w:val="Numbers"/>
        <w:spacing w:after="0"/>
        <w:ind w:left="1417" w:hanging="357"/>
        <w:rPr>
          <w:rFonts w:asciiTheme="minorHAnsi" w:hAnsiTheme="minorHAnsi"/>
        </w:rPr>
      </w:pPr>
      <w:r w:rsidRPr="004A132D">
        <w:rPr>
          <w:rFonts w:asciiTheme="minorHAnsi" w:hAnsiTheme="minorHAnsi"/>
        </w:rPr>
        <w:t xml:space="preserve">The Government recognises that women </w:t>
      </w:r>
      <w:r w:rsidR="00354D69" w:rsidRPr="004A132D">
        <w:rPr>
          <w:rFonts w:asciiTheme="minorHAnsi" w:hAnsiTheme="minorHAnsi"/>
          <w:lang w:val="en-AU"/>
        </w:rPr>
        <w:t xml:space="preserve">and girls </w:t>
      </w:r>
      <w:r w:rsidRPr="004A132D">
        <w:rPr>
          <w:rFonts w:asciiTheme="minorHAnsi" w:hAnsiTheme="minorHAnsi"/>
        </w:rPr>
        <w:t xml:space="preserve">are more likely to be targets of online abuse, </w:t>
      </w:r>
      <w:r w:rsidR="00C71E82" w:rsidRPr="004A132D">
        <w:rPr>
          <w:rFonts w:asciiTheme="minorHAnsi" w:hAnsiTheme="minorHAnsi"/>
        </w:rPr>
        <w:t xml:space="preserve">with one in </w:t>
      </w:r>
      <w:r w:rsidR="00232E8B" w:rsidRPr="004A132D">
        <w:rPr>
          <w:rFonts w:asciiTheme="minorHAnsi" w:hAnsiTheme="minorHAnsi"/>
        </w:rPr>
        <w:t>3</w:t>
      </w:r>
      <w:r w:rsidR="00C71E82" w:rsidRPr="004A132D">
        <w:rPr>
          <w:rFonts w:asciiTheme="minorHAnsi" w:hAnsiTheme="minorHAnsi"/>
        </w:rPr>
        <w:t xml:space="preserve"> women experiencing online abuse in a work context. </w:t>
      </w:r>
      <w:r w:rsidR="00340053" w:rsidRPr="004A132D">
        <w:rPr>
          <w:rFonts w:asciiTheme="minorHAnsi" w:hAnsiTheme="minorHAnsi"/>
        </w:rPr>
        <w:br/>
      </w:r>
      <w:r w:rsidR="00190B48" w:rsidRPr="004A132D">
        <w:rPr>
          <w:rFonts w:asciiTheme="minorHAnsi" w:hAnsiTheme="minorHAnsi"/>
        </w:rPr>
        <w:t xml:space="preserve">In 2021, Australia passed the </w:t>
      </w:r>
      <w:r w:rsidR="00190B48" w:rsidRPr="004A132D">
        <w:rPr>
          <w:rFonts w:asciiTheme="minorHAnsi" w:hAnsiTheme="minorHAnsi"/>
          <w:i/>
          <w:iCs/>
        </w:rPr>
        <w:t xml:space="preserve">Online Safety Act 2021 </w:t>
      </w:r>
      <w:r w:rsidR="00190B48" w:rsidRPr="004A132D">
        <w:rPr>
          <w:rFonts w:asciiTheme="minorHAnsi" w:hAnsiTheme="minorHAnsi"/>
        </w:rPr>
        <w:t>(Cth), which empowers Australia’s eSafety Commission</w:t>
      </w:r>
      <w:r w:rsidR="00354D69" w:rsidRPr="004A132D">
        <w:rPr>
          <w:rFonts w:asciiTheme="minorHAnsi" w:hAnsiTheme="minorHAnsi"/>
        </w:rPr>
        <w:t>er</w:t>
      </w:r>
      <w:r w:rsidR="00190B48" w:rsidRPr="004A132D">
        <w:rPr>
          <w:rFonts w:asciiTheme="minorHAnsi" w:hAnsiTheme="minorHAnsi"/>
        </w:rPr>
        <w:t xml:space="preserve"> to </w:t>
      </w:r>
      <w:r w:rsidR="00354D69" w:rsidRPr="004A132D">
        <w:rPr>
          <w:rFonts w:asciiTheme="minorHAnsi" w:hAnsiTheme="minorHAnsi"/>
        </w:rPr>
        <w:t xml:space="preserve">request or </w:t>
      </w:r>
      <w:r w:rsidR="00190B48" w:rsidRPr="004A132D">
        <w:rPr>
          <w:rFonts w:asciiTheme="minorHAnsi" w:hAnsiTheme="minorHAnsi"/>
        </w:rPr>
        <w:t>require social media companies and other</w:t>
      </w:r>
      <w:r w:rsidR="00354D69" w:rsidRPr="004A132D">
        <w:rPr>
          <w:rFonts w:asciiTheme="minorHAnsi" w:hAnsiTheme="minorHAnsi"/>
        </w:rPr>
        <w:t xml:space="preserve"> online platforms and service</w:t>
      </w:r>
      <w:r w:rsidR="004B650F">
        <w:rPr>
          <w:rFonts w:asciiTheme="minorHAnsi" w:hAnsiTheme="minorHAnsi"/>
        </w:rPr>
        <w:t>s to remove serious online abuse</w:t>
      </w:r>
      <w:r w:rsidR="00354D69" w:rsidRPr="004A132D">
        <w:rPr>
          <w:rFonts w:asciiTheme="minorHAnsi" w:hAnsiTheme="minorHAnsi"/>
        </w:rPr>
        <w:t xml:space="preserve">, image-based abuse, cyberbullying, and harmful content targeted at Australian adults and children. </w:t>
      </w:r>
    </w:p>
    <w:p w14:paraId="4A4EB980" w14:textId="3910A0FA" w:rsidR="00354D69" w:rsidRPr="004A132D" w:rsidRDefault="00354D69" w:rsidP="004B650F">
      <w:pPr>
        <w:pStyle w:val="Numbers"/>
        <w:spacing w:after="0"/>
        <w:ind w:left="1417" w:hanging="357"/>
        <w:rPr>
          <w:rFonts w:asciiTheme="minorHAnsi" w:hAnsiTheme="minorHAnsi"/>
        </w:rPr>
      </w:pPr>
      <w:r w:rsidRPr="004A132D">
        <w:rPr>
          <w:rFonts w:asciiTheme="minorHAnsi" w:hAnsiTheme="minorHAnsi"/>
          <w:lang w:val="en-AU"/>
        </w:rPr>
        <w:t xml:space="preserve">Australia’s eSafety Commissioner operates regulatory schemes to address different forms of online harm. This includes the Adult Cyber Abuse Scheme; Image-Based Abuse Scheme; Cyberbullying Scheme; and Online Content Scheme, which regulates illegal and restricted content. </w:t>
      </w:r>
      <w:r w:rsidRPr="004A132D">
        <w:rPr>
          <w:rFonts w:asciiTheme="minorHAnsi" w:hAnsiTheme="minorHAnsi"/>
          <w:lang w:val="en-NZ"/>
        </w:rPr>
        <w:t xml:space="preserve">Notably, about two-thirds of the complaints received by the eSafety Commissioner concerning adult cyber abuse originate from women. </w:t>
      </w:r>
      <w:r w:rsidRPr="004A132D">
        <w:rPr>
          <w:rFonts w:asciiTheme="minorHAnsi" w:hAnsiTheme="minorHAnsi"/>
          <w:lang w:val="en-AU"/>
        </w:rPr>
        <w:t>The Australian Government also expects a sustained commitment and appropriate investments from the online industry to prevent online harms.</w:t>
      </w:r>
      <w:r w:rsidR="0098628A" w:rsidRPr="004A132D">
        <w:rPr>
          <w:rFonts w:asciiTheme="minorHAnsi" w:hAnsiTheme="minorHAnsi" w:cstheme="minorBidi"/>
          <w:kern w:val="2"/>
          <w:lang w:val="en-AU"/>
          <w14:ligatures w14:val="standardContextual"/>
        </w:rPr>
        <w:t xml:space="preserve"> </w:t>
      </w:r>
      <w:r w:rsidR="0098628A" w:rsidRPr="004A132D">
        <w:rPr>
          <w:rFonts w:asciiTheme="minorHAnsi" w:hAnsiTheme="minorHAnsi"/>
          <w:lang w:val="en-AU"/>
        </w:rPr>
        <w:t>This</w:t>
      </w:r>
      <w:r w:rsidR="003733D2" w:rsidRPr="004A132D">
        <w:rPr>
          <w:rFonts w:asciiTheme="minorHAnsi" w:hAnsiTheme="minorHAnsi"/>
          <w:lang w:val="en-AU"/>
        </w:rPr>
        <w:t> </w:t>
      </w:r>
      <w:r w:rsidR="0098628A" w:rsidRPr="004A132D">
        <w:rPr>
          <w:rFonts w:asciiTheme="minorHAnsi" w:hAnsiTheme="minorHAnsi"/>
          <w:lang w:val="en-AU"/>
        </w:rPr>
        <w:t>includes the Australian Government</w:t>
      </w:r>
      <w:r w:rsidR="00340053" w:rsidRPr="004A132D">
        <w:rPr>
          <w:rFonts w:asciiTheme="minorHAnsi" w:hAnsiTheme="minorHAnsi"/>
          <w:lang w:val="en-AU"/>
        </w:rPr>
        <w:t>’s</w:t>
      </w:r>
      <w:r w:rsidR="0098628A" w:rsidRPr="004A132D">
        <w:rPr>
          <w:rFonts w:asciiTheme="minorHAnsi" w:hAnsiTheme="minorHAnsi"/>
          <w:lang w:val="en-AU"/>
        </w:rPr>
        <w:t xml:space="preserve"> </w:t>
      </w:r>
      <w:r w:rsidR="00340053" w:rsidRPr="004A132D">
        <w:rPr>
          <w:rFonts w:asciiTheme="minorHAnsi" w:hAnsiTheme="minorHAnsi"/>
          <w:lang w:val="en-AU"/>
        </w:rPr>
        <w:t xml:space="preserve">request </w:t>
      </w:r>
      <w:r w:rsidR="0098628A" w:rsidRPr="004A132D">
        <w:rPr>
          <w:rFonts w:asciiTheme="minorHAnsi" w:hAnsiTheme="minorHAnsi"/>
          <w:lang w:val="en-AU"/>
        </w:rPr>
        <w:t xml:space="preserve">to </w:t>
      </w:r>
      <w:r w:rsidR="00340053" w:rsidRPr="004A132D">
        <w:rPr>
          <w:rFonts w:asciiTheme="minorHAnsi" w:hAnsiTheme="minorHAnsi"/>
          <w:lang w:val="en-AU"/>
        </w:rPr>
        <w:t xml:space="preserve">the online dating services industry to adopt a voluntary code requiring them to </w:t>
      </w:r>
      <w:r w:rsidR="0098628A" w:rsidRPr="004A132D">
        <w:rPr>
          <w:rFonts w:asciiTheme="minorHAnsi" w:hAnsiTheme="minorHAnsi"/>
          <w:lang w:val="en-AU"/>
        </w:rPr>
        <w:t xml:space="preserve">take meaningful steps to address and prevent harms </w:t>
      </w:r>
      <w:r w:rsidR="00340053" w:rsidRPr="004A132D">
        <w:rPr>
          <w:rFonts w:asciiTheme="minorHAnsi" w:hAnsiTheme="minorHAnsi"/>
          <w:lang w:val="en-AU"/>
        </w:rPr>
        <w:t xml:space="preserve">to </w:t>
      </w:r>
      <w:r w:rsidR="0098628A" w:rsidRPr="004A132D">
        <w:rPr>
          <w:rFonts w:asciiTheme="minorHAnsi" w:hAnsiTheme="minorHAnsi"/>
          <w:lang w:val="en-AU"/>
        </w:rPr>
        <w:t xml:space="preserve">users </w:t>
      </w:r>
      <w:r w:rsidR="00340053" w:rsidRPr="004A132D">
        <w:rPr>
          <w:rFonts w:asciiTheme="minorHAnsi" w:hAnsiTheme="minorHAnsi"/>
          <w:lang w:val="en-AU"/>
        </w:rPr>
        <w:t>on their platforms</w:t>
      </w:r>
      <w:r w:rsidR="0098628A" w:rsidRPr="004A132D">
        <w:rPr>
          <w:rFonts w:asciiTheme="minorHAnsi" w:hAnsiTheme="minorHAnsi"/>
          <w:lang w:val="en-AU"/>
        </w:rPr>
        <w:t xml:space="preserve">. The eSafety Commissioner will assess the effectiveness of the code </w:t>
      </w:r>
      <w:r w:rsidR="00C944BD" w:rsidRPr="004A132D">
        <w:rPr>
          <w:rFonts w:asciiTheme="minorHAnsi" w:hAnsiTheme="minorHAnsi"/>
          <w:lang w:val="en-AU"/>
        </w:rPr>
        <w:t>9-</w:t>
      </w:r>
      <w:r w:rsidR="0098628A" w:rsidRPr="004A132D">
        <w:rPr>
          <w:rFonts w:asciiTheme="minorHAnsi" w:hAnsiTheme="minorHAnsi"/>
          <w:lang w:val="en-AU"/>
        </w:rPr>
        <w:t xml:space="preserve">months after </w:t>
      </w:r>
      <w:r w:rsidR="00340053" w:rsidRPr="004A132D">
        <w:rPr>
          <w:rFonts w:asciiTheme="minorHAnsi" w:hAnsiTheme="minorHAnsi"/>
          <w:lang w:val="en-AU"/>
        </w:rPr>
        <w:t>it has</w:t>
      </w:r>
      <w:r w:rsidR="0098628A" w:rsidRPr="004A132D">
        <w:rPr>
          <w:rFonts w:asciiTheme="minorHAnsi" w:hAnsiTheme="minorHAnsi"/>
          <w:lang w:val="en-AU"/>
        </w:rPr>
        <w:t xml:space="preserve"> commenced and </w:t>
      </w:r>
      <w:r w:rsidR="00340053" w:rsidRPr="004A132D">
        <w:rPr>
          <w:rFonts w:asciiTheme="minorHAnsi" w:hAnsiTheme="minorHAnsi"/>
          <w:lang w:val="en-AU"/>
        </w:rPr>
        <w:t xml:space="preserve">will subsequently </w:t>
      </w:r>
      <w:r w:rsidR="00956880">
        <w:rPr>
          <w:rFonts w:asciiTheme="minorHAnsi" w:hAnsiTheme="minorHAnsi"/>
          <w:lang w:val="en-AU"/>
        </w:rPr>
        <w:t>provide advice to the Minister for</w:t>
      </w:r>
      <w:r w:rsidR="0098628A" w:rsidRPr="004A132D">
        <w:rPr>
          <w:rFonts w:asciiTheme="minorHAnsi" w:hAnsiTheme="minorHAnsi"/>
          <w:lang w:val="en-AU"/>
        </w:rPr>
        <w:t xml:space="preserve"> Communications</w:t>
      </w:r>
      <w:r w:rsidR="00263B14" w:rsidRPr="004A132D">
        <w:rPr>
          <w:rFonts w:asciiTheme="minorHAnsi" w:hAnsiTheme="minorHAnsi"/>
          <w:lang w:val="en-AU"/>
        </w:rPr>
        <w:t>.</w:t>
      </w:r>
    </w:p>
    <w:p w14:paraId="492F4103" w14:textId="77777777" w:rsidR="00C82E9E" w:rsidRPr="004A132D" w:rsidRDefault="00C82E9E" w:rsidP="004B650F">
      <w:pPr>
        <w:pStyle w:val="Numbers"/>
        <w:tabs>
          <w:tab w:val="clear" w:pos="2835"/>
        </w:tabs>
        <w:spacing w:after="0"/>
        <w:ind w:left="1417" w:hanging="357"/>
        <w:rPr>
          <w:rFonts w:asciiTheme="minorHAnsi" w:hAnsiTheme="minorHAnsi"/>
        </w:rPr>
      </w:pPr>
      <w:r w:rsidRPr="004A132D">
        <w:rPr>
          <w:rFonts w:asciiTheme="minorHAnsi" w:hAnsiTheme="minorHAnsi"/>
        </w:rPr>
        <w:t xml:space="preserve">The Australian Government has also invested in actions to prevent and respond to technology-facilitated abuse, including through the Preventing Tech-based Abuse of Women Grants Program; a National Roundtable on Online Dating Safety to improve safety for Australians using online dating platforms; and establishing the Online Harms Ministers Meeting to coordinate policy across the Australian Government to address online harms experienced by Australians. </w:t>
      </w:r>
    </w:p>
    <w:p w14:paraId="34DDDDF1" w14:textId="77777777" w:rsidR="00460528" w:rsidRPr="004A132D" w:rsidRDefault="00460528" w:rsidP="00962911">
      <w:pPr>
        <w:pStyle w:val="Heading2"/>
      </w:pPr>
      <w:bookmarkStart w:id="52" w:name="_Toc174011680"/>
      <w:bookmarkStart w:id="53" w:name="_Toc175556775"/>
      <w:r w:rsidRPr="004A132D">
        <w:t>Preventing and protecting women and girls from forced marriage</w:t>
      </w:r>
      <w:bookmarkEnd w:id="52"/>
      <w:bookmarkEnd w:id="53"/>
    </w:p>
    <w:p w14:paraId="3E9835D3" w14:textId="7A975689" w:rsidR="00E35150" w:rsidRPr="004A132D" w:rsidRDefault="00E35150" w:rsidP="0002378E">
      <w:pPr>
        <w:pStyle w:val="Numbers"/>
        <w:tabs>
          <w:tab w:val="clear" w:pos="2835"/>
        </w:tabs>
        <w:ind w:left="1418"/>
        <w:rPr>
          <w:rFonts w:asciiTheme="minorHAnsi" w:hAnsiTheme="minorHAnsi"/>
        </w:rPr>
      </w:pPr>
      <w:r w:rsidRPr="004A132D">
        <w:rPr>
          <w:rFonts w:asciiTheme="minorHAnsi" w:hAnsiTheme="minorHAnsi"/>
        </w:rPr>
        <w:t xml:space="preserve">Australia's response to forced marriage forms part of the Australian Government's strategy to combat </w:t>
      </w:r>
      <w:r w:rsidR="00D67217" w:rsidRPr="004A132D">
        <w:rPr>
          <w:rFonts w:asciiTheme="minorHAnsi" w:hAnsiTheme="minorHAnsi"/>
        </w:rPr>
        <w:t xml:space="preserve">modern </w:t>
      </w:r>
      <w:r w:rsidRPr="004A132D">
        <w:rPr>
          <w:rFonts w:asciiTheme="minorHAnsi" w:hAnsiTheme="minorHAnsi"/>
        </w:rPr>
        <w:t xml:space="preserve">slavery, and other slavery-like practices such as servitude and forced labour. The </w:t>
      </w:r>
      <w:r w:rsidRPr="004A132D">
        <w:rPr>
          <w:rFonts w:asciiTheme="minorHAnsi" w:hAnsiTheme="minorHAnsi"/>
          <w:i/>
          <w:iCs/>
        </w:rPr>
        <w:t>Criminal Code Act 1995</w:t>
      </w:r>
      <w:r w:rsidR="00197FA4" w:rsidRPr="004A132D">
        <w:rPr>
          <w:rFonts w:asciiTheme="minorHAnsi" w:hAnsiTheme="minorHAnsi"/>
          <w:i/>
          <w:iCs/>
        </w:rPr>
        <w:t xml:space="preserve"> </w:t>
      </w:r>
      <w:r w:rsidRPr="004A132D">
        <w:rPr>
          <w:rFonts w:asciiTheme="minorHAnsi" w:hAnsiTheme="minorHAnsi"/>
        </w:rPr>
        <w:t xml:space="preserve">(Cth) </w:t>
      </w:r>
      <w:r w:rsidR="00D97334" w:rsidRPr="004A132D">
        <w:rPr>
          <w:rFonts w:asciiTheme="minorHAnsi" w:hAnsiTheme="minorHAnsi"/>
        </w:rPr>
        <w:t xml:space="preserve">(Criminal Code Act) </w:t>
      </w:r>
      <w:r w:rsidRPr="004A132D">
        <w:rPr>
          <w:rFonts w:asciiTheme="minorHAnsi" w:hAnsiTheme="minorHAnsi"/>
        </w:rPr>
        <w:t>contains offences regarding forced marriage.</w:t>
      </w:r>
      <w:r w:rsidRPr="004A132D">
        <w:rPr>
          <w:rFonts w:asciiTheme="minorHAnsi" w:hAnsiTheme="minorHAnsi" w:cs="Arial"/>
          <w:color w:val="222222"/>
          <w:shd w:val="clear" w:color="auto" w:fill="FFFFFF"/>
        </w:rPr>
        <w:t> </w:t>
      </w:r>
    </w:p>
    <w:p w14:paraId="7055C03B" w14:textId="77777777" w:rsidR="00E35150" w:rsidRPr="004A132D" w:rsidRDefault="00E35150" w:rsidP="0002378E">
      <w:pPr>
        <w:pStyle w:val="Numbers"/>
        <w:tabs>
          <w:tab w:val="clear" w:pos="2835"/>
        </w:tabs>
        <w:ind w:left="1418"/>
        <w:rPr>
          <w:rFonts w:asciiTheme="minorHAnsi" w:hAnsiTheme="minorHAnsi"/>
          <w:spacing w:val="-2"/>
        </w:rPr>
      </w:pPr>
      <w:r w:rsidRPr="004A132D">
        <w:rPr>
          <w:rFonts w:asciiTheme="minorHAnsi" w:hAnsiTheme="minorHAnsi"/>
          <w:spacing w:val="-2"/>
        </w:rPr>
        <w:lastRenderedPageBreak/>
        <w:t>The Australian Federal Police can refer people who are in or at risk of forced marriage to the Support for Trafficked People Program (STPP), delivered by the Australian Red Cross, for case manage</w:t>
      </w:r>
      <w:r w:rsidR="00C11E44" w:rsidRPr="004A132D">
        <w:rPr>
          <w:rFonts w:asciiTheme="minorHAnsi" w:hAnsiTheme="minorHAnsi"/>
          <w:spacing w:val="-2"/>
        </w:rPr>
        <w:t>d</w:t>
      </w:r>
      <w:r w:rsidRPr="004A132D">
        <w:rPr>
          <w:rFonts w:asciiTheme="minorHAnsi" w:hAnsiTheme="minorHAnsi"/>
          <w:spacing w:val="-2"/>
        </w:rPr>
        <w:t xml:space="preserve"> support and assistance with their accommodation, medical, mental health, legal and migration, and skills development or social support needs. </w:t>
      </w:r>
    </w:p>
    <w:p w14:paraId="24BC9CCF" w14:textId="77777777" w:rsidR="00ED0366" w:rsidRPr="004A132D" w:rsidRDefault="00ED0366" w:rsidP="0002378E">
      <w:pPr>
        <w:pStyle w:val="Numbers"/>
        <w:tabs>
          <w:tab w:val="clear" w:pos="2835"/>
        </w:tabs>
        <w:ind w:left="1418"/>
        <w:rPr>
          <w:rFonts w:asciiTheme="minorHAnsi" w:hAnsiTheme="minorHAnsi"/>
        </w:rPr>
      </w:pPr>
      <w:r w:rsidRPr="004A132D">
        <w:rPr>
          <w:rFonts w:asciiTheme="minorHAnsi" w:hAnsiTheme="minorHAnsi"/>
        </w:rPr>
        <w:t xml:space="preserve">In 2022, Australia’s Standing Council of Attorneys-General agreed to tackle the issue of forced marriage through a coordinated national response, including by developing options for a model to enhance </w:t>
      </w:r>
      <w:r w:rsidR="007C3549" w:rsidRPr="004A132D">
        <w:rPr>
          <w:rFonts w:asciiTheme="minorHAnsi" w:hAnsiTheme="minorHAnsi"/>
        </w:rPr>
        <w:t>civil protections and remedies.</w:t>
      </w:r>
    </w:p>
    <w:p w14:paraId="72D870F6" w14:textId="4F856B10" w:rsidR="00A12989" w:rsidRPr="004A132D" w:rsidRDefault="00A12989" w:rsidP="0002378E">
      <w:pPr>
        <w:pStyle w:val="Numbers"/>
        <w:tabs>
          <w:tab w:val="clear" w:pos="2835"/>
        </w:tabs>
        <w:ind w:left="1418"/>
        <w:rPr>
          <w:rFonts w:asciiTheme="minorHAnsi" w:hAnsiTheme="minorHAnsi"/>
          <w:kern w:val="2"/>
          <w:lang w:val="en-AU"/>
          <w14:ligatures w14:val="standardContextual"/>
        </w:rPr>
      </w:pPr>
      <w:r w:rsidRPr="004A132D">
        <w:rPr>
          <w:rFonts w:asciiTheme="minorHAnsi" w:hAnsiTheme="minorHAnsi"/>
        </w:rPr>
        <w:t xml:space="preserve">The Australian Government committed $12.1 million over </w:t>
      </w:r>
      <w:r w:rsidR="00520DF4" w:rsidRPr="004A132D">
        <w:rPr>
          <w:rFonts w:asciiTheme="minorHAnsi" w:hAnsiTheme="minorHAnsi"/>
        </w:rPr>
        <w:t>5</w:t>
      </w:r>
      <w:r w:rsidRPr="004A132D">
        <w:rPr>
          <w:rFonts w:asciiTheme="minorHAnsi" w:hAnsiTheme="minorHAnsi"/>
        </w:rPr>
        <w:t xml:space="preserve"> years from 2023–24 </w:t>
      </w:r>
      <w:r w:rsidR="00D93C0B" w:rsidRPr="004A132D">
        <w:rPr>
          <w:rFonts w:asciiTheme="minorHAnsi" w:hAnsiTheme="minorHAnsi"/>
        </w:rPr>
        <w:br/>
      </w:r>
      <w:r w:rsidRPr="004A132D">
        <w:rPr>
          <w:rFonts w:asciiTheme="minorHAnsi" w:hAnsiTheme="minorHAnsi"/>
        </w:rPr>
        <w:t xml:space="preserve">(and $3.8 million per year ongoing) to establish the Forced Marriage Specialist Support Program. The program will provide caseworker support, counselling, temporary accommodation and financial support for those at risk of, or who have experienced, forced marriage. </w:t>
      </w:r>
    </w:p>
    <w:p w14:paraId="74727D4F" w14:textId="3BE9F64F" w:rsidR="001F48D1" w:rsidRPr="004A132D" w:rsidRDefault="00E35150" w:rsidP="0002378E">
      <w:pPr>
        <w:pStyle w:val="Numbers"/>
        <w:ind w:left="1418"/>
        <w:rPr>
          <w:rFonts w:asciiTheme="minorHAnsi" w:hAnsiTheme="minorHAnsi"/>
        </w:rPr>
      </w:pPr>
      <w:r w:rsidRPr="004A132D">
        <w:rPr>
          <w:rFonts w:asciiTheme="minorHAnsi" w:hAnsiTheme="minorHAnsi"/>
        </w:rPr>
        <w:t>Australia engages in extensive awareness</w:t>
      </w:r>
      <w:r w:rsidR="00D93C0B" w:rsidRPr="004A132D">
        <w:rPr>
          <w:rFonts w:asciiTheme="minorHAnsi" w:hAnsiTheme="minorHAnsi"/>
        </w:rPr>
        <w:t xml:space="preserve"> raising on</w:t>
      </w:r>
      <w:r w:rsidRPr="004A132D">
        <w:rPr>
          <w:rFonts w:asciiTheme="minorHAnsi" w:hAnsiTheme="minorHAnsi"/>
        </w:rPr>
        <w:t xml:space="preserve"> forced marriage</w:t>
      </w:r>
      <w:r w:rsidR="00897D1C" w:rsidRPr="004A132D">
        <w:rPr>
          <w:rFonts w:asciiTheme="minorHAnsi" w:hAnsiTheme="minorHAnsi"/>
        </w:rPr>
        <w:t xml:space="preserve"> including</w:t>
      </w:r>
      <w:r w:rsidR="008E37A9" w:rsidRPr="004A132D">
        <w:rPr>
          <w:rFonts w:asciiTheme="minorHAnsi" w:hAnsiTheme="minorHAnsi" w:cstheme="minorBidi"/>
          <w:kern w:val="2"/>
          <w:lang w:val="en-AU"/>
          <w14:ligatures w14:val="standardContextual"/>
        </w:rPr>
        <w:t xml:space="preserve"> </w:t>
      </w:r>
      <w:r w:rsidR="008E37A9" w:rsidRPr="004A132D">
        <w:rPr>
          <w:rFonts w:asciiTheme="minorHAnsi" w:hAnsiTheme="minorHAnsi"/>
          <w:lang w:val="en-AU"/>
        </w:rPr>
        <w:t>grant</w:t>
      </w:r>
      <w:r w:rsidR="004A23C0" w:rsidRPr="004A132D">
        <w:rPr>
          <w:rFonts w:asciiTheme="minorHAnsi" w:hAnsiTheme="minorHAnsi"/>
          <w:lang w:val="en-AU"/>
        </w:rPr>
        <w:noBreakHyphen/>
      </w:r>
      <w:r w:rsidR="008E37A9" w:rsidRPr="004A132D">
        <w:rPr>
          <w:rFonts w:asciiTheme="minorHAnsi" w:hAnsiTheme="minorHAnsi"/>
          <w:lang w:val="en-AU"/>
        </w:rPr>
        <w:t>funded projects and initiatives under the National Action Plan to Combat Modern Slavery</w:t>
      </w:r>
      <w:r w:rsidR="00D93C0B" w:rsidRPr="004A132D">
        <w:rPr>
          <w:rFonts w:asciiTheme="minorHAnsi" w:hAnsiTheme="minorHAnsi"/>
          <w:lang w:val="en-AU"/>
        </w:rPr>
        <w:t>,</w:t>
      </w:r>
      <w:r w:rsidR="00897D1C" w:rsidRPr="004A132D">
        <w:rPr>
          <w:rFonts w:asciiTheme="minorHAnsi" w:hAnsiTheme="minorHAnsi"/>
        </w:rPr>
        <w:t xml:space="preserve"> </w:t>
      </w:r>
      <w:r w:rsidRPr="004A132D">
        <w:rPr>
          <w:rFonts w:asciiTheme="minorHAnsi" w:hAnsiTheme="minorHAnsi"/>
        </w:rPr>
        <w:t>to</w:t>
      </w:r>
      <w:r w:rsidR="008E37A9" w:rsidRPr="004A132D">
        <w:rPr>
          <w:rFonts w:asciiTheme="minorHAnsi" w:hAnsiTheme="minorHAnsi"/>
        </w:rPr>
        <w:t xml:space="preserve"> encourage</w:t>
      </w:r>
      <w:r w:rsidRPr="004A132D">
        <w:rPr>
          <w:rFonts w:asciiTheme="minorHAnsi" w:hAnsiTheme="minorHAnsi"/>
        </w:rPr>
        <w:t xml:space="preserve"> people to seek help and report </w:t>
      </w:r>
      <w:r w:rsidR="008E37A9" w:rsidRPr="004A132D">
        <w:rPr>
          <w:rFonts w:asciiTheme="minorHAnsi" w:hAnsiTheme="minorHAnsi"/>
        </w:rPr>
        <w:t xml:space="preserve">suspected cases </w:t>
      </w:r>
      <w:r w:rsidRPr="004A132D">
        <w:rPr>
          <w:rFonts w:asciiTheme="minorHAnsi" w:hAnsiTheme="minorHAnsi"/>
        </w:rPr>
        <w:t>to the Australian Federal Police.</w:t>
      </w:r>
      <w:r w:rsidR="00166C4A" w:rsidRPr="004A132D">
        <w:rPr>
          <w:rFonts w:asciiTheme="minorHAnsi" w:hAnsiTheme="minorHAnsi"/>
        </w:rPr>
        <w:t xml:space="preserve"> </w:t>
      </w:r>
    </w:p>
    <w:p w14:paraId="673E27EC" w14:textId="6E2494A3" w:rsidR="001F48D1" w:rsidRPr="006C3A97" w:rsidRDefault="001F48D1" w:rsidP="00CC53F8">
      <w:pPr>
        <w:pStyle w:val="Numbers"/>
        <w:ind w:left="1418"/>
        <w:rPr>
          <w:rFonts w:asciiTheme="minorHAnsi" w:hAnsiTheme="minorHAnsi"/>
          <w:spacing w:val="-2"/>
        </w:rPr>
      </w:pPr>
      <w:r w:rsidRPr="006C3A97">
        <w:rPr>
          <w:rFonts w:asciiTheme="minorHAnsi" w:hAnsiTheme="minorHAnsi"/>
          <w:spacing w:val="-2"/>
          <w:lang w:val="en-AU"/>
        </w:rPr>
        <w:t xml:space="preserve">The Australian Government committed $2.2 million over </w:t>
      </w:r>
      <w:r w:rsidR="00520DF4" w:rsidRPr="006C3A97">
        <w:rPr>
          <w:rFonts w:asciiTheme="minorHAnsi" w:hAnsiTheme="minorHAnsi"/>
          <w:spacing w:val="-2"/>
          <w:lang w:val="en-AU"/>
        </w:rPr>
        <w:t>4</w:t>
      </w:r>
      <w:r w:rsidRPr="006C3A97">
        <w:rPr>
          <w:rFonts w:asciiTheme="minorHAnsi" w:hAnsiTheme="minorHAnsi"/>
          <w:spacing w:val="-2"/>
          <w:lang w:val="en-AU"/>
        </w:rPr>
        <w:t xml:space="preserve"> years from 2024–25 to extend Speak Now, Australia’s national forced marriage community education service, to prevent forced marriage and other forms of modern slavery through education, awareness-raising and</w:t>
      </w:r>
      <w:r w:rsidR="00CC53F8">
        <w:rPr>
          <w:rFonts w:asciiTheme="minorHAnsi" w:hAnsiTheme="minorHAnsi"/>
          <w:spacing w:val="-2"/>
          <w:lang w:val="en-AU"/>
        </w:rPr>
        <w:t xml:space="preserve"> through collaboration</w:t>
      </w:r>
      <w:r w:rsidRPr="006C3A97">
        <w:rPr>
          <w:rFonts w:asciiTheme="minorHAnsi" w:hAnsiTheme="minorHAnsi"/>
          <w:spacing w:val="-2"/>
          <w:lang w:val="en-AU"/>
        </w:rPr>
        <w:t xml:space="preserve"> with </w:t>
      </w:r>
      <w:r w:rsidR="00CC53F8">
        <w:rPr>
          <w:rFonts w:asciiTheme="minorHAnsi" w:hAnsiTheme="minorHAnsi"/>
          <w:spacing w:val="-2"/>
          <w:lang w:val="en-AU"/>
        </w:rPr>
        <w:t>frontline workers and the community</w:t>
      </w:r>
      <w:r w:rsidRPr="006C3A97">
        <w:rPr>
          <w:rFonts w:asciiTheme="minorHAnsi" w:hAnsiTheme="minorHAnsi"/>
          <w:spacing w:val="-2"/>
          <w:lang w:val="en-AU"/>
        </w:rPr>
        <w:t>.</w:t>
      </w:r>
    </w:p>
    <w:p w14:paraId="3339C71B" w14:textId="6975B5BF" w:rsidR="00A12989" w:rsidRPr="004A132D" w:rsidRDefault="002D7C10" w:rsidP="0002378E">
      <w:pPr>
        <w:pStyle w:val="Numbers"/>
        <w:ind w:left="1418"/>
        <w:rPr>
          <w:rFonts w:asciiTheme="minorHAnsi" w:hAnsiTheme="minorHAnsi"/>
        </w:rPr>
      </w:pPr>
      <w:r w:rsidRPr="004A132D">
        <w:rPr>
          <w:rFonts w:asciiTheme="minorHAnsi" w:hAnsiTheme="minorHAnsi"/>
        </w:rPr>
        <w:t xml:space="preserve">The </w:t>
      </w:r>
      <w:r w:rsidR="00590CB5" w:rsidRPr="004A132D">
        <w:rPr>
          <w:rFonts w:asciiTheme="minorHAnsi" w:hAnsiTheme="minorHAnsi"/>
        </w:rPr>
        <w:t>Australian Government</w:t>
      </w:r>
      <w:r w:rsidRPr="004A132D">
        <w:rPr>
          <w:rFonts w:asciiTheme="minorHAnsi" w:hAnsiTheme="minorHAnsi"/>
        </w:rPr>
        <w:t xml:space="preserve"> registers and regulates Commonwealth-registered marriage celebrants. There are around 10,000 marriage celebrants and each celebrant is legally required to complete professional training on an annual basis. In</w:t>
      </w:r>
      <w:r w:rsidR="00865C05" w:rsidRPr="004A132D">
        <w:rPr>
          <w:rFonts w:asciiTheme="minorHAnsi" w:hAnsiTheme="minorHAnsi"/>
        </w:rPr>
        <w:t> </w:t>
      </w:r>
      <w:r w:rsidRPr="004A132D">
        <w:rPr>
          <w:rFonts w:asciiTheme="minorHAnsi" w:hAnsiTheme="minorHAnsi"/>
        </w:rPr>
        <w:t xml:space="preserve">2022, celebrants were required to complete an activity on free and voluntary consent. The activity included significant content on forced marriage. </w:t>
      </w:r>
    </w:p>
    <w:p w14:paraId="4A981C1E" w14:textId="0FD9D343" w:rsidR="008E4061" w:rsidRPr="0052505F" w:rsidRDefault="008E4061" w:rsidP="0052505F">
      <w:pPr>
        <w:pStyle w:val="Heading1"/>
      </w:pPr>
      <w:bookmarkStart w:id="54" w:name="_Toc174011681"/>
      <w:bookmarkStart w:id="55" w:name="_Toc175556776"/>
      <w:r w:rsidRPr="0052505F">
        <w:t xml:space="preserve">Question 9: </w:t>
      </w:r>
      <w:r w:rsidR="00ED5D24" w:rsidRPr="0052505F">
        <w:t>Gender-based violence against women</w:t>
      </w:r>
      <w:bookmarkEnd w:id="54"/>
      <w:bookmarkEnd w:id="55"/>
      <w:r w:rsidR="00ED5D24" w:rsidRPr="0052505F">
        <w:t xml:space="preserve"> </w:t>
      </w:r>
    </w:p>
    <w:p w14:paraId="487B8569" w14:textId="77777777" w:rsidR="00B444C3" w:rsidRPr="004A132D" w:rsidRDefault="00B444C3" w:rsidP="00B3489A">
      <w:pPr>
        <w:pStyle w:val="Heading2"/>
      </w:pPr>
      <w:bookmarkStart w:id="56" w:name="_Toc174011682"/>
      <w:bookmarkStart w:id="57" w:name="_Toc175556777"/>
      <w:r w:rsidRPr="004A132D">
        <w:t>Changing behaviours and attitudes that lead to gender-based violence</w:t>
      </w:r>
      <w:bookmarkEnd w:id="56"/>
      <w:bookmarkEnd w:id="57"/>
    </w:p>
    <w:p w14:paraId="45B9F72B" w14:textId="472B2050" w:rsidR="008E4061" w:rsidRPr="004A132D" w:rsidRDefault="00B3298B" w:rsidP="0002378E">
      <w:pPr>
        <w:pStyle w:val="Numbers"/>
        <w:ind w:left="1418"/>
        <w:rPr>
          <w:rFonts w:asciiTheme="minorHAnsi" w:hAnsiTheme="minorHAnsi"/>
        </w:rPr>
      </w:pPr>
      <w:r w:rsidRPr="004A132D">
        <w:rPr>
          <w:rFonts w:asciiTheme="minorHAnsi" w:hAnsiTheme="minorHAnsi"/>
        </w:rPr>
        <w:t>In addition to work underway to address discriminatory stereotypes (see question 8), t</w:t>
      </w:r>
      <w:r w:rsidR="008E4061" w:rsidRPr="004A132D">
        <w:rPr>
          <w:rFonts w:asciiTheme="minorHAnsi" w:hAnsiTheme="minorHAnsi"/>
        </w:rPr>
        <w:t xml:space="preserve">he Australian Government has adopted a number of measures to change </w:t>
      </w:r>
      <w:r w:rsidR="008E4061" w:rsidRPr="004A132D">
        <w:rPr>
          <w:rFonts w:asciiTheme="minorHAnsi" w:hAnsiTheme="minorHAnsi"/>
        </w:rPr>
        <w:lastRenderedPageBreak/>
        <w:t>behaviours and attitudes that lead to high rates of gender-based violence</w:t>
      </w:r>
      <w:r w:rsidR="00243281" w:rsidRPr="004A132D">
        <w:rPr>
          <w:rFonts w:asciiTheme="minorHAnsi" w:hAnsiTheme="minorHAnsi"/>
        </w:rPr>
        <w:t xml:space="preserve"> in Australia</w:t>
      </w:r>
      <w:r w:rsidR="008E4061" w:rsidRPr="004A132D">
        <w:rPr>
          <w:rFonts w:asciiTheme="minorHAnsi" w:hAnsiTheme="minorHAnsi"/>
        </w:rPr>
        <w:t xml:space="preserve">. </w:t>
      </w:r>
      <w:r w:rsidR="0061574A" w:rsidRPr="004A132D">
        <w:rPr>
          <w:rFonts w:asciiTheme="minorHAnsi" w:hAnsiTheme="minorHAnsi"/>
        </w:rPr>
        <w:t>This includes:</w:t>
      </w:r>
    </w:p>
    <w:p w14:paraId="0A4C074A" w14:textId="6429E97A" w:rsidR="00791FBF" w:rsidRPr="004A132D" w:rsidRDefault="00376C92" w:rsidP="00561D0E">
      <w:pPr>
        <w:pStyle w:val="Numbers"/>
        <w:numPr>
          <w:ilvl w:val="1"/>
          <w:numId w:val="1"/>
        </w:numPr>
        <w:rPr>
          <w:rFonts w:asciiTheme="minorHAnsi" w:hAnsiTheme="minorHAnsi"/>
        </w:rPr>
      </w:pPr>
      <w:r w:rsidRPr="004A132D">
        <w:rPr>
          <w:rFonts w:asciiTheme="minorHAnsi" w:hAnsiTheme="minorHAnsi"/>
        </w:rPr>
        <w:t>A</w:t>
      </w:r>
      <w:r w:rsidR="00AA05EB" w:rsidRPr="004A132D">
        <w:rPr>
          <w:rFonts w:asciiTheme="minorHAnsi" w:hAnsiTheme="minorHAnsi"/>
        </w:rPr>
        <w:t xml:space="preserve">nnouncing an expert panel </w:t>
      </w:r>
      <w:r w:rsidRPr="004A132D">
        <w:rPr>
          <w:rFonts w:asciiTheme="minorHAnsi" w:hAnsiTheme="minorHAnsi"/>
        </w:rPr>
        <w:t xml:space="preserve">in May 2024 </w:t>
      </w:r>
      <w:r w:rsidR="00AA05EB" w:rsidRPr="004A132D">
        <w:rPr>
          <w:rFonts w:asciiTheme="minorHAnsi" w:hAnsiTheme="minorHAnsi"/>
        </w:rPr>
        <w:t>to undertake a rapid review of prevention approaches and to provide advice on how Australia can improve outcomes and build on existing efforts</w:t>
      </w:r>
      <w:r w:rsidR="00197FA4" w:rsidRPr="004A132D">
        <w:rPr>
          <w:rFonts w:asciiTheme="minorHAnsi" w:hAnsiTheme="minorHAnsi"/>
        </w:rPr>
        <w:t>. This work will culminate in a final report outlining findings and key recommendations</w:t>
      </w:r>
      <w:r w:rsidR="00D93C0B" w:rsidRPr="004A132D">
        <w:rPr>
          <w:rFonts w:asciiTheme="minorHAnsi" w:hAnsiTheme="minorHAnsi"/>
        </w:rPr>
        <w:t>.</w:t>
      </w:r>
    </w:p>
    <w:p w14:paraId="21C04D1E" w14:textId="1DC73106" w:rsidR="008E4061" w:rsidRPr="004A132D" w:rsidRDefault="0061574A" w:rsidP="00561D0E">
      <w:pPr>
        <w:pStyle w:val="Numbers"/>
        <w:numPr>
          <w:ilvl w:val="1"/>
          <w:numId w:val="1"/>
        </w:numPr>
        <w:rPr>
          <w:rFonts w:asciiTheme="minorHAnsi" w:hAnsiTheme="minorHAnsi"/>
        </w:rPr>
      </w:pPr>
      <w:r w:rsidRPr="004A132D">
        <w:rPr>
          <w:rFonts w:asciiTheme="minorHAnsi" w:hAnsiTheme="minorHAnsi"/>
        </w:rPr>
        <w:t xml:space="preserve">Leading the </w:t>
      </w:r>
      <w:r w:rsidR="00F476B3" w:rsidRPr="004A132D">
        <w:rPr>
          <w:rFonts w:asciiTheme="minorHAnsi" w:hAnsiTheme="minorHAnsi"/>
          <w:i/>
        </w:rPr>
        <w:t>Stop it at the Start</w:t>
      </w:r>
      <w:r w:rsidR="00F476B3" w:rsidRPr="004A132D">
        <w:rPr>
          <w:rFonts w:asciiTheme="minorHAnsi" w:hAnsiTheme="minorHAnsi"/>
        </w:rPr>
        <w:t xml:space="preserve"> campaign </w:t>
      </w:r>
      <w:r w:rsidRPr="004A132D">
        <w:rPr>
          <w:rFonts w:asciiTheme="minorHAnsi" w:hAnsiTheme="minorHAnsi"/>
        </w:rPr>
        <w:t xml:space="preserve">which </w:t>
      </w:r>
      <w:r w:rsidR="00F476B3" w:rsidRPr="004A132D">
        <w:rPr>
          <w:rFonts w:asciiTheme="minorHAnsi" w:hAnsiTheme="minorHAnsi"/>
        </w:rPr>
        <w:t>aims to break the cycle of violence by encouraging adults to reflect on their attitudes and have conversations about respectful behaviours with young people aged 10</w:t>
      </w:r>
      <w:r w:rsidR="00376C92" w:rsidRPr="004A132D">
        <w:rPr>
          <w:rFonts w:asciiTheme="minorHAnsi" w:hAnsiTheme="minorHAnsi"/>
        </w:rPr>
        <w:noBreakHyphen/>
      </w:r>
      <w:r w:rsidR="00F476B3" w:rsidRPr="004A132D">
        <w:rPr>
          <w:rFonts w:asciiTheme="minorHAnsi" w:hAnsiTheme="minorHAnsi"/>
        </w:rPr>
        <w:t xml:space="preserve">17. </w:t>
      </w:r>
      <w:r w:rsidR="009F3EC5" w:rsidRPr="004A132D">
        <w:rPr>
          <w:rFonts w:asciiTheme="minorHAnsi" w:hAnsiTheme="minorHAnsi"/>
        </w:rPr>
        <w:t xml:space="preserve">A fifth phase of the campaign will be released in mid-2024 targeting the rise of new online and offline influencers. The Phase 4 evaluation noted the campaign was successful as 56 per cent of people recalled an element of the campaign activity and 33 per cent tried to be more respectful to others. </w:t>
      </w:r>
    </w:p>
    <w:p w14:paraId="695B4A51" w14:textId="6BA7E031" w:rsidR="009F3EC5" w:rsidRPr="004A132D" w:rsidRDefault="0061574A" w:rsidP="00561D0E">
      <w:pPr>
        <w:pStyle w:val="Numbers"/>
        <w:numPr>
          <w:ilvl w:val="1"/>
          <w:numId w:val="1"/>
        </w:numPr>
        <w:rPr>
          <w:rFonts w:asciiTheme="minorHAnsi" w:hAnsiTheme="minorHAnsi"/>
        </w:rPr>
      </w:pPr>
      <w:r w:rsidRPr="004A132D">
        <w:rPr>
          <w:rFonts w:asciiTheme="minorHAnsi" w:hAnsiTheme="minorHAnsi"/>
        </w:rPr>
        <w:t xml:space="preserve">Funding </w:t>
      </w:r>
      <w:r w:rsidR="00F476B3" w:rsidRPr="004A132D">
        <w:rPr>
          <w:rFonts w:asciiTheme="minorHAnsi" w:hAnsiTheme="minorHAnsi"/>
        </w:rPr>
        <w:t>Our Watch</w:t>
      </w:r>
      <w:r w:rsidR="00243281" w:rsidRPr="004A132D">
        <w:rPr>
          <w:rFonts w:asciiTheme="minorHAnsi" w:hAnsiTheme="minorHAnsi"/>
        </w:rPr>
        <w:t xml:space="preserve"> </w:t>
      </w:r>
      <w:r w:rsidR="00835B84" w:rsidRPr="004A132D">
        <w:rPr>
          <w:rFonts w:asciiTheme="minorHAnsi" w:hAnsiTheme="minorHAnsi"/>
        </w:rPr>
        <w:t>to</w:t>
      </w:r>
      <w:r w:rsidR="00243281" w:rsidRPr="004A132D">
        <w:rPr>
          <w:rFonts w:asciiTheme="minorHAnsi" w:hAnsiTheme="minorHAnsi"/>
        </w:rPr>
        <w:t xml:space="preserve"> deliver on </w:t>
      </w:r>
      <w:r w:rsidR="00CC53F8">
        <w:rPr>
          <w:rFonts w:asciiTheme="minorHAnsi" w:hAnsiTheme="minorHAnsi"/>
        </w:rPr>
        <w:t xml:space="preserve">key </w:t>
      </w:r>
      <w:r w:rsidR="00243281" w:rsidRPr="004A132D">
        <w:rPr>
          <w:rFonts w:asciiTheme="minorHAnsi" w:hAnsiTheme="minorHAnsi"/>
        </w:rPr>
        <w:t xml:space="preserve">priorities under the </w:t>
      </w:r>
      <w:r w:rsidR="00A77ED3" w:rsidRPr="004A132D">
        <w:rPr>
          <w:rFonts w:asciiTheme="minorHAnsi" w:hAnsiTheme="minorHAnsi"/>
        </w:rPr>
        <w:t xml:space="preserve">National Plan to </w:t>
      </w:r>
      <w:r w:rsidR="00F73767" w:rsidRPr="004A132D">
        <w:rPr>
          <w:rFonts w:asciiTheme="minorHAnsi" w:hAnsiTheme="minorHAnsi"/>
        </w:rPr>
        <w:t>E</w:t>
      </w:r>
      <w:r w:rsidR="00A77ED3" w:rsidRPr="004A132D">
        <w:rPr>
          <w:rFonts w:asciiTheme="minorHAnsi" w:hAnsiTheme="minorHAnsi"/>
        </w:rPr>
        <w:t xml:space="preserve">nd </w:t>
      </w:r>
      <w:r w:rsidR="00F73767" w:rsidRPr="004A132D">
        <w:rPr>
          <w:rFonts w:asciiTheme="minorHAnsi" w:hAnsiTheme="minorHAnsi"/>
        </w:rPr>
        <w:t>V</w:t>
      </w:r>
      <w:r w:rsidR="00A77ED3" w:rsidRPr="004A132D">
        <w:rPr>
          <w:rFonts w:asciiTheme="minorHAnsi" w:hAnsiTheme="minorHAnsi"/>
        </w:rPr>
        <w:t>iolence against Women</w:t>
      </w:r>
      <w:r w:rsidR="00243281" w:rsidRPr="004A132D">
        <w:rPr>
          <w:rFonts w:asciiTheme="minorHAnsi" w:hAnsiTheme="minorHAnsi"/>
        </w:rPr>
        <w:t xml:space="preserve">, and continue </w:t>
      </w:r>
      <w:r w:rsidR="00CC53F8">
        <w:rPr>
          <w:rFonts w:asciiTheme="minorHAnsi" w:hAnsiTheme="minorHAnsi"/>
        </w:rPr>
        <w:t xml:space="preserve">delivering </w:t>
      </w:r>
      <w:r w:rsidR="00243281" w:rsidRPr="004A132D">
        <w:rPr>
          <w:rFonts w:asciiTheme="minorHAnsi" w:hAnsiTheme="minorHAnsi"/>
        </w:rPr>
        <w:t>existing successful initiatives</w:t>
      </w:r>
      <w:r w:rsidR="00CC53F8">
        <w:rPr>
          <w:rFonts w:asciiTheme="minorHAnsi" w:hAnsiTheme="minorHAnsi"/>
        </w:rPr>
        <w:t>, including</w:t>
      </w:r>
      <w:r w:rsidR="00243281" w:rsidRPr="004A132D">
        <w:rPr>
          <w:rFonts w:asciiTheme="minorHAnsi" w:hAnsiTheme="minorHAnsi"/>
        </w:rPr>
        <w:t xml:space="preserve"> the</w:t>
      </w:r>
      <w:r w:rsidR="00F476B3" w:rsidRPr="004A132D">
        <w:rPr>
          <w:rFonts w:asciiTheme="minorHAnsi" w:hAnsiTheme="minorHAnsi"/>
          <w:i/>
        </w:rPr>
        <w:t xml:space="preserve"> Line</w:t>
      </w:r>
      <w:r w:rsidR="00F476B3" w:rsidRPr="004A132D">
        <w:rPr>
          <w:rFonts w:asciiTheme="minorHAnsi" w:hAnsiTheme="minorHAnsi"/>
        </w:rPr>
        <w:t xml:space="preserve"> </w:t>
      </w:r>
      <w:r w:rsidR="00243281" w:rsidRPr="004A132D">
        <w:rPr>
          <w:rFonts w:asciiTheme="minorHAnsi" w:hAnsiTheme="minorHAnsi"/>
        </w:rPr>
        <w:t xml:space="preserve">campaign </w:t>
      </w:r>
      <w:r w:rsidR="00CC53F8">
        <w:rPr>
          <w:rFonts w:asciiTheme="minorHAnsi" w:hAnsiTheme="minorHAnsi"/>
        </w:rPr>
        <w:t>which encourages</w:t>
      </w:r>
      <w:r w:rsidR="00F476B3" w:rsidRPr="004A132D">
        <w:rPr>
          <w:rFonts w:asciiTheme="minorHAnsi" w:hAnsiTheme="minorHAnsi"/>
        </w:rPr>
        <w:t>, educate</w:t>
      </w:r>
      <w:r w:rsidR="00CC53F8">
        <w:rPr>
          <w:rFonts w:asciiTheme="minorHAnsi" w:hAnsiTheme="minorHAnsi"/>
        </w:rPr>
        <w:t>s</w:t>
      </w:r>
      <w:r w:rsidR="00F476B3" w:rsidRPr="004A132D">
        <w:rPr>
          <w:rFonts w:asciiTheme="minorHAnsi" w:hAnsiTheme="minorHAnsi"/>
        </w:rPr>
        <w:t xml:space="preserve"> and empower</w:t>
      </w:r>
      <w:r w:rsidR="00CC53F8">
        <w:rPr>
          <w:rFonts w:asciiTheme="minorHAnsi" w:hAnsiTheme="minorHAnsi"/>
        </w:rPr>
        <w:t>s</w:t>
      </w:r>
      <w:r w:rsidR="00F476B3" w:rsidRPr="004A132D">
        <w:rPr>
          <w:rFonts w:asciiTheme="minorHAnsi" w:hAnsiTheme="minorHAnsi"/>
        </w:rPr>
        <w:t xml:space="preserve"> adolescents and young adults to have healthy and respectful relationships</w:t>
      </w:r>
      <w:r w:rsidR="00243281" w:rsidRPr="004A132D">
        <w:rPr>
          <w:rFonts w:asciiTheme="minorHAnsi" w:hAnsiTheme="minorHAnsi"/>
        </w:rPr>
        <w:t>.</w:t>
      </w:r>
      <w:r w:rsidR="00F476B3" w:rsidRPr="004A132D">
        <w:rPr>
          <w:rFonts w:asciiTheme="minorHAnsi" w:hAnsiTheme="minorHAnsi"/>
        </w:rPr>
        <w:t xml:space="preserve"> </w:t>
      </w:r>
    </w:p>
    <w:p w14:paraId="6E3EFE22" w14:textId="15BC5C5D" w:rsidR="00835B84" w:rsidRPr="004A132D" w:rsidRDefault="009F3EC5" w:rsidP="00561D0E">
      <w:pPr>
        <w:pStyle w:val="Numbers"/>
        <w:numPr>
          <w:ilvl w:val="1"/>
          <w:numId w:val="1"/>
        </w:numPr>
        <w:rPr>
          <w:rFonts w:asciiTheme="minorHAnsi" w:hAnsiTheme="minorHAnsi"/>
        </w:rPr>
      </w:pPr>
      <w:r w:rsidRPr="004A132D">
        <w:rPr>
          <w:rFonts w:asciiTheme="minorHAnsi" w:hAnsiTheme="minorHAnsi"/>
        </w:rPr>
        <w:t>Funding of $</w:t>
      </w:r>
      <w:r w:rsidR="002E4C48" w:rsidRPr="004A132D">
        <w:rPr>
          <w:rFonts w:asciiTheme="minorHAnsi" w:hAnsiTheme="minorHAnsi"/>
        </w:rPr>
        <w:t>77.6</w:t>
      </w:r>
      <w:r w:rsidRPr="004A132D">
        <w:rPr>
          <w:rFonts w:asciiTheme="minorHAnsi" w:hAnsiTheme="minorHAnsi"/>
        </w:rPr>
        <w:t xml:space="preserve"> million over </w:t>
      </w:r>
      <w:r w:rsidR="00520DF4" w:rsidRPr="004A132D">
        <w:rPr>
          <w:rFonts w:asciiTheme="minorHAnsi" w:hAnsiTheme="minorHAnsi"/>
        </w:rPr>
        <w:t>5</w:t>
      </w:r>
      <w:r w:rsidRPr="004A132D">
        <w:rPr>
          <w:rFonts w:asciiTheme="minorHAnsi" w:hAnsiTheme="minorHAnsi"/>
        </w:rPr>
        <w:t xml:space="preserve"> years from 202</w:t>
      </w:r>
      <w:r w:rsidR="002E4C48" w:rsidRPr="004A132D">
        <w:rPr>
          <w:rFonts w:asciiTheme="minorHAnsi" w:hAnsiTheme="minorHAnsi"/>
        </w:rPr>
        <w:t>3</w:t>
      </w:r>
      <w:r w:rsidRPr="004A132D">
        <w:rPr>
          <w:rFonts w:asciiTheme="minorHAnsi" w:hAnsiTheme="minorHAnsi"/>
        </w:rPr>
        <w:t>-2</w:t>
      </w:r>
      <w:r w:rsidR="002E4C48" w:rsidRPr="004A132D">
        <w:rPr>
          <w:rFonts w:asciiTheme="minorHAnsi" w:hAnsiTheme="minorHAnsi"/>
        </w:rPr>
        <w:t>4</w:t>
      </w:r>
      <w:r w:rsidRPr="004A132D">
        <w:rPr>
          <w:rFonts w:asciiTheme="minorHAnsi" w:hAnsiTheme="minorHAnsi"/>
        </w:rPr>
        <w:t xml:space="preserve"> to states and territories and non-government school s</w:t>
      </w:r>
      <w:r w:rsidR="002E4C48" w:rsidRPr="004A132D">
        <w:rPr>
          <w:rFonts w:asciiTheme="minorHAnsi" w:hAnsiTheme="minorHAnsi"/>
        </w:rPr>
        <w:t>ectors</w:t>
      </w:r>
      <w:r w:rsidRPr="004A132D">
        <w:rPr>
          <w:rFonts w:asciiTheme="minorHAnsi" w:hAnsiTheme="minorHAnsi"/>
        </w:rPr>
        <w:t xml:space="preserve"> to invest in high quality, evidence-based, age-appropriate consent and Respectful Relationships Education in Australian primary and secondary schools.</w:t>
      </w:r>
    </w:p>
    <w:p w14:paraId="01A85019" w14:textId="7A6ACFF2" w:rsidR="009F3EC5" w:rsidRPr="004A132D" w:rsidRDefault="009D2B1A" w:rsidP="00561D0E">
      <w:pPr>
        <w:pStyle w:val="Numbers"/>
        <w:numPr>
          <w:ilvl w:val="1"/>
          <w:numId w:val="1"/>
        </w:numPr>
        <w:rPr>
          <w:rFonts w:asciiTheme="minorHAnsi" w:hAnsiTheme="minorHAnsi"/>
        </w:rPr>
      </w:pPr>
      <w:r w:rsidRPr="004A132D">
        <w:rPr>
          <w:rFonts w:asciiTheme="minorHAnsi" w:hAnsiTheme="minorHAnsi"/>
        </w:rPr>
        <w:t>Providing</w:t>
      </w:r>
      <w:r w:rsidR="009F3EC5" w:rsidRPr="004A132D">
        <w:rPr>
          <w:rFonts w:asciiTheme="minorHAnsi" w:hAnsiTheme="minorHAnsi"/>
        </w:rPr>
        <w:t xml:space="preserve"> $32.2 million over </w:t>
      </w:r>
      <w:r w:rsidR="00520DF4" w:rsidRPr="004A132D">
        <w:rPr>
          <w:rFonts w:asciiTheme="minorHAnsi" w:hAnsiTheme="minorHAnsi"/>
        </w:rPr>
        <w:t>4</w:t>
      </w:r>
      <w:r w:rsidR="009F3EC5" w:rsidRPr="004A132D">
        <w:rPr>
          <w:rFonts w:asciiTheme="minorHAnsi" w:hAnsiTheme="minorHAnsi"/>
        </w:rPr>
        <w:t xml:space="preserve"> years from 2022-23 for a new national consent campaign to better inform young people and adults about the importance of consensual and respectful relationships.  </w:t>
      </w:r>
    </w:p>
    <w:p w14:paraId="3115785E" w14:textId="77777777" w:rsidR="00390047" w:rsidRPr="004A132D" w:rsidRDefault="00041B62" w:rsidP="008C4A44">
      <w:pPr>
        <w:pStyle w:val="Heading2"/>
      </w:pPr>
      <w:bookmarkStart w:id="58" w:name="_Toc174011683"/>
      <w:bookmarkStart w:id="59" w:name="_Toc175556778"/>
      <w:r w:rsidRPr="004A132D">
        <w:t>Question 9a: Federal legislation on gender-based violence</w:t>
      </w:r>
      <w:bookmarkEnd w:id="58"/>
      <w:bookmarkEnd w:id="59"/>
    </w:p>
    <w:p w14:paraId="1FB78B36" w14:textId="77777777" w:rsidR="002B480E" w:rsidRPr="004A132D" w:rsidRDefault="00D017FD" w:rsidP="0002378E">
      <w:pPr>
        <w:pStyle w:val="Numbers"/>
        <w:ind w:left="1418"/>
        <w:rPr>
          <w:rFonts w:asciiTheme="minorHAnsi" w:hAnsiTheme="minorHAnsi"/>
        </w:rPr>
      </w:pPr>
      <w:r w:rsidRPr="004A132D">
        <w:rPr>
          <w:rFonts w:asciiTheme="minorHAnsi" w:hAnsiTheme="minorHAnsi"/>
        </w:rPr>
        <w:t>Under Australia’s federal system of government, states and territories are responsible for the majority of laws related to</w:t>
      </w:r>
      <w:r w:rsidR="00C12EB6" w:rsidRPr="004A132D">
        <w:rPr>
          <w:rFonts w:asciiTheme="minorHAnsi" w:hAnsiTheme="minorHAnsi"/>
        </w:rPr>
        <w:t xml:space="preserve"> gender-based violence</w:t>
      </w:r>
      <w:r w:rsidRPr="004A132D">
        <w:rPr>
          <w:rFonts w:asciiTheme="minorHAnsi" w:hAnsiTheme="minorHAnsi"/>
        </w:rPr>
        <w:t xml:space="preserve">, including the making of domestic violence orders and criminal offences. Each jurisdiction </w:t>
      </w:r>
      <w:r w:rsidRPr="004A132D">
        <w:rPr>
          <w:rFonts w:asciiTheme="minorHAnsi" w:hAnsiTheme="minorHAnsi"/>
        </w:rPr>
        <w:lastRenderedPageBreak/>
        <w:t>manages its own criminal justice system, including criminal laws, policing, courts and corrections.</w:t>
      </w:r>
      <w:r w:rsidR="007E57AE" w:rsidRPr="004A132D">
        <w:rPr>
          <w:rFonts w:asciiTheme="minorHAnsi" w:hAnsiTheme="minorHAnsi"/>
        </w:rPr>
        <w:t xml:space="preserve"> </w:t>
      </w:r>
      <w:r w:rsidR="00B3298B" w:rsidRPr="004A132D">
        <w:rPr>
          <w:rFonts w:asciiTheme="minorHAnsi" w:hAnsiTheme="minorHAnsi"/>
        </w:rPr>
        <w:t>The Australian Government is responsible for the Family Law Act</w:t>
      </w:r>
      <w:r w:rsidR="002B480E" w:rsidRPr="004A132D">
        <w:rPr>
          <w:rFonts w:asciiTheme="minorHAnsi" w:hAnsiTheme="minorHAnsi"/>
        </w:rPr>
        <w:t>,</w:t>
      </w:r>
      <w:r w:rsidR="00C13751" w:rsidRPr="004A132D">
        <w:rPr>
          <w:rFonts w:asciiTheme="minorHAnsi" w:hAnsiTheme="minorHAnsi"/>
        </w:rPr>
        <w:t xml:space="preserve"> which has seen a range of recent amendments to better </w:t>
      </w:r>
      <w:r w:rsidR="00FE60FD" w:rsidRPr="004A132D">
        <w:rPr>
          <w:rFonts w:asciiTheme="minorHAnsi" w:hAnsiTheme="minorHAnsi"/>
        </w:rPr>
        <w:t>recognise and respond to</w:t>
      </w:r>
      <w:r w:rsidR="00C13751" w:rsidRPr="004A132D">
        <w:rPr>
          <w:rFonts w:asciiTheme="minorHAnsi" w:hAnsiTheme="minorHAnsi"/>
        </w:rPr>
        <w:t xml:space="preserve"> gender-based violence</w:t>
      </w:r>
      <w:r w:rsidR="00FE60FD" w:rsidRPr="004A132D">
        <w:rPr>
          <w:rFonts w:asciiTheme="minorHAnsi" w:hAnsiTheme="minorHAnsi"/>
        </w:rPr>
        <w:t xml:space="preserve">, as well as the </w:t>
      </w:r>
      <w:r w:rsidR="00D97334" w:rsidRPr="004A132D">
        <w:rPr>
          <w:rFonts w:asciiTheme="minorHAnsi" w:hAnsiTheme="minorHAnsi"/>
        </w:rPr>
        <w:t xml:space="preserve">Criminal Code </w:t>
      </w:r>
      <w:r w:rsidR="001E0D5A" w:rsidRPr="004A132D">
        <w:rPr>
          <w:rFonts w:asciiTheme="minorHAnsi" w:hAnsiTheme="minorHAnsi"/>
        </w:rPr>
        <w:t>Act, which</w:t>
      </w:r>
      <w:r w:rsidR="00FE60FD" w:rsidRPr="004A132D">
        <w:rPr>
          <w:rFonts w:asciiTheme="minorHAnsi" w:hAnsiTheme="minorHAnsi"/>
        </w:rPr>
        <w:t xml:space="preserve"> contains offences regarding forced marriage</w:t>
      </w:r>
      <w:r w:rsidR="00C13751" w:rsidRPr="004A132D">
        <w:rPr>
          <w:rFonts w:asciiTheme="minorHAnsi" w:hAnsiTheme="minorHAnsi"/>
        </w:rPr>
        <w:t xml:space="preserve">.   </w:t>
      </w:r>
      <w:r w:rsidR="002B480E" w:rsidRPr="004A132D">
        <w:rPr>
          <w:rFonts w:asciiTheme="minorHAnsi" w:hAnsiTheme="minorHAnsi"/>
        </w:rPr>
        <w:t xml:space="preserve"> </w:t>
      </w:r>
    </w:p>
    <w:p w14:paraId="5F646C85" w14:textId="71831E23" w:rsidR="00C86B63" w:rsidRPr="004A132D" w:rsidRDefault="009817A6" w:rsidP="0002378E">
      <w:pPr>
        <w:pStyle w:val="Numbers"/>
        <w:ind w:left="1418"/>
        <w:rPr>
          <w:rFonts w:asciiTheme="minorHAnsi" w:hAnsiTheme="minorHAnsi"/>
        </w:rPr>
      </w:pPr>
      <w:r w:rsidRPr="004A132D">
        <w:rPr>
          <w:rFonts w:asciiTheme="minorHAnsi" w:hAnsiTheme="minorHAnsi"/>
        </w:rPr>
        <w:t>Rather than shifting the power to legislate on gender-based violence to the F</w:t>
      </w:r>
      <w:r w:rsidR="005D6688" w:rsidRPr="004A132D">
        <w:rPr>
          <w:rFonts w:asciiTheme="minorHAnsi" w:hAnsiTheme="minorHAnsi"/>
        </w:rPr>
        <w:t xml:space="preserve">ederal Parliament, </w:t>
      </w:r>
      <w:r w:rsidRPr="004A132D">
        <w:rPr>
          <w:rFonts w:asciiTheme="minorHAnsi" w:hAnsiTheme="minorHAnsi"/>
        </w:rPr>
        <w:t>t</w:t>
      </w:r>
      <w:r w:rsidR="00C86B63" w:rsidRPr="004A132D">
        <w:rPr>
          <w:rFonts w:asciiTheme="minorHAnsi" w:hAnsiTheme="minorHAnsi"/>
        </w:rPr>
        <w:t xml:space="preserve">he Australian Government </w:t>
      </w:r>
      <w:r w:rsidRPr="004A132D">
        <w:rPr>
          <w:rFonts w:asciiTheme="minorHAnsi" w:hAnsiTheme="minorHAnsi"/>
        </w:rPr>
        <w:t>provides</w:t>
      </w:r>
      <w:r w:rsidR="00C86B63" w:rsidRPr="004A132D">
        <w:rPr>
          <w:rFonts w:asciiTheme="minorHAnsi" w:hAnsiTheme="minorHAnsi"/>
        </w:rPr>
        <w:t xml:space="preserve"> national leadership and investment to end family, domes</w:t>
      </w:r>
      <w:r w:rsidR="00FE60FD" w:rsidRPr="004A132D">
        <w:rPr>
          <w:rFonts w:asciiTheme="minorHAnsi" w:hAnsiTheme="minorHAnsi"/>
        </w:rPr>
        <w:t>tic and sexual violence</w:t>
      </w:r>
      <w:r w:rsidR="001C7E82" w:rsidRPr="004A132D">
        <w:rPr>
          <w:rFonts w:asciiTheme="minorHAnsi" w:hAnsiTheme="minorHAnsi"/>
        </w:rPr>
        <w:t xml:space="preserve"> including through </w:t>
      </w:r>
      <w:r w:rsidR="00C820C7" w:rsidRPr="004A132D">
        <w:rPr>
          <w:rFonts w:asciiTheme="minorHAnsi" w:hAnsiTheme="minorHAnsi"/>
        </w:rPr>
        <w:t xml:space="preserve">the </w:t>
      </w:r>
      <w:r w:rsidR="001C7E82" w:rsidRPr="004A132D">
        <w:rPr>
          <w:rFonts w:asciiTheme="minorHAnsi" w:hAnsiTheme="minorHAnsi"/>
        </w:rPr>
        <w:t>National Cabinet (the forum for the Australian Prime Minister and state and territory Premiers and Chief Ministers)</w:t>
      </w:r>
      <w:r w:rsidR="00FE60FD" w:rsidRPr="004A132D">
        <w:rPr>
          <w:rFonts w:asciiTheme="minorHAnsi" w:hAnsiTheme="minorHAnsi"/>
        </w:rPr>
        <w:t xml:space="preserve">. </w:t>
      </w:r>
      <w:r w:rsidR="00CD59A8" w:rsidRPr="004A132D">
        <w:rPr>
          <w:rFonts w:asciiTheme="minorHAnsi" w:hAnsiTheme="minorHAnsi"/>
        </w:rPr>
        <w:t>The Australian Government oversees</w:t>
      </w:r>
      <w:r w:rsidRPr="004A132D">
        <w:rPr>
          <w:rFonts w:asciiTheme="minorHAnsi" w:hAnsiTheme="minorHAnsi"/>
        </w:rPr>
        <w:t xml:space="preserve"> the </w:t>
      </w:r>
      <w:r w:rsidR="00A77ED3" w:rsidRPr="004A132D">
        <w:rPr>
          <w:rFonts w:asciiTheme="minorHAnsi" w:hAnsiTheme="minorHAnsi"/>
        </w:rPr>
        <w:t xml:space="preserve">National Plan to </w:t>
      </w:r>
      <w:r w:rsidR="00F73767" w:rsidRPr="004A132D">
        <w:rPr>
          <w:rFonts w:asciiTheme="minorHAnsi" w:hAnsiTheme="minorHAnsi"/>
        </w:rPr>
        <w:t>E</w:t>
      </w:r>
      <w:r w:rsidR="00A77ED3" w:rsidRPr="004A132D">
        <w:rPr>
          <w:rFonts w:asciiTheme="minorHAnsi" w:hAnsiTheme="minorHAnsi"/>
        </w:rPr>
        <w:t xml:space="preserve">nd </w:t>
      </w:r>
      <w:r w:rsidR="00F73767" w:rsidRPr="004A132D">
        <w:rPr>
          <w:rFonts w:asciiTheme="minorHAnsi" w:hAnsiTheme="minorHAnsi"/>
        </w:rPr>
        <w:t>V</w:t>
      </w:r>
      <w:r w:rsidR="00A77ED3" w:rsidRPr="004A132D">
        <w:rPr>
          <w:rFonts w:asciiTheme="minorHAnsi" w:hAnsiTheme="minorHAnsi"/>
        </w:rPr>
        <w:t>iolence against Women</w:t>
      </w:r>
      <w:r w:rsidR="00575986" w:rsidRPr="004A132D">
        <w:rPr>
          <w:rFonts w:asciiTheme="minorHAnsi" w:hAnsiTheme="minorHAnsi"/>
        </w:rPr>
        <w:t xml:space="preserve"> </w:t>
      </w:r>
      <w:r w:rsidR="00C04D35" w:rsidRPr="004A132D">
        <w:rPr>
          <w:rFonts w:asciiTheme="minorHAnsi" w:hAnsiTheme="minorHAnsi"/>
        </w:rPr>
        <w:t xml:space="preserve">which </w:t>
      </w:r>
      <w:r w:rsidR="00A66817" w:rsidRPr="004A132D">
        <w:rPr>
          <w:rFonts w:asciiTheme="minorHAnsi" w:hAnsiTheme="minorHAnsi"/>
        </w:rPr>
        <w:t xml:space="preserve">delivers </w:t>
      </w:r>
      <w:r w:rsidR="00575986" w:rsidRPr="004A132D">
        <w:rPr>
          <w:rFonts w:asciiTheme="minorHAnsi" w:hAnsiTheme="minorHAnsi"/>
        </w:rPr>
        <w:t>certain supports for victim</w:t>
      </w:r>
      <w:r w:rsidR="00865C05" w:rsidRPr="004A132D">
        <w:rPr>
          <w:rFonts w:asciiTheme="minorHAnsi" w:hAnsiTheme="minorHAnsi"/>
        </w:rPr>
        <w:noBreakHyphen/>
      </w:r>
      <w:r w:rsidRPr="004A132D">
        <w:rPr>
          <w:rFonts w:asciiTheme="minorHAnsi" w:hAnsiTheme="minorHAnsi"/>
        </w:rPr>
        <w:t>survivors</w:t>
      </w:r>
      <w:r w:rsidR="00A66817" w:rsidRPr="004A132D">
        <w:rPr>
          <w:rFonts w:asciiTheme="minorHAnsi" w:hAnsiTheme="minorHAnsi"/>
        </w:rPr>
        <w:t xml:space="preserve">. The Government </w:t>
      </w:r>
      <w:r w:rsidR="00865C05" w:rsidRPr="004A132D">
        <w:rPr>
          <w:rFonts w:asciiTheme="minorHAnsi" w:hAnsiTheme="minorHAnsi"/>
        </w:rPr>
        <w:t>is</w:t>
      </w:r>
      <w:r w:rsidR="00A66817" w:rsidRPr="004A132D">
        <w:rPr>
          <w:rFonts w:asciiTheme="minorHAnsi" w:hAnsiTheme="minorHAnsi"/>
        </w:rPr>
        <w:t xml:space="preserve"> working </w:t>
      </w:r>
      <w:r w:rsidR="00C86B63" w:rsidRPr="004A132D">
        <w:rPr>
          <w:rFonts w:asciiTheme="minorHAnsi" w:hAnsiTheme="minorHAnsi"/>
        </w:rPr>
        <w:t xml:space="preserve">with state and territory governments </w:t>
      </w:r>
      <w:r w:rsidR="00A66817" w:rsidRPr="004A132D">
        <w:rPr>
          <w:rFonts w:asciiTheme="minorHAnsi" w:hAnsiTheme="minorHAnsi"/>
        </w:rPr>
        <w:t xml:space="preserve">to </w:t>
      </w:r>
      <w:r w:rsidR="00C86B63" w:rsidRPr="004A132D">
        <w:rPr>
          <w:rFonts w:asciiTheme="minorHAnsi" w:hAnsiTheme="minorHAnsi"/>
        </w:rPr>
        <w:t>strengthen</w:t>
      </w:r>
      <w:r w:rsidR="00A66817" w:rsidRPr="004A132D">
        <w:rPr>
          <w:rFonts w:asciiTheme="minorHAnsi" w:hAnsiTheme="minorHAnsi"/>
        </w:rPr>
        <w:t xml:space="preserve"> </w:t>
      </w:r>
      <w:r w:rsidR="00C86B63" w:rsidRPr="004A132D">
        <w:rPr>
          <w:rFonts w:asciiTheme="minorHAnsi" w:hAnsiTheme="minorHAnsi"/>
        </w:rPr>
        <w:t>and harmonis</w:t>
      </w:r>
      <w:r w:rsidR="00A66817" w:rsidRPr="004A132D">
        <w:rPr>
          <w:rFonts w:asciiTheme="minorHAnsi" w:hAnsiTheme="minorHAnsi"/>
        </w:rPr>
        <w:t xml:space="preserve">e </w:t>
      </w:r>
      <w:r w:rsidR="00C86B63" w:rsidRPr="004A132D">
        <w:rPr>
          <w:rFonts w:asciiTheme="minorHAnsi" w:hAnsiTheme="minorHAnsi"/>
        </w:rPr>
        <w:t xml:space="preserve">sexual assault laws, criminal justice responses to sexual assault, </w:t>
      </w:r>
      <w:r w:rsidR="00A66817" w:rsidRPr="004A132D">
        <w:rPr>
          <w:rFonts w:asciiTheme="minorHAnsi" w:hAnsiTheme="minorHAnsi"/>
        </w:rPr>
        <w:t xml:space="preserve">and cross-jurisdiction </w:t>
      </w:r>
      <w:r w:rsidR="00FE60FD" w:rsidRPr="004A132D">
        <w:rPr>
          <w:rFonts w:asciiTheme="minorHAnsi" w:hAnsiTheme="minorHAnsi"/>
        </w:rPr>
        <w:t>recognition of domestic violence orders</w:t>
      </w:r>
      <w:r w:rsidR="00A66817" w:rsidRPr="004A132D">
        <w:rPr>
          <w:rFonts w:asciiTheme="minorHAnsi" w:hAnsiTheme="minorHAnsi"/>
        </w:rPr>
        <w:t>.</w:t>
      </w:r>
      <w:r w:rsidR="00C86B63" w:rsidRPr="004A132D">
        <w:rPr>
          <w:rFonts w:asciiTheme="minorHAnsi" w:hAnsiTheme="minorHAnsi"/>
        </w:rPr>
        <w:t xml:space="preserve"> </w:t>
      </w:r>
    </w:p>
    <w:p w14:paraId="57E2CDFB" w14:textId="54BE61A0" w:rsidR="00812EF3" w:rsidRPr="004A132D" w:rsidRDefault="00812EF3" w:rsidP="0002378E">
      <w:pPr>
        <w:pStyle w:val="Numbers"/>
        <w:ind w:left="1418"/>
        <w:rPr>
          <w:rFonts w:asciiTheme="minorHAnsi" w:hAnsiTheme="minorHAnsi"/>
        </w:rPr>
      </w:pPr>
      <w:r w:rsidRPr="004A132D">
        <w:rPr>
          <w:rFonts w:asciiTheme="minorHAnsi" w:hAnsiTheme="minorHAnsi"/>
        </w:rPr>
        <w:t xml:space="preserve">In 2022, the Federal Parliament passed the </w:t>
      </w:r>
      <w:r w:rsidRPr="004A132D">
        <w:rPr>
          <w:rFonts w:asciiTheme="minorHAnsi" w:hAnsiTheme="minorHAnsi"/>
          <w:i/>
        </w:rPr>
        <w:t>Fair Work Amendment (Family and Domestic Violence Leave) Act 2022</w:t>
      </w:r>
      <w:r w:rsidRPr="004A132D">
        <w:rPr>
          <w:rFonts w:asciiTheme="minorHAnsi" w:hAnsiTheme="minorHAnsi"/>
        </w:rPr>
        <w:t xml:space="preserve"> to provide all employees, including casual employees, with an entitlement </w:t>
      </w:r>
      <w:r w:rsidR="00EB683E" w:rsidRPr="004A132D">
        <w:rPr>
          <w:rFonts w:asciiTheme="minorHAnsi" w:hAnsiTheme="minorHAnsi"/>
        </w:rPr>
        <w:t>of</w:t>
      </w:r>
      <w:r w:rsidRPr="004A132D">
        <w:rPr>
          <w:rFonts w:asciiTheme="minorHAnsi" w:hAnsiTheme="minorHAnsi"/>
        </w:rPr>
        <w:t xml:space="preserve"> 10 days paid family and domestic violence leave to deal with impacts of family and domestic violence where it is impractical for the employee to do so outside work hours. The leave is paid at the employee’s full rate of pay and employers are prohibited from including information about the leave on payslips, to </w:t>
      </w:r>
      <w:r w:rsidR="00EB683E" w:rsidRPr="004A132D">
        <w:rPr>
          <w:rFonts w:asciiTheme="minorHAnsi" w:hAnsiTheme="minorHAnsi"/>
        </w:rPr>
        <w:t>respect</w:t>
      </w:r>
      <w:r w:rsidRPr="004A132D">
        <w:rPr>
          <w:rFonts w:asciiTheme="minorHAnsi" w:hAnsiTheme="minorHAnsi"/>
        </w:rPr>
        <w:t xml:space="preserve"> confidentiality. Over 2023</w:t>
      </w:r>
      <w:r w:rsidR="00CC53F8">
        <w:rPr>
          <w:rFonts w:asciiTheme="minorHAnsi" w:hAnsiTheme="minorHAnsi"/>
        </w:rPr>
        <w:t>–2024</w:t>
      </w:r>
      <w:r w:rsidRPr="004A132D">
        <w:rPr>
          <w:rFonts w:asciiTheme="minorHAnsi" w:hAnsiTheme="minorHAnsi"/>
        </w:rPr>
        <w:t xml:space="preserve"> the entitlement came into effect in 3 stages</w:t>
      </w:r>
      <w:r w:rsidR="00CC53F8">
        <w:rPr>
          <w:rFonts w:asciiTheme="minorHAnsi" w:hAnsiTheme="minorHAnsi"/>
        </w:rPr>
        <w:t>,</w:t>
      </w:r>
      <w:r w:rsidRPr="004A132D">
        <w:rPr>
          <w:rFonts w:asciiTheme="minorHAnsi" w:hAnsiTheme="minorHAnsi"/>
        </w:rPr>
        <w:t xml:space="preserve"> depending on employer type</w:t>
      </w:r>
      <w:r w:rsidR="00CC53F8">
        <w:rPr>
          <w:rFonts w:asciiTheme="minorHAnsi" w:hAnsiTheme="minorHAnsi"/>
        </w:rPr>
        <w:t>,</w:t>
      </w:r>
      <w:r w:rsidRPr="004A132D">
        <w:rPr>
          <w:rFonts w:asciiTheme="minorHAnsi" w:hAnsiTheme="minorHAnsi"/>
        </w:rPr>
        <w:t xml:space="preserve"> to cover all Australian employees.  </w:t>
      </w:r>
    </w:p>
    <w:p w14:paraId="5BEB1042" w14:textId="1BFD33FD" w:rsidR="00B4527B" w:rsidRPr="004A132D" w:rsidRDefault="00B4527B" w:rsidP="0002378E">
      <w:pPr>
        <w:pStyle w:val="Numbers"/>
        <w:ind w:left="1418"/>
        <w:rPr>
          <w:rFonts w:asciiTheme="minorHAnsi" w:hAnsiTheme="minorHAnsi"/>
        </w:rPr>
      </w:pPr>
      <w:r w:rsidRPr="004A132D">
        <w:rPr>
          <w:rFonts w:asciiTheme="minorHAnsi" w:hAnsiTheme="minorHAnsi"/>
        </w:rPr>
        <w:t xml:space="preserve">The </w:t>
      </w:r>
      <w:r w:rsidRPr="004A132D">
        <w:rPr>
          <w:rFonts w:asciiTheme="minorHAnsi" w:hAnsiTheme="minorHAnsi"/>
          <w:i/>
        </w:rPr>
        <w:t xml:space="preserve">Fair Work Legislation Amendment (Closing Loopholes) Act 2023 </w:t>
      </w:r>
      <w:r w:rsidRPr="004A132D">
        <w:rPr>
          <w:rFonts w:asciiTheme="minorHAnsi" w:hAnsiTheme="minorHAnsi"/>
        </w:rPr>
        <w:t>amended the Fair Work Act</w:t>
      </w:r>
      <w:r w:rsidRPr="004A132D">
        <w:rPr>
          <w:rFonts w:asciiTheme="minorHAnsi" w:hAnsiTheme="minorHAnsi"/>
          <w:i/>
        </w:rPr>
        <w:t xml:space="preserve"> </w:t>
      </w:r>
      <w:r w:rsidRPr="004A132D">
        <w:rPr>
          <w:rFonts w:asciiTheme="minorHAnsi" w:hAnsiTheme="minorHAnsi"/>
        </w:rPr>
        <w:t xml:space="preserve">to make it unlawful for an employer to take adverse action against an employee or potential employee because they have been, or are being, subjected to family or domestic violence. The amendment also requires the Fair Work Commission to consider the need to prevent and eliminate discrimination on the basis of subjection to family and domestic violence when performing functions or exercising its powers under the Fair Work Act. </w:t>
      </w:r>
    </w:p>
    <w:p w14:paraId="2AA420F8" w14:textId="51097333" w:rsidR="007E57AE" w:rsidRPr="004A132D" w:rsidRDefault="00FE60FD" w:rsidP="00106262">
      <w:pPr>
        <w:pStyle w:val="Heading2"/>
        <w:pageBreakBefore/>
      </w:pPr>
      <w:bookmarkStart w:id="60" w:name="_Toc174011684"/>
      <w:bookmarkStart w:id="61" w:name="_Toc175556779"/>
      <w:r w:rsidRPr="004A132D">
        <w:lastRenderedPageBreak/>
        <w:t>Question 9b</w:t>
      </w:r>
      <w:r w:rsidR="000F7E8F" w:rsidRPr="004A132D">
        <w:t xml:space="preserve"> and 9c</w:t>
      </w:r>
      <w:r w:rsidR="009817A6" w:rsidRPr="004A132D">
        <w:t xml:space="preserve">: </w:t>
      </w:r>
      <w:r w:rsidRPr="004A132D">
        <w:t xml:space="preserve">Implementation status of the </w:t>
      </w:r>
      <w:r w:rsidR="00B87A35" w:rsidRPr="004A132D">
        <w:t xml:space="preserve">National Plan to </w:t>
      </w:r>
      <w:r w:rsidR="00F73767" w:rsidRPr="004A132D">
        <w:t>E</w:t>
      </w:r>
      <w:r w:rsidR="00B87A35" w:rsidRPr="004A132D">
        <w:t xml:space="preserve">nd </w:t>
      </w:r>
      <w:r w:rsidR="00F73767" w:rsidRPr="004A132D">
        <w:t>V</w:t>
      </w:r>
      <w:r w:rsidR="00B87A35" w:rsidRPr="004A132D">
        <w:t>iolence against Women</w:t>
      </w:r>
      <w:bookmarkEnd w:id="60"/>
      <w:bookmarkEnd w:id="61"/>
    </w:p>
    <w:p w14:paraId="75918270" w14:textId="51D69F34" w:rsidR="00095146" w:rsidRPr="004A132D" w:rsidRDefault="00095146" w:rsidP="0002378E">
      <w:pPr>
        <w:pStyle w:val="Numbers"/>
        <w:ind w:left="1418"/>
        <w:rPr>
          <w:rFonts w:asciiTheme="minorHAnsi" w:hAnsiTheme="minorHAnsi"/>
        </w:rPr>
      </w:pPr>
      <w:r w:rsidRPr="004A132D">
        <w:rPr>
          <w:rFonts w:asciiTheme="minorHAnsi" w:hAnsiTheme="minorHAnsi"/>
        </w:rPr>
        <w:t xml:space="preserve">The </w:t>
      </w:r>
      <w:r w:rsidR="00B87A35" w:rsidRPr="004A132D">
        <w:rPr>
          <w:rFonts w:asciiTheme="minorHAnsi" w:hAnsiTheme="minorHAnsi"/>
        </w:rPr>
        <w:t xml:space="preserve">National Plan to </w:t>
      </w:r>
      <w:r w:rsidR="00F73767" w:rsidRPr="004A132D">
        <w:rPr>
          <w:rFonts w:asciiTheme="minorHAnsi" w:hAnsiTheme="minorHAnsi"/>
        </w:rPr>
        <w:t>E</w:t>
      </w:r>
      <w:r w:rsidR="00B87A35" w:rsidRPr="004A132D">
        <w:rPr>
          <w:rFonts w:asciiTheme="minorHAnsi" w:hAnsiTheme="minorHAnsi"/>
        </w:rPr>
        <w:t xml:space="preserve">nd </w:t>
      </w:r>
      <w:r w:rsidR="00F73767" w:rsidRPr="004A132D">
        <w:rPr>
          <w:rFonts w:asciiTheme="minorHAnsi" w:hAnsiTheme="minorHAnsi"/>
        </w:rPr>
        <w:t>V</w:t>
      </w:r>
      <w:r w:rsidR="00B87A35" w:rsidRPr="004A132D">
        <w:rPr>
          <w:rFonts w:asciiTheme="minorHAnsi" w:hAnsiTheme="minorHAnsi"/>
        </w:rPr>
        <w:t xml:space="preserve">iolence against Women </w:t>
      </w:r>
      <w:r w:rsidRPr="004A132D">
        <w:rPr>
          <w:rFonts w:asciiTheme="minorHAnsi" w:hAnsiTheme="minorHAnsi"/>
        </w:rPr>
        <w:t xml:space="preserve">addresses the issue of gender-based violence in Australia and outlines the pathway </w:t>
      </w:r>
      <w:r w:rsidR="00EB683E" w:rsidRPr="004A132D">
        <w:rPr>
          <w:rFonts w:asciiTheme="minorHAnsi" w:hAnsiTheme="minorHAnsi"/>
        </w:rPr>
        <w:t>for an improvement in</w:t>
      </w:r>
      <w:r w:rsidRPr="004A132D">
        <w:rPr>
          <w:rFonts w:asciiTheme="minorHAnsi" w:hAnsiTheme="minorHAnsi"/>
        </w:rPr>
        <w:t xml:space="preserve"> prevention, early intervention, response and recovery</w:t>
      </w:r>
      <w:r w:rsidR="00EB683E" w:rsidRPr="004A132D">
        <w:rPr>
          <w:rFonts w:asciiTheme="minorHAnsi" w:hAnsiTheme="minorHAnsi"/>
        </w:rPr>
        <w:t>,</w:t>
      </w:r>
      <w:r w:rsidRPr="004A132D">
        <w:rPr>
          <w:rFonts w:asciiTheme="minorHAnsi" w:hAnsiTheme="minorHAnsi"/>
        </w:rPr>
        <w:t xml:space="preserve"> and healing.</w:t>
      </w:r>
    </w:p>
    <w:p w14:paraId="6A45F34D" w14:textId="6937A869" w:rsidR="000F7E8F" w:rsidRPr="004A132D" w:rsidRDefault="00095146" w:rsidP="00865C05">
      <w:pPr>
        <w:pStyle w:val="Numbers"/>
        <w:ind w:left="1418"/>
        <w:rPr>
          <w:rFonts w:asciiTheme="minorHAnsi" w:hAnsiTheme="minorHAnsi"/>
        </w:rPr>
      </w:pPr>
      <w:r w:rsidRPr="004A132D">
        <w:rPr>
          <w:rFonts w:asciiTheme="minorHAnsi" w:hAnsiTheme="minorHAnsi"/>
        </w:rPr>
        <w:t xml:space="preserve">The </w:t>
      </w:r>
      <w:r w:rsidRPr="004A132D">
        <w:rPr>
          <w:rFonts w:asciiTheme="minorHAnsi" w:hAnsiTheme="minorHAnsi"/>
          <w:i/>
        </w:rPr>
        <w:t>First Action Plan</w:t>
      </w:r>
      <w:r w:rsidR="0022085B" w:rsidRPr="004A132D">
        <w:rPr>
          <w:rFonts w:asciiTheme="minorHAnsi" w:hAnsiTheme="minorHAnsi"/>
          <w:i/>
        </w:rPr>
        <w:t xml:space="preserve"> </w:t>
      </w:r>
      <w:r w:rsidR="00FF5A17" w:rsidRPr="004A132D">
        <w:rPr>
          <w:rFonts w:asciiTheme="minorHAnsi" w:hAnsiTheme="minorHAnsi"/>
          <w:i/>
        </w:rPr>
        <w:t>2023-2027</w:t>
      </w:r>
      <w:r w:rsidR="00FF5A17" w:rsidRPr="004A132D">
        <w:rPr>
          <w:rFonts w:asciiTheme="minorHAnsi" w:hAnsiTheme="minorHAnsi"/>
        </w:rPr>
        <w:t xml:space="preserve"> </w:t>
      </w:r>
      <w:r w:rsidR="0022085B" w:rsidRPr="004A132D">
        <w:rPr>
          <w:rFonts w:asciiTheme="minorHAnsi" w:hAnsiTheme="minorHAnsi"/>
        </w:rPr>
        <w:t>and the</w:t>
      </w:r>
      <w:r w:rsidRPr="004A132D">
        <w:rPr>
          <w:rFonts w:asciiTheme="minorHAnsi" w:hAnsiTheme="minorHAnsi"/>
        </w:rPr>
        <w:t xml:space="preserve"> </w:t>
      </w:r>
      <w:r w:rsidRPr="004A132D">
        <w:rPr>
          <w:rFonts w:asciiTheme="minorHAnsi" w:hAnsiTheme="minorHAnsi"/>
          <w:i/>
        </w:rPr>
        <w:t>Aboriginal and Torr</w:t>
      </w:r>
      <w:r w:rsidR="0022085B" w:rsidRPr="004A132D">
        <w:rPr>
          <w:rFonts w:asciiTheme="minorHAnsi" w:hAnsiTheme="minorHAnsi"/>
          <w:i/>
        </w:rPr>
        <w:t xml:space="preserve">es Strait Islander Action Plan </w:t>
      </w:r>
      <w:r w:rsidR="00FF5A17" w:rsidRPr="004A132D">
        <w:rPr>
          <w:rFonts w:asciiTheme="minorHAnsi" w:hAnsiTheme="minorHAnsi"/>
          <w:i/>
        </w:rPr>
        <w:t>2023-2025</w:t>
      </w:r>
      <w:r w:rsidR="00FF5A17" w:rsidRPr="004A132D">
        <w:rPr>
          <w:rFonts w:asciiTheme="minorHAnsi" w:hAnsiTheme="minorHAnsi"/>
        </w:rPr>
        <w:t xml:space="preserve"> </w:t>
      </w:r>
      <w:r w:rsidR="0022085B" w:rsidRPr="004A132D">
        <w:rPr>
          <w:rFonts w:asciiTheme="minorHAnsi" w:hAnsiTheme="minorHAnsi"/>
        </w:rPr>
        <w:t>form</w:t>
      </w:r>
      <w:r w:rsidRPr="004A132D">
        <w:rPr>
          <w:rFonts w:asciiTheme="minorHAnsi" w:hAnsiTheme="minorHAnsi"/>
        </w:rPr>
        <w:t xml:space="preserve"> an integral part of commitments made in the </w:t>
      </w:r>
      <w:r w:rsidR="00B87A35" w:rsidRPr="004A132D">
        <w:rPr>
          <w:rFonts w:asciiTheme="minorHAnsi" w:hAnsiTheme="minorHAnsi"/>
        </w:rPr>
        <w:t xml:space="preserve">National Plan to </w:t>
      </w:r>
      <w:r w:rsidR="00F73767" w:rsidRPr="004A132D">
        <w:rPr>
          <w:rFonts w:asciiTheme="minorHAnsi" w:hAnsiTheme="minorHAnsi"/>
        </w:rPr>
        <w:t>E</w:t>
      </w:r>
      <w:r w:rsidR="00B87A35" w:rsidRPr="004A132D">
        <w:rPr>
          <w:rFonts w:asciiTheme="minorHAnsi" w:hAnsiTheme="minorHAnsi"/>
        </w:rPr>
        <w:t xml:space="preserve">nd </w:t>
      </w:r>
      <w:r w:rsidR="00F73767" w:rsidRPr="004A132D">
        <w:rPr>
          <w:rFonts w:asciiTheme="minorHAnsi" w:hAnsiTheme="minorHAnsi"/>
        </w:rPr>
        <w:t>V</w:t>
      </w:r>
      <w:r w:rsidR="00B87A35" w:rsidRPr="004A132D">
        <w:rPr>
          <w:rFonts w:asciiTheme="minorHAnsi" w:hAnsiTheme="minorHAnsi"/>
        </w:rPr>
        <w:t>iolence against Women</w:t>
      </w:r>
      <w:r w:rsidR="00791FBF" w:rsidRPr="004A132D">
        <w:rPr>
          <w:rFonts w:asciiTheme="minorHAnsi" w:hAnsiTheme="minorHAnsi"/>
        </w:rPr>
        <w:t xml:space="preserve">. </w:t>
      </w:r>
      <w:r w:rsidR="00C43435" w:rsidRPr="004A132D">
        <w:rPr>
          <w:rFonts w:asciiTheme="minorHAnsi" w:hAnsiTheme="minorHAnsi"/>
        </w:rPr>
        <w:t>The Australian, state and territory governments in August 2023 launched both Actions Plans, as well as the Outcomes</w:t>
      </w:r>
      <w:r w:rsidR="00865C05" w:rsidRPr="004A132D">
        <w:rPr>
          <w:rFonts w:asciiTheme="minorHAnsi" w:hAnsiTheme="minorHAnsi"/>
        </w:rPr>
        <w:t> </w:t>
      </w:r>
      <w:r w:rsidR="00C43435" w:rsidRPr="004A132D">
        <w:rPr>
          <w:rFonts w:asciiTheme="minorHAnsi" w:hAnsiTheme="minorHAnsi"/>
        </w:rPr>
        <w:t>Framework</w:t>
      </w:r>
      <w:r w:rsidR="007830FB" w:rsidRPr="004A132D">
        <w:rPr>
          <w:rFonts w:asciiTheme="minorHAnsi" w:hAnsiTheme="minorHAnsi"/>
        </w:rPr>
        <w:t>.</w:t>
      </w:r>
      <w:r w:rsidR="000F7E8F" w:rsidRPr="004A132D">
        <w:rPr>
          <w:rFonts w:asciiTheme="minorHAnsi" w:hAnsiTheme="minorHAnsi"/>
        </w:rPr>
        <w:t xml:space="preserve"> The Outcomes Framework details</w:t>
      </w:r>
      <w:r w:rsidR="00574E73" w:rsidRPr="004A132D">
        <w:rPr>
          <w:rFonts w:asciiTheme="minorHAnsi" w:hAnsiTheme="minorHAnsi"/>
        </w:rPr>
        <w:t xml:space="preserve"> </w:t>
      </w:r>
      <w:r w:rsidR="00865C05" w:rsidRPr="004A132D">
        <w:rPr>
          <w:rFonts w:asciiTheme="minorHAnsi" w:hAnsiTheme="minorHAnsi"/>
        </w:rPr>
        <w:t>6</w:t>
      </w:r>
      <w:r w:rsidR="000F7E8F" w:rsidRPr="004A132D">
        <w:rPr>
          <w:rFonts w:asciiTheme="minorHAnsi" w:hAnsiTheme="minorHAnsi"/>
        </w:rPr>
        <w:t xml:space="preserve"> </w:t>
      </w:r>
      <w:r w:rsidR="00C820C7" w:rsidRPr="004A132D">
        <w:rPr>
          <w:rFonts w:asciiTheme="minorHAnsi" w:hAnsiTheme="minorHAnsi"/>
        </w:rPr>
        <w:t>10</w:t>
      </w:r>
      <w:r w:rsidR="00A77ED3" w:rsidRPr="004A132D">
        <w:rPr>
          <w:rFonts w:asciiTheme="minorHAnsi" w:hAnsiTheme="minorHAnsi"/>
        </w:rPr>
        <w:t xml:space="preserve"> </w:t>
      </w:r>
      <w:r w:rsidR="00C820C7" w:rsidRPr="004A132D">
        <w:rPr>
          <w:rFonts w:asciiTheme="minorHAnsi" w:hAnsiTheme="minorHAnsi"/>
        </w:rPr>
        <w:t>year</w:t>
      </w:r>
      <w:r w:rsidR="000F7E8F" w:rsidRPr="004A132D">
        <w:rPr>
          <w:rFonts w:asciiTheme="minorHAnsi" w:hAnsiTheme="minorHAnsi"/>
        </w:rPr>
        <w:t xml:space="preserve"> outcomes and 34 supporting sub-outcomes that will be used to track and monitor progress over the life of the </w:t>
      </w:r>
      <w:r w:rsidR="00B87A35" w:rsidRPr="004A132D">
        <w:rPr>
          <w:rFonts w:asciiTheme="minorHAnsi" w:hAnsiTheme="minorHAnsi"/>
        </w:rPr>
        <w:t xml:space="preserve">National Plan to </w:t>
      </w:r>
      <w:r w:rsidR="00F73767" w:rsidRPr="004A132D">
        <w:rPr>
          <w:rFonts w:asciiTheme="minorHAnsi" w:hAnsiTheme="minorHAnsi"/>
        </w:rPr>
        <w:t>E</w:t>
      </w:r>
      <w:r w:rsidR="00B87A35" w:rsidRPr="004A132D">
        <w:rPr>
          <w:rFonts w:asciiTheme="minorHAnsi" w:hAnsiTheme="minorHAnsi"/>
        </w:rPr>
        <w:t xml:space="preserve">nd </w:t>
      </w:r>
      <w:r w:rsidR="00F73767" w:rsidRPr="004A132D">
        <w:rPr>
          <w:rFonts w:asciiTheme="minorHAnsi" w:hAnsiTheme="minorHAnsi"/>
        </w:rPr>
        <w:t>V</w:t>
      </w:r>
      <w:r w:rsidR="00B87A35" w:rsidRPr="004A132D">
        <w:rPr>
          <w:rFonts w:asciiTheme="minorHAnsi" w:hAnsiTheme="minorHAnsi"/>
        </w:rPr>
        <w:t>iolence against Women</w:t>
      </w:r>
      <w:r w:rsidR="00791FBF" w:rsidRPr="004A132D">
        <w:rPr>
          <w:rFonts w:asciiTheme="minorHAnsi" w:hAnsiTheme="minorHAnsi"/>
        </w:rPr>
        <w:t>.</w:t>
      </w:r>
    </w:p>
    <w:p w14:paraId="1893D17A" w14:textId="1536B702" w:rsidR="00C12EB6" w:rsidRPr="004A132D" w:rsidRDefault="00C12EB6" w:rsidP="0002378E">
      <w:pPr>
        <w:pStyle w:val="Numbers"/>
        <w:ind w:left="1418"/>
        <w:rPr>
          <w:rFonts w:asciiTheme="minorHAnsi" w:hAnsiTheme="minorHAnsi"/>
        </w:rPr>
      </w:pPr>
      <w:r w:rsidRPr="004A132D">
        <w:rPr>
          <w:rFonts w:asciiTheme="minorHAnsi" w:hAnsiTheme="minorHAnsi"/>
        </w:rPr>
        <w:t xml:space="preserve">Australia is one of </w:t>
      </w:r>
      <w:r w:rsidR="00232E8B" w:rsidRPr="004A132D">
        <w:rPr>
          <w:rFonts w:asciiTheme="minorHAnsi" w:hAnsiTheme="minorHAnsi"/>
        </w:rPr>
        <w:t>3</w:t>
      </w:r>
      <w:r w:rsidRPr="004A132D">
        <w:rPr>
          <w:rFonts w:asciiTheme="minorHAnsi" w:hAnsiTheme="minorHAnsi"/>
        </w:rPr>
        <w:t xml:space="preserve"> countries to have appointed a Domestic, Family and Sexual Violence Commissioner in October 2022, to provide evidence-based policy advice to the Australian Government, promote coordination across jurisdictions and amplify the voices of people with lived experience.</w:t>
      </w:r>
    </w:p>
    <w:p w14:paraId="79D7FC80" w14:textId="2AF679D8" w:rsidR="00831282" w:rsidRPr="004A132D" w:rsidRDefault="00FA79CF" w:rsidP="0002378E">
      <w:pPr>
        <w:pStyle w:val="Numbers"/>
        <w:ind w:left="1418"/>
        <w:rPr>
          <w:rFonts w:asciiTheme="minorHAnsi" w:hAnsiTheme="minorHAnsi"/>
        </w:rPr>
      </w:pPr>
      <w:r w:rsidRPr="004A132D">
        <w:rPr>
          <w:rFonts w:asciiTheme="minorHAnsi" w:hAnsiTheme="minorHAnsi"/>
        </w:rPr>
        <w:t>The Australian Government has committe</w:t>
      </w:r>
      <w:r w:rsidR="00215775" w:rsidRPr="004A132D">
        <w:rPr>
          <w:rFonts w:asciiTheme="minorHAnsi" w:hAnsiTheme="minorHAnsi"/>
        </w:rPr>
        <w:t>d to a record investment of $3.4</w:t>
      </w:r>
      <w:r w:rsidRPr="004A132D">
        <w:rPr>
          <w:rFonts w:asciiTheme="minorHAnsi" w:hAnsiTheme="minorHAnsi"/>
        </w:rPr>
        <w:t xml:space="preserve"> billion in </w:t>
      </w:r>
      <w:r w:rsidR="00A66817" w:rsidRPr="004A132D">
        <w:rPr>
          <w:rFonts w:asciiTheme="minorHAnsi" w:hAnsiTheme="minorHAnsi"/>
        </w:rPr>
        <w:t xml:space="preserve">funding commitments </w:t>
      </w:r>
      <w:r w:rsidRPr="004A132D">
        <w:rPr>
          <w:rFonts w:asciiTheme="minorHAnsi" w:hAnsiTheme="minorHAnsi"/>
        </w:rPr>
        <w:t xml:space="preserve">to implement the </w:t>
      </w:r>
      <w:r w:rsidR="00B87A35" w:rsidRPr="004A132D">
        <w:rPr>
          <w:rFonts w:asciiTheme="minorHAnsi" w:hAnsiTheme="minorHAnsi"/>
        </w:rPr>
        <w:t xml:space="preserve">National Plan to </w:t>
      </w:r>
      <w:r w:rsidR="00F73767" w:rsidRPr="004A132D">
        <w:rPr>
          <w:rFonts w:asciiTheme="minorHAnsi" w:hAnsiTheme="minorHAnsi"/>
        </w:rPr>
        <w:t>E</w:t>
      </w:r>
      <w:r w:rsidR="00B87A35" w:rsidRPr="004A132D">
        <w:rPr>
          <w:rFonts w:asciiTheme="minorHAnsi" w:hAnsiTheme="minorHAnsi"/>
        </w:rPr>
        <w:t xml:space="preserve">nd </w:t>
      </w:r>
      <w:r w:rsidR="00F73767" w:rsidRPr="004A132D">
        <w:rPr>
          <w:rFonts w:asciiTheme="minorHAnsi" w:hAnsiTheme="minorHAnsi"/>
        </w:rPr>
        <w:t>V</w:t>
      </w:r>
      <w:r w:rsidR="00B87A35" w:rsidRPr="004A132D">
        <w:rPr>
          <w:rFonts w:asciiTheme="minorHAnsi" w:hAnsiTheme="minorHAnsi"/>
        </w:rPr>
        <w:t xml:space="preserve">iolence against Women </w:t>
      </w:r>
      <w:r w:rsidR="00215775" w:rsidRPr="004A132D">
        <w:rPr>
          <w:rFonts w:asciiTheme="minorHAnsi" w:hAnsiTheme="minorHAnsi"/>
        </w:rPr>
        <w:t>since 2022</w:t>
      </w:r>
      <w:r w:rsidRPr="004A132D">
        <w:rPr>
          <w:rFonts w:asciiTheme="minorHAnsi" w:hAnsiTheme="minorHAnsi"/>
        </w:rPr>
        <w:t>.</w:t>
      </w:r>
      <w:r w:rsidR="00A66817" w:rsidRPr="004A132D">
        <w:rPr>
          <w:rStyle w:val="FootnoteReference"/>
          <w:rFonts w:asciiTheme="minorHAnsi" w:hAnsiTheme="minorHAnsi"/>
        </w:rPr>
        <w:footnoteReference w:id="20"/>
      </w:r>
      <w:r w:rsidRPr="004A132D">
        <w:rPr>
          <w:rFonts w:asciiTheme="minorHAnsi" w:hAnsiTheme="minorHAnsi"/>
        </w:rPr>
        <w:t xml:space="preserve"> </w:t>
      </w:r>
      <w:r w:rsidR="00E1217C" w:rsidRPr="004A132D">
        <w:rPr>
          <w:rFonts w:asciiTheme="minorHAnsi" w:hAnsiTheme="minorHAnsi"/>
        </w:rPr>
        <w:t xml:space="preserve">This includes </w:t>
      </w:r>
      <w:r w:rsidR="00831282" w:rsidRPr="004A132D">
        <w:rPr>
          <w:rFonts w:asciiTheme="minorHAnsi" w:hAnsiTheme="minorHAnsi"/>
        </w:rPr>
        <w:t xml:space="preserve">$925.2 million over </w:t>
      </w:r>
      <w:r w:rsidR="00520DF4" w:rsidRPr="004A132D">
        <w:rPr>
          <w:rFonts w:asciiTheme="minorHAnsi" w:hAnsiTheme="minorHAnsi"/>
        </w:rPr>
        <w:t>5</w:t>
      </w:r>
      <w:r w:rsidR="00831282" w:rsidRPr="004A132D">
        <w:rPr>
          <w:rFonts w:asciiTheme="minorHAnsi" w:hAnsiTheme="minorHAnsi"/>
        </w:rPr>
        <w:t xml:space="preserve"> years from </w:t>
      </w:r>
      <w:r w:rsidR="00EB683E" w:rsidRPr="004A132D">
        <w:rPr>
          <w:rFonts w:asciiTheme="minorHAnsi" w:hAnsiTheme="minorHAnsi"/>
        </w:rPr>
        <w:br/>
      </w:r>
      <w:r w:rsidR="00831282" w:rsidRPr="004A132D">
        <w:rPr>
          <w:rFonts w:asciiTheme="minorHAnsi" w:hAnsiTheme="minorHAnsi"/>
        </w:rPr>
        <w:t>2023–24 to permanently establish th</w:t>
      </w:r>
      <w:r w:rsidR="001E55D1" w:rsidRPr="004A132D">
        <w:rPr>
          <w:rFonts w:asciiTheme="minorHAnsi" w:hAnsiTheme="minorHAnsi"/>
        </w:rPr>
        <w:t>e Leaving Violence Program</w:t>
      </w:r>
      <w:r w:rsidR="00831282" w:rsidRPr="004A132D">
        <w:rPr>
          <w:rFonts w:asciiTheme="minorHAnsi" w:hAnsiTheme="minorHAnsi"/>
        </w:rPr>
        <w:t>. This investment will help people experiencing intimate partner violence to leave those relationships, providing those eligible with access to up to $5,000 in financial support along with referral services, risk assessmen</w:t>
      </w:r>
      <w:r w:rsidR="001E55D1" w:rsidRPr="004A132D">
        <w:rPr>
          <w:rFonts w:asciiTheme="minorHAnsi" w:hAnsiTheme="minorHAnsi"/>
        </w:rPr>
        <w:t xml:space="preserve">ts and safety planning. </w:t>
      </w:r>
    </w:p>
    <w:p w14:paraId="6DFEA9C4" w14:textId="05A2A8D1" w:rsidR="00105E99" w:rsidRPr="004A132D" w:rsidRDefault="00736C4A" w:rsidP="0002378E">
      <w:pPr>
        <w:pStyle w:val="Numbers"/>
        <w:ind w:left="1418"/>
        <w:rPr>
          <w:rFonts w:asciiTheme="minorHAnsi" w:hAnsiTheme="minorHAnsi"/>
        </w:rPr>
      </w:pPr>
      <w:r w:rsidRPr="004A132D">
        <w:rPr>
          <w:rFonts w:asciiTheme="minorHAnsi" w:hAnsiTheme="minorHAnsi"/>
        </w:rPr>
        <w:t>The Australian Government recognises the availability of women-only and women</w:t>
      </w:r>
      <w:r w:rsidR="00C04D35" w:rsidRPr="004A132D">
        <w:rPr>
          <w:rFonts w:asciiTheme="minorHAnsi" w:hAnsiTheme="minorHAnsi"/>
        </w:rPr>
        <w:noBreakHyphen/>
      </w:r>
      <w:r w:rsidRPr="004A132D">
        <w:rPr>
          <w:rFonts w:asciiTheme="minorHAnsi" w:hAnsiTheme="minorHAnsi"/>
        </w:rPr>
        <w:t>led support services can be important for some victim-survivors of gender</w:t>
      </w:r>
      <w:r w:rsidR="00C04D35" w:rsidRPr="004A132D">
        <w:rPr>
          <w:rFonts w:asciiTheme="minorHAnsi" w:hAnsiTheme="minorHAnsi"/>
        </w:rPr>
        <w:noBreakHyphen/>
      </w:r>
      <w:r w:rsidRPr="004A132D">
        <w:rPr>
          <w:rFonts w:asciiTheme="minorHAnsi" w:hAnsiTheme="minorHAnsi"/>
        </w:rPr>
        <w:t xml:space="preserve">based violence, as well as </w:t>
      </w:r>
      <w:r w:rsidR="009E2098" w:rsidRPr="004A132D">
        <w:rPr>
          <w:rFonts w:asciiTheme="minorHAnsi" w:hAnsiTheme="minorHAnsi"/>
        </w:rPr>
        <w:t xml:space="preserve">always ensuring that support is trauma-informed, </w:t>
      </w:r>
      <w:r w:rsidRPr="004A132D">
        <w:rPr>
          <w:rFonts w:asciiTheme="minorHAnsi" w:hAnsiTheme="minorHAnsi"/>
        </w:rPr>
        <w:t>victim-survivor centric</w:t>
      </w:r>
      <w:r w:rsidR="009E2098" w:rsidRPr="004A132D">
        <w:rPr>
          <w:rFonts w:asciiTheme="minorHAnsi" w:hAnsiTheme="minorHAnsi"/>
        </w:rPr>
        <w:t xml:space="preserve"> and inclusive</w:t>
      </w:r>
      <w:r w:rsidRPr="004A132D">
        <w:rPr>
          <w:rFonts w:asciiTheme="minorHAnsi" w:hAnsiTheme="minorHAnsi"/>
        </w:rPr>
        <w:t xml:space="preserve">. </w:t>
      </w:r>
      <w:r w:rsidR="00105E99" w:rsidRPr="004A132D">
        <w:rPr>
          <w:rFonts w:asciiTheme="minorHAnsi" w:hAnsiTheme="minorHAnsi"/>
        </w:rPr>
        <w:t xml:space="preserve">The Australian Government has invested in frontline services for women experiencing domestic and family violence, extending the National Partnership on Family, Domestic and Sexual Violence Responses and </w:t>
      </w:r>
      <w:r w:rsidR="00105E99" w:rsidRPr="004A132D">
        <w:rPr>
          <w:rFonts w:asciiTheme="minorHAnsi" w:hAnsiTheme="minorHAnsi"/>
        </w:rPr>
        <w:lastRenderedPageBreak/>
        <w:t>funding 500 frontline service and community workers, with support targeted to women and children in r</w:t>
      </w:r>
      <w:r w:rsidRPr="004A132D">
        <w:rPr>
          <w:rFonts w:asciiTheme="minorHAnsi" w:hAnsiTheme="minorHAnsi"/>
        </w:rPr>
        <w:t>ural, regional and remote areas, First Nations people,</w:t>
      </w:r>
      <w:r w:rsidR="00105E99" w:rsidRPr="004A132D">
        <w:rPr>
          <w:rFonts w:asciiTheme="minorHAnsi" w:hAnsiTheme="minorHAnsi"/>
        </w:rPr>
        <w:t xml:space="preserve"> the culturally and linguistically diverse com</w:t>
      </w:r>
      <w:r w:rsidRPr="004A132D">
        <w:rPr>
          <w:rFonts w:asciiTheme="minorHAnsi" w:hAnsiTheme="minorHAnsi"/>
        </w:rPr>
        <w:t>munity, women with disability,</w:t>
      </w:r>
      <w:r w:rsidR="00105E99" w:rsidRPr="004A132D">
        <w:rPr>
          <w:rFonts w:asciiTheme="minorHAnsi" w:hAnsiTheme="minorHAnsi"/>
        </w:rPr>
        <w:t xml:space="preserve"> and the LGBTIQA+</w:t>
      </w:r>
      <w:r w:rsidRPr="004A132D">
        <w:rPr>
          <w:rStyle w:val="FootnoteReference"/>
          <w:rFonts w:asciiTheme="minorHAnsi" w:hAnsiTheme="minorHAnsi"/>
        </w:rPr>
        <w:footnoteReference w:id="21"/>
      </w:r>
      <w:r w:rsidR="00105E99" w:rsidRPr="004A132D">
        <w:rPr>
          <w:rFonts w:asciiTheme="minorHAnsi" w:hAnsiTheme="minorHAnsi"/>
        </w:rPr>
        <w:t xml:space="preserve"> community. </w:t>
      </w:r>
    </w:p>
    <w:p w14:paraId="5DC3BA5D" w14:textId="0CF4F295" w:rsidR="005B3DB6" w:rsidRPr="004A132D" w:rsidRDefault="005B3DB6" w:rsidP="0002378E">
      <w:pPr>
        <w:pStyle w:val="Numbers"/>
        <w:ind w:left="1418"/>
        <w:rPr>
          <w:rFonts w:asciiTheme="minorHAnsi" w:hAnsiTheme="minorHAnsi"/>
        </w:rPr>
      </w:pPr>
      <w:r w:rsidRPr="004A132D">
        <w:rPr>
          <w:rFonts w:asciiTheme="minorHAnsi" w:hAnsiTheme="minorHAnsi"/>
        </w:rPr>
        <w:t xml:space="preserve">Despite </w:t>
      </w:r>
      <w:r w:rsidR="00CC53F8">
        <w:rPr>
          <w:rFonts w:asciiTheme="minorHAnsi" w:hAnsiTheme="minorHAnsi"/>
        </w:rPr>
        <w:t xml:space="preserve">this </w:t>
      </w:r>
      <w:r w:rsidRPr="004A132D">
        <w:rPr>
          <w:rFonts w:asciiTheme="minorHAnsi" w:hAnsiTheme="minorHAnsi"/>
        </w:rPr>
        <w:t xml:space="preserve">significant investment in human, technical and financial resources, the </w:t>
      </w:r>
      <w:r w:rsidR="00CC53F8">
        <w:rPr>
          <w:rFonts w:asciiTheme="minorHAnsi" w:hAnsiTheme="minorHAnsi"/>
        </w:rPr>
        <w:t>Australian G</w:t>
      </w:r>
      <w:r w:rsidRPr="004A132D">
        <w:rPr>
          <w:rFonts w:asciiTheme="minorHAnsi" w:hAnsiTheme="minorHAnsi"/>
        </w:rPr>
        <w:t>overnment recognises that more must be done to eliminate gender-based violence.</w:t>
      </w:r>
    </w:p>
    <w:p w14:paraId="38D16CDC" w14:textId="77777777" w:rsidR="00D92DF2" w:rsidRPr="004A132D" w:rsidRDefault="00105E99" w:rsidP="00105E99">
      <w:pPr>
        <w:pStyle w:val="Heading2"/>
      </w:pPr>
      <w:bookmarkStart w:id="62" w:name="_Toc174011685"/>
      <w:bookmarkStart w:id="63" w:name="_Toc175556780"/>
      <w:r w:rsidRPr="004A132D">
        <w:t xml:space="preserve">Question 9d: </w:t>
      </w:r>
      <w:r w:rsidR="005C51A3" w:rsidRPr="004A132D">
        <w:t>Prevention and early intervention</w:t>
      </w:r>
      <w:bookmarkEnd w:id="62"/>
      <w:bookmarkEnd w:id="63"/>
    </w:p>
    <w:p w14:paraId="5549FD0D" w14:textId="6CA21BFA" w:rsidR="00BF42A0" w:rsidRPr="004A132D" w:rsidRDefault="00BF42A0" w:rsidP="0002378E">
      <w:pPr>
        <w:pStyle w:val="Numbers"/>
        <w:ind w:left="1418"/>
        <w:rPr>
          <w:rFonts w:asciiTheme="minorHAnsi" w:hAnsiTheme="minorHAnsi"/>
        </w:rPr>
      </w:pPr>
      <w:r w:rsidRPr="004A132D">
        <w:rPr>
          <w:rFonts w:asciiTheme="minorHAnsi" w:hAnsiTheme="minorHAnsi"/>
        </w:rPr>
        <w:t xml:space="preserve">See the response to question 8 and </w:t>
      </w:r>
      <w:r w:rsidR="00E23026" w:rsidRPr="004A132D">
        <w:rPr>
          <w:rFonts w:asciiTheme="minorHAnsi" w:hAnsiTheme="minorHAnsi"/>
        </w:rPr>
        <w:t xml:space="preserve">earlier sub-sections of </w:t>
      </w:r>
      <w:r w:rsidR="00EB683E" w:rsidRPr="004A132D">
        <w:rPr>
          <w:rFonts w:asciiTheme="minorHAnsi" w:hAnsiTheme="minorHAnsi"/>
        </w:rPr>
        <w:t xml:space="preserve">question </w:t>
      </w:r>
      <w:r w:rsidRPr="004A132D">
        <w:rPr>
          <w:rFonts w:asciiTheme="minorHAnsi" w:hAnsiTheme="minorHAnsi"/>
        </w:rPr>
        <w:t>9 for more details on prevention programs.</w:t>
      </w:r>
      <w:r w:rsidR="00322A5C" w:rsidRPr="004A132D">
        <w:rPr>
          <w:rFonts w:asciiTheme="minorHAnsi" w:hAnsiTheme="minorHAnsi"/>
        </w:rPr>
        <w:t xml:space="preserve"> Other programs include:</w:t>
      </w:r>
    </w:p>
    <w:p w14:paraId="127DC05B" w14:textId="26B406A1" w:rsidR="00BF42A0" w:rsidRPr="004A132D" w:rsidRDefault="00322A5C" w:rsidP="00561D0E">
      <w:pPr>
        <w:pStyle w:val="Numbers"/>
        <w:numPr>
          <w:ilvl w:val="1"/>
          <w:numId w:val="1"/>
        </w:numPr>
        <w:rPr>
          <w:rFonts w:asciiTheme="minorHAnsi" w:hAnsiTheme="minorHAnsi"/>
        </w:rPr>
      </w:pPr>
      <w:r w:rsidRPr="004A132D">
        <w:rPr>
          <w:rFonts w:asciiTheme="minorHAnsi" w:hAnsiTheme="minorHAnsi"/>
        </w:rPr>
        <w:t>In</w:t>
      </w:r>
      <w:r w:rsidR="00BF42A0" w:rsidRPr="004A132D">
        <w:rPr>
          <w:rFonts w:asciiTheme="minorHAnsi" w:hAnsiTheme="minorHAnsi"/>
        </w:rPr>
        <w:t xml:space="preserve"> 2022-23, the Australian Government invested </w:t>
      </w:r>
      <w:r w:rsidR="00EB683E" w:rsidRPr="004A132D">
        <w:rPr>
          <w:rFonts w:asciiTheme="minorHAnsi" w:hAnsiTheme="minorHAnsi"/>
        </w:rPr>
        <w:t>close</w:t>
      </w:r>
      <w:r w:rsidR="00BF42A0" w:rsidRPr="004A132D">
        <w:rPr>
          <w:rFonts w:asciiTheme="minorHAnsi" w:hAnsiTheme="minorHAnsi"/>
        </w:rPr>
        <w:t xml:space="preserve"> to $185.8 million for early intervention programs including specialised family violence services, nationally accredited training for frontline workers, counselling services for men who use violence, and programs to support children and adolescents who have experienced family and domestic violence.</w:t>
      </w:r>
    </w:p>
    <w:p w14:paraId="7D49145C" w14:textId="3C78FA4A" w:rsidR="00EC577D" w:rsidRPr="004A132D" w:rsidRDefault="005C51A3" w:rsidP="00561D0E">
      <w:pPr>
        <w:pStyle w:val="Numbers"/>
        <w:numPr>
          <w:ilvl w:val="1"/>
          <w:numId w:val="1"/>
        </w:numPr>
        <w:rPr>
          <w:rFonts w:asciiTheme="minorHAnsi" w:hAnsiTheme="minorHAnsi"/>
        </w:rPr>
      </w:pPr>
      <w:r w:rsidRPr="004A132D">
        <w:rPr>
          <w:rFonts w:asciiTheme="minorHAnsi" w:hAnsiTheme="minorHAnsi"/>
        </w:rPr>
        <w:t xml:space="preserve">The </w:t>
      </w:r>
      <w:r w:rsidR="00EC577D" w:rsidRPr="004A132D">
        <w:rPr>
          <w:rFonts w:asciiTheme="minorHAnsi" w:hAnsiTheme="minorHAnsi"/>
        </w:rPr>
        <w:t xml:space="preserve">Australian </w:t>
      </w:r>
      <w:r w:rsidRPr="004A132D">
        <w:rPr>
          <w:rFonts w:asciiTheme="minorHAnsi" w:hAnsiTheme="minorHAnsi"/>
        </w:rPr>
        <w:t xml:space="preserve">Government has </w:t>
      </w:r>
      <w:r w:rsidR="00BF42A0" w:rsidRPr="004A132D">
        <w:rPr>
          <w:rFonts w:asciiTheme="minorHAnsi" w:hAnsiTheme="minorHAnsi"/>
        </w:rPr>
        <w:t xml:space="preserve">also </w:t>
      </w:r>
      <w:r w:rsidRPr="004A132D">
        <w:rPr>
          <w:rFonts w:asciiTheme="minorHAnsi" w:hAnsiTheme="minorHAnsi"/>
        </w:rPr>
        <w:t xml:space="preserve">committed $8.5 million </w:t>
      </w:r>
      <w:r w:rsidR="00254ACB" w:rsidRPr="004A132D">
        <w:rPr>
          <w:rFonts w:asciiTheme="minorHAnsi" w:hAnsiTheme="minorHAnsi"/>
        </w:rPr>
        <w:t>from 2023</w:t>
      </w:r>
      <w:r w:rsidR="00C04D35" w:rsidRPr="004A132D">
        <w:rPr>
          <w:rFonts w:asciiTheme="minorHAnsi" w:hAnsiTheme="minorHAnsi"/>
        </w:rPr>
        <w:noBreakHyphen/>
      </w:r>
      <w:r w:rsidR="00254ACB" w:rsidRPr="004A132D">
        <w:rPr>
          <w:rFonts w:asciiTheme="minorHAnsi" w:hAnsiTheme="minorHAnsi"/>
        </w:rPr>
        <w:t>24 to 2026-27</w:t>
      </w:r>
      <w:r w:rsidR="00C04D35" w:rsidRPr="004A132D">
        <w:rPr>
          <w:rFonts w:asciiTheme="minorHAnsi" w:hAnsiTheme="minorHAnsi"/>
        </w:rPr>
        <w:t xml:space="preserve"> </w:t>
      </w:r>
      <w:r w:rsidRPr="004A132D">
        <w:rPr>
          <w:rFonts w:asciiTheme="minorHAnsi" w:hAnsiTheme="minorHAnsi"/>
        </w:rPr>
        <w:t xml:space="preserve">for </w:t>
      </w:r>
      <w:r w:rsidR="00BF42A0" w:rsidRPr="004A132D">
        <w:rPr>
          <w:rFonts w:asciiTheme="minorHAnsi" w:hAnsiTheme="minorHAnsi"/>
        </w:rPr>
        <w:t xml:space="preserve">further </w:t>
      </w:r>
      <w:r w:rsidRPr="004A132D">
        <w:rPr>
          <w:rFonts w:asciiTheme="minorHAnsi" w:hAnsiTheme="minorHAnsi"/>
        </w:rPr>
        <w:t>early intervention initiatives, including developing a perpetrator risk assessment framework for frontline service providers, extending the Mensline Changing for Good Service and developing a national perpetrator referral database of services to improve uptake of intervention services.</w:t>
      </w:r>
      <w:r w:rsidR="00EC577D" w:rsidRPr="004A132D">
        <w:rPr>
          <w:rFonts w:asciiTheme="minorHAnsi" w:hAnsiTheme="minorHAnsi"/>
        </w:rPr>
        <w:t xml:space="preserve"> </w:t>
      </w:r>
    </w:p>
    <w:p w14:paraId="779EFB30" w14:textId="79635E28" w:rsidR="00985B72" w:rsidRPr="004A132D" w:rsidRDefault="00985B72" w:rsidP="00561D0E">
      <w:pPr>
        <w:pStyle w:val="Numbers"/>
        <w:numPr>
          <w:ilvl w:val="1"/>
          <w:numId w:val="1"/>
        </w:numPr>
        <w:rPr>
          <w:rFonts w:asciiTheme="minorHAnsi" w:hAnsiTheme="minorHAnsi"/>
        </w:rPr>
      </w:pPr>
      <w:r w:rsidRPr="004A132D">
        <w:rPr>
          <w:rFonts w:asciiTheme="minorHAnsi" w:hAnsiTheme="minorHAnsi"/>
        </w:rPr>
        <w:t xml:space="preserve">The Australian Government committed $8.9 million in the 2023-24 Budget to expand the </w:t>
      </w:r>
      <w:r w:rsidR="00667EF5" w:rsidRPr="004A132D">
        <w:rPr>
          <w:rFonts w:asciiTheme="minorHAnsi" w:hAnsiTheme="minorHAnsi"/>
        </w:rPr>
        <w:t xml:space="preserve">family violence </w:t>
      </w:r>
      <w:r w:rsidRPr="004A132D">
        <w:rPr>
          <w:rFonts w:asciiTheme="minorHAnsi" w:hAnsiTheme="minorHAnsi"/>
        </w:rPr>
        <w:t>provisions</w:t>
      </w:r>
      <w:r w:rsidR="00AD0850" w:rsidRPr="004A132D">
        <w:rPr>
          <w:rFonts w:asciiTheme="minorHAnsi" w:hAnsiTheme="minorHAnsi"/>
        </w:rPr>
        <w:t xml:space="preserve"> </w:t>
      </w:r>
      <w:r w:rsidRPr="004A132D">
        <w:rPr>
          <w:rFonts w:asciiTheme="minorHAnsi" w:hAnsiTheme="minorHAnsi"/>
        </w:rPr>
        <w:t xml:space="preserve">in migration legislation to most permanent visas. The </w:t>
      </w:r>
      <w:r w:rsidR="00667EF5" w:rsidRPr="004A132D">
        <w:rPr>
          <w:rFonts w:asciiTheme="minorHAnsi" w:hAnsiTheme="minorHAnsi"/>
        </w:rPr>
        <w:t xml:space="preserve">family violence provisions </w:t>
      </w:r>
      <w:r w:rsidRPr="004A132D">
        <w:rPr>
          <w:rFonts w:asciiTheme="minorHAnsi" w:hAnsiTheme="minorHAnsi"/>
        </w:rPr>
        <w:t xml:space="preserve"> aim to ensure that visa applicants do not feel compelled to remain in a violent relationship for a permanent visa outcome. </w:t>
      </w:r>
    </w:p>
    <w:p w14:paraId="291764B0" w14:textId="3C3A7352" w:rsidR="00985B72" w:rsidRPr="004A132D" w:rsidRDefault="00985B72" w:rsidP="007167F1">
      <w:pPr>
        <w:pStyle w:val="Numbers"/>
        <w:numPr>
          <w:ilvl w:val="1"/>
          <w:numId w:val="1"/>
        </w:numPr>
        <w:rPr>
          <w:rFonts w:asciiTheme="minorHAnsi" w:hAnsiTheme="minorHAnsi"/>
        </w:rPr>
      </w:pPr>
      <w:r w:rsidRPr="004A132D">
        <w:rPr>
          <w:rFonts w:asciiTheme="minorHAnsi" w:hAnsiTheme="minorHAnsi"/>
        </w:rPr>
        <w:t>The Australia</w:t>
      </w:r>
      <w:r w:rsidR="00C04D35" w:rsidRPr="004A132D">
        <w:rPr>
          <w:rFonts w:asciiTheme="minorHAnsi" w:hAnsiTheme="minorHAnsi"/>
        </w:rPr>
        <w:t>n</w:t>
      </w:r>
      <w:r w:rsidRPr="004A132D">
        <w:rPr>
          <w:rFonts w:asciiTheme="minorHAnsi" w:hAnsiTheme="minorHAnsi"/>
        </w:rPr>
        <w:t xml:space="preserve"> </w:t>
      </w:r>
      <w:r w:rsidR="00C04D35" w:rsidRPr="004A132D">
        <w:rPr>
          <w:rFonts w:asciiTheme="minorHAnsi" w:hAnsiTheme="minorHAnsi"/>
        </w:rPr>
        <w:t>G</w:t>
      </w:r>
      <w:r w:rsidRPr="004A132D">
        <w:rPr>
          <w:rFonts w:asciiTheme="minorHAnsi" w:hAnsiTheme="minorHAnsi"/>
        </w:rPr>
        <w:t>overnment committed a further $6.1</w:t>
      </w:r>
      <w:r w:rsidR="00C04D35" w:rsidRPr="004A132D">
        <w:rPr>
          <w:rFonts w:asciiTheme="minorHAnsi" w:hAnsiTheme="minorHAnsi"/>
        </w:rPr>
        <w:t xml:space="preserve"> million</w:t>
      </w:r>
      <w:r w:rsidRPr="004A132D">
        <w:rPr>
          <w:rFonts w:asciiTheme="minorHAnsi" w:hAnsiTheme="minorHAnsi"/>
        </w:rPr>
        <w:t xml:space="preserve"> in the 2024-25 Budget to provide ongoing funding for the specialised visa </w:t>
      </w:r>
      <w:r w:rsidRPr="004A132D">
        <w:rPr>
          <w:rFonts w:asciiTheme="minorHAnsi" w:hAnsiTheme="minorHAnsi"/>
        </w:rPr>
        <w:lastRenderedPageBreak/>
        <w:t xml:space="preserve">support service for victim-survivors of </w:t>
      </w:r>
      <w:r w:rsidR="00C04D35" w:rsidRPr="004A132D">
        <w:rPr>
          <w:rFonts w:asciiTheme="minorHAnsi" w:hAnsiTheme="minorHAnsi"/>
        </w:rPr>
        <w:t>domestic and/or family violence</w:t>
      </w:r>
      <w:r w:rsidR="007167F1" w:rsidRPr="004A132D">
        <w:rPr>
          <w:rFonts w:asciiTheme="minorHAnsi" w:hAnsiTheme="minorHAnsi"/>
        </w:rPr>
        <w:t xml:space="preserve">. The service </w:t>
      </w:r>
      <w:r w:rsidRPr="004A132D">
        <w:rPr>
          <w:rFonts w:asciiTheme="minorHAnsi" w:hAnsiTheme="minorHAnsi"/>
        </w:rPr>
        <w:t>assists visa holders experiencing family violence t</w:t>
      </w:r>
      <w:r w:rsidR="00EB683E" w:rsidRPr="004A132D">
        <w:rPr>
          <w:rFonts w:asciiTheme="minorHAnsi" w:hAnsiTheme="minorHAnsi"/>
        </w:rPr>
        <w:t>o regularise their visa status.</w:t>
      </w:r>
    </w:p>
    <w:p w14:paraId="017E7E58" w14:textId="77777777" w:rsidR="005C51A3" w:rsidRPr="004A132D" w:rsidRDefault="005C51A3" w:rsidP="00C95577">
      <w:pPr>
        <w:pStyle w:val="Heading2"/>
      </w:pPr>
      <w:bookmarkStart w:id="64" w:name="_Toc174011686"/>
      <w:bookmarkStart w:id="65" w:name="_Toc175556781"/>
      <w:r w:rsidRPr="004A132D">
        <w:t>Implementing findings of the National System for Domestic a</w:t>
      </w:r>
      <w:r w:rsidR="00360039" w:rsidRPr="004A132D">
        <w:t>nd Family Violence Death Review report</w:t>
      </w:r>
      <w:bookmarkEnd w:id="64"/>
      <w:bookmarkEnd w:id="65"/>
    </w:p>
    <w:p w14:paraId="6CC1B79B" w14:textId="010D4F3D" w:rsidR="00F16199" w:rsidRPr="004A132D" w:rsidRDefault="00F16199" w:rsidP="0002378E">
      <w:pPr>
        <w:pStyle w:val="Numbers"/>
        <w:ind w:left="1418"/>
        <w:rPr>
          <w:rFonts w:asciiTheme="minorHAnsi" w:hAnsiTheme="minorHAnsi"/>
        </w:rPr>
      </w:pPr>
      <w:r w:rsidRPr="004A132D">
        <w:rPr>
          <w:rFonts w:asciiTheme="minorHAnsi" w:hAnsiTheme="minorHAnsi"/>
        </w:rPr>
        <w:t xml:space="preserve">The Australian Government </w:t>
      </w:r>
      <w:r w:rsidR="00C96BFD" w:rsidRPr="004A132D">
        <w:rPr>
          <w:rFonts w:asciiTheme="minorHAnsi" w:hAnsiTheme="minorHAnsi"/>
        </w:rPr>
        <w:t xml:space="preserve">and state and territory governments </w:t>
      </w:r>
      <w:r w:rsidR="009A32A9" w:rsidRPr="004A132D">
        <w:rPr>
          <w:rFonts w:asciiTheme="minorHAnsi" w:hAnsiTheme="minorHAnsi"/>
        </w:rPr>
        <w:t xml:space="preserve">have </w:t>
      </w:r>
      <w:r w:rsidRPr="004A132D">
        <w:rPr>
          <w:rFonts w:asciiTheme="minorHAnsi" w:hAnsiTheme="minorHAnsi"/>
        </w:rPr>
        <w:t>implement</w:t>
      </w:r>
      <w:r w:rsidR="009A32A9" w:rsidRPr="004A132D">
        <w:rPr>
          <w:rFonts w:asciiTheme="minorHAnsi" w:hAnsiTheme="minorHAnsi"/>
        </w:rPr>
        <w:t>ed</w:t>
      </w:r>
      <w:r w:rsidRPr="004A132D">
        <w:rPr>
          <w:rFonts w:asciiTheme="minorHAnsi" w:hAnsiTheme="minorHAnsi"/>
        </w:rPr>
        <w:t xml:space="preserve"> </w:t>
      </w:r>
      <w:r w:rsidR="00D8288E" w:rsidRPr="004A132D">
        <w:rPr>
          <w:rFonts w:asciiTheme="minorHAnsi" w:hAnsiTheme="minorHAnsi"/>
        </w:rPr>
        <w:t xml:space="preserve">a range of </w:t>
      </w:r>
      <w:r w:rsidR="009A32A9" w:rsidRPr="004A132D">
        <w:rPr>
          <w:rFonts w:asciiTheme="minorHAnsi" w:hAnsiTheme="minorHAnsi"/>
        </w:rPr>
        <w:t>reforms</w:t>
      </w:r>
      <w:r w:rsidRPr="004A132D">
        <w:rPr>
          <w:rFonts w:asciiTheme="minorHAnsi" w:hAnsiTheme="minorHAnsi"/>
        </w:rPr>
        <w:t xml:space="preserve"> </w:t>
      </w:r>
      <w:r w:rsidR="00D8288E" w:rsidRPr="004A132D">
        <w:rPr>
          <w:rFonts w:asciiTheme="minorHAnsi" w:hAnsiTheme="minorHAnsi"/>
        </w:rPr>
        <w:t xml:space="preserve">related to the findings of the </w:t>
      </w:r>
      <w:r w:rsidR="005273EE" w:rsidRPr="004A132D">
        <w:rPr>
          <w:rFonts w:asciiTheme="minorHAnsi" w:hAnsiTheme="minorHAnsi"/>
        </w:rPr>
        <w:t>AHRC</w:t>
      </w:r>
      <w:r w:rsidR="00BF42A0" w:rsidRPr="004A132D">
        <w:rPr>
          <w:rFonts w:asciiTheme="minorHAnsi" w:hAnsiTheme="minorHAnsi"/>
        </w:rPr>
        <w:t>’s 2016</w:t>
      </w:r>
      <w:r w:rsidR="00EB683E" w:rsidRPr="004A132D">
        <w:rPr>
          <w:rFonts w:asciiTheme="minorHAnsi" w:hAnsiTheme="minorHAnsi"/>
        </w:rPr>
        <w:t xml:space="preserve"> report following the</w:t>
      </w:r>
      <w:r w:rsidRPr="004A132D">
        <w:rPr>
          <w:rFonts w:asciiTheme="minorHAnsi" w:hAnsiTheme="minorHAnsi"/>
        </w:rPr>
        <w:t xml:space="preserve"> </w:t>
      </w:r>
      <w:r w:rsidR="00D8288E" w:rsidRPr="004A132D">
        <w:rPr>
          <w:rFonts w:asciiTheme="minorHAnsi" w:hAnsiTheme="minorHAnsi"/>
        </w:rPr>
        <w:t>National System for Domestic and Family Violence Death Review</w:t>
      </w:r>
      <w:r w:rsidRPr="004A132D">
        <w:rPr>
          <w:rFonts w:asciiTheme="minorHAnsi" w:hAnsiTheme="minorHAnsi"/>
        </w:rPr>
        <w:t>.</w:t>
      </w:r>
      <w:r w:rsidR="009A32A9" w:rsidRPr="004A132D">
        <w:rPr>
          <w:rFonts w:asciiTheme="minorHAnsi" w:hAnsiTheme="minorHAnsi"/>
        </w:rPr>
        <w:t xml:space="preserve"> </w:t>
      </w:r>
    </w:p>
    <w:p w14:paraId="5EAD93A5" w14:textId="40356F45" w:rsidR="00974ECD" w:rsidRPr="004A132D" w:rsidRDefault="00974ECD" w:rsidP="0002378E">
      <w:pPr>
        <w:pStyle w:val="Numbers"/>
        <w:ind w:left="1418"/>
        <w:rPr>
          <w:rFonts w:asciiTheme="minorHAnsi" w:hAnsiTheme="minorHAnsi"/>
        </w:rPr>
      </w:pPr>
      <w:r w:rsidRPr="004A132D">
        <w:rPr>
          <w:rFonts w:asciiTheme="minorHAnsi" w:hAnsiTheme="minorHAnsi"/>
        </w:rPr>
        <w:t xml:space="preserve">The Outcomes Framework under the </w:t>
      </w:r>
      <w:r w:rsidR="00B87A35" w:rsidRPr="004A132D">
        <w:rPr>
          <w:rFonts w:asciiTheme="minorHAnsi" w:hAnsiTheme="minorHAnsi"/>
        </w:rPr>
        <w:t xml:space="preserve">National Plan to </w:t>
      </w:r>
      <w:r w:rsidR="00F73767" w:rsidRPr="004A132D">
        <w:rPr>
          <w:rFonts w:asciiTheme="minorHAnsi" w:hAnsiTheme="minorHAnsi"/>
        </w:rPr>
        <w:t>E</w:t>
      </w:r>
      <w:r w:rsidR="00B87A35" w:rsidRPr="004A132D">
        <w:rPr>
          <w:rFonts w:asciiTheme="minorHAnsi" w:hAnsiTheme="minorHAnsi"/>
        </w:rPr>
        <w:t xml:space="preserve">nd </w:t>
      </w:r>
      <w:r w:rsidR="00F73767" w:rsidRPr="004A132D">
        <w:rPr>
          <w:rFonts w:asciiTheme="minorHAnsi" w:hAnsiTheme="minorHAnsi"/>
        </w:rPr>
        <w:t>V</w:t>
      </w:r>
      <w:r w:rsidR="00B87A35" w:rsidRPr="004A132D">
        <w:rPr>
          <w:rFonts w:asciiTheme="minorHAnsi" w:hAnsiTheme="minorHAnsi"/>
        </w:rPr>
        <w:t xml:space="preserve">iolence against Women </w:t>
      </w:r>
      <w:r w:rsidRPr="004A132D">
        <w:rPr>
          <w:rFonts w:asciiTheme="minorHAnsi" w:hAnsiTheme="minorHAnsi"/>
        </w:rPr>
        <w:t xml:space="preserve">includes a target to reduce the number of women killed by their intimate partners by 25 per cent each year. </w:t>
      </w:r>
    </w:p>
    <w:p w14:paraId="4405FA55" w14:textId="2FF7CB24" w:rsidR="000436B9" w:rsidRPr="004A132D" w:rsidRDefault="005105A9" w:rsidP="0002378E">
      <w:pPr>
        <w:pStyle w:val="Numbers"/>
        <w:ind w:left="1418"/>
        <w:rPr>
          <w:rFonts w:asciiTheme="minorHAnsi" w:hAnsiTheme="minorHAnsi"/>
        </w:rPr>
      </w:pPr>
      <w:r w:rsidRPr="004A132D">
        <w:rPr>
          <w:rFonts w:asciiTheme="minorHAnsi" w:hAnsiTheme="minorHAnsi"/>
        </w:rPr>
        <w:t xml:space="preserve">The National Homicide Monitoring Program </w:t>
      </w:r>
      <w:r w:rsidR="00974ECD" w:rsidRPr="004A132D">
        <w:rPr>
          <w:rFonts w:asciiTheme="minorHAnsi" w:hAnsiTheme="minorHAnsi"/>
        </w:rPr>
        <w:t xml:space="preserve">delivered by the Australian Institute of Criminology </w:t>
      </w:r>
      <w:r w:rsidR="00090808" w:rsidRPr="004A132D">
        <w:rPr>
          <w:rFonts w:asciiTheme="minorHAnsi" w:hAnsiTheme="minorHAnsi"/>
        </w:rPr>
        <w:t xml:space="preserve">(AIC) </w:t>
      </w:r>
      <w:r w:rsidRPr="004A132D">
        <w:rPr>
          <w:rFonts w:asciiTheme="minorHAnsi" w:hAnsiTheme="minorHAnsi"/>
        </w:rPr>
        <w:t xml:space="preserve">is Australia’s national data collection on homicide incidents, victims and offenders. </w:t>
      </w:r>
      <w:r w:rsidR="00090808" w:rsidRPr="004A132D">
        <w:rPr>
          <w:rFonts w:asciiTheme="minorHAnsi" w:hAnsiTheme="minorHAnsi"/>
        </w:rPr>
        <w:t xml:space="preserve">The Australian Government </w:t>
      </w:r>
      <w:r w:rsidR="00780FC7" w:rsidRPr="004A132D">
        <w:rPr>
          <w:rFonts w:asciiTheme="minorHAnsi" w:hAnsiTheme="minorHAnsi"/>
        </w:rPr>
        <w:t>introduced a national statistical dashboard</w:t>
      </w:r>
      <w:r w:rsidR="00D83D06" w:rsidRPr="004A132D">
        <w:rPr>
          <w:rFonts w:asciiTheme="minorHAnsi" w:hAnsiTheme="minorHAnsi"/>
        </w:rPr>
        <w:t>,</w:t>
      </w:r>
      <w:r w:rsidR="00780FC7" w:rsidRPr="004A132D">
        <w:rPr>
          <w:rFonts w:asciiTheme="minorHAnsi" w:hAnsiTheme="minorHAnsi"/>
        </w:rPr>
        <w:t xml:space="preserve"> that went live on 26 June 2024 with the first quarter of data</w:t>
      </w:r>
      <w:r w:rsidR="00D83D06" w:rsidRPr="004A132D">
        <w:rPr>
          <w:rFonts w:asciiTheme="minorHAnsi" w:hAnsiTheme="minorHAnsi"/>
        </w:rPr>
        <w:t>,</w:t>
      </w:r>
      <w:r w:rsidR="00780FC7" w:rsidRPr="004A132D">
        <w:rPr>
          <w:rFonts w:asciiTheme="minorHAnsi" w:hAnsiTheme="minorHAnsi"/>
        </w:rPr>
        <w:t xml:space="preserve"> which provides more timely reporting on female victims of intimate partner homicides. </w:t>
      </w:r>
      <w:r w:rsidR="00997ACE" w:rsidRPr="004A132D">
        <w:rPr>
          <w:rFonts w:asciiTheme="minorHAnsi" w:hAnsiTheme="minorHAnsi"/>
        </w:rPr>
        <w:br/>
      </w:r>
      <w:r w:rsidR="00780FC7" w:rsidRPr="004A132D">
        <w:rPr>
          <w:rFonts w:asciiTheme="minorHAnsi" w:hAnsiTheme="minorHAnsi"/>
        </w:rPr>
        <w:t>The</w:t>
      </w:r>
      <w:r w:rsidR="00997ACE" w:rsidRPr="004A132D">
        <w:rPr>
          <w:rFonts w:asciiTheme="minorHAnsi" w:hAnsiTheme="minorHAnsi"/>
        </w:rPr>
        <w:t xml:space="preserve"> </w:t>
      </w:r>
      <w:r w:rsidR="00780FC7" w:rsidRPr="004A132D">
        <w:rPr>
          <w:rFonts w:asciiTheme="minorHAnsi" w:hAnsiTheme="minorHAnsi"/>
        </w:rPr>
        <w:t>dashboard will provide quarterly updates with the next update scheduled in August 2024.</w:t>
      </w:r>
    </w:p>
    <w:p w14:paraId="34615D1B" w14:textId="77777777" w:rsidR="00ED5D24" w:rsidRPr="005F6B4E" w:rsidRDefault="009A32A9" w:rsidP="005F6B4E">
      <w:pPr>
        <w:pStyle w:val="Heading1"/>
      </w:pPr>
      <w:bookmarkStart w:id="66" w:name="_Toc174011687"/>
      <w:bookmarkStart w:id="67" w:name="_Toc175556782"/>
      <w:r w:rsidRPr="005F6B4E">
        <w:t xml:space="preserve">Question 10: </w:t>
      </w:r>
      <w:r w:rsidR="00ED5D24" w:rsidRPr="005F6B4E">
        <w:t>Extraterritorial obligations</w:t>
      </w:r>
      <w:bookmarkEnd w:id="66"/>
      <w:bookmarkEnd w:id="67"/>
    </w:p>
    <w:p w14:paraId="163DA090" w14:textId="77777777" w:rsidR="009A32A9" w:rsidRPr="004A132D" w:rsidRDefault="001B08D2" w:rsidP="001B08D2">
      <w:pPr>
        <w:pStyle w:val="Heading2"/>
      </w:pPr>
      <w:bookmarkStart w:id="68" w:name="_Toc174011688"/>
      <w:bookmarkStart w:id="69" w:name="_Toc175556783"/>
      <w:r w:rsidRPr="004A132D">
        <w:t>National action plan on business and human rights</w:t>
      </w:r>
      <w:bookmarkEnd w:id="68"/>
      <w:bookmarkEnd w:id="69"/>
    </w:p>
    <w:p w14:paraId="5545804A" w14:textId="7A284DA6" w:rsidR="00DC3AE7" w:rsidRPr="004A132D" w:rsidRDefault="00DC3AE7" w:rsidP="0002378E">
      <w:pPr>
        <w:pStyle w:val="Numbers"/>
        <w:ind w:left="1418"/>
        <w:rPr>
          <w:rFonts w:asciiTheme="minorHAnsi" w:hAnsiTheme="minorHAnsi"/>
        </w:rPr>
      </w:pPr>
      <w:r w:rsidRPr="004A132D">
        <w:rPr>
          <w:rFonts w:asciiTheme="minorHAnsi" w:hAnsiTheme="minorHAnsi"/>
        </w:rPr>
        <w:t>Australia takes business and human rights seriously. Australia is not progressing with a National Action Plan on business and human rights at this stage</w:t>
      </w:r>
      <w:r w:rsidR="00D83D06" w:rsidRPr="004A132D">
        <w:rPr>
          <w:rFonts w:asciiTheme="minorHAnsi" w:hAnsiTheme="minorHAnsi"/>
        </w:rPr>
        <w:t xml:space="preserve"> but</w:t>
      </w:r>
      <w:r w:rsidR="00090808" w:rsidRPr="004A132D">
        <w:rPr>
          <w:rFonts w:asciiTheme="minorHAnsi" w:hAnsiTheme="minorHAnsi"/>
        </w:rPr>
        <w:t xml:space="preserve"> is</w:t>
      </w:r>
      <w:r w:rsidRPr="004A132D">
        <w:rPr>
          <w:rFonts w:asciiTheme="minorHAnsi" w:hAnsiTheme="minorHAnsi"/>
        </w:rPr>
        <w:t xml:space="preserve"> focused on supporting the United Nations Guiding Principles on Business and Human Rights to further business and human rights in Australia.</w:t>
      </w:r>
    </w:p>
    <w:p w14:paraId="665777C3" w14:textId="77777777" w:rsidR="00DC3AE7" w:rsidRPr="004A132D" w:rsidRDefault="00DC3AE7" w:rsidP="0002378E">
      <w:pPr>
        <w:pStyle w:val="Numbers"/>
        <w:ind w:left="1418"/>
        <w:rPr>
          <w:rFonts w:asciiTheme="minorHAnsi" w:hAnsiTheme="minorHAnsi"/>
        </w:rPr>
      </w:pPr>
      <w:r w:rsidRPr="004A132D">
        <w:rPr>
          <w:rFonts w:asciiTheme="minorHAnsi" w:hAnsiTheme="minorHAnsi"/>
        </w:rPr>
        <w:t>Businesses must comply with all Australian laws, including those upholding international human rights obligations. Australia co-sponsored the resolution that adopted the United Nations Guiding Principles on Business and Human Rights and encourages businesses to apply the guiding principles in their operations in Australia and abroad.</w:t>
      </w:r>
    </w:p>
    <w:p w14:paraId="449A6EB9" w14:textId="77777777" w:rsidR="00DC3AE7" w:rsidRPr="004A132D" w:rsidRDefault="00E17AA9" w:rsidP="001B08D2">
      <w:pPr>
        <w:pStyle w:val="Heading2"/>
      </w:pPr>
      <w:bookmarkStart w:id="70" w:name="_Toc174011689"/>
      <w:bookmarkStart w:id="71" w:name="_Toc175556784"/>
      <w:r w:rsidRPr="004A132D">
        <w:lastRenderedPageBreak/>
        <w:t>F</w:t>
      </w:r>
      <w:r w:rsidR="00DC3AE7" w:rsidRPr="004A132D">
        <w:t xml:space="preserve">ree, prior informed consent of Indigenous </w:t>
      </w:r>
      <w:r w:rsidR="001B08D2" w:rsidRPr="004A132D">
        <w:t>women</w:t>
      </w:r>
      <w:r w:rsidR="00DC3AE7" w:rsidRPr="004A132D">
        <w:t xml:space="preserve"> </w:t>
      </w:r>
      <w:r w:rsidR="001B08D2" w:rsidRPr="004A132D">
        <w:t xml:space="preserve">affected </w:t>
      </w:r>
      <w:r w:rsidR="00DC3AE7" w:rsidRPr="004A132D">
        <w:t>before any large-scale development and extractive industry project is approved</w:t>
      </w:r>
      <w:bookmarkEnd w:id="70"/>
      <w:bookmarkEnd w:id="71"/>
    </w:p>
    <w:p w14:paraId="739684D9" w14:textId="21AFC7AA" w:rsidR="00E729D0" w:rsidRPr="004A132D" w:rsidRDefault="00E729D0" w:rsidP="0002378E">
      <w:pPr>
        <w:pStyle w:val="Numbers"/>
        <w:tabs>
          <w:tab w:val="clear" w:pos="1701"/>
          <w:tab w:val="clear" w:pos="2268"/>
          <w:tab w:val="clear" w:pos="2835"/>
          <w:tab w:val="left" w:pos="1985"/>
        </w:tabs>
        <w:ind w:left="1418"/>
        <w:rPr>
          <w:rFonts w:asciiTheme="minorHAnsi" w:hAnsiTheme="minorHAnsi"/>
        </w:rPr>
      </w:pPr>
      <w:r w:rsidRPr="004A132D">
        <w:rPr>
          <w:rFonts w:asciiTheme="minorHAnsi" w:hAnsiTheme="minorHAnsi"/>
        </w:rPr>
        <w:t>The Australian Government acknowledges and respects the unique relationship First</w:t>
      </w:r>
      <w:r w:rsidR="00667EF5" w:rsidRPr="004A132D">
        <w:rPr>
          <w:rFonts w:asciiTheme="minorHAnsi" w:hAnsiTheme="minorHAnsi"/>
        </w:rPr>
        <w:t> </w:t>
      </w:r>
      <w:r w:rsidRPr="004A132D">
        <w:rPr>
          <w:rFonts w:asciiTheme="minorHAnsi" w:hAnsiTheme="minorHAnsi"/>
        </w:rPr>
        <w:t xml:space="preserve">Nations peoples and communities have with the environment including land, sea, waterways, flora and fauna. </w:t>
      </w:r>
    </w:p>
    <w:p w14:paraId="70736A45" w14:textId="42A526C7" w:rsidR="0049242F" w:rsidRPr="004A132D" w:rsidRDefault="0049242F" w:rsidP="0002378E">
      <w:pPr>
        <w:pStyle w:val="Numbers"/>
        <w:tabs>
          <w:tab w:val="left" w:pos="1985"/>
        </w:tabs>
        <w:ind w:left="1418"/>
        <w:rPr>
          <w:rFonts w:asciiTheme="minorHAnsi" w:hAnsiTheme="minorHAnsi"/>
        </w:rPr>
      </w:pPr>
      <w:r w:rsidRPr="004A132D">
        <w:rPr>
          <w:rFonts w:asciiTheme="minorHAnsi" w:hAnsiTheme="minorHAnsi"/>
        </w:rPr>
        <w:t>The E</w:t>
      </w:r>
      <w:r w:rsidRPr="004A132D">
        <w:rPr>
          <w:rStyle w:val="Emphasis"/>
          <w:rFonts w:asciiTheme="minorHAnsi" w:hAnsiTheme="minorHAnsi"/>
          <w:iCs w:val="0"/>
        </w:rPr>
        <w:t>nvironment Protection and Biodiversity Conservation Act 1999</w:t>
      </w:r>
      <w:r w:rsidRPr="004A132D">
        <w:rPr>
          <w:rStyle w:val="Emphasis"/>
          <w:rFonts w:asciiTheme="minorHAnsi" w:hAnsiTheme="minorHAnsi"/>
          <w:i w:val="0"/>
          <w:iCs w:val="0"/>
        </w:rPr>
        <w:t xml:space="preserve"> (Cth) </w:t>
      </w:r>
      <w:r w:rsidRPr="004A132D">
        <w:rPr>
          <w:rFonts w:asciiTheme="minorHAnsi" w:hAnsiTheme="minorHAnsi"/>
        </w:rPr>
        <w:t>protects natural, historic or Indigenous places of outstanding</w:t>
      </w:r>
      <w:r w:rsidR="001D0FA3" w:rsidRPr="004A132D">
        <w:rPr>
          <w:rFonts w:asciiTheme="minorHAnsi" w:hAnsiTheme="minorHAnsi"/>
        </w:rPr>
        <w:t xml:space="preserve"> </w:t>
      </w:r>
      <w:hyperlink r:id="rId12" w:tooltip="Australia's National Heritage List" w:history="1">
        <w:r w:rsidRPr="004A132D">
          <w:rPr>
            <w:rFonts w:asciiTheme="minorHAnsi" w:hAnsiTheme="minorHAnsi"/>
          </w:rPr>
          <w:t>national heritage value, and</w:t>
        </w:r>
      </w:hyperlink>
      <w:r w:rsidRPr="004A132D">
        <w:rPr>
          <w:rFonts w:asciiTheme="minorHAnsi" w:hAnsiTheme="minorHAnsi"/>
        </w:rPr>
        <w:t xml:space="preserve"> recognises the role of Indigenous peoples in protecting and sustainably using the environment, and promoting using Indigenous peoples' knowledge, with their permission and cooperation.</w:t>
      </w:r>
    </w:p>
    <w:p w14:paraId="16C0D992" w14:textId="794F735E" w:rsidR="0049242F" w:rsidRPr="004A132D" w:rsidRDefault="0049242F" w:rsidP="0002378E">
      <w:pPr>
        <w:pStyle w:val="Numbers"/>
        <w:tabs>
          <w:tab w:val="left" w:pos="1985"/>
        </w:tabs>
        <w:ind w:left="1418"/>
        <w:rPr>
          <w:rFonts w:asciiTheme="minorHAnsi" w:hAnsiTheme="minorHAnsi"/>
          <w:lang w:val="en-NZ"/>
        </w:rPr>
      </w:pPr>
      <w:r w:rsidRPr="004A132D">
        <w:rPr>
          <w:rFonts w:asciiTheme="minorHAnsi" w:hAnsiTheme="minorHAnsi"/>
        </w:rPr>
        <w:t xml:space="preserve">First Nations landholders and communities are essential to the </w:t>
      </w:r>
      <w:r w:rsidR="00CC53F8">
        <w:rPr>
          <w:rFonts w:asciiTheme="minorHAnsi" w:hAnsiTheme="minorHAnsi"/>
        </w:rPr>
        <w:t xml:space="preserve">resources sector’s </w:t>
      </w:r>
      <w:r w:rsidRPr="004A132D">
        <w:rPr>
          <w:rFonts w:asciiTheme="minorHAnsi" w:hAnsiTheme="minorHAnsi"/>
        </w:rPr>
        <w:t xml:space="preserve">future sustainability. </w:t>
      </w:r>
      <w:r w:rsidRPr="004A132D">
        <w:rPr>
          <w:rFonts w:asciiTheme="minorHAnsi" w:hAnsiTheme="minorHAnsi"/>
          <w:lang w:val="en-NZ"/>
        </w:rPr>
        <w:t xml:space="preserve">Under the </w:t>
      </w:r>
      <w:r w:rsidRPr="004A132D">
        <w:rPr>
          <w:rFonts w:asciiTheme="minorHAnsi" w:hAnsiTheme="minorHAnsi"/>
          <w:i/>
          <w:lang w:val="en-NZ"/>
        </w:rPr>
        <w:t>Critical Minerals Strategy 2023</w:t>
      </w:r>
      <w:r w:rsidR="00D83D06" w:rsidRPr="004A132D">
        <w:rPr>
          <w:rFonts w:asciiTheme="minorHAnsi" w:hAnsiTheme="minorHAnsi"/>
          <w:i/>
          <w:lang w:val="en-NZ"/>
        </w:rPr>
        <w:noBreakHyphen/>
      </w:r>
      <w:r w:rsidRPr="004A132D">
        <w:rPr>
          <w:rFonts w:asciiTheme="minorHAnsi" w:hAnsiTheme="minorHAnsi"/>
          <w:i/>
          <w:lang w:val="en-NZ"/>
        </w:rPr>
        <w:t>2030</w:t>
      </w:r>
      <w:r w:rsidRPr="004A132D">
        <w:rPr>
          <w:rFonts w:asciiTheme="minorHAnsi" w:hAnsiTheme="minorHAnsi"/>
          <w:lang w:val="en-NZ"/>
        </w:rPr>
        <w:t>, the Australian Government acknowledges t</w:t>
      </w:r>
      <w:r w:rsidRPr="004A132D">
        <w:rPr>
          <w:rFonts w:asciiTheme="minorHAnsi" w:hAnsiTheme="minorHAnsi"/>
        </w:rPr>
        <w:t xml:space="preserve">he benefits from the growth of Australia’s critical minerals sector must be shared with and driven by the strengths and aspirations of the First Nations communities in which projects take place. </w:t>
      </w:r>
      <w:r w:rsidR="00667EF5" w:rsidRPr="004A132D">
        <w:rPr>
          <w:rFonts w:asciiTheme="minorHAnsi" w:hAnsiTheme="minorHAnsi"/>
        </w:rPr>
        <w:t>G</w:t>
      </w:r>
      <w:r w:rsidRPr="004A132D">
        <w:rPr>
          <w:rFonts w:asciiTheme="minorHAnsi" w:hAnsiTheme="minorHAnsi"/>
        </w:rPr>
        <w:t xml:space="preserve">overnments and industry are responsible for progressing meaningful engagement, agreement making and benefit sharing with First Nations communities. </w:t>
      </w:r>
    </w:p>
    <w:p w14:paraId="7F677D4B" w14:textId="5FA41B3C" w:rsidR="0049242F" w:rsidRPr="004A132D" w:rsidRDefault="0049242F" w:rsidP="00561D0E">
      <w:pPr>
        <w:pStyle w:val="Numbers"/>
        <w:numPr>
          <w:ilvl w:val="1"/>
          <w:numId w:val="1"/>
        </w:numPr>
        <w:rPr>
          <w:rFonts w:asciiTheme="minorHAnsi" w:hAnsiTheme="minorHAnsi"/>
          <w:lang w:val="en-NZ"/>
        </w:rPr>
      </w:pPr>
      <w:r w:rsidRPr="004A132D">
        <w:rPr>
          <w:rFonts w:asciiTheme="minorHAnsi" w:hAnsiTheme="minorHAnsi"/>
        </w:rPr>
        <w:t xml:space="preserve">More than 60 per cent of Australian resource projects operate on land covered by a Native Title claim or determination. </w:t>
      </w:r>
      <w:r w:rsidR="00EA3E73" w:rsidRPr="004A132D">
        <w:rPr>
          <w:rFonts w:asciiTheme="minorHAnsi" w:hAnsiTheme="minorHAnsi"/>
        </w:rPr>
        <w:t xml:space="preserve">Nationally, Native Title holders and registered Native Title claimants have different procedural rights (such as the right to be consulted or the right to negotiate) relating </w:t>
      </w:r>
      <w:r w:rsidR="00667EF5" w:rsidRPr="004A132D">
        <w:rPr>
          <w:rFonts w:asciiTheme="minorHAnsi" w:hAnsiTheme="minorHAnsi"/>
        </w:rPr>
        <w:t xml:space="preserve">to </w:t>
      </w:r>
      <w:r w:rsidR="00EA3E73" w:rsidRPr="004A132D">
        <w:rPr>
          <w:rFonts w:asciiTheme="minorHAnsi" w:hAnsiTheme="minorHAnsi"/>
        </w:rPr>
        <w:t>mining interests.</w:t>
      </w:r>
    </w:p>
    <w:p w14:paraId="403E9C7C" w14:textId="798A4FCE" w:rsidR="0049242F" w:rsidRPr="004A132D" w:rsidRDefault="00997ACE" w:rsidP="00F2266F">
      <w:pPr>
        <w:pStyle w:val="Numbers"/>
        <w:numPr>
          <w:ilvl w:val="1"/>
          <w:numId w:val="1"/>
        </w:numPr>
        <w:rPr>
          <w:rFonts w:asciiTheme="minorHAnsi" w:hAnsiTheme="minorHAnsi"/>
          <w:lang w:val="en-NZ"/>
        </w:rPr>
      </w:pPr>
      <w:r w:rsidRPr="004A132D">
        <w:rPr>
          <w:rFonts w:asciiTheme="minorHAnsi" w:hAnsiTheme="minorHAnsi"/>
        </w:rPr>
        <w:t>A</w:t>
      </w:r>
      <w:r w:rsidR="0049242F" w:rsidRPr="004A132D">
        <w:rPr>
          <w:rFonts w:asciiTheme="minorHAnsi" w:hAnsiTheme="minorHAnsi"/>
        </w:rPr>
        <w:t xml:space="preserve">pproximately 50 per cent of </w:t>
      </w:r>
      <w:r w:rsidRPr="004A132D">
        <w:rPr>
          <w:rFonts w:asciiTheme="minorHAnsi" w:hAnsiTheme="minorHAnsi"/>
        </w:rPr>
        <w:t xml:space="preserve">the Northern Territory’s </w:t>
      </w:r>
      <w:r w:rsidR="0049242F" w:rsidRPr="004A132D">
        <w:rPr>
          <w:rFonts w:asciiTheme="minorHAnsi" w:hAnsiTheme="minorHAnsi"/>
        </w:rPr>
        <w:t xml:space="preserve">landmass </w:t>
      </w:r>
      <w:r w:rsidRPr="004A132D">
        <w:rPr>
          <w:rFonts w:asciiTheme="minorHAnsi" w:hAnsiTheme="minorHAnsi"/>
        </w:rPr>
        <w:t xml:space="preserve">and </w:t>
      </w:r>
      <w:r w:rsidRPr="004A132D">
        <w:rPr>
          <w:rFonts w:asciiTheme="minorHAnsi" w:hAnsiTheme="minorHAnsi"/>
        </w:rPr>
        <w:br/>
        <w:t xml:space="preserve">80 per cent of its coastline is Aboriginal land subject to the </w:t>
      </w:r>
      <w:r w:rsidR="00A360A7" w:rsidRPr="004A132D">
        <w:rPr>
          <w:rFonts w:asciiTheme="minorHAnsi" w:hAnsiTheme="minorHAnsi"/>
          <w:i/>
          <w:iCs/>
          <w:lang w:val="en-AU"/>
        </w:rPr>
        <w:t>Aboriginal Land Rights Act 1976</w:t>
      </w:r>
      <w:r w:rsidR="001D0FA3" w:rsidRPr="004A132D">
        <w:rPr>
          <w:rFonts w:asciiTheme="minorHAnsi" w:hAnsiTheme="minorHAnsi"/>
          <w:i/>
          <w:iCs/>
          <w:lang w:val="en-AU"/>
        </w:rPr>
        <w:t xml:space="preserve"> </w:t>
      </w:r>
      <w:r w:rsidR="001D0FA3" w:rsidRPr="004A132D">
        <w:rPr>
          <w:rFonts w:asciiTheme="minorHAnsi" w:hAnsiTheme="minorHAnsi"/>
          <w:iCs/>
          <w:lang w:val="en-AU"/>
        </w:rPr>
        <w:t>(Cth)</w:t>
      </w:r>
      <w:r w:rsidRPr="004A132D">
        <w:rPr>
          <w:rFonts w:asciiTheme="minorHAnsi" w:hAnsiTheme="minorHAnsi"/>
          <w:i/>
          <w:iCs/>
          <w:lang w:val="en-AU"/>
        </w:rPr>
        <w:t xml:space="preserve">. </w:t>
      </w:r>
      <w:r w:rsidRPr="004A132D">
        <w:rPr>
          <w:rFonts w:asciiTheme="minorHAnsi" w:hAnsiTheme="minorHAnsi"/>
          <w:iCs/>
          <w:lang w:val="en-AU"/>
        </w:rPr>
        <w:t>The Act</w:t>
      </w:r>
      <w:r w:rsidR="00A360A7" w:rsidRPr="004A132D">
        <w:rPr>
          <w:rFonts w:asciiTheme="minorHAnsi" w:hAnsiTheme="minorHAnsi"/>
          <w:lang w:val="en-AU"/>
        </w:rPr>
        <w:t xml:space="preserve"> </w:t>
      </w:r>
      <w:r w:rsidR="001D0FA3" w:rsidRPr="004A132D">
        <w:rPr>
          <w:rFonts w:asciiTheme="minorHAnsi" w:hAnsiTheme="minorHAnsi"/>
          <w:lang w:val="en-AU"/>
        </w:rPr>
        <w:t>gives</w:t>
      </w:r>
      <w:r w:rsidR="00A360A7" w:rsidRPr="004A132D">
        <w:rPr>
          <w:rFonts w:asciiTheme="minorHAnsi" w:hAnsiTheme="minorHAnsi"/>
          <w:lang w:val="en-AU"/>
        </w:rPr>
        <w:t xml:space="preserve"> a right of veto to Traditional Owners in relation to exploration and mining</w:t>
      </w:r>
      <w:r w:rsidRPr="004A132D">
        <w:rPr>
          <w:rFonts w:asciiTheme="minorHAnsi" w:hAnsiTheme="minorHAnsi"/>
          <w:lang w:val="en-AU"/>
        </w:rPr>
        <w:t xml:space="preserve"> on Aboriginal lands.</w:t>
      </w:r>
      <w:r w:rsidR="0049242F" w:rsidRPr="004A132D">
        <w:rPr>
          <w:rFonts w:asciiTheme="minorHAnsi" w:hAnsiTheme="minorHAnsi"/>
        </w:rPr>
        <w:t xml:space="preserve"> </w:t>
      </w:r>
    </w:p>
    <w:p w14:paraId="3D060CCD" w14:textId="77777777" w:rsidR="00DC3AE7" w:rsidRPr="004A132D" w:rsidRDefault="00DC3AE7" w:rsidP="00997ACE">
      <w:pPr>
        <w:pStyle w:val="Heading2"/>
        <w:keepNext/>
      </w:pPr>
      <w:bookmarkStart w:id="72" w:name="_Toc174011690"/>
      <w:bookmarkStart w:id="73" w:name="_Toc175556785"/>
      <w:r w:rsidRPr="004A132D">
        <w:lastRenderedPageBreak/>
        <w:t>Measures taken to investigate violations of women’s human r</w:t>
      </w:r>
      <w:r w:rsidR="00CC15B5" w:rsidRPr="004A132D">
        <w:t>ights by business corporations</w:t>
      </w:r>
      <w:bookmarkEnd w:id="72"/>
      <w:bookmarkEnd w:id="73"/>
    </w:p>
    <w:p w14:paraId="2C25E074" w14:textId="54AC2049" w:rsidR="00DC3AE7" w:rsidRPr="004A132D" w:rsidRDefault="00DC3AE7" w:rsidP="0002378E">
      <w:pPr>
        <w:pStyle w:val="Numbers"/>
        <w:numPr>
          <w:ilvl w:val="0"/>
          <w:numId w:val="16"/>
        </w:numPr>
        <w:tabs>
          <w:tab w:val="clear" w:pos="1701"/>
          <w:tab w:val="clear" w:pos="2268"/>
          <w:tab w:val="clear" w:pos="2835"/>
          <w:tab w:val="left" w:pos="1560"/>
        </w:tabs>
        <w:ind w:left="1418"/>
        <w:rPr>
          <w:rFonts w:asciiTheme="minorHAnsi" w:hAnsiTheme="minorHAnsi"/>
        </w:rPr>
      </w:pPr>
      <w:r w:rsidRPr="004A132D">
        <w:rPr>
          <w:rFonts w:asciiTheme="minorHAnsi" w:hAnsiTheme="minorHAnsi"/>
        </w:rPr>
        <w:t xml:space="preserve">Australia expects multinational businesses operating in Australia, or operating overseas from Australia, to adhere to standards in the OECD Guidelines for Multinational Enterprises on Responsible Business Conduct. </w:t>
      </w:r>
    </w:p>
    <w:p w14:paraId="44207CA9" w14:textId="77777777" w:rsidR="00DC3AE7" w:rsidRPr="004A132D" w:rsidRDefault="00E17AA9" w:rsidP="0002378E">
      <w:pPr>
        <w:pStyle w:val="Numbers"/>
        <w:numPr>
          <w:ilvl w:val="0"/>
          <w:numId w:val="16"/>
        </w:numPr>
        <w:tabs>
          <w:tab w:val="left" w:pos="1560"/>
          <w:tab w:val="left" w:pos="1985"/>
        </w:tabs>
        <w:ind w:left="1418"/>
        <w:rPr>
          <w:rFonts w:asciiTheme="minorHAnsi" w:hAnsiTheme="minorHAnsi"/>
        </w:rPr>
      </w:pPr>
      <w:r w:rsidRPr="004A132D">
        <w:rPr>
          <w:rFonts w:asciiTheme="minorHAnsi" w:hAnsiTheme="minorHAnsi"/>
        </w:rPr>
        <w:t>T</w:t>
      </w:r>
      <w:r w:rsidR="00DC3AE7" w:rsidRPr="004A132D">
        <w:rPr>
          <w:rFonts w:asciiTheme="minorHAnsi" w:hAnsiTheme="minorHAnsi"/>
        </w:rPr>
        <w:t>he Australian Government delivers the Australian National Contact Point for Responsible Business Conduct to help resolve complaints against multinationals as a non-judicial grievance mechanism for individuals or communities allegedly impacted by adverse human rights and other negative impacts from multinational operations. A number of Australian companies or multinationals based in Au</w:t>
      </w:r>
      <w:r w:rsidR="0009582F" w:rsidRPr="004A132D">
        <w:rPr>
          <w:rFonts w:asciiTheme="minorHAnsi" w:hAnsiTheme="minorHAnsi"/>
        </w:rPr>
        <w:t>stralia have participated in this</w:t>
      </w:r>
      <w:r w:rsidR="00DC3AE7" w:rsidRPr="004A132D">
        <w:rPr>
          <w:rFonts w:asciiTheme="minorHAnsi" w:hAnsiTheme="minorHAnsi"/>
        </w:rPr>
        <w:t xml:space="preserve"> grievance mechanism.</w:t>
      </w:r>
    </w:p>
    <w:p w14:paraId="2D5B33EA" w14:textId="77777777" w:rsidR="00DC3AE7" w:rsidRPr="004A132D" w:rsidRDefault="00E17AA9" w:rsidP="001D0FA3">
      <w:pPr>
        <w:pStyle w:val="Heading2"/>
        <w:tabs>
          <w:tab w:val="left" w:pos="1985"/>
        </w:tabs>
      </w:pPr>
      <w:bookmarkStart w:id="74" w:name="_Toc174011691"/>
      <w:bookmarkStart w:id="75" w:name="_Toc175556786"/>
      <w:r w:rsidRPr="004A132D">
        <w:t>C</w:t>
      </w:r>
      <w:r w:rsidR="00DC3AE7" w:rsidRPr="004A132D">
        <w:t>ompensation and rehabilitation of women victi</w:t>
      </w:r>
      <w:r w:rsidR="0062080B" w:rsidRPr="004A132D">
        <w:t>ms of the Bougainville conflict</w:t>
      </w:r>
      <w:bookmarkEnd w:id="74"/>
      <w:bookmarkEnd w:id="75"/>
    </w:p>
    <w:p w14:paraId="1EE36DA7" w14:textId="77777777" w:rsidR="00EE6E07" w:rsidRPr="004A132D" w:rsidRDefault="00DC3AE7" w:rsidP="0002378E">
      <w:pPr>
        <w:pStyle w:val="Numbers"/>
        <w:tabs>
          <w:tab w:val="clear" w:pos="1701"/>
          <w:tab w:val="left" w:pos="1560"/>
          <w:tab w:val="left" w:pos="1985"/>
        </w:tabs>
        <w:ind w:left="1418"/>
        <w:rPr>
          <w:rFonts w:asciiTheme="minorHAnsi" w:hAnsiTheme="minorHAnsi"/>
        </w:rPr>
      </w:pPr>
      <w:r w:rsidRPr="004A132D">
        <w:rPr>
          <w:rFonts w:asciiTheme="minorHAnsi" w:hAnsiTheme="minorHAnsi"/>
        </w:rPr>
        <w:t>Australia continues to support rehabilitation and peace building efforts in Bougainville, including through community-based peacebuilding, conflict resolution and counselling services to women.</w:t>
      </w:r>
    </w:p>
    <w:p w14:paraId="15F26AC0" w14:textId="77777777" w:rsidR="00EE6E07" w:rsidRPr="005F6B4E" w:rsidRDefault="0062080B" w:rsidP="005F6B4E">
      <w:pPr>
        <w:pStyle w:val="Heading1"/>
      </w:pPr>
      <w:bookmarkStart w:id="76" w:name="_Toc174011692"/>
      <w:bookmarkStart w:id="77" w:name="_Toc175556787"/>
      <w:r w:rsidRPr="005F6B4E">
        <w:t xml:space="preserve">Question 11: </w:t>
      </w:r>
      <w:r w:rsidR="00D27AA7" w:rsidRPr="005F6B4E">
        <w:t>Climate c</w:t>
      </w:r>
      <w:r w:rsidR="00EE6E07" w:rsidRPr="005F6B4E">
        <w:t>hange and disaster risk-reduction</w:t>
      </w:r>
      <w:bookmarkEnd w:id="76"/>
      <w:bookmarkEnd w:id="77"/>
    </w:p>
    <w:p w14:paraId="0FF5FB61" w14:textId="77777777" w:rsidR="007112DF" w:rsidRPr="004A132D" w:rsidRDefault="00A74561" w:rsidP="0002378E">
      <w:pPr>
        <w:pStyle w:val="Numbers"/>
        <w:tabs>
          <w:tab w:val="clear" w:pos="2268"/>
          <w:tab w:val="clear" w:pos="2835"/>
          <w:tab w:val="left" w:pos="1985"/>
          <w:tab w:val="left" w:pos="2269"/>
        </w:tabs>
        <w:ind w:left="1418"/>
        <w:rPr>
          <w:rFonts w:asciiTheme="minorHAnsi" w:hAnsiTheme="minorHAnsi"/>
        </w:rPr>
      </w:pPr>
      <w:r w:rsidRPr="004A132D">
        <w:rPr>
          <w:rFonts w:asciiTheme="minorHAnsi" w:hAnsiTheme="minorHAnsi"/>
        </w:rPr>
        <w:t xml:space="preserve">The Australian Government is taking concerted action to adapt to climate impacts and to build resilience and disaster readiness in our communities. </w:t>
      </w:r>
      <w:r w:rsidR="009C25EC" w:rsidRPr="004A132D">
        <w:rPr>
          <w:rFonts w:asciiTheme="minorHAnsi" w:hAnsiTheme="minorHAnsi"/>
        </w:rPr>
        <w:t xml:space="preserve">Australia is committed to the </w:t>
      </w:r>
      <w:r w:rsidR="009C25EC" w:rsidRPr="004A132D">
        <w:rPr>
          <w:rFonts w:asciiTheme="minorHAnsi" w:hAnsiTheme="minorHAnsi"/>
          <w:i/>
        </w:rPr>
        <w:t>United Nations Sendai Framework for Disaster Risk Reduction 2015-2030</w:t>
      </w:r>
      <w:r w:rsidR="009C25EC" w:rsidRPr="004A132D">
        <w:rPr>
          <w:rFonts w:asciiTheme="minorHAnsi" w:hAnsiTheme="minorHAnsi"/>
        </w:rPr>
        <w:t xml:space="preserve">. Australia’s domestic approach to disaster risk reduction is guided by the National Disaster Risk Reduction Framework, and implemented via National Action Plans. The Australian Government is considering options for domestic implementation of the </w:t>
      </w:r>
      <w:r w:rsidR="009C25EC" w:rsidRPr="004A132D">
        <w:rPr>
          <w:rFonts w:asciiTheme="minorHAnsi" w:hAnsiTheme="minorHAnsi"/>
          <w:i/>
        </w:rPr>
        <w:t xml:space="preserve">Gender Action Plan to support implementation of the Sendai Framework for Disaster Risk Reduction 2015–2030 </w:t>
      </w:r>
      <w:r w:rsidR="001A0995" w:rsidRPr="004A132D">
        <w:rPr>
          <w:rFonts w:asciiTheme="minorHAnsi" w:hAnsiTheme="minorHAnsi"/>
        </w:rPr>
        <w:t>(Sendai GAP).</w:t>
      </w:r>
    </w:p>
    <w:p w14:paraId="6AB9717B" w14:textId="4CC70F5E" w:rsidR="00D00288" w:rsidRPr="004A132D" w:rsidRDefault="00D00288" w:rsidP="0002378E">
      <w:pPr>
        <w:pStyle w:val="Numbers"/>
        <w:tabs>
          <w:tab w:val="clear" w:pos="2268"/>
          <w:tab w:val="clear" w:pos="2835"/>
          <w:tab w:val="left" w:pos="1985"/>
          <w:tab w:val="left" w:pos="2269"/>
        </w:tabs>
        <w:ind w:left="1418"/>
        <w:rPr>
          <w:rFonts w:asciiTheme="minorHAnsi" w:hAnsiTheme="minorHAnsi"/>
        </w:rPr>
      </w:pPr>
      <w:r w:rsidRPr="004A132D">
        <w:rPr>
          <w:rFonts w:asciiTheme="minorHAnsi" w:hAnsiTheme="minorHAnsi"/>
        </w:rPr>
        <w:t xml:space="preserve">The </w:t>
      </w:r>
      <w:r w:rsidR="004F6847" w:rsidRPr="004A132D">
        <w:rPr>
          <w:rFonts w:asciiTheme="minorHAnsi" w:hAnsiTheme="minorHAnsi"/>
        </w:rPr>
        <w:t xml:space="preserve">Australian </w:t>
      </w:r>
      <w:r w:rsidRPr="004A132D">
        <w:rPr>
          <w:rFonts w:asciiTheme="minorHAnsi" w:hAnsiTheme="minorHAnsi"/>
        </w:rPr>
        <w:t xml:space="preserve">Government is developing Australia’s first National Climate Risk Assessment and a National Adaptation Plan, to better understand the risks and impacts to Australia from climate change and to invest in a plan to adapt to those risks. </w:t>
      </w:r>
      <w:r w:rsidR="007112DF" w:rsidRPr="004A132D">
        <w:rPr>
          <w:rFonts w:asciiTheme="minorHAnsi" w:hAnsiTheme="minorHAnsi"/>
        </w:rPr>
        <w:t xml:space="preserve">The </w:t>
      </w:r>
      <w:r w:rsidR="00CC53F8">
        <w:rPr>
          <w:rFonts w:asciiTheme="minorHAnsi" w:hAnsiTheme="minorHAnsi"/>
        </w:rPr>
        <w:t xml:space="preserve">Australian </w:t>
      </w:r>
      <w:r w:rsidR="007112DF" w:rsidRPr="004A132D">
        <w:rPr>
          <w:rFonts w:asciiTheme="minorHAnsi" w:hAnsiTheme="minorHAnsi"/>
        </w:rPr>
        <w:t xml:space="preserve">Government recognises that climate change impacts disproportionately affect women. The </w:t>
      </w:r>
      <w:r w:rsidR="00617E41" w:rsidRPr="004A132D">
        <w:rPr>
          <w:rFonts w:asciiTheme="minorHAnsi" w:hAnsiTheme="minorHAnsi"/>
        </w:rPr>
        <w:t xml:space="preserve">National </w:t>
      </w:r>
      <w:r w:rsidR="007112DF" w:rsidRPr="004A132D">
        <w:rPr>
          <w:rFonts w:asciiTheme="minorHAnsi" w:hAnsiTheme="minorHAnsi"/>
        </w:rPr>
        <w:t xml:space="preserve">Adaptation Plan will be gender-sensitive, participatory and fully transparent and will ensure future climate </w:t>
      </w:r>
      <w:r w:rsidR="007112DF" w:rsidRPr="004A132D">
        <w:rPr>
          <w:rFonts w:asciiTheme="minorHAnsi" w:hAnsiTheme="minorHAnsi"/>
        </w:rPr>
        <w:lastRenderedPageBreak/>
        <w:t>adaptation funding is targeted to ensure climate change does not disproportionately affect groups in vulnerable situations.</w:t>
      </w:r>
    </w:p>
    <w:p w14:paraId="67437331" w14:textId="2138F59D" w:rsidR="00A74561" w:rsidRPr="004A132D" w:rsidRDefault="00A74561" w:rsidP="0002378E">
      <w:pPr>
        <w:pStyle w:val="Numbers"/>
        <w:tabs>
          <w:tab w:val="clear" w:pos="2268"/>
          <w:tab w:val="clear" w:pos="2835"/>
        </w:tabs>
        <w:ind w:left="1418"/>
        <w:rPr>
          <w:rFonts w:asciiTheme="minorHAnsi" w:hAnsiTheme="minorHAnsi"/>
        </w:rPr>
      </w:pPr>
      <w:r w:rsidRPr="004A132D">
        <w:rPr>
          <w:rFonts w:asciiTheme="minorHAnsi" w:hAnsiTheme="minorHAnsi"/>
        </w:rPr>
        <w:t xml:space="preserve">In 2022, the </w:t>
      </w:r>
      <w:r w:rsidR="004F6847" w:rsidRPr="004A132D">
        <w:rPr>
          <w:rFonts w:asciiTheme="minorHAnsi" w:hAnsiTheme="minorHAnsi"/>
        </w:rPr>
        <w:t xml:space="preserve">Australian </w:t>
      </w:r>
      <w:r w:rsidRPr="004A132D">
        <w:rPr>
          <w:rFonts w:asciiTheme="minorHAnsi" w:hAnsiTheme="minorHAnsi"/>
        </w:rPr>
        <w:t xml:space="preserve">Government legislated Australia’s greenhouse gas emissions reduction targets, to reach net zero by 2050 and 43 per cent below </w:t>
      </w:r>
      <w:r w:rsidR="001D0FA3" w:rsidRPr="004A132D">
        <w:rPr>
          <w:rFonts w:asciiTheme="minorHAnsi" w:hAnsiTheme="minorHAnsi"/>
        </w:rPr>
        <w:br/>
      </w:r>
      <w:r w:rsidRPr="004A132D">
        <w:rPr>
          <w:rFonts w:asciiTheme="minorHAnsi" w:hAnsiTheme="minorHAnsi"/>
        </w:rPr>
        <w:t>2005 levels by 2030.</w:t>
      </w:r>
      <w:r w:rsidR="002329C6" w:rsidRPr="004A132D">
        <w:rPr>
          <w:rFonts w:asciiTheme="minorHAnsi" w:hAnsiTheme="minorHAnsi"/>
        </w:rPr>
        <w:t xml:space="preserve"> T</w:t>
      </w:r>
      <w:r w:rsidRPr="004A132D">
        <w:rPr>
          <w:rFonts w:asciiTheme="minorHAnsi" w:hAnsiTheme="minorHAnsi"/>
        </w:rPr>
        <w:t xml:space="preserve">he Government </w:t>
      </w:r>
      <w:r w:rsidR="00FD2038" w:rsidRPr="004A132D">
        <w:rPr>
          <w:rFonts w:asciiTheme="minorHAnsi" w:hAnsiTheme="minorHAnsi"/>
        </w:rPr>
        <w:t>has committed to developing a Net Zero P</w:t>
      </w:r>
      <w:r w:rsidRPr="004A132D">
        <w:rPr>
          <w:rFonts w:asciiTheme="minorHAnsi" w:hAnsiTheme="minorHAnsi"/>
        </w:rPr>
        <w:t>lan</w:t>
      </w:r>
      <w:r w:rsidR="002329C6" w:rsidRPr="004A132D">
        <w:rPr>
          <w:rFonts w:asciiTheme="minorHAnsi" w:hAnsiTheme="minorHAnsi"/>
        </w:rPr>
        <w:t>,</w:t>
      </w:r>
      <w:r w:rsidRPr="004A132D">
        <w:rPr>
          <w:rFonts w:asciiTheme="minorHAnsi" w:hAnsiTheme="minorHAnsi"/>
        </w:rPr>
        <w:t xml:space="preserve"> which will articulate how Australia will transition to a net zero economy, consistent with our international and domestic commitments. </w:t>
      </w:r>
    </w:p>
    <w:p w14:paraId="21A71424" w14:textId="4BAE0C73" w:rsidR="00481936" w:rsidRPr="004A132D" w:rsidRDefault="000B5218" w:rsidP="0002378E">
      <w:pPr>
        <w:pStyle w:val="Numbers"/>
        <w:tabs>
          <w:tab w:val="clear" w:pos="2268"/>
          <w:tab w:val="clear" w:pos="2835"/>
        </w:tabs>
        <w:ind w:left="1418"/>
        <w:rPr>
          <w:rFonts w:asciiTheme="minorHAnsi" w:hAnsiTheme="minorHAnsi"/>
        </w:rPr>
      </w:pPr>
      <w:r w:rsidRPr="004A132D">
        <w:rPr>
          <w:rFonts w:asciiTheme="minorHAnsi" w:hAnsiTheme="minorHAnsi"/>
        </w:rPr>
        <w:t xml:space="preserve">The </w:t>
      </w:r>
      <w:r w:rsidR="004F6847" w:rsidRPr="004A132D">
        <w:rPr>
          <w:rFonts w:asciiTheme="minorHAnsi" w:hAnsiTheme="minorHAnsi"/>
        </w:rPr>
        <w:t xml:space="preserve">Australian </w:t>
      </w:r>
      <w:r w:rsidRPr="004A132D">
        <w:rPr>
          <w:rFonts w:asciiTheme="minorHAnsi" w:hAnsiTheme="minorHAnsi"/>
        </w:rPr>
        <w:t xml:space="preserve">Government is promoting and supporting gender equality through our commitment to </w:t>
      </w:r>
      <w:r w:rsidR="007E3332" w:rsidRPr="004A132D">
        <w:rPr>
          <w:rFonts w:asciiTheme="minorHAnsi" w:hAnsiTheme="minorHAnsi"/>
        </w:rPr>
        <w:t xml:space="preserve">the international </w:t>
      </w:r>
      <w:r w:rsidRPr="004A132D">
        <w:rPr>
          <w:rFonts w:asciiTheme="minorHAnsi" w:hAnsiTheme="minorHAnsi"/>
        </w:rPr>
        <w:t>Equal by 30</w:t>
      </w:r>
      <w:r w:rsidR="007E3332" w:rsidRPr="004A132D">
        <w:rPr>
          <w:rFonts w:asciiTheme="minorHAnsi" w:hAnsiTheme="minorHAnsi"/>
        </w:rPr>
        <w:t xml:space="preserve"> campaign</w:t>
      </w:r>
      <w:r w:rsidRPr="004A132D">
        <w:rPr>
          <w:rFonts w:asciiTheme="minorHAnsi" w:hAnsiTheme="minorHAnsi"/>
        </w:rPr>
        <w:t xml:space="preserve">. </w:t>
      </w:r>
      <w:r w:rsidR="00481936" w:rsidRPr="004A132D">
        <w:rPr>
          <w:rFonts w:asciiTheme="minorHAnsi" w:hAnsiTheme="minorHAnsi"/>
        </w:rPr>
        <w:t xml:space="preserve">Following an extensive consultation across government and industry, the Australian Government has developed </w:t>
      </w:r>
      <w:r w:rsidR="00232E8B" w:rsidRPr="004A132D">
        <w:rPr>
          <w:rFonts w:asciiTheme="minorHAnsi" w:hAnsiTheme="minorHAnsi"/>
        </w:rPr>
        <w:t>5</w:t>
      </w:r>
      <w:r w:rsidR="00481936" w:rsidRPr="004A132D">
        <w:rPr>
          <w:rFonts w:asciiTheme="minorHAnsi" w:hAnsiTheme="minorHAnsi"/>
        </w:rPr>
        <w:t xml:space="preserve"> additional commitments under Equal by 30 aimed at closing the gender gap across the clean energy sector in Australia, including </w:t>
      </w:r>
      <w:r w:rsidR="004F6847" w:rsidRPr="004A132D">
        <w:rPr>
          <w:rFonts w:asciiTheme="minorHAnsi" w:hAnsiTheme="minorHAnsi"/>
        </w:rPr>
        <w:t>developing a</w:t>
      </w:r>
      <w:r w:rsidR="00481936" w:rsidRPr="004A132D">
        <w:rPr>
          <w:rFonts w:asciiTheme="minorHAnsi" w:hAnsiTheme="minorHAnsi"/>
        </w:rPr>
        <w:t xml:space="preserve"> Women in Energy Resources Hub </w:t>
      </w:r>
      <w:r w:rsidR="004F6847" w:rsidRPr="004A132D">
        <w:rPr>
          <w:rFonts w:asciiTheme="minorHAnsi" w:hAnsiTheme="minorHAnsi"/>
        </w:rPr>
        <w:t xml:space="preserve">and </w:t>
      </w:r>
      <w:r w:rsidR="00481936" w:rsidRPr="004A132D">
        <w:rPr>
          <w:rFonts w:asciiTheme="minorHAnsi" w:hAnsiTheme="minorHAnsi"/>
        </w:rPr>
        <w:t xml:space="preserve">Australian Women in Energy Roundtable for industry to promote and share equality initiatives and policies which accelerate the participation of women in the clean energy workforce. </w:t>
      </w:r>
    </w:p>
    <w:p w14:paraId="21BC6DCA" w14:textId="6414A1C3" w:rsidR="00C12EB6" w:rsidRPr="004A132D" w:rsidRDefault="00360C1B" w:rsidP="0002378E">
      <w:pPr>
        <w:pStyle w:val="Numbers"/>
        <w:tabs>
          <w:tab w:val="clear" w:pos="2268"/>
          <w:tab w:val="clear" w:pos="2835"/>
        </w:tabs>
        <w:ind w:left="1418"/>
        <w:rPr>
          <w:rFonts w:asciiTheme="minorHAnsi" w:hAnsiTheme="minorHAnsi"/>
        </w:rPr>
      </w:pPr>
      <w:r w:rsidRPr="004A132D">
        <w:rPr>
          <w:rFonts w:asciiTheme="minorHAnsi" w:hAnsiTheme="minorHAnsi"/>
        </w:rPr>
        <w:t xml:space="preserve">Australia reaffirms our commitment to gender-responsive disaster risk reduction as central to achieving the 2030 Sendai Framework for Disaster Risk Reduction outcomes. The </w:t>
      </w:r>
      <w:r w:rsidRPr="004A132D">
        <w:rPr>
          <w:rFonts w:asciiTheme="minorHAnsi" w:hAnsiTheme="minorHAnsi"/>
          <w:iCs/>
        </w:rPr>
        <w:t>Sendai GAP</w:t>
      </w:r>
      <w:r w:rsidRPr="004A132D">
        <w:rPr>
          <w:rFonts w:asciiTheme="minorHAnsi" w:hAnsiTheme="minorHAnsi"/>
        </w:rPr>
        <w:t xml:space="preserve"> is a powerful instrument with which to deliver improved outcomes for women and girls, and to ensure that their voices </w:t>
      </w:r>
      <w:r w:rsidR="00D83D06" w:rsidRPr="004A132D">
        <w:rPr>
          <w:rFonts w:asciiTheme="minorHAnsi" w:hAnsiTheme="minorHAnsi"/>
        </w:rPr>
        <w:t xml:space="preserve">are </w:t>
      </w:r>
      <w:r w:rsidRPr="004A132D">
        <w:rPr>
          <w:rFonts w:asciiTheme="minorHAnsi" w:hAnsiTheme="minorHAnsi"/>
        </w:rPr>
        <w:t xml:space="preserve">heard. The Australian </w:t>
      </w:r>
      <w:r w:rsidR="0025673A" w:rsidRPr="004A132D">
        <w:rPr>
          <w:rFonts w:asciiTheme="minorHAnsi" w:hAnsiTheme="minorHAnsi"/>
        </w:rPr>
        <w:t>G</w:t>
      </w:r>
      <w:r w:rsidRPr="004A132D">
        <w:rPr>
          <w:rFonts w:asciiTheme="minorHAnsi" w:hAnsiTheme="minorHAnsi"/>
        </w:rPr>
        <w:t>overnment shares the commitment to place inclusion at the centre of disaster risk reduction and is committed to building resilience within communities through locally led approaches.</w:t>
      </w:r>
    </w:p>
    <w:p w14:paraId="54CCA783" w14:textId="77777777" w:rsidR="00A74561" w:rsidRPr="004A132D" w:rsidRDefault="00A74561" w:rsidP="0002378E">
      <w:pPr>
        <w:pStyle w:val="Numbers"/>
        <w:tabs>
          <w:tab w:val="clear" w:pos="2268"/>
          <w:tab w:val="clear" w:pos="2835"/>
        </w:tabs>
        <w:ind w:left="1418"/>
        <w:rPr>
          <w:rFonts w:asciiTheme="minorHAnsi" w:hAnsiTheme="minorHAnsi"/>
        </w:rPr>
      </w:pPr>
      <w:r w:rsidRPr="004A132D">
        <w:rPr>
          <w:rFonts w:asciiTheme="minorHAnsi" w:hAnsiTheme="minorHAnsi"/>
        </w:rPr>
        <w:t xml:space="preserve">Australia’s </w:t>
      </w:r>
      <w:r w:rsidR="006C59F4" w:rsidRPr="004A132D">
        <w:rPr>
          <w:rFonts w:asciiTheme="minorHAnsi" w:hAnsiTheme="minorHAnsi"/>
        </w:rPr>
        <w:t xml:space="preserve">international </w:t>
      </w:r>
      <w:r w:rsidRPr="004A132D">
        <w:rPr>
          <w:rFonts w:asciiTheme="minorHAnsi" w:hAnsiTheme="minorHAnsi"/>
        </w:rPr>
        <w:t xml:space="preserve">development program has always had a strong focus on gender equality and programs across the </w:t>
      </w:r>
      <w:r w:rsidR="009C2567" w:rsidRPr="004A132D">
        <w:rPr>
          <w:rFonts w:asciiTheme="minorHAnsi" w:hAnsiTheme="minorHAnsi"/>
        </w:rPr>
        <w:t xml:space="preserve">Indo-Pacific </w:t>
      </w:r>
      <w:r w:rsidRPr="004A132D">
        <w:rPr>
          <w:rFonts w:asciiTheme="minorHAnsi" w:hAnsiTheme="minorHAnsi"/>
        </w:rPr>
        <w:t>region that enhance women’s leadership in climate mitigation and adaptation</w:t>
      </w:r>
      <w:r w:rsidR="009C2567" w:rsidRPr="004A132D">
        <w:rPr>
          <w:rFonts w:asciiTheme="minorHAnsi" w:hAnsiTheme="minorHAnsi"/>
        </w:rPr>
        <w:t>, as well as</w:t>
      </w:r>
      <w:r w:rsidRPr="004A132D">
        <w:rPr>
          <w:rFonts w:asciiTheme="minorHAnsi" w:hAnsiTheme="minorHAnsi"/>
        </w:rPr>
        <w:t xml:space="preserve"> disaster </w:t>
      </w:r>
      <w:r w:rsidR="009C2567" w:rsidRPr="004A132D">
        <w:rPr>
          <w:rFonts w:asciiTheme="minorHAnsi" w:hAnsiTheme="minorHAnsi"/>
        </w:rPr>
        <w:t xml:space="preserve">risk reduction and </w:t>
      </w:r>
      <w:r w:rsidRPr="004A132D">
        <w:rPr>
          <w:rFonts w:asciiTheme="minorHAnsi" w:hAnsiTheme="minorHAnsi"/>
        </w:rPr>
        <w:t>resilience.</w:t>
      </w:r>
    </w:p>
    <w:p w14:paraId="4A433138" w14:textId="3853EE09" w:rsidR="00A74561" w:rsidRPr="004A132D" w:rsidRDefault="00A74561" w:rsidP="0002378E">
      <w:pPr>
        <w:pStyle w:val="Numbers"/>
        <w:tabs>
          <w:tab w:val="clear" w:pos="2268"/>
          <w:tab w:val="clear" w:pos="2835"/>
        </w:tabs>
        <w:ind w:left="1418"/>
        <w:rPr>
          <w:rFonts w:asciiTheme="minorHAnsi" w:hAnsiTheme="minorHAnsi"/>
        </w:rPr>
      </w:pPr>
      <w:r w:rsidRPr="004A132D">
        <w:rPr>
          <w:rFonts w:asciiTheme="minorHAnsi" w:hAnsiTheme="minorHAnsi"/>
        </w:rPr>
        <w:t xml:space="preserve">Australia’s </w:t>
      </w:r>
      <w:r w:rsidR="001B4F61" w:rsidRPr="004A132D">
        <w:rPr>
          <w:rFonts w:asciiTheme="minorHAnsi" w:hAnsiTheme="minorHAnsi"/>
        </w:rPr>
        <w:t xml:space="preserve">International Development Policy </w:t>
      </w:r>
      <w:r w:rsidRPr="004A132D">
        <w:rPr>
          <w:rFonts w:asciiTheme="minorHAnsi" w:hAnsiTheme="minorHAnsi"/>
        </w:rPr>
        <w:t xml:space="preserve">places climate action and gender equality as core priorities of </w:t>
      </w:r>
      <w:r w:rsidR="002329C6" w:rsidRPr="004A132D">
        <w:rPr>
          <w:rFonts w:asciiTheme="minorHAnsi" w:hAnsiTheme="minorHAnsi"/>
        </w:rPr>
        <w:t>our international development. A</w:t>
      </w:r>
      <w:r w:rsidR="009B2A2A" w:rsidRPr="004A132D">
        <w:rPr>
          <w:rFonts w:asciiTheme="minorHAnsi" w:hAnsiTheme="minorHAnsi"/>
        </w:rPr>
        <w:t xml:space="preserve">ll investments over </w:t>
      </w:r>
      <w:r w:rsidR="009B2A2A" w:rsidRPr="004A132D">
        <w:rPr>
          <w:rFonts w:asciiTheme="minorHAnsi" w:hAnsiTheme="minorHAnsi"/>
        </w:rPr>
        <w:br/>
        <w:t xml:space="preserve">$3 </w:t>
      </w:r>
      <w:r w:rsidRPr="004A132D">
        <w:rPr>
          <w:rFonts w:asciiTheme="minorHAnsi" w:hAnsiTheme="minorHAnsi"/>
        </w:rPr>
        <w:t>m</w:t>
      </w:r>
      <w:r w:rsidR="002329C6" w:rsidRPr="004A132D">
        <w:rPr>
          <w:rFonts w:asciiTheme="minorHAnsi" w:hAnsiTheme="minorHAnsi"/>
        </w:rPr>
        <w:t>illion are required to have a gender objective. From 2024-25, 50 per cent of new investments over $3 million</w:t>
      </w:r>
      <w:r w:rsidRPr="004A132D">
        <w:rPr>
          <w:rFonts w:asciiTheme="minorHAnsi" w:hAnsiTheme="minorHAnsi"/>
        </w:rPr>
        <w:t xml:space="preserve"> </w:t>
      </w:r>
      <w:r w:rsidR="002329C6" w:rsidRPr="004A132D">
        <w:rPr>
          <w:rFonts w:asciiTheme="minorHAnsi" w:hAnsiTheme="minorHAnsi"/>
        </w:rPr>
        <w:t xml:space="preserve">are </w:t>
      </w:r>
      <w:r w:rsidR="009C2567" w:rsidRPr="004A132D">
        <w:rPr>
          <w:rFonts w:asciiTheme="minorHAnsi" w:hAnsiTheme="minorHAnsi"/>
        </w:rPr>
        <w:t xml:space="preserve">also </w:t>
      </w:r>
      <w:r w:rsidR="002329C6" w:rsidRPr="004A132D">
        <w:rPr>
          <w:rFonts w:asciiTheme="minorHAnsi" w:hAnsiTheme="minorHAnsi"/>
        </w:rPr>
        <w:t>required to</w:t>
      </w:r>
      <w:r w:rsidRPr="004A132D">
        <w:rPr>
          <w:rFonts w:asciiTheme="minorHAnsi" w:hAnsiTheme="minorHAnsi"/>
        </w:rPr>
        <w:t xml:space="preserve"> have a climate obje</w:t>
      </w:r>
      <w:r w:rsidR="00481936" w:rsidRPr="004A132D">
        <w:rPr>
          <w:rFonts w:asciiTheme="minorHAnsi" w:hAnsiTheme="minorHAnsi"/>
        </w:rPr>
        <w:t xml:space="preserve">ctive. </w:t>
      </w:r>
      <w:r w:rsidR="002329C6" w:rsidRPr="004A132D">
        <w:rPr>
          <w:rFonts w:asciiTheme="minorHAnsi" w:hAnsiTheme="minorHAnsi"/>
        </w:rPr>
        <w:t>The combined gender</w:t>
      </w:r>
      <w:r w:rsidR="0057747D" w:rsidRPr="004A132D">
        <w:rPr>
          <w:rFonts w:asciiTheme="minorHAnsi" w:hAnsiTheme="minorHAnsi"/>
        </w:rPr>
        <w:t xml:space="preserve"> equality</w:t>
      </w:r>
      <w:r w:rsidR="002329C6" w:rsidRPr="004A132D">
        <w:rPr>
          <w:rFonts w:asciiTheme="minorHAnsi" w:hAnsiTheme="minorHAnsi"/>
        </w:rPr>
        <w:t xml:space="preserve"> mandate and climate goal </w:t>
      </w:r>
      <w:r w:rsidRPr="004A132D">
        <w:rPr>
          <w:rFonts w:asciiTheme="minorHAnsi" w:hAnsiTheme="minorHAnsi"/>
        </w:rPr>
        <w:t xml:space="preserve">puts in place systematic </w:t>
      </w:r>
      <w:r w:rsidRPr="004A132D">
        <w:rPr>
          <w:rFonts w:asciiTheme="minorHAnsi" w:hAnsiTheme="minorHAnsi"/>
        </w:rPr>
        <w:lastRenderedPageBreak/>
        <w:t>change that ensure</w:t>
      </w:r>
      <w:r w:rsidR="009B2A2A" w:rsidRPr="004A132D">
        <w:rPr>
          <w:rFonts w:asciiTheme="minorHAnsi" w:hAnsiTheme="minorHAnsi"/>
        </w:rPr>
        <w:t>s</w:t>
      </w:r>
      <w:r w:rsidRPr="004A132D">
        <w:rPr>
          <w:rFonts w:asciiTheme="minorHAnsi" w:hAnsiTheme="minorHAnsi"/>
        </w:rPr>
        <w:t xml:space="preserve"> </w:t>
      </w:r>
      <w:r w:rsidR="0057747D" w:rsidRPr="004A132D">
        <w:rPr>
          <w:rFonts w:asciiTheme="minorHAnsi" w:hAnsiTheme="minorHAnsi"/>
        </w:rPr>
        <w:t xml:space="preserve">gender equality and </w:t>
      </w:r>
      <w:r w:rsidRPr="004A132D">
        <w:rPr>
          <w:rFonts w:asciiTheme="minorHAnsi" w:hAnsiTheme="minorHAnsi"/>
        </w:rPr>
        <w:t xml:space="preserve">women </w:t>
      </w:r>
      <w:r w:rsidR="0057747D" w:rsidRPr="004A132D">
        <w:rPr>
          <w:rFonts w:asciiTheme="minorHAnsi" w:hAnsiTheme="minorHAnsi"/>
        </w:rPr>
        <w:t xml:space="preserve">and girl’s empowerment </w:t>
      </w:r>
      <w:r w:rsidRPr="004A132D">
        <w:rPr>
          <w:rFonts w:asciiTheme="minorHAnsi" w:hAnsiTheme="minorHAnsi"/>
        </w:rPr>
        <w:t xml:space="preserve">have a central role in </w:t>
      </w:r>
      <w:r w:rsidR="009C2567" w:rsidRPr="004A132D">
        <w:rPr>
          <w:rFonts w:asciiTheme="minorHAnsi" w:hAnsiTheme="minorHAnsi"/>
        </w:rPr>
        <w:t xml:space="preserve">Australia’s </w:t>
      </w:r>
      <w:r w:rsidRPr="004A132D">
        <w:rPr>
          <w:rFonts w:asciiTheme="minorHAnsi" w:hAnsiTheme="minorHAnsi"/>
        </w:rPr>
        <w:t xml:space="preserve">growing </w:t>
      </w:r>
      <w:r w:rsidR="009C2567" w:rsidRPr="004A132D">
        <w:rPr>
          <w:rFonts w:asciiTheme="minorHAnsi" w:hAnsiTheme="minorHAnsi"/>
        </w:rPr>
        <w:t xml:space="preserve">international </w:t>
      </w:r>
      <w:r w:rsidRPr="004A132D">
        <w:rPr>
          <w:rFonts w:asciiTheme="minorHAnsi" w:hAnsiTheme="minorHAnsi"/>
        </w:rPr>
        <w:t>climate and disaster resilience work.</w:t>
      </w:r>
    </w:p>
    <w:p w14:paraId="0EC40903" w14:textId="77777777" w:rsidR="00EE6E07" w:rsidRPr="005F6B4E" w:rsidRDefault="001B090C" w:rsidP="005F6B4E">
      <w:pPr>
        <w:pStyle w:val="Heading1"/>
      </w:pPr>
      <w:bookmarkStart w:id="78" w:name="_Toc174011693"/>
      <w:bookmarkStart w:id="79" w:name="_Toc175556788"/>
      <w:r w:rsidRPr="005F6B4E">
        <w:t xml:space="preserve">Question 12: </w:t>
      </w:r>
      <w:r w:rsidR="00EE6E07" w:rsidRPr="005F6B4E">
        <w:t>Trafficking, exploitation of prostitution</w:t>
      </w:r>
      <w:bookmarkEnd w:id="78"/>
      <w:bookmarkEnd w:id="79"/>
    </w:p>
    <w:p w14:paraId="119A7F80" w14:textId="551292F5" w:rsidR="00EE6E07" w:rsidRPr="004A132D" w:rsidRDefault="00694E11" w:rsidP="001D0FA3">
      <w:pPr>
        <w:pStyle w:val="Heading2"/>
        <w:tabs>
          <w:tab w:val="clear" w:pos="2268"/>
          <w:tab w:val="clear" w:pos="2835"/>
        </w:tabs>
      </w:pPr>
      <w:bookmarkStart w:id="80" w:name="_Toc174011694"/>
      <w:bookmarkStart w:id="81" w:name="_Toc175556789"/>
      <w:r w:rsidRPr="004A132D">
        <w:t xml:space="preserve">Question 12a: </w:t>
      </w:r>
      <w:r w:rsidR="001B090C" w:rsidRPr="004A132D">
        <w:t>Number of investigations, prosecutions, convictions and sentences imposed on traffickers</w:t>
      </w:r>
      <w:bookmarkEnd w:id="80"/>
      <w:bookmarkEnd w:id="81"/>
    </w:p>
    <w:p w14:paraId="6F1A08F2" w14:textId="77777777" w:rsidR="00064275" w:rsidRPr="004A132D" w:rsidRDefault="00064275" w:rsidP="0002378E">
      <w:pPr>
        <w:pStyle w:val="Numbers"/>
        <w:tabs>
          <w:tab w:val="clear" w:pos="2268"/>
          <w:tab w:val="clear" w:pos="2835"/>
        </w:tabs>
        <w:ind w:left="1418"/>
        <w:rPr>
          <w:rFonts w:asciiTheme="minorHAnsi" w:hAnsiTheme="minorHAnsi"/>
        </w:rPr>
      </w:pPr>
      <w:r w:rsidRPr="004A132D">
        <w:rPr>
          <w:rFonts w:asciiTheme="minorHAnsi" w:hAnsiTheme="minorHAnsi"/>
        </w:rPr>
        <w:t xml:space="preserve">Australia's laws criminalising human trafficking </w:t>
      </w:r>
      <w:r w:rsidR="003B7A3A" w:rsidRPr="004A132D">
        <w:rPr>
          <w:rFonts w:asciiTheme="minorHAnsi" w:hAnsiTheme="minorHAnsi"/>
          <w:lang w:val="en-AU"/>
        </w:rPr>
        <w:t xml:space="preserve">and other forms of modern slavery </w:t>
      </w:r>
      <w:r w:rsidRPr="004A132D">
        <w:rPr>
          <w:rFonts w:asciiTheme="minorHAnsi" w:hAnsiTheme="minorHAnsi"/>
        </w:rPr>
        <w:t xml:space="preserve">are contained within </w:t>
      </w:r>
      <w:r w:rsidR="003B7A3A" w:rsidRPr="004A132D">
        <w:rPr>
          <w:rFonts w:asciiTheme="minorHAnsi" w:hAnsiTheme="minorHAnsi"/>
          <w:lang w:val="en-AU"/>
        </w:rPr>
        <w:t xml:space="preserve">Divisions 270 and 271 of </w:t>
      </w:r>
      <w:r w:rsidRPr="004A132D">
        <w:rPr>
          <w:rFonts w:asciiTheme="minorHAnsi" w:hAnsiTheme="minorHAnsi"/>
        </w:rPr>
        <w:t xml:space="preserve">the </w:t>
      </w:r>
      <w:r w:rsidR="00D97334" w:rsidRPr="004A132D">
        <w:rPr>
          <w:rFonts w:asciiTheme="minorHAnsi" w:hAnsiTheme="minorHAnsi"/>
        </w:rPr>
        <w:t>Criminal Code Act.</w:t>
      </w:r>
    </w:p>
    <w:p w14:paraId="54D615A3" w14:textId="561EDC9F" w:rsidR="00D37A3D" w:rsidRPr="004A132D" w:rsidRDefault="00D37A3D" w:rsidP="0002378E">
      <w:pPr>
        <w:pStyle w:val="Numbers"/>
        <w:tabs>
          <w:tab w:val="clear" w:pos="2268"/>
          <w:tab w:val="clear" w:pos="2835"/>
        </w:tabs>
        <w:ind w:left="1418"/>
        <w:rPr>
          <w:rFonts w:asciiTheme="minorHAnsi" w:hAnsiTheme="minorHAnsi"/>
        </w:rPr>
      </w:pPr>
      <w:r w:rsidRPr="004A132D">
        <w:rPr>
          <w:rFonts w:asciiTheme="minorHAnsi" w:hAnsiTheme="minorHAnsi"/>
        </w:rPr>
        <w:t xml:space="preserve">The following table provides a breakdown of referrals of human trafficking received by the </w:t>
      </w:r>
      <w:r w:rsidR="00B102E7" w:rsidRPr="004A132D">
        <w:rPr>
          <w:rFonts w:asciiTheme="minorHAnsi" w:hAnsiTheme="minorHAnsi"/>
        </w:rPr>
        <w:t>Australian Federal Police</w:t>
      </w:r>
      <w:r w:rsidRPr="004A132D">
        <w:rPr>
          <w:rFonts w:asciiTheme="minorHAnsi" w:hAnsiTheme="minorHAnsi"/>
        </w:rPr>
        <w:t xml:space="preserve"> by offence category </w:t>
      </w:r>
      <w:r w:rsidR="009A1EA9" w:rsidRPr="004A132D">
        <w:rPr>
          <w:rFonts w:asciiTheme="minorHAnsi" w:hAnsiTheme="minorHAnsi"/>
        </w:rPr>
        <w:t xml:space="preserve">for the previous </w:t>
      </w:r>
      <w:r w:rsidR="009B2A2A" w:rsidRPr="004A132D">
        <w:rPr>
          <w:rFonts w:asciiTheme="minorHAnsi" w:hAnsiTheme="minorHAnsi"/>
        </w:rPr>
        <w:br/>
      </w:r>
      <w:r w:rsidR="00520DF4" w:rsidRPr="004A132D">
        <w:rPr>
          <w:rFonts w:asciiTheme="minorHAnsi" w:hAnsiTheme="minorHAnsi"/>
        </w:rPr>
        <w:t>5</w:t>
      </w:r>
      <w:r w:rsidR="009A1EA9" w:rsidRPr="004A132D">
        <w:rPr>
          <w:rFonts w:asciiTheme="minorHAnsi" w:hAnsiTheme="minorHAnsi"/>
        </w:rPr>
        <w:t xml:space="preserve"> financial years</w:t>
      </w:r>
      <w:r w:rsidRPr="004A132D">
        <w:rPr>
          <w:rFonts w:asciiTheme="minorHAnsi" w:hAnsiTheme="minorHAnsi"/>
        </w:rPr>
        <w:t xml:space="preserve">. </w:t>
      </w:r>
      <w:r w:rsidR="00B102E7" w:rsidRPr="004A132D">
        <w:rPr>
          <w:rFonts w:asciiTheme="minorHAnsi" w:hAnsiTheme="minorHAnsi"/>
        </w:rPr>
        <w:t>All re</w:t>
      </w:r>
      <w:r w:rsidR="00064275" w:rsidRPr="004A132D">
        <w:rPr>
          <w:rFonts w:asciiTheme="minorHAnsi" w:hAnsiTheme="minorHAnsi"/>
        </w:rPr>
        <w:t>ferrals</w:t>
      </w:r>
      <w:r w:rsidR="00B102E7" w:rsidRPr="004A132D">
        <w:rPr>
          <w:rFonts w:asciiTheme="minorHAnsi" w:hAnsiTheme="minorHAnsi"/>
        </w:rPr>
        <w:t xml:space="preserve"> are reviewed and investigated.</w:t>
      </w:r>
    </w:p>
    <w:tbl>
      <w:tblPr>
        <w:tblW w:w="4075"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1333"/>
        <w:gridCol w:w="1333"/>
        <w:gridCol w:w="1333"/>
        <w:gridCol w:w="1333"/>
        <w:gridCol w:w="1330"/>
      </w:tblGrid>
      <w:tr w:rsidR="00064275" w:rsidRPr="004A132D" w14:paraId="48D5293D" w14:textId="77777777" w:rsidTr="005F6B4E">
        <w:trPr>
          <w:trHeight w:val="340"/>
        </w:trPr>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3408F372" w14:textId="56E6ED25" w:rsidR="00064275" w:rsidRPr="0052505F" w:rsidRDefault="0052505F" w:rsidP="0052505F">
            <w:pPr>
              <w:spacing w:line="252" w:lineRule="auto"/>
              <w:ind w:left="720" w:hanging="685"/>
              <w:rPr>
                <w:rFonts w:eastAsiaTheme="minorEastAsia"/>
                <w:b/>
              </w:rPr>
            </w:pPr>
            <w:r w:rsidRPr="0052505F">
              <w:rPr>
                <w:b/>
                <w:bCs/>
              </w:rPr>
              <w:t>AFP Referrals</w:t>
            </w:r>
            <w:r w:rsidR="00064275" w:rsidRPr="0052505F">
              <w:rPr>
                <w:b/>
                <w:bCs/>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701F19" w14:textId="77777777" w:rsidR="00064275" w:rsidRPr="004A132D" w:rsidRDefault="00064275" w:rsidP="00064275">
            <w:pPr>
              <w:spacing w:line="252" w:lineRule="auto"/>
              <w:jc w:val="center"/>
              <w:rPr>
                <w:b/>
              </w:rPr>
            </w:pPr>
            <w:r w:rsidRPr="004A132D">
              <w:rPr>
                <w:b/>
              </w:rPr>
              <w:t>2018-19 FY</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5F540" w14:textId="77777777" w:rsidR="00064275" w:rsidRPr="004A132D" w:rsidRDefault="00064275" w:rsidP="00064275">
            <w:pPr>
              <w:spacing w:line="252" w:lineRule="auto"/>
              <w:jc w:val="center"/>
              <w:rPr>
                <w:b/>
              </w:rPr>
            </w:pPr>
            <w:r w:rsidRPr="004A132D">
              <w:rPr>
                <w:b/>
              </w:rPr>
              <w:t>2019-20 FY</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307E52B2" w14:textId="77777777" w:rsidR="00064275" w:rsidRPr="004A132D" w:rsidRDefault="00064275" w:rsidP="00064275">
            <w:pPr>
              <w:spacing w:line="252" w:lineRule="auto"/>
              <w:jc w:val="center"/>
              <w:rPr>
                <w:b/>
              </w:rPr>
            </w:pPr>
            <w:r w:rsidRPr="004A132D">
              <w:rPr>
                <w:b/>
              </w:rPr>
              <w:t>2020-21 FY</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79374436" w14:textId="77777777" w:rsidR="00064275" w:rsidRPr="004A132D" w:rsidRDefault="00064275" w:rsidP="00064275">
            <w:pPr>
              <w:spacing w:line="252" w:lineRule="auto"/>
              <w:jc w:val="center"/>
              <w:rPr>
                <w:b/>
              </w:rPr>
            </w:pPr>
            <w:r w:rsidRPr="004A132D">
              <w:rPr>
                <w:b/>
              </w:rPr>
              <w:t>2021-22 FY</w:t>
            </w:r>
          </w:p>
        </w:tc>
        <w:tc>
          <w:tcPr>
            <w:tcW w:w="7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40CBBE" w14:textId="77777777" w:rsidR="00064275" w:rsidRPr="004A132D" w:rsidRDefault="00064275" w:rsidP="00064275">
            <w:pPr>
              <w:spacing w:line="252" w:lineRule="auto"/>
              <w:jc w:val="center"/>
              <w:rPr>
                <w:b/>
                <w:bCs/>
              </w:rPr>
            </w:pPr>
            <w:r w:rsidRPr="004A132D">
              <w:rPr>
                <w:b/>
                <w:bCs/>
              </w:rPr>
              <w:t>2022/23 FY</w:t>
            </w:r>
          </w:p>
        </w:tc>
      </w:tr>
      <w:tr w:rsidR="00064275" w:rsidRPr="004A132D" w14:paraId="6288978B" w14:textId="77777777" w:rsidTr="005F6B4E">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349BF49C" w14:textId="77777777" w:rsidR="00064275" w:rsidRPr="004A132D" w:rsidRDefault="00064275" w:rsidP="00064275">
            <w:pPr>
              <w:spacing w:line="252" w:lineRule="auto"/>
            </w:pPr>
            <w:r w:rsidRPr="004A132D">
              <w:rPr>
                <w:bCs/>
              </w:rPr>
              <w:t>Forced Marriage</w:t>
            </w:r>
          </w:p>
        </w:tc>
        <w:tc>
          <w:tcPr>
            <w:tcW w:w="771" w:type="pct"/>
            <w:tcBorders>
              <w:top w:val="single" w:sz="4" w:space="0" w:color="auto"/>
              <w:left w:val="single" w:sz="4" w:space="0" w:color="auto"/>
              <w:bottom w:val="single" w:sz="4" w:space="0" w:color="auto"/>
              <w:right w:val="single" w:sz="4" w:space="0" w:color="auto"/>
            </w:tcBorders>
            <w:vAlign w:val="center"/>
          </w:tcPr>
          <w:p w14:paraId="5E03CA47" w14:textId="77777777" w:rsidR="00064275" w:rsidRPr="004A132D" w:rsidRDefault="00064275" w:rsidP="00064275">
            <w:pPr>
              <w:spacing w:line="252" w:lineRule="auto"/>
              <w:jc w:val="center"/>
            </w:pPr>
            <w:r w:rsidRPr="004A132D">
              <w:t>95</w:t>
            </w:r>
          </w:p>
        </w:tc>
        <w:tc>
          <w:tcPr>
            <w:tcW w:w="771" w:type="pct"/>
            <w:tcBorders>
              <w:top w:val="single" w:sz="4" w:space="0" w:color="auto"/>
              <w:left w:val="single" w:sz="4" w:space="0" w:color="auto"/>
              <w:bottom w:val="single" w:sz="4" w:space="0" w:color="auto"/>
              <w:right w:val="single" w:sz="4" w:space="0" w:color="auto"/>
            </w:tcBorders>
            <w:vAlign w:val="center"/>
          </w:tcPr>
          <w:p w14:paraId="5273FC2E" w14:textId="77777777" w:rsidR="00064275" w:rsidRPr="004A132D" w:rsidRDefault="00064275" w:rsidP="00064275">
            <w:pPr>
              <w:spacing w:line="252" w:lineRule="auto"/>
              <w:jc w:val="center"/>
            </w:pPr>
            <w:r w:rsidRPr="004A132D">
              <w:t>92</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69E4A40" w14:textId="77777777" w:rsidR="00064275" w:rsidRPr="004A132D" w:rsidRDefault="00064275" w:rsidP="00064275">
            <w:pPr>
              <w:spacing w:line="252" w:lineRule="auto"/>
              <w:jc w:val="center"/>
            </w:pPr>
            <w:r w:rsidRPr="004A132D">
              <w:t>79</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1935569" w14:textId="77777777" w:rsidR="00064275" w:rsidRPr="004A132D" w:rsidRDefault="00064275" w:rsidP="00064275">
            <w:pPr>
              <w:spacing w:line="252" w:lineRule="auto"/>
              <w:jc w:val="center"/>
            </w:pPr>
            <w:r w:rsidRPr="004A132D">
              <w:t>84</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08705" w14:textId="77777777" w:rsidR="00064275" w:rsidRPr="004A132D" w:rsidRDefault="00064275" w:rsidP="00064275">
            <w:pPr>
              <w:spacing w:line="252" w:lineRule="auto"/>
              <w:jc w:val="center"/>
              <w:rPr>
                <w:bCs/>
              </w:rPr>
            </w:pPr>
            <w:r w:rsidRPr="004A132D">
              <w:rPr>
                <w:bCs/>
              </w:rPr>
              <w:t>90</w:t>
            </w:r>
          </w:p>
        </w:tc>
      </w:tr>
      <w:tr w:rsidR="00064275" w:rsidRPr="004A132D" w14:paraId="063E51A6" w14:textId="77777777" w:rsidTr="005F6B4E">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2D2A8956" w14:textId="77777777" w:rsidR="00064275" w:rsidRPr="004A132D" w:rsidRDefault="00064275" w:rsidP="00064275">
            <w:pPr>
              <w:spacing w:line="252" w:lineRule="auto"/>
            </w:pPr>
            <w:r w:rsidRPr="004A132D">
              <w:rPr>
                <w:bCs/>
              </w:rPr>
              <w:t>Sexual Servitude</w:t>
            </w:r>
          </w:p>
        </w:tc>
        <w:tc>
          <w:tcPr>
            <w:tcW w:w="771" w:type="pct"/>
            <w:tcBorders>
              <w:top w:val="single" w:sz="4" w:space="0" w:color="auto"/>
              <w:left w:val="single" w:sz="4" w:space="0" w:color="auto"/>
              <w:bottom w:val="single" w:sz="4" w:space="0" w:color="auto"/>
              <w:right w:val="single" w:sz="4" w:space="0" w:color="auto"/>
            </w:tcBorders>
            <w:vAlign w:val="center"/>
          </w:tcPr>
          <w:p w14:paraId="53E379EA" w14:textId="77777777" w:rsidR="00064275" w:rsidRPr="004A132D" w:rsidRDefault="00064275" w:rsidP="00064275">
            <w:pPr>
              <w:spacing w:line="252" w:lineRule="auto"/>
              <w:jc w:val="center"/>
            </w:pPr>
            <w:r w:rsidRPr="004A132D">
              <w:t>31</w:t>
            </w:r>
          </w:p>
        </w:tc>
        <w:tc>
          <w:tcPr>
            <w:tcW w:w="771" w:type="pct"/>
            <w:tcBorders>
              <w:top w:val="single" w:sz="4" w:space="0" w:color="auto"/>
              <w:left w:val="single" w:sz="4" w:space="0" w:color="auto"/>
              <w:bottom w:val="single" w:sz="4" w:space="0" w:color="auto"/>
              <w:right w:val="single" w:sz="4" w:space="0" w:color="auto"/>
            </w:tcBorders>
            <w:vAlign w:val="center"/>
          </w:tcPr>
          <w:p w14:paraId="58C8DF65" w14:textId="77777777" w:rsidR="00064275" w:rsidRPr="004A132D" w:rsidRDefault="00064275" w:rsidP="00064275">
            <w:pPr>
              <w:spacing w:line="252" w:lineRule="auto"/>
              <w:jc w:val="center"/>
            </w:pPr>
            <w:r w:rsidRPr="004A132D">
              <w:t>40</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2D2F1A48" w14:textId="77777777" w:rsidR="00064275" w:rsidRPr="004A132D" w:rsidRDefault="00064275" w:rsidP="00064275">
            <w:pPr>
              <w:spacing w:line="252" w:lineRule="auto"/>
              <w:jc w:val="center"/>
            </w:pPr>
            <w:r w:rsidRPr="004A132D">
              <w:t>42</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31007EA" w14:textId="77777777" w:rsidR="00064275" w:rsidRPr="004A132D" w:rsidRDefault="00064275" w:rsidP="00064275">
            <w:pPr>
              <w:spacing w:line="252" w:lineRule="auto"/>
              <w:jc w:val="center"/>
            </w:pPr>
            <w:r w:rsidRPr="004A132D">
              <w:t>54</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C41A0" w14:textId="77777777" w:rsidR="00064275" w:rsidRPr="004A132D" w:rsidRDefault="00064275" w:rsidP="00064275">
            <w:pPr>
              <w:spacing w:line="252" w:lineRule="auto"/>
              <w:jc w:val="center"/>
              <w:rPr>
                <w:bCs/>
              </w:rPr>
            </w:pPr>
            <w:r w:rsidRPr="004A132D">
              <w:rPr>
                <w:bCs/>
              </w:rPr>
              <w:t>73</w:t>
            </w:r>
          </w:p>
        </w:tc>
      </w:tr>
      <w:tr w:rsidR="00064275" w:rsidRPr="004A132D" w14:paraId="36B5C03B" w14:textId="77777777" w:rsidTr="005F6B4E">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1FCF1277" w14:textId="77777777" w:rsidR="00064275" w:rsidRPr="004A132D" w:rsidRDefault="00064275" w:rsidP="00064275">
            <w:pPr>
              <w:spacing w:line="252" w:lineRule="auto"/>
            </w:pPr>
            <w:r w:rsidRPr="004A132D">
              <w:rPr>
                <w:bCs/>
              </w:rPr>
              <w:t>Forced Labour</w:t>
            </w:r>
          </w:p>
        </w:tc>
        <w:tc>
          <w:tcPr>
            <w:tcW w:w="771" w:type="pct"/>
            <w:tcBorders>
              <w:top w:val="single" w:sz="4" w:space="0" w:color="auto"/>
              <w:left w:val="single" w:sz="4" w:space="0" w:color="auto"/>
              <w:bottom w:val="single" w:sz="4" w:space="0" w:color="auto"/>
              <w:right w:val="single" w:sz="4" w:space="0" w:color="auto"/>
            </w:tcBorders>
            <w:vAlign w:val="center"/>
          </w:tcPr>
          <w:p w14:paraId="66042BCE" w14:textId="77777777" w:rsidR="00064275" w:rsidRPr="004A132D" w:rsidRDefault="00064275" w:rsidP="00064275">
            <w:pPr>
              <w:spacing w:line="252" w:lineRule="auto"/>
              <w:jc w:val="center"/>
            </w:pPr>
            <w:r w:rsidRPr="004A132D">
              <w:t>29</w:t>
            </w:r>
          </w:p>
        </w:tc>
        <w:tc>
          <w:tcPr>
            <w:tcW w:w="771" w:type="pct"/>
            <w:tcBorders>
              <w:top w:val="single" w:sz="4" w:space="0" w:color="auto"/>
              <w:left w:val="single" w:sz="4" w:space="0" w:color="auto"/>
              <w:bottom w:val="single" w:sz="4" w:space="0" w:color="auto"/>
              <w:right w:val="single" w:sz="4" w:space="0" w:color="auto"/>
            </w:tcBorders>
            <w:vAlign w:val="center"/>
          </w:tcPr>
          <w:p w14:paraId="4911701A" w14:textId="77777777" w:rsidR="00064275" w:rsidRPr="004A132D" w:rsidRDefault="00064275" w:rsidP="00064275">
            <w:pPr>
              <w:spacing w:line="252" w:lineRule="auto"/>
              <w:jc w:val="center"/>
            </w:pPr>
            <w:r w:rsidRPr="004A132D">
              <w:t>29</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D066F5C" w14:textId="77777777" w:rsidR="00064275" w:rsidRPr="004A132D" w:rsidRDefault="00064275" w:rsidP="00064275">
            <w:pPr>
              <w:spacing w:line="252" w:lineRule="auto"/>
              <w:jc w:val="center"/>
            </w:pPr>
            <w:r w:rsidRPr="004A132D">
              <w:t>35</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AEAF510" w14:textId="77777777" w:rsidR="00064275" w:rsidRPr="004A132D" w:rsidRDefault="00064275" w:rsidP="00064275">
            <w:pPr>
              <w:spacing w:line="252" w:lineRule="auto"/>
              <w:jc w:val="center"/>
            </w:pPr>
            <w:r w:rsidRPr="004A132D">
              <w:t>42</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83C14" w14:textId="77777777" w:rsidR="00064275" w:rsidRPr="004A132D" w:rsidRDefault="00064275" w:rsidP="00064275">
            <w:pPr>
              <w:spacing w:line="252" w:lineRule="auto"/>
              <w:jc w:val="center"/>
              <w:rPr>
                <w:bCs/>
              </w:rPr>
            </w:pPr>
            <w:r w:rsidRPr="004A132D">
              <w:rPr>
                <w:bCs/>
              </w:rPr>
              <w:t>57</w:t>
            </w:r>
          </w:p>
        </w:tc>
      </w:tr>
      <w:tr w:rsidR="00064275" w:rsidRPr="004A132D" w14:paraId="70184B05" w14:textId="77777777" w:rsidTr="005F6B4E">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759C5FA9" w14:textId="77777777" w:rsidR="00064275" w:rsidRPr="004A132D" w:rsidRDefault="00064275" w:rsidP="00064275">
            <w:pPr>
              <w:spacing w:line="252" w:lineRule="auto"/>
            </w:pPr>
            <w:r w:rsidRPr="004A132D">
              <w:rPr>
                <w:bCs/>
              </w:rPr>
              <w:t>Child Trafficking</w:t>
            </w:r>
          </w:p>
        </w:tc>
        <w:tc>
          <w:tcPr>
            <w:tcW w:w="771" w:type="pct"/>
            <w:tcBorders>
              <w:top w:val="single" w:sz="4" w:space="0" w:color="auto"/>
              <w:left w:val="single" w:sz="4" w:space="0" w:color="auto"/>
              <w:bottom w:val="single" w:sz="4" w:space="0" w:color="auto"/>
              <w:right w:val="single" w:sz="4" w:space="0" w:color="auto"/>
            </w:tcBorders>
            <w:vAlign w:val="center"/>
          </w:tcPr>
          <w:p w14:paraId="0B0EDA7F" w14:textId="77777777" w:rsidR="00064275" w:rsidRPr="004A132D" w:rsidRDefault="00064275" w:rsidP="00064275">
            <w:pPr>
              <w:spacing w:line="252" w:lineRule="auto"/>
              <w:jc w:val="center"/>
            </w:pPr>
            <w:r w:rsidRPr="004A132D">
              <w:t>7</w:t>
            </w:r>
          </w:p>
        </w:tc>
        <w:tc>
          <w:tcPr>
            <w:tcW w:w="771" w:type="pct"/>
            <w:tcBorders>
              <w:top w:val="single" w:sz="4" w:space="0" w:color="auto"/>
              <w:left w:val="single" w:sz="4" w:space="0" w:color="auto"/>
              <w:bottom w:val="single" w:sz="4" w:space="0" w:color="auto"/>
              <w:right w:val="single" w:sz="4" w:space="0" w:color="auto"/>
            </w:tcBorders>
            <w:vAlign w:val="center"/>
          </w:tcPr>
          <w:p w14:paraId="53E0F69A" w14:textId="77777777" w:rsidR="00064275" w:rsidRPr="004A132D" w:rsidRDefault="00064275" w:rsidP="00064275">
            <w:pPr>
              <w:spacing w:line="252" w:lineRule="auto"/>
              <w:jc w:val="center"/>
            </w:pPr>
            <w:r w:rsidRPr="004A132D">
              <w:t>&lt;5</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861622F" w14:textId="77777777" w:rsidR="00064275" w:rsidRPr="004A132D" w:rsidRDefault="00064275" w:rsidP="00064275">
            <w:pPr>
              <w:spacing w:line="252" w:lineRule="auto"/>
              <w:jc w:val="center"/>
            </w:pPr>
            <w:r w:rsidRPr="004A132D">
              <w:t>12</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B00A906" w14:textId="77777777" w:rsidR="00064275" w:rsidRPr="004A132D" w:rsidRDefault="00064275" w:rsidP="00064275">
            <w:pPr>
              <w:spacing w:line="252" w:lineRule="auto"/>
              <w:jc w:val="center"/>
            </w:pPr>
            <w:r w:rsidRPr="004A132D">
              <w:t>21</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12012" w14:textId="77777777" w:rsidR="00064275" w:rsidRPr="004A132D" w:rsidRDefault="00064275" w:rsidP="00064275">
            <w:pPr>
              <w:spacing w:line="252" w:lineRule="auto"/>
              <w:jc w:val="center"/>
              <w:rPr>
                <w:bCs/>
              </w:rPr>
            </w:pPr>
            <w:r w:rsidRPr="004A132D">
              <w:rPr>
                <w:bCs/>
              </w:rPr>
              <w:t>22</w:t>
            </w:r>
          </w:p>
        </w:tc>
      </w:tr>
      <w:tr w:rsidR="00064275" w:rsidRPr="004A132D" w14:paraId="7630202F" w14:textId="77777777" w:rsidTr="005F6B4E">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6F030203" w14:textId="77777777" w:rsidR="00064275" w:rsidRPr="004A132D" w:rsidRDefault="00064275" w:rsidP="00064275">
            <w:pPr>
              <w:spacing w:line="252" w:lineRule="auto"/>
            </w:pPr>
            <w:r w:rsidRPr="004A132D">
              <w:rPr>
                <w:bCs/>
              </w:rPr>
              <w:t>Trafficking in Persons</w:t>
            </w:r>
          </w:p>
        </w:tc>
        <w:tc>
          <w:tcPr>
            <w:tcW w:w="771" w:type="pct"/>
            <w:tcBorders>
              <w:top w:val="single" w:sz="4" w:space="0" w:color="auto"/>
              <w:left w:val="single" w:sz="4" w:space="0" w:color="auto"/>
              <w:bottom w:val="single" w:sz="4" w:space="0" w:color="auto"/>
              <w:right w:val="single" w:sz="4" w:space="0" w:color="auto"/>
            </w:tcBorders>
            <w:vAlign w:val="center"/>
          </w:tcPr>
          <w:p w14:paraId="61712F63" w14:textId="77777777" w:rsidR="00064275" w:rsidRPr="004A132D" w:rsidRDefault="00064275" w:rsidP="00064275">
            <w:pPr>
              <w:spacing w:line="252" w:lineRule="auto"/>
              <w:jc w:val="center"/>
            </w:pPr>
            <w:r w:rsidRPr="004A132D">
              <w:t>20</w:t>
            </w:r>
          </w:p>
        </w:tc>
        <w:tc>
          <w:tcPr>
            <w:tcW w:w="771" w:type="pct"/>
            <w:tcBorders>
              <w:top w:val="single" w:sz="4" w:space="0" w:color="auto"/>
              <w:left w:val="single" w:sz="4" w:space="0" w:color="auto"/>
              <w:bottom w:val="single" w:sz="4" w:space="0" w:color="auto"/>
              <w:right w:val="single" w:sz="4" w:space="0" w:color="auto"/>
            </w:tcBorders>
            <w:vAlign w:val="center"/>
          </w:tcPr>
          <w:p w14:paraId="4E33E45F" w14:textId="77777777" w:rsidR="00064275" w:rsidRPr="004A132D" w:rsidRDefault="00064275" w:rsidP="00064275">
            <w:pPr>
              <w:spacing w:line="252" w:lineRule="auto"/>
              <w:jc w:val="center"/>
            </w:pPr>
            <w:r w:rsidRPr="004A132D">
              <w:t>&lt;5</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7CCF092" w14:textId="77777777" w:rsidR="00064275" w:rsidRPr="004A132D" w:rsidRDefault="00064275" w:rsidP="00064275">
            <w:pPr>
              <w:spacing w:line="252" w:lineRule="auto"/>
              <w:jc w:val="center"/>
            </w:pPr>
            <w:r w:rsidRPr="004A132D">
              <w:t>12</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C35E5A2" w14:textId="77777777" w:rsidR="00064275" w:rsidRPr="004A132D" w:rsidRDefault="00064275" w:rsidP="00064275">
            <w:pPr>
              <w:spacing w:line="252" w:lineRule="auto"/>
              <w:jc w:val="center"/>
            </w:pPr>
            <w:r w:rsidRPr="004A132D">
              <w:t>19</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75476" w14:textId="77777777" w:rsidR="00064275" w:rsidRPr="004A132D" w:rsidRDefault="00064275" w:rsidP="00064275">
            <w:pPr>
              <w:spacing w:line="252" w:lineRule="auto"/>
              <w:jc w:val="center"/>
              <w:rPr>
                <w:bCs/>
              </w:rPr>
            </w:pPr>
            <w:r w:rsidRPr="004A132D">
              <w:rPr>
                <w:bCs/>
              </w:rPr>
              <w:t>38</w:t>
            </w:r>
          </w:p>
        </w:tc>
      </w:tr>
      <w:tr w:rsidR="00064275" w:rsidRPr="004A132D" w14:paraId="724E82D5" w14:textId="77777777" w:rsidTr="005F6B4E">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2F4FABCD" w14:textId="77777777" w:rsidR="00064275" w:rsidRPr="004A132D" w:rsidRDefault="00064275" w:rsidP="00064275">
            <w:pPr>
              <w:spacing w:line="252" w:lineRule="auto"/>
            </w:pPr>
            <w:r w:rsidRPr="004A132D">
              <w:rPr>
                <w:bCs/>
              </w:rPr>
              <w:t>Exit Trafficking</w:t>
            </w:r>
          </w:p>
        </w:tc>
        <w:tc>
          <w:tcPr>
            <w:tcW w:w="771" w:type="pct"/>
            <w:tcBorders>
              <w:top w:val="single" w:sz="4" w:space="0" w:color="auto"/>
              <w:left w:val="single" w:sz="4" w:space="0" w:color="auto"/>
              <w:bottom w:val="single" w:sz="4" w:space="0" w:color="auto"/>
              <w:right w:val="single" w:sz="4" w:space="0" w:color="auto"/>
            </w:tcBorders>
            <w:vAlign w:val="center"/>
          </w:tcPr>
          <w:p w14:paraId="1E7EB3B6" w14:textId="77777777" w:rsidR="00064275" w:rsidRPr="004A132D" w:rsidRDefault="00064275" w:rsidP="00064275">
            <w:pPr>
              <w:spacing w:line="252" w:lineRule="auto"/>
              <w:jc w:val="center"/>
            </w:pPr>
            <w:r w:rsidRPr="004A132D">
              <w:t>13</w:t>
            </w:r>
          </w:p>
        </w:tc>
        <w:tc>
          <w:tcPr>
            <w:tcW w:w="771" w:type="pct"/>
            <w:tcBorders>
              <w:top w:val="single" w:sz="4" w:space="0" w:color="auto"/>
              <w:left w:val="single" w:sz="4" w:space="0" w:color="auto"/>
              <w:bottom w:val="single" w:sz="4" w:space="0" w:color="auto"/>
              <w:right w:val="single" w:sz="4" w:space="0" w:color="auto"/>
            </w:tcBorders>
            <w:vAlign w:val="center"/>
          </w:tcPr>
          <w:p w14:paraId="7DC11798" w14:textId="77777777" w:rsidR="00064275" w:rsidRPr="004A132D" w:rsidRDefault="00064275" w:rsidP="00064275">
            <w:pPr>
              <w:spacing w:line="252" w:lineRule="auto"/>
              <w:jc w:val="center"/>
            </w:pPr>
            <w:r w:rsidRPr="004A132D">
              <w:t>24</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3B3112F" w14:textId="77777777" w:rsidR="00064275" w:rsidRPr="004A132D" w:rsidRDefault="00064275" w:rsidP="00064275">
            <w:pPr>
              <w:spacing w:line="252" w:lineRule="auto"/>
              <w:jc w:val="center"/>
            </w:pPr>
            <w:r w:rsidRPr="004A132D">
              <w:t>16</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7A738BA" w14:textId="77777777" w:rsidR="00064275" w:rsidRPr="004A132D" w:rsidRDefault="00064275" w:rsidP="00064275">
            <w:pPr>
              <w:spacing w:line="252" w:lineRule="auto"/>
              <w:jc w:val="center"/>
            </w:pPr>
            <w:r w:rsidRPr="004A132D">
              <w:t>37</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380CC4" w14:textId="77777777" w:rsidR="00064275" w:rsidRPr="004A132D" w:rsidRDefault="00064275" w:rsidP="00064275">
            <w:pPr>
              <w:spacing w:line="252" w:lineRule="auto"/>
              <w:jc w:val="center"/>
              <w:rPr>
                <w:bCs/>
              </w:rPr>
            </w:pPr>
            <w:r w:rsidRPr="004A132D">
              <w:rPr>
                <w:bCs/>
              </w:rPr>
              <w:t>30</w:t>
            </w:r>
          </w:p>
        </w:tc>
      </w:tr>
      <w:tr w:rsidR="00064275" w:rsidRPr="004A132D" w14:paraId="4B65EAE6" w14:textId="77777777" w:rsidTr="005F6B4E">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48FE1818" w14:textId="77777777" w:rsidR="00064275" w:rsidRPr="004A132D" w:rsidRDefault="00064275" w:rsidP="00064275">
            <w:pPr>
              <w:spacing w:line="252" w:lineRule="auto"/>
            </w:pPr>
            <w:r w:rsidRPr="004A132D">
              <w:rPr>
                <w:bCs/>
              </w:rPr>
              <w:t>Debt Bondage</w:t>
            </w:r>
          </w:p>
        </w:tc>
        <w:tc>
          <w:tcPr>
            <w:tcW w:w="771" w:type="pct"/>
            <w:tcBorders>
              <w:top w:val="single" w:sz="4" w:space="0" w:color="auto"/>
              <w:left w:val="single" w:sz="4" w:space="0" w:color="auto"/>
              <w:bottom w:val="single" w:sz="4" w:space="0" w:color="auto"/>
              <w:right w:val="single" w:sz="4" w:space="0" w:color="auto"/>
            </w:tcBorders>
            <w:vAlign w:val="center"/>
          </w:tcPr>
          <w:p w14:paraId="56EF2E27" w14:textId="77777777" w:rsidR="00064275" w:rsidRPr="004A132D" w:rsidRDefault="00064275" w:rsidP="00064275">
            <w:pPr>
              <w:spacing w:line="252" w:lineRule="auto"/>
              <w:jc w:val="center"/>
            </w:pPr>
            <w:r w:rsidRPr="004A132D">
              <w:t>9</w:t>
            </w:r>
          </w:p>
        </w:tc>
        <w:tc>
          <w:tcPr>
            <w:tcW w:w="771" w:type="pct"/>
            <w:tcBorders>
              <w:top w:val="single" w:sz="4" w:space="0" w:color="auto"/>
              <w:left w:val="single" w:sz="4" w:space="0" w:color="auto"/>
              <w:bottom w:val="single" w:sz="4" w:space="0" w:color="auto"/>
              <w:right w:val="single" w:sz="4" w:space="0" w:color="auto"/>
            </w:tcBorders>
            <w:vAlign w:val="center"/>
          </w:tcPr>
          <w:p w14:paraId="30CA7B6A" w14:textId="77777777" w:rsidR="00064275" w:rsidRPr="004A132D" w:rsidRDefault="00064275" w:rsidP="00064275">
            <w:pPr>
              <w:spacing w:line="252" w:lineRule="auto"/>
              <w:jc w:val="center"/>
            </w:pPr>
            <w:r w:rsidRPr="004A132D">
              <w:t>3</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2ED64E7" w14:textId="77777777" w:rsidR="00064275" w:rsidRPr="004A132D" w:rsidRDefault="00064275" w:rsidP="00064275">
            <w:pPr>
              <w:spacing w:line="252" w:lineRule="auto"/>
              <w:jc w:val="center"/>
            </w:pPr>
            <w:r w:rsidRPr="004A132D">
              <w:t>&lt;5</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844D220" w14:textId="77777777" w:rsidR="00064275" w:rsidRPr="004A132D" w:rsidRDefault="00064275" w:rsidP="00064275">
            <w:pPr>
              <w:spacing w:line="252" w:lineRule="auto"/>
              <w:jc w:val="center"/>
            </w:pPr>
            <w:r w:rsidRPr="004A132D">
              <w:t>6</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DF829" w14:textId="77777777" w:rsidR="00064275" w:rsidRPr="004A132D" w:rsidRDefault="00064275" w:rsidP="00064275">
            <w:pPr>
              <w:spacing w:line="252" w:lineRule="auto"/>
              <w:jc w:val="center"/>
              <w:rPr>
                <w:bCs/>
              </w:rPr>
            </w:pPr>
            <w:r w:rsidRPr="004A132D">
              <w:rPr>
                <w:bCs/>
              </w:rPr>
              <w:t>18</w:t>
            </w:r>
          </w:p>
        </w:tc>
      </w:tr>
      <w:tr w:rsidR="00064275" w:rsidRPr="004A132D" w14:paraId="7D84C6AE" w14:textId="77777777" w:rsidTr="005F6B4E">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1FF167A0" w14:textId="77777777" w:rsidR="00064275" w:rsidRPr="004A132D" w:rsidRDefault="00064275" w:rsidP="00064275">
            <w:pPr>
              <w:spacing w:line="252" w:lineRule="auto"/>
            </w:pPr>
            <w:r w:rsidRPr="004A132D">
              <w:rPr>
                <w:bCs/>
              </w:rPr>
              <w:t>Domestic Servitude</w:t>
            </w:r>
          </w:p>
        </w:tc>
        <w:tc>
          <w:tcPr>
            <w:tcW w:w="771" w:type="pct"/>
            <w:tcBorders>
              <w:top w:val="single" w:sz="4" w:space="0" w:color="auto"/>
              <w:left w:val="single" w:sz="4" w:space="0" w:color="auto"/>
              <w:bottom w:val="single" w:sz="4" w:space="0" w:color="auto"/>
              <w:right w:val="single" w:sz="4" w:space="0" w:color="auto"/>
            </w:tcBorders>
            <w:vAlign w:val="center"/>
          </w:tcPr>
          <w:p w14:paraId="0B213873" w14:textId="77777777" w:rsidR="00064275" w:rsidRPr="004A132D" w:rsidRDefault="00064275" w:rsidP="00064275">
            <w:pPr>
              <w:spacing w:line="252" w:lineRule="auto"/>
              <w:jc w:val="center"/>
            </w:pPr>
            <w:r w:rsidRPr="004A132D">
              <w:t>9</w:t>
            </w:r>
          </w:p>
        </w:tc>
        <w:tc>
          <w:tcPr>
            <w:tcW w:w="771" w:type="pct"/>
            <w:tcBorders>
              <w:top w:val="single" w:sz="4" w:space="0" w:color="auto"/>
              <w:left w:val="single" w:sz="4" w:space="0" w:color="auto"/>
              <w:bottom w:val="single" w:sz="4" w:space="0" w:color="auto"/>
              <w:right w:val="single" w:sz="4" w:space="0" w:color="auto"/>
            </w:tcBorders>
            <w:vAlign w:val="center"/>
          </w:tcPr>
          <w:p w14:paraId="147F46A8" w14:textId="77777777" w:rsidR="00064275" w:rsidRPr="004A132D" w:rsidRDefault="00064275" w:rsidP="00064275">
            <w:pPr>
              <w:spacing w:line="252" w:lineRule="auto"/>
              <w:jc w:val="center"/>
            </w:pPr>
            <w:r w:rsidRPr="004A132D">
              <w:t>20</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1C65B51" w14:textId="77777777" w:rsidR="00064275" w:rsidRPr="004A132D" w:rsidRDefault="00064275" w:rsidP="00064275">
            <w:pPr>
              <w:spacing w:line="252" w:lineRule="auto"/>
              <w:jc w:val="center"/>
            </w:pPr>
            <w:r w:rsidRPr="004A132D">
              <w:t>15</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1AA2CC8" w14:textId="77777777" w:rsidR="00064275" w:rsidRPr="004A132D" w:rsidRDefault="00064275" w:rsidP="00064275">
            <w:pPr>
              <w:spacing w:line="252" w:lineRule="auto"/>
              <w:jc w:val="center"/>
            </w:pPr>
            <w:r w:rsidRPr="004A132D">
              <w:t>18</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4E652" w14:textId="77777777" w:rsidR="00064275" w:rsidRPr="004A132D" w:rsidRDefault="00064275" w:rsidP="00064275">
            <w:pPr>
              <w:spacing w:line="252" w:lineRule="auto"/>
              <w:jc w:val="center"/>
              <w:rPr>
                <w:bCs/>
              </w:rPr>
            </w:pPr>
            <w:r w:rsidRPr="004A132D">
              <w:rPr>
                <w:bCs/>
              </w:rPr>
              <w:t>16</w:t>
            </w:r>
          </w:p>
        </w:tc>
      </w:tr>
      <w:tr w:rsidR="00064275" w:rsidRPr="004A132D" w14:paraId="5EBE80E9" w14:textId="77777777" w:rsidTr="005F6B4E">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69C6FAD1" w14:textId="77777777" w:rsidR="00064275" w:rsidRPr="004A132D" w:rsidRDefault="00064275" w:rsidP="00064275">
            <w:pPr>
              <w:spacing w:line="252" w:lineRule="auto"/>
            </w:pPr>
            <w:r w:rsidRPr="004A132D">
              <w:rPr>
                <w:bCs/>
              </w:rPr>
              <w:t>Slavery</w:t>
            </w:r>
          </w:p>
        </w:tc>
        <w:tc>
          <w:tcPr>
            <w:tcW w:w="771" w:type="pct"/>
            <w:tcBorders>
              <w:top w:val="single" w:sz="4" w:space="0" w:color="auto"/>
              <w:left w:val="single" w:sz="4" w:space="0" w:color="auto"/>
              <w:bottom w:val="single" w:sz="4" w:space="0" w:color="auto"/>
              <w:right w:val="single" w:sz="4" w:space="0" w:color="auto"/>
            </w:tcBorders>
            <w:vAlign w:val="center"/>
          </w:tcPr>
          <w:p w14:paraId="11911CA3" w14:textId="77777777" w:rsidR="00064275" w:rsidRPr="004A132D" w:rsidRDefault="00064275" w:rsidP="00064275">
            <w:pPr>
              <w:spacing w:line="252" w:lineRule="auto"/>
              <w:jc w:val="center"/>
            </w:pPr>
            <w:r w:rsidRPr="004A132D">
              <w:t>&lt;5</w:t>
            </w:r>
          </w:p>
        </w:tc>
        <w:tc>
          <w:tcPr>
            <w:tcW w:w="771" w:type="pct"/>
            <w:tcBorders>
              <w:top w:val="single" w:sz="4" w:space="0" w:color="auto"/>
              <w:left w:val="single" w:sz="4" w:space="0" w:color="auto"/>
              <w:bottom w:val="single" w:sz="4" w:space="0" w:color="auto"/>
              <w:right w:val="single" w:sz="4" w:space="0" w:color="auto"/>
            </w:tcBorders>
            <w:vAlign w:val="center"/>
          </w:tcPr>
          <w:p w14:paraId="07046499" w14:textId="77777777" w:rsidR="00064275" w:rsidRPr="004A132D" w:rsidRDefault="00064275" w:rsidP="00064275">
            <w:pPr>
              <w:spacing w:line="252" w:lineRule="auto"/>
              <w:jc w:val="center"/>
            </w:pPr>
            <w:r w:rsidRPr="004A132D">
              <w:t>&lt;5</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E93EAB8" w14:textId="77777777" w:rsidR="00064275" w:rsidRPr="004A132D" w:rsidRDefault="00064275" w:rsidP="00064275">
            <w:pPr>
              <w:spacing w:line="252" w:lineRule="auto"/>
              <w:jc w:val="center"/>
            </w:pPr>
            <w:r w:rsidRPr="004A132D">
              <w:t>6</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1BA063F8" w14:textId="77777777" w:rsidR="00064275" w:rsidRPr="004A132D" w:rsidRDefault="00064275" w:rsidP="00064275">
            <w:pPr>
              <w:spacing w:line="252" w:lineRule="auto"/>
              <w:jc w:val="center"/>
            </w:pPr>
            <w:r w:rsidRPr="004A132D">
              <w:t>8</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7F3BD" w14:textId="77777777" w:rsidR="00064275" w:rsidRPr="004A132D" w:rsidRDefault="00064275" w:rsidP="00064275">
            <w:pPr>
              <w:spacing w:line="252" w:lineRule="auto"/>
              <w:jc w:val="center"/>
              <w:rPr>
                <w:bCs/>
              </w:rPr>
            </w:pPr>
            <w:r w:rsidRPr="004A132D">
              <w:t>&lt;5</w:t>
            </w:r>
          </w:p>
        </w:tc>
      </w:tr>
      <w:tr w:rsidR="00064275" w:rsidRPr="004A132D" w14:paraId="17567053" w14:textId="77777777" w:rsidTr="005F6B4E">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4D64502C" w14:textId="77777777" w:rsidR="00064275" w:rsidRPr="004A132D" w:rsidRDefault="00064275" w:rsidP="00064275">
            <w:pPr>
              <w:spacing w:line="252" w:lineRule="auto"/>
            </w:pPr>
            <w:r w:rsidRPr="004A132D">
              <w:rPr>
                <w:bCs/>
              </w:rPr>
              <w:t>Deceptive Recruiting</w:t>
            </w:r>
          </w:p>
        </w:tc>
        <w:tc>
          <w:tcPr>
            <w:tcW w:w="771" w:type="pct"/>
            <w:tcBorders>
              <w:top w:val="single" w:sz="4" w:space="0" w:color="auto"/>
              <w:left w:val="single" w:sz="4" w:space="0" w:color="auto"/>
              <w:bottom w:val="single" w:sz="4" w:space="0" w:color="auto"/>
              <w:right w:val="single" w:sz="4" w:space="0" w:color="auto"/>
            </w:tcBorders>
            <w:vAlign w:val="center"/>
          </w:tcPr>
          <w:p w14:paraId="1C64868C" w14:textId="77777777" w:rsidR="00064275" w:rsidRPr="004A132D" w:rsidRDefault="00064275" w:rsidP="00064275">
            <w:pPr>
              <w:spacing w:line="252" w:lineRule="auto"/>
              <w:jc w:val="center"/>
            </w:pPr>
            <w:r w:rsidRPr="004A132D">
              <w:t>&lt;5</w:t>
            </w:r>
          </w:p>
        </w:tc>
        <w:tc>
          <w:tcPr>
            <w:tcW w:w="771" w:type="pct"/>
            <w:tcBorders>
              <w:top w:val="single" w:sz="4" w:space="0" w:color="auto"/>
              <w:left w:val="single" w:sz="4" w:space="0" w:color="auto"/>
              <w:bottom w:val="single" w:sz="4" w:space="0" w:color="auto"/>
              <w:right w:val="single" w:sz="4" w:space="0" w:color="auto"/>
            </w:tcBorders>
            <w:vAlign w:val="center"/>
          </w:tcPr>
          <w:p w14:paraId="578A652D" w14:textId="77777777" w:rsidR="00064275" w:rsidRPr="004A132D" w:rsidRDefault="00064275" w:rsidP="00064275">
            <w:pPr>
              <w:spacing w:line="252" w:lineRule="auto"/>
              <w:jc w:val="center"/>
            </w:pPr>
            <w:r w:rsidRPr="004A132D">
              <w:t>6</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35851A7" w14:textId="77777777" w:rsidR="00064275" w:rsidRPr="004A132D" w:rsidRDefault="00064275" w:rsidP="00064275">
            <w:pPr>
              <w:spacing w:line="252" w:lineRule="auto"/>
              <w:jc w:val="center"/>
            </w:pPr>
            <w:r w:rsidRPr="004A132D">
              <w:t>&lt;5</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1E41597F" w14:textId="77777777" w:rsidR="00064275" w:rsidRPr="004A132D" w:rsidRDefault="00064275" w:rsidP="00064275">
            <w:pPr>
              <w:spacing w:line="252" w:lineRule="auto"/>
              <w:jc w:val="center"/>
            </w:pPr>
            <w:r w:rsidRPr="004A132D">
              <w:t>5</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33148" w14:textId="77777777" w:rsidR="00064275" w:rsidRPr="004A132D" w:rsidRDefault="00064275" w:rsidP="00064275">
            <w:pPr>
              <w:spacing w:line="252" w:lineRule="auto"/>
              <w:jc w:val="center"/>
              <w:rPr>
                <w:bCs/>
              </w:rPr>
            </w:pPr>
            <w:r w:rsidRPr="004A132D">
              <w:rPr>
                <w:bCs/>
              </w:rPr>
              <w:t>6</w:t>
            </w:r>
          </w:p>
        </w:tc>
      </w:tr>
      <w:tr w:rsidR="00064275" w:rsidRPr="004A132D" w14:paraId="23D90F05" w14:textId="77777777" w:rsidTr="005F6B4E">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6A1FD978" w14:textId="77777777" w:rsidR="00064275" w:rsidRPr="004A132D" w:rsidRDefault="00064275" w:rsidP="00064275">
            <w:pPr>
              <w:spacing w:line="252" w:lineRule="auto"/>
            </w:pPr>
            <w:r w:rsidRPr="004A132D">
              <w:rPr>
                <w:bCs/>
              </w:rPr>
              <w:t>Organ Trafficking</w:t>
            </w:r>
          </w:p>
        </w:tc>
        <w:tc>
          <w:tcPr>
            <w:tcW w:w="771" w:type="pct"/>
            <w:tcBorders>
              <w:top w:val="single" w:sz="4" w:space="0" w:color="auto"/>
              <w:left w:val="single" w:sz="4" w:space="0" w:color="auto"/>
              <w:bottom w:val="single" w:sz="4" w:space="0" w:color="auto"/>
              <w:right w:val="single" w:sz="4" w:space="0" w:color="auto"/>
            </w:tcBorders>
            <w:vAlign w:val="center"/>
          </w:tcPr>
          <w:p w14:paraId="62E6CF12" w14:textId="77777777" w:rsidR="00064275" w:rsidRPr="004A132D" w:rsidRDefault="00064275" w:rsidP="00064275">
            <w:pPr>
              <w:spacing w:line="252" w:lineRule="auto"/>
              <w:jc w:val="center"/>
            </w:pPr>
            <w:r w:rsidRPr="004A132D">
              <w:t>&lt;5</w:t>
            </w:r>
          </w:p>
        </w:tc>
        <w:tc>
          <w:tcPr>
            <w:tcW w:w="771" w:type="pct"/>
            <w:tcBorders>
              <w:top w:val="single" w:sz="4" w:space="0" w:color="auto"/>
              <w:left w:val="single" w:sz="4" w:space="0" w:color="auto"/>
              <w:bottom w:val="single" w:sz="4" w:space="0" w:color="auto"/>
              <w:right w:val="single" w:sz="4" w:space="0" w:color="auto"/>
            </w:tcBorders>
            <w:vAlign w:val="center"/>
          </w:tcPr>
          <w:p w14:paraId="4BA2D6C1" w14:textId="77777777" w:rsidR="00064275" w:rsidRPr="004A132D" w:rsidRDefault="00064275" w:rsidP="00064275">
            <w:pPr>
              <w:spacing w:line="252" w:lineRule="auto"/>
              <w:jc w:val="center"/>
            </w:pPr>
            <w:r w:rsidRPr="004A132D">
              <w:t>0</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1159590" w14:textId="77777777" w:rsidR="00064275" w:rsidRPr="004A132D" w:rsidRDefault="00064275" w:rsidP="00064275">
            <w:pPr>
              <w:spacing w:line="252" w:lineRule="auto"/>
              <w:jc w:val="center"/>
            </w:pPr>
            <w:r w:rsidRPr="004A132D">
              <w:t>&lt;5</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4177AEB" w14:textId="77777777" w:rsidR="00064275" w:rsidRPr="004A132D" w:rsidRDefault="00064275" w:rsidP="00064275">
            <w:pPr>
              <w:spacing w:line="252" w:lineRule="auto"/>
              <w:jc w:val="center"/>
            </w:pPr>
            <w:r w:rsidRPr="004A132D">
              <w:t>0</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D37FC2" w14:textId="77777777" w:rsidR="00064275" w:rsidRPr="004A132D" w:rsidRDefault="00064275" w:rsidP="00064275">
            <w:pPr>
              <w:spacing w:line="252" w:lineRule="auto"/>
              <w:jc w:val="center"/>
              <w:rPr>
                <w:bCs/>
              </w:rPr>
            </w:pPr>
            <w:r w:rsidRPr="004A132D">
              <w:rPr>
                <w:bCs/>
              </w:rPr>
              <w:t>0</w:t>
            </w:r>
          </w:p>
        </w:tc>
      </w:tr>
      <w:tr w:rsidR="00064275" w:rsidRPr="004A132D" w14:paraId="2A002440" w14:textId="77777777" w:rsidTr="005F6B4E">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5921E89D" w14:textId="77777777" w:rsidR="00064275" w:rsidRPr="004A132D" w:rsidRDefault="00064275" w:rsidP="00064275">
            <w:pPr>
              <w:spacing w:line="252" w:lineRule="auto"/>
            </w:pPr>
            <w:r w:rsidRPr="004A132D">
              <w:rPr>
                <w:bCs/>
              </w:rPr>
              <w:t>Harbouring</w:t>
            </w:r>
          </w:p>
        </w:tc>
        <w:tc>
          <w:tcPr>
            <w:tcW w:w="771" w:type="pct"/>
            <w:tcBorders>
              <w:top w:val="single" w:sz="4" w:space="0" w:color="auto"/>
              <w:left w:val="single" w:sz="4" w:space="0" w:color="auto"/>
              <w:bottom w:val="single" w:sz="4" w:space="0" w:color="auto"/>
              <w:right w:val="single" w:sz="4" w:space="0" w:color="auto"/>
            </w:tcBorders>
            <w:vAlign w:val="center"/>
          </w:tcPr>
          <w:p w14:paraId="04E5B8EA" w14:textId="77777777" w:rsidR="00064275" w:rsidRPr="004A132D" w:rsidRDefault="00064275" w:rsidP="00064275">
            <w:pPr>
              <w:spacing w:line="252" w:lineRule="auto"/>
              <w:jc w:val="center"/>
            </w:pPr>
            <w:r w:rsidRPr="004A132D">
              <w:t>0</w:t>
            </w:r>
          </w:p>
        </w:tc>
        <w:tc>
          <w:tcPr>
            <w:tcW w:w="771" w:type="pct"/>
            <w:tcBorders>
              <w:top w:val="single" w:sz="4" w:space="0" w:color="auto"/>
              <w:left w:val="single" w:sz="4" w:space="0" w:color="auto"/>
              <w:bottom w:val="single" w:sz="4" w:space="0" w:color="auto"/>
              <w:right w:val="single" w:sz="4" w:space="0" w:color="auto"/>
            </w:tcBorders>
            <w:vAlign w:val="center"/>
          </w:tcPr>
          <w:p w14:paraId="7BF38F5E" w14:textId="77777777" w:rsidR="00064275" w:rsidRPr="004A132D" w:rsidRDefault="00064275" w:rsidP="00064275">
            <w:pPr>
              <w:spacing w:line="252" w:lineRule="auto"/>
              <w:jc w:val="center"/>
            </w:pPr>
            <w:r w:rsidRPr="004A132D">
              <w:t>0</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9D0095A" w14:textId="77777777" w:rsidR="00064275" w:rsidRPr="004A132D" w:rsidRDefault="00064275" w:rsidP="00064275">
            <w:pPr>
              <w:spacing w:line="252" w:lineRule="auto"/>
              <w:jc w:val="center"/>
            </w:pPr>
            <w:r w:rsidRPr="004A132D">
              <w:t>0</w:t>
            </w:r>
            <w:r w:rsidRPr="004A132D">
              <w:rPr>
                <w:noProof/>
                <w:lang w:eastAsia="en-AU"/>
              </w:rPr>
              <w:drawing>
                <wp:anchor distT="0" distB="0" distL="114300" distR="114300" simplePos="0" relativeHeight="251658240" behindDoc="0" locked="0" layoutInCell="1" allowOverlap="1" wp14:anchorId="538D56CF" wp14:editId="70481458">
                  <wp:simplePos x="0" y="0"/>
                  <wp:positionH relativeFrom="column">
                    <wp:posOffset>-1171845510</wp:posOffset>
                  </wp:positionH>
                  <wp:positionV relativeFrom="paragraph">
                    <wp:posOffset>-1610020275</wp:posOffset>
                  </wp:positionV>
                  <wp:extent cx="781050" cy="28575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3">
                            <a:extLst>
                              <a:ext uri="{28A0092B-C50C-407E-A947-70E740481C1C}">
                                <a14:useLocalDpi xmlns:a14="http://schemas.microsoft.com/office/drawing/2010/main" val="0"/>
                              </a:ext>
                            </a:extLst>
                          </a:blip>
                          <a:srcRect l="-15874" t="-122221" r="-14285" b="-111111"/>
                          <a:stretch>
                            <a:fillRect/>
                          </a:stretch>
                        </pic:blipFill>
                        <pic:spPr bwMode="auto">
                          <a:xfrm>
                            <a:off x="0" y="0"/>
                            <a:ext cx="781050" cy="285750"/>
                          </a:xfrm>
                          <a:prstGeom prst="rect">
                            <a:avLst/>
                          </a:prstGeom>
                          <a:noFill/>
                        </pic:spPr>
                      </pic:pic>
                    </a:graphicData>
                  </a:graphic>
                  <wp14:sizeRelH relativeFrom="margin">
                    <wp14:pctWidth>0</wp14:pctWidth>
                  </wp14:sizeRelH>
                  <wp14:sizeRelV relativeFrom="margin">
                    <wp14:pctHeight>0</wp14:pctHeight>
                  </wp14:sizeRelV>
                </wp:anchor>
              </w:drawing>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D039371" w14:textId="77777777" w:rsidR="00064275" w:rsidRPr="004A132D" w:rsidRDefault="00064275" w:rsidP="00064275">
            <w:pPr>
              <w:spacing w:line="252" w:lineRule="auto"/>
              <w:jc w:val="center"/>
            </w:pPr>
            <w:r w:rsidRPr="004A132D">
              <w:t>0</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C3669" w14:textId="77777777" w:rsidR="00064275" w:rsidRPr="004A132D" w:rsidRDefault="00064275" w:rsidP="00064275">
            <w:pPr>
              <w:spacing w:line="252" w:lineRule="auto"/>
              <w:jc w:val="center"/>
              <w:rPr>
                <w:bCs/>
              </w:rPr>
            </w:pPr>
            <w:r w:rsidRPr="004A132D">
              <w:rPr>
                <w:bCs/>
              </w:rPr>
              <w:t>0</w:t>
            </w:r>
          </w:p>
        </w:tc>
      </w:tr>
      <w:tr w:rsidR="00064275" w:rsidRPr="004A132D" w14:paraId="23235B3A" w14:textId="77777777" w:rsidTr="005F6B4E">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627B7760" w14:textId="77777777" w:rsidR="00064275" w:rsidRPr="004A132D" w:rsidRDefault="00064275" w:rsidP="00064275">
            <w:pPr>
              <w:spacing w:line="252" w:lineRule="auto"/>
            </w:pPr>
            <w:r w:rsidRPr="004A132D">
              <w:rPr>
                <w:bCs/>
              </w:rPr>
              <w:t>Other</w:t>
            </w:r>
          </w:p>
        </w:tc>
        <w:tc>
          <w:tcPr>
            <w:tcW w:w="771" w:type="pct"/>
            <w:tcBorders>
              <w:top w:val="single" w:sz="4" w:space="0" w:color="auto"/>
              <w:left w:val="single" w:sz="4" w:space="0" w:color="auto"/>
              <w:bottom w:val="single" w:sz="4" w:space="0" w:color="auto"/>
              <w:right w:val="single" w:sz="4" w:space="0" w:color="auto"/>
            </w:tcBorders>
            <w:vAlign w:val="center"/>
          </w:tcPr>
          <w:p w14:paraId="359F8CB2" w14:textId="77777777" w:rsidR="00064275" w:rsidRPr="004A132D" w:rsidRDefault="00064275" w:rsidP="00064275">
            <w:pPr>
              <w:spacing w:line="252" w:lineRule="auto"/>
              <w:jc w:val="center"/>
            </w:pPr>
            <w:r w:rsidRPr="004A132D">
              <w:t>0</w:t>
            </w:r>
          </w:p>
        </w:tc>
        <w:tc>
          <w:tcPr>
            <w:tcW w:w="771" w:type="pct"/>
            <w:tcBorders>
              <w:top w:val="single" w:sz="4" w:space="0" w:color="auto"/>
              <w:left w:val="single" w:sz="4" w:space="0" w:color="auto"/>
              <w:bottom w:val="single" w:sz="4" w:space="0" w:color="auto"/>
              <w:right w:val="single" w:sz="4" w:space="0" w:color="auto"/>
            </w:tcBorders>
            <w:vAlign w:val="center"/>
          </w:tcPr>
          <w:p w14:paraId="44E554F1" w14:textId="77777777" w:rsidR="00064275" w:rsidRPr="004A132D" w:rsidRDefault="00064275" w:rsidP="00064275">
            <w:pPr>
              <w:spacing w:line="252" w:lineRule="auto"/>
              <w:jc w:val="center"/>
            </w:pPr>
            <w:r w:rsidRPr="004A132D">
              <w:t>0</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2CF877F2" w14:textId="77777777" w:rsidR="00064275" w:rsidRPr="004A132D" w:rsidRDefault="00064275" w:rsidP="00064275">
            <w:pPr>
              <w:spacing w:line="252" w:lineRule="auto"/>
              <w:jc w:val="center"/>
            </w:pPr>
            <w:r w:rsidRPr="004A132D">
              <w:t>0</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531E42F3" w14:textId="77777777" w:rsidR="00064275" w:rsidRPr="004A132D" w:rsidRDefault="00064275" w:rsidP="00064275">
            <w:pPr>
              <w:spacing w:line="252" w:lineRule="auto"/>
              <w:jc w:val="center"/>
            </w:pPr>
            <w:r w:rsidRPr="004A132D">
              <w:t>0</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FB3B6B" w14:textId="77777777" w:rsidR="00064275" w:rsidRPr="004A132D" w:rsidRDefault="00064275" w:rsidP="00064275">
            <w:pPr>
              <w:spacing w:line="252" w:lineRule="auto"/>
              <w:jc w:val="center"/>
              <w:rPr>
                <w:bCs/>
              </w:rPr>
            </w:pPr>
            <w:r w:rsidRPr="004A132D">
              <w:rPr>
                <w:bCs/>
              </w:rPr>
              <w:t>0</w:t>
            </w:r>
          </w:p>
        </w:tc>
      </w:tr>
      <w:tr w:rsidR="00064275" w:rsidRPr="004A132D" w14:paraId="5FD6B483" w14:textId="77777777" w:rsidTr="005F6B4E">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1E6F945E" w14:textId="77777777" w:rsidR="00064275" w:rsidRPr="004A132D" w:rsidRDefault="00064275" w:rsidP="00064275">
            <w:pPr>
              <w:spacing w:line="252" w:lineRule="auto"/>
            </w:pPr>
            <w:r w:rsidRPr="004A132D">
              <w:rPr>
                <w:bCs/>
              </w:rPr>
              <w:t>Total</w:t>
            </w:r>
          </w:p>
        </w:tc>
        <w:tc>
          <w:tcPr>
            <w:tcW w:w="771" w:type="pct"/>
            <w:tcBorders>
              <w:top w:val="single" w:sz="4" w:space="0" w:color="auto"/>
              <w:left w:val="single" w:sz="4" w:space="0" w:color="auto"/>
              <w:bottom w:val="single" w:sz="4" w:space="0" w:color="auto"/>
              <w:right w:val="single" w:sz="4" w:space="0" w:color="auto"/>
            </w:tcBorders>
            <w:vAlign w:val="center"/>
          </w:tcPr>
          <w:p w14:paraId="399B9AE3" w14:textId="77777777" w:rsidR="00064275" w:rsidRPr="004A132D" w:rsidRDefault="00064275" w:rsidP="00064275">
            <w:pPr>
              <w:spacing w:line="252" w:lineRule="auto"/>
              <w:jc w:val="center"/>
            </w:pPr>
            <w:r w:rsidRPr="004A132D">
              <w:t>220</w:t>
            </w:r>
          </w:p>
        </w:tc>
        <w:tc>
          <w:tcPr>
            <w:tcW w:w="771" w:type="pct"/>
            <w:tcBorders>
              <w:top w:val="single" w:sz="4" w:space="0" w:color="auto"/>
              <w:left w:val="single" w:sz="4" w:space="0" w:color="auto"/>
              <w:bottom w:val="single" w:sz="4" w:space="0" w:color="auto"/>
              <w:right w:val="single" w:sz="4" w:space="0" w:color="auto"/>
            </w:tcBorders>
            <w:vAlign w:val="center"/>
          </w:tcPr>
          <w:p w14:paraId="2191CDE9" w14:textId="77777777" w:rsidR="00064275" w:rsidRPr="004A132D" w:rsidRDefault="00064275" w:rsidP="00064275">
            <w:pPr>
              <w:spacing w:line="252" w:lineRule="auto"/>
              <w:jc w:val="center"/>
            </w:pPr>
            <w:r w:rsidRPr="004A132D">
              <w:t>223</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1951625" w14:textId="77777777" w:rsidR="00064275" w:rsidRPr="004A132D" w:rsidRDefault="00064275" w:rsidP="00064275">
            <w:pPr>
              <w:spacing w:line="252" w:lineRule="auto"/>
              <w:jc w:val="center"/>
            </w:pPr>
            <w:r w:rsidRPr="004A132D">
              <w:t>224</w:t>
            </w:r>
            <w:r w:rsidRPr="004A132D">
              <w:rPr>
                <w:noProof/>
                <w:lang w:eastAsia="en-AU"/>
              </w:rPr>
              <w:drawing>
                <wp:anchor distT="0" distB="0" distL="114300" distR="114300" simplePos="0" relativeHeight="251658241" behindDoc="0" locked="0" layoutInCell="1" allowOverlap="1" wp14:anchorId="1841694F" wp14:editId="2071C090">
                  <wp:simplePos x="0" y="0"/>
                  <wp:positionH relativeFrom="column">
                    <wp:posOffset>-1171855035</wp:posOffset>
                  </wp:positionH>
                  <wp:positionV relativeFrom="paragraph">
                    <wp:posOffset>-1740497535</wp:posOffset>
                  </wp:positionV>
                  <wp:extent cx="514350" cy="2571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257175"/>
                          </a:xfrm>
                          <a:prstGeom prst="rect">
                            <a:avLst/>
                          </a:prstGeom>
                          <a:noFill/>
                        </pic:spPr>
                      </pic:pic>
                    </a:graphicData>
                  </a:graphic>
                  <wp14:sizeRelH relativeFrom="page">
                    <wp14:pctWidth>0</wp14:pctWidth>
                  </wp14:sizeRelH>
                  <wp14:sizeRelV relativeFrom="margin">
                    <wp14:pctHeight>0</wp14:pctHeight>
                  </wp14:sizeRelV>
                </wp:anchor>
              </w:drawing>
            </w:r>
          </w:p>
        </w:tc>
        <w:tc>
          <w:tcPr>
            <w:tcW w:w="77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F7F739C" w14:textId="77777777" w:rsidR="00064275" w:rsidRPr="004A132D" w:rsidRDefault="00064275" w:rsidP="00064275">
            <w:pPr>
              <w:spacing w:line="252" w:lineRule="auto"/>
              <w:jc w:val="center"/>
            </w:pPr>
            <w:r w:rsidRPr="004A132D">
              <w:t>294</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336B5" w14:textId="77777777" w:rsidR="00064275" w:rsidRPr="004A132D" w:rsidRDefault="00064275" w:rsidP="00064275">
            <w:pPr>
              <w:spacing w:line="252" w:lineRule="auto"/>
              <w:jc w:val="center"/>
              <w:rPr>
                <w:bCs/>
              </w:rPr>
            </w:pPr>
            <w:r w:rsidRPr="004A132D">
              <w:rPr>
                <w:bCs/>
              </w:rPr>
              <w:t>340</w:t>
            </w:r>
          </w:p>
        </w:tc>
      </w:tr>
    </w:tbl>
    <w:p w14:paraId="4AD801F8" w14:textId="77777777" w:rsidR="00D37A3D" w:rsidRPr="004A132D" w:rsidRDefault="00D37A3D" w:rsidP="0025673A">
      <w:pPr>
        <w:pStyle w:val="Numbers"/>
        <w:numPr>
          <w:ilvl w:val="0"/>
          <w:numId w:val="0"/>
        </w:numPr>
        <w:rPr>
          <w:rFonts w:asciiTheme="minorHAnsi" w:hAnsiTheme="minorHAnsi"/>
        </w:rPr>
      </w:pPr>
    </w:p>
    <w:p w14:paraId="5BD07503" w14:textId="2ADA3C65" w:rsidR="001B090C" w:rsidRPr="004A132D" w:rsidRDefault="00825D34" w:rsidP="0002378E">
      <w:pPr>
        <w:pStyle w:val="Numbers"/>
        <w:tabs>
          <w:tab w:val="clear" w:pos="2268"/>
          <w:tab w:val="clear" w:pos="2835"/>
        </w:tabs>
        <w:ind w:left="1418" w:hanging="357"/>
        <w:rPr>
          <w:rFonts w:asciiTheme="minorHAnsi" w:hAnsiTheme="minorHAnsi"/>
        </w:rPr>
      </w:pPr>
      <w:r w:rsidRPr="004A132D">
        <w:rPr>
          <w:rFonts w:asciiTheme="minorHAnsi" w:hAnsiTheme="minorHAnsi"/>
        </w:rPr>
        <w:t xml:space="preserve">In the </w:t>
      </w:r>
      <w:r w:rsidR="00520DF4" w:rsidRPr="004A132D">
        <w:rPr>
          <w:rFonts w:asciiTheme="minorHAnsi" w:hAnsiTheme="minorHAnsi"/>
        </w:rPr>
        <w:t>5</w:t>
      </w:r>
      <w:r w:rsidRPr="004A132D">
        <w:rPr>
          <w:rFonts w:asciiTheme="minorHAnsi" w:hAnsiTheme="minorHAnsi"/>
        </w:rPr>
        <w:t xml:space="preserve"> years between </w:t>
      </w:r>
      <w:r w:rsidR="00B102E7" w:rsidRPr="004A132D">
        <w:rPr>
          <w:rFonts w:asciiTheme="minorHAnsi" w:hAnsiTheme="minorHAnsi"/>
        </w:rPr>
        <w:t>2</w:t>
      </w:r>
      <w:r w:rsidR="00064275" w:rsidRPr="004A132D">
        <w:rPr>
          <w:rFonts w:asciiTheme="minorHAnsi" w:hAnsiTheme="minorHAnsi"/>
        </w:rPr>
        <w:t>018-2019</w:t>
      </w:r>
      <w:r w:rsidR="00B102E7" w:rsidRPr="004A132D">
        <w:rPr>
          <w:rFonts w:asciiTheme="minorHAnsi" w:hAnsiTheme="minorHAnsi"/>
        </w:rPr>
        <w:t xml:space="preserve"> </w:t>
      </w:r>
      <w:r w:rsidRPr="004A132D">
        <w:rPr>
          <w:rFonts w:asciiTheme="minorHAnsi" w:hAnsiTheme="minorHAnsi"/>
        </w:rPr>
        <w:t>and</w:t>
      </w:r>
      <w:r w:rsidR="00B102E7" w:rsidRPr="004A132D">
        <w:rPr>
          <w:rFonts w:asciiTheme="minorHAnsi" w:hAnsiTheme="minorHAnsi"/>
        </w:rPr>
        <w:t xml:space="preserve"> 2022-23</w:t>
      </w:r>
      <w:r w:rsidR="009A1EA9" w:rsidRPr="004A132D">
        <w:rPr>
          <w:rFonts w:asciiTheme="minorHAnsi" w:hAnsiTheme="minorHAnsi"/>
        </w:rPr>
        <w:t xml:space="preserve">, the </w:t>
      </w:r>
      <w:r w:rsidR="003F2890" w:rsidRPr="004A132D">
        <w:rPr>
          <w:rFonts w:asciiTheme="minorHAnsi" w:hAnsiTheme="minorHAnsi"/>
          <w:lang w:val="en-AU"/>
        </w:rPr>
        <w:t xml:space="preserve">Office of the </w:t>
      </w:r>
      <w:r w:rsidR="00B102E7" w:rsidRPr="004A132D">
        <w:rPr>
          <w:rFonts w:asciiTheme="minorHAnsi" w:hAnsiTheme="minorHAnsi"/>
        </w:rPr>
        <w:t xml:space="preserve">Director of Public Prosecutions </w:t>
      </w:r>
      <w:r w:rsidR="00A357DB" w:rsidRPr="004A132D">
        <w:rPr>
          <w:rFonts w:asciiTheme="minorHAnsi" w:hAnsiTheme="minorHAnsi"/>
          <w:lang w:val="en-AU"/>
        </w:rPr>
        <w:t xml:space="preserve">(Commonwealth) </w:t>
      </w:r>
      <w:r w:rsidR="00F56C44" w:rsidRPr="004A132D">
        <w:rPr>
          <w:rFonts w:asciiTheme="minorHAnsi" w:hAnsiTheme="minorHAnsi"/>
          <w:lang w:val="en-AU"/>
        </w:rPr>
        <w:t xml:space="preserve">commenced or </w:t>
      </w:r>
      <w:r w:rsidR="009A1EA9" w:rsidRPr="004A132D">
        <w:rPr>
          <w:rFonts w:asciiTheme="minorHAnsi" w:hAnsiTheme="minorHAnsi"/>
        </w:rPr>
        <w:t xml:space="preserve">conducted a total of </w:t>
      </w:r>
      <w:r w:rsidR="00A04106" w:rsidRPr="004A132D">
        <w:rPr>
          <w:rFonts w:asciiTheme="minorHAnsi" w:hAnsiTheme="minorHAnsi"/>
        </w:rPr>
        <w:t>28</w:t>
      </w:r>
      <w:r w:rsidR="009A1EA9" w:rsidRPr="004A132D">
        <w:rPr>
          <w:rFonts w:asciiTheme="minorHAnsi" w:hAnsiTheme="minorHAnsi"/>
        </w:rPr>
        <w:t xml:space="preserve"> prosecutions for human trafficking and slavery-related offences (</w:t>
      </w:r>
      <w:r w:rsidR="00D1006D" w:rsidRPr="004A132D">
        <w:rPr>
          <w:rFonts w:asciiTheme="minorHAnsi" w:hAnsiTheme="minorHAnsi"/>
        </w:rPr>
        <w:t>0</w:t>
      </w:r>
      <w:r w:rsidR="00064275" w:rsidRPr="004A132D">
        <w:rPr>
          <w:rFonts w:asciiTheme="minorHAnsi" w:hAnsiTheme="minorHAnsi"/>
        </w:rPr>
        <w:t xml:space="preserve"> men and </w:t>
      </w:r>
      <w:r w:rsidR="00D1006D" w:rsidRPr="004A132D">
        <w:rPr>
          <w:rFonts w:asciiTheme="minorHAnsi" w:hAnsiTheme="minorHAnsi"/>
        </w:rPr>
        <w:t>2</w:t>
      </w:r>
      <w:r w:rsidR="00064275" w:rsidRPr="004A132D">
        <w:rPr>
          <w:rFonts w:asciiTheme="minorHAnsi" w:hAnsiTheme="minorHAnsi"/>
        </w:rPr>
        <w:t xml:space="preserve"> women prosecuted in FY 18-19, </w:t>
      </w:r>
      <w:r w:rsidR="00D1006D" w:rsidRPr="004A132D">
        <w:rPr>
          <w:rFonts w:asciiTheme="minorHAnsi" w:hAnsiTheme="minorHAnsi"/>
        </w:rPr>
        <w:t>6</w:t>
      </w:r>
      <w:r w:rsidR="00064275" w:rsidRPr="004A132D">
        <w:rPr>
          <w:rFonts w:asciiTheme="minorHAnsi" w:hAnsiTheme="minorHAnsi"/>
        </w:rPr>
        <w:t xml:space="preserve"> men and </w:t>
      </w:r>
      <w:r w:rsidR="00141391" w:rsidRPr="004A132D">
        <w:rPr>
          <w:rFonts w:asciiTheme="minorHAnsi" w:hAnsiTheme="minorHAnsi"/>
        </w:rPr>
        <w:t>5</w:t>
      </w:r>
      <w:r w:rsidR="00064275" w:rsidRPr="004A132D">
        <w:rPr>
          <w:rFonts w:asciiTheme="minorHAnsi" w:hAnsiTheme="minorHAnsi"/>
        </w:rPr>
        <w:t xml:space="preserve"> women prosecuted in FY 19-20, </w:t>
      </w:r>
      <w:r w:rsidR="00A828DF" w:rsidRPr="004A132D">
        <w:rPr>
          <w:rFonts w:asciiTheme="minorHAnsi" w:hAnsiTheme="minorHAnsi"/>
        </w:rPr>
        <w:t>3</w:t>
      </w:r>
      <w:r w:rsidR="00B102E7" w:rsidRPr="004A132D">
        <w:rPr>
          <w:rFonts w:asciiTheme="minorHAnsi" w:hAnsiTheme="minorHAnsi"/>
        </w:rPr>
        <w:t xml:space="preserve"> men and </w:t>
      </w:r>
      <w:r w:rsidR="00A828DF" w:rsidRPr="004A132D">
        <w:rPr>
          <w:rFonts w:asciiTheme="minorHAnsi" w:hAnsiTheme="minorHAnsi"/>
        </w:rPr>
        <w:t>2</w:t>
      </w:r>
      <w:r w:rsidR="00B102E7" w:rsidRPr="004A132D">
        <w:rPr>
          <w:rFonts w:asciiTheme="minorHAnsi" w:hAnsiTheme="minorHAnsi"/>
        </w:rPr>
        <w:t xml:space="preserve"> women</w:t>
      </w:r>
      <w:r w:rsidR="009A1EA9" w:rsidRPr="004A132D">
        <w:rPr>
          <w:rFonts w:asciiTheme="minorHAnsi" w:hAnsiTheme="minorHAnsi"/>
        </w:rPr>
        <w:t xml:space="preserve"> </w:t>
      </w:r>
      <w:r w:rsidR="00B102E7" w:rsidRPr="004A132D">
        <w:rPr>
          <w:rFonts w:asciiTheme="minorHAnsi" w:hAnsiTheme="minorHAnsi"/>
        </w:rPr>
        <w:t xml:space="preserve">prosecuted </w:t>
      </w:r>
      <w:r w:rsidR="009A1EA9" w:rsidRPr="004A132D">
        <w:rPr>
          <w:rFonts w:asciiTheme="minorHAnsi" w:hAnsiTheme="minorHAnsi"/>
        </w:rPr>
        <w:t xml:space="preserve">in FY </w:t>
      </w:r>
      <w:r w:rsidR="00B102E7" w:rsidRPr="004A132D">
        <w:rPr>
          <w:rFonts w:asciiTheme="minorHAnsi" w:hAnsiTheme="minorHAnsi"/>
        </w:rPr>
        <w:t>20-21</w:t>
      </w:r>
      <w:r w:rsidR="009A1EA9" w:rsidRPr="004A132D">
        <w:rPr>
          <w:rFonts w:asciiTheme="minorHAnsi" w:hAnsiTheme="minorHAnsi"/>
        </w:rPr>
        <w:t xml:space="preserve">, </w:t>
      </w:r>
      <w:r w:rsidR="00A828DF" w:rsidRPr="004A132D">
        <w:rPr>
          <w:rFonts w:asciiTheme="minorHAnsi" w:hAnsiTheme="minorHAnsi"/>
        </w:rPr>
        <w:t>3</w:t>
      </w:r>
      <w:r w:rsidR="00B102E7" w:rsidRPr="004A132D">
        <w:rPr>
          <w:rFonts w:asciiTheme="minorHAnsi" w:hAnsiTheme="minorHAnsi"/>
        </w:rPr>
        <w:t xml:space="preserve"> men and </w:t>
      </w:r>
      <w:r w:rsidR="00A828DF" w:rsidRPr="004A132D">
        <w:rPr>
          <w:rFonts w:asciiTheme="minorHAnsi" w:hAnsiTheme="minorHAnsi"/>
        </w:rPr>
        <w:t>1</w:t>
      </w:r>
      <w:r w:rsidR="00B102E7" w:rsidRPr="004A132D">
        <w:rPr>
          <w:rFonts w:asciiTheme="minorHAnsi" w:hAnsiTheme="minorHAnsi"/>
        </w:rPr>
        <w:t xml:space="preserve"> women</w:t>
      </w:r>
      <w:r w:rsidR="009A1EA9" w:rsidRPr="004A132D">
        <w:rPr>
          <w:rFonts w:asciiTheme="minorHAnsi" w:hAnsiTheme="minorHAnsi"/>
        </w:rPr>
        <w:t xml:space="preserve"> in </w:t>
      </w:r>
      <w:r w:rsidR="00B102E7" w:rsidRPr="004A132D">
        <w:rPr>
          <w:rFonts w:asciiTheme="minorHAnsi" w:hAnsiTheme="minorHAnsi"/>
        </w:rPr>
        <w:t>21-22</w:t>
      </w:r>
      <w:r w:rsidR="009A1EA9" w:rsidRPr="004A132D">
        <w:rPr>
          <w:rFonts w:asciiTheme="minorHAnsi" w:hAnsiTheme="minorHAnsi"/>
        </w:rPr>
        <w:t xml:space="preserve"> and </w:t>
      </w:r>
      <w:r w:rsidR="00163B2C" w:rsidRPr="004A132D">
        <w:rPr>
          <w:rFonts w:asciiTheme="minorHAnsi" w:hAnsiTheme="minorHAnsi"/>
        </w:rPr>
        <w:t>5</w:t>
      </w:r>
      <w:r w:rsidR="00B102E7" w:rsidRPr="004A132D">
        <w:rPr>
          <w:rFonts w:asciiTheme="minorHAnsi" w:hAnsiTheme="minorHAnsi"/>
        </w:rPr>
        <w:t xml:space="preserve"> men and </w:t>
      </w:r>
      <w:r w:rsidR="00163B2C" w:rsidRPr="004A132D">
        <w:rPr>
          <w:rFonts w:asciiTheme="minorHAnsi" w:hAnsiTheme="minorHAnsi"/>
        </w:rPr>
        <w:t>1</w:t>
      </w:r>
      <w:r w:rsidR="00B102E7" w:rsidRPr="004A132D">
        <w:rPr>
          <w:rFonts w:asciiTheme="minorHAnsi" w:hAnsiTheme="minorHAnsi"/>
        </w:rPr>
        <w:t xml:space="preserve"> women in </w:t>
      </w:r>
      <w:r w:rsidR="009A1EA9" w:rsidRPr="004A132D">
        <w:rPr>
          <w:rFonts w:asciiTheme="minorHAnsi" w:hAnsiTheme="minorHAnsi"/>
        </w:rPr>
        <w:t xml:space="preserve">in </w:t>
      </w:r>
      <w:r w:rsidR="00B102E7" w:rsidRPr="004A132D">
        <w:rPr>
          <w:rFonts w:asciiTheme="minorHAnsi" w:hAnsiTheme="minorHAnsi"/>
        </w:rPr>
        <w:t>22-23</w:t>
      </w:r>
      <w:r w:rsidR="009A1EA9" w:rsidRPr="004A132D">
        <w:rPr>
          <w:rFonts w:asciiTheme="minorHAnsi" w:hAnsiTheme="minorHAnsi"/>
        </w:rPr>
        <w:t>).</w:t>
      </w:r>
    </w:p>
    <w:p w14:paraId="6725DFD6" w14:textId="25442107" w:rsidR="001B090C" w:rsidRPr="004A132D" w:rsidRDefault="009A1EA9" w:rsidP="0002378E">
      <w:pPr>
        <w:pStyle w:val="Numbers"/>
        <w:tabs>
          <w:tab w:val="clear" w:pos="2268"/>
          <w:tab w:val="clear" w:pos="2835"/>
        </w:tabs>
        <w:ind w:left="1418" w:hanging="357"/>
        <w:rPr>
          <w:rFonts w:asciiTheme="minorHAnsi" w:hAnsiTheme="minorHAnsi"/>
        </w:rPr>
      </w:pPr>
      <w:r w:rsidRPr="004A132D">
        <w:rPr>
          <w:rFonts w:asciiTheme="minorHAnsi" w:hAnsiTheme="minorHAnsi"/>
        </w:rPr>
        <w:lastRenderedPageBreak/>
        <w:t xml:space="preserve">From </w:t>
      </w:r>
      <w:r w:rsidR="0041240E" w:rsidRPr="004A132D">
        <w:rPr>
          <w:rFonts w:asciiTheme="minorHAnsi" w:hAnsiTheme="minorHAnsi"/>
        </w:rPr>
        <w:t>2004 when</w:t>
      </w:r>
      <w:r w:rsidRPr="004A132D">
        <w:rPr>
          <w:rFonts w:asciiTheme="minorHAnsi" w:hAnsiTheme="minorHAnsi"/>
        </w:rPr>
        <w:t xml:space="preserve"> human trafficking and slavery </w:t>
      </w:r>
      <w:r w:rsidR="0041240E" w:rsidRPr="004A132D">
        <w:rPr>
          <w:rFonts w:asciiTheme="minorHAnsi" w:hAnsiTheme="minorHAnsi"/>
        </w:rPr>
        <w:t>was criminalised</w:t>
      </w:r>
      <w:r w:rsidRPr="004A132D">
        <w:rPr>
          <w:rFonts w:asciiTheme="minorHAnsi" w:hAnsiTheme="minorHAnsi"/>
        </w:rPr>
        <w:t xml:space="preserve"> until </w:t>
      </w:r>
      <w:r w:rsidR="00997ACE" w:rsidRPr="004A132D">
        <w:rPr>
          <w:rFonts w:asciiTheme="minorHAnsi" w:hAnsiTheme="minorHAnsi"/>
        </w:rPr>
        <w:br/>
      </w:r>
      <w:r w:rsidRPr="004A132D">
        <w:rPr>
          <w:rFonts w:asciiTheme="minorHAnsi" w:hAnsiTheme="minorHAnsi"/>
        </w:rPr>
        <w:t xml:space="preserve">30 June </w:t>
      </w:r>
      <w:r w:rsidR="00B102E7" w:rsidRPr="004A132D">
        <w:rPr>
          <w:rFonts w:asciiTheme="minorHAnsi" w:hAnsiTheme="minorHAnsi"/>
        </w:rPr>
        <w:t>2023</w:t>
      </w:r>
      <w:r w:rsidRPr="004A132D">
        <w:rPr>
          <w:rFonts w:asciiTheme="minorHAnsi" w:hAnsiTheme="minorHAnsi"/>
        </w:rPr>
        <w:t xml:space="preserve">, </w:t>
      </w:r>
      <w:r w:rsidR="0001552B" w:rsidRPr="004A132D">
        <w:rPr>
          <w:rFonts w:asciiTheme="minorHAnsi" w:hAnsiTheme="minorHAnsi"/>
        </w:rPr>
        <w:t>30</w:t>
      </w:r>
      <w:r w:rsidRPr="004A132D">
        <w:rPr>
          <w:rFonts w:asciiTheme="minorHAnsi" w:hAnsiTheme="minorHAnsi"/>
        </w:rPr>
        <w:t xml:space="preserve"> people have been convicted for these types of offences</w:t>
      </w:r>
      <w:r w:rsidR="00B102E7" w:rsidRPr="004A132D">
        <w:rPr>
          <w:rFonts w:asciiTheme="minorHAnsi" w:hAnsiTheme="minorHAnsi"/>
        </w:rPr>
        <w:t>.</w:t>
      </w:r>
      <w:r w:rsidRPr="004A132D">
        <w:rPr>
          <w:rFonts w:asciiTheme="minorHAnsi" w:hAnsiTheme="minorHAnsi"/>
        </w:rPr>
        <w:t xml:space="preserve"> </w:t>
      </w:r>
    </w:p>
    <w:p w14:paraId="3308F63A" w14:textId="77777777" w:rsidR="00190BE4" w:rsidRPr="004A132D" w:rsidRDefault="00694E11" w:rsidP="00997ACE">
      <w:pPr>
        <w:pStyle w:val="Heading2"/>
        <w:keepNext/>
      </w:pPr>
      <w:bookmarkStart w:id="82" w:name="_Toc174011695"/>
      <w:bookmarkStart w:id="83" w:name="_Toc175556790"/>
      <w:r w:rsidRPr="004A132D">
        <w:t xml:space="preserve">Question 12b: </w:t>
      </w:r>
      <w:r w:rsidR="007941B6" w:rsidRPr="004A132D">
        <w:t xml:space="preserve">Pacific Australia Labour Mobility </w:t>
      </w:r>
      <w:r w:rsidRPr="004A132D">
        <w:t>(PALM) s</w:t>
      </w:r>
      <w:r w:rsidR="007941B6" w:rsidRPr="004A132D">
        <w:t>cheme</w:t>
      </w:r>
      <w:bookmarkEnd w:id="82"/>
      <w:bookmarkEnd w:id="83"/>
    </w:p>
    <w:p w14:paraId="79DACE9B" w14:textId="6B85642A" w:rsidR="00EF045E" w:rsidRPr="004A132D" w:rsidRDefault="004C793B" w:rsidP="0002378E">
      <w:pPr>
        <w:pStyle w:val="Numbers"/>
        <w:tabs>
          <w:tab w:val="clear" w:pos="2268"/>
          <w:tab w:val="clear" w:pos="2835"/>
        </w:tabs>
        <w:ind w:left="1418"/>
        <w:rPr>
          <w:rFonts w:asciiTheme="minorHAnsi" w:hAnsiTheme="minorHAnsi"/>
        </w:rPr>
      </w:pPr>
      <w:r w:rsidRPr="004A132D">
        <w:rPr>
          <w:rFonts w:asciiTheme="minorHAnsi" w:hAnsiTheme="minorHAnsi"/>
        </w:rPr>
        <w:t>I</w:t>
      </w:r>
      <w:r w:rsidR="00F55553" w:rsidRPr="004A132D">
        <w:rPr>
          <w:rFonts w:asciiTheme="minorHAnsi" w:hAnsiTheme="minorHAnsi"/>
        </w:rPr>
        <w:t xml:space="preserve">n May 2023, the Australian Government committed $370.8 million over </w:t>
      </w:r>
      <w:r w:rsidR="00A77ED3" w:rsidRPr="004A132D">
        <w:rPr>
          <w:rFonts w:asciiTheme="minorHAnsi" w:hAnsiTheme="minorHAnsi"/>
        </w:rPr>
        <w:br/>
      </w:r>
      <w:r w:rsidR="00520DF4" w:rsidRPr="004A132D">
        <w:rPr>
          <w:rFonts w:asciiTheme="minorHAnsi" w:hAnsiTheme="minorHAnsi"/>
        </w:rPr>
        <w:t>4</w:t>
      </w:r>
      <w:r w:rsidR="00F55553" w:rsidRPr="004A132D">
        <w:rPr>
          <w:rFonts w:asciiTheme="minorHAnsi" w:hAnsiTheme="minorHAnsi"/>
        </w:rPr>
        <w:t xml:space="preserve"> years to expand and impr</w:t>
      </w:r>
      <w:r w:rsidR="00694E11" w:rsidRPr="004A132D">
        <w:rPr>
          <w:rFonts w:asciiTheme="minorHAnsi" w:hAnsiTheme="minorHAnsi"/>
        </w:rPr>
        <w:t>ove the PALM s</w:t>
      </w:r>
      <w:r w:rsidR="00F55553" w:rsidRPr="004A132D">
        <w:rPr>
          <w:rFonts w:asciiTheme="minorHAnsi" w:hAnsiTheme="minorHAnsi"/>
        </w:rPr>
        <w:t xml:space="preserve">cheme, </w:t>
      </w:r>
      <w:r w:rsidR="00694E11" w:rsidRPr="004A132D">
        <w:rPr>
          <w:rFonts w:asciiTheme="minorHAnsi" w:hAnsiTheme="minorHAnsi"/>
        </w:rPr>
        <w:t xml:space="preserve">which </w:t>
      </w:r>
      <w:r w:rsidR="00F55553" w:rsidRPr="004A132D">
        <w:rPr>
          <w:rFonts w:asciiTheme="minorHAnsi" w:hAnsiTheme="minorHAnsi"/>
        </w:rPr>
        <w:t xml:space="preserve">will enhance conditions and better protect and support PALM workers, increase the </w:t>
      </w:r>
      <w:r w:rsidR="00176AF2" w:rsidRPr="004A132D">
        <w:rPr>
          <w:rFonts w:asciiTheme="minorHAnsi" w:hAnsiTheme="minorHAnsi"/>
        </w:rPr>
        <w:t>s</w:t>
      </w:r>
      <w:r w:rsidR="00F55553" w:rsidRPr="004A132D">
        <w:rPr>
          <w:rFonts w:asciiTheme="minorHAnsi" w:hAnsiTheme="minorHAnsi"/>
        </w:rPr>
        <w:t>cheme’s regional footprint and ensure sufficient support for smaller growers.</w:t>
      </w:r>
      <w:r w:rsidR="00694E11" w:rsidRPr="004A132D">
        <w:rPr>
          <w:rFonts w:asciiTheme="minorHAnsi" w:hAnsiTheme="minorHAnsi"/>
        </w:rPr>
        <w:t xml:space="preserve"> All </w:t>
      </w:r>
      <w:r w:rsidR="00EF045E" w:rsidRPr="004A132D">
        <w:rPr>
          <w:rFonts w:asciiTheme="minorHAnsi" w:hAnsiTheme="minorHAnsi"/>
        </w:rPr>
        <w:t xml:space="preserve">PALM scheme </w:t>
      </w:r>
      <w:r w:rsidR="00694E11" w:rsidRPr="004A132D">
        <w:rPr>
          <w:rFonts w:asciiTheme="minorHAnsi" w:hAnsiTheme="minorHAnsi"/>
        </w:rPr>
        <w:t xml:space="preserve">employers </w:t>
      </w:r>
      <w:r w:rsidR="00EF045E" w:rsidRPr="004A132D">
        <w:rPr>
          <w:rFonts w:asciiTheme="minorHAnsi" w:hAnsiTheme="minorHAnsi"/>
        </w:rPr>
        <w:t xml:space="preserve">must comply with the </w:t>
      </w:r>
      <w:r w:rsidR="00EF045E" w:rsidRPr="004A132D">
        <w:rPr>
          <w:rFonts w:asciiTheme="minorHAnsi" w:hAnsiTheme="minorHAnsi"/>
          <w:i/>
        </w:rPr>
        <w:t>Modern Slavery Act 2018</w:t>
      </w:r>
      <w:r w:rsidR="00EF045E" w:rsidRPr="004A132D">
        <w:rPr>
          <w:rFonts w:asciiTheme="minorHAnsi" w:hAnsiTheme="minorHAnsi"/>
        </w:rPr>
        <w:t xml:space="preserve"> (Cth)</w:t>
      </w:r>
      <w:r w:rsidR="00FE7DBB" w:rsidRPr="004A132D">
        <w:rPr>
          <w:rFonts w:asciiTheme="minorHAnsi" w:hAnsiTheme="minorHAnsi"/>
        </w:rPr>
        <w:t xml:space="preserve"> (Modern Slavery Act)</w:t>
      </w:r>
      <w:r w:rsidR="00EF045E" w:rsidRPr="004A132D">
        <w:rPr>
          <w:rFonts w:asciiTheme="minorHAnsi" w:hAnsiTheme="minorHAnsi"/>
        </w:rPr>
        <w:t xml:space="preserve">, any state or territory legislation relating to the same or similar subject matter and the </w:t>
      </w:r>
      <w:r w:rsidR="00D97334" w:rsidRPr="004A132D">
        <w:rPr>
          <w:rFonts w:asciiTheme="minorHAnsi" w:hAnsiTheme="minorHAnsi"/>
        </w:rPr>
        <w:t xml:space="preserve">Criminal Code Act. </w:t>
      </w:r>
      <w:r w:rsidR="00EF045E" w:rsidRPr="004A132D">
        <w:rPr>
          <w:rFonts w:asciiTheme="minorHAnsi" w:hAnsiTheme="minorHAnsi"/>
        </w:rPr>
        <w:t>All PALM scheme workers have the same workplace rights and protections as Australian workers.</w:t>
      </w:r>
    </w:p>
    <w:p w14:paraId="5A3511B5" w14:textId="77777777" w:rsidR="007941B6" w:rsidRPr="004A132D" w:rsidRDefault="00D97334" w:rsidP="006F0B60">
      <w:pPr>
        <w:pStyle w:val="Heading2"/>
        <w:keepNext/>
        <w:keepLines/>
        <w:tabs>
          <w:tab w:val="clear" w:pos="2268"/>
          <w:tab w:val="clear" w:pos="2835"/>
        </w:tabs>
      </w:pPr>
      <w:bookmarkStart w:id="84" w:name="_Toc174011696"/>
      <w:bookmarkStart w:id="85" w:name="_Toc175556791"/>
      <w:r w:rsidRPr="004A132D">
        <w:t xml:space="preserve">Question 12b: </w:t>
      </w:r>
      <w:r w:rsidR="007941B6" w:rsidRPr="004A132D">
        <w:t>Measures to implement the Modern Slavery Act</w:t>
      </w:r>
      <w:bookmarkEnd w:id="84"/>
      <w:bookmarkEnd w:id="85"/>
      <w:r w:rsidR="007941B6" w:rsidRPr="004A132D">
        <w:t xml:space="preserve"> </w:t>
      </w:r>
    </w:p>
    <w:p w14:paraId="40F54145" w14:textId="74E63F6C" w:rsidR="006A04BC" w:rsidRPr="004A132D" w:rsidRDefault="006A04BC" w:rsidP="0002378E">
      <w:pPr>
        <w:pStyle w:val="Numbers"/>
        <w:tabs>
          <w:tab w:val="clear" w:pos="2268"/>
          <w:tab w:val="clear" w:pos="2835"/>
        </w:tabs>
        <w:ind w:left="1418"/>
        <w:rPr>
          <w:rFonts w:asciiTheme="minorHAnsi" w:hAnsiTheme="minorHAnsi"/>
        </w:rPr>
      </w:pPr>
      <w:r w:rsidRPr="004A132D">
        <w:rPr>
          <w:rFonts w:asciiTheme="minorHAnsi" w:hAnsiTheme="minorHAnsi"/>
        </w:rPr>
        <w:t xml:space="preserve">The Modern Slavery Act commenced on 1 January 2019. The Modern Slavery Act requires </w:t>
      </w:r>
      <w:r w:rsidR="00C347E2" w:rsidRPr="004A132D">
        <w:rPr>
          <w:rFonts w:asciiTheme="minorHAnsi" w:hAnsiTheme="minorHAnsi"/>
        </w:rPr>
        <w:t xml:space="preserve">certain </w:t>
      </w:r>
      <w:r w:rsidRPr="004A132D">
        <w:rPr>
          <w:rFonts w:asciiTheme="minorHAnsi" w:hAnsiTheme="minorHAnsi"/>
        </w:rPr>
        <w:t>large businesses and other entities</w:t>
      </w:r>
      <w:r w:rsidR="00C347E2" w:rsidRPr="004A132D">
        <w:rPr>
          <w:rFonts w:asciiTheme="minorHAnsi" w:hAnsiTheme="minorHAnsi"/>
        </w:rPr>
        <w:t xml:space="preserve"> undertaking business</w:t>
      </w:r>
      <w:r w:rsidRPr="004A132D">
        <w:rPr>
          <w:rFonts w:asciiTheme="minorHAnsi" w:hAnsiTheme="minorHAnsi"/>
        </w:rPr>
        <w:t xml:space="preserve"> in Australia to report annually to the Australian Government on </w:t>
      </w:r>
      <w:r w:rsidR="00C347E2" w:rsidRPr="004A132D">
        <w:rPr>
          <w:rFonts w:asciiTheme="minorHAnsi" w:hAnsiTheme="minorHAnsi"/>
          <w:lang w:val="en-AU"/>
        </w:rPr>
        <w:t xml:space="preserve">their actions to assess and </w:t>
      </w:r>
      <w:r w:rsidRPr="004A132D">
        <w:rPr>
          <w:rFonts w:asciiTheme="minorHAnsi" w:hAnsiTheme="minorHAnsi"/>
        </w:rPr>
        <w:t>address</w:t>
      </w:r>
      <w:r w:rsidR="00C347E2" w:rsidRPr="004A132D">
        <w:rPr>
          <w:rFonts w:asciiTheme="minorHAnsi" w:hAnsiTheme="minorHAnsi"/>
        </w:rPr>
        <w:t xml:space="preserve"> the risks of</w:t>
      </w:r>
      <w:r w:rsidRPr="004A132D">
        <w:rPr>
          <w:rFonts w:asciiTheme="minorHAnsi" w:hAnsiTheme="minorHAnsi"/>
        </w:rPr>
        <w:t xml:space="preserve"> modern slavery in their operations and supply chains.</w:t>
      </w:r>
      <w:r w:rsidR="000D7D4F" w:rsidRPr="004A132D">
        <w:rPr>
          <w:rFonts w:asciiTheme="minorHAnsi" w:hAnsiTheme="minorHAnsi"/>
        </w:rPr>
        <w:t xml:space="preserve"> </w:t>
      </w:r>
      <w:r w:rsidR="000D7D4F" w:rsidRPr="004A132D">
        <w:rPr>
          <w:rFonts w:asciiTheme="minorHAnsi" w:hAnsiTheme="minorHAnsi"/>
          <w:lang w:val="en-AU"/>
        </w:rPr>
        <w:t>Modern slavery statements properly submitted are normally published</w:t>
      </w:r>
      <w:r w:rsidR="002F5E7B" w:rsidRPr="004A132D">
        <w:rPr>
          <w:rFonts w:asciiTheme="minorHAnsi" w:hAnsiTheme="minorHAnsi"/>
          <w:lang w:val="en-AU"/>
        </w:rPr>
        <w:t xml:space="preserve"> </w:t>
      </w:r>
      <w:r w:rsidRPr="004A132D">
        <w:rPr>
          <w:rFonts w:asciiTheme="minorHAnsi" w:hAnsiTheme="minorHAnsi"/>
        </w:rPr>
        <w:t>on an online public register, the Modern Slavery Statements Register (the Register).</w:t>
      </w:r>
    </w:p>
    <w:p w14:paraId="1BD5B8DA" w14:textId="7CB5CC2D" w:rsidR="006A04BC" w:rsidRPr="004A132D" w:rsidRDefault="006A04BC" w:rsidP="0002378E">
      <w:pPr>
        <w:pStyle w:val="Numbers"/>
        <w:tabs>
          <w:tab w:val="clear" w:pos="2268"/>
          <w:tab w:val="clear" w:pos="2835"/>
        </w:tabs>
        <w:ind w:left="1418"/>
        <w:rPr>
          <w:rFonts w:asciiTheme="minorHAnsi" w:hAnsiTheme="minorHAnsi"/>
        </w:rPr>
      </w:pPr>
      <w:r w:rsidRPr="004A132D">
        <w:rPr>
          <w:rFonts w:asciiTheme="minorHAnsi" w:hAnsiTheme="minorHAnsi"/>
        </w:rPr>
        <w:t xml:space="preserve">As at </w:t>
      </w:r>
      <w:r w:rsidR="005D3F1C" w:rsidRPr="004A132D">
        <w:rPr>
          <w:rFonts w:asciiTheme="minorHAnsi" w:hAnsiTheme="minorHAnsi"/>
        </w:rPr>
        <w:t>4 July</w:t>
      </w:r>
      <w:r w:rsidR="002F5E7B" w:rsidRPr="004A132D">
        <w:rPr>
          <w:rFonts w:asciiTheme="minorHAnsi" w:hAnsiTheme="minorHAnsi"/>
        </w:rPr>
        <w:t xml:space="preserve"> </w:t>
      </w:r>
      <w:r w:rsidRPr="004A132D">
        <w:rPr>
          <w:rFonts w:asciiTheme="minorHAnsi" w:hAnsiTheme="minorHAnsi"/>
        </w:rPr>
        <w:t>202</w:t>
      </w:r>
      <w:r w:rsidR="00852000" w:rsidRPr="004A132D">
        <w:rPr>
          <w:rFonts w:asciiTheme="minorHAnsi" w:hAnsiTheme="minorHAnsi"/>
        </w:rPr>
        <w:t>4</w:t>
      </w:r>
      <w:r w:rsidRPr="004A132D">
        <w:rPr>
          <w:rFonts w:asciiTheme="minorHAnsi" w:hAnsiTheme="minorHAnsi"/>
        </w:rPr>
        <w:t xml:space="preserve">, over </w:t>
      </w:r>
      <w:r w:rsidR="00633844" w:rsidRPr="004A132D">
        <w:rPr>
          <w:rFonts w:asciiTheme="minorHAnsi" w:hAnsiTheme="minorHAnsi"/>
        </w:rPr>
        <w:t>1</w:t>
      </w:r>
      <w:r w:rsidR="002F5E7B" w:rsidRPr="004A132D">
        <w:rPr>
          <w:rFonts w:asciiTheme="minorHAnsi" w:hAnsiTheme="minorHAnsi"/>
        </w:rPr>
        <w:t>,</w:t>
      </w:r>
      <w:r w:rsidR="00633844" w:rsidRPr="004A132D">
        <w:rPr>
          <w:rFonts w:asciiTheme="minorHAnsi" w:hAnsiTheme="minorHAnsi"/>
        </w:rPr>
        <w:t>0</w:t>
      </w:r>
      <w:r w:rsidRPr="004A132D">
        <w:rPr>
          <w:rFonts w:asciiTheme="minorHAnsi" w:hAnsiTheme="minorHAnsi"/>
        </w:rPr>
        <w:t xml:space="preserve">00 statements have been published on the Register, covering entities headquartered in </w:t>
      </w:r>
      <w:r w:rsidR="00633844" w:rsidRPr="004A132D">
        <w:rPr>
          <w:rFonts w:asciiTheme="minorHAnsi" w:hAnsiTheme="minorHAnsi"/>
        </w:rPr>
        <w:t>60</w:t>
      </w:r>
      <w:r w:rsidRPr="004A132D">
        <w:rPr>
          <w:rFonts w:asciiTheme="minorHAnsi" w:hAnsiTheme="minorHAnsi"/>
        </w:rPr>
        <w:t xml:space="preserve"> countries. There have been over </w:t>
      </w:r>
      <w:r w:rsidR="00757BD5" w:rsidRPr="004A132D">
        <w:rPr>
          <w:rFonts w:asciiTheme="minorHAnsi" w:hAnsiTheme="minorHAnsi"/>
        </w:rPr>
        <w:t>4.5</w:t>
      </w:r>
      <w:r w:rsidRPr="004A132D">
        <w:rPr>
          <w:rFonts w:asciiTheme="minorHAnsi" w:hAnsiTheme="minorHAnsi"/>
        </w:rPr>
        <w:t xml:space="preserve"> million searches conducted on the Register, indicating the interest generated by the reporting requirements under the Act.</w:t>
      </w:r>
    </w:p>
    <w:p w14:paraId="7121534A" w14:textId="372E4CAF" w:rsidR="00207660" w:rsidRPr="004A132D" w:rsidRDefault="006A04BC" w:rsidP="0002378E">
      <w:pPr>
        <w:pStyle w:val="Numbers"/>
        <w:tabs>
          <w:tab w:val="clear" w:pos="2268"/>
          <w:tab w:val="clear" w:pos="2835"/>
        </w:tabs>
        <w:ind w:left="1418"/>
        <w:rPr>
          <w:rFonts w:asciiTheme="minorHAnsi" w:hAnsiTheme="minorHAnsi"/>
        </w:rPr>
      </w:pPr>
      <w:r w:rsidRPr="004A132D">
        <w:rPr>
          <w:rFonts w:asciiTheme="minorHAnsi" w:hAnsiTheme="minorHAnsi"/>
        </w:rPr>
        <w:t xml:space="preserve">The Modern Slavery Act requires the Australian Government to report annually to </w:t>
      </w:r>
      <w:r w:rsidR="004C793B" w:rsidRPr="004A132D">
        <w:rPr>
          <w:rFonts w:asciiTheme="minorHAnsi" w:hAnsiTheme="minorHAnsi"/>
        </w:rPr>
        <w:t xml:space="preserve">the Australian </w:t>
      </w:r>
      <w:r w:rsidRPr="004A132D">
        <w:rPr>
          <w:rFonts w:asciiTheme="minorHAnsi" w:hAnsiTheme="minorHAnsi"/>
        </w:rPr>
        <w:t>Parliament about its actions to implement the legislation.</w:t>
      </w:r>
      <w:r w:rsidR="00207660" w:rsidRPr="004A132D">
        <w:rPr>
          <w:rFonts w:asciiTheme="minorHAnsi" w:hAnsiTheme="minorHAnsi"/>
        </w:rPr>
        <w:t xml:space="preserve"> To date, </w:t>
      </w:r>
      <w:r w:rsidR="00232E8B" w:rsidRPr="004A132D">
        <w:rPr>
          <w:rFonts w:asciiTheme="minorHAnsi" w:hAnsiTheme="minorHAnsi"/>
        </w:rPr>
        <w:br/>
        <w:t>4</w:t>
      </w:r>
      <w:r w:rsidR="00207660" w:rsidRPr="004A132D">
        <w:rPr>
          <w:rFonts w:asciiTheme="minorHAnsi" w:hAnsiTheme="minorHAnsi"/>
        </w:rPr>
        <w:t xml:space="preserve"> annual reports have been </w:t>
      </w:r>
      <w:r w:rsidR="0084054D" w:rsidRPr="004A132D">
        <w:rPr>
          <w:rFonts w:asciiTheme="minorHAnsi" w:hAnsiTheme="minorHAnsi"/>
        </w:rPr>
        <w:t xml:space="preserve">tabled and </w:t>
      </w:r>
      <w:r w:rsidR="00207660" w:rsidRPr="004A132D">
        <w:rPr>
          <w:rFonts w:asciiTheme="minorHAnsi" w:hAnsiTheme="minorHAnsi"/>
        </w:rPr>
        <w:t xml:space="preserve">published. </w:t>
      </w:r>
      <w:r w:rsidRPr="004A132D">
        <w:rPr>
          <w:rFonts w:asciiTheme="minorHAnsi" w:hAnsiTheme="minorHAnsi"/>
        </w:rPr>
        <w:t xml:space="preserve"> </w:t>
      </w:r>
      <w:r w:rsidR="00207660" w:rsidRPr="004A132D">
        <w:rPr>
          <w:rFonts w:asciiTheme="minorHAnsi" w:hAnsiTheme="minorHAnsi"/>
        </w:rPr>
        <w:t>The Australian Government must also prepare an annual modern slavery statement which sets out the Australian Government’s efforts to assess and address modern slavery practices in its operations and supply chains.</w:t>
      </w:r>
      <w:r w:rsidR="00207660" w:rsidRPr="004A132D">
        <w:rPr>
          <w:rStyle w:val="FootnoteReference"/>
          <w:rFonts w:asciiTheme="minorHAnsi" w:hAnsiTheme="minorHAnsi"/>
        </w:rPr>
        <w:footnoteReference w:id="22"/>
      </w:r>
    </w:p>
    <w:p w14:paraId="64A8A013" w14:textId="2E942444" w:rsidR="009B2A2A" w:rsidRPr="004A132D" w:rsidRDefault="000440DB" w:rsidP="004A132D">
      <w:pPr>
        <w:pStyle w:val="Numbers"/>
        <w:tabs>
          <w:tab w:val="clear" w:pos="2268"/>
          <w:tab w:val="clear" w:pos="2835"/>
        </w:tabs>
        <w:ind w:left="1418"/>
        <w:rPr>
          <w:rFonts w:asciiTheme="minorHAnsi" w:hAnsiTheme="minorHAnsi"/>
        </w:rPr>
      </w:pPr>
      <w:r w:rsidRPr="004A132D">
        <w:rPr>
          <w:rFonts w:asciiTheme="minorHAnsi" w:hAnsiTheme="minorHAnsi"/>
        </w:rPr>
        <w:lastRenderedPageBreak/>
        <w:t xml:space="preserve">The Australian Government announced as part of the 2024-25 Budget </w:t>
      </w:r>
      <w:r w:rsidR="00B24279" w:rsidRPr="004A132D">
        <w:rPr>
          <w:rFonts w:asciiTheme="minorHAnsi" w:hAnsiTheme="minorHAnsi"/>
        </w:rPr>
        <w:t xml:space="preserve">that </w:t>
      </w:r>
      <w:r w:rsidRPr="004A132D">
        <w:rPr>
          <w:rFonts w:asciiTheme="minorHAnsi" w:hAnsiTheme="minorHAnsi"/>
        </w:rPr>
        <w:t xml:space="preserve">it would invest $2.5 million over </w:t>
      </w:r>
      <w:r w:rsidR="00520DF4" w:rsidRPr="004A132D">
        <w:rPr>
          <w:rFonts w:asciiTheme="minorHAnsi" w:hAnsiTheme="minorHAnsi"/>
        </w:rPr>
        <w:t>2</w:t>
      </w:r>
      <w:r w:rsidRPr="004A132D">
        <w:rPr>
          <w:rFonts w:asciiTheme="minorHAnsi" w:hAnsiTheme="minorHAnsi"/>
        </w:rPr>
        <w:t xml:space="preserve"> years to undertake a review of Commonwealth procurement procedures and supply chains for modern slavery risks.</w:t>
      </w:r>
    </w:p>
    <w:p w14:paraId="0A2D5A6B" w14:textId="0CBB9F3E" w:rsidR="007941B6" w:rsidRPr="004A132D" w:rsidRDefault="00D97334" w:rsidP="009B2A2A">
      <w:pPr>
        <w:pStyle w:val="Heading2"/>
        <w:tabs>
          <w:tab w:val="clear" w:pos="2268"/>
          <w:tab w:val="clear" w:pos="2835"/>
        </w:tabs>
      </w:pPr>
      <w:bookmarkStart w:id="86" w:name="_Toc174011697"/>
      <w:bookmarkStart w:id="87" w:name="_Toc175556792"/>
      <w:r w:rsidRPr="004A132D">
        <w:t xml:space="preserve">Question 12b: </w:t>
      </w:r>
      <w:r w:rsidR="007941B6" w:rsidRPr="004A132D">
        <w:t>Support for Trafficked People Program</w:t>
      </w:r>
      <w:bookmarkEnd w:id="86"/>
      <w:bookmarkEnd w:id="87"/>
    </w:p>
    <w:p w14:paraId="08F28414" w14:textId="02B2E167" w:rsidR="007941B6" w:rsidRPr="004A132D" w:rsidRDefault="00732DCF" w:rsidP="0002378E">
      <w:pPr>
        <w:pStyle w:val="Numbers"/>
        <w:tabs>
          <w:tab w:val="clear" w:pos="2268"/>
          <w:tab w:val="clear" w:pos="2835"/>
        </w:tabs>
        <w:ind w:left="1418"/>
        <w:rPr>
          <w:rFonts w:asciiTheme="minorHAnsi" w:hAnsiTheme="minorHAnsi"/>
        </w:rPr>
      </w:pPr>
      <w:r w:rsidRPr="004A132D">
        <w:rPr>
          <w:rFonts w:asciiTheme="minorHAnsi" w:hAnsiTheme="minorHAnsi"/>
        </w:rPr>
        <w:t>Further to question 8, t</w:t>
      </w:r>
      <w:r w:rsidR="007941B6" w:rsidRPr="004A132D">
        <w:rPr>
          <w:rFonts w:asciiTheme="minorHAnsi" w:hAnsiTheme="minorHAnsi"/>
        </w:rPr>
        <w:t xml:space="preserve">he Australian Government has committed $24.3 million in additional funding for the </w:t>
      </w:r>
      <w:r w:rsidR="00914307" w:rsidRPr="004A132D">
        <w:rPr>
          <w:rFonts w:asciiTheme="minorHAnsi" w:hAnsiTheme="minorHAnsi"/>
        </w:rPr>
        <w:t>STPP</w:t>
      </w:r>
      <w:r w:rsidR="007941B6" w:rsidRPr="004A132D">
        <w:rPr>
          <w:rFonts w:asciiTheme="minorHAnsi" w:hAnsiTheme="minorHAnsi"/>
        </w:rPr>
        <w:t xml:space="preserve"> from 2023-24 to</w:t>
      </w:r>
      <w:r w:rsidR="003A3F0B" w:rsidRPr="004A132D">
        <w:rPr>
          <w:rFonts w:asciiTheme="minorHAnsi" w:hAnsiTheme="minorHAnsi"/>
        </w:rPr>
        <w:t xml:space="preserve"> </w:t>
      </w:r>
      <w:r w:rsidR="007941B6" w:rsidRPr="004A132D">
        <w:rPr>
          <w:rFonts w:asciiTheme="minorHAnsi" w:hAnsiTheme="minorHAnsi"/>
        </w:rPr>
        <w:t xml:space="preserve">2026-27 to introduce an additional referral pathway for people to access the program without having to engage with the Australian Federal Police and </w:t>
      </w:r>
      <w:r w:rsidR="009B2A2A" w:rsidRPr="004A132D">
        <w:rPr>
          <w:rFonts w:asciiTheme="minorHAnsi" w:hAnsiTheme="minorHAnsi"/>
        </w:rPr>
        <w:t xml:space="preserve">to </w:t>
      </w:r>
      <w:r w:rsidR="007941B6" w:rsidRPr="004A132D">
        <w:rPr>
          <w:rFonts w:asciiTheme="minorHAnsi" w:hAnsiTheme="minorHAnsi"/>
        </w:rPr>
        <w:t xml:space="preserve">make enhancements </w:t>
      </w:r>
      <w:r w:rsidR="009B2A2A" w:rsidRPr="004A132D">
        <w:rPr>
          <w:rFonts w:asciiTheme="minorHAnsi" w:hAnsiTheme="minorHAnsi"/>
        </w:rPr>
        <w:t>that</w:t>
      </w:r>
      <w:r w:rsidR="007941B6" w:rsidRPr="004A132D">
        <w:rPr>
          <w:rFonts w:asciiTheme="minorHAnsi" w:hAnsiTheme="minorHAnsi"/>
        </w:rPr>
        <w:t xml:space="preserve"> better meet the needs of victim</w:t>
      </w:r>
      <w:r w:rsidR="002F5E7B" w:rsidRPr="004A132D">
        <w:rPr>
          <w:rFonts w:asciiTheme="minorHAnsi" w:hAnsiTheme="minorHAnsi"/>
        </w:rPr>
        <w:noBreakHyphen/>
      </w:r>
      <w:r w:rsidR="007941B6" w:rsidRPr="004A132D">
        <w:rPr>
          <w:rFonts w:asciiTheme="minorHAnsi" w:hAnsiTheme="minorHAnsi"/>
        </w:rPr>
        <w:t>survivors. From 1 July 2023:</w:t>
      </w:r>
    </w:p>
    <w:p w14:paraId="5AC1B880" w14:textId="77777777" w:rsidR="007941B6" w:rsidRPr="004A132D" w:rsidRDefault="007941B6" w:rsidP="00561D0E">
      <w:pPr>
        <w:pStyle w:val="Numbers"/>
        <w:numPr>
          <w:ilvl w:val="1"/>
          <w:numId w:val="1"/>
        </w:numPr>
        <w:rPr>
          <w:rFonts w:asciiTheme="minorHAnsi" w:hAnsiTheme="minorHAnsi"/>
        </w:rPr>
      </w:pPr>
      <w:r w:rsidRPr="004A132D">
        <w:rPr>
          <w:rFonts w:asciiTheme="minorHAnsi" w:hAnsiTheme="minorHAnsi"/>
        </w:rPr>
        <w:t>all victim-survivors referred to the STPP receive a minimum of 90 days support irrespective of their willingness or unwillingness to participate in a criminal justice process;</w:t>
      </w:r>
    </w:p>
    <w:p w14:paraId="54CFDA0B" w14:textId="77777777" w:rsidR="007941B6" w:rsidRPr="004A132D" w:rsidRDefault="007941B6" w:rsidP="00561D0E">
      <w:pPr>
        <w:pStyle w:val="Numbers"/>
        <w:numPr>
          <w:ilvl w:val="1"/>
          <w:numId w:val="1"/>
        </w:numPr>
        <w:rPr>
          <w:rFonts w:asciiTheme="minorHAnsi" w:hAnsiTheme="minorHAnsi"/>
        </w:rPr>
      </w:pPr>
      <w:r w:rsidRPr="004A132D">
        <w:rPr>
          <w:rFonts w:asciiTheme="minorHAnsi" w:hAnsiTheme="minorHAnsi"/>
        </w:rPr>
        <w:t>additional support is available for dependents of victim-survivors;</w:t>
      </w:r>
    </w:p>
    <w:p w14:paraId="44ECC624" w14:textId="77777777" w:rsidR="007941B6" w:rsidRPr="004A132D" w:rsidRDefault="007941B6" w:rsidP="00561D0E">
      <w:pPr>
        <w:pStyle w:val="Numbers"/>
        <w:numPr>
          <w:ilvl w:val="1"/>
          <w:numId w:val="1"/>
        </w:numPr>
        <w:rPr>
          <w:rFonts w:asciiTheme="minorHAnsi" w:hAnsiTheme="minorHAnsi"/>
        </w:rPr>
      </w:pPr>
      <w:r w:rsidRPr="004A132D">
        <w:rPr>
          <w:rFonts w:asciiTheme="minorHAnsi" w:hAnsiTheme="minorHAnsi"/>
        </w:rPr>
        <w:t>financial support available to visa holders matches financial support available to those who can access Australian Government social security payments;</w:t>
      </w:r>
    </w:p>
    <w:p w14:paraId="4A7A2D5E" w14:textId="77777777" w:rsidR="007941B6" w:rsidRPr="004A132D" w:rsidRDefault="007941B6" w:rsidP="00561D0E">
      <w:pPr>
        <w:pStyle w:val="Numbers"/>
        <w:numPr>
          <w:ilvl w:val="1"/>
          <w:numId w:val="1"/>
        </w:numPr>
        <w:rPr>
          <w:rFonts w:asciiTheme="minorHAnsi" w:hAnsiTheme="minorHAnsi"/>
          <w:lang w:val="en-NZ"/>
        </w:rPr>
      </w:pPr>
      <w:r w:rsidRPr="004A132D">
        <w:rPr>
          <w:rFonts w:asciiTheme="minorHAnsi" w:hAnsiTheme="minorHAnsi"/>
        </w:rPr>
        <w:t>after leaving the STPP, victim-survivors who remain in Australia are able</w:t>
      </w:r>
      <w:r w:rsidRPr="004A132D">
        <w:rPr>
          <w:rFonts w:asciiTheme="minorHAnsi" w:hAnsiTheme="minorHAnsi"/>
          <w:lang w:val="en-NZ"/>
        </w:rPr>
        <w:t xml:space="preserve"> to check in with a caseworker at 3, 6 and 12 months.</w:t>
      </w:r>
    </w:p>
    <w:p w14:paraId="4C2B4444" w14:textId="28915B03" w:rsidR="00985B72" w:rsidRPr="004A132D" w:rsidRDefault="007A6E44" w:rsidP="0002378E">
      <w:pPr>
        <w:pStyle w:val="Numbers"/>
        <w:ind w:left="1418"/>
        <w:rPr>
          <w:rFonts w:asciiTheme="minorHAnsi" w:hAnsiTheme="minorHAnsi"/>
        </w:rPr>
      </w:pPr>
      <w:r w:rsidRPr="004A132D">
        <w:rPr>
          <w:rStyle w:val="ui-provider"/>
          <w:rFonts w:asciiTheme="minorHAnsi" w:hAnsiTheme="minorHAnsi"/>
        </w:rPr>
        <w:t xml:space="preserve">The Department of </w:t>
      </w:r>
      <w:r w:rsidR="00985B72" w:rsidRPr="004A132D">
        <w:rPr>
          <w:rStyle w:val="ui-provider"/>
          <w:rFonts w:asciiTheme="minorHAnsi" w:hAnsiTheme="minorHAnsi"/>
        </w:rPr>
        <w:t>Home Affairs administers the Australian Government’s Human Trafficking Visa Framework (HTVF), enabling foreign nationals who do not already hold a valid visa and are suspected victims of human trafficking and slavery, to remain in Australia</w:t>
      </w:r>
      <w:r w:rsidR="001F4F9B" w:rsidRPr="004A132D">
        <w:rPr>
          <w:rStyle w:val="ui-provider"/>
          <w:rFonts w:asciiTheme="minorHAnsi" w:hAnsiTheme="minorHAnsi"/>
        </w:rPr>
        <w:t xml:space="preserve"> lawfully - either temporarily or permanently</w:t>
      </w:r>
      <w:r w:rsidR="00985B72" w:rsidRPr="004A132D">
        <w:rPr>
          <w:rStyle w:val="ui-provider"/>
          <w:rFonts w:asciiTheme="minorHAnsi" w:hAnsiTheme="minorHAnsi"/>
        </w:rPr>
        <w:t xml:space="preserve">. </w:t>
      </w:r>
    </w:p>
    <w:p w14:paraId="32E6CBBB" w14:textId="3818A656" w:rsidR="006A04BC" w:rsidRPr="004A132D" w:rsidRDefault="00D97334" w:rsidP="00207660">
      <w:pPr>
        <w:pStyle w:val="Heading2"/>
      </w:pPr>
      <w:bookmarkStart w:id="88" w:name="_Toc174011698"/>
      <w:bookmarkStart w:id="89" w:name="_Toc175556793"/>
      <w:r w:rsidRPr="004A132D">
        <w:t xml:space="preserve">Question 12b: </w:t>
      </w:r>
      <w:r w:rsidR="006A04BC" w:rsidRPr="004A132D">
        <w:t>Early identification and referral of victims of trafficking</w:t>
      </w:r>
      <w:bookmarkEnd w:id="88"/>
      <w:bookmarkEnd w:id="89"/>
    </w:p>
    <w:p w14:paraId="5B229568" w14:textId="77777777" w:rsidR="006A04BC" w:rsidRPr="004A132D" w:rsidRDefault="00E31E34" w:rsidP="0002378E">
      <w:pPr>
        <w:pStyle w:val="Numbers"/>
        <w:ind w:left="1418"/>
        <w:rPr>
          <w:rStyle w:val="ui-provider"/>
          <w:rFonts w:asciiTheme="minorHAnsi" w:hAnsiTheme="minorHAnsi"/>
        </w:rPr>
      </w:pPr>
      <w:r w:rsidRPr="004A132D">
        <w:rPr>
          <w:rStyle w:val="ui-provider"/>
          <w:rFonts w:asciiTheme="minorHAnsi" w:hAnsiTheme="minorHAnsi"/>
        </w:rPr>
        <w:t>T</w:t>
      </w:r>
      <w:r w:rsidR="006A04BC" w:rsidRPr="004A132D">
        <w:rPr>
          <w:rStyle w:val="ui-provider"/>
          <w:rFonts w:asciiTheme="minorHAnsi" w:hAnsiTheme="minorHAnsi"/>
        </w:rPr>
        <w:t xml:space="preserve">he Australian Federal Police’s Look a Little Deeper program is a human </w:t>
      </w:r>
      <w:r w:rsidR="00A37CBA" w:rsidRPr="004A132D">
        <w:rPr>
          <w:rStyle w:val="ui-provider"/>
          <w:rFonts w:asciiTheme="minorHAnsi" w:hAnsiTheme="minorHAnsi"/>
        </w:rPr>
        <w:t>trafficking, slavery information,</w:t>
      </w:r>
      <w:r w:rsidR="006A04BC" w:rsidRPr="004A132D">
        <w:rPr>
          <w:rStyle w:val="ui-provider"/>
          <w:rFonts w:asciiTheme="minorHAnsi" w:hAnsiTheme="minorHAnsi"/>
        </w:rPr>
        <w:t xml:space="preserve"> and awareness program for front</w:t>
      </w:r>
      <w:r w:rsidR="00195DEB" w:rsidRPr="004A132D">
        <w:rPr>
          <w:rStyle w:val="ui-provider"/>
          <w:rFonts w:asciiTheme="minorHAnsi" w:hAnsiTheme="minorHAnsi"/>
        </w:rPr>
        <w:t>line officers, first responders</w:t>
      </w:r>
      <w:r w:rsidR="006A04BC" w:rsidRPr="004A132D">
        <w:rPr>
          <w:rStyle w:val="ui-provider"/>
          <w:rFonts w:asciiTheme="minorHAnsi" w:hAnsiTheme="minorHAnsi"/>
        </w:rPr>
        <w:t xml:space="preserve"> and other government agencies</w:t>
      </w:r>
      <w:r w:rsidRPr="004A132D">
        <w:rPr>
          <w:rStyle w:val="ui-provider"/>
          <w:rFonts w:asciiTheme="minorHAnsi" w:hAnsiTheme="minorHAnsi"/>
        </w:rPr>
        <w:t xml:space="preserve"> which commenced in 2018</w:t>
      </w:r>
      <w:r w:rsidR="006A04BC" w:rsidRPr="004A132D">
        <w:rPr>
          <w:rStyle w:val="ui-provider"/>
          <w:rFonts w:asciiTheme="minorHAnsi" w:hAnsiTheme="minorHAnsi"/>
        </w:rPr>
        <w:t xml:space="preserve">. </w:t>
      </w:r>
      <w:r w:rsidR="00B34ED5" w:rsidRPr="004A132D">
        <w:rPr>
          <w:rStyle w:val="ui-provider"/>
          <w:rFonts w:asciiTheme="minorHAnsi" w:hAnsiTheme="minorHAnsi"/>
        </w:rPr>
        <w:t xml:space="preserve">Sixteen government agencies have adopted the program, including every state and territory police force in Australia. </w:t>
      </w:r>
    </w:p>
    <w:p w14:paraId="58CA93C4" w14:textId="4EC06F73" w:rsidR="003A3F0B" w:rsidRPr="004A132D" w:rsidRDefault="003A3F0B" w:rsidP="0002378E">
      <w:pPr>
        <w:pStyle w:val="Numbers"/>
        <w:ind w:left="1418"/>
        <w:rPr>
          <w:rFonts w:asciiTheme="minorHAnsi" w:hAnsiTheme="minorHAnsi"/>
          <w:spacing w:val="-2"/>
        </w:rPr>
      </w:pPr>
      <w:r w:rsidRPr="004A132D">
        <w:rPr>
          <w:rFonts w:asciiTheme="minorHAnsi" w:hAnsiTheme="minorHAnsi"/>
          <w:spacing w:val="-2"/>
        </w:rPr>
        <w:lastRenderedPageBreak/>
        <w:t>In</w:t>
      </w:r>
      <w:r w:rsidR="007A6E44" w:rsidRPr="004A132D">
        <w:rPr>
          <w:rFonts w:asciiTheme="minorHAnsi" w:hAnsiTheme="minorHAnsi"/>
          <w:spacing w:val="-2"/>
        </w:rPr>
        <w:t xml:space="preserve"> the</w:t>
      </w:r>
      <w:r w:rsidR="006F446A" w:rsidRPr="004A132D">
        <w:rPr>
          <w:rFonts w:asciiTheme="minorHAnsi" w:hAnsiTheme="minorHAnsi"/>
          <w:spacing w:val="-2"/>
        </w:rPr>
        <w:t xml:space="preserve"> 2022-23 financial year, the Australian Federal Police</w:t>
      </w:r>
      <w:r w:rsidRPr="004A132D">
        <w:rPr>
          <w:rFonts w:asciiTheme="minorHAnsi" w:hAnsiTheme="minorHAnsi"/>
          <w:spacing w:val="-2"/>
        </w:rPr>
        <w:t xml:space="preserve"> delivered presentations on the program to 2,081 persons. E-learning material is available for all A</w:t>
      </w:r>
      <w:r w:rsidR="006F446A" w:rsidRPr="004A132D">
        <w:rPr>
          <w:rFonts w:asciiTheme="minorHAnsi" w:hAnsiTheme="minorHAnsi"/>
          <w:spacing w:val="-2"/>
        </w:rPr>
        <w:t>ustralian Federal Police</w:t>
      </w:r>
      <w:r w:rsidRPr="004A132D">
        <w:rPr>
          <w:rFonts w:asciiTheme="minorHAnsi" w:hAnsiTheme="minorHAnsi"/>
          <w:spacing w:val="-2"/>
        </w:rPr>
        <w:t xml:space="preserve"> members to complete and has been provided to all adopting agencies. </w:t>
      </w:r>
    </w:p>
    <w:p w14:paraId="6E93B000" w14:textId="3116827F" w:rsidR="006D1C78" w:rsidRPr="004A132D" w:rsidRDefault="00E31E34" w:rsidP="001F4F9B">
      <w:pPr>
        <w:pStyle w:val="Heading2"/>
        <w:keepNext/>
      </w:pPr>
      <w:bookmarkStart w:id="90" w:name="_Toc174011699"/>
      <w:bookmarkStart w:id="91" w:name="_Toc175556794"/>
      <w:r w:rsidRPr="004A132D">
        <w:t>Question 12c</w:t>
      </w:r>
      <w:r w:rsidR="00C430C3" w:rsidRPr="004A132D">
        <w:t xml:space="preserve"> part 1</w:t>
      </w:r>
      <w:r w:rsidRPr="004A132D">
        <w:t xml:space="preserve">: </w:t>
      </w:r>
      <w:r w:rsidR="006D1C78" w:rsidRPr="004A132D">
        <w:t xml:space="preserve">De-criminalising </w:t>
      </w:r>
      <w:r w:rsidR="00817BD0" w:rsidRPr="004A132D">
        <w:t>sex work</w:t>
      </w:r>
      <w:bookmarkEnd w:id="90"/>
      <w:bookmarkEnd w:id="91"/>
    </w:p>
    <w:p w14:paraId="32D3DC1F" w14:textId="37B20077" w:rsidR="00817BD0" w:rsidRPr="004A132D" w:rsidRDefault="00817BD0" w:rsidP="0002378E">
      <w:pPr>
        <w:pStyle w:val="Numbers"/>
        <w:ind w:left="1418"/>
        <w:rPr>
          <w:rFonts w:asciiTheme="minorHAnsi" w:hAnsiTheme="minorHAnsi"/>
        </w:rPr>
      </w:pPr>
      <w:r w:rsidRPr="004A132D">
        <w:rPr>
          <w:rFonts w:asciiTheme="minorHAnsi" w:hAnsiTheme="minorHAnsi"/>
        </w:rPr>
        <w:t>The Australian Government recognises everyone is entitled to respect, dignity and the opportunity to participate equally in society, regardless of their sex, gender identity or occupation. Those who work in the sex industry, like any other workers, deserve respect and safe work environments.</w:t>
      </w:r>
    </w:p>
    <w:p w14:paraId="04B06F4D" w14:textId="77777777" w:rsidR="00817BD0" w:rsidRPr="004A132D" w:rsidRDefault="00817BD0" w:rsidP="0002378E">
      <w:pPr>
        <w:pStyle w:val="Numbers"/>
        <w:ind w:left="1418"/>
        <w:rPr>
          <w:rFonts w:asciiTheme="minorHAnsi" w:hAnsiTheme="minorHAnsi"/>
        </w:rPr>
      </w:pPr>
      <w:r w:rsidRPr="004A132D">
        <w:rPr>
          <w:rFonts w:asciiTheme="minorHAnsi" w:hAnsiTheme="minorHAnsi"/>
        </w:rPr>
        <w:t>Under Australia’s fe</w:t>
      </w:r>
      <w:r w:rsidR="00A31008" w:rsidRPr="004A132D">
        <w:rPr>
          <w:rFonts w:asciiTheme="minorHAnsi" w:hAnsiTheme="minorHAnsi"/>
        </w:rPr>
        <w:t xml:space="preserve">deral system of government, </w:t>
      </w:r>
      <w:r w:rsidRPr="004A132D">
        <w:rPr>
          <w:rFonts w:asciiTheme="minorHAnsi" w:hAnsiTheme="minorHAnsi"/>
        </w:rPr>
        <w:t>each state and territory manages their own criminal law and related systems and the decriminalisation of sex work falls under state and territory responsibility.</w:t>
      </w:r>
    </w:p>
    <w:p w14:paraId="7FAA8EDF" w14:textId="56441E5A" w:rsidR="00817BD0" w:rsidRPr="004A132D" w:rsidRDefault="00817BD0" w:rsidP="0002378E">
      <w:pPr>
        <w:pStyle w:val="Numbers"/>
        <w:ind w:left="1418"/>
        <w:rPr>
          <w:rFonts w:asciiTheme="minorHAnsi" w:hAnsiTheme="minorHAnsi"/>
        </w:rPr>
      </w:pPr>
      <w:r w:rsidRPr="004A132D">
        <w:rPr>
          <w:rFonts w:asciiTheme="minorHAnsi" w:hAnsiTheme="minorHAnsi"/>
        </w:rPr>
        <w:t xml:space="preserve">Across Australian jurisdictions there are </w:t>
      </w:r>
      <w:r w:rsidR="00232E8B" w:rsidRPr="004A132D">
        <w:rPr>
          <w:rFonts w:asciiTheme="minorHAnsi" w:hAnsiTheme="minorHAnsi"/>
        </w:rPr>
        <w:t>3</w:t>
      </w:r>
      <w:r w:rsidRPr="004A132D">
        <w:rPr>
          <w:rFonts w:asciiTheme="minorHAnsi" w:hAnsiTheme="minorHAnsi"/>
        </w:rPr>
        <w:t xml:space="preserve"> legislative approaches</w:t>
      </w:r>
      <w:r w:rsidR="00D97334" w:rsidRPr="004A132D">
        <w:rPr>
          <w:rFonts w:asciiTheme="minorHAnsi" w:hAnsiTheme="minorHAnsi"/>
        </w:rPr>
        <w:t xml:space="preserve"> to sex work –</w:t>
      </w:r>
      <w:r w:rsidRPr="004A132D">
        <w:rPr>
          <w:rFonts w:asciiTheme="minorHAnsi" w:hAnsiTheme="minorHAnsi"/>
        </w:rPr>
        <w:t xml:space="preserve"> legalisation, decriminalisation and criminalisation. </w:t>
      </w:r>
      <w:r w:rsidR="00F40A8E" w:rsidRPr="004A132D">
        <w:rPr>
          <w:rFonts w:asciiTheme="minorHAnsi" w:hAnsiTheme="minorHAnsi"/>
          <w:lang w:val="en-AU"/>
        </w:rPr>
        <w:t xml:space="preserve">Consensual adult sex work is legalised in the ACT through a licensing model (sole operator sex workers are exempted from the requirement to hold a licence), although street-based solicitation remains criminalised. </w:t>
      </w:r>
      <w:r w:rsidR="00D97334" w:rsidRPr="004A132D">
        <w:rPr>
          <w:rFonts w:asciiTheme="minorHAnsi" w:hAnsiTheme="minorHAnsi"/>
        </w:rPr>
        <w:t xml:space="preserve">SA, WA and TAS </w:t>
      </w:r>
      <w:r w:rsidRPr="004A132D">
        <w:rPr>
          <w:rFonts w:asciiTheme="minorHAnsi" w:hAnsiTheme="minorHAnsi"/>
        </w:rPr>
        <w:t xml:space="preserve">have fully or partially criminalised this form of work. </w:t>
      </w:r>
      <w:r w:rsidR="00D97334" w:rsidRPr="004A132D">
        <w:rPr>
          <w:rFonts w:asciiTheme="minorHAnsi" w:hAnsiTheme="minorHAnsi"/>
        </w:rPr>
        <w:t>NSW</w:t>
      </w:r>
      <w:r w:rsidRPr="004A132D">
        <w:rPr>
          <w:rFonts w:asciiTheme="minorHAnsi" w:hAnsiTheme="minorHAnsi"/>
        </w:rPr>
        <w:t xml:space="preserve"> decriminalised sex work in 1995, the </w:t>
      </w:r>
      <w:r w:rsidR="00D97334" w:rsidRPr="004A132D">
        <w:rPr>
          <w:rFonts w:asciiTheme="minorHAnsi" w:hAnsiTheme="minorHAnsi"/>
        </w:rPr>
        <w:t xml:space="preserve">NT </w:t>
      </w:r>
      <w:r w:rsidR="00FB07E1" w:rsidRPr="004A132D">
        <w:rPr>
          <w:rFonts w:asciiTheme="minorHAnsi" w:hAnsiTheme="minorHAnsi"/>
          <w:lang w:val="en-AU"/>
        </w:rPr>
        <w:t xml:space="preserve">decriminalised sex work in 2019, </w:t>
      </w:r>
      <w:r w:rsidR="00D97334" w:rsidRPr="004A132D">
        <w:rPr>
          <w:rFonts w:asciiTheme="minorHAnsi" w:hAnsiTheme="minorHAnsi"/>
        </w:rPr>
        <w:t>VIC</w:t>
      </w:r>
      <w:r w:rsidRPr="004A132D">
        <w:rPr>
          <w:rFonts w:asciiTheme="minorHAnsi" w:hAnsiTheme="minorHAnsi"/>
        </w:rPr>
        <w:t xml:space="preserve"> </w:t>
      </w:r>
      <w:r w:rsidR="00FB07E1" w:rsidRPr="004A132D">
        <w:rPr>
          <w:rFonts w:asciiTheme="minorHAnsi" w:hAnsiTheme="minorHAnsi"/>
        </w:rPr>
        <w:t>in</w:t>
      </w:r>
      <w:r w:rsidR="007A6E44" w:rsidRPr="004A132D">
        <w:rPr>
          <w:rFonts w:asciiTheme="minorHAnsi" w:hAnsiTheme="minorHAnsi"/>
        </w:rPr>
        <w:t xml:space="preserve"> </w:t>
      </w:r>
      <w:r w:rsidRPr="004A132D">
        <w:rPr>
          <w:rFonts w:asciiTheme="minorHAnsi" w:hAnsiTheme="minorHAnsi"/>
        </w:rPr>
        <w:t xml:space="preserve">2022 </w:t>
      </w:r>
      <w:r w:rsidR="00FB07E1" w:rsidRPr="004A132D">
        <w:rPr>
          <w:rFonts w:asciiTheme="minorHAnsi" w:hAnsiTheme="minorHAnsi"/>
        </w:rPr>
        <w:t>and QLD in 2023</w:t>
      </w:r>
      <w:r w:rsidRPr="004A132D">
        <w:rPr>
          <w:rFonts w:asciiTheme="minorHAnsi" w:hAnsiTheme="minorHAnsi"/>
        </w:rPr>
        <w:t>.</w:t>
      </w:r>
    </w:p>
    <w:p w14:paraId="667A25A3" w14:textId="2B64ED6E" w:rsidR="007A6E44" w:rsidRPr="004A132D" w:rsidRDefault="00817BD0" w:rsidP="0002378E">
      <w:pPr>
        <w:pStyle w:val="Numbers"/>
        <w:ind w:left="1418"/>
        <w:rPr>
          <w:rFonts w:asciiTheme="minorHAnsi" w:hAnsiTheme="minorHAnsi"/>
        </w:rPr>
      </w:pPr>
      <w:r w:rsidRPr="004A132D">
        <w:rPr>
          <w:rFonts w:asciiTheme="minorHAnsi" w:hAnsiTheme="minorHAnsi"/>
        </w:rPr>
        <w:t xml:space="preserve">Decriminalisation models recognise sex work as a legitimate profession </w:t>
      </w:r>
      <w:r w:rsidR="00CC53F8">
        <w:rPr>
          <w:rFonts w:asciiTheme="minorHAnsi" w:hAnsiTheme="minorHAnsi"/>
        </w:rPr>
        <w:t xml:space="preserve">which is </w:t>
      </w:r>
      <w:r w:rsidRPr="004A132D">
        <w:rPr>
          <w:rFonts w:asciiTheme="minorHAnsi" w:hAnsiTheme="minorHAnsi"/>
        </w:rPr>
        <w:t xml:space="preserve">regulated through standard business law, rather than </w:t>
      </w:r>
      <w:r w:rsidR="00CC53F8">
        <w:rPr>
          <w:rFonts w:asciiTheme="minorHAnsi" w:hAnsiTheme="minorHAnsi"/>
        </w:rPr>
        <w:t>through</w:t>
      </w:r>
      <w:r w:rsidRPr="004A132D">
        <w:rPr>
          <w:rFonts w:asciiTheme="minorHAnsi" w:hAnsiTheme="minorHAnsi"/>
        </w:rPr>
        <w:t xml:space="preserve"> licencing and criminalisation. </w:t>
      </w:r>
      <w:r w:rsidR="00CC53F8">
        <w:rPr>
          <w:rFonts w:asciiTheme="minorHAnsi" w:hAnsiTheme="minorHAnsi"/>
        </w:rPr>
        <w:t xml:space="preserve">The </w:t>
      </w:r>
      <w:r w:rsidR="00DD776F" w:rsidRPr="004A132D">
        <w:rPr>
          <w:rFonts w:asciiTheme="minorHAnsi" w:hAnsiTheme="minorHAnsi"/>
        </w:rPr>
        <w:t>VIC</w:t>
      </w:r>
      <w:r w:rsidRPr="004A132D">
        <w:rPr>
          <w:rFonts w:asciiTheme="minorHAnsi" w:hAnsiTheme="minorHAnsi"/>
        </w:rPr>
        <w:t xml:space="preserve"> model contains provisions preventing </w:t>
      </w:r>
      <w:r w:rsidR="00CC53F8">
        <w:rPr>
          <w:rFonts w:asciiTheme="minorHAnsi" w:hAnsiTheme="minorHAnsi"/>
        </w:rPr>
        <w:t xml:space="preserve">the </w:t>
      </w:r>
      <w:r w:rsidRPr="004A132D">
        <w:rPr>
          <w:rFonts w:asciiTheme="minorHAnsi" w:hAnsiTheme="minorHAnsi"/>
        </w:rPr>
        <w:t>discrimination of sex workers on the basis of their “profession, trade or occupation”.</w:t>
      </w:r>
      <w:r w:rsidRPr="004A132D">
        <w:rPr>
          <w:rStyle w:val="FootnoteReference"/>
          <w:rFonts w:asciiTheme="minorHAnsi" w:hAnsiTheme="minorHAnsi"/>
        </w:rPr>
        <w:footnoteReference w:id="23"/>
      </w:r>
      <w:r w:rsidRPr="004A132D">
        <w:rPr>
          <w:rFonts w:asciiTheme="minorHAnsi" w:hAnsiTheme="minorHAnsi"/>
        </w:rPr>
        <w:t xml:space="preserve"> </w:t>
      </w:r>
    </w:p>
    <w:p w14:paraId="4D38002A" w14:textId="6B9E689D" w:rsidR="00062768" w:rsidRPr="004A132D" w:rsidRDefault="00817BD0" w:rsidP="008D63FD">
      <w:pPr>
        <w:pStyle w:val="Heading2"/>
      </w:pPr>
      <w:bookmarkStart w:id="92" w:name="_Toc175556795"/>
      <w:r w:rsidRPr="004A132D">
        <w:t>Question 12c</w:t>
      </w:r>
      <w:r w:rsidR="00C430C3" w:rsidRPr="004A132D">
        <w:t xml:space="preserve"> part 2</w:t>
      </w:r>
      <w:r w:rsidRPr="004A132D">
        <w:t xml:space="preserve">: </w:t>
      </w:r>
      <w:r w:rsidR="00062768" w:rsidRPr="004A132D">
        <w:t>Addressing sexual servitude and exploitation</w:t>
      </w:r>
      <w:bookmarkEnd w:id="92"/>
      <w:r w:rsidR="00062768" w:rsidRPr="004A132D">
        <w:t xml:space="preserve"> </w:t>
      </w:r>
    </w:p>
    <w:p w14:paraId="786B2E89" w14:textId="527B5B09" w:rsidR="00CD4E4D" w:rsidRPr="004A132D" w:rsidRDefault="00CD4E4D" w:rsidP="0002378E">
      <w:pPr>
        <w:pStyle w:val="Numbers"/>
        <w:ind w:left="1418"/>
        <w:rPr>
          <w:rFonts w:asciiTheme="minorHAnsi" w:hAnsiTheme="minorHAnsi"/>
        </w:rPr>
      </w:pPr>
      <w:r w:rsidRPr="004A132D">
        <w:rPr>
          <w:rFonts w:asciiTheme="minorHAnsi" w:hAnsiTheme="minorHAnsi"/>
        </w:rPr>
        <w:t>The</w:t>
      </w:r>
      <w:r w:rsidR="00CF5F1B" w:rsidRPr="004A132D">
        <w:rPr>
          <w:rFonts w:asciiTheme="minorHAnsi" w:hAnsiTheme="minorHAnsi"/>
        </w:rPr>
        <w:t xml:space="preserve"> </w:t>
      </w:r>
      <w:r w:rsidR="001C7E82" w:rsidRPr="004A132D">
        <w:rPr>
          <w:rFonts w:asciiTheme="minorHAnsi" w:hAnsiTheme="minorHAnsi"/>
          <w:i/>
        </w:rPr>
        <w:t xml:space="preserve">National Action Plan to Combat Modern Slavery 2020-25 </w:t>
      </w:r>
      <w:r w:rsidR="001C7E82" w:rsidRPr="004A132D">
        <w:rPr>
          <w:rFonts w:asciiTheme="minorHAnsi" w:hAnsiTheme="minorHAnsi"/>
        </w:rPr>
        <w:t xml:space="preserve">(National </w:t>
      </w:r>
      <w:r w:rsidR="00B052B5" w:rsidRPr="004A132D">
        <w:rPr>
          <w:rFonts w:asciiTheme="minorHAnsi" w:hAnsiTheme="minorHAnsi"/>
        </w:rPr>
        <w:t>Action</w:t>
      </w:r>
      <w:r w:rsidR="007A6E44" w:rsidRPr="004A132D">
        <w:rPr>
          <w:rFonts w:asciiTheme="minorHAnsi" w:hAnsiTheme="minorHAnsi"/>
        </w:rPr>
        <w:t xml:space="preserve"> </w:t>
      </w:r>
      <w:r w:rsidR="001C7E82" w:rsidRPr="004A132D">
        <w:rPr>
          <w:rFonts w:asciiTheme="minorHAnsi" w:hAnsiTheme="minorHAnsi"/>
        </w:rPr>
        <w:t>Plan</w:t>
      </w:r>
      <w:r w:rsidR="00B052B5" w:rsidRPr="004A132D">
        <w:rPr>
          <w:rFonts w:asciiTheme="minorHAnsi" w:hAnsiTheme="minorHAnsi"/>
        </w:rPr>
        <w:t xml:space="preserve"> to Combat Modern Slavery</w:t>
      </w:r>
      <w:r w:rsidR="001C7E82" w:rsidRPr="004A132D">
        <w:rPr>
          <w:rFonts w:asciiTheme="minorHAnsi" w:hAnsiTheme="minorHAnsi"/>
        </w:rPr>
        <w:t xml:space="preserve">) </w:t>
      </w:r>
      <w:r w:rsidR="00D97334" w:rsidRPr="004A132D">
        <w:rPr>
          <w:rFonts w:asciiTheme="minorHAnsi" w:hAnsiTheme="minorHAnsi"/>
        </w:rPr>
        <w:t xml:space="preserve">provides </w:t>
      </w:r>
      <w:r w:rsidRPr="004A132D">
        <w:rPr>
          <w:rFonts w:asciiTheme="minorHAnsi" w:hAnsiTheme="minorHAnsi"/>
        </w:rPr>
        <w:t>the strategic framework for Austral</w:t>
      </w:r>
      <w:r w:rsidR="00FF723D" w:rsidRPr="004A132D">
        <w:rPr>
          <w:rFonts w:asciiTheme="minorHAnsi" w:hAnsiTheme="minorHAnsi"/>
        </w:rPr>
        <w:t xml:space="preserve">ia’s response to modern slavery </w:t>
      </w:r>
      <w:r w:rsidRPr="004A132D">
        <w:rPr>
          <w:rFonts w:asciiTheme="minorHAnsi" w:hAnsiTheme="minorHAnsi"/>
        </w:rPr>
        <w:t>which includes human trafficking, slavery and slavery</w:t>
      </w:r>
      <w:r w:rsidR="007A6E44" w:rsidRPr="004A132D">
        <w:rPr>
          <w:rFonts w:asciiTheme="minorHAnsi" w:hAnsiTheme="minorHAnsi"/>
        </w:rPr>
        <w:noBreakHyphen/>
      </w:r>
      <w:r w:rsidRPr="004A132D">
        <w:rPr>
          <w:rFonts w:asciiTheme="minorHAnsi" w:hAnsiTheme="minorHAnsi"/>
        </w:rPr>
        <w:t xml:space="preserve">like practices. The </w:t>
      </w:r>
      <w:r w:rsidR="00D97334" w:rsidRPr="004A132D">
        <w:rPr>
          <w:rFonts w:asciiTheme="minorHAnsi" w:hAnsiTheme="minorHAnsi"/>
        </w:rPr>
        <w:t xml:space="preserve">Criminal Code Act </w:t>
      </w:r>
      <w:r w:rsidRPr="004A132D">
        <w:rPr>
          <w:rFonts w:asciiTheme="minorHAnsi" w:hAnsiTheme="minorHAnsi"/>
        </w:rPr>
        <w:t xml:space="preserve">comprehensively criminalises human </w:t>
      </w:r>
      <w:r w:rsidRPr="004A132D">
        <w:rPr>
          <w:rFonts w:asciiTheme="minorHAnsi" w:hAnsiTheme="minorHAnsi"/>
        </w:rPr>
        <w:lastRenderedPageBreak/>
        <w:t xml:space="preserve">trafficking, slavery and slavery-like practices in all industries, including within the sex industry. </w:t>
      </w:r>
    </w:p>
    <w:p w14:paraId="42E53175" w14:textId="2185BFE0" w:rsidR="00EB4A8D" w:rsidRPr="004A132D" w:rsidRDefault="00A53106" w:rsidP="0002378E">
      <w:pPr>
        <w:pStyle w:val="Numbers"/>
        <w:ind w:left="1418"/>
        <w:rPr>
          <w:rFonts w:asciiTheme="minorHAnsi" w:hAnsiTheme="minorHAnsi"/>
        </w:rPr>
      </w:pPr>
      <w:r w:rsidRPr="004A132D">
        <w:rPr>
          <w:rFonts w:asciiTheme="minorHAnsi" w:hAnsiTheme="minorHAnsi"/>
        </w:rPr>
        <w:t xml:space="preserve">The </w:t>
      </w:r>
      <w:r w:rsidR="00FF723D" w:rsidRPr="004A132D">
        <w:rPr>
          <w:rFonts w:asciiTheme="minorHAnsi" w:hAnsiTheme="minorHAnsi"/>
        </w:rPr>
        <w:t xml:space="preserve">Australian </w:t>
      </w:r>
      <w:r w:rsidRPr="004A132D">
        <w:rPr>
          <w:rFonts w:asciiTheme="minorHAnsi" w:hAnsiTheme="minorHAnsi"/>
        </w:rPr>
        <w:t xml:space="preserve">Government is committed to tackling modern slavery at home and abroad. </w:t>
      </w:r>
      <w:r w:rsidR="00CC53F8">
        <w:rPr>
          <w:rFonts w:asciiTheme="minorHAnsi" w:hAnsiTheme="minorHAnsi"/>
        </w:rPr>
        <w:t>A</w:t>
      </w:r>
      <w:r w:rsidRPr="004A132D">
        <w:rPr>
          <w:rFonts w:asciiTheme="minorHAnsi" w:hAnsiTheme="minorHAnsi"/>
        </w:rPr>
        <w:t xml:space="preserve">spects of </w:t>
      </w:r>
      <w:r w:rsidR="00FF723D" w:rsidRPr="004A132D">
        <w:rPr>
          <w:rFonts w:asciiTheme="minorHAnsi" w:hAnsiTheme="minorHAnsi"/>
        </w:rPr>
        <w:t xml:space="preserve">the Government’s </w:t>
      </w:r>
      <w:r w:rsidRPr="004A132D">
        <w:rPr>
          <w:rFonts w:asciiTheme="minorHAnsi" w:hAnsiTheme="minorHAnsi"/>
        </w:rPr>
        <w:t xml:space="preserve">response </w:t>
      </w:r>
      <w:r w:rsidR="00195DEB" w:rsidRPr="004A132D">
        <w:rPr>
          <w:rFonts w:asciiTheme="minorHAnsi" w:hAnsiTheme="minorHAnsi"/>
        </w:rPr>
        <w:t>a</w:t>
      </w:r>
      <w:r w:rsidR="00DB01D8" w:rsidRPr="004A132D">
        <w:rPr>
          <w:rFonts w:asciiTheme="minorHAnsi" w:hAnsiTheme="minorHAnsi"/>
        </w:rPr>
        <w:t xml:space="preserve">re outlined </w:t>
      </w:r>
      <w:r w:rsidR="00F40975" w:rsidRPr="004A132D">
        <w:rPr>
          <w:rFonts w:asciiTheme="minorHAnsi" w:hAnsiTheme="minorHAnsi"/>
        </w:rPr>
        <w:t>in</w:t>
      </w:r>
      <w:r w:rsidR="00D97334" w:rsidRPr="004A132D">
        <w:rPr>
          <w:rFonts w:asciiTheme="minorHAnsi" w:hAnsiTheme="minorHAnsi"/>
        </w:rPr>
        <w:t xml:space="preserve"> question</w:t>
      </w:r>
      <w:r w:rsidR="00DB01D8" w:rsidRPr="004A132D">
        <w:rPr>
          <w:rFonts w:asciiTheme="minorHAnsi" w:hAnsiTheme="minorHAnsi"/>
        </w:rPr>
        <w:t xml:space="preserve"> 12.</w:t>
      </w:r>
      <w:r w:rsidR="00EB4A8D" w:rsidRPr="004A132D">
        <w:rPr>
          <w:rFonts w:asciiTheme="minorHAnsi" w:hAnsiTheme="minorHAnsi"/>
        </w:rPr>
        <w:t xml:space="preserve"> </w:t>
      </w:r>
      <w:r w:rsidR="00F40975" w:rsidRPr="004A132D">
        <w:rPr>
          <w:rFonts w:asciiTheme="minorHAnsi" w:hAnsiTheme="minorHAnsi"/>
        </w:rPr>
        <w:br/>
      </w:r>
      <w:r w:rsidR="00230EA5" w:rsidRPr="004A132D">
        <w:rPr>
          <w:rFonts w:asciiTheme="minorHAnsi" w:hAnsiTheme="minorHAnsi"/>
        </w:rPr>
        <w:t>In addition, t</w:t>
      </w:r>
      <w:r w:rsidR="00EB4A8D" w:rsidRPr="004A132D">
        <w:rPr>
          <w:rFonts w:asciiTheme="minorHAnsi" w:hAnsiTheme="minorHAnsi"/>
        </w:rPr>
        <w:t>he Australian Government is committed t</w:t>
      </w:r>
      <w:r w:rsidR="00D97334" w:rsidRPr="004A132D">
        <w:rPr>
          <w:rFonts w:asciiTheme="minorHAnsi" w:hAnsiTheme="minorHAnsi"/>
        </w:rPr>
        <w:t xml:space="preserve">o establishing a federal </w:t>
      </w:r>
      <w:r w:rsidR="00EB4A8D" w:rsidRPr="004A132D">
        <w:rPr>
          <w:rFonts w:asciiTheme="minorHAnsi" w:hAnsiTheme="minorHAnsi"/>
        </w:rPr>
        <w:t>Anti</w:t>
      </w:r>
      <w:r w:rsidR="00C430C3" w:rsidRPr="004A132D">
        <w:rPr>
          <w:rFonts w:asciiTheme="minorHAnsi" w:hAnsiTheme="minorHAnsi"/>
        </w:rPr>
        <w:noBreakHyphen/>
      </w:r>
      <w:r w:rsidR="00EB4A8D" w:rsidRPr="004A132D">
        <w:rPr>
          <w:rFonts w:asciiTheme="minorHAnsi" w:hAnsiTheme="minorHAnsi"/>
        </w:rPr>
        <w:t>Slavery Commissioner.</w:t>
      </w:r>
      <w:r w:rsidR="00040B9F" w:rsidRPr="004A132D">
        <w:rPr>
          <w:rFonts w:asciiTheme="minorHAnsi" w:hAnsiTheme="minorHAnsi" w:cstheme="minorBidi"/>
          <w:kern w:val="2"/>
          <w:lang w:val="en-AU"/>
          <w14:ligatures w14:val="standardContextual"/>
        </w:rPr>
        <w:t xml:space="preserve"> </w:t>
      </w:r>
      <w:r w:rsidR="00040B9F" w:rsidRPr="004A132D">
        <w:rPr>
          <w:rFonts w:asciiTheme="minorHAnsi" w:hAnsiTheme="minorHAnsi"/>
          <w:lang w:val="en-AU"/>
        </w:rPr>
        <w:t>On 28 May 2024, the Australian Parliament passed the Modern Slavery Amendment (Australian Anti-Slavery Commissioner) Bill 2024</w:t>
      </w:r>
      <w:r w:rsidR="00CC53F8">
        <w:rPr>
          <w:rFonts w:asciiTheme="minorHAnsi" w:hAnsiTheme="minorHAnsi"/>
          <w:lang w:val="en-AU"/>
        </w:rPr>
        <w:t xml:space="preserve">, which received </w:t>
      </w:r>
      <w:r w:rsidR="00040B9F" w:rsidRPr="004A132D">
        <w:rPr>
          <w:rFonts w:asciiTheme="minorHAnsi" w:hAnsiTheme="minorHAnsi"/>
          <w:lang w:val="en-AU"/>
        </w:rPr>
        <w:t xml:space="preserve">Royal Assent on 11 June 2024. The legislation establishes the inaugural Anti-Slavery Commissioner as </w:t>
      </w:r>
      <w:r w:rsidR="00F40975" w:rsidRPr="004A132D">
        <w:rPr>
          <w:rFonts w:asciiTheme="minorHAnsi" w:hAnsiTheme="minorHAnsi"/>
          <w:lang w:val="en-AU"/>
        </w:rPr>
        <w:t xml:space="preserve">an </w:t>
      </w:r>
      <w:r w:rsidR="00040B9F" w:rsidRPr="004A132D">
        <w:rPr>
          <w:rFonts w:asciiTheme="minorHAnsi" w:hAnsiTheme="minorHAnsi"/>
          <w:lang w:val="en-AU"/>
        </w:rPr>
        <w:t>independent statutory office holder, who will be appointed following a transparent and merit-based selection process.</w:t>
      </w:r>
    </w:p>
    <w:p w14:paraId="6DA740B9" w14:textId="0058962D" w:rsidR="003A3F0B" w:rsidRPr="004A132D" w:rsidRDefault="00030798" w:rsidP="00A53106">
      <w:pPr>
        <w:pStyle w:val="Heading2"/>
      </w:pPr>
      <w:bookmarkStart w:id="93" w:name="_Toc174011700"/>
      <w:bookmarkStart w:id="94" w:name="_Toc175556796"/>
      <w:r w:rsidRPr="004A132D">
        <w:t>Question 12d</w:t>
      </w:r>
      <w:r w:rsidR="00C430C3" w:rsidRPr="004A132D">
        <w:t xml:space="preserve"> part 1</w:t>
      </w:r>
      <w:r w:rsidRPr="004A132D">
        <w:t>:</w:t>
      </w:r>
      <w:r w:rsidR="00A53106" w:rsidRPr="004A132D">
        <w:t xml:space="preserve"> </w:t>
      </w:r>
      <w:r w:rsidR="00520DF4" w:rsidRPr="004A132D">
        <w:t>3</w:t>
      </w:r>
      <w:r w:rsidR="003A3F0B" w:rsidRPr="004A132D">
        <w:t>-Year Review of Modern Slavery Act</w:t>
      </w:r>
      <w:bookmarkEnd w:id="93"/>
      <w:bookmarkEnd w:id="94"/>
      <w:r w:rsidR="003A3F0B" w:rsidRPr="004A132D">
        <w:t xml:space="preserve"> </w:t>
      </w:r>
    </w:p>
    <w:p w14:paraId="446AF6A3" w14:textId="21757757" w:rsidR="00AB3852" w:rsidRPr="004A132D" w:rsidRDefault="00AB3852" w:rsidP="0002378E">
      <w:pPr>
        <w:pStyle w:val="Numbers"/>
        <w:ind w:left="1418"/>
        <w:rPr>
          <w:rFonts w:asciiTheme="minorHAnsi" w:hAnsiTheme="minorHAnsi"/>
        </w:rPr>
      </w:pPr>
      <w:r w:rsidRPr="004A132D">
        <w:rPr>
          <w:rFonts w:asciiTheme="minorHAnsi" w:hAnsiTheme="minorHAnsi"/>
        </w:rPr>
        <w:t xml:space="preserve">On 25 May 2023, the </w:t>
      </w:r>
      <w:r w:rsidR="00412A1A">
        <w:rPr>
          <w:rFonts w:asciiTheme="minorHAnsi" w:hAnsiTheme="minorHAnsi"/>
        </w:rPr>
        <w:t>Australian G</w:t>
      </w:r>
      <w:r w:rsidRPr="004A132D">
        <w:rPr>
          <w:rFonts w:asciiTheme="minorHAnsi" w:hAnsiTheme="minorHAnsi"/>
        </w:rPr>
        <w:t>overnment tabled a report on the statutory review of Australia's Modern Slaver</w:t>
      </w:r>
      <w:r w:rsidR="00A77ED3" w:rsidRPr="004A132D">
        <w:rPr>
          <w:rFonts w:asciiTheme="minorHAnsi" w:hAnsiTheme="minorHAnsi"/>
        </w:rPr>
        <w:t xml:space="preserve">y Act, which reviewed the first </w:t>
      </w:r>
      <w:r w:rsidR="00520DF4" w:rsidRPr="004A132D">
        <w:rPr>
          <w:rFonts w:asciiTheme="minorHAnsi" w:hAnsiTheme="minorHAnsi"/>
        </w:rPr>
        <w:t>3</w:t>
      </w:r>
      <w:r w:rsidR="00A77ED3" w:rsidRPr="004A132D">
        <w:rPr>
          <w:rFonts w:asciiTheme="minorHAnsi" w:hAnsiTheme="minorHAnsi"/>
        </w:rPr>
        <w:t xml:space="preserve"> </w:t>
      </w:r>
      <w:r w:rsidRPr="004A132D">
        <w:rPr>
          <w:rFonts w:asciiTheme="minorHAnsi" w:hAnsiTheme="minorHAnsi"/>
        </w:rPr>
        <w:t xml:space="preserve">years of the Act's operation. </w:t>
      </w:r>
    </w:p>
    <w:p w14:paraId="5684A7C0" w14:textId="4E2BBCDD" w:rsidR="00AB3852" w:rsidRPr="004A132D" w:rsidRDefault="00AB3852" w:rsidP="0002378E">
      <w:pPr>
        <w:pStyle w:val="Numbers"/>
        <w:ind w:left="1418"/>
        <w:rPr>
          <w:rFonts w:asciiTheme="minorHAnsi" w:eastAsia="Times New Roman" w:hAnsiTheme="minorHAnsi"/>
          <w:lang w:eastAsia="en-AU"/>
        </w:rPr>
      </w:pPr>
      <w:r w:rsidRPr="004A132D">
        <w:rPr>
          <w:rFonts w:asciiTheme="minorHAnsi" w:eastAsia="Times New Roman" w:hAnsiTheme="minorHAnsi"/>
          <w:lang w:eastAsia="en-AU"/>
        </w:rPr>
        <w:t>The re</w:t>
      </w:r>
      <w:r w:rsidR="001D73AA" w:rsidRPr="004A132D">
        <w:rPr>
          <w:rFonts w:asciiTheme="minorHAnsi" w:eastAsia="Times New Roman" w:hAnsiTheme="minorHAnsi"/>
          <w:lang w:eastAsia="en-AU"/>
        </w:rPr>
        <w:t>port</w:t>
      </w:r>
      <w:r w:rsidRPr="004A132D">
        <w:rPr>
          <w:rFonts w:asciiTheme="minorHAnsi" w:eastAsia="Times New Roman" w:hAnsiTheme="minorHAnsi"/>
          <w:lang w:eastAsia="en-AU"/>
        </w:rPr>
        <w:t xml:space="preserve"> made 30 recommendations for government consideration </w:t>
      </w:r>
      <w:r w:rsidR="00F40975" w:rsidRPr="004A132D">
        <w:rPr>
          <w:rFonts w:asciiTheme="minorHAnsi" w:eastAsia="Times New Roman" w:hAnsiTheme="minorHAnsi"/>
          <w:lang w:eastAsia="en-AU"/>
        </w:rPr>
        <w:t>including</w:t>
      </w:r>
      <w:r w:rsidRPr="004A132D">
        <w:rPr>
          <w:rFonts w:asciiTheme="minorHAnsi" w:eastAsia="Times New Roman" w:hAnsiTheme="minorHAnsi"/>
          <w:lang w:eastAsia="en-AU"/>
        </w:rPr>
        <w:t>:</w:t>
      </w:r>
    </w:p>
    <w:p w14:paraId="3A24571A" w14:textId="77777777" w:rsidR="00AB3852" w:rsidRPr="004A132D" w:rsidRDefault="00AB3852" w:rsidP="00561D0E">
      <w:pPr>
        <w:pStyle w:val="Numbers"/>
        <w:numPr>
          <w:ilvl w:val="1"/>
          <w:numId w:val="1"/>
        </w:numPr>
        <w:rPr>
          <w:rFonts w:asciiTheme="minorHAnsi" w:eastAsia="Times New Roman" w:hAnsiTheme="minorHAnsi"/>
          <w:lang w:eastAsia="en-AU"/>
        </w:rPr>
      </w:pPr>
      <w:r w:rsidRPr="004A132D">
        <w:rPr>
          <w:rFonts w:asciiTheme="minorHAnsi" w:eastAsia="Times New Roman" w:hAnsiTheme="minorHAnsi"/>
          <w:lang w:eastAsia="en-AU"/>
        </w:rPr>
        <w:t>introducing penalties for non-compliance with statutory reporting requirements</w:t>
      </w:r>
      <w:r w:rsidR="00230EA5" w:rsidRPr="004A132D">
        <w:rPr>
          <w:rFonts w:asciiTheme="minorHAnsi" w:eastAsia="Times New Roman" w:hAnsiTheme="minorHAnsi"/>
          <w:lang w:eastAsia="en-AU"/>
        </w:rPr>
        <w:t>;</w:t>
      </w:r>
    </w:p>
    <w:p w14:paraId="1F2E5EEF" w14:textId="47794DB0" w:rsidR="00AB3852" w:rsidRPr="004A132D" w:rsidRDefault="00AB3852" w:rsidP="00561D0E">
      <w:pPr>
        <w:pStyle w:val="Numbers"/>
        <w:numPr>
          <w:ilvl w:val="1"/>
          <w:numId w:val="1"/>
        </w:numPr>
        <w:rPr>
          <w:rFonts w:asciiTheme="minorHAnsi" w:eastAsia="Times New Roman" w:hAnsiTheme="minorHAnsi"/>
          <w:lang w:eastAsia="en-AU"/>
        </w:rPr>
      </w:pPr>
      <w:r w:rsidRPr="004A132D">
        <w:rPr>
          <w:rFonts w:asciiTheme="minorHAnsi" w:eastAsia="Times New Roman" w:hAnsiTheme="minorHAnsi"/>
          <w:lang w:eastAsia="en-AU"/>
        </w:rPr>
        <w:t>lowering the reporting threshold from $100 million</w:t>
      </w:r>
      <w:r w:rsidR="00D4365B" w:rsidRPr="004A132D">
        <w:rPr>
          <w:rFonts w:asciiTheme="minorHAnsi" w:eastAsia="Times New Roman" w:hAnsiTheme="minorHAnsi"/>
          <w:lang w:eastAsia="en-AU"/>
        </w:rPr>
        <w:t xml:space="preserve"> </w:t>
      </w:r>
      <w:r w:rsidRPr="004A132D">
        <w:rPr>
          <w:rFonts w:asciiTheme="minorHAnsi" w:eastAsia="Times New Roman" w:hAnsiTheme="minorHAnsi"/>
          <w:lang w:eastAsia="en-AU"/>
        </w:rPr>
        <w:t>to $50 million</w:t>
      </w:r>
      <w:r w:rsidR="00230EA5" w:rsidRPr="004A132D">
        <w:rPr>
          <w:rFonts w:asciiTheme="minorHAnsi" w:eastAsia="Times New Roman" w:hAnsiTheme="minorHAnsi"/>
          <w:lang w:eastAsia="en-AU"/>
        </w:rPr>
        <w:t>;</w:t>
      </w:r>
    </w:p>
    <w:p w14:paraId="50FCAC2C" w14:textId="77777777" w:rsidR="00AB3852" w:rsidRPr="004A132D" w:rsidRDefault="00AB3852" w:rsidP="00561D0E">
      <w:pPr>
        <w:pStyle w:val="Numbers"/>
        <w:numPr>
          <w:ilvl w:val="1"/>
          <w:numId w:val="1"/>
        </w:numPr>
        <w:rPr>
          <w:rFonts w:asciiTheme="minorHAnsi" w:eastAsia="Times New Roman" w:hAnsiTheme="minorHAnsi"/>
          <w:lang w:eastAsia="en-AU"/>
        </w:rPr>
      </w:pPr>
      <w:r w:rsidRPr="004A132D">
        <w:rPr>
          <w:rFonts w:asciiTheme="minorHAnsi" w:eastAsia="Times New Roman" w:hAnsiTheme="minorHAnsi"/>
          <w:lang w:eastAsia="en-AU"/>
        </w:rPr>
        <w:t>requiring entities to report on modern slavery incidents or risks</w:t>
      </w:r>
      <w:r w:rsidR="00230EA5" w:rsidRPr="004A132D">
        <w:rPr>
          <w:rFonts w:asciiTheme="minorHAnsi" w:eastAsia="Times New Roman" w:hAnsiTheme="minorHAnsi"/>
          <w:lang w:eastAsia="en-AU"/>
        </w:rPr>
        <w:t>;</w:t>
      </w:r>
    </w:p>
    <w:p w14:paraId="0865FA6A" w14:textId="27D93A04" w:rsidR="00AB3852" w:rsidRPr="004A132D" w:rsidRDefault="00AB3852" w:rsidP="00561D0E">
      <w:pPr>
        <w:pStyle w:val="Numbers"/>
        <w:numPr>
          <w:ilvl w:val="1"/>
          <w:numId w:val="1"/>
        </w:numPr>
        <w:rPr>
          <w:rFonts w:asciiTheme="minorHAnsi" w:eastAsia="Times New Roman" w:hAnsiTheme="minorHAnsi"/>
          <w:lang w:eastAsia="en-AU"/>
        </w:rPr>
      </w:pPr>
      <w:r w:rsidRPr="004A132D">
        <w:rPr>
          <w:rFonts w:asciiTheme="minorHAnsi" w:eastAsia="Times New Roman" w:hAnsiTheme="minorHAnsi"/>
          <w:lang w:eastAsia="en-AU"/>
        </w:rPr>
        <w:t xml:space="preserve">amending the Act to require </w:t>
      </w:r>
      <w:r w:rsidR="00F40975" w:rsidRPr="004A132D">
        <w:rPr>
          <w:rFonts w:asciiTheme="minorHAnsi" w:eastAsia="Times New Roman" w:hAnsiTheme="minorHAnsi"/>
          <w:lang w:eastAsia="en-AU"/>
        </w:rPr>
        <w:t xml:space="preserve">that </w:t>
      </w:r>
      <w:r w:rsidRPr="004A132D">
        <w:rPr>
          <w:rFonts w:asciiTheme="minorHAnsi" w:eastAsia="Times New Roman" w:hAnsiTheme="minorHAnsi"/>
          <w:lang w:eastAsia="en-AU"/>
        </w:rPr>
        <w:t>entities have a due diligence system in place</w:t>
      </w:r>
      <w:r w:rsidR="00230EA5" w:rsidRPr="004A132D">
        <w:rPr>
          <w:rFonts w:asciiTheme="minorHAnsi" w:eastAsia="Times New Roman" w:hAnsiTheme="minorHAnsi"/>
          <w:lang w:eastAsia="en-AU"/>
        </w:rPr>
        <w:t>;</w:t>
      </w:r>
    </w:p>
    <w:p w14:paraId="4B447399" w14:textId="77777777" w:rsidR="00AB3852" w:rsidRPr="004A132D" w:rsidRDefault="00AB3852" w:rsidP="00561D0E">
      <w:pPr>
        <w:pStyle w:val="Numbers"/>
        <w:numPr>
          <w:ilvl w:val="1"/>
          <w:numId w:val="1"/>
        </w:numPr>
        <w:rPr>
          <w:rFonts w:asciiTheme="minorHAnsi" w:eastAsia="Times New Roman" w:hAnsiTheme="minorHAnsi"/>
          <w:lang w:eastAsia="en-AU"/>
        </w:rPr>
      </w:pPr>
      <w:r w:rsidRPr="004A132D">
        <w:rPr>
          <w:rFonts w:asciiTheme="minorHAnsi" w:eastAsia="Times New Roman" w:hAnsiTheme="minorHAnsi"/>
          <w:lang w:eastAsia="en-AU"/>
        </w:rPr>
        <w:t>strengthening the administration of the Act through proposed legislative amendments and expanded administrative guidance</w:t>
      </w:r>
      <w:r w:rsidR="00230EA5" w:rsidRPr="004A132D">
        <w:rPr>
          <w:rFonts w:asciiTheme="minorHAnsi" w:eastAsia="Times New Roman" w:hAnsiTheme="minorHAnsi"/>
          <w:lang w:eastAsia="en-AU"/>
        </w:rPr>
        <w:t>;</w:t>
      </w:r>
    </w:p>
    <w:p w14:paraId="1C138C2D" w14:textId="77777777" w:rsidR="00AB3852" w:rsidRPr="004A132D" w:rsidRDefault="00AB3852" w:rsidP="00561D0E">
      <w:pPr>
        <w:pStyle w:val="Numbers"/>
        <w:numPr>
          <w:ilvl w:val="1"/>
          <w:numId w:val="1"/>
        </w:numPr>
        <w:rPr>
          <w:rFonts w:asciiTheme="minorHAnsi" w:eastAsia="Times New Roman" w:hAnsiTheme="minorHAnsi"/>
          <w:lang w:eastAsia="en-AU"/>
        </w:rPr>
      </w:pPr>
      <w:r w:rsidRPr="004A132D">
        <w:rPr>
          <w:rFonts w:asciiTheme="minorHAnsi" w:eastAsia="Times New Roman" w:hAnsiTheme="minorHAnsi"/>
          <w:lang w:eastAsia="en-AU"/>
        </w:rPr>
        <w:t>proposing functions for the federal Anti-Slavery Commissioner in relation to the Act.</w:t>
      </w:r>
    </w:p>
    <w:p w14:paraId="34F55AC9" w14:textId="784B7D2D" w:rsidR="00E34967" w:rsidRPr="004A132D" w:rsidRDefault="00AB3852" w:rsidP="00AB3852">
      <w:pPr>
        <w:pStyle w:val="Heading2"/>
      </w:pPr>
      <w:bookmarkStart w:id="95" w:name="_Toc174011701"/>
      <w:bookmarkStart w:id="96" w:name="_Toc175556797"/>
      <w:r w:rsidRPr="004A132D">
        <w:t>Question 12d</w:t>
      </w:r>
      <w:r w:rsidR="00C430C3" w:rsidRPr="004A132D">
        <w:t xml:space="preserve"> part 2</w:t>
      </w:r>
      <w:r w:rsidRPr="004A132D">
        <w:t xml:space="preserve">: </w:t>
      </w:r>
      <w:r w:rsidR="00E34967" w:rsidRPr="004A132D">
        <w:t xml:space="preserve">Implementation of </w:t>
      </w:r>
      <w:r w:rsidRPr="004A132D">
        <w:t xml:space="preserve">the </w:t>
      </w:r>
      <w:r w:rsidR="00E34967" w:rsidRPr="004A132D">
        <w:t xml:space="preserve">National Plan to </w:t>
      </w:r>
      <w:r w:rsidRPr="004A132D">
        <w:t>Combat Modern Slavery 2020</w:t>
      </w:r>
      <w:r w:rsidR="007A6E44" w:rsidRPr="004A132D">
        <w:noBreakHyphen/>
      </w:r>
      <w:r w:rsidRPr="004A132D">
        <w:t>2025</w:t>
      </w:r>
      <w:bookmarkEnd w:id="95"/>
      <w:bookmarkEnd w:id="96"/>
    </w:p>
    <w:p w14:paraId="43A8B2F3" w14:textId="69AAC741" w:rsidR="00E34967" w:rsidRPr="004A132D" w:rsidRDefault="00CD1CA7" w:rsidP="0002378E">
      <w:pPr>
        <w:pStyle w:val="Numbers"/>
        <w:ind w:left="1418"/>
        <w:rPr>
          <w:rFonts w:asciiTheme="minorHAnsi" w:hAnsiTheme="minorHAnsi"/>
        </w:rPr>
      </w:pPr>
      <w:r w:rsidRPr="004A132D">
        <w:rPr>
          <w:rFonts w:asciiTheme="minorHAnsi" w:hAnsiTheme="minorHAnsi"/>
        </w:rPr>
        <w:t xml:space="preserve">The </w:t>
      </w:r>
      <w:r w:rsidR="00D97334" w:rsidRPr="004A132D">
        <w:rPr>
          <w:rFonts w:asciiTheme="minorHAnsi" w:hAnsiTheme="minorHAnsi"/>
        </w:rPr>
        <w:t xml:space="preserve">National </w:t>
      </w:r>
      <w:r w:rsidR="00A52C74" w:rsidRPr="004A132D">
        <w:rPr>
          <w:rFonts w:asciiTheme="minorHAnsi" w:hAnsiTheme="minorHAnsi"/>
          <w:lang w:val="en-AU"/>
        </w:rPr>
        <w:t xml:space="preserve">Action Plan to Combat </w:t>
      </w:r>
      <w:r w:rsidR="00D97334" w:rsidRPr="004A132D">
        <w:rPr>
          <w:rFonts w:asciiTheme="minorHAnsi" w:hAnsiTheme="minorHAnsi"/>
        </w:rPr>
        <w:t xml:space="preserve">Modern Slavery </w:t>
      </w:r>
      <w:r w:rsidR="004A62B5" w:rsidRPr="004A132D">
        <w:rPr>
          <w:rFonts w:asciiTheme="minorHAnsi" w:hAnsiTheme="minorHAnsi"/>
        </w:rPr>
        <w:t>underpins the</w:t>
      </w:r>
      <w:r w:rsidRPr="004A132D">
        <w:rPr>
          <w:rFonts w:asciiTheme="minorHAnsi" w:hAnsiTheme="minorHAnsi"/>
        </w:rPr>
        <w:t xml:space="preserve"> whole of government strategic framework for Australia’s efforts to combat modern slavery </w:t>
      </w:r>
      <w:r w:rsidRPr="004A132D">
        <w:rPr>
          <w:rFonts w:asciiTheme="minorHAnsi" w:hAnsiTheme="minorHAnsi"/>
        </w:rPr>
        <w:lastRenderedPageBreak/>
        <w:t>over 2020-25</w:t>
      </w:r>
      <w:r w:rsidR="007A6E44" w:rsidRPr="004A132D">
        <w:rPr>
          <w:rFonts w:asciiTheme="minorHAnsi" w:hAnsiTheme="minorHAnsi"/>
        </w:rPr>
        <w:t xml:space="preserve"> and </w:t>
      </w:r>
      <w:r w:rsidRPr="004A132D">
        <w:rPr>
          <w:rFonts w:asciiTheme="minorHAnsi" w:hAnsiTheme="minorHAnsi"/>
        </w:rPr>
        <w:t xml:space="preserve">includes 46 actions in support of </w:t>
      </w:r>
      <w:r w:rsidR="00232E8B" w:rsidRPr="004A132D">
        <w:rPr>
          <w:rFonts w:asciiTheme="minorHAnsi" w:hAnsiTheme="minorHAnsi"/>
        </w:rPr>
        <w:t>5</w:t>
      </w:r>
      <w:r w:rsidRPr="004A132D">
        <w:rPr>
          <w:rFonts w:asciiTheme="minorHAnsi" w:hAnsiTheme="minorHAnsi"/>
        </w:rPr>
        <w:t xml:space="preserve"> National Strategic Priorities</w:t>
      </w:r>
      <w:r w:rsidR="00412A1A">
        <w:rPr>
          <w:rFonts w:asciiTheme="minorHAnsi" w:hAnsiTheme="minorHAnsi"/>
        </w:rPr>
        <w:t xml:space="preserve"> which involve</w:t>
      </w:r>
      <w:r w:rsidRPr="004A132D">
        <w:rPr>
          <w:rFonts w:asciiTheme="minorHAnsi" w:hAnsiTheme="minorHAnsi"/>
        </w:rPr>
        <w:t>: prevent</w:t>
      </w:r>
      <w:r w:rsidR="00412A1A">
        <w:rPr>
          <w:rFonts w:asciiTheme="minorHAnsi" w:hAnsiTheme="minorHAnsi"/>
        </w:rPr>
        <w:t>ion</w:t>
      </w:r>
      <w:r w:rsidRPr="004A132D">
        <w:rPr>
          <w:rFonts w:asciiTheme="minorHAnsi" w:hAnsiTheme="minorHAnsi"/>
        </w:rPr>
        <w:t>; disrupt</w:t>
      </w:r>
      <w:r w:rsidR="00412A1A">
        <w:rPr>
          <w:rFonts w:asciiTheme="minorHAnsi" w:hAnsiTheme="minorHAnsi"/>
        </w:rPr>
        <w:t>ion</w:t>
      </w:r>
      <w:r w:rsidRPr="004A132D">
        <w:rPr>
          <w:rFonts w:asciiTheme="minorHAnsi" w:hAnsiTheme="minorHAnsi"/>
        </w:rPr>
        <w:t xml:space="preserve">, investigate and prosecute; support and protect; partner; and research. </w:t>
      </w:r>
    </w:p>
    <w:p w14:paraId="39E5FDA1" w14:textId="762A8061" w:rsidR="00CD1CA7" w:rsidRPr="004A132D" w:rsidRDefault="00F40975" w:rsidP="0002378E">
      <w:pPr>
        <w:pStyle w:val="Numbers"/>
        <w:ind w:left="1418"/>
        <w:rPr>
          <w:rFonts w:asciiTheme="minorHAnsi" w:hAnsiTheme="minorHAnsi"/>
        </w:rPr>
      </w:pPr>
      <w:r w:rsidRPr="004A132D">
        <w:rPr>
          <w:rFonts w:asciiTheme="minorHAnsi" w:hAnsiTheme="minorHAnsi"/>
        </w:rPr>
        <w:t>Twelve</w:t>
      </w:r>
      <w:r w:rsidR="006311F3" w:rsidRPr="004A132D">
        <w:rPr>
          <w:rFonts w:asciiTheme="minorHAnsi" w:hAnsiTheme="minorHAnsi"/>
        </w:rPr>
        <w:t xml:space="preserve"> </w:t>
      </w:r>
      <w:r w:rsidR="00CD1CA7" w:rsidRPr="004A132D">
        <w:rPr>
          <w:rFonts w:asciiTheme="minorHAnsi" w:hAnsiTheme="minorHAnsi"/>
        </w:rPr>
        <w:t xml:space="preserve">of the 46 action items have been completed </w:t>
      </w:r>
      <w:r w:rsidR="001F4F9B" w:rsidRPr="004A132D">
        <w:rPr>
          <w:rFonts w:asciiTheme="minorHAnsi" w:hAnsiTheme="minorHAnsi"/>
        </w:rPr>
        <w:t>with</w:t>
      </w:r>
      <w:r w:rsidR="00CD1CA7" w:rsidRPr="004A132D">
        <w:rPr>
          <w:rFonts w:asciiTheme="minorHAnsi" w:hAnsiTheme="minorHAnsi"/>
        </w:rPr>
        <w:t xml:space="preserve"> the remaining 34 in progress and on track for implementation by 2025. The </w:t>
      </w:r>
      <w:r w:rsidR="005D7610" w:rsidRPr="004A132D">
        <w:rPr>
          <w:rFonts w:asciiTheme="minorHAnsi" w:hAnsiTheme="minorHAnsi"/>
        </w:rPr>
        <w:t xml:space="preserve">National </w:t>
      </w:r>
      <w:r w:rsidR="007A6E44" w:rsidRPr="004A132D">
        <w:rPr>
          <w:rFonts w:asciiTheme="minorHAnsi" w:hAnsiTheme="minorHAnsi"/>
        </w:rPr>
        <w:t xml:space="preserve">Action Plan to Combat </w:t>
      </w:r>
      <w:r w:rsidR="005D7610" w:rsidRPr="004A132D">
        <w:rPr>
          <w:rFonts w:asciiTheme="minorHAnsi" w:hAnsiTheme="minorHAnsi"/>
        </w:rPr>
        <w:t>Modern Slavery</w:t>
      </w:r>
      <w:r w:rsidR="005D7610" w:rsidRPr="004A132D">
        <w:rPr>
          <w:rFonts w:asciiTheme="minorHAnsi" w:hAnsiTheme="minorHAnsi"/>
          <w:i/>
        </w:rPr>
        <w:t xml:space="preserve"> </w:t>
      </w:r>
      <w:r w:rsidR="00CD1CA7" w:rsidRPr="004A132D">
        <w:rPr>
          <w:rFonts w:asciiTheme="minorHAnsi" w:hAnsiTheme="minorHAnsi"/>
        </w:rPr>
        <w:t xml:space="preserve">is underpinned by an evaluation framework managed by the </w:t>
      </w:r>
      <w:r w:rsidR="005F248D" w:rsidRPr="004A132D">
        <w:rPr>
          <w:rFonts w:asciiTheme="minorHAnsi" w:hAnsiTheme="minorHAnsi"/>
        </w:rPr>
        <w:t>AIC</w:t>
      </w:r>
      <w:r w:rsidR="00CD1CA7" w:rsidRPr="004A132D">
        <w:rPr>
          <w:rFonts w:asciiTheme="minorHAnsi" w:hAnsiTheme="minorHAnsi"/>
        </w:rPr>
        <w:t>.</w:t>
      </w:r>
    </w:p>
    <w:p w14:paraId="473FCBCD" w14:textId="77777777" w:rsidR="0041240E" w:rsidRPr="004A132D" w:rsidRDefault="0041240E" w:rsidP="001F4F9B">
      <w:pPr>
        <w:pStyle w:val="Heading2"/>
        <w:keepNext/>
      </w:pPr>
      <w:bookmarkStart w:id="97" w:name="_Toc174011702"/>
      <w:bookmarkStart w:id="98" w:name="_Toc175556798"/>
      <w:r w:rsidRPr="004A132D">
        <w:t>Question 12e: Support for victims of trafficking</w:t>
      </w:r>
      <w:bookmarkEnd w:id="97"/>
      <w:bookmarkEnd w:id="98"/>
    </w:p>
    <w:p w14:paraId="757A47CB" w14:textId="76C7DA78" w:rsidR="0041240E" w:rsidRPr="004A132D" w:rsidRDefault="0041240E" w:rsidP="0002378E">
      <w:pPr>
        <w:pStyle w:val="Numbers"/>
        <w:ind w:left="1418"/>
        <w:rPr>
          <w:rFonts w:asciiTheme="minorHAnsi" w:hAnsiTheme="minorHAnsi"/>
        </w:rPr>
      </w:pPr>
      <w:r w:rsidRPr="004A132D">
        <w:rPr>
          <w:rFonts w:asciiTheme="minorHAnsi" w:hAnsiTheme="minorHAnsi"/>
        </w:rPr>
        <w:t xml:space="preserve">Providing holistic and tailored support and protection </w:t>
      </w:r>
      <w:r w:rsidR="005D7610" w:rsidRPr="004A132D">
        <w:rPr>
          <w:rFonts w:asciiTheme="minorHAnsi" w:hAnsiTheme="minorHAnsi"/>
        </w:rPr>
        <w:t>that meets the needs of victim</w:t>
      </w:r>
      <w:r w:rsidR="00575986" w:rsidRPr="004A132D">
        <w:rPr>
          <w:rFonts w:asciiTheme="minorHAnsi" w:hAnsiTheme="minorHAnsi"/>
        </w:rPr>
        <w:t>s and</w:t>
      </w:r>
      <w:r w:rsidR="005D7610" w:rsidRPr="004A132D">
        <w:rPr>
          <w:rFonts w:asciiTheme="minorHAnsi" w:hAnsiTheme="minorHAnsi"/>
        </w:rPr>
        <w:t xml:space="preserve"> </w:t>
      </w:r>
      <w:r w:rsidRPr="004A132D">
        <w:rPr>
          <w:rFonts w:asciiTheme="minorHAnsi" w:hAnsiTheme="minorHAnsi"/>
        </w:rPr>
        <w:t xml:space="preserve">survivors of modern slavery is a national strategic priority under the </w:t>
      </w:r>
      <w:r w:rsidR="007A6E44" w:rsidRPr="004A132D">
        <w:rPr>
          <w:rFonts w:asciiTheme="minorHAnsi" w:hAnsiTheme="minorHAnsi"/>
        </w:rPr>
        <w:t xml:space="preserve">National </w:t>
      </w:r>
      <w:r w:rsidR="007A6E44" w:rsidRPr="004A132D">
        <w:rPr>
          <w:rFonts w:asciiTheme="minorHAnsi" w:hAnsiTheme="minorHAnsi"/>
          <w:lang w:val="en-AU"/>
        </w:rPr>
        <w:t xml:space="preserve">Action Plan to Combat </w:t>
      </w:r>
      <w:r w:rsidR="007A6E44" w:rsidRPr="004A132D">
        <w:rPr>
          <w:rFonts w:asciiTheme="minorHAnsi" w:hAnsiTheme="minorHAnsi"/>
        </w:rPr>
        <w:t>Modern Slavery</w:t>
      </w:r>
      <w:r w:rsidR="005D7610" w:rsidRPr="004A132D">
        <w:rPr>
          <w:rFonts w:asciiTheme="minorHAnsi" w:hAnsiTheme="minorHAnsi"/>
        </w:rPr>
        <w:t>.</w:t>
      </w:r>
    </w:p>
    <w:p w14:paraId="6F212C28" w14:textId="1AD44262" w:rsidR="00243627" w:rsidRPr="004A132D" w:rsidRDefault="0043006C" w:rsidP="0002378E">
      <w:pPr>
        <w:pStyle w:val="Numbers"/>
        <w:ind w:left="1418"/>
        <w:rPr>
          <w:rFonts w:asciiTheme="minorHAnsi" w:hAnsiTheme="minorHAnsi"/>
        </w:rPr>
      </w:pPr>
      <w:r w:rsidRPr="004A132D">
        <w:rPr>
          <w:rFonts w:asciiTheme="minorHAnsi" w:hAnsiTheme="minorHAnsi"/>
        </w:rPr>
        <w:t>C</w:t>
      </w:r>
      <w:r w:rsidR="004A00C3" w:rsidRPr="004A132D">
        <w:rPr>
          <w:rFonts w:asciiTheme="minorHAnsi" w:hAnsiTheme="minorHAnsi"/>
        </w:rPr>
        <w:t>ompensation for v</w:t>
      </w:r>
      <w:r w:rsidR="00DB3E49" w:rsidRPr="004A132D">
        <w:rPr>
          <w:rFonts w:asciiTheme="minorHAnsi" w:hAnsiTheme="minorHAnsi"/>
        </w:rPr>
        <w:t>ictims</w:t>
      </w:r>
      <w:r w:rsidR="004A00C3" w:rsidRPr="004A132D">
        <w:rPr>
          <w:rFonts w:asciiTheme="minorHAnsi" w:hAnsiTheme="minorHAnsi"/>
        </w:rPr>
        <w:t xml:space="preserve"> of crime</w:t>
      </w:r>
      <w:r w:rsidR="00DB3E49" w:rsidRPr="004A132D">
        <w:rPr>
          <w:rFonts w:asciiTheme="minorHAnsi" w:hAnsiTheme="minorHAnsi"/>
        </w:rPr>
        <w:t xml:space="preserve"> </w:t>
      </w:r>
      <w:r w:rsidR="00850123" w:rsidRPr="004A132D">
        <w:rPr>
          <w:rFonts w:asciiTheme="minorHAnsi" w:hAnsiTheme="minorHAnsi"/>
        </w:rPr>
        <w:t>is traditionally</w:t>
      </w:r>
      <w:r w:rsidR="00DB3E49" w:rsidRPr="004A132D">
        <w:rPr>
          <w:rFonts w:asciiTheme="minorHAnsi" w:hAnsiTheme="minorHAnsi"/>
        </w:rPr>
        <w:t xml:space="preserve"> a matter</w:t>
      </w:r>
      <w:r w:rsidR="004A00C3" w:rsidRPr="004A132D">
        <w:rPr>
          <w:rFonts w:asciiTheme="minorHAnsi" w:hAnsiTheme="minorHAnsi"/>
        </w:rPr>
        <w:t xml:space="preserve"> for the states and territories under Australia’s federated justice system.</w:t>
      </w:r>
      <w:r w:rsidR="00DB3E49" w:rsidRPr="004A132D">
        <w:rPr>
          <w:rFonts w:asciiTheme="minorHAnsi" w:hAnsiTheme="minorHAnsi"/>
        </w:rPr>
        <w:t xml:space="preserve"> </w:t>
      </w:r>
    </w:p>
    <w:p w14:paraId="66A7ECA5" w14:textId="19E9CD39" w:rsidR="00243627" w:rsidRPr="004A132D" w:rsidRDefault="008E3B9E" w:rsidP="0002378E">
      <w:pPr>
        <w:pStyle w:val="Numbers"/>
        <w:ind w:left="1418"/>
        <w:rPr>
          <w:rFonts w:asciiTheme="minorHAnsi" w:hAnsiTheme="minorHAnsi"/>
        </w:rPr>
      </w:pPr>
      <w:r w:rsidRPr="004A132D">
        <w:rPr>
          <w:rFonts w:asciiTheme="minorHAnsi" w:hAnsiTheme="minorHAnsi"/>
        </w:rPr>
        <w:t>U</w:t>
      </w:r>
      <w:r w:rsidR="00243627" w:rsidRPr="004A132D">
        <w:rPr>
          <w:rFonts w:asciiTheme="minorHAnsi" w:hAnsiTheme="minorHAnsi"/>
        </w:rPr>
        <w:t xml:space="preserve">nder the </w:t>
      </w:r>
      <w:r w:rsidR="007A6E44" w:rsidRPr="004A132D">
        <w:rPr>
          <w:rFonts w:asciiTheme="minorHAnsi" w:hAnsiTheme="minorHAnsi"/>
        </w:rPr>
        <w:t xml:space="preserve">National </w:t>
      </w:r>
      <w:r w:rsidR="007A6E44" w:rsidRPr="004A132D">
        <w:rPr>
          <w:rFonts w:asciiTheme="minorHAnsi" w:hAnsiTheme="minorHAnsi"/>
          <w:lang w:val="en-AU"/>
        </w:rPr>
        <w:t xml:space="preserve">Action Plan to Combat </w:t>
      </w:r>
      <w:r w:rsidR="007A6E44" w:rsidRPr="004A132D">
        <w:rPr>
          <w:rFonts w:asciiTheme="minorHAnsi" w:hAnsiTheme="minorHAnsi"/>
        </w:rPr>
        <w:t>Modern Slavery</w:t>
      </w:r>
      <w:r w:rsidR="00243627" w:rsidRPr="004A132D">
        <w:rPr>
          <w:rFonts w:asciiTheme="minorHAnsi" w:hAnsiTheme="minorHAnsi"/>
        </w:rPr>
        <w:t xml:space="preserve">, the Australian Government </w:t>
      </w:r>
      <w:r w:rsidR="00B74C87" w:rsidRPr="004A132D">
        <w:rPr>
          <w:rFonts w:asciiTheme="minorHAnsi" w:hAnsiTheme="minorHAnsi"/>
        </w:rPr>
        <w:t>is</w:t>
      </w:r>
      <w:r w:rsidR="00243627" w:rsidRPr="004A132D">
        <w:rPr>
          <w:rFonts w:asciiTheme="minorHAnsi" w:hAnsiTheme="minorHAnsi"/>
        </w:rPr>
        <w:t xml:space="preserve"> undertak</w:t>
      </w:r>
      <w:r w:rsidR="00B74C87" w:rsidRPr="004A132D">
        <w:rPr>
          <w:rFonts w:asciiTheme="minorHAnsi" w:hAnsiTheme="minorHAnsi"/>
        </w:rPr>
        <w:t>ing</w:t>
      </w:r>
      <w:r w:rsidR="00243627" w:rsidRPr="004A132D">
        <w:rPr>
          <w:rFonts w:asciiTheme="minorHAnsi" w:hAnsiTheme="minorHAnsi"/>
        </w:rPr>
        <w:t xml:space="preserve"> a review of state and territory victims of </w:t>
      </w:r>
      <w:r w:rsidR="00412A1A">
        <w:rPr>
          <w:rFonts w:asciiTheme="minorHAnsi" w:hAnsiTheme="minorHAnsi"/>
        </w:rPr>
        <w:t>criminal</w:t>
      </w:r>
      <w:r w:rsidR="00243627" w:rsidRPr="004A132D">
        <w:rPr>
          <w:rFonts w:asciiTheme="minorHAnsi" w:hAnsiTheme="minorHAnsi"/>
        </w:rPr>
        <w:t xml:space="preserve"> financial assistance schemes and their availability for victims and survivors of modern slavery.</w:t>
      </w:r>
    </w:p>
    <w:p w14:paraId="532E685B" w14:textId="1219F029" w:rsidR="00CD4E4D" w:rsidRPr="004A132D" w:rsidRDefault="00CD4E4D" w:rsidP="0002378E">
      <w:pPr>
        <w:pStyle w:val="Numbers"/>
        <w:ind w:left="1418"/>
        <w:rPr>
          <w:rFonts w:asciiTheme="minorHAnsi" w:hAnsiTheme="minorHAnsi"/>
        </w:rPr>
      </w:pPr>
      <w:r w:rsidRPr="004A132D">
        <w:rPr>
          <w:rFonts w:asciiTheme="minorHAnsi" w:hAnsiTheme="minorHAnsi"/>
        </w:rPr>
        <w:t xml:space="preserve">Australia provides a comprehensive range of support services through </w:t>
      </w:r>
      <w:r w:rsidR="00C57506" w:rsidRPr="004A132D">
        <w:rPr>
          <w:rFonts w:asciiTheme="minorHAnsi" w:hAnsiTheme="minorHAnsi"/>
        </w:rPr>
        <w:t>STPP</w:t>
      </w:r>
      <w:r w:rsidRPr="004A132D">
        <w:rPr>
          <w:rFonts w:asciiTheme="minorHAnsi" w:hAnsiTheme="minorHAnsi"/>
        </w:rPr>
        <w:t xml:space="preserve">. See </w:t>
      </w:r>
      <w:r w:rsidR="007A6E44" w:rsidRPr="004A132D">
        <w:rPr>
          <w:rFonts w:asciiTheme="minorHAnsi" w:hAnsiTheme="minorHAnsi"/>
        </w:rPr>
        <w:t xml:space="preserve">response to </w:t>
      </w:r>
      <w:r w:rsidRPr="004A132D">
        <w:rPr>
          <w:rFonts w:asciiTheme="minorHAnsi" w:hAnsiTheme="minorHAnsi"/>
        </w:rPr>
        <w:t xml:space="preserve">question </w:t>
      </w:r>
      <w:r w:rsidR="00110D2A" w:rsidRPr="004A132D">
        <w:rPr>
          <w:rFonts w:asciiTheme="minorHAnsi" w:hAnsiTheme="minorHAnsi"/>
        </w:rPr>
        <w:t>12b.</w:t>
      </w:r>
    </w:p>
    <w:p w14:paraId="366652E9" w14:textId="7A0BF3A5" w:rsidR="00985B72" w:rsidRPr="004A132D" w:rsidRDefault="007A6E44" w:rsidP="0002378E">
      <w:pPr>
        <w:pStyle w:val="Numbers"/>
        <w:ind w:left="1418"/>
        <w:rPr>
          <w:rFonts w:asciiTheme="minorHAnsi" w:hAnsiTheme="minorHAnsi"/>
        </w:rPr>
      </w:pPr>
      <w:r w:rsidRPr="004A132D">
        <w:rPr>
          <w:rStyle w:val="ui-provider"/>
          <w:rFonts w:asciiTheme="minorHAnsi" w:hAnsiTheme="minorHAnsi"/>
        </w:rPr>
        <w:t xml:space="preserve">The </w:t>
      </w:r>
      <w:r w:rsidR="00985B72" w:rsidRPr="004A132D">
        <w:rPr>
          <w:rStyle w:val="ui-provider"/>
          <w:rFonts w:asciiTheme="minorHAnsi" w:hAnsiTheme="minorHAnsi"/>
        </w:rPr>
        <w:t>Australian Government’s HTVF</w:t>
      </w:r>
      <w:r w:rsidR="002247D2" w:rsidRPr="004A132D">
        <w:rPr>
          <w:rStyle w:val="ui-provider"/>
          <w:rFonts w:asciiTheme="minorHAnsi" w:hAnsiTheme="minorHAnsi"/>
        </w:rPr>
        <w:t xml:space="preserve"> enables</w:t>
      </w:r>
      <w:r w:rsidR="00985B72" w:rsidRPr="004A132D">
        <w:rPr>
          <w:rStyle w:val="ui-provider"/>
          <w:rFonts w:asciiTheme="minorHAnsi" w:hAnsiTheme="minorHAnsi"/>
        </w:rPr>
        <w:t xml:space="preserve"> foreign nationals </w:t>
      </w:r>
      <w:r w:rsidR="002247D2" w:rsidRPr="004A132D">
        <w:rPr>
          <w:rStyle w:val="ui-provider"/>
          <w:rFonts w:asciiTheme="minorHAnsi" w:hAnsiTheme="minorHAnsi"/>
        </w:rPr>
        <w:t>to lawfully remain in Australia if they are</w:t>
      </w:r>
      <w:r w:rsidR="00985B72" w:rsidRPr="004A132D">
        <w:rPr>
          <w:rStyle w:val="ui-provider"/>
          <w:rFonts w:asciiTheme="minorHAnsi" w:hAnsiTheme="minorHAnsi"/>
        </w:rPr>
        <w:t xml:space="preserve"> suspected victims of human trafficking and slavery</w:t>
      </w:r>
      <w:r w:rsidR="002247D2" w:rsidRPr="004A132D">
        <w:rPr>
          <w:rStyle w:val="ui-provider"/>
          <w:rFonts w:asciiTheme="minorHAnsi" w:hAnsiTheme="minorHAnsi"/>
        </w:rPr>
        <w:t xml:space="preserve"> and do not hold a valid visa</w:t>
      </w:r>
      <w:r w:rsidR="00985B72" w:rsidRPr="004A132D">
        <w:rPr>
          <w:rStyle w:val="ui-provider"/>
          <w:rFonts w:asciiTheme="minorHAnsi" w:hAnsiTheme="minorHAnsi"/>
        </w:rPr>
        <w:t>.</w:t>
      </w:r>
    </w:p>
    <w:p w14:paraId="0E87850C" w14:textId="77777777" w:rsidR="00DB3E49" w:rsidRPr="004A132D" w:rsidRDefault="00DB3E49" w:rsidP="0002378E">
      <w:pPr>
        <w:pStyle w:val="Numbers"/>
        <w:ind w:left="1418"/>
        <w:rPr>
          <w:rFonts w:asciiTheme="minorHAnsi" w:hAnsiTheme="minorHAnsi"/>
        </w:rPr>
      </w:pPr>
      <w:r w:rsidRPr="004A132D">
        <w:rPr>
          <w:rFonts w:asciiTheme="minorHAnsi" w:hAnsiTheme="minorHAnsi"/>
        </w:rPr>
        <w:t xml:space="preserve">The Australian Government </w:t>
      </w:r>
      <w:r w:rsidR="00CD4E4D" w:rsidRPr="004A132D">
        <w:rPr>
          <w:rFonts w:asciiTheme="minorHAnsi" w:hAnsiTheme="minorHAnsi"/>
        </w:rPr>
        <w:t xml:space="preserve">also </w:t>
      </w:r>
      <w:r w:rsidRPr="004A132D">
        <w:rPr>
          <w:rFonts w:asciiTheme="minorHAnsi" w:hAnsiTheme="minorHAnsi"/>
        </w:rPr>
        <w:t>provides victims of modern slavery with access to civil mechanisms, such as the Fair Work Ombudsman and Fair Work Commission, and the ability to pursue civil and administrative remedies, including for unpaid wages and entitlements, irrespective of their nationality or visa status.</w:t>
      </w:r>
    </w:p>
    <w:p w14:paraId="0007CD05" w14:textId="77777777" w:rsidR="00E03056" w:rsidRPr="004A132D" w:rsidRDefault="00DB3E49" w:rsidP="0002378E">
      <w:pPr>
        <w:pStyle w:val="Numbers"/>
        <w:ind w:left="1418"/>
        <w:rPr>
          <w:rFonts w:asciiTheme="minorHAnsi" w:hAnsiTheme="minorHAnsi"/>
        </w:rPr>
      </w:pPr>
      <w:r w:rsidRPr="004A132D">
        <w:rPr>
          <w:rFonts w:asciiTheme="minorHAnsi" w:hAnsiTheme="minorHAnsi"/>
        </w:rPr>
        <w:t xml:space="preserve">Courts in Australia may order offenders convicted of a </w:t>
      </w:r>
      <w:r w:rsidR="002A4249" w:rsidRPr="004A132D">
        <w:rPr>
          <w:rFonts w:asciiTheme="minorHAnsi" w:hAnsiTheme="minorHAnsi"/>
        </w:rPr>
        <w:t>federal</w:t>
      </w:r>
      <w:r w:rsidRPr="004A132D">
        <w:rPr>
          <w:rFonts w:asciiTheme="minorHAnsi" w:hAnsiTheme="minorHAnsi"/>
        </w:rPr>
        <w:t xml:space="preserve"> offence to make reparation to victims for any loss suffered or expense incurred by reason of the relevant offence under the </w:t>
      </w:r>
      <w:r w:rsidRPr="004A132D">
        <w:rPr>
          <w:rFonts w:asciiTheme="minorHAnsi" w:hAnsiTheme="minorHAnsi"/>
          <w:i/>
        </w:rPr>
        <w:t xml:space="preserve">Crimes Act 1914 </w:t>
      </w:r>
      <w:r w:rsidRPr="004A132D">
        <w:rPr>
          <w:rFonts w:asciiTheme="minorHAnsi" w:hAnsiTheme="minorHAnsi"/>
        </w:rPr>
        <w:t>(Cth).</w:t>
      </w:r>
    </w:p>
    <w:p w14:paraId="4650DA02" w14:textId="77777777" w:rsidR="00F16770" w:rsidRPr="005F6B4E" w:rsidRDefault="00110D2A" w:rsidP="005F6B4E">
      <w:pPr>
        <w:pStyle w:val="Heading1"/>
      </w:pPr>
      <w:bookmarkStart w:id="99" w:name="_Toc174011703"/>
      <w:bookmarkStart w:id="100" w:name="_Toc175556799"/>
      <w:r w:rsidRPr="005F6B4E">
        <w:lastRenderedPageBreak/>
        <w:t xml:space="preserve">Question 13: </w:t>
      </w:r>
      <w:r w:rsidR="00F16770" w:rsidRPr="005F6B4E">
        <w:t>Participation in political and public life</w:t>
      </w:r>
      <w:bookmarkEnd w:id="99"/>
      <w:bookmarkEnd w:id="100"/>
    </w:p>
    <w:p w14:paraId="26C86A7A" w14:textId="77777777" w:rsidR="00A22EFC" w:rsidRPr="004A132D" w:rsidRDefault="00A22EFC" w:rsidP="0002378E">
      <w:pPr>
        <w:pStyle w:val="Numbers"/>
        <w:tabs>
          <w:tab w:val="clear" w:pos="2835"/>
        </w:tabs>
        <w:ind w:left="1418"/>
        <w:rPr>
          <w:rFonts w:asciiTheme="minorHAnsi" w:hAnsiTheme="minorHAnsi"/>
        </w:rPr>
      </w:pPr>
      <w:r w:rsidRPr="004A132D">
        <w:rPr>
          <w:rFonts w:asciiTheme="minorHAnsi" w:hAnsiTheme="minorHAnsi"/>
        </w:rPr>
        <w:t xml:space="preserve">There have been remarkable improvements in women’s representation in Australia’s </w:t>
      </w:r>
      <w:r w:rsidR="002A4249" w:rsidRPr="004A132D">
        <w:rPr>
          <w:rFonts w:asciiTheme="minorHAnsi" w:hAnsiTheme="minorHAnsi"/>
        </w:rPr>
        <w:t>political and public life,</w:t>
      </w:r>
      <w:r w:rsidRPr="004A132D">
        <w:rPr>
          <w:rFonts w:asciiTheme="minorHAnsi" w:hAnsiTheme="minorHAnsi"/>
        </w:rPr>
        <w:t xml:space="preserve"> and key leadership roles over recent decades, particularly at all levels of government. This is the result of concerted efforts to boost representation, but there is still a long way to go. </w:t>
      </w:r>
    </w:p>
    <w:p w14:paraId="71A99313" w14:textId="77777777" w:rsidR="00A22EFC" w:rsidRPr="004A132D" w:rsidRDefault="00A22EFC" w:rsidP="00A22EFC">
      <w:pPr>
        <w:pStyle w:val="Heading2"/>
      </w:pPr>
      <w:bookmarkStart w:id="101" w:name="_Toc174011704"/>
      <w:bookmarkStart w:id="102" w:name="_Toc175556800"/>
      <w:r w:rsidRPr="004A132D">
        <w:t>Representation of women in political and public life</w:t>
      </w:r>
      <w:bookmarkEnd w:id="101"/>
      <w:bookmarkEnd w:id="102"/>
    </w:p>
    <w:p w14:paraId="117C280E" w14:textId="569E9579" w:rsidR="00D654AF" w:rsidRPr="004A132D" w:rsidRDefault="0080726A" w:rsidP="0002378E">
      <w:pPr>
        <w:pStyle w:val="Numbers"/>
        <w:ind w:left="1418"/>
        <w:rPr>
          <w:rFonts w:asciiTheme="minorHAnsi" w:hAnsiTheme="minorHAnsi"/>
        </w:rPr>
      </w:pPr>
      <w:r w:rsidRPr="004A132D">
        <w:rPr>
          <w:rFonts w:asciiTheme="minorHAnsi" w:hAnsiTheme="minorHAnsi"/>
        </w:rPr>
        <w:t xml:space="preserve"> </w:t>
      </w:r>
      <w:r w:rsidR="00750326" w:rsidRPr="004A132D">
        <w:rPr>
          <w:rFonts w:asciiTheme="minorHAnsi" w:hAnsiTheme="minorHAnsi"/>
        </w:rPr>
        <w:t>In the 47</w:t>
      </w:r>
      <w:r w:rsidR="00750326" w:rsidRPr="004A132D">
        <w:rPr>
          <w:rFonts w:asciiTheme="minorHAnsi" w:hAnsiTheme="minorHAnsi"/>
          <w:vertAlign w:val="superscript"/>
        </w:rPr>
        <w:t>th</w:t>
      </w:r>
      <w:r w:rsidR="00750326" w:rsidRPr="004A132D">
        <w:rPr>
          <w:rFonts w:asciiTheme="minorHAnsi" w:hAnsiTheme="minorHAnsi"/>
        </w:rPr>
        <w:t xml:space="preserve"> Australian Parliament (a</w:t>
      </w:r>
      <w:r w:rsidRPr="004A132D">
        <w:rPr>
          <w:rFonts w:asciiTheme="minorHAnsi" w:hAnsiTheme="minorHAnsi"/>
        </w:rPr>
        <w:t xml:space="preserve">s </w:t>
      </w:r>
      <w:r w:rsidR="00750326" w:rsidRPr="004A132D">
        <w:rPr>
          <w:rFonts w:asciiTheme="minorHAnsi" w:hAnsiTheme="minorHAnsi"/>
        </w:rPr>
        <w:t>of June 2024)</w:t>
      </w:r>
      <w:r w:rsidRPr="004A132D">
        <w:rPr>
          <w:rFonts w:asciiTheme="minorHAnsi" w:hAnsiTheme="minorHAnsi"/>
        </w:rPr>
        <w:t xml:space="preserve">, </w:t>
      </w:r>
      <w:r w:rsidR="00750326" w:rsidRPr="004A132D">
        <w:rPr>
          <w:rFonts w:asciiTheme="minorHAnsi" w:hAnsiTheme="minorHAnsi"/>
        </w:rPr>
        <w:t xml:space="preserve">there are 59 women in the </w:t>
      </w:r>
      <w:r w:rsidR="00D654AF" w:rsidRPr="004A132D">
        <w:rPr>
          <w:rFonts w:asciiTheme="minorHAnsi" w:hAnsiTheme="minorHAnsi"/>
        </w:rPr>
        <w:t xml:space="preserve">House of Representatives </w:t>
      </w:r>
      <w:r w:rsidR="00750326" w:rsidRPr="004A132D">
        <w:rPr>
          <w:rFonts w:asciiTheme="minorHAnsi" w:hAnsiTheme="minorHAnsi"/>
        </w:rPr>
        <w:t xml:space="preserve">and 43 of the 76 senators are women </w:t>
      </w:r>
      <w:r w:rsidR="00D654AF" w:rsidRPr="004A132D">
        <w:rPr>
          <w:rFonts w:asciiTheme="minorHAnsi" w:hAnsiTheme="minorHAnsi"/>
        </w:rPr>
        <w:t xml:space="preserve">in </w:t>
      </w:r>
      <w:r w:rsidR="001730D8" w:rsidRPr="004A132D">
        <w:rPr>
          <w:rFonts w:asciiTheme="minorHAnsi" w:hAnsiTheme="minorHAnsi"/>
        </w:rPr>
        <w:t>the 47th Australian Parliament.</w:t>
      </w:r>
      <w:r w:rsidR="005B0EF5" w:rsidRPr="004A132D">
        <w:rPr>
          <w:rFonts w:asciiTheme="minorHAnsi" w:hAnsiTheme="minorHAnsi"/>
        </w:rPr>
        <w:t xml:space="preserve"> </w:t>
      </w:r>
      <w:r w:rsidR="00087734" w:rsidRPr="004A132D">
        <w:rPr>
          <w:rFonts w:asciiTheme="minorHAnsi" w:hAnsiTheme="minorHAnsi"/>
        </w:rPr>
        <w:t xml:space="preserve">The Cabinet, which </w:t>
      </w:r>
      <w:r w:rsidR="0056430F" w:rsidRPr="004A132D">
        <w:rPr>
          <w:rFonts w:asciiTheme="minorHAnsi" w:hAnsiTheme="minorHAnsi"/>
        </w:rPr>
        <w:t xml:space="preserve">is made up to 22 Ministers, comprises </w:t>
      </w:r>
      <w:r w:rsidR="00E86B0B">
        <w:rPr>
          <w:rFonts w:asciiTheme="minorHAnsi" w:hAnsiTheme="minorHAnsi"/>
        </w:rPr>
        <w:br/>
      </w:r>
      <w:r w:rsidR="0056430F" w:rsidRPr="004A132D">
        <w:rPr>
          <w:rFonts w:asciiTheme="minorHAnsi" w:hAnsiTheme="minorHAnsi"/>
        </w:rPr>
        <w:t xml:space="preserve">10 women. This is the highest number of women in a Cabinet in Australia’s history, and was achieved through </w:t>
      </w:r>
      <w:r w:rsidR="00750326" w:rsidRPr="004A132D">
        <w:rPr>
          <w:rFonts w:asciiTheme="minorHAnsi" w:hAnsiTheme="minorHAnsi"/>
        </w:rPr>
        <w:t xml:space="preserve">a </w:t>
      </w:r>
      <w:r w:rsidR="0056430F" w:rsidRPr="004A132D">
        <w:rPr>
          <w:rFonts w:asciiTheme="minorHAnsi" w:hAnsiTheme="minorHAnsi"/>
        </w:rPr>
        <w:t xml:space="preserve">concerted effort to ensure </w:t>
      </w:r>
      <w:r w:rsidR="002E0473" w:rsidRPr="004A132D">
        <w:rPr>
          <w:rFonts w:asciiTheme="minorHAnsi" w:hAnsiTheme="minorHAnsi"/>
        </w:rPr>
        <w:t xml:space="preserve">the </w:t>
      </w:r>
      <w:r w:rsidR="0056430F" w:rsidRPr="004A132D">
        <w:rPr>
          <w:rFonts w:asciiTheme="minorHAnsi" w:hAnsiTheme="minorHAnsi"/>
        </w:rPr>
        <w:t xml:space="preserve">Cabinet reflects the gender diversity of Australia. </w:t>
      </w:r>
    </w:p>
    <w:p w14:paraId="63196724" w14:textId="03B9904F" w:rsidR="00F67402" w:rsidRPr="004A132D" w:rsidRDefault="00F67402" w:rsidP="0002378E">
      <w:pPr>
        <w:pStyle w:val="Numbers"/>
        <w:ind w:left="1418"/>
        <w:rPr>
          <w:rFonts w:asciiTheme="minorHAnsi" w:hAnsiTheme="minorHAnsi"/>
        </w:rPr>
      </w:pPr>
      <w:r w:rsidRPr="004A132D">
        <w:rPr>
          <w:rFonts w:asciiTheme="minorHAnsi" w:hAnsiTheme="minorHAnsi"/>
        </w:rPr>
        <w:t xml:space="preserve">As of September 2023, there </w:t>
      </w:r>
      <w:r w:rsidR="00801CF3" w:rsidRPr="004A132D">
        <w:rPr>
          <w:rFonts w:asciiTheme="minorHAnsi" w:hAnsiTheme="minorHAnsi"/>
        </w:rPr>
        <w:t>were</w:t>
      </w:r>
      <w:r w:rsidRPr="004A132D">
        <w:rPr>
          <w:rFonts w:asciiTheme="minorHAnsi" w:hAnsiTheme="minorHAnsi"/>
        </w:rPr>
        <w:t xml:space="preserve"> </w:t>
      </w:r>
      <w:r w:rsidR="00C944BD" w:rsidRPr="004A132D">
        <w:rPr>
          <w:rFonts w:asciiTheme="minorHAnsi" w:hAnsiTheme="minorHAnsi"/>
        </w:rPr>
        <w:t>9</w:t>
      </w:r>
      <w:r w:rsidRPr="004A132D">
        <w:rPr>
          <w:rFonts w:asciiTheme="minorHAnsi" w:hAnsiTheme="minorHAnsi"/>
        </w:rPr>
        <w:t xml:space="preserve"> Indigenous </w:t>
      </w:r>
      <w:r w:rsidR="000914AC" w:rsidRPr="004A132D">
        <w:rPr>
          <w:rFonts w:asciiTheme="minorHAnsi" w:hAnsiTheme="minorHAnsi"/>
        </w:rPr>
        <w:t xml:space="preserve">Australian </w:t>
      </w:r>
      <w:r w:rsidRPr="004A132D">
        <w:rPr>
          <w:rFonts w:asciiTheme="minorHAnsi" w:hAnsiTheme="minorHAnsi"/>
        </w:rPr>
        <w:t xml:space="preserve">women </w:t>
      </w:r>
      <w:r w:rsidR="002B2E91" w:rsidRPr="004A132D">
        <w:rPr>
          <w:rFonts w:asciiTheme="minorHAnsi" w:hAnsiTheme="minorHAnsi"/>
        </w:rPr>
        <w:t xml:space="preserve">(15 per cent of all Parliamentarians) </w:t>
      </w:r>
      <w:r w:rsidRPr="004A132D">
        <w:rPr>
          <w:rFonts w:asciiTheme="minorHAnsi" w:hAnsiTheme="minorHAnsi"/>
        </w:rPr>
        <w:t>in the 47</w:t>
      </w:r>
      <w:r w:rsidRPr="004A132D">
        <w:rPr>
          <w:rFonts w:asciiTheme="minorHAnsi" w:hAnsiTheme="minorHAnsi"/>
          <w:vertAlign w:val="superscript"/>
        </w:rPr>
        <w:t>th</w:t>
      </w:r>
      <w:r w:rsidRPr="004A132D">
        <w:rPr>
          <w:rFonts w:asciiTheme="minorHAnsi" w:hAnsiTheme="minorHAnsi"/>
        </w:rPr>
        <w:t xml:space="preserve"> Parliament and </w:t>
      </w:r>
      <w:r w:rsidR="005B0EF5" w:rsidRPr="004A132D">
        <w:rPr>
          <w:rFonts w:asciiTheme="minorHAnsi" w:hAnsiTheme="minorHAnsi"/>
        </w:rPr>
        <w:t xml:space="preserve">28 women </w:t>
      </w:r>
      <w:r w:rsidR="002B2E91" w:rsidRPr="004A132D">
        <w:rPr>
          <w:rFonts w:asciiTheme="minorHAnsi" w:hAnsiTheme="minorHAnsi"/>
        </w:rPr>
        <w:t xml:space="preserve">(47 per cent of all Parliamentarians) </w:t>
      </w:r>
      <w:r w:rsidR="005B0EF5" w:rsidRPr="004A132D">
        <w:rPr>
          <w:rFonts w:asciiTheme="minorHAnsi" w:hAnsiTheme="minorHAnsi"/>
        </w:rPr>
        <w:t>who have served in the 47</w:t>
      </w:r>
      <w:r w:rsidR="005B0EF5" w:rsidRPr="004A132D">
        <w:rPr>
          <w:rFonts w:asciiTheme="minorHAnsi" w:hAnsiTheme="minorHAnsi"/>
          <w:vertAlign w:val="superscript"/>
        </w:rPr>
        <w:t>th</w:t>
      </w:r>
      <w:r w:rsidR="005B0EF5" w:rsidRPr="004A132D">
        <w:rPr>
          <w:rFonts w:asciiTheme="minorHAnsi" w:hAnsiTheme="minorHAnsi"/>
        </w:rPr>
        <w:t xml:space="preserve"> Parliament identified as having at least one non-English speaking ancestry</w:t>
      </w:r>
      <w:r w:rsidR="00801CF3" w:rsidRPr="004A132D">
        <w:rPr>
          <w:rFonts w:asciiTheme="minorHAnsi" w:hAnsiTheme="minorHAnsi"/>
        </w:rPr>
        <w:t xml:space="preserve">, with </w:t>
      </w:r>
      <w:r w:rsidR="00C944BD" w:rsidRPr="004A132D">
        <w:rPr>
          <w:rFonts w:asciiTheme="minorHAnsi" w:hAnsiTheme="minorHAnsi"/>
        </w:rPr>
        <w:t>6</w:t>
      </w:r>
      <w:r w:rsidRPr="004A132D">
        <w:rPr>
          <w:rFonts w:asciiTheme="minorHAnsi" w:hAnsiTheme="minorHAnsi"/>
        </w:rPr>
        <w:t xml:space="preserve"> of these </w:t>
      </w:r>
      <w:r w:rsidR="00801CF3" w:rsidRPr="004A132D">
        <w:rPr>
          <w:rFonts w:asciiTheme="minorHAnsi" w:hAnsiTheme="minorHAnsi"/>
        </w:rPr>
        <w:t>women being</w:t>
      </w:r>
      <w:r w:rsidRPr="004A132D">
        <w:rPr>
          <w:rFonts w:asciiTheme="minorHAnsi" w:hAnsiTheme="minorHAnsi"/>
        </w:rPr>
        <w:t xml:space="preserve"> born in a country other than Australia.</w:t>
      </w:r>
      <w:r w:rsidRPr="004A132D">
        <w:rPr>
          <w:rStyle w:val="FootnoteReference"/>
          <w:rFonts w:asciiTheme="minorHAnsi" w:hAnsiTheme="minorHAnsi"/>
          <w:lang w:val="en-NZ"/>
        </w:rPr>
        <w:footnoteReference w:id="24"/>
      </w:r>
      <w:r w:rsidRPr="004A132D">
        <w:rPr>
          <w:rFonts w:asciiTheme="minorHAnsi" w:hAnsiTheme="minorHAnsi"/>
        </w:rPr>
        <w:t xml:space="preserve"> Data on women with disabilities in Parliament is not collected.</w:t>
      </w:r>
    </w:p>
    <w:p w14:paraId="6096C9E9" w14:textId="4954DBD1" w:rsidR="00F67402" w:rsidRPr="004A132D" w:rsidRDefault="00F67402" w:rsidP="0002378E">
      <w:pPr>
        <w:pStyle w:val="Numbers"/>
        <w:ind w:left="1418"/>
        <w:rPr>
          <w:rFonts w:asciiTheme="minorHAnsi" w:hAnsiTheme="minorHAnsi"/>
        </w:rPr>
      </w:pPr>
      <w:r w:rsidRPr="004A132D">
        <w:rPr>
          <w:rFonts w:asciiTheme="minorHAnsi" w:hAnsiTheme="minorHAnsi"/>
        </w:rPr>
        <w:t xml:space="preserve">The Australian Government does not implement special measures for women’s representation in Parliament. Political parties may implement their own temporary special measures, such </w:t>
      </w:r>
      <w:r w:rsidR="00801CF3" w:rsidRPr="004A132D">
        <w:rPr>
          <w:rFonts w:asciiTheme="minorHAnsi" w:hAnsiTheme="minorHAnsi"/>
        </w:rPr>
        <w:t xml:space="preserve">as </w:t>
      </w:r>
      <w:r w:rsidRPr="004A132D">
        <w:rPr>
          <w:rFonts w:asciiTheme="minorHAnsi" w:hAnsiTheme="minorHAnsi"/>
        </w:rPr>
        <w:t>targets for women’s representation.</w:t>
      </w:r>
      <w:r w:rsidR="00087734" w:rsidRPr="004A132D">
        <w:rPr>
          <w:rFonts w:asciiTheme="minorHAnsi" w:hAnsiTheme="minorHAnsi"/>
        </w:rPr>
        <w:t xml:space="preserve"> </w:t>
      </w:r>
      <w:r w:rsidR="00E52FB0">
        <w:rPr>
          <w:rFonts w:asciiTheme="minorHAnsi" w:hAnsiTheme="minorHAnsi"/>
        </w:rPr>
        <w:t>U</w:t>
      </w:r>
      <w:r w:rsidR="00087734" w:rsidRPr="004A132D">
        <w:rPr>
          <w:rFonts w:asciiTheme="minorHAnsi" w:hAnsiTheme="minorHAnsi"/>
        </w:rPr>
        <w:t xml:space="preserve">nder </w:t>
      </w:r>
      <w:r w:rsidR="00801CF3" w:rsidRPr="004A132D">
        <w:rPr>
          <w:rFonts w:asciiTheme="minorHAnsi" w:hAnsiTheme="minorHAnsi"/>
        </w:rPr>
        <w:t xml:space="preserve">the </w:t>
      </w:r>
      <w:r w:rsidR="00087734" w:rsidRPr="004A132D">
        <w:rPr>
          <w:rFonts w:asciiTheme="minorHAnsi" w:hAnsiTheme="minorHAnsi"/>
        </w:rPr>
        <w:t>Australia</w:t>
      </w:r>
      <w:r w:rsidR="00801CF3" w:rsidRPr="004A132D">
        <w:rPr>
          <w:rFonts w:asciiTheme="minorHAnsi" w:hAnsiTheme="minorHAnsi"/>
        </w:rPr>
        <w:t xml:space="preserve">n Government’s </w:t>
      </w:r>
      <w:r w:rsidR="006A40A0">
        <w:rPr>
          <w:rFonts w:asciiTheme="minorHAnsi" w:hAnsiTheme="minorHAnsi"/>
        </w:rPr>
        <w:t>Working for Women Program</w:t>
      </w:r>
      <w:r w:rsidR="00087734" w:rsidRPr="004A132D">
        <w:rPr>
          <w:rFonts w:asciiTheme="minorHAnsi" w:hAnsiTheme="minorHAnsi"/>
        </w:rPr>
        <w:t xml:space="preserve">, </w:t>
      </w:r>
      <w:r w:rsidR="00801CF3" w:rsidRPr="004A132D">
        <w:rPr>
          <w:rFonts w:asciiTheme="minorHAnsi" w:hAnsiTheme="minorHAnsi"/>
        </w:rPr>
        <w:t xml:space="preserve">funding is </w:t>
      </w:r>
      <w:r w:rsidR="00087734" w:rsidRPr="004A132D">
        <w:rPr>
          <w:rFonts w:asciiTheme="minorHAnsi" w:hAnsiTheme="minorHAnsi"/>
        </w:rPr>
        <w:t xml:space="preserve">provided to Women for Election Australia to improve gender equality and diversity in politics </w:t>
      </w:r>
      <w:r w:rsidR="006665DA" w:rsidRPr="004A132D">
        <w:rPr>
          <w:rFonts w:asciiTheme="minorHAnsi" w:hAnsiTheme="minorHAnsi"/>
        </w:rPr>
        <w:t xml:space="preserve">thereby </w:t>
      </w:r>
      <w:r w:rsidR="00087734" w:rsidRPr="004A132D">
        <w:rPr>
          <w:rFonts w:asciiTheme="minorHAnsi" w:hAnsiTheme="minorHAnsi"/>
        </w:rPr>
        <w:t>equip</w:t>
      </w:r>
      <w:r w:rsidR="006665DA" w:rsidRPr="004A132D">
        <w:rPr>
          <w:rFonts w:asciiTheme="minorHAnsi" w:hAnsiTheme="minorHAnsi"/>
        </w:rPr>
        <w:t>ping</w:t>
      </w:r>
      <w:r w:rsidR="00087734" w:rsidRPr="004A132D">
        <w:rPr>
          <w:rFonts w:asciiTheme="minorHAnsi" w:hAnsiTheme="minorHAnsi"/>
        </w:rPr>
        <w:t xml:space="preserve"> and </w:t>
      </w:r>
      <w:r w:rsidR="006665DA" w:rsidRPr="004A132D">
        <w:rPr>
          <w:rFonts w:asciiTheme="minorHAnsi" w:hAnsiTheme="minorHAnsi"/>
        </w:rPr>
        <w:t>encouraging</w:t>
      </w:r>
      <w:r w:rsidR="00087734" w:rsidRPr="004A132D">
        <w:rPr>
          <w:rFonts w:asciiTheme="minorHAnsi" w:hAnsiTheme="minorHAnsi"/>
        </w:rPr>
        <w:t xml:space="preserve"> women across the political spectrum to run for public office at local, state and federal levels.  </w:t>
      </w:r>
    </w:p>
    <w:p w14:paraId="13CCD6D3" w14:textId="77777777" w:rsidR="00541988" w:rsidRPr="004A132D" w:rsidRDefault="00541988" w:rsidP="0080726A">
      <w:pPr>
        <w:pStyle w:val="Heading2"/>
      </w:pPr>
      <w:bookmarkStart w:id="103" w:name="_Toc174011705"/>
      <w:bookmarkStart w:id="104" w:name="_Toc175556801"/>
      <w:r w:rsidRPr="004A132D">
        <w:t>Represe</w:t>
      </w:r>
      <w:r w:rsidR="00801CF3" w:rsidRPr="004A132D">
        <w:t>ntation of women on Government b</w:t>
      </w:r>
      <w:r w:rsidRPr="004A132D">
        <w:t>oards</w:t>
      </w:r>
      <w:bookmarkEnd w:id="103"/>
      <w:bookmarkEnd w:id="104"/>
    </w:p>
    <w:p w14:paraId="345A14B3" w14:textId="77777777" w:rsidR="00453F79" w:rsidRPr="004A132D" w:rsidRDefault="00453F79" w:rsidP="0002378E">
      <w:pPr>
        <w:pStyle w:val="Numbers"/>
        <w:ind w:left="1418"/>
        <w:rPr>
          <w:rFonts w:asciiTheme="minorHAnsi" w:hAnsiTheme="minorHAnsi"/>
        </w:rPr>
      </w:pPr>
      <w:r w:rsidRPr="004A132D">
        <w:rPr>
          <w:rFonts w:asciiTheme="minorHAnsi" w:hAnsiTheme="minorHAnsi"/>
        </w:rPr>
        <w:t>Since 2016, the Australian Government has had the following targets for gender ba</w:t>
      </w:r>
      <w:r w:rsidR="00801CF3" w:rsidRPr="004A132D">
        <w:rPr>
          <w:rFonts w:asciiTheme="minorHAnsi" w:hAnsiTheme="minorHAnsi"/>
        </w:rPr>
        <w:t>lance on Australian Government b</w:t>
      </w:r>
      <w:r w:rsidRPr="004A132D">
        <w:rPr>
          <w:rFonts w:asciiTheme="minorHAnsi" w:hAnsiTheme="minorHAnsi"/>
        </w:rPr>
        <w:t xml:space="preserve">oards: achieving 50 per cent representation of </w:t>
      </w:r>
      <w:r w:rsidRPr="004A132D">
        <w:rPr>
          <w:rFonts w:asciiTheme="minorHAnsi" w:hAnsiTheme="minorHAnsi"/>
        </w:rPr>
        <w:lastRenderedPageBreak/>
        <w:t>women at a whole-of-Government level and at least 40 per cent representation of women and men each at the individual board level.</w:t>
      </w:r>
    </w:p>
    <w:p w14:paraId="7ED8EBC5" w14:textId="167BDA58" w:rsidR="00453F79" w:rsidRPr="004A132D" w:rsidRDefault="00F67402" w:rsidP="0002378E">
      <w:pPr>
        <w:pStyle w:val="Numbers"/>
        <w:ind w:left="1418"/>
        <w:rPr>
          <w:rFonts w:asciiTheme="minorHAnsi" w:hAnsiTheme="minorHAnsi"/>
        </w:rPr>
      </w:pPr>
      <w:r w:rsidRPr="004A132D">
        <w:rPr>
          <w:rFonts w:asciiTheme="minorHAnsi" w:hAnsiTheme="minorHAnsi"/>
        </w:rPr>
        <w:t>As at June 2023,</w:t>
      </w:r>
      <w:r w:rsidR="00D654AF" w:rsidRPr="004A132D">
        <w:rPr>
          <w:rFonts w:asciiTheme="minorHAnsi" w:hAnsiTheme="minorHAnsi"/>
        </w:rPr>
        <w:t xml:space="preserve"> women held </w:t>
      </w:r>
      <w:r w:rsidR="00541988" w:rsidRPr="004A132D">
        <w:rPr>
          <w:rFonts w:asciiTheme="minorHAnsi" w:hAnsiTheme="minorHAnsi"/>
        </w:rPr>
        <w:t>51.6</w:t>
      </w:r>
      <w:r w:rsidR="00801CF3" w:rsidRPr="004A132D">
        <w:rPr>
          <w:rFonts w:asciiTheme="minorHAnsi" w:hAnsiTheme="minorHAnsi"/>
        </w:rPr>
        <w:t xml:space="preserve"> per cent of Australian G</w:t>
      </w:r>
      <w:r w:rsidR="00D654AF" w:rsidRPr="004A132D">
        <w:rPr>
          <w:rFonts w:asciiTheme="minorHAnsi" w:hAnsiTheme="minorHAnsi"/>
        </w:rPr>
        <w:t xml:space="preserve">overnment board positions and </w:t>
      </w:r>
      <w:r w:rsidR="00541988" w:rsidRPr="004A132D">
        <w:rPr>
          <w:rFonts w:asciiTheme="minorHAnsi" w:hAnsiTheme="minorHAnsi"/>
        </w:rPr>
        <w:t>42.3</w:t>
      </w:r>
      <w:r w:rsidR="00D654AF" w:rsidRPr="004A132D">
        <w:rPr>
          <w:rFonts w:asciiTheme="minorHAnsi" w:hAnsiTheme="minorHAnsi"/>
        </w:rPr>
        <w:t xml:space="preserve"> per cent of Chair and Deputy Chair positions on Australian Go</w:t>
      </w:r>
      <w:r w:rsidR="00801CF3" w:rsidRPr="004A132D">
        <w:rPr>
          <w:rFonts w:asciiTheme="minorHAnsi" w:hAnsiTheme="minorHAnsi"/>
        </w:rPr>
        <w:t>vernment b</w:t>
      </w:r>
      <w:r w:rsidR="00D654AF" w:rsidRPr="004A132D">
        <w:rPr>
          <w:rFonts w:asciiTheme="minorHAnsi" w:hAnsiTheme="minorHAnsi"/>
        </w:rPr>
        <w:t xml:space="preserve">oards. </w:t>
      </w:r>
      <w:r w:rsidR="00453F79" w:rsidRPr="004A132D">
        <w:rPr>
          <w:rFonts w:asciiTheme="minorHAnsi" w:hAnsiTheme="minorHAnsi"/>
        </w:rPr>
        <w:t>As of June 2023, 78.7 per cent of Australian Government boards have met the target of women holding at least 40 per cent of positions.</w:t>
      </w:r>
      <w:r w:rsidR="00A22EFC" w:rsidRPr="004A132D">
        <w:rPr>
          <w:rStyle w:val="FootnoteReference"/>
          <w:rFonts w:asciiTheme="minorHAnsi" w:hAnsiTheme="minorHAnsi"/>
        </w:rPr>
        <w:footnoteReference w:id="25"/>
      </w:r>
    </w:p>
    <w:p w14:paraId="62D9CF1D" w14:textId="77777777" w:rsidR="001E55D1" w:rsidRPr="004A132D" w:rsidRDefault="001E55D1" w:rsidP="0002378E">
      <w:pPr>
        <w:pStyle w:val="Numbers"/>
        <w:ind w:left="1418"/>
        <w:rPr>
          <w:rFonts w:asciiTheme="minorHAnsi" w:hAnsiTheme="minorHAnsi"/>
        </w:rPr>
      </w:pPr>
      <w:r w:rsidRPr="004A132D">
        <w:rPr>
          <w:rFonts w:asciiTheme="minorHAnsi" w:hAnsiTheme="minorHAnsi"/>
        </w:rPr>
        <w:t xml:space="preserve">The Government is leading by example through implementing new targets for women’s representation on Australian Government boards to include portfolio-level targets of 50 per cent representation of women on boards and 50 per cent representation of women in Chair and Deputy Chair positions. </w:t>
      </w:r>
    </w:p>
    <w:p w14:paraId="58EB70C3" w14:textId="3154DFB2" w:rsidR="0080726A" w:rsidRPr="004A132D" w:rsidRDefault="0080726A" w:rsidP="0002378E">
      <w:pPr>
        <w:pStyle w:val="Numbers"/>
        <w:ind w:left="1418"/>
        <w:rPr>
          <w:rFonts w:asciiTheme="minorHAnsi" w:hAnsiTheme="minorHAnsi"/>
        </w:rPr>
      </w:pPr>
      <w:r w:rsidRPr="004A132D">
        <w:rPr>
          <w:rFonts w:asciiTheme="minorHAnsi" w:hAnsiTheme="minorHAnsi"/>
        </w:rPr>
        <w:t>The Australian Government is committed to new targets for Chair and Deputy Chair positions; boost</w:t>
      </w:r>
      <w:r w:rsidR="00471E38" w:rsidRPr="004A132D">
        <w:rPr>
          <w:rFonts w:asciiTheme="minorHAnsi" w:hAnsiTheme="minorHAnsi"/>
        </w:rPr>
        <w:t>ing</w:t>
      </w:r>
      <w:r w:rsidRPr="004A132D">
        <w:rPr>
          <w:rFonts w:asciiTheme="minorHAnsi" w:hAnsiTheme="minorHAnsi"/>
        </w:rPr>
        <w:t xml:space="preserve"> board representation in portfolios </w:t>
      </w:r>
      <w:r w:rsidR="00412A1A">
        <w:rPr>
          <w:rFonts w:asciiTheme="minorHAnsi" w:hAnsiTheme="minorHAnsi"/>
        </w:rPr>
        <w:t>lagging</w:t>
      </w:r>
      <w:r w:rsidRPr="004A132D">
        <w:rPr>
          <w:rFonts w:asciiTheme="minorHAnsi" w:hAnsiTheme="minorHAnsi"/>
        </w:rPr>
        <w:t xml:space="preserve"> in gender diversity; </w:t>
      </w:r>
      <w:r w:rsidR="006A40A0">
        <w:rPr>
          <w:rFonts w:asciiTheme="minorHAnsi" w:hAnsiTheme="minorHAnsi"/>
        </w:rPr>
        <w:t>increasing</w:t>
      </w:r>
      <w:r w:rsidR="006A40A0" w:rsidRPr="004A132D">
        <w:rPr>
          <w:rFonts w:asciiTheme="minorHAnsi" w:hAnsiTheme="minorHAnsi"/>
        </w:rPr>
        <w:t xml:space="preserve"> </w:t>
      </w:r>
      <w:r w:rsidR="00A22EFC" w:rsidRPr="004A132D">
        <w:rPr>
          <w:rFonts w:asciiTheme="minorHAnsi" w:hAnsiTheme="minorHAnsi"/>
        </w:rPr>
        <w:t>diversity data</w:t>
      </w:r>
      <w:r w:rsidR="00412A1A">
        <w:rPr>
          <w:rFonts w:asciiTheme="minorHAnsi" w:hAnsiTheme="minorHAnsi"/>
        </w:rPr>
        <w:t xml:space="preserve"> collection</w:t>
      </w:r>
      <w:r w:rsidR="00A22EFC" w:rsidRPr="004A132D">
        <w:rPr>
          <w:rFonts w:asciiTheme="minorHAnsi" w:hAnsiTheme="minorHAnsi"/>
        </w:rPr>
        <w:t xml:space="preserve">; </w:t>
      </w:r>
      <w:r w:rsidRPr="004A132D">
        <w:rPr>
          <w:rFonts w:asciiTheme="minorHAnsi" w:hAnsiTheme="minorHAnsi"/>
        </w:rPr>
        <w:t>and address</w:t>
      </w:r>
      <w:r w:rsidR="00471E38" w:rsidRPr="004A132D">
        <w:rPr>
          <w:rFonts w:asciiTheme="minorHAnsi" w:hAnsiTheme="minorHAnsi"/>
        </w:rPr>
        <w:t>ing</w:t>
      </w:r>
      <w:r w:rsidRPr="004A132D">
        <w:rPr>
          <w:rFonts w:asciiTheme="minorHAnsi" w:hAnsiTheme="minorHAnsi"/>
        </w:rPr>
        <w:t xml:space="preserve"> under</w:t>
      </w:r>
      <w:r w:rsidR="00C430C3" w:rsidRPr="004A132D">
        <w:rPr>
          <w:rFonts w:asciiTheme="minorHAnsi" w:hAnsiTheme="minorHAnsi"/>
        </w:rPr>
        <w:noBreakHyphen/>
      </w:r>
      <w:r w:rsidRPr="004A132D">
        <w:rPr>
          <w:rFonts w:asciiTheme="minorHAnsi" w:hAnsiTheme="minorHAnsi"/>
        </w:rPr>
        <w:t>representation of people from culturally and linguistically diverse backgrounds.</w:t>
      </w:r>
      <w:r w:rsidR="00453F79" w:rsidRPr="004A132D">
        <w:rPr>
          <w:rFonts w:asciiTheme="minorHAnsi" w:hAnsiTheme="minorHAnsi"/>
        </w:rPr>
        <w:t xml:space="preserve"> </w:t>
      </w:r>
    </w:p>
    <w:p w14:paraId="5B51D1E3" w14:textId="77777777" w:rsidR="00453F79" w:rsidRPr="004A132D" w:rsidRDefault="00453F79" w:rsidP="00453F79">
      <w:pPr>
        <w:pStyle w:val="Heading2"/>
      </w:pPr>
      <w:bookmarkStart w:id="105" w:name="_Toc174011706"/>
      <w:bookmarkStart w:id="106" w:name="_Toc175556802"/>
      <w:r w:rsidRPr="004A132D">
        <w:t>Recognition of women in public life</w:t>
      </w:r>
      <w:bookmarkEnd w:id="105"/>
      <w:bookmarkEnd w:id="106"/>
    </w:p>
    <w:p w14:paraId="37DFFEA5" w14:textId="47D23442" w:rsidR="007F1E97" w:rsidRPr="004A132D" w:rsidRDefault="006B6A25" w:rsidP="0002378E">
      <w:pPr>
        <w:pStyle w:val="Numbers"/>
        <w:ind w:left="1418"/>
        <w:rPr>
          <w:rFonts w:asciiTheme="minorHAnsi" w:hAnsiTheme="minorHAnsi"/>
        </w:rPr>
      </w:pPr>
      <w:r w:rsidRPr="004A132D">
        <w:rPr>
          <w:rFonts w:asciiTheme="minorHAnsi" w:hAnsiTheme="minorHAnsi"/>
        </w:rPr>
        <w:t>The Australian Government launched the</w:t>
      </w:r>
      <w:r w:rsidR="00C430C3" w:rsidRPr="004A132D">
        <w:rPr>
          <w:rFonts w:asciiTheme="minorHAnsi" w:hAnsiTheme="minorHAnsi"/>
        </w:rPr>
        <w:t xml:space="preserve"> #NominateAWoman campaign on </w:t>
      </w:r>
      <w:r w:rsidR="00C430C3" w:rsidRPr="004A132D">
        <w:rPr>
          <w:rFonts w:asciiTheme="minorHAnsi" w:hAnsiTheme="minorHAnsi"/>
        </w:rPr>
        <w:br/>
        <w:t>2</w:t>
      </w:r>
      <w:r w:rsidRPr="004A132D">
        <w:rPr>
          <w:rFonts w:asciiTheme="minorHAnsi" w:hAnsiTheme="minorHAnsi"/>
        </w:rPr>
        <w:t xml:space="preserve"> August 2023 with the aim of increasing nominations for women for the Order of Australia,</w:t>
      </w:r>
      <w:r w:rsidRPr="004A132D">
        <w:rPr>
          <w:rStyle w:val="FootnoteReference"/>
          <w:rFonts w:asciiTheme="minorHAnsi" w:hAnsiTheme="minorHAnsi"/>
        </w:rPr>
        <w:footnoteReference w:id="26"/>
      </w:r>
      <w:r w:rsidRPr="004A132D">
        <w:rPr>
          <w:rFonts w:asciiTheme="minorHAnsi" w:hAnsiTheme="minorHAnsi"/>
        </w:rPr>
        <w:t xml:space="preserve"> particularly where women had previously been underrepresented. In the first 4 weeks of the campaign (from 2-31 August 2023) the campaign reached 550,385 people and supported an increase in Order of Australia honours for women. In the </w:t>
      </w:r>
      <w:r w:rsidR="007F1E97" w:rsidRPr="004A132D">
        <w:rPr>
          <w:rFonts w:asciiTheme="minorHAnsi" w:hAnsiTheme="minorHAnsi"/>
        </w:rPr>
        <w:t xml:space="preserve">January </w:t>
      </w:r>
      <w:r w:rsidRPr="004A132D">
        <w:rPr>
          <w:rFonts w:asciiTheme="minorHAnsi" w:hAnsiTheme="minorHAnsi"/>
        </w:rPr>
        <w:t>2024 Australia Day Order of Australia Awards List</w:t>
      </w:r>
      <w:r w:rsidR="007F1E97" w:rsidRPr="004A132D">
        <w:rPr>
          <w:rFonts w:asciiTheme="minorHAnsi" w:hAnsiTheme="minorHAnsi"/>
        </w:rPr>
        <w:t xml:space="preserve">, women received 50.5 per cent of awards in the General Division. This was an increase from 48.1 per cent in the 2023 Australia Day Order of Australia list. </w:t>
      </w:r>
    </w:p>
    <w:p w14:paraId="53AD0D9E" w14:textId="77777777" w:rsidR="00E8095F" w:rsidRPr="004A132D" w:rsidRDefault="007F1E97" w:rsidP="00E8095F">
      <w:pPr>
        <w:pStyle w:val="Numbers"/>
        <w:ind w:left="1418"/>
        <w:rPr>
          <w:rFonts w:asciiTheme="minorHAnsi" w:hAnsiTheme="minorHAnsi"/>
        </w:rPr>
      </w:pPr>
      <w:r w:rsidRPr="004A132D">
        <w:rPr>
          <w:rFonts w:asciiTheme="minorHAnsi" w:hAnsiTheme="minorHAnsi"/>
        </w:rPr>
        <w:t>Women also received 50.5 per cent of the Order of Australia General Division awards in the 2023 King’s Birthday honours list. This was the first time women had received a majority of the awards</w:t>
      </w:r>
      <w:r w:rsidR="006B6A25" w:rsidRPr="004A132D">
        <w:rPr>
          <w:rFonts w:asciiTheme="minorHAnsi" w:hAnsiTheme="minorHAnsi"/>
        </w:rPr>
        <w:t xml:space="preserve">.  </w:t>
      </w:r>
    </w:p>
    <w:p w14:paraId="6CEDE4A1" w14:textId="646C91E4" w:rsidR="00453F79" w:rsidRPr="004A132D" w:rsidRDefault="00E8095F" w:rsidP="00E8095F">
      <w:pPr>
        <w:pStyle w:val="Numbers"/>
        <w:ind w:left="1418"/>
        <w:rPr>
          <w:rFonts w:asciiTheme="minorHAnsi" w:hAnsiTheme="minorHAnsi"/>
        </w:rPr>
      </w:pPr>
      <w:r w:rsidRPr="004A132D">
        <w:rPr>
          <w:rFonts w:asciiTheme="minorHAnsi" w:hAnsiTheme="minorHAnsi"/>
        </w:rPr>
        <w:lastRenderedPageBreak/>
        <w:t xml:space="preserve">The Australian Government’s #NominateAWoman campaign will run again in the lead-up to the 2025 Australia Day Order of Australia awards with </w:t>
      </w:r>
      <w:r w:rsidR="00412A1A">
        <w:rPr>
          <w:rFonts w:asciiTheme="minorHAnsi" w:hAnsiTheme="minorHAnsi"/>
        </w:rPr>
        <w:t>an</w:t>
      </w:r>
      <w:r w:rsidRPr="004A132D">
        <w:rPr>
          <w:rFonts w:asciiTheme="minorHAnsi" w:hAnsiTheme="minorHAnsi"/>
        </w:rPr>
        <w:t xml:space="preserve"> intention </w:t>
      </w:r>
      <w:r w:rsidR="00412A1A">
        <w:rPr>
          <w:rFonts w:asciiTheme="minorHAnsi" w:hAnsiTheme="minorHAnsi"/>
        </w:rPr>
        <w:t xml:space="preserve">to increase </w:t>
      </w:r>
      <w:r w:rsidRPr="004A132D">
        <w:rPr>
          <w:rFonts w:asciiTheme="minorHAnsi" w:hAnsiTheme="minorHAnsi"/>
        </w:rPr>
        <w:t>equal representation of women in all 4 levels of the Order of Australia.</w:t>
      </w:r>
      <w:r w:rsidRPr="004A132D">
        <w:rPr>
          <w:rStyle w:val="FootnoteReference"/>
          <w:rFonts w:asciiTheme="minorHAnsi" w:hAnsiTheme="minorHAnsi"/>
        </w:rPr>
        <w:footnoteReference w:id="27"/>
      </w:r>
    </w:p>
    <w:p w14:paraId="7D68D54B" w14:textId="77777777" w:rsidR="00F16770" w:rsidRPr="005F6B4E" w:rsidRDefault="00BE6767" w:rsidP="005F6B4E">
      <w:pPr>
        <w:pStyle w:val="Heading1"/>
      </w:pPr>
      <w:bookmarkStart w:id="107" w:name="_Toc174011707"/>
      <w:bookmarkStart w:id="108" w:name="_Toc175556803"/>
      <w:r w:rsidRPr="005F6B4E">
        <w:t xml:space="preserve">Question 14: </w:t>
      </w:r>
      <w:r w:rsidR="00F16770" w:rsidRPr="005F6B4E">
        <w:t>Women, peace and security</w:t>
      </w:r>
      <w:bookmarkEnd w:id="107"/>
      <w:bookmarkEnd w:id="108"/>
    </w:p>
    <w:p w14:paraId="39CB9229" w14:textId="77777777" w:rsidR="00121C0B" w:rsidRPr="004A132D" w:rsidRDefault="00121C0B" w:rsidP="00252901">
      <w:pPr>
        <w:pStyle w:val="Heading2"/>
      </w:pPr>
      <w:bookmarkStart w:id="109" w:name="_Toc174011708"/>
      <w:bookmarkStart w:id="110" w:name="_Toc175556804"/>
      <w:r w:rsidRPr="004A132D">
        <w:t>National Action Plan on Women, Peace and Security</w:t>
      </w:r>
      <w:bookmarkEnd w:id="109"/>
      <w:bookmarkEnd w:id="110"/>
    </w:p>
    <w:p w14:paraId="51B308BC" w14:textId="152759CA" w:rsidR="002A5758" w:rsidRPr="004A132D" w:rsidRDefault="004810ED" w:rsidP="0002378E">
      <w:pPr>
        <w:pStyle w:val="Numbers"/>
        <w:ind w:left="1418"/>
        <w:rPr>
          <w:rFonts w:asciiTheme="minorHAnsi" w:hAnsiTheme="minorHAnsi"/>
        </w:rPr>
      </w:pPr>
      <w:r w:rsidRPr="004A132D">
        <w:rPr>
          <w:rFonts w:asciiTheme="minorHAnsi" w:hAnsiTheme="minorHAnsi"/>
        </w:rPr>
        <w:t xml:space="preserve">Australia’s </w:t>
      </w:r>
      <w:r w:rsidRPr="004A132D">
        <w:rPr>
          <w:rFonts w:asciiTheme="minorHAnsi" w:hAnsiTheme="minorHAnsi"/>
          <w:i/>
        </w:rPr>
        <w:t>National Action Plan on Women</w:t>
      </w:r>
      <w:r w:rsidR="003E3FA5" w:rsidRPr="004A132D">
        <w:rPr>
          <w:rFonts w:asciiTheme="minorHAnsi" w:hAnsiTheme="minorHAnsi"/>
          <w:i/>
        </w:rPr>
        <w:t>,</w:t>
      </w:r>
      <w:r w:rsidR="00252901" w:rsidRPr="004A132D">
        <w:rPr>
          <w:rFonts w:asciiTheme="minorHAnsi" w:hAnsiTheme="minorHAnsi"/>
          <w:i/>
        </w:rPr>
        <w:t xml:space="preserve"> Peace and Security 2021-</w:t>
      </w:r>
      <w:r w:rsidRPr="004A132D">
        <w:rPr>
          <w:rFonts w:asciiTheme="minorHAnsi" w:hAnsiTheme="minorHAnsi"/>
          <w:i/>
        </w:rPr>
        <w:t>2031</w:t>
      </w:r>
      <w:r w:rsidRPr="004A132D">
        <w:rPr>
          <w:rFonts w:asciiTheme="minorHAnsi" w:hAnsiTheme="minorHAnsi"/>
        </w:rPr>
        <w:t xml:space="preserve"> </w:t>
      </w:r>
      <w:r w:rsidR="00801CF3" w:rsidRPr="004A132D">
        <w:rPr>
          <w:rFonts w:asciiTheme="minorHAnsi" w:hAnsiTheme="minorHAnsi"/>
        </w:rPr>
        <w:t xml:space="preserve">(WPS National Action Plan) </w:t>
      </w:r>
      <w:r w:rsidR="007E68C3" w:rsidRPr="004A132D">
        <w:rPr>
          <w:rFonts w:asciiTheme="minorHAnsi" w:hAnsiTheme="minorHAnsi"/>
          <w:lang w:val="en-AU"/>
        </w:rPr>
        <w:t xml:space="preserve">aims to </w:t>
      </w:r>
      <w:r w:rsidR="002247D2" w:rsidRPr="004A132D">
        <w:rPr>
          <w:rFonts w:asciiTheme="minorHAnsi" w:hAnsiTheme="minorHAnsi"/>
          <w:lang w:val="en-AU"/>
        </w:rPr>
        <w:t xml:space="preserve">support the human rights and participation of women and girls in global stability, including in their meaningful participation in bringing about stability after disasters, preventing conflict and creating durable peace in the wake of conflict. </w:t>
      </w:r>
      <w:r w:rsidR="002A5758" w:rsidRPr="004A132D">
        <w:rPr>
          <w:rFonts w:asciiTheme="minorHAnsi" w:hAnsiTheme="minorHAnsi"/>
        </w:rPr>
        <w:t xml:space="preserve">In 2024, Australia </w:t>
      </w:r>
      <w:r w:rsidR="00EC78D6" w:rsidRPr="004A132D">
        <w:rPr>
          <w:rFonts w:asciiTheme="minorHAnsi" w:hAnsiTheme="minorHAnsi"/>
        </w:rPr>
        <w:t>will release</w:t>
      </w:r>
      <w:r w:rsidR="002A5758" w:rsidRPr="004A132D">
        <w:rPr>
          <w:rFonts w:asciiTheme="minorHAnsi" w:hAnsiTheme="minorHAnsi"/>
        </w:rPr>
        <w:t xml:space="preserve"> its first progress report under the </w:t>
      </w:r>
      <w:r w:rsidR="00801CF3" w:rsidRPr="004A132D">
        <w:rPr>
          <w:rFonts w:asciiTheme="minorHAnsi" w:hAnsiTheme="minorHAnsi"/>
        </w:rPr>
        <w:t xml:space="preserve">WPS </w:t>
      </w:r>
      <w:r w:rsidR="002A5758" w:rsidRPr="004A132D">
        <w:rPr>
          <w:rFonts w:asciiTheme="minorHAnsi" w:hAnsiTheme="minorHAnsi"/>
        </w:rPr>
        <w:t xml:space="preserve">National Action Plan, outlining progress and activities under each of the </w:t>
      </w:r>
      <w:r w:rsidR="00232E8B" w:rsidRPr="004A132D">
        <w:rPr>
          <w:rFonts w:asciiTheme="minorHAnsi" w:hAnsiTheme="minorHAnsi"/>
        </w:rPr>
        <w:t>4</w:t>
      </w:r>
      <w:r w:rsidR="002A5758" w:rsidRPr="004A132D">
        <w:rPr>
          <w:rFonts w:asciiTheme="minorHAnsi" w:hAnsiTheme="minorHAnsi"/>
        </w:rPr>
        <w:t xml:space="preserve"> key outcomes</w:t>
      </w:r>
      <w:r w:rsidR="007E68C3" w:rsidRPr="004A132D">
        <w:rPr>
          <w:rFonts w:asciiTheme="minorHAnsi" w:hAnsiTheme="minorHAnsi"/>
        </w:rPr>
        <w:t xml:space="preserve"> of supporting women’s meaningful participation and needs in peace processes; reducing sexual and gender-based violence; supporting resilience, crisis, and security, law and justice efforts to meet the needs and human rights of all women and girls; and demonstrating leadership and accountability for </w:t>
      </w:r>
      <w:r w:rsidR="005B7EA0" w:rsidRPr="004A132D">
        <w:rPr>
          <w:rFonts w:asciiTheme="minorHAnsi" w:hAnsiTheme="minorHAnsi"/>
        </w:rPr>
        <w:t>women, peace and security (</w:t>
      </w:r>
      <w:r w:rsidR="007E68C3" w:rsidRPr="004A132D">
        <w:rPr>
          <w:rFonts w:asciiTheme="minorHAnsi" w:hAnsiTheme="minorHAnsi"/>
        </w:rPr>
        <w:t>WPS</w:t>
      </w:r>
      <w:r w:rsidR="005B7EA0" w:rsidRPr="004A132D">
        <w:rPr>
          <w:rFonts w:asciiTheme="minorHAnsi" w:hAnsiTheme="minorHAnsi"/>
        </w:rPr>
        <w:t>)</w:t>
      </w:r>
      <w:r w:rsidR="007E68C3" w:rsidRPr="004A132D">
        <w:rPr>
          <w:rFonts w:asciiTheme="minorHAnsi" w:hAnsiTheme="minorHAnsi"/>
        </w:rPr>
        <w:t xml:space="preserve">. </w:t>
      </w:r>
    </w:p>
    <w:p w14:paraId="5C62E5F8" w14:textId="0FB60A47" w:rsidR="00CE0537" w:rsidRPr="004A132D" w:rsidRDefault="001A6A73" w:rsidP="0002378E">
      <w:pPr>
        <w:pStyle w:val="Numbers"/>
        <w:ind w:left="1418"/>
        <w:rPr>
          <w:rFonts w:asciiTheme="minorHAnsi" w:hAnsiTheme="minorHAnsi"/>
        </w:rPr>
      </w:pPr>
      <w:r w:rsidRPr="004A132D">
        <w:rPr>
          <w:rFonts w:asciiTheme="minorHAnsi" w:hAnsiTheme="minorHAnsi"/>
        </w:rPr>
        <w:t>Each of t</w:t>
      </w:r>
      <w:r w:rsidR="00CE0537" w:rsidRPr="004A132D">
        <w:rPr>
          <w:rFonts w:asciiTheme="minorHAnsi" w:hAnsiTheme="minorHAnsi"/>
        </w:rPr>
        <w:t xml:space="preserve">he </w:t>
      </w:r>
      <w:r w:rsidR="00801CF3" w:rsidRPr="004A132D">
        <w:rPr>
          <w:rFonts w:asciiTheme="minorHAnsi" w:hAnsiTheme="minorHAnsi"/>
        </w:rPr>
        <w:t xml:space="preserve">WPS </w:t>
      </w:r>
      <w:r w:rsidR="00CE0537" w:rsidRPr="004A132D">
        <w:rPr>
          <w:rFonts w:asciiTheme="minorHAnsi" w:hAnsiTheme="minorHAnsi"/>
        </w:rPr>
        <w:t xml:space="preserve">National Action Plan </w:t>
      </w:r>
      <w:r w:rsidR="009D7A96" w:rsidRPr="004A132D">
        <w:rPr>
          <w:rFonts w:asciiTheme="minorHAnsi" w:hAnsiTheme="minorHAnsi"/>
        </w:rPr>
        <w:t xml:space="preserve">government </w:t>
      </w:r>
      <w:r w:rsidR="00CE0537" w:rsidRPr="004A132D">
        <w:rPr>
          <w:rFonts w:asciiTheme="minorHAnsi" w:hAnsiTheme="minorHAnsi"/>
        </w:rPr>
        <w:t xml:space="preserve">implementing partners has its own </w:t>
      </w:r>
      <w:r w:rsidR="00EE3D24" w:rsidRPr="004A132D">
        <w:rPr>
          <w:rFonts w:asciiTheme="minorHAnsi" w:hAnsiTheme="minorHAnsi"/>
        </w:rPr>
        <w:t>WPS</w:t>
      </w:r>
      <w:r w:rsidR="00CE0537" w:rsidRPr="004A132D">
        <w:rPr>
          <w:rFonts w:asciiTheme="minorHAnsi" w:hAnsiTheme="minorHAnsi"/>
        </w:rPr>
        <w:t xml:space="preserve"> implementation plan, and allocates resources to support its delivery.</w:t>
      </w:r>
      <w:r w:rsidR="006616CB" w:rsidRPr="004A132D">
        <w:rPr>
          <w:rFonts w:asciiTheme="minorHAnsi" w:hAnsiTheme="minorHAnsi"/>
        </w:rPr>
        <w:t xml:space="preserve"> </w:t>
      </w:r>
      <w:r w:rsidR="006616CB" w:rsidRPr="004A132D">
        <w:rPr>
          <w:rFonts w:asciiTheme="minorHAnsi" w:hAnsiTheme="minorHAnsi"/>
          <w:lang w:val="en-AU"/>
        </w:rPr>
        <w:t>Examples of the work of the Departments of Defence, Foreign Affairs and Trade, and Home Affairs, as well as the Australian Federal Police are as follows.</w:t>
      </w:r>
    </w:p>
    <w:p w14:paraId="591D347B" w14:textId="77777777" w:rsidR="00CE0537" w:rsidRPr="004A132D" w:rsidRDefault="00CE0537" w:rsidP="00561D0E">
      <w:pPr>
        <w:pStyle w:val="Numbers"/>
        <w:numPr>
          <w:ilvl w:val="1"/>
          <w:numId w:val="1"/>
        </w:numPr>
        <w:rPr>
          <w:rFonts w:asciiTheme="minorHAnsi" w:hAnsiTheme="minorHAnsi"/>
        </w:rPr>
      </w:pPr>
      <w:r w:rsidRPr="004A132D">
        <w:rPr>
          <w:rFonts w:asciiTheme="minorHAnsi" w:hAnsiTheme="minorHAnsi"/>
        </w:rPr>
        <w:t>The Department of Defence focuses on enhancing capacity through increased women’s participation and leadership across all ranks and employment occupations, deploying more women on exercises, operations, humanitarian and disaster response missions, and their appointment to key engagement and representational roles.</w:t>
      </w:r>
    </w:p>
    <w:p w14:paraId="50734745" w14:textId="19901113" w:rsidR="00CE0537" w:rsidRPr="004A132D" w:rsidRDefault="00CE0537" w:rsidP="00561D0E">
      <w:pPr>
        <w:pStyle w:val="Numbers"/>
        <w:numPr>
          <w:ilvl w:val="1"/>
          <w:numId w:val="1"/>
        </w:numPr>
        <w:rPr>
          <w:rFonts w:asciiTheme="minorHAnsi" w:hAnsiTheme="minorHAnsi"/>
        </w:rPr>
      </w:pPr>
      <w:r w:rsidRPr="004A132D">
        <w:rPr>
          <w:rFonts w:asciiTheme="minorHAnsi" w:hAnsiTheme="minorHAnsi"/>
        </w:rPr>
        <w:t xml:space="preserve">The Australian Federal Police works with partner law enforcement services </w:t>
      </w:r>
      <w:r w:rsidR="00FE48F0" w:rsidRPr="004A132D">
        <w:rPr>
          <w:rFonts w:asciiTheme="minorHAnsi" w:hAnsiTheme="minorHAnsi"/>
          <w:iCs/>
          <w:lang w:val="en-AU"/>
        </w:rPr>
        <w:t xml:space="preserve">to promote and protect gender equality through </w:t>
      </w:r>
      <w:r w:rsidR="00412A1A">
        <w:rPr>
          <w:rFonts w:asciiTheme="minorHAnsi" w:hAnsiTheme="minorHAnsi"/>
          <w:iCs/>
          <w:lang w:val="en-AU"/>
        </w:rPr>
        <w:t xml:space="preserve">the </w:t>
      </w:r>
      <w:r w:rsidR="00FE48F0" w:rsidRPr="004A132D">
        <w:rPr>
          <w:rFonts w:asciiTheme="minorHAnsi" w:hAnsiTheme="minorHAnsi"/>
          <w:iCs/>
          <w:lang w:val="en-AU"/>
        </w:rPr>
        <w:t xml:space="preserve">integration of gender-related policies and practices across our </w:t>
      </w:r>
      <w:r w:rsidR="00FE48F0" w:rsidRPr="004A132D">
        <w:rPr>
          <w:rFonts w:asciiTheme="minorHAnsi" w:hAnsiTheme="minorHAnsi"/>
          <w:iCs/>
          <w:lang w:val="en-AU"/>
        </w:rPr>
        <w:lastRenderedPageBreak/>
        <w:t xml:space="preserve">international policing operations. The AFP collaborates with partners to build environments (through capability) </w:t>
      </w:r>
      <w:r w:rsidR="000955D6" w:rsidRPr="004A132D">
        <w:rPr>
          <w:rFonts w:asciiTheme="minorHAnsi" w:hAnsiTheme="minorHAnsi"/>
          <w:iCs/>
          <w:lang w:val="en-AU"/>
        </w:rPr>
        <w:t>that</w:t>
      </w:r>
      <w:r w:rsidR="00FE48F0" w:rsidRPr="004A132D">
        <w:rPr>
          <w:rFonts w:asciiTheme="minorHAnsi" w:hAnsiTheme="minorHAnsi"/>
          <w:iCs/>
          <w:lang w:val="en-AU"/>
        </w:rPr>
        <w:t xml:space="preserve"> prevent gender-based crime, and to improve the practice of gender mainstreaming wherever AFP operates internationally</w:t>
      </w:r>
      <w:r w:rsidR="00D4365B" w:rsidRPr="004A132D">
        <w:rPr>
          <w:rFonts w:asciiTheme="minorHAnsi" w:hAnsiTheme="minorHAnsi"/>
          <w:iCs/>
          <w:lang w:val="en-AU"/>
        </w:rPr>
        <w:t>.</w:t>
      </w:r>
    </w:p>
    <w:p w14:paraId="7182142E" w14:textId="77777777" w:rsidR="00CE0537" w:rsidRPr="004A132D" w:rsidRDefault="000C7B10" w:rsidP="00561D0E">
      <w:pPr>
        <w:pStyle w:val="Numbers"/>
        <w:numPr>
          <w:ilvl w:val="1"/>
          <w:numId w:val="1"/>
        </w:numPr>
        <w:rPr>
          <w:rFonts w:asciiTheme="minorHAnsi" w:hAnsiTheme="minorHAnsi"/>
        </w:rPr>
      </w:pPr>
      <w:r w:rsidRPr="004A132D">
        <w:rPr>
          <w:rFonts w:asciiTheme="minorHAnsi" w:hAnsiTheme="minorHAnsi"/>
        </w:rPr>
        <w:t xml:space="preserve">The Department of Home Affairs enhances participation of Pacific women in the customs and border protection domain, and improves safety and security for women and girls through expanded family violence provisions in migration legislation and programs addressing violent extremism. </w:t>
      </w:r>
    </w:p>
    <w:p w14:paraId="264D1B0E" w14:textId="77777777" w:rsidR="00CE0537" w:rsidRPr="004A132D" w:rsidRDefault="00CE0537" w:rsidP="00561D0E">
      <w:pPr>
        <w:pStyle w:val="Numbers"/>
        <w:numPr>
          <w:ilvl w:val="1"/>
          <w:numId w:val="1"/>
        </w:numPr>
        <w:rPr>
          <w:rFonts w:asciiTheme="minorHAnsi" w:hAnsiTheme="minorHAnsi"/>
        </w:rPr>
      </w:pPr>
      <w:r w:rsidRPr="004A132D">
        <w:rPr>
          <w:rFonts w:asciiTheme="minorHAnsi" w:hAnsiTheme="minorHAnsi"/>
        </w:rPr>
        <w:t xml:space="preserve">The Department of Foreign Affairs and Trade supports women and girls’ participation </w:t>
      </w:r>
      <w:r w:rsidR="00DC7D30" w:rsidRPr="004A132D">
        <w:rPr>
          <w:rFonts w:asciiTheme="minorHAnsi" w:hAnsiTheme="minorHAnsi"/>
          <w:lang w:val="en-AU"/>
        </w:rPr>
        <w:t xml:space="preserve">and leadership </w:t>
      </w:r>
      <w:r w:rsidRPr="004A132D">
        <w:rPr>
          <w:rFonts w:asciiTheme="minorHAnsi" w:hAnsiTheme="minorHAnsi"/>
        </w:rPr>
        <w:t xml:space="preserve">in peace </w:t>
      </w:r>
      <w:r w:rsidR="00DC7D30" w:rsidRPr="004A132D">
        <w:rPr>
          <w:rFonts w:asciiTheme="minorHAnsi" w:hAnsiTheme="minorHAnsi"/>
          <w:lang w:val="en-AU"/>
        </w:rPr>
        <w:t xml:space="preserve">and security </w:t>
      </w:r>
      <w:r w:rsidRPr="004A132D">
        <w:rPr>
          <w:rFonts w:asciiTheme="minorHAnsi" w:hAnsiTheme="minorHAnsi"/>
        </w:rPr>
        <w:t xml:space="preserve">processes </w:t>
      </w:r>
      <w:r w:rsidR="00DC7D30" w:rsidRPr="004A132D">
        <w:rPr>
          <w:rFonts w:asciiTheme="minorHAnsi" w:hAnsiTheme="minorHAnsi"/>
          <w:lang w:val="en-AU"/>
        </w:rPr>
        <w:t xml:space="preserve">including </w:t>
      </w:r>
      <w:r w:rsidRPr="004A132D">
        <w:rPr>
          <w:rFonts w:asciiTheme="minorHAnsi" w:hAnsiTheme="minorHAnsi"/>
        </w:rPr>
        <w:t>through international advocacy</w:t>
      </w:r>
      <w:r w:rsidR="00DC7D30" w:rsidRPr="004A132D">
        <w:rPr>
          <w:rFonts w:asciiTheme="minorHAnsi" w:hAnsiTheme="minorHAnsi"/>
        </w:rPr>
        <w:t>,</w:t>
      </w:r>
      <w:r w:rsidR="00DC7D30" w:rsidRPr="004A132D">
        <w:rPr>
          <w:rFonts w:asciiTheme="minorHAnsi" w:hAnsiTheme="minorHAnsi" w:cstheme="minorBidi"/>
          <w:kern w:val="2"/>
          <w:lang w:val="en-AU"/>
          <w14:ligatures w14:val="standardContextual"/>
        </w:rPr>
        <w:t xml:space="preserve"> </w:t>
      </w:r>
      <w:r w:rsidR="00DC7D30" w:rsidRPr="004A132D">
        <w:rPr>
          <w:rFonts w:asciiTheme="minorHAnsi" w:hAnsiTheme="minorHAnsi"/>
          <w:lang w:val="en-AU"/>
        </w:rPr>
        <w:t xml:space="preserve">membership of global WPS alliances, </w:t>
      </w:r>
      <w:r w:rsidR="00DC7D30" w:rsidRPr="004A132D">
        <w:rPr>
          <w:rFonts w:asciiTheme="minorHAnsi" w:hAnsiTheme="minorHAnsi"/>
        </w:rPr>
        <w:t xml:space="preserve"> </w:t>
      </w:r>
      <w:r w:rsidRPr="004A132D">
        <w:rPr>
          <w:rFonts w:asciiTheme="minorHAnsi" w:hAnsiTheme="minorHAnsi"/>
        </w:rPr>
        <w:t xml:space="preserve"> and through </w:t>
      </w:r>
      <w:r w:rsidR="00DC7D30" w:rsidRPr="004A132D">
        <w:rPr>
          <w:rFonts w:asciiTheme="minorHAnsi" w:hAnsiTheme="minorHAnsi"/>
        </w:rPr>
        <w:t>support to</w:t>
      </w:r>
      <w:r w:rsidRPr="004A132D">
        <w:rPr>
          <w:rFonts w:asciiTheme="minorHAnsi" w:hAnsiTheme="minorHAnsi"/>
        </w:rPr>
        <w:t xml:space="preserve"> regional women peace mediator networks. </w:t>
      </w:r>
    </w:p>
    <w:p w14:paraId="7713A2C0" w14:textId="5F8A41DA" w:rsidR="005B2C73" w:rsidRPr="004A132D" w:rsidRDefault="003E2BDD" w:rsidP="0002378E">
      <w:pPr>
        <w:pStyle w:val="Numbers"/>
        <w:ind w:left="1418"/>
        <w:rPr>
          <w:rFonts w:asciiTheme="minorHAnsi" w:hAnsiTheme="minorHAnsi"/>
        </w:rPr>
      </w:pPr>
      <w:r w:rsidRPr="004A132D">
        <w:rPr>
          <w:rFonts w:asciiTheme="minorHAnsi" w:hAnsiTheme="minorHAnsi"/>
          <w:lang w:val="en-AU"/>
        </w:rPr>
        <w:t xml:space="preserve">The Department of Foreign Affairs and Trade has a dedicated WPS Investment, of </w:t>
      </w:r>
      <w:r w:rsidR="00D83CA9" w:rsidRPr="004A132D">
        <w:rPr>
          <w:rFonts w:asciiTheme="minorHAnsi" w:hAnsiTheme="minorHAnsi"/>
        </w:rPr>
        <w:t xml:space="preserve">$25 million </w:t>
      </w:r>
      <w:r w:rsidR="00F35AFE" w:rsidRPr="004A132D">
        <w:rPr>
          <w:rFonts w:asciiTheme="minorHAnsi" w:hAnsiTheme="minorHAnsi"/>
          <w:lang w:val="en-AU"/>
        </w:rPr>
        <w:t xml:space="preserve">for 2022-2027 </w:t>
      </w:r>
      <w:r w:rsidR="00D83CA9" w:rsidRPr="004A132D">
        <w:rPr>
          <w:rFonts w:asciiTheme="minorHAnsi" w:hAnsiTheme="minorHAnsi"/>
        </w:rPr>
        <w:t xml:space="preserve">to </w:t>
      </w:r>
      <w:r w:rsidR="00263B4D" w:rsidRPr="004A132D">
        <w:rPr>
          <w:rFonts w:asciiTheme="minorHAnsi" w:hAnsiTheme="minorHAnsi"/>
        </w:rPr>
        <w:t xml:space="preserve">the </w:t>
      </w:r>
      <w:r w:rsidR="00471E38" w:rsidRPr="004A132D">
        <w:rPr>
          <w:rFonts w:asciiTheme="minorHAnsi" w:hAnsiTheme="minorHAnsi"/>
        </w:rPr>
        <w:t>WPS</w:t>
      </w:r>
      <w:r w:rsidR="00EC78D6" w:rsidRPr="004A132D">
        <w:rPr>
          <w:rFonts w:asciiTheme="minorHAnsi" w:hAnsiTheme="minorHAnsi"/>
        </w:rPr>
        <w:t xml:space="preserve"> agenda</w:t>
      </w:r>
      <w:r w:rsidR="00D83CA9" w:rsidRPr="004A132D">
        <w:rPr>
          <w:rFonts w:asciiTheme="minorHAnsi" w:hAnsiTheme="minorHAnsi"/>
        </w:rPr>
        <w:t xml:space="preserve">. This </w:t>
      </w:r>
      <w:r w:rsidR="006C4CFA" w:rsidRPr="004A132D">
        <w:rPr>
          <w:rFonts w:asciiTheme="minorHAnsi" w:hAnsiTheme="minorHAnsi"/>
          <w:lang w:val="en-AU"/>
        </w:rPr>
        <w:t>WPS Investment involves</w:t>
      </w:r>
      <w:r w:rsidR="00471E38" w:rsidRPr="004A132D">
        <w:rPr>
          <w:rFonts w:asciiTheme="minorHAnsi" w:hAnsiTheme="minorHAnsi"/>
          <w:lang w:val="en-AU"/>
        </w:rPr>
        <w:t xml:space="preserve"> </w:t>
      </w:r>
      <w:r w:rsidR="00D83CA9" w:rsidRPr="004A132D">
        <w:rPr>
          <w:rFonts w:asciiTheme="minorHAnsi" w:hAnsiTheme="minorHAnsi"/>
        </w:rPr>
        <w:t>partners</w:t>
      </w:r>
      <w:r w:rsidR="00EC78D6" w:rsidRPr="004A132D">
        <w:rPr>
          <w:rFonts w:asciiTheme="minorHAnsi" w:hAnsiTheme="minorHAnsi"/>
        </w:rPr>
        <w:t>hips with UN Women Asia-Pacific,</w:t>
      </w:r>
      <w:r w:rsidR="00D83CA9" w:rsidRPr="004A132D">
        <w:rPr>
          <w:rFonts w:asciiTheme="minorHAnsi" w:hAnsiTheme="minorHAnsi"/>
        </w:rPr>
        <w:t xml:space="preserve"> Wom</w:t>
      </w:r>
      <w:r w:rsidR="00EC78D6" w:rsidRPr="004A132D">
        <w:rPr>
          <w:rFonts w:asciiTheme="minorHAnsi" w:hAnsiTheme="minorHAnsi"/>
        </w:rPr>
        <w:t>en</w:t>
      </w:r>
      <w:r w:rsidR="00D30681" w:rsidRPr="004A132D">
        <w:rPr>
          <w:rFonts w:asciiTheme="minorHAnsi" w:hAnsiTheme="minorHAnsi"/>
        </w:rPr>
        <w:t>’s</w:t>
      </w:r>
      <w:r w:rsidR="00471E38" w:rsidRPr="004A132D">
        <w:rPr>
          <w:rFonts w:asciiTheme="minorHAnsi" w:hAnsiTheme="minorHAnsi"/>
        </w:rPr>
        <w:t xml:space="preserve"> </w:t>
      </w:r>
      <w:r w:rsidR="00EC78D6" w:rsidRPr="004A132D">
        <w:rPr>
          <w:rFonts w:asciiTheme="minorHAnsi" w:hAnsiTheme="minorHAnsi"/>
        </w:rPr>
        <w:t>Peace and Humanitarian Fund, ActionAid Australia, Legal Action Worldwide,</w:t>
      </w:r>
      <w:r w:rsidR="00D83CA9" w:rsidRPr="004A132D">
        <w:rPr>
          <w:rFonts w:asciiTheme="minorHAnsi" w:hAnsiTheme="minorHAnsi"/>
        </w:rPr>
        <w:t xml:space="preserve"> and </w:t>
      </w:r>
      <w:r w:rsidR="00EC78D6" w:rsidRPr="004A132D">
        <w:rPr>
          <w:rFonts w:asciiTheme="minorHAnsi" w:hAnsiTheme="minorHAnsi"/>
        </w:rPr>
        <w:t xml:space="preserve">the </w:t>
      </w:r>
      <w:r w:rsidR="00D83CA9" w:rsidRPr="004A132D">
        <w:rPr>
          <w:rFonts w:asciiTheme="minorHAnsi" w:hAnsiTheme="minorHAnsi"/>
        </w:rPr>
        <w:t>Centre for Peace and Conflict Studies</w:t>
      </w:r>
      <w:r w:rsidR="00E64A79" w:rsidRPr="004A132D">
        <w:rPr>
          <w:rFonts w:asciiTheme="minorHAnsi" w:hAnsiTheme="minorHAnsi"/>
        </w:rPr>
        <w:t xml:space="preserve">. </w:t>
      </w:r>
      <w:r w:rsidR="005B2C73" w:rsidRPr="004A132D">
        <w:rPr>
          <w:rFonts w:asciiTheme="minorHAnsi" w:hAnsiTheme="minorHAnsi"/>
        </w:rPr>
        <w:t xml:space="preserve">Gender-responsive analysis of the security sector, including arms </w:t>
      </w:r>
      <w:r w:rsidR="00F04AD7" w:rsidRPr="004A132D">
        <w:rPr>
          <w:rFonts w:asciiTheme="minorHAnsi" w:hAnsiTheme="minorHAnsi"/>
        </w:rPr>
        <w:t>exports</w:t>
      </w:r>
      <w:r w:rsidR="00D4365B" w:rsidRPr="004A132D">
        <w:rPr>
          <w:rFonts w:asciiTheme="minorHAnsi" w:hAnsiTheme="minorHAnsi"/>
        </w:rPr>
        <w:t>.</w:t>
      </w:r>
    </w:p>
    <w:p w14:paraId="4757A892" w14:textId="77777777" w:rsidR="00E20A8D" w:rsidRPr="004A132D" w:rsidRDefault="00E20A8D" w:rsidP="0002378E">
      <w:pPr>
        <w:pStyle w:val="Numbers"/>
        <w:ind w:left="1418"/>
        <w:rPr>
          <w:rFonts w:asciiTheme="minorHAnsi" w:hAnsiTheme="minorHAnsi"/>
          <w:lang w:val="en-NZ"/>
        </w:rPr>
      </w:pPr>
      <w:r w:rsidRPr="004A132D">
        <w:rPr>
          <w:rFonts w:asciiTheme="minorHAnsi" w:hAnsiTheme="minorHAnsi"/>
        </w:rPr>
        <w:t xml:space="preserve">Australian </w:t>
      </w:r>
      <w:r w:rsidR="00F04AD7" w:rsidRPr="004A132D">
        <w:rPr>
          <w:rFonts w:asciiTheme="minorHAnsi" w:hAnsiTheme="minorHAnsi"/>
        </w:rPr>
        <w:t>export</w:t>
      </w:r>
      <w:r w:rsidRPr="004A132D">
        <w:rPr>
          <w:rFonts w:asciiTheme="minorHAnsi" w:hAnsiTheme="minorHAnsi"/>
        </w:rPr>
        <w:t xml:space="preserve"> controls include consideration and assessment around human rights and international obligations</w:t>
      </w:r>
      <w:r w:rsidR="00121C0B" w:rsidRPr="004A132D">
        <w:rPr>
          <w:rFonts w:asciiTheme="minorHAnsi" w:hAnsiTheme="minorHAnsi"/>
        </w:rPr>
        <w:t>, although obligations around gender</w:t>
      </w:r>
      <w:r w:rsidR="00B22AD2" w:rsidRPr="004A132D">
        <w:rPr>
          <w:rFonts w:asciiTheme="minorHAnsi" w:hAnsiTheme="minorHAnsi"/>
        </w:rPr>
        <w:t xml:space="preserve"> equality</w:t>
      </w:r>
      <w:r w:rsidR="00121C0B" w:rsidRPr="004A132D">
        <w:rPr>
          <w:rFonts w:asciiTheme="minorHAnsi" w:hAnsiTheme="minorHAnsi"/>
        </w:rPr>
        <w:t xml:space="preserve"> and the human rights of women </w:t>
      </w:r>
      <w:r w:rsidR="00B22AD2" w:rsidRPr="004A132D">
        <w:rPr>
          <w:rFonts w:asciiTheme="minorHAnsi" w:hAnsiTheme="minorHAnsi"/>
        </w:rPr>
        <w:t xml:space="preserve">and girls </w:t>
      </w:r>
      <w:r w:rsidR="00EC78D6" w:rsidRPr="004A132D">
        <w:rPr>
          <w:rFonts w:asciiTheme="minorHAnsi" w:hAnsiTheme="minorHAnsi"/>
        </w:rPr>
        <w:t xml:space="preserve">are </w:t>
      </w:r>
      <w:r w:rsidR="00121C0B" w:rsidRPr="004A132D">
        <w:rPr>
          <w:rFonts w:asciiTheme="minorHAnsi" w:hAnsiTheme="minorHAnsi"/>
        </w:rPr>
        <w:t>not explicit</w:t>
      </w:r>
      <w:r w:rsidR="009A1B79" w:rsidRPr="004A132D">
        <w:rPr>
          <w:rFonts w:asciiTheme="minorHAnsi" w:hAnsiTheme="minorHAnsi"/>
        </w:rPr>
        <w:t xml:space="preserve">. </w:t>
      </w:r>
    </w:p>
    <w:p w14:paraId="08EAB698" w14:textId="36B9F35D" w:rsidR="005B2C73" w:rsidRPr="004A132D" w:rsidRDefault="00047D0F" w:rsidP="0002378E">
      <w:pPr>
        <w:pStyle w:val="Numbers"/>
        <w:ind w:left="1418"/>
        <w:rPr>
          <w:rFonts w:asciiTheme="minorHAnsi" w:hAnsiTheme="minorHAnsi"/>
        </w:rPr>
      </w:pPr>
      <w:r w:rsidRPr="004A132D">
        <w:rPr>
          <w:rFonts w:asciiTheme="minorHAnsi" w:hAnsiTheme="minorHAnsi"/>
        </w:rPr>
        <w:t>A</w:t>
      </w:r>
      <w:r w:rsidR="009A1B79" w:rsidRPr="004A132D">
        <w:rPr>
          <w:rFonts w:asciiTheme="minorHAnsi" w:hAnsiTheme="minorHAnsi"/>
        </w:rPr>
        <w:t xml:space="preserve">ll </w:t>
      </w:r>
      <w:r w:rsidR="00EC78D6" w:rsidRPr="004A132D">
        <w:rPr>
          <w:rFonts w:asciiTheme="minorHAnsi" w:hAnsiTheme="minorHAnsi"/>
        </w:rPr>
        <w:t xml:space="preserve">Australian </w:t>
      </w:r>
      <w:r w:rsidR="009A1B79" w:rsidRPr="004A132D">
        <w:rPr>
          <w:rFonts w:asciiTheme="minorHAnsi" w:hAnsiTheme="minorHAnsi"/>
        </w:rPr>
        <w:t xml:space="preserve">Government </w:t>
      </w:r>
      <w:r w:rsidR="00EE3D24" w:rsidRPr="004A132D">
        <w:rPr>
          <w:rFonts w:asciiTheme="minorHAnsi" w:hAnsiTheme="minorHAnsi"/>
        </w:rPr>
        <w:t>entities</w:t>
      </w:r>
      <w:r w:rsidR="009A1B79" w:rsidRPr="004A132D">
        <w:rPr>
          <w:rFonts w:asciiTheme="minorHAnsi" w:hAnsiTheme="minorHAnsi"/>
        </w:rPr>
        <w:t xml:space="preserve"> are required to analyse the gender </w:t>
      </w:r>
      <w:r w:rsidR="00480C1F" w:rsidRPr="004A132D">
        <w:rPr>
          <w:rFonts w:asciiTheme="minorHAnsi" w:hAnsiTheme="minorHAnsi"/>
        </w:rPr>
        <w:t xml:space="preserve">equality </w:t>
      </w:r>
      <w:r w:rsidR="009A1B79" w:rsidRPr="004A132D">
        <w:rPr>
          <w:rFonts w:asciiTheme="minorHAnsi" w:hAnsiTheme="minorHAnsi"/>
        </w:rPr>
        <w:t>impact</w:t>
      </w:r>
      <w:r w:rsidR="00EC78D6" w:rsidRPr="004A132D">
        <w:rPr>
          <w:rFonts w:asciiTheme="minorHAnsi" w:hAnsiTheme="minorHAnsi"/>
        </w:rPr>
        <w:t>s</w:t>
      </w:r>
      <w:r w:rsidR="009A1B79" w:rsidRPr="004A132D">
        <w:rPr>
          <w:rFonts w:asciiTheme="minorHAnsi" w:hAnsiTheme="minorHAnsi"/>
        </w:rPr>
        <w:t xml:space="preserve"> of all new policy proposals</w:t>
      </w:r>
      <w:r w:rsidR="00121C0B" w:rsidRPr="004A132D">
        <w:rPr>
          <w:rFonts w:asciiTheme="minorHAnsi" w:hAnsiTheme="minorHAnsi"/>
        </w:rPr>
        <w:t xml:space="preserve"> being considered by the Government</w:t>
      </w:r>
      <w:r w:rsidR="009A1B79" w:rsidRPr="004A132D">
        <w:rPr>
          <w:rFonts w:asciiTheme="minorHAnsi" w:hAnsiTheme="minorHAnsi"/>
        </w:rPr>
        <w:t>.</w:t>
      </w:r>
      <w:r w:rsidR="00121C0B" w:rsidRPr="004A132D">
        <w:rPr>
          <w:rFonts w:asciiTheme="minorHAnsi" w:hAnsiTheme="minorHAnsi"/>
        </w:rPr>
        <w:t xml:space="preserve"> This includes proposals related to the security sector</w:t>
      </w:r>
      <w:r w:rsidRPr="004A132D">
        <w:rPr>
          <w:rFonts w:asciiTheme="minorHAnsi" w:hAnsiTheme="minorHAnsi"/>
        </w:rPr>
        <w:t xml:space="preserve"> and arms exports</w:t>
      </w:r>
      <w:r w:rsidR="00121C0B" w:rsidRPr="004A132D">
        <w:rPr>
          <w:rFonts w:asciiTheme="minorHAnsi" w:hAnsiTheme="minorHAnsi"/>
        </w:rPr>
        <w:t>.</w:t>
      </w:r>
      <w:r w:rsidR="009A1B79" w:rsidRPr="004A132D">
        <w:rPr>
          <w:rFonts w:asciiTheme="minorHAnsi" w:hAnsiTheme="minorHAnsi"/>
        </w:rPr>
        <w:t xml:space="preserve"> </w:t>
      </w:r>
      <w:r w:rsidR="00EC78D6" w:rsidRPr="004A132D">
        <w:rPr>
          <w:rFonts w:asciiTheme="minorHAnsi" w:hAnsiTheme="minorHAnsi"/>
        </w:rPr>
        <w:t>This analysis enables the Government to make informed and practical decisions that close gender gaps</w:t>
      </w:r>
      <w:r w:rsidRPr="004A132D">
        <w:rPr>
          <w:rFonts w:asciiTheme="minorHAnsi" w:hAnsiTheme="minorHAnsi"/>
        </w:rPr>
        <w:t>.</w:t>
      </w:r>
    </w:p>
    <w:p w14:paraId="2F6B989F" w14:textId="77777777" w:rsidR="00F16770" w:rsidRPr="005F6B4E" w:rsidRDefault="00CE0537" w:rsidP="005F6B4E">
      <w:pPr>
        <w:pStyle w:val="Heading1"/>
      </w:pPr>
      <w:bookmarkStart w:id="111" w:name="_Toc174011709"/>
      <w:bookmarkStart w:id="112" w:name="_Toc175556805"/>
      <w:r w:rsidRPr="005F6B4E">
        <w:t xml:space="preserve">Question 15: </w:t>
      </w:r>
      <w:r w:rsidR="00F16770" w:rsidRPr="005F6B4E">
        <w:t>Nationality</w:t>
      </w:r>
      <w:bookmarkEnd w:id="111"/>
      <w:bookmarkEnd w:id="112"/>
    </w:p>
    <w:p w14:paraId="4DCAD677" w14:textId="7B7E921C" w:rsidR="009F7ABE" w:rsidRPr="004A132D" w:rsidRDefault="00BD5C3C" w:rsidP="0002378E">
      <w:pPr>
        <w:pStyle w:val="Numbers"/>
        <w:ind w:left="1418"/>
        <w:rPr>
          <w:rFonts w:asciiTheme="minorHAnsi" w:hAnsiTheme="minorHAnsi"/>
        </w:rPr>
      </w:pPr>
      <w:r w:rsidRPr="004A132D">
        <w:rPr>
          <w:rFonts w:asciiTheme="minorHAnsi" w:hAnsiTheme="minorHAnsi"/>
        </w:rPr>
        <w:t>Significant effort</w:t>
      </w:r>
      <w:r w:rsidR="00293825" w:rsidRPr="004A132D">
        <w:rPr>
          <w:rFonts w:asciiTheme="minorHAnsi" w:hAnsiTheme="minorHAnsi"/>
        </w:rPr>
        <w:t xml:space="preserve"> is in </w:t>
      </w:r>
      <w:r w:rsidRPr="004A132D">
        <w:rPr>
          <w:rFonts w:asciiTheme="minorHAnsi" w:hAnsiTheme="minorHAnsi"/>
        </w:rPr>
        <w:t>place across all s</w:t>
      </w:r>
      <w:r w:rsidR="0006355B" w:rsidRPr="004A132D">
        <w:rPr>
          <w:rFonts w:asciiTheme="minorHAnsi" w:hAnsiTheme="minorHAnsi"/>
        </w:rPr>
        <w:t>tate</w:t>
      </w:r>
      <w:r w:rsidRPr="004A132D">
        <w:rPr>
          <w:rFonts w:asciiTheme="minorHAnsi" w:hAnsiTheme="minorHAnsi"/>
        </w:rPr>
        <w:t>s</w:t>
      </w:r>
      <w:r w:rsidR="0006355B" w:rsidRPr="004A132D">
        <w:rPr>
          <w:rFonts w:asciiTheme="minorHAnsi" w:hAnsiTheme="minorHAnsi"/>
        </w:rPr>
        <w:t xml:space="preserve"> and territor</w:t>
      </w:r>
      <w:r w:rsidRPr="004A132D">
        <w:rPr>
          <w:rFonts w:asciiTheme="minorHAnsi" w:hAnsiTheme="minorHAnsi"/>
        </w:rPr>
        <w:t>ies to facilitate access to birth registration and certificates, which under Australia’s federated structure is a jurisdictional responsibility.</w:t>
      </w:r>
      <w:r w:rsidR="0006355B" w:rsidRPr="004A132D">
        <w:rPr>
          <w:rFonts w:asciiTheme="minorHAnsi" w:hAnsiTheme="minorHAnsi"/>
        </w:rPr>
        <w:t xml:space="preserve"> </w:t>
      </w:r>
    </w:p>
    <w:p w14:paraId="799270BD" w14:textId="77777777" w:rsidR="000F3693" w:rsidRPr="004A132D" w:rsidRDefault="000F3693" w:rsidP="00561D0E">
      <w:pPr>
        <w:pStyle w:val="Numbers"/>
        <w:numPr>
          <w:ilvl w:val="1"/>
          <w:numId w:val="1"/>
        </w:numPr>
        <w:rPr>
          <w:rFonts w:asciiTheme="minorHAnsi" w:hAnsiTheme="minorHAnsi"/>
        </w:rPr>
      </w:pPr>
      <w:r w:rsidRPr="004A132D">
        <w:rPr>
          <w:rFonts w:asciiTheme="minorHAnsi" w:hAnsiTheme="minorHAnsi"/>
        </w:rPr>
        <w:lastRenderedPageBreak/>
        <w:t xml:space="preserve">The </w:t>
      </w:r>
      <w:r w:rsidR="00806B94" w:rsidRPr="004A132D">
        <w:rPr>
          <w:rFonts w:asciiTheme="minorHAnsi" w:hAnsiTheme="minorHAnsi"/>
        </w:rPr>
        <w:t>ACT</w:t>
      </w:r>
      <w:r w:rsidRPr="004A132D">
        <w:rPr>
          <w:rFonts w:asciiTheme="minorHAnsi" w:hAnsiTheme="minorHAnsi"/>
        </w:rPr>
        <w:t xml:space="preserve"> has introduced revised policies in Births, Deaths and Marriages aimed at easing access to identity documents and certificates. The revised policy has greater regard for the kinship family structures of Aboriginal and Torres Strait Islander people as well as providing relief from associated fees.  </w:t>
      </w:r>
    </w:p>
    <w:p w14:paraId="01FBF6E1" w14:textId="77777777" w:rsidR="00CC0A70" w:rsidRPr="004A132D" w:rsidRDefault="00806B94" w:rsidP="00561D0E">
      <w:pPr>
        <w:pStyle w:val="Numbers"/>
        <w:numPr>
          <w:ilvl w:val="1"/>
          <w:numId w:val="1"/>
        </w:numPr>
        <w:rPr>
          <w:rFonts w:asciiTheme="minorHAnsi" w:hAnsiTheme="minorHAnsi"/>
        </w:rPr>
      </w:pPr>
      <w:r w:rsidRPr="004A132D">
        <w:rPr>
          <w:rFonts w:asciiTheme="minorHAnsi" w:hAnsiTheme="minorHAnsi"/>
        </w:rPr>
        <w:t>NSW</w:t>
      </w:r>
      <w:r w:rsidR="00CC0A70" w:rsidRPr="004A132D">
        <w:rPr>
          <w:rFonts w:asciiTheme="minorHAnsi" w:hAnsiTheme="minorHAnsi"/>
        </w:rPr>
        <w:t xml:space="preserve"> works in partnership with non-government organisations to provide birth registration and birth certificate services </w:t>
      </w:r>
      <w:r w:rsidR="00CC024E" w:rsidRPr="004A132D">
        <w:rPr>
          <w:rFonts w:asciiTheme="minorHAnsi" w:hAnsiTheme="minorHAnsi"/>
        </w:rPr>
        <w:t xml:space="preserve">to </w:t>
      </w:r>
      <w:r w:rsidR="00CC0A70" w:rsidRPr="004A132D">
        <w:rPr>
          <w:rFonts w:asciiTheme="minorHAnsi" w:hAnsiTheme="minorHAnsi"/>
        </w:rPr>
        <w:t xml:space="preserve">vulnerable persons in areas with high birth rates and low registration rates. In particular, the </w:t>
      </w:r>
      <w:r w:rsidR="00DD776F" w:rsidRPr="004A132D">
        <w:rPr>
          <w:rFonts w:asciiTheme="minorHAnsi" w:hAnsiTheme="minorHAnsi"/>
        </w:rPr>
        <w:t>NSW</w:t>
      </w:r>
      <w:r w:rsidR="00CC0A70" w:rsidRPr="004A132D">
        <w:rPr>
          <w:rFonts w:asciiTheme="minorHAnsi" w:hAnsiTheme="minorHAnsi"/>
        </w:rPr>
        <w:t xml:space="preserve"> Government partners with Pathfinders to deliver their National Aboriginal Birth Certificate program and provides a quantity of free birth certificates for Indigenous clients. This partnership also helps to identify unregistered</w:t>
      </w:r>
      <w:r w:rsidR="00496EEF" w:rsidRPr="004A132D">
        <w:rPr>
          <w:rFonts w:asciiTheme="minorHAnsi" w:hAnsiTheme="minorHAnsi"/>
        </w:rPr>
        <w:t xml:space="preserve"> births of </w:t>
      </w:r>
      <w:r w:rsidR="00CC0A70" w:rsidRPr="004A132D">
        <w:rPr>
          <w:rFonts w:asciiTheme="minorHAnsi" w:hAnsiTheme="minorHAnsi"/>
        </w:rPr>
        <w:t xml:space="preserve">Indigenous children </w:t>
      </w:r>
      <w:r w:rsidR="00496EEF" w:rsidRPr="004A132D">
        <w:rPr>
          <w:rFonts w:asciiTheme="minorHAnsi" w:hAnsiTheme="minorHAnsi"/>
        </w:rPr>
        <w:t xml:space="preserve">so the Government can </w:t>
      </w:r>
      <w:r w:rsidR="00CC0A70" w:rsidRPr="004A132D">
        <w:rPr>
          <w:rFonts w:asciiTheme="minorHAnsi" w:hAnsiTheme="minorHAnsi"/>
        </w:rPr>
        <w:t>follow up.</w:t>
      </w:r>
    </w:p>
    <w:p w14:paraId="3A3ABEBA" w14:textId="6C359A35" w:rsidR="000E2DF8" w:rsidRPr="004A132D" w:rsidRDefault="000E2DF8" w:rsidP="00561D0E">
      <w:pPr>
        <w:pStyle w:val="Numbers"/>
        <w:numPr>
          <w:ilvl w:val="1"/>
          <w:numId w:val="1"/>
        </w:numPr>
        <w:rPr>
          <w:rFonts w:asciiTheme="minorHAnsi" w:hAnsiTheme="minorHAnsi"/>
        </w:rPr>
      </w:pPr>
      <w:r w:rsidRPr="004A132D">
        <w:rPr>
          <w:rFonts w:asciiTheme="minorHAnsi" w:hAnsiTheme="minorHAnsi"/>
        </w:rPr>
        <w:t xml:space="preserve">The </w:t>
      </w:r>
      <w:r w:rsidR="00806B94" w:rsidRPr="004A132D">
        <w:rPr>
          <w:rFonts w:asciiTheme="minorHAnsi" w:hAnsiTheme="minorHAnsi"/>
        </w:rPr>
        <w:t>NT</w:t>
      </w:r>
      <w:r w:rsidR="00CC024E" w:rsidRPr="004A132D">
        <w:rPr>
          <w:rFonts w:asciiTheme="minorHAnsi" w:hAnsiTheme="minorHAnsi"/>
        </w:rPr>
        <w:t xml:space="preserve"> has implemented a R</w:t>
      </w:r>
      <w:r w:rsidRPr="004A132D">
        <w:rPr>
          <w:rFonts w:asciiTheme="minorHAnsi" w:hAnsiTheme="minorHAnsi"/>
        </w:rPr>
        <w:t xml:space="preserve">emote and Regional Circuit Program since 2017 in rural and remote areas, which has issued approximately </w:t>
      </w:r>
      <w:r w:rsidR="00776440" w:rsidRPr="004A132D">
        <w:rPr>
          <w:rFonts w:asciiTheme="minorHAnsi" w:hAnsiTheme="minorHAnsi"/>
        </w:rPr>
        <w:t>1</w:t>
      </w:r>
      <w:r w:rsidR="00337159" w:rsidRPr="004A132D">
        <w:rPr>
          <w:rFonts w:asciiTheme="minorHAnsi" w:hAnsiTheme="minorHAnsi"/>
        </w:rPr>
        <w:t>,</w:t>
      </w:r>
      <w:r w:rsidR="00776440" w:rsidRPr="004A132D">
        <w:rPr>
          <w:rFonts w:asciiTheme="minorHAnsi" w:hAnsiTheme="minorHAnsi"/>
        </w:rPr>
        <w:t>400</w:t>
      </w:r>
      <w:r w:rsidRPr="004A132D">
        <w:rPr>
          <w:rFonts w:asciiTheme="minorHAnsi" w:hAnsiTheme="minorHAnsi"/>
        </w:rPr>
        <w:t xml:space="preserve"> birth certificates</w:t>
      </w:r>
      <w:r w:rsidR="00496EEF" w:rsidRPr="004A132D">
        <w:rPr>
          <w:rFonts w:asciiTheme="minorHAnsi" w:hAnsiTheme="minorHAnsi"/>
        </w:rPr>
        <w:t xml:space="preserve"> across many remote communities</w:t>
      </w:r>
      <w:r w:rsidRPr="004A132D">
        <w:rPr>
          <w:rFonts w:asciiTheme="minorHAnsi" w:hAnsiTheme="minorHAnsi"/>
        </w:rPr>
        <w:t xml:space="preserve">. </w:t>
      </w:r>
    </w:p>
    <w:p w14:paraId="7AB3A6C2" w14:textId="77777777" w:rsidR="00CC0A70" w:rsidRPr="004A132D" w:rsidRDefault="00806B94" w:rsidP="00561D0E">
      <w:pPr>
        <w:pStyle w:val="Numbers"/>
        <w:numPr>
          <w:ilvl w:val="1"/>
          <w:numId w:val="1"/>
        </w:numPr>
        <w:rPr>
          <w:rFonts w:asciiTheme="minorHAnsi" w:hAnsiTheme="minorHAnsi"/>
        </w:rPr>
      </w:pPr>
      <w:r w:rsidRPr="004A132D">
        <w:rPr>
          <w:rFonts w:asciiTheme="minorHAnsi" w:hAnsiTheme="minorHAnsi"/>
        </w:rPr>
        <w:t>QLD</w:t>
      </w:r>
      <w:r w:rsidR="00496EEF" w:rsidRPr="004A132D">
        <w:rPr>
          <w:rFonts w:asciiTheme="minorHAnsi" w:hAnsiTheme="minorHAnsi"/>
        </w:rPr>
        <w:t xml:space="preserve"> is implementing the </w:t>
      </w:r>
      <w:r w:rsidR="00496EEF" w:rsidRPr="004A132D">
        <w:rPr>
          <w:rFonts w:asciiTheme="minorHAnsi" w:hAnsiTheme="minorHAnsi"/>
          <w:i/>
        </w:rPr>
        <w:t>Closing the Registration Gap Strategy and Action Plan (2021-2024)</w:t>
      </w:r>
      <w:r w:rsidR="00496EEF" w:rsidRPr="004A132D">
        <w:rPr>
          <w:rFonts w:asciiTheme="minorHAnsi" w:hAnsiTheme="minorHAnsi"/>
        </w:rPr>
        <w:t xml:space="preserve"> to improve the birth registration rate for Aboriginal and Torres Strait Islander children. As of March 2023, 83 per cent of Aboriginal and Torres Strait Islander children born in 2022 were registered within one year of birth (an increase from 78 per cent in 2020 before the strategy commenced). </w:t>
      </w:r>
      <w:r w:rsidR="00DD776F" w:rsidRPr="004A132D">
        <w:rPr>
          <w:rFonts w:asciiTheme="minorHAnsi" w:hAnsiTheme="minorHAnsi"/>
        </w:rPr>
        <w:t xml:space="preserve">QLD </w:t>
      </w:r>
      <w:r w:rsidR="00496EEF" w:rsidRPr="004A132D">
        <w:rPr>
          <w:rFonts w:asciiTheme="minorHAnsi" w:hAnsiTheme="minorHAnsi"/>
        </w:rPr>
        <w:t xml:space="preserve">runs the Our Kids Count campaign with face-to-face support for parents and caregivers in rural and remote communities and partners with service providers in these areas to assist parents with registering births. </w:t>
      </w:r>
    </w:p>
    <w:p w14:paraId="5911525E" w14:textId="77777777" w:rsidR="00496EEF" w:rsidRPr="004A132D" w:rsidRDefault="00146467" w:rsidP="00561D0E">
      <w:pPr>
        <w:pStyle w:val="Numbers"/>
        <w:numPr>
          <w:ilvl w:val="1"/>
          <w:numId w:val="1"/>
        </w:numPr>
        <w:rPr>
          <w:rFonts w:asciiTheme="minorHAnsi" w:hAnsiTheme="minorHAnsi"/>
        </w:rPr>
      </w:pPr>
      <w:r w:rsidRPr="004A132D">
        <w:rPr>
          <w:rFonts w:asciiTheme="minorHAnsi" w:hAnsiTheme="minorHAnsi"/>
        </w:rPr>
        <w:t>SA</w:t>
      </w:r>
      <w:r w:rsidR="00496EEF" w:rsidRPr="004A132D">
        <w:rPr>
          <w:rFonts w:asciiTheme="minorHAnsi" w:hAnsiTheme="minorHAnsi"/>
        </w:rPr>
        <w:t xml:space="preserve"> has online and hardcopy birth registration. </w:t>
      </w:r>
      <w:r w:rsidR="009F7ABE" w:rsidRPr="004A132D">
        <w:rPr>
          <w:rFonts w:asciiTheme="minorHAnsi" w:hAnsiTheme="minorHAnsi"/>
        </w:rPr>
        <w:t xml:space="preserve">Registration is free but birth certificates have fees, which can be waived upon </w:t>
      </w:r>
      <w:r w:rsidR="009F7ABE" w:rsidRPr="004A132D">
        <w:rPr>
          <w:rFonts w:asciiTheme="minorHAnsi" w:hAnsiTheme="minorHAnsi"/>
          <w:lang w:val="en-AU"/>
        </w:rPr>
        <w:t xml:space="preserve">supporting evidence of financial or other hardship. The </w:t>
      </w:r>
      <w:r w:rsidR="00DD776F" w:rsidRPr="004A132D">
        <w:rPr>
          <w:rFonts w:asciiTheme="minorHAnsi" w:hAnsiTheme="minorHAnsi"/>
          <w:lang w:val="en-AU"/>
        </w:rPr>
        <w:t>SA</w:t>
      </w:r>
      <w:r w:rsidR="009F7ABE" w:rsidRPr="004A132D">
        <w:rPr>
          <w:rFonts w:asciiTheme="minorHAnsi" w:hAnsiTheme="minorHAnsi"/>
          <w:lang w:val="en-AU"/>
        </w:rPr>
        <w:t xml:space="preserve"> Government regularly engages with support services such as Link-Up and Relationships Australia to assist Aboriginal communities with access to services.</w:t>
      </w:r>
    </w:p>
    <w:p w14:paraId="0891BD96" w14:textId="77777777" w:rsidR="00CC0A70" w:rsidRPr="004A132D" w:rsidRDefault="00146467" w:rsidP="00561D0E">
      <w:pPr>
        <w:pStyle w:val="Numbers"/>
        <w:numPr>
          <w:ilvl w:val="1"/>
          <w:numId w:val="1"/>
        </w:numPr>
        <w:rPr>
          <w:rFonts w:asciiTheme="minorHAnsi" w:hAnsiTheme="minorHAnsi"/>
        </w:rPr>
      </w:pPr>
      <w:r w:rsidRPr="004A132D">
        <w:rPr>
          <w:rFonts w:asciiTheme="minorHAnsi" w:hAnsiTheme="minorHAnsi"/>
        </w:rPr>
        <w:lastRenderedPageBreak/>
        <w:t>TAS</w:t>
      </w:r>
      <w:r w:rsidR="00CC0A70" w:rsidRPr="004A132D">
        <w:rPr>
          <w:rFonts w:asciiTheme="minorHAnsi" w:hAnsiTheme="minorHAnsi"/>
        </w:rPr>
        <w:t xml:space="preserve"> has an online birth registration service to improve accessibility and coverage for residents in remote and rural areas and facilitate access to birth certificates. There are no penalties for late registrations.</w:t>
      </w:r>
    </w:p>
    <w:p w14:paraId="5A22EA60" w14:textId="17593D76" w:rsidR="00CC024E" w:rsidRPr="004A132D" w:rsidRDefault="00146467" w:rsidP="00561D0E">
      <w:pPr>
        <w:pStyle w:val="Numbers"/>
        <w:numPr>
          <w:ilvl w:val="1"/>
          <w:numId w:val="1"/>
        </w:numPr>
        <w:rPr>
          <w:rFonts w:asciiTheme="minorHAnsi" w:hAnsiTheme="minorHAnsi"/>
        </w:rPr>
      </w:pPr>
      <w:r w:rsidRPr="004A132D">
        <w:rPr>
          <w:rFonts w:asciiTheme="minorHAnsi" w:hAnsiTheme="minorHAnsi"/>
        </w:rPr>
        <w:t xml:space="preserve">VIC </w:t>
      </w:r>
      <w:r w:rsidR="009F7ABE" w:rsidRPr="004A132D">
        <w:rPr>
          <w:rFonts w:asciiTheme="minorHAnsi" w:hAnsiTheme="minorHAnsi"/>
        </w:rPr>
        <w:t xml:space="preserve">supports Aboriginal and Torres Strait Islander communities’ access to services, such as mobile registration services including </w:t>
      </w:r>
      <w:r w:rsidR="00B45421" w:rsidRPr="004A132D">
        <w:rPr>
          <w:rFonts w:asciiTheme="minorHAnsi" w:hAnsiTheme="minorHAnsi"/>
        </w:rPr>
        <w:t>visits to</w:t>
      </w:r>
      <w:r w:rsidR="009F7ABE" w:rsidRPr="004A132D">
        <w:rPr>
          <w:rFonts w:asciiTheme="minorHAnsi" w:hAnsiTheme="minorHAnsi"/>
        </w:rPr>
        <w:t xml:space="preserve"> communities to assist with registering births. </w:t>
      </w:r>
      <w:r w:rsidR="00CC024E" w:rsidRPr="004A132D">
        <w:rPr>
          <w:rFonts w:asciiTheme="minorHAnsi" w:hAnsiTheme="minorHAnsi"/>
        </w:rPr>
        <w:t>The Marguk-bulok koolin</w:t>
      </w:r>
      <w:r w:rsidR="00337159" w:rsidRPr="004A132D">
        <w:rPr>
          <w:rFonts w:asciiTheme="minorHAnsi" w:hAnsiTheme="minorHAnsi"/>
        </w:rPr>
        <w:noBreakHyphen/>
      </w:r>
      <w:r w:rsidR="00CC024E" w:rsidRPr="004A132D">
        <w:rPr>
          <w:rFonts w:asciiTheme="minorHAnsi" w:hAnsiTheme="minorHAnsi"/>
        </w:rPr>
        <w:t xml:space="preserve">ik Team works to support Aboriginal and/or Torres Strait Islander community access births, deaths and marriages services, and is currently developing a new engagement strategy. </w:t>
      </w:r>
    </w:p>
    <w:p w14:paraId="08863846" w14:textId="3B6DF086" w:rsidR="00CC024E" w:rsidRPr="004A132D" w:rsidRDefault="00A74F58" w:rsidP="00190585">
      <w:pPr>
        <w:pStyle w:val="Numbers"/>
        <w:numPr>
          <w:ilvl w:val="1"/>
          <w:numId w:val="1"/>
        </w:numPr>
        <w:rPr>
          <w:rFonts w:asciiTheme="minorHAnsi" w:hAnsiTheme="minorHAnsi"/>
        </w:rPr>
      </w:pPr>
      <w:r w:rsidRPr="004A132D">
        <w:rPr>
          <w:rFonts w:asciiTheme="minorHAnsi" w:hAnsiTheme="minorHAnsi"/>
        </w:rPr>
        <w:t>The Registry of Births, Deaths and Marriages has launched an Online Birth Registration Portal to provide quick and accessible assistance to regional and remote communities registering births. By providing a digital platform that streamlines the birth registration process, the Registry aims to improve and expand access to vi</w:t>
      </w:r>
      <w:r w:rsidR="00293825" w:rsidRPr="004A132D">
        <w:rPr>
          <w:rFonts w:asciiTheme="minorHAnsi" w:hAnsiTheme="minorHAnsi"/>
        </w:rPr>
        <w:t xml:space="preserve">tal services across the state. </w:t>
      </w:r>
      <w:r w:rsidRPr="004A132D">
        <w:rPr>
          <w:rFonts w:asciiTheme="minorHAnsi" w:hAnsiTheme="minorHAnsi"/>
        </w:rPr>
        <w:t>The Registry also continued its participation in the Department of Justice’s Aboriginal Justice Open Days and interagency Community Service Delivery Days to increase remote and regional communities’ access to key identity documents and registration services.</w:t>
      </w:r>
    </w:p>
    <w:p w14:paraId="20298F47" w14:textId="77777777" w:rsidR="006E05FD" w:rsidRPr="005F6B4E" w:rsidRDefault="00CC024E" w:rsidP="005F6B4E">
      <w:pPr>
        <w:pStyle w:val="Heading1"/>
      </w:pPr>
      <w:bookmarkStart w:id="113" w:name="_Toc174011710"/>
      <w:bookmarkStart w:id="114" w:name="_Toc175556806"/>
      <w:r w:rsidRPr="005F6B4E">
        <w:t xml:space="preserve">Question 16: </w:t>
      </w:r>
      <w:r w:rsidR="006E05FD" w:rsidRPr="005F6B4E">
        <w:t>Education</w:t>
      </w:r>
      <w:bookmarkEnd w:id="113"/>
      <w:bookmarkEnd w:id="114"/>
    </w:p>
    <w:p w14:paraId="756A52F5" w14:textId="77777777" w:rsidR="006E05FD" w:rsidRPr="004A132D" w:rsidRDefault="00CC024E" w:rsidP="004A132D">
      <w:pPr>
        <w:pStyle w:val="Heading2"/>
        <w:keepNext/>
        <w:keepLines/>
      </w:pPr>
      <w:bookmarkStart w:id="115" w:name="_Toc174011711"/>
      <w:bookmarkStart w:id="116" w:name="_Toc175556807"/>
      <w:r w:rsidRPr="004A132D">
        <w:t>Question 16a: Denial of education on the basis of motherhood</w:t>
      </w:r>
      <w:bookmarkEnd w:id="115"/>
      <w:bookmarkEnd w:id="116"/>
    </w:p>
    <w:p w14:paraId="0AFD7BBD" w14:textId="77777777" w:rsidR="002655DB" w:rsidRPr="004A132D" w:rsidRDefault="002655DB" w:rsidP="0002378E">
      <w:pPr>
        <w:pStyle w:val="Numbers"/>
        <w:ind w:left="1418"/>
        <w:rPr>
          <w:rFonts w:asciiTheme="minorHAnsi" w:hAnsiTheme="minorHAnsi"/>
        </w:rPr>
      </w:pPr>
      <w:r w:rsidRPr="004A132D">
        <w:rPr>
          <w:rFonts w:asciiTheme="minorHAnsi" w:hAnsiTheme="minorHAnsi"/>
        </w:rPr>
        <w:t>Among all states and territories, there are no grounds for suspension and expulsion on the basis of motherhood.</w:t>
      </w:r>
      <w:r w:rsidR="00B979F6" w:rsidRPr="004A132D">
        <w:rPr>
          <w:rFonts w:asciiTheme="minorHAnsi" w:hAnsiTheme="minorHAnsi"/>
        </w:rPr>
        <w:t xml:space="preserve"> State and territories have a range of policies and programs to support </w:t>
      </w:r>
      <w:r w:rsidR="00B66286" w:rsidRPr="004A132D">
        <w:rPr>
          <w:rFonts w:asciiTheme="minorHAnsi" w:hAnsiTheme="minorHAnsi"/>
        </w:rPr>
        <w:t xml:space="preserve">students who are pregnant or parenting to be able to </w:t>
      </w:r>
      <w:r w:rsidR="00F2742E" w:rsidRPr="004A132D">
        <w:rPr>
          <w:rFonts w:asciiTheme="minorHAnsi" w:hAnsiTheme="minorHAnsi"/>
        </w:rPr>
        <w:t>access education:</w:t>
      </w:r>
    </w:p>
    <w:p w14:paraId="3980C984" w14:textId="77777777" w:rsidR="00E56A2F" w:rsidRPr="004A132D" w:rsidRDefault="00E56A2F" w:rsidP="00561D0E">
      <w:pPr>
        <w:pStyle w:val="Numbers"/>
        <w:numPr>
          <w:ilvl w:val="1"/>
          <w:numId w:val="1"/>
        </w:numPr>
        <w:rPr>
          <w:rFonts w:asciiTheme="minorHAnsi" w:hAnsiTheme="minorHAnsi"/>
        </w:rPr>
      </w:pPr>
      <w:r w:rsidRPr="004A132D">
        <w:rPr>
          <w:rFonts w:asciiTheme="minorHAnsi" w:hAnsiTheme="minorHAnsi"/>
        </w:rPr>
        <w:t>The Australian Government has announced that, from 1 November 2024, a new voluntary pre</w:t>
      </w:r>
      <w:r w:rsidRPr="004A132D">
        <w:rPr>
          <w:rFonts w:asciiTheme="minorHAnsi" w:hAnsiTheme="minorHAnsi"/>
        </w:rPr>
        <w:noBreakHyphen/>
        <w:t>employment service will provide support for eligible parents of young children, replacing ParentsNext. </w:t>
      </w:r>
    </w:p>
    <w:p w14:paraId="1CBFAE36" w14:textId="77777777" w:rsidR="00E56A2F" w:rsidRPr="004A132D" w:rsidRDefault="00E56A2F" w:rsidP="00561D0E">
      <w:pPr>
        <w:pStyle w:val="Numbers"/>
        <w:numPr>
          <w:ilvl w:val="1"/>
          <w:numId w:val="1"/>
        </w:numPr>
        <w:rPr>
          <w:rFonts w:asciiTheme="minorHAnsi" w:hAnsiTheme="minorHAnsi"/>
        </w:rPr>
      </w:pPr>
      <w:r w:rsidRPr="004A132D">
        <w:rPr>
          <w:rFonts w:asciiTheme="minorHAnsi" w:hAnsiTheme="minorHAnsi"/>
        </w:rPr>
        <w:t>Parents and stakeholders have been, and will continue to be, major contributors to the development and roll-out of the new service. </w:t>
      </w:r>
    </w:p>
    <w:p w14:paraId="008B1E9E" w14:textId="65406D50" w:rsidR="00E56A2F" w:rsidRPr="004A132D" w:rsidRDefault="00E56A2F" w:rsidP="00561D0E">
      <w:pPr>
        <w:pStyle w:val="Numbers"/>
        <w:numPr>
          <w:ilvl w:val="1"/>
          <w:numId w:val="1"/>
        </w:numPr>
        <w:rPr>
          <w:rFonts w:asciiTheme="minorHAnsi" w:hAnsiTheme="minorHAnsi"/>
        </w:rPr>
      </w:pPr>
      <w:r w:rsidRPr="004A132D">
        <w:rPr>
          <w:rFonts w:asciiTheme="minorHAnsi" w:hAnsiTheme="minorHAnsi"/>
        </w:rPr>
        <w:lastRenderedPageBreak/>
        <w:t xml:space="preserve">Parents in non-remote areas who are not in paid employment, have a child aged under </w:t>
      </w:r>
      <w:r w:rsidR="00520DF4" w:rsidRPr="004A132D">
        <w:rPr>
          <w:rFonts w:asciiTheme="minorHAnsi" w:hAnsiTheme="minorHAnsi"/>
        </w:rPr>
        <w:t>6</w:t>
      </w:r>
      <w:r w:rsidR="00A77ED3" w:rsidRPr="004A132D">
        <w:rPr>
          <w:rFonts w:asciiTheme="minorHAnsi" w:hAnsiTheme="minorHAnsi"/>
        </w:rPr>
        <w:t xml:space="preserve"> </w:t>
      </w:r>
      <w:r w:rsidRPr="004A132D">
        <w:rPr>
          <w:rFonts w:asciiTheme="minorHAnsi" w:hAnsiTheme="minorHAnsi"/>
        </w:rPr>
        <w:t>years, and are receiving certain payments will be eligible. First Nations parents will not need to be receiving any payments to be eligible for the service. </w:t>
      </w:r>
    </w:p>
    <w:p w14:paraId="7422546F" w14:textId="14120B0C" w:rsidR="00B979F6" w:rsidRPr="004A132D" w:rsidRDefault="00B979F6" w:rsidP="00561D0E">
      <w:pPr>
        <w:pStyle w:val="Numbers"/>
        <w:numPr>
          <w:ilvl w:val="1"/>
          <w:numId w:val="1"/>
        </w:numPr>
        <w:rPr>
          <w:rFonts w:asciiTheme="minorHAnsi" w:hAnsiTheme="minorHAnsi"/>
        </w:rPr>
      </w:pPr>
      <w:r w:rsidRPr="004A132D">
        <w:rPr>
          <w:rFonts w:asciiTheme="minorHAnsi" w:hAnsiTheme="minorHAnsi"/>
        </w:rPr>
        <w:t xml:space="preserve">In the </w:t>
      </w:r>
      <w:r w:rsidR="00F2742E" w:rsidRPr="004A132D">
        <w:rPr>
          <w:rFonts w:asciiTheme="minorHAnsi" w:hAnsiTheme="minorHAnsi"/>
        </w:rPr>
        <w:t>ACT</w:t>
      </w:r>
      <w:r w:rsidRPr="004A132D">
        <w:rPr>
          <w:rFonts w:asciiTheme="minorHAnsi" w:hAnsiTheme="minorHAnsi"/>
        </w:rPr>
        <w:t>, CCCares at Canberra College provides an alternate education and support program for pregnant and parenting students from the ACT and surrounding districts. CCCares uses Personalised Learning Plans tailored to individual student needs, with flexible delivery of learning and content towards the receipt of an ACT Senior Secondary Certificate and certified competency-based training.</w:t>
      </w:r>
    </w:p>
    <w:p w14:paraId="640E19A3" w14:textId="3135E2CE" w:rsidR="009A7BD9" w:rsidRPr="004A132D" w:rsidRDefault="009A7BD9" w:rsidP="00561D0E">
      <w:pPr>
        <w:pStyle w:val="Numbers"/>
        <w:numPr>
          <w:ilvl w:val="1"/>
          <w:numId w:val="1"/>
        </w:numPr>
        <w:rPr>
          <w:rFonts w:asciiTheme="minorHAnsi" w:hAnsiTheme="minorHAnsi"/>
        </w:rPr>
      </w:pPr>
      <w:r w:rsidRPr="004A132D">
        <w:rPr>
          <w:rFonts w:asciiTheme="minorHAnsi" w:hAnsiTheme="minorHAnsi"/>
        </w:rPr>
        <w:t xml:space="preserve">In NSW, pregnant students have access to a variety of wellbeing supports. </w:t>
      </w:r>
      <w:r w:rsidR="00EE3D24" w:rsidRPr="004A132D">
        <w:rPr>
          <w:rFonts w:asciiTheme="minorHAnsi" w:hAnsiTheme="minorHAnsi"/>
        </w:rPr>
        <w:t xml:space="preserve">Over 2,000 specialist staff provide wellbeing support to students. </w:t>
      </w:r>
      <w:r w:rsidRPr="004A132D">
        <w:rPr>
          <w:rFonts w:asciiTheme="minorHAnsi" w:hAnsiTheme="minorHAnsi"/>
        </w:rPr>
        <w:t xml:space="preserve">Pregnant students attending a school with a Wellbeing and Health In-reach Nurse can access specialist health staff who provide support. </w:t>
      </w:r>
      <w:r w:rsidR="00EE3D24" w:rsidRPr="004A132D">
        <w:rPr>
          <w:rFonts w:asciiTheme="minorHAnsi" w:hAnsiTheme="minorHAnsi"/>
        </w:rPr>
        <w:t>T</w:t>
      </w:r>
      <w:r w:rsidRPr="004A132D">
        <w:rPr>
          <w:rFonts w:asciiTheme="minorHAnsi" w:hAnsiTheme="minorHAnsi"/>
        </w:rPr>
        <w:t xml:space="preserve">here are 95 nurses working in over 356 schools across NSW. Public schools also provide adjustments to support continuing education provision of pregnant students or young parents. These may include but is not limited to flexible lessons timetables, leave from attendance before and/or after birth of baby and option to complete year 11 or 12 over a period of up to </w:t>
      </w:r>
      <w:r w:rsidR="00520DF4" w:rsidRPr="004A132D">
        <w:rPr>
          <w:rFonts w:asciiTheme="minorHAnsi" w:hAnsiTheme="minorHAnsi"/>
        </w:rPr>
        <w:t>5</w:t>
      </w:r>
      <w:r w:rsidRPr="004A132D">
        <w:rPr>
          <w:rFonts w:asciiTheme="minorHAnsi" w:hAnsiTheme="minorHAnsi"/>
        </w:rPr>
        <w:t xml:space="preserve"> years.</w:t>
      </w:r>
    </w:p>
    <w:p w14:paraId="7B2EAE69" w14:textId="60792424" w:rsidR="0046720E" w:rsidRPr="004A132D" w:rsidRDefault="0046720E" w:rsidP="00B97B60">
      <w:pPr>
        <w:pStyle w:val="Numbers"/>
        <w:numPr>
          <w:ilvl w:val="0"/>
          <w:numId w:val="0"/>
        </w:numPr>
        <w:ind w:left="2574"/>
        <w:rPr>
          <w:rFonts w:asciiTheme="minorHAnsi" w:hAnsiTheme="minorHAnsi"/>
        </w:rPr>
      </w:pPr>
      <w:r w:rsidRPr="004A132D">
        <w:rPr>
          <w:rFonts w:asciiTheme="minorHAnsi" w:hAnsiTheme="minorHAnsi"/>
        </w:rPr>
        <w:t xml:space="preserve">The Student Health in NSW Public Schools: A summary and consolidation policy states that all children and young people of legal school age are entitled to participate in education and training regardless of their health support needs. </w:t>
      </w:r>
    </w:p>
    <w:p w14:paraId="3830366C" w14:textId="4F1B20CD" w:rsidR="0046720E" w:rsidRPr="004A132D" w:rsidRDefault="0046720E" w:rsidP="00727BDA">
      <w:pPr>
        <w:pStyle w:val="Numbers"/>
        <w:numPr>
          <w:ilvl w:val="0"/>
          <w:numId w:val="0"/>
        </w:numPr>
        <w:ind w:left="2574"/>
        <w:rPr>
          <w:rFonts w:asciiTheme="minorHAnsi" w:hAnsiTheme="minorHAnsi"/>
        </w:rPr>
      </w:pPr>
      <w:r w:rsidRPr="004A132D">
        <w:rPr>
          <w:rFonts w:asciiTheme="minorHAnsi" w:hAnsiTheme="minorHAnsi"/>
        </w:rPr>
        <w:t>Students also have access to other dedicated wellbeing staff including the School Counsellors and School Psychologists, Student Support Officers, School Wellbeing Officers</w:t>
      </w:r>
      <w:r w:rsidR="00C176B3" w:rsidRPr="004A132D">
        <w:rPr>
          <w:rFonts w:asciiTheme="minorHAnsi" w:hAnsiTheme="minorHAnsi"/>
        </w:rPr>
        <w:t>,</w:t>
      </w:r>
      <w:r w:rsidRPr="004A132D">
        <w:rPr>
          <w:rFonts w:asciiTheme="minorHAnsi" w:hAnsiTheme="minorHAnsi"/>
        </w:rPr>
        <w:t xml:space="preserve"> School Chaplains</w:t>
      </w:r>
      <w:r w:rsidR="00C176B3" w:rsidRPr="004A132D">
        <w:rPr>
          <w:rFonts w:asciiTheme="minorHAnsi" w:hAnsiTheme="minorHAnsi"/>
        </w:rPr>
        <w:t xml:space="preserve"> and ‘Team Around a School’, a partnership between schools, families, social workers and support agencies</w:t>
      </w:r>
      <w:r w:rsidRPr="004A132D">
        <w:rPr>
          <w:rFonts w:asciiTheme="minorHAnsi" w:hAnsiTheme="minorHAnsi"/>
        </w:rPr>
        <w:t>.</w:t>
      </w:r>
    </w:p>
    <w:p w14:paraId="2CA4A31B" w14:textId="3E0660F7" w:rsidR="0046720E" w:rsidRPr="004A132D" w:rsidRDefault="0046720E" w:rsidP="00727BDA">
      <w:pPr>
        <w:pStyle w:val="Numbers"/>
        <w:numPr>
          <w:ilvl w:val="0"/>
          <w:numId w:val="0"/>
        </w:numPr>
        <w:ind w:left="2574"/>
        <w:rPr>
          <w:rFonts w:asciiTheme="minorHAnsi" w:hAnsiTheme="minorHAnsi"/>
        </w:rPr>
      </w:pPr>
      <w:r w:rsidRPr="004A132D">
        <w:rPr>
          <w:rFonts w:asciiTheme="minorHAnsi" w:hAnsiTheme="minorHAnsi"/>
        </w:rPr>
        <w:lastRenderedPageBreak/>
        <w:t>Public schools can provide adjustments to support continuing education provision of pregnant students or young parents. These are subject to the school being able to accommodate and may include</w:t>
      </w:r>
      <w:r w:rsidR="00D4365B" w:rsidRPr="004A132D">
        <w:rPr>
          <w:rFonts w:asciiTheme="minorHAnsi" w:hAnsiTheme="minorHAnsi"/>
        </w:rPr>
        <w:t>:</w:t>
      </w:r>
    </w:p>
    <w:p w14:paraId="4311FC6E" w14:textId="1EBE2F1A" w:rsidR="0046720E" w:rsidRPr="004A132D" w:rsidRDefault="0046720E" w:rsidP="00561D0E">
      <w:pPr>
        <w:pStyle w:val="Numbers"/>
        <w:numPr>
          <w:ilvl w:val="2"/>
          <w:numId w:val="8"/>
        </w:numPr>
        <w:rPr>
          <w:rFonts w:asciiTheme="minorHAnsi" w:hAnsiTheme="minorHAnsi"/>
          <w:lang w:val="en-NZ"/>
        </w:rPr>
      </w:pPr>
      <w:r w:rsidRPr="004A132D">
        <w:rPr>
          <w:rFonts w:asciiTheme="minorHAnsi" w:hAnsiTheme="minorHAnsi"/>
          <w:lang w:val="en-NZ"/>
        </w:rPr>
        <w:t>flexible lessons timetables</w:t>
      </w:r>
      <w:r w:rsidR="00D4365B" w:rsidRPr="004A132D">
        <w:rPr>
          <w:rFonts w:asciiTheme="minorHAnsi" w:hAnsiTheme="minorHAnsi"/>
          <w:lang w:val="en-NZ"/>
        </w:rPr>
        <w:t>;</w:t>
      </w:r>
    </w:p>
    <w:p w14:paraId="240DD597" w14:textId="381FFD9B" w:rsidR="0046720E" w:rsidRPr="004A132D" w:rsidRDefault="0046720E" w:rsidP="00561D0E">
      <w:pPr>
        <w:pStyle w:val="Numbers"/>
        <w:numPr>
          <w:ilvl w:val="2"/>
          <w:numId w:val="8"/>
        </w:numPr>
        <w:rPr>
          <w:rFonts w:asciiTheme="minorHAnsi" w:hAnsiTheme="minorHAnsi"/>
          <w:lang w:val="en-NZ"/>
        </w:rPr>
      </w:pPr>
      <w:r w:rsidRPr="004A132D">
        <w:rPr>
          <w:rFonts w:asciiTheme="minorHAnsi" w:hAnsiTheme="minorHAnsi"/>
          <w:lang w:val="en-NZ"/>
        </w:rPr>
        <w:t>leave from attendance before and/or after birth of baby</w:t>
      </w:r>
      <w:r w:rsidR="00D4365B" w:rsidRPr="004A132D">
        <w:rPr>
          <w:rFonts w:asciiTheme="minorHAnsi" w:hAnsiTheme="minorHAnsi"/>
          <w:lang w:val="en-NZ"/>
        </w:rPr>
        <w:t>;</w:t>
      </w:r>
    </w:p>
    <w:p w14:paraId="41C7BC3A" w14:textId="4FD6DB15" w:rsidR="0046720E" w:rsidRPr="004A132D" w:rsidRDefault="0046720E" w:rsidP="00561D0E">
      <w:pPr>
        <w:pStyle w:val="Numbers"/>
        <w:numPr>
          <w:ilvl w:val="2"/>
          <w:numId w:val="8"/>
        </w:numPr>
        <w:rPr>
          <w:rFonts w:asciiTheme="minorHAnsi" w:hAnsiTheme="minorHAnsi"/>
          <w:lang w:val="en-NZ"/>
        </w:rPr>
      </w:pPr>
      <w:r w:rsidRPr="004A132D">
        <w:rPr>
          <w:rFonts w:asciiTheme="minorHAnsi" w:hAnsiTheme="minorHAnsi"/>
          <w:lang w:val="en-NZ"/>
        </w:rPr>
        <w:t xml:space="preserve">option to complete year 11 or 12 over a period of up to </w:t>
      </w:r>
      <w:r w:rsidR="00520DF4" w:rsidRPr="004A132D">
        <w:rPr>
          <w:rFonts w:asciiTheme="minorHAnsi" w:hAnsiTheme="minorHAnsi"/>
          <w:lang w:val="en-NZ"/>
        </w:rPr>
        <w:t>5</w:t>
      </w:r>
      <w:r w:rsidRPr="004A132D">
        <w:rPr>
          <w:rFonts w:asciiTheme="minorHAnsi" w:hAnsiTheme="minorHAnsi"/>
          <w:lang w:val="en-NZ"/>
        </w:rPr>
        <w:t xml:space="preserve"> years</w:t>
      </w:r>
      <w:r w:rsidR="00D4365B" w:rsidRPr="004A132D">
        <w:rPr>
          <w:rFonts w:asciiTheme="minorHAnsi" w:hAnsiTheme="minorHAnsi"/>
          <w:lang w:val="en-NZ"/>
        </w:rPr>
        <w:t>;</w:t>
      </w:r>
    </w:p>
    <w:p w14:paraId="268CC3A8" w14:textId="14536815" w:rsidR="0046720E" w:rsidRPr="004A132D" w:rsidRDefault="0046720E" w:rsidP="00561D0E">
      <w:pPr>
        <w:pStyle w:val="Numbers"/>
        <w:numPr>
          <w:ilvl w:val="2"/>
          <w:numId w:val="8"/>
        </w:numPr>
        <w:rPr>
          <w:rFonts w:asciiTheme="minorHAnsi" w:hAnsiTheme="minorHAnsi"/>
          <w:lang w:val="en-NZ"/>
        </w:rPr>
      </w:pPr>
      <w:r w:rsidRPr="004A132D">
        <w:rPr>
          <w:rFonts w:asciiTheme="minorHAnsi" w:hAnsiTheme="minorHAnsi"/>
          <w:lang w:val="en-NZ"/>
        </w:rPr>
        <w:t>distance education school enrolment when no appropriate local provision is available</w:t>
      </w:r>
      <w:r w:rsidR="00D4365B" w:rsidRPr="004A132D">
        <w:rPr>
          <w:rFonts w:asciiTheme="minorHAnsi" w:hAnsiTheme="minorHAnsi"/>
          <w:lang w:val="en-NZ"/>
        </w:rPr>
        <w:t>; and</w:t>
      </w:r>
    </w:p>
    <w:p w14:paraId="013ABB8F" w14:textId="58318E4A" w:rsidR="0046720E" w:rsidRPr="004A132D" w:rsidRDefault="00D4365B" w:rsidP="00561D0E">
      <w:pPr>
        <w:pStyle w:val="Numbers"/>
        <w:numPr>
          <w:ilvl w:val="2"/>
          <w:numId w:val="8"/>
        </w:numPr>
        <w:rPr>
          <w:rFonts w:asciiTheme="minorHAnsi" w:hAnsiTheme="minorHAnsi"/>
          <w:lang w:val="en-NZ"/>
        </w:rPr>
      </w:pPr>
      <w:r w:rsidRPr="004A132D">
        <w:rPr>
          <w:rFonts w:asciiTheme="minorHAnsi" w:hAnsiTheme="minorHAnsi"/>
          <w:lang w:val="en-NZ"/>
        </w:rPr>
        <w:t>u</w:t>
      </w:r>
      <w:r w:rsidR="0046720E" w:rsidRPr="004A132D">
        <w:rPr>
          <w:rFonts w:asciiTheme="minorHAnsi" w:hAnsiTheme="minorHAnsi"/>
          <w:lang w:val="en-NZ"/>
        </w:rPr>
        <w:t>ndertaking studies at a TAFE college</w:t>
      </w:r>
      <w:r w:rsidRPr="004A132D">
        <w:rPr>
          <w:rFonts w:asciiTheme="minorHAnsi" w:hAnsiTheme="minorHAnsi"/>
          <w:lang w:val="en-NZ"/>
        </w:rPr>
        <w:t>.</w:t>
      </w:r>
    </w:p>
    <w:p w14:paraId="453A00EA" w14:textId="05CBD6DA" w:rsidR="0046720E" w:rsidRPr="004A132D" w:rsidRDefault="0046720E" w:rsidP="00727BDA">
      <w:pPr>
        <w:pStyle w:val="Numbers"/>
        <w:numPr>
          <w:ilvl w:val="0"/>
          <w:numId w:val="0"/>
        </w:numPr>
        <w:ind w:left="2574"/>
        <w:rPr>
          <w:rFonts w:asciiTheme="minorHAnsi" w:hAnsiTheme="minorHAnsi"/>
        </w:rPr>
      </w:pPr>
      <w:r w:rsidRPr="004A132D">
        <w:rPr>
          <w:rFonts w:asciiTheme="minorHAnsi" w:hAnsiTheme="minorHAnsi"/>
        </w:rPr>
        <w:t>An example of</w:t>
      </w:r>
      <w:r w:rsidR="00EE3D24" w:rsidRPr="004A132D">
        <w:rPr>
          <w:rFonts w:asciiTheme="minorHAnsi" w:hAnsiTheme="minorHAnsi"/>
        </w:rPr>
        <w:t xml:space="preserve"> a</w:t>
      </w:r>
      <w:r w:rsidRPr="004A132D">
        <w:rPr>
          <w:rFonts w:asciiTheme="minorHAnsi" w:hAnsiTheme="minorHAnsi"/>
        </w:rPr>
        <w:t xml:space="preserve"> local program in place is at Narara Valley High School Young Parent Program.</w:t>
      </w:r>
    </w:p>
    <w:p w14:paraId="5D41F20A" w14:textId="1322470C" w:rsidR="0046720E" w:rsidRPr="004A132D" w:rsidRDefault="0046720E" w:rsidP="00561D0E">
      <w:pPr>
        <w:pStyle w:val="Numbers"/>
        <w:numPr>
          <w:ilvl w:val="4"/>
          <w:numId w:val="9"/>
        </w:numPr>
        <w:rPr>
          <w:rFonts w:asciiTheme="minorHAnsi" w:hAnsiTheme="minorHAnsi"/>
          <w:lang w:val="en-NZ"/>
        </w:rPr>
      </w:pPr>
      <w:r w:rsidRPr="004A132D">
        <w:rPr>
          <w:rFonts w:asciiTheme="minorHAnsi" w:hAnsiTheme="minorHAnsi"/>
          <w:lang w:val="en-NZ"/>
        </w:rPr>
        <w:t xml:space="preserve">A crèche is available while parents study </w:t>
      </w:r>
      <w:r w:rsidR="00232E8B" w:rsidRPr="004A132D">
        <w:rPr>
          <w:rFonts w:asciiTheme="minorHAnsi" w:hAnsiTheme="minorHAnsi"/>
          <w:lang w:val="en-NZ"/>
        </w:rPr>
        <w:t>2</w:t>
      </w:r>
      <w:r w:rsidRPr="004A132D">
        <w:rPr>
          <w:rFonts w:asciiTheme="minorHAnsi" w:hAnsiTheme="minorHAnsi"/>
          <w:lang w:val="en-NZ"/>
        </w:rPr>
        <w:t xml:space="preserve"> days week</w:t>
      </w:r>
      <w:r w:rsidR="00D4365B" w:rsidRPr="004A132D">
        <w:rPr>
          <w:rFonts w:asciiTheme="minorHAnsi" w:hAnsiTheme="minorHAnsi"/>
          <w:lang w:val="en-NZ"/>
        </w:rPr>
        <w:t>.</w:t>
      </w:r>
    </w:p>
    <w:p w14:paraId="45EF578D" w14:textId="77777777" w:rsidR="0046720E" w:rsidRPr="004A132D" w:rsidRDefault="0046720E" w:rsidP="00561D0E">
      <w:pPr>
        <w:pStyle w:val="Numbers"/>
        <w:numPr>
          <w:ilvl w:val="4"/>
          <w:numId w:val="9"/>
        </w:numPr>
        <w:rPr>
          <w:rFonts w:asciiTheme="minorHAnsi" w:hAnsiTheme="minorHAnsi"/>
          <w:lang w:val="en-NZ"/>
        </w:rPr>
      </w:pPr>
      <w:r w:rsidRPr="004A132D">
        <w:rPr>
          <w:rFonts w:asciiTheme="minorHAnsi" w:hAnsiTheme="minorHAnsi"/>
          <w:lang w:val="en-NZ"/>
        </w:rPr>
        <w:t>Participants are included in the Year 10 enrolment numbers. There is no additional or external funding support.</w:t>
      </w:r>
    </w:p>
    <w:p w14:paraId="09FEA7F9" w14:textId="77777777" w:rsidR="0046720E" w:rsidRPr="004A132D" w:rsidRDefault="0046720E" w:rsidP="00561D0E">
      <w:pPr>
        <w:pStyle w:val="Numbers"/>
        <w:numPr>
          <w:ilvl w:val="4"/>
          <w:numId w:val="9"/>
        </w:numPr>
        <w:rPr>
          <w:rFonts w:asciiTheme="minorHAnsi" w:hAnsiTheme="minorHAnsi"/>
          <w:lang w:val="en-NZ"/>
        </w:rPr>
      </w:pPr>
      <w:r w:rsidRPr="004A132D">
        <w:rPr>
          <w:rFonts w:asciiTheme="minorHAnsi" w:hAnsiTheme="minorHAnsi"/>
          <w:lang w:val="en-NZ"/>
        </w:rPr>
        <w:t>It is a flexible program with what is offered with the main focus being on vocational opportunities.</w:t>
      </w:r>
    </w:p>
    <w:p w14:paraId="5D2F0B4E" w14:textId="77777777" w:rsidR="006F0AF6" w:rsidRPr="004A132D" w:rsidRDefault="00F2742E" w:rsidP="00561D0E">
      <w:pPr>
        <w:pStyle w:val="Numbers"/>
        <w:numPr>
          <w:ilvl w:val="1"/>
          <w:numId w:val="1"/>
        </w:numPr>
        <w:rPr>
          <w:rFonts w:asciiTheme="minorHAnsi" w:hAnsiTheme="minorHAnsi"/>
        </w:rPr>
      </w:pPr>
      <w:r w:rsidRPr="004A132D">
        <w:rPr>
          <w:rFonts w:asciiTheme="minorHAnsi" w:hAnsiTheme="minorHAnsi"/>
          <w:lang w:val="en-AU"/>
        </w:rPr>
        <w:t xml:space="preserve">The </w:t>
      </w:r>
      <w:r w:rsidR="00C709F8" w:rsidRPr="004A132D">
        <w:rPr>
          <w:rFonts w:asciiTheme="minorHAnsi" w:hAnsiTheme="minorHAnsi"/>
          <w:lang w:val="en-AU"/>
        </w:rPr>
        <w:t>NT’s Gender Equality Action Plan 2022-2025 includes a commitment to ‘develop, support and promote programs and activities that assist young parents and carers to continue their education a</w:t>
      </w:r>
      <w:r w:rsidR="0093087C" w:rsidRPr="004A132D">
        <w:rPr>
          <w:rFonts w:asciiTheme="minorHAnsi" w:hAnsiTheme="minorHAnsi"/>
          <w:lang w:val="en-AU"/>
        </w:rPr>
        <w:t>nd participate in the workforce.</w:t>
      </w:r>
      <w:r w:rsidR="00C709F8" w:rsidRPr="004A132D">
        <w:rPr>
          <w:rFonts w:asciiTheme="minorHAnsi" w:hAnsiTheme="minorHAnsi"/>
          <w:lang w:val="en-AU"/>
        </w:rPr>
        <w:t xml:space="preserve"> </w:t>
      </w:r>
      <w:r w:rsidRPr="004A132D">
        <w:rPr>
          <w:rFonts w:asciiTheme="minorHAnsi" w:hAnsiTheme="minorHAnsi"/>
          <w:lang w:val="en-AU"/>
        </w:rPr>
        <w:t xml:space="preserve">NT </w:t>
      </w:r>
      <w:r w:rsidR="00B27A55" w:rsidRPr="004A132D">
        <w:rPr>
          <w:rFonts w:asciiTheme="minorHAnsi" w:hAnsiTheme="minorHAnsi"/>
        </w:rPr>
        <w:t>offer</w:t>
      </w:r>
      <w:r w:rsidRPr="004A132D">
        <w:rPr>
          <w:rFonts w:asciiTheme="minorHAnsi" w:hAnsiTheme="minorHAnsi"/>
        </w:rPr>
        <w:t xml:space="preserve">s </w:t>
      </w:r>
      <w:r w:rsidR="002655DB" w:rsidRPr="004A132D">
        <w:rPr>
          <w:rFonts w:asciiTheme="minorHAnsi" w:hAnsiTheme="minorHAnsi"/>
        </w:rPr>
        <w:t xml:space="preserve">programs for building parenting capacity and re-entry of young mothers such as the Literacy for Parents - Strong Young Mums Program. The </w:t>
      </w:r>
      <w:r w:rsidR="00DD776F" w:rsidRPr="004A132D">
        <w:rPr>
          <w:rFonts w:asciiTheme="minorHAnsi" w:hAnsiTheme="minorHAnsi"/>
        </w:rPr>
        <w:t>NT</w:t>
      </w:r>
      <w:r w:rsidR="002655DB" w:rsidRPr="004A132D">
        <w:rPr>
          <w:rFonts w:asciiTheme="minorHAnsi" w:hAnsiTheme="minorHAnsi"/>
        </w:rPr>
        <w:t xml:space="preserve"> Government’s commitment includes developing a cross agency framework to enable young parents to complete their schooling with wrap around health education and parenting support services.</w:t>
      </w:r>
      <w:r w:rsidR="006F0AF6" w:rsidRPr="004A132D">
        <w:rPr>
          <w:rFonts w:asciiTheme="minorHAnsi" w:hAnsiTheme="minorHAnsi"/>
        </w:rPr>
        <w:t xml:space="preserve"> </w:t>
      </w:r>
    </w:p>
    <w:p w14:paraId="70D18A5F" w14:textId="77777777" w:rsidR="002655DB" w:rsidRPr="004A132D" w:rsidRDefault="00C709F8" w:rsidP="00561D0E">
      <w:pPr>
        <w:pStyle w:val="Numbers"/>
        <w:numPr>
          <w:ilvl w:val="1"/>
          <w:numId w:val="1"/>
        </w:numPr>
        <w:rPr>
          <w:rFonts w:asciiTheme="minorHAnsi" w:hAnsiTheme="minorHAnsi"/>
          <w:lang w:val="en-NZ"/>
        </w:rPr>
      </w:pPr>
      <w:r w:rsidRPr="004A132D">
        <w:rPr>
          <w:rFonts w:asciiTheme="minorHAnsi" w:hAnsiTheme="minorHAnsi"/>
          <w:lang w:val="en-NZ"/>
        </w:rPr>
        <w:t>QLD</w:t>
      </w:r>
      <w:r w:rsidR="002655DB" w:rsidRPr="004A132D">
        <w:rPr>
          <w:rFonts w:asciiTheme="minorHAnsi" w:hAnsiTheme="minorHAnsi"/>
          <w:lang w:val="en-NZ"/>
        </w:rPr>
        <w:t xml:space="preserve"> has guidelines to retain and support young people who are pregnant and parenting in education. </w:t>
      </w:r>
      <w:r w:rsidR="000F3693" w:rsidRPr="004A132D">
        <w:rPr>
          <w:rFonts w:asciiTheme="minorHAnsi" w:hAnsiTheme="minorHAnsi"/>
        </w:rPr>
        <w:t>Public</w:t>
      </w:r>
      <w:r w:rsidR="002655DB" w:rsidRPr="004A132D">
        <w:rPr>
          <w:rFonts w:asciiTheme="minorHAnsi" w:hAnsiTheme="minorHAnsi"/>
        </w:rPr>
        <w:t xml:space="preserve"> schools provide services to support pregnant and parenting students to continue their education, including guidance officers, school-based youth health nurses and </w:t>
      </w:r>
      <w:r w:rsidR="002655DB" w:rsidRPr="004A132D">
        <w:rPr>
          <w:rFonts w:asciiTheme="minorHAnsi" w:hAnsiTheme="minorHAnsi"/>
        </w:rPr>
        <w:lastRenderedPageBreak/>
        <w:t>youth support coordinators, and linking the student with government and external agencies.</w:t>
      </w:r>
      <w:r w:rsidR="006C275F" w:rsidRPr="004A132D">
        <w:rPr>
          <w:rFonts w:asciiTheme="minorHAnsi" w:hAnsiTheme="minorHAnsi"/>
        </w:rPr>
        <w:t xml:space="preserve"> </w:t>
      </w:r>
    </w:p>
    <w:p w14:paraId="31B652F4" w14:textId="7268719F" w:rsidR="002655DB" w:rsidRPr="004A132D" w:rsidRDefault="007F2448" w:rsidP="00561D0E">
      <w:pPr>
        <w:pStyle w:val="Numbers"/>
        <w:numPr>
          <w:ilvl w:val="1"/>
          <w:numId w:val="1"/>
        </w:numPr>
        <w:rPr>
          <w:rFonts w:asciiTheme="minorHAnsi" w:hAnsiTheme="minorHAnsi"/>
        </w:rPr>
      </w:pPr>
      <w:r w:rsidRPr="004A132D">
        <w:rPr>
          <w:rFonts w:asciiTheme="minorHAnsi" w:hAnsiTheme="minorHAnsi"/>
          <w:lang w:val="en-AU"/>
        </w:rPr>
        <w:t>SA’s</w:t>
      </w:r>
      <w:r w:rsidR="00F563F1" w:rsidRPr="004A132D">
        <w:rPr>
          <w:rFonts w:asciiTheme="minorHAnsi" w:hAnsiTheme="minorHAnsi"/>
          <w:lang w:val="en-AU"/>
        </w:rPr>
        <w:t xml:space="preserve"> Open Access College enrolment policy supports students who are unable to attend their enrolled school on a full time basis due to family commitments that may include, a student who is pregnant or any new parent. All schools ensure students can access education and health counselling that may include services provided through the Department for Education, along with external supports within government and non-government agencies to encourage students to continue their education</w:t>
      </w:r>
      <w:r w:rsidR="00D4365B" w:rsidRPr="004A132D">
        <w:rPr>
          <w:rFonts w:asciiTheme="minorHAnsi" w:hAnsiTheme="minorHAnsi"/>
          <w:lang w:val="en-AU"/>
        </w:rPr>
        <w:t>.</w:t>
      </w:r>
    </w:p>
    <w:p w14:paraId="3A99189B" w14:textId="27928011" w:rsidR="002655DB" w:rsidRPr="004A132D" w:rsidRDefault="00D17919" w:rsidP="00561D0E">
      <w:pPr>
        <w:pStyle w:val="Numbers"/>
        <w:numPr>
          <w:ilvl w:val="1"/>
          <w:numId w:val="1"/>
        </w:numPr>
        <w:rPr>
          <w:rFonts w:asciiTheme="minorHAnsi" w:hAnsiTheme="minorHAnsi"/>
        </w:rPr>
      </w:pPr>
      <w:r w:rsidRPr="004A132D">
        <w:rPr>
          <w:rFonts w:asciiTheme="minorHAnsi" w:hAnsiTheme="minorHAnsi"/>
        </w:rPr>
        <w:t>In T</w:t>
      </w:r>
      <w:r w:rsidR="00C709F8" w:rsidRPr="004A132D">
        <w:rPr>
          <w:rFonts w:asciiTheme="minorHAnsi" w:hAnsiTheme="minorHAnsi"/>
        </w:rPr>
        <w:t>AS</w:t>
      </w:r>
      <w:r w:rsidR="002655DB" w:rsidRPr="004A132D">
        <w:rPr>
          <w:rFonts w:asciiTheme="minorHAnsi" w:hAnsiTheme="minorHAnsi"/>
        </w:rPr>
        <w:t>, the Pregnant and Parenti</w:t>
      </w:r>
      <w:r w:rsidR="0093087C" w:rsidRPr="004A132D">
        <w:rPr>
          <w:rFonts w:asciiTheme="minorHAnsi" w:hAnsiTheme="minorHAnsi"/>
        </w:rPr>
        <w:t>ng Student Policy and Procedure</w:t>
      </w:r>
      <w:r w:rsidR="002655DB" w:rsidRPr="004A132D">
        <w:rPr>
          <w:rFonts w:asciiTheme="minorHAnsi" w:hAnsiTheme="minorHAnsi"/>
        </w:rPr>
        <w:t xml:space="preserve"> </w:t>
      </w:r>
      <w:r w:rsidR="00036420" w:rsidRPr="004A132D">
        <w:rPr>
          <w:rFonts w:asciiTheme="minorHAnsi" w:hAnsiTheme="minorHAnsi"/>
        </w:rPr>
        <w:t>supports</w:t>
      </w:r>
      <w:r w:rsidR="002655DB" w:rsidRPr="004A132D">
        <w:rPr>
          <w:rFonts w:asciiTheme="minorHAnsi" w:hAnsiTheme="minorHAnsi"/>
        </w:rPr>
        <w:t xml:space="preserve"> pregnant and parenting students so that they can receive an education in a safe and supportive environment and commits schools not to discriminate, directly or indirectly, against pregnant and parenting student</w:t>
      </w:r>
      <w:r w:rsidR="00DD776F" w:rsidRPr="004A132D">
        <w:rPr>
          <w:rFonts w:asciiTheme="minorHAnsi" w:hAnsiTheme="minorHAnsi"/>
        </w:rPr>
        <w:t>s. In TAS</w:t>
      </w:r>
      <w:r w:rsidR="002655DB" w:rsidRPr="004A132D">
        <w:rPr>
          <w:rFonts w:asciiTheme="minorHAnsi" w:hAnsiTheme="minorHAnsi"/>
        </w:rPr>
        <w:t xml:space="preserve">, Child and Family Learning Centres provide support to families with children from pregnancy to </w:t>
      </w:r>
      <w:r w:rsidR="00520DF4" w:rsidRPr="004A132D">
        <w:rPr>
          <w:rFonts w:asciiTheme="minorHAnsi" w:hAnsiTheme="minorHAnsi"/>
        </w:rPr>
        <w:t>5</w:t>
      </w:r>
      <w:r w:rsidR="002655DB" w:rsidRPr="004A132D">
        <w:rPr>
          <w:rFonts w:asciiTheme="minorHAnsi" w:hAnsiTheme="minorHAnsi"/>
        </w:rPr>
        <w:t xml:space="preserve"> years. This may include supporting parents to re-engage in education.</w:t>
      </w:r>
    </w:p>
    <w:p w14:paraId="1E51D478" w14:textId="77777777" w:rsidR="002655DB" w:rsidRPr="004A132D" w:rsidRDefault="00C709F8" w:rsidP="00561D0E">
      <w:pPr>
        <w:pStyle w:val="Numbers"/>
        <w:numPr>
          <w:ilvl w:val="1"/>
          <w:numId w:val="1"/>
        </w:numPr>
        <w:rPr>
          <w:rFonts w:asciiTheme="minorHAnsi" w:hAnsiTheme="minorHAnsi"/>
        </w:rPr>
      </w:pPr>
      <w:r w:rsidRPr="004A132D">
        <w:rPr>
          <w:rFonts w:asciiTheme="minorHAnsi" w:hAnsiTheme="minorHAnsi"/>
        </w:rPr>
        <w:t xml:space="preserve">VIC’s </w:t>
      </w:r>
      <w:r w:rsidR="002655DB" w:rsidRPr="004A132D">
        <w:rPr>
          <w:rFonts w:asciiTheme="minorHAnsi" w:hAnsiTheme="minorHAnsi"/>
        </w:rPr>
        <w:t>Pregnancy and Parenting – Students</w:t>
      </w:r>
      <w:r w:rsidR="002655DB" w:rsidRPr="004A132D">
        <w:rPr>
          <w:rFonts w:asciiTheme="minorHAnsi" w:hAnsiTheme="minorHAnsi"/>
          <w:i/>
        </w:rPr>
        <w:t xml:space="preserve"> </w:t>
      </w:r>
      <w:r w:rsidR="002655DB" w:rsidRPr="004A132D">
        <w:rPr>
          <w:rFonts w:asciiTheme="minorHAnsi" w:hAnsiTheme="minorHAnsi"/>
        </w:rPr>
        <w:t xml:space="preserve">policy provides guidance to schools to support pregnant and parenting students. </w:t>
      </w:r>
      <w:r w:rsidR="0093087C" w:rsidRPr="004A132D">
        <w:rPr>
          <w:rFonts w:asciiTheme="minorHAnsi" w:hAnsiTheme="minorHAnsi"/>
        </w:rPr>
        <w:t>Victorian</w:t>
      </w:r>
      <w:r w:rsidR="00DD776F" w:rsidRPr="004A132D">
        <w:rPr>
          <w:rFonts w:asciiTheme="minorHAnsi" w:hAnsiTheme="minorHAnsi"/>
        </w:rPr>
        <w:t xml:space="preserve"> </w:t>
      </w:r>
      <w:r w:rsidR="002655DB" w:rsidRPr="004A132D">
        <w:rPr>
          <w:rFonts w:asciiTheme="minorHAnsi" w:hAnsiTheme="minorHAnsi"/>
        </w:rPr>
        <w:t xml:space="preserve">Government schools employ a range of supports to help young parents continue education including flexible options for continuing education, support to balance workload and out of class commitments, tailoring programs and resources to individual needs, and preparing an Individual Education Plan and a Student Support Group. </w:t>
      </w:r>
    </w:p>
    <w:p w14:paraId="4450B11F" w14:textId="77777777" w:rsidR="002655DB" w:rsidRPr="004A132D" w:rsidRDefault="00C709F8" w:rsidP="00561D0E">
      <w:pPr>
        <w:pStyle w:val="Numbers"/>
        <w:numPr>
          <w:ilvl w:val="1"/>
          <w:numId w:val="1"/>
        </w:numPr>
        <w:rPr>
          <w:rFonts w:asciiTheme="minorHAnsi" w:hAnsiTheme="minorHAnsi"/>
          <w:lang w:val="en-AU"/>
        </w:rPr>
      </w:pPr>
      <w:r w:rsidRPr="004A132D">
        <w:rPr>
          <w:rFonts w:asciiTheme="minorHAnsi" w:hAnsiTheme="minorHAnsi"/>
        </w:rPr>
        <w:t>WA</w:t>
      </w:r>
      <w:r w:rsidR="002655DB" w:rsidRPr="004A132D">
        <w:rPr>
          <w:rFonts w:asciiTheme="minorHAnsi" w:hAnsiTheme="minorHAnsi"/>
        </w:rPr>
        <w:t xml:space="preserve"> has guidelines for supporting students to continue their education if they are pregnant or parenting. Students in regional and remote areas are provided additional contextual support. School staff ensure students can return to school after birth in a place they can feel safe and supported, share experiences and have a sense of belonging. Childcare access is supported through local Child and Parent Centres, which are located on, or near, public schools.</w:t>
      </w:r>
    </w:p>
    <w:p w14:paraId="66A7CE92" w14:textId="51CDFD8E" w:rsidR="00391E3D" w:rsidRPr="004A132D" w:rsidRDefault="00B66286" w:rsidP="00B66286">
      <w:pPr>
        <w:pStyle w:val="Heading2"/>
      </w:pPr>
      <w:bookmarkStart w:id="117" w:name="_Toc174011712"/>
      <w:bookmarkStart w:id="118" w:name="_Toc175556808"/>
      <w:r w:rsidRPr="004A132D">
        <w:lastRenderedPageBreak/>
        <w:t xml:space="preserve">Question 16b: </w:t>
      </w:r>
      <w:r w:rsidR="00673532" w:rsidRPr="004A132D">
        <w:t>S</w:t>
      </w:r>
      <w:r w:rsidR="00391E3D" w:rsidRPr="004A132D">
        <w:t xml:space="preserve">cience, technology, engineering and mathematics </w:t>
      </w:r>
      <w:r w:rsidR="000F5112" w:rsidRPr="004A132D">
        <w:t xml:space="preserve">(STEM) </w:t>
      </w:r>
      <w:r w:rsidR="00391E3D" w:rsidRPr="004A132D">
        <w:t>academy for Indigenous girls</w:t>
      </w:r>
      <w:bookmarkEnd w:id="117"/>
      <w:bookmarkEnd w:id="118"/>
    </w:p>
    <w:p w14:paraId="4EACAED9" w14:textId="00524152" w:rsidR="00B66286" w:rsidRPr="004A132D" w:rsidRDefault="00B66286" w:rsidP="00DB3D87">
      <w:pPr>
        <w:pStyle w:val="Numbers"/>
        <w:tabs>
          <w:tab w:val="clear" w:pos="2835"/>
        </w:tabs>
        <w:ind w:left="1418"/>
        <w:rPr>
          <w:rFonts w:asciiTheme="minorHAnsi" w:hAnsiTheme="minorHAnsi"/>
        </w:rPr>
      </w:pPr>
      <w:r w:rsidRPr="004A132D">
        <w:rPr>
          <w:rFonts w:asciiTheme="minorHAnsi" w:hAnsiTheme="minorHAnsi"/>
        </w:rPr>
        <w:t xml:space="preserve">The Indigenous Girls’ STEM Academy (the Academy) is a $25 million, </w:t>
      </w:r>
      <w:r w:rsidR="00520DF4" w:rsidRPr="004A132D">
        <w:rPr>
          <w:rFonts w:asciiTheme="minorHAnsi" w:hAnsiTheme="minorHAnsi"/>
        </w:rPr>
        <w:t>10-</w:t>
      </w:r>
      <w:r w:rsidRPr="004A132D">
        <w:rPr>
          <w:rFonts w:asciiTheme="minorHAnsi" w:hAnsiTheme="minorHAnsi"/>
        </w:rPr>
        <w:t>year national investment between 201</w:t>
      </w:r>
      <w:r w:rsidR="002272B9" w:rsidRPr="004A132D">
        <w:rPr>
          <w:rFonts w:asciiTheme="minorHAnsi" w:hAnsiTheme="minorHAnsi"/>
        </w:rPr>
        <w:t>8</w:t>
      </w:r>
      <w:r w:rsidRPr="004A132D">
        <w:rPr>
          <w:rFonts w:asciiTheme="minorHAnsi" w:hAnsiTheme="minorHAnsi"/>
        </w:rPr>
        <w:t xml:space="preserve"> and 2028 in Aboriginal and Torres Strait Islander women and girls who aspire to pursue education and careers in STEM professions.</w:t>
      </w:r>
      <w:r w:rsidR="00281D71" w:rsidRPr="004A132D">
        <w:rPr>
          <w:rFonts w:asciiTheme="minorHAnsi" w:hAnsiTheme="minorHAnsi"/>
        </w:rPr>
        <w:t xml:space="preserve"> </w:t>
      </w:r>
      <w:r w:rsidRPr="004A132D">
        <w:rPr>
          <w:rFonts w:asciiTheme="minorHAnsi" w:hAnsiTheme="minorHAnsi"/>
        </w:rPr>
        <w:t>The Academy operates nationally, with locations chosen strategically according to populations, language groups and maximising access</w:t>
      </w:r>
      <w:r w:rsidR="000F5112" w:rsidRPr="004A132D">
        <w:rPr>
          <w:rFonts w:asciiTheme="minorHAnsi" w:hAnsiTheme="minorHAnsi"/>
        </w:rPr>
        <w:t>.</w:t>
      </w:r>
    </w:p>
    <w:p w14:paraId="51BCA5AE" w14:textId="648B45F6" w:rsidR="007B7A0D" w:rsidRPr="004A132D" w:rsidRDefault="007B7A0D" w:rsidP="00DB3D87">
      <w:pPr>
        <w:pStyle w:val="Numbers"/>
        <w:tabs>
          <w:tab w:val="clear" w:pos="2835"/>
        </w:tabs>
        <w:ind w:left="1418"/>
        <w:rPr>
          <w:rFonts w:asciiTheme="minorHAnsi" w:hAnsiTheme="minorHAnsi"/>
        </w:rPr>
      </w:pPr>
      <w:r w:rsidRPr="004A132D">
        <w:rPr>
          <w:rFonts w:asciiTheme="minorHAnsi" w:hAnsiTheme="minorHAnsi"/>
        </w:rPr>
        <w:t xml:space="preserve">The Academy has </w:t>
      </w:r>
      <w:r w:rsidR="00EE3D24" w:rsidRPr="004A132D">
        <w:rPr>
          <w:rFonts w:asciiTheme="minorHAnsi" w:hAnsiTheme="minorHAnsi"/>
        </w:rPr>
        <w:t xml:space="preserve">2 </w:t>
      </w:r>
      <w:r w:rsidRPr="004A132D">
        <w:rPr>
          <w:rFonts w:asciiTheme="minorHAnsi" w:hAnsiTheme="minorHAnsi"/>
        </w:rPr>
        <w:t>initiatives: the Student Ini</w:t>
      </w:r>
      <w:r w:rsidR="000F5112" w:rsidRPr="004A132D">
        <w:rPr>
          <w:rFonts w:asciiTheme="minorHAnsi" w:hAnsiTheme="minorHAnsi"/>
        </w:rPr>
        <w:t>tiative and Teachers of STE</w:t>
      </w:r>
      <w:r w:rsidRPr="004A132D">
        <w:rPr>
          <w:rFonts w:asciiTheme="minorHAnsi" w:hAnsiTheme="minorHAnsi"/>
        </w:rPr>
        <w:t xml:space="preserve">M Initiative. </w:t>
      </w:r>
      <w:r w:rsidR="000F5112" w:rsidRPr="004A132D">
        <w:rPr>
          <w:rFonts w:asciiTheme="minorHAnsi" w:hAnsiTheme="minorHAnsi"/>
        </w:rPr>
        <w:t xml:space="preserve">The </w:t>
      </w:r>
      <w:r w:rsidRPr="004A132D">
        <w:rPr>
          <w:rFonts w:asciiTheme="minorHAnsi" w:hAnsiTheme="minorHAnsi"/>
        </w:rPr>
        <w:t xml:space="preserve">Student Initiative </w:t>
      </w:r>
      <w:r w:rsidR="00E8725E">
        <w:rPr>
          <w:rFonts w:asciiTheme="minorHAnsi" w:hAnsiTheme="minorHAnsi"/>
        </w:rPr>
        <w:t>supports</w:t>
      </w:r>
      <w:r w:rsidRPr="004A132D">
        <w:rPr>
          <w:rFonts w:asciiTheme="minorHAnsi" w:hAnsiTheme="minorHAnsi"/>
        </w:rPr>
        <w:t xml:space="preserve"> up to 1,000 high-achieving Aboriginal and/or Torres Strait Islander young women from high school, through university, and into graduate careers. Teachers of STEM Initiative </w:t>
      </w:r>
      <w:r w:rsidR="00E8725E">
        <w:rPr>
          <w:rFonts w:asciiTheme="minorHAnsi" w:hAnsiTheme="minorHAnsi"/>
        </w:rPr>
        <w:t>supports</w:t>
      </w:r>
      <w:r w:rsidRPr="004A132D">
        <w:rPr>
          <w:rFonts w:asciiTheme="minorHAnsi" w:hAnsiTheme="minorHAnsi"/>
        </w:rPr>
        <w:t xml:space="preserve"> training of up to </w:t>
      </w:r>
      <w:r w:rsidR="001B22A6" w:rsidRPr="004A132D">
        <w:rPr>
          <w:rFonts w:asciiTheme="minorHAnsi" w:hAnsiTheme="minorHAnsi"/>
        </w:rPr>
        <w:t>99</w:t>
      </w:r>
      <w:r w:rsidRPr="004A132D">
        <w:rPr>
          <w:rFonts w:asciiTheme="minorHAnsi" w:hAnsiTheme="minorHAnsi"/>
        </w:rPr>
        <w:t xml:space="preserve"> new, STEM specialised, female, Aboriginal and/or Torres Strait Islander teachers. </w:t>
      </w:r>
    </w:p>
    <w:p w14:paraId="4D2CDECC" w14:textId="77777777" w:rsidR="007B7A0D" w:rsidRPr="004A132D" w:rsidRDefault="007B7A0D" w:rsidP="008D63FD">
      <w:pPr>
        <w:pStyle w:val="Heading2"/>
      </w:pPr>
      <w:bookmarkStart w:id="119" w:name="_Toc175556809"/>
      <w:r w:rsidRPr="004A132D">
        <w:t>Question 16b: Make use of information and communications technology to enhance access to education for girls and women in remote regions</w:t>
      </w:r>
      <w:bookmarkEnd w:id="119"/>
    </w:p>
    <w:p w14:paraId="4D6C291A" w14:textId="21DACCA3" w:rsidR="005E0548" w:rsidRPr="004A132D" w:rsidRDefault="005E0548" w:rsidP="00724F8F">
      <w:pPr>
        <w:pStyle w:val="Numbers"/>
        <w:ind w:left="1418"/>
        <w:rPr>
          <w:rFonts w:asciiTheme="minorHAnsi" w:hAnsiTheme="minorHAnsi"/>
        </w:rPr>
      </w:pPr>
      <w:r w:rsidRPr="004A132D">
        <w:rPr>
          <w:rFonts w:asciiTheme="minorHAnsi" w:hAnsiTheme="minorHAnsi"/>
        </w:rPr>
        <w:t xml:space="preserve">States and territories </w:t>
      </w:r>
      <w:r w:rsidR="009943C6" w:rsidRPr="004A132D">
        <w:rPr>
          <w:rFonts w:asciiTheme="minorHAnsi" w:hAnsiTheme="minorHAnsi"/>
        </w:rPr>
        <w:t xml:space="preserve">provide a diverse range of ICT initiatives to enhance access to education for girls and women in remote regions. </w:t>
      </w:r>
      <w:r w:rsidR="00870B31" w:rsidRPr="004A132D">
        <w:rPr>
          <w:rFonts w:asciiTheme="minorHAnsi" w:hAnsiTheme="minorHAnsi"/>
        </w:rPr>
        <w:t>The below list shares a non</w:t>
      </w:r>
      <w:r w:rsidR="007F2448" w:rsidRPr="004A132D">
        <w:rPr>
          <w:rFonts w:asciiTheme="minorHAnsi" w:hAnsiTheme="minorHAnsi"/>
        </w:rPr>
        <w:noBreakHyphen/>
      </w:r>
      <w:r w:rsidR="00870B31" w:rsidRPr="004A132D">
        <w:rPr>
          <w:rFonts w:asciiTheme="minorHAnsi" w:hAnsiTheme="minorHAnsi"/>
        </w:rPr>
        <w:t>exhaustive range of examples:</w:t>
      </w:r>
    </w:p>
    <w:p w14:paraId="4971A0FD" w14:textId="77777777" w:rsidR="009943C6" w:rsidRPr="004A132D" w:rsidRDefault="005E0548" w:rsidP="00561D0E">
      <w:pPr>
        <w:pStyle w:val="Numbers"/>
        <w:numPr>
          <w:ilvl w:val="1"/>
          <w:numId w:val="1"/>
        </w:numPr>
        <w:rPr>
          <w:rFonts w:asciiTheme="minorHAnsi" w:hAnsiTheme="minorHAnsi"/>
        </w:rPr>
      </w:pPr>
      <w:r w:rsidRPr="004A132D">
        <w:rPr>
          <w:rFonts w:asciiTheme="minorHAnsi" w:hAnsiTheme="minorHAnsi"/>
        </w:rPr>
        <w:t xml:space="preserve">In the </w:t>
      </w:r>
      <w:r w:rsidR="00DD776F" w:rsidRPr="004A132D">
        <w:rPr>
          <w:rFonts w:asciiTheme="minorHAnsi" w:hAnsiTheme="minorHAnsi"/>
        </w:rPr>
        <w:t>NT</w:t>
      </w:r>
      <w:r w:rsidRPr="004A132D">
        <w:rPr>
          <w:rFonts w:asciiTheme="minorHAnsi" w:hAnsiTheme="minorHAnsi"/>
        </w:rPr>
        <w:t xml:space="preserve">, the Katherine School of the Air is </w:t>
      </w:r>
      <w:r w:rsidR="0086330E" w:rsidRPr="004A132D">
        <w:rPr>
          <w:rFonts w:asciiTheme="minorHAnsi" w:hAnsiTheme="minorHAnsi"/>
          <w:lang w:val="en-AU"/>
        </w:rPr>
        <w:t>continuing</w:t>
      </w:r>
      <w:r w:rsidR="0086330E" w:rsidRPr="004A132D" w:rsidDel="0086330E">
        <w:rPr>
          <w:rFonts w:asciiTheme="minorHAnsi" w:hAnsiTheme="minorHAnsi"/>
          <w:lang w:val="en-AU"/>
        </w:rPr>
        <w:t xml:space="preserve"> </w:t>
      </w:r>
      <w:r w:rsidRPr="004A132D">
        <w:rPr>
          <w:rFonts w:asciiTheme="minorHAnsi" w:hAnsiTheme="minorHAnsi"/>
        </w:rPr>
        <w:t xml:space="preserve">the use of iSee, a contemporary IT platform with low bandwidth, to enhance access to education for girls and women through delivery of curriculum. </w:t>
      </w:r>
    </w:p>
    <w:p w14:paraId="2739DBE2" w14:textId="4BA0A2E4" w:rsidR="009943C6" w:rsidRPr="004A132D" w:rsidRDefault="009943C6" w:rsidP="00561D0E">
      <w:pPr>
        <w:pStyle w:val="Numbers"/>
        <w:numPr>
          <w:ilvl w:val="1"/>
          <w:numId w:val="1"/>
        </w:numPr>
        <w:rPr>
          <w:rFonts w:asciiTheme="minorHAnsi" w:hAnsiTheme="minorHAnsi"/>
          <w:lang w:val="en-NZ"/>
        </w:rPr>
      </w:pPr>
      <w:r w:rsidRPr="004A132D">
        <w:rPr>
          <w:rFonts w:asciiTheme="minorHAnsi" w:hAnsiTheme="minorHAnsi"/>
        </w:rPr>
        <w:t xml:space="preserve">The </w:t>
      </w:r>
      <w:r w:rsidR="00DD776F" w:rsidRPr="004A132D">
        <w:rPr>
          <w:rFonts w:asciiTheme="minorHAnsi" w:hAnsiTheme="minorHAnsi"/>
        </w:rPr>
        <w:t>SA</w:t>
      </w:r>
      <w:r w:rsidRPr="004A132D">
        <w:rPr>
          <w:rFonts w:asciiTheme="minorHAnsi" w:hAnsiTheme="minorHAnsi"/>
        </w:rPr>
        <w:t xml:space="preserve">’s </w:t>
      </w:r>
      <w:r w:rsidR="005E0548" w:rsidRPr="004A132D">
        <w:rPr>
          <w:rFonts w:asciiTheme="minorHAnsi" w:hAnsiTheme="minorHAnsi"/>
          <w:lang w:val="en-NZ"/>
        </w:rPr>
        <w:t>SWiFT Program provides high-speed fibre internet to schools and preschools in regional areas, helping to reduce barriers to accessibility and connectivity to digital technologies. Schools in remote areas where fibre internet is unavailable have bespoke connections to a high performing, stable Starlink business service.</w:t>
      </w:r>
    </w:p>
    <w:p w14:paraId="71B53C00" w14:textId="77777777" w:rsidR="007B7A0D" w:rsidRPr="004A132D" w:rsidRDefault="00DD776F" w:rsidP="00561D0E">
      <w:pPr>
        <w:pStyle w:val="Numbers"/>
        <w:numPr>
          <w:ilvl w:val="1"/>
          <w:numId w:val="1"/>
        </w:numPr>
        <w:rPr>
          <w:rFonts w:asciiTheme="minorHAnsi" w:hAnsiTheme="minorHAnsi"/>
          <w:lang w:val="en-NZ"/>
        </w:rPr>
      </w:pPr>
      <w:r w:rsidRPr="004A132D">
        <w:rPr>
          <w:rFonts w:asciiTheme="minorHAnsi" w:hAnsiTheme="minorHAnsi"/>
        </w:rPr>
        <w:t>VIC</w:t>
      </w:r>
      <w:r w:rsidR="009943C6" w:rsidRPr="004A132D">
        <w:rPr>
          <w:rFonts w:asciiTheme="minorHAnsi" w:hAnsiTheme="minorHAnsi"/>
        </w:rPr>
        <w:t xml:space="preserve"> funds the </w:t>
      </w:r>
      <w:r w:rsidR="005E0548" w:rsidRPr="004A132D">
        <w:rPr>
          <w:rFonts w:asciiTheme="minorHAnsi" w:hAnsiTheme="minorHAnsi"/>
        </w:rPr>
        <w:t>Software for Connected Learners program, which provides teachers and students with no-cost access to high quality, curriculum-aligned software and digital content. The program covers a range of curriculum areas, including Science, Digital Technologies and Design and Technologies.</w:t>
      </w:r>
    </w:p>
    <w:p w14:paraId="50CBB01A" w14:textId="77777777" w:rsidR="00AE450E" w:rsidRPr="004A132D" w:rsidRDefault="007B7A0D" w:rsidP="007B7A0D">
      <w:pPr>
        <w:pStyle w:val="Heading2"/>
      </w:pPr>
      <w:bookmarkStart w:id="120" w:name="_Toc174011713"/>
      <w:bookmarkStart w:id="121" w:name="_Toc175556810"/>
      <w:r w:rsidRPr="004A132D">
        <w:lastRenderedPageBreak/>
        <w:t>Question 16b: Measures to promote non-traditional educational choices of girls and women in particular STEM and ICT</w:t>
      </w:r>
      <w:bookmarkEnd w:id="120"/>
      <w:bookmarkEnd w:id="121"/>
    </w:p>
    <w:p w14:paraId="312FC910" w14:textId="77777777" w:rsidR="0006633D" w:rsidRPr="004A132D" w:rsidRDefault="0006633D" w:rsidP="00724F8F">
      <w:pPr>
        <w:pStyle w:val="Numbers"/>
        <w:ind w:left="1418"/>
        <w:rPr>
          <w:rFonts w:asciiTheme="minorHAnsi" w:hAnsiTheme="minorHAnsi"/>
        </w:rPr>
      </w:pPr>
      <w:r w:rsidRPr="004A132D">
        <w:rPr>
          <w:rFonts w:asciiTheme="minorHAnsi" w:hAnsiTheme="minorHAnsi"/>
        </w:rPr>
        <w:t xml:space="preserve">Australia is committed to enabling women and girls through STEM education and increasing their representation and retention in STEM careers. Australia’s </w:t>
      </w:r>
      <w:r w:rsidRPr="004A132D">
        <w:rPr>
          <w:rFonts w:asciiTheme="minorHAnsi" w:hAnsiTheme="minorHAnsi"/>
          <w:i/>
        </w:rPr>
        <w:t>Advancing Women in STEM Strategy</w:t>
      </w:r>
      <w:r w:rsidRPr="004A132D">
        <w:rPr>
          <w:rFonts w:asciiTheme="minorHAnsi" w:hAnsiTheme="minorHAnsi"/>
        </w:rPr>
        <w:t xml:space="preserve"> </w:t>
      </w:r>
      <w:r w:rsidRPr="004A132D">
        <w:rPr>
          <w:rFonts w:asciiTheme="minorHAnsi" w:hAnsiTheme="minorHAnsi"/>
          <w:i/>
        </w:rPr>
        <w:t>(2019)</w:t>
      </w:r>
      <w:r w:rsidRPr="004A132D">
        <w:rPr>
          <w:rFonts w:asciiTheme="minorHAnsi" w:hAnsiTheme="minorHAnsi"/>
        </w:rPr>
        <w:t xml:space="preserve"> guides Australia’s efforts to increase gender equity in STEM and raise the visibility of women in STEM. </w:t>
      </w:r>
    </w:p>
    <w:p w14:paraId="114128B5" w14:textId="19A7219A" w:rsidR="0006633D" w:rsidRPr="004A132D" w:rsidRDefault="0006633D" w:rsidP="00724F8F">
      <w:pPr>
        <w:pStyle w:val="Numbers"/>
        <w:ind w:left="1418"/>
        <w:rPr>
          <w:rFonts w:asciiTheme="minorHAnsi" w:hAnsiTheme="minorHAnsi"/>
        </w:rPr>
      </w:pPr>
      <w:r w:rsidRPr="004A132D">
        <w:rPr>
          <w:rFonts w:asciiTheme="minorHAnsi" w:hAnsiTheme="minorHAnsi"/>
        </w:rPr>
        <w:t>The Australian Government supports a range of initiatives to promote women and girls in STEM</w:t>
      </w:r>
      <w:r w:rsidR="004B1FAF" w:rsidRPr="004A132D">
        <w:rPr>
          <w:rFonts w:asciiTheme="minorHAnsi" w:hAnsiTheme="minorHAnsi"/>
        </w:rPr>
        <w:t xml:space="preserve"> and non-traditional careers</w:t>
      </w:r>
      <w:r w:rsidR="00CF1EEB" w:rsidRPr="004A132D">
        <w:rPr>
          <w:rFonts w:asciiTheme="minorHAnsi" w:hAnsiTheme="minorHAnsi"/>
        </w:rPr>
        <w:t>. For example</w:t>
      </w:r>
      <w:r w:rsidRPr="004A132D">
        <w:rPr>
          <w:rFonts w:asciiTheme="minorHAnsi" w:hAnsiTheme="minorHAnsi"/>
        </w:rPr>
        <w:t>:</w:t>
      </w:r>
    </w:p>
    <w:p w14:paraId="0BC35C95" w14:textId="77777777" w:rsidR="004B1FAF" w:rsidRPr="004A132D" w:rsidRDefault="004B1FAF" w:rsidP="00561D0E">
      <w:pPr>
        <w:pStyle w:val="Numbers"/>
        <w:numPr>
          <w:ilvl w:val="1"/>
          <w:numId w:val="1"/>
        </w:numPr>
        <w:rPr>
          <w:rFonts w:asciiTheme="minorHAnsi" w:hAnsiTheme="minorHAnsi"/>
        </w:rPr>
      </w:pPr>
      <w:r w:rsidRPr="004A132D">
        <w:rPr>
          <w:rFonts w:asciiTheme="minorHAnsi" w:hAnsiTheme="minorHAnsi"/>
        </w:rPr>
        <w:t>funding the Building Women’s Careers program that will boost women’s participation in construction, clean energy and advanced manufacturing industries, and technology and digital sectors;</w:t>
      </w:r>
    </w:p>
    <w:p w14:paraId="60C375C7" w14:textId="1D648C89" w:rsidR="0006633D" w:rsidRPr="004A132D" w:rsidRDefault="005E0548" w:rsidP="00561D0E">
      <w:pPr>
        <w:pStyle w:val="Numbers"/>
        <w:numPr>
          <w:ilvl w:val="1"/>
          <w:numId w:val="1"/>
        </w:numPr>
        <w:rPr>
          <w:rFonts w:asciiTheme="minorHAnsi" w:hAnsiTheme="minorHAnsi"/>
        </w:rPr>
      </w:pPr>
      <w:r w:rsidRPr="004A132D">
        <w:rPr>
          <w:rFonts w:asciiTheme="minorHAnsi" w:hAnsiTheme="minorHAnsi"/>
        </w:rPr>
        <w:t>c</w:t>
      </w:r>
      <w:r w:rsidR="0006633D" w:rsidRPr="004A132D">
        <w:rPr>
          <w:rFonts w:asciiTheme="minorHAnsi" w:hAnsiTheme="minorHAnsi"/>
        </w:rPr>
        <w:t>ommissioned an independent Pathway to Diversity in STEM Review to evaluate existing women in STEM programs</w:t>
      </w:r>
      <w:r w:rsidR="00E8725E">
        <w:rPr>
          <w:rFonts w:asciiTheme="minorHAnsi" w:hAnsiTheme="minorHAnsi"/>
        </w:rPr>
        <w:t>;</w:t>
      </w:r>
      <w:r w:rsidR="00643724" w:rsidRPr="004A132D">
        <w:rPr>
          <w:rFonts w:asciiTheme="minorHAnsi" w:hAnsiTheme="minorHAnsi"/>
        </w:rPr>
        <w:t xml:space="preserve"> in response is providing $38.2 million over </w:t>
      </w:r>
      <w:r w:rsidR="00520DF4" w:rsidRPr="004A132D">
        <w:rPr>
          <w:rFonts w:asciiTheme="minorHAnsi" w:hAnsiTheme="minorHAnsi"/>
        </w:rPr>
        <w:t>8</w:t>
      </w:r>
      <w:r w:rsidR="00643724" w:rsidRPr="004A132D">
        <w:rPr>
          <w:rFonts w:asciiTheme="minorHAnsi" w:hAnsiTheme="minorHAnsi"/>
        </w:rPr>
        <w:t xml:space="preserve"> years from 2023–24 (and $1.3 million ongoing) to support a thriving, skilled and diverse STEM workf</w:t>
      </w:r>
      <w:r w:rsidR="006F0B60">
        <w:rPr>
          <w:rFonts w:asciiTheme="minorHAnsi" w:hAnsiTheme="minorHAnsi"/>
        </w:rPr>
        <w:t>orce. This </w:t>
      </w:r>
      <w:r w:rsidR="00643724" w:rsidRPr="004A132D">
        <w:rPr>
          <w:rFonts w:asciiTheme="minorHAnsi" w:hAnsiTheme="minorHAnsi"/>
        </w:rPr>
        <w:t>funding will scale up Women in STEM and science engagement programs that are creating positive change to attract and retain more women, and other under-represented groups, in STEM education and jobs;</w:t>
      </w:r>
      <w:r w:rsidR="00D4365B" w:rsidRPr="004A132D">
        <w:rPr>
          <w:rFonts w:asciiTheme="minorHAnsi" w:hAnsiTheme="minorHAnsi"/>
        </w:rPr>
        <w:t xml:space="preserve"> and</w:t>
      </w:r>
    </w:p>
    <w:p w14:paraId="458A2F3B" w14:textId="25BD1866" w:rsidR="007B7A0D" w:rsidRPr="004A132D" w:rsidRDefault="0006633D" w:rsidP="00561D0E">
      <w:pPr>
        <w:pStyle w:val="Numbers"/>
        <w:numPr>
          <w:ilvl w:val="1"/>
          <w:numId w:val="1"/>
        </w:numPr>
        <w:rPr>
          <w:rFonts w:asciiTheme="minorHAnsi" w:hAnsiTheme="minorHAnsi"/>
        </w:rPr>
      </w:pPr>
      <w:r w:rsidRPr="004A132D">
        <w:rPr>
          <w:rFonts w:asciiTheme="minorHAnsi" w:hAnsiTheme="minorHAnsi"/>
        </w:rPr>
        <w:t>publishes the STEM Equity Monitor, which is a national data resource on girls and women in science, technology, engineering and mathematics (STEM). The monitor reports the current state of STEM gender equity in Australia and measures changes and tr</w:t>
      </w:r>
      <w:r w:rsidR="00D4365B" w:rsidRPr="004A132D">
        <w:rPr>
          <w:rFonts w:asciiTheme="minorHAnsi" w:hAnsiTheme="minorHAnsi"/>
        </w:rPr>
        <w:t>ends.</w:t>
      </w:r>
    </w:p>
    <w:p w14:paraId="6142BF67" w14:textId="77777777" w:rsidR="00740564" w:rsidRPr="004A132D" w:rsidRDefault="00FB7FE0" w:rsidP="004B395D">
      <w:pPr>
        <w:pStyle w:val="Heading2"/>
        <w:keepNext/>
      </w:pPr>
      <w:bookmarkStart w:id="122" w:name="_Toc174011714"/>
      <w:bookmarkStart w:id="123" w:name="_Toc175556811"/>
      <w:r w:rsidRPr="004A132D">
        <w:t>Question 16c: Safe and inclusive learning environment</w:t>
      </w:r>
      <w:bookmarkEnd w:id="122"/>
      <w:bookmarkEnd w:id="123"/>
    </w:p>
    <w:p w14:paraId="58B5AB82" w14:textId="77777777" w:rsidR="0094337D" w:rsidRPr="004A132D" w:rsidRDefault="00791FBF" w:rsidP="00724F8F">
      <w:pPr>
        <w:pStyle w:val="Numbers"/>
        <w:ind w:left="1418"/>
        <w:rPr>
          <w:rFonts w:asciiTheme="minorHAnsi" w:hAnsiTheme="minorHAnsi"/>
        </w:rPr>
      </w:pPr>
      <w:r w:rsidRPr="004A132D">
        <w:rPr>
          <w:rFonts w:asciiTheme="minorHAnsi" w:hAnsiTheme="minorHAnsi"/>
        </w:rPr>
        <w:t xml:space="preserve">The Australian Government is </w:t>
      </w:r>
      <w:r w:rsidR="00376A3B" w:rsidRPr="004A132D">
        <w:rPr>
          <w:rFonts w:asciiTheme="minorHAnsi" w:hAnsiTheme="minorHAnsi"/>
        </w:rPr>
        <w:t xml:space="preserve">committed to ensuring every student has the opportunity to access a safe and inclusive learning environment. </w:t>
      </w:r>
    </w:p>
    <w:p w14:paraId="4C8172F1" w14:textId="47D0CDF8" w:rsidR="009335A3" w:rsidRPr="004A132D" w:rsidRDefault="009335A3" w:rsidP="00724F8F">
      <w:pPr>
        <w:pStyle w:val="Numbers"/>
        <w:ind w:left="1418"/>
        <w:rPr>
          <w:rFonts w:asciiTheme="minorHAnsi" w:hAnsiTheme="minorHAnsi"/>
        </w:rPr>
      </w:pPr>
      <w:r w:rsidRPr="004A132D">
        <w:rPr>
          <w:rFonts w:asciiTheme="minorHAnsi" w:hAnsiTheme="minorHAnsi"/>
        </w:rPr>
        <w:t>The Final Report of the Royal Commission into Violence, Abuse, Neglect and Exploitation of People with Disability made several recommendations relating to the provision of inclusive learning environments</w:t>
      </w:r>
      <w:r w:rsidR="0092255B">
        <w:rPr>
          <w:rFonts w:asciiTheme="minorHAnsi" w:hAnsiTheme="minorHAnsi"/>
        </w:rPr>
        <w:t>.</w:t>
      </w:r>
      <w:r w:rsidRPr="004A132D">
        <w:rPr>
          <w:rFonts w:asciiTheme="minorHAnsi" w:hAnsiTheme="minorHAnsi"/>
        </w:rPr>
        <w:t xml:space="preserve"> </w:t>
      </w:r>
      <w:r w:rsidR="0092255B">
        <w:rPr>
          <w:rFonts w:asciiTheme="minorHAnsi" w:hAnsiTheme="minorHAnsi"/>
        </w:rPr>
        <w:t>T</w:t>
      </w:r>
      <w:r w:rsidRPr="004A132D">
        <w:rPr>
          <w:rFonts w:asciiTheme="minorHAnsi" w:hAnsiTheme="minorHAnsi"/>
        </w:rPr>
        <w:t xml:space="preserve">he Australian Government </w:t>
      </w:r>
      <w:r w:rsidR="00061035">
        <w:rPr>
          <w:rFonts w:asciiTheme="minorHAnsi" w:hAnsiTheme="minorHAnsi"/>
        </w:rPr>
        <w:t>and state and territory governments have accepted in</w:t>
      </w:r>
      <w:r w:rsidR="0092255B">
        <w:rPr>
          <w:rFonts w:asciiTheme="minorHAnsi" w:hAnsiTheme="minorHAnsi"/>
        </w:rPr>
        <w:t xml:space="preserve"> principle recommendations related to the Commission’s vision for more accessible and </w:t>
      </w:r>
      <w:r w:rsidR="001D4F40">
        <w:rPr>
          <w:rFonts w:asciiTheme="minorHAnsi" w:hAnsiTheme="minorHAnsi"/>
        </w:rPr>
        <w:t xml:space="preserve">inclusive education, </w:t>
      </w:r>
      <w:r w:rsidR="0092255B">
        <w:rPr>
          <w:rFonts w:asciiTheme="minorHAnsi" w:hAnsiTheme="minorHAnsi"/>
        </w:rPr>
        <w:lastRenderedPageBreak/>
        <w:t>b</w:t>
      </w:r>
      <w:r w:rsidR="001D4F40">
        <w:rPr>
          <w:rFonts w:asciiTheme="minorHAnsi" w:hAnsiTheme="minorHAnsi"/>
        </w:rPr>
        <w:t>uilding workforce capability and</w:t>
      </w:r>
      <w:r w:rsidR="0092255B">
        <w:rPr>
          <w:rFonts w:asciiTheme="minorHAnsi" w:hAnsiTheme="minorHAnsi"/>
        </w:rPr>
        <w:t xml:space="preserve"> expertise</w:t>
      </w:r>
      <w:r w:rsidR="001D4F40">
        <w:rPr>
          <w:rFonts w:asciiTheme="minorHAnsi" w:hAnsiTheme="minorHAnsi"/>
        </w:rPr>
        <w:t>,</w:t>
      </w:r>
      <w:r w:rsidR="0092255B">
        <w:rPr>
          <w:rFonts w:asciiTheme="minorHAnsi" w:hAnsiTheme="minorHAnsi"/>
        </w:rPr>
        <w:t xml:space="preserve"> and strengthening complaints management practices.</w:t>
      </w:r>
    </w:p>
    <w:p w14:paraId="1D2363CA" w14:textId="77777777" w:rsidR="00822A20" w:rsidRPr="004A132D" w:rsidRDefault="00FE6543" w:rsidP="00724F8F">
      <w:pPr>
        <w:pStyle w:val="Numbers"/>
        <w:ind w:left="1418"/>
        <w:rPr>
          <w:rFonts w:asciiTheme="minorHAnsi" w:hAnsiTheme="minorHAnsi"/>
        </w:rPr>
      </w:pPr>
      <w:r w:rsidRPr="004A132D">
        <w:rPr>
          <w:rFonts w:asciiTheme="minorHAnsi" w:hAnsiTheme="minorHAnsi"/>
        </w:rPr>
        <w:t>Respectful relationships education is embedded in the Australian Curriculum (version 9.0)</w:t>
      </w:r>
      <w:r w:rsidR="00822A20" w:rsidRPr="004A132D">
        <w:rPr>
          <w:rFonts w:asciiTheme="minorHAnsi" w:hAnsiTheme="minorHAnsi"/>
        </w:rPr>
        <w:t xml:space="preserve">. The revised Australian Curriculum (Version 9.0) was endorsed by all </w:t>
      </w:r>
      <w:r w:rsidR="00351450" w:rsidRPr="004A132D">
        <w:rPr>
          <w:rFonts w:asciiTheme="minorHAnsi" w:hAnsiTheme="minorHAnsi"/>
        </w:rPr>
        <w:t>state, territory and federal education M</w:t>
      </w:r>
      <w:r w:rsidR="00822A20" w:rsidRPr="004A132D">
        <w:rPr>
          <w:rFonts w:asciiTheme="minorHAnsi" w:hAnsiTheme="minorHAnsi"/>
        </w:rPr>
        <w:t>inisters in April 2022 for implementation in schools from 2023.</w:t>
      </w:r>
      <w:r w:rsidR="00822A20" w:rsidRPr="004A132D">
        <w:rPr>
          <w:rStyle w:val="FootnoteReference"/>
          <w:rFonts w:asciiTheme="minorHAnsi" w:hAnsiTheme="minorHAnsi"/>
          <w:lang w:val="en-NZ"/>
        </w:rPr>
        <w:t xml:space="preserve"> </w:t>
      </w:r>
    </w:p>
    <w:p w14:paraId="71B806DC" w14:textId="56BB90FC" w:rsidR="00FE6543" w:rsidRPr="004A132D" w:rsidRDefault="00FE6543" w:rsidP="00724F8F">
      <w:pPr>
        <w:pStyle w:val="Numbers"/>
        <w:ind w:left="1418"/>
        <w:rPr>
          <w:rFonts w:asciiTheme="minorHAnsi" w:hAnsiTheme="minorHAnsi"/>
          <w:lang w:val="en-NZ"/>
        </w:rPr>
      </w:pPr>
      <w:r w:rsidRPr="004A132D">
        <w:rPr>
          <w:rFonts w:asciiTheme="minorHAnsi" w:hAnsiTheme="minorHAnsi"/>
        </w:rPr>
        <w:t xml:space="preserve">The Australian Government is working with states and territories and the </w:t>
      </w:r>
      <w:r w:rsidR="00281D71" w:rsidRPr="004A132D">
        <w:rPr>
          <w:rFonts w:asciiTheme="minorHAnsi" w:hAnsiTheme="minorHAnsi"/>
        </w:rPr>
        <w:br/>
      </w:r>
      <w:r w:rsidRPr="004A132D">
        <w:rPr>
          <w:rFonts w:asciiTheme="minorHAnsi" w:hAnsiTheme="minorHAnsi"/>
        </w:rPr>
        <w:t>non-government education sector to enhance the delivery of respectful relationships education in Australian primary and secondary schools. Respectful relationships education uses the education system as a catalyst for generational and cultural change by engaging schools to comprehensively address the drivers of gender-based violence and create a future free from violence and discrimination.</w:t>
      </w:r>
    </w:p>
    <w:p w14:paraId="3BEC14E4" w14:textId="1B6C14D9" w:rsidR="00D109B0" w:rsidRPr="004A132D" w:rsidRDefault="0094337D" w:rsidP="00724F8F">
      <w:pPr>
        <w:pStyle w:val="Numbers"/>
        <w:ind w:left="1418"/>
        <w:rPr>
          <w:rFonts w:asciiTheme="minorHAnsi" w:hAnsiTheme="minorHAnsi"/>
          <w:lang w:val="en-NZ"/>
        </w:rPr>
      </w:pPr>
      <w:r w:rsidRPr="004A132D">
        <w:rPr>
          <w:rFonts w:asciiTheme="minorHAnsi" w:hAnsiTheme="minorHAnsi"/>
          <w:lang w:val="en-NZ"/>
        </w:rPr>
        <w:t>States and territories deliver</w:t>
      </w:r>
      <w:r w:rsidR="00E8725E">
        <w:rPr>
          <w:rFonts w:asciiTheme="minorHAnsi" w:hAnsiTheme="minorHAnsi"/>
          <w:lang w:val="en-NZ"/>
        </w:rPr>
        <w:t>ing</w:t>
      </w:r>
      <w:r w:rsidRPr="004A132D">
        <w:rPr>
          <w:rFonts w:asciiTheme="minorHAnsi" w:hAnsiTheme="minorHAnsi"/>
          <w:lang w:val="en-NZ"/>
        </w:rPr>
        <w:t xml:space="preserve"> </w:t>
      </w:r>
      <w:r w:rsidR="00870B31" w:rsidRPr="004A132D">
        <w:rPr>
          <w:rFonts w:asciiTheme="minorHAnsi" w:hAnsiTheme="minorHAnsi"/>
          <w:lang w:val="en-NZ"/>
        </w:rPr>
        <w:t xml:space="preserve">public </w:t>
      </w:r>
      <w:r w:rsidRPr="004A132D">
        <w:rPr>
          <w:rFonts w:asciiTheme="minorHAnsi" w:hAnsiTheme="minorHAnsi"/>
          <w:lang w:val="en-NZ"/>
        </w:rPr>
        <w:t xml:space="preserve">primary and secondary education services </w:t>
      </w:r>
      <w:r w:rsidR="00AC27A2" w:rsidRPr="004A132D">
        <w:rPr>
          <w:rFonts w:asciiTheme="minorHAnsi" w:hAnsiTheme="minorHAnsi"/>
          <w:lang w:val="en-NZ"/>
        </w:rPr>
        <w:t>offer a diverse range</w:t>
      </w:r>
      <w:r w:rsidR="00870B31" w:rsidRPr="004A132D">
        <w:rPr>
          <w:rFonts w:asciiTheme="minorHAnsi" w:hAnsiTheme="minorHAnsi"/>
          <w:lang w:val="en-NZ"/>
        </w:rPr>
        <w:t xml:space="preserve"> of</w:t>
      </w:r>
      <w:r w:rsidR="00D109B0" w:rsidRPr="004A132D">
        <w:rPr>
          <w:rFonts w:asciiTheme="minorHAnsi" w:hAnsiTheme="minorHAnsi"/>
          <w:lang w:val="en-NZ"/>
        </w:rPr>
        <w:t xml:space="preserve"> programs and policies to promote a safe and inclusive learning environment. </w:t>
      </w:r>
      <w:r w:rsidR="00AC27A2" w:rsidRPr="004A132D">
        <w:rPr>
          <w:rFonts w:asciiTheme="minorHAnsi" w:hAnsiTheme="minorHAnsi"/>
          <w:lang w:val="en-NZ"/>
        </w:rPr>
        <w:t>The below list shares a n</w:t>
      </w:r>
      <w:r w:rsidR="00D4365B" w:rsidRPr="004A132D">
        <w:rPr>
          <w:rFonts w:asciiTheme="minorHAnsi" w:hAnsiTheme="minorHAnsi"/>
          <w:lang w:val="en-NZ"/>
        </w:rPr>
        <w:t>on-exhaustive range of examples.</w:t>
      </w:r>
    </w:p>
    <w:p w14:paraId="6AEA491D" w14:textId="0B7C7772" w:rsidR="00AC27A2" w:rsidRPr="004A132D" w:rsidRDefault="00D4365B" w:rsidP="00561D0E">
      <w:pPr>
        <w:pStyle w:val="Numbers"/>
        <w:numPr>
          <w:ilvl w:val="1"/>
          <w:numId w:val="1"/>
        </w:numPr>
        <w:rPr>
          <w:rFonts w:asciiTheme="minorHAnsi" w:hAnsiTheme="minorHAnsi"/>
        </w:rPr>
      </w:pPr>
      <w:r w:rsidRPr="004A132D">
        <w:rPr>
          <w:rFonts w:asciiTheme="minorHAnsi" w:hAnsiTheme="minorHAnsi"/>
        </w:rPr>
        <w:t>T</w:t>
      </w:r>
      <w:r w:rsidR="00391E3D" w:rsidRPr="004A132D">
        <w:rPr>
          <w:rFonts w:asciiTheme="minorHAnsi" w:hAnsiTheme="minorHAnsi"/>
        </w:rPr>
        <w:t xml:space="preserve">he </w:t>
      </w:r>
      <w:r w:rsidR="0094337D" w:rsidRPr="004A132D">
        <w:rPr>
          <w:rFonts w:asciiTheme="minorHAnsi" w:hAnsiTheme="minorHAnsi"/>
        </w:rPr>
        <w:t>ACT</w:t>
      </w:r>
      <w:r w:rsidR="0094337D" w:rsidRPr="004A132D">
        <w:rPr>
          <w:rFonts w:asciiTheme="minorHAnsi" w:hAnsiTheme="minorHAnsi"/>
          <w:i/>
        </w:rPr>
        <w:t xml:space="preserve"> </w:t>
      </w:r>
      <w:r w:rsidR="00391E3D" w:rsidRPr="004A132D">
        <w:rPr>
          <w:rFonts w:asciiTheme="minorHAnsi" w:hAnsiTheme="minorHAnsi"/>
        </w:rPr>
        <w:t xml:space="preserve">Safe and Supportive Schools Policy requires all ACT public schools have a minimum of </w:t>
      </w:r>
      <w:r w:rsidR="00843737" w:rsidRPr="004A132D">
        <w:rPr>
          <w:rFonts w:asciiTheme="minorHAnsi" w:hAnsiTheme="minorHAnsi"/>
        </w:rPr>
        <w:t xml:space="preserve">2 </w:t>
      </w:r>
      <w:r w:rsidR="00391E3D" w:rsidRPr="004A132D">
        <w:rPr>
          <w:rFonts w:asciiTheme="minorHAnsi" w:hAnsiTheme="minorHAnsi"/>
        </w:rPr>
        <w:t>Safe and Supportive Schools Contact Officers</w:t>
      </w:r>
      <w:r w:rsidR="001B097C" w:rsidRPr="004A132D">
        <w:rPr>
          <w:rFonts w:asciiTheme="minorHAnsi" w:hAnsiTheme="minorHAnsi"/>
        </w:rPr>
        <w:t xml:space="preserve">, who </w:t>
      </w:r>
      <w:r w:rsidR="009D517F" w:rsidRPr="004A132D">
        <w:rPr>
          <w:rFonts w:asciiTheme="minorHAnsi" w:hAnsiTheme="minorHAnsi"/>
        </w:rPr>
        <w:t xml:space="preserve">are teachers </w:t>
      </w:r>
      <w:r w:rsidR="00391E3D" w:rsidRPr="004A132D">
        <w:rPr>
          <w:rFonts w:asciiTheme="minorHAnsi" w:hAnsiTheme="minorHAnsi"/>
        </w:rPr>
        <w:t xml:space="preserve">selected to support and respond to students who may be experiencing or involved in bullying, discrimination and/ </w:t>
      </w:r>
      <w:r w:rsidRPr="004A132D">
        <w:rPr>
          <w:rFonts w:asciiTheme="minorHAnsi" w:hAnsiTheme="minorHAnsi"/>
        </w:rPr>
        <w:t>or racial or sexual harassment.</w:t>
      </w:r>
    </w:p>
    <w:p w14:paraId="3903D905" w14:textId="77777777" w:rsidR="00AC27A2" w:rsidRPr="004A132D" w:rsidRDefault="00163476" w:rsidP="00561D0E">
      <w:pPr>
        <w:pStyle w:val="Numbers"/>
        <w:numPr>
          <w:ilvl w:val="1"/>
          <w:numId w:val="1"/>
        </w:numPr>
        <w:rPr>
          <w:rFonts w:asciiTheme="minorHAnsi" w:hAnsiTheme="minorHAnsi"/>
        </w:rPr>
      </w:pPr>
      <w:r w:rsidRPr="004A132D">
        <w:rPr>
          <w:rFonts w:asciiTheme="minorHAnsi" w:hAnsiTheme="minorHAnsi"/>
        </w:rPr>
        <w:t xml:space="preserve">The </w:t>
      </w:r>
      <w:r w:rsidR="00AC27A2" w:rsidRPr="004A132D">
        <w:rPr>
          <w:rFonts w:asciiTheme="minorHAnsi" w:hAnsiTheme="minorHAnsi"/>
        </w:rPr>
        <w:t xml:space="preserve">NSW Department of Education’s Multicultural Education Policy responds to the cultural, linguistic and religious diversity of NSW, </w:t>
      </w:r>
      <w:r w:rsidR="00AC27A2" w:rsidRPr="004A132D">
        <w:rPr>
          <w:rFonts w:asciiTheme="minorHAnsi" w:hAnsiTheme="minorHAnsi"/>
          <w:lang w:val="en-AU"/>
        </w:rPr>
        <w:t>requires NSW public schools to ensure inclusive teaching practices that recognise and respect the cultural, linguistic and religi</w:t>
      </w:r>
      <w:r w:rsidR="000B5AFF" w:rsidRPr="004A132D">
        <w:rPr>
          <w:rFonts w:asciiTheme="minorHAnsi" w:hAnsiTheme="minorHAnsi"/>
          <w:lang w:val="en-AU"/>
        </w:rPr>
        <w:t xml:space="preserve">ous backgrounds of all students, and </w:t>
      </w:r>
      <w:r w:rsidR="00AC27A2" w:rsidRPr="004A132D">
        <w:rPr>
          <w:rFonts w:asciiTheme="minorHAnsi" w:hAnsiTheme="minorHAnsi"/>
          <w:lang w:val="en-AU"/>
        </w:rPr>
        <w:t>also requires schools to deliver targeted programs that support students learning English as an additional language or diale</w:t>
      </w:r>
      <w:r w:rsidR="000B5AFF" w:rsidRPr="004A132D">
        <w:rPr>
          <w:rFonts w:asciiTheme="minorHAnsi" w:hAnsiTheme="minorHAnsi"/>
          <w:lang w:val="en-AU"/>
        </w:rPr>
        <w:t>ct</w:t>
      </w:r>
      <w:r w:rsidR="00AC27A2" w:rsidRPr="004A132D">
        <w:rPr>
          <w:rFonts w:asciiTheme="minorHAnsi" w:hAnsiTheme="minorHAnsi"/>
          <w:lang w:val="en-AU"/>
        </w:rPr>
        <w:t xml:space="preserve"> </w:t>
      </w:r>
      <w:r w:rsidR="000B5AFF" w:rsidRPr="004A132D">
        <w:rPr>
          <w:rFonts w:asciiTheme="minorHAnsi" w:hAnsiTheme="minorHAnsi"/>
          <w:lang w:val="en-AU"/>
        </w:rPr>
        <w:t xml:space="preserve">for </w:t>
      </w:r>
      <w:r w:rsidR="00AC27A2" w:rsidRPr="004A132D">
        <w:rPr>
          <w:rFonts w:asciiTheme="minorHAnsi" w:hAnsiTheme="minorHAnsi"/>
          <w:lang w:val="en-AU"/>
        </w:rPr>
        <w:t>newly arrived and refugee students.</w:t>
      </w:r>
    </w:p>
    <w:p w14:paraId="63A9557A" w14:textId="1E61A611" w:rsidR="00AC27A2" w:rsidRPr="004A132D" w:rsidRDefault="00AC27A2" w:rsidP="00561D0E">
      <w:pPr>
        <w:pStyle w:val="Numbers"/>
        <w:numPr>
          <w:ilvl w:val="1"/>
          <w:numId w:val="1"/>
        </w:numPr>
        <w:rPr>
          <w:rFonts w:asciiTheme="minorHAnsi" w:hAnsiTheme="minorHAnsi"/>
        </w:rPr>
      </w:pPr>
      <w:r w:rsidRPr="004A132D">
        <w:rPr>
          <w:rFonts w:asciiTheme="minorHAnsi" w:hAnsiTheme="minorHAnsi"/>
        </w:rPr>
        <w:t xml:space="preserve">The </w:t>
      </w:r>
      <w:r w:rsidR="00163476" w:rsidRPr="004A132D">
        <w:rPr>
          <w:rFonts w:asciiTheme="minorHAnsi" w:hAnsiTheme="minorHAnsi"/>
        </w:rPr>
        <w:t xml:space="preserve">NT </w:t>
      </w:r>
      <w:r w:rsidRPr="004A132D">
        <w:rPr>
          <w:rFonts w:asciiTheme="minorHAnsi" w:hAnsiTheme="minorHAnsi"/>
        </w:rPr>
        <w:t>Government</w:t>
      </w:r>
      <w:r w:rsidR="0013374F">
        <w:rPr>
          <w:rFonts w:asciiTheme="minorHAnsi" w:hAnsiTheme="minorHAnsi"/>
        </w:rPr>
        <w:t xml:space="preserve"> Department of Education </w:t>
      </w:r>
      <w:r w:rsidRPr="004A132D">
        <w:rPr>
          <w:rFonts w:asciiTheme="minorHAnsi" w:hAnsiTheme="minorHAnsi"/>
          <w:i/>
        </w:rPr>
        <w:t>Framework for Inclusion 2019-2029</w:t>
      </w:r>
      <w:r w:rsidRPr="004A132D">
        <w:rPr>
          <w:rFonts w:asciiTheme="minorHAnsi" w:hAnsiTheme="minorHAnsi"/>
        </w:rPr>
        <w:t xml:space="preserve"> is a 10</w:t>
      </w:r>
      <w:r w:rsidR="00520DF4" w:rsidRPr="004A132D">
        <w:rPr>
          <w:rFonts w:asciiTheme="minorHAnsi" w:hAnsiTheme="minorHAnsi"/>
        </w:rPr>
        <w:t>-</w:t>
      </w:r>
      <w:r w:rsidRPr="004A132D">
        <w:rPr>
          <w:rFonts w:asciiTheme="minorHAnsi" w:hAnsiTheme="minorHAnsi"/>
        </w:rPr>
        <w:t xml:space="preserve">year strategy to improve inclusive education for all </w:t>
      </w:r>
      <w:r w:rsidR="00DD776F" w:rsidRPr="004A132D">
        <w:rPr>
          <w:rFonts w:asciiTheme="minorHAnsi" w:hAnsiTheme="minorHAnsi"/>
        </w:rPr>
        <w:t>NT</w:t>
      </w:r>
      <w:r w:rsidRPr="004A132D">
        <w:rPr>
          <w:rFonts w:asciiTheme="minorHAnsi" w:hAnsiTheme="minorHAnsi"/>
        </w:rPr>
        <w:t xml:space="preserve"> Government school students. </w:t>
      </w:r>
      <w:r w:rsidRPr="004A132D">
        <w:rPr>
          <w:rFonts w:asciiTheme="minorHAnsi" w:hAnsiTheme="minorHAnsi"/>
          <w:lang w:val="en-AU"/>
        </w:rPr>
        <w:t xml:space="preserve">Consultation is currently underway on </w:t>
      </w:r>
      <w:r w:rsidRPr="004A132D">
        <w:rPr>
          <w:rFonts w:asciiTheme="minorHAnsi" w:hAnsiTheme="minorHAnsi"/>
          <w:lang w:val="en-AU"/>
        </w:rPr>
        <w:lastRenderedPageBreak/>
        <w:t>a Statement of Commitment on Supporting Diversity of Sexual Orientation, Gender Identity and Sex Characteristics in Education</w:t>
      </w:r>
      <w:r w:rsidR="000C6048" w:rsidRPr="004A132D">
        <w:rPr>
          <w:rFonts w:asciiTheme="minorHAnsi" w:hAnsiTheme="minorHAnsi"/>
          <w:lang w:val="en-AU"/>
        </w:rPr>
        <w:t>.</w:t>
      </w:r>
    </w:p>
    <w:p w14:paraId="72412027" w14:textId="4A2EE5CB" w:rsidR="00AC27A2" w:rsidRPr="004A132D" w:rsidRDefault="00AC27A2" w:rsidP="00561D0E">
      <w:pPr>
        <w:pStyle w:val="Numbers"/>
        <w:numPr>
          <w:ilvl w:val="1"/>
          <w:numId w:val="1"/>
        </w:numPr>
        <w:rPr>
          <w:rFonts w:asciiTheme="minorHAnsi" w:hAnsiTheme="minorHAnsi"/>
        </w:rPr>
      </w:pPr>
      <w:r w:rsidRPr="004A132D">
        <w:rPr>
          <w:rFonts w:asciiTheme="minorHAnsi" w:hAnsiTheme="minorHAnsi"/>
        </w:rPr>
        <w:t xml:space="preserve">The </w:t>
      </w:r>
      <w:r w:rsidR="00281D71" w:rsidRPr="004A132D">
        <w:rPr>
          <w:rFonts w:asciiTheme="minorHAnsi" w:hAnsiTheme="minorHAnsi"/>
        </w:rPr>
        <w:t>QLD</w:t>
      </w:r>
      <w:r w:rsidR="009F33CC" w:rsidRPr="004A132D">
        <w:rPr>
          <w:rFonts w:asciiTheme="minorHAnsi" w:hAnsiTheme="minorHAnsi"/>
        </w:rPr>
        <w:t xml:space="preserve"> </w:t>
      </w:r>
      <w:r w:rsidRPr="004A132D">
        <w:rPr>
          <w:rFonts w:asciiTheme="minorHAnsi" w:hAnsiTheme="minorHAnsi"/>
        </w:rPr>
        <w:t xml:space="preserve">Department of </w:t>
      </w:r>
      <w:r w:rsidR="009D0572" w:rsidRPr="004A132D">
        <w:rPr>
          <w:rFonts w:asciiTheme="minorHAnsi" w:hAnsiTheme="minorHAnsi"/>
          <w:lang w:val="en-AU"/>
        </w:rPr>
        <w:t>Education delivers evidence based support, advice and professional development to Queensland state schools and  departmental staff with the capability to provide safe, supportive and inclusive environments for all students, including gender and sexuality-diverse students, based on state and federal anti-discrimination, human rights and education legislation.</w:t>
      </w:r>
    </w:p>
    <w:p w14:paraId="477B7B84" w14:textId="17F7D820" w:rsidR="000C6048" w:rsidRPr="004A132D" w:rsidRDefault="00AC27A2" w:rsidP="00561D0E">
      <w:pPr>
        <w:pStyle w:val="Numbers"/>
        <w:numPr>
          <w:ilvl w:val="1"/>
          <w:numId w:val="1"/>
        </w:numPr>
        <w:rPr>
          <w:rFonts w:asciiTheme="minorHAnsi" w:hAnsiTheme="minorHAnsi"/>
        </w:rPr>
      </w:pPr>
      <w:r w:rsidRPr="004A132D">
        <w:rPr>
          <w:rFonts w:asciiTheme="minorHAnsi" w:hAnsiTheme="minorHAnsi"/>
        </w:rPr>
        <w:t xml:space="preserve">The </w:t>
      </w:r>
      <w:r w:rsidR="00281D71" w:rsidRPr="004A132D">
        <w:rPr>
          <w:rFonts w:asciiTheme="minorHAnsi" w:hAnsiTheme="minorHAnsi"/>
        </w:rPr>
        <w:t>SA</w:t>
      </w:r>
      <w:r w:rsidRPr="004A132D">
        <w:rPr>
          <w:rFonts w:asciiTheme="minorHAnsi" w:hAnsiTheme="minorHAnsi"/>
        </w:rPr>
        <w:t xml:space="preserve"> Department of Education are developing practice guides for educators that clearly articulate the evidence-based strategies and advice to improve learning and wellbeing outcomes for learners with additional needs. Specific practice guides on autism in girls are now available to </w:t>
      </w:r>
      <w:r w:rsidR="00DD776F" w:rsidRPr="004A132D">
        <w:rPr>
          <w:rFonts w:asciiTheme="minorHAnsi" w:hAnsiTheme="minorHAnsi"/>
        </w:rPr>
        <w:t>SA</w:t>
      </w:r>
      <w:r w:rsidRPr="004A132D">
        <w:rPr>
          <w:rFonts w:asciiTheme="minorHAnsi" w:hAnsiTheme="minorHAnsi"/>
        </w:rPr>
        <w:t xml:space="preserve"> schools.</w:t>
      </w:r>
    </w:p>
    <w:p w14:paraId="673E60D3" w14:textId="1D4883C6" w:rsidR="0094337D" w:rsidRPr="004A132D" w:rsidRDefault="00252DCA" w:rsidP="00561D0E">
      <w:pPr>
        <w:pStyle w:val="Numbers"/>
        <w:numPr>
          <w:ilvl w:val="1"/>
          <w:numId w:val="1"/>
        </w:numPr>
        <w:rPr>
          <w:rFonts w:asciiTheme="minorHAnsi" w:hAnsiTheme="minorHAnsi"/>
        </w:rPr>
      </w:pPr>
      <w:r w:rsidRPr="004A132D">
        <w:rPr>
          <w:rFonts w:asciiTheme="minorHAnsi" w:hAnsiTheme="minorHAnsi"/>
        </w:rPr>
        <w:t>TAS Government</w:t>
      </w:r>
      <w:r w:rsidR="00BE0760" w:rsidRPr="004A132D">
        <w:rPr>
          <w:rFonts w:asciiTheme="minorHAnsi" w:hAnsiTheme="minorHAnsi"/>
        </w:rPr>
        <w:t xml:space="preserve"> schools must create Learning Plans to support all students who identify as First Nations Australians, speak English as an Additional Language, and/or have a disability who require educational adjustments.</w:t>
      </w:r>
      <w:r w:rsidR="000C6048" w:rsidRPr="004A132D">
        <w:rPr>
          <w:rFonts w:asciiTheme="minorHAnsi" w:hAnsiTheme="minorHAnsi"/>
        </w:rPr>
        <w:t xml:space="preserve"> </w:t>
      </w:r>
      <w:r w:rsidR="000C6048" w:rsidRPr="004A132D">
        <w:rPr>
          <w:rFonts w:asciiTheme="minorHAnsi" w:hAnsiTheme="minorHAnsi"/>
          <w:lang w:val="en-AU"/>
        </w:rPr>
        <w:t xml:space="preserve">A </w:t>
      </w:r>
      <w:r w:rsidR="005F1FD6" w:rsidRPr="004A132D">
        <w:rPr>
          <w:rFonts w:asciiTheme="minorHAnsi" w:hAnsiTheme="minorHAnsi"/>
          <w:lang w:val="en-AU"/>
        </w:rPr>
        <w:t>number</w:t>
      </w:r>
      <w:r w:rsidR="000C6048" w:rsidRPr="004A132D">
        <w:rPr>
          <w:rFonts w:asciiTheme="minorHAnsi" w:hAnsiTheme="minorHAnsi"/>
          <w:lang w:val="en-AU"/>
        </w:rPr>
        <w:t xml:space="preserve"> of staff including School Support and Wellbeing Teams and Safeguarding Officers in each school to help support any young people who are vulnerable or who present with complex needs. Inclusive Language Guidelines that provide staff and students with advice regarding inclusive language.</w:t>
      </w:r>
    </w:p>
    <w:p w14:paraId="5F1571BE" w14:textId="77777777" w:rsidR="0094337D" w:rsidRPr="004A132D" w:rsidRDefault="00111772" w:rsidP="00561D0E">
      <w:pPr>
        <w:pStyle w:val="Numbers"/>
        <w:numPr>
          <w:ilvl w:val="1"/>
          <w:numId w:val="1"/>
        </w:numPr>
        <w:rPr>
          <w:rFonts w:asciiTheme="minorHAnsi" w:hAnsiTheme="minorHAnsi"/>
        </w:rPr>
      </w:pPr>
      <w:r w:rsidRPr="004A132D">
        <w:rPr>
          <w:rFonts w:asciiTheme="minorHAnsi" w:hAnsiTheme="minorHAnsi"/>
        </w:rPr>
        <w:t>The V</w:t>
      </w:r>
      <w:r w:rsidR="00252DCA" w:rsidRPr="004A132D">
        <w:rPr>
          <w:rFonts w:asciiTheme="minorHAnsi" w:hAnsiTheme="minorHAnsi"/>
        </w:rPr>
        <w:t>IC</w:t>
      </w:r>
      <w:r w:rsidRPr="004A132D">
        <w:rPr>
          <w:rFonts w:asciiTheme="minorHAnsi" w:hAnsiTheme="minorHAnsi"/>
        </w:rPr>
        <w:t xml:space="preserve"> Department of Education supports schools to create a safe and inclusive learning environment through the Child Safe Standards, which are compulsory minimum standards for all V</w:t>
      </w:r>
      <w:r w:rsidR="00DD776F" w:rsidRPr="004A132D">
        <w:rPr>
          <w:rFonts w:asciiTheme="minorHAnsi" w:hAnsiTheme="minorHAnsi"/>
        </w:rPr>
        <w:t>IC</w:t>
      </w:r>
      <w:r w:rsidRPr="004A132D">
        <w:rPr>
          <w:rFonts w:asciiTheme="minorHAnsi" w:hAnsiTheme="minorHAnsi"/>
        </w:rPr>
        <w:t xml:space="preserve"> schools. The Child Safe Standards require schools to uphold diversity and equity in policy and practice, paying particular attention to the needs of students with disability, students from culturally and linguistically diverse backgrounds, students who are unable to live at home, international students, LGBTIQ+ students and Aboriginal students</w:t>
      </w:r>
      <w:r w:rsidR="006A1075" w:rsidRPr="004A132D">
        <w:rPr>
          <w:rFonts w:asciiTheme="minorHAnsi" w:hAnsiTheme="minorHAnsi"/>
        </w:rPr>
        <w:t>,</w:t>
      </w:r>
      <w:r w:rsidRPr="004A132D">
        <w:rPr>
          <w:rFonts w:asciiTheme="minorHAnsi" w:hAnsiTheme="minorHAnsi"/>
        </w:rPr>
        <w:t xml:space="preserve"> and provide and promote a culturally safe environment for them.</w:t>
      </w:r>
    </w:p>
    <w:p w14:paraId="54B95FDD" w14:textId="626B57CA" w:rsidR="006B0CF0" w:rsidRPr="004A132D" w:rsidRDefault="006D131F" w:rsidP="00561D0E">
      <w:pPr>
        <w:pStyle w:val="Numbers"/>
        <w:numPr>
          <w:ilvl w:val="1"/>
          <w:numId w:val="1"/>
        </w:numPr>
        <w:rPr>
          <w:rFonts w:asciiTheme="minorHAnsi" w:hAnsiTheme="minorHAnsi"/>
        </w:rPr>
      </w:pPr>
      <w:r w:rsidRPr="004A132D">
        <w:rPr>
          <w:rFonts w:asciiTheme="minorHAnsi" w:hAnsiTheme="minorHAnsi"/>
        </w:rPr>
        <w:lastRenderedPageBreak/>
        <w:t xml:space="preserve">The WA </w:t>
      </w:r>
      <w:r w:rsidR="00520DF4" w:rsidRPr="004A132D">
        <w:rPr>
          <w:rFonts w:asciiTheme="minorHAnsi" w:hAnsiTheme="minorHAnsi"/>
        </w:rPr>
        <w:t>Government’s Tracks to Two-</w:t>
      </w:r>
      <w:r w:rsidRPr="004A132D">
        <w:rPr>
          <w:rFonts w:asciiTheme="minorHAnsi" w:hAnsiTheme="minorHAnsi"/>
        </w:rPr>
        <w:t>Way Learning resource and associated professional learning aims to improve quality teaching and learning of Aboriginal students through the recognition and acceptance of Aboriginal people’s language backgrounds, including Aboriginal English, and their effects on cross cultural communication.</w:t>
      </w:r>
    </w:p>
    <w:p w14:paraId="669F72F4" w14:textId="4E8023BA" w:rsidR="00D0314D" w:rsidRPr="004A132D" w:rsidRDefault="00D0314D" w:rsidP="00724F8F">
      <w:pPr>
        <w:pStyle w:val="Numbers"/>
        <w:ind w:left="1418"/>
        <w:rPr>
          <w:rFonts w:asciiTheme="minorHAnsi" w:hAnsiTheme="minorHAnsi"/>
        </w:rPr>
      </w:pPr>
      <w:r w:rsidRPr="004A132D">
        <w:rPr>
          <w:rFonts w:asciiTheme="minorHAnsi" w:hAnsiTheme="minorHAnsi"/>
        </w:rPr>
        <w:t>The Australian Government is responding to high rates of sexual violence on university campuses including through a National Higher Education Code to Prevent and Respond to Gender-based Violence and by establishing an independent National Student Ombudsman.</w:t>
      </w:r>
    </w:p>
    <w:p w14:paraId="0E09FA66" w14:textId="77777777" w:rsidR="00740564" w:rsidRPr="004A132D" w:rsidRDefault="000C6048" w:rsidP="000C6048">
      <w:pPr>
        <w:pStyle w:val="Heading2"/>
      </w:pPr>
      <w:bookmarkStart w:id="124" w:name="_Toc174011715"/>
      <w:bookmarkStart w:id="125" w:name="_Toc175556812"/>
      <w:r w:rsidRPr="004A132D">
        <w:t xml:space="preserve">Question 16d: </w:t>
      </w:r>
      <w:r w:rsidR="008109DC" w:rsidRPr="004A132D">
        <w:t>Secondary schools established in Indigenous communities</w:t>
      </w:r>
      <w:bookmarkEnd w:id="124"/>
      <w:bookmarkEnd w:id="125"/>
      <w:r w:rsidR="006B0CF0" w:rsidRPr="004A132D">
        <w:t xml:space="preserve"> </w:t>
      </w:r>
    </w:p>
    <w:p w14:paraId="2FD7C2EB" w14:textId="451B30F8" w:rsidR="000C6048" w:rsidRPr="004A132D" w:rsidRDefault="000C6048" w:rsidP="00724F8F">
      <w:pPr>
        <w:pStyle w:val="Numbers"/>
        <w:tabs>
          <w:tab w:val="clear" w:pos="2835"/>
        </w:tabs>
        <w:ind w:left="1418"/>
        <w:rPr>
          <w:rFonts w:asciiTheme="minorHAnsi" w:hAnsiTheme="minorHAnsi"/>
        </w:rPr>
      </w:pPr>
      <w:r w:rsidRPr="004A132D">
        <w:rPr>
          <w:rFonts w:asciiTheme="minorHAnsi" w:hAnsiTheme="minorHAnsi"/>
        </w:rPr>
        <w:t xml:space="preserve">Australia is committed to ensuring secondary schools are accessible and established in Indigenous communities. For example:  </w:t>
      </w:r>
    </w:p>
    <w:p w14:paraId="035D7D21" w14:textId="77777777" w:rsidR="009A7BD9" w:rsidRPr="004A132D" w:rsidRDefault="009A7BD9" w:rsidP="00561D0E">
      <w:pPr>
        <w:pStyle w:val="Numbers"/>
        <w:numPr>
          <w:ilvl w:val="1"/>
          <w:numId w:val="1"/>
        </w:numPr>
        <w:rPr>
          <w:rFonts w:asciiTheme="minorHAnsi" w:hAnsiTheme="minorHAnsi"/>
        </w:rPr>
      </w:pPr>
      <w:r w:rsidRPr="004A132D">
        <w:rPr>
          <w:rFonts w:asciiTheme="minorHAnsi" w:hAnsiTheme="minorHAnsi"/>
        </w:rPr>
        <w:t>NSW has 11 secondary or central/community government schools in remote and very remote areas with a majority of Aboriginal and Torres Strait Islander students enrolled.</w:t>
      </w:r>
    </w:p>
    <w:p w14:paraId="3496009A" w14:textId="671F084C" w:rsidR="00884169" w:rsidRPr="004A132D" w:rsidRDefault="00DD776F" w:rsidP="00561D0E">
      <w:pPr>
        <w:pStyle w:val="Numbers"/>
        <w:numPr>
          <w:ilvl w:val="1"/>
          <w:numId w:val="1"/>
        </w:numPr>
        <w:rPr>
          <w:rFonts w:asciiTheme="minorHAnsi" w:hAnsiTheme="minorHAnsi"/>
        </w:rPr>
      </w:pPr>
      <w:r w:rsidRPr="004A132D">
        <w:rPr>
          <w:rFonts w:asciiTheme="minorHAnsi" w:hAnsiTheme="minorHAnsi"/>
        </w:rPr>
        <w:t>NT</w:t>
      </w:r>
      <w:r w:rsidR="00884169" w:rsidRPr="004A132D">
        <w:rPr>
          <w:rFonts w:asciiTheme="minorHAnsi" w:hAnsiTheme="minorHAnsi"/>
        </w:rPr>
        <w:t xml:space="preserve"> has 9</w:t>
      </w:r>
      <w:r w:rsidR="00063210" w:rsidRPr="004A132D">
        <w:rPr>
          <w:rFonts w:asciiTheme="minorHAnsi" w:hAnsiTheme="minorHAnsi"/>
        </w:rPr>
        <w:t>4</w:t>
      </w:r>
      <w:r w:rsidR="00884169" w:rsidRPr="004A132D">
        <w:rPr>
          <w:rFonts w:asciiTheme="minorHAnsi" w:hAnsiTheme="minorHAnsi"/>
        </w:rPr>
        <w:t xml:space="preserve"> combined and secondary schools located throughout remote and very remote areas with a majority of Indigenous students</w:t>
      </w:r>
      <w:r w:rsidR="007F2448" w:rsidRPr="004A132D">
        <w:rPr>
          <w:rFonts w:asciiTheme="minorHAnsi" w:hAnsiTheme="minorHAnsi"/>
        </w:rPr>
        <w:t xml:space="preserve"> </w:t>
      </w:r>
      <w:r w:rsidR="00063210" w:rsidRPr="004A132D">
        <w:rPr>
          <w:rFonts w:asciiTheme="minorHAnsi" w:hAnsiTheme="minorHAnsi"/>
        </w:rPr>
        <w:t>enrolled</w:t>
      </w:r>
      <w:r w:rsidR="00884169" w:rsidRPr="004A132D">
        <w:rPr>
          <w:rFonts w:asciiTheme="minorHAnsi" w:hAnsiTheme="minorHAnsi"/>
        </w:rPr>
        <w:t xml:space="preserve">. </w:t>
      </w:r>
    </w:p>
    <w:p w14:paraId="79A1F4D3" w14:textId="77777777" w:rsidR="005A5D03" w:rsidRPr="004A132D" w:rsidRDefault="005A5D03" w:rsidP="00561D0E">
      <w:pPr>
        <w:pStyle w:val="Numbers"/>
        <w:numPr>
          <w:ilvl w:val="1"/>
          <w:numId w:val="1"/>
        </w:numPr>
        <w:rPr>
          <w:rFonts w:asciiTheme="minorHAnsi" w:hAnsiTheme="minorHAnsi"/>
        </w:rPr>
      </w:pPr>
      <w:r w:rsidRPr="004A132D">
        <w:rPr>
          <w:rFonts w:asciiTheme="minorHAnsi" w:hAnsiTheme="minorHAnsi"/>
        </w:rPr>
        <w:t>Q</w:t>
      </w:r>
      <w:r w:rsidR="00DD776F" w:rsidRPr="004A132D">
        <w:rPr>
          <w:rFonts w:asciiTheme="minorHAnsi" w:hAnsiTheme="minorHAnsi"/>
        </w:rPr>
        <w:t>LD</w:t>
      </w:r>
      <w:r w:rsidRPr="004A132D">
        <w:rPr>
          <w:rFonts w:asciiTheme="minorHAnsi" w:hAnsiTheme="minorHAnsi"/>
        </w:rPr>
        <w:t xml:space="preserve"> has </w:t>
      </w:r>
      <w:r w:rsidR="00024C19" w:rsidRPr="004A132D">
        <w:rPr>
          <w:rFonts w:asciiTheme="minorHAnsi" w:hAnsiTheme="minorHAnsi"/>
        </w:rPr>
        <w:t>17</w:t>
      </w:r>
      <w:r w:rsidRPr="004A132D">
        <w:rPr>
          <w:rFonts w:asciiTheme="minorHAnsi" w:hAnsiTheme="minorHAnsi"/>
        </w:rPr>
        <w:t xml:space="preserve"> schools located in Aboriginal and Torres Strait Islander communities.</w:t>
      </w:r>
    </w:p>
    <w:p w14:paraId="553A3D89" w14:textId="77777777" w:rsidR="00884169" w:rsidRPr="004A132D" w:rsidRDefault="00DD776F" w:rsidP="00561D0E">
      <w:pPr>
        <w:pStyle w:val="Numbers"/>
        <w:numPr>
          <w:ilvl w:val="1"/>
          <w:numId w:val="1"/>
        </w:numPr>
        <w:rPr>
          <w:rFonts w:asciiTheme="minorHAnsi" w:hAnsiTheme="minorHAnsi"/>
        </w:rPr>
      </w:pPr>
      <w:r w:rsidRPr="004A132D">
        <w:rPr>
          <w:rFonts w:asciiTheme="minorHAnsi" w:hAnsiTheme="minorHAnsi"/>
        </w:rPr>
        <w:t>SA</w:t>
      </w:r>
      <w:r w:rsidR="00884169" w:rsidRPr="004A132D">
        <w:rPr>
          <w:rFonts w:asciiTheme="minorHAnsi" w:hAnsiTheme="minorHAnsi"/>
        </w:rPr>
        <w:t xml:space="preserve"> has 15 combined primary and secondary schools servicing regional and remote Indigenous communities.</w:t>
      </w:r>
    </w:p>
    <w:p w14:paraId="3657866A" w14:textId="5A7D95FE" w:rsidR="006A5425" w:rsidRPr="004A132D" w:rsidRDefault="009231DF" w:rsidP="00561D0E">
      <w:pPr>
        <w:pStyle w:val="Numbers"/>
        <w:numPr>
          <w:ilvl w:val="1"/>
          <w:numId w:val="1"/>
        </w:numPr>
        <w:rPr>
          <w:rFonts w:asciiTheme="minorHAnsi" w:hAnsiTheme="minorHAnsi"/>
        </w:rPr>
      </w:pPr>
      <w:r w:rsidRPr="004A132D">
        <w:rPr>
          <w:rFonts w:asciiTheme="minorHAnsi" w:hAnsiTheme="minorHAnsi"/>
          <w:lang w:val="en-AU"/>
        </w:rPr>
        <w:t xml:space="preserve">In 2024, there are 21 public remote community schools in </w:t>
      </w:r>
      <w:r w:rsidR="0013374F">
        <w:rPr>
          <w:rFonts w:asciiTheme="minorHAnsi" w:hAnsiTheme="minorHAnsi"/>
          <w:lang w:val="en-AU"/>
        </w:rPr>
        <w:t>WA</w:t>
      </w:r>
      <w:r w:rsidRPr="004A132D">
        <w:rPr>
          <w:rFonts w:asciiTheme="minorHAnsi" w:hAnsiTheme="minorHAnsi"/>
          <w:lang w:val="en-AU"/>
        </w:rPr>
        <w:t>, some of which have campuses in multiple remote communities.</w:t>
      </w:r>
    </w:p>
    <w:p w14:paraId="56CC5B96" w14:textId="77777777" w:rsidR="008109DC" w:rsidRPr="004A132D" w:rsidRDefault="000C6048" w:rsidP="004B395D">
      <w:pPr>
        <w:pStyle w:val="Heading2"/>
        <w:keepNext/>
      </w:pPr>
      <w:bookmarkStart w:id="126" w:name="_Toc174011716"/>
      <w:bookmarkStart w:id="127" w:name="_Toc175556813"/>
      <w:r w:rsidRPr="004A132D">
        <w:t xml:space="preserve">Question 16d: </w:t>
      </w:r>
      <w:r w:rsidR="005A5D03" w:rsidRPr="004A132D">
        <w:t>I</w:t>
      </w:r>
      <w:r w:rsidR="008109DC" w:rsidRPr="004A132D">
        <w:t>ncorporating education on First Nations communities into the school curriculum</w:t>
      </w:r>
      <w:bookmarkEnd w:id="126"/>
      <w:bookmarkEnd w:id="127"/>
    </w:p>
    <w:p w14:paraId="78E2637A" w14:textId="77777777" w:rsidR="00E73077" w:rsidRPr="004A132D" w:rsidRDefault="00B06C0B" w:rsidP="00724F8F">
      <w:pPr>
        <w:pStyle w:val="Numbers"/>
        <w:tabs>
          <w:tab w:val="clear" w:pos="2835"/>
        </w:tabs>
        <w:ind w:left="1418"/>
        <w:rPr>
          <w:rFonts w:asciiTheme="minorHAnsi" w:hAnsiTheme="minorHAnsi"/>
        </w:rPr>
      </w:pPr>
      <w:r w:rsidRPr="004A132D">
        <w:rPr>
          <w:rFonts w:asciiTheme="minorHAnsi" w:hAnsiTheme="minorHAnsi"/>
        </w:rPr>
        <w:t>The A</w:t>
      </w:r>
      <w:r w:rsidR="00E73077" w:rsidRPr="004A132D">
        <w:rPr>
          <w:rFonts w:asciiTheme="minorHAnsi" w:hAnsiTheme="minorHAnsi"/>
        </w:rPr>
        <w:t>ustralian Government is com</w:t>
      </w:r>
      <w:r w:rsidRPr="004A132D">
        <w:rPr>
          <w:rFonts w:asciiTheme="minorHAnsi" w:hAnsiTheme="minorHAnsi"/>
        </w:rPr>
        <w:t xml:space="preserve">mitted to a national curriculum </w:t>
      </w:r>
      <w:r w:rsidR="00F741DA" w:rsidRPr="004A132D">
        <w:rPr>
          <w:rFonts w:asciiTheme="minorHAnsi" w:hAnsiTheme="minorHAnsi"/>
        </w:rPr>
        <w:t>that</w:t>
      </w:r>
      <w:r w:rsidRPr="004A132D">
        <w:rPr>
          <w:rFonts w:asciiTheme="minorHAnsi" w:hAnsiTheme="minorHAnsi"/>
        </w:rPr>
        <w:t xml:space="preserve"> incorporates education on First Nations histories and cultures.</w:t>
      </w:r>
      <w:r w:rsidR="00E73077" w:rsidRPr="004A132D">
        <w:rPr>
          <w:rFonts w:asciiTheme="minorHAnsi" w:hAnsiTheme="minorHAnsi"/>
        </w:rPr>
        <w:t xml:space="preserve"> </w:t>
      </w:r>
    </w:p>
    <w:p w14:paraId="200F454B" w14:textId="32A7DFE5" w:rsidR="00467E06" w:rsidRPr="004A132D" w:rsidRDefault="00E73077" w:rsidP="00724F8F">
      <w:pPr>
        <w:pStyle w:val="Numbers"/>
        <w:tabs>
          <w:tab w:val="clear" w:pos="2835"/>
        </w:tabs>
        <w:ind w:left="1418"/>
        <w:rPr>
          <w:rFonts w:asciiTheme="minorHAnsi" w:hAnsiTheme="minorHAnsi"/>
          <w:lang w:val="en-NZ"/>
        </w:rPr>
      </w:pPr>
      <w:r w:rsidRPr="004A132D">
        <w:rPr>
          <w:rFonts w:asciiTheme="minorHAnsi" w:hAnsiTheme="minorHAnsi"/>
        </w:rPr>
        <w:t xml:space="preserve">Version 9.0 of the Australian Curriculum includes deepening students’ understanding of First </w:t>
      </w:r>
      <w:r w:rsidR="00F741DA" w:rsidRPr="004A132D">
        <w:rPr>
          <w:rFonts w:asciiTheme="minorHAnsi" w:hAnsiTheme="minorHAnsi"/>
        </w:rPr>
        <w:t xml:space="preserve">Nations histories and cultures and their contribution to the </w:t>
      </w:r>
      <w:r w:rsidR="00F741DA" w:rsidRPr="004A132D">
        <w:rPr>
          <w:rFonts w:asciiTheme="minorHAnsi" w:hAnsiTheme="minorHAnsi"/>
        </w:rPr>
        <w:lastRenderedPageBreak/>
        <w:t xml:space="preserve">building of modern Australia, as well as </w:t>
      </w:r>
      <w:r w:rsidRPr="004A132D">
        <w:rPr>
          <w:rFonts w:asciiTheme="minorHAnsi" w:hAnsiTheme="minorHAnsi"/>
        </w:rPr>
        <w:t xml:space="preserve">the </w:t>
      </w:r>
      <w:r w:rsidR="00F741DA" w:rsidRPr="004A132D">
        <w:rPr>
          <w:rFonts w:asciiTheme="minorHAnsi" w:hAnsiTheme="minorHAnsi"/>
        </w:rPr>
        <w:t>perspectives of</w:t>
      </w:r>
      <w:r w:rsidRPr="004A132D">
        <w:rPr>
          <w:rFonts w:asciiTheme="minorHAnsi" w:hAnsiTheme="minorHAnsi"/>
        </w:rPr>
        <w:t xml:space="preserve"> First Nations peoples </w:t>
      </w:r>
      <w:r w:rsidR="00F741DA" w:rsidRPr="004A132D">
        <w:rPr>
          <w:rFonts w:asciiTheme="minorHAnsi" w:hAnsiTheme="minorHAnsi"/>
        </w:rPr>
        <w:t>on</w:t>
      </w:r>
      <w:r w:rsidRPr="004A132D">
        <w:rPr>
          <w:rFonts w:asciiTheme="minorHAnsi" w:hAnsiTheme="minorHAnsi"/>
        </w:rPr>
        <w:t xml:space="preserve"> the arrival of British settlers</w:t>
      </w:r>
      <w:r w:rsidR="00F741DA" w:rsidRPr="004A132D">
        <w:rPr>
          <w:rFonts w:asciiTheme="minorHAnsi" w:hAnsiTheme="minorHAnsi"/>
        </w:rPr>
        <w:t xml:space="preserve"> and </w:t>
      </w:r>
      <w:r w:rsidR="006B0CF0" w:rsidRPr="004A132D">
        <w:rPr>
          <w:rFonts w:asciiTheme="minorHAnsi" w:hAnsiTheme="minorHAnsi"/>
        </w:rPr>
        <w:t>its</w:t>
      </w:r>
      <w:r w:rsidR="00F741DA" w:rsidRPr="004A132D">
        <w:rPr>
          <w:rFonts w:asciiTheme="minorHAnsi" w:hAnsiTheme="minorHAnsi"/>
        </w:rPr>
        <w:t xml:space="preserve"> impact</w:t>
      </w:r>
      <w:r w:rsidR="006B0CF0" w:rsidRPr="004A132D">
        <w:rPr>
          <w:rFonts w:asciiTheme="minorHAnsi" w:hAnsiTheme="minorHAnsi"/>
        </w:rPr>
        <w:t>.</w:t>
      </w:r>
      <w:r w:rsidRPr="004A132D">
        <w:rPr>
          <w:rFonts w:asciiTheme="minorHAnsi" w:hAnsiTheme="minorHAnsi"/>
        </w:rPr>
        <w:t xml:space="preserve"> </w:t>
      </w:r>
      <w:r w:rsidR="00F741DA" w:rsidRPr="004A132D">
        <w:rPr>
          <w:rFonts w:asciiTheme="minorHAnsi" w:hAnsiTheme="minorHAnsi"/>
        </w:rPr>
        <w:t>T</w:t>
      </w:r>
      <w:r w:rsidRPr="004A132D">
        <w:rPr>
          <w:rFonts w:asciiTheme="minorHAnsi" w:hAnsiTheme="minorHAnsi"/>
        </w:rPr>
        <w:t>here are improved links between learning areas and cross-curriculum priorities, including Aboriginal and Torres Strait Islander Histories and Cultures cross-curriculum priority.</w:t>
      </w:r>
      <w:r w:rsidR="00467E06" w:rsidRPr="004A132D">
        <w:rPr>
          <w:rFonts w:asciiTheme="minorHAnsi" w:hAnsiTheme="minorHAnsi"/>
          <w:lang w:val="en-NZ"/>
        </w:rPr>
        <w:t xml:space="preserve"> States and territories have adopted a range of additional education such </w:t>
      </w:r>
      <w:r w:rsidR="0057786D" w:rsidRPr="004A132D">
        <w:rPr>
          <w:rFonts w:asciiTheme="minorHAnsi" w:hAnsiTheme="minorHAnsi"/>
          <w:lang w:val="en-NZ"/>
        </w:rPr>
        <w:t xml:space="preserve">as </w:t>
      </w:r>
      <w:r w:rsidR="00467E06" w:rsidRPr="004A132D">
        <w:rPr>
          <w:rFonts w:asciiTheme="minorHAnsi" w:hAnsiTheme="minorHAnsi"/>
          <w:lang w:val="en-NZ"/>
        </w:rPr>
        <w:t xml:space="preserve">learning about local Aboriginal communities and language learning opportunities.  </w:t>
      </w:r>
    </w:p>
    <w:p w14:paraId="04E21F66" w14:textId="77777777" w:rsidR="006E05FD" w:rsidRPr="005F6B4E" w:rsidRDefault="00F31E2F" w:rsidP="005F6B4E">
      <w:pPr>
        <w:pStyle w:val="Heading1"/>
      </w:pPr>
      <w:bookmarkStart w:id="128" w:name="_Toc174011717"/>
      <w:bookmarkStart w:id="129" w:name="_Toc175556814"/>
      <w:r w:rsidRPr="005F6B4E">
        <w:t xml:space="preserve">Question 17: </w:t>
      </w:r>
      <w:r w:rsidR="006E05FD" w:rsidRPr="005F6B4E">
        <w:t>Employment</w:t>
      </w:r>
      <w:bookmarkEnd w:id="128"/>
      <w:bookmarkEnd w:id="129"/>
    </w:p>
    <w:p w14:paraId="71DB34AA" w14:textId="77777777" w:rsidR="00E33E1E" w:rsidRPr="004A132D" w:rsidRDefault="00E33E1E" w:rsidP="00670802">
      <w:pPr>
        <w:pStyle w:val="Heading2"/>
      </w:pPr>
      <w:bookmarkStart w:id="130" w:name="_Toc174011718"/>
      <w:bookmarkStart w:id="131" w:name="_Toc175556815"/>
      <w:r w:rsidRPr="004A132D">
        <w:t>Addressing gender segregated industries and occupations</w:t>
      </w:r>
      <w:bookmarkEnd w:id="130"/>
      <w:bookmarkEnd w:id="131"/>
    </w:p>
    <w:p w14:paraId="018048D6" w14:textId="77777777" w:rsidR="00670802" w:rsidRPr="004A132D" w:rsidRDefault="00670802" w:rsidP="00724F8F">
      <w:pPr>
        <w:pStyle w:val="Numbers"/>
        <w:tabs>
          <w:tab w:val="clear" w:pos="2835"/>
        </w:tabs>
        <w:ind w:left="1418"/>
        <w:rPr>
          <w:rFonts w:asciiTheme="minorHAnsi" w:hAnsiTheme="minorHAnsi"/>
        </w:rPr>
      </w:pPr>
      <w:r w:rsidRPr="004A132D">
        <w:rPr>
          <w:rFonts w:asciiTheme="minorHAnsi" w:hAnsiTheme="minorHAnsi"/>
        </w:rPr>
        <w:t xml:space="preserve">Australia’s labour market is highly segregated by industry and occupation. Workforce gender segregation contributes to the gender pay and wealth gap, as men continue to dominate in industries and occupations with higher earnings. A highly gendered workforce also increases the risk of workforce shortages. </w:t>
      </w:r>
    </w:p>
    <w:p w14:paraId="3176DC96" w14:textId="77777777" w:rsidR="0057786D" w:rsidRPr="004A132D" w:rsidRDefault="0057786D" w:rsidP="00724F8F">
      <w:pPr>
        <w:pStyle w:val="Numbers"/>
        <w:tabs>
          <w:tab w:val="clear" w:pos="2835"/>
        </w:tabs>
        <w:ind w:left="1418"/>
        <w:rPr>
          <w:rFonts w:asciiTheme="minorHAnsi" w:hAnsiTheme="minorHAnsi"/>
        </w:rPr>
      </w:pPr>
      <w:r w:rsidRPr="004A132D">
        <w:rPr>
          <w:rFonts w:asciiTheme="minorHAnsi" w:hAnsiTheme="minorHAnsi"/>
        </w:rPr>
        <w:t xml:space="preserve">The Working for Women Strategy outlines Australia’s vision to </w:t>
      </w:r>
      <w:r w:rsidR="00447C6C" w:rsidRPr="004A132D">
        <w:rPr>
          <w:rFonts w:asciiTheme="minorHAnsi" w:hAnsiTheme="minorHAnsi"/>
        </w:rPr>
        <w:t xml:space="preserve">achieve less gender segregated </w:t>
      </w:r>
      <w:r w:rsidRPr="004A132D">
        <w:rPr>
          <w:rFonts w:asciiTheme="minorHAnsi" w:hAnsiTheme="minorHAnsi"/>
        </w:rPr>
        <w:t xml:space="preserve">industries and occupations, </w:t>
      </w:r>
      <w:r w:rsidR="00447C6C" w:rsidRPr="004A132D">
        <w:rPr>
          <w:rFonts w:asciiTheme="minorHAnsi" w:hAnsiTheme="minorHAnsi"/>
        </w:rPr>
        <w:t>whilst</w:t>
      </w:r>
      <w:r w:rsidRPr="004A132D">
        <w:rPr>
          <w:rFonts w:asciiTheme="minorHAnsi" w:hAnsiTheme="minorHAnsi"/>
        </w:rPr>
        <w:t xml:space="preserve"> reco</w:t>
      </w:r>
      <w:r w:rsidR="00447C6C" w:rsidRPr="004A132D">
        <w:rPr>
          <w:rFonts w:asciiTheme="minorHAnsi" w:hAnsiTheme="minorHAnsi"/>
        </w:rPr>
        <w:t>gnising</w:t>
      </w:r>
      <w:r w:rsidRPr="004A132D">
        <w:rPr>
          <w:rFonts w:asciiTheme="minorHAnsi" w:hAnsiTheme="minorHAnsi"/>
        </w:rPr>
        <w:t xml:space="preserve"> that gender attitudes and stereotypes about ‘men’s and women’s work’ and a higher valuing of feminised industries is needed to drive change. </w:t>
      </w:r>
    </w:p>
    <w:p w14:paraId="37F92BBA" w14:textId="77777777" w:rsidR="0038615C" w:rsidRPr="004A132D" w:rsidRDefault="0070565D" w:rsidP="00724F8F">
      <w:pPr>
        <w:pStyle w:val="Numbers"/>
        <w:tabs>
          <w:tab w:val="clear" w:pos="2835"/>
        </w:tabs>
        <w:ind w:left="1418"/>
        <w:rPr>
          <w:rFonts w:asciiTheme="minorHAnsi" w:hAnsiTheme="minorHAnsi"/>
        </w:rPr>
      </w:pPr>
      <w:r w:rsidRPr="004A132D">
        <w:rPr>
          <w:rFonts w:asciiTheme="minorHAnsi" w:hAnsiTheme="minorHAnsi"/>
        </w:rPr>
        <w:t>Australia’s</w:t>
      </w:r>
      <w:r w:rsidR="00670802" w:rsidRPr="004A132D">
        <w:rPr>
          <w:rFonts w:asciiTheme="minorHAnsi" w:hAnsiTheme="minorHAnsi"/>
        </w:rPr>
        <w:t xml:space="preserve"> efforts to address this include action across education, through procu</w:t>
      </w:r>
      <w:r w:rsidR="0038615C" w:rsidRPr="004A132D">
        <w:rPr>
          <w:rFonts w:asciiTheme="minorHAnsi" w:hAnsiTheme="minorHAnsi"/>
        </w:rPr>
        <w:t>rement and in priority sectors</w:t>
      </w:r>
      <w:r w:rsidRPr="004A132D">
        <w:rPr>
          <w:rFonts w:asciiTheme="minorHAnsi" w:hAnsiTheme="minorHAnsi"/>
        </w:rPr>
        <w:t xml:space="preserve">. Further initiatives </w:t>
      </w:r>
      <w:r w:rsidR="001B3CF8" w:rsidRPr="004A132D">
        <w:rPr>
          <w:rFonts w:asciiTheme="minorHAnsi" w:hAnsiTheme="minorHAnsi"/>
        </w:rPr>
        <w:t>including on Fee-Free TAFE, the Australian</w:t>
      </w:r>
      <w:r w:rsidR="00643724" w:rsidRPr="004A132D">
        <w:rPr>
          <w:rFonts w:asciiTheme="minorHAnsi" w:hAnsiTheme="minorHAnsi"/>
        </w:rPr>
        <w:t xml:space="preserve"> Skills Guarantee</w:t>
      </w:r>
      <w:r w:rsidR="00677F1C" w:rsidRPr="004A132D">
        <w:rPr>
          <w:rFonts w:asciiTheme="minorHAnsi" w:hAnsiTheme="minorHAnsi"/>
        </w:rPr>
        <w:t>, Equal by 30 campaign, and initiatives to promote women and girls in STEM and non-traditional careers</w:t>
      </w:r>
      <w:r w:rsidR="001B3CF8" w:rsidRPr="004A132D">
        <w:rPr>
          <w:rFonts w:asciiTheme="minorHAnsi" w:hAnsiTheme="minorHAnsi"/>
        </w:rPr>
        <w:t xml:space="preserve"> </w:t>
      </w:r>
      <w:r w:rsidRPr="004A132D">
        <w:rPr>
          <w:rFonts w:asciiTheme="minorHAnsi" w:hAnsiTheme="minorHAnsi"/>
        </w:rPr>
        <w:t>are outlined in questions 7</w:t>
      </w:r>
      <w:r w:rsidR="00677F1C" w:rsidRPr="004A132D">
        <w:rPr>
          <w:rFonts w:asciiTheme="minorHAnsi" w:hAnsiTheme="minorHAnsi"/>
        </w:rPr>
        <w:t>,</w:t>
      </w:r>
      <w:r w:rsidRPr="004A132D">
        <w:rPr>
          <w:rFonts w:asciiTheme="minorHAnsi" w:hAnsiTheme="minorHAnsi"/>
        </w:rPr>
        <w:t xml:space="preserve"> 11</w:t>
      </w:r>
      <w:r w:rsidR="00677F1C" w:rsidRPr="004A132D">
        <w:rPr>
          <w:rFonts w:asciiTheme="minorHAnsi" w:hAnsiTheme="minorHAnsi"/>
        </w:rPr>
        <w:t xml:space="preserve"> and</w:t>
      </w:r>
      <w:r w:rsidRPr="004A132D">
        <w:rPr>
          <w:rFonts w:asciiTheme="minorHAnsi" w:hAnsiTheme="minorHAnsi"/>
        </w:rPr>
        <w:t xml:space="preserve"> 16b.</w:t>
      </w:r>
    </w:p>
    <w:p w14:paraId="6D0F5D9D" w14:textId="77CC1D17" w:rsidR="00643724" w:rsidRPr="004A132D" w:rsidRDefault="00643724" w:rsidP="00561D0E">
      <w:pPr>
        <w:pStyle w:val="Numbers"/>
        <w:numPr>
          <w:ilvl w:val="1"/>
          <w:numId w:val="1"/>
        </w:numPr>
        <w:rPr>
          <w:rFonts w:asciiTheme="minorHAnsi" w:hAnsiTheme="minorHAnsi"/>
        </w:rPr>
      </w:pPr>
      <w:r w:rsidRPr="004A132D">
        <w:rPr>
          <w:rFonts w:asciiTheme="minorHAnsi" w:hAnsiTheme="minorHAnsi"/>
        </w:rPr>
        <w:t xml:space="preserve">The Government will invest $55.6 million over </w:t>
      </w:r>
      <w:r w:rsidR="00520DF4" w:rsidRPr="004A132D">
        <w:rPr>
          <w:rFonts w:asciiTheme="minorHAnsi" w:hAnsiTheme="minorHAnsi"/>
        </w:rPr>
        <w:t>4</w:t>
      </w:r>
      <w:r w:rsidRPr="004A132D">
        <w:rPr>
          <w:rFonts w:asciiTheme="minorHAnsi" w:hAnsiTheme="minorHAnsi"/>
        </w:rPr>
        <w:t xml:space="preserve"> years, commencing in 2024–25, in the Building Women’s Careers program which will drive structural and systemic change in training and work environments. The program will fund large-scale projects and smaller, place-based partnerships to improve women’s access to flexible, safe and inclusive training and work opportunities in key male-dominated industries.</w:t>
      </w:r>
    </w:p>
    <w:p w14:paraId="01874CDF" w14:textId="77777777" w:rsidR="0070565D" w:rsidRPr="004A132D" w:rsidRDefault="0070565D" w:rsidP="00561D0E">
      <w:pPr>
        <w:pStyle w:val="Numbers"/>
        <w:numPr>
          <w:ilvl w:val="1"/>
          <w:numId w:val="1"/>
        </w:numPr>
        <w:rPr>
          <w:rFonts w:asciiTheme="minorHAnsi" w:hAnsiTheme="minorHAnsi"/>
        </w:rPr>
      </w:pPr>
      <w:r w:rsidRPr="004A132D">
        <w:rPr>
          <w:rFonts w:asciiTheme="minorHAnsi" w:hAnsiTheme="minorHAnsi"/>
        </w:rPr>
        <w:t>The Australian Government has developed a new Australian Apprenticeship service delivery model with additional support for women in male dominated trades.</w:t>
      </w:r>
    </w:p>
    <w:p w14:paraId="3E9CABCD" w14:textId="77777777" w:rsidR="00E33E1E" w:rsidRPr="004A132D" w:rsidRDefault="00E33E1E" w:rsidP="00670802">
      <w:pPr>
        <w:pStyle w:val="Heading2"/>
      </w:pPr>
      <w:bookmarkStart w:id="132" w:name="_Toc174011719"/>
      <w:bookmarkStart w:id="133" w:name="_Toc175556816"/>
      <w:r w:rsidRPr="004A132D">
        <w:lastRenderedPageBreak/>
        <w:t>Implement the principle of equal pay for work of equal value</w:t>
      </w:r>
      <w:bookmarkEnd w:id="132"/>
      <w:bookmarkEnd w:id="133"/>
    </w:p>
    <w:p w14:paraId="1B77B86F" w14:textId="77777777" w:rsidR="00E33E1E" w:rsidRPr="004A132D" w:rsidRDefault="00670802" w:rsidP="00724F8F">
      <w:pPr>
        <w:pStyle w:val="Numbers"/>
        <w:tabs>
          <w:tab w:val="clear" w:pos="2835"/>
        </w:tabs>
        <w:ind w:left="1418"/>
        <w:rPr>
          <w:rFonts w:asciiTheme="minorHAnsi" w:hAnsiTheme="minorHAnsi"/>
        </w:rPr>
      </w:pPr>
      <w:r w:rsidRPr="004A132D">
        <w:rPr>
          <w:rFonts w:asciiTheme="minorHAnsi" w:hAnsiTheme="minorHAnsi"/>
        </w:rPr>
        <w:t>Employers must pay all employees equally for work of equal or comparable value. Best practice employers understand the benefits of creating a culture that promotes gender pay equity.</w:t>
      </w:r>
    </w:p>
    <w:p w14:paraId="5AEB3AE9" w14:textId="5CEB440E" w:rsidR="00670802" w:rsidRPr="004A132D" w:rsidRDefault="00670802" w:rsidP="00724F8F">
      <w:pPr>
        <w:pStyle w:val="Numbers"/>
        <w:tabs>
          <w:tab w:val="clear" w:pos="2835"/>
        </w:tabs>
        <w:ind w:left="1418"/>
        <w:rPr>
          <w:rFonts w:asciiTheme="minorHAnsi" w:hAnsiTheme="minorHAnsi"/>
        </w:rPr>
      </w:pPr>
      <w:r w:rsidRPr="004A132D">
        <w:rPr>
          <w:rFonts w:asciiTheme="minorHAnsi" w:hAnsiTheme="minorHAnsi"/>
        </w:rPr>
        <w:t>Australia has improved transparency and reporting on the gender p</w:t>
      </w:r>
      <w:r w:rsidR="00464FD9" w:rsidRPr="004A132D">
        <w:rPr>
          <w:rFonts w:asciiTheme="minorHAnsi" w:hAnsiTheme="minorHAnsi"/>
        </w:rPr>
        <w:t xml:space="preserve">ay gap including amendments to the </w:t>
      </w:r>
      <w:r w:rsidR="00613FAB" w:rsidRPr="004A132D">
        <w:rPr>
          <w:rFonts w:asciiTheme="minorHAnsi" w:hAnsiTheme="minorHAnsi"/>
        </w:rPr>
        <w:t>WGE</w:t>
      </w:r>
      <w:r w:rsidR="000E2B9D" w:rsidRPr="004A132D">
        <w:rPr>
          <w:rFonts w:asciiTheme="minorHAnsi" w:hAnsiTheme="minorHAnsi"/>
        </w:rPr>
        <w:t xml:space="preserve"> Act. </w:t>
      </w:r>
      <w:r w:rsidR="00464FD9" w:rsidRPr="004A132D">
        <w:rPr>
          <w:rFonts w:asciiTheme="minorHAnsi" w:hAnsiTheme="minorHAnsi"/>
        </w:rPr>
        <w:t xml:space="preserve">For more information, see question 3. </w:t>
      </w:r>
    </w:p>
    <w:p w14:paraId="4FCC8149" w14:textId="77777777" w:rsidR="00812EF3" w:rsidRPr="004A132D" w:rsidRDefault="00812EF3" w:rsidP="00724F8F">
      <w:pPr>
        <w:pStyle w:val="Numbers"/>
        <w:tabs>
          <w:tab w:val="clear" w:pos="2835"/>
        </w:tabs>
        <w:ind w:left="1418"/>
        <w:rPr>
          <w:rFonts w:asciiTheme="minorHAnsi" w:hAnsiTheme="minorHAnsi"/>
        </w:rPr>
      </w:pPr>
      <w:r w:rsidRPr="004A132D">
        <w:rPr>
          <w:rFonts w:asciiTheme="minorHAnsi" w:hAnsiTheme="minorHAnsi"/>
        </w:rPr>
        <w:t>Australia has introduced reforms to put gender equality at the centre of the workplace relations system including:</w:t>
      </w:r>
    </w:p>
    <w:p w14:paraId="7388BAD6" w14:textId="756527D8" w:rsidR="00812EF3" w:rsidRPr="004A132D" w:rsidRDefault="00812EF3" w:rsidP="00812EF3">
      <w:pPr>
        <w:pStyle w:val="Numbers"/>
        <w:numPr>
          <w:ilvl w:val="1"/>
          <w:numId w:val="1"/>
        </w:numPr>
        <w:rPr>
          <w:rFonts w:asciiTheme="minorHAnsi" w:hAnsiTheme="minorHAnsi"/>
        </w:rPr>
      </w:pPr>
      <w:r w:rsidRPr="004A132D">
        <w:rPr>
          <w:rFonts w:asciiTheme="minorHAnsi" w:hAnsiTheme="minorHAnsi"/>
        </w:rPr>
        <w:t>making gender equality an object of the Fair Work Act;</w:t>
      </w:r>
    </w:p>
    <w:p w14:paraId="5F74A478" w14:textId="6116B56D" w:rsidR="00812EF3" w:rsidRPr="004A132D" w:rsidRDefault="00812EF3" w:rsidP="00812EF3">
      <w:pPr>
        <w:pStyle w:val="Numbers"/>
        <w:numPr>
          <w:ilvl w:val="1"/>
          <w:numId w:val="1"/>
        </w:numPr>
        <w:rPr>
          <w:rFonts w:asciiTheme="minorHAnsi" w:hAnsiTheme="minorHAnsi"/>
        </w:rPr>
      </w:pPr>
      <w:r w:rsidRPr="004A132D">
        <w:rPr>
          <w:rFonts w:asciiTheme="minorHAnsi" w:hAnsiTheme="minorHAnsi"/>
        </w:rPr>
        <w:t>guiding the way Australia’s workplace relations trib</w:t>
      </w:r>
      <w:r w:rsidR="00B4527B" w:rsidRPr="004A132D">
        <w:rPr>
          <w:rFonts w:asciiTheme="minorHAnsi" w:hAnsiTheme="minorHAnsi"/>
        </w:rPr>
        <w:t>unal, the Fair Work Commission</w:t>
      </w:r>
      <w:r w:rsidRPr="004A132D">
        <w:rPr>
          <w:rFonts w:asciiTheme="minorHAnsi" w:hAnsiTheme="minorHAnsi"/>
        </w:rPr>
        <w:t xml:space="preserve">, considers equal </w:t>
      </w:r>
      <w:r w:rsidR="00B4527B" w:rsidRPr="004A132D">
        <w:rPr>
          <w:rFonts w:asciiTheme="minorHAnsi" w:hAnsiTheme="minorHAnsi"/>
        </w:rPr>
        <w:t>remuneration</w:t>
      </w:r>
      <w:r w:rsidRPr="004A132D">
        <w:rPr>
          <w:rFonts w:asciiTheme="minorHAnsi" w:hAnsiTheme="minorHAnsi"/>
        </w:rPr>
        <w:t xml:space="preserve"> and work value cases;</w:t>
      </w:r>
    </w:p>
    <w:p w14:paraId="18D66BD5" w14:textId="621FDEE8" w:rsidR="00812EF3" w:rsidRPr="004A132D" w:rsidRDefault="00812EF3" w:rsidP="00812EF3">
      <w:pPr>
        <w:pStyle w:val="Numbers"/>
        <w:numPr>
          <w:ilvl w:val="1"/>
          <w:numId w:val="1"/>
        </w:numPr>
        <w:rPr>
          <w:rFonts w:asciiTheme="minorHAnsi" w:hAnsiTheme="minorHAnsi"/>
        </w:rPr>
      </w:pPr>
      <w:r w:rsidRPr="004A132D">
        <w:rPr>
          <w:rFonts w:asciiTheme="minorHAnsi" w:hAnsiTheme="minorHAnsi"/>
        </w:rPr>
        <w:t xml:space="preserve">requiring the </w:t>
      </w:r>
      <w:r w:rsidR="00B4527B" w:rsidRPr="004A132D">
        <w:rPr>
          <w:rFonts w:asciiTheme="minorHAnsi" w:hAnsiTheme="minorHAnsi"/>
        </w:rPr>
        <w:t>Fair Work Commission</w:t>
      </w:r>
      <w:r w:rsidRPr="004A132D">
        <w:rPr>
          <w:rFonts w:asciiTheme="minorHAnsi" w:hAnsiTheme="minorHAnsi"/>
        </w:rPr>
        <w:t xml:space="preserve"> to consider gender equality, when setting modern awards conditions and minimum wages;</w:t>
      </w:r>
    </w:p>
    <w:p w14:paraId="74F394DB" w14:textId="4312D532" w:rsidR="00812EF3" w:rsidRPr="004A132D" w:rsidRDefault="00812EF3" w:rsidP="00812EF3">
      <w:pPr>
        <w:pStyle w:val="Numbers"/>
        <w:numPr>
          <w:ilvl w:val="1"/>
          <w:numId w:val="1"/>
        </w:numPr>
        <w:rPr>
          <w:rFonts w:asciiTheme="minorHAnsi" w:hAnsiTheme="minorHAnsi"/>
        </w:rPr>
      </w:pPr>
      <w:r w:rsidRPr="004A132D">
        <w:rPr>
          <w:rFonts w:asciiTheme="minorHAnsi" w:hAnsiTheme="minorHAnsi"/>
        </w:rPr>
        <w:t xml:space="preserve">establishing Expert Panels for pay equity and the Care and Community Sector so the FWC has the expertise it needs when considering pay equity or care and community sector matters; </w:t>
      </w:r>
    </w:p>
    <w:p w14:paraId="3FA28487" w14:textId="4B72479C" w:rsidR="00812EF3" w:rsidRPr="004A132D" w:rsidRDefault="00812EF3" w:rsidP="00812EF3">
      <w:pPr>
        <w:pStyle w:val="Numbers"/>
        <w:numPr>
          <w:ilvl w:val="1"/>
          <w:numId w:val="1"/>
        </w:numPr>
        <w:rPr>
          <w:rFonts w:asciiTheme="minorHAnsi" w:hAnsiTheme="minorHAnsi"/>
        </w:rPr>
      </w:pPr>
      <w:r w:rsidRPr="004A132D">
        <w:rPr>
          <w:rFonts w:asciiTheme="minorHAnsi" w:hAnsiTheme="minorHAnsi"/>
        </w:rPr>
        <w:t>reinvigorating the bargaining system focusing on opening it up to low-paid, female-dominated sectors; and</w:t>
      </w:r>
    </w:p>
    <w:p w14:paraId="58C30955" w14:textId="5AF6CD89" w:rsidR="00812EF3" w:rsidRPr="004A132D" w:rsidRDefault="00812EF3" w:rsidP="00812EF3">
      <w:pPr>
        <w:pStyle w:val="Numbers"/>
        <w:numPr>
          <w:ilvl w:val="1"/>
          <w:numId w:val="1"/>
        </w:numPr>
        <w:rPr>
          <w:rFonts w:asciiTheme="minorHAnsi" w:hAnsiTheme="minorHAnsi"/>
        </w:rPr>
      </w:pPr>
      <w:r w:rsidRPr="004A132D">
        <w:rPr>
          <w:rFonts w:asciiTheme="minorHAnsi" w:hAnsiTheme="minorHAnsi"/>
        </w:rPr>
        <w:t>prohibiting pay secrecy clauses in employment contracts.</w:t>
      </w:r>
    </w:p>
    <w:p w14:paraId="4937D570" w14:textId="7F7A3F26" w:rsidR="00B4527B" w:rsidRPr="004A132D" w:rsidRDefault="00B4527B" w:rsidP="00724F8F">
      <w:pPr>
        <w:pStyle w:val="Numbers"/>
        <w:ind w:left="1418"/>
        <w:rPr>
          <w:rFonts w:asciiTheme="minorHAnsi" w:hAnsiTheme="minorHAnsi"/>
        </w:rPr>
      </w:pPr>
      <w:r w:rsidRPr="004A132D">
        <w:rPr>
          <w:rFonts w:asciiTheme="minorHAnsi" w:hAnsiTheme="minorHAnsi"/>
        </w:rPr>
        <w:t xml:space="preserve">The Secure Jobs, Better Pay Act amendments to the Fair Work Act </w:t>
      </w:r>
      <w:r w:rsidR="004512EE">
        <w:rPr>
          <w:rFonts w:asciiTheme="minorHAnsi" w:hAnsiTheme="minorHAnsi"/>
        </w:rPr>
        <w:t>instructs</w:t>
      </w:r>
      <w:r w:rsidR="006A40A0">
        <w:rPr>
          <w:rFonts w:asciiTheme="minorHAnsi" w:hAnsiTheme="minorHAnsi"/>
        </w:rPr>
        <w:t xml:space="preserve"> the Fair Work Commission to consider gender as a criteria to delivering </w:t>
      </w:r>
      <w:r w:rsidRPr="004A132D">
        <w:rPr>
          <w:rFonts w:asciiTheme="minorHAnsi" w:hAnsiTheme="minorHAnsi"/>
        </w:rPr>
        <w:t>pay increases that are helping close the gender pay gap. Examples of the reforms include:</w:t>
      </w:r>
    </w:p>
    <w:p w14:paraId="442F851B" w14:textId="4AB076ED" w:rsidR="00B4527B" w:rsidRPr="004A132D" w:rsidRDefault="006A40A0" w:rsidP="00B4527B">
      <w:pPr>
        <w:pStyle w:val="Numbers"/>
        <w:numPr>
          <w:ilvl w:val="1"/>
          <w:numId w:val="1"/>
        </w:numPr>
        <w:rPr>
          <w:rFonts w:asciiTheme="minorHAnsi" w:hAnsiTheme="minorHAnsi"/>
        </w:rPr>
      </w:pPr>
      <w:r>
        <w:rPr>
          <w:rFonts w:asciiTheme="minorHAnsi" w:hAnsiTheme="minorHAnsi"/>
        </w:rPr>
        <w:t xml:space="preserve">in 2022-2023, </w:t>
      </w:r>
      <w:r w:rsidR="00B4527B" w:rsidRPr="004A132D">
        <w:rPr>
          <w:rFonts w:asciiTheme="minorHAnsi" w:hAnsiTheme="minorHAnsi"/>
        </w:rPr>
        <w:t>the Fair Work Commission increas</w:t>
      </w:r>
      <w:r w:rsidR="00E97860" w:rsidRPr="004A132D">
        <w:rPr>
          <w:rFonts w:asciiTheme="minorHAnsi" w:hAnsiTheme="minorHAnsi"/>
        </w:rPr>
        <w:t>ed</w:t>
      </w:r>
      <w:r w:rsidR="00B4527B" w:rsidRPr="004A132D">
        <w:rPr>
          <w:rFonts w:asciiTheme="minorHAnsi" w:hAnsiTheme="minorHAnsi"/>
        </w:rPr>
        <w:t xml:space="preserve"> the national minimum wage</w:t>
      </w:r>
      <w:r>
        <w:rPr>
          <w:rFonts w:asciiTheme="minorHAnsi" w:hAnsiTheme="minorHAnsi"/>
        </w:rPr>
        <w:t xml:space="preserve"> </w:t>
      </w:r>
      <w:r w:rsidR="00B4527B" w:rsidRPr="004A132D">
        <w:rPr>
          <w:rFonts w:asciiTheme="minorHAnsi" w:hAnsiTheme="minorHAnsi"/>
        </w:rPr>
        <w:t>by 8.6 per cent to benefit low paid workers (more likely to be women); and</w:t>
      </w:r>
    </w:p>
    <w:p w14:paraId="16E14177" w14:textId="72D957ED" w:rsidR="00B4527B" w:rsidRPr="004A132D" w:rsidRDefault="00B4527B" w:rsidP="00B4527B">
      <w:pPr>
        <w:pStyle w:val="Numbers"/>
        <w:numPr>
          <w:ilvl w:val="1"/>
          <w:numId w:val="1"/>
        </w:numPr>
        <w:rPr>
          <w:rFonts w:asciiTheme="minorHAnsi" w:hAnsiTheme="minorHAnsi"/>
        </w:rPr>
      </w:pPr>
      <w:r w:rsidRPr="004A132D">
        <w:rPr>
          <w:rFonts w:asciiTheme="minorHAnsi" w:hAnsiTheme="minorHAnsi"/>
        </w:rPr>
        <w:t>increase</w:t>
      </w:r>
      <w:r w:rsidR="004512EE">
        <w:rPr>
          <w:rFonts w:asciiTheme="minorHAnsi" w:hAnsiTheme="minorHAnsi"/>
        </w:rPr>
        <w:t xml:space="preserve">d the award wage for more than 250,000 aged sector employees, </w:t>
      </w:r>
      <w:r w:rsidR="004512EE" w:rsidRPr="004A132D">
        <w:rPr>
          <w:rFonts w:asciiTheme="minorHAnsi" w:hAnsiTheme="minorHAnsi"/>
        </w:rPr>
        <w:t>historically undervalued because of assumptions based on gende</w:t>
      </w:r>
      <w:r w:rsidR="004512EE">
        <w:rPr>
          <w:rFonts w:asciiTheme="minorHAnsi" w:hAnsiTheme="minorHAnsi"/>
        </w:rPr>
        <w:t xml:space="preserve">r, by </w:t>
      </w:r>
      <w:r w:rsidRPr="004A132D">
        <w:rPr>
          <w:rFonts w:asciiTheme="minorHAnsi" w:hAnsiTheme="minorHAnsi"/>
        </w:rPr>
        <w:t>up to 28.5 per cent</w:t>
      </w:r>
      <w:r w:rsidR="004512EE">
        <w:rPr>
          <w:rFonts w:asciiTheme="minorHAnsi" w:hAnsiTheme="minorHAnsi"/>
        </w:rPr>
        <w:t>.</w:t>
      </w:r>
    </w:p>
    <w:p w14:paraId="0D3FEC84" w14:textId="7994FFBE" w:rsidR="00670802" w:rsidRPr="004A132D" w:rsidRDefault="00E33E1E" w:rsidP="00106262">
      <w:pPr>
        <w:pStyle w:val="Heading2"/>
        <w:pageBreakBefore/>
        <w:tabs>
          <w:tab w:val="right" w:pos="9326"/>
        </w:tabs>
      </w:pPr>
      <w:bookmarkStart w:id="134" w:name="_Toc174011720"/>
      <w:bookmarkStart w:id="135" w:name="_Toc175556817"/>
      <w:r w:rsidRPr="004A132D">
        <w:lastRenderedPageBreak/>
        <w:t xml:space="preserve">Implementation of 2017 </w:t>
      </w:r>
      <w:r w:rsidR="004B395D" w:rsidRPr="004A132D">
        <w:t>Senate I</w:t>
      </w:r>
      <w:r w:rsidRPr="004A132D">
        <w:t>nquiry into gender segregation in the workplace</w:t>
      </w:r>
      <w:bookmarkEnd w:id="134"/>
      <w:bookmarkEnd w:id="135"/>
      <w:r w:rsidRPr="004A132D">
        <w:t xml:space="preserve"> </w:t>
      </w:r>
      <w:r w:rsidR="00FF3C64" w:rsidRPr="004A132D">
        <w:tab/>
      </w:r>
    </w:p>
    <w:p w14:paraId="68613EB2" w14:textId="512BE19D" w:rsidR="00FF3C64" w:rsidRPr="004A132D" w:rsidRDefault="00FF3C64" w:rsidP="00724F8F">
      <w:pPr>
        <w:pStyle w:val="Numbers"/>
        <w:ind w:left="1418"/>
        <w:rPr>
          <w:rFonts w:asciiTheme="minorHAnsi" w:hAnsiTheme="minorHAnsi"/>
        </w:rPr>
      </w:pPr>
      <w:r w:rsidRPr="004A132D">
        <w:rPr>
          <w:rFonts w:asciiTheme="minorHAnsi" w:hAnsiTheme="minorHAnsi"/>
        </w:rPr>
        <w:t>The Government response to t</w:t>
      </w:r>
      <w:r w:rsidR="004B395D" w:rsidRPr="004A132D">
        <w:rPr>
          <w:rFonts w:asciiTheme="minorHAnsi" w:hAnsiTheme="minorHAnsi"/>
        </w:rPr>
        <w:t xml:space="preserve">he </w:t>
      </w:r>
      <w:r w:rsidRPr="004A132D">
        <w:rPr>
          <w:rFonts w:asciiTheme="minorHAnsi" w:hAnsiTheme="minorHAnsi"/>
        </w:rPr>
        <w:t xml:space="preserve">Senate </w:t>
      </w:r>
      <w:r w:rsidR="00843737" w:rsidRPr="004A132D">
        <w:rPr>
          <w:rFonts w:asciiTheme="minorHAnsi" w:hAnsiTheme="minorHAnsi"/>
        </w:rPr>
        <w:t>i</w:t>
      </w:r>
      <w:r w:rsidRPr="004A132D">
        <w:rPr>
          <w:rFonts w:asciiTheme="minorHAnsi" w:hAnsiTheme="minorHAnsi"/>
        </w:rPr>
        <w:t xml:space="preserve">nquiry </w:t>
      </w:r>
      <w:r w:rsidR="004B395D" w:rsidRPr="004A132D">
        <w:rPr>
          <w:rFonts w:asciiTheme="minorHAnsi" w:hAnsiTheme="minorHAnsi"/>
        </w:rPr>
        <w:t xml:space="preserve">into gender segregation in the workplace and its impact on women’s economic equality, </w:t>
      </w:r>
      <w:r w:rsidRPr="004A132D">
        <w:rPr>
          <w:rFonts w:asciiTheme="minorHAnsi" w:hAnsiTheme="minorHAnsi"/>
        </w:rPr>
        <w:t>was published in July</w:t>
      </w:r>
      <w:r w:rsidR="00843737" w:rsidRPr="004A132D">
        <w:rPr>
          <w:rFonts w:asciiTheme="minorHAnsi" w:hAnsiTheme="minorHAnsi"/>
        </w:rPr>
        <w:t> </w:t>
      </w:r>
      <w:r w:rsidRPr="004A132D">
        <w:rPr>
          <w:rFonts w:asciiTheme="minorHAnsi" w:hAnsiTheme="minorHAnsi"/>
        </w:rPr>
        <w:t>2018.</w:t>
      </w:r>
      <w:r w:rsidRPr="004A132D">
        <w:rPr>
          <w:rStyle w:val="FootnoteReference"/>
          <w:rFonts w:asciiTheme="minorHAnsi" w:hAnsiTheme="minorHAnsi"/>
        </w:rPr>
        <w:footnoteReference w:id="28"/>
      </w:r>
      <w:r w:rsidRPr="004A132D">
        <w:rPr>
          <w:rFonts w:asciiTheme="minorHAnsi" w:hAnsiTheme="minorHAnsi"/>
        </w:rPr>
        <w:t xml:space="preserve"> The implementation of recommendations relating to gender segregation in the workplace, the gender pay gap, amendments to the Fair Work Act and women and girls in STEM are covered in ques</w:t>
      </w:r>
      <w:r w:rsidR="00C620A8" w:rsidRPr="004A132D">
        <w:rPr>
          <w:rFonts w:asciiTheme="minorHAnsi" w:hAnsiTheme="minorHAnsi"/>
        </w:rPr>
        <w:t>tions 3, 16b and 17</w:t>
      </w:r>
      <w:r w:rsidRPr="004A132D">
        <w:rPr>
          <w:rFonts w:asciiTheme="minorHAnsi" w:hAnsiTheme="minorHAnsi"/>
        </w:rPr>
        <w:t>. The Australian Government ha</w:t>
      </w:r>
      <w:r w:rsidR="00CF5F1B" w:rsidRPr="004A132D">
        <w:rPr>
          <w:rFonts w:asciiTheme="minorHAnsi" w:hAnsiTheme="minorHAnsi"/>
        </w:rPr>
        <w:t xml:space="preserve">s also committed to conduct the </w:t>
      </w:r>
      <w:r w:rsidRPr="004A132D">
        <w:rPr>
          <w:rFonts w:asciiTheme="minorHAnsi" w:hAnsiTheme="minorHAnsi"/>
          <w:iCs/>
        </w:rPr>
        <w:t>Time Use Survey</w:t>
      </w:r>
      <w:r w:rsidRPr="004A132D">
        <w:rPr>
          <w:rFonts w:asciiTheme="minorHAnsi" w:hAnsiTheme="minorHAnsi"/>
        </w:rPr>
        <w:t>, detailed data collection that records the activities Australians take part in each day, including the amount of time people spend on unpaid work such as caring for children and older people, and doing house</w:t>
      </w:r>
      <w:r w:rsidR="00E97860" w:rsidRPr="004A132D">
        <w:rPr>
          <w:rFonts w:asciiTheme="minorHAnsi" w:hAnsiTheme="minorHAnsi"/>
        </w:rPr>
        <w:t>work, on an on-going basis from</w:t>
      </w:r>
      <w:r w:rsidRPr="004A132D">
        <w:rPr>
          <w:rFonts w:asciiTheme="minorHAnsi" w:hAnsiTheme="minorHAnsi"/>
        </w:rPr>
        <w:t>2024.</w:t>
      </w:r>
      <w:r w:rsidR="00CA4887" w:rsidRPr="004A132D">
        <w:rPr>
          <w:rFonts w:asciiTheme="minorHAnsi" w:hAnsiTheme="minorHAnsi"/>
        </w:rPr>
        <w:t xml:space="preserve"> </w:t>
      </w:r>
    </w:p>
    <w:p w14:paraId="75AF1C16" w14:textId="77777777" w:rsidR="00E33E1E" w:rsidRPr="004A132D" w:rsidRDefault="007D4F38" w:rsidP="00670802">
      <w:pPr>
        <w:pStyle w:val="Heading2"/>
      </w:pPr>
      <w:bookmarkStart w:id="136" w:name="_Toc174011721"/>
      <w:bookmarkStart w:id="137" w:name="_Toc175556818"/>
      <w:r w:rsidRPr="004A132D">
        <w:t>AHRC</w:t>
      </w:r>
      <w:r w:rsidR="00C620A8" w:rsidRPr="004A132D">
        <w:t xml:space="preserve"> </w:t>
      </w:r>
      <w:r w:rsidR="00E33E1E" w:rsidRPr="004A132D">
        <w:t>report “Supporting working parents: pregnancy and return to work national review”</w:t>
      </w:r>
      <w:bookmarkEnd w:id="136"/>
      <w:bookmarkEnd w:id="137"/>
    </w:p>
    <w:p w14:paraId="59D567A2" w14:textId="77777777" w:rsidR="007D4F38" w:rsidRPr="004A132D" w:rsidRDefault="00AA5E1B" w:rsidP="00724F8F">
      <w:pPr>
        <w:pStyle w:val="Numbers"/>
        <w:ind w:left="1418"/>
        <w:rPr>
          <w:rFonts w:asciiTheme="minorHAnsi" w:hAnsiTheme="minorHAnsi"/>
        </w:rPr>
      </w:pPr>
      <w:r w:rsidRPr="004A132D">
        <w:rPr>
          <w:rFonts w:asciiTheme="minorHAnsi" w:hAnsiTheme="minorHAnsi"/>
        </w:rPr>
        <w:t>Australia has undergone sign</w:t>
      </w:r>
      <w:r w:rsidR="00C620A8" w:rsidRPr="004A132D">
        <w:rPr>
          <w:rFonts w:asciiTheme="minorHAnsi" w:hAnsiTheme="minorHAnsi"/>
        </w:rPr>
        <w:t xml:space="preserve">ificant reforms since the AHRC </w:t>
      </w:r>
      <w:r w:rsidRPr="004A132D">
        <w:rPr>
          <w:rFonts w:asciiTheme="minorHAnsi" w:hAnsiTheme="minorHAnsi"/>
        </w:rPr>
        <w:t>report was published in 2014. T</w:t>
      </w:r>
      <w:r w:rsidR="007D4F38" w:rsidRPr="004A132D">
        <w:rPr>
          <w:rFonts w:asciiTheme="minorHAnsi" w:hAnsiTheme="minorHAnsi"/>
        </w:rPr>
        <w:t>he implementation of recommendations relating to legislative amendments and addressing harmful stereot</w:t>
      </w:r>
      <w:r w:rsidR="00C620A8" w:rsidRPr="004A132D">
        <w:rPr>
          <w:rFonts w:asciiTheme="minorHAnsi" w:hAnsiTheme="minorHAnsi"/>
        </w:rPr>
        <w:t>ypes are outlined in questions 3 and 8</w:t>
      </w:r>
      <w:r w:rsidR="007D4F38" w:rsidRPr="004A132D">
        <w:rPr>
          <w:rFonts w:asciiTheme="minorHAnsi" w:hAnsiTheme="minorHAnsi"/>
        </w:rPr>
        <w:t xml:space="preserve">. Clear, comprehensive information about employer obligations and employee rights are published </w:t>
      </w:r>
      <w:r w:rsidR="00C620A8" w:rsidRPr="004A132D">
        <w:rPr>
          <w:rFonts w:asciiTheme="minorHAnsi" w:hAnsiTheme="minorHAnsi"/>
        </w:rPr>
        <w:t>by various Australian departments and agencies including the</w:t>
      </w:r>
      <w:r w:rsidR="007D4F38" w:rsidRPr="004A132D">
        <w:rPr>
          <w:rFonts w:asciiTheme="minorHAnsi" w:hAnsiTheme="minorHAnsi"/>
        </w:rPr>
        <w:t xml:space="preserve"> Fair Work Ombudsman,</w:t>
      </w:r>
      <w:r w:rsidR="007D4F38" w:rsidRPr="004A132D">
        <w:rPr>
          <w:rStyle w:val="FootnoteReference"/>
          <w:rFonts w:asciiTheme="minorHAnsi" w:hAnsiTheme="minorHAnsi"/>
        </w:rPr>
        <w:footnoteReference w:id="29"/>
      </w:r>
      <w:r w:rsidR="007D4F38" w:rsidRPr="004A132D">
        <w:rPr>
          <w:rFonts w:asciiTheme="minorHAnsi" w:hAnsiTheme="minorHAnsi"/>
        </w:rPr>
        <w:t xml:space="preserve"> the </w:t>
      </w:r>
      <w:r w:rsidR="005273EE" w:rsidRPr="004A132D">
        <w:rPr>
          <w:rFonts w:asciiTheme="minorHAnsi" w:hAnsiTheme="minorHAnsi"/>
        </w:rPr>
        <w:t>AHRC</w:t>
      </w:r>
      <w:r w:rsidR="007D4F38" w:rsidRPr="004A132D">
        <w:rPr>
          <w:rFonts w:asciiTheme="minorHAnsi" w:hAnsiTheme="minorHAnsi"/>
        </w:rPr>
        <w:t>,</w:t>
      </w:r>
      <w:r w:rsidR="007D4F38" w:rsidRPr="004A132D">
        <w:rPr>
          <w:rStyle w:val="FootnoteReference"/>
          <w:rFonts w:asciiTheme="minorHAnsi" w:hAnsiTheme="minorHAnsi"/>
        </w:rPr>
        <w:footnoteReference w:id="30"/>
      </w:r>
      <w:r w:rsidR="007D4F38" w:rsidRPr="004A132D">
        <w:rPr>
          <w:rFonts w:asciiTheme="minorHAnsi" w:hAnsiTheme="minorHAnsi"/>
        </w:rPr>
        <w:t xml:space="preserve"> the Department of Employment and Workplace Relations,</w:t>
      </w:r>
      <w:r w:rsidR="007D4F38" w:rsidRPr="004A132D">
        <w:rPr>
          <w:rStyle w:val="FootnoteReference"/>
          <w:rFonts w:asciiTheme="minorHAnsi" w:hAnsiTheme="minorHAnsi"/>
        </w:rPr>
        <w:t xml:space="preserve"> </w:t>
      </w:r>
      <w:r w:rsidR="007D4F38" w:rsidRPr="004A132D">
        <w:rPr>
          <w:rStyle w:val="FootnoteReference"/>
          <w:rFonts w:asciiTheme="minorHAnsi" w:hAnsiTheme="minorHAnsi"/>
        </w:rPr>
        <w:footnoteReference w:id="31"/>
      </w:r>
      <w:r w:rsidR="007D4F38" w:rsidRPr="004A132D">
        <w:rPr>
          <w:rFonts w:asciiTheme="minorHAnsi" w:hAnsiTheme="minorHAnsi"/>
        </w:rPr>
        <w:t xml:space="preserve"> and the </w:t>
      </w:r>
      <w:r w:rsidR="00757B7A" w:rsidRPr="004A132D">
        <w:rPr>
          <w:rFonts w:asciiTheme="minorHAnsi" w:hAnsiTheme="minorHAnsi"/>
        </w:rPr>
        <w:t>WGEA</w:t>
      </w:r>
      <w:r w:rsidR="00C620A8" w:rsidRPr="004A132D">
        <w:rPr>
          <w:rFonts w:asciiTheme="minorHAnsi" w:hAnsiTheme="minorHAnsi"/>
        </w:rPr>
        <w:t>.</w:t>
      </w:r>
      <w:r w:rsidR="007D4F38" w:rsidRPr="004A132D">
        <w:rPr>
          <w:rStyle w:val="FootnoteReference"/>
          <w:rFonts w:asciiTheme="minorHAnsi" w:hAnsiTheme="minorHAnsi"/>
        </w:rPr>
        <w:footnoteReference w:id="32"/>
      </w:r>
    </w:p>
    <w:p w14:paraId="6AF5A491" w14:textId="77777777" w:rsidR="00341AFA" w:rsidRPr="004A132D" w:rsidRDefault="00FF3C64" w:rsidP="00EC4896">
      <w:pPr>
        <w:pStyle w:val="Heading2"/>
        <w:keepNext/>
        <w:keepLines/>
      </w:pPr>
      <w:bookmarkStart w:id="138" w:name="_Toc174011722"/>
      <w:bookmarkStart w:id="139" w:name="_Toc175556819"/>
      <w:r w:rsidRPr="004A132D">
        <w:t xml:space="preserve">Question 17a: </w:t>
      </w:r>
      <w:r w:rsidR="007D4F38" w:rsidRPr="004A132D">
        <w:t>Code of Practice</w:t>
      </w:r>
      <w:bookmarkEnd w:id="138"/>
      <w:bookmarkEnd w:id="139"/>
      <w:r w:rsidR="007D4F38" w:rsidRPr="004A132D">
        <w:t xml:space="preserve"> </w:t>
      </w:r>
    </w:p>
    <w:p w14:paraId="6CB72C09" w14:textId="77777777" w:rsidR="00AA5E1B" w:rsidRPr="004A132D" w:rsidRDefault="007D4F38" w:rsidP="00724F8F">
      <w:pPr>
        <w:pStyle w:val="Numbers"/>
        <w:ind w:left="1418"/>
        <w:rPr>
          <w:rFonts w:asciiTheme="minorHAnsi" w:hAnsiTheme="minorHAnsi"/>
        </w:rPr>
      </w:pPr>
      <w:r w:rsidRPr="004A132D">
        <w:rPr>
          <w:rFonts w:asciiTheme="minorHAnsi" w:hAnsiTheme="minorHAnsi"/>
        </w:rPr>
        <w:t xml:space="preserve">Australia </w:t>
      </w:r>
      <w:r w:rsidR="00B16883" w:rsidRPr="004A132D">
        <w:rPr>
          <w:rFonts w:asciiTheme="minorHAnsi" w:hAnsiTheme="minorHAnsi"/>
        </w:rPr>
        <w:t xml:space="preserve">does not have a code of practice regarding the legal obligations of employers with regard to pregnant employees and employees with family obligations, however Australia </w:t>
      </w:r>
      <w:r w:rsidRPr="004A132D">
        <w:rPr>
          <w:rFonts w:asciiTheme="minorHAnsi" w:hAnsiTheme="minorHAnsi"/>
        </w:rPr>
        <w:t xml:space="preserve">has a </w:t>
      </w:r>
      <w:r w:rsidR="00B16883" w:rsidRPr="004A132D">
        <w:rPr>
          <w:rFonts w:asciiTheme="minorHAnsi" w:hAnsiTheme="minorHAnsi"/>
        </w:rPr>
        <w:t>comprehensive legislative framework that outlines employer obligations and employee rights. This includes under the Sex Discrimination Act</w:t>
      </w:r>
      <w:r w:rsidR="00513210" w:rsidRPr="004A132D">
        <w:rPr>
          <w:rFonts w:asciiTheme="minorHAnsi" w:hAnsiTheme="minorHAnsi"/>
        </w:rPr>
        <w:t xml:space="preserve">, </w:t>
      </w:r>
      <w:r w:rsidR="00B16883" w:rsidRPr="004A132D">
        <w:rPr>
          <w:rFonts w:asciiTheme="minorHAnsi" w:hAnsiTheme="minorHAnsi"/>
        </w:rPr>
        <w:t xml:space="preserve">Fair Work Act and the </w:t>
      </w:r>
      <w:r w:rsidR="00B16883" w:rsidRPr="004A132D">
        <w:rPr>
          <w:rFonts w:asciiTheme="minorHAnsi" w:hAnsiTheme="minorHAnsi"/>
          <w:i/>
        </w:rPr>
        <w:t>Paid Parental Leave Act 2010</w:t>
      </w:r>
      <w:r w:rsidR="00AA5E1B" w:rsidRPr="004A132D">
        <w:rPr>
          <w:rFonts w:asciiTheme="minorHAnsi" w:hAnsiTheme="minorHAnsi"/>
        </w:rPr>
        <w:t xml:space="preserve">. </w:t>
      </w:r>
    </w:p>
    <w:p w14:paraId="4A213BB2" w14:textId="7FC61611" w:rsidR="007D4F38" w:rsidRPr="004A132D" w:rsidRDefault="00AA5E1B" w:rsidP="00724F8F">
      <w:pPr>
        <w:pStyle w:val="Numbers"/>
        <w:ind w:left="1418"/>
        <w:rPr>
          <w:rFonts w:asciiTheme="minorHAnsi" w:hAnsiTheme="minorHAnsi"/>
        </w:rPr>
      </w:pPr>
      <w:r w:rsidRPr="004A132D">
        <w:rPr>
          <w:rFonts w:asciiTheme="minorHAnsi" w:hAnsiTheme="minorHAnsi"/>
        </w:rPr>
        <w:t>The Government recognise</w:t>
      </w:r>
      <w:r w:rsidR="007F2448" w:rsidRPr="004A132D">
        <w:rPr>
          <w:rFonts w:asciiTheme="minorHAnsi" w:hAnsiTheme="minorHAnsi"/>
        </w:rPr>
        <w:t>s</w:t>
      </w:r>
      <w:r w:rsidRPr="004A132D">
        <w:rPr>
          <w:rFonts w:asciiTheme="minorHAnsi" w:hAnsiTheme="minorHAnsi"/>
        </w:rPr>
        <w:t xml:space="preserve"> that efforts must be made to ensure that employers understand t</w:t>
      </w:r>
      <w:r w:rsidR="00513210" w:rsidRPr="004A132D">
        <w:rPr>
          <w:rFonts w:asciiTheme="minorHAnsi" w:hAnsiTheme="minorHAnsi"/>
        </w:rPr>
        <w:t xml:space="preserve">hese obligations. See </w:t>
      </w:r>
      <w:r w:rsidR="007F2448" w:rsidRPr="004A132D">
        <w:rPr>
          <w:rFonts w:asciiTheme="minorHAnsi" w:hAnsiTheme="minorHAnsi"/>
        </w:rPr>
        <w:t xml:space="preserve">response to </w:t>
      </w:r>
      <w:r w:rsidR="00513210" w:rsidRPr="004A132D">
        <w:rPr>
          <w:rFonts w:asciiTheme="minorHAnsi" w:hAnsiTheme="minorHAnsi"/>
        </w:rPr>
        <w:t>question 17</w:t>
      </w:r>
      <w:r w:rsidRPr="004A132D">
        <w:rPr>
          <w:rFonts w:asciiTheme="minorHAnsi" w:hAnsiTheme="minorHAnsi"/>
        </w:rPr>
        <w:t xml:space="preserve"> for detail on </w:t>
      </w:r>
      <w:r w:rsidR="00513210" w:rsidRPr="004A132D">
        <w:rPr>
          <w:rFonts w:asciiTheme="minorHAnsi" w:hAnsiTheme="minorHAnsi"/>
        </w:rPr>
        <w:t xml:space="preserve">key </w:t>
      </w:r>
      <w:r w:rsidR="00513210" w:rsidRPr="004A132D">
        <w:rPr>
          <w:rFonts w:asciiTheme="minorHAnsi" w:hAnsiTheme="minorHAnsi"/>
        </w:rPr>
        <w:lastRenderedPageBreak/>
        <w:t xml:space="preserve">Australian departments and </w:t>
      </w:r>
      <w:r w:rsidRPr="004A132D">
        <w:rPr>
          <w:rFonts w:asciiTheme="minorHAnsi" w:hAnsiTheme="minorHAnsi"/>
        </w:rPr>
        <w:t>agencies which publish guidance and information for employees and</w:t>
      </w:r>
      <w:r w:rsidR="00513210" w:rsidRPr="004A132D">
        <w:rPr>
          <w:rFonts w:asciiTheme="minorHAnsi" w:hAnsiTheme="minorHAnsi"/>
        </w:rPr>
        <w:t>/or</w:t>
      </w:r>
      <w:r w:rsidRPr="004A132D">
        <w:rPr>
          <w:rFonts w:asciiTheme="minorHAnsi" w:hAnsiTheme="minorHAnsi"/>
        </w:rPr>
        <w:t xml:space="preserve"> employers. </w:t>
      </w:r>
    </w:p>
    <w:p w14:paraId="77FC0130" w14:textId="77777777" w:rsidR="00D6459F" w:rsidRPr="004A132D" w:rsidRDefault="00AA5E1B" w:rsidP="00087EBA">
      <w:pPr>
        <w:pStyle w:val="Heading2"/>
      </w:pPr>
      <w:bookmarkStart w:id="140" w:name="_Toc174011723"/>
      <w:bookmarkStart w:id="141" w:name="_Toc175556820"/>
      <w:r w:rsidRPr="004A132D">
        <w:t xml:space="preserve">Question 17b: </w:t>
      </w:r>
      <w:r w:rsidR="00087EBA" w:rsidRPr="004A132D">
        <w:t>Gender analysis of Australia’s pension fund</w:t>
      </w:r>
      <w:bookmarkEnd w:id="140"/>
      <w:bookmarkEnd w:id="141"/>
    </w:p>
    <w:p w14:paraId="19C6935D" w14:textId="103A9D82" w:rsidR="00AA5E1B" w:rsidRPr="004A132D" w:rsidRDefault="00AA5E1B" w:rsidP="00724F8F">
      <w:pPr>
        <w:pStyle w:val="Numbers"/>
        <w:tabs>
          <w:tab w:val="clear" w:pos="2835"/>
        </w:tabs>
        <w:ind w:left="1418"/>
        <w:rPr>
          <w:rFonts w:asciiTheme="minorHAnsi" w:hAnsiTheme="minorHAnsi"/>
        </w:rPr>
      </w:pPr>
      <w:r w:rsidRPr="004A132D">
        <w:rPr>
          <w:rFonts w:asciiTheme="minorHAnsi" w:hAnsiTheme="minorHAnsi"/>
        </w:rPr>
        <w:t xml:space="preserve">In Australia, the retirement income system aims to protect older Australians who have retired from formal employment. It includes </w:t>
      </w:r>
      <w:r w:rsidR="00232E8B" w:rsidRPr="004A132D">
        <w:rPr>
          <w:rFonts w:asciiTheme="minorHAnsi" w:hAnsiTheme="minorHAnsi"/>
        </w:rPr>
        <w:t>3</w:t>
      </w:r>
      <w:r w:rsidRPr="004A132D">
        <w:rPr>
          <w:rFonts w:asciiTheme="minorHAnsi" w:hAnsiTheme="minorHAnsi"/>
        </w:rPr>
        <w:t xml:space="preserve"> main aspects: compulsory supera</w:t>
      </w:r>
      <w:r w:rsidR="00525980" w:rsidRPr="004A132D">
        <w:rPr>
          <w:rFonts w:asciiTheme="minorHAnsi" w:hAnsiTheme="minorHAnsi"/>
        </w:rPr>
        <w:t>nnuation employer contributions,</w:t>
      </w:r>
      <w:r w:rsidRPr="004A132D">
        <w:rPr>
          <w:rFonts w:asciiTheme="minorHAnsi" w:hAnsiTheme="minorHAnsi"/>
        </w:rPr>
        <w:t xml:space="preserve"> v</w:t>
      </w:r>
      <w:r w:rsidR="00525980" w:rsidRPr="004A132D">
        <w:rPr>
          <w:rFonts w:asciiTheme="minorHAnsi" w:hAnsiTheme="minorHAnsi"/>
        </w:rPr>
        <w:t>oluntary employee contributions,</w:t>
      </w:r>
      <w:r w:rsidRPr="004A132D">
        <w:rPr>
          <w:rFonts w:asciiTheme="minorHAnsi" w:hAnsiTheme="minorHAnsi"/>
        </w:rPr>
        <w:t xml:space="preserve"> and the Australian Government Age Pension safety net. The Age Pension is a social support payment designed to support the basic living standards of older Australians who need it most. Women make up 55.5 per cent of recipients of the Age Pension.</w:t>
      </w:r>
      <w:r w:rsidR="00A32027" w:rsidRPr="004A132D">
        <w:rPr>
          <w:rFonts w:asciiTheme="minorHAnsi" w:hAnsiTheme="minorHAnsi"/>
        </w:rPr>
        <w:t xml:space="preserve"> </w:t>
      </w:r>
    </w:p>
    <w:p w14:paraId="72101340" w14:textId="2E191FDD" w:rsidR="00AA5E1B" w:rsidRPr="004A132D" w:rsidRDefault="00525980" w:rsidP="00724F8F">
      <w:pPr>
        <w:pStyle w:val="Numbers"/>
        <w:tabs>
          <w:tab w:val="clear" w:pos="2835"/>
        </w:tabs>
        <w:ind w:left="1418"/>
        <w:rPr>
          <w:rFonts w:asciiTheme="minorHAnsi" w:hAnsiTheme="minorHAnsi"/>
        </w:rPr>
      </w:pPr>
      <w:r w:rsidRPr="004A132D">
        <w:rPr>
          <w:rFonts w:asciiTheme="minorHAnsi" w:hAnsiTheme="minorHAnsi"/>
        </w:rPr>
        <w:t xml:space="preserve">The </w:t>
      </w:r>
      <w:r w:rsidR="00363F33" w:rsidRPr="004A132D">
        <w:rPr>
          <w:rFonts w:asciiTheme="minorHAnsi" w:hAnsiTheme="minorHAnsi"/>
        </w:rPr>
        <w:t>Working for Women</w:t>
      </w:r>
      <w:r w:rsidR="008C6A06" w:rsidRPr="004A132D">
        <w:rPr>
          <w:rFonts w:asciiTheme="minorHAnsi" w:hAnsiTheme="minorHAnsi"/>
        </w:rPr>
        <w:t xml:space="preserve"> S</w:t>
      </w:r>
      <w:r w:rsidRPr="004A132D">
        <w:rPr>
          <w:rFonts w:asciiTheme="minorHAnsi" w:hAnsiTheme="minorHAnsi"/>
        </w:rPr>
        <w:t xml:space="preserve">trategy </w:t>
      </w:r>
      <w:r w:rsidR="00363F33" w:rsidRPr="004A132D">
        <w:rPr>
          <w:rFonts w:asciiTheme="minorHAnsi" w:hAnsiTheme="minorHAnsi"/>
        </w:rPr>
        <w:t xml:space="preserve">outlines </w:t>
      </w:r>
      <w:r w:rsidR="0013374F">
        <w:rPr>
          <w:rFonts w:asciiTheme="minorHAnsi" w:hAnsiTheme="minorHAnsi"/>
        </w:rPr>
        <w:t xml:space="preserve">a commitment to implement </w:t>
      </w:r>
      <w:r w:rsidR="00363F33" w:rsidRPr="004A132D">
        <w:rPr>
          <w:rFonts w:asciiTheme="minorHAnsi" w:hAnsiTheme="minorHAnsi"/>
        </w:rPr>
        <w:t xml:space="preserve">actions </w:t>
      </w:r>
      <w:r w:rsidR="0013374F">
        <w:rPr>
          <w:rFonts w:asciiTheme="minorHAnsi" w:hAnsiTheme="minorHAnsi"/>
        </w:rPr>
        <w:t>to</w:t>
      </w:r>
      <w:r w:rsidR="00363F33" w:rsidRPr="004A132D">
        <w:rPr>
          <w:rFonts w:asciiTheme="minorHAnsi" w:hAnsiTheme="minorHAnsi"/>
        </w:rPr>
        <w:t xml:space="preserve"> reduce the </w:t>
      </w:r>
      <w:r w:rsidR="0013374F">
        <w:rPr>
          <w:rFonts w:asciiTheme="minorHAnsi" w:hAnsiTheme="minorHAnsi"/>
        </w:rPr>
        <w:t xml:space="preserve">retirement income </w:t>
      </w:r>
      <w:r w:rsidR="00363F33" w:rsidRPr="004A132D">
        <w:rPr>
          <w:rFonts w:asciiTheme="minorHAnsi" w:hAnsiTheme="minorHAnsi"/>
        </w:rPr>
        <w:t>gender pay gap, develop superannuation-system supports for people to catch up after time out of the workforce, and implement a strong safety net provided by the social security system.</w:t>
      </w:r>
    </w:p>
    <w:p w14:paraId="6DBF6E7D" w14:textId="77777777" w:rsidR="00363F33" w:rsidRPr="004A132D" w:rsidRDefault="00841460" w:rsidP="00724F8F">
      <w:pPr>
        <w:pStyle w:val="Numbers"/>
        <w:tabs>
          <w:tab w:val="clear" w:pos="2835"/>
        </w:tabs>
        <w:ind w:left="1418"/>
        <w:rPr>
          <w:rFonts w:asciiTheme="minorHAnsi" w:hAnsiTheme="minorHAnsi"/>
        </w:rPr>
      </w:pPr>
      <w:r w:rsidRPr="004A132D">
        <w:rPr>
          <w:rFonts w:asciiTheme="minorHAnsi" w:hAnsiTheme="minorHAnsi"/>
        </w:rPr>
        <w:t>Subject to the passage of legislation, f</w:t>
      </w:r>
      <w:r w:rsidR="00363F33" w:rsidRPr="004A132D">
        <w:rPr>
          <w:rFonts w:asciiTheme="minorHAnsi" w:hAnsiTheme="minorHAnsi"/>
        </w:rPr>
        <w:t xml:space="preserve">rom 1 July 2025, the Government will pay superannuation on its </w:t>
      </w:r>
      <w:r w:rsidR="00B44951" w:rsidRPr="004A132D">
        <w:rPr>
          <w:rFonts w:asciiTheme="minorHAnsi" w:hAnsiTheme="minorHAnsi"/>
        </w:rPr>
        <w:t>PPL scheme</w:t>
      </w:r>
      <w:r w:rsidR="00363F33" w:rsidRPr="004A132D">
        <w:rPr>
          <w:rFonts w:asciiTheme="minorHAnsi" w:hAnsiTheme="minorHAnsi"/>
        </w:rPr>
        <w:t xml:space="preserve"> to signal that taking time out of paid work to care for children is a normal part of working life for both parents; help normalise parental leave as a workplace entitlement; and reduce the impact of parental leave on retirement incomes.</w:t>
      </w:r>
    </w:p>
    <w:p w14:paraId="63FEB582" w14:textId="77777777" w:rsidR="00D6459F" w:rsidRPr="004A132D" w:rsidRDefault="00363F33" w:rsidP="00724F8F">
      <w:pPr>
        <w:pStyle w:val="Numbers"/>
        <w:tabs>
          <w:tab w:val="clear" w:pos="2835"/>
        </w:tabs>
        <w:ind w:left="1418"/>
        <w:rPr>
          <w:rFonts w:asciiTheme="minorHAnsi" w:hAnsiTheme="minorHAnsi"/>
        </w:rPr>
      </w:pPr>
      <w:r w:rsidRPr="004A132D">
        <w:rPr>
          <w:rFonts w:asciiTheme="minorHAnsi" w:hAnsiTheme="minorHAnsi"/>
        </w:rPr>
        <w:t xml:space="preserve">Any new policy proposals relating to Australia’s </w:t>
      </w:r>
      <w:r w:rsidR="00B44951" w:rsidRPr="004A132D">
        <w:rPr>
          <w:rFonts w:asciiTheme="minorHAnsi" w:hAnsiTheme="minorHAnsi"/>
        </w:rPr>
        <w:t xml:space="preserve">retirement income </w:t>
      </w:r>
      <w:r w:rsidRPr="004A132D">
        <w:rPr>
          <w:rFonts w:asciiTheme="minorHAnsi" w:hAnsiTheme="minorHAnsi"/>
        </w:rPr>
        <w:t xml:space="preserve">system must undergo a gender analysis, under Australia’s gender responsive budgeting system. </w:t>
      </w:r>
    </w:p>
    <w:p w14:paraId="3D861F0F" w14:textId="77777777" w:rsidR="00363F33" w:rsidRPr="004A132D" w:rsidRDefault="00363F33" w:rsidP="00724F8F">
      <w:pPr>
        <w:pStyle w:val="Numbers"/>
        <w:tabs>
          <w:tab w:val="clear" w:pos="2835"/>
        </w:tabs>
        <w:ind w:left="1418"/>
        <w:rPr>
          <w:rFonts w:asciiTheme="minorHAnsi" w:hAnsiTheme="minorHAnsi"/>
        </w:rPr>
      </w:pPr>
      <w:r w:rsidRPr="004A132D">
        <w:rPr>
          <w:rFonts w:asciiTheme="minorHAnsi" w:hAnsiTheme="minorHAnsi"/>
        </w:rPr>
        <w:t>To further accelerate progress, directions for future effort include examining the gender and care interaction within the superannuation system to narrow retirement income gender gaps.</w:t>
      </w:r>
    </w:p>
    <w:p w14:paraId="5D624C54" w14:textId="77777777" w:rsidR="00341AFA" w:rsidRPr="004A132D" w:rsidRDefault="00363F33" w:rsidP="00363F33">
      <w:pPr>
        <w:pStyle w:val="Heading2"/>
        <w:rPr>
          <w:rFonts w:eastAsiaTheme="majorEastAsia"/>
          <w:lang w:val="en-NZ"/>
        </w:rPr>
      </w:pPr>
      <w:bookmarkStart w:id="142" w:name="_Toc174011724"/>
      <w:bookmarkStart w:id="143" w:name="_Toc175556821"/>
      <w:r w:rsidRPr="004A132D">
        <w:rPr>
          <w:rFonts w:eastAsiaTheme="majorEastAsia"/>
          <w:lang w:val="en-NZ"/>
        </w:rPr>
        <w:t xml:space="preserve">Question 17c: </w:t>
      </w:r>
      <w:r w:rsidRPr="004A132D">
        <w:t>Respect@Work Report</w:t>
      </w:r>
      <w:bookmarkEnd w:id="142"/>
      <w:bookmarkEnd w:id="143"/>
    </w:p>
    <w:p w14:paraId="1F17101A" w14:textId="77777777" w:rsidR="00363F33" w:rsidRPr="004A132D" w:rsidRDefault="00037028" w:rsidP="00724F8F">
      <w:pPr>
        <w:pStyle w:val="Numbers"/>
        <w:ind w:left="1418"/>
        <w:rPr>
          <w:rFonts w:asciiTheme="minorHAnsi" w:hAnsiTheme="minorHAnsi"/>
        </w:rPr>
      </w:pPr>
      <w:r w:rsidRPr="004A132D">
        <w:rPr>
          <w:rFonts w:asciiTheme="minorHAnsi" w:hAnsiTheme="minorHAnsi"/>
        </w:rPr>
        <w:t xml:space="preserve">The Australian Government has committed to implement all recommendations of the </w:t>
      </w:r>
      <w:r w:rsidR="000E2B9D" w:rsidRPr="004A132D">
        <w:rPr>
          <w:rFonts w:asciiTheme="minorHAnsi" w:hAnsiTheme="minorHAnsi"/>
        </w:rPr>
        <w:t xml:space="preserve">Respect@Work Report, </w:t>
      </w:r>
      <w:r w:rsidRPr="004A132D">
        <w:rPr>
          <w:rFonts w:asciiTheme="minorHAnsi" w:hAnsiTheme="minorHAnsi"/>
        </w:rPr>
        <w:t>and has provided $367 million in fundin</w:t>
      </w:r>
      <w:r w:rsidR="00525980" w:rsidRPr="004A132D">
        <w:rPr>
          <w:rFonts w:asciiTheme="minorHAnsi" w:hAnsiTheme="minorHAnsi"/>
        </w:rPr>
        <w:t>g to support the implementation.</w:t>
      </w:r>
    </w:p>
    <w:p w14:paraId="52D18A43" w14:textId="77777777" w:rsidR="00037028" w:rsidRPr="004A132D" w:rsidRDefault="00037028" w:rsidP="00724F8F">
      <w:pPr>
        <w:pStyle w:val="Numbers"/>
        <w:ind w:left="1418"/>
        <w:rPr>
          <w:rFonts w:asciiTheme="minorHAnsi" w:hAnsiTheme="minorHAnsi"/>
        </w:rPr>
      </w:pPr>
      <w:r w:rsidRPr="004A132D">
        <w:rPr>
          <w:rFonts w:asciiTheme="minorHAnsi" w:hAnsiTheme="minorHAnsi"/>
        </w:rPr>
        <w:t>A significant amount of work has been completed to date</w:t>
      </w:r>
      <w:r w:rsidR="00363F33" w:rsidRPr="004A132D">
        <w:rPr>
          <w:rFonts w:asciiTheme="minorHAnsi" w:hAnsiTheme="minorHAnsi"/>
        </w:rPr>
        <w:t xml:space="preserve">. All but one of the recommendations requiring </w:t>
      </w:r>
      <w:r w:rsidR="00B44951" w:rsidRPr="004A132D">
        <w:rPr>
          <w:rFonts w:asciiTheme="minorHAnsi" w:hAnsiTheme="minorHAnsi"/>
        </w:rPr>
        <w:t xml:space="preserve">federal </w:t>
      </w:r>
      <w:r w:rsidR="00363F33" w:rsidRPr="004A132D">
        <w:rPr>
          <w:rFonts w:asciiTheme="minorHAnsi" w:hAnsiTheme="minorHAnsi"/>
        </w:rPr>
        <w:t xml:space="preserve">legislative change have been implemented through the following amendments: </w:t>
      </w:r>
    </w:p>
    <w:p w14:paraId="4BB21DDB" w14:textId="66E74744" w:rsidR="00037028" w:rsidRPr="004A132D" w:rsidRDefault="00037028" w:rsidP="00561D0E">
      <w:pPr>
        <w:pStyle w:val="Numbers"/>
        <w:numPr>
          <w:ilvl w:val="1"/>
          <w:numId w:val="1"/>
        </w:numPr>
        <w:rPr>
          <w:rFonts w:asciiTheme="minorHAnsi" w:hAnsiTheme="minorHAnsi"/>
          <w:lang w:val="en-NZ"/>
        </w:rPr>
      </w:pPr>
      <w:r w:rsidRPr="004A132D">
        <w:rPr>
          <w:rFonts w:asciiTheme="minorHAnsi" w:hAnsiTheme="minorHAnsi"/>
          <w:lang w:val="en-NZ"/>
        </w:rPr>
        <w:lastRenderedPageBreak/>
        <w:t xml:space="preserve">The Sex Discrimination Act </w:t>
      </w:r>
      <w:r w:rsidR="00B83A20" w:rsidRPr="004A132D">
        <w:rPr>
          <w:rFonts w:asciiTheme="minorHAnsi" w:hAnsiTheme="minorHAnsi"/>
          <w:lang w:val="en-NZ"/>
        </w:rPr>
        <w:t>was</w:t>
      </w:r>
      <w:r w:rsidR="007F2448" w:rsidRPr="004A132D">
        <w:rPr>
          <w:rFonts w:asciiTheme="minorHAnsi" w:hAnsiTheme="minorHAnsi"/>
          <w:lang w:val="en-NZ"/>
        </w:rPr>
        <w:t xml:space="preserve"> </w:t>
      </w:r>
      <w:r w:rsidRPr="004A132D">
        <w:rPr>
          <w:rFonts w:asciiTheme="minorHAnsi" w:hAnsiTheme="minorHAnsi"/>
          <w:lang w:val="en-NZ"/>
        </w:rPr>
        <w:t xml:space="preserve">amended to broaden the scope of </w:t>
      </w:r>
      <w:r w:rsidR="007F2448" w:rsidRPr="004A132D">
        <w:rPr>
          <w:rFonts w:asciiTheme="minorHAnsi" w:hAnsiTheme="minorHAnsi"/>
          <w:lang w:val="en-NZ"/>
        </w:rPr>
        <w:t xml:space="preserve">the </w:t>
      </w:r>
      <w:r w:rsidRPr="004A132D">
        <w:rPr>
          <w:rFonts w:asciiTheme="minorHAnsi" w:hAnsiTheme="minorHAnsi"/>
          <w:lang w:val="en-NZ"/>
        </w:rPr>
        <w:t xml:space="preserve">Act to apply to all forms of workers, expressly prohibit sex-based harassment and conduct that results in a hostile work environment, and introduce a positive duty on all employers to take reasonable and proportionate measures to eliminate certain forms of unlawful sex discrimination as far as possible.  </w:t>
      </w:r>
    </w:p>
    <w:p w14:paraId="0B303B85" w14:textId="567552F6" w:rsidR="00037028" w:rsidRPr="004A132D" w:rsidRDefault="00285538" w:rsidP="00561D0E">
      <w:pPr>
        <w:pStyle w:val="Numbers"/>
        <w:numPr>
          <w:ilvl w:val="1"/>
          <w:numId w:val="1"/>
        </w:numPr>
        <w:rPr>
          <w:rFonts w:asciiTheme="minorHAnsi" w:hAnsiTheme="minorHAnsi"/>
          <w:lang w:val="en-NZ"/>
        </w:rPr>
      </w:pPr>
      <w:r w:rsidRPr="004A132D">
        <w:rPr>
          <w:rFonts w:asciiTheme="minorHAnsi" w:hAnsiTheme="minorHAnsi"/>
          <w:lang w:val="en-NZ"/>
        </w:rPr>
        <w:t>T</w:t>
      </w:r>
      <w:r w:rsidR="00037028" w:rsidRPr="004A132D">
        <w:rPr>
          <w:rFonts w:asciiTheme="minorHAnsi" w:hAnsiTheme="minorHAnsi"/>
          <w:lang w:val="en-NZ"/>
        </w:rPr>
        <w:t xml:space="preserve">he </w:t>
      </w:r>
      <w:r w:rsidR="00037028" w:rsidRPr="004A132D">
        <w:rPr>
          <w:rFonts w:asciiTheme="minorHAnsi" w:hAnsiTheme="minorHAnsi"/>
          <w:i/>
          <w:lang w:val="en-NZ"/>
        </w:rPr>
        <w:t xml:space="preserve">Australian Human Rights Commission Act </w:t>
      </w:r>
      <w:r w:rsidR="00FE7DBB" w:rsidRPr="004A132D">
        <w:rPr>
          <w:rFonts w:asciiTheme="minorHAnsi" w:hAnsiTheme="minorHAnsi"/>
          <w:i/>
          <w:lang w:val="en-NZ"/>
        </w:rPr>
        <w:t>1986</w:t>
      </w:r>
      <w:r w:rsidR="00FE7DBB" w:rsidRPr="004A132D">
        <w:rPr>
          <w:rFonts w:asciiTheme="minorHAnsi" w:hAnsiTheme="minorHAnsi"/>
          <w:lang w:val="en-NZ"/>
        </w:rPr>
        <w:t xml:space="preserve"> (Cth) </w:t>
      </w:r>
      <w:r w:rsidR="00FE70EA" w:rsidRPr="004A132D">
        <w:rPr>
          <w:rFonts w:asciiTheme="minorHAnsi" w:hAnsiTheme="minorHAnsi"/>
          <w:lang w:val="en-NZ"/>
        </w:rPr>
        <w:t>was</w:t>
      </w:r>
      <w:r w:rsidR="007F2448" w:rsidRPr="004A132D">
        <w:rPr>
          <w:rFonts w:asciiTheme="minorHAnsi" w:hAnsiTheme="minorHAnsi"/>
          <w:lang w:val="en-NZ"/>
        </w:rPr>
        <w:t xml:space="preserve"> </w:t>
      </w:r>
      <w:r w:rsidR="00037028" w:rsidRPr="004A132D">
        <w:rPr>
          <w:rFonts w:asciiTheme="minorHAnsi" w:hAnsiTheme="minorHAnsi"/>
          <w:lang w:val="en-NZ"/>
        </w:rPr>
        <w:t>amende</w:t>
      </w:r>
      <w:r w:rsidR="009B0E53" w:rsidRPr="004A132D">
        <w:rPr>
          <w:rFonts w:asciiTheme="minorHAnsi" w:hAnsiTheme="minorHAnsi"/>
          <w:lang w:val="en-NZ"/>
        </w:rPr>
        <w:t xml:space="preserve">d to provide the AHRC with new </w:t>
      </w:r>
      <w:r w:rsidR="00553DA1" w:rsidRPr="004A132D">
        <w:rPr>
          <w:rFonts w:asciiTheme="minorHAnsi" w:hAnsiTheme="minorHAnsi"/>
          <w:lang w:val="en-NZ"/>
        </w:rPr>
        <w:t>i</w:t>
      </w:r>
      <w:r w:rsidR="00037028" w:rsidRPr="004A132D">
        <w:rPr>
          <w:rFonts w:asciiTheme="minorHAnsi" w:hAnsiTheme="minorHAnsi"/>
          <w:lang w:val="en-NZ"/>
        </w:rPr>
        <w:t xml:space="preserve">nquiry powers to inquire into, and report on, issues of systematic unlawful discrimination, and new compliance and enforcement functions to complement the positive duty. </w:t>
      </w:r>
    </w:p>
    <w:p w14:paraId="54681271" w14:textId="0AFB572D" w:rsidR="00037028" w:rsidRPr="004A132D" w:rsidRDefault="00037028" w:rsidP="00561D0E">
      <w:pPr>
        <w:pStyle w:val="Numbers"/>
        <w:numPr>
          <w:ilvl w:val="1"/>
          <w:numId w:val="1"/>
        </w:numPr>
        <w:rPr>
          <w:rFonts w:asciiTheme="minorHAnsi" w:hAnsiTheme="minorHAnsi"/>
          <w:lang w:val="en-NZ"/>
        </w:rPr>
      </w:pPr>
      <w:r w:rsidRPr="004A132D">
        <w:rPr>
          <w:rFonts w:asciiTheme="minorHAnsi" w:hAnsiTheme="minorHAnsi"/>
          <w:lang w:val="en-NZ"/>
        </w:rPr>
        <w:t xml:space="preserve">The </w:t>
      </w:r>
      <w:r w:rsidR="000E2B9D" w:rsidRPr="004A132D">
        <w:rPr>
          <w:rFonts w:asciiTheme="minorHAnsi" w:hAnsiTheme="minorHAnsi"/>
        </w:rPr>
        <w:t>Fair Work Act</w:t>
      </w:r>
      <w:r w:rsidR="000E2B9D" w:rsidRPr="004A132D">
        <w:rPr>
          <w:rFonts w:asciiTheme="minorHAnsi" w:hAnsiTheme="minorHAnsi"/>
          <w:lang w:val="en-NZ"/>
        </w:rPr>
        <w:t xml:space="preserve"> </w:t>
      </w:r>
      <w:r w:rsidRPr="004A132D">
        <w:rPr>
          <w:rFonts w:asciiTheme="minorHAnsi" w:hAnsiTheme="minorHAnsi"/>
          <w:lang w:val="en-NZ"/>
        </w:rPr>
        <w:t xml:space="preserve">and </w:t>
      </w:r>
      <w:r w:rsidRPr="004A132D">
        <w:rPr>
          <w:rFonts w:asciiTheme="minorHAnsi" w:hAnsiTheme="minorHAnsi"/>
          <w:i/>
          <w:lang w:val="en-NZ"/>
        </w:rPr>
        <w:t>Fair Work Regulations 2009 (Cth)</w:t>
      </w:r>
      <w:r w:rsidRPr="004A132D">
        <w:rPr>
          <w:rFonts w:asciiTheme="minorHAnsi" w:hAnsiTheme="minorHAnsi"/>
          <w:lang w:val="en-NZ"/>
        </w:rPr>
        <w:t xml:space="preserve"> </w:t>
      </w:r>
      <w:r w:rsidR="005B41DE" w:rsidRPr="004A132D">
        <w:rPr>
          <w:rFonts w:asciiTheme="minorHAnsi" w:hAnsiTheme="minorHAnsi"/>
          <w:lang w:val="en-NZ"/>
        </w:rPr>
        <w:t>were</w:t>
      </w:r>
      <w:r w:rsidR="00B7382A" w:rsidRPr="004A132D">
        <w:rPr>
          <w:rFonts w:asciiTheme="minorHAnsi" w:hAnsiTheme="minorHAnsi"/>
          <w:lang w:val="en-NZ"/>
        </w:rPr>
        <w:t xml:space="preserve"> </w:t>
      </w:r>
      <w:r w:rsidRPr="004A132D">
        <w:rPr>
          <w:rFonts w:asciiTheme="minorHAnsi" w:hAnsiTheme="minorHAnsi"/>
          <w:lang w:val="en-NZ"/>
        </w:rPr>
        <w:t xml:space="preserve">amended to expressly prohibit sexual harassment in connection with work, introduce </w:t>
      </w:r>
      <w:r w:rsidR="00812EF3" w:rsidRPr="004A132D">
        <w:rPr>
          <w:rFonts w:asciiTheme="minorHAnsi" w:hAnsiTheme="minorHAnsi"/>
          <w:lang w:val="en-NZ"/>
        </w:rPr>
        <w:t xml:space="preserve">powers for the Fair Work Commission to deal with workplace disputes concerning sexual harassment and issue </w:t>
      </w:r>
      <w:r w:rsidRPr="004A132D">
        <w:rPr>
          <w:rFonts w:asciiTheme="minorHAnsi" w:hAnsiTheme="minorHAnsi"/>
          <w:lang w:val="en-NZ"/>
        </w:rPr>
        <w:t>a ‘stop sexual harassment order’, and clarify that sexual harassment can be conduct amounting to a valid reason for dismissal.</w:t>
      </w:r>
    </w:p>
    <w:p w14:paraId="37984A93" w14:textId="77777777" w:rsidR="00037028" w:rsidRPr="004A132D" w:rsidRDefault="00037028" w:rsidP="00561D0E">
      <w:pPr>
        <w:pStyle w:val="Numbers"/>
        <w:numPr>
          <w:ilvl w:val="1"/>
          <w:numId w:val="1"/>
        </w:numPr>
        <w:rPr>
          <w:rFonts w:asciiTheme="minorHAnsi" w:hAnsiTheme="minorHAnsi"/>
          <w:lang w:val="en-NZ"/>
        </w:rPr>
      </w:pPr>
      <w:r w:rsidRPr="004A132D">
        <w:rPr>
          <w:rFonts w:asciiTheme="minorHAnsi" w:hAnsiTheme="minorHAnsi"/>
          <w:lang w:val="en-NZ"/>
        </w:rPr>
        <w:t xml:space="preserve">To enhance data collection and information sharing, the </w:t>
      </w:r>
      <w:r w:rsidR="00670ED0" w:rsidRPr="004A132D">
        <w:rPr>
          <w:rFonts w:asciiTheme="minorHAnsi" w:hAnsiTheme="minorHAnsi"/>
        </w:rPr>
        <w:t>WGE</w:t>
      </w:r>
      <w:r w:rsidR="000E2B9D" w:rsidRPr="004A132D">
        <w:rPr>
          <w:rFonts w:asciiTheme="minorHAnsi" w:hAnsiTheme="minorHAnsi"/>
        </w:rPr>
        <w:t xml:space="preserve"> Act </w:t>
      </w:r>
      <w:r w:rsidRPr="004A132D">
        <w:rPr>
          <w:rFonts w:asciiTheme="minorHAnsi" w:hAnsiTheme="minorHAnsi"/>
          <w:lang w:val="en-NZ"/>
        </w:rPr>
        <w:t xml:space="preserve">has been amended to require federal public sector organisations, in addition to </w:t>
      </w:r>
      <w:r w:rsidR="00F71B92" w:rsidRPr="004A132D">
        <w:rPr>
          <w:rFonts w:asciiTheme="minorHAnsi" w:hAnsiTheme="minorHAnsi"/>
          <w:lang w:val="en-NZ"/>
        </w:rPr>
        <w:t>non-public</w:t>
      </w:r>
      <w:r w:rsidRPr="004A132D">
        <w:rPr>
          <w:rFonts w:asciiTheme="minorHAnsi" w:hAnsiTheme="minorHAnsi"/>
          <w:lang w:val="en-NZ"/>
        </w:rPr>
        <w:t xml:space="preserve"> sector employers, to report annually on gender equality indicators. </w:t>
      </w:r>
    </w:p>
    <w:p w14:paraId="6871B4DA" w14:textId="6926A64F" w:rsidR="00037028" w:rsidRPr="004A132D" w:rsidRDefault="00037028" w:rsidP="00724F8F">
      <w:pPr>
        <w:pStyle w:val="Numbers"/>
        <w:ind w:left="1418"/>
        <w:rPr>
          <w:rFonts w:asciiTheme="minorHAnsi" w:hAnsiTheme="minorHAnsi"/>
        </w:rPr>
      </w:pPr>
      <w:r w:rsidRPr="004A132D">
        <w:rPr>
          <w:rFonts w:asciiTheme="minorHAnsi" w:hAnsiTheme="minorHAnsi"/>
        </w:rPr>
        <w:t xml:space="preserve">The final recommendation requiring </w:t>
      </w:r>
      <w:r w:rsidR="00363F33" w:rsidRPr="004A132D">
        <w:rPr>
          <w:rFonts w:asciiTheme="minorHAnsi" w:hAnsiTheme="minorHAnsi"/>
        </w:rPr>
        <w:t>federal</w:t>
      </w:r>
      <w:r w:rsidRPr="004A132D">
        <w:rPr>
          <w:rFonts w:asciiTheme="minorHAnsi" w:hAnsiTheme="minorHAnsi"/>
        </w:rPr>
        <w:t xml:space="preserve"> legislation is the implementation of a costs protection model for discrimination matters that proceed to the federal courts. </w:t>
      </w:r>
      <w:r w:rsidR="00E667F1" w:rsidRPr="004A132D">
        <w:rPr>
          <w:rFonts w:asciiTheme="minorHAnsi" w:hAnsiTheme="minorHAnsi"/>
          <w:lang w:val="en-AU"/>
        </w:rPr>
        <w:t xml:space="preserve">On 15 November 2023, </w:t>
      </w:r>
      <w:r w:rsidR="00E667F1" w:rsidRPr="004A132D">
        <w:rPr>
          <w:rFonts w:asciiTheme="minorHAnsi" w:hAnsiTheme="minorHAnsi"/>
        </w:rPr>
        <w:t>t</w:t>
      </w:r>
      <w:r w:rsidRPr="004A132D">
        <w:rPr>
          <w:rFonts w:asciiTheme="minorHAnsi" w:hAnsiTheme="minorHAnsi"/>
        </w:rPr>
        <w:t xml:space="preserve">he Australian Government </w:t>
      </w:r>
      <w:r w:rsidR="001D1EF6" w:rsidRPr="004A132D">
        <w:rPr>
          <w:rFonts w:asciiTheme="minorHAnsi" w:hAnsiTheme="minorHAnsi"/>
        </w:rPr>
        <w:t>introduced the Australian Human Rights Commission Amendment (Costs Protection) Bill 2023 into Parliament to implement this recommendation. The Australian Government is considering the report of a</w:t>
      </w:r>
      <w:r w:rsidR="00994DDF" w:rsidRPr="004A132D">
        <w:rPr>
          <w:rFonts w:asciiTheme="minorHAnsi" w:hAnsiTheme="minorHAnsi"/>
        </w:rPr>
        <w:t xml:space="preserve"> Senate </w:t>
      </w:r>
      <w:r w:rsidR="00553DA1" w:rsidRPr="004A132D">
        <w:rPr>
          <w:rFonts w:asciiTheme="minorHAnsi" w:hAnsiTheme="minorHAnsi"/>
        </w:rPr>
        <w:t>i</w:t>
      </w:r>
      <w:r w:rsidR="00994DDF" w:rsidRPr="004A132D">
        <w:rPr>
          <w:rFonts w:asciiTheme="minorHAnsi" w:hAnsiTheme="minorHAnsi"/>
        </w:rPr>
        <w:t>nquiry into that Bill.</w:t>
      </w:r>
    </w:p>
    <w:p w14:paraId="6D340C06" w14:textId="77777777" w:rsidR="00037028" w:rsidRPr="004A132D" w:rsidRDefault="00037028" w:rsidP="00724F8F">
      <w:pPr>
        <w:pStyle w:val="Numbers"/>
        <w:ind w:left="1418"/>
        <w:rPr>
          <w:rFonts w:asciiTheme="minorHAnsi" w:hAnsiTheme="minorHAnsi"/>
        </w:rPr>
      </w:pPr>
      <w:r w:rsidRPr="004A132D">
        <w:rPr>
          <w:rFonts w:asciiTheme="minorHAnsi" w:hAnsiTheme="minorHAnsi"/>
        </w:rPr>
        <w:t xml:space="preserve">Key non-legislative measures taken by the Australian Government in response to recommendations from the </w:t>
      </w:r>
      <w:r w:rsidR="000E2B9D" w:rsidRPr="004A132D">
        <w:rPr>
          <w:rFonts w:asciiTheme="minorHAnsi" w:hAnsiTheme="minorHAnsi"/>
        </w:rPr>
        <w:t xml:space="preserve">Respect@Work Report </w:t>
      </w:r>
      <w:r w:rsidRPr="004A132D">
        <w:rPr>
          <w:rFonts w:asciiTheme="minorHAnsi" w:hAnsiTheme="minorHAnsi"/>
        </w:rPr>
        <w:t>include:</w:t>
      </w:r>
    </w:p>
    <w:p w14:paraId="00BE338D" w14:textId="77777777" w:rsidR="00037028" w:rsidRPr="004A132D" w:rsidRDefault="00037028" w:rsidP="00561D0E">
      <w:pPr>
        <w:pStyle w:val="Numbers"/>
        <w:numPr>
          <w:ilvl w:val="1"/>
          <w:numId w:val="1"/>
        </w:numPr>
        <w:rPr>
          <w:rFonts w:asciiTheme="minorHAnsi" w:hAnsiTheme="minorHAnsi"/>
        </w:rPr>
      </w:pPr>
      <w:r w:rsidRPr="004A132D">
        <w:rPr>
          <w:rFonts w:asciiTheme="minorHAnsi" w:hAnsiTheme="minorHAnsi"/>
        </w:rPr>
        <w:t>developing training and education materials for critical groups</w:t>
      </w:r>
      <w:r w:rsidR="00525980" w:rsidRPr="004A132D">
        <w:rPr>
          <w:rFonts w:asciiTheme="minorHAnsi" w:hAnsiTheme="minorHAnsi"/>
        </w:rPr>
        <w:t xml:space="preserve"> on workplace sexual harassment;</w:t>
      </w:r>
    </w:p>
    <w:p w14:paraId="1BCC54F5" w14:textId="77777777" w:rsidR="00037028" w:rsidRPr="004A132D" w:rsidRDefault="00037028" w:rsidP="00561D0E">
      <w:pPr>
        <w:pStyle w:val="Numbers"/>
        <w:numPr>
          <w:ilvl w:val="1"/>
          <w:numId w:val="1"/>
        </w:numPr>
        <w:rPr>
          <w:rFonts w:asciiTheme="minorHAnsi" w:hAnsiTheme="minorHAnsi"/>
        </w:rPr>
      </w:pPr>
      <w:r w:rsidRPr="004A132D">
        <w:rPr>
          <w:rFonts w:asciiTheme="minorHAnsi" w:hAnsiTheme="minorHAnsi"/>
        </w:rPr>
        <w:lastRenderedPageBreak/>
        <w:t>funding a Sexual Harassment Research Program to support a national evidence base to inform policy and practice</w:t>
      </w:r>
      <w:r w:rsidR="00525980" w:rsidRPr="004A132D">
        <w:rPr>
          <w:rFonts w:asciiTheme="minorHAnsi" w:hAnsiTheme="minorHAnsi"/>
        </w:rPr>
        <w:t>;</w:t>
      </w:r>
      <w:r w:rsidRPr="004A132D">
        <w:rPr>
          <w:rFonts w:asciiTheme="minorHAnsi" w:hAnsiTheme="minorHAnsi"/>
        </w:rPr>
        <w:t xml:space="preserve"> </w:t>
      </w:r>
    </w:p>
    <w:p w14:paraId="08E3FF58" w14:textId="77777777" w:rsidR="00037028" w:rsidRPr="004A132D" w:rsidRDefault="00037028" w:rsidP="00561D0E">
      <w:pPr>
        <w:pStyle w:val="Numbers"/>
        <w:numPr>
          <w:ilvl w:val="1"/>
          <w:numId w:val="1"/>
        </w:numPr>
        <w:rPr>
          <w:rFonts w:asciiTheme="minorHAnsi" w:hAnsiTheme="minorHAnsi"/>
        </w:rPr>
      </w:pPr>
      <w:r w:rsidRPr="004A132D">
        <w:rPr>
          <w:rFonts w:asciiTheme="minorHAnsi" w:hAnsiTheme="minorHAnsi"/>
        </w:rPr>
        <w:t>developing Guidelines on the use of confidentiality clauses in settlement agreements in sexual harassment matters</w:t>
      </w:r>
      <w:r w:rsidR="00525980" w:rsidRPr="004A132D">
        <w:rPr>
          <w:rFonts w:asciiTheme="minorHAnsi" w:hAnsiTheme="minorHAnsi"/>
        </w:rPr>
        <w:t>;</w:t>
      </w:r>
    </w:p>
    <w:p w14:paraId="2DC784C3" w14:textId="28D04D28" w:rsidR="00037028" w:rsidRPr="004A132D" w:rsidRDefault="00037028" w:rsidP="00561D0E">
      <w:pPr>
        <w:pStyle w:val="Numbers"/>
        <w:numPr>
          <w:ilvl w:val="1"/>
          <w:numId w:val="1"/>
        </w:numPr>
        <w:rPr>
          <w:rFonts w:asciiTheme="minorHAnsi" w:hAnsiTheme="minorHAnsi"/>
        </w:rPr>
      </w:pPr>
      <w:r w:rsidRPr="004A132D">
        <w:rPr>
          <w:rFonts w:asciiTheme="minorHAnsi" w:hAnsiTheme="minorHAnsi"/>
        </w:rPr>
        <w:t xml:space="preserve">commissioning the Australian National University to undertake research on costs and damages in sexual harassment litigation </w:t>
      </w:r>
      <w:r w:rsidR="0013374F">
        <w:rPr>
          <w:rFonts w:asciiTheme="minorHAnsi" w:hAnsiTheme="minorHAnsi"/>
        </w:rPr>
        <w:t>in order to</w:t>
      </w:r>
      <w:r w:rsidRPr="004A132D">
        <w:rPr>
          <w:rFonts w:asciiTheme="minorHAnsi" w:hAnsiTheme="minorHAnsi"/>
        </w:rPr>
        <w:t xml:space="preserve"> inform a review into an appropriate costs protection model for discrimination matters</w:t>
      </w:r>
      <w:r w:rsidR="00525980" w:rsidRPr="004A132D">
        <w:rPr>
          <w:rFonts w:asciiTheme="minorHAnsi" w:hAnsiTheme="minorHAnsi"/>
        </w:rPr>
        <w:t>;</w:t>
      </w:r>
      <w:r w:rsidRPr="004A132D">
        <w:rPr>
          <w:rFonts w:asciiTheme="minorHAnsi" w:hAnsiTheme="minorHAnsi"/>
        </w:rPr>
        <w:t xml:space="preserve"> </w:t>
      </w:r>
    </w:p>
    <w:p w14:paraId="5A3CE7FF" w14:textId="77777777" w:rsidR="00037028" w:rsidRPr="004A132D" w:rsidRDefault="00037028" w:rsidP="00561D0E">
      <w:pPr>
        <w:pStyle w:val="Numbers"/>
        <w:numPr>
          <w:ilvl w:val="1"/>
          <w:numId w:val="1"/>
        </w:numPr>
        <w:rPr>
          <w:rFonts w:asciiTheme="minorHAnsi" w:hAnsiTheme="minorHAnsi"/>
        </w:rPr>
      </w:pPr>
      <w:r w:rsidRPr="004A132D">
        <w:rPr>
          <w:rFonts w:asciiTheme="minorHAnsi" w:hAnsiTheme="minorHAnsi"/>
        </w:rPr>
        <w:t>providing funding for working women’s centres, community legal centres and legal aid commissions and 1800RESPECT to support individuals who experience sexual harassment</w:t>
      </w:r>
      <w:r w:rsidR="00525980" w:rsidRPr="004A132D">
        <w:rPr>
          <w:rFonts w:asciiTheme="minorHAnsi" w:hAnsiTheme="minorHAnsi"/>
        </w:rPr>
        <w:t>;</w:t>
      </w:r>
      <w:r w:rsidRPr="004A132D">
        <w:rPr>
          <w:rFonts w:asciiTheme="minorHAnsi" w:hAnsiTheme="minorHAnsi"/>
        </w:rPr>
        <w:t xml:space="preserve"> </w:t>
      </w:r>
    </w:p>
    <w:p w14:paraId="6D9CF7D7" w14:textId="77777777" w:rsidR="00037028" w:rsidRPr="004A132D" w:rsidRDefault="00037028" w:rsidP="00561D0E">
      <w:pPr>
        <w:pStyle w:val="Numbers"/>
        <w:numPr>
          <w:ilvl w:val="1"/>
          <w:numId w:val="1"/>
        </w:numPr>
        <w:rPr>
          <w:rFonts w:asciiTheme="minorHAnsi" w:hAnsiTheme="minorHAnsi"/>
        </w:rPr>
      </w:pPr>
      <w:r w:rsidRPr="004A132D">
        <w:rPr>
          <w:rFonts w:asciiTheme="minorHAnsi" w:hAnsiTheme="minorHAnsi"/>
        </w:rPr>
        <w:t>ratifying the International Labor Organisation’s Violence and Harassment Convention 190</w:t>
      </w:r>
      <w:r w:rsidR="00525980" w:rsidRPr="004A132D">
        <w:rPr>
          <w:rFonts w:asciiTheme="minorHAnsi" w:hAnsiTheme="minorHAnsi"/>
        </w:rPr>
        <w:t>;</w:t>
      </w:r>
      <w:r w:rsidRPr="004A132D">
        <w:rPr>
          <w:rFonts w:asciiTheme="minorHAnsi" w:hAnsiTheme="minorHAnsi"/>
        </w:rPr>
        <w:t xml:space="preserve"> </w:t>
      </w:r>
    </w:p>
    <w:p w14:paraId="39DCDF4D" w14:textId="77777777" w:rsidR="00037028" w:rsidRPr="004A132D" w:rsidRDefault="00037028" w:rsidP="00561D0E">
      <w:pPr>
        <w:pStyle w:val="Numbers"/>
        <w:numPr>
          <w:ilvl w:val="1"/>
          <w:numId w:val="1"/>
        </w:numPr>
        <w:rPr>
          <w:rFonts w:asciiTheme="minorHAnsi" w:hAnsiTheme="minorHAnsi"/>
        </w:rPr>
      </w:pPr>
      <w:r w:rsidRPr="004A132D">
        <w:rPr>
          <w:rFonts w:asciiTheme="minorHAnsi" w:hAnsiTheme="minorHAnsi"/>
        </w:rPr>
        <w:t>conducting and releasing the results of the fifth national survey on sexual harassment</w:t>
      </w:r>
      <w:r w:rsidR="00525980" w:rsidRPr="004A132D">
        <w:rPr>
          <w:rFonts w:asciiTheme="minorHAnsi" w:hAnsiTheme="minorHAnsi"/>
        </w:rPr>
        <w:t>;</w:t>
      </w:r>
      <w:r w:rsidRPr="004A132D">
        <w:rPr>
          <w:rFonts w:asciiTheme="minorHAnsi" w:hAnsiTheme="minorHAnsi"/>
        </w:rPr>
        <w:t xml:space="preserve"> </w:t>
      </w:r>
    </w:p>
    <w:p w14:paraId="696F71E6" w14:textId="77777777" w:rsidR="00037028" w:rsidRPr="004A132D" w:rsidRDefault="00037028" w:rsidP="00561D0E">
      <w:pPr>
        <w:pStyle w:val="Numbers"/>
        <w:numPr>
          <w:ilvl w:val="1"/>
          <w:numId w:val="1"/>
        </w:numPr>
        <w:rPr>
          <w:rFonts w:asciiTheme="minorHAnsi" w:hAnsiTheme="minorHAnsi"/>
        </w:rPr>
      </w:pPr>
      <w:r w:rsidRPr="004A132D">
        <w:rPr>
          <w:rFonts w:asciiTheme="minorHAnsi" w:hAnsiTheme="minorHAnsi"/>
        </w:rPr>
        <w:t>establishing the Res</w:t>
      </w:r>
      <w:r w:rsidR="00363F33" w:rsidRPr="004A132D">
        <w:rPr>
          <w:rFonts w:asciiTheme="minorHAnsi" w:hAnsiTheme="minorHAnsi"/>
        </w:rPr>
        <w:t>pec</w:t>
      </w:r>
      <w:r w:rsidRPr="004A132D">
        <w:rPr>
          <w:rFonts w:asciiTheme="minorHAnsi" w:hAnsiTheme="minorHAnsi"/>
        </w:rPr>
        <w:t>t@Work Council to provide advice on the implementation of the recommendations</w:t>
      </w:r>
      <w:r w:rsidR="00525980" w:rsidRPr="004A132D">
        <w:rPr>
          <w:rFonts w:asciiTheme="minorHAnsi" w:hAnsiTheme="minorHAnsi"/>
        </w:rPr>
        <w:t>;</w:t>
      </w:r>
    </w:p>
    <w:p w14:paraId="73717817" w14:textId="77777777" w:rsidR="008D4D46" w:rsidRPr="004A132D" w:rsidRDefault="00037028" w:rsidP="00561D0E">
      <w:pPr>
        <w:pStyle w:val="Numbers"/>
        <w:numPr>
          <w:ilvl w:val="1"/>
          <w:numId w:val="1"/>
        </w:numPr>
        <w:rPr>
          <w:rFonts w:asciiTheme="minorHAnsi" w:hAnsiTheme="minorHAnsi"/>
        </w:rPr>
      </w:pPr>
      <w:r w:rsidRPr="004A132D">
        <w:rPr>
          <w:rFonts w:asciiTheme="minorHAnsi" w:hAnsiTheme="minorHAnsi"/>
        </w:rPr>
        <w:t>developing Good Practice Indicators Framework for preventing and responding to workplace sexual hara</w:t>
      </w:r>
      <w:r w:rsidR="00525980" w:rsidRPr="004A132D">
        <w:rPr>
          <w:rFonts w:asciiTheme="minorHAnsi" w:hAnsiTheme="minorHAnsi"/>
        </w:rPr>
        <w:t>ssment</w:t>
      </w:r>
      <w:r w:rsidR="008D4D46" w:rsidRPr="004A132D">
        <w:rPr>
          <w:rFonts w:asciiTheme="minorHAnsi" w:hAnsiTheme="minorHAnsi"/>
        </w:rPr>
        <w:t>; and</w:t>
      </w:r>
    </w:p>
    <w:p w14:paraId="63190E01" w14:textId="77777777" w:rsidR="00037028" w:rsidRPr="004A132D" w:rsidRDefault="00037028" w:rsidP="00561D0E">
      <w:pPr>
        <w:pStyle w:val="Numbers"/>
        <w:numPr>
          <w:ilvl w:val="1"/>
          <w:numId w:val="1"/>
        </w:numPr>
        <w:rPr>
          <w:rFonts w:asciiTheme="minorHAnsi" w:hAnsiTheme="minorHAnsi"/>
        </w:rPr>
      </w:pPr>
      <w:r w:rsidRPr="004A132D">
        <w:rPr>
          <w:rFonts w:asciiTheme="minorHAnsi" w:hAnsiTheme="minorHAnsi"/>
        </w:rPr>
        <w:t>launching the Respect@Work website which delivers information and resources on workplace sexual harassment, including guidance on external pathways to addre</w:t>
      </w:r>
      <w:r w:rsidR="00525980" w:rsidRPr="004A132D">
        <w:rPr>
          <w:rFonts w:asciiTheme="minorHAnsi" w:hAnsiTheme="minorHAnsi"/>
        </w:rPr>
        <w:t>ss workplace sexual harassment.</w:t>
      </w:r>
    </w:p>
    <w:p w14:paraId="533B1BBF" w14:textId="77777777" w:rsidR="006E05FD" w:rsidRPr="005F6B4E" w:rsidRDefault="00F31E2F" w:rsidP="005F6B4E">
      <w:pPr>
        <w:pStyle w:val="Heading1"/>
      </w:pPr>
      <w:bookmarkStart w:id="144" w:name="_Toc174011725"/>
      <w:bookmarkStart w:id="145" w:name="_Toc175556822"/>
      <w:r w:rsidRPr="005F6B4E">
        <w:t xml:space="preserve">Question 18: </w:t>
      </w:r>
      <w:r w:rsidR="006E05FD" w:rsidRPr="005F6B4E">
        <w:t>Sexual harassment</w:t>
      </w:r>
      <w:bookmarkEnd w:id="144"/>
      <w:bookmarkEnd w:id="145"/>
    </w:p>
    <w:p w14:paraId="1DA450FF" w14:textId="77777777" w:rsidR="00F31E2F" w:rsidRPr="004A132D" w:rsidRDefault="001A63C0" w:rsidP="000D138D">
      <w:pPr>
        <w:pStyle w:val="Heading2"/>
        <w:keepNext/>
        <w:keepLines/>
      </w:pPr>
      <w:bookmarkStart w:id="146" w:name="_Toc174011726"/>
      <w:bookmarkStart w:id="147" w:name="_Toc175556823"/>
      <w:r w:rsidRPr="004A132D">
        <w:t>Addressing workplace sexual harassment</w:t>
      </w:r>
      <w:bookmarkEnd w:id="146"/>
      <w:bookmarkEnd w:id="147"/>
    </w:p>
    <w:p w14:paraId="43C3FB9C" w14:textId="10F76060" w:rsidR="00D846A0" w:rsidRPr="004A132D" w:rsidRDefault="00D846A0" w:rsidP="00724F8F">
      <w:pPr>
        <w:pStyle w:val="Numbers"/>
        <w:ind w:left="1418"/>
        <w:rPr>
          <w:rFonts w:asciiTheme="minorHAnsi" w:hAnsiTheme="minorHAnsi"/>
        </w:rPr>
      </w:pPr>
      <w:r w:rsidRPr="004A132D">
        <w:rPr>
          <w:rFonts w:asciiTheme="minorHAnsi" w:hAnsiTheme="minorHAnsi"/>
        </w:rPr>
        <w:t xml:space="preserve">Measures taken to encourage reporting of sexual harassment in the workplace can be found in </w:t>
      </w:r>
      <w:r w:rsidR="00EE50E1" w:rsidRPr="004A132D">
        <w:rPr>
          <w:rFonts w:asciiTheme="minorHAnsi" w:hAnsiTheme="minorHAnsi"/>
        </w:rPr>
        <w:t xml:space="preserve">response to </w:t>
      </w:r>
      <w:r w:rsidRPr="004A132D">
        <w:rPr>
          <w:rFonts w:asciiTheme="minorHAnsi" w:hAnsiTheme="minorHAnsi"/>
        </w:rPr>
        <w:t xml:space="preserve">question 17c which outlines the Australian Government’s response to the landmark </w:t>
      </w:r>
      <w:r w:rsidR="000E2B9D" w:rsidRPr="004A132D">
        <w:rPr>
          <w:rFonts w:asciiTheme="minorHAnsi" w:hAnsiTheme="minorHAnsi"/>
        </w:rPr>
        <w:t>Respect@Work Report.</w:t>
      </w:r>
    </w:p>
    <w:p w14:paraId="5098799F" w14:textId="461EE5EC" w:rsidR="00162A67" w:rsidRPr="004A132D" w:rsidRDefault="00162A67" w:rsidP="00724F8F">
      <w:pPr>
        <w:pStyle w:val="SingleTxtG"/>
        <w:numPr>
          <w:ilvl w:val="0"/>
          <w:numId w:val="1"/>
        </w:numPr>
        <w:spacing w:line="360" w:lineRule="auto"/>
        <w:ind w:left="1418"/>
        <w:rPr>
          <w:rFonts w:asciiTheme="minorHAnsi" w:hAnsiTheme="minorHAnsi"/>
          <w:sz w:val="24"/>
          <w:szCs w:val="24"/>
        </w:rPr>
      </w:pPr>
      <w:r w:rsidRPr="004A132D">
        <w:rPr>
          <w:rFonts w:asciiTheme="minorHAnsi" w:hAnsiTheme="minorHAnsi"/>
          <w:sz w:val="24"/>
          <w:szCs w:val="24"/>
        </w:rPr>
        <w:lastRenderedPageBreak/>
        <w:t>These amendments have strengthened the legal and regulatory frameworks and shifted the system to focus on preventative efforts to eliminate sex discrimination and sexual harassment, particularly in the workplace.</w:t>
      </w:r>
    </w:p>
    <w:p w14:paraId="2A67650E" w14:textId="548A8414" w:rsidR="00B4527B" w:rsidRPr="004A132D" w:rsidRDefault="00B4527B" w:rsidP="00724F8F">
      <w:pPr>
        <w:pStyle w:val="SingleTxtG"/>
        <w:numPr>
          <w:ilvl w:val="0"/>
          <w:numId w:val="1"/>
        </w:numPr>
        <w:spacing w:line="360" w:lineRule="auto"/>
        <w:ind w:left="1418"/>
        <w:rPr>
          <w:rFonts w:asciiTheme="minorHAnsi" w:hAnsiTheme="minorHAnsi"/>
          <w:sz w:val="24"/>
          <w:szCs w:val="24"/>
        </w:rPr>
      </w:pPr>
      <w:r w:rsidRPr="004A132D">
        <w:rPr>
          <w:rFonts w:asciiTheme="minorHAnsi" w:hAnsiTheme="minorHAnsi"/>
          <w:sz w:val="24"/>
          <w:szCs w:val="24"/>
        </w:rPr>
        <w:t xml:space="preserve">The </w:t>
      </w:r>
      <w:r w:rsidRPr="004A132D">
        <w:rPr>
          <w:rFonts w:asciiTheme="minorHAnsi" w:hAnsiTheme="minorHAnsi"/>
          <w:i/>
          <w:sz w:val="24"/>
          <w:szCs w:val="24"/>
        </w:rPr>
        <w:t xml:space="preserve">Fair Work Legislation Amendment (Secure Jobs, Better Pay) Act 2009 </w:t>
      </w:r>
      <w:r w:rsidRPr="004A132D">
        <w:rPr>
          <w:rFonts w:asciiTheme="minorHAnsi" w:hAnsiTheme="minorHAnsi"/>
          <w:sz w:val="24"/>
          <w:szCs w:val="24"/>
        </w:rPr>
        <w:t xml:space="preserve">amended the </w:t>
      </w:r>
      <w:r w:rsidRPr="004A132D">
        <w:rPr>
          <w:rFonts w:asciiTheme="minorHAnsi" w:hAnsiTheme="minorHAnsi"/>
          <w:i/>
          <w:sz w:val="24"/>
          <w:szCs w:val="24"/>
        </w:rPr>
        <w:t xml:space="preserve">Fair Work Act 2009 </w:t>
      </w:r>
      <w:r w:rsidRPr="004A132D">
        <w:rPr>
          <w:rFonts w:asciiTheme="minorHAnsi" w:hAnsiTheme="minorHAnsi"/>
          <w:sz w:val="24"/>
          <w:szCs w:val="24"/>
        </w:rPr>
        <w:t>to prohibit sexual harassment in connection with work, and to provide workers with the option to deal with sexual harassment complaints through the Fair Work Commission. Access to existing channels for complaints are still applicable, such as the Australian Human Rights Commission and state and territory anti-discrimination or workplace health and safety bodies.</w:t>
      </w:r>
    </w:p>
    <w:p w14:paraId="0515C6D3" w14:textId="760C9D4C" w:rsidR="003D2A3A" w:rsidRPr="004A132D" w:rsidRDefault="000E0FF1" w:rsidP="000D138D">
      <w:pPr>
        <w:pStyle w:val="SingleTxtG"/>
        <w:numPr>
          <w:ilvl w:val="0"/>
          <w:numId w:val="1"/>
        </w:numPr>
        <w:spacing w:line="360" w:lineRule="auto"/>
        <w:ind w:left="1418"/>
        <w:rPr>
          <w:rFonts w:asciiTheme="minorHAnsi" w:hAnsiTheme="minorHAnsi"/>
          <w:sz w:val="24"/>
          <w:szCs w:val="24"/>
        </w:rPr>
      </w:pPr>
      <w:r w:rsidRPr="004A132D">
        <w:rPr>
          <w:rFonts w:asciiTheme="minorHAnsi" w:hAnsiTheme="minorHAnsi"/>
          <w:sz w:val="24"/>
          <w:szCs w:val="24"/>
        </w:rPr>
        <w:t>The Australian Government has provide</w:t>
      </w:r>
      <w:r w:rsidR="003D2A3A" w:rsidRPr="004A132D">
        <w:rPr>
          <w:rFonts w:asciiTheme="minorHAnsi" w:hAnsiTheme="minorHAnsi"/>
          <w:sz w:val="24"/>
          <w:szCs w:val="24"/>
        </w:rPr>
        <w:t>d</w:t>
      </w:r>
      <w:r w:rsidRPr="004A132D">
        <w:rPr>
          <w:rFonts w:asciiTheme="minorHAnsi" w:hAnsiTheme="minorHAnsi"/>
          <w:sz w:val="24"/>
          <w:szCs w:val="24"/>
        </w:rPr>
        <w:t xml:space="preserve"> funding for working women’s centres in all states and territories, to provide information, advice and assistance to women who experience workplace sexual harassment and other workplace issues. This funding implements recommendations from the Respect@Work Report. </w:t>
      </w:r>
    </w:p>
    <w:p w14:paraId="047E9C76" w14:textId="1D9C026D" w:rsidR="001A63C0" w:rsidRPr="004A132D" w:rsidRDefault="001A63C0" w:rsidP="00D846A0">
      <w:pPr>
        <w:pStyle w:val="Heading2"/>
      </w:pPr>
      <w:bookmarkStart w:id="148" w:name="_Toc174011727"/>
      <w:bookmarkStart w:id="149" w:name="_Toc175556824"/>
      <w:r w:rsidRPr="004A132D">
        <w:t>Independent Review into Commonwealth Parliamentary Workplaces</w:t>
      </w:r>
      <w:bookmarkEnd w:id="148"/>
      <w:bookmarkEnd w:id="149"/>
    </w:p>
    <w:p w14:paraId="08450A3A" w14:textId="77777777" w:rsidR="00712308" w:rsidRPr="004A132D" w:rsidRDefault="00712308" w:rsidP="00724F8F">
      <w:pPr>
        <w:pStyle w:val="Numbers"/>
        <w:ind w:left="1418"/>
        <w:rPr>
          <w:rFonts w:asciiTheme="minorHAnsi" w:hAnsiTheme="minorHAnsi"/>
        </w:rPr>
      </w:pPr>
      <w:r w:rsidRPr="004A132D">
        <w:rPr>
          <w:rFonts w:asciiTheme="minorHAnsi" w:hAnsiTheme="minorHAnsi"/>
        </w:rPr>
        <w:t>The Australian Government has committed to implement</w:t>
      </w:r>
      <w:r w:rsidR="00651FB4" w:rsidRPr="004A132D">
        <w:rPr>
          <w:rFonts w:asciiTheme="minorHAnsi" w:hAnsiTheme="minorHAnsi"/>
        </w:rPr>
        <w:t xml:space="preserve"> recommendations of the </w:t>
      </w:r>
      <w:r w:rsidRPr="004A132D">
        <w:rPr>
          <w:rFonts w:asciiTheme="minorHAnsi" w:hAnsiTheme="minorHAnsi"/>
          <w:i/>
        </w:rPr>
        <w:t>Set the Standard: Report on the Independent Review into Commonwealth Parliamentary Workplaces</w:t>
      </w:r>
      <w:r w:rsidRPr="004A132D">
        <w:rPr>
          <w:rFonts w:asciiTheme="minorHAnsi" w:hAnsiTheme="minorHAnsi"/>
        </w:rPr>
        <w:t xml:space="preserve">. The Report aims to ensure that Commonwealth parliamentary workplaces are safe and respectful. </w:t>
      </w:r>
      <w:r w:rsidR="00246562" w:rsidRPr="004A132D">
        <w:rPr>
          <w:rFonts w:asciiTheme="minorHAnsi" w:hAnsiTheme="minorHAnsi"/>
        </w:rPr>
        <w:t>To date, the following measures have been taken:</w:t>
      </w:r>
    </w:p>
    <w:p w14:paraId="5BA5FEC1" w14:textId="77777777" w:rsidR="00712308" w:rsidRPr="004A132D" w:rsidRDefault="00712308" w:rsidP="00561D0E">
      <w:pPr>
        <w:pStyle w:val="Numbers"/>
        <w:numPr>
          <w:ilvl w:val="1"/>
          <w:numId w:val="1"/>
        </w:numPr>
        <w:rPr>
          <w:rFonts w:asciiTheme="minorHAnsi" w:hAnsiTheme="minorHAnsi"/>
        </w:rPr>
      </w:pPr>
      <w:r w:rsidRPr="004A132D">
        <w:rPr>
          <w:rFonts w:asciiTheme="minorHAnsi" w:hAnsiTheme="minorHAnsi"/>
        </w:rPr>
        <w:t xml:space="preserve">A human resources entity has been established to support parliamentarians and their staff, including through professional development, resources to professionalise management practices, guidance to manage suspension and termination decisions, and training on respectful workplace behaviour and codes of conduct. The </w:t>
      </w:r>
      <w:r w:rsidR="00F13949" w:rsidRPr="004A132D">
        <w:rPr>
          <w:rFonts w:asciiTheme="minorHAnsi" w:hAnsiTheme="minorHAnsi"/>
        </w:rPr>
        <w:t>human resources</w:t>
      </w:r>
      <w:r w:rsidRPr="004A132D">
        <w:rPr>
          <w:rFonts w:asciiTheme="minorHAnsi" w:hAnsiTheme="minorHAnsi"/>
        </w:rPr>
        <w:t xml:space="preserve"> entity can also conduct reviews of complaints made about certain alleged workplace misconduct. </w:t>
      </w:r>
    </w:p>
    <w:p w14:paraId="0A2B07FC" w14:textId="77777777" w:rsidR="00712308" w:rsidRPr="004A132D" w:rsidRDefault="00EB56A6" w:rsidP="00561D0E">
      <w:pPr>
        <w:pStyle w:val="Numbers"/>
        <w:numPr>
          <w:ilvl w:val="1"/>
          <w:numId w:val="1"/>
        </w:numPr>
        <w:rPr>
          <w:rFonts w:asciiTheme="minorHAnsi" w:hAnsiTheme="minorHAnsi"/>
        </w:rPr>
      </w:pPr>
      <w:r w:rsidRPr="004A132D">
        <w:rPr>
          <w:rFonts w:asciiTheme="minorHAnsi" w:hAnsiTheme="minorHAnsi"/>
        </w:rPr>
        <w:t xml:space="preserve">The Australian </w:t>
      </w:r>
      <w:r w:rsidR="00712308" w:rsidRPr="004A132D">
        <w:rPr>
          <w:rFonts w:asciiTheme="minorHAnsi" w:hAnsiTheme="minorHAnsi"/>
        </w:rPr>
        <w:t>Parliament has endorsed interim behaviour standards and codes for parliamentarians, their staff and Commonwealth parliamentary workplaces that, amongst other things, prohibits sexual harassment in the workplace.</w:t>
      </w:r>
    </w:p>
    <w:p w14:paraId="2FDE082B" w14:textId="77777777" w:rsidR="00712308" w:rsidRPr="004A132D" w:rsidRDefault="00712308" w:rsidP="00561D0E">
      <w:pPr>
        <w:pStyle w:val="Numbers"/>
        <w:numPr>
          <w:ilvl w:val="1"/>
          <w:numId w:val="1"/>
        </w:numPr>
        <w:rPr>
          <w:rFonts w:asciiTheme="minorHAnsi" w:hAnsiTheme="minorHAnsi"/>
        </w:rPr>
      </w:pPr>
      <w:r w:rsidRPr="004A132D">
        <w:rPr>
          <w:rFonts w:asciiTheme="minorHAnsi" w:hAnsiTheme="minorHAnsi"/>
        </w:rPr>
        <w:lastRenderedPageBreak/>
        <w:t xml:space="preserve">Legislative amendments </w:t>
      </w:r>
      <w:r w:rsidR="00697E22" w:rsidRPr="004A132D">
        <w:rPr>
          <w:rFonts w:asciiTheme="minorHAnsi" w:hAnsiTheme="minorHAnsi"/>
        </w:rPr>
        <w:t xml:space="preserve">have been made </w:t>
      </w:r>
      <w:r w:rsidRPr="004A132D">
        <w:rPr>
          <w:rFonts w:asciiTheme="minorHAnsi" w:hAnsiTheme="minorHAnsi"/>
        </w:rPr>
        <w:t>to modernise the employment framework for parliament</w:t>
      </w:r>
      <w:r w:rsidR="00F13949" w:rsidRPr="004A132D">
        <w:rPr>
          <w:rFonts w:asciiTheme="minorHAnsi" w:hAnsiTheme="minorHAnsi"/>
        </w:rPr>
        <w:t xml:space="preserve">arians’ staff, and to support </w:t>
      </w:r>
      <w:r w:rsidRPr="004A132D">
        <w:rPr>
          <w:rFonts w:asciiTheme="minorHAnsi" w:hAnsiTheme="minorHAnsi"/>
        </w:rPr>
        <w:t>safe, respectful and accountable workplaces.</w:t>
      </w:r>
    </w:p>
    <w:p w14:paraId="73EC273E" w14:textId="77777777" w:rsidR="00712308" w:rsidRPr="004A132D" w:rsidRDefault="00712308" w:rsidP="00561D0E">
      <w:pPr>
        <w:pStyle w:val="Numbers"/>
        <w:numPr>
          <w:ilvl w:val="1"/>
          <w:numId w:val="1"/>
        </w:numPr>
        <w:rPr>
          <w:rFonts w:asciiTheme="minorHAnsi" w:hAnsiTheme="minorHAnsi"/>
        </w:rPr>
      </w:pPr>
      <w:r w:rsidRPr="004A132D">
        <w:rPr>
          <w:rFonts w:asciiTheme="minorHAnsi" w:hAnsiTheme="minorHAnsi"/>
        </w:rPr>
        <w:t xml:space="preserve">Parliament’s standing orders </w:t>
      </w:r>
      <w:r w:rsidR="00697E22" w:rsidRPr="004A132D">
        <w:rPr>
          <w:rFonts w:asciiTheme="minorHAnsi" w:hAnsiTheme="minorHAnsi"/>
        </w:rPr>
        <w:t xml:space="preserve">have been reviewed </w:t>
      </w:r>
      <w:r w:rsidRPr="004A132D">
        <w:rPr>
          <w:rFonts w:asciiTheme="minorHAnsi" w:hAnsiTheme="minorHAnsi"/>
        </w:rPr>
        <w:t>with a view to improving safety and respect in the parliamentary chambers.</w:t>
      </w:r>
    </w:p>
    <w:p w14:paraId="45AA7C9E" w14:textId="3F377946" w:rsidR="00712308" w:rsidRPr="004A132D" w:rsidRDefault="00712308" w:rsidP="00724F8F">
      <w:pPr>
        <w:pStyle w:val="Numbers"/>
        <w:ind w:left="1418"/>
        <w:rPr>
          <w:rFonts w:asciiTheme="minorHAnsi" w:hAnsiTheme="minorHAnsi"/>
        </w:rPr>
      </w:pPr>
      <w:r w:rsidRPr="004A132D">
        <w:rPr>
          <w:rFonts w:asciiTheme="minorHAnsi" w:hAnsiTheme="minorHAnsi"/>
        </w:rPr>
        <w:t xml:space="preserve">The Australian Government is </w:t>
      </w:r>
      <w:r w:rsidR="008C1CB7">
        <w:rPr>
          <w:rFonts w:asciiTheme="minorHAnsi" w:hAnsiTheme="minorHAnsi"/>
        </w:rPr>
        <w:t xml:space="preserve">progressing, as a priority, </w:t>
      </w:r>
      <w:r w:rsidRPr="004A132D">
        <w:rPr>
          <w:rFonts w:asciiTheme="minorHAnsi" w:hAnsiTheme="minorHAnsi"/>
        </w:rPr>
        <w:t xml:space="preserve">in consultation with </w:t>
      </w:r>
      <w:r w:rsidR="008C1CB7">
        <w:rPr>
          <w:rFonts w:asciiTheme="minorHAnsi" w:hAnsiTheme="minorHAnsi"/>
        </w:rPr>
        <w:t xml:space="preserve">the </w:t>
      </w:r>
      <w:r w:rsidRPr="004A132D">
        <w:rPr>
          <w:rFonts w:asciiTheme="minorHAnsi" w:hAnsiTheme="minorHAnsi"/>
        </w:rPr>
        <w:t xml:space="preserve">Parliament, </w:t>
      </w:r>
      <w:r w:rsidR="008C1CB7">
        <w:rPr>
          <w:rFonts w:asciiTheme="minorHAnsi" w:hAnsiTheme="minorHAnsi"/>
        </w:rPr>
        <w:t>establishing</w:t>
      </w:r>
      <w:r w:rsidRPr="004A132D">
        <w:rPr>
          <w:rFonts w:asciiTheme="minorHAnsi" w:hAnsiTheme="minorHAnsi"/>
        </w:rPr>
        <w:t xml:space="preserve"> an Independent Parliamentary Standards Commission </w:t>
      </w:r>
      <w:r w:rsidR="008C1CB7">
        <w:rPr>
          <w:rFonts w:asciiTheme="minorHAnsi" w:hAnsiTheme="minorHAnsi"/>
        </w:rPr>
        <w:t xml:space="preserve">which will </w:t>
      </w:r>
      <w:r w:rsidRPr="004A132D">
        <w:rPr>
          <w:rFonts w:asciiTheme="minorHAnsi" w:hAnsiTheme="minorHAnsi"/>
        </w:rPr>
        <w:t>investigate complaints of breaches of behaviour codes and standards for parliamentarians, staff and Commonwealth parliamentary workplaces.</w:t>
      </w:r>
    </w:p>
    <w:p w14:paraId="387BA66B" w14:textId="77777777" w:rsidR="00324849" w:rsidRPr="004A132D" w:rsidRDefault="00712308" w:rsidP="00724F8F">
      <w:pPr>
        <w:pStyle w:val="Numbers"/>
        <w:ind w:left="1418"/>
        <w:rPr>
          <w:rFonts w:asciiTheme="minorHAnsi" w:hAnsiTheme="minorHAnsi"/>
        </w:rPr>
      </w:pPr>
      <w:r w:rsidRPr="004A132D">
        <w:rPr>
          <w:rFonts w:asciiTheme="minorHAnsi" w:hAnsiTheme="minorHAnsi"/>
        </w:rPr>
        <w:t>There is public reporting on implementation of the recommendations available online which is updated on a regular basis.</w:t>
      </w:r>
      <w:r w:rsidR="00BB68FA" w:rsidRPr="004A132D">
        <w:rPr>
          <w:rStyle w:val="FootnoteReference"/>
          <w:rFonts w:asciiTheme="minorHAnsi" w:hAnsiTheme="minorHAnsi"/>
          <w:lang w:val="en-NZ"/>
        </w:rPr>
        <w:footnoteReference w:id="33"/>
      </w:r>
    </w:p>
    <w:p w14:paraId="7AAC3BB9" w14:textId="77777777" w:rsidR="000266E2" w:rsidRPr="005F6B4E" w:rsidRDefault="00246562" w:rsidP="005F6B4E">
      <w:pPr>
        <w:pStyle w:val="Heading1"/>
      </w:pPr>
      <w:bookmarkStart w:id="150" w:name="_Toc174011728"/>
      <w:bookmarkStart w:id="151" w:name="_Toc175556825"/>
      <w:r w:rsidRPr="005F6B4E">
        <w:t xml:space="preserve">Question 19: </w:t>
      </w:r>
      <w:r w:rsidR="006E05FD" w:rsidRPr="005F6B4E">
        <w:t>Health</w:t>
      </w:r>
      <w:bookmarkEnd w:id="150"/>
      <w:bookmarkEnd w:id="151"/>
    </w:p>
    <w:p w14:paraId="3C7C14C7" w14:textId="50300D67" w:rsidR="008C2802" w:rsidRPr="004A132D" w:rsidRDefault="00E27B5E" w:rsidP="00724F8F">
      <w:pPr>
        <w:pStyle w:val="Numbers"/>
        <w:ind w:left="1418"/>
        <w:rPr>
          <w:rFonts w:asciiTheme="minorHAnsi" w:hAnsiTheme="minorHAnsi"/>
        </w:rPr>
      </w:pPr>
      <w:r w:rsidRPr="004A132D">
        <w:rPr>
          <w:rFonts w:asciiTheme="minorHAnsi" w:hAnsiTheme="minorHAnsi"/>
        </w:rPr>
        <w:t xml:space="preserve">The </w:t>
      </w:r>
      <w:r w:rsidR="007406BF" w:rsidRPr="004A132D">
        <w:rPr>
          <w:rFonts w:asciiTheme="minorHAnsi" w:hAnsiTheme="minorHAnsi"/>
        </w:rPr>
        <w:t xml:space="preserve">National Women’s Health Strategy </w:t>
      </w:r>
      <w:r w:rsidRPr="004A132D">
        <w:rPr>
          <w:rFonts w:asciiTheme="minorHAnsi" w:hAnsiTheme="minorHAnsi"/>
        </w:rPr>
        <w:t>outlines a national approach to improving health outcomes for all women and girls, particularly those at greatest risk of poor health, and aims to reduce</w:t>
      </w:r>
      <w:r w:rsidR="00232E8B" w:rsidRPr="004A132D">
        <w:rPr>
          <w:rFonts w:asciiTheme="minorHAnsi" w:hAnsiTheme="minorHAnsi"/>
        </w:rPr>
        <w:t xml:space="preserve"> inequities in health outcomes. The Strategy identifies 5 priority areas </w:t>
      </w:r>
      <w:r w:rsidR="008C2802" w:rsidRPr="004A132D">
        <w:rPr>
          <w:rFonts w:asciiTheme="minorHAnsi" w:hAnsiTheme="minorHAnsi"/>
        </w:rPr>
        <w:t xml:space="preserve">with key measures of success </w:t>
      </w:r>
      <w:r w:rsidRPr="004A132D">
        <w:rPr>
          <w:rFonts w:asciiTheme="minorHAnsi" w:hAnsiTheme="minorHAnsi"/>
        </w:rPr>
        <w:t xml:space="preserve">to improve health outcomes for Australian women and girls: maternal, sexual and reproductive health; healthy ageing; chronic conditions and preventive health; mental health; and the health impacts of violence against women and girls. </w:t>
      </w:r>
    </w:p>
    <w:p w14:paraId="7F35F7C5" w14:textId="0CE75ADB" w:rsidR="00E27B5E" w:rsidRPr="004A132D" w:rsidRDefault="00E27B5E" w:rsidP="00724F8F">
      <w:pPr>
        <w:pStyle w:val="Numbers"/>
        <w:ind w:left="1418"/>
        <w:rPr>
          <w:rFonts w:asciiTheme="minorHAnsi" w:hAnsiTheme="minorHAnsi"/>
        </w:rPr>
      </w:pPr>
      <w:r w:rsidRPr="004A132D">
        <w:rPr>
          <w:rFonts w:asciiTheme="minorHAnsi" w:hAnsiTheme="minorHAnsi"/>
        </w:rPr>
        <w:t>Equitable access to pregnancy termination services is a key measure of success in the</w:t>
      </w:r>
      <w:r w:rsidR="007406BF" w:rsidRPr="004A132D">
        <w:rPr>
          <w:rFonts w:asciiTheme="minorHAnsi" w:hAnsiTheme="minorHAnsi"/>
        </w:rPr>
        <w:t xml:space="preserve"> National Women’s Health Strategy</w:t>
      </w:r>
      <w:r w:rsidR="00C33013" w:rsidRPr="004A132D">
        <w:rPr>
          <w:rFonts w:asciiTheme="minorHAnsi" w:hAnsiTheme="minorHAnsi"/>
        </w:rPr>
        <w:t>. The Australian Government provides support for pregnancy termination services through Medicare Benefits Schedule</w:t>
      </w:r>
      <w:r w:rsidR="008B6CFE" w:rsidRPr="004A132D">
        <w:rPr>
          <w:rFonts w:asciiTheme="minorHAnsi" w:hAnsiTheme="minorHAnsi"/>
        </w:rPr>
        <w:t xml:space="preserve"> (MBS)</w:t>
      </w:r>
      <w:r w:rsidR="00C33013" w:rsidRPr="004A132D">
        <w:rPr>
          <w:rStyle w:val="FootnoteReference"/>
          <w:rFonts w:asciiTheme="minorHAnsi" w:hAnsiTheme="minorHAnsi"/>
        </w:rPr>
        <w:footnoteReference w:id="34"/>
      </w:r>
      <w:r w:rsidR="00C33013" w:rsidRPr="004A132D">
        <w:rPr>
          <w:rFonts w:asciiTheme="minorHAnsi" w:hAnsiTheme="minorHAnsi"/>
        </w:rPr>
        <w:t xml:space="preserve"> rebates for relevant services, including telehealth consultations, subsidies for the cost of medicines under the </w:t>
      </w:r>
      <w:r w:rsidR="008B6CFE" w:rsidRPr="004A132D">
        <w:rPr>
          <w:rFonts w:asciiTheme="minorHAnsi" w:hAnsiTheme="minorHAnsi"/>
        </w:rPr>
        <w:t>Pharmaceutical Benefits Scheme (</w:t>
      </w:r>
      <w:r w:rsidR="00C33013" w:rsidRPr="004A132D">
        <w:rPr>
          <w:rFonts w:asciiTheme="minorHAnsi" w:hAnsiTheme="minorHAnsi"/>
        </w:rPr>
        <w:t>PBS</w:t>
      </w:r>
      <w:r w:rsidR="008B6CFE" w:rsidRPr="004A132D">
        <w:rPr>
          <w:rFonts w:asciiTheme="minorHAnsi" w:hAnsiTheme="minorHAnsi"/>
        </w:rPr>
        <w:t>)</w:t>
      </w:r>
      <w:r w:rsidR="008B6CFE" w:rsidRPr="004A132D">
        <w:rPr>
          <w:rStyle w:val="FootnoteReference"/>
          <w:rFonts w:asciiTheme="minorHAnsi" w:hAnsiTheme="minorHAnsi"/>
        </w:rPr>
        <w:footnoteReference w:id="35"/>
      </w:r>
      <w:r w:rsidR="00C33013" w:rsidRPr="004A132D">
        <w:rPr>
          <w:rFonts w:asciiTheme="minorHAnsi" w:hAnsiTheme="minorHAnsi"/>
        </w:rPr>
        <w:t xml:space="preserve"> and via the National Health Reform Agreement.</w:t>
      </w:r>
      <w:r w:rsidR="008B6CFE" w:rsidRPr="004A132D">
        <w:rPr>
          <w:rStyle w:val="FootnoteReference"/>
          <w:rFonts w:asciiTheme="minorHAnsi" w:hAnsiTheme="minorHAnsi"/>
        </w:rPr>
        <w:footnoteReference w:id="36"/>
      </w:r>
      <w:r w:rsidR="00162EE9" w:rsidRPr="004A132D">
        <w:rPr>
          <w:rFonts w:asciiTheme="minorHAnsi" w:hAnsiTheme="minorHAnsi"/>
        </w:rPr>
        <w:t xml:space="preserve"> In 2023, t</w:t>
      </w:r>
      <w:r w:rsidR="00C33013" w:rsidRPr="004A132D">
        <w:rPr>
          <w:rFonts w:asciiTheme="minorHAnsi" w:hAnsiTheme="minorHAnsi"/>
        </w:rPr>
        <w:t xml:space="preserve">he </w:t>
      </w:r>
      <w:r w:rsidR="008B6CFE" w:rsidRPr="004A132D">
        <w:rPr>
          <w:rFonts w:asciiTheme="minorHAnsi" w:hAnsiTheme="minorHAnsi"/>
        </w:rPr>
        <w:t xml:space="preserve">Australian </w:t>
      </w:r>
      <w:r w:rsidR="00C33013" w:rsidRPr="004A132D">
        <w:rPr>
          <w:rFonts w:asciiTheme="minorHAnsi" w:hAnsiTheme="minorHAnsi"/>
        </w:rPr>
        <w:t xml:space="preserve">Government, </w:t>
      </w:r>
      <w:r w:rsidR="00C33013" w:rsidRPr="004A132D">
        <w:rPr>
          <w:rFonts w:asciiTheme="minorHAnsi" w:hAnsiTheme="minorHAnsi"/>
        </w:rPr>
        <w:lastRenderedPageBreak/>
        <w:t xml:space="preserve">supported by expert advice, introduced changes to the dispensing and prescribing of </w:t>
      </w:r>
      <w:r w:rsidR="008C1CB7">
        <w:rPr>
          <w:rFonts w:asciiTheme="minorHAnsi" w:hAnsiTheme="minorHAnsi"/>
        </w:rPr>
        <w:t>a</w:t>
      </w:r>
      <w:r w:rsidR="00C33013" w:rsidRPr="004A132D">
        <w:rPr>
          <w:rFonts w:asciiTheme="minorHAnsi" w:hAnsiTheme="minorHAnsi"/>
        </w:rPr>
        <w:t xml:space="preserve"> medical abortion drug, mifepristone and misoprostol (MS-2 Step©). This will reduce barriers to safe and affordable abortions, especially for women in rural and remote areas.</w:t>
      </w:r>
    </w:p>
    <w:p w14:paraId="546F4CD5" w14:textId="4ADB735E" w:rsidR="008B6CFE" w:rsidRPr="004A132D" w:rsidRDefault="008B6CFE" w:rsidP="00724F8F">
      <w:pPr>
        <w:pStyle w:val="Numbers"/>
        <w:ind w:left="1418"/>
        <w:rPr>
          <w:rFonts w:asciiTheme="minorHAnsi" w:hAnsiTheme="minorHAnsi"/>
        </w:rPr>
      </w:pPr>
      <w:r w:rsidRPr="004A132D">
        <w:rPr>
          <w:rFonts w:asciiTheme="minorHAnsi" w:hAnsiTheme="minorHAnsi"/>
        </w:rPr>
        <w:t xml:space="preserve">The Australian Government is also </w:t>
      </w:r>
      <w:r w:rsidR="004512EE">
        <w:rPr>
          <w:rFonts w:asciiTheme="minorHAnsi" w:hAnsiTheme="minorHAnsi"/>
        </w:rPr>
        <w:t xml:space="preserve">supporting awareness </w:t>
      </w:r>
      <w:r w:rsidR="00162EE9" w:rsidRPr="004A132D">
        <w:rPr>
          <w:rFonts w:asciiTheme="minorHAnsi" w:hAnsiTheme="minorHAnsi"/>
        </w:rPr>
        <w:t>raising</w:t>
      </w:r>
      <w:r w:rsidR="00FA4EC3" w:rsidRPr="004A132D">
        <w:rPr>
          <w:rFonts w:asciiTheme="minorHAnsi" w:hAnsiTheme="minorHAnsi"/>
        </w:rPr>
        <w:t xml:space="preserve"> </w:t>
      </w:r>
      <w:r w:rsidR="00162EE9" w:rsidRPr="004A132D">
        <w:rPr>
          <w:rFonts w:asciiTheme="minorHAnsi" w:hAnsiTheme="minorHAnsi"/>
        </w:rPr>
        <w:t>and access to sexual and reproductive health services</w:t>
      </w:r>
      <w:r w:rsidR="004512EE">
        <w:rPr>
          <w:rFonts w:asciiTheme="minorHAnsi" w:hAnsiTheme="minorHAnsi"/>
        </w:rPr>
        <w:t xml:space="preserve"> and related training</w:t>
      </w:r>
      <w:r w:rsidR="00162EE9" w:rsidRPr="004A132D">
        <w:rPr>
          <w:rFonts w:asciiTheme="minorHAnsi" w:hAnsiTheme="minorHAnsi"/>
        </w:rPr>
        <w:t>, including through:</w:t>
      </w:r>
    </w:p>
    <w:p w14:paraId="4CE3626B" w14:textId="0E27AFCF" w:rsidR="00C33013" w:rsidRPr="004A132D" w:rsidRDefault="00162EE9" w:rsidP="00561D0E">
      <w:pPr>
        <w:pStyle w:val="Numbers"/>
        <w:numPr>
          <w:ilvl w:val="1"/>
          <w:numId w:val="1"/>
        </w:numPr>
        <w:rPr>
          <w:rFonts w:asciiTheme="minorHAnsi" w:hAnsiTheme="minorHAnsi"/>
        </w:rPr>
      </w:pPr>
      <w:r w:rsidRPr="004A132D">
        <w:rPr>
          <w:rFonts w:asciiTheme="minorHAnsi" w:hAnsiTheme="minorHAnsi"/>
        </w:rPr>
        <w:t>providing</w:t>
      </w:r>
      <w:r w:rsidR="00C33013" w:rsidRPr="004A132D">
        <w:rPr>
          <w:rFonts w:asciiTheme="minorHAnsi" w:hAnsiTheme="minorHAnsi"/>
        </w:rPr>
        <w:t xml:space="preserve"> $5.2 million over </w:t>
      </w:r>
      <w:r w:rsidR="00520DF4" w:rsidRPr="004A132D">
        <w:rPr>
          <w:rFonts w:asciiTheme="minorHAnsi" w:hAnsiTheme="minorHAnsi"/>
        </w:rPr>
        <w:t>3</w:t>
      </w:r>
      <w:r w:rsidR="00C33013" w:rsidRPr="004A132D">
        <w:rPr>
          <w:rFonts w:asciiTheme="minorHAnsi" w:hAnsiTheme="minorHAnsi"/>
        </w:rPr>
        <w:t xml:space="preserve"> years from 2024–25 to support health practitioners, including regional and remote practitioners, to undertake training in </w:t>
      </w:r>
      <w:r w:rsidRPr="004A132D">
        <w:rPr>
          <w:rFonts w:asciiTheme="minorHAnsi" w:hAnsiTheme="minorHAnsi"/>
        </w:rPr>
        <w:t>long-acting reversible contraception (</w:t>
      </w:r>
      <w:r w:rsidR="00C33013" w:rsidRPr="004A132D">
        <w:rPr>
          <w:rFonts w:asciiTheme="minorHAnsi" w:hAnsiTheme="minorHAnsi"/>
        </w:rPr>
        <w:t>LARC</w:t>
      </w:r>
      <w:r w:rsidRPr="004A132D">
        <w:rPr>
          <w:rFonts w:asciiTheme="minorHAnsi" w:hAnsiTheme="minorHAnsi"/>
        </w:rPr>
        <w:t>)</w:t>
      </w:r>
      <w:r w:rsidR="00C33013" w:rsidRPr="004A132D">
        <w:rPr>
          <w:rFonts w:asciiTheme="minorHAnsi" w:hAnsiTheme="minorHAnsi"/>
        </w:rPr>
        <w:t xml:space="preserve"> insertion and removal. This will increase the number of healthcare practitioners trained in LARC</w:t>
      </w:r>
      <w:r w:rsidR="0053441C" w:rsidRPr="004A132D">
        <w:rPr>
          <w:rFonts w:asciiTheme="minorHAnsi" w:hAnsiTheme="minorHAnsi"/>
        </w:rPr>
        <w:t xml:space="preserve"> insertion</w:t>
      </w:r>
      <w:r w:rsidR="00C33013" w:rsidRPr="004A132D">
        <w:rPr>
          <w:rFonts w:asciiTheme="minorHAnsi" w:hAnsiTheme="minorHAnsi"/>
        </w:rPr>
        <w:t xml:space="preserve"> so women have more access to these highly effective, re</w:t>
      </w:r>
      <w:r w:rsidR="00FA4EC3" w:rsidRPr="004A132D">
        <w:rPr>
          <w:rFonts w:asciiTheme="minorHAnsi" w:hAnsiTheme="minorHAnsi"/>
        </w:rPr>
        <w:t>versible forms of contraception;</w:t>
      </w:r>
    </w:p>
    <w:p w14:paraId="4A4370F2" w14:textId="2358F11F" w:rsidR="00C33013" w:rsidRPr="004A132D" w:rsidRDefault="00FA4EC3" w:rsidP="00561D0E">
      <w:pPr>
        <w:pStyle w:val="Numbers"/>
        <w:numPr>
          <w:ilvl w:val="1"/>
          <w:numId w:val="1"/>
        </w:numPr>
        <w:rPr>
          <w:rFonts w:asciiTheme="minorHAnsi" w:hAnsiTheme="minorHAnsi"/>
        </w:rPr>
      </w:pPr>
      <w:r w:rsidRPr="004A132D">
        <w:rPr>
          <w:rFonts w:asciiTheme="minorHAnsi" w:hAnsiTheme="minorHAnsi"/>
        </w:rPr>
        <w:t>providing</w:t>
      </w:r>
      <w:r w:rsidR="00C33013" w:rsidRPr="004A132D">
        <w:rPr>
          <w:rFonts w:asciiTheme="minorHAnsi" w:hAnsiTheme="minorHAnsi"/>
        </w:rPr>
        <w:t xml:space="preserve"> $1.1 million over </w:t>
      </w:r>
      <w:r w:rsidR="00520DF4" w:rsidRPr="004A132D">
        <w:rPr>
          <w:rFonts w:asciiTheme="minorHAnsi" w:hAnsiTheme="minorHAnsi"/>
        </w:rPr>
        <w:t>4</w:t>
      </w:r>
      <w:r w:rsidR="00C33013" w:rsidRPr="004A132D">
        <w:rPr>
          <w:rFonts w:asciiTheme="minorHAnsi" w:hAnsiTheme="minorHAnsi"/>
        </w:rPr>
        <w:t xml:space="preserve"> years from 2024–25 to support the development of a virtual contraception decision-making tool for</w:t>
      </w:r>
      <w:r w:rsidRPr="004A132D">
        <w:rPr>
          <w:rFonts w:asciiTheme="minorHAnsi" w:hAnsiTheme="minorHAnsi"/>
        </w:rPr>
        <w:t xml:space="preserve"> women and health practitioners;</w:t>
      </w:r>
    </w:p>
    <w:p w14:paraId="1850D819" w14:textId="3409BAAA" w:rsidR="00FA4EC3" w:rsidRPr="004A132D" w:rsidRDefault="00FA4EC3" w:rsidP="00561D0E">
      <w:pPr>
        <w:pStyle w:val="Numbers"/>
        <w:numPr>
          <w:ilvl w:val="1"/>
          <w:numId w:val="1"/>
        </w:numPr>
        <w:rPr>
          <w:rFonts w:asciiTheme="minorHAnsi" w:hAnsiTheme="minorHAnsi"/>
        </w:rPr>
      </w:pPr>
      <w:r w:rsidRPr="004A132D">
        <w:rPr>
          <w:rFonts w:asciiTheme="minorHAnsi" w:hAnsiTheme="minorHAnsi"/>
        </w:rPr>
        <w:t xml:space="preserve">committing $1.1 million over </w:t>
      </w:r>
      <w:r w:rsidR="00520DF4" w:rsidRPr="004A132D">
        <w:rPr>
          <w:rFonts w:asciiTheme="minorHAnsi" w:hAnsiTheme="minorHAnsi"/>
        </w:rPr>
        <w:t>4</w:t>
      </w:r>
      <w:r w:rsidRPr="004A132D">
        <w:rPr>
          <w:rFonts w:asciiTheme="minorHAnsi" w:hAnsiTheme="minorHAnsi"/>
        </w:rPr>
        <w:t xml:space="preserve"> years from 2023–24 for the Australian Contraception and Abortion Primary Care Practitioner Support Network to </w:t>
      </w:r>
      <w:r w:rsidR="0053441C" w:rsidRPr="004A132D">
        <w:rPr>
          <w:rFonts w:asciiTheme="minorHAnsi" w:hAnsiTheme="minorHAnsi"/>
        </w:rPr>
        <w:t>provide health professionals with support in delivering LARCs and medical termination of pregnancy</w:t>
      </w:r>
      <w:r w:rsidRPr="004A132D">
        <w:rPr>
          <w:rFonts w:asciiTheme="minorHAnsi" w:hAnsiTheme="minorHAnsi"/>
        </w:rPr>
        <w:t>.</w:t>
      </w:r>
    </w:p>
    <w:p w14:paraId="707EE4EF" w14:textId="77777777" w:rsidR="00F13949" w:rsidRPr="004A132D" w:rsidRDefault="006B307C" w:rsidP="00CF4564">
      <w:pPr>
        <w:pStyle w:val="Heading2"/>
      </w:pPr>
      <w:bookmarkStart w:id="152" w:name="_Toc174011729"/>
      <w:bookmarkStart w:id="153" w:name="_Toc175556826"/>
      <w:r w:rsidRPr="004A132D">
        <w:t>Abortion services</w:t>
      </w:r>
      <w:r w:rsidR="00CF4564" w:rsidRPr="004A132D">
        <w:t xml:space="preserve"> in Australia’s states and territories</w:t>
      </w:r>
      <w:bookmarkEnd w:id="152"/>
      <w:bookmarkEnd w:id="153"/>
    </w:p>
    <w:p w14:paraId="4F21AB52" w14:textId="77777777" w:rsidR="00F13949" w:rsidRPr="004A132D" w:rsidRDefault="00CF4564" w:rsidP="00724F8F">
      <w:pPr>
        <w:pStyle w:val="Numbers"/>
        <w:ind w:left="1418"/>
        <w:rPr>
          <w:rFonts w:asciiTheme="minorHAnsi" w:hAnsiTheme="minorHAnsi"/>
        </w:rPr>
      </w:pPr>
      <w:r w:rsidRPr="004A132D">
        <w:rPr>
          <w:rFonts w:asciiTheme="minorHAnsi" w:hAnsiTheme="minorHAnsi"/>
        </w:rPr>
        <w:t>Abortion is</w:t>
      </w:r>
      <w:r w:rsidR="00F13949" w:rsidRPr="004A132D">
        <w:rPr>
          <w:rFonts w:asciiTheme="minorHAnsi" w:hAnsiTheme="minorHAnsi"/>
        </w:rPr>
        <w:t xml:space="preserve"> legal in every Australian state and territory, but legislation differs among jurisdictions</w:t>
      </w:r>
      <w:r w:rsidR="00CA134A" w:rsidRPr="004A132D">
        <w:rPr>
          <w:rFonts w:asciiTheme="minorHAnsi" w:hAnsiTheme="minorHAnsi"/>
        </w:rPr>
        <w:t>.</w:t>
      </w:r>
      <w:r w:rsidR="006B307C" w:rsidRPr="004A132D">
        <w:rPr>
          <w:rStyle w:val="FootnoteReference"/>
          <w:rFonts w:asciiTheme="minorHAnsi" w:hAnsiTheme="minorHAnsi"/>
        </w:rPr>
        <w:footnoteReference w:id="37"/>
      </w:r>
      <w:r w:rsidR="00CA134A" w:rsidRPr="004A132D">
        <w:rPr>
          <w:rFonts w:asciiTheme="minorHAnsi" w:hAnsiTheme="minorHAnsi"/>
        </w:rPr>
        <w:t xml:space="preserve"> </w:t>
      </w:r>
      <w:r w:rsidR="00F13949" w:rsidRPr="004A132D">
        <w:rPr>
          <w:rFonts w:asciiTheme="minorHAnsi" w:hAnsiTheme="minorHAnsi"/>
        </w:rPr>
        <w:t xml:space="preserve">States and territories have made progress via recent </w:t>
      </w:r>
      <w:r w:rsidR="00FA4EC3" w:rsidRPr="004A132D">
        <w:rPr>
          <w:rFonts w:asciiTheme="minorHAnsi" w:hAnsiTheme="minorHAnsi"/>
        </w:rPr>
        <w:t>laws, policies and initiatives</w:t>
      </w:r>
      <w:r w:rsidR="00CA134A" w:rsidRPr="004A132D">
        <w:rPr>
          <w:rFonts w:asciiTheme="minorHAnsi" w:hAnsiTheme="minorHAnsi"/>
        </w:rPr>
        <w:t xml:space="preserve"> to</w:t>
      </w:r>
      <w:r w:rsidR="006B307C" w:rsidRPr="004A132D">
        <w:rPr>
          <w:rFonts w:asciiTheme="minorHAnsi" w:hAnsiTheme="minorHAnsi"/>
        </w:rPr>
        <w:t xml:space="preserve"> make abortion more accessible. This includes through </w:t>
      </w:r>
      <w:r w:rsidR="00FA4EC3" w:rsidRPr="004A132D">
        <w:rPr>
          <w:rFonts w:asciiTheme="minorHAnsi" w:hAnsiTheme="minorHAnsi"/>
        </w:rPr>
        <w:t>state wide abortion care helpline</w:t>
      </w:r>
      <w:r w:rsidR="006B307C" w:rsidRPr="004A132D">
        <w:rPr>
          <w:rFonts w:asciiTheme="minorHAnsi" w:hAnsiTheme="minorHAnsi"/>
        </w:rPr>
        <w:t>s</w:t>
      </w:r>
      <w:r w:rsidR="00FA4EC3" w:rsidRPr="004A132D">
        <w:rPr>
          <w:rFonts w:asciiTheme="minorHAnsi" w:hAnsiTheme="minorHAnsi"/>
        </w:rPr>
        <w:t xml:space="preserve">, online consumer information resources in multiple languages </w:t>
      </w:r>
      <w:r w:rsidR="006B307C" w:rsidRPr="004A132D">
        <w:rPr>
          <w:rFonts w:asciiTheme="minorHAnsi" w:hAnsiTheme="minorHAnsi"/>
        </w:rPr>
        <w:t>and partnerships with non-government organisations to support access to high quality sexual and reproductive health services and information.</w:t>
      </w:r>
    </w:p>
    <w:p w14:paraId="59B6446D" w14:textId="6235EEB1" w:rsidR="00F13949" w:rsidRPr="004A132D" w:rsidRDefault="00F13949" w:rsidP="00724F8F">
      <w:pPr>
        <w:pStyle w:val="Numbers"/>
        <w:ind w:left="1418"/>
        <w:rPr>
          <w:rFonts w:asciiTheme="minorHAnsi" w:hAnsiTheme="minorHAnsi"/>
        </w:rPr>
      </w:pPr>
      <w:r w:rsidRPr="004A132D">
        <w:rPr>
          <w:rFonts w:asciiTheme="minorHAnsi" w:hAnsiTheme="minorHAnsi"/>
        </w:rPr>
        <w:lastRenderedPageBreak/>
        <w:t xml:space="preserve">All Australian states and territories now have legislation establishing safe access zones of 150 metres around the premises where abortion/termination services are provided, with the exception of the </w:t>
      </w:r>
      <w:r w:rsidR="00DD776F" w:rsidRPr="004A132D">
        <w:rPr>
          <w:rFonts w:asciiTheme="minorHAnsi" w:hAnsiTheme="minorHAnsi"/>
        </w:rPr>
        <w:t>ACT</w:t>
      </w:r>
      <w:r w:rsidR="00CE165B" w:rsidRPr="004A132D">
        <w:rPr>
          <w:rFonts w:asciiTheme="minorHAnsi" w:hAnsiTheme="minorHAnsi"/>
        </w:rPr>
        <w:t>.</w:t>
      </w:r>
      <w:r w:rsidR="0053441C" w:rsidRPr="004A132D">
        <w:rPr>
          <w:rFonts w:asciiTheme="minorHAnsi" w:hAnsiTheme="minorHAnsi"/>
        </w:rPr>
        <w:t xml:space="preserve"> </w:t>
      </w:r>
      <w:r w:rsidR="00CE165B" w:rsidRPr="004A132D">
        <w:rPr>
          <w:rFonts w:asciiTheme="minorHAnsi" w:hAnsiTheme="minorHAnsi"/>
          <w:lang w:val="en-AU"/>
        </w:rPr>
        <w:t>In the ACT safe access zones of an area no less than 50m can be declared by the Minister based on community need (to date only one such zone has been declared).</w:t>
      </w:r>
      <w:r w:rsidR="00CE165B" w:rsidRPr="004A132D">
        <w:rPr>
          <w:rFonts w:asciiTheme="minorHAnsi" w:hAnsiTheme="minorHAnsi"/>
          <w:vertAlign w:val="superscript"/>
          <w:lang w:val="en-AU"/>
        </w:rPr>
        <w:footnoteReference w:id="38"/>
      </w:r>
    </w:p>
    <w:p w14:paraId="406BE90E" w14:textId="77777777" w:rsidR="00F13949" w:rsidRPr="004A132D" w:rsidRDefault="00F13949" w:rsidP="00724F8F">
      <w:pPr>
        <w:pStyle w:val="Numbers"/>
        <w:ind w:left="1418"/>
        <w:rPr>
          <w:rFonts w:asciiTheme="minorHAnsi" w:hAnsiTheme="minorHAnsi"/>
        </w:rPr>
      </w:pPr>
      <w:r w:rsidRPr="004A132D">
        <w:rPr>
          <w:rFonts w:asciiTheme="minorHAnsi" w:hAnsiTheme="minorHAnsi"/>
        </w:rPr>
        <w:t xml:space="preserve">All Australian states and territories </w:t>
      </w:r>
      <w:r w:rsidR="00851A28" w:rsidRPr="004A132D">
        <w:rPr>
          <w:rFonts w:asciiTheme="minorHAnsi" w:hAnsiTheme="minorHAnsi"/>
          <w:lang w:val="en-AU"/>
        </w:rPr>
        <w:t xml:space="preserve">have legislation or are in the midst of legislating an obligation </w:t>
      </w:r>
      <w:r w:rsidRPr="004A132D">
        <w:rPr>
          <w:rFonts w:asciiTheme="minorHAnsi" w:hAnsiTheme="minorHAnsi"/>
        </w:rPr>
        <w:t xml:space="preserve">requiring medical or health practitioners with a conscientious objection to make </w:t>
      </w:r>
      <w:r w:rsidR="007436C2" w:rsidRPr="004A132D">
        <w:rPr>
          <w:rFonts w:asciiTheme="minorHAnsi" w:hAnsiTheme="minorHAnsi"/>
        </w:rPr>
        <w:t xml:space="preserve">a type of </w:t>
      </w:r>
      <w:r w:rsidRPr="004A132D">
        <w:rPr>
          <w:rFonts w:asciiTheme="minorHAnsi" w:hAnsiTheme="minorHAnsi"/>
        </w:rPr>
        <w:t>referral to other health service providers who can provide advice (either directly or through the provision of a list).</w:t>
      </w:r>
      <w:r w:rsidRPr="004A132D">
        <w:rPr>
          <w:rStyle w:val="FootnoteReference"/>
          <w:rFonts w:asciiTheme="minorHAnsi" w:hAnsiTheme="minorHAnsi"/>
          <w:lang w:val="en-NZ"/>
        </w:rPr>
        <w:footnoteReference w:id="39"/>
      </w:r>
    </w:p>
    <w:p w14:paraId="06D8A7AA" w14:textId="77777777" w:rsidR="008F3DFC" w:rsidRPr="004A132D" w:rsidRDefault="00D709C3" w:rsidP="008C4A44">
      <w:pPr>
        <w:pStyle w:val="Heading2"/>
      </w:pPr>
      <w:bookmarkStart w:id="154" w:name="_Toc174011730"/>
      <w:bookmarkStart w:id="155" w:name="_Toc175556827"/>
      <w:r w:rsidRPr="004A132D">
        <w:t xml:space="preserve">Question 19a: </w:t>
      </w:r>
      <w:r w:rsidR="00E93A80" w:rsidRPr="004A132D">
        <w:t>Mental health</w:t>
      </w:r>
      <w:bookmarkEnd w:id="154"/>
      <w:bookmarkEnd w:id="155"/>
      <w:r w:rsidR="00E93A80" w:rsidRPr="004A132D">
        <w:t xml:space="preserve"> </w:t>
      </w:r>
    </w:p>
    <w:p w14:paraId="40A4D59D" w14:textId="4DC8E5E5" w:rsidR="000B17E2" w:rsidRPr="004A132D" w:rsidRDefault="000B17E2" w:rsidP="00724F8F">
      <w:pPr>
        <w:pStyle w:val="Numbers"/>
        <w:ind w:left="1418"/>
        <w:rPr>
          <w:rFonts w:asciiTheme="minorHAnsi" w:hAnsiTheme="minorHAnsi"/>
        </w:rPr>
      </w:pPr>
      <w:r w:rsidRPr="004A132D">
        <w:rPr>
          <w:rFonts w:asciiTheme="minorHAnsi" w:hAnsiTheme="minorHAnsi"/>
        </w:rPr>
        <w:t xml:space="preserve">Mental health, and access to care, is impacted by a range of social and economic inequities which are disproportionately experienced by women. Socioeconomic risks for mental ill health in women include lower income, poorer job conditions and insecure work, primary carer responsibilities, and physical and sexual violence. The </w:t>
      </w:r>
      <w:r w:rsidR="00843B2F" w:rsidRPr="004A132D">
        <w:rPr>
          <w:rFonts w:asciiTheme="minorHAnsi" w:hAnsiTheme="minorHAnsi"/>
        </w:rPr>
        <w:t xml:space="preserve">ABS </w:t>
      </w:r>
      <w:r w:rsidRPr="004A132D">
        <w:rPr>
          <w:rFonts w:asciiTheme="minorHAnsi" w:hAnsiTheme="minorHAnsi"/>
        </w:rPr>
        <w:t xml:space="preserve">found that in 2020–2022, one in </w:t>
      </w:r>
      <w:r w:rsidR="00232E8B" w:rsidRPr="004A132D">
        <w:rPr>
          <w:rFonts w:asciiTheme="minorHAnsi" w:hAnsiTheme="minorHAnsi"/>
        </w:rPr>
        <w:t>4</w:t>
      </w:r>
      <w:r w:rsidRPr="004A132D">
        <w:rPr>
          <w:rFonts w:asciiTheme="minorHAnsi" w:hAnsiTheme="minorHAnsi"/>
        </w:rPr>
        <w:t xml:space="preserve"> women (24.6 per cent) had a mental health disorder in the previous 12 months, compared with almost one in </w:t>
      </w:r>
      <w:r w:rsidR="00232E8B" w:rsidRPr="004A132D">
        <w:rPr>
          <w:rFonts w:asciiTheme="minorHAnsi" w:hAnsiTheme="minorHAnsi"/>
        </w:rPr>
        <w:t>5</w:t>
      </w:r>
      <w:r w:rsidRPr="004A132D">
        <w:rPr>
          <w:rFonts w:asciiTheme="minorHAnsi" w:hAnsiTheme="minorHAnsi"/>
        </w:rPr>
        <w:t xml:space="preserve"> men (18.3 per cent). Transgender and gender diverse Australians had higher rates of 12-month mental health disorders than cisgender Australians (33.1 per cent compared with 21.3 per cent).</w:t>
      </w:r>
    </w:p>
    <w:p w14:paraId="0EA3AC00" w14:textId="37DBD3D4" w:rsidR="00AB50D1" w:rsidRPr="004A132D" w:rsidRDefault="00E93A80" w:rsidP="00724F8F">
      <w:pPr>
        <w:pStyle w:val="Numbers"/>
        <w:ind w:left="1418"/>
        <w:rPr>
          <w:rFonts w:asciiTheme="minorHAnsi" w:hAnsiTheme="minorHAnsi"/>
        </w:rPr>
      </w:pPr>
      <w:r w:rsidRPr="004A132D">
        <w:rPr>
          <w:rFonts w:asciiTheme="minorHAnsi" w:hAnsiTheme="minorHAnsi"/>
        </w:rPr>
        <w:t>There are a range of national policies and plans helping to guide government action on mental health issues.</w:t>
      </w:r>
      <w:r w:rsidR="00714C3A" w:rsidRPr="004A132D">
        <w:rPr>
          <w:rStyle w:val="FootnoteReference"/>
          <w:rFonts w:asciiTheme="minorHAnsi" w:hAnsiTheme="minorHAnsi"/>
        </w:rPr>
        <w:footnoteReference w:id="40"/>
      </w:r>
      <w:r w:rsidR="00714C3A" w:rsidRPr="004A132D">
        <w:rPr>
          <w:rFonts w:asciiTheme="minorHAnsi" w:hAnsiTheme="minorHAnsi"/>
        </w:rPr>
        <w:t xml:space="preserve"> </w:t>
      </w:r>
    </w:p>
    <w:p w14:paraId="380A25D0" w14:textId="77777777" w:rsidR="00F71417" w:rsidRPr="004A132D" w:rsidRDefault="00F71417" w:rsidP="00724F8F">
      <w:pPr>
        <w:pStyle w:val="Numbers"/>
        <w:ind w:left="1418"/>
        <w:rPr>
          <w:rFonts w:asciiTheme="minorHAnsi" w:hAnsiTheme="minorHAnsi"/>
        </w:rPr>
      </w:pPr>
      <w:r w:rsidRPr="004A132D">
        <w:rPr>
          <w:rFonts w:asciiTheme="minorHAnsi" w:hAnsiTheme="minorHAnsi"/>
        </w:rPr>
        <w:t xml:space="preserve">At a federal level, mental health support is available to eligible Australians, regardless of gender, under the Better Access to Psychiatrists, Psychologists and General Practitioners initiative (Better Access). The Better Access initiative aims to improve outcomes for people with a clinically diagnosed mental disorder through evidence-based treatment. Benefits are available for up to a maximum of 10 individual and 10 group mental health services per calendar year. These services </w:t>
      </w:r>
      <w:r w:rsidRPr="004A132D">
        <w:rPr>
          <w:rFonts w:asciiTheme="minorHAnsi" w:hAnsiTheme="minorHAnsi"/>
        </w:rPr>
        <w:lastRenderedPageBreak/>
        <w:t>can be provided by appropriately trained General Practitioners, psychologists (clinical and registered), eligible social workers and occupational therapists.</w:t>
      </w:r>
    </w:p>
    <w:p w14:paraId="78595DAC" w14:textId="77777777" w:rsidR="00E64F80" w:rsidRPr="004A132D" w:rsidRDefault="00E64F80" w:rsidP="00724F8F">
      <w:pPr>
        <w:pStyle w:val="Numbers"/>
        <w:ind w:left="1418"/>
        <w:rPr>
          <w:rFonts w:asciiTheme="minorHAnsi" w:hAnsiTheme="minorHAnsi"/>
        </w:rPr>
      </w:pPr>
      <w:r w:rsidRPr="004A132D">
        <w:rPr>
          <w:rFonts w:asciiTheme="minorHAnsi" w:hAnsiTheme="minorHAnsi"/>
        </w:rPr>
        <w:t xml:space="preserve">In addition, the Australian Government funds a range of nationally available, free or low cost, digital mental health services, including crisis support, helplines and webchat, clinician-supported online therapies, self-directed education programs and tools, and moderated peer support forums. </w:t>
      </w:r>
    </w:p>
    <w:p w14:paraId="176B89C5" w14:textId="6AA0403B" w:rsidR="000B17E2" w:rsidRPr="004A132D" w:rsidRDefault="000B17E2" w:rsidP="00724F8F">
      <w:pPr>
        <w:pStyle w:val="Numbers"/>
        <w:ind w:left="1418"/>
        <w:rPr>
          <w:rFonts w:asciiTheme="minorHAnsi" w:hAnsiTheme="minorHAnsi"/>
        </w:rPr>
      </w:pPr>
      <w:r w:rsidRPr="004A132D">
        <w:rPr>
          <w:rFonts w:asciiTheme="minorHAnsi" w:hAnsiTheme="minorHAnsi"/>
        </w:rPr>
        <w:t xml:space="preserve">The Australian Government is also providing $888.1 million over </w:t>
      </w:r>
      <w:r w:rsidR="00520DF4" w:rsidRPr="004A132D">
        <w:rPr>
          <w:rFonts w:asciiTheme="minorHAnsi" w:hAnsiTheme="minorHAnsi"/>
        </w:rPr>
        <w:t>8</w:t>
      </w:r>
      <w:r w:rsidRPr="004A132D">
        <w:rPr>
          <w:rFonts w:asciiTheme="minorHAnsi" w:hAnsiTheme="minorHAnsi"/>
        </w:rPr>
        <w:t xml:space="preserve"> years from 2024–25 to expand the range of free mental health services available to all Australians, including women. To address the gap for people experiencing mild mental health symptoms, a new national, low-intensity digital service will be provided. From 1 January 2026, every Australian will be able to access this free service without a referral, providing them timely, high quality mental health support.</w:t>
      </w:r>
      <w:r w:rsidR="009461D9" w:rsidRPr="004A132D">
        <w:rPr>
          <w:rFonts w:asciiTheme="minorHAnsi" w:hAnsiTheme="minorHAnsi"/>
        </w:rPr>
        <w:t xml:space="preserve"> The Federal Government is providing over $80 million </w:t>
      </w:r>
      <w:r w:rsidR="008C1CB7">
        <w:rPr>
          <w:rFonts w:asciiTheme="minorHAnsi" w:hAnsiTheme="minorHAnsi"/>
        </w:rPr>
        <w:t>from</w:t>
      </w:r>
      <w:r w:rsidR="009461D9" w:rsidRPr="004A132D">
        <w:rPr>
          <w:rFonts w:asciiTheme="minorHAnsi" w:hAnsiTheme="minorHAnsi"/>
        </w:rPr>
        <w:t xml:space="preserve"> 2019-20 to 2024</w:t>
      </w:r>
      <w:r w:rsidR="00B81703" w:rsidRPr="004A132D">
        <w:rPr>
          <w:rFonts w:asciiTheme="minorHAnsi" w:hAnsiTheme="minorHAnsi"/>
        </w:rPr>
        <w:noBreakHyphen/>
      </w:r>
      <w:r w:rsidR="009461D9" w:rsidRPr="004A132D">
        <w:rPr>
          <w:rFonts w:asciiTheme="minorHAnsi" w:hAnsiTheme="minorHAnsi"/>
        </w:rPr>
        <w:t>25 to support universal perinatal mental health screening initiatives and working with states and territories to support the collection of data to enable new and expectant parents to access early support for p</w:t>
      </w:r>
      <w:r w:rsidR="0039239A" w:rsidRPr="004A132D">
        <w:rPr>
          <w:rFonts w:asciiTheme="minorHAnsi" w:hAnsiTheme="minorHAnsi"/>
        </w:rPr>
        <w:t xml:space="preserve">erinatal mental health issues. </w:t>
      </w:r>
    </w:p>
    <w:p w14:paraId="13910ED4" w14:textId="0586A137" w:rsidR="00E93A80" w:rsidRPr="004A132D" w:rsidRDefault="00E93A80" w:rsidP="00724F8F">
      <w:pPr>
        <w:pStyle w:val="Numbers"/>
        <w:ind w:left="1418"/>
        <w:rPr>
          <w:rFonts w:asciiTheme="minorHAnsi" w:hAnsiTheme="minorHAnsi"/>
        </w:rPr>
      </w:pPr>
      <w:r w:rsidRPr="004A132D">
        <w:rPr>
          <w:rFonts w:asciiTheme="minorHAnsi" w:hAnsiTheme="minorHAnsi"/>
        </w:rPr>
        <w:t xml:space="preserve">Each state and </w:t>
      </w:r>
      <w:r w:rsidR="00714C3A" w:rsidRPr="004A132D">
        <w:rPr>
          <w:rFonts w:asciiTheme="minorHAnsi" w:hAnsiTheme="minorHAnsi"/>
        </w:rPr>
        <w:t>territory</w:t>
      </w:r>
      <w:r w:rsidRPr="004A132D">
        <w:rPr>
          <w:rFonts w:asciiTheme="minorHAnsi" w:hAnsiTheme="minorHAnsi"/>
        </w:rPr>
        <w:t xml:space="preserve"> has its own mental health legislation</w:t>
      </w:r>
      <w:r w:rsidR="00714C3A" w:rsidRPr="004A132D">
        <w:rPr>
          <w:rFonts w:asciiTheme="minorHAnsi" w:hAnsiTheme="minorHAnsi"/>
        </w:rPr>
        <w:t xml:space="preserve">, and </w:t>
      </w:r>
      <w:r w:rsidR="008C1CB7">
        <w:rPr>
          <w:rFonts w:asciiTheme="minorHAnsi" w:hAnsiTheme="minorHAnsi"/>
        </w:rPr>
        <w:t>diverse</w:t>
      </w:r>
      <w:r w:rsidR="00027821" w:rsidRPr="004A132D">
        <w:rPr>
          <w:rFonts w:asciiTheme="minorHAnsi" w:hAnsiTheme="minorHAnsi"/>
        </w:rPr>
        <w:t xml:space="preserve"> strategies and initiatives that support the mental health of cohorts of women outlined in question 19a</w:t>
      </w:r>
      <w:r w:rsidRPr="004A132D">
        <w:rPr>
          <w:rFonts w:asciiTheme="minorHAnsi" w:hAnsiTheme="minorHAnsi"/>
        </w:rPr>
        <w:t xml:space="preserve">. </w:t>
      </w:r>
      <w:r w:rsidR="00027821" w:rsidRPr="004A132D">
        <w:rPr>
          <w:rFonts w:asciiTheme="minorHAnsi" w:hAnsiTheme="minorHAnsi"/>
        </w:rPr>
        <w:t>A non-exhaustive snapshot of initiatives is outlined below:</w:t>
      </w:r>
    </w:p>
    <w:p w14:paraId="3EF2A0B3" w14:textId="59C33DC1" w:rsidR="00027821" w:rsidRPr="004A132D" w:rsidRDefault="00027821" w:rsidP="00561D0E">
      <w:pPr>
        <w:pStyle w:val="Numbers"/>
        <w:numPr>
          <w:ilvl w:val="1"/>
          <w:numId w:val="1"/>
        </w:numPr>
        <w:rPr>
          <w:rFonts w:asciiTheme="minorHAnsi" w:hAnsiTheme="minorHAnsi"/>
        </w:rPr>
      </w:pPr>
      <w:r w:rsidRPr="004A132D">
        <w:rPr>
          <w:rFonts w:asciiTheme="minorHAnsi" w:hAnsiTheme="minorHAnsi"/>
        </w:rPr>
        <w:t xml:space="preserve">The </w:t>
      </w:r>
      <w:r w:rsidR="00DD776F" w:rsidRPr="004A132D">
        <w:rPr>
          <w:rFonts w:asciiTheme="minorHAnsi" w:hAnsiTheme="minorHAnsi"/>
        </w:rPr>
        <w:t>ACT</w:t>
      </w:r>
      <w:r w:rsidRPr="004A132D">
        <w:rPr>
          <w:rFonts w:asciiTheme="minorHAnsi" w:hAnsiTheme="minorHAnsi"/>
        </w:rPr>
        <w:t xml:space="preserve"> Government </w:t>
      </w:r>
      <w:r w:rsidR="008C1CB7">
        <w:rPr>
          <w:rFonts w:asciiTheme="minorHAnsi" w:hAnsiTheme="minorHAnsi"/>
        </w:rPr>
        <w:t>supports</w:t>
      </w:r>
      <w:r w:rsidRPr="004A132D">
        <w:rPr>
          <w:rFonts w:asciiTheme="minorHAnsi" w:hAnsiTheme="minorHAnsi"/>
        </w:rPr>
        <w:t xml:space="preserve"> women’s and girls’ mental health through the implementation of the </w:t>
      </w:r>
      <w:r w:rsidRPr="004A132D">
        <w:rPr>
          <w:rFonts w:asciiTheme="minorHAnsi" w:hAnsiTheme="minorHAnsi"/>
          <w:i/>
        </w:rPr>
        <w:t>Mental Health Workforce Strategy and Action Plan</w:t>
      </w:r>
      <w:r w:rsidRPr="004A132D">
        <w:rPr>
          <w:rFonts w:asciiTheme="minorHAnsi" w:hAnsiTheme="minorHAnsi"/>
        </w:rPr>
        <w:t>; Expanding Public Healthcare Services for Eating Disorders project; and improvements to perinatal mental health screening.</w:t>
      </w:r>
      <w:r w:rsidR="006274A9" w:rsidRPr="004A132D">
        <w:rPr>
          <w:rFonts w:asciiTheme="minorHAnsi" w:hAnsiTheme="minorHAnsi"/>
        </w:rPr>
        <w:t xml:space="preserve"> The ACT </w:t>
      </w:r>
      <w:r w:rsidR="006274A9" w:rsidRPr="004A132D">
        <w:rPr>
          <w:rFonts w:asciiTheme="minorHAnsi" w:hAnsiTheme="minorHAnsi"/>
          <w:i/>
        </w:rPr>
        <w:t>Disability Health Strategy 2024</w:t>
      </w:r>
      <w:r w:rsidR="00B81703" w:rsidRPr="004A132D">
        <w:rPr>
          <w:rFonts w:asciiTheme="minorHAnsi" w:hAnsiTheme="minorHAnsi"/>
          <w:i/>
        </w:rPr>
        <w:noBreakHyphen/>
      </w:r>
      <w:r w:rsidR="006274A9" w:rsidRPr="004A132D">
        <w:rPr>
          <w:rFonts w:asciiTheme="minorHAnsi" w:hAnsiTheme="minorHAnsi"/>
          <w:i/>
        </w:rPr>
        <w:t>2034</w:t>
      </w:r>
      <w:r w:rsidR="006274A9" w:rsidRPr="004A132D">
        <w:rPr>
          <w:rFonts w:asciiTheme="minorHAnsi" w:hAnsiTheme="minorHAnsi"/>
        </w:rPr>
        <w:t xml:space="preserve">, </w:t>
      </w:r>
      <w:r w:rsidR="00B81703" w:rsidRPr="004A132D">
        <w:rPr>
          <w:rFonts w:asciiTheme="minorHAnsi" w:hAnsiTheme="minorHAnsi"/>
        </w:rPr>
        <w:t xml:space="preserve">under </w:t>
      </w:r>
      <w:r w:rsidR="006274A9" w:rsidRPr="004A132D">
        <w:rPr>
          <w:rFonts w:asciiTheme="minorHAnsi" w:hAnsiTheme="minorHAnsi"/>
        </w:rPr>
        <w:t>develop</w:t>
      </w:r>
      <w:r w:rsidR="00B81703" w:rsidRPr="004A132D">
        <w:rPr>
          <w:rFonts w:asciiTheme="minorHAnsi" w:hAnsiTheme="minorHAnsi"/>
        </w:rPr>
        <w:t>ment</w:t>
      </w:r>
      <w:r w:rsidR="006274A9" w:rsidRPr="004A132D">
        <w:rPr>
          <w:rFonts w:asciiTheme="minorHAnsi" w:hAnsiTheme="minorHAnsi"/>
        </w:rPr>
        <w:t xml:space="preserve">, aims to ensure people with disability have equitable and appropriate access to healthcare, including mental health services. </w:t>
      </w:r>
    </w:p>
    <w:p w14:paraId="7D0BCA04" w14:textId="3D8958F8" w:rsidR="006274A9" w:rsidRPr="004A132D" w:rsidRDefault="00DD776F" w:rsidP="00561D0E">
      <w:pPr>
        <w:pStyle w:val="Numbers"/>
        <w:numPr>
          <w:ilvl w:val="1"/>
          <w:numId w:val="1"/>
        </w:numPr>
        <w:rPr>
          <w:rFonts w:asciiTheme="minorHAnsi" w:hAnsiTheme="minorHAnsi"/>
        </w:rPr>
      </w:pPr>
      <w:r w:rsidRPr="004A132D">
        <w:rPr>
          <w:rFonts w:asciiTheme="minorHAnsi" w:hAnsiTheme="minorHAnsi"/>
        </w:rPr>
        <w:t>The NT</w:t>
      </w:r>
      <w:r w:rsidR="006274A9" w:rsidRPr="004A132D">
        <w:rPr>
          <w:rFonts w:asciiTheme="minorHAnsi" w:hAnsiTheme="minorHAnsi"/>
        </w:rPr>
        <w:t>’s bilateral agreement with the Australian Government on Mental Health and Suicide Prevention (2022-26) supports expanding Headspace services and Head to Health centres to Katherine and Alice Springs, including a priority focus on First Nations children.</w:t>
      </w:r>
      <w:r w:rsidR="007A5467" w:rsidRPr="004A132D">
        <w:rPr>
          <w:rFonts w:asciiTheme="minorHAnsi" w:hAnsiTheme="minorHAnsi"/>
        </w:rPr>
        <w:t xml:space="preserve"> As part of mental health reforms, the NT is also providing an effective and </w:t>
      </w:r>
      <w:r w:rsidR="007A5467" w:rsidRPr="004A132D">
        <w:rPr>
          <w:rFonts w:asciiTheme="minorHAnsi" w:hAnsiTheme="minorHAnsi"/>
        </w:rPr>
        <w:lastRenderedPageBreak/>
        <w:t>responsive territory-wide child and adolescent service and improving services for children with harmful sexual behaviours.</w:t>
      </w:r>
      <w:r w:rsidR="007E14CF" w:rsidRPr="004A132D">
        <w:rPr>
          <w:rFonts w:asciiTheme="minorHAnsi" w:hAnsiTheme="minorHAnsi"/>
        </w:rPr>
        <w:t xml:space="preserve"> In addition, the NT is improving access to specialised perinatal mental health services and enhancing screening during the perinatal period for women and families. This is through a</w:t>
      </w:r>
      <w:r w:rsidR="00B81703" w:rsidRPr="004A132D">
        <w:rPr>
          <w:rFonts w:asciiTheme="minorHAnsi" w:hAnsiTheme="minorHAnsi"/>
        </w:rPr>
        <w:t>n</w:t>
      </w:r>
      <w:r w:rsidR="007E14CF" w:rsidRPr="004A132D">
        <w:rPr>
          <w:rFonts w:asciiTheme="minorHAnsi" w:hAnsiTheme="minorHAnsi"/>
        </w:rPr>
        <w:t xml:space="preserve"> NT wide perinatal and infant mental health service to improve equity of access, service delivery, and early identification and intervention for vulnerable women and families.</w:t>
      </w:r>
    </w:p>
    <w:p w14:paraId="4851F73C" w14:textId="2E01D11C" w:rsidR="00027821" w:rsidRPr="004A132D" w:rsidRDefault="00027821" w:rsidP="00B40642">
      <w:pPr>
        <w:pStyle w:val="Numbers"/>
        <w:numPr>
          <w:ilvl w:val="1"/>
          <w:numId w:val="1"/>
        </w:numPr>
        <w:rPr>
          <w:rFonts w:asciiTheme="minorHAnsi" w:hAnsiTheme="minorHAnsi"/>
        </w:rPr>
      </w:pPr>
      <w:r w:rsidRPr="004A132D">
        <w:rPr>
          <w:rFonts w:asciiTheme="minorHAnsi" w:hAnsiTheme="minorHAnsi"/>
        </w:rPr>
        <w:t xml:space="preserve">Specialised </w:t>
      </w:r>
      <w:r w:rsidR="00DD776F" w:rsidRPr="004A132D">
        <w:rPr>
          <w:rFonts w:asciiTheme="minorHAnsi" w:hAnsiTheme="minorHAnsi"/>
        </w:rPr>
        <w:t>NSW</w:t>
      </w:r>
      <w:r w:rsidRPr="004A132D">
        <w:rPr>
          <w:rFonts w:asciiTheme="minorHAnsi" w:hAnsiTheme="minorHAnsi"/>
        </w:rPr>
        <w:t xml:space="preserve"> Health Perinatal and Infant Mental Health </w:t>
      </w:r>
      <w:r w:rsidR="009A7BD9" w:rsidRPr="004A132D">
        <w:rPr>
          <w:rFonts w:asciiTheme="minorHAnsi" w:hAnsiTheme="minorHAnsi"/>
        </w:rPr>
        <w:t>S</w:t>
      </w:r>
      <w:r w:rsidRPr="004A132D">
        <w:rPr>
          <w:rFonts w:asciiTheme="minorHAnsi" w:hAnsiTheme="minorHAnsi"/>
        </w:rPr>
        <w:t xml:space="preserve">ervices </w:t>
      </w:r>
      <w:r w:rsidR="009A7BD9" w:rsidRPr="004A132D">
        <w:rPr>
          <w:rFonts w:asciiTheme="minorHAnsi" w:hAnsiTheme="minorHAnsi"/>
        </w:rPr>
        <w:t xml:space="preserve">(PIMHS) </w:t>
      </w:r>
      <w:r w:rsidRPr="004A132D">
        <w:rPr>
          <w:rFonts w:asciiTheme="minorHAnsi" w:hAnsiTheme="minorHAnsi"/>
        </w:rPr>
        <w:t xml:space="preserve">provide perinatal women with serious mental illness with </w:t>
      </w:r>
      <w:r w:rsidR="009A7BD9" w:rsidRPr="004A132D">
        <w:rPr>
          <w:rFonts w:asciiTheme="minorHAnsi" w:hAnsiTheme="minorHAnsi"/>
        </w:rPr>
        <w:t xml:space="preserve">consultation liaison services or direct care. This includes assessment, intensive support and referrals to specialist mental health mother baby units or general inpatient units for acute care. PIMHS also offers services within women’s prisons as well as a telehealth outreach to rural and remote areas. </w:t>
      </w:r>
      <w:r w:rsidR="00B81703" w:rsidRPr="004A132D">
        <w:rPr>
          <w:rFonts w:asciiTheme="minorHAnsi" w:hAnsiTheme="minorHAnsi"/>
        </w:rPr>
        <w:t>P</w:t>
      </w:r>
      <w:r w:rsidR="009A7BD9" w:rsidRPr="004A132D">
        <w:rPr>
          <w:rFonts w:asciiTheme="minorHAnsi" w:hAnsiTheme="minorHAnsi"/>
        </w:rPr>
        <w:t>rograms are available to support early parent-child relationships when parental mental ill-health affects attachment. These programs are crucial for babies' healthy development and enhancing parental confidence and capacity.</w:t>
      </w:r>
    </w:p>
    <w:p w14:paraId="0B869556" w14:textId="72CDDF4D" w:rsidR="007A5467" w:rsidRPr="004A132D" w:rsidRDefault="007A5467" w:rsidP="00561D0E">
      <w:pPr>
        <w:pStyle w:val="Numbers"/>
        <w:numPr>
          <w:ilvl w:val="1"/>
          <w:numId w:val="1"/>
        </w:numPr>
        <w:rPr>
          <w:rFonts w:asciiTheme="minorHAnsi" w:hAnsiTheme="minorHAnsi"/>
        </w:rPr>
      </w:pPr>
      <w:r w:rsidRPr="004A132D">
        <w:rPr>
          <w:rFonts w:asciiTheme="minorHAnsi" w:hAnsiTheme="minorHAnsi"/>
        </w:rPr>
        <w:t xml:space="preserve">QLD </w:t>
      </w:r>
      <w:r w:rsidR="00D973D1" w:rsidRPr="004A132D">
        <w:rPr>
          <w:rFonts w:asciiTheme="minorHAnsi" w:hAnsiTheme="minorHAnsi"/>
        </w:rPr>
        <w:t xml:space="preserve">has released the </w:t>
      </w:r>
      <w:r w:rsidR="00D973D1" w:rsidRPr="004A132D">
        <w:rPr>
          <w:rFonts w:asciiTheme="minorHAnsi" w:hAnsiTheme="minorHAnsi"/>
          <w:i/>
        </w:rPr>
        <w:t>Queensland</w:t>
      </w:r>
      <w:r w:rsidRPr="004A132D">
        <w:rPr>
          <w:rFonts w:asciiTheme="minorHAnsi" w:hAnsiTheme="minorHAnsi"/>
          <w:i/>
        </w:rPr>
        <w:t xml:space="preserve"> Women and Girls Health Strategy</w:t>
      </w:r>
      <w:r w:rsidRPr="004A132D">
        <w:rPr>
          <w:rFonts w:asciiTheme="minorHAnsi" w:hAnsiTheme="minorHAnsi"/>
        </w:rPr>
        <w:t xml:space="preserve"> </w:t>
      </w:r>
      <w:r w:rsidR="00ED10B7" w:rsidRPr="004A132D">
        <w:rPr>
          <w:rFonts w:asciiTheme="minorHAnsi" w:hAnsiTheme="minorHAnsi"/>
          <w:i/>
        </w:rPr>
        <w:t>2032</w:t>
      </w:r>
      <w:r w:rsidR="00ED10B7" w:rsidRPr="004A132D">
        <w:rPr>
          <w:rFonts w:asciiTheme="minorHAnsi" w:hAnsiTheme="minorHAnsi"/>
        </w:rPr>
        <w:t xml:space="preserve"> </w:t>
      </w:r>
      <w:r w:rsidRPr="004A132D">
        <w:rPr>
          <w:rFonts w:asciiTheme="minorHAnsi" w:hAnsiTheme="minorHAnsi"/>
        </w:rPr>
        <w:t>that consider</w:t>
      </w:r>
      <w:r w:rsidR="00ED10B7" w:rsidRPr="004A132D">
        <w:rPr>
          <w:rFonts w:asciiTheme="minorHAnsi" w:hAnsiTheme="minorHAnsi"/>
        </w:rPr>
        <w:t>s</w:t>
      </w:r>
      <w:r w:rsidRPr="004A132D">
        <w:rPr>
          <w:rFonts w:asciiTheme="minorHAnsi" w:hAnsiTheme="minorHAnsi"/>
        </w:rPr>
        <w:t xml:space="preserve"> all aspects of women and girls’ health, including mental health. The Queensland Government </w:t>
      </w:r>
      <w:r w:rsidR="00724F8F" w:rsidRPr="004A132D">
        <w:rPr>
          <w:rFonts w:asciiTheme="minorHAnsi" w:hAnsiTheme="minorHAnsi"/>
        </w:rPr>
        <w:t>fund</w:t>
      </w:r>
      <w:r w:rsidRPr="004A132D">
        <w:rPr>
          <w:rFonts w:asciiTheme="minorHAnsi" w:hAnsiTheme="minorHAnsi"/>
        </w:rPr>
        <w:t xml:space="preserve"> investments that will support the mental health of women and girls, including in eating disorder responses. </w:t>
      </w:r>
    </w:p>
    <w:p w14:paraId="451BC43B" w14:textId="48F98F29" w:rsidR="003A6A0A" w:rsidRPr="004A132D" w:rsidRDefault="00DD776F" w:rsidP="00561D0E">
      <w:pPr>
        <w:pStyle w:val="Numbers"/>
        <w:numPr>
          <w:ilvl w:val="1"/>
          <w:numId w:val="1"/>
        </w:numPr>
        <w:rPr>
          <w:rFonts w:asciiTheme="minorHAnsi" w:hAnsiTheme="minorHAnsi"/>
        </w:rPr>
      </w:pPr>
      <w:r w:rsidRPr="004A132D">
        <w:rPr>
          <w:rFonts w:asciiTheme="minorHAnsi" w:hAnsiTheme="minorHAnsi"/>
        </w:rPr>
        <w:t>SA</w:t>
      </w:r>
      <w:r w:rsidR="003A6A0A" w:rsidRPr="004A132D">
        <w:rPr>
          <w:rFonts w:asciiTheme="minorHAnsi" w:hAnsiTheme="minorHAnsi"/>
        </w:rPr>
        <w:t xml:space="preserve"> provides the </w:t>
      </w:r>
      <w:r w:rsidR="007D3698" w:rsidRPr="004A132D">
        <w:rPr>
          <w:rFonts w:asciiTheme="minorHAnsi" w:hAnsiTheme="minorHAnsi"/>
        </w:rPr>
        <w:t>Refugee Health Service,</w:t>
      </w:r>
      <w:r w:rsidR="003A6A0A" w:rsidRPr="004A132D">
        <w:rPr>
          <w:rFonts w:asciiTheme="minorHAnsi" w:hAnsiTheme="minorHAnsi"/>
        </w:rPr>
        <w:t xml:space="preserve"> a specialist state wide health service for newly arrived refu</w:t>
      </w:r>
      <w:r w:rsidRPr="004A132D">
        <w:rPr>
          <w:rFonts w:asciiTheme="minorHAnsi" w:hAnsiTheme="minorHAnsi"/>
        </w:rPr>
        <w:t>gees and asylum seekers in SA</w:t>
      </w:r>
      <w:r w:rsidR="003A6A0A" w:rsidRPr="004A132D">
        <w:rPr>
          <w:rFonts w:asciiTheme="minorHAnsi" w:hAnsiTheme="minorHAnsi"/>
        </w:rPr>
        <w:t xml:space="preserve">. </w:t>
      </w:r>
      <w:r w:rsidR="007D3698" w:rsidRPr="004A132D">
        <w:rPr>
          <w:rFonts w:asciiTheme="minorHAnsi" w:hAnsiTheme="minorHAnsi"/>
        </w:rPr>
        <w:t>T</w:t>
      </w:r>
      <w:r w:rsidR="003A6A0A" w:rsidRPr="004A132D">
        <w:rPr>
          <w:rFonts w:asciiTheme="minorHAnsi" w:hAnsiTheme="minorHAnsi"/>
        </w:rPr>
        <w:t xml:space="preserve">he service focuses on new arrival families and individuals with complex </w:t>
      </w:r>
      <w:r w:rsidR="007A5467" w:rsidRPr="004A132D">
        <w:rPr>
          <w:rFonts w:asciiTheme="minorHAnsi" w:hAnsiTheme="minorHAnsi"/>
        </w:rPr>
        <w:t>health and psycho-social needs, a</w:t>
      </w:r>
      <w:r w:rsidR="007D3698" w:rsidRPr="004A132D">
        <w:rPr>
          <w:rFonts w:asciiTheme="minorHAnsi" w:hAnsiTheme="minorHAnsi"/>
        </w:rPr>
        <w:t>nd provides i</w:t>
      </w:r>
      <w:r w:rsidR="003A6A0A" w:rsidRPr="004A132D">
        <w:rPr>
          <w:rFonts w:asciiTheme="minorHAnsi" w:hAnsiTheme="minorHAnsi"/>
        </w:rPr>
        <w:t>ntervention</w:t>
      </w:r>
      <w:r w:rsidR="007D3698" w:rsidRPr="004A132D">
        <w:rPr>
          <w:rFonts w:asciiTheme="minorHAnsi" w:hAnsiTheme="minorHAnsi"/>
        </w:rPr>
        <w:t>s</w:t>
      </w:r>
      <w:r w:rsidR="003A6A0A" w:rsidRPr="004A132D">
        <w:rPr>
          <w:rFonts w:asciiTheme="minorHAnsi" w:hAnsiTheme="minorHAnsi"/>
        </w:rPr>
        <w:t xml:space="preserve"> to address </w:t>
      </w:r>
      <w:r w:rsidR="007A5467" w:rsidRPr="004A132D">
        <w:rPr>
          <w:rFonts w:asciiTheme="minorHAnsi" w:hAnsiTheme="minorHAnsi"/>
        </w:rPr>
        <w:t>the acute and chronic physical/</w:t>
      </w:r>
      <w:r w:rsidR="003A6A0A" w:rsidRPr="004A132D">
        <w:rPr>
          <w:rFonts w:asciiTheme="minorHAnsi" w:hAnsiTheme="minorHAnsi"/>
        </w:rPr>
        <w:t>psychosocial consequence</w:t>
      </w:r>
      <w:r w:rsidR="007A5467" w:rsidRPr="004A132D">
        <w:rPr>
          <w:rFonts w:asciiTheme="minorHAnsi" w:hAnsiTheme="minorHAnsi"/>
        </w:rPr>
        <w:t>s of torture, trauma and gender-</w:t>
      </w:r>
      <w:r w:rsidR="003A6A0A" w:rsidRPr="004A132D">
        <w:rPr>
          <w:rFonts w:asciiTheme="minorHAnsi" w:hAnsiTheme="minorHAnsi"/>
        </w:rPr>
        <w:t>based violence</w:t>
      </w:r>
      <w:r w:rsidR="007D3698" w:rsidRPr="004A132D">
        <w:rPr>
          <w:rFonts w:asciiTheme="minorHAnsi" w:hAnsiTheme="minorHAnsi"/>
        </w:rPr>
        <w:t>.</w:t>
      </w:r>
    </w:p>
    <w:p w14:paraId="5543E9EB" w14:textId="2FDFFA3F" w:rsidR="003A6A0A" w:rsidRPr="004A132D" w:rsidRDefault="00DD776F" w:rsidP="00561D0E">
      <w:pPr>
        <w:pStyle w:val="Numbers"/>
        <w:numPr>
          <w:ilvl w:val="1"/>
          <w:numId w:val="1"/>
        </w:numPr>
        <w:rPr>
          <w:rFonts w:asciiTheme="minorHAnsi" w:hAnsiTheme="minorHAnsi"/>
        </w:rPr>
      </w:pPr>
      <w:r w:rsidRPr="004A132D">
        <w:rPr>
          <w:rFonts w:asciiTheme="minorHAnsi" w:hAnsiTheme="minorHAnsi"/>
        </w:rPr>
        <w:t>TAS</w:t>
      </w:r>
      <w:r w:rsidR="003A6A0A" w:rsidRPr="004A132D">
        <w:rPr>
          <w:rFonts w:asciiTheme="minorHAnsi" w:hAnsiTheme="minorHAnsi"/>
        </w:rPr>
        <w:t xml:space="preserve"> is progressing a range of initiatives to support the mental health and wellbeing of all Tasmanians, including women and girls, under the Bilateral Schedule for Mental Health and Suicide Prevention between </w:t>
      </w:r>
      <w:r w:rsidR="003A6A0A" w:rsidRPr="004A132D">
        <w:rPr>
          <w:rFonts w:asciiTheme="minorHAnsi" w:hAnsiTheme="minorHAnsi"/>
        </w:rPr>
        <w:lastRenderedPageBreak/>
        <w:t xml:space="preserve">the </w:t>
      </w:r>
      <w:r w:rsidRPr="004A132D">
        <w:rPr>
          <w:rFonts w:asciiTheme="minorHAnsi" w:hAnsiTheme="minorHAnsi"/>
        </w:rPr>
        <w:t xml:space="preserve">Australian </w:t>
      </w:r>
      <w:r w:rsidR="003A6A0A" w:rsidRPr="004A132D">
        <w:rPr>
          <w:rFonts w:asciiTheme="minorHAnsi" w:hAnsiTheme="minorHAnsi"/>
        </w:rPr>
        <w:t xml:space="preserve">and </w:t>
      </w:r>
      <w:r w:rsidRPr="004A132D">
        <w:rPr>
          <w:rFonts w:asciiTheme="minorHAnsi" w:hAnsiTheme="minorHAnsi"/>
        </w:rPr>
        <w:t>TAS</w:t>
      </w:r>
      <w:r w:rsidR="003A6A0A" w:rsidRPr="004A132D">
        <w:rPr>
          <w:rFonts w:asciiTheme="minorHAnsi" w:hAnsiTheme="minorHAnsi"/>
        </w:rPr>
        <w:t xml:space="preserve"> governments (May 2022), including establishing a state-wide </w:t>
      </w:r>
      <w:r w:rsidR="00B81703" w:rsidRPr="004A132D">
        <w:rPr>
          <w:rFonts w:asciiTheme="minorHAnsi" w:hAnsiTheme="minorHAnsi"/>
        </w:rPr>
        <w:t xml:space="preserve">eating disorder service </w:t>
      </w:r>
      <w:r w:rsidR="003A6A0A" w:rsidRPr="004A132D">
        <w:rPr>
          <w:rFonts w:asciiTheme="minorHAnsi" w:hAnsiTheme="minorHAnsi"/>
        </w:rPr>
        <w:t>and universal aftercare services.</w:t>
      </w:r>
    </w:p>
    <w:p w14:paraId="2971B816" w14:textId="6ADB6C6E" w:rsidR="003A6A0A" w:rsidRPr="004A132D" w:rsidRDefault="00DD776F" w:rsidP="00561D0E">
      <w:pPr>
        <w:pStyle w:val="Numbers"/>
        <w:numPr>
          <w:ilvl w:val="1"/>
          <w:numId w:val="1"/>
        </w:numPr>
        <w:rPr>
          <w:rFonts w:asciiTheme="minorHAnsi" w:hAnsiTheme="minorHAnsi"/>
        </w:rPr>
      </w:pPr>
      <w:r w:rsidRPr="004A132D">
        <w:rPr>
          <w:rFonts w:asciiTheme="minorHAnsi" w:hAnsiTheme="minorHAnsi"/>
        </w:rPr>
        <w:t xml:space="preserve">VIC </w:t>
      </w:r>
      <w:r w:rsidR="003A6A0A" w:rsidRPr="004A132D">
        <w:rPr>
          <w:rFonts w:asciiTheme="minorHAnsi" w:hAnsiTheme="minorHAnsi"/>
        </w:rPr>
        <w:t>is investing in supports for mothers experiencing acute mental health and wellbeing issues during the perinatal period and expanding the Perinatal Emotional Health Program.</w:t>
      </w:r>
    </w:p>
    <w:p w14:paraId="18CCD28B" w14:textId="07AF2677" w:rsidR="003667C3" w:rsidRPr="004A132D" w:rsidRDefault="00DD776F" w:rsidP="001F4CFD">
      <w:pPr>
        <w:pStyle w:val="Numbers"/>
        <w:numPr>
          <w:ilvl w:val="1"/>
          <w:numId w:val="1"/>
        </w:numPr>
        <w:rPr>
          <w:rFonts w:asciiTheme="minorHAnsi" w:hAnsiTheme="minorHAnsi"/>
          <w:lang w:val="en-NZ"/>
        </w:rPr>
      </w:pPr>
      <w:r w:rsidRPr="004A132D">
        <w:rPr>
          <w:rFonts w:asciiTheme="minorHAnsi" w:eastAsia="Times New Roman" w:hAnsiTheme="minorHAnsi"/>
        </w:rPr>
        <w:t>WA</w:t>
      </w:r>
      <w:r w:rsidR="003A6A0A" w:rsidRPr="004A132D">
        <w:rPr>
          <w:rFonts w:asciiTheme="minorHAnsi" w:eastAsia="Times New Roman" w:hAnsiTheme="minorHAnsi"/>
        </w:rPr>
        <w:t xml:space="preserve"> provides f</w:t>
      </w:r>
      <w:r w:rsidR="003A6A0A" w:rsidRPr="004A132D">
        <w:rPr>
          <w:rFonts w:asciiTheme="minorHAnsi" w:hAnsiTheme="minorHAnsi"/>
        </w:rPr>
        <w:t xml:space="preserve">unding to </w:t>
      </w:r>
      <w:r w:rsidR="000D138D" w:rsidRPr="004A132D">
        <w:rPr>
          <w:rFonts w:asciiTheme="minorHAnsi" w:hAnsiTheme="minorHAnsi"/>
        </w:rPr>
        <w:t xml:space="preserve">11 </w:t>
      </w:r>
      <w:r w:rsidR="003A6A0A" w:rsidRPr="004A132D">
        <w:rPr>
          <w:rFonts w:asciiTheme="minorHAnsi" w:hAnsiTheme="minorHAnsi"/>
        </w:rPr>
        <w:t xml:space="preserve">community organisations across </w:t>
      </w:r>
      <w:r w:rsidRPr="004A132D">
        <w:rPr>
          <w:rFonts w:asciiTheme="minorHAnsi" w:hAnsiTheme="minorHAnsi"/>
        </w:rPr>
        <w:t>WA</w:t>
      </w:r>
      <w:r w:rsidR="003A6A0A" w:rsidRPr="004A132D">
        <w:rPr>
          <w:rFonts w:asciiTheme="minorHAnsi" w:hAnsiTheme="minorHAnsi"/>
        </w:rPr>
        <w:t xml:space="preserve"> as part of the Proud and Connected Community Grants program to increase connection and build resilience within the LGBTIQA+ community, aligning with outcomes outlined in the </w:t>
      </w:r>
      <w:r w:rsidR="003A6A0A" w:rsidRPr="004A132D">
        <w:rPr>
          <w:rFonts w:asciiTheme="minorHAnsi" w:hAnsiTheme="minorHAnsi"/>
          <w:i/>
        </w:rPr>
        <w:t>Western Australian Suicide Prevention Framework 2021-2025</w:t>
      </w:r>
      <w:r w:rsidR="003A6A0A" w:rsidRPr="004A132D">
        <w:rPr>
          <w:rFonts w:asciiTheme="minorHAnsi" w:hAnsiTheme="minorHAnsi"/>
        </w:rPr>
        <w:t>.</w:t>
      </w:r>
    </w:p>
    <w:p w14:paraId="04B5CFBA" w14:textId="77777777" w:rsidR="00B74126" w:rsidRPr="004A132D" w:rsidRDefault="00943BCD" w:rsidP="008C4A44">
      <w:pPr>
        <w:pStyle w:val="Heading2"/>
      </w:pPr>
      <w:bookmarkStart w:id="156" w:name="_Toc174011731"/>
      <w:bookmarkStart w:id="157" w:name="_Toc175556828"/>
      <w:r w:rsidRPr="004A132D">
        <w:t>Question 19b: Transgender women</w:t>
      </w:r>
      <w:bookmarkEnd w:id="156"/>
      <w:bookmarkEnd w:id="157"/>
      <w:r w:rsidRPr="004A132D">
        <w:t xml:space="preserve"> </w:t>
      </w:r>
    </w:p>
    <w:p w14:paraId="4DEED302" w14:textId="6E07618D" w:rsidR="00450D8A" w:rsidRPr="004A132D" w:rsidRDefault="00450D8A" w:rsidP="00724F8F">
      <w:pPr>
        <w:pStyle w:val="Numbers"/>
        <w:ind w:left="1418"/>
        <w:rPr>
          <w:rFonts w:asciiTheme="minorHAnsi" w:hAnsiTheme="minorHAnsi"/>
        </w:rPr>
      </w:pPr>
      <w:r w:rsidRPr="004A132D">
        <w:rPr>
          <w:rFonts w:asciiTheme="minorHAnsi" w:hAnsiTheme="minorHAnsi"/>
        </w:rPr>
        <w:t>The Australian Government recognises that individuals may identify and be recognised within the community as a gender other than the sex they were assigned at birth or during infancy, or as a gender which is not exclusively male or female. The</w:t>
      </w:r>
      <w:r w:rsidR="00581AF8" w:rsidRPr="004A132D">
        <w:rPr>
          <w:rFonts w:asciiTheme="minorHAnsi" w:hAnsiTheme="minorHAnsi"/>
        </w:rPr>
        <w:t xml:space="preserve"> </w:t>
      </w:r>
      <w:r w:rsidRPr="004A132D">
        <w:rPr>
          <w:rFonts w:asciiTheme="minorHAnsi" w:hAnsiTheme="minorHAnsi"/>
        </w:rPr>
        <w:t xml:space="preserve">Sex Discrimination Act makes discrimination on the grounds of gender identity unlawful in key areas of public life. </w:t>
      </w:r>
      <w:r w:rsidR="00943BCD" w:rsidRPr="004A132D">
        <w:rPr>
          <w:rFonts w:asciiTheme="minorHAnsi" w:hAnsiTheme="minorHAnsi"/>
        </w:rPr>
        <w:t>There is no requirement for any person to obtain legal recognition of their gender i</w:t>
      </w:r>
      <w:r w:rsidR="00A621E7" w:rsidRPr="004A132D">
        <w:rPr>
          <w:rFonts w:asciiTheme="minorHAnsi" w:hAnsiTheme="minorHAnsi"/>
        </w:rPr>
        <w:t>dentity, however some people may wish to obtain legal recognition of their gender identify in their birth certificate.</w:t>
      </w:r>
    </w:p>
    <w:p w14:paraId="5E21D5A8" w14:textId="77777777" w:rsidR="008206A0" w:rsidRPr="004A132D" w:rsidRDefault="00450D8A" w:rsidP="00724F8F">
      <w:pPr>
        <w:pStyle w:val="Numbers"/>
        <w:ind w:left="1418"/>
        <w:rPr>
          <w:rFonts w:asciiTheme="minorHAnsi" w:hAnsiTheme="minorHAnsi"/>
        </w:rPr>
      </w:pPr>
      <w:r w:rsidRPr="004A132D">
        <w:rPr>
          <w:rFonts w:asciiTheme="minorHAnsi" w:hAnsiTheme="minorHAnsi"/>
        </w:rPr>
        <w:t>The Australian Government Guidelines on the Recognition of Sex and Gender</w:t>
      </w:r>
      <w:r w:rsidR="00752BF1" w:rsidRPr="004A132D">
        <w:rPr>
          <w:rFonts w:asciiTheme="minorHAnsi" w:hAnsiTheme="minorHAnsi"/>
          <w:i/>
        </w:rPr>
        <w:t>,</w:t>
      </w:r>
      <w:r w:rsidRPr="004A132D">
        <w:rPr>
          <w:rFonts w:asciiTheme="minorHAnsi" w:hAnsiTheme="minorHAnsi"/>
        </w:rPr>
        <w:t xml:space="preserve"> </w:t>
      </w:r>
      <w:r w:rsidR="00AA29F2" w:rsidRPr="004A132D">
        <w:rPr>
          <w:rFonts w:asciiTheme="minorHAnsi" w:hAnsiTheme="minorHAnsi"/>
          <w:lang w:val="en-AU"/>
        </w:rPr>
        <w:t xml:space="preserve">which were released in 2013, </w:t>
      </w:r>
      <w:r w:rsidRPr="004A132D">
        <w:rPr>
          <w:rFonts w:asciiTheme="minorHAnsi" w:hAnsiTheme="minorHAnsi"/>
        </w:rPr>
        <w:t xml:space="preserve">apply to all Australian Government departments and agencies that maintain personal records (including employee records), and/or collect sex and/or gender information. The Guidelines </w:t>
      </w:r>
      <w:r w:rsidR="00752BF1" w:rsidRPr="004A132D">
        <w:rPr>
          <w:rFonts w:asciiTheme="minorHAnsi" w:hAnsiTheme="minorHAnsi"/>
        </w:rPr>
        <w:t xml:space="preserve">support departments and agencies to meet their obligations under the Sex Discrimination Act and </w:t>
      </w:r>
      <w:r w:rsidRPr="004A132D">
        <w:rPr>
          <w:rFonts w:asciiTheme="minorHAnsi" w:hAnsiTheme="minorHAnsi"/>
        </w:rPr>
        <w:t xml:space="preserve">outline a consistent standard of evidence required for people to change or establish their sex and gender information on personal records. </w:t>
      </w:r>
    </w:p>
    <w:p w14:paraId="530E7761" w14:textId="0AFDB65F" w:rsidR="00752BF1" w:rsidRPr="004A132D" w:rsidRDefault="00843B2F" w:rsidP="00724F8F">
      <w:pPr>
        <w:pStyle w:val="Numbers"/>
        <w:ind w:left="1418"/>
        <w:rPr>
          <w:rFonts w:asciiTheme="minorHAnsi" w:hAnsiTheme="minorHAnsi" w:cstheme="minorHAnsi"/>
        </w:rPr>
      </w:pPr>
      <w:r w:rsidRPr="004A132D">
        <w:rPr>
          <w:rFonts w:asciiTheme="minorHAnsi" w:hAnsiTheme="minorHAnsi"/>
        </w:rPr>
        <w:t xml:space="preserve">In 2021, the ABS </w:t>
      </w:r>
      <w:r w:rsidR="00752BF1" w:rsidRPr="004A132D">
        <w:rPr>
          <w:rFonts w:asciiTheme="minorHAnsi" w:hAnsiTheme="minorHAnsi"/>
        </w:rPr>
        <w:t>released its</w:t>
      </w:r>
      <w:r w:rsidR="00724F8F" w:rsidRPr="004A132D">
        <w:rPr>
          <w:rFonts w:asciiTheme="minorHAnsi" w:hAnsiTheme="minorHAnsi"/>
        </w:rPr>
        <w:t xml:space="preserve"> new </w:t>
      </w:r>
      <w:hyperlink r:id="rId15" w:history="1">
        <w:r w:rsidR="00752BF1" w:rsidRPr="004A132D">
          <w:rPr>
            <w:rFonts w:asciiTheme="minorHAnsi" w:hAnsiTheme="minorHAnsi"/>
            <w:i/>
          </w:rPr>
          <w:t>Standard for Sex, Gender, Variations of Sex Characteristics and Sexual Orientation Variables 2020</w:t>
        </w:r>
      </w:hyperlink>
      <w:r w:rsidR="00752BF1" w:rsidRPr="004A132D">
        <w:rPr>
          <w:rFonts w:asciiTheme="minorHAnsi" w:hAnsiTheme="minorHAnsi"/>
        </w:rPr>
        <w:t xml:space="preserve">. </w:t>
      </w:r>
      <w:r w:rsidR="00317107" w:rsidRPr="004A132D">
        <w:rPr>
          <w:rFonts w:asciiTheme="minorHAnsi" w:hAnsiTheme="minorHAnsi"/>
        </w:rPr>
        <w:t xml:space="preserve">(ABS Standard). </w:t>
      </w:r>
      <w:r w:rsidR="00752BF1" w:rsidRPr="004A132D">
        <w:rPr>
          <w:rFonts w:asciiTheme="minorHAnsi" w:hAnsiTheme="minorHAnsi"/>
        </w:rPr>
        <w:t xml:space="preserve">The ABS Standard states “gender is about social and cultural differences in identity, expression and experience as a man, woman or non-binary person. A person’s gender may differ from their sex and may also differ from what is indicated on their legal documents”. </w:t>
      </w:r>
      <w:r w:rsidR="00317107" w:rsidRPr="004A132D">
        <w:rPr>
          <w:rFonts w:asciiTheme="minorHAnsi" w:hAnsiTheme="minorHAnsi"/>
        </w:rPr>
        <w:t xml:space="preserve">The ABS Standard is influential in guiding policy and data </w:t>
      </w:r>
      <w:r w:rsidR="00317107" w:rsidRPr="004A132D">
        <w:rPr>
          <w:rFonts w:asciiTheme="minorHAnsi" w:hAnsiTheme="minorHAnsi"/>
        </w:rPr>
        <w:lastRenderedPageBreak/>
        <w:t xml:space="preserve">collection across the federal government, states, and territories. </w:t>
      </w:r>
      <w:r w:rsidR="006C5C98" w:rsidRPr="004A132D">
        <w:rPr>
          <w:rFonts w:asciiTheme="minorHAnsi" w:hAnsiTheme="minorHAnsi"/>
          <w:lang w:val="en-AU"/>
        </w:rPr>
        <w:t>The ABS Standard was informed by the Guidelines but incorporates more recent developments to appropriate terminology and language.</w:t>
      </w:r>
    </w:p>
    <w:p w14:paraId="6D06ACE9" w14:textId="77777777" w:rsidR="00943BCD" w:rsidRPr="004A132D" w:rsidRDefault="00F45A7F" w:rsidP="00724F8F">
      <w:pPr>
        <w:pStyle w:val="Numbers"/>
        <w:ind w:left="1418"/>
        <w:rPr>
          <w:rFonts w:asciiTheme="minorHAnsi" w:hAnsiTheme="minorHAnsi"/>
        </w:rPr>
      </w:pPr>
      <w:r w:rsidRPr="004A132D">
        <w:rPr>
          <w:rFonts w:asciiTheme="minorHAnsi" w:hAnsiTheme="minorHAnsi"/>
        </w:rPr>
        <w:t xml:space="preserve">Under </w:t>
      </w:r>
      <w:r w:rsidR="00943BCD" w:rsidRPr="004A132D">
        <w:rPr>
          <w:rFonts w:asciiTheme="minorHAnsi" w:hAnsiTheme="minorHAnsi"/>
        </w:rPr>
        <w:t>Australi</w:t>
      </w:r>
      <w:r w:rsidRPr="004A132D">
        <w:rPr>
          <w:rFonts w:asciiTheme="minorHAnsi" w:hAnsiTheme="minorHAnsi"/>
        </w:rPr>
        <w:t xml:space="preserve">a’s </w:t>
      </w:r>
      <w:r w:rsidR="00943BCD" w:rsidRPr="004A132D">
        <w:rPr>
          <w:rFonts w:asciiTheme="minorHAnsi" w:hAnsiTheme="minorHAnsi"/>
        </w:rPr>
        <w:t>federal system of government</w:t>
      </w:r>
      <w:r w:rsidRPr="004A132D">
        <w:rPr>
          <w:rFonts w:asciiTheme="minorHAnsi" w:hAnsiTheme="minorHAnsi"/>
        </w:rPr>
        <w:t xml:space="preserve">, </w:t>
      </w:r>
      <w:r w:rsidR="00943BCD" w:rsidRPr="004A132D">
        <w:rPr>
          <w:rFonts w:asciiTheme="minorHAnsi" w:hAnsiTheme="minorHAnsi"/>
        </w:rPr>
        <w:t xml:space="preserve">laws for </w:t>
      </w:r>
      <w:r w:rsidR="00514192" w:rsidRPr="004A132D">
        <w:rPr>
          <w:rFonts w:asciiTheme="minorHAnsi" w:hAnsiTheme="minorHAnsi"/>
        </w:rPr>
        <w:t xml:space="preserve">registering a change of </w:t>
      </w:r>
      <w:r w:rsidR="00943BCD" w:rsidRPr="004A132D">
        <w:rPr>
          <w:rFonts w:asciiTheme="minorHAnsi" w:hAnsiTheme="minorHAnsi"/>
        </w:rPr>
        <w:t xml:space="preserve">gender </w:t>
      </w:r>
      <w:r w:rsidRPr="004A132D">
        <w:rPr>
          <w:rFonts w:asciiTheme="minorHAnsi" w:hAnsiTheme="minorHAnsi"/>
        </w:rPr>
        <w:t>are the responsibility of states and territories.</w:t>
      </w:r>
      <w:r w:rsidR="00783D1B" w:rsidRPr="004A132D">
        <w:rPr>
          <w:rFonts w:asciiTheme="minorHAnsi" w:hAnsiTheme="minorHAnsi"/>
        </w:rPr>
        <w:t xml:space="preserve"> Each</w:t>
      </w:r>
      <w:r w:rsidR="00C27533" w:rsidRPr="004A132D">
        <w:rPr>
          <w:rFonts w:asciiTheme="minorHAnsi" w:hAnsiTheme="minorHAnsi"/>
        </w:rPr>
        <w:t xml:space="preserve"> state and territory</w:t>
      </w:r>
      <w:r w:rsidR="00783D1B" w:rsidRPr="004A132D">
        <w:rPr>
          <w:rFonts w:asciiTheme="minorHAnsi" w:hAnsiTheme="minorHAnsi"/>
        </w:rPr>
        <w:t>’s</w:t>
      </w:r>
      <w:r w:rsidR="00C27533" w:rsidRPr="004A132D">
        <w:rPr>
          <w:rFonts w:asciiTheme="minorHAnsi" w:hAnsiTheme="minorHAnsi"/>
        </w:rPr>
        <w:t xml:space="preserve"> legal and pol</w:t>
      </w:r>
      <w:r w:rsidR="00783D1B" w:rsidRPr="004A132D">
        <w:rPr>
          <w:rFonts w:asciiTheme="minorHAnsi" w:hAnsiTheme="minorHAnsi"/>
        </w:rPr>
        <w:t>icy position is</w:t>
      </w:r>
      <w:r w:rsidR="00C27533" w:rsidRPr="004A132D">
        <w:rPr>
          <w:rFonts w:asciiTheme="minorHAnsi" w:hAnsiTheme="minorHAnsi"/>
        </w:rPr>
        <w:t xml:space="preserve"> outlined below: </w:t>
      </w:r>
    </w:p>
    <w:p w14:paraId="34245D55" w14:textId="77777777" w:rsidR="00A22626" w:rsidRPr="004A132D" w:rsidRDefault="008064E6" w:rsidP="00561D0E">
      <w:pPr>
        <w:pStyle w:val="Numbers"/>
        <w:numPr>
          <w:ilvl w:val="1"/>
          <w:numId w:val="1"/>
        </w:numPr>
        <w:rPr>
          <w:rFonts w:asciiTheme="minorHAnsi" w:hAnsiTheme="minorHAnsi"/>
        </w:rPr>
      </w:pPr>
      <w:r w:rsidRPr="004A132D">
        <w:rPr>
          <w:rFonts w:asciiTheme="minorHAnsi" w:hAnsiTheme="minorHAnsi"/>
          <w:lang w:val="en-AU"/>
        </w:rPr>
        <w:t xml:space="preserve">The ACT amended the </w:t>
      </w:r>
      <w:r w:rsidRPr="004A132D">
        <w:rPr>
          <w:rFonts w:asciiTheme="minorHAnsi" w:hAnsiTheme="minorHAnsi"/>
          <w:i/>
          <w:iCs/>
          <w:lang w:val="en-AU"/>
        </w:rPr>
        <w:t xml:space="preserve">Births, Deaths and Marriages Registration Act 1997 </w:t>
      </w:r>
      <w:r w:rsidRPr="004A132D">
        <w:rPr>
          <w:rFonts w:asciiTheme="minorHAnsi" w:hAnsiTheme="minorHAnsi"/>
          <w:lang w:val="en-AU"/>
        </w:rPr>
        <w:t>(ACT) in 2014 to remove criteria requiring a person to have gender re-assignment surgery before they would be eligible to alter their registered sex. In March 2024, further amendments were made to remove the requirement for a person to have received clinical treatment before their registered sex could be changed. A person can now apply to alter their registered sex if the person believes their sex to be the sex nominated in their application. No authorisation or verification from a medical practitioner is required.</w:t>
      </w:r>
    </w:p>
    <w:p w14:paraId="721D54ED" w14:textId="77777777" w:rsidR="00A621E7" w:rsidRPr="004A132D" w:rsidRDefault="00C27533" w:rsidP="00561D0E">
      <w:pPr>
        <w:pStyle w:val="Numbers"/>
        <w:numPr>
          <w:ilvl w:val="1"/>
          <w:numId w:val="1"/>
        </w:numPr>
        <w:rPr>
          <w:rFonts w:asciiTheme="minorHAnsi" w:hAnsiTheme="minorHAnsi"/>
        </w:rPr>
      </w:pPr>
      <w:r w:rsidRPr="004A132D">
        <w:rPr>
          <w:rFonts w:asciiTheme="minorHAnsi" w:hAnsiTheme="minorHAnsi"/>
        </w:rPr>
        <w:t>In NSW, the</w:t>
      </w:r>
      <w:r w:rsidR="00A621E7" w:rsidRPr="004A132D">
        <w:rPr>
          <w:rFonts w:asciiTheme="minorHAnsi" w:hAnsiTheme="minorHAnsi"/>
        </w:rPr>
        <w:t xml:space="preserve"> </w:t>
      </w:r>
      <w:r w:rsidR="00A621E7" w:rsidRPr="004A132D">
        <w:rPr>
          <w:rFonts w:asciiTheme="minorHAnsi" w:hAnsiTheme="minorHAnsi"/>
          <w:i/>
        </w:rPr>
        <w:t>Births, Deaths and Marriages Registration Act 1995</w:t>
      </w:r>
      <w:r w:rsidR="00A621E7" w:rsidRPr="004A132D">
        <w:rPr>
          <w:rFonts w:asciiTheme="minorHAnsi" w:hAnsiTheme="minorHAnsi"/>
        </w:rPr>
        <w:t xml:space="preserve"> </w:t>
      </w:r>
      <w:r w:rsidRPr="004A132D">
        <w:rPr>
          <w:rFonts w:asciiTheme="minorHAnsi" w:hAnsiTheme="minorHAnsi"/>
        </w:rPr>
        <w:t xml:space="preserve">(NSW) provides that </w:t>
      </w:r>
      <w:r w:rsidR="00A621E7" w:rsidRPr="004A132D">
        <w:rPr>
          <w:rFonts w:asciiTheme="minorHAnsi" w:hAnsiTheme="minorHAnsi"/>
        </w:rPr>
        <w:t xml:space="preserve">a person who is 18 years or above and has undergone a sex affirmation procedure, may apply for an alteration of their birth certificate. </w:t>
      </w:r>
      <w:r w:rsidR="00DD776F" w:rsidRPr="004A132D">
        <w:rPr>
          <w:rFonts w:asciiTheme="minorHAnsi" w:hAnsiTheme="minorHAnsi"/>
        </w:rPr>
        <w:t>NSW</w:t>
      </w:r>
      <w:r w:rsidR="00A621E7" w:rsidRPr="004A132D">
        <w:rPr>
          <w:rFonts w:asciiTheme="minorHAnsi" w:hAnsiTheme="minorHAnsi"/>
        </w:rPr>
        <w:t xml:space="preserve"> is giving consideration to whether reforms to the requirements for sex markers on birth certificates may be appropriate. </w:t>
      </w:r>
    </w:p>
    <w:p w14:paraId="6A4FFA23" w14:textId="1CB4944B" w:rsidR="00CD51E2" w:rsidRPr="004A132D" w:rsidRDefault="00C27533" w:rsidP="00561D0E">
      <w:pPr>
        <w:pStyle w:val="Numbers"/>
        <w:numPr>
          <w:ilvl w:val="1"/>
          <w:numId w:val="1"/>
        </w:numPr>
        <w:rPr>
          <w:rFonts w:asciiTheme="minorHAnsi" w:hAnsiTheme="minorHAnsi"/>
        </w:rPr>
      </w:pPr>
      <w:r w:rsidRPr="004A132D">
        <w:rPr>
          <w:rFonts w:asciiTheme="minorHAnsi" w:hAnsiTheme="minorHAnsi"/>
        </w:rPr>
        <w:t>In the NT, t</w:t>
      </w:r>
      <w:r w:rsidR="00090703" w:rsidRPr="004A132D">
        <w:rPr>
          <w:rFonts w:asciiTheme="minorHAnsi" w:hAnsiTheme="minorHAnsi"/>
        </w:rPr>
        <w:t xml:space="preserve">he </w:t>
      </w:r>
      <w:r w:rsidR="00CD51E2" w:rsidRPr="004A132D">
        <w:rPr>
          <w:rFonts w:asciiTheme="minorHAnsi" w:hAnsiTheme="minorHAnsi"/>
          <w:i/>
        </w:rPr>
        <w:t>Births, Deaths and Marriages Registration Act 1996</w:t>
      </w:r>
      <w:r w:rsidR="00CD51E2" w:rsidRPr="004A132D">
        <w:rPr>
          <w:rFonts w:asciiTheme="minorHAnsi" w:hAnsiTheme="minorHAnsi"/>
        </w:rPr>
        <w:t xml:space="preserve"> </w:t>
      </w:r>
      <w:r w:rsidRPr="004A132D">
        <w:rPr>
          <w:rFonts w:asciiTheme="minorHAnsi" w:hAnsiTheme="minorHAnsi"/>
        </w:rPr>
        <w:t xml:space="preserve">(NT) </w:t>
      </w:r>
      <w:r w:rsidR="00CD51E2" w:rsidRPr="004A132D">
        <w:rPr>
          <w:rFonts w:asciiTheme="minorHAnsi" w:hAnsiTheme="minorHAnsi"/>
        </w:rPr>
        <w:t>allows for a change of sex or gender without medical treatment</w:t>
      </w:r>
      <w:r w:rsidR="00943BCD" w:rsidRPr="004A132D">
        <w:rPr>
          <w:rFonts w:asciiTheme="minorHAnsi" w:hAnsiTheme="minorHAnsi"/>
        </w:rPr>
        <w:t xml:space="preserve">. </w:t>
      </w:r>
      <w:r w:rsidR="001F4CFD" w:rsidRPr="004A132D">
        <w:rPr>
          <w:rFonts w:asciiTheme="minorHAnsi" w:hAnsiTheme="minorHAnsi"/>
        </w:rPr>
        <w:br/>
      </w:r>
      <w:r w:rsidR="00090703" w:rsidRPr="004A132D">
        <w:rPr>
          <w:rFonts w:asciiTheme="minorHAnsi" w:hAnsiTheme="minorHAnsi"/>
        </w:rPr>
        <w:t>An</w:t>
      </w:r>
      <w:r w:rsidR="001F4CFD" w:rsidRPr="004A132D">
        <w:rPr>
          <w:rFonts w:asciiTheme="minorHAnsi" w:hAnsiTheme="minorHAnsi"/>
        </w:rPr>
        <w:t xml:space="preserve"> </w:t>
      </w:r>
      <w:r w:rsidR="00CD51E2" w:rsidRPr="004A132D">
        <w:rPr>
          <w:rFonts w:asciiTheme="minorHAnsi" w:hAnsiTheme="minorHAnsi"/>
        </w:rPr>
        <w:t xml:space="preserve">application must be accompanied by a statement </w:t>
      </w:r>
      <w:r w:rsidR="00090703" w:rsidRPr="004A132D">
        <w:rPr>
          <w:rFonts w:asciiTheme="minorHAnsi" w:hAnsiTheme="minorHAnsi"/>
        </w:rPr>
        <w:t>from</w:t>
      </w:r>
      <w:r w:rsidR="00CD51E2" w:rsidRPr="004A132D">
        <w:rPr>
          <w:rFonts w:asciiTheme="minorHAnsi" w:hAnsiTheme="minorHAnsi"/>
        </w:rPr>
        <w:t xml:space="preserve"> a medical practitioner or a psychologist certifying that the adult has received appropriate clinical treatment</w:t>
      </w:r>
      <w:r w:rsidR="008206A0" w:rsidRPr="004A132D">
        <w:rPr>
          <w:rFonts w:asciiTheme="minorHAnsi" w:hAnsiTheme="minorHAnsi"/>
        </w:rPr>
        <w:t>, which may involve counselling</w:t>
      </w:r>
      <w:r w:rsidR="00943BCD" w:rsidRPr="004A132D">
        <w:rPr>
          <w:rFonts w:asciiTheme="minorHAnsi" w:hAnsiTheme="minorHAnsi"/>
        </w:rPr>
        <w:t>.</w:t>
      </w:r>
    </w:p>
    <w:p w14:paraId="193BFC3D" w14:textId="0FC56CAA" w:rsidR="008206A0" w:rsidRPr="004A132D" w:rsidRDefault="00DD776F" w:rsidP="00561D0E">
      <w:pPr>
        <w:pStyle w:val="Numbers"/>
        <w:numPr>
          <w:ilvl w:val="1"/>
          <w:numId w:val="1"/>
        </w:numPr>
        <w:rPr>
          <w:rFonts w:asciiTheme="minorHAnsi" w:hAnsiTheme="minorHAnsi"/>
        </w:rPr>
      </w:pPr>
      <w:r w:rsidRPr="004A132D">
        <w:rPr>
          <w:rFonts w:asciiTheme="minorHAnsi" w:hAnsiTheme="minorHAnsi"/>
        </w:rPr>
        <w:t>QLD</w:t>
      </w:r>
      <w:r w:rsidR="00943BCD" w:rsidRPr="004A132D">
        <w:rPr>
          <w:rFonts w:asciiTheme="minorHAnsi" w:hAnsiTheme="minorHAnsi"/>
        </w:rPr>
        <w:t xml:space="preserve">’s </w:t>
      </w:r>
      <w:r w:rsidR="003E6383" w:rsidRPr="004A132D">
        <w:rPr>
          <w:rFonts w:asciiTheme="minorHAnsi" w:hAnsiTheme="minorHAnsi"/>
          <w:lang w:val="en-AU"/>
        </w:rPr>
        <w:t xml:space="preserve">new </w:t>
      </w:r>
      <w:r w:rsidR="003E6383" w:rsidRPr="004A132D">
        <w:rPr>
          <w:rFonts w:asciiTheme="minorHAnsi" w:hAnsiTheme="minorHAnsi"/>
          <w:i/>
          <w:iCs/>
          <w:lang w:val="en-AU"/>
        </w:rPr>
        <w:t>Births, Deaths and Marriages Registration Act 2023</w:t>
      </w:r>
      <w:r w:rsidR="003E6383" w:rsidRPr="004A132D">
        <w:rPr>
          <w:rFonts w:asciiTheme="minorHAnsi" w:hAnsiTheme="minorHAnsi"/>
          <w:lang w:val="en-AU"/>
        </w:rPr>
        <w:t xml:space="preserve"> (Qld) removes the surgery requirement for transgender and gender diverse people to obtain legal recognition of their gender, and establishes a new framework that supports bodily integrity, autonomy and self</w:t>
      </w:r>
      <w:r w:rsidR="006166FB" w:rsidRPr="004A132D">
        <w:rPr>
          <w:rFonts w:asciiTheme="minorHAnsi" w:hAnsiTheme="minorHAnsi"/>
          <w:lang w:val="en-AU"/>
        </w:rPr>
        <w:noBreakHyphen/>
      </w:r>
      <w:r w:rsidR="003E6383" w:rsidRPr="004A132D">
        <w:rPr>
          <w:rFonts w:asciiTheme="minorHAnsi" w:hAnsiTheme="minorHAnsi"/>
          <w:lang w:val="en-AU"/>
        </w:rPr>
        <w:t xml:space="preserve">determination. Under this new framework, a person aged 16 years and over may apply to alter their record of sex by providing a </w:t>
      </w:r>
      <w:r w:rsidR="003E6383" w:rsidRPr="004A132D">
        <w:rPr>
          <w:rFonts w:asciiTheme="minorHAnsi" w:hAnsiTheme="minorHAnsi"/>
          <w:lang w:val="en-AU"/>
        </w:rPr>
        <w:lastRenderedPageBreak/>
        <w:t>declaration accompanied by a supporting statement from an adult who has known the applicant for at least 12 months. The parents of, or persons with legal parental responsibility for, a child under the age of 16 may apply to alter their record of sex by providing a report from a developmentally informed practitioner confirming the child understands the meaning and legal implications of doing so.</w:t>
      </w:r>
    </w:p>
    <w:p w14:paraId="2D487CBD" w14:textId="77777777" w:rsidR="000C1522" w:rsidRPr="004A132D" w:rsidRDefault="00DD776F" w:rsidP="00561D0E">
      <w:pPr>
        <w:pStyle w:val="Numbers"/>
        <w:numPr>
          <w:ilvl w:val="1"/>
          <w:numId w:val="1"/>
        </w:numPr>
        <w:rPr>
          <w:rFonts w:asciiTheme="minorHAnsi" w:hAnsiTheme="minorHAnsi"/>
        </w:rPr>
      </w:pPr>
      <w:r w:rsidRPr="004A132D">
        <w:rPr>
          <w:rFonts w:asciiTheme="minorHAnsi" w:hAnsiTheme="minorHAnsi"/>
        </w:rPr>
        <w:t>SA</w:t>
      </w:r>
      <w:r w:rsidR="000C1522" w:rsidRPr="004A132D">
        <w:rPr>
          <w:rFonts w:asciiTheme="minorHAnsi" w:hAnsiTheme="minorHAnsi"/>
        </w:rPr>
        <w:t xml:space="preserve">’s </w:t>
      </w:r>
      <w:r w:rsidR="000C1522" w:rsidRPr="004A132D">
        <w:rPr>
          <w:rFonts w:asciiTheme="minorHAnsi" w:hAnsiTheme="minorHAnsi"/>
          <w:i/>
        </w:rPr>
        <w:t>Births, Deaths and Marriages Registration Act 1996</w:t>
      </w:r>
      <w:r w:rsidR="000C1522" w:rsidRPr="004A132D">
        <w:rPr>
          <w:rFonts w:asciiTheme="minorHAnsi" w:hAnsiTheme="minorHAnsi"/>
        </w:rPr>
        <w:t xml:space="preserve"> </w:t>
      </w:r>
      <w:r w:rsidR="005E7D4E" w:rsidRPr="004A132D">
        <w:rPr>
          <w:rFonts w:asciiTheme="minorHAnsi" w:hAnsiTheme="minorHAnsi"/>
        </w:rPr>
        <w:t xml:space="preserve">(SA) </w:t>
      </w:r>
      <w:r w:rsidR="000C1522" w:rsidRPr="004A132D">
        <w:rPr>
          <w:rFonts w:asciiTheme="minorHAnsi" w:hAnsiTheme="minorHAnsi"/>
        </w:rPr>
        <w:t>provides that a person 18 years or above can apply to record their new sex or gender identity if they have undergone the required clinical treatment</w:t>
      </w:r>
      <w:r w:rsidR="000F4B43" w:rsidRPr="004A132D">
        <w:rPr>
          <w:rFonts w:asciiTheme="minorHAnsi" w:hAnsiTheme="minorHAnsi"/>
        </w:rPr>
        <w:t>, which does</w:t>
      </w:r>
      <w:r w:rsidR="000C1522" w:rsidRPr="004A132D">
        <w:rPr>
          <w:rFonts w:asciiTheme="minorHAnsi" w:hAnsiTheme="minorHAnsi"/>
        </w:rPr>
        <w:t xml:space="preserve"> not need to involve invasive medical treatment and may </w:t>
      </w:r>
      <w:r w:rsidR="000F4B43" w:rsidRPr="004A132D">
        <w:rPr>
          <w:rFonts w:asciiTheme="minorHAnsi" w:hAnsiTheme="minorHAnsi"/>
        </w:rPr>
        <w:t>include</w:t>
      </w:r>
      <w:r w:rsidR="000C1522" w:rsidRPr="004A132D">
        <w:rPr>
          <w:rFonts w:asciiTheme="minorHAnsi" w:hAnsiTheme="minorHAnsi"/>
        </w:rPr>
        <w:t xml:space="preserve"> counselling.</w:t>
      </w:r>
    </w:p>
    <w:p w14:paraId="50E62A90" w14:textId="3E152D9D" w:rsidR="00090703" w:rsidRPr="004A132D" w:rsidRDefault="005E7D4E" w:rsidP="00561D0E">
      <w:pPr>
        <w:pStyle w:val="Numbers"/>
        <w:numPr>
          <w:ilvl w:val="1"/>
          <w:numId w:val="1"/>
        </w:numPr>
        <w:rPr>
          <w:rFonts w:asciiTheme="minorHAnsi" w:hAnsiTheme="minorHAnsi"/>
        </w:rPr>
      </w:pPr>
      <w:r w:rsidRPr="004A132D">
        <w:rPr>
          <w:rFonts w:asciiTheme="minorHAnsi" w:hAnsiTheme="minorHAnsi"/>
        </w:rPr>
        <w:t>In</w:t>
      </w:r>
      <w:r w:rsidR="00090703" w:rsidRPr="004A132D">
        <w:rPr>
          <w:rFonts w:asciiTheme="minorHAnsi" w:hAnsiTheme="minorHAnsi"/>
        </w:rPr>
        <w:t xml:space="preserve"> </w:t>
      </w:r>
      <w:r w:rsidR="00DD776F" w:rsidRPr="004A132D">
        <w:rPr>
          <w:rFonts w:asciiTheme="minorHAnsi" w:hAnsiTheme="minorHAnsi"/>
        </w:rPr>
        <w:t>TAS</w:t>
      </w:r>
      <w:r w:rsidRPr="004A132D">
        <w:rPr>
          <w:rFonts w:asciiTheme="minorHAnsi" w:hAnsiTheme="minorHAnsi"/>
        </w:rPr>
        <w:t>, the</w:t>
      </w:r>
      <w:r w:rsidR="00090703" w:rsidRPr="004A132D">
        <w:rPr>
          <w:rFonts w:asciiTheme="minorHAnsi" w:hAnsiTheme="minorHAnsi"/>
        </w:rPr>
        <w:t xml:space="preserve"> </w:t>
      </w:r>
      <w:r w:rsidR="00090703" w:rsidRPr="004A132D">
        <w:rPr>
          <w:rFonts w:asciiTheme="minorHAnsi" w:hAnsiTheme="minorHAnsi"/>
          <w:i/>
        </w:rPr>
        <w:t>Births, Deaths and Marriages Registration Act 1999</w:t>
      </w:r>
      <w:r w:rsidR="00090703" w:rsidRPr="004A132D">
        <w:rPr>
          <w:rFonts w:asciiTheme="minorHAnsi" w:hAnsiTheme="minorHAnsi"/>
        </w:rPr>
        <w:t xml:space="preserve"> </w:t>
      </w:r>
      <w:r w:rsidRPr="004A132D">
        <w:rPr>
          <w:rFonts w:asciiTheme="minorHAnsi" w:hAnsiTheme="minorHAnsi"/>
        </w:rPr>
        <w:t xml:space="preserve">(Tas) </w:t>
      </w:r>
      <w:r w:rsidR="00090703" w:rsidRPr="004A132D">
        <w:rPr>
          <w:rFonts w:asciiTheme="minorHAnsi" w:hAnsiTheme="minorHAnsi"/>
        </w:rPr>
        <w:t>provides for registration of gender identity on the basis of self</w:t>
      </w:r>
      <w:r w:rsidR="006166FB" w:rsidRPr="004A132D">
        <w:rPr>
          <w:rFonts w:asciiTheme="minorHAnsi" w:hAnsiTheme="minorHAnsi"/>
        </w:rPr>
        <w:noBreakHyphen/>
      </w:r>
      <w:r w:rsidR="00090703" w:rsidRPr="004A132D">
        <w:rPr>
          <w:rFonts w:asciiTheme="minorHAnsi" w:hAnsiTheme="minorHAnsi"/>
        </w:rPr>
        <w:t>identification. The gender registration process specifically states there is no requirement for any medical treatment. Birth certificates can be issued with a person's chosen gender or no gender at all.</w:t>
      </w:r>
    </w:p>
    <w:p w14:paraId="28FBB03A" w14:textId="6C043E48" w:rsidR="00194396" w:rsidRPr="004A132D" w:rsidRDefault="004107DD" w:rsidP="00561D0E">
      <w:pPr>
        <w:pStyle w:val="Numbers"/>
        <w:numPr>
          <w:ilvl w:val="1"/>
          <w:numId w:val="1"/>
        </w:numPr>
        <w:rPr>
          <w:rFonts w:asciiTheme="minorHAnsi" w:hAnsiTheme="minorHAnsi"/>
        </w:rPr>
      </w:pPr>
      <w:r w:rsidRPr="004A132D">
        <w:rPr>
          <w:rFonts w:asciiTheme="minorHAnsi" w:hAnsiTheme="minorHAnsi"/>
        </w:rPr>
        <w:t xml:space="preserve">In 2020, </w:t>
      </w:r>
      <w:r w:rsidR="00DD776F" w:rsidRPr="004A132D">
        <w:rPr>
          <w:rFonts w:asciiTheme="minorHAnsi" w:hAnsiTheme="minorHAnsi"/>
        </w:rPr>
        <w:t>VIC</w:t>
      </w:r>
      <w:r w:rsidRPr="004A132D">
        <w:rPr>
          <w:rFonts w:asciiTheme="minorHAnsi" w:hAnsiTheme="minorHAnsi"/>
        </w:rPr>
        <w:t xml:space="preserve"> made amendments to their</w:t>
      </w:r>
      <w:r w:rsidR="00194396" w:rsidRPr="004A132D">
        <w:rPr>
          <w:rFonts w:asciiTheme="minorHAnsi" w:hAnsiTheme="minorHAnsi"/>
        </w:rPr>
        <w:t xml:space="preserve"> </w:t>
      </w:r>
      <w:r w:rsidR="00194396" w:rsidRPr="004A132D">
        <w:rPr>
          <w:rFonts w:asciiTheme="minorHAnsi" w:hAnsiTheme="minorHAnsi"/>
          <w:i/>
        </w:rPr>
        <w:t xml:space="preserve">Births, Deaths and Marriages Registration Act 1996 </w:t>
      </w:r>
      <w:r w:rsidR="005E7D4E" w:rsidRPr="004A132D">
        <w:rPr>
          <w:rFonts w:asciiTheme="minorHAnsi" w:hAnsiTheme="minorHAnsi"/>
        </w:rPr>
        <w:t xml:space="preserve">(Vic) </w:t>
      </w:r>
      <w:r w:rsidR="00675610" w:rsidRPr="004A132D">
        <w:rPr>
          <w:rFonts w:asciiTheme="minorHAnsi" w:hAnsiTheme="minorHAnsi"/>
        </w:rPr>
        <w:t xml:space="preserve">which mean that </w:t>
      </w:r>
      <w:r w:rsidR="00194396" w:rsidRPr="004A132D">
        <w:rPr>
          <w:rFonts w:asciiTheme="minorHAnsi" w:hAnsiTheme="minorHAnsi"/>
        </w:rPr>
        <w:t xml:space="preserve">Victorians are no longer required to undergo gender affirmation surgery to apply to change the record of sex. The </w:t>
      </w:r>
      <w:r w:rsidR="00DD776F" w:rsidRPr="004A132D">
        <w:rPr>
          <w:rFonts w:asciiTheme="minorHAnsi" w:hAnsiTheme="minorHAnsi"/>
        </w:rPr>
        <w:t xml:space="preserve">VIC </w:t>
      </w:r>
      <w:r w:rsidR="00194396" w:rsidRPr="004A132D">
        <w:rPr>
          <w:rFonts w:asciiTheme="minorHAnsi" w:hAnsiTheme="minorHAnsi"/>
        </w:rPr>
        <w:t xml:space="preserve">Government has reflected this in published guidance to health services on inclusive collection and reporting of sex and gender data.  </w:t>
      </w:r>
    </w:p>
    <w:p w14:paraId="5AA479B6" w14:textId="7750B05C" w:rsidR="000C1522" w:rsidRPr="004A132D" w:rsidRDefault="00A621E7" w:rsidP="001A3D47">
      <w:pPr>
        <w:pStyle w:val="Numbers"/>
        <w:numPr>
          <w:ilvl w:val="1"/>
          <w:numId w:val="1"/>
        </w:numPr>
        <w:rPr>
          <w:rFonts w:asciiTheme="minorHAnsi" w:hAnsiTheme="minorHAnsi"/>
        </w:rPr>
      </w:pPr>
      <w:r w:rsidRPr="004A132D">
        <w:rPr>
          <w:rFonts w:asciiTheme="minorHAnsi" w:hAnsiTheme="minorHAnsi"/>
        </w:rPr>
        <w:t xml:space="preserve">In April 2024, </w:t>
      </w:r>
      <w:r w:rsidR="00DD776F" w:rsidRPr="004A132D">
        <w:rPr>
          <w:rFonts w:asciiTheme="minorHAnsi" w:hAnsiTheme="minorHAnsi"/>
        </w:rPr>
        <w:t>WA</w:t>
      </w:r>
      <w:r w:rsidRPr="004A132D">
        <w:rPr>
          <w:rFonts w:asciiTheme="minorHAnsi" w:hAnsiTheme="minorHAnsi"/>
        </w:rPr>
        <w:t xml:space="preserve"> announced new reforms to abolish the Gender Reassignment </w:t>
      </w:r>
      <w:r w:rsidR="00700FD7" w:rsidRPr="004A132D">
        <w:rPr>
          <w:rFonts w:asciiTheme="minorHAnsi" w:hAnsiTheme="minorHAnsi"/>
          <w:lang w:val="en-AU"/>
        </w:rPr>
        <w:t xml:space="preserve">Board and introduce a streamlined administrative process for sex and gender recognition in </w:t>
      </w:r>
      <w:r w:rsidR="00581AF8" w:rsidRPr="004A132D">
        <w:rPr>
          <w:rFonts w:asciiTheme="minorHAnsi" w:hAnsiTheme="minorHAnsi"/>
          <w:lang w:val="en-AU"/>
        </w:rPr>
        <w:t xml:space="preserve">WA. </w:t>
      </w:r>
      <w:r w:rsidR="00700FD7" w:rsidRPr="004A132D">
        <w:rPr>
          <w:rFonts w:asciiTheme="minorHAnsi" w:hAnsiTheme="minorHAnsi"/>
          <w:lang w:val="en-AU"/>
        </w:rPr>
        <w:t>These reforms will mean that Western Australians will no longer be required to undergo medical or surgical reassignment and have their application determined by a board if they want to change their sex or gender on their birth certificate.</w:t>
      </w:r>
      <w:r w:rsidR="006166FB" w:rsidRPr="004A132D">
        <w:rPr>
          <w:rFonts w:asciiTheme="minorHAnsi" w:hAnsiTheme="minorHAnsi"/>
          <w:lang w:val="en-AU"/>
        </w:rPr>
        <w:t xml:space="preserve"> </w:t>
      </w:r>
      <w:r w:rsidR="004A6FBA" w:rsidRPr="004A132D">
        <w:rPr>
          <w:rFonts w:asciiTheme="minorHAnsi" w:hAnsiTheme="minorHAnsi"/>
        </w:rPr>
        <w:t xml:space="preserve">Instead, an application will have a statement from a medical practitioner or psychologist certifying the person has had appropriate clinical treatment, which may include counselling. </w:t>
      </w:r>
      <w:r w:rsidR="00BF69F1" w:rsidRPr="004A132D">
        <w:rPr>
          <w:rFonts w:asciiTheme="minorHAnsi" w:hAnsiTheme="minorHAnsi"/>
        </w:rPr>
        <w:t xml:space="preserve">The Births, Deaths </w:t>
      </w:r>
      <w:r w:rsidR="00BF69F1" w:rsidRPr="004A132D">
        <w:rPr>
          <w:rFonts w:asciiTheme="minorHAnsi" w:hAnsiTheme="minorHAnsi"/>
        </w:rPr>
        <w:lastRenderedPageBreak/>
        <w:t xml:space="preserve">and Marriages Registration Amendment (Sex or Gender Changes) Bill 2024 was introduced in WA Parliament on 17 April 2024. It was passed by the Legislative Assembly on 9 May 2024 and second read on the same day in the Legislative Council.   </w:t>
      </w:r>
    </w:p>
    <w:p w14:paraId="72DE1062" w14:textId="77777777" w:rsidR="004A6FBA" w:rsidRPr="004A132D" w:rsidRDefault="004A6FBA" w:rsidP="004A132D">
      <w:pPr>
        <w:pStyle w:val="Heading2"/>
        <w:keepNext/>
        <w:keepLines/>
      </w:pPr>
      <w:bookmarkStart w:id="158" w:name="_Toc174011732"/>
      <w:bookmarkStart w:id="159" w:name="_Toc175556829"/>
      <w:r w:rsidRPr="004A132D">
        <w:t xml:space="preserve">Question 19c: </w:t>
      </w:r>
      <w:r w:rsidR="00152897" w:rsidRPr="004A132D">
        <w:t>Culturally appropriate, gender-sensitive and non-discriminatory health-care services</w:t>
      </w:r>
      <w:r w:rsidR="007A5C0F" w:rsidRPr="004A132D">
        <w:t>, and training for Indigenous health professionals</w:t>
      </w:r>
      <w:bookmarkEnd w:id="158"/>
      <w:bookmarkEnd w:id="159"/>
    </w:p>
    <w:p w14:paraId="4C277490" w14:textId="77777777" w:rsidR="003159B5" w:rsidRPr="004A132D" w:rsidRDefault="003159B5" w:rsidP="00724F8F">
      <w:pPr>
        <w:pStyle w:val="Numbers"/>
        <w:ind w:left="1418"/>
        <w:rPr>
          <w:rFonts w:asciiTheme="minorHAnsi" w:hAnsiTheme="minorHAnsi"/>
        </w:rPr>
      </w:pPr>
      <w:r w:rsidRPr="004A132D">
        <w:rPr>
          <w:rFonts w:asciiTheme="minorHAnsi" w:hAnsiTheme="minorHAnsi"/>
        </w:rPr>
        <w:t>The Australian Government leads a national approach on health through policies and programs, subsidies for health services and medicines, regulation of medical devices and treatments and work with states and territories to deliver a vision for greater health and wellbeing for all Australians – particularly those at greatest risk of poor health.</w:t>
      </w:r>
    </w:p>
    <w:p w14:paraId="20AFA6FC" w14:textId="79B1918F" w:rsidR="00561899" w:rsidRPr="004A132D" w:rsidRDefault="00561899" w:rsidP="00724F8F">
      <w:pPr>
        <w:pStyle w:val="Numbers"/>
        <w:ind w:left="1418"/>
        <w:rPr>
          <w:rFonts w:asciiTheme="minorHAnsi" w:hAnsiTheme="minorHAnsi"/>
        </w:rPr>
      </w:pPr>
      <w:r w:rsidRPr="004A132D">
        <w:rPr>
          <w:rFonts w:asciiTheme="minorHAnsi" w:hAnsiTheme="minorHAnsi"/>
        </w:rPr>
        <w:t xml:space="preserve">The </w:t>
      </w:r>
      <w:r w:rsidR="009C4AC0" w:rsidRPr="004A132D">
        <w:rPr>
          <w:rFonts w:asciiTheme="minorHAnsi" w:hAnsiTheme="minorHAnsi"/>
        </w:rPr>
        <w:t xml:space="preserve">Australian </w:t>
      </w:r>
      <w:r w:rsidRPr="004A132D">
        <w:rPr>
          <w:rFonts w:asciiTheme="minorHAnsi" w:hAnsiTheme="minorHAnsi"/>
        </w:rPr>
        <w:t xml:space="preserve">Government has made a number of </w:t>
      </w:r>
      <w:r w:rsidR="009C4AC0" w:rsidRPr="004A132D">
        <w:rPr>
          <w:rFonts w:asciiTheme="minorHAnsi" w:hAnsiTheme="minorHAnsi"/>
        </w:rPr>
        <w:t xml:space="preserve">culturally- and </w:t>
      </w:r>
      <w:r w:rsidR="00A76FC7" w:rsidRPr="004A132D">
        <w:rPr>
          <w:rFonts w:asciiTheme="minorHAnsi" w:hAnsiTheme="minorHAnsi"/>
        </w:rPr>
        <w:t xml:space="preserve">gender-responsive </w:t>
      </w:r>
      <w:r w:rsidR="009C4AC0" w:rsidRPr="004A132D">
        <w:rPr>
          <w:rFonts w:asciiTheme="minorHAnsi" w:hAnsiTheme="minorHAnsi"/>
        </w:rPr>
        <w:t xml:space="preserve">health </w:t>
      </w:r>
      <w:r w:rsidRPr="004A132D">
        <w:rPr>
          <w:rFonts w:asciiTheme="minorHAnsi" w:hAnsiTheme="minorHAnsi"/>
        </w:rPr>
        <w:t>investments and reforms</w:t>
      </w:r>
      <w:r w:rsidR="006166FB" w:rsidRPr="004A132D">
        <w:rPr>
          <w:rFonts w:asciiTheme="minorHAnsi" w:hAnsiTheme="minorHAnsi"/>
        </w:rPr>
        <w:t>, i</w:t>
      </w:r>
      <w:r w:rsidR="009C4AC0" w:rsidRPr="004A132D">
        <w:rPr>
          <w:rFonts w:asciiTheme="minorHAnsi" w:hAnsiTheme="minorHAnsi"/>
        </w:rPr>
        <w:t>nclud</w:t>
      </w:r>
      <w:r w:rsidR="006166FB" w:rsidRPr="004A132D">
        <w:rPr>
          <w:rFonts w:asciiTheme="minorHAnsi" w:hAnsiTheme="minorHAnsi"/>
        </w:rPr>
        <w:t>ing</w:t>
      </w:r>
      <w:r w:rsidR="009C4AC0" w:rsidRPr="004A132D">
        <w:rPr>
          <w:rFonts w:asciiTheme="minorHAnsi" w:hAnsiTheme="minorHAnsi"/>
        </w:rPr>
        <w:t>:</w:t>
      </w:r>
    </w:p>
    <w:p w14:paraId="0DA5CFE4" w14:textId="6432C8F0" w:rsidR="00A76FC7" w:rsidRPr="004A132D" w:rsidRDefault="00457698" w:rsidP="00561D0E">
      <w:pPr>
        <w:pStyle w:val="Numbers"/>
        <w:numPr>
          <w:ilvl w:val="1"/>
          <w:numId w:val="1"/>
        </w:numPr>
        <w:rPr>
          <w:rFonts w:asciiTheme="minorHAnsi" w:hAnsiTheme="minorHAnsi"/>
        </w:rPr>
      </w:pPr>
      <w:r w:rsidRPr="004A132D">
        <w:rPr>
          <w:rFonts w:asciiTheme="minorHAnsi" w:hAnsiTheme="minorHAnsi"/>
        </w:rPr>
        <w:t>committing</w:t>
      </w:r>
      <w:r w:rsidR="00A76FC7" w:rsidRPr="004A132D">
        <w:rPr>
          <w:rFonts w:asciiTheme="minorHAnsi" w:hAnsiTheme="minorHAnsi"/>
        </w:rPr>
        <w:t xml:space="preserve"> $3.5 million over </w:t>
      </w:r>
      <w:r w:rsidR="00520DF4" w:rsidRPr="004A132D">
        <w:rPr>
          <w:rFonts w:asciiTheme="minorHAnsi" w:hAnsiTheme="minorHAnsi"/>
        </w:rPr>
        <w:t>4</w:t>
      </w:r>
      <w:r w:rsidR="00A76FC7" w:rsidRPr="004A132D">
        <w:rPr>
          <w:rFonts w:asciiTheme="minorHAnsi" w:hAnsiTheme="minorHAnsi"/>
        </w:rPr>
        <w:t xml:space="preserve"> years from 2024–25 (and $0.4 million per year ongoing) to expand the Midwife Professional Indemnity Scheme. The expansion will support improved health outcomes for </w:t>
      </w:r>
      <w:r w:rsidR="001F4CFD" w:rsidRPr="004A132D">
        <w:rPr>
          <w:rFonts w:asciiTheme="minorHAnsi" w:hAnsiTheme="minorHAnsi"/>
        </w:rPr>
        <w:br/>
      </w:r>
      <w:r w:rsidR="00A76FC7" w:rsidRPr="004A132D">
        <w:rPr>
          <w:rFonts w:asciiTheme="minorHAnsi" w:hAnsiTheme="minorHAnsi"/>
        </w:rPr>
        <w:t>First</w:t>
      </w:r>
      <w:r w:rsidR="001F4CFD" w:rsidRPr="004A132D">
        <w:rPr>
          <w:rFonts w:asciiTheme="minorHAnsi" w:hAnsiTheme="minorHAnsi"/>
        </w:rPr>
        <w:t xml:space="preserve"> </w:t>
      </w:r>
      <w:r w:rsidR="00A76FC7" w:rsidRPr="004A132D">
        <w:rPr>
          <w:rFonts w:asciiTheme="minorHAnsi" w:hAnsiTheme="minorHAnsi"/>
        </w:rPr>
        <w:t xml:space="preserve">Nations women and babies by enabling Birthing on Country programs to engage midwives who can provide culturally </w:t>
      </w:r>
      <w:r w:rsidRPr="004A132D">
        <w:rPr>
          <w:rFonts w:asciiTheme="minorHAnsi" w:hAnsiTheme="minorHAnsi"/>
        </w:rPr>
        <w:t>safe, continuous midwifery care;</w:t>
      </w:r>
    </w:p>
    <w:p w14:paraId="2D25161A" w14:textId="119BADBF" w:rsidR="00457698" w:rsidRPr="004A132D" w:rsidRDefault="00457698" w:rsidP="00561D0E">
      <w:pPr>
        <w:pStyle w:val="Numbers"/>
        <w:numPr>
          <w:ilvl w:val="1"/>
          <w:numId w:val="1"/>
        </w:numPr>
        <w:rPr>
          <w:rFonts w:asciiTheme="minorHAnsi" w:hAnsiTheme="minorHAnsi"/>
        </w:rPr>
      </w:pPr>
      <w:r w:rsidRPr="004A132D">
        <w:rPr>
          <w:rFonts w:asciiTheme="minorHAnsi" w:hAnsiTheme="minorHAnsi"/>
        </w:rPr>
        <w:t xml:space="preserve">committing $12.5 million over </w:t>
      </w:r>
      <w:r w:rsidR="00520DF4" w:rsidRPr="004A132D">
        <w:rPr>
          <w:rFonts w:asciiTheme="minorHAnsi" w:hAnsiTheme="minorHAnsi"/>
        </w:rPr>
        <w:t>4</w:t>
      </w:r>
      <w:r w:rsidRPr="004A132D">
        <w:rPr>
          <w:rFonts w:asciiTheme="minorHAnsi" w:hAnsiTheme="minorHAnsi"/>
        </w:rPr>
        <w:t xml:space="preserve"> years to </w:t>
      </w:r>
      <w:r w:rsidR="006166FB" w:rsidRPr="004A132D">
        <w:rPr>
          <w:rFonts w:asciiTheme="minorHAnsi" w:hAnsiTheme="minorHAnsi"/>
        </w:rPr>
        <w:t xml:space="preserve">the </w:t>
      </w:r>
      <w:r w:rsidRPr="004A132D">
        <w:rPr>
          <w:rFonts w:asciiTheme="minorHAnsi" w:hAnsiTheme="minorHAnsi"/>
        </w:rPr>
        <w:t>National Aboriginal Community Controlled Health Organisation (NACCHO) to facilitate community-led distribution of menstrual products in regional and remote First Nations communities where menstrual products are expensive and hard for First Nations women and girls to access</w:t>
      </w:r>
      <w:r w:rsidRPr="004A132D">
        <w:rPr>
          <w:rFonts w:asciiTheme="minorHAnsi" w:hAnsiTheme="minorHAnsi" w:cs="Arial"/>
          <w:color w:val="343A40"/>
          <w:shd w:val="clear" w:color="auto" w:fill="FFFFFF"/>
        </w:rPr>
        <w:t>.</w:t>
      </w:r>
    </w:p>
    <w:p w14:paraId="02CDA6BC" w14:textId="77777777" w:rsidR="00CF4FA6" w:rsidRPr="004A132D" w:rsidRDefault="00152897" w:rsidP="00724F8F">
      <w:pPr>
        <w:pStyle w:val="Numbers"/>
        <w:ind w:left="1418"/>
        <w:rPr>
          <w:rFonts w:asciiTheme="minorHAnsi" w:hAnsiTheme="minorHAnsi"/>
        </w:rPr>
      </w:pPr>
      <w:r w:rsidRPr="004A132D">
        <w:rPr>
          <w:rFonts w:asciiTheme="minorHAnsi" w:hAnsiTheme="minorHAnsi"/>
        </w:rPr>
        <w:t>The</w:t>
      </w:r>
      <w:r w:rsidR="00CF4FA6" w:rsidRPr="004A132D">
        <w:rPr>
          <w:rFonts w:asciiTheme="minorHAnsi" w:hAnsiTheme="minorHAnsi"/>
        </w:rPr>
        <w:t xml:space="preserve"> </w:t>
      </w:r>
      <w:r w:rsidR="00CF4FA6" w:rsidRPr="004A132D">
        <w:rPr>
          <w:rFonts w:asciiTheme="minorHAnsi" w:hAnsiTheme="minorHAnsi"/>
          <w:i/>
        </w:rPr>
        <w:t>National Aboriginal and Torres Strait Islander Health Workforce Strategic Framework and</w:t>
      </w:r>
      <w:r w:rsidRPr="004A132D">
        <w:rPr>
          <w:rFonts w:asciiTheme="minorHAnsi" w:hAnsiTheme="minorHAnsi"/>
          <w:i/>
        </w:rPr>
        <w:t xml:space="preserve"> Implementation Plan 2021–2031</w:t>
      </w:r>
      <w:r w:rsidRPr="004A132D">
        <w:rPr>
          <w:rFonts w:asciiTheme="minorHAnsi" w:hAnsiTheme="minorHAnsi"/>
        </w:rPr>
        <w:t xml:space="preserve"> </w:t>
      </w:r>
      <w:r w:rsidR="00561899" w:rsidRPr="004A132D">
        <w:rPr>
          <w:rFonts w:asciiTheme="minorHAnsi" w:hAnsiTheme="minorHAnsi"/>
        </w:rPr>
        <w:t>addresses the structural, systemic, organisational and personal barriers to recruiting and retaining Aboriginal and Torres Strait Islander people across the health landscape.</w:t>
      </w:r>
    </w:p>
    <w:p w14:paraId="2682321F" w14:textId="77777777" w:rsidR="005D631B" w:rsidRPr="004A132D" w:rsidRDefault="00CF4FA6" w:rsidP="00724F8F">
      <w:pPr>
        <w:pStyle w:val="Numbers"/>
        <w:ind w:left="1418"/>
        <w:rPr>
          <w:rFonts w:asciiTheme="minorHAnsi" w:hAnsiTheme="minorHAnsi"/>
        </w:rPr>
      </w:pPr>
      <w:r w:rsidRPr="004A132D">
        <w:rPr>
          <w:rFonts w:asciiTheme="minorHAnsi" w:hAnsiTheme="minorHAnsi"/>
        </w:rPr>
        <w:t xml:space="preserve">The Australian Government will support and grow the First Nations health workforce across all levels, roles, and locations to eliminate racism and build the </w:t>
      </w:r>
      <w:r w:rsidRPr="004A132D">
        <w:rPr>
          <w:rFonts w:asciiTheme="minorHAnsi" w:hAnsiTheme="minorHAnsi"/>
        </w:rPr>
        <w:lastRenderedPageBreak/>
        <w:t xml:space="preserve">capacity of mainstream settings to deliver culturally safe, trauma informed, and appropriate health care to First Nations peoples. This </w:t>
      </w:r>
      <w:r w:rsidR="005D631B" w:rsidRPr="004A132D">
        <w:rPr>
          <w:rFonts w:asciiTheme="minorHAnsi" w:hAnsiTheme="minorHAnsi"/>
        </w:rPr>
        <w:t>includes:</w:t>
      </w:r>
    </w:p>
    <w:p w14:paraId="6BC98F1A" w14:textId="36063A89" w:rsidR="00833553" w:rsidRPr="004A132D" w:rsidRDefault="00833553" w:rsidP="00561D0E">
      <w:pPr>
        <w:pStyle w:val="Numbers"/>
        <w:numPr>
          <w:ilvl w:val="1"/>
          <w:numId w:val="1"/>
        </w:numPr>
        <w:rPr>
          <w:rFonts w:asciiTheme="minorHAnsi" w:hAnsiTheme="minorHAnsi"/>
        </w:rPr>
      </w:pPr>
      <w:r w:rsidRPr="004A132D">
        <w:rPr>
          <w:rFonts w:asciiTheme="minorHAnsi" w:hAnsiTheme="minorHAnsi"/>
        </w:rPr>
        <w:t xml:space="preserve">$54.3 million over </w:t>
      </w:r>
      <w:r w:rsidR="00520DF4" w:rsidRPr="004A132D">
        <w:rPr>
          <w:rFonts w:asciiTheme="minorHAnsi" w:hAnsiTheme="minorHAnsi"/>
        </w:rPr>
        <w:t>5</w:t>
      </w:r>
      <w:r w:rsidRPr="004A132D">
        <w:rPr>
          <w:rFonts w:asciiTheme="minorHAnsi" w:hAnsiTheme="minorHAnsi"/>
        </w:rPr>
        <w:t xml:space="preserve"> years (2022-23 to 2026-27) for NACCHO to deliver a First Nations Health Worker Traineeship Program supporting up to 500 First Nations trainees to undertake qualifications enabling them to work across various health settings and be able to deliver culturally appropriate care to First Nations peoples.</w:t>
      </w:r>
    </w:p>
    <w:p w14:paraId="2E83BFFF" w14:textId="64E1B4DB" w:rsidR="00833553" w:rsidRPr="004A132D" w:rsidRDefault="00833553" w:rsidP="00561D0E">
      <w:pPr>
        <w:pStyle w:val="Numbers"/>
        <w:numPr>
          <w:ilvl w:val="1"/>
          <w:numId w:val="1"/>
        </w:numPr>
        <w:rPr>
          <w:rFonts w:asciiTheme="minorHAnsi" w:hAnsiTheme="minorHAnsi"/>
        </w:rPr>
      </w:pPr>
      <w:r w:rsidRPr="004A132D">
        <w:rPr>
          <w:rFonts w:asciiTheme="minorHAnsi" w:hAnsiTheme="minorHAnsi"/>
        </w:rPr>
        <w:t xml:space="preserve">$52.9 million over </w:t>
      </w:r>
      <w:r w:rsidR="00520DF4" w:rsidRPr="004A132D">
        <w:rPr>
          <w:rFonts w:asciiTheme="minorHAnsi" w:hAnsiTheme="minorHAnsi"/>
        </w:rPr>
        <w:t>4</w:t>
      </w:r>
      <w:r w:rsidRPr="004A132D">
        <w:rPr>
          <w:rFonts w:asciiTheme="minorHAnsi" w:hAnsiTheme="minorHAnsi"/>
        </w:rPr>
        <w:t xml:space="preserve"> years (from 2022-23 to 2025-26) provided to Aboriginal and Torres Strait Islander Health Professional Organisations to support and develop the First Nations health workforce.</w:t>
      </w:r>
    </w:p>
    <w:p w14:paraId="0F6974AE" w14:textId="77777777" w:rsidR="009301C3" w:rsidRPr="004A132D" w:rsidRDefault="00833553" w:rsidP="00561D0E">
      <w:pPr>
        <w:pStyle w:val="Numbers"/>
        <w:numPr>
          <w:ilvl w:val="1"/>
          <w:numId w:val="1"/>
        </w:numPr>
        <w:rPr>
          <w:rFonts w:asciiTheme="minorHAnsi" w:hAnsiTheme="minorHAnsi"/>
        </w:rPr>
      </w:pPr>
      <w:r w:rsidRPr="004A132D">
        <w:rPr>
          <w:rFonts w:asciiTheme="minorHAnsi" w:hAnsiTheme="minorHAnsi"/>
        </w:rPr>
        <w:t>$197.9 million to NACCHO to employ up to 260 new positions in Aboriginal community controlled health services to deliver cancer treatment and other supports such as health promotion activities, support for patients to navigate cancer care following diagnosis, and access to treatment and care on Country.</w:t>
      </w:r>
    </w:p>
    <w:p w14:paraId="5BADDEEC" w14:textId="3F43682F" w:rsidR="00561899" w:rsidRPr="004A132D" w:rsidRDefault="007A5C0F" w:rsidP="00724F8F">
      <w:pPr>
        <w:pStyle w:val="Numbers"/>
        <w:tabs>
          <w:tab w:val="clear" w:pos="2835"/>
        </w:tabs>
        <w:ind w:left="1418"/>
        <w:rPr>
          <w:rFonts w:asciiTheme="minorHAnsi" w:hAnsiTheme="minorHAnsi"/>
        </w:rPr>
      </w:pPr>
      <w:r w:rsidRPr="004A132D">
        <w:rPr>
          <w:rFonts w:asciiTheme="minorHAnsi" w:hAnsiTheme="minorHAnsi"/>
        </w:rPr>
        <w:t>All s</w:t>
      </w:r>
      <w:r w:rsidR="00561899" w:rsidRPr="004A132D">
        <w:rPr>
          <w:rFonts w:asciiTheme="minorHAnsi" w:hAnsiTheme="minorHAnsi"/>
        </w:rPr>
        <w:t>tates and territories have in place a broad range of strategi</w:t>
      </w:r>
      <w:r w:rsidR="00ED2C81" w:rsidRPr="004A132D">
        <w:rPr>
          <w:rFonts w:asciiTheme="minorHAnsi" w:hAnsiTheme="minorHAnsi"/>
        </w:rPr>
        <w:t>es and initiatives to deliver</w:t>
      </w:r>
      <w:r w:rsidR="00561899" w:rsidRPr="004A132D">
        <w:rPr>
          <w:rFonts w:asciiTheme="minorHAnsi" w:hAnsiTheme="minorHAnsi"/>
        </w:rPr>
        <w:t xml:space="preserve"> culturally appropriate, gender-sensitive and non-discriminatory health-care services, and support Indigenous health professionals. </w:t>
      </w:r>
      <w:r w:rsidRPr="004A132D">
        <w:rPr>
          <w:rFonts w:asciiTheme="minorHAnsi" w:hAnsiTheme="minorHAnsi"/>
          <w:lang w:val="en-NZ"/>
        </w:rPr>
        <w:t>The below list shares a non</w:t>
      </w:r>
      <w:r w:rsidR="006166FB" w:rsidRPr="004A132D">
        <w:rPr>
          <w:rFonts w:asciiTheme="minorHAnsi" w:hAnsiTheme="minorHAnsi"/>
          <w:lang w:val="en-NZ"/>
        </w:rPr>
        <w:noBreakHyphen/>
      </w:r>
      <w:r w:rsidRPr="004A132D">
        <w:rPr>
          <w:rFonts w:asciiTheme="minorHAnsi" w:hAnsiTheme="minorHAnsi"/>
          <w:lang w:val="en-NZ"/>
        </w:rPr>
        <w:t xml:space="preserve">exhaustive range of examples: </w:t>
      </w:r>
    </w:p>
    <w:p w14:paraId="384DE7EA" w14:textId="5498365D" w:rsidR="009A7BD9" w:rsidRPr="004A132D" w:rsidRDefault="009A7BD9" w:rsidP="00561D0E">
      <w:pPr>
        <w:pStyle w:val="Numbers"/>
        <w:numPr>
          <w:ilvl w:val="1"/>
          <w:numId w:val="1"/>
        </w:numPr>
        <w:rPr>
          <w:rFonts w:asciiTheme="minorHAnsi" w:hAnsiTheme="minorHAnsi"/>
        </w:rPr>
      </w:pPr>
      <w:r w:rsidRPr="004A132D">
        <w:rPr>
          <w:rFonts w:asciiTheme="minorHAnsi" w:hAnsiTheme="minorHAnsi"/>
        </w:rPr>
        <w:t>NSW funds the Health Education and Training Institute, Training and Support Unit to provide high quality, culturally responsive, evidence-based education and support to staff working in the Aboriginal Maternal and Infant Health Service and Building Strong Foundations teams. The NSW Government has also funded the Aboriginal Allied Health Cadetship since 2011.</w:t>
      </w:r>
    </w:p>
    <w:p w14:paraId="1FC6D03B" w14:textId="77777777" w:rsidR="002A5FED" w:rsidRPr="004A132D" w:rsidRDefault="002A5FED" w:rsidP="00561D0E">
      <w:pPr>
        <w:pStyle w:val="Numbers"/>
        <w:numPr>
          <w:ilvl w:val="1"/>
          <w:numId w:val="1"/>
        </w:numPr>
        <w:rPr>
          <w:rFonts w:asciiTheme="minorHAnsi" w:hAnsiTheme="minorHAnsi"/>
        </w:rPr>
      </w:pPr>
      <w:r w:rsidRPr="004A132D">
        <w:rPr>
          <w:rFonts w:asciiTheme="minorHAnsi" w:hAnsiTheme="minorHAnsi"/>
        </w:rPr>
        <w:t xml:space="preserve">Under the </w:t>
      </w:r>
      <w:r w:rsidRPr="004A132D">
        <w:rPr>
          <w:rFonts w:asciiTheme="minorHAnsi" w:hAnsiTheme="minorHAnsi"/>
          <w:i/>
        </w:rPr>
        <w:t>Improving Aboriginal Cultural Respect Across Tasmania's Health System Action Plan 2020-2026</w:t>
      </w:r>
      <w:r w:rsidRPr="004A132D">
        <w:rPr>
          <w:rFonts w:asciiTheme="minorHAnsi" w:hAnsiTheme="minorHAnsi"/>
        </w:rPr>
        <w:t xml:space="preserve">, the </w:t>
      </w:r>
      <w:r w:rsidR="00DD776F" w:rsidRPr="004A132D">
        <w:rPr>
          <w:rFonts w:asciiTheme="minorHAnsi" w:hAnsiTheme="minorHAnsi"/>
        </w:rPr>
        <w:t xml:space="preserve">TAS </w:t>
      </w:r>
      <w:r w:rsidRPr="004A132D">
        <w:rPr>
          <w:rFonts w:asciiTheme="minorHAnsi" w:hAnsiTheme="minorHAnsi"/>
        </w:rPr>
        <w:t xml:space="preserve">Government is </w:t>
      </w:r>
      <w:r w:rsidR="00152897" w:rsidRPr="004A132D">
        <w:rPr>
          <w:rFonts w:asciiTheme="minorHAnsi" w:hAnsiTheme="minorHAnsi"/>
        </w:rPr>
        <w:t xml:space="preserve">implementing a range of initiatives including </w:t>
      </w:r>
      <w:r w:rsidRPr="004A132D">
        <w:rPr>
          <w:rFonts w:asciiTheme="minorHAnsi" w:hAnsiTheme="minorHAnsi"/>
        </w:rPr>
        <w:t>increasing capacity of Aboriginal Health Liaison Officers and establishing an Aboriginal Health Worker traineeship pilot program.</w:t>
      </w:r>
    </w:p>
    <w:p w14:paraId="292F2134" w14:textId="77777777" w:rsidR="002A5FED" w:rsidRPr="004A132D" w:rsidRDefault="00991645" w:rsidP="00561D0E">
      <w:pPr>
        <w:pStyle w:val="Numbers"/>
        <w:numPr>
          <w:ilvl w:val="1"/>
          <w:numId w:val="1"/>
        </w:numPr>
        <w:rPr>
          <w:rFonts w:asciiTheme="minorHAnsi" w:hAnsiTheme="minorHAnsi"/>
        </w:rPr>
      </w:pPr>
      <w:r w:rsidRPr="004A132D">
        <w:rPr>
          <w:rFonts w:asciiTheme="minorHAnsi" w:hAnsiTheme="minorHAnsi"/>
        </w:rPr>
        <w:lastRenderedPageBreak/>
        <w:t>T</w:t>
      </w:r>
      <w:r w:rsidR="00253F91" w:rsidRPr="004A132D">
        <w:rPr>
          <w:rFonts w:asciiTheme="minorHAnsi" w:hAnsiTheme="minorHAnsi"/>
        </w:rPr>
        <w:t xml:space="preserve">he </w:t>
      </w:r>
      <w:r w:rsidR="00DD776F" w:rsidRPr="004A132D">
        <w:rPr>
          <w:rFonts w:asciiTheme="minorHAnsi" w:hAnsiTheme="minorHAnsi"/>
        </w:rPr>
        <w:t>WA</w:t>
      </w:r>
      <w:r w:rsidR="00253F91" w:rsidRPr="004A132D">
        <w:rPr>
          <w:rFonts w:asciiTheme="minorHAnsi" w:hAnsiTheme="minorHAnsi"/>
        </w:rPr>
        <w:t xml:space="preserve"> Government has established</w:t>
      </w:r>
      <w:r w:rsidRPr="004A132D">
        <w:rPr>
          <w:rFonts w:asciiTheme="minorHAnsi" w:hAnsiTheme="minorHAnsi"/>
        </w:rPr>
        <w:t xml:space="preserve"> d</w:t>
      </w:r>
      <w:r w:rsidR="00253F91" w:rsidRPr="004A132D">
        <w:rPr>
          <w:rFonts w:asciiTheme="minorHAnsi" w:hAnsiTheme="minorHAnsi"/>
        </w:rPr>
        <w:t>edicated Aboriginal health workforce officers across WA health service providers</w:t>
      </w:r>
      <w:r w:rsidRPr="004A132D">
        <w:rPr>
          <w:rFonts w:asciiTheme="minorHAnsi" w:hAnsiTheme="minorHAnsi"/>
        </w:rPr>
        <w:t>; t</w:t>
      </w:r>
      <w:r w:rsidR="00253F91" w:rsidRPr="004A132D">
        <w:rPr>
          <w:rFonts w:asciiTheme="minorHAnsi" w:hAnsiTheme="minorHAnsi"/>
        </w:rPr>
        <w:t>he Aboriginal Cadetship Program, which offers Aboriginal University students the opportunity to gain paid work experience in the WA health system</w:t>
      </w:r>
      <w:r w:rsidRPr="004A132D">
        <w:rPr>
          <w:rFonts w:asciiTheme="minorHAnsi" w:hAnsiTheme="minorHAnsi"/>
        </w:rPr>
        <w:t>; and t</w:t>
      </w:r>
      <w:r w:rsidR="00253F91" w:rsidRPr="004A132D">
        <w:rPr>
          <w:rFonts w:asciiTheme="minorHAnsi" w:hAnsiTheme="minorHAnsi"/>
        </w:rPr>
        <w:t>he WA Health Aboriginal Leadership Excellence and Development Program, which prepares talented Aboriginal leaders in the WA health system for senior management and executive positions.</w:t>
      </w:r>
    </w:p>
    <w:p w14:paraId="1019A375" w14:textId="72B640E0" w:rsidR="00152897" w:rsidRPr="004A132D" w:rsidRDefault="00152897" w:rsidP="00152897">
      <w:pPr>
        <w:pStyle w:val="Heading2"/>
      </w:pPr>
      <w:bookmarkStart w:id="160" w:name="_Toc174011733"/>
      <w:bookmarkStart w:id="161" w:name="_Toc175556830"/>
      <w:r w:rsidRPr="004A132D">
        <w:t>Question 19d: National strategic framework for the mental health and social and emotional well-being of Aboriginal and Torres Strait Islander peoples</w:t>
      </w:r>
      <w:r w:rsidR="00E11230" w:rsidRPr="004A132D">
        <w:t xml:space="preserve"> including steps taken to address intergenerational trauma</w:t>
      </w:r>
      <w:r w:rsidRPr="004A132D">
        <w:t xml:space="preserve"> </w:t>
      </w:r>
      <w:r w:rsidR="00E11230" w:rsidRPr="004A132D">
        <w:t>in culturally appropriate ways.</w:t>
      </w:r>
      <w:bookmarkEnd w:id="160"/>
      <w:bookmarkEnd w:id="161"/>
    </w:p>
    <w:p w14:paraId="42A071A2" w14:textId="77777777" w:rsidR="00991645" w:rsidRPr="004A132D" w:rsidRDefault="00991645" w:rsidP="00724F8F">
      <w:pPr>
        <w:pStyle w:val="Numbers"/>
        <w:ind w:left="1418"/>
        <w:rPr>
          <w:rFonts w:asciiTheme="minorHAnsi" w:hAnsiTheme="minorHAnsi"/>
        </w:rPr>
      </w:pPr>
      <w:r w:rsidRPr="004A132D">
        <w:rPr>
          <w:rFonts w:asciiTheme="minorHAnsi" w:hAnsiTheme="minorHAnsi"/>
        </w:rPr>
        <w:t>The Australian Government is committed to and actively participates in the Social and Emotio</w:t>
      </w:r>
      <w:r w:rsidR="00152897" w:rsidRPr="004A132D">
        <w:rPr>
          <w:rFonts w:asciiTheme="minorHAnsi" w:hAnsiTheme="minorHAnsi"/>
        </w:rPr>
        <w:t xml:space="preserve">nal Wellbeing </w:t>
      </w:r>
      <w:r w:rsidRPr="004A132D">
        <w:rPr>
          <w:rFonts w:asciiTheme="minorHAnsi" w:hAnsiTheme="minorHAnsi"/>
        </w:rPr>
        <w:t xml:space="preserve">Policy Partnership </w:t>
      </w:r>
      <w:r w:rsidR="00B30579" w:rsidRPr="004A132D">
        <w:rPr>
          <w:rFonts w:asciiTheme="minorHAnsi" w:hAnsiTheme="minorHAnsi"/>
        </w:rPr>
        <w:t>which aims to improve social and emotional wellbeing and mental health and reduce suicide rates in Aboriginal and Torres Strait Islander communities.</w:t>
      </w:r>
      <w:r w:rsidRPr="004A132D">
        <w:rPr>
          <w:rFonts w:asciiTheme="minorHAnsi" w:hAnsiTheme="minorHAnsi"/>
        </w:rPr>
        <w:t xml:space="preserve"> </w:t>
      </w:r>
    </w:p>
    <w:p w14:paraId="20341B30" w14:textId="77339B7E" w:rsidR="00274C22" w:rsidRPr="004A132D" w:rsidRDefault="00627EC1" w:rsidP="00724F8F">
      <w:pPr>
        <w:pStyle w:val="Numbers"/>
        <w:ind w:left="1418"/>
        <w:rPr>
          <w:rFonts w:asciiTheme="minorHAnsi" w:hAnsiTheme="minorHAnsi"/>
        </w:rPr>
      </w:pPr>
      <w:r w:rsidRPr="004A132D">
        <w:rPr>
          <w:rFonts w:asciiTheme="minorHAnsi" w:hAnsiTheme="minorHAnsi"/>
        </w:rPr>
        <w:t>On 3 August 2023</w:t>
      </w:r>
      <w:r w:rsidR="00152897" w:rsidRPr="004A132D">
        <w:rPr>
          <w:rFonts w:asciiTheme="minorHAnsi" w:hAnsiTheme="minorHAnsi"/>
        </w:rPr>
        <w:t>,</w:t>
      </w:r>
      <w:r w:rsidRPr="004A132D">
        <w:rPr>
          <w:rFonts w:asciiTheme="minorHAnsi" w:hAnsiTheme="minorHAnsi"/>
        </w:rPr>
        <w:t xml:space="preserve"> the Social and Emotional Wellbeing Policy Partnership agreed to establish a small working group of members to progress the refresh of the </w:t>
      </w:r>
      <w:r w:rsidRPr="004A132D">
        <w:rPr>
          <w:rFonts w:asciiTheme="minorHAnsi" w:hAnsiTheme="minorHAnsi"/>
          <w:i/>
        </w:rPr>
        <w:t>National Strategic Framework for Aboriginal and Torres Strait Islander Peoples’ Mental Health and Social and Emotional Wellbeing 2017-2023</w:t>
      </w:r>
      <w:r w:rsidRPr="004A132D">
        <w:rPr>
          <w:rFonts w:asciiTheme="minorHAnsi" w:hAnsiTheme="minorHAnsi"/>
        </w:rPr>
        <w:t xml:space="preserve">. </w:t>
      </w:r>
      <w:r w:rsidR="00274C22" w:rsidRPr="004A132D">
        <w:rPr>
          <w:rFonts w:asciiTheme="minorHAnsi" w:hAnsiTheme="minorHAnsi"/>
        </w:rPr>
        <w:t xml:space="preserve">The Australian Government </w:t>
      </w:r>
      <w:r w:rsidR="0082181D" w:rsidRPr="004A132D">
        <w:rPr>
          <w:rFonts w:asciiTheme="minorHAnsi" w:hAnsiTheme="minorHAnsi"/>
        </w:rPr>
        <w:t>contributed</w:t>
      </w:r>
      <w:r w:rsidR="00A2108B" w:rsidRPr="004A132D">
        <w:rPr>
          <w:rFonts w:asciiTheme="minorHAnsi" w:hAnsiTheme="minorHAnsi"/>
        </w:rPr>
        <w:t xml:space="preserve"> </w:t>
      </w:r>
      <w:r w:rsidR="00274C22" w:rsidRPr="004A132D">
        <w:rPr>
          <w:rFonts w:asciiTheme="minorHAnsi" w:hAnsiTheme="minorHAnsi"/>
        </w:rPr>
        <w:t xml:space="preserve">funding to support the refresh and implementation planning process. </w:t>
      </w:r>
    </w:p>
    <w:p w14:paraId="4AA6EEDA" w14:textId="4F5BB441" w:rsidR="00227934" w:rsidRPr="004A132D" w:rsidRDefault="00227934" w:rsidP="00724F8F">
      <w:pPr>
        <w:pStyle w:val="Numbers"/>
        <w:ind w:left="1418"/>
        <w:rPr>
          <w:rFonts w:asciiTheme="minorHAnsi" w:hAnsiTheme="minorHAnsi"/>
        </w:rPr>
      </w:pPr>
      <w:r w:rsidRPr="004A132D">
        <w:rPr>
          <w:rFonts w:asciiTheme="minorHAnsi" w:hAnsiTheme="minorHAnsi"/>
        </w:rPr>
        <w:t xml:space="preserve">The </w:t>
      </w:r>
      <w:r w:rsidR="00B87A35" w:rsidRPr="004A132D">
        <w:rPr>
          <w:rFonts w:asciiTheme="minorHAnsi" w:hAnsiTheme="minorHAnsi"/>
        </w:rPr>
        <w:t xml:space="preserve">National Plan to </w:t>
      </w:r>
      <w:r w:rsidR="00F73767" w:rsidRPr="004A132D">
        <w:rPr>
          <w:rFonts w:asciiTheme="minorHAnsi" w:hAnsiTheme="minorHAnsi"/>
        </w:rPr>
        <w:t>E</w:t>
      </w:r>
      <w:r w:rsidR="00B87A35" w:rsidRPr="004A132D">
        <w:rPr>
          <w:rFonts w:asciiTheme="minorHAnsi" w:hAnsiTheme="minorHAnsi"/>
        </w:rPr>
        <w:t xml:space="preserve">nd </w:t>
      </w:r>
      <w:r w:rsidR="00F73767" w:rsidRPr="004A132D">
        <w:rPr>
          <w:rFonts w:asciiTheme="minorHAnsi" w:hAnsiTheme="minorHAnsi"/>
        </w:rPr>
        <w:t>V</w:t>
      </w:r>
      <w:r w:rsidR="00B87A35" w:rsidRPr="004A132D">
        <w:rPr>
          <w:rFonts w:asciiTheme="minorHAnsi" w:hAnsiTheme="minorHAnsi"/>
        </w:rPr>
        <w:t xml:space="preserve">iolence against Women </w:t>
      </w:r>
      <w:r w:rsidRPr="004A132D">
        <w:rPr>
          <w:rFonts w:asciiTheme="minorHAnsi" w:hAnsiTheme="minorHAnsi"/>
        </w:rPr>
        <w:t xml:space="preserve">and associated Aboriginal and Torres Strait Islander Action Plan recognises the ongoing impacts of colonisation on Aboriginal and Torres Strait Islander peoples, including intergenerational trauma. The </w:t>
      </w:r>
      <w:r w:rsidR="008F5155" w:rsidRPr="004A132D">
        <w:rPr>
          <w:rFonts w:asciiTheme="minorHAnsi" w:hAnsiTheme="minorHAnsi"/>
        </w:rPr>
        <w:t xml:space="preserve">Aboriginal and Torres Strait Islander </w:t>
      </w:r>
      <w:r w:rsidR="009000F1" w:rsidRPr="004A132D">
        <w:rPr>
          <w:rFonts w:asciiTheme="minorHAnsi" w:hAnsiTheme="minorHAnsi"/>
        </w:rPr>
        <w:t>Action Plan’s second reform area</w:t>
      </w:r>
      <w:r w:rsidRPr="004A132D">
        <w:rPr>
          <w:rFonts w:asciiTheme="minorHAnsi" w:hAnsiTheme="minorHAnsi"/>
        </w:rPr>
        <w:t xml:space="preserve"> </w:t>
      </w:r>
      <w:r w:rsidR="009000F1" w:rsidRPr="004A132D">
        <w:rPr>
          <w:rFonts w:asciiTheme="minorHAnsi" w:hAnsiTheme="minorHAnsi"/>
        </w:rPr>
        <w:t>is</w:t>
      </w:r>
      <w:r w:rsidRPr="004A132D">
        <w:rPr>
          <w:rFonts w:asciiTheme="minorHAnsi" w:hAnsiTheme="minorHAnsi"/>
        </w:rPr>
        <w:t xml:space="preserve"> ‘Strength, resilience and therapeutic healing’, which aims for:</w:t>
      </w:r>
    </w:p>
    <w:p w14:paraId="012605FA" w14:textId="77777777" w:rsidR="00227934" w:rsidRPr="004A132D" w:rsidRDefault="00227934" w:rsidP="00561D0E">
      <w:pPr>
        <w:pStyle w:val="Numbers"/>
        <w:numPr>
          <w:ilvl w:val="1"/>
          <w:numId w:val="1"/>
        </w:numPr>
        <w:rPr>
          <w:rFonts w:asciiTheme="minorHAnsi" w:hAnsiTheme="minorHAnsi"/>
          <w:lang w:val="en-NZ"/>
        </w:rPr>
      </w:pPr>
      <w:r w:rsidRPr="004A132D">
        <w:rPr>
          <w:rFonts w:asciiTheme="minorHAnsi" w:hAnsiTheme="minorHAnsi"/>
          <w:lang w:val="en-NZ"/>
        </w:rPr>
        <w:t>p</w:t>
      </w:r>
      <w:r w:rsidRPr="004A132D">
        <w:rPr>
          <w:rFonts w:asciiTheme="minorHAnsi" w:hAnsiTheme="minorHAnsi"/>
        </w:rPr>
        <w:t>rimary prevention, early intervention, response and recovery services to be trauma-informed, healing-focused, culturally safe, p</w:t>
      </w:r>
      <w:r w:rsidR="009000F1" w:rsidRPr="004A132D">
        <w:rPr>
          <w:rFonts w:asciiTheme="minorHAnsi" w:hAnsiTheme="minorHAnsi"/>
        </w:rPr>
        <w:t>lace-based and kinship centred;</w:t>
      </w:r>
    </w:p>
    <w:p w14:paraId="2AC00710" w14:textId="77777777" w:rsidR="00227934" w:rsidRPr="004A132D" w:rsidRDefault="009000F1" w:rsidP="00561D0E">
      <w:pPr>
        <w:pStyle w:val="Numbers"/>
        <w:numPr>
          <w:ilvl w:val="1"/>
          <w:numId w:val="1"/>
        </w:numPr>
        <w:rPr>
          <w:rFonts w:asciiTheme="minorHAnsi" w:hAnsiTheme="minorHAnsi"/>
          <w:lang w:val="en-NZ"/>
        </w:rPr>
      </w:pPr>
      <w:r w:rsidRPr="004A132D">
        <w:rPr>
          <w:rFonts w:asciiTheme="minorHAnsi" w:hAnsiTheme="minorHAnsi"/>
        </w:rPr>
        <w:t>c</w:t>
      </w:r>
      <w:r w:rsidR="00227934" w:rsidRPr="004A132D">
        <w:rPr>
          <w:rFonts w:asciiTheme="minorHAnsi" w:hAnsiTheme="minorHAnsi"/>
        </w:rPr>
        <w:t>ultural knowledge and practices to be developed by and for Aboriginal and Torres Strait Islander peoples to address the impacts of intergeneratio</w:t>
      </w:r>
      <w:r w:rsidRPr="004A132D">
        <w:rPr>
          <w:rFonts w:asciiTheme="minorHAnsi" w:hAnsiTheme="minorHAnsi"/>
        </w:rPr>
        <w:t>nal trauma; and</w:t>
      </w:r>
    </w:p>
    <w:p w14:paraId="23DBAFFB" w14:textId="77777777" w:rsidR="00227934" w:rsidRPr="004A132D" w:rsidRDefault="009000F1" w:rsidP="00561D0E">
      <w:pPr>
        <w:pStyle w:val="Numbers"/>
        <w:numPr>
          <w:ilvl w:val="1"/>
          <w:numId w:val="1"/>
        </w:numPr>
        <w:rPr>
          <w:rFonts w:asciiTheme="minorHAnsi" w:hAnsiTheme="minorHAnsi"/>
          <w:lang w:val="en-NZ"/>
        </w:rPr>
      </w:pPr>
      <w:r w:rsidRPr="004A132D">
        <w:rPr>
          <w:rFonts w:asciiTheme="minorHAnsi" w:hAnsiTheme="minorHAnsi"/>
        </w:rPr>
        <w:lastRenderedPageBreak/>
        <w:t>h</w:t>
      </w:r>
      <w:r w:rsidR="00227934" w:rsidRPr="004A132D">
        <w:rPr>
          <w:rFonts w:asciiTheme="minorHAnsi" w:hAnsiTheme="minorHAnsi"/>
        </w:rPr>
        <w:t>ealth and wellbeing to be prioritised.</w:t>
      </w:r>
    </w:p>
    <w:p w14:paraId="3DFAF3E2" w14:textId="77777777" w:rsidR="00066BB3" w:rsidRPr="004A132D" w:rsidRDefault="00520CB6" w:rsidP="00724F8F">
      <w:pPr>
        <w:pStyle w:val="Numbers"/>
        <w:ind w:left="1418"/>
        <w:rPr>
          <w:rFonts w:asciiTheme="minorHAnsi" w:hAnsiTheme="minorHAnsi"/>
        </w:rPr>
      </w:pPr>
      <w:r w:rsidRPr="004A132D">
        <w:rPr>
          <w:rFonts w:asciiTheme="minorHAnsi" w:hAnsiTheme="minorHAnsi"/>
        </w:rPr>
        <w:t xml:space="preserve">The Australian Government </w:t>
      </w:r>
      <w:r w:rsidR="00CF21C1" w:rsidRPr="004A132D">
        <w:rPr>
          <w:rFonts w:asciiTheme="minorHAnsi" w:hAnsiTheme="minorHAnsi"/>
        </w:rPr>
        <w:t xml:space="preserve">is committed to Closing the Gap, and funds a range of programs in genuine partnership with communities to provide crucial opportunities for trauma recovery. This includes the </w:t>
      </w:r>
      <w:r w:rsidR="00CF21C1" w:rsidRPr="004A132D">
        <w:rPr>
          <w:rFonts w:asciiTheme="minorHAnsi" w:hAnsiTheme="minorHAnsi"/>
          <w:i/>
          <w:iCs/>
        </w:rPr>
        <w:t>Healing for Families</w:t>
      </w:r>
      <w:r w:rsidR="00CF21C1" w:rsidRPr="004A132D">
        <w:rPr>
          <w:rFonts w:asciiTheme="minorHAnsi" w:hAnsiTheme="minorHAnsi"/>
        </w:rPr>
        <w:t> program which delivers culturally-based and trauma-informed healing support such as counselling and therapy, financial support and advice. This program recognises the crucial role First Nations women play in ensuring the strength and wellbeing of their families and communities, while working to address the disproportionately high rates of violence they experience.</w:t>
      </w:r>
    </w:p>
    <w:p w14:paraId="5F6AF011" w14:textId="77777777" w:rsidR="00EE6E07" w:rsidRPr="005F6B4E" w:rsidRDefault="00D846A0" w:rsidP="005F6B4E">
      <w:pPr>
        <w:pStyle w:val="Heading1"/>
      </w:pPr>
      <w:bookmarkStart w:id="162" w:name="_Toc174011734"/>
      <w:bookmarkStart w:id="163" w:name="_Toc175556831"/>
      <w:r w:rsidRPr="005F6B4E">
        <w:t xml:space="preserve">Question 20: </w:t>
      </w:r>
      <w:r w:rsidR="006E05FD" w:rsidRPr="005F6B4E">
        <w:t xml:space="preserve">Social and </w:t>
      </w:r>
      <w:r w:rsidR="00E13A48" w:rsidRPr="005F6B4E">
        <w:t>e</w:t>
      </w:r>
      <w:r w:rsidR="006E05FD" w:rsidRPr="005F6B4E">
        <w:t>conomic benefits</w:t>
      </w:r>
      <w:bookmarkEnd w:id="162"/>
      <w:bookmarkEnd w:id="163"/>
      <w:r w:rsidR="006E05FD" w:rsidRPr="005F6B4E">
        <w:t xml:space="preserve"> </w:t>
      </w:r>
    </w:p>
    <w:p w14:paraId="24889EEF" w14:textId="77777777" w:rsidR="00660577" w:rsidRPr="004A132D" w:rsidRDefault="00D846A0" w:rsidP="00D846A0">
      <w:pPr>
        <w:pStyle w:val="Heading2"/>
      </w:pPr>
      <w:bookmarkStart w:id="164" w:name="_Toc174011735"/>
      <w:bookmarkStart w:id="165" w:name="_Toc175556832"/>
      <w:r w:rsidRPr="004A132D">
        <w:t xml:space="preserve">Question 20a: </w:t>
      </w:r>
      <w:r w:rsidR="00BA1E72" w:rsidRPr="004A132D">
        <w:t>Ensuring an a</w:t>
      </w:r>
      <w:r w:rsidR="00660577" w:rsidRPr="004A132D">
        <w:t>dequate standard of living</w:t>
      </w:r>
      <w:bookmarkEnd w:id="164"/>
      <w:bookmarkEnd w:id="165"/>
    </w:p>
    <w:p w14:paraId="2845F9BD" w14:textId="71877721" w:rsidR="00BA1E72" w:rsidRPr="004A132D" w:rsidRDefault="00BA1E72" w:rsidP="00532B5F">
      <w:pPr>
        <w:pStyle w:val="Numbers"/>
        <w:tabs>
          <w:tab w:val="clear" w:pos="2835"/>
        </w:tabs>
        <w:ind w:left="1418"/>
        <w:rPr>
          <w:rFonts w:asciiTheme="minorHAnsi" w:hAnsiTheme="minorHAnsi"/>
        </w:rPr>
      </w:pPr>
      <w:r w:rsidRPr="004A132D">
        <w:rPr>
          <w:rFonts w:asciiTheme="minorHAnsi" w:hAnsiTheme="minorHAnsi"/>
        </w:rPr>
        <w:t>The Australian social security system is a taxpayer-funded, non</w:t>
      </w:r>
      <w:r w:rsidR="000D138D" w:rsidRPr="004A132D">
        <w:rPr>
          <w:rFonts w:asciiTheme="minorHAnsi" w:hAnsiTheme="minorHAnsi"/>
        </w:rPr>
        <w:noBreakHyphen/>
      </w:r>
      <w:r w:rsidRPr="004A132D">
        <w:rPr>
          <w:rFonts w:asciiTheme="minorHAnsi" w:hAnsiTheme="minorHAnsi"/>
        </w:rPr>
        <w:t xml:space="preserve">contributory system </w:t>
      </w:r>
      <w:r w:rsidR="0020696F" w:rsidRPr="004A132D">
        <w:rPr>
          <w:rFonts w:asciiTheme="minorHAnsi" w:hAnsiTheme="minorHAnsi"/>
        </w:rPr>
        <w:t>that</w:t>
      </w:r>
      <w:r w:rsidRPr="004A132D">
        <w:rPr>
          <w:rFonts w:asciiTheme="minorHAnsi" w:hAnsiTheme="minorHAnsi"/>
        </w:rPr>
        <w:t xml:space="preserve"> aims to support the basic living standards of all Australians and their social and economic participation. </w:t>
      </w:r>
    </w:p>
    <w:p w14:paraId="1F8A8301" w14:textId="77777777" w:rsidR="00BA1E72" w:rsidRPr="004A132D" w:rsidRDefault="00BA1E72" w:rsidP="00532B5F">
      <w:pPr>
        <w:pStyle w:val="Numbers"/>
        <w:tabs>
          <w:tab w:val="clear" w:pos="2835"/>
        </w:tabs>
        <w:ind w:left="1418"/>
        <w:rPr>
          <w:rFonts w:asciiTheme="minorHAnsi" w:hAnsiTheme="minorHAnsi"/>
        </w:rPr>
      </w:pPr>
      <w:r w:rsidRPr="004A132D">
        <w:rPr>
          <w:rFonts w:asciiTheme="minorHAnsi" w:hAnsiTheme="minorHAnsi"/>
        </w:rPr>
        <w:t xml:space="preserve">Income support payments, such as </w:t>
      </w:r>
      <w:r w:rsidR="00462AE3" w:rsidRPr="004A132D">
        <w:rPr>
          <w:rFonts w:asciiTheme="minorHAnsi" w:hAnsiTheme="minorHAnsi"/>
        </w:rPr>
        <w:t xml:space="preserve">the </w:t>
      </w:r>
      <w:r w:rsidRPr="004A132D">
        <w:rPr>
          <w:rFonts w:asciiTheme="minorHAnsi" w:hAnsiTheme="minorHAnsi"/>
        </w:rPr>
        <w:t>JobSeeker Payment, support Australians who are unable to support themselves while they look for a job or have a temporary injury or incapacity. Those who receive an income support payment are eligible for at least one additional supplementary payment</w:t>
      </w:r>
      <w:r w:rsidR="00462AE3" w:rsidRPr="004A132D">
        <w:rPr>
          <w:rFonts w:asciiTheme="minorHAnsi" w:hAnsiTheme="minorHAnsi"/>
        </w:rPr>
        <w:t>,</w:t>
      </w:r>
      <w:r w:rsidRPr="004A132D">
        <w:rPr>
          <w:rFonts w:asciiTheme="minorHAnsi" w:hAnsiTheme="minorHAnsi"/>
        </w:rPr>
        <w:t xml:space="preserve"> which could include the Energy Supplement, Family Tax Benefit or Rent Assistance.</w:t>
      </w:r>
      <w:r w:rsidR="001A3D47" w:rsidRPr="004A132D">
        <w:rPr>
          <w:rFonts w:asciiTheme="minorHAnsi" w:hAnsiTheme="minorHAnsi"/>
        </w:rPr>
        <w:t xml:space="preserve"> </w:t>
      </w:r>
      <w:r w:rsidR="00867366" w:rsidRPr="004A132D">
        <w:rPr>
          <w:rFonts w:asciiTheme="minorHAnsi" w:hAnsiTheme="minorHAnsi"/>
        </w:rPr>
        <w:t>Family Tax Benefit is also available to Australians who do not receive an income support payment if their income is below certain thresholds.</w:t>
      </w:r>
    </w:p>
    <w:p w14:paraId="1FD091CF" w14:textId="77777777" w:rsidR="00567B31" w:rsidRPr="004A132D" w:rsidRDefault="00BA1E72" w:rsidP="00532B5F">
      <w:pPr>
        <w:pStyle w:val="Numbers"/>
        <w:tabs>
          <w:tab w:val="clear" w:pos="2835"/>
        </w:tabs>
        <w:ind w:left="1418"/>
        <w:rPr>
          <w:rFonts w:asciiTheme="minorHAnsi" w:hAnsiTheme="minorHAnsi"/>
          <w:lang w:val="en-NZ"/>
        </w:rPr>
      </w:pPr>
      <w:r w:rsidRPr="004A132D">
        <w:rPr>
          <w:rFonts w:asciiTheme="minorHAnsi" w:hAnsiTheme="minorHAnsi"/>
        </w:rPr>
        <w:t xml:space="preserve">In recognition of the costs associated with raising a family, a higher basic rate of JobSeeker Payment is payable to recipients with dependent children. The Parenting Payment also provides financial assistance to principal carers with parenting responsibilities for a young child. </w:t>
      </w:r>
    </w:p>
    <w:p w14:paraId="1F7680E0" w14:textId="04D58352" w:rsidR="00567B31" w:rsidRPr="004A132D" w:rsidRDefault="00567B31" w:rsidP="00532B5F">
      <w:pPr>
        <w:pStyle w:val="Numbers"/>
        <w:tabs>
          <w:tab w:val="clear" w:pos="2835"/>
        </w:tabs>
        <w:ind w:left="1418"/>
        <w:rPr>
          <w:rFonts w:asciiTheme="minorHAnsi" w:hAnsiTheme="minorHAnsi"/>
          <w:lang w:val="en-NZ"/>
        </w:rPr>
      </w:pPr>
      <w:r w:rsidRPr="004A132D">
        <w:rPr>
          <w:rFonts w:asciiTheme="minorHAnsi" w:hAnsiTheme="minorHAnsi"/>
        </w:rPr>
        <w:t xml:space="preserve">Single principal carers on </w:t>
      </w:r>
      <w:r w:rsidR="00D83882" w:rsidRPr="004A132D">
        <w:rPr>
          <w:rFonts w:asciiTheme="minorHAnsi" w:hAnsiTheme="minorHAnsi"/>
        </w:rPr>
        <w:t xml:space="preserve">the </w:t>
      </w:r>
      <w:r w:rsidRPr="004A132D">
        <w:rPr>
          <w:rFonts w:asciiTheme="minorHAnsi" w:hAnsiTheme="minorHAnsi"/>
        </w:rPr>
        <w:t xml:space="preserve">Parenting Payment receive a higher basic </w:t>
      </w:r>
      <w:r w:rsidR="008C1CB7">
        <w:rPr>
          <w:rFonts w:asciiTheme="minorHAnsi" w:hAnsiTheme="minorHAnsi"/>
        </w:rPr>
        <w:t xml:space="preserve">payment </w:t>
      </w:r>
      <w:r w:rsidRPr="004A132D">
        <w:rPr>
          <w:rFonts w:asciiTheme="minorHAnsi" w:hAnsiTheme="minorHAnsi"/>
        </w:rPr>
        <w:t xml:space="preserve">rate compared to partnered carers. </w:t>
      </w:r>
      <w:r w:rsidRPr="004A132D">
        <w:rPr>
          <w:rFonts w:asciiTheme="minorHAnsi" w:hAnsiTheme="minorHAnsi"/>
          <w:lang w:val="en-NZ"/>
        </w:rPr>
        <w:t xml:space="preserve">Reforms </w:t>
      </w:r>
      <w:r w:rsidR="008C1CB7">
        <w:rPr>
          <w:rFonts w:asciiTheme="minorHAnsi" w:hAnsiTheme="minorHAnsi"/>
          <w:lang w:val="en-NZ"/>
        </w:rPr>
        <w:t>in</w:t>
      </w:r>
      <w:r w:rsidRPr="004A132D">
        <w:rPr>
          <w:rFonts w:asciiTheme="minorHAnsi" w:hAnsiTheme="minorHAnsi"/>
          <w:lang w:val="en-NZ"/>
        </w:rPr>
        <w:t xml:space="preserve"> the 2023-24 Budget allow single principal carers to receive a higher amount through the Parenting Payment (Single) until their youngest child turns 14 (up from age 8). </w:t>
      </w:r>
      <w:r w:rsidR="00701F0D" w:rsidRPr="004A132D">
        <w:rPr>
          <w:rFonts w:asciiTheme="minorHAnsi" w:hAnsiTheme="minorHAnsi"/>
          <w:lang w:val="en-NZ"/>
        </w:rPr>
        <w:t xml:space="preserve">As of 31 May 2024, this measure </w:t>
      </w:r>
      <w:r w:rsidR="008C1CB7">
        <w:rPr>
          <w:rFonts w:asciiTheme="minorHAnsi" w:hAnsiTheme="minorHAnsi"/>
          <w:lang w:val="en-NZ"/>
        </w:rPr>
        <w:lastRenderedPageBreak/>
        <w:t>had benefited</w:t>
      </w:r>
      <w:r w:rsidRPr="004A132D">
        <w:rPr>
          <w:rFonts w:asciiTheme="minorHAnsi" w:hAnsiTheme="minorHAnsi"/>
          <w:lang w:val="en-NZ"/>
        </w:rPr>
        <w:t xml:space="preserve"> around </w:t>
      </w:r>
      <w:r w:rsidR="00E7388C" w:rsidRPr="004A132D">
        <w:rPr>
          <w:rFonts w:asciiTheme="minorHAnsi" w:hAnsiTheme="minorHAnsi"/>
          <w:lang w:val="en-NZ"/>
        </w:rPr>
        <w:t>79,500</w:t>
      </w:r>
      <w:r w:rsidRPr="004A132D">
        <w:rPr>
          <w:rFonts w:asciiTheme="minorHAnsi" w:hAnsiTheme="minorHAnsi"/>
          <w:lang w:val="en-NZ"/>
        </w:rPr>
        <w:t xml:space="preserve"> women </w:t>
      </w:r>
      <w:r w:rsidR="00F94C7F" w:rsidRPr="004A132D">
        <w:rPr>
          <w:rFonts w:asciiTheme="minorHAnsi" w:hAnsiTheme="minorHAnsi"/>
          <w:lang w:val="en-NZ"/>
        </w:rPr>
        <w:t>(who head</w:t>
      </w:r>
      <w:r w:rsidR="0049006B" w:rsidRPr="004A132D">
        <w:rPr>
          <w:rFonts w:asciiTheme="minorHAnsi" w:hAnsiTheme="minorHAnsi"/>
          <w:lang w:val="en-NZ"/>
        </w:rPr>
        <w:t xml:space="preserve"> </w:t>
      </w:r>
      <w:r w:rsidR="008C1CB7">
        <w:rPr>
          <w:rFonts w:asciiTheme="minorHAnsi" w:hAnsiTheme="minorHAnsi"/>
          <w:lang w:val="en-NZ"/>
        </w:rPr>
        <w:t>an</w:t>
      </w:r>
      <w:r w:rsidR="0049006B" w:rsidRPr="004A132D">
        <w:rPr>
          <w:rFonts w:asciiTheme="minorHAnsi" w:hAnsiTheme="minorHAnsi"/>
          <w:lang w:val="en-NZ"/>
        </w:rPr>
        <w:t xml:space="preserve"> overwhelming majority of single-headed households) </w:t>
      </w:r>
      <w:r w:rsidRPr="004A132D">
        <w:rPr>
          <w:rFonts w:asciiTheme="minorHAnsi" w:hAnsiTheme="minorHAnsi"/>
          <w:lang w:val="en-NZ"/>
        </w:rPr>
        <w:t xml:space="preserve">and </w:t>
      </w:r>
      <w:r w:rsidR="0022399B" w:rsidRPr="004A132D">
        <w:rPr>
          <w:rFonts w:asciiTheme="minorHAnsi" w:hAnsiTheme="minorHAnsi"/>
          <w:lang w:val="en-NZ"/>
        </w:rPr>
        <w:t>10,075</w:t>
      </w:r>
      <w:r w:rsidRPr="004A132D">
        <w:rPr>
          <w:rFonts w:asciiTheme="minorHAnsi" w:hAnsiTheme="minorHAnsi"/>
          <w:lang w:val="en-NZ"/>
        </w:rPr>
        <w:t xml:space="preserve"> First Nations carers.</w:t>
      </w:r>
    </w:p>
    <w:p w14:paraId="203AE094" w14:textId="38531C98" w:rsidR="00567B31" w:rsidRPr="004A132D" w:rsidRDefault="00D83882" w:rsidP="00532B5F">
      <w:pPr>
        <w:pStyle w:val="Numbers"/>
        <w:tabs>
          <w:tab w:val="clear" w:pos="2835"/>
        </w:tabs>
        <w:ind w:left="1418"/>
        <w:rPr>
          <w:rFonts w:asciiTheme="minorHAnsi" w:hAnsiTheme="minorHAnsi"/>
        </w:rPr>
      </w:pPr>
      <w:r w:rsidRPr="004A132D">
        <w:rPr>
          <w:rFonts w:asciiTheme="minorHAnsi" w:hAnsiTheme="minorHAnsi"/>
        </w:rPr>
        <w:t>In 202</w:t>
      </w:r>
      <w:r w:rsidR="00B768E9" w:rsidRPr="004A132D">
        <w:rPr>
          <w:rFonts w:asciiTheme="minorHAnsi" w:hAnsiTheme="minorHAnsi"/>
        </w:rPr>
        <w:t>2</w:t>
      </w:r>
      <w:r w:rsidRPr="004A132D">
        <w:rPr>
          <w:rFonts w:asciiTheme="minorHAnsi" w:hAnsiTheme="minorHAnsi"/>
        </w:rPr>
        <w:t>, t</w:t>
      </w:r>
      <w:r w:rsidR="00BE2422" w:rsidRPr="004A132D">
        <w:rPr>
          <w:rFonts w:asciiTheme="minorHAnsi" w:hAnsiTheme="minorHAnsi"/>
        </w:rPr>
        <w:t>h</w:t>
      </w:r>
      <w:r w:rsidR="00BA1E72" w:rsidRPr="004A132D">
        <w:rPr>
          <w:rFonts w:asciiTheme="minorHAnsi" w:hAnsiTheme="minorHAnsi"/>
        </w:rPr>
        <w:t xml:space="preserve">e </w:t>
      </w:r>
      <w:r w:rsidR="00BE2422" w:rsidRPr="004A132D">
        <w:rPr>
          <w:rFonts w:asciiTheme="minorHAnsi" w:hAnsiTheme="minorHAnsi"/>
        </w:rPr>
        <w:t xml:space="preserve">Australian </w:t>
      </w:r>
      <w:r w:rsidR="00BA1E72" w:rsidRPr="004A132D">
        <w:rPr>
          <w:rFonts w:asciiTheme="minorHAnsi" w:hAnsiTheme="minorHAnsi"/>
        </w:rPr>
        <w:t xml:space="preserve">Government </w:t>
      </w:r>
      <w:r w:rsidR="00BE2422" w:rsidRPr="004A132D">
        <w:rPr>
          <w:rFonts w:asciiTheme="minorHAnsi" w:hAnsiTheme="minorHAnsi"/>
        </w:rPr>
        <w:t>established</w:t>
      </w:r>
      <w:r w:rsidR="00BA1E72" w:rsidRPr="004A132D">
        <w:rPr>
          <w:rFonts w:asciiTheme="minorHAnsi" w:hAnsiTheme="minorHAnsi"/>
        </w:rPr>
        <w:t xml:space="preserve"> the Economic Inclusion Advisory Committee to provide advice to Government on economic inclusion and the adequacy, effectiveness and sustainability of income support payments ahead of every F</w:t>
      </w:r>
      <w:r w:rsidR="00BE2422" w:rsidRPr="004A132D">
        <w:rPr>
          <w:rFonts w:asciiTheme="minorHAnsi" w:hAnsiTheme="minorHAnsi"/>
        </w:rPr>
        <w:t>ederal Budget. The Committee</w:t>
      </w:r>
      <w:r w:rsidR="000327E3" w:rsidRPr="004A132D">
        <w:rPr>
          <w:rFonts w:asciiTheme="minorHAnsi" w:hAnsiTheme="minorHAnsi"/>
        </w:rPr>
        <w:t>’s role explore</w:t>
      </w:r>
      <w:r w:rsidR="008C1CB7">
        <w:rPr>
          <w:rFonts w:asciiTheme="minorHAnsi" w:hAnsiTheme="minorHAnsi"/>
        </w:rPr>
        <w:t>s</w:t>
      </w:r>
      <w:r w:rsidR="000327E3" w:rsidRPr="004A132D">
        <w:rPr>
          <w:rFonts w:asciiTheme="minorHAnsi" w:hAnsiTheme="minorHAnsi"/>
        </w:rPr>
        <w:t xml:space="preserve"> </w:t>
      </w:r>
      <w:r w:rsidR="00A42843" w:rsidRPr="004A132D">
        <w:rPr>
          <w:rFonts w:asciiTheme="minorHAnsi" w:hAnsiTheme="minorHAnsi"/>
        </w:rPr>
        <w:t>options to</w:t>
      </w:r>
      <w:r w:rsidR="00BA1E72" w:rsidRPr="004A132D">
        <w:rPr>
          <w:rFonts w:asciiTheme="minorHAnsi" w:hAnsiTheme="minorHAnsi"/>
        </w:rPr>
        <w:t xml:space="preserve"> address barriers to economic inclusion for long term unemployed and disadvantaged groups.</w:t>
      </w:r>
      <w:r w:rsidR="00567B31" w:rsidRPr="004A132D">
        <w:rPr>
          <w:rFonts w:asciiTheme="minorHAnsi" w:hAnsiTheme="minorHAnsi"/>
        </w:rPr>
        <w:t xml:space="preserve"> The Committee reports to the Government on a yearly basis ahead of each Budget.</w:t>
      </w:r>
      <w:r w:rsidRPr="004A132D">
        <w:rPr>
          <w:rFonts w:asciiTheme="minorHAnsi" w:hAnsiTheme="minorHAnsi"/>
        </w:rPr>
        <w:t xml:space="preserve"> </w:t>
      </w:r>
    </w:p>
    <w:p w14:paraId="0DC64105" w14:textId="77777777" w:rsidR="003311FF" w:rsidRPr="004A132D" w:rsidRDefault="00D846A0" w:rsidP="00E11230">
      <w:pPr>
        <w:pStyle w:val="Heading2"/>
        <w:keepNext/>
      </w:pPr>
      <w:bookmarkStart w:id="166" w:name="_Toc174011736"/>
      <w:bookmarkStart w:id="167" w:name="_Toc175556833"/>
      <w:r w:rsidRPr="004A132D">
        <w:t xml:space="preserve">Question 20b: </w:t>
      </w:r>
      <w:r w:rsidR="00297BB8" w:rsidRPr="004A132D">
        <w:t>Economic empowerment of single mothers</w:t>
      </w:r>
      <w:bookmarkEnd w:id="166"/>
      <w:bookmarkEnd w:id="167"/>
    </w:p>
    <w:p w14:paraId="09B91996" w14:textId="5ABC7CC8" w:rsidR="004503DE" w:rsidRPr="004A132D" w:rsidRDefault="004503DE" w:rsidP="00532B5F">
      <w:pPr>
        <w:pStyle w:val="Numbers"/>
        <w:ind w:left="1418"/>
        <w:rPr>
          <w:rFonts w:asciiTheme="minorHAnsi" w:hAnsiTheme="minorHAnsi"/>
        </w:rPr>
      </w:pPr>
      <w:r w:rsidRPr="004A132D">
        <w:rPr>
          <w:rFonts w:asciiTheme="minorHAnsi" w:hAnsiTheme="minorHAnsi"/>
        </w:rPr>
        <w:t>The Australian Government recognises the important role parents play as carers of children in Australia and is committed to building a social security system that provides a strong safety net to support single mothers who rely on income support.</w:t>
      </w:r>
    </w:p>
    <w:p w14:paraId="1D174EE2" w14:textId="2DE2155E" w:rsidR="009D0B87" w:rsidRPr="004A132D" w:rsidRDefault="0036195D" w:rsidP="00532B5F">
      <w:pPr>
        <w:pStyle w:val="Numbers"/>
        <w:ind w:left="1418"/>
        <w:rPr>
          <w:rFonts w:asciiTheme="minorHAnsi" w:hAnsiTheme="minorHAnsi"/>
        </w:rPr>
      </w:pPr>
      <w:r w:rsidRPr="004A132D">
        <w:rPr>
          <w:rFonts w:asciiTheme="minorHAnsi" w:hAnsiTheme="minorHAnsi"/>
        </w:rPr>
        <w:t xml:space="preserve">In addition to the </w:t>
      </w:r>
      <w:r w:rsidR="00F94C7F" w:rsidRPr="004A132D">
        <w:rPr>
          <w:rFonts w:asciiTheme="minorHAnsi" w:hAnsiTheme="minorHAnsi"/>
        </w:rPr>
        <w:t xml:space="preserve">expanded eligibility to </w:t>
      </w:r>
      <w:r w:rsidR="001511E7" w:rsidRPr="004A132D">
        <w:rPr>
          <w:rFonts w:asciiTheme="minorHAnsi" w:hAnsiTheme="minorHAnsi"/>
        </w:rPr>
        <w:t xml:space="preserve">the </w:t>
      </w:r>
      <w:r w:rsidR="00F94C7F" w:rsidRPr="004A132D">
        <w:rPr>
          <w:rFonts w:asciiTheme="minorHAnsi" w:hAnsiTheme="minorHAnsi"/>
        </w:rPr>
        <w:t xml:space="preserve">Parenting Payment </w:t>
      </w:r>
      <w:r w:rsidR="001511E7" w:rsidRPr="004A132D">
        <w:rPr>
          <w:rFonts w:asciiTheme="minorHAnsi" w:hAnsiTheme="minorHAnsi"/>
        </w:rPr>
        <w:t>(</w:t>
      </w:r>
      <w:r w:rsidR="00F94C7F" w:rsidRPr="004A132D">
        <w:rPr>
          <w:rFonts w:asciiTheme="minorHAnsi" w:hAnsiTheme="minorHAnsi"/>
        </w:rPr>
        <w:t>Single</w:t>
      </w:r>
      <w:r w:rsidR="001511E7" w:rsidRPr="004A132D">
        <w:rPr>
          <w:rFonts w:asciiTheme="minorHAnsi" w:hAnsiTheme="minorHAnsi"/>
        </w:rPr>
        <w:t>)</w:t>
      </w:r>
      <w:r w:rsidR="00F94C7F" w:rsidRPr="004A132D">
        <w:rPr>
          <w:rFonts w:asciiTheme="minorHAnsi" w:hAnsiTheme="minorHAnsi"/>
        </w:rPr>
        <w:t xml:space="preserve"> (see question 20a</w:t>
      </w:r>
      <w:r w:rsidR="008C1CB7">
        <w:rPr>
          <w:rFonts w:asciiTheme="minorHAnsi" w:hAnsiTheme="minorHAnsi"/>
        </w:rPr>
        <w:t xml:space="preserve"> response</w:t>
      </w:r>
      <w:r w:rsidR="00F94C7F" w:rsidRPr="004A132D">
        <w:rPr>
          <w:rFonts w:asciiTheme="minorHAnsi" w:hAnsiTheme="minorHAnsi"/>
        </w:rPr>
        <w:t xml:space="preserve">), </w:t>
      </w:r>
      <w:r w:rsidRPr="004A132D">
        <w:rPr>
          <w:rFonts w:asciiTheme="minorHAnsi" w:hAnsiTheme="minorHAnsi"/>
        </w:rPr>
        <w:t>the Australian Government has delivered</w:t>
      </w:r>
      <w:r w:rsidR="00F94C7F" w:rsidRPr="004A132D">
        <w:rPr>
          <w:rFonts w:asciiTheme="minorHAnsi" w:hAnsiTheme="minorHAnsi"/>
        </w:rPr>
        <w:t xml:space="preserve"> legislation to improve the timely collection of child support owed to parents</w:t>
      </w:r>
      <w:r w:rsidR="00A42843" w:rsidRPr="004A132D">
        <w:rPr>
          <w:rFonts w:asciiTheme="minorHAnsi" w:hAnsiTheme="minorHAnsi"/>
        </w:rPr>
        <w:t xml:space="preserve"> (the majority </w:t>
      </w:r>
      <w:r w:rsidRPr="004A132D">
        <w:rPr>
          <w:rFonts w:asciiTheme="minorHAnsi" w:hAnsiTheme="minorHAnsi"/>
        </w:rPr>
        <w:t>women</w:t>
      </w:r>
      <w:r w:rsidR="00A42843" w:rsidRPr="004A132D">
        <w:rPr>
          <w:rFonts w:asciiTheme="minorHAnsi" w:hAnsiTheme="minorHAnsi"/>
        </w:rPr>
        <w:t>)</w:t>
      </w:r>
      <w:r w:rsidR="008C1CB7">
        <w:rPr>
          <w:rFonts w:asciiTheme="minorHAnsi" w:hAnsiTheme="minorHAnsi"/>
        </w:rPr>
        <w:t xml:space="preserve">; </w:t>
      </w:r>
      <w:r w:rsidR="001142DD" w:rsidRPr="004A132D">
        <w:rPr>
          <w:rFonts w:asciiTheme="minorHAnsi" w:hAnsiTheme="minorHAnsi"/>
        </w:rPr>
        <w:t xml:space="preserve">is investing $5.1 million to </w:t>
      </w:r>
      <w:r w:rsidR="008C1CB7">
        <w:rPr>
          <w:rFonts w:asciiTheme="minorHAnsi" w:hAnsiTheme="minorHAnsi"/>
        </w:rPr>
        <w:t>action</w:t>
      </w:r>
      <w:r w:rsidR="001142DD" w:rsidRPr="004A132D">
        <w:rPr>
          <w:rFonts w:asciiTheme="minorHAnsi" w:hAnsiTheme="minorHAnsi"/>
        </w:rPr>
        <w:t xml:space="preserve"> child support recommendations of the </w:t>
      </w:r>
      <w:r w:rsidR="00D24D33" w:rsidRPr="004A132D">
        <w:rPr>
          <w:rFonts w:asciiTheme="minorHAnsi" w:hAnsiTheme="minorHAnsi"/>
        </w:rPr>
        <w:t xml:space="preserve">family law </w:t>
      </w:r>
      <w:r w:rsidR="00553DA1" w:rsidRPr="004A132D">
        <w:rPr>
          <w:rFonts w:asciiTheme="minorHAnsi" w:hAnsiTheme="minorHAnsi"/>
        </w:rPr>
        <w:t>i</w:t>
      </w:r>
      <w:r w:rsidR="001142DD" w:rsidRPr="004A132D">
        <w:rPr>
          <w:rFonts w:asciiTheme="minorHAnsi" w:hAnsiTheme="minorHAnsi"/>
        </w:rPr>
        <w:t>nquiry</w:t>
      </w:r>
      <w:r w:rsidR="008C1CB7">
        <w:rPr>
          <w:rFonts w:asciiTheme="minorHAnsi" w:hAnsiTheme="minorHAnsi"/>
        </w:rPr>
        <w:t>;</w:t>
      </w:r>
      <w:r w:rsidR="001142DD" w:rsidRPr="004A132D">
        <w:rPr>
          <w:rFonts w:asciiTheme="minorHAnsi" w:hAnsiTheme="minorHAnsi"/>
        </w:rPr>
        <w:t xml:space="preserve"> and has established a Child Support Stakeholder Consultation Group and Child Support Expert Panel to ensure the voices of stakeholders engaged in the Child Support Scheme and experts are informing future policy</w:t>
      </w:r>
      <w:r w:rsidR="00D31478" w:rsidRPr="004A132D">
        <w:rPr>
          <w:rFonts w:asciiTheme="minorHAnsi" w:hAnsiTheme="minorHAnsi"/>
        </w:rPr>
        <w:t xml:space="preserve">. </w:t>
      </w:r>
    </w:p>
    <w:p w14:paraId="223A0134" w14:textId="77777777" w:rsidR="005A7744" w:rsidRPr="004A132D" w:rsidRDefault="005A7744" w:rsidP="00532B5F">
      <w:pPr>
        <w:pStyle w:val="Numbers"/>
        <w:ind w:left="1418"/>
        <w:rPr>
          <w:rFonts w:asciiTheme="minorHAnsi" w:hAnsiTheme="minorHAnsi"/>
        </w:rPr>
      </w:pPr>
      <w:r w:rsidRPr="004A132D">
        <w:rPr>
          <w:rFonts w:asciiTheme="minorHAnsi" w:hAnsiTheme="minorHAnsi"/>
        </w:rPr>
        <w:t xml:space="preserve">In addition, the Australian Government is making early childhood education and care (ECEC) more affordable. </w:t>
      </w:r>
    </w:p>
    <w:p w14:paraId="264CFE36" w14:textId="77777777" w:rsidR="00146F2F" w:rsidRPr="004A132D" w:rsidRDefault="003E63B2" w:rsidP="00532B5F">
      <w:pPr>
        <w:pStyle w:val="Numbers"/>
        <w:ind w:left="1418"/>
        <w:rPr>
          <w:rFonts w:asciiTheme="minorHAnsi" w:hAnsiTheme="minorHAnsi"/>
        </w:rPr>
      </w:pPr>
      <w:r w:rsidRPr="004A132D">
        <w:rPr>
          <w:rFonts w:asciiTheme="minorHAnsi" w:hAnsiTheme="minorHAnsi"/>
        </w:rPr>
        <w:t xml:space="preserve">An accessible, affordable </w:t>
      </w:r>
      <w:r w:rsidR="0036195D" w:rsidRPr="004A132D">
        <w:rPr>
          <w:rFonts w:asciiTheme="minorHAnsi" w:hAnsiTheme="minorHAnsi"/>
        </w:rPr>
        <w:t>ECEC</w:t>
      </w:r>
      <w:r w:rsidRPr="004A132D">
        <w:rPr>
          <w:rFonts w:asciiTheme="minorHAnsi" w:hAnsiTheme="minorHAnsi"/>
        </w:rPr>
        <w:t xml:space="preserve"> system serves as an important lever to improve workforce participation among parents and carers—especially </w:t>
      </w:r>
      <w:r w:rsidR="00F94C7F" w:rsidRPr="004A132D">
        <w:rPr>
          <w:rFonts w:asciiTheme="minorHAnsi" w:hAnsiTheme="minorHAnsi"/>
        </w:rPr>
        <w:t>single mothers</w:t>
      </w:r>
      <w:r w:rsidRPr="004A132D">
        <w:rPr>
          <w:rFonts w:asciiTheme="minorHAnsi" w:hAnsiTheme="minorHAnsi"/>
        </w:rPr>
        <w:t xml:space="preserve">. </w:t>
      </w:r>
      <w:r w:rsidR="00146F2F" w:rsidRPr="004A132D">
        <w:rPr>
          <w:rFonts w:asciiTheme="minorHAnsi" w:hAnsiTheme="minorHAnsi"/>
        </w:rPr>
        <w:t>The Australian Government provides the main source of funding to support families’ access to ECEC services through the Child Care Subsidy (CCS) and Additional Child Care Subsidy.</w:t>
      </w:r>
    </w:p>
    <w:p w14:paraId="72C11AAE" w14:textId="77777777" w:rsidR="009D0B87" w:rsidRPr="004A132D" w:rsidRDefault="009D0B87" w:rsidP="00532B5F">
      <w:pPr>
        <w:pStyle w:val="Numbers"/>
        <w:ind w:left="1418"/>
        <w:rPr>
          <w:rFonts w:asciiTheme="minorHAnsi" w:hAnsiTheme="minorHAnsi"/>
        </w:rPr>
      </w:pPr>
      <w:r w:rsidRPr="004A132D">
        <w:rPr>
          <w:rFonts w:asciiTheme="minorHAnsi" w:hAnsiTheme="minorHAnsi"/>
        </w:rPr>
        <w:t>The percentage of CCS to which a family is entitled was increased from July 2023 a</w:t>
      </w:r>
      <w:r w:rsidR="0049006B" w:rsidRPr="004A132D">
        <w:rPr>
          <w:rFonts w:asciiTheme="minorHAnsi" w:hAnsiTheme="minorHAnsi"/>
        </w:rPr>
        <w:t>s part of the Government’s $4.7</w:t>
      </w:r>
      <w:r w:rsidRPr="004A132D">
        <w:rPr>
          <w:rFonts w:asciiTheme="minorHAnsi" w:hAnsiTheme="minorHAnsi"/>
        </w:rPr>
        <w:t xml:space="preserve"> billion Cheaper Child Care package to make child care more affordable and reduce barriers to workforce participation. This means that eligible families earning $80,000 or less will have their CCS entitlement lifted </w:t>
      </w:r>
      <w:r w:rsidRPr="004A132D">
        <w:rPr>
          <w:rFonts w:asciiTheme="minorHAnsi" w:hAnsiTheme="minorHAnsi"/>
        </w:rPr>
        <w:lastRenderedPageBreak/>
        <w:t xml:space="preserve">to a new maximum rate of 90 per cent, tapering down by one percentage point for each additional $5,000 of income. </w:t>
      </w:r>
    </w:p>
    <w:p w14:paraId="752986D5" w14:textId="547CA5F0" w:rsidR="00297BB8" w:rsidRPr="004A132D" w:rsidRDefault="00BD794C" w:rsidP="00532B5F">
      <w:pPr>
        <w:pStyle w:val="Numbers"/>
        <w:ind w:left="1418"/>
        <w:rPr>
          <w:rFonts w:asciiTheme="minorHAnsi" w:hAnsiTheme="minorHAnsi"/>
        </w:rPr>
      </w:pPr>
      <w:r w:rsidRPr="004A132D">
        <w:rPr>
          <w:rFonts w:asciiTheme="minorHAnsi" w:hAnsiTheme="minorHAnsi"/>
          <w:lang w:val="en-AU"/>
        </w:rPr>
        <w:t>Through the Fee-Free TAFE Skills Agreement (formerly known as the 12-Month Skills Agreement), the Australian Government has partnered with states and territories to deliver over $1.5 billion funding for 500,000 Fee-Free TAFE and vocational education and training (VET) places across Australia over 2023 to 2026. Fee-Free TAFE supports training places in areas of high demand and skills need and supports students by removing financial barriers to study. Priority sectors under Fee</w:t>
      </w:r>
      <w:r w:rsidR="00A42843" w:rsidRPr="004A132D">
        <w:rPr>
          <w:rFonts w:asciiTheme="minorHAnsi" w:hAnsiTheme="minorHAnsi"/>
          <w:lang w:val="en-AU"/>
        </w:rPr>
        <w:noBreakHyphen/>
      </w:r>
      <w:r w:rsidRPr="004A132D">
        <w:rPr>
          <w:rFonts w:asciiTheme="minorHAnsi" w:hAnsiTheme="minorHAnsi"/>
          <w:lang w:val="en-AU"/>
        </w:rPr>
        <w:t xml:space="preserve">Free TAFE include Agriculture, Care, Construction, Defence, Early Childhood Education and Care, Hospitality and Tourism, Manufacturing, Sovereign Capability, Technology and Digital, as well as VET workforce from 2024.  </w:t>
      </w:r>
      <w:r w:rsidR="002D2988" w:rsidRPr="004A132D">
        <w:rPr>
          <w:rFonts w:asciiTheme="minorHAnsi" w:hAnsiTheme="minorHAnsi"/>
        </w:rPr>
        <w:t xml:space="preserve"> </w:t>
      </w:r>
    </w:p>
    <w:p w14:paraId="2CF01EF5" w14:textId="32CA16A4" w:rsidR="0078037D" w:rsidRPr="004A132D" w:rsidRDefault="0078037D" w:rsidP="00532B5F">
      <w:pPr>
        <w:pStyle w:val="Numbers"/>
        <w:ind w:left="1418"/>
        <w:rPr>
          <w:rFonts w:asciiTheme="minorHAnsi" w:hAnsiTheme="minorHAnsi"/>
        </w:rPr>
      </w:pPr>
      <w:r w:rsidRPr="004A132D">
        <w:rPr>
          <w:rFonts w:asciiTheme="minorHAnsi" w:hAnsiTheme="minorHAnsi"/>
        </w:rPr>
        <w:t xml:space="preserve">From 1 November 2024, the Australian Government will introduce a voluntary pre-employment service which will provide support for eligible parents of young children to meet their education, employment and career goals, without limiting the need to prioritise family. </w:t>
      </w:r>
      <w:r w:rsidR="000E0FF1" w:rsidRPr="004A132D">
        <w:rPr>
          <w:rFonts w:asciiTheme="minorHAnsi" w:hAnsiTheme="minorHAnsi"/>
        </w:rPr>
        <w:t xml:space="preserve">A Parents Advisory Group has also been established to ensure parents with lived experience, and key stakeholders, continue to contribute to the development and continuous improvement of the new service. </w:t>
      </w:r>
    </w:p>
    <w:p w14:paraId="5526A2DF" w14:textId="77777777" w:rsidR="00982EE1" w:rsidRPr="005F6B4E" w:rsidRDefault="00152897" w:rsidP="005F6B4E">
      <w:pPr>
        <w:pStyle w:val="Heading1"/>
      </w:pPr>
      <w:bookmarkStart w:id="168" w:name="_Toc174011737"/>
      <w:bookmarkStart w:id="169" w:name="_Toc175556834"/>
      <w:r w:rsidRPr="005F6B4E">
        <w:t xml:space="preserve">Question 21: </w:t>
      </w:r>
      <w:r w:rsidR="00982EE1" w:rsidRPr="005F6B4E">
        <w:t>Indigenous women</w:t>
      </w:r>
      <w:bookmarkEnd w:id="168"/>
      <w:bookmarkEnd w:id="169"/>
      <w:r w:rsidR="00982EE1" w:rsidRPr="005F6B4E">
        <w:t xml:space="preserve"> </w:t>
      </w:r>
    </w:p>
    <w:p w14:paraId="46432AD7" w14:textId="77777777" w:rsidR="00982EE1" w:rsidRPr="004A132D" w:rsidRDefault="00152897" w:rsidP="00152897">
      <w:pPr>
        <w:pStyle w:val="Heading2"/>
      </w:pPr>
      <w:bookmarkStart w:id="170" w:name="_Toc174011738"/>
      <w:bookmarkStart w:id="171" w:name="_Toc175556835"/>
      <w:r w:rsidRPr="004A132D">
        <w:t>Question 21a: National Congress of Australia’s First Peoples</w:t>
      </w:r>
      <w:bookmarkEnd w:id="170"/>
      <w:bookmarkEnd w:id="171"/>
    </w:p>
    <w:p w14:paraId="19CF4E2D" w14:textId="77777777" w:rsidR="006C0E0F" w:rsidRPr="004A132D" w:rsidRDefault="00922AE9" w:rsidP="00532B5F">
      <w:pPr>
        <w:pStyle w:val="Numbers"/>
        <w:ind w:left="1418"/>
        <w:rPr>
          <w:rFonts w:asciiTheme="minorHAnsi" w:hAnsiTheme="minorHAnsi"/>
        </w:rPr>
      </w:pPr>
      <w:r w:rsidRPr="004A132D">
        <w:rPr>
          <w:rFonts w:asciiTheme="minorHAnsi" w:hAnsiTheme="minorHAnsi"/>
        </w:rPr>
        <w:t>The National Congress of Australia’s First Peoples</w:t>
      </w:r>
      <w:r w:rsidR="00A060C3" w:rsidRPr="004A132D">
        <w:rPr>
          <w:rFonts w:asciiTheme="minorHAnsi" w:hAnsiTheme="minorHAnsi"/>
        </w:rPr>
        <w:t xml:space="preserve"> went into v</w:t>
      </w:r>
      <w:r w:rsidR="00427266" w:rsidRPr="004A132D">
        <w:rPr>
          <w:rFonts w:asciiTheme="minorHAnsi" w:hAnsiTheme="minorHAnsi"/>
        </w:rPr>
        <w:t>oluntary administration in 2019</w:t>
      </w:r>
      <w:r w:rsidR="00D46E26" w:rsidRPr="004A132D">
        <w:rPr>
          <w:rFonts w:asciiTheme="minorHAnsi" w:hAnsiTheme="minorHAnsi"/>
        </w:rPr>
        <w:t xml:space="preserve">. </w:t>
      </w:r>
      <w:r w:rsidR="006C0E0F" w:rsidRPr="004A132D">
        <w:rPr>
          <w:rFonts w:asciiTheme="minorHAnsi" w:hAnsiTheme="minorHAnsi"/>
        </w:rPr>
        <w:t>The Australian Government pro</w:t>
      </w:r>
      <w:r w:rsidR="006347F2" w:rsidRPr="004A132D">
        <w:rPr>
          <w:rFonts w:asciiTheme="minorHAnsi" w:hAnsiTheme="minorHAnsi"/>
        </w:rPr>
        <w:t xml:space="preserve">vided the National Congress </w:t>
      </w:r>
      <w:r w:rsidR="006C0E0F" w:rsidRPr="004A132D">
        <w:rPr>
          <w:rFonts w:asciiTheme="minorHAnsi" w:hAnsiTheme="minorHAnsi"/>
        </w:rPr>
        <w:t>$5.4 million between 2013-2017 for National Representative Body C</w:t>
      </w:r>
      <w:r w:rsidR="006347F2" w:rsidRPr="004A132D">
        <w:rPr>
          <w:rFonts w:asciiTheme="minorHAnsi" w:hAnsiTheme="minorHAnsi"/>
        </w:rPr>
        <w:t xml:space="preserve">onsultation and approximately </w:t>
      </w:r>
      <w:r w:rsidR="006C0E0F" w:rsidRPr="004A132D">
        <w:rPr>
          <w:rFonts w:asciiTheme="minorHAnsi" w:hAnsiTheme="minorHAnsi"/>
        </w:rPr>
        <w:t>$3.3 million between 2016 and 2019 for capability projects.</w:t>
      </w:r>
    </w:p>
    <w:p w14:paraId="40F6E68B" w14:textId="72154D85" w:rsidR="007F22DB" w:rsidRPr="004A132D" w:rsidRDefault="007F22DB" w:rsidP="00532B5F">
      <w:pPr>
        <w:pStyle w:val="Numbers"/>
        <w:ind w:left="1418"/>
        <w:rPr>
          <w:rFonts w:asciiTheme="minorHAnsi" w:hAnsiTheme="minorHAnsi"/>
        </w:rPr>
      </w:pPr>
      <w:r w:rsidRPr="004A132D">
        <w:rPr>
          <w:rFonts w:asciiTheme="minorHAnsi" w:hAnsiTheme="minorHAnsi"/>
        </w:rPr>
        <w:t xml:space="preserve">The Australian Government has provided $3 million in funding across the next </w:t>
      </w:r>
      <w:r w:rsidR="00520DF4" w:rsidRPr="004A132D">
        <w:rPr>
          <w:rFonts w:asciiTheme="minorHAnsi" w:hAnsiTheme="minorHAnsi"/>
        </w:rPr>
        <w:t>3</w:t>
      </w:r>
      <w:r w:rsidRPr="004A132D">
        <w:rPr>
          <w:rFonts w:asciiTheme="minorHAnsi" w:hAnsiTheme="minorHAnsi"/>
        </w:rPr>
        <w:t xml:space="preserve"> financial years to assist in the establishment of the Wiyi Yani U Thangani Institute for First Nations Gender Justice. The Institute is located at the Australian National University and Chaired by the former Aboriginal and Torres Strait Islander Social Justice Commissioner June Oscar OA. The Institute will carry on the work begun on the Wiyi Yani U Thangani Institute (Women’s Voices) project. The key focus of the Institute will be to undertake multidisciplinary research and initiatives to identify root causes of intersectional discriminations and other systemic barriers impacting </w:t>
      </w:r>
      <w:r w:rsidRPr="004A132D">
        <w:rPr>
          <w:rFonts w:asciiTheme="minorHAnsi" w:hAnsiTheme="minorHAnsi"/>
        </w:rPr>
        <w:lastRenderedPageBreak/>
        <w:t xml:space="preserve">the lives of First Nations women and girls. Research data will create an evidence platform, employing the principles of Indigenous data sovereignty, which can inform policy development across all levels of government.   </w:t>
      </w:r>
    </w:p>
    <w:p w14:paraId="5AF7464D" w14:textId="77777777" w:rsidR="007D0243" w:rsidRPr="004A132D" w:rsidRDefault="00427266" w:rsidP="00427266">
      <w:pPr>
        <w:pStyle w:val="Heading2"/>
      </w:pPr>
      <w:bookmarkStart w:id="172" w:name="_Toc174011739"/>
      <w:bookmarkStart w:id="173" w:name="_Toc175556836"/>
      <w:r w:rsidRPr="004A132D">
        <w:t xml:space="preserve">Question 21b: </w:t>
      </w:r>
      <w:r w:rsidR="007D0243" w:rsidRPr="004A132D">
        <w:t>Safe, secure and affordable housing</w:t>
      </w:r>
      <w:bookmarkEnd w:id="172"/>
      <w:bookmarkEnd w:id="173"/>
      <w:r w:rsidR="007D0243" w:rsidRPr="004A132D">
        <w:t xml:space="preserve"> </w:t>
      </w:r>
    </w:p>
    <w:p w14:paraId="5B50CFB6" w14:textId="77777777" w:rsidR="00E90F23" w:rsidRPr="004A132D" w:rsidRDefault="007672D2" w:rsidP="00532B5F">
      <w:pPr>
        <w:pStyle w:val="Numbers"/>
        <w:ind w:left="1418"/>
        <w:rPr>
          <w:rFonts w:asciiTheme="minorHAnsi" w:hAnsiTheme="minorHAnsi"/>
        </w:rPr>
      </w:pPr>
      <w:r w:rsidRPr="004A132D">
        <w:rPr>
          <w:rFonts w:asciiTheme="minorHAnsi" w:hAnsiTheme="minorHAnsi"/>
        </w:rPr>
        <w:t xml:space="preserve">The Australian Government has committed to a comprehensive housing agenda which includes the </w:t>
      </w:r>
      <w:r w:rsidR="00CD6BB0" w:rsidRPr="004A132D">
        <w:rPr>
          <w:rFonts w:asciiTheme="minorHAnsi" w:hAnsiTheme="minorHAnsi"/>
        </w:rPr>
        <w:t xml:space="preserve">National </w:t>
      </w:r>
      <w:r w:rsidRPr="004A132D">
        <w:rPr>
          <w:rFonts w:asciiTheme="minorHAnsi" w:hAnsiTheme="minorHAnsi"/>
        </w:rPr>
        <w:t>Housing Accord, the Housing Australia Future Fund, the National Housing and Homelessness Agreement (NHHA)</w:t>
      </w:r>
      <w:r w:rsidR="00E90F23" w:rsidRPr="004A132D">
        <w:rPr>
          <w:rFonts w:asciiTheme="minorHAnsi" w:hAnsiTheme="minorHAnsi"/>
        </w:rPr>
        <w:t xml:space="preserve"> with states and territories</w:t>
      </w:r>
      <w:r w:rsidRPr="004A132D">
        <w:rPr>
          <w:rFonts w:asciiTheme="minorHAnsi" w:hAnsiTheme="minorHAnsi"/>
        </w:rPr>
        <w:t xml:space="preserve">, the </w:t>
      </w:r>
      <w:r w:rsidR="00E90F23" w:rsidRPr="004A132D">
        <w:rPr>
          <w:rFonts w:asciiTheme="minorHAnsi" w:hAnsiTheme="minorHAnsi"/>
        </w:rPr>
        <w:t>Social Housing Accelerator Fund,</w:t>
      </w:r>
      <w:r w:rsidRPr="004A132D">
        <w:rPr>
          <w:rFonts w:asciiTheme="minorHAnsi" w:hAnsiTheme="minorHAnsi"/>
        </w:rPr>
        <w:t xml:space="preserve"> </w:t>
      </w:r>
      <w:r w:rsidR="00E90F23" w:rsidRPr="004A132D">
        <w:rPr>
          <w:rFonts w:asciiTheme="minorHAnsi" w:hAnsiTheme="minorHAnsi"/>
        </w:rPr>
        <w:t>and the National Housing Infrastructure Facility, the latter of which the Government has targeted $1 billion towards crisis and transitional accommodation for women and children fleeing domestic violence, and youth.</w:t>
      </w:r>
    </w:p>
    <w:p w14:paraId="463D6DDB" w14:textId="55EB0CA9" w:rsidR="007672D2" w:rsidRPr="004A132D" w:rsidRDefault="00CD6BB0" w:rsidP="00532B5F">
      <w:pPr>
        <w:pStyle w:val="Numbers"/>
        <w:ind w:left="1418"/>
        <w:rPr>
          <w:rFonts w:asciiTheme="minorHAnsi" w:hAnsiTheme="minorHAnsi"/>
        </w:rPr>
      </w:pPr>
      <w:r w:rsidRPr="004A132D">
        <w:rPr>
          <w:rFonts w:asciiTheme="minorHAnsi" w:hAnsiTheme="minorHAnsi"/>
        </w:rPr>
        <w:t>The Australian Government is developing a National Housing and Homelessness Plan in collaboration with state and territory governments.</w:t>
      </w:r>
    </w:p>
    <w:p w14:paraId="3DAC4440" w14:textId="13F8A7EE" w:rsidR="009925A0" w:rsidRPr="004A132D" w:rsidRDefault="00547142" w:rsidP="00532B5F">
      <w:pPr>
        <w:pStyle w:val="Numbers"/>
        <w:ind w:left="1418"/>
        <w:rPr>
          <w:rFonts w:asciiTheme="minorHAnsi" w:hAnsiTheme="minorHAnsi"/>
          <w:lang w:val="en-NZ"/>
        </w:rPr>
      </w:pPr>
      <w:r w:rsidRPr="004A132D">
        <w:rPr>
          <w:rFonts w:asciiTheme="minorHAnsi" w:hAnsiTheme="minorHAnsi"/>
        </w:rPr>
        <w:t xml:space="preserve">Established in 2023, the Housing Australia Future Fund is a key element of the Australian Government’s commitments to address Australia’s shortfall of social and affordable housing. It will support 30,000 new social and affordable housing dwellings in its first </w:t>
      </w:r>
      <w:r w:rsidR="00520DF4" w:rsidRPr="004A132D">
        <w:rPr>
          <w:rFonts w:asciiTheme="minorHAnsi" w:hAnsiTheme="minorHAnsi"/>
        </w:rPr>
        <w:t>5</w:t>
      </w:r>
      <w:r w:rsidRPr="004A132D">
        <w:rPr>
          <w:rFonts w:asciiTheme="minorHAnsi" w:hAnsiTheme="minorHAnsi"/>
        </w:rPr>
        <w:t xml:space="preserve"> years.</w:t>
      </w:r>
      <w:r w:rsidRPr="004A132D">
        <w:rPr>
          <w:rFonts w:asciiTheme="minorHAnsi" w:hAnsiTheme="minorHAnsi"/>
          <w:lang w:val="en-NZ"/>
        </w:rPr>
        <w:t xml:space="preserve"> </w:t>
      </w:r>
      <w:r w:rsidR="00427266" w:rsidRPr="004A132D">
        <w:rPr>
          <w:rFonts w:asciiTheme="minorHAnsi" w:hAnsiTheme="minorHAnsi"/>
          <w:lang w:val="en-NZ"/>
        </w:rPr>
        <w:t>Disbursements from the Housing Australia Future Fund will provide</w:t>
      </w:r>
      <w:r w:rsidR="009925A0" w:rsidRPr="004A132D">
        <w:rPr>
          <w:rFonts w:asciiTheme="minorHAnsi" w:hAnsiTheme="minorHAnsi"/>
          <w:lang w:val="en-NZ"/>
        </w:rPr>
        <w:t>:</w:t>
      </w:r>
    </w:p>
    <w:p w14:paraId="14C30EFD" w14:textId="77777777" w:rsidR="009925A0" w:rsidRPr="004A132D" w:rsidRDefault="00427266" w:rsidP="00561D0E">
      <w:pPr>
        <w:pStyle w:val="Numbers"/>
        <w:numPr>
          <w:ilvl w:val="1"/>
          <w:numId w:val="1"/>
        </w:numPr>
        <w:rPr>
          <w:rFonts w:asciiTheme="minorHAnsi" w:hAnsiTheme="minorHAnsi"/>
          <w:lang w:val="en-NZ"/>
        </w:rPr>
      </w:pPr>
      <w:r w:rsidRPr="004A132D">
        <w:rPr>
          <w:rFonts w:asciiTheme="minorHAnsi" w:hAnsiTheme="minorHAnsi"/>
          <w:lang w:val="en-NZ"/>
        </w:rPr>
        <w:t>$200 million for the repair, maintenance and improvements of housing in remote Indigenous communi</w:t>
      </w:r>
      <w:r w:rsidR="00E4600D" w:rsidRPr="004A132D">
        <w:rPr>
          <w:rFonts w:asciiTheme="minorHAnsi" w:hAnsiTheme="minorHAnsi"/>
          <w:lang w:val="en-NZ"/>
        </w:rPr>
        <w:t xml:space="preserve">ties, </w:t>
      </w:r>
    </w:p>
    <w:p w14:paraId="1A22BB2E" w14:textId="77777777" w:rsidR="009925A0" w:rsidRPr="004A132D" w:rsidRDefault="009925A0" w:rsidP="00561D0E">
      <w:pPr>
        <w:pStyle w:val="Numbers"/>
        <w:numPr>
          <w:ilvl w:val="1"/>
          <w:numId w:val="1"/>
        </w:numPr>
        <w:rPr>
          <w:rFonts w:asciiTheme="minorHAnsi" w:hAnsiTheme="minorHAnsi"/>
          <w:lang w:val="en-NZ"/>
        </w:rPr>
      </w:pPr>
      <w:r w:rsidRPr="004A132D">
        <w:rPr>
          <w:rFonts w:asciiTheme="minorHAnsi" w:hAnsiTheme="minorHAnsi"/>
          <w:lang w:val="en-NZ"/>
        </w:rPr>
        <w:t>$100 million for crisis and transitional housing for women and children impacted by family and domestic violence and older women at risk of homelessness; and</w:t>
      </w:r>
    </w:p>
    <w:p w14:paraId="4173A130" w14:textId="77777777" w:rsidR="009925A0" w:rsidRPr="004A132D" w:rsidRDefault="009925A0" w:rsidP="00561D0E">
      <w:pPr>
        <w:pStyle w:val="Numbers"/>
        <w:numPr>
          <w:ilvl w:val="1"/>
          <w:numId w:val="1"/>
        </w:numPr>
        <w:rPr>
          <w:rFonts w:asciiTheme="minorHAnsi" w:hAnsiTheme="minorHAnsi"/>
          <w:lang w:val="en-NZ"/>
        </w:rPr>
      </w:pPr>
      <w:r w:rsidRPr="004A132D">
        <w:rPr>
          <w:rFonts w:asciiTheme="minorHAnsi" w:hAnsiTheme="minorHAnsi"/>
          <w:lang w:val="en-NZ"/>
        </w:rPr>
        <w:t xml:space="preserve">$24 million for capital works projects that provide additional crisis and transitional housing stock for veterans and their families. An additional $6 million to fund specialist support services for those in the veteran community who are experiencing, or are at risk of, homelessness.  </w:t>
      </w:r>
    </w:p>
    <w:p w14:paraId="0BFB813D" w14:textId="77777777" w:rsidR="00CD6BB0" w:rsidRPr="004A132D" w:rsidRDefault="00CD6BB0" w:rsidP="00532B5F">
      <w:pPr>
        <w:pStyle w:val="Numbers"/>
        <w:ind w:left="1418"/>
        <w:rPr>
          <w:rFonts w:asciiTheme="minorHAnsi" w:hAnsiTheme="minorHAnsi"/>
        </w:rPr>
      </w:pPr>
      <w:r w:rsidRPr="004A132D">
        <w:rPr>
          <w:rFonts w:asciiTheme="minorHAnsi" w:hAnsiTheme="minorHAnsi"/>
        </w:rPr>
        <w:t xml:space="preserve">Established in 2022, the Housing Policy Partnership is a key mechanism to delivering outcomes for First Nations housing and will provide a forum for </w:t>
      </w:r>
      <w:r w:rsidRPr="004A132D">
        <w:rPr>
          <w:rFonts w:asciiTheme="minorHAnsi" w:hAnsiTheme="minorHAnsi"/>
        </w:rPr>
        <w:lastRenderedPageBreak/>
        <w:t>Aboriginal and Torres Strait Islander people to have a genuine say in the design and delivery of Aboriginal and Torres Strait Islander housing services.</w:t>
      </w:r>
    </w:p>
    <w:p w14:paraId="4A99A99F" w14:textId="789ED162" w:rsidR="00E4600D" w:rsidRPr="004A132D" w:rsidRDefault="000A00A6" w:rsidP="00532B5F">
      <w:pPr>
        <w:pStyle w:val="Numbers"/>
        <w:ind w:left="1418"/>
        <w:rPr>
          <w:rFonts w:asciiTheme="minorHAnsi" w:hAnsiTheme="minorHAnsi"/>
        </w:rPr>
      </w:pPr>
      <w:r w:rsidRPr="004A132D">
        <w:rPr>
          <w:rFonts w:asciiTheme="minorHAnsi" w:hAnsiTheme="minorHAnsi"/>
        </w:rPr>
        <w:t>The Australian Government signed the new $9.3 billion 5 year National Agreement on Social Housing and Homelessness (NASHH) with states and territories (states). This includes a doubling of Commonwealth homelessness funding component to $400 million every year, matched by states</w:t>
      </w:r>
      <w:r w:rsidR="00A42843" w:rsidRPr="004A132D">
        <w:rPr>
          <w:rFonts w:asciiTheme="minorHAnsi" w:hAnsiTheme="minorHAnsi"/>
        </w:rPr>
        <w:t>.</w:t>
      </w:r>
      <w:r w:rsidRPr="004A132D">
        <w:rPr>
          <w:rFonts w:asciiTheme="minorHAnsi" w:hAnsiTheme="minorHAnsi"/>
        </w:rPr>
        <w:t xml:space="preserve"> The NASHH will replace the National Housing and Homelessness Agreement which </w:t>
      </w:r>
      <w:r w:rsidR="009F33CC" w:rsidRPr="004A132D">
        <w:rPr>
          <w:rFonts w:asciiTheme="minorHAnsi" w:hAnsiTheme="minorHAnsi"/>
        </w:rPr>
        <w:t>expired</w:t>
      </w:r>
      <w:r w:rsidRPr="004A132D">
        <w:rPr>
          <w:rFonts w:asciiTheme="minorHAnsi" w:hAnsiTheme="minorHAnsi"/>
        </w:rPr>
        <w:t xml:space="preserve"> on 30 June 2024.</w:t>
      </w:r>
    </w:p>
    <w:p w14:paraId="040D15E7" w14:textId="4B9AAE4D" w:rsidR="00E4600D" w:rsidRPr="004A132D" w:rsidRDefault="00E4600D" w:rsidP="00532B5F">
      <w:pPr>
        <w:pStyle w:val="Numbers"/>
        <w:ind w:left="1418"/>
        <w:rPr>
          <w:rFonts w:asciiTheme="minorHAnsi" w:hAnsiTheme="minorHAnsi"/>
        </w:rPr>
      </w:pPr>
      <w:r w:rsidRPr="004A132D">
        <w:rPr>
          <w:rFonts w:asciiTheme="minorHAnsi" w:hAnsiTheme="minorHAnsi"/>
        </w:rPr>
        <w:t xml:space="preserve"> The Australian Government and s</w:t>
      </w:r>
      <w:r w:rsidR="00CD6BB0" w:rsidRPr="004A132D">
        <w:rPr>
          <w:rFonts w:asciiTheme="minorHAnsi" w:hAnsiTheme="minorHAnsi"/>
        </w:rPr>
        <w:t xml:space="preserve">tates and territories have in place a broad range of initiatives to ensure safe, secure and affordable housing </w:t>
      </w:r>
      <w:r w:rsidR="00C163FF" w:rsidRPr="004A132D">
        <w:rPr>
          <w:rFonts w:asciiTheme="minorHAnsi" w:hAnsiTheme="minorHAnsi"/>
        </w:rPr>
        <w:t xml:space="preserve">including </w:t>
      </w:r>
      <w:r w:rsidR="00CD6BB0" w:rsidRPr="004A132D">
        <w:rPr>
          <w:rFonts w:asciiTheme="minorHAnsi" w:hAnsiTheme="minorHAnsi"/>
        </w:rPr>
        <w:t xml:space="preserve">for </w:t>
      </w:r>
      <w:r w:rsidR="00581AF8" w:rsidRPr="004A132D">
        <w:rPr>
          <w:rFonts w:asciiTheme="minorHAnsi" w:hAnsiTheme="minorHAnsi"/>
        </w:rPr>
        <w:br/>
      </w:r>
      <w:r w:rsidR="00B5701C" w:rsidRPr="004A132D">
        <w:rPr>
          <w:rFonts w:asciiTheme="minorHAnsi" w:hAnsiTheme="minorHAnsi"/>
        </w:rPr>
        <w:t xml:space="preserve">First Nations </w:t>
      </w:r>
      <w:r w:rsidR="00361473" w:rsidRPr="004A132D">
        <w:rPr>
          <w:rFonts w:asciiTheme="minorHAnsi" w:hAnsiTheme="minorHAnsi"/>
        </w:rPr>
        <w:t xml:space="preserve">women. </w:t>
      </w:r>
      <w:r w:rsidRPr="004A132D">
        <w:rPr>
          <w:rFonts w:asciiTheme="minorHAnsi" w:hAnsiTheme="minorHAnsi"/>
        </w:rPr>
        <w:t xml:space="preserve">At the federal level, this includes </w:t>
      </w:r>
      <w:r w:rsidR="00C163FF" w:rsidRPr="004A132D">
        <w:rPr>
          <w:rFonts w:asciiTheme="minorHAnsi" w:hAnsiTheme="minorHAnsi"/>
          <w:lang w:val="en-AU"/>
        </w:rPr>
        <w:t xml:space="preserve">$172.6 million over </w:t>
      </w:r>
      <w:r w:rsidR="00520DF4" w:rsidRPr="004A132D">
        <w:rPr>
          <w:rFonts w:asciiTheme="minorHAnsi" w:hAnsiTheme="minorHAnsi"/>
          <w:lang w:val="en-AU"/>
        </w:rPr>
        <w:t>7</w:t>
      </w:r>
      <w:r w:rsidR="00C163FF" w:rsidRPr="004A132D">
        <w:rPr>
          <w:rFonts w:asciiTheme="minorHAnsi" w:hAnsiTheme="minorHAnsi"/>
          <w:lang w:val="en-AU"/>
        </w:rPr>
        <w:t xml:space="preserve"> years for the Safe Places Emergency Accommodation Program (Safe Places), which provides capital works grants to support the building, renovation or purchase of emergency accommodation to support women and children experiencing family and domestic violence. </w:t>
      </w:r>
      <w:r w:rsidR="00A42843" w:rsidRPr="004A132D">
        <w:rPr>
          <w:rFonts w:asciiTheme="minorHAnsi" w:hAnsiTheme="minorHAnsi"/>
          <w:lang w:val="en-AU"/>
        </w:rPr>
        <w:t xml:space="preserve">Of this funding, </w:t>
      </w:r>
      <w:r w:rsidR="00C163FF" w:rsidRPr="004A132D">
        <w:rPr>
          <w:rFonts w:asciiTheme="minorHAnsi" w:hAnsiTheme="minorHAnsi"/>
          <w:lang w:val="en-AU"/>
        </w:rPr>
        <w:t>$100 million will deliver the Safe Places Inclusion Round.</w:t>
      </w:r>
      <w:r w:rsidRPr="004A132D">
        <w:rPr>
          <w:rFonts w:asciiTheme="minorHAnsi" w:hAnsiTheme="minorHAnsi"/>
        </w:rPr>
        <w:t xml:space="preserve"> The Safe Places Inclusion Round focus</w:t>
      </w:r>
      <w:r w:rsidR="00D767B8" w:rsidRPr="004A132D">
        <w:rPr>
          <w:rFonts w:asciiTheme="minorHAnsi" w:hAnsiTheme="minorHAnsi"/>
        </w:rPr>
        <w:t>es</w:t>
      </w:r>
      <w:r w:rsidRPr="004A132D">
        <w:rPr>
          <w:rFonts w:asciiTheme="minorHAnsi" w:hAnsiTheme="minorHAnsi"/>
        </w:rPr>
        <w:t xml:space="preserve"> on improving access to appropriate emergency accommodation for First Nations women and children, women and children of culturally and linguistically diverse backgrounds, and women and children with disability. </w:t>
      </w:r>
    </w:p>
    <w:p w14:paraId="050DE9EE" w14:textId="77777777" w:rsidR="00982EE1" w:rsidRPr="005F6B4E" w:rsidRDefault="00427266" w:rsidP="005F6B4E">
      <w:pPr>
        <w:pStyle w:val="Heading1"/>
      </w:pPr>
      <w:bookmarkStart w:id="174" w:name="_Toc174011740"/>
      <w:bookmarkStart w:id="175" w:name="_Toc175556837"/>
      <w:r w:rsidRPr="005F6B4E">
        <w:t xml:space="preserve">Question 22: </w:t>
      </w:r>
      <w:r w:rsidR="00982EE1" w:rsidRPr="005F6B4E">
        <w:t>R</w:t>
      </w:r>
      <w:r w:rsidR="007C62CB" w:rsidRPr="005F6B4E">
        <w:t>efugee and asylum-seeking women</w:t>
      </w:r>
      <w:bookmarkEnd w:id="174"/>
      <w:bookmarkEnd w:id="175"/>
    </w:p>
    <w:p w14:paraId="01D40CFB" w14:textId="77777777" w:rsidR="00982EE1" w:rsidRPr="004A132D" w:rsidRDefault="007B6FAC" w:rsidP="007B6FAC">
      <w:pPr>
        <w:pStyle w:val="Heading2"/>
      </w:pPr>
      <w:bookmarkStart w:id="176" w:name="_Toc174011741"/>
      <w:bookmarkStart w:id="177" w:name="_Toc175556838"/>
      <w:r w:rsidRPr="004A132D">
        <w:t>Question 22a: Intercepting and returning asylum-seeking women and girls arriving by sea</w:t>
      </w:r>
      <w:bookmarkEnd w:id="176"/>
      <w:bookmarkEnd w:id="177"/>
    </w:p>
    <w:p w14:paraId="3F02B188" w14:textId="77777777" w:rsidR="002B5DE3" w:rsidRPr="004A132D" w:rsidRDefault="002B5DE3" w:rsidP="00532B5F">
      <w:pPr>
        <w:pStyle w:val="Numbers"/>
        <w:ind w:left="1418"/>
        <w:rPr>
          <w:rFonts w:asciiTheme="minorHAnsi" w:hAnsiTheme="minorHAnsi"/>
        </w:rPr>
      </w:pPr>
      <w:r w:rsidRPr="004A132D">
        <w:rPr>
          <w:rFonts w:asciiTheme="minorHAnsi" w:hAnsiTheme="minorHAnsi"/>
        </w:rPr>
        <w:t>The Australian Government remains committed to combatting maritime people smuggling in our region and preventing people, including women and girls, from risking their lives at sea. The Australian Government’s policy is to intercept any vessel seeking to reach Australia irregularly and to safely return those on board to their point of departure or country of origin, consistent with all applicable domestic and international laws.</w:t>
      </w:r>
    </w:p>
    <w:p w14:paraId="656178A9" w14:textId="77777777" w:rsidR="002B5DE3" w:rsidRPr="004A132D" w:rsidRDefault="006B7713" w:rsidP="00532B5F">
      <w:pPr>
        <w:pStyle w:val="Numbers"/>
        <w:ind w:left="1418"/>
        <w:rPr>
          <w:rFonts w:asciiTheme="minorHAnsi" w:hAnsiTheme="minorHAnsi"/>
        </w:rPr>
      </w:pPr>
      <w:r w:rsidRPr="004A132D">
        <w:rPr>
          <w:rFonts w:asciiTheme="minorHAnsi" w:hAnsiTheme="minorHAnsi"/>
        </w:rPr>
        <w:t>If people are unable to be safely returned, they will be transferred to Nauru. The Government of Nauru is responsible for assessing protection c</w:t>
      </w:r>
      <w:r w:rsidR="005119CC" w:rsidRPr="004A132D">
        <w:rPr>
          <w:rFonts w:asciiTheme="minorHAnsi" w:hAnsiTheme="minorHAnsi"/>
        </w:rPr>
        <w:t xml:space="preserve">laims. </w:t>
      </w:r>
    </w:p>
    <w:p w14:paraId="675EDC76" w14:textId="77777777" w:rsidR="002B5DE3" w:rsidRPr="004A132D" w:rsidRDefault="002B5DE3" w:rsidP="00532B5F">
      <w:pPr>
        <w:pStyle w:val="Numbers"/>
        <w:ind w:left="1418"/>
        <w:rPr>
          <w:rFonts w:asciiTheme="minorHAnsi" w:hAnsiTheme="minorHAnsi"/>
        </w:rPr>
      </w:pPr>
      <w:r w:rsidRPr="004A132D">
        <w:rPr>
          <w:rFonts w:asciiTheme="minorHAnsi" w:hAnsiTheme="minorHAnsi"/>
        </w:rPr>
        <w:lastRenderedPageBreak/>
        <w:t xml:space="preserve">Australia is committed to upholding its </w:t>
      </w:r>
      <w:r w:rsidRPr="004A132D">
        <w:rPr>
          <w:rFonts w:asciiTheme="minorHAnsi" w:hAnsiTheme="minorHAnsi"/>
          <w:i/>
        </w:rPr>
        <w:t>non-refoulement</w:t>
      </w:r>
      <w:r w:rsidRPr="004A132D">
        <w:rPr>
          <w:rFonts w:asciiTheme="minorHAnsi" w:hAnsiTheme="minorHAnsi"/>
        </w:rPr>
        <w:t xml:space="preserve"> obligations under the 1951 Convention Relating to the Status of Refugees and its 1967 Protocol (together referred to as the Refugee Convention) and other international human rights instruments to which it is a party.</w:t>
      </w:r>
    </w:p>
    <w:p w14:paraId="3D3C7861" w14:textId="77777777" w:rsidR="002B5DE3" w:rsidRPr="004A132D" w:rsidRDefault="002B5DE3" w:rsidP="00532B5F">
      <w:pPr>
        <w:pStyle w:val="Numbers"/>
        <w:ind w:left="1418"/>
        <w:rPr>
          <w:rFonts w:asciiTheme="minorHAnsi" w:hAnsiTheme="minorHAnsi"/>
        </w:rPr>
      </w:pPr>
      <w:r w:rsidRPr="004A132D">
        <w:rPr>
          <w:rFonts w:asciiTheme="minorHAnsi" w:hAnsiTheme="minorHAnsi"/>
        </w:rPr>
        <w:t>Australia does not return individuals to situations where they face persecution or a real risk of torture, cruel, inhuman or degrading treatment or punishment, arbitrary deprivation of life or the death penalty.</w:t>
      </w:r>
    </w:p>
    <w:p w14:paraId="53E2EF16" w14:textId="77777777" w:rsidR="00631390" w:rsidRPr="004A132D" w:rsidRDefault="00A11324" w:rsidP="00532B5F">
      <w:pPr>
        <w:pStyle w:val="Numbers"/>
        <w:ind w:left="1418"/>
        <w:rPr>
          <w:rFonts w:asciiTheme="minorHAnsi" w:hAnsiTheme="minorHAnsi"/>
        </w:rPr>
      </w:pPr>
      <w:r w:rsidRPr="004A132D">
        <w:rPr>
          <w:rFonts w:asciiTheme="minorHAnsi" w:hAnsiTheme="minorHAnsi"/>
        </w:rPr>
        <w:t xml:space="preserve">Australia is one of only a few resettlement countries that has a dedicated refugee visa program to assist women and their dependent(s) at risk. </w:t>
      </w:r>
      <w:r w:rsidR="00631390" w:rsidRPr="004A132D">
        <w:rPr>
          <w:rFonts w:asciiTheme="minorHAnsi" w:hAnsiTheme="minorHAnsi"/>
        </w:rPr>
        <w:t xml:space="preserve">The Woman at Risk visa subclass provides a pathway for the resettlement of women refugees and their dependents in vulnerable situations. </w:t>
      </w:r>
    </w:p>
    <w:p w14:paraId="43FB14A1" w14:textId="77777777" w:rsidR="00D71B62" w:rsidRPr="004A132D" w:rsidRDefault="00631390" w:rsidP="0094393C">
      <w:pPr>
        <w:pStyle w:val="Heading2"/>
        <w:keepNext/>
        <w:keepLines/>
      </w:pPr>
      <w:bookmarkStart w:id="178" w:name="_Toc174011742"/>
      <w:bookmarkStart w:id="179" w:name="_Toc175556839"/>
      <w:r w:rsidRPr="004A132D">
        <w:t xml:space="preserve">Question 22b: </w:t>
      </w:r>
      <w:r w:rsidR="00D71B62" w:rsidRPr="004A132D">
        <w:t>Regional processing arrangements</w:t>
      </w:r>
      <w:bookmarkEnd w:id="178"/>
      <w:bookmarkEnd w:id="179"/>
      <w:r w:rsidRPr="004A132D">
        <w:t xml:space="preserve"> </w:t>
      </w:r>
    </w:p>
    <w:p w14:paraId="12534513" w14:textId="6AD13CCD" w:rsidR="00D71B62" w:rsidRPr="004A132D" w:rsidRDefault="006B7713" w:rsidP="00532B5F">
      <w:pPr>
        <w:pStyle w:val="Numbers"/>
        <w:ind w:left="1418"/>
        <w:rPr>
          <w:rFonts w:asciiTheme="minorHAnsi" w:hAnsiTheme="minorHAnsi"/>
        </w:rPr>
      </w:pPr>
      <w:r w:rsidRPr="004A132D">
        <w:rPr>
          <w:rFonts w:asciiTheme="minorHAnsi" w:hAnsiTheme="minorHAnsi"/>
          <w:lang w:val="en-AU"/>
        </w:rPr>
        <w:t xml:space="preserve">The Australian Government remains committed to regional processing which provides a policy and operational response to maritime people smuggling. There has been one child in Nauru under regional processing arrangements since February 2019. This child and his parents were accommodated together, and have since voluntarily returned home. </w:t>
      </w:r>
    </w:p>
    <w:p w14:paraId="1F8DA28D" w14:textId="77777777" w:rsidR="00D71B62" w:rsidRPr="004A132D" w:rsidRDefault="00D71B62" w:rsidP="00532B5F">
      <w:pPr>
        <w:pStyle w:val="Numbers"/>
        <w:ind w:left="1418"/>
        <w:rPr>
          <w:rFonts w:asciiTheme="minorHAnsi" w:hAnsiTheme="minorHAnsi"/>
        </w:rPr>
      </w:pPr>
      <w:r w:rsidRPr="004A132D">
        <w:rPr>
          <w:rFonts w:asciiTheme="minorHAnsi" w:hAnsiTheme="minorHAnsi"/>
        </w:rPr>
        <w:t>The Government of Nauru is responsible for the conduct and operation of regional processing arrangements within its territory. Australia supports Nauru to ensure dedicated health and welfare services for women and girls are in place for any new arrivals taken to Nauru for regional processing.</w:t>
      </w:r>
    </w:p>
    <w:p w14:paraId="17A1BAFD" w14:textId="77777777" w:rsidR="00B957A7" w:rsidRPr="004A132D" w:rsidRDefault="00D71B62" w:rsidP="00532B5F">
      <w:pPr>
        <w:pStyle w:val="Numbers"/>
        <w:ind w:left="1418"/>
        <w:rPr>
          <w:rFonts w:asciiTheme="minorHAnsi" w:hAnsiTheme="minorHAnsi"/>
        </w:rPr>
      </w:pPr>
      <w:r w:rsidRPr="004A132D">
        <w:rPr>
          <w:rFonts w:asciiTheme="minorHAnsi" w:hAnsiTheme="minorHAnsi"/>
        </w:rPr>
        <w:t>Protection claims assessment for all individuals, including women and girls, under regional processing arrangements is a matter for the regional processing country under their domestic legislation.</w:t>
      </w:r>
    </w:p>
    <w:p w14:paraId="328F457E" w14:textId="7BF81473" w:rsidR="00D71B62" w:rsidRPr="004A132D" w:rsidRDefault="00D71B62" w:rsidP="00532B5F">
      <w:pPr>
        <w:pStyle w:val="Numbers"/>
        <w:ind w:left="1418"/>
        <w:rPr>
          <w:rFonts w:asciiTheme="minorHAnsi" w:hAnsiTheme="minorHAnsi"/>
        </w:rPr>
      </w:pPr>
      <w:r w:rsidRPr="004A132D">
        <w:rPr>
          <w:rFonts w:asciiTheme="minorHAnsi" w:hAnsiTheme="minorHAnsi"/>
        </w:rPr>
        <w:t xml:space="preserve">Protection visa applications are assessed against criteria set out in the </w:t>
      </w:r>
      <w:r w:rsidR="00670ED0" w:rsidRPr="004A132D">
        <w:rPr>
          <w:rFonts w:asciiTheme="minorHAnsi" w:hAnsiTheme="minorHAnsi"/>
          <w:i/>
        </w:rPr>
        <w:t xml:space="preserve">Migration Act 1958 </w:t>
      </w:r>
      <w:r w:rsidR="00670ED0" w:rsidRPr="004A132D">
        <w:rPr>
          <w:rFonts w:asciiTheme="minorHAnsi" w:hAnsiTheme="minorHAnsi"/>
        </w:rPr>
        <w:t>(Cth) (Migration Act)</w:t>
      </w:r>
      <w:r w:rsidR="00670ED0" w:rsidRPr="004A132D">
        <w:rPr>
          <w:rFonts w:asciiTheme="minorHAnsi" w:hAnsiTheme="minorHAnsi"/>
          <w:i/>
        </w:rPr>
        <w:t xml:space="preserve"> </w:t>
      </w:r>
      <w:r w:rsidRPr="004A132D">
        <w:rPr>
          <w:rFonts w:asciiTheme="minorHAnsi" w:hAnsiTheme="minorHAnsi"/>
        </w:rPr>
        <w:t xml:space="preserve">and the </w:t>
      </w:r>
      <w:r w:rsidRPr="004A132D">
        <w:rPr>
          <w:rFonts w:asciiTheme="minorHAnsi" w:hAnsiTheme="minorHAnsi"/>
          <w:i/>
        </w:rPr>
        <w:t>Migration Regulations 1994</w:t>
      </w:r>
      <w:r w:rsidR="00670ED0" w:rsidRPr="004A132D">
        <w:rPr>
          <w:rFonts w:asciiTheme="minorHAnsi" w:hAnsiTheme="minorHAnsi"/>
        </w:rPr>
        <w:t xml:space="preserve"> (Cth).</w:t>
      </w:r>
      <w:r w:rsidRPr="004A132D">
        <w:rPr>
          <w:rFonts w:asciiTheme="minorHAnsi" w:hAnsiTheme="minorHAnsi"/>
        </w:rPr>
        <w:t xml:space="preserve"> All protection claims are assessed individually on their own merits and the particular circumstances of the applicant are taken into consideration.</w:t>
      </w:r>
    </w:p>
    <w:p w14:paraId="3D69B47C" w14:textId="77777777" w:rsidR="00170F7F" w:rsidRPr="004A132D" w:rsidRDefault="00D71B62" w:rsidP="00532B5F">
      <w:pPr>
        <w:pStyle w:val="Numbers"/>
        <w:ind w:left="1418"/>
        <w:rPr>
          <w:rFonts w:asciiTheme="minorHAnsi" w:hAnsiTheme="minorHAnsi"/>
        </w:rPr>
      </w:pPr>
      <w:r w:rsidRPr="004A132D">
        <w:rPr>
          <w:rFonts w:asciiTheme="minorHAnsi" w:hAnsiTheme="minorHAnsi"/>
        </w:rPr>
        <w:t xml:space="preserve">The </w:t>
      </w:r>
      <w:r w:rsidR="007A4128" w:rsidRPr="004A132D">
        <w:rPr>
          <w:rFonts w:asciiTheme="minorHAnsi" w:hAnsiTheme="minorHAnsi"/>
        </w:rPr>
        <w:t xml:space="preserve">Australian Government </w:t>
      </w:r>
      <w:r w:rsidRPr="004A132D">
        <w:rPr>
          <w:rFonts w:asciiTheme="minorHAnsi" w:hAnsiTheme="minorHAnsi"/>
        </w:rPr>
        <w:t xml:space="preserve">acknowledges that women may experience </w:t>
      </w:r>
      <w:r w:rsidR="007A4128" w:rsidRPr="004A132D">
        <w:rPr>
          <w:rFonts w:asciiTheme="minorHAnsi" w:hAnsiTheme="minorHAnsi"/>
        </w:rPr>
        <w:t xml:space="preserve">particular </w:t>
      </w:r>
      <w:r w:rsidRPr="004A132D">
        <w:rPr>
          <w:rFonts w:asciiTheme="minorHAnsi" w:hAnsiTheme="minorHAnsi"/>
        </w:rPr>
        <w:t xml:space="preserve">persecution, harm and discrimination because of their gender or specific </w:t>
      </w:r>
      <w:r w:rsidRPr="004A132D">
        <w:rPr>
          <w:rFonts w:asciiTheme="minorHAnsi" w:hAnsiTheme="minorHAnsi"/>
        </w:rPr>
        <w:lastRenderedPageBreak/>
        <w:t>to their gender.</w:t>
      </w:r>
      <w:r w:rsidR="007A4128" w:rsidRPr="004A132D">
        <w:rPr>
          <w:rFonts w:asciiTheme="minorHAnsi" w:hAnsiTheme="minorHAnsi"/>
        </w:rPr>
        <w:t xml:space="preserve"> </w:t>
      </w:r>
      <w:r w:rsidRPr="004A132D">
        <w:rPr>
          <w:rFonts w:asciiTheme="minorHAnsi" w:hAnsiTheme="minorHAnsi"/>
        </w:rPr>
        <w:t xml:space="preserve">Visa decision makers are supported, to effectively and sensitively address and assess claims related to </w:t>
      </w:r>
      <w:r w:rsidR="007A4128" w:rsidRPr="004A132D">
        <w:rPr>
          <w:rFonts w:asciiTheme="minorHAnsi" w:hAnsiTheme="minorHAnsi"/>
        </w:rPr>
        <w:t>gender. V</w:t>
      </w:r>
      <w:r w:rsidRPr="004A132D">
        <w:rPr>
          <w:rFonts w:asciiTheme="minorHAnsi" w:hAnsiTheme="minorHAnsi"/>
        </w:rPr>
        <w:t>isa decision makers also undertake Domestic Violence Interview training.</w:t>
      </w:r>
    </w:p>
    <w:p w14:paraId="1B3DDE5A" w14:textId="77777777" w:rsidR="003A0FAF" w:rsidRPr="004A132D" w:rsidRDefault="007C62AF" w:rsidP="008C4A44">
      <w:pPr>
        <w:pStyle w:val="Heading2"/>
      </w:pPr>
      <w:bookmarkStart w:id="180" w:name="_Toc174011743"/>
      <w:bookmarkStart w:id="181" w:name="_Toc175556840"/>
      <w:r w:rsidRPr="004A132D">
        <w:t xml:space="preserve">Question 22c: </w:t>
      </w:r>
      <w:r w:rsidR="00D8614C" w:rsidRPr="004A132D">
        <w:t>Mandatory detention</w:t>
      </w:r>
      <w:bookmarkEnd w:id="180"/>
      <w:bookmarkEnd w:id="181"/>
      <w:r w:rsidR="00D8614C" w:rsidRPr="004A132D">
        <w:t xml:space="preserve"> </w:t>
      </w:r>
    </w:p>
    <w:p w14:paraId="2F87EC5A" w14:textId="77777777" w:rsidR="00B957A7" w:rsidRPr="004A132D" w:rsidRDefault="00767D57" w:rsidP="00532B5F">
      <w:pPr>
        <w:pStyle w:val="Numbers"/>
        <w:ind w:left="1418"/>
        <w:rPr>
          <w:rFonts w:asciiTheme="minorHAnsi" w:hAnsiTheme="minorHAnsi"/>
        </w:rPr>
      </w:pPr>
      <w:r w:rsidRPr="004A132D">
        <w:rPr>
          <w:rFonts w:asciiTheme="minorHAnsi" w:hAnsiTheme="minorHAnsi"/>
        </w:rPr>
        <w:t xml:space="preserve">Immigration detention supports Australia’s well-managed migration system and is used to manage potential risks to the Australian community, including national security, health and character risks. </w:t>
      </w:r>
      <w:r w:rsidR="00B957A7" w:rsidRPr="004A132D">
        <w:rPr>
          <w:rFonts w:asciiTheme="minorHAnsi" w:hAnsiTheme="minorHAnsi"/>
        </w:rPr>
        <w:t xml:space="preserve">Under the </w:t>
      </w:r>
      <w:r w:rsidR="00670ED0" w:rsidRPr="004A132D">
        <w:rPr>
          <w:rFonts w:asciiTheme="minorHAnsi" w:hAnsiTheme="minorHAnsi"/>
        </w:rPr>
        <w:t>Migration Act</w:t>
      </w:r>
      <w:r w:rsidR="00B957A7" w:rsidRPr="004A132D">
        <w:rPr>
          <w:rFonts w:asciiTheme="minorHAnsi" w:hAnsiTheme="minorHAnsi"/>
        </w:rPr>
        <w:t xml:space="preserve">, a person who does not hold a valid visa is an unlawful non-citizen and must be detained. </w:t>
      </w:r>
    </w:p>
    <w:p w14:paraId="0C830161" w14:textId="21F141A9" w:rsidR="00767D57" w:rsidRPr="004A132D" w:rsidRDefault="00767D57" w:rsidP="00532B5F">
      <w:pPr>
        <w:pStyle w:val="Numbers"/>
        <w:ind w:left="1418"/>
        <w:rPr>
          <w:rFonts w:asciiTheme="minorHAnsi" w:hAnsiTheme="minorHAnsi"/>
        </w:rPr>
      </w:pPr>
      <w:r w:rsidRPr="004A132D">
        <w:rPr>
          <w:rFonts w:asciiTheme="minorHAnsi" w:hAnsiTheme="minorHAnsi"/>
        </w:rPr>
        <w:t xml:space="preserve"> Immigration detention is used as a last resort. Whenever possible, </w:t>
      </w:r>
      <w:r w:rsidR="002C5B52" w:rsidRPr="004A132D">
        <w:rPr>
          <w:rFonts w:asciiTheme="minorHAnsi" w:hAnsiTheme="minorHAnsi"/>
        </w:rPr>
        <w:t xml:space="preserve">people who are unlawful non-citizens </w:t>
      </w:r>
      <w:r w:rsidR="00B5680F" w:rsidRPr="004A132D">
        <w:rPr>
          <w:rFonts w:asciiTheme="minorHAnsi" w:hAnsiTheme="minorHAnsi"/>
        </w:rPr>
        <w:t xml:space="preserve">and </w:t>
      </w:r>
      <w:r w:rsidR="009F33CC" w:rsidRPr="004A132D">
        <w:rPr>
          <w:rFonts w:asciiTheme="minorHAnsi" w:hAnsiTheme="minorHAnsi"/>
        </w:rPr>
        <w:t xml:space="preserve">face detention </w:t>
      </w:r>
      <w:r w:rsidRPr="004A132D">
        <w:rPr>
          <w:rFonts w:asciiTheme="minorHAnsi" w:hAnsiTheme="minorHAnsi"/>
        </w:rPr>
        <w:t xml:space="preserve">are accommodated in the community or in less restrictive placement, in particular where children are involved. </w:t>
      </w:r>
    </w:p>
    <w:p w14:paraId="18D8A10F" w14:textId="77777777" w:rsidR="00767D57" w:rsidRPr="004A132D" w:rsidRDefault="002C5B52" w:rsidP="00532B5F">
      <w:pPr>
        <w:pStyle w:val="Numbers"/>
        <w:ind w:left="1418"/>
        <w:rPr>
          <w:rFonts w:asciiTheme="minorHAnsi" w:hAnsiTheme="minorHAnsi"/>
        </w:rPr>
      </w:pPr>
      <w:r w:rsidRPr="004A132D">
        <w:rPr>
          <w:rFonts w:asciiTheme="minorHAnsi" w:hAnsiTheme="minorHAnsi"/>
        </w:rPr>
        <w:t>People</w:t>
      </w:r>
      <w:r w:rsidR="00767D57" w:rsidRPr="004A132D">
        <w:rPr>
          <w:rFonts w:asciiTheme="minorHAnsi" w:hAnsiTheme="minorHAnsi"/>
        </w:rPr>
        <w:t xml:space="preserve"> who </w:t>
      </w:r>
      <w:r w:rsidRPr="004A132D">
        <w:rPr>
          <w:rFonts w:asciiTheme="minorHAnsi" w:hAnsiTheme="minorHAnsi"/>
        </w:rPr>
        <w:t xml:space="preserve">are unlawful non-citizens and who </w:t>
      </w:r>
      <w:r w:rsidR="00767D57" w:rsidRPr="004A132D">
        <w:rPr>
          <w:rFonts w:asciiTheme="minorHAnsi" w:hAnsiTheme="minorHAnsi"/>
        </w:rPr>
        <w:t>are detained are subject to placement in immigration detention facilities. Decisions about the most appropriate immigration detention accommodation are determined on a case-by-case basis and involve consideration of a number of factors including the operational capacity of each facility, and the s</w:t>
      </w:r>
      <w:r w:rsidR="00B957A7" w:rsidRPr="004A132D">
        <w:rPr>
          <w:rFonts w:asciiTheme="minorHAnsi" w:hAnsiTheme="minorHAnsi"/>
        </w:rPr>
        <w:t xml:space="preserve">afety and security of </w:t>
      </w:r>
      <w:r w:rsidR="00F15568" w:rsidRPr="004A132D">
        <w:rPr>
          <w:rFonts w:asciiTheme="minorHAnsi" w:hAnsiTheme="minorHAnsi"/>
        </w:rPr>
        <w:t>people who are unlawful non-citizens</w:t>
      </w:r>
      <w:r w:rsidR="00B957A7" w:rsidRPr="004A132D">
        <w:rPr>
          <w:rFonts w:asciiTheme="minorHAnsi" w:hAnsiTheme="minorHAnsi"/>
        </w:rPr>
        <w:t>, staff and visitors</w:t>
      </w:r>
      <w:r w:rsidR="00767D57" w:rsidRPr="004A132D">
        <w:rPr>
          <w:rFonts w:asciiTheme="minorHAnsi" w:hAnsiTheme="minorHAnsi"/>
        </w:rPr>
        <w:t>.</w:t>
      </w:r>
    </w:p>
    <w:p w14:paraId="49A7867A" w14:textId="65652C9D" w:rsidR="00170F7F" w:rsidRPr="004A132D" w:rsidRDefault="00767D57" w:rsidP="00532B5F">
      <w:pPr>
        <w:pStyle w:val="Numbers"/>
        <w:ind w:left="1418"/>
        <w:rPr>
          <w:rFonts w:asciiTheme="minorHAnsi" w:hAnsiTheme="minorHAnsi"/>
        </w:rPr>
      </w:pPr>
      <w:r w:rsidRPr="004A132D">
        <w:rPr>
          <w:rFonts w:asciiTheme="minorHAnsi" w:hAnsiTheme="minorHAnsi"/>
        </w:rPr>
        <w:t xml:space="preserve">As </w:t>
      </w:r>
      <w:r w:rsidR="00581AF8" w:rsidRPr="004A132D">
        <w:rPr>
          <w:rFonts w:asciiTheme="minorHAnsi" w:hAnsiTheme="minorHAnsi"/>
        </w:rPr>
        <w:t>of</w:t>
      </w:r>
      <w:r w:rsidRPr="004A132D">
        <w:rPr>
          <w:rFonts w:asciiTheme="minorHAnsi" w:hAnsiTheme="minorHAnsi"/>
        </w:rPr>
        <w:t xml:space="preserve"> 30 </w:t>
      </w:r>
      <w:r w:rsidR="00B5680F" w:rsidRPr="004A132D">
        <w:rPr>
          <w:rFonts w:asciiTheme="minorHAnsi" w:hAnsiTheme="minorHAnsi"/>
        </w:rPr>
        <w:t>April 2024</w:t>
      </w:r>
      <w:r w:rsidRPr="004A132D">
        <w:rPr>
          <w:rFonts w:asciiTheme="minorHAnsi" w:hAnsiTheme="minorHAnsi"/>
        </w:rPr>
        <w:t xml:space="preserve">, there are </w:t>
      </w:r>
      <w:r w:rsidR="0055000C" w:rsidRPr="004A132D">
        <w:rPr>
          <w:rFonts w:asciiTheme="minorHAnsi" w:hAnsiTheme="minorHAnsi"/>
        </w:rPr>
        <w:t>50</w:t>
      </w:r>
      <w:r w:rsidRPr="004A132D">
        <w:rPr>
          <w:rFonts w:asciiTheme="minorHAnsi" w:hAnsiTheme="minorHAnsi"/>
        </w:rPr>
        <w:t xml:space="preserve"> </w:t>
      </w:r>
      <w:r w:rsidR="00B957A7" w:rsidRPr="004A132D">
        <w:rPr>
          <w:rFonts w:asciiTheme="minorHAnsi" w:hAnsiTheme="minorHAnsi"/>
        </w:rPr>
        <w:t>women</w:t>
      </w:r>
      <w:r w:rsidRPr="004A132D">
        <w:rPr>
          <w:rFonts w:asciiTheme="minorHAnsi" w:hAnsiTheme="minorHAnsi"/>
        </w:rPr>
        <w:t xml:space="preserve"> held in immigration detention</w:t>
      </w:r>
      <w:r w:rsidR="00B957A7" w:rsidRPr="004A132D">
        <w:rPr>
          <w:rFonts w:asciiTheme="minorHAnsi" w:hAnsiTheme="minorHAnsi"/>
        </w:rPr>
        <w:t>,</w:t>
      </w:r>
      <w:r w:rsidRPr="004A132D">
        <w:rPr>
          <w:rFonts w:asciiTheme="minorHAnsi" w:hAnsiTheme="minorHAnsi"/>
        </w:rPr>
        <w:t xml:space="preserve"> representing less than </w:t>
      </w:r>
      <w:r w:rsidR="00C944BD" w:rsidRPr="004A132D">
        <w:rPr>
          <w:rFonts w:asciiTheme="minorHAnsi" w:hAnsiTheme="minorHAnsi"/>
        </w:rPr>
        <w:t>6</w:t>
      </w:r>
      <w:r w:rsidRPr="004A132D">
        <w:rPr>
          <w:rFonts w:asciiTheme="minorHAnsi" w:hAnsiTheme="minorHAnsi"/>
        </w:rPr>
        <w:t xml:space="preserve"> per cent of the total detention population. More than </w:t>
      </w:r>
      <w:r w:rsidR="00581AF8" w:rsidRPr="004A132D">
        <w:rPr>
          <w:rFonts w:asciiTheme="minorHAnsi" w:hAnsiTheme="minorHAnsi"/>
        </w:rPr>
        <w:br/>
      </w:r>
      <w:r w:rsidR="00D93B2D" w:rsidRPr="004A132D">
        <w:rPr>
          <w:rFonts w:asciiTheme="minorHAnsi" w:hAnsiTheme="minorHAnsi"/>
        </w:rPr>
        <w:t>4</w:t>
      </w:r>
      <w:r w:rsidRPr="004A132D">
        <w:rPr>
          <w:rFonts w:asciiTheme="minorHAnsi" w:hAnsiTheme="minorHAnsi"/>
        </w:rPr>
        <w:t xml:space="preserve">0 per cent </w:t>
      </w:r>
      <w:r w:rsidR="00B957A7" w:rsidRPr="004A132D">
        <w:rPr>
          <w:rFonts w:asciiTheme="minorHAnsi" w:hAnsiTheme="minorHAnsi"/>
        </w:rPr>
        <w:t xml:space="preserve">of these women </w:t>
      </w:r>
      <w:r w:rsidRPr="004A132D">
        <w:rPr>
          <w:rFonts w:asciiTheme="minorHAnsi" w:hAnsiTheme="minorHAnsi"/>
        </w:rPr>
        <w:t>had their visa cancelled under section 501 of the Migration Act</w:t>
      </w:r>
      <w:r w:rsidR="00F15568" w:rsidRPr="004A132D">
        <w:rPr>
          <w:rFonts w:asciiTheme="minorHAnsi" w:hAnsiTheme="minorHAnsi"/>
        </w:rPr>
        <w:t xml:space="preserve"> – also known as the ‘character test’</w:t>
      </w:r>
      <w:r w:rsidRPr="004A132D">
        <w:rPr>
          <w:rFonts w:asciiTheme="minorHAnsi" w:hAnsiTheme="minorHAnsi"/>
        </w:rPr>
        <w:t xml:space="preserve">. There are no </w:t>
      </w:r>
      <w:r w:rsidR="00F15568" w:rsidRPr="004A132D">
        <w:rPr>
          <w:rFonts w:asciiTheme="minorHAnsi" w:hAnsiTheme="minorHAnsi"/>
        </w:rPr>
        <w:t xml:space="preserve">women who arrived in Australia by sea and became unlawful non-citizens upon entry </w:t>
      </w:r>
      <w:r w:rsidRPr="004A132D">
        <w:rPr>
          <w:rFonts w:asciiTheme="minorHAnsi" w:hAnsiTheme="minorHAnsi"/>
        </w:rPr>
        <w:t xml:space="preserve">held in </w:t>
      </w:r>
      <w:r w:rsidR="00B957A7" w:rsidRPr="004A132D">
        <w:rPr>
          <w:rFonts w:asciiTheme="minorHAnsi" w:hAnsiTheme="minorHAnsi"/>
        </w:rPr>
        <w:t>immigration detention</w:t>
      </w:r>
      <w:r w:rsidRPr="004A132D">
        <w:rPr>
          <w:rFonts w:asciiTheme="minorHAnsi" w:hAnsiTheme="minorHAnsi"/>
        </w:rPr>
        <w:t>.</w:t>
      </w:r>
    </w:p>
    <w:p w14:paraId="3ADEE1D8" w14:textId="77777777" w:rsidR="0024159C" w:rsidRPr="004A132D" w:rsidRDefault="006D30B6" w:rsidP="009F33CC">
      <w:pPr>
        <w:pStyle w:val="Heading2"/>
        <w:keepNext/>
      </w:pPr>
      <w:bookmarkStart w:id="182" w:name="_Toc174011744"/>
      <w:bookmarkStart w:id="183" w:name="_Toc175556841"/>
      <w:r w:rsidRPr="004A132D">
        <w:t xml:space="preserve">Question 22d: </w:t>
      </w:r>
      <w:r w:rsidR="00485815" w:rsidRPr="004A132D">
        <w:t>Access to health and education</w:t>
      </w:r>
      <w:bookmarkEnd w:id="182"/>
      <w:bookmarkEnd w:id="183"/>
      <w:r w:rsidR="00485815" w:rsidRPr="004A132D">
        <w:t xml:space="preserve"> </w:t>
      </w:r>
    </w:p>
    <w:p w14:paraId="138AE80C" w14:textId="77777777" w:rsidR="0024159C" w:rsidRPr="004A132D" w:rsidRDefault="0024159C" w:rsidP="00532B5F">
      <w:pPr>
        <w:pStyle w:val="Numbers"/>
        <w:ind w:left="1418"/>
        <w:rPr>
          <w:rFonts w:asciiTheme="minorHAnsi" w:hAnsiTheme="minorHAnsi"/>
        </w:rPr>
      </w:pPr>
      <w:r w:rsidRPr="004A132D">
        <w:rPr>
          <w:rFonts w:asciiTheme="minorHAnsi" w:hAnsiTheme="minorHAnsi"/>
        </w:rPr>
        <w:t xml:space="preserve">The </w:t>
      </w:r>
      <w:r w:rsidR="00E94B6C" w:rsidRPr="004A132D">
        <w:rPr>
          <w:rFonts w:asciiTheme="minorHAnsi" w:hAnsiTheme="minorHAnsi"/>
        </w:rPr>
        <w:t>Australian Government</w:t>
      </w:r>
      <w:r w:rsidRPr="004A132D">
        <w:rPr>
          <w:rFonts w:asciiTheme="minorHAnsi" w:hAnsiTheme="minorHAnsi"/>
        </w:rPr>
        <w:t xml:space="preserve"> </w:t>
      </w:r>
      <w:r w:rsidR="00E94B6C" w:rsidRPr="004A132D">
        <w:rPr>
          <w:rFonts w:asciiTheme="minorHAnsi" w:hAnsiTheme="minorHAnsi"/>
        </w:rPr>
        <w:t>has</w:t>
      </w:r>
      <w:r w:rsidRPr="004A132D">
        <w:rPr>
          <w:rFonts w:asciiTheme="minorHAnsi" w:hAnsiTheme="minorHAnsi"/>
        </w:rPr>
        <w:t xml:space="preserve"> contracted two service providers to deliver services to </w:t>
      </w:r>
      <w:r w:rsidR="00D8614C" w:rsidRPr="004A132D">
        <w:rPr>
          <w:rFonts w:asciiTheme="minorHAnsi" w:hAnsiTheme="minorHAnsi"/>
        </w:rPr>
        <w:t>people</w:t>
      </w:r>
      <w:r w:rsidRPr="004A132D">
        <w:rPr>
          <w:rFonts w:asciiTheme="minorHAnsi" w:hAnsiTheme="minorHAnsi"/>
        </w:rPr>
        <w:t xml:space="preserve"> in </w:t>
      </w:r>
      <w:r w:rsidR="00E94B6C" w:rsidRPr="004A132D">
        <w:rPr>
          <w:rFonts w:asciiTheme="minorHAnsi" w:hAnsiTheme="minorHAnsi"/>
        </w:rPr>
        <w:t>immigration detention</w:t>
      </w:r>
      <w:r w:rsidRPr="004A132D">
        <w:rPr>
          <w:rFonts w:asciiTheme="minorHAnsi" w:hAnsiTheme="minorHAnsi"/>
        </w:rPr>
        <w:t xml:space="preserve">. </w:t>
      </w:r>
      <w:r w:rsidR="00E94B6C" w:rsidRPr="004A132D">
        <w:rPr>
          <w:rFonts w:asciiTheme="minorHAnsi" w:hAnsiTheme="minorHAnsi"/>
        </w:rPr>
        <w:t>The</w:t>
      </w:r>
      <w:r w:rsidRPr="004A132D">
        <w:rPr>
          <w:rFonts w:asciiTheme="minorHAnsi" w:hAnsiTheme="minorHAnsi"/>
        </w:rPr>
        <w:t xml:space="preserve"> Facilities</w:t>
      </w:r>
      <w:r w:rsidR="00170F7F" w:rsidRPr="004A132D">
        <w:rPr>
          <w:rFonts w:asciiTheme="minorHAnsi" w:hAnsiTheme="minorHAnsi"/>
        </w:rPr>
        <w:t xml:space="preserve"> and Detainee Services Provider</w:t>
      </w:r>
      <w:r w:rsidRPr="004A132D">
        <w:rPr>
          <w:rFonts w:asciiTheme="minorHAnsi" w:hAnsiTheme="minorHAnsi"/>
        </w:rPr>
        <w:t xml:space="preserve"> delivers security, garrison, welfare and facilities management services</w:t>
      </w:r>
      <w:r w:rsidR="00E94B6C" w:rsidRPr="004A132D">
        <w:rPr>
          <w:rFonts w:asciiTheme="minorHAnsi" w:hAnsiTheme="minorHAnsi"/>
        </w:rPr>
        <w:t>,</w:t>
      </w:r>
      <w:r w:rsidRPr="004A132D">
        <w:rPr>
          <w:rFonts w:asciiTheme="minorHAnsi" w:hAnsiTheme="minorHAnsi"/>
        </w:rPr>
        <w:t xml:space="preserve"> while the Detention Health Services Provider provides health and wellbeing services to detainees. </w:t>
      </w:r>
    </w:p>
    <w:p w14:paraId="52F4E043" w14:textId="7659E55B" w:rsidR="0024159C" w:rsidRPr="004A132D" w:rsidRDefault="0024159C" w:rsidP="004A132D">
      <w:pPr>
        <w:pStyle w:val="Numbers"/>
        <w:ind w:left="1418"/>
        <w:rPr>
          <w:rFonts w:asciiTheme="minorHAnsi" w:hAnsiTheme="minorHAnsi"/>
        </w:rPr>
      </w:pPr>
      <w:r w:rsidRPr="004A132D">
        <w:rPr>
          <w:rFonts w:asciiTheme="minorHAnsi" w:hAnsiTheme="minorHAnsi"/>
        </w:rPr>
        <w:lastRenderedPageBreak/>
        <w:t xml:space="preserve">Healthcare services for </w:t>
      </w:r>
      <w:r w:rsidR="00E94B6C" w:rsidRPr="004A132D">
        <w:rPr>
          <w:rFonts w:asciiTheme="minorHAnsi" w:hAnsiTheme="minorHAnsi"/>
        </w:rPr>
        <w:t>people in immigration detention</w:t>
      </w:r>
      <w:r w:rsidRPr="004A132D">
        <w:rPr>
          <w:rFonts w:asciiTheme="minorHAnsi" w:hAnsiTheme="minorHAnsi"/>
        </w:rPr>
        <w:t xml:space="preserve"> are broadly comparable with those available within the Australian community under the Australian public health system. Detention health services are provided within an integrated primary care framework, delivered by a multidisciplinary team. </w:t>
      </w:r>
      <w:r w:rsidR="00E94B6C" w:rsidRPr="004A132D">
        <w:rPr>
          <w:rFonts w:asciiTheme="minorHAnsi" w:hAnsiTheme="minorHAnsi"/>
        </w:rPr>
        <w:t>The Detention Health Services Provider also provides regular health information to all people in immigration detention</w:t>
      </w:r>
      <w:r w:rsidR="006D30B6" w:rsidRPr="004A132D">
        <w:rPr>
          <w:rFonts w:asciiTheme="minorHAnsi" w:hAnsiTheme="minorHAnsi"/>
        </w:rPr>
        <w:t xml:space="preserve"> which includes women’s health topics, lifecycle information, contraception, sexual and reproductive health, as well as breast and ovarian cancer</w:t>
      </w:r>
      <w:r w:rsidR="00E94B6C" w:rsidRPr="004A132D">
        <w:rPr>
          <w:rFonts w:asciiTheme="minorHAnsi" w:hAnsiTheme="minorHAnsi"/>
        </w:rPr>
        <w:t>.</w:t>
      </w:r>
    </w:p>
    <w:p w14:paraId="174C4442" w14:textId="77777777" w:rsidR="0024159C" w:rsidRPr="004A132D" w:rsidRDefault="00E94B6C" w:rsidP="00532B5F">
      <w:pPr>
        <w:pStyle w:val="Numbers"/>
        <w:ind w:left="1418"/>
        <w:rPr>
          <w:rFonts w:asciiTheme="minorHAnsi" w:hAnsiTheme="minorHAnsi"/>
        </w:rPr>
      </w:pPr>
      <w:r w:rsidRPr="004A132D">
        <w:rPr>
          <w:rFonts w:asciiTheme="minorHAnsi" w:hAnsiTheme="minorHAnsi"/>
        </w:rPr>
        <w:t>The Detention Health Services Provider</w:t>
      </w:r>
      <w:r w:rsidR="0024159C" w:rsidRPr="004A132D">
        <w:rPr>
          <w:rFonts w:asciiTheme="minorHAnsi" w:hAnsiTheme="minorHAnsi"/>
        </w:rPr>
        <w:t xml:space="preserve"> provides acc</w:t>
      </w:r>
      <w:r w:rsidR="0051427F" w:rsidRPr="004A132D">
        <w:rPr>
          <w:rFonts w:asciiTheme="minorHAnsi" w:hAnsiTheme="minorHAnsi"/>
        </w:rPr>
        <w:t xml:space="preserve">ess to </w:t>
      </w:r>
      <w:r w:rsidR="006F1EB7" w:rsidRPr="004A132D">
        <w:rPr>
          <w:rFonts w:asciiTheme="minorHAnsi" w:hAnsiTheme="minorHAnsi"/>
        </w:rPr>
        <w:t xml:space="preserve">sexual </w:t>
      </w:r>
      <w:r w:rsidRPr="004A132D">
        <w:rPr>
          <w:rFonts w:asciiTheme="minorHAnsi" w:hAnsiTheme="minorHAnsi"/>
        </w:rPr>
        <w:t>and reproductive health services, including</w:t>
      </w:r>
      <w:r w:rsidR="0024159C" w:rsidRPr="004A132D">
        <w:rPr>
          <w:rFonts w:asciiTheme="minorHAnsi" w:hAnsiTheme="minorHAnsi"/>
        </w:rPr>
        <w:t xml:space="preserve"> antenatal screening and obstetrics, termination of pregnancy if requested, emergency contrac</w:t>
      </w:r>
      <w:r w:rsidR="00F15568" w:rsidRPr="004A132D">
        <w:rPr>
          <w:rFonts w:asciiTheme="minorHAnsi" w:hAnsiTheme="minorHAnsi"/>
        </w:rPr>
        <w:t>eption and assistance to victims and survivors</w:t>
      </w:r>
      <w:r w:rsidR="0024159C" w:rsidRPr="004A132D">
        <w:rPr>
          <w:rFonts w:asciiTheme="minorHAnsi" w:hAnsiTheme="minorHAnsi"/>
        </w:rPr>
        <w:t xml:space="preserve"> of female genital mutilation and family violence. </w:t>
      </w:r>
    </w:p>
    <w:p w14:paraId="63E34A40" w14:textId="77777777" w:rsidR="0024159C" w:rsidRPr="004A132D" w:rsidRDefault="0024159C" w:rsidP="00532B5F">
      <w:pPr>
        <w:pStyle w:val="Numbers"/>
        <w:ind w:left="1418"/>
        <w:rPr>
          <w:rFonts w:asciiTheme="minorHAnsi" w:hAnsiTheme="minorHAnsi"/>
        </w:rPr>
      </w:pPr>
      <w:r w:rsidRPr="004A132D">
        <w:rPr>
          <w:rFonts w:asciiTheme="minorHAnsi" w:hAnsiTheme="minorHAnsi"/>
        </w:rPr>
        <w:t>Culturally appropriate interpreters and support</w:t>
      </w:r>
      <w:r w:rsidR="00E94B6C" w:rsidRPr="004A132D">
        <w:rPr>
          <w:rFonts w:asciiTheme="minorHAnsi" w:hAnsiTheme="minorHAnsi"/>
        </w:rPr>
        <w:t xml:space="preserve"> services are provided in immigration detention and</w:t>
      </w:r>
      <w:r w:rsidRPr="004A132D">
        <w:rPr>
          <w:rFonts w:asciiTheme="minorHAnsi" w:hAnsiTheme="minorHAnsi"/>
        </w:rPr>
        <w:t xml:space="preserve"> all care is </w:t>
      </w:r>
      <w:r w:rsidR="00E94B6C" w:rsidRPr="004A132D">
        <w:rPr>
          <w:rFonts w:asciiTheme="minorHAnsi" w:hAnsiTheme="minorHAnsi"/>
        </w:rPr>
        <w:t xml:space="preserve">taken to ensure interpreters and </w:t>
      </w:r>
      <w:r w:rsidRPr="004A132D">
        <w:rPr>
          <w:rFonts w:asciiTheme="minorHAnsi" w:hAnsiTheme="minorHAnsi"/>
        </w:rPr>
        <w:t>support service</w:t>
      </w:r>
      <w:r w:rsidR="00E94B6C" w:rsidRPr="004A132D">
        <w:rPr>
          <w:rFonts w:asciiTheme="minorHAnsi" w:hAnsiTheme="minorHAnsi"/>
        </w:rPr>
        <w:t>s</w:t>
      </w:r>
      <w:r w:rsidRPr="004A132D">
        <w:rPr>
          <w:rFonts w:asciiTheme="minorHAnsi" w:hAnsiTheme="minorHAnsi"/>
        </w:rPr>
        <w:t xml:space="preserve"> </w:t>
      </w:r>
      <w:r w:rsidR="00E94B6C" w:rsidRPr="004A132D">
        <w:rPr>
          <w:rFonts w:asciiTheme="minorHAnsi" w:hAnsiTheme="minorHAnsi"/>
        </w:rPr>
        <w:t>are</w:t>
      </w:r>
      <w:r w:rsidRPr="004A132D">
        <w:rPr>
          <w:rFonts w:asciiTheme="minorHAnsi" w:hAnsiTheme="minorHAnsi"/>
        </w:rPr>
        <w:t xml:space="preserve"> </w:t>
      </w:r>
      <w:r w:rsidR="00E94B6C" w:rsidRPr="004A132D">
        <w:rPr>
          <w:rFonts w:asciiTheme="minorHAnsi" w:hAnsiTheme="minorHAnsi"/>
        </w:rPr>
        <w:t xml:space="preserve">responsive </w:t>
      </w:r>
      <w:r w:rsidR="00902C35" w:rsidRPr="004A132D">
        <w:rPr>
          <w:rFonts w:asciiTheme="minorHAnsi" w:hAnsiTheme="minorHAnsi"/>
        </w:rPr>
        <w:t>to gender, culture and religion. Steps are taken</w:t>
      </w:r>
      <w:r w:rsidRPr="004A132D">
        <w:rPr>
          <w:rFonts w:asciiTheme="minorHAnsi" w:hAnsiTheme="minorHAnsi"/>
        </w:rPr>
        <w:t xml:space="preserve"> to ensure confidentiality and provide reassurance of </w:t>
      </w:r>
      <w:r w:rsidR="00902C35" w:rsidRPr="004A132D">
        <w:rPr>
          <w:rFonts w:asciiTheme="minorHAnsi" w:hAnsiTheme="minorHAnsi"/>
        </w:rPr>
        <w:t>confidentiality</w:t>
      </w:r>
      <w:r w:rsidRPr="004A132D">
        <w:rPr>
          <w:rFonts w:asciiTheme="minorHAnsi" w:hAnsiTheme="minorHAnsi"/>
        </w:rPr>
        <w:t xml:space="preserve"> to detainee</w:t>
      </w:r>
      <w:r w:rsidR="00902C35" w:rsidRPr="004A132D">
        <w:rPr>
          <w:rFonts w:asciiTheme="minorHAnsi" w:hAnsiTheme="minorHAnsi"/>
        </w:rPr>
        <w:t>s</w:t>
      </w:r>
      <w:r w:rsidRPr="004A132D">
        <w:rPr>
          <w:rFonts w:asciiTheme="minorHAnsi" w:hAnsiTheme="minorHAnsi"/>
        </w:rPr>
        <w:t>.</w:t>
      </w:r>
    </w:p>
    <w:p w14:paraId="21A474E2" w14:textId="77777777" w:rsidR="00902C35" w:rsidRPr="004A132D" w:rsidRDefault="00902C35" w:rsidP="00532B5F">
      <w:pPr>
        <w:pStyle w:val="Numbers"/>
        <w:ind w:left="1418"/>
        <w:rPr>
          <w:rFonts w:asciiTheme="minorHAnsi" w:hAnsiTheme="minorHAnsi"/>
        </w:rPr>
      </w:pPr>
      <w:r w:rsidRPr="004A132D">
        <w:rPr>
          <w:rFonts w:asciiTheme="minorHAnsi" w:hAnsiTheme="minorHAnsi"/>
        </w:rPr>
        <w:t>All refugee and asylum seeker children have access to primary and secondary education consistent with the educati</w:t>
      </w:r>
      <w:r w:rsidR="00F15568" w:rsidRPr="004A132D">
        <w:rPr>
          <w:rFonts w:asciiTheme="minorHAnsi" w:hAnsiTheme="minorHAnsi"/>
        </w:rPr>
        <w:t>on provided to citizens in the states and t</w:t>
      </w:r>
      <w:r w:rsidRPr="004A132D">
        <w:rPr>
          <w:rFonts w:asciiTheme="minorHAnsi" w:hAnsiTheme="minorHAnsi"/>
        </w:rPr>
        <w:t>erritories where they are located.</w:t>
      </w:r>
    </w:p>
    <w:p w14:paraId="3D24D0B4" w14:textId="77777777" w:rsidR="00902C35" w:rsidRPr="004A132D" w:rsidRDefault="006D30B6" w:rsidP="006D30B6">
      <w:pPr>
        <w:pStyle w:val="Heading2"/>
        <w:rPr>
          <w:lang w:val="en-NZ"/>
        </w:rPr>
      </w:pPr>
      <w:bookmarkStart w:id="184" w:name="_Toc174011745"/>
      <w:bookmarkStart w:id="185" w:name="_Toc175556842"/>
      <w:r w:rsidRPr="004A132D">
        <w:rPr>
          <w:lang w:val="en-NZ"/>
        </w:rPr>
        <w:t xml:space="preserve">Question 22e: </w:t>
      </w:r>
      <w:r w:rsidRPr="004A132D">
        <w:t>Status resolution support services</w:t>
      </w:r>
      <w:bookmarkEnd w:id="184"/>
      <w:bookmarkEnd w:id="185"/>
    </w:p>
    <w:p w14:paraId="4867519F" w14:textId="77777777" w:rsidR="001D6DC6" w:rsidRPr="004A132D" w:rsidRDefault="001D6DC6" w:rsidP="00532B5F">
      <w:pPr>
        <w:pStyle w:val="Numbers"/>
        <w:ind w:left="1418"/>
        <w:rPr>
          <w:rFonts w:asciiTheme="minorHAnsi" w:hAnsiTheme="minorHAnsi"/>
        </w:rPr>
      </w:pPr>
      <w:r w:rsidRPr="004A132D">
        <w:rPr>
          <w:rFonts w:asciiTheme="minorHAnsi" w:hAnsiTheme="minorHAnsi"/>
        </w:rPr>
        <w:t xml:space="preserve">The </w:t>
      </w:r>
      <w:r w:rsidR="00485815" w:rsidRPr="004A132D">
        <w:rPr>
          <w:rFonts w:asciiTheme="minorHAnsi" w:hAnsiTheme="minorHAnsi"/>
        </w:rPr>
        <w:t xml:space="preserve">Australian </w:t>
      </w:r>
      <w:r w:rsidRPr="004A132D">
        <w:rPr>
          <w:rFonts w:asciiTheme="minorHAnsi" w:hAnsiTheme="minorHAnsi"/>
        </w:rPr>
        <w:t>Department of Home Affairs administers the Status Resolution Support Services (SRSS) Program.</w:t>
      </w:r>
      <w:r w:rsidR="00C63B39" w:rsidRPr="004A132D">
        <w:rPr>
          <w:rFonts w:asciiTheme="minorHAnsi" w:hAnsiTheme="minorHAnsi"/>
        </w:rPr>
        <w:t xml:space="preserve"> </w:t>
      </w:r>
      <w:r w:rsidR="00C63B39" w:rsidRPr="004A132D">
        <w:rPr>
          <w:rFonts w:asciiTheme="minorHAnsi" w:hAnsiTheme="minorHAnsi"/>
          <w:lang w:val="en-AU"/>
        </w:rPr>
        <w:t>SRSS provides needs based, targeted support to eligible individuals whilst they are resolving their immigration status. Support will depend on individual circumstances and is targeted towards eligible individuals facing significant barriers affecting their ability to support themselves or engage in status resolution actions. Refugee and asylum seeking women and girls may be eligible for SRSS if they meet the criteria for support (for example hold a bridging visa in association with a protection visa claim and can demonstrate hardship). Assistance may include income support, case management, access to health care, accommodation and the development of a case plan for improving independence and supporting integration</w:t>
      </w:r>
      <w:r w:rsidRPr="004A132D">
        <w:rPr>
          <w:rFonts w:asciiTheme="minorHAnsi" w:hAnsiTheme="minorHAnsi"/>
        </w:rPr>
        <w:t xml:space="preserve">. </w:t>
      </w:r>
    </w:p>
    <w:p w14:paraId="3EB31E7F" w14:textId="77777777" w:rsidR="003A0FAF" w:rsidRPr="004A132D" w:rsidRDefault="001D6DC6" w:rsidP="00532B5F">
      <w:pPr>
        <w:pStyle w:val="Numbers"/>
        <w:ind w:left="1418"/>
        <w:rPr>
          <w:rFonts w:asciiTheme="minorHAnsi" w:hAnsiTheme="minorHAnsi"/>
        </w:rPr>
      </w:pPr>
      <w:r w:rsidRPr="004A132D">
        <w:rPr>
          <w:rFonts w:asciiTheme="minorHAnsi" w:hAnsiTheme="minorHAnsi"/>
        </w:rPr>
        <w:lastRenderedPageBreak/>
        <w:t>SRSS providers are required to ensure that all personnel un</w:t>
      </w:r>
      <w:r w:rsidR="00902C35" w:rsidRPr="004A132D">
        <w:rPr>
          <w:rFonts w:asciiTheme="minorHAnsi" w:hAnsiTheme="minorHAnsi"/>
        </w:rPr>
        <w:t>dertake training related to the</w:t>
      </w:r>
      <w:r w:rsidRPr="004A132D">
        <w:rPr>
          <w:rFonts w:asciiTheme="minorHAnsi" w:hAnsiTheme="minorHAnsi"/>
        </w:rPr>
        <w:t xml:space="preserve"> Child Safeguarding Framework, and training related to family and domestic violence awareness.</w:t>
      </w:r>
    </w:p>
    <w:p w14:paraId="78A5D0E4" w14:textId="77777777" w:rsidR="00170F7F" w:rsidRPr="004A132D" w:rsidRDefault="00485815" w:rsidP="00485815">
      <w:pPr>
        <w:pStyle w:val="Heading2"/>
      </w:pPr>
      <w:bookmarkStart w:id="186" w:name="_Toc174011746"/>
      <w:bookmarkStart w:id="187" w:name="_Toc175556843"/>
      <w:r w:rsidRPr="004A132D">
        <w:t>Question 22f: Gender-based violence in immigration facilities</w:t>
      </w:r>
      <w:bookmarkEnd w:id="186"/>
      <w:bookmarkEnd w:id="187"/>
      <w:r w:rsidRPr="004A132D">
        <w:t xml:space="preserve"> </w:t>
      </w:r>
    </w:p>
    <w:p w14:paraId="0C4BA41B" w14:textId="77777777" w:rsidR="008B75C0" w:rsidRPr="004A132D" w:rsidRDefault="0087154A" w:rsidP="00532B5F">
      <w:pPr>
        <w:pStyle w:val="Numbers"/>
        <w:ind w:left="1418"/>
        <w:rPr>
          <w:rFonts w:asciiTheme="minorHAnsi" w:hAnsiTheme="minorHAnsi"/>
        </w:rPr>
      </w:pPr>
      <w:r w:rsidRPr="004A132D">
        <w:rPr>
          <w:rFonts w:asciiTheme="minorHAnsi" w:hAnsiTheme="minorHAnsi"/>
        </w:rPr>
        <w:t>Women in immigration facilities</w:t>
      </w:r>
      <w:r w:rsidR="008B75C0" w:rsidRPr="004A132D">
        <w:rPr>
          <w:rFonts w:asciiTheme="minorHAnsi" w:hAnsiTheme="minorHAnsi"/>
        </w:rPr>
        <w:t xml:space="preserve"> are able to lodge a complaint or provide feedback on any aspect of their immigration detention without hindrance or fear of reprisal. Complaints can be made directly to the </w:t>
      </w:r>
      <w:r w:rsidR="00170F7F" w:rsidRPr="004A132D">
        <w:rPr>
          <w:rFonts w:asciiTheme="minorHAnsi" w:hAnsiTheme="minorHAnsi"/>
        </w:rPr>
        <w:t>Australian Department of Home Affairs, Australian Border Force</w:t>
      </w:r>
      <w:r w:rsidR="00F15568" w:rsidRPr="004A132D">
        <w:rPr>
          <w:rFonts w:asciiTheme="minorHAnsi" w:hAnsiTheme="minorHAnsi"/>
        </w:rPr>
        <w:t>, service providers, and/</w:t>
      </w:r>
      <w:r w:rsidR="008B75C0" w:rsidRPr="004A132D">
        <w:rPr>
          <w:rFonts w:asciiTheme="minorHAnsi" w:hAnsiTheme="minorHAnsi"/>
        </w:rPr>
        <w:t xml:space="preserve">or oversight bodies. </w:t>
      </w:r>
    </w:p>
    <w:p w14:paraId="4CE35B3A" w14:textId="74D331CF" w:rsidR="003A0FAF" w:rsidRPr="004A132D" w:rsidRDefault="008B75C0" w:rsidP="00532B5F">
      <w:pPr>
        <w:pStyle w:val="Numbers"/>
        <w:ind w:left="1418"/>
        <w:rPr>
          <w:rFonts w:asciiTheme="minorHAnsi" w:hAnsiTheme="minorHAnsi"/>
        </w:rPr>
      </w:pPr>
      <w:r w:rsidRPr="004A132D">
        <w:rPr>
          <w:rFonts w:asciiTheme="minorHAnsi" w:hAnsiTheme="minorHAnsi"/>
        </w:rPr>
        <w:t>There are laws, policies, rules and practices that govern how people are treated in immigration detention facilities in Australia. The length and conditions of immigration detention are subject to regular</w:t>
      </w:r>
      <w:r w:rsidR="00170F7F" w:rsidRPr="004A132D">
        <w:rPr>
          <w:rFonts w:asciiTheme="minorHAnsi" w:hAnsiTheme="minorHAnsi"/>
        </w:rPr>
        <w:t xml:space="preserve"> internal and external review. </w:t>
      </w:r>
      <w:r w:rsidR="00581AF8" w:rsidRPr="004A132D">
        <w:rPr>
          <w:rFonts w:asciiTheme="minorHAnsi" w:hAnsiTheme="minorHAnsi"/>
        </w:rPr>
        <w:br/>
      </w:r>
      <w:r w:rsidRPr="004A132D">
        <w:rPr>
          <w:rFonts w:asciiTheme="minorHAnsi" w:hAnsiTheme="minorHAnsi"/>
        </w:rPr>
        <w:t xml:space="preserve">The Commonwealth Ombudsman, </w:t>
      </w:r>
      <w:r w:rsidR="005273EE" w:rsidRPr="004A132D">
        <w:rPr>
          <w:rFonts w:asciiTheme="minorHAnsi" w:hAnsiTheme="minorHAnsi"/>
        </w:rPr>
        <w:t>AHRC</w:t>
      </w:r>
      <w:r w:rsidRPr="004A132D">
        <w:rPr>
          <w:rFonts w:asciiTheme="minorHAnsi" w:hAnsiTheme="minorHAnsi"/>
        </w:rPr>
        <w:t xml:space="preserve"> and Australian Red Cross conduct ongoing inspections of immigration facilities and engage with detainees and staff to ensure the </w:t>
      </w:r>
      <w:r w:rsidR="00170F7F" w:rsidRPr="004A132D">
        <w:rPr>
          <w:rFonts w:asciiTheme="minorHAnsi" w:hAnsiTheme="minorHAnsi"/>
        </w:rPr>
        <w:t xml:space="preserve">transparency and </w:t>
      </w:r>
      <w:r w:rsidRPr="004A132D">
        <w:rPr>
          <w:rFonts w:asciiTheme="minorHAnsi" w:hAnsiTheme="minorHAnsi"/>
        </w:rPr>
        <w:t>integrity of operations.</w:t>
      </w:r>
    </w:p>
    <w:p w14:paraId="492F9B7C" w14:textId="77777777" w:rsidR="00D8614C" w:rsidRPr="005F6B4E" w:rsidRDefault="00D8614C" w:rsidP="005F6B4E">
      <w:pPr>
        <w:pStyle w:val="Heading1"/>
      </w:pPr>
      <w:bookmarkStart w:id="188" w:name="_Toc174011747"/>
      <w:bookmarkStart w:id="189" w:name="_Toc175556844"/>
      <w:r w:rsidRPr="005F6B4E">
        <w:t xml:space="preserve">Question 23: Women in </w:t>
      </w:r>
      <w:r w:rsidR="00CC4704" w:rsidRPr="005F6B4E">
        <w:t xml:space="preserve">criminal justice </w:t>
      </w:r>
      <w:r w:rsidRPr="005F6B4E">
        <w:t>detention</w:t>
      </w:r>
      <w:bookmarkEnd w:id="188"/>
      <w:bookmarkEnd w:id="189"/>
    </w:p>
    <w:p w14:paraId="426CAE9A" w14:textId="2E78E5E4" w:rsidR="00D25964" w:rsidRPr="004A132D" w:rsidRDefault="00D25964" w:rsidP="00532B5F">
      <w:pPr>
        <w:pStyle w:val="Numbers"/>
        <w:ind w:left="1418"/>
        <w:rPr>
          <w:rFonts w:asciiTheme="minorHAnsi" w:hAnsiTheme="minorHAnsi"/>
        </w:rPr>
      </w:pPr>
      <w:r w:rsidRPr="004A132D">
        <w:rPr>
          <w:rFonts w:asciiTheme="minorHAnsi" w:hAnsiTheme="minorHAnsi"/>
          <w:lang w:val="en-NZ"/>
        </w:rPr>
        <w:t xml:space="preserve">In Australia, </w:t>
      </w:r>
      <w:r w:rsidR="00164857" w:rsidRPr="004A132D">
        <w:rPr>
          <w:rFonts w:asciiTheme="minorHAnsi" w:hAnsiTheme="minorHAnsi"/>
        </w:rPr>
        <w:t>s</w:t>
      </w:r>
      <w:r w:rsidRPr="004A132D">
        <w:rPr>
          <w:rFonts w:asciiTheme="minorHAnsi" w:hAnsiTheme="minorHAnsi"/>
        </w:rPr>
        <w:t xml:space="preserve">tates and territories administer their own criminal justice systems and correctional </w:t>
      </w:r>
      <w:r w:rsidR="00F147DF" w:rsidRPr="004A132D">
        <w:rPr>
          <w:rFonts w:asciiTheme="minorHAnsi" w:hAnsiTheme="minorHAnsi"/>
        </w:rPr>
        <w:t xml:space="preserve">or prison </w:t>
      </w:r>
      <w:r w:rsidRPr="004A132D">
        <w:rPr>
          <w:rFonts w:asciiTheme="minorHAnsi" w:hAnsiTheme="minorHAnsi"/>
        </w:rPr>
        <w:t xml:space="preserve">services. </w:t>
      </w:r>
      <w:r w:rsidR="009546B7" w:rsidRPr="004A132D">
        <w:rPr>
          <w:rFonts w:asciiTheme="minorHAnsi" w:hAnsiTheme="minorHAnsi"/>
        </w:rPr>
        <w:t xml:space="preserve">Due to the brevity of this </w:t>
      </w:r>
      <w:r w:rsidR="0017228C">
        <w:rPr>
          <w:rFonts w:asciiTheme="minorHAnsi" w:hAnsiTheme="minorHAnsi"/>
        </w:rPr>
        <w:t xml:space="preserve">periodic </w:t>
      </w:r>
      <w:r w:rsidR="009546B7" w:rsidRPr="004A132D">
        <w:rPr>
          <w:rFonts w:asciiTheme="minorHAnsi" w:hAnsiTheme="minorHAnsi"/>
        </w:rPr>
        <w:t>report, a</w:t>
      </w:r>
      <w:r w:rsidRPr="004A132D">
        <w:rPr>
          <w:rFonts w:asciiTheme="minorHAnsi" w:hAnsiTheme="minorHAnsi"/>
        </w:rPr>
        <w:t xml:space="preserve"> snapshot of policies, initiatives and approaches across the </w:t>
      </w:r>
      <w:r w:rsidR="004A132D" w:rsidRPr="004A132D">
        <w:rPr>
          <w:rFonts w:asciiTheme="minorHAnsi" w:hAnsiTheme="minorHAnsi"/>
        </w:rPr>
        <w:t xml:space="preserve">8 </w:t>
      </w:r>
      <w:r w:rsidRPr="004A132D">
        <w:rPr>
          <w:rFonts w:asciiTheme="minorHAnsi" w:hAnsiTheme="minorHAnsi"/>
        </w:rPr>
        <w:t>jurisdictions is provided throughout question 23.</w:t>
      </w:r>
      <w:r w:rsidR="009546B7" w:rsidRPr="004A132D">
        <w:rPr>
          <w:rFonts w:asciiTheme="minorHAnsi" w:hAnsiTheme="minorHAnsi"/>
        </w:rPr>
        <w:t xml:space="preserve"> Further detail can be provided as part of the State Party Dialogue. </w:t>
      </w:r>
    </w:p>
    <w:p w14:paraId="5E731985" w14:textId="77777777" w:rsidR="00E40895" w:rsidRPr="004A132D" w:rsidRDefault="00E40895" w:rsidP="004A132D">
      <w:pPr>
        <w:pStyle w:val="Heading2"/>
        <w:keepNext/>
      </w:pPr>
      <w:bookmarkStart w:id="190" w:name="_Toc174011748"/>
      <w:bookmarkStart w:id="191" w:name="_Toc175556845"/>
      <w:r w:rsidRPr="004A132D">
        <w:t xml:space="preserve">Question 23a: </w:t>
      </w:r>
      <w:r w:rsidR="00D25964" w:rsidRPr="004A132D">
        <w:t>H</w:t>
      </w:r>
      <w:r w:rsidRPr="004A132D">
        <w:t>olistic early intervention, design prevention and diversion strategies</w:t>
      </w:r>
      <w:bookmarkEnd w:id="190"/>
      <w:bookmarkEnd w:id="191"/>
    </w:p>
    <w:p w14:paraId="00A6D96A" w14:textId="77777777" w:rsidR="00E248FD" w:rsidRPr="004A132D" w:rsidRDefault="00D25964" w:rsidP="00532B5F">
      <w:pPr>
        <w:pStyle w:val="Numbers"/>
        <w:ind w:left="1418"/>
        <w:rPr>
          <w:rFonts w:asciiTheme="minorHAnsi" w:hAnsiTheme="minorHAnsi"/>
        </w:rPr>
      </w:pPr>
      <w:r w:rsidRPr="004A132D">
        <w:rPr>
          <w:rFonts w:asciiTheme="minorHAnsi" w:hAnsiTheme="minorHAnsi"/>
        </w:rPr>
        <w:t xml:space="preserve">The Australian Government works with states and territories to address underlying factors that lead to offending by maintaining a focus on strengthening prevention, early intervention and diversion strategies. </w:t>
      </w:r>
    </w:p>
    <w:p w14:paraId="1BEF5FAC" w14:textId="2E739E7A" w:rsidR="00E248FD" w:rsidRPr="004A132D" w:rsidRDefault="00E248FD" w:rsidP="00532B5F">
      <w:pPr>
        <w:pStyle w:val="Numbers"/>
        <w:ind w:left="1418"/>
        <w:rPr>
          <w:rFonts w:asciiTheme="minorHAnsi" w:hAnsiTheme="minorHAnsi"/>
        </w:rPr>
      </w:pPr>
      <w:r w:rsidRPr="004A132D">
        <w:rPr>
          <w:rFonts w:asciiTheme="minorHAnsi" w:hAnsiTheme="minorHAnsi"/>
        </w:rPr>
        <w:t xml:space="preserve">Aboriginal and Torres Strait Islander women continue to be over-represented in the criminal justice system including </w:t>
      </w:r>
      <w:r w:rsidR="003940E5" w:rsidRPr="004A132D">
        <w:rPr>
          <w:rFonts w:asciiTheme="minorHAnsi" w:hAnsiTheme="minorHAnsi"/>
        </w:rPr>
        <w:t>in the prison system</w:t>
      </w:r>
      <w:r w:rsidR="0078037D" w:rsidRPr="004A132D">
        <w:rPr>
          <w:rFonts w:asciiTheme="minorHAnsi" w:hAnsiTheme="minorHAnsi"/>
        </w:rPr>
        <w:t xml:space="preserve"> and are also the fastest growing incarcerated population</w:t>
      </w:r>
      <w:r w:rsidRPr="004A132D">
        <w:rPr>
          <w:rFonts w:asciiTheme="minorHAnsi" w:hAnsiTheme="minorHAnsi"/>
        </w:rPr>
        <w:t>.</w:t>
      </w:r>
      <w:r w:rsidR="0078037D" w:rsidRPr="004A132D">
        <w:rPr>
          <w:rStyle w:val="FootnoteReference"/>
          <w:rFonts w:asciiTheme="minorHAnsi" w:hAnsiTheme="minorHAnsi"/>
        </w:rPr>
        <w:footnoteReference w:id="41"/>
      </w:r>
      <w:r w:rsidRPr="004A132D">
        <w:rPr>
          <w:rFonts w:asciiTheme="minorHAnsi" w:hAnsiTheme="minorHAnsi"/>
        </w:rPr>
        <w:t xml:space="preserve"> The Australian Government is committed to working in partnership with First Nations organisations and communities to </w:t>
      </w:r>
      <w:r w:rsidRPr="004A132D">
        <w:rPr>
          <w:rFonts w:asciiTheme="minorHAnsi" w:hAnsiTheme="minorHAnsi"/>
        </w:rPr>
        <w:lastRenderedPageBreak/>
        <w:t xml:space="preserve">improve justice outcomes for Aboriginal and Torres Strait Islander peoples and complementing state and territory efforts through </w:t>
      </w:r>
      <w:r w:rsidR="00426E4C" w:rsidRPr="004A132D">
        <w:rPr>
          <w:rFonts w:asciiTheme="minorHAnsi" w:hAnsiTheme="minorHAnsi"/>
          <w:lang w:val="en-AU"/>
        </w:rPr>
        <w:t xml:space="preserve">Justice Policy Partnership, and the </w:t>
      </w:r>
      <w:r w:rsidRPr="004A132D">
        <w:rPr>
          <w:rFonts w:asciiTheme="minorHAnsi" w:hAnsiTheme="minorHAnsi"/>
        </w:rPr>
        <w:t>the Indigenous Advancement Strategy’s Safety and Wellbeing Programme. This includes a focus on reducing incarceration rates and contact with the criminal justice system, in line with</w:t>
      </w:r>
      <w:r w:rsidR="00426E4C" w:rsidRPr="004A132D">
        <w:rPr>
          <w:rFonts w:asciiTheme="minorHAnsi" w:hAnsiTheme="minorHAnsi" w:cstheme="minorBidi"/>
          <w:kern w:val="2"/>
          <w:lang w:val="en-AU"/>
          <w14:ligatures w14:val="standardContextual"/>
        </w:rPr>
        <w:t xml:space="preserve"> </w:t>
      </w:r>
      <w:r w:rsidR="00426E4C" w:rsidRPr="004A132D">
        <w:rPr>
          <w:rFonts w:asciiTheme="minorHAnsi" w:hAnsiTheme="minorHAnsi"/>
          <w:lang w:val="en-AU"/>
        </w:rPr>
        <w:t>Outcomes and Targets 10 and 11 under the National Agreement on</w:t>
      </w:r>
      <w:r w:rsidRPr="004A132D">
        <w:rPr>
          <w:rFonts w:asciiTheme="minorHAnsi" w:hAnsiTheme="minorHAnsi"/>
        </w:rPr>
        <w:t xml:space="preserve"> Closing the Gap. </w:t>
      </w:r>
    </w:p>
    <w:p w14:paraId="49360ABF" w14:textId="77777777" w:rsidR="00E248FD" w:rsidRPr="004A132D" w:rsidRDefault="00E248FD" w:rsidP="00532B5F">
      <w:pPr>
        <w:pStyle w:val="Numbers"/>
        <w:ind w:left="1418"/>
        <w:rPr>
          <w:rFonts w:asciiTheme="minorHAnsi" w:hAnsiTheme="minorHAnsi"/>
        </w:rPr>
      </w:pPr>
      <w:r w:rsidRPr="004A132D">
        <w:rPr>
          <w:rFonts w:asciiTheme="minorHAnsi" w:hAnsiTheme="minorHAnsi"/>
        </w:rPr>
        <w:t>In the 2022-23 and 2023-24 Federal Budgets, the Australian Government invested in justice reinvestment initiatives to improve outcomes for First Nations people, including:</w:t>
      </w:r>
    </w:p>
    <w:p w14:paraId="39472EBF" w14:textId="09559469" w:rsidR="00E248FD" w:rsidRPr="004A132D" w:rsidRDefault="00E248FD" w:rsidP="00561D0E">
      <w:pPr>
        <w:pStyle w:val="SingleTxtG"/>
        <w:numPr>
          <w:ilvl w:val="0"/>
          <w:numId w:val="6"/>
        </w:numPr>
        <w:spacing w:line="360" w:lineRule="auto"/>
        <w:rPr>
          <w:rFonts w:asciiTheme="minorHAnsi" w:hAnsiTheme="minorHAnsi"/>
          <w:sz w:val="24"/>
          <w:szCs w:val="24"/>
          <w:lang w:val="en-NZ"/>
        </w:rPr>
      </w:pPr>
      <w:r w:rsidRPr="004A132D">
        <w:rPr>
          <w:rFonts w:asciiTheme="minorHAnsi" w:hAnsiTheme="minorHAnsi"/>
          <w:sz w:val="24"/>
          <w:szCs w:val="24"/>
          <w:lang w:val="en-NZ"/>
        </w:rPr>
        <w:t>establishing a National Justice Reinvestment Program to support up to 30 community-led justice reinvestment initiatives addressing the underlying causes of incarceration</w:t>
      </w:r>
      <w:r w:rsidR="00707602" w:rsidRPr="004A132D">
        <w:rPr>
          <w:rFonts w:asciiTheme="minorHAnsi" w:hAnsiTheme="minorHAnsi"/>
          <w:sz w:val="24"/>
          <w:szCs w:val="24"/>
          <w:lang w:val="en-NZ"/>
        </w:rPr>
        <w:t xml:space="preserve"> ($69 million over </w:t>
      </w:r>
      <w:r w:rsidR="00520DF4" w:rsidRPr="004A132D">
        <w:rPr>
          <w:rFonts w:asciiTheme="minorHAnsi" w:hAnsiTheme="minorHAnsi"/>
          <w:sz w:val="24"/>
          <w:szCs w:val="24"/>
          <w:lang w:val="en-NZ"/>
        </w:rPr>
        <w:t>4</w:t>
      </w:r>
      <w:r w:rsidR="00707602" w:rsidRPr="004A132D">
        <w:rPr>
          <w:rFonts w:asciiTheme="minorHAnsi" w:hAnsiTheme="minorHAnsi"/>
          <w:sz w:val="24"/>
          <w:szCs w:val="24"/>
          <w:lang w:val="en-NZ"/>
        </w:rPr>
        <w:t xml:space="preserve"> years)</w:t>
      </w:r>
      <w:r w:rsidRPr="004A132D">
        <w:rPr>
          <w:rFonts w:asciiTheme="minorHAnsi" w:hAnsiTheme="minorHAnsi"/>
          <w:sz w:val="24"/>
          <w:szCs w:val="24"/>
          <w:lang w:val="en-NZ"/>
        </w:rPr>
        <w:t>;</w:t>
      </w:r>
    </w:p>
    <w:p w14:paraId="7AD92003" w14:textId="17F702AF" w:rsidR="00E248FD" w:rsidRPr="004A132D" w:rsidRDefault="00E248FD" w:rsidP="00561D0E">
      <w:pPr>
        <w:pStyle w:val="SingleTxtG"/>
        <w:numPr>
          <w:ilvl w:val="0"/>
          <w:numId w:val="6"/>
        </w:numPr>
        <w:spacing w:line="360" w:lineRule="auto"/>
        <w:rPr>
          <w:rFonts w:asciiTheme="minorHAnsi" w:hAnsiTheme="minorHAnsi"/>
          <w:sz w:val="24"/>
          <w:szCs w:val="24"/>
          <w:lang w:val="en-NZ"/>
        </w:rPr>
      </w:pPr>
      <w:r w:rsidRPr="004A132D">
        <w:rPr>
          <w:rFonts w:asciiTheme="minorHAnsi" w:hAnsiTheme="minorHAnsi"/>
          <w:sz w:val="24"/>
          <w:szCs w:val="24"/>
          <w:lang w:val="en-NZ"/>
        </w:rPr>
        <w:t>designing and establishing an independent National Justice Reinvestment Unit to coordinate and support justice reinvestment initiatives at a national level</w:t>
      </w:r>
      <w:r w:rsidR="00707602" w:rsidRPr="004A132D">
        <w:rPr>
          <w:rFonts w:asciiTheme="minorHAnsi" w:hAnsiTheme="minorHAnsi"/>
          <w:sz w:val="24"/>
          <w:szCs w:val="24"/>
          <w:lang w:val="en-NZ"/>
        </w:rPr>
        <w:t xml:space="preserve"> ($12.5 million over </w:t>
      </w:r>
      <w:r w:rsidR="00520DF4" w:rsidRPr="004A132D">
        <w:rPr>
          <w:rFonts w:asciiTheme="minorHAnsi" w:hAnsiTheme="minorHAnsi"/>
          <w:sz w:val="24"/>
          <w:szCs w:val="24"/>
          <w:lang w:val="en-NZ"/>
        </w:rPr>
        <w:t>4</w:t>
      </w:r>
      <w:r w:rsidR="00707602" w:rsidRPr="004A132D">
        <w:rPr>
          <w:rFonts w:asciiTheme="minorHAnsi" w:hAnsiTheme="minorHAnsi"/>
          <w:sz w:val="24"/>
          <w:szCs w:val="24"/>
          <w:lang w:val="en-NZ"/>
        </w:rPr>
        <w:t xml:space="preserve"> years)</w:t>
      </w:r>
      <w:r w:rsidRPr="004A132D">
        <w:rPr>
          <w:rFonts w:asciiTheme="minorHAnsi" w:hAnsiTheme="minorHAnsi"/>
          <w:sz w:val="24"/>
          <w:szCs w:val="24"/>
          <w:lang w:val="en-NZ"/>
        </w:rPr>
        <w:t>;</w:t>
      </w:r>
    </w:p>
    <w:p w14:paraId="76AE0FFE" w14:textId="77777777" w:rsidR="00E248FD" w:rsidRPr="004A132D" w:rsidRDefault="00E248FD" w:rsidP="00561D0E">
      <w:pPr>
        <w:pStyle w:val="SingleTxtG"/>
        <w:numPr>
          <w:ilvl w:val="0"/>
          <w:numId w:val="6"/>
        </w:numPr>
        <w:spacing w:line="360" w:lineRule="auto"/>
        <w:rPr>
          <w:rFonts w:asciiTheme="minorHAnsi" w:hAnsiTheme="minorHAnsi"/>
          <w:sz w:val="24"/>
          <w:szCs w:val="24"/>
          <w:lang w:val="en-NZ"/>
        </w:rPr>
      </w:pPr>
      <w:r w:rsidRPr="004A132D">
        <w:rPr>
          <w:rFonts w:asciiTheme="minorHAnsi" w:hAnsiTheme="minorHAnsi"/>
          <w:sz w:val="24"/>
          <w:szCs w:val="24"/>
          <w:lang w:val="en-AU"/>
        </w:rPr>
        <w:t>place-based justice reinvestment initiatives</w:t>
      </w:r>
      <w:r w:rsidRPr="004A132D">
        <w:rPr>
          <w:rFonts w:asciiTheme="minorHAnsi" w:hAnsiTheme="minorHAnsi"/>
          <w:sz w:val="24"/>
          <w:szCs w:val="24"/>
          <w:lang w:val="en-NZ"/>
        </w:rPr>
        <w:t xml:space="preserve"> in Central Australia.</w:t>
      </w:r>
    </w:p>
    <w:p w14:paraId="0EA87BB0" w14:textId="77777777" w:rsidR="00D25964" w:rsidRPr="004A132D" w:rsidRDefault="00783D1B" w:rsidP="00532B5F">
      <w:pPr>
        <w:pStyle w:val="Numbers"/>
        <w:ind w:left="1418"/>
        <w:rPr>
          <w:rFonts w:asciiTheme="minorHAnsi" w:hAnsiTheme="minorHAnsi"/>
        </w:rPr>
      </w:pPr>
      <w:r w:rsidRPr="004A132D">
        <w:rPr>
          <w:rFonts w:asciiTheme="minorHAnsi" w:hAnsiTheme="minorHAnsi"/>
        </w:rPr>
        <w:t xml:space="preserve">A non-exhaustive snapshot of </w:t>
      </w:r>
      <w:r w:rsidR="00E248FD" w:rsidRPr="004A132D">
        <w:rPr>
          <w:rFonts w:asciiTheme="minorHAnsi" w:hAnsiTheme="minorHAnsi"/>
        </w:rPr>
        <w:t>state and territory</w:t>
      </w:r>
      <w:r w:rsidRPr="004A132D">
        <w:rPr>
          <w:rFonts w:asciiTheme="minorHAnsi" w:hAnsiTheme="minorHAnsi"/>
        </w:rPr>
        <w:t xml:space="preserve"> initiatives as well as ‘paperless arrest’ and mandatory sentencing laws is outlined below:</w:t>
      </w:r>
    </w:p>
    <w:p w14:paraId="709DBE84" w14:textId="77777777" w:rsidR="00E248FD" w:rsidRPr="004A132D" w:rsidRDefault="009546B7" w:rsidP="00561D0E">
      <w:pPr>
        <w:pStyle w:val="Numbers"/>
        <w:numPr>
          <w:ilvl w:val="1"/>
          <w:numId w:val="1"/>
        </w:numPr>
        <w:rPr>
          <w:rFonts w:asciiTheme="minorHAnsi" w:hAnsiTheme="minorHAnsi"/>
        </w:rPr>
      </w:pPr>
      <w:r w:rsidRPr="004A132D">
        <w:rPr>
          <w:rFonts w:asciiTheme="minorHAnsi" w:hAnsiTheme="minorHAnsi"/>
        </w:rPr>
        <w:t xml:space="preserve">To specifically address mandatory sentencing, the </w:t>
      </w:r>
      <w:r w:rsidR="00783D1B" w:rsidRPr="004A132D">
        <w:rPr>
          <w:rFonts w:asciiTheme="minorHAnsi" w:hAnsiTheme="minorHAnsi"/>
        </w:rPr>
        <w:t>NT’s</w:t>
      </w:r>
      <w:r w:rsidRPr="004A132D">
        <w:rPr>
          <w:rFonts w:asciiTheme="minorHAnsi" w:hAnsiTheme="minorHAnsi"/>
        </w:rPr>
        <w:t xml:space="preserve"> </w:t>
      </w:r>
      <w:r w:rsidRPr="004A132D">
        <w:rPr>
          <w:rFonts w:asciiTheme="minorHAnsi" w:hAnsiTheme="minorHAnsi"/>
          <w:i/>
        </w:rPr>
        <w:t>Sentencing and Other Legislation Amendment Act 2022</w:t>
      </w:r>
      <w:r w:rsidRPr="004A132D">
        <w:rPr>
          <w:rFonts w:asciiTheme="minorHAnsi" w:hAnsiTheme="minorHAnsi"/>
        </w:rPr>
        <w:t xml:space="preserve"> </w:t>
      </w:r>
      <w:r w:rsidR="00783D1B" w:rsidRPr="004A132D">
        <w:rPr>
          <w:rFonts w:asciiTheme="minorHAnsi" w:hAnsiTheme="minorHAnsi"/>
        </w:rPr>
        <w:t xml:space="preserve">(NT) </w:t>
      </w:r>
      <w:r w:rsidRPr="004A132D">
        <w:rPr>
          <w:rFonts w:asciiTheme="minorHAnsi" w:hAnsiTheme="minorHAnsi"/>
        </w:rPr>
        <w:t xml:space="preserve">abolishes mandatory sentencing </w:t>
      </w:r>
      <w:r w:rsidR="002A4211" w:rsidRPr="004A132D">
        <w:rPr>
          <w:rFonts w:asciiTheme="minorHAnsi" w:hAnsiTheme="minorHAnsi"/>
          <w:lang w:val="en-AU"/>
        </w:rPr>
        <w:t>terms of imprisonment and mandatory non-parole periods for violent offences, drug offences and breach of domestic and family violence order offences</w:t>
      </w:r>
      <w:r w:rsidRPr="004A132D">
        <w:rPr>
          <w:rFonts w:asciiTheme="minorHAnsi" w:hAnsiTheme="minorHAnsi"/>
        </w:rPr>
        <w:t xml:space="preserve">. </w:t>
      </w:r>
      <w:r w:rsidR="00E248FD" w:rsidRPr="004A132D">
        <w:rPr>
          <w:rFonts w:asciiTheme="minorHAnsi" w:hAnsiTheme="minorHAnsi"/>
        </w:rPr>
        <w:t>This</w:t>
      </w:r>
      <w:r w:rsidRPr="004A132D">
        <w:rPr>
          <w:rFonts w:asciiTheme="minorHAnsi" w:hAnsiTheme="minorHAnsi"/>
        </w:rPr>
        <w:t xml:space="preserve"> Act reform</w:t>
      </w:r>
      <w:r w:rsidR="00E248FD" w:rsidRPr="004A132D">
        <w:rPr>
          <w:rFonts w:asciiTheme="minorHAnsi" w:hAnsiTheme="minorHAnsi"/>
        </w:rPr>
        <w:t>ed</w:t>
      </w:r>
      <w:r w:rsidRPr="004A132D">
        <w:rPr>
          <w:rFonts w:asciiTheme="minorHAnsi" w:hAnsiTheme="minorHAnsi"/>
        </w:rPr>
        <w:t xml:space="preserve"> non-custodial sentencing options, as well as community youth programs focused on diversion and early intervention. </w:t>
      </w:r>
    </w:p>
    <w:p w14:paraId="6EA2B4E7" w14:textId="7D785A0B" w:rsidR="00302F27" w:rsidRPr="004A132D" w:rsidRDefault="00042DE6" w:rsidP="00561D0E">
      <w:pPr>
        <w:pStyle w:val="Numbers"/>
        <w:numPr>
          <w:ilvl w:val="1"/>
          <w:numId w:val="1"/>
        </w:numPr>
        <w:rPr>
          <w:rFonts w:asciiTheme="minorHAnsi" w:hAnsiTheme="minorHAnsi"/>
        </w:rPr>
      </w:pPr>
      <w:r w:rsidRPr="004A132D">
        <w:rPr>
          <w:rFonts w:asciiTheme="minorHAnsi" w:hAnsiTheme="minorHAnsi"/>
          <w:lang w:val="en-AU"/>
        </w:rPr>
        <w:t xml:space="preserve">In January 2024, Queensland Corrective Services released the </w:t>
      </w:r>
      <w:r w:rsidRPr="004A132D">
        <w:rPr>
          <w:rFonts w:asciiTheme="minorHAnsi" w:hAnsiTheme="minorHAnsi"/>
          <w:i/>
          <w:iCs/>
          <w:lang w:val="en-AU"/>
        </w:rPr>
        <w:t>Queensland Corrective Services Reframing the Relationship Plan 2024</w:t>
      </w:r>
      <w:r w:rsidR="00164857" w:rsidRPr="004A132D">
        <w:rPr>
          <w:rFonts w:asciiTheme="minorHAnsi" w:hAnsiTheme="minorHAnsi"/>
          <w:i/>
          <w:iCs/>
          <w:lang w:val="en-AU"/>
        </w:rPr>
        <w:noBreakHyphen/>
      </w:r>
      <w:r w:rsidRPr="004A132D">
        <w:rPr>
          <w:rFonts w:asciiTheme="minorHAnsi" w:hAnsiTheme="minorHAnsi"/>
          <w:i/>
          <w:iCs/>
          <w:lang w:val="en-AU"/>
        </w:rPr>
        <w:t>2033</w:t>
      </w:r>
      <w:r w:rsidRPr="004A132D">
        <w:rPr>
          <w:rFonts w:asciiTheme="minorHAnsi" w:hAnsiTheme="minorHAnsi"/>
          <w:lang w:val="en-AU"/>
        </w:rPr>
        <w:t xml:space="preserve">, a 10-year First Nations Strategy, which commits to Closing the Gap on First Nations peoples incarceration and victimisation from violence, increasing opportunities for connection to culture and family, </w:t>
      </w:r>
      <w:r w:rsidRPr="004A132D">
        <w:rPr>
          <w:rFonts w:asciiTheme="minorHAnsi" w:hAnsiTheme="minorHAnsi"/>
          <w:lang w:val="en-AU"/>
        </w:rPr>
        <w:lastRenderedPageBreak/>
        <w:t xml:space="preserve">helping provide meaningful rehabilitation, and assisting successful returned to community. Queensland Corrective Services is developing associated action plans. </w:t>
      </w:r>
      <w:bookmarkStart w:id="192" w:name="_Hlk169100422"/>
      <w:r w:rsidRPr="004A132D">
        <w:rPr>
          <w:rFonts w:asciiTheme="minorHAnsi" w:hAnsiTheme="minorHAnsi"/>
          <w:lang w:val="en-AU"/>
        </w:rPr>
        <w:t xml:space="preserve">Further to this, the First Nations Justice Office in the Department of Justice and Attorney-General is developing a </w:t>
      </w:r>
      <w:r w:rsidR="00520DF4" w:rsidRPr="004A132D">
        <w:rPr>
          <w:rFonts w:asciiTheme="minorHAnsi" w:hAnsiTheme="minorHAnsi"/>
          <w:lang w:val="en-AU"/>
        </w:rPr>
        <w:t>7</w:t>
      </w:r>
      <w:r w:rsidRPr="004A132D">
        <w:rPr>
          <w:rFonts w:asciiTheme="minorHAnsi" w:hAnsiTheme="minorHAnsi"/>
          <w:lang w:val="en-AU"/>
        </w:rPr>
        <w:t xml:space="preserve">-year co-designed whole-of-government and community strategy to address the overrepresentation of Aboriginal and Torres Strait Islander peoples in the criminal justice system. </w:t>
      </w:r>
      <w:bookmarkEnd w:id="192"/>
    </w:p>
    <w:p w14:paraId="7302F1EF" w14:textId="77777777" w:rsidR="00302F27" w:rsidRPr="004A132D" w:rsidRDefault="00302F27" w:rsidP="00561D0E">
      <w:pPr>
        <w:pStyle w:val="Numbers"/>
        <w:numPr>
          <w:ilvl w:val="1"/>
          <w:numId w:val="1"/>
        </w:numPr>
        <w:rPr>
          <w:rFonts w:asciiTheme="minorHAnsi" w:hAnsiTheme="minorHAnsi"/>
        </w:rPr>
      </w:pPr>
      <w:r w:rsidRPr="004A132D">
        <w:rPr>
          <w:rFonts w:asciiTheme="minorHAnsi" w:hAnsiTheme="minorHAnsi"/>
        </w:rPr>
        <w:t xml:space="preserve">In 2023, the VIC Government amended bail laws to reduce unnecessary remand for people accused of low-level offending and reduce disproportionate impacts on groups including women. </w:t>
      </w:r>
    </w:p>
    <w:p w14:paraId="53084CF1" w14:textId="77777777" w:rsidR="00C279C2" w:rsidRPr="004A132D" w:rsidRDefault="00C279C2" w:rsidP="00C7151F">
      <w:pPr>
        <w:pStyle w:val="Heading2"/>
      </w:pPr>
      <w:bookmarkStart w:id="193" w:name="_Toc175556846"/>
      <w:r w:rsidRPr="004A132D">
        <w:t>Question 23b: Supporting the needs of women in prison</w:t>
      </w:r>
      <w:bookmarkEnd w:id="193"/>
    </w:p>
    <w:p w14:paraId="007CA1C8" w14:textId="77777777" w:rsidR="00C279C2" w:rsidRPr="004A132D" w:rsidRDefault="00C279C2" w:rsidP="00532B5F">
      <w:pPr>
        <w:pStyle w:val="Numbers"/>
        <w:ind w:left="1418"/>
        <w:rPr>
          <w:rFonts w:asciiTheme="minorHAnsi" w:hAnsiTheme="minorHAnsi"/>
        </w:rPr>
      </w:pPr>
      <w:r w:rsidRPr="004A132D">
        <w:rPr>
          <w:rFonts w:asciiTheme="minorHAnsi" w:hAnsiTheme="minorHAnsi"/>
        </w:rPr>
        <w:t>Across jurisdictions, comprehensive programs are in place to address the needs of women in detention</w:t>
      </w:r>
      <w:r w:rsidR="0041485F" w:rsidRPr="004A132D">
        <w:rPr>
          <w:rFonts w:asciiTheme="minorHAnsi" w:hAnsiTheme="minorHAnsi"/>
        </w:rPr>
        <w:t xml:space="preserve"> and promote alternatives to prison, especially for Indigenous women</w:t>
      </w:r>
      <w:r w:rsidR="005C7C6F" w:rsidRPr="004A132D">
        <w:rPr>
          <w:rFonts w:asciiTheme="minorHAnsi" w:hAnsiTheme="minorHAnsi"/>
        </w:rPr>
        <w:t>. For example:</w:t>
      </w:r>
    </w:p>
    <w:p w14:paraId="48571C2B" w14:textId="13A00EBF" w:rsidR="005C7C6F" w:rsidRPr="004A132D" w:rsidRDefault="005C7C6F" w:rsidP="00561D0E">
      <w:pPr>
        <w:pStyle w:val="Numbers"/>
        <w:numPr>
          <w:ilvl w:val="1"/>
          <w:numId w:val="1"/>
        </w:numPr>
        <w:rPr>
          <w:rFonts w:asciiTheme="minorHAnsi" w:hAnsiTheme="minorHAnsi"/>
        </w:rPr>
      </w:pPr>
      <w:r w:rsidRPr="004A132D">
        <w:rPr>
          <w:rFonts w:asciiTheme="minorHAnsi" w:hAnsiTheme="minorHAnsi"/>
        </w:rPr>
        <w:t>In the ACT, women in prison have access to a range of rehabilitative and re</w:t>
      </w:r>
      <w:r w:rsidR="00164857" w:rsidRPr="004A132D">
        <w:rPr>
          <w:rFonts w:asciiTheme="minorHAnsi" w:hAnsiTheme="minorHAnsi"/>
        </w:rPr>
        <w:noBreakHyphen/>
      </w:r>
      <w:r w:rsidRPr="004A132D">
        <w:rPr>
          <w:rFonts w:asciiTheme="minorHAnsi" w:hAnsiTheme="minorHAnsi"/>
        </w:rPr>
        <w:t>integrative programs and services, including alcohol and other drug programs, a range of mental health supports, employment and education programs and a service that coordinates community resources to support eligible detainees leaving custody with basic needs including housing, health, income, family and community connections.</w:t>
      </w:r>
    </w:p>
    <w:p w14:paraId="50E08566" w14:textId="77777777" w:rsidR="002A56DC" w:rsidRPr="004A132D" w:rsidRDefault="002A56DC" w:rsidP="00561D0E">
      <w:pPr>
        <w:pStyle w:val="Numbers"/>
        <w:numPr>
          <w:ilvl w:val="1"/>
          <w:numId w:val="1"/>
        </w:numPr>
        <w:rPr>
          <w:rFonts w:asciiTheme="minorHAnsi" w:hAnsiTheme="minorHAnsi"/>
        </w:rPr>
      </w:pPr>
      <w:r w:rsidRPr="004A132D">
        <w:rPr>
          <w:rFonts w:asciiTheme="minorHAnsi" w:hAnsiTheme="minorHAnsi"/>
        </w:rPr>
        <w:t>In NSW, Aboriginal and/or Torres Strait Islander women have access to a range of programs designed to address their unique and complex needs. This includes access to cultural programs, pathways to employment, education, housing, criminogenic needs, and initiatives that provide essential documents such as birth certificates. NSW also offers the Miruma Program, a diversionary program for</w:t>
      </w:r>
      <w:r w:rsidRPr="004A132D">
        <w:rPr>
          <w:rFonts w:asciiTheme="minorHAnsi" w:hAnsiTheme="minorHAnsi"/>
          <w:color w:val="212529"/>
        </w:rPr>
        <w:t xml:space="preserve"> female offenders with mental health and drug and alcohol abuse issues.</w:t>
      </w:r>
    </w:p>
    <w:p w14:paraId="506A6EF3" w14:textId="18C00E34" w:rsidR="005C7C6F" w:rsidRPr="004A132D" w:rsidRDefault="00535360" w:rsidP="00561D0E">
      <w:pPr>
        <w:pStyle w:val="Numbers"/>
        <w:numPr>
          <w:ilvl w:val="1"/>
          <w:numId w:val="1"/>
        </w:numPr>
        <w:rPr>
          <w:rFonts w:asciiTheme="minorHAnsi" w:hAnsiTheme="minorHAnsi"/>
        </w:rPr>
      </w:pPr>
      <w:r w:rsidRPr="004A132D">
        <w:rPr>
          <w:rFonts w:asciiTheme="minorHAnsi" w:hAnsiTheme="minorHAnsi"/>
        </w:rPr>
        <w:t>Both the Mary Hutchinson Women’s Prison in T</w:t>
      </w:r>
      <w:r w:rsidR="0094730A" w:rsidRPr="004A132D">
        <w:rPr>
          <w:rFonts w:asciiTheme="minorHAnsi" w:hAnsiTheme="minorHAnsi"/>
        </w:rPr>
        <w:t>AS</w:t>
      </w:r>
      <w:r w:rsidRPr="004A132D">
        <w:rPr>
          <w:rFonts w:asciiTheme="minorHAnsi" w:hAnsiTheme="minorHAnsi"/>
        </w:rPr>
        <w:t xml:space="preserve"> and NT Correctional Services provide a range of programs, initiatives and supports to meet the needs of women in detention, including education and training courses, therapeutic, cultural and health-based recreation and </w:t>
      </w:r>
      <w:r w:rsidRPr="004A132D">
        <w:rPr>
          <w:rFonts w:asciiTheme="minorHAnsi" w:hAnsiTheme="minorHAnsi"/>
        </w:rPr>
        <w:lastRenderedPageBreak/>
        <w:t>offence</w:t>
      </w:r>
      <w:r w:rsidR="00164857" w:rsidRPr="004A132D">
        <w:rPr>
          <w:rFonts w:asciiTheme="minorHAnsi" w:hAnsiTheme="minorHAnsi"/>
        </w:rPr>
        <w:noBreakHyphen/>
      </w:r>
      <w:r w:rsidRPr="004A132D">
        <w:rPr>
          <w:rFonts w:asciiTheme="minorHAnsi" w:hAnsiTheme="minorHAnsi"/>
        </w:rPr>
        <w:t xml:space="preserve">specific programs. </w:t>
      </w:r>
      <w:r w:rsidR="0041485F" w:rsidRPr="004A132D">
        <w:rPr>
          <w:rFonts w:asciiTheme="minorHAnsi" w:hAnsiTheme="minorHAnsi"/>
        </w:rPr>
        <w:t xml:space="preserve">In the NT, these </w:t>
      </w:r>
      <w:r w:rsidRPr="004A132D">
        <w:rPr>
          <w:rFonts w:asciiTheme="minorHAnsi" w:hAnsiTheme="minorHAnsi"/>
        </w:rPr>
        <w:t xml:space="preserve">programs are administered with Aboriginal cultural and practice advisors. </w:t>
      </w:r>
      <w:r w:rsidR="005C7C6F" w:rsidRPr="004A132D">
        <w:rPr>
          <w:rFonts w:asciiTheme="minorHAnsi" w:hAnsiTheme="minorHAnsi"/>
        </w:rPr>
        <w:t>The NT Government provides Bail Support Accommodation services in Darwin and Alice Springs for women as an alternative to detention.</w:t>
      </w:r>
      <w:r w:rsidR="004415A5" w:rsidRPr="004A132D">
        <w:rPr>
          <w:rFonts w:asciiTheme="minorHAnsi" w:hAnsiTheme="minorHAnsi" w:cstheme="minorBidi"/>
          <w:kern w:val="2"/>
          <w:lang w:val="en-AU"/>
          <w14:ligatures w14:val="standardContextual"/>
        </w:rPr>
        <w:t xml:space="preserve"> </w:t>
      </w:r>
      <w:r w:rsidR="004415A5" w:rsidRPr="004A132D">
        <w:rPr>
          <w:rFonts w:asciiTheme="minorHAnsi" w:hAnsiTheme="minorHAnsi"/>
          <w:lang w:val="en-AU"/>
        </w:rPr>
        <w:t>NT Correctional Services provide a range of offender programs and individual intervention, health, education and training, recreation and other activities.  Aboriginal Mental Health First Aid, visits by Elders and Yarning Circles have also been provided. NTCS is currently developing two new correctional centres for women that are being designed on a therapeutic foundation. Noting that this extends beyond the adult custodial facilities which include the Alternatives to Custody facilities.</w:t>
      </w:r>
    </w:p>
    <w:p w14:paraId="1E2F3267" w14:textId="3AB6CD2B" w:rsidR="00060B9A" w:rsidRPr="004A132D" w:rsidRDefault="00060B9A" w:rsidP="00561D0E">
      <w:pPr>
        <w:pStyle w:val="Numbers"/>
        <w:numPr>
          <w:ilvl w:val="1"/>
          <w:numId w:val="1"/>
        </w:numPr>
        <w:rPr>
          <w:rFonts w:asciiTheme="minorHAnsi" w:hAnsiTheme="minorHAnsi"/>
        </w:rPr>
      </w:pPr>
      <w:r w:rsidRPr="004A132D">
        <w:rPr>
          <w:rFonts w:asciiTheme="minorHAnsi" w:hAnsiTheme="minorHAnsi"/>
        </w:rPr>
        <w:t xml:space="preserve">Following funding from the Women’s Safety and Justice Taskforce, </w:t>
      </w:r>
      <w:r w:rsidR="009F33CC" w:rsidRPr="004A132D">
        <w:rPr>
          <w:rFonts w:asciiTheme="minorHAnsi" w:hAnsiTheme="minorHAnsi"/>
        </w:rPr>
        <w:t xml:space="preserve">Queensland </w:t>
      </w:r>
      <w:r w:rsidRPr="004A132D">
        <w:rPr>
          <w:rFonts w:asciiTheme="minorHAnsi" w:hAnsiTheme="minorHAnsi"/>
        </w:rPr>
        <w:t xml:space="preserve">Corrective Services is undertaking a suite of women’s system reforms including, increasing women’s access to programs and services including those targeting drug and alcohol, mental health, parenting, and domestic, family and sexual violence. </w:t>
      </w:r>
    </w:p>
    <w:p w14:paraId="13AD4FE5" w14:textId="77777777" w:rsidR="005C7C6F" w:rsidRPr="004A132D" w:rsidRDefault="005C7C6F" w:rsidP="00561D0E">
      <w:pPr>
        <w:pStyle w:val="Numbers"/>
        <w:numPr>
          <w:ilvl w:val="1"/>
          <w:numId w:val="1"/>
        </w:numPr>
        <w:rPr>
          <w:rFonts w:asciiTheme="minorHAnsi" w:hAnsiTheme="minorHAnsi"/>
        </w:rPr>
      </w:pPr>
      <w:r w:rsidRPr="004A132D">
        <w:rPr>
          <w:rFonts w:asciiTheme="minorHAnsi" w:hAnsiTheme="minorHAnsi"/>
        </w:rPr>
        <w:t xml:space="preserve">In SA, Yalakiana Tapa delivers Marni Tapa, a program that provides individualised support, cultural accommodation, and drug and alcohol residential treatment for women exiting custody onto bail.  </w:t>
      </w:r>
    </w:p>
    <w:p w14:paraId="7ADEB9B0" w14:textId="77777777" w:rsidR="0041485F" w:rsidRPr="004A132D" w:rsidRDefault="0041485F" w:rsidP="00C7151F">
      <w:pPr>
        <w:pStyle w:val="Heading2"/>
      </w:pPr>
      <w:bookmarkStart w:id="194" w:name="_Toc175556847"/>
      <w:r w:rsidRPr="004A132D">
        <w:t>Question 23c: Comprehensive health screening</w:t>
      </w:r>
      <w:bookmarkEnd w:id="194"/>
    </w:p>
    <w:p w14:paraId="4D86894D" w14:textId="77777777" w:rsidR="0041485F" w:rsidRPr="004A132D" w:rsidRDefault="0041485F" w:rsidP="00532B5F">
      <w:pPr>
        <w:pStyle w:val="Numbers"/>
        <w:ind w:left="1418"/>
        <w:rPr>
          <w:rFonts w:asciiTheme="minorHAnsi" w:hAnsiTheme="minorHAnsi"/>
        </w:rPr>
      </w:pPr>
      <w:r w:rsidRPr="004A132D">
        <w:rPr>
          <w:rFonts w:asciiTheme="minorHAnsi" w:hAnsiTheme="minorHAnsi"/>
        </w:rPr>
        <w:t>All states and territories conduct comprehensive physical and mental health needs upon admission to detention. For example:</w:t>
      </w:r>
    </w:p>
    <w:p w14:paraId="3D4E2C42" w14:textId="77777777" w:rsidR="0041485F" w:rsidRPr="004A132D" w:rsidRDefault="006D1179" w:rsidP="00561D0E">
      <w:pPr>
        <w:pStyle w:val="Numbers"/>
        <w:numPr>
          <w:ilvl w:val="1"/>
          <w:numId w:val="1"/>
        </w:numPr>
        <w:rPr>
          <w:rFonts w:asciiTheme="minorHAnsi" w:hAnsiTheme="minorHAnsi"/>
        </w:rPr>
      </w:pPr>
      <w:r w:rsidRPr="004A132D">
        <w:rPr>
          <w:rFonts w:asciiTheme="minorHAnsi" w:hAnsiTheme="minorHAnsi"/>
        </w:rPr>
        <w:t>NSW</w:t>
      </w:r>
      <w:r w:rsidR="0041485F" w:rsidRPr="004A132D">
        <w:rPr>
          <w:rFonts w:asciiTheme="minorHAnsi" w:hAnsiTheme="minorHAnsi"/>
        </w:rPr>
        <w:t xml:space="preserve"> Corrective Services ensures that gender specific issues, including health, abuse and trauma related factors, are taken into account when assessing the needs of women offenders. The NSW Government is working to develop a Women’s Intervention Pathway to inform inmate case plans and referrals to gender-responsive programs and services.</w:t>
      </w:r>
    </w:p>
    <w:p w14:paraId="7B04BF48" w14:textId="61E213CC" w:rsidR="0041485F" w:rsidRPr="004A132D" w:rsidRDefault="006D1179" w:rsidP="00561D0E">
      <w:pPr>
        <w:pStyle w:val="Numbers"/>
        <w:numPr>
          <w:ilvl w:val="1"/>
          <w:numId w:val="1"/>
        </w:numPr>
        <w:rPr>
          <w:rFonts w:asciiTheme="minorHAnsi" w:hAnsiTheme="minorHAnsi"/>
        </w:rPr>
      </w:pPr>
      <w:r w:rsidRPr="004A132D">
        <w:rPr>
          <w:rFonts w:asciiTheme="minorHAnsi" w:hAnsiTheme="minorHAnsi"/>
        </w:rPr>
        <w:t>In TAS</w:t>
      </w:r>
      <w:r w:rsidR="0041485F" w:rsidRPr="004A132D">
        <w:rPr>
          <w:rFonts w:asciiTheme="minorHAnsi" w:hAnsiTheme="minorHAnsi"/>
        </w:rPr>
        <w:t>, all detainees undergo an initial health screening on reception to custody, underta</w:t>
      </w:r>
      <w:r w:rsidRPr="004A132D">
        <w:rPr>
          <w:rFonts w:asciiTheme="minorHAnsi" w:hAnsiTheme="minorHAnsi"/>
        </w:rPr>
        <w:t>ken by a registered n</w:t>
      </w:r>
      <w:r w:rsidR="0041485F" w:rsidRPr="004A132D">
        <w:rPr>
          <w:rFonts w:asciiTheme="minorHAnsi" w:hAnsiTheme="minorHAnsi"/>
        </w:rPr>
        <w:t xml:space="preserve">urse, to determine priority steps and ensure rapid health response can be provided. Within </w:t>
      </w:r>
      <w:r w:rsidR="00232E8B" w:rsidRPr="004A132D">
        <w:rPr>
          <w:rFonts w:asciiTheme="minorHAnsi" w:hAnsiTheme="minorHAnsi"/>
        </w:rPr>
        <w:t>4</w:t>
      </w:r>
      <w:r w:rsidR="0041485F" w:rsidRPr="004A132D">
        <w:rPr>
          <w:rFonts w:asciiTheme="minorHAnsi" w:hAnsiTheme="minorHAnsi"/>
        </w:rPr>
        <w:t xml:space="preserve"> weeks of being</w:t>
      </w:r>
      <w:r w:rsidRPr="004A132D">
        <w:rPr>
          <w:rFonts w:asciiTheme="minorHAnsi" w:hAnsiTheme="minorHAnsi"/>
        </w:rPr>
        <w:t xml:space="preserve"> in custody, prisoners are</w:t>
      </w:r>
      <w:r w:rsidR="0041485F" w:rsidRPr="004A132D">
        <w:rPr>
          <w:rFonts w:asciiTheme="minorHAnsi" w:hAnsiTheme="minorHAnsi"/>
        </w:rPr>
        <w:t xml:space="preserve"> seen by a doctor to review ongoing </w:t>
      </w:r>
      <w:r w:rsidR="0041485F" w:rsidRPr="004A132D">
        <w:rPr>
          <w:rFonts w:asciiTheme="minorHAnsi" w:hAnsiTheme="minorHAnsi"/>
        </w:rPr>
        <w:lastRenderedPageBreak/>
        <w:t xml:space="preserve">health needs. Dedicated health teams comprising nurses, general practitioners and psychiatrists operate on-site, and further referrals are available where required. </w:t>
      </w:r>
    </w:p>
    <w:p w14:paraId="002B2F29" w14:textId="68552C7A" w:rsidR="0041485F" w:rsidRPr="004A132D" w:rsidRDefault="00105EE4" w:rsidP="00561D0E">
      <w:pPr>
        <w:pStyle w:val="Numbers"/>
        <w:numPr>
          <w:ilvl w:val="1"/>
          <w:numId w:val="1"/>
        </w:numPr>
        <w:rPr>
          <w:rFonts w:asciiTheme="minorHAnsi" w:hAnsiTheme="minorHAnsi"/>
        </w:rPr>
      </w:pPr>
      <w:r w:rsidRPr="004A132D">
        <w:rPr>
          <w:rFonts w:asciiTheme="minorHAnsi" w:hAnsiTheme="minorHAnsi"/>
        </w:rPr>
        <w:t xml:space="preserve">In WA, </w:t>
      </w:r>
      <w:r w:rsidR="00164857" w:rsidRPr="004A132D">
        <w:rPr>
          <w:rFonts w:asciiTheme="minorHAnsi" w:hAnsiTheme="minorHAnsi"/>
        </w:rPr>
        <w:t xml:space="preserve">a </w:t>
      </w:r>
      <w:r w:rsidRPr="004A132D">
        <w:rPr>
          <w:rFonts w:asciiTheme="minorHAnsi" w:hAnsiTheme="minorHAnsi"/>
        </w:rPr>
        <w:t>registered n</w:t>
      </w:r>
      <w:r w:rsidR="006D1179" w:rsidRPr="004A132D">
        <w:rPr>
          <w:rFonts w:asciiTheme="minorHAnsi" w:hAnsiTheme="minorHAnsi"/>
        </w:rPr>
        <w:t>urse will co</w:t>
      </w:r>
      <w:r w:rsidRPr="004A132D">
        <w:rPr>
          <w:rFonts w:asciiTheme="minorHAnsi" w:hAnsiTheme="minorHAnsi"/>
        </w:rPr>
        <w:t xml:space="preserve">nduct </w:t>
      </w:r>
      <w:r w:rsidR="006D1179" w:rsidRPr="004A132D">
        <w:rPr>
          <w:rFonts w:asciiTheme="minorHAnsi" w:hAnsiTheme="minorHAnsi"/>
        </w:rPr>
        <w:t xml:space="preserve">a full health </w:t>
      </w:r>
      <w:r w:rsidRPr="004A132D">
        <w:rPr>
          <w:rFonts w:asciiTheme="minorHAnsi" w:hAnsiTheme="minorHAnsi"/>
        </w:rPr>
        <w:t>assessment</w:t>
      </w:r>
      <w:r w:rsidR="006D1179" w:rsidRPr="004A132D">
        <w:rPr>
          <w:rFonts w:asciiTheme="minorHAnsi" w:hAnsiTheme="minorHAnsi"/>
        </w:rPr>
        <w:t xml:space="preserve"> with</w:t>
      </w:r>
      <w:r w:rsidRPr="004A132D">
        <w:rPr>
          <w:rFonts w:asciiTheme="minorHAnsi" w:hAnsiTheme="minorHAnsi"/>
        </w:rPr>
        <w:t>in 24 hours for adult prisoners</w:t>
      </w:r>
      <w:r w:rsidR="006D1179" w:rsidRPr="004A132D">
        <w:rPr>
          <w:rFonts w:asciiTheme="minorHAnsi" w:hAnsiTheme="minorHAnsi"/>
        </w:rPr>
        <w:t xml:space="preserve"> and 12 hours for a young person. Young women and girls in detention in W</w:t>
      </w:r>
      <w:r w:rsidR="00164857" w:rsidRPr="004A132D">
        <w:rPr>
          <w:rFonts w:asciiTheme="minorHAnsi" w:hAnsiTheme="minorHAnsi"/>
        </w:rPr>
        <w:t>A</w:t>
      </w:r>
      <w:r w:rsidR="006D1179" w:rsidRPr="004A132D">
        <w:rPr>
          <w:rFonts w:asciiTheme="minorHAnsi" w:hAnsiTheme="minorHAnsi"/>
        </w:rPr>
        <w:t xml:space="preserve"> have access to a range of services including psychologists, general practitioners and dentists, and may access referrals to external specialist services where required</w:t>
      </w:r>
      <w:r w:rsidRPr="004A132D">
        <w:rPr>
          <w:rFonts w:asciiTheme="minorHAnsi" w:hAnsiTheme="minorHAnsi"/>
        </w:rPr>
        <w:t xml:space="preserve">. </w:t>
      </w:r>
      <w:r w:rsidR="0041485F" w:rsidRPr="004A132D">
        <w:rPr>
          <w:rFonts w:asciiTheme="minorHAnsi" w:hAnsiTheme="minorHAnsi"/>
        </w:rPr>
        <w:t>WA is developing a service model for screening, assessment and intervention for neurodevelopmental disabilities and mental health issues. Preliminary negotiations are underway to engage Aboriginal Medical Services to supplement the medical services provided in custody.</w:t>
      </w:r>
    </w:p>
    <w:p w14:paraId="13BCF111" w14:textId="77777777" w:rsidR="00105EE4" w:rsidRPr="004A132D" w:rsidRDefault="00105EE4" w:rsidP="00C7151F">
      <w:pPr>
        <w:pStyle w:val="Heading2"/>
      </w:pPr>
      <w:bookmarkStart w:id="195" w:name="_Toc175556848"/>
      <w:r w:rsidRPr="004A132D">
        <w:t>Question 23d: Gender-sensitive training and behaviour of correctional staff, and complaints mechanisms</w:t>
      </w:r>
      <w:bookmarkEnd w:id="195"/>
    </w:p>
    <w:p w14:paraId="5278E35B" w14:textId="77777777" w:rsidR="00105EE4" w:rsidRPr="004A132D" w:rsidRDefault="0029448C" w:rsidP="00601539">
      <w:pPr>
        <w:pStyle w:val="Numbers"/>
        <w:ind w:left="1418"/>
        <w:rPr>
          <w:rFonts w:asciiTheme="minorHAnsi" w:hAnsiTheme="minorHAnsi"/>
        </w:rPr>
      </w:pPr>
      <w:r w:rsidRPr="004A132D">
        <w:rPr>
          <w:rFonts w:asciiTheme="minorHAnsi" w:hAnsiTheme="minorHAnsi"/>
        </w:rPr>
        <w:t>States and territories provide a range of gender-specific training and professional development opportunities for staff in correctional facilities, with several jurisdictions collecting data on the completion rates of this training. For example:</w:t>
      </w:r>
    </w:p>
    <w:p w14:paraId="02B6FB87" w14:textId="754136DD" w:rsidR="00B9581D" w:rsidRPr="004A132D" w:rsidRDefault="00B9581D" w:rsidP="00561D0E">
      <w:pPr>
        <w:pStyle w:val="Numbers"/>
        <w:numPr>
          <w:ilvl w:val="1"/>
          <w:numId w:val="1"/>
        </w:numPr>
        <w:rPr>
          <w:rFonts w:asciiTheme="minorHAnsi" w:hAnsiTheme="minorHAnsi"/>
        </w:rPr>
      </w:pPr>
      <w:r w:rsidRPr="004A132D">
        <w:rPr>
          <w:rFonts w:asciiTheme="minorHAnsi" w:hAnsiTheme="minorHAnsi"/>
        </w:rPr>
        <w:t xml:space="preserve">ACT Corrective Services delivers the Women in Custody course to all custodial officers during their recruit course. Delivered since 2015, </w:t>
      </w:r>
      <w:r w:rsidR="009F33CC" w:rsidRPr="004A132D">
        <w:rPr>
          <w:rFonts w:asciiTheme="minorHAnsi" w:hAnsiTheme="minorHAnsi"/>
        </w:rPr>
        <w:br/>
      </w:r>
      <w:r w:rsidRPr="004A132D">
        <w:rPr>
          <w:rFonts w:asciiTheme="minorHAnsi" w:hAnsiTheme="minorHAnsi"/>
        </w:rPr>
        <w:t>83</w:t>
      </w:r>
      <w:r w:rsidR="009F33CC" w:rsidRPr="004A132D">
        <w:rPr>
          <w:rFonts w:asciiTheme="minorHAnsi" w:hAnsiTheme="minorHAnsi"/>
        </w:rPr>
        <w:t xml:space="preserve"> </w:t>
      </w:r>
      <w:r w:rsidRPr="004A132D">
        <w:rPr>
          <w:rFonts w:asciiTheme="minorHAnsi" w:hAnsiTheme="minorHAnsi"/>
        </w:rPr>
        <w:t>per cent of staff have completed this training</w:t>
      </w:r>
      <w:r w:rsidR="00525F14" w:rsidRPr="004A132D">
        <w:rPr>
          <w:rFonts w:asciiTheme="minorHAnsi" w:hAnsiTheme="minorHAnsi"/>
        </w:rPr>
        <w:t>,</w:t>
      </w:r>
      <w:r w:rsidRPr="004A132D">
        <w:rPr>
          <w:rFonts w:asciiTheme="minorHAnsi" w:hAnsiTheme="minorHAnsi"/>
        </w:rPr>
        <w:t xml:space="preserve"> as at October 2023. </w:t>
      </w:r>
    </w:p>
    <w:p w14:paraId="40DC0B16" w14:textId="758AF681" w:rsidR="00105EE4" w:rsidRPr="004A132D" w:rsidRDefault="0029448C" w:rsidP="00561D0E">
      <w:pPr>
        <w:pStyle w:val="Numbers"/>
        <w:numPr>
          <w:ilvl w:val="1"/>
          <w:numId w:val="1"/>
        </w:numPr>
        <w:rPr>
          <w:rFonts w:asciiTheme="minorHAnsi" w:hAnsiTheme="minorHAnsi"/>
        </w:rPr>
      </w:pPr>
      <w:r w:rsidRPr="004A132D">
        <w:rPr>
          <w:rFonts w:asciiTheme="minorHAnsi" w:hAnsiTheme="minorHAnsi"/>
        </w:rPr>
        <w:t>In QLD,</w:t>
      </w:r>
      <w:r w:rsidR="008D7EC4" w:rsidRPr="004A132D">
        <w:rPr>
          <w:rFonts w:asciiTheme="minorHAnsi" w:hAnsiTheme="minorHAnsi" w:cstheme="minorBidi"/>
          <w:kern w:val="2"/>
          <w:lang w:val="en-AU"/>
          <w14:ligatures w14:val="standardContextual"/>
        </w:rPr>
        <w:t xml:space="preserve"> </w:t>
      </w:r>
      <w:r w:rsidR="008D7EC4" w:rsidRPr="004A132D">
        <w:rPr>
          <w:rFonts w:asciiTheme="minorHAnsi" w:hAnsiTheme="minorHAnsi"/>
          <w:lang w:val="en-AU"/>
        </w:rPr>
        <w:t>the Trauma-Informed and Gender Responsive Practice is a specialised training module to support staff to work in trauma-informed and gender-responsive ways with individuals involved in the criminal justice system. It is already part of foundations training provided to Community Corrections staff and will be introduced into the custodial officer training curriculum in 2024-25</w:t>
      </w:r>
      <w:r w:rsidRPr="004A132D">
        <w:rPr>
          <w:rFonts w:asciiTheme="minorHAnsi" w:hAnsiTheme="minorHAnsi"/>
        </w:rPr>
        <w:t xml:space="preserve">. </w:t>
      </w:r>
    </w:p>
    <w:p w14:paraId="54A228CE" w14:textId="77777777" w:rsidR="0062026B" w:rsidRPr="004A132D" w:rsidRDefault="00105EE4" w:rsidP="00561D0E">
      <w:pPr>
        <w:pStyle w:val="Numbers"/>
        <w:numPr>
          <w:ilvl w:val="1"/>
          <w:numId w:val="1"/>
        </w:numPr>
        <w:rPr>
          <w:rFonts w:asciiTheme="minorHAnsi" w:hAnsiTheme="minorHAnsi"/>
        </w:rPr>
      </w:pPr>
      <w:r w:rsidRPr="004A132D">
        <w:rPr>
          <w:rFonts w:asciiTheme="minorHAnsi" w:hAnsiTheme="minorHAnsi"/>
        </w:rPr>
        <w:t xml:space="preserve">In SA, a Working with Women mandatory training package is delivered to all new correctional officer staff and is underpinned by relational and trauma informed practices. </w:t>
      </w:r>
    </w:p>
    <w:p w14:paraId="6C044132" w14:textId="77777777" w:rsidR="0062026B" w:rsidRPr="004A132D" w:rsidRDefault="00F1115A" w:rsidP="00561D0E">
      <w:pPr>
        <w:pStyle w:val="Numbers"/>
        <w:numPr>
          <w:ilvl w:val="1"/>
          <w:numId w:val="1"/>
        </w:numPr>
        <w:rPr>
          <w:rFonts w:asciiTheme="minorHAnsi" w:hAnsiTheme="minorHAnsi"/>
        </w:rPr>
      </w:pPr>
      <w:r w:rsidRPr="004A132D">
        <w:rPr>
          <w:rFonts w:asciiTheme="minorHAnsi" w:hAnsiTheme="minorHAnsi"/>
        </w:rPr>
        <w:lastRenderedPageBreak/>
        <w:t>VIC’s</w:t>
      </w:r>
      <w:r w:rsidR="0062026B" w:rsidRPr="004A132D">
        <w:rPr>
          <w:rFonts w:asciiTheme="minorHAnsi" w:hAnsiTheme="minorHAnsi"/>
        </w:rPr>
        <w:t xml:space="preserve"> </w:t>
      </w:r>
      <w:r w:rsidR="0062026B" w:rsidRPr="004A132D">
        <w:rPr>
          <w:rFonts w:asciiTheme="minorHAnsi" w:hAnsiTheme="minorHAnsi"/>
          <w:i/>
        </w:rPr>
        <w:t>Standards for the Management of Women Prisoners in Victoria</w:t>
      </w:r>
      <w:r w:rsidR="0062026B" w:rsidRPr="004A132D">
        <w:rPr>
          <w:rFonts w:asciiTheme="minorHAnsi" w:hAnsiTheme="minorHAnsi"/>
        </w:rPr>
        <w:t xml:space="preserve"> outlines a responsibility for Prisoner General Managers to ensure staff complete a training unit on issues specific to managing women in detention, covering issues such as women’ different pathways into offending; the intersection between women’s substance abuse, mental health and past victimisation; empathetic communication between staff and women in detention; mother-child relationships; and professional boundaries.</w:t>
      </w:r>
    </w:p>
    <w:p w14:paraId="7A461D9C" w14:textId="77777777" w:rsidR="00F1115A" w:rsidRPr="004A132D" w:rsidRDefault="00F1115A" w:rsidP="00601539">
      <w:pPr>
        <w:pStyle w:val="Numbers"/>
        <w:ind w:left="1418"/>
        <w:rPr>
          <w:rFonts w:asciiTheme="minorHAnsi" w:hAnsiTheme="minorHAnsi"/>
        </w:rPr>
      </w:pPr>
      <w:r w:rsidRPr="004A132D">
        <w:rPr>
          <w:rFonts w:asciiTheme="minorHAnsi" w:hAnsiTheme="minorHAnsi"/>
        </w:rPr>
        <w:t xml:space="preserve">In all states and territories, women who are in prison can make complaints to staff and external complaint bodies and oversight agencies such as the relevant jurisdictional Ombudsman, and are provided information on how to make complaints as part of admission and induction procedures. </w:t>
      </w:r>
    </w:p>
    <w:p w14:paraId="6EEAF303" w14:textId="77777777" w:rsidR="00F1115A" w:rsidRPr="004A132D" w:rsidRDefault="00F1115A" w:rsidP="00601539">
      <w:pPr>
        <w:pStyle w:val="Numbers"/>
        <w:ind w:left="1418"/>
        <w:rPr>
          <w:rFonts w:asciiTheme="minorHAnsi" w:hAnsiTheme="minorHAnsi"/>
        </w:rPr>
      </w:pPr>
      <w:r w:rsidRPr="004A132D">
        <w:rPr>
          <w:rFonts w:asciiTheme="minorHAnsi" w:hAnsiTheme="minorHAnsi"/>
        </w:rPr>
        <w:t>In regards to confidentiality, there are various avenues via which women in detention can access confidential access to complaints. For example:</w:t>
      </w:r>
    </w:p>
    <w:p w14:paraId="4679B858" w14:textId="77777777" w:rsidR="00A041C3" w:rsidRPr="004A132D" w:rsidRDefault="00A041C3" w:rsidP="00561D0E">
      <w:pPr>
        <w:pStyle w:val="Numbers"/>
        <w:numPr>
          <w:ilvl w:val="1"/>
          <w:numId w:val="1"/>
        </w:numPr>
        <w:rPr>
          <w:rFonts w:asciiTheme="minorHAnsi" w:hAnsiTheme="minorHAnsi"/>
        </w:rPr>
      </w:pPr>
      <w:r w:rsidRPr="004A132D">
        <w:rPr>
          <w:rFonts w:asciiTheme="minorHAnsi" w:hAnsiTheme="minorHAnsi"/>
        </w:rPr>
        <w:t>In the ACT, women can make complaints to a range of external oversight bodies. Phone numbers for these oversight agencies are on the free-call list, and their email addresses are whitelisted.</w:t>
      </w:r>
    </w:p>
    <w:p w14:paraId="46A1E45B" w14:textId="7484E746" w:rsidR="00A041C3" w:rsidRPr="004A132D" w:rsidRDefault="00F1115A" w:rsidP="00561D0E">
      <w:pPr>
        <w:pStyle w:val="Numbers"/>
        <w:numPr>
          <w:ilvl w:val="1"/>
          <w:numId w:val="1"/>
        </w:numPr>
        <w:rPr>
          <w:rFonts w:asciiTheme="minorHAnsi" w:hAnsiTheme="minorHAnsi"/>
        </w:rPr>
      </w:pPr>
      <w:r w:rsidRPr="004A132D">
        <w:rPr>
          <w:rFonts w:asciiTheme="minorHAnsi" w:hAnsiTheme="minorHAnsi"/>
        </w:rPr>
        <w:t>In WA, women in detention can make complain</w:t>
      </w:r>
      <w:r w:rsidR="003B5CDB" w:rsidRPr="004A132D">
        <w:rPr>
          <w:rFonts w:asciiTheme="minorHAnsi" w:hAnsiTheme="minorHAnsi"/>
        </w:rPr>
        <w:t>t</w:t>
      </w:r>
      <w:r w:rsidRPr="004A132D">
        <w:rPr>
          <w:rFonts w:asciiTheme="minorHAnsi" w:hAnsiTheme="minorHAnsi"/>
        </w:rPr>
        <w:t>s through confidential mail to various regulatory and governmental bodie</w:t>
      </w:r>
      <w:r w:rsidR="00A041C3" w:rsidRPr="004A132D">
        <w:rPr>
          <w:rFonts w:asciiTheme="minorHAnsi" w:hAnsiTheme="minorHAnsi"/>
        </w:rPr>
        <w:t>s</w:t>
      </w:r>
      <w:r w:rsidRPr="004A132D">
        <w:rPr>
          <w:rFonts w:asciiTheme="minorHAnsi" w:hAnsiTheme="minorHAnsi"/>
        </w:rPr>
        <w:t xml:space="preserve">. </w:t>
      </w:r>
      <w:r w:rsidR="00A041C3" w:rsidRPr="004A132D">
        <w:rPr>
          <w:rFonts w:asciiTheme="minorHAnsi" w:hAnsiTheme="minorHAnsi"/>
        </w:rPr>
        <w:t>The prisoner grievance process and WA health service for prisoners are also confidential complaints processes. Women also have access to confidential services legal services.</w:t>
      </w:r>
    </w:p>
    <w:p w14:paraId="4BC24F79" w14:textId="77777777" w:rsidR="00F1115A" w:rsidRPr="004A132D" w:rsidRDefault="00A174DD" w:rsidP="00C7151F">
      <w:pPr>
        <w:pStyle w:val="Heading2"/>
      </w:pPr>
      <w:bookmarkStart w:id="196" w:name="_Toc175556849"/>
      <w:r w:rsidRPr="004A132D">
        <w:t>Question 23e: Investigations, prosecutions and punishments of cases of sexual violence against women in detention</w:t>
      </w:r>
      <w:bookmarkEnd w:id="196"/>
    </w:p>
    <w:p w14:paraId="786FBBAE" w14:textId="77777777" w:rsidR="00A174DD" w:rsidRPr="004A132D" w:rsidRDefault="00763004" w:rsidP="00601539">
      <w:pPr>
        <w:pStyle w:val="Numbers"/>
        <w:ind w:left="1418"/>
        <w:rPr>
          <w:rFonts w:asciiTheme="minorHAnsi" w:hAnsiTheme="minorHAnsi"/>
        </w:rPr>
      </w:pPr>
      <w:r w:rsidRPr="004A132D">
        <w:rPr>
          <w:rFonts w:asciiTheme="minorHAnsi" w:hAnsiTheme="minorHAnsi"/>
        </w:rPr>
        <w:t>All</w:t>
      </w:r>
      <w:r w:rsidR="00A174DD" w:rsidRPr="004A132D">
        <w:rPr>
          <w:rFonts w:asciiTheme="minorHAnsi" w:hAnsiTheme="minorHAnsi"/>
        </w:rPr>
        <w:t xml:space="preserve"> jurisdiction</w:t>
      </w:r>
      <w:r w:rsidRPr="004A132D">
        <w:rPr>
          <w:rFonts w:asciiTheme="minorHAnsi" w:hAnsiTheme="minorHAnsi"/>
        </w:rPr>
        <w:t>s take extremely seriously any allegations of sexual violence against women in prison</w:t>
      </w:r>
      <w:r w:rsidR="00D21CED" w:rsidRPr="004A132D">
        <w:rPr>
          <w:rFonts w:asciiTheme="minorHAnsi" w:hAnsiTheme="minorHAnsi"/>
        </w:rPr>
        <w:t xml:space="preserve">. </w:t>
      </w:r>
      <w:r w:rsidRPr="004A132D">
        <w:rPr>
          <w:rFonts w:asciiTheme="minorHAnsi" w:hAnsiTheme="minorHAnsi"/>
        </w:rPr>
        <w:t xml:space="preserve">Each jurisdiction adopts a different approach to the collection of data relating to investigations, prosecutions and punishments of cases of sexual violence against women in detention. </w:t>
      </w:r>
    </w:p>
    <w:p w14:paraId="71800389" w14:textId="73435350" w:rsidR="00763004" w:rsidRPr="004A132D" w:rsidRDefault="00763004" w:rsidP="00561D0E">
      <w:pPr>
        <w:pStyle w:val="Numbers"/>
        <w:numPr>
          <w:ilvl w:val="1"/>
          <w:numId w:val="1"/>
        </w:numPr>
        <w:rPr>
          <w:rFonts w:asciiTheme="minorHAnsi" w:hAnsiTheme="minorHAnsi"/>
        </w:rPr>
      </w:pPr>
      <w:r w:rsidRPr="004A132D">
        <w:rPr>
          <w:rFonts w:asciiTheme="minorHAnsi" w:hAnsiTheme="minorHAnsi"/>
        </w:rPr>
        <w:t xml:space="preserve">The ACT identified no incidents in the last </w:t>
      </w:r>
      <w:r w:rsidR="00520DF4" w:rsidRPr="004A132D">
        <w:rPr>
          <w:rFonts w:asciiTheme="minorHAnsi" w:hAnsiTheme="minorHAnsi"/>
        </w:rPr>
        <w:t>2</w:t>
      </w:r>
      <w:r w:rsidRPr="004A132D">
        <w:rPr>
          <w:rFonts w:asciiTheme="minorHAnsi" w:hAnsiTheme="minorHAnsi"/>
        </w:rPr>
        <w:t xml:space="preserve"> years involving sexual violence against women in custody. </w:t>
      </w:r>
    </w:p>
    <w:p w14:paraId="57148C63" w14:textId="77777777" w:rsidR="0077428B" w:rsidRPr="004A132D" w:rsidRDefault="0077428B" w:rsidP="00561D0E">
      <w:pPr>
        <w:pStyle w:val="Numbers"/>
        <w:numPr>
          <w:ilvl w:val="1"/>
          <w:numId w:val="1"/>
        </w:numPr>
        <w:rPr>
          <w:rFonts w:asciiTheme="minorHAnsi" w:hAnsiTheme="minorHAnsi"/>
        </w:rPr>
      </w:pPr>
      <w:r w:rsidRPr="004A132D">
        <w:rPr>
          <w:rFonts w:asciiTheme="minorHAnsi" w:hAnsiTheme="minorHAnsi"/>
        </w:rPr>
        <w:lastRenderedPageBreak/>
        <w:t>NSW collects data on relevant investigations but does not report this data publicly. In 2023, NSW introduced a Sexual Misconduct Reporting Line for prisoners to report any sexual harassment or assault perpetrated by staff which they experienced or witnessed. These allegations are considered to be serious misconduct and are referred to the Corrective Services Investigations Unit for criminal offending which are staffed by police officers.</w:t>
      </w:r>
    </w:p>
    <w:p w14:paraId="4A5AA847" w14:textId="49699057" w:rsidR="00763004" w:rsidRPr="004A132D" w:rsidRDefault="00763004" w:rsidP="00561D0E">
      <w:pPr>
        <w:pStyle w:val="Numbers"/>
        <w:numPr>
          <w:ilvl w:val="1"/>
          <w:numId w:val="1"/>
        </w:numPr>
        <w:rPr>
          <w:rFonts w:asciiTheme="minorHAnsi" w:hAnsiTheme="minorHAnsi"/>
        </w:rPr>
      </w:pPr>
      <w:r w:rsidRPr="004A132D">
        <w:rPr>
          <w:rFonts w:asciiTheme="minorHAnsi" w:hAnsiTheme="minorHAnsi"/>
        </w:rPr>
        <w:t xml:space="preserve">The NT identified no known investigations, prosecutions or punishments regarding sexual violence against women in </w:t>
      </w:r>
      <w:r w:rsidR="00A60C0D" w:rsidRPr="004A132D">
        <w:rPr>
          <w:rFonts w:asciiTheme="minorHAnsi" w:hAnsiTheme="minorHAnsi"/>
        </w:rPr>
        <w:t>custody</w:t>
      </w:r>
      <w:r w:rsidRPr="004A132D">
        <w:rPr>
          <w:rFonts w:asciiTheme="minorHAnsi" w:hAnsiTheme="minorHAnsi"/>
        </w:rPr>
        <w:t xml:space="preserve"> in the last </w:t>
      </w:r>
      <w:r w:rsidR="00520DF4" w:rsidRPr="004A132D">
        <w:rPr>
          <w:rFonts w:asciiTheme="minorHAnsi" w:hAnsiTheme="minorHAnsi"/>
        </w:rPr>
        <w:t>3</w:t>
      </w:r>
      <w:r w:rsidRPr="004A132D">
        <w:rPr>
          <w:rFonts w:asciiTheme="minorHAnsi" w:hAnsiTheme="minorHAnsi"/>
        </w:rPr>
        <w:t xml:space="preserve"> years. </w:t>
      </w:r>
    </w:p>
    <w:p w14:paraId="12F67E5E" w14:textId="212222F6" w:rsidR="00A60C0D" w:rsidRPr="004A132D" w:rsidRDefault="00A60C0D" w:rsidP="00561D0E">
      <w:pPr>
        <w:pStyle w:val="Numbers"/>
        <w:numPr>
          <w:ilvl w:val="1"/>
          <w:numId w:val="1"/>
        </w:numPr>
        <w:rPr>
          <w:rFonts w:asciiTheme="minorHAnsi" w:hAnsiTheme="minorHAnsi"/>
        </w:rPr>
      </w:pPr>
      <w:r w:rsidRPr="004A132D">
        <w:rPr>
          <w:rFonts w:asciiTheme="minorHAnsi" w:hAnsiTheme="minorHAnsi"/>
        </w:rPr>
        <w:t>TAS, SA, VIC and WA do not publicly report on and/or collect data on the number of investigations, prosecutions and punishments of cases of sexual violence against women</w:t>
      </w:r>
      <w:r w:rsidR="00E05274" w:rsidRPr="004A132D">
        <w:rPr>
          <w:rFonts w:asciiTheme="minorHAnsi" w:hAnsiTheme="minorHAnsi" w:cstheme="minorBidi"/>
          <w:kern w:val="2"/>
          <w:lang w:val="en-AU"/>
          <w14:ligatures w14:val="standardContextual"/>
        </w:rPr>
        <w:t xml:space="preserve"> </w:t>
      </w:r>
      <w:r w:rsidR="00A96D9D" w:rsidRPr="004A132D">
        <w:rPr>
          <w:rFonts w:asciiTheme="minorHAnsi" w:hAnsiTheme="minorHAnsi"/>
          <w:lang w:val="en-AU"/>
        </w:rPr>
        <w:t>in custody. QLD collects data on prosecutions and punishments of cases of sexual violence and reports are published on this periodically by the Queensland Sentencing Advisory Council.</w:t>
      </w:r>
    </w:p>
    <w:p w14:paraId="155A9612" w14:textId="77777777" w:rsidR="00763004" w:rsidRPr="004A132D" w:rsidRDefault="00763004" w:rsidP="00C7151F">
      <w:pPr>
        <w:pStyle w:val="Heading2"/>
      </w:pPr>
      <w:bookmarkStart w:id="197" w:name="_Toc175556850"/>
      <w:r w:rsidRPr="004A132D">
        <w:t>Question 23f: Alternative screening methods</w:t>
      </w:r>
      <w:bookmarkEnd w:id="197"/>
    </w:p>
    <w:p w14:paraId="4F3BF3AD" w14:textId="77777777" w:rsidR="00D21CED" w:rsidRPr="004A132D" w:rsidRDefault="00D21CED" w:rsidP="00601539">
      <w:pPr>
        <w:pStyle w:val="Numbers"/>
        <w:ind w:left="1418"/>
        <w:rPr>
          <w:rFonts w:asciiTheme="minorHAnsi" w:hAnsiTheme="minorHAnsi"/>
        </w:rPr>
      </w:pPr>
      <w:r w:rsidRPr="004A132D">
        <w:rPr>
          <w:rFonts w:asciiTheme="minorHAnsi" w:hAnsiTheme="minorHAnsi"/>
        </w:rPr>
        <w:t>Across Australian states and territories, the use of full body x-ray scanners are becoming an increasingly prevalent alternative to strip-searching</w:t>
      </w:r>
      <w:r w:rsidR="00A60C0D" w:rsidRPr="004A132D">
        <w:rPr>
          <w:rFonts w:asciiTheme="minorHAnsi" w:hAnsiTheme="minorHAnsi"/>
        </w:rPr>
        <w:t xml:space="preserve"> to improve the dignity of prisoners including women and the security of the facility. Whilst practice differs across states and territories, all jurisdictions have or are in the process of procuring and/or installing x-ray body scanners in their correctional facilities (or are trialling scanners at select facilities). </w:t>
      </w:r>
    </w:p>
    <w:p w14:paraId="4A000418" w14:textId="6717ACD1" w:rsidR="00D21CED" w:rsidRPr="004A132D" w:rsidRDefault="00DE3AAB" w:rsidP="00561D0E">
      <w:pPr>
        <w:pStyle w:val="Numbers"/>
        <w:numPr>
          <w:ilvl w:val="1"/>
          <w:numId w:val="1"/>
        </w:numPr>
        <w:rPr>
          <w:rFonts w:asciiTheme="minorHAnsi" w:hAnsiTheme="minorHAnsi"/>
        </w:rPr>
      </w:pPr>
      <w:r w:rsidRPr="004A132D">
        <w:rPr>
          <w:rFonts w:asciiTheme="minorHAnsi" w:hAnsiTheme="minorHAnsi"/>
        </w:rPr>
        <w:t>The ACT G</w:t>
      </w:r>
      <w:r w:rsidR="00D21CED" w:rsidRPr="004A132D">
        <w:rPr>
          <w:rFonts w:asciiTheme="minorHAnsi" w:hAnsiTheme="minorHAnsi"/>
        </w:rPr>
        <w:t xml:space="preserve">overnment installed </w:t>
      </w:r>
      <w:r w:rsidR="00520DF4" w:rsidRPr="004A132D">
        <w:rPr>
          <w:rFonts w:asciiTheme="minorHAnsi" w:hAnsiTheme="minorHAnsi"/>
        </w:rPr>
        <w:t>2</w:t>
      </w:r>
      <w:r w:rsidR="00D21CED" w:rsidRPr="004A132D">
        <w:rPr>
          <w:rFonts w:asciiTheme="minorHAnsi" w:hAnsiTheme="minorHAnsi"/>
        </w:rPr>
        <w:t xml:space="preserve"> </w:t>
      </w:r>
      <w:r w:rsidR="004A132D" w:rsidRPr="004A132D">
        <w:rPr>
          <w:rFonts w:asciiTheme="minorHAnsi" w:hAnsiTheme="minorHAnsi"/>
        </w:rPr>
        <w:t>x</w:t>
      </w:r>
      <w:r w:rsidR="00D21CED" w:rsidRPr="004A132D">
        <w:rPr>
          <w:rFonts w:asciiTheme="minorHAnsi" w:hAnsiTheme="minorHAnsi"/>
        </w:rPr>
        <w:t>-ray body scanners at the Alexander Maconochie Centre in June 2022 to reduce the number of non-admission strip searches and improve the dignity of detainees and the security of the facility.</w:t>
      </w:r>
    </w:p>
    <w:p w14:paraId="7DA9FB29" w14:textId="28FAC8F0" w:rsidR="00D21CED" w:rsidRPr="004A132D" w:rsidRDefault="00D21CED" w:rsidP="00561D0E">
      <w:pPr>
        <w:pStyle w:val="Numbers"/>
        <w:numPr>
          <w:ilvl w:val="1"/>
          <w:numId w:val="1"/>
        </w:numPr>
        <w:rPr>
          <w:rFonts w:asciiTheme="minorHAnsi" w:hAnsiTheme="minorHAnsi"/>
        </w:rPr>
      </w:pPr>
      <w:r w:rsidRPr="004A132D">
        <w:rPr>
          <w:rFonts w:asciiTheme="minorHAnsi" w:hAnsiTheme="minorHAnsi"/>
        </w:rPr>
        <w:t xml:space="preserve">The NSW Government provided funding to install full body x-ray scanners in most of the </w:t>
      </w:r>
      <w:r w:rsidR="0077428B" w:rsidRPr="004A132D">
        <w:rPr>
          <w:rFonts w:asciiTheme="minorHAnsi" w:hAnsiTheme="minorHAnsi"/>
        </w:rPr>
        <w:t xml:space="preserve">34 </w:t>
      </w:r>
      <w:r w:rsidRPr="004A132D">
        <w:rPr>
          <w:rFonts w:asciiTheme="minorHAnsi" w:hAnsiTheme="minorHAnsi"/>
        </w:rPr>
        <w:t xml:space="preserve">correctional centres across NSW. It has amended the Custodial Operational Policy and Procedures so a strip </w:t>
      </w:r>
      <w:r w:rsidRPr="004A132D">
        <w:rPr>
          <w:rFonts w:asciiTheme="minorHAnsi" w:hAnsiTheme="minorHAnsi"/>
        </w:rPr>
        <w:lastRenderedPageBreak/>
        <w:t xml:space="preserve">search is only necessary where body scanning is unavailable or impractical, or when the body scan indicates presence of </w:t>
      </w:r>
      <w:r w:rsidR="0077428B" w:rsidRPr="004A132D">
        <w:rPr>
          <w:rFonts w:asciiTheme="minorHAnsi" w:hAnsiTheme="minorHAnsi"/>
        </w:rPr>
        <w:t>an anomaly</w:t>
      </w:r>
      <w:r w:rsidRPr="004A132D">
        <w:rPr>
          <w:rFonts w:asciiTheme="minorHAnsi" w:hAnsiTheme="minorHAnsi"/>
        </w:rPr>
        <w:t>.</w:t>
      </w:r>
    </w:p>
    <w:p w14:paraId="7D154A0E" w14:textId="77777777" w:rsidR="00D21CED" w:rsidRPr="004A132D" w:rsidRDefault="00D21CED" w:rsidP="00561D0E">
      <w:pPr>
        <w:pStyle w:val="Numbers"/>
        <w:numPr>
          <w:ilvl w:val="1"/>
          <w:numId w:val="1"/>
        </w:numPr>
        <w:rPr>
          <w:rFonts w:asciiTheme="minorHAnsi" w:hAnsiTheme="minorHAnsi"/>
        </w:rPr>
      </w:pPr>
      <w:r w:rsidRPr="004A132D">
        <w:rPr>
          <w:rFonts w:asciiTheme="minorHAnsi" w:hAnsiTheme="minorHAnsi"/>
        </w:rPr>
        <w:t xml:space="preserve">In NT, </w:t>
      </w:r>
      <w:r w:rsidR="00DE3AAB" w:rsidRPr="004A132D">
        <w:rPr>
          <w:rFonts w:asciiTheme="minorHAnsi" w:hAnsiTheme="minorHAnsi"/>
        </w:rPr>
        <w:t xml:space="preserve">a full unclothed search of prisoners is only required in </w:t>
      </w:r>
      <w:r w:rsidRPr="004A132D">
        <w:rPr>
          <w:rFonts w:asciiTheme="minorHAnsi" w:hAnsiTheme="minorHAnsi"/>
        </w:rPr>
        <w:t>certain circumstances, most notably on reception to the prison. Women should not be strip searched unless it is absolutely necessary to do so. NT Correctional Services is developing a plan to create a search facility with x-ray technology in both Alice Springs and Darwin Correctional Centres.</w:t>
      </w:r>
    </w:p>
    <w:p w14:paraId="34C6E629" w14:textId="09EEC3D8" w:rsidR="007B2394" w:rsidRPr="004A132D" w:rsidRDefault="007B2394" w:rsidP="00561D0E">
      <w:pPr>
        <w:pStyle w:val="Numbers"/>
        <w:numPr>
          <w:ilvl w:val="1"/>
          <w:numId w:val="1"/>
        </w:numPr>
        <w:rPr>
          <w:rFonts w:asciiTheme="minorHAnsi" w:hAnsiTheme="minorHAnsi"/>
        </w:rPr>
      </w:pPr>
      <w:r w:rsidRPr="004A132D">
        <w:rPr>
          <w:rFonts w:asciiTheme="minorHAnsi" w:hAnsiTheme="minorHAnsi"/>
        </w:rPr>
        <w:t>Queensland Corrective Services has committed to trauma informed practice including reducing the demand for removal of clothing searches in women’s prisons in the future, where suitable alternatives such as an x</w:t>
      </w:r>
      <w:r w:rsidR="00E478B5" w:rsidRPr="004A132D">
        <w:rPr>
          <w:rFonts w:asciiTheme="minorHAnsi" w:hAnsiTheme="minorHAnsi"/>
        </w:rPr>
        <w:noBreakHyphen/>
      </w:r>
      <w:r w:rsidRPr="004A132D">
        <w:rPr>
          <w:rFonts w:asciiTheme="minorHAnsi" w:hAnsiTheme="minorHAnsi"/>
        </w:rPr>
        <w:t>ray body scanner, are available. In 2024, Queensland Corrective Services will commence trialling the use of body scanner (non-invasive screening) technology at Brisbane Women’s Correctional Centre before rolling across the other women’s correctional centres.</w:t>
      </w:r>
    </w:p>
    <w:p w14:paraId="4D787C19" w14:textId="07199890" w:rsidR="00763004" w:rsidRPr="004A132D" w:rsidRDefault="001456CC" w:rsidP="00561D0E">
      <w:pPr>
        <w:pStyle w:val="Numbers"/>
        <w:numPr>
          <w:ilvl w:val="1"/>
          <w:numId w:val="1"/>
        </w:numPr>
        <w:rPr>
          <w:rFonts w:asciiTheme="minorHAnsi" w:hAnsiTheme="minorHAnsi"/>
        </w:rPr>
      </w:pPr>
      <w:r w:rsidRPr="004A132D">
        <w:rPr>
          <w:rFonts w:asciiTheme="minorHAnsi" w:hAnsiTheme="minorHAnsi"/>
        </w:rPr>
        <w:t>South Australian</w:t>
      </w:r>
      <w:r w:rsidR="00D21CED" w:rsidRPr="004A132D">
        <w:rPr>
          <w:rFonts w:asciiTheme="minorHAnsi" w:hAnsiTheme="minorHAnsi"/>
        </w:rPr>
        <w:t xml:space="preserve"> Department for Correctional Services is finalising procurement of new Body Scan Technology for the Adelaide Women’s Prison. This will provide an alternative to the historical use of strip-searching practices.</w:t>
      </w:r>
    </w:p>
    <w:p w14:paraId="223DB6AE" w14:textId="77777777" w:rsidR="00D21CED" w:rsidRPr="004A132D" w:rsidRDefault="00D21CED" w:rsidP="00561D0E">
      <w:pPr>
        <w:pStyle w:val="Numbers"/>
        <w:numPr>
          <w:ilvl w:val="1"/>
          <w:numId w:val="1"/>
        </w:numPr>
        <w:rPr>
          <w:rFonts w:asciiTheme="minorHAnsi" w:hAnsiTheme="minorHAnsi"/>
        </w:rPr>
      </w:pPr>
      <w:r w:rsidRPr="004A132D">
        <w:rPr>
          <w:rFonts w:asciiTheme="minorHAnsi" w:hAnsiTheme="minorHAnsi"/>
        </w:rPr>
        <w:t xml:space="preserve">The </w:t>
      </w:r>
      <w:r w:rsidR="00DE3AAB" w:rsidRPr="004A132D">
        <w:rPr>
          <w:rFonts w:asciiTheme="minorHAnsi" w:hAnsiTheme="minorHAnsi"/>
        </w:rPr>
        <w:t xml:space="preserve">TAS </w:t>
      </w:r>
      <w:r w:rsidRPr="004A132D">
        <w:rPr>
          <w:rFonts w:asciiTheme="minorHAnsi" w:hAnsiTheme="minorHAnsi"/>
        </w:rPr>
        <w:t>women’s prison has recently installed a body scanner machine. Once in use, women will only have to be strip searched when they are at risk of self-harm or suicide or the scanner shows they have something on their person.</w:t>
      </w:r>
    </w:p>
    <w:p w14:paraId="349604C2" w14:textId="77777777" w:rsidR="00D21CED" w:rsidRPr="004A132D" w:rsidRDefault="00DE3AAB" w:rsidP="00561D0E">
      <w:pPr>
        <w:pStyle w:val="Numbers"/>
        <w:numPr>
          <w:ilvl w:val="1"/>
          <w:numId w:val="1"/>
        </w:numPr>
        <w:rPr>
          <w:rFonts w:asciiTheme="minorHAnsi" w:hAnsiTheme="minorHAnsi"/>
        </w:rPr>
      </w:pPr>
      <w:r w:rsidRPr="004A132D">
        <w:rPr>
          <w:rFonts w:asciiTheme="minorHAnsi" w:hAnsiTheme="minorHAnsi"/>
        </w:rPr>
        <w:t xml:space="preserve">VIC </w:t>
      </w:r>
      <w:r w:rsidR="00D21CED" w:rsidRPr="004A132D">
        <w:rPr>
          <w:rFonts w:asciiTheme="minorHAnsi" w:hAnsiTheme="minorHAnsi"/>
        </w:rPr>
        <w:t>has undertaken significant work over many years to reduce strip searching requirements in the Victorian custodial corrections system, including through the use of body scanning technology and saliva drug testing. Strip searching is currently used as a last resort as part of a suite of other mechanisms to limit contraband entering prisons.</w:t>
      </w:r>
    </w:p>
    <w:p w14:paraId="7A414E41" w14:textId="6220EA51" w:rsidR="00D21CED" w:rsidRPr="004A132D" w:rsidRDefault="00DE3AAB" w:rsidP="00561D0E">
      <w:pPr>
        <w:pStyle w:val="Numbers"/>
        <w:numPr>
          <w:ilvl w:val="1"/>
          <w:numId w:val="1"/>
        </w:numPr>
        <w:rPr>
          <w:rFonts w:asciiTheme="minorHAnsi" w:hAnsiTheme="minorHAnsi"/>
        </w:rPr>
      </w:pPr>
      <w:r w:rsidRPr="004A132D">
        <w:rPr>
          <w:rFonts w:asciiTheme="minorHAnsi" w:hAnsiTheme="minorHAnsi"/>
        </w:rPr>
        <w:t xml:space="preserve">WA has a dedicated policy outlining </w:t>
      </w:r>
      <w:r w:rsidR="00D21CED" w:rsidRPr="004A132D">
        <w:rPr>
          <w:rFonts w:asciiTheme="minorHAnsi" w:hAnsiTheme="minorHAnsi"/>
        </w:rPr>
        <w:t xml:space="preserve">the method to be adopted for women, trans, gender diverse or intersex prisoners, and those with disabilities, as well as culturally appropriate approaches to searching </w:t>
      </w:r>
      <w:r w:rsidR="00D21CED" w:rsidRPr="004A132D">
        <w:rPr>
          <w:rFonts w:asciiTheme="minorHAnsi" w:hAnsiTheme="minorHAnsi"/>
        </w:rPr>
        <w:lastRenderedPageBreak/>
        <w:t xml:space="preserve">women. In 2022, the WA Government installed the first </w:t>
      </w:r>
      <w:r w:rsidR="004A132D" w:rsidRPr="004A132D">
        <w:rPr>
          <w:rFonts w:asciiTheme="minorHAnsi" w:hAnsiTheme="minorHAnsi"/>
        </w:rPr>
        <w:t>x</w:t>
      </w:r>
      <w:r w:rsidR="00D21CED" w:rsidRPr="004A132D">
        <w:rPr>
          <w:rFonts w:asciiTheme="minorHAnsi" w:hAnsiTheme="minorHAnsi"/>
        </w:rPr>
        <w:t>-</w:t>
      </w:r>
      <w:r w:rsidR="004A132D" w:rsidRPr="004A132D">
        <w:rPr>
          <w:rFonts w:asciiTheme="minorHAnsi" w:hAnsiTheme="minorHAnsi"/>
        </w:rPr>
        <w:t>r</w:t>
      </w:r>
      <w:r w:rsidR="00D21CED" w:rsidRPr="004A132D">
        <w:rPr>
          <w:rFonts w:asciiTheme="minorHAnsi" w:hAnsiTheme="minorHAnsi"/>
        </w:rPr>
        <w:t xml:space="preserve">ay </w:t>
      </w:r>
      <w:r w:rsidR="004A132D" w:rsidRPr="004A132D">
        <w:rPr>
          <w:rFonts w:asciiTheme="minorHAnsi" w:hAnsiTheme="minorHAnsi"/>
        </w:rPr>
        <w:t>b</w:t>
      </w:r>
      <w:r w:rsidR="00D21CED" w:rsidRPr="004A132D">
        <w:rPr>
          <w:rFonts w:asciiTheme="minorHAnsi" w:hAnsiTheme="minorHAnsi"/>
        </w:rPr>
        <w:t xml:space="preserve">ody </w:t>
      </w:r>
      <w:r w:rsidR="004A132D" w:rsidRPr="004A132D">
        <w:rPr>
          <w:rFonts w:asciiTheme="minorHAnsi" w:hAnsiTheme="minorHAnsi"/>
        </w:rPr>
        <w:t>s</w:t>
      </w:r>
      <w:r w:rsidR="00D21CED" w:rsidRPr="004A132D">
        <w:rPr>
          <w:rFonts w:asciiTheme="minorHAnsi" w:hAnsiTheme="minorHAnsi"/>
        </w:rPr>
        <w:t>canning dev</w:t>
      </w:r>
      <w:r w:rsidRPr="004A132D">
        <w:rPr>
          <w:rFonts w:asciiTheme="minorHAnsi" w:hAnsiTheme="minorHAnsi"/>
        </w:rPr>
        <w:t>ice at Melaleuca Women’s prison.</w:t>
      </w:r>
    </w:p>
    <w:p w14:paraId="36641444" w14:textId="7EEC9D92" w:rsidR="00763004" w:rsidRPr="004A132D" w:rsidRDefault="00763004" w:rsidP="00C05E7F">
      <w:pPr>
        <w:pStyle w:val="Heading2"/>
        <w:tabs>
          <w:tab w:val="clear" w:pos="1701"/>
          <w:tab w:val="clear" w:pos="2268"/>
          <w:tab w:val="clear" w:pos="2835"/>
          <w:tab w:val="left" w:pos="4655"/>
        </w:tabs>
      </w:pPr>
      <w:bookmarkStart w:id="198" w:name="_Toc175556851"/>
      <w:r w:rsidRPr="004A132D">
        <w:t>Question 23g: Women’s conditions of detention</w:t>
      </w:r>
      <w:bookmarkEnd w:id="198"/>
    </w:p>
    <w:p w14:paraId="386A49E6" w14:textId="77777777" w:rsidR="00DE3AAB" w:rsidRPr="004A132D" w:rsidRDefault="002B76CE" w:rsidP="00601539">
      <w:pPr>
        <w:pStyle w:val="Numbers"/>
        <w:ind w:left="1418"/>
        <w:rPr>
          <w:rFonts w:asciiTheme="minorHAnsi" w:hAnsiTheme="minorHAnsi"/>
        </w:rPr>
      </w:pPr>
      <w:r w:rsidRPr="004A132D">
        <w:rPr>
          <w:rFonts w:asciiTheme="minorHAnsi" w:hAnsiTheme="minorHAnsi"/>
        </w:rPr>
        <w:t>State and territory justice and correctional agencies</w:t>
      </w:r>
      <w:r w:rsidR="00DE3AAB" w:rsidRPr="004A132D">
        <w:rPr>
          <w:rFonts w:asciiTheme="minorHAnsi" w:hAnsiTheme="minorHAnsi"/>
        </w:rPr>
        <w:t xml:space="preserve"> have strong regard </w:t>
      </w:r>
      <w:r w:rsidRPr="004A132D">
        <w:rPr>
          <w:rFonts w:asciiTheme="minorHAnsi" w:hAnsiTheme="minorHAnsi"/>
        </w:rPr>
        <w:t xml:space="preserve">for </w:t>
      </w:r>
      <w:r w:rsidR="00DE3AAB" w:rsidRPr="004A132D">
        <w:rPr>
          <w:rFonts w:asciiTheme="minorHAnsi" w:hAnsiTheme="minorHAnsi"/>
        </w:rPr>
        <w:t>international, national and state-level obligations in the management of women in custody, including the</w:t>
      </w:r>
      <w:r w:rsidR="000A41E5" w:rsidRPr="004A132D">
        <w:rPr>
          <w:rFonts w:asciiTheme="minorHAnsi" w:hAnsiTheme="minorHAnsi"/>
        </w:rPr>
        <w:t xml:space="preserve"> Bangkok Rules and the Mandela Rules.</w:t>
      </w:r>
    </w:p>
    <w:p w14:paraId="60A1C42F" w14:textId="70347A90" w:rsidR="00F7691C" w:rsidRPr="004A132D" w:rsidRDefault="000A41E5" w:rsidP="00601539">
      <w:pPr>
        <w:pStyle w:val="Numbers"/>
        <w:ind w:left="1418"/>
        <w:rPr>
          <w:rFonts w:asciiTheme="minorHAnsi" w:hAnsiTheme="minorHAnsi"/>
        </w:rPr>
      </w:pPr>
      <w:r w:rsidRPr="004A132D">
        <w:rPr>
          <w:rFonts w:asciiTheme="minorHAnsi" w:hAnsiTheme="minorHAnsi"/>
        </w:rPr>
        <w:t xml:space="preserve">At a national level, the </w:t>
      </w:r>
      <w:r w:rsidR="00F7691C" w:rsidRPr="004A132D">
        <w:rPr>
          <w:rFonts w:asciiTheme="minorHAnsi" w:hAnsiTheme="minorHAnsi"/>
          <w:i/>
        </w:rPr>
        <w:t>Guiding Principles for Corrections in Australia (2018)</w:t>
      </w:r>
      <w:r w:rsidR="00F7691C" w:rsidRPr="004A132D">
        <w:rPr>
          <w:rFonts w:asciiTheme="minorHAnsi" w:hAnsiTheme="minorHAnsi"/>
        </w:rPr>
        <w:t xml:space="preserve"> represent</w:t>
      </w:r>
      <w:r w:rsidR="002B76CE" w:rsidRPr="004A132D">
        <w:rPr>
          <w:rFonts w:asciiTheme="minorHAnsi" w:hAnsiTheme="minorHAnsi"/>
        </w:rPr>
        <w:t>s</w:t>
      </w:r>
      <w:r w:rsidR="00F7691C" w:rsidRPr="004A132D">
        <w:rPr>
          <w:rFonts w:asciiTheme="minorHAnsi" w:hAnsiTheme="minorHAnsi"/>
        </w:rPr>
        <w:t xml:space="preserve"> a national intent around which each Australian state and territory will develop its practices, policies, and performance standards.</w:t>
      </w:r>
      <w:r w:rsidR="00F7691C" w:rsidRPr="004A132D">
        <w:rPr>
          <w:rStyle w:val="FootnoteReference"/>
          <w:rFonts w:asciiTheme="minorHAnsi" w:hAnsiTheme="minorHAnsi"/>
        </w:rPr>
        <w:footnoteReference w:id="42"/>
      </w:r>
      <w:r w:rsidR="00F7691C" w:rsidRPr="004A132D">
        <w:rPr>
          <w:rFonts w:asciiTheme="minorHAnsi" w:hAnsiTheme="minorHAnsi"/>
        </w:rPr>
        <w:t xml:space="preserve"> The Principles are informed by internationally accepted rules, standards and practices such as the Mandela Rules, Bangkok Rules, Tokyo Rules </w:t>
      </w:r>
      <w:r w:rsidR="00365058" w:rsidRPr="004A132D">
        <w:rPr>
          <w:rFonts w:asciiTheme="minorHAnsi" w:hAnsiTheme="minorHAnsi"/>
        </w:rPr>
        <w:t xml:space="preserve">as well as key mechanisms such as </w:t>
      </w:r>
      <w:r w:rsidR="00F7691C" w:rsidRPr="004A132D">
        <w:rPr>
          <w:rFonts w:asciiTheme="minorHAnsi" w:hAnsiTheme="minorHAnsi"/>
        </w:rPr>
        <w:t>the Optional Protocol to the Convention Against Torture and other Cruel, Inhuman or Degrading Treatment or Punishment (OPCAT). They also consider the specific needs of particular prisoner cohorts including young adult offenders, women, aged and frail, Lesbian, Gay, Bisexual, Transgender, Queer and Intersex offenders, those with mental health issues and/or disabilities, and remand prisoners.</w:t>
      </w:r>
    </w:p>
    <w:p w14:paraId="38F031CA" w14:textId="16864670" w:rsidR="00C33800" w:rsidRPr="004A132D" w:rsidRDefault="00C33800" w:rsidP="00601539">
      <w:pPr>
        <w:pStyle w:val="Numbers"/>
        <w:ind w:left="1418"/>
        <w:rPr>
          <w:rFonts w:asciiTheme="minorHAnsi" w:hAnsiTheme="minorHAnsi"/>
        </w:rPr>
      </w:pPr>
      <w:r w:rsidRPr="004A132D">
        <w:rPr>
          <w:rFonts w:asciiTheme="minorHAnsi" w:hAnsiTheme="minorHAnsi"/>
        </w:rPr>
        <w:t>The OPCAT requires that Australia establish a National Preventive Mechanism to enable independent bodies, including the United Nations Subcommittee on Prevention of Torture, to inspect and monitor places of detention. It is a key mechanism to ensure women, girls, sistergirls</w:t>
      </w:r>
      <w:r w:rsidR="00B27116" w:rsidRPr="004A132D">
        <w:rPr>
          <w:rStyle w:val="FootnoteReference"/>
          <w:rFonts w:asciiTheme="minorHAnsi" w:hAnsiTheme="minorHAnsi"/>
        </w:rPr>
        <w:footnoteReference w:id="43"/>
      </w:r>
      <w:r w:rsidRPr="004A132D">
        <w:rPr>
          <w:rFonts w:asciiTheme="minorHAnsi" w:hAnsiTheme="minorHAnsi"/>
        </w:rPr>
        <w:t>, and gender diverse persons, are treated with dignity and humanely in places of detention.</w:t>
      </w:r>
    </w:p>
    <w:p w14:paraId="71B2EFBE" w14:textId="77777777" w:rsidR="000A41E5" w:rsidRPr="004A132D" w:rsidRDefault="000A41E5" w:rsidP="00601539">
      <w:pPr>
        <w:pStyle w:val="Numbers"/>
        <w:ind w:left="1418"/>
        <w:rPr>
          <w:rFonts w:asciiTheme="minorHAnsi" w:hAnsiTheme="minorHAnsi"/>
        </w:rPr>
      </w:pPr>
      <w:r w:rsidRPr="004A132D">
        <w:rPr>
          <w:rFonts w:asciiTheme="minorHAnsi" w:hAnsiTheme="minorHAnsi"/>
        </w:rPr>
        <w:t xml:space="preserve">As outlined throughout question 23, states and territories deliver a range of gender-responsive services to ensure women’s health, wellbeing and safety are met whilst in prison. </w:t>
      </w:r>
    </w:p>
    <w:p w14:paraId="78A4324C" w14:textId="56C87761" w:rsidR="002E5AA1" w:rsidRPr="004A132D" w:rsidRDefault="002E5AA1" w:rsidP="00601539">
      <w:pPr>
        <w:pStyle w:val="Numbers"/>
        <w:ind w:left="1418"/>
        <w:rPr>
          <w:rFonts w:asciiTheme="minorHAnsi" w:hAnsiTheme="minorHAnsi"/>
        </w:rPr>
      </w:pPr>
      <w:r w:rsidRPr="004A132D">
        <w:rPr>
          <w:rFonts w:asciiTheme="minorHAnsi" w:hAnsiTheme="minorHAnsi"/>
        </w:rPr>
        <w:t>On 21 June 2023, the Australian Institute of Criminology (AIC) released the national real-time reporting of deaths in custody dashboard to assure the public that all</w:t>
      </w:r>
      <w:r w:rsidR="00103FB4">
        <w:rPr>
          <w:rFonts w:asciiTheme="minorHAnsi" w:hAnsiTheme="minorHAnsi"/>
        </w:rPr>
        <w:t xml:space="preserve"> federal, state and territory </w:t>
      </w:r>
      <w:r w:rsidRPr="004A132D">
        <w:rPr>
          <w:rFonts w:asciiTheme="minorHAnsi" w:hAnsiTheme="minorHAnsi"/>
        </w:rPr>
        <w:t xml:space="preserve">governments are transparent and accountable </w:t>
      </w:r>
      <w:r w:rsidRPr="004A132D">
        <w:rPr>
          <w:rFonts w:asciiTheme="minorHAnsi" w:hAnsiTheme="minorHAnsi"/>
        </w:rPr>
        <w:lastRenderedPageBreak/>
        <w:t xml:space="preserve">for their respective criminal justice systems. Data published on the real-time reporting platform includes Indigenous status, custody type, sex and age group. Data is published at the national level as an aggregate, real time total for Indigenous and </w:t>
      </w:r>
      <w:r w:rsidR="00B27116" w:rsidRPr="004A132D">
        <w:rPr>
          <w:rFonts w:asciiTheme="minorHAnsi" w:hAnsiTheme="minorHAnsi"/>
        </w:rPr>
        <w:t>non-Indigenous</w:t>
      </w:r>
      <w:r w:rsidR="00C405C5" w:rsidRPr="004A132D">
        <w:rPr>
          <w:rFonts w:asciiTheme="minorHAnsi" w:hAnsiTheme="minorHAnsi"/>
        </w:rPr>
        <w:t xml:space="preserve"> deaths in custody.</w:t>
      </w:r>
    </w:p>
    <w:p w14:paraId="4E2A8B90" w14:textId="77777777" w:rsidR="00AF0005" w:rsidRPr="005F6B4E" w:rsidRDefault="002C0DDE" w:rsidP="005F6B4E">
      <w:pPr>
        <w:pStyle w:val="Heading1"/>
      </w:pPr>
      <w:bookmarkStart w:id="199" w:name="_Toc174011749"/>
      <w:bookmarkStart w:id="200" w:name="_Toc175556852"/>
      <w:r w:rsidRPr="005F6B4E">
        <w:t xml:space="preserve">Question 24: </w:t>
      </w:r>
      <w:r w:rsidR="00AF0005" w:rsidRPr="005F6B4E">
        <w:t>Marriage and family relations</w:t>
      </w:r>
      <w:bookmarkEnd w:id="199"/>
      <w:bookmarkEnd w:id="200"/>
    </w:p>
    <w:p w14:paraId="5138FA30" w14:textId="77777777" w:rsidR="0006604E" w:rsidRPr="004A132D" w:rsidRDefault="001E7CD4" w:rsidP="0006604E">
      <w:pPr>
        <w:pStyle w:val="Heading2"/>
      </w:pPr>
      <w:bookmarkStart w:id="201" w:name="_Toc174011750"/>
      <w:bookmarkStart w:id="202" w:name="_Toc175556853"/>
      <w:r w:rsidRPr="004A132D">
        <w:t>Family Law Act amendments</w:t>
      </w:r>
      <w:bookmarkEnd w:id="201"/>
      <w:bookmarkEnd w:id="202"/>
    </w:p>
    <w:p w14:paraId="3D2FD6E9" w14:textId="08C3CDD2" w:rsidR="001456CC" w:rsidRPr="004A132D" w:rsidRDefault="0006604E" w:rsidP="004A132D">
      <w:pPr>
        <w:pStyle w:val="Numbers"/>
        <w:ind w:left="1418"/>
        <w:rPr>
          <w:rFonts w:asciiTheme="minorHAnsi" w:hAnsiTheme="minorHAnsi"/>
        </w:rPr>
      </w:pPr>
      <w:r w:rsidRPr="004A132D">
        <w:rPr>
          <w:rFonts w:asciiTheme="minorHAnsi" w:hAnsiTheme="minorHAnsi"/>
        </w:rPr>
        <w:t xml:space="preserve">The </w:t>
      </w:r>
      <w:r w:rsidR="000E2B9D" w:rsidRPr="004A132D">
        <w:rPr>
          <w:rFonts w:asciiTheme="minorHAnsi" w:hAnsiTheme="minorHAnsi"/>
        </w:rPr>
        <w:t xml:space="preserve">Family Law Act </w:t>
      </w:r>
      <w:r w:rsidRPr="004A132D">
        <w:rPr>
          <w:rFonts w:asciiTheme="minorHAnsi" w:hAnsiTheme="minorHAnsi"/>
        </w:rPr>
        <w:t>was amended in 2023, in response to recent reviews of the family law system.</w:t>
      </w:r>
      <w:r w:rsidRPr="004A132D">
        <w:rPr>
          <w:rStyle w:val="FootnoteReference"/>
          <w:rFonts w:asciiTheme="minorHAnsi" w:hAnsiTheme="minorHAnsi"/>
        </w:rPr>
        <w:footnoteReference w:id="44"/>
      </w:r>
      <w:r w:rsidRPr="004A132D">
        <w:rPr>
          <w:rFonts w:asciiTheme="minorHAnsi" w:hAnsiTheme="minorHAnsi"/>
        </w:rPr>
        <w:t xml:space="preserve"> </w:t>
      </w:r>
      <w:r w:rsidR="009B4698" w:rsidRPr="004A132D">
        <w:rPr>
          <w:rFonts w:asciiTheme="minorHAnsi" w:hAnsiTheme="minorHAnsi"/>
        </w:rPr>
        <w:t>A summary of the amendments are outlined in question 3. In</w:t>
      </w:r>
      <w:r w:rsidR="00E478B5" w:rsidRPr="004A132D">
        <w:rPr>
          <w:rFonts w:asciiTheme="minorHAnsi" w:hAnsiTheme="minorHAnsi"/>
        </w:rPr>
        <w:t> </w:t>
      </w:r>
      <w:r w:rsidR="009B4698" w:rsidRPr="004A132D">
        <w:rPr>
          <w:rFonts w:asciiTheme="minorHAnsi" w:hAnsiTheme="minorHAnsi"/>
        </w:rPr>
        <w:t>addition, the amendments remove the requirement for consideration of equal shared parental responsibility for children when parents separate, as this provision has led to significant misunderstanding of the law that may lead parents to agree to unsafe and unfair arrangements. The</w:t>
      </w:r>
      <w:r w:rsidR="001456CC" w:rsidRPr="004A132D">
        <w:rPr>
          <w:rFonts w:asciiTheme="minorHAnsi" w:hAnsiTheme="minorHAnsi"/>
        </w:rPr>
        <w:t xml:space="preserve"> </w:t>
      </w:r>
      <w:r w:rsidR="009B4698" w:rsidRPr="004A132D">
        <w:rPr>
          <w:rFonts w:asciiTheme="minorHAnsi" w:hAnsiTheme="minorHAnsi"/>
        </w:rPr>
        <w:t xml:space="preserve">Family Law Act is gender-neutral, and does not make assumptions about parenting roles, or how much time a child should spend with each parent. </w:t>
      </w:r>
    </w:p>
    <w:p w14:paraId="49918478" w14:textId="461F6343" w:rsidR="00BB0FBF" w:rsidRPr="004A132D" w:rsidRDefault="00BB0FBF" w:rsidP="002C0DDE">
      <w:pPr>
        <w:pStyle w:val="Heading2"/>
      </w:pPr>
      <w:bookmarkStart w:id="203" w:name="_Toc174011751"/>
      <w:bookmarkStart w:id="204" w:name="_Toc175556854"/>
      <w:r w:rsidRPr="004A132D">
        <w:t>Cultural-community divorce</w:t>
      </w:r>
      <w:bookmarkEnd w:id="203"/>
      <w:bookmarkEnd w:id="204"/>
    </w:p>
    <w:p w14:paraId="6E93D8A4" w14:textId="77777777" w:rsidR="00BB0FBF" w:rsidRPr="004A132D" w:rsidRDefault="00C42B5D" w:rsidP="00601539">
      <w:pPr>
        <w:pStyle w:val="Numbers"/>
        <w:tabs>
          <w:tab w:val="clear" w:pos="2835"/>
        </w:tabs>
        <w:ind w:left="1418"/>
        <w:rPr>
          <w:rFonts w:asciiTheme="minorHAnsi" w:hAnsiTheme="minorHAnsi"/>
        </w:rPr>
      </w:pPr>
      <w:r w:rsidRPr="004A132D">
        <w:rPr>
          <w:rFonts w:asciiTheme="minorHAnsi" w:hAnsiTheme="minorHAnsi"/>
        </w:rPr>
        <w:t xml:space="preserve">The </w:t>
      </w:r>
      <w:r w:rsidR="000E2B9D" w:rsidRPr="004A132D">
        <w:rPr>
          <w:rFonts w:asciiTheme="minorHAnsi" w:hAnsiTheme="minorHAnsi"/>
        </w:rPr>
        <w:t>Marriage Act</w:t>
      </w:r>
      <w:r w:rsidR="00937E13" w:rsidRPr="004A132D">
        <w:rPr>
          <w:rFonts w:asciiTheme="minorHAnsi" w:hAnsiTheme="minorHAnsi"/>
        </w:rPr>
        <w:t xml:space="preserve"> </w:t>
      </w:r>
      <w:r w:rsidRPr="004A132D">
        <w:rPr>
          <w:rFonts w:asciiTheme="minorHAnsi" w:hAnsiTheme="minorHAnsi"/>
        </w:rPr>
        <w:t xml:space="preserve">establishes the framework for legal marriages in Australia, including the requirements for marriages to be validly solemnised under Australian law, and for foreign marriages to be legally recognised under Australian law. Australian law provides for no-fault divorce for the dissolution of legal marriages. This process is regulated by the </w:t>
      </w:r>
      <w:r w:rsidR="000E2B9D" w:rsidRPr="004A132D">
        <w:rPr>
          <w:rFonts w:asciiTheme="minorHAnsi" w:hAnsiTheme="minorHAnsi"/>
        </w:rPr>
        <w:t>Family Law Act.</w:t>
      </w:r>
    </w:p>
    <w:p w14:paraId="38EAFEBE" w14:textId="77777777" w:rsidR="00C42B5D" w:rsidRPr="004A132D" w:rsidRDefault="00C42B5D" w:rsidP="00601539">
      <w:pPr>
        <w:pStyle w:val="Numbers"/>
        <w:tabs>
          <w:tab w:val="clear" w:pos="2835"/>
        </w:tabs>
        <w:ind w:left="1418"/>
        <w:rPr>
          <w:rFonts w:asciiTheme="minorHAnsi" w:hAnsiTheme="minorHAnsi"/>
        </w:rPr>
      </w:pPr>
      <w:r w:rsidRPr="004A132D">
        <w:rPr>
          <w:rFonts w:asciiTheme="minorHAnsi" w:hAnsiTheme="minorHAnsi"/>
        </w:rPr>
        <w:t>It may be the case that a legal marriage is dissolved (the parties divorce under the Family Law Act), but a cultural or religious marriage continues in effect pursuant to the relevant cultural customs or religious practice. Successive Australian governments have not supported the recommendation within the 2001 Family Law Council</w:t>
      </w:r>
      <w:r w:rsidR="00BB0FBF" w:rsidRPr="004A132D">
        <w:rPr>
          <w:rFonts w:asciiTheme="minorHAnsi" w:hAnsiTheme="minorHAnsi"/>
        </w:rPr>
        <w:t>’s</w:t>
      </w:r>
      <w:r w:rsidRPr="004A132D">
        <w:rPr>
          <w:rFonts w:asciiTheme="minorHAnsi" w:hAnsiTheme="minorHAnsi"/>
        </w:rPr>
        <w:t xml:space="preserve"> Report</w:t>
      </w:r>
      <w:r w:rsidR="002C0DDE" w:rsidRPr="004A132D">
        <w:rPr>
          <w:rFonts w:asciiTheme="minorHAnsi" w:hAnsiTheme="minorHAnsi"/>
        </w:rPr>
        <w:t xml:space="preserve">. </w:t>
      </w:r>
      <w:r w:rsidRPr="004A132D">
        <w:rPr>
          <w:rFonts w:asciiTheme="minorHAnsi" w:hAnsiTheme="minorHAnsi"/>
        </w:rPr>
        <w:t>There are concerns that the recommended amendments would undermine the concept of no-fault divorce.</w:t>
      </w:r>
    </w:p>
    <w:p w14:paraId="2A3B9FE8" w14:textId="77777777" w:rsidR="00C42B5D" w:rsidRPr="004A132D" w:rsidRDefault="00C42B5D" w:rsidP="00601539">
      <w:pPr>
        <w:pStyle w:val="Numbers"/>
        <w:tabs>
          <w:tab w:val="clear" w:pos="2835"/>
        </w:tabs>
        <w:ind w:left="1418"/>
        <w:rPr>
          <w:rFonts w:asciiTheme="minorHAnsi" w:hAnsiTheme="minorHAnsi"/>
        </w:rPr>
      </w:pPr>
      <w:r w:rsidRPr="004A132D">
        <w:rPr>
          <w:rFonts w:asciiTheme="minorHAnsi" w:hAnsiTheme="minorHAnsi"/>
        </w:rPr>
        <w:t xml:space="preserve">All Australians are entitled to express and practise their religion and their beliefs, without interference, as long as those practices are within the framework of </w:t>
      </w:r>
      <w:r w:rsidRPr="004A132D">
        <w:rPr>
          <w:rFonts w:asciiTheme="minorHAnsi" w:hAnsiTheme="minorHAnsi"/>
        </w:rPr>
        <w:lastRenderedPageBreak/>
        <w:t xml:space="preserve">Australian law. Australia has a legal tradition in which secular law is separate from religious law and applies to everyone equally.  </w:t>
      </w:r>
    </w:p>
    <w:p w14:paraId="4C725BCD" w14:textId="77777777" w:rsidR="00AF0005" w:rsidRPr="005F6B4E" w:rsidRDefault="002C0DDE" w:rsidP="005F6B4E">
      <w:pPr>
        <w:pStyle w:val="Heading1"/>
      </w:pPr>
      <w:bookmarkStart w:id="205" w:name="_Toc174011752"/>
      <w:bookmarkStart w:id="206" w:name="_Toc175556855"/>
      <w:r w:rsidRPr="005F6B4E">
        <w:t xml:space="preserve">Question 25: </w:t>
      </w:r>
      <w:r w:rsidR="00AF0005" w:rsidRPr="005F6B4E">
        <w:t>Additional information</w:t>
      </w:r>
      <w:bookmarkEnd w:id="205"/>
      <w:bookmarkEnd w:id="206"/>
      <w:r w:rsidR="00AF0005" w:rsidRPr="005F6B4E">
        <w:t xml:space="preserve"> </w:t>
      </w:r>
    </w:p>
    <w:p w14:paraId="5A389D1D" w14:textId="77777777" w:rsidR="00E40895" w:rsidRPr="004A132D" w:rsidRDefault="009A3CF1" w:rsidP="00E40895">
      <w:pPr>
        <w:pStyle w:val="Heading2"/>
      </w:pPr>
      <w:bookmarkStart w:id="207" w:name="_Toc174011753"/>
      <w:bookmarkStart w:id="208" w:name="_Toc175556856"/>
      <w:r w:rsidRPr="004A132D">
        <w:t>Integrate a gender perspective</w:t>
      </w:r>
      <w:r w:rsidR="00E40895" w:rsidRPr="004A132D">
        <w:t xml:space="preserve"> </w:t>
      </w:r>
      <w:r w:rsidRPr="004A132D">
        <w:t>into efforts to</w:t>
      </w:r>
      <w:r w:rsidR="00E40895" w:rsidRPr="004A132D">
        <w:t xml:space="preserve"> achiev</w:t>
      </w:r>
      <w:r w:rsidRPr="004A132D">
        <w:t>e</w:t>
      </w:r>
      <w:r w:rsidR="00E40895" w:rsidRPr="004A132D">
        <w:t xml:space="preserve"> the Sustainable Development Goals (SDGs)</w:t>
      </w:r>
      <w:bookmarkEnd w:id="207"/>
      <w:bookmarkEnd w:id="208"/>
    </w:p>
    <w:p w14:paraId="48F052FA" w14:textId="5FD134DD" w:rsidR="00E40895" w:rsidRPr="004A132D" w:rsidRDefault="00E40895" w:rsidP="00601539">
      <w:pPr>
        <w:pStyle w:val="Numbers"/>
        <w:ind w:left="1418"/>
        <w:rPr>
          <w:rFonts w:asciiTheme="minorHAnsi" w:hAnsiTheme="minorHAnsi"/>
        </w:rPr>
      </w:pPr>
      <w:r w:rsidRPr="004A132D">
        <w:rPr>
          <w:rFonts w:asciiTheme="minorHAnsi" w:hAnsiTheme="minorHAnsi"/>
        </w:rPr>
        <w:t>Australia’s Voluntary National Review on the Implementation of the SDGs was submitted in 2018.</w:t>
      </w:r>
      <w:r w:rsidR="00883E39">
        <w:rPr>
          <w:rStyle w:val="FootnoteReference"/>
          <w:rFonts w:asciiTheme="minorHAnsi" w:hAnsiTheme="minorHAnsi"/>
        </w:rPr>
        <w:footnoteReference w:id="45"/>
      </w:r>
      <w:r w:rsidRPr="004A132D">
        <w:rPr>
          <w:rFonts w:asciiTheme="minorHAnsi" w:hAnsiTheme="minorHAnsi"/>
        </w:rPr>
        <w:t xml:space="preserve"> </w:t>
      </w:r>
      <w:r w:rsidR="003A12CD">
        <w:rPr>
          <w:rFonts w:asciiTheme="minorHAnsi" w:hAnsiTheme="minorHAnsi"/>
        </w:rPr>
        <w:t xml:space="preserve">Achieving the SDGs is in Australia’s interests, contributing to lasting regional and global prosperity, productivity and stability. The SDGs are consistent with the Australian Governments priorities and long standing commitment to gender equality. </w:t>
      </w:r>
      <w:r w:rsidR="00F10B7F">
        <w:rPr>
          <w:rFonts w:asciiTheme="minorHAnsi" w:hAnsiTheme="minorHAnsi"/>
        </w:rPr>
        <w:t xml:space="preserve">The </w:t>
      </w:r>
      <w:r w:rsidR="003A12CD">
        <w:rPr>
          <w:rFonts w:asciiTheme="minorHAnsi" w:hAnsiTheme="minorHAnsi"/>
        </w:rPr>
        <w:t xml:space="preserve">SDGs are integrated with issues that cut across multiple aspects of sustainability, including gender equality. </w:t>
      </w:r>
      <w:r w:rsidR="00883E39">
        <w:rPr>
          <w:rFonts w:asciiTheme="minorHAnsi" w:hAnsiTheme="minorHAnsi"/>
        </w:rPr>
        <w:t>Chapter 5 focuses on achieving gender equality and empowering all women and girls</w:t>
      </w:r>
      <w:r w:rsidR="00F10B7F">
        <w:rPr>
          <w:rFonts w:asciiTheme="minorHAnsi" w:hAnsiTheme="minorHAnsi"/>
        </w:rPr>
        <w:t>, with a clear understanding that greater gender equality, especially in leadership and decision</w:t>
      </w:r>
      <w:r w:rsidR="006F0B60">
        <w:rPr>
          <w:rFonts w:asciiTheme="minorHAnsi" w:hAnsiTheme="minorHAnsi"/>
        </w:rPr>
        <w:noBreakHyphen/>
      </w:r>
      <w:r w:rsidR="00F10B7F">
        <w:rPr>
          <w:rFonts w:asciiTheme="minorHAnsi" w:hAnsiTheme="minorHAnsi"/>
        </w:rPr>
        <w:t>making, improves the economic circumstances at the country, local, and household level</w:t>
      </w:r>
      <w:r w:rsidR="00883E39">
        <w:rPr>
          <w:rFonts w:asciiTheme="minorHAnsi" w:hAnsiTheme="minorHAnsi"/>
        </w:rPr>
        <w:t>.</w:t>
      </w:r>
      <w:r w:rsidR="003A12CD">
        <w:rPr>
          <w:rFonts w:asciiTheme="minorHAnsi" w:hAnsiTheme="minorHAnsi"/>
        </w:rPr>
        <w:t xml:space="preserve"> </w:t>
      </w:r>
    </w:p>
    <w:p w14:paraId="46AC1ACF" w14:textId="16D50022" w:rsidR="00F717EB" w:rsidRDefault="00F717EB">
      <w:pPr>
        <w:rPr>
          <w:lang w:val="en-NZ"/>
        </w:rPr>
      </w:pPr>
      <w:r>
        <w:rPr>
          <w:lang w:val="en-NZ"/>
        </w:rPr>
        <w:br w:type="page"/>
      </w:r>
    </w:p>
    <w:p w14:paraId="25C2FEE3" w14:textId="7C6455DD" w:rsidR="00F717EB" w:rsidRPr="006F0B60" w:rsidRDefault="00F717EB" w:rsidP="00F717EB">
      <w:pPr>
        <w:spacing w:line="360" w:lineRule="auto"/>
        <w:rPr>
          <w:rFonts w:ascii="Calibri" w:hAnsi="Calibri" w:cs="Calibri"/>
          <w:b/>
          <w:bCs/>
          <w:spacing w:val="-2"/>
          <w:sz w:val="28"/>
          <w:szCs w:val="32"/>
        </w:rPr>
      </w:pPr>
      <w:r w:rsidRPr="006F0B60">
        <w:rPr>
          <w:rFonts w:ascii="Calibri" w:hAnsi="Calibri" w:cs="Calibri"/>
          <w:b/>
          <w:bCs/>
          <w:spacing w:val="-2"/>
          <w:sz w:val="28"/>
          <w:szCs w:val="32"/>
        </w:rPr>
        <w:lastRenderedPageBreak/>
        <w:t>Ninth periodic report submitted by Australia under article 18 of the Convention on the Elimination of All Forms of Discrimination again</w:t>
      </w:r>
      <w:r w:rsidR="00F80E84">
        <w:rPr>
          <w:rFonts w:ascii="Calibri" w:hAnsi="Calibri" w:cs="Calibri"/>
          <w:b/>
          <w:bCs/>
          <w:spacing w:val="-2"/>
          <w:sz w:val="28"/>
          <w:szCs w:val="32"/>
        </w:rPr>
        <w:t>st</w:t>
      </w:r>
      <w:r w:rsidRPr="006F0B60">
        <w:rPr>
          <w:rFonts w:ascii="Calibri" w:hAnsi="Calibri" w:cs="Calibri"/>
          <w:b/>
          <w:bCs/>
          <w:spacing w:val="-2"/>
          <w:sz w:val="28"/>
          <w:szCs w:val="32"/>
        </w:rPr>
        <w:t xml:space="preserve"> Women</w:t>
      </w:r>
    </w:p>
    <w:p w14:paraId="44B91937" w14:textId="77777777" w:rsidR="00F717EB" w:rsidRPr="006F0B60" w:rsidRDefault="00F717EB" w:rsidP="00F717EB">
      <w:pPr>
        <w:pStyle w:val="Heading1"/>
        <w:ind w:left="0"/>
        <w:rPr>
          <w:rFonts w:cs="Calibri"/>
        </w:rPr>
      </w:pPr>
      <w:bookmarkStart w:id="209" w:name="_Toc174011754"/>
      <w:bookmarkStart w:id="210" w:name="_Toc175556857"/>
      <w:r w:rsidRPr="006F0B60">
        <w:rPr>
          <w:rFonts w:cs="Calibri"/>
        </w:rPr>
        <w:t>Glossary</w:t>
      </w:r>
      <w:bookmarkEnd w:id="209"/>
      <w:bookmarkEnd w:id="210"/>
    </w:p>
    <w:tbl>
      <w:tblPr>
        <w:tblW w:w="4933"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Pr>
      <w:tblGrid>
        <w:gridCol w:w="2837"/>
        <w:gridCol w:w="7631"/>
      </w:tblGrid>
      <w:tr w:rsidR="00F717EB" w:rsidRPr="00170DEF" w14:paraId="7E53831C" w14:textId="77777777" w:rsidTr="00F717EB">
        <w:trPr>
          <w:trHeight w:val="454"/>
        </w:trPr>
        <w:tc>
          <w:tcPr>
            <w:tcW w:w="1355" w:type="pct"/>
            <w:shd w:val="clear" w:color="auto" w:fill="D9D9D9" w:themeFill="background1" w:themeFillShade="D9"/>
            <w:tcMar>
              <w:top w:w="15" w:type="dxa"/>
              <w:left w:w="108" w:type="dxa"/>
              <w:bottom w:w="0" w:type="dxa"/>
              <w:right w:w="108" w:type="dxa"/>
            </w:tcMar>
            <w:vAlign w:val="center"/>
            <w:hideMark/>
          </w:tcPr>
          <w:p w14:paraId="0C092927" w14:textId="2E42F39D" w:rsidR="00F717EB" w:rsidRPr="001977DA" w:rsidRDefault="00F717EB" w:rsidP="00F80E84">
            <w:pPr>
              <w:spacing w:line="252" w:lineRule="auto"/>
              <w:rPr>
                <w:rFonts w:eastAsiaTheme="minorEastAsia" w:cstheme="minorHAnsi"/>
                <w:b/>
                <w:sz w:val="20"/>
                <w:szCs w:val="20"/>
              </w:rPr>
            </w:pPr>
            <w:r w:rsidRPr="001977DA">
              <w:rPr>
                <w:rFonts w:cstheme="minorHAnsi"/>
                <w:b/>
                <w:bCs/>
                <w:sz w:val="20"/>
                <w:szCs w:val="20"/>
              </w:rPr>
              <w:t>Term</w:t>
            </w:r>
          </w:p>
        </w:tc>
        <w:tc>
          <w:tcPr>
            <w:tcW w:w="3645" w:type="pct"/>
            <w:shd w:val="clear" w:color="auto" w:fill="D9D9D9" w:themeFill="background1" w:themeFillShade="D9"/>
            <w:vAlign w:val="center"/>
          </w:tcPr>
          <w:p w14:paraId="567C6C4C" w14:textId="77777777" w:rsidR="00F717EB" w:rsidRPr="00170DEF" w:rsidRDefault="00F717EB" w:rsidP="0017228C">
            <w:pPr>
              <w:spacing w:line="252" w:lineRule="auto"/>
              <w:ind w:left="115" w:right="118"/>
              <w:rPr>
                <w:b/>
                <w:sz w:val="20"/>
                <w:szCs w:val="20"/>
              </w:rPr>
            </w:pPr>
            <w:r>
              <w:rPr>
                <w:b/>
                <w:sz w:val="20"/>
                <w:szCs w:val="20"/>
              </w:rPr>
              <w:t>Definition</w:t>
            </w:r>
          </w:p>
        </w:tc>
      </w:tr>
      <w:tr w:rsidR="00F717EB" w:rsidRPr="00170DEF" w14:paraId="2BF0BCE0" w14:textId="77777777" w:rsidTr="00F717EB">
        <w:trPr>
          <w:trHeight w:val="454"/>
        </w:trPr>
        <w:tc>
          <w:tcPr>
            <w:tcW w:w="1355" w:type="pct"/>
            <w:shd w:val="clear" w:color="auto" w:fill="auto"/>
            <w:tcMar>
              <w:top w:w="15" w:type="dxa"/>
              <w:left w:w="108" w:type="dxa"/>
              <w:bottom w:w="0" w:type="dxa"/>
              <w:right w:w="108" w:type="dxa"/>
            </w:tcMar>
            <w:vAlign w:val="center"/>
          </w:tcPr>
          <w:p w14:paraId="64D9D1C4"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Committee</w:t>
            </w:r>
          </w:p>
        </w:tc>
        <w:tc>
          <w:tcPr>
            <w:tcW w:w="3645" w:type="pct"/>
            <w:vAlign w:val="center"/>
          </w:tcPr>
          <w:p w14:paraId="13512B24" w14:textId="77777777" w:rsidR="00F717EB" w:rsidRPr="00170DEF" w:rsidRDefault="00F717EB" w:rsidP="0017228C">
            <w:pPr>
              <w:spacing w:line="252" w:lineRule="auto"/>
              <w:ind w:left="115" w:right="118"/>
              <w:rPr>
                <w:sz w:val="20"/>
                <w:szCs w:val="20"/>
              </w:rPr>
            </w:pPr>
            <w:r>
              <w:rPr>
                <w:sz w:val="20"/>
                <w:szCs w:val="20"/>
              </w:rPr>
              <w:t>Committee on the Elimination of Discrimination against Women</w:t>
            </w:r>
          </w:p>
        </w:tc>
      </w:tr>
      <w:tr w:rsidR="00F717EB" w:rsidRPr="00170DEF" w14:paraId="1D7BFFC6" w14:textId="77777777" w:rsidTr="00F717EB">
        <w:trPr>
          <w:trHeight w:val="454"/>
        </w:trPr>
        <w:tc>
          <w:tcPr>
            <w:tcW w:w="1355" w:type="pct"/>
            <w:shd w:val="clear" w:color="auto" w:fill="auto"/>
            <w:tcMar>
              <w:top w:w="15" w:type="dxa"/>
              <w:left w:w="108" w:type="dxa"/>
              <w:bottom w:w="0" w:type="dxa"/>
              <w:right w:w="108" w:type="dxa"/>
            </w:tcMar>
            <w:vAlign w:val="center"/>
          </w:tcPr>
          <w:p w14:paraId="4D8AAB13"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Convention</w:t>
            </w:r>
          </w:p>
        </w:tc>
        <w:tc>
          <w:tcPr>
            <w:tcW w:w="3645" w:type="pct"/>
            <w:vAlign w:val="center"/>
          </w:tcPr>
          <w:p w14:paraId="5BD1DF9A" w14:textId="77777777" w:rsidR="00F717EB" w:rsidRPr="00170DEF" w:rsidRDefault="00F717EB" w:rsidP="0017228C">
            <w:pPr>
              <w:spacing w:line="252" w:lineRule="auto"/>
              <w:ind w:left="115" w:right="118"/>
              <w:rPr>
                <w:sz w:val="20"/>
                <w:szCs w:val="20"/>
              </w:rPr>
            </w:pPr>
            <w:r>
              <w:rPr>
                <w:sz w:val="20"/>
                <w:szCs w:val="20"/>
              </w:rPr>
              <w:t>Convention on the Elimination of All Forms of Discrimination against Women</w:t>
            </w:r>
          </w:p>
        </w:tc>
      </w:tr>
      <w:tr w:rsidR="00F717EB" w:rsidRPr="00170DEF" w14:paraId="32FFA015" w14:textId="77777777" w:rsidTr="00F717EB">
        <w:trPr>
          <w:trHeight w:val="1126"/>
        </w:trPr>
        <w:tc>
          <w:tcPr>
            <w:tcW w:w="1355" w:type="pct"/>
            <w:shd w:val="clear" w:color="auto" w:fill="auto"/>
            <w:tcMar>
              <w:top w:w="15" w:type="dxa"/>
              <w:left w:w="108" w:type="dxa"/>
              <w:bottom w:w="0" w:type="dxa"/>
              <w:right w:w="108" w:type="dxa"/>
            </w:tcMar>
            <w:vAlign w:val="center"/>
          </w:tcPr>
          <w:p w14:paraId="391006D4"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Australian Government</w:t>
            </w:r>
          </w:p>
        </w:tc>
        <w:tc>
          <w:tcPr>
            <w:tcW w:w="3645" w:type="pct"/>
            <w:vAlign w:val="center"/>
          </w:tcPr>
          <w:p w14:paraId="36E2B9D3" w14:textId="77777777" w:rsidR="00F717EB" w:rsidRDefault="00F717EB" w:rsidP="0017228C">
            <w:pPr>
              <w:spacing w:line="252" w:lineRule="auto"/>
              <w:ind w:left="115" w:right="118"/>
              <w:rPr>
                <w:sz w:val="20"/>
                <w:szCs w:val="20"/>
              </w:rPr>
            </w:pPr>
            <w:r>
              <w:rPr>
                <w:sz w:val="20"/>
                <w:szCs w:val="20"/>
              </w:rPr>
              <w:t xml:space="preserve">The national government of Australia – also referred to as the federal government of Commonwealth government. </w:t>
            </w:r>
            <w:r w:rsidRPr="00111AAB">
              <w:rPr>
                <w:sz w:val="20"/>
                <w:szCs w:val="20"/>
              </w:rPr>
              <w:t>Australia has a federal constitutional system in which legislative, executive and judicial powers are shared or distributed between the Australian Government and the constituent states and territories</w:t>
            </w:r>
          </w:p>
        </w:tc>
      </w:tr>
      <w:tr w:rsidR="00F717EB" w:rsidRPr="00170DEF" w14:paraId="2D33FAC4" w14:textId="77777777" w:rsidTr="00F717EB">
        <w:trPr>
          <w:trHeight w:val="842"/>
        </w:trPr>
        <w:tc>
          <w:tcPr>
            <w:tcW w:w="1355" w:type="pct"/>
            <w:shd w:val="clear" w:color="auto" w:fill="auto"/>
            <w:tcMar>
              <w:top w:w="15" w:type="dxa"/>
              <w:left w:w="108" w:type="dxa"/>
              <w:bottom w:w="0" w:type="dxa"/>
              <w:right w:w="108" w:type="dxa"/>
            </w:tcMar>
            <w:vAlign w:val="center"/>
          </w:tcPr>
          <w:p w14:paraId="13AD0399"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State and territories</w:t>
            </w:r>
          </w:p>
        </w:tc>
        <w:tc>
          <w:tcPr>
            <w:tcW w:w="3645" w:type="pct"/>
            <w:vAlign w:val="center"/>
          </w:tcPr>
          <w:p w14:paraId="6F6FC05F" w14:textId="77777777" w:rsidR="00F717EB" w:rsidRDefault="00F717EB" w:rsidP="0017228C">
            <w:pPr>
              <w:spacing w:line="252" w:lineRule="auto"/>
              <w:ind w:left="115" w:right="118"/>
              <w:rPr>
                <w:sz w:val="20"/>
                <w:szCs w:val="20"/>
              </w:rPr>
            </w:pPr>
            <w:r>
              <w:rPr>
                <w:sz w:val="20"/>
                <w:szCs w:val="20"/>
              </w:rPr>
              <w:t>Refers to Australian states and territories – Queensland (QLD), New South Wales (NSW), Victoria (VIC), Tasmania (TAS), Western Australia (WA), South Australia (SA), Northern Territory (NT), Australian Capital Territory (ACT).</w:t>
            </w:r>
          </w:p>
        </w:tc>
      </w:tr>
      <w:tr w:rsidR="00F717EB" w:rsidRPr="00170DEF" w14:paraId="4CFB67CB" w14:textId="77777777" w:rsidTr="00F717EB">
        <w:trPr>
          <w:trHeight w:val="842"/>
        </w:trPr>
        <w:tc>
          <w:tcPr>
            <w:tcW w:w="1355" w:type="pct"/>
            <w:shd w:val="clear" w:color="auto" w:fill="auto"/>
            <w:tcMar>
              <w:top w:w="15" w:type="dxa"/>
              <w:left w:w="108" w:type="dxa"/>
              <w:bottom w:w="0" w:type="dxa"/>
              <w:right w:w="108" w:type="dxa"/>
            </w:tcMar>
            <w:vAlign w:val="center"/>
          </w:tcPr>
          <w:p w14:paraId="3E280D97"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LOIRP</w:t>
            </w:r>
          </w:p>
        </w:tc>
        <w:tc>
          <w:tcPr>
            <w:tcW w:w="3645" w:type="pct"/>
            <w:vAlign w:val="center"/>
          </w:tcPr>
          <w:p w14:paraId="219E3246" w14:textId="77777777" w:rsidR="00F717EB" w:rsidRPr="00170DEF" w:rsidRDefault="00F717EB" w:rsidP="0017228C">
            <w:pPr>
              <w:spacing w:line="252" w:lineRule="auto"/>
              <w:ind w:left="115" w:right="118"/>
              <w:rPr>
                <w:sz w:val="20"/>
                <w:szCs w:val="20"/>
              </w:rPr>
            </w:pPr>
            <w:r>
              <w:rPr>
                <w:sz w:val="20"/>
                <w:szCs w:val="20"/>
              </w:rPr>
              <w:t xml:space="preserve">List of issues prior to reporting </w:t>
            </w:r>
            <w:r w:rsidRPr="00BD14D0">
              <w:rPr>
                <w:i/>
                <w:sz w:val="20"/>
                <w:szCs w:val="20"/>
              </w:rPr>
              <w:t>[</w:t>
            </w:r>
            <w:r>
              <w:rPr>
                <w:i/>
                <w:sz w:val="20"/>
                <w:szCs w:val="20"/>
              </w:rPr>
              <w:t xml:space="preserve">this is a simplified procedure employed by </w:t>
            </w:r>
            <w:r w:rsidRPr="00BD14D0">
              <w:rPr>
                <w:i/>
                <w:sz w:val="20"/>
                <w:szCs w:val="20"/>
              </w:rPr>
              <w:t xml:space="preserve">the Committee </w:t>
            </w:r>
            <w:r>
              <w:rPr>
                <w:i/>
                <w:sz w:val="20"/>
                <w:szCs w:val="20"/>
              </w:rPr>
              <w:t xml:space="preserve">in lieu of a periodic report – the Committee </w:t>
            </w:r>
            <w:r w:rsidRPr="00BD14D0">
              <w:rPr>
                <w:i/>
                <w:sz w:val="20"/>
                <w:szCs w:val="20"/>
              </w:rPr>
              <w:t xml:space="preserve">sends States parties a list of issues </w:t>
            </w:r>
            <w:r>
              <w:rPr>
                <w:i/>
                <w:sz w:val="20"/>
                <w:szCs w:val="20"/>
              </w:rPr>
              <w:t>for response directly relevant to that States previous reports and actions]</w:t>
            </w:r>
          </w:p>
        </w:tc>
      </w:tr>
    </w:tbl>
    <w:p w14:paraId="63C9B1B5" w14:textId="77777777" w:rsidR="00F717EB" w:rsidRDefault="00F717EB" w:rsidP="00F717EB"/>
    <w:tbl>
      <w:tblPr>
        <w:tblW w:w="4933"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Pr>
      <w:tblGrid>
        <w:gridCol w:w="2837"/>
        <w:gridCol w:w="7631"/>
      </w:tblGrid>
      <w:tr w:rsidR="00F717EB" w:rsidRPr="00170DEF" w14:paraId="202D9193" w14:textId="77777777" w:rsidTr="00F717EB">
        <w:trPr>
          <w:trHeight w:val="454"/>
        </w:trPr>
        <w:tc>
          <w:tcPr>
            <w:tcW w:w="1355" w:type="pct"/>
            <w:shd w:val="clear" w:color="auto" w:fill="D9D9D9" w:themeFill="background1" w:themeFillShade="D9"/>
            <w:tcMar>
              <w:top w:w="15" w:type="dxa"/>
              <w:left w:w="108" w:type="dxa"/>
              <w:bottom w:w="0" w:type="dxa"/>
              <w:right w:w="108" w:type="dxa"/>
            </w:tcMar>
            <w:vAlign w:val="center"/>
            <w:hideMark/>
          </w:tcPr>
          <w:p w14:paraId="4BB35A39" w14:textId="6146E16E" w:rsidR="00F717EB" w:rsidRPr="001977DA" w:rsidRDefault="00F717EB" w:rsidP="00F80E84">
            <w:pPr>
              <w:spacing w:line="252" w:lineRule="auto"/>
              <w:ind w:left="23" w:hanging="13"/>
              <w:rPr>
                <w:rFonts w:eastAsiaTheme="minorEastAsia" w:cstheme="minorHAnsi"/>
                <w:b/>
                <w:sz w:val="20"/>
                <w:szCs w:val="20"/>
              </w:rPr>
            </w:pPr>
            <w:r w:rsidRPr="001977DA">
              <w:rPr>
                <w:rFonts w:cstheme="minorHAnsi"/>
                <w:b/>
                <w:bCs/>
                <w:sz w:val="20"/>
                <w:szCs w:val="20"/>
              </w:rPr>
              <w:t>Term</w:t>
            </w:r>
          </w:p>
        </w:tc>
        <w:tc>
          <w:tcPr>
            <w:tcW w:w="3645" w:type="pct"/>
            <w:shd w:val="clear" w:color="auto" w:fill="D9D9D9" w:themeFill="background1" w:themeFillShade="D9"/>
            <w:vAlign w:val="center"/>
          </w:tcPr>
          <w:p w14:paraId="3A992502" w14:textId="77777777" w:rsidR="00F717EB" w:rsidRPr="00170DEF" w:rsidRDefault="00F717EB" w:rsidP="0017228C">
            <w:pPr>
              <w:spacing w:line="252" w:lineRule="auto"/>
              <w:ind w:left="115" w:right="125"/>
              <w:rPr>
                <w:b/>
                <w:sz w:val="20"/>
                <w:szCs w:val="20"/>
              </w:rPr>
            </w:pPr>
            <w:r>
              <w:rPr>
                <w:b/>
                <w:sz w:val="20"/>
                <w:szCs w:val="20"/>
              </w:rPr>
              <w:t>Definition</w:t>
            </w:r>
          </w:p>
        </w:tc>
      </w:tr>
      <w:tr w:rsidR="00F717EB" w:rsidRPr="00C04BCA" w14:paraId="46246936" w14:textId="77777777" w:rsidTr="00F717EB">
        <w:trPr>
          <w:trHeight w:val="454"/>
        </w:trPr>
        <w:tc>
          <w:tcPr>
            <w:tcW w:w="1355" w:type="pct"/>
            <w:shd w:val="clear" w:color="auto" w:fill="auto"/>
            <w:tcMar>
              <w:top w:w="15" w:type="dxa"/>
              <w:left w:w="108" w:type="dxa"/>
              <w:bottom w:w="0" w:type="dxa"/>
              <w:right w:w="108" w:type="dxa"/>
            </w:tcMar>
            <w:vAlign w:val="center"/>
          </w:tcPr>
          <w:p w14:paraId="0F3671B2"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ABS</w:t>
            </w:r>
          </w:p>
        </w:tc>
        <w:tc>
          <w:tcPr>
            <w:tcW w:w="3645" w:type="pct"/>
            <w:vAlign w:val="center"/>
          </w:tcPr>
          <w:p w14:paraId="36B48378" w14:textId="77777777" w:rsidR="00F717EB" w:rsidRDefault="00F717EB" w:rsidP="0017228C">
            <w:pPr>
              <w:spacing w:line="252" w:lineRule="auto"/>
              <w:ind w:left="115" w:right="125"/>
              <w:rPr>
                <w:sz w:val="20"/>
                <w:szCs w:val="20"/>
              </w:rPr>
            </w:pPr>
            <w:r>
              <w:rPr>
                <w:sz w:val="20"/>
                <w:szCs w:val="20"/>
              </w:rPr>
              <w:t xml:space="preserve">Australian Bureau of Statistics </w:t>
            </w:r>
          </w:p>
        </w:tc>
      </w:tr>
      <w:tr w:rsidR="00F717EB" w:rsidRPr="00C04BCA" w14:paraId="2F459933" w14:textId="77777777" w:rsidTr="00F717EB">
        <w:trPr>
          <w:trHeight w:val="454"/>
        </w:trPr>
        <w:tc>
          <w:tcPr>
            <w:tcW w:w="1355" w:type="pct"/>
            <w:shd w:val="clear" w:color="auto" w:fill="auto"/>
            <w:tcMar>
              <w:top w:w="15" w:type="dxa"/>
              <w:left w:w="108" w:type="dxa"/>
              <w:bottom w:w="0" w:type="dxa"/>
              <w:right w:w="108" w:type="dxa"/>
            </w:tcMar>
            <w:vAlign w:val="center"/>
          </w:tcPr>
          <w:p w14:paraId="7DE5158E"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ADVO</w:t>
            </w:r>
          </w:p>
        </w:tc>
        <w:tc>
          <w:tcPr>
            <w:tcW w:w="3645" w:type="pct"/>
            <w:vAlign w:val="center"/>
          </w:tcPr>
          <w:p w14:paraId="5878D9BA" w14:textId="0FCEC2A8" w:rsidR="00F717EB" w:rsidRDefault="00F717EB" w:rsidP="0017228C">
            <w:pPr>
              <w:spacing w:line="252" w:lineRule="auto"/>
              <w:ind w:left="115" w:right="125"/>
              <w:rPr>
                <w:sz w:val="20"/>
                <w:szCs w:val="20"/>
              </w:rPr>
            </w:pPr>
            <w:r w:rsidRPr="00C04BCA">
              <w:rPr>
                <w:sz w:val="20"/>
                <w:szCs w:val="20"/>
              </w:rPr>
              <w:t xml:space="preserve">Apprehended </w:t>
            </w:r>
            <w:r w:rsidR="004512EE">
              <w:rPr>
                <w:sz w:val="20"/>
                <w:szCs w:val="20"/>
              </w:rPr>
              <w:t xml:space="preserve">Domestic </w:t>
            </w:r>
            <w:r w:rsidRPr="00C04BCA">
              <w:rPr>
                <w:sz w:val="20"/>
                <w:szCs w:val="20"/>
              </w:rPr>
              <w:t>Violence Orders</w:t>
            </w:r>
          </w:p>
        </w:tc>
      </w:tr>
      <w:tr w:rsidR="004512EE" w:rsidRPr="00C04BCA" w14:paraId="0BDCA4CD" w14:textId="77777777" w:rsidTr="00F717EB">
        <w:trPr>
          <w:trHeight w:val="454"/>
        </w:trPr>
        <w:tc>
          <w:tcPr>
            <w:tcW w:w="1355" w:type="pct"/>
            <w:shd w:val="clear" w:color="auto" w:fill="auto"/>
            <w:tcMar>
              <w:top w:w="15" w:type="dxa"/>
              <w:left w:w="108" w:type="dxa"/>
              <w:bottom w:w="0" w:type="dxa"/>
              <w:right w:w="108" w:type="dxa"/>
            </w:tcMar>
            <w:vAlign w:val="center"/>
          </w:tcPr>
          <w:p w14:paraId="7758EAEA" w14:textId="078CAFBF" w:rsidR="004512EE" w:rsidRPr="001977DA" w:rsidRDefault="004512EE" w:rsidP="00F717EB">
            <w:pPr>
              <w:spacing w:line="252" w:lineRule="auto"/>
              <w:rPr>
                <w:rFonts w:cstheme="minorHAnsi"/>
                <w:b/>
                <w:sz w:val="20"/>
                <w:szCs w:val="20"/>
              </w:rPr>
            </w:pPr>
            <w:r>
              <w:rPr>
                <w:rFonts w:cstheme="minorHAnsi"/>
                <w:b/>
                <w:sz w:val="20"/>
                <w:szCs w:val="20"/>
              </w:rPr>
              <w:t>APVO</w:t>
            </w:r>
          </w:p>
        </w:tc>
        <w:tc>
          <w:tcPr>
            <w:tcW w:w="3645" w:type="pct"/>
            <w:vAlign w:val="center"/>
          </w:tcPr>
          <w:p w14:paraId="29390760" w14:textId="43A282A7" w:rsidR="004512EE" w:rsidRDefault="004512EE" w:rsidP="0017228C">
            <w:pPr>
              <w:spacing w:line="252" w:lineRule="auto"/>
              <w:ind w:left="115" w:right="125"/>
              <w:rPr>
                <w:sz w:val="20"/>
                <w:szCs w:val="20"/>
              </w:rPr>
            </w:pPr>
            <w:r>
              <w:rPr>
                <w:sz w:val="20"/>
                <w:szCs w:val="20"/>
              </w:rPr>
              <w:t>Apprehended Personal Violence Orders</w:t>
            </w:r>
          </w:p>
        </w:tc>
      </w:tr>
      <w:tr w:rsidR="00F717EB" w:rsidRPr="00C04BCA" w14:paraId="414328D9" w14:textId="77777777" w:rsidTr="00F717EB">
        <w:trPr>
          <w:trHeight w:val="454"/>
        </w:trPr>
        <w:tc>
          <w:tcPr>
            <w:tcW w:w="1355" w:type="pct"/>
            <w:shd w:val="clear" w:color="auto" w:fill="auto"/>
            <w:tcMar>
              <w:top w:w="15" w:type="dxa"/>
              <w:left w:w="108" w:type="dxa"/>
              <w:bottom w:w="0" w:type="dxa"/>
              <w:right w:w="108" w:type="dxa"/>
            </w:tcMar>
            <w:vAlign w:val="center"/>
          </w:tcPr>
          <w:p w14:paraId="1C131132"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AFP</w:t>
            </w:r>
          </w:p>
        </w:tc>
        <w:tc>
          <w:tcPr>
            <w:tcW w:w="3645" w:type="pct"/>
            <w:vAlign w:val="center"/>
          </w:tcPr>
          <w:p w14:paraId="22877293" w14:textId="77777777" w:rsidR="00F717EB" w:rsidRDefault="00F717EB" w:rsidP="0017228C">
            <w:pPr>
              <w:spacing w:line="252" w:lineRule="auto"/>
              <w:ind w:left="115" w:right="125"/>
              <w:rPr>
                <w:sz w:val="20"/>
                <w:szCs w:val="20"/>
              </w:rPr>
            </w:pPr>
            <w:r>
              <w:rPr>
                <w:sz w:val="20"/>
                <w:szCs w:val="20"/>
              </w:rPr>
              <w:t xml:space="preserve">Australian Federal Police </w:t>
            </w:r>
          </w:p>
        </w:tc>
      </w:tr>
      <w:tr w:rsidR="00F717EB" w:rsidRPr="00C04BCA" w14:paraId="318C56BE" w14:textId="77777777" w:rsidTr="00F717EB">
        <w:trPr>
          <w:trHeight w:val="454"/>
        </w:trPr>
        <w:tc>
          <w:tcPr>
            <w:tcW w:w="1355" w:type="pct"/>
            <w:shd w:val="clear" w:color="auto" w:fill="auto"/>
            <w:tcMar>
              <w:top w:w="15" w:type="dxa"/>
              <w:left w:w="108" w:type="dxa"/>
              <w:bottom w:w="0" w:type="dxa"/>
              <w:right w:w="108" w:type="dxa"/>
            </w:tcMar>
            <w:vAlign w:val="center"/>
          </w:tcPr>
          <w:p w14:paraId="4882F68E"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AHRC</w:t>
            </w:r>
          </w:p>
        </w:tc>
        <w:tc>
          <w:tcPr>
            <w:tcW w:w="3645" w:type="pct"/>
            <w:vAlign w:val="center"/>
          </w:tcPr>
          <w:p w14:paraId="63398ABD" w14:textId="77777777" w:rsidR="00F717EB" w:rsidRPr="00C04BCA" w:rsidRDefault="00F717EB" w:rsidP="0017228C">
            <w:pPr>
              <w:spacing w:line="252" w:lineRule="auto"/>
              <w:ind w:left="115" w:right="125"/>
              <w:rPr>
                <w:sz w:val="20"/>
                <w:szCs w:val="20"/>
              </w:rPr>
            </w:pPr>
            <w:r>
              <w:rPr>
                <w:sz w:val="20"/>
                <w:szCs w:val="20"/>
              </w:rPr>
              <w:t xml:space="preserve">Australian Human Rights Commission </w:t>
            </w:r>
          </w:p>
        </w:tc>
      </w:tr>
      <w:tr w:rsidR="00F717EB" w:rsidRPr="00C04BCA" w14:paraId="09893A7C" w14:textId="77777777" w:rsidTr="00F717EB">
        <w:trPr>
          <w:trHeight w:val="454"/>
        </w:trPr>
        <w:tc>
          <w:tcPr>
            <w:tcW w:w="1355" w:type="pct"/>
            <w:shd w:val="clear" w:color="auto" w:fill="auto"/>
            <w:tcMar>
              <w:top w:w="15" w:type="dxa"/>
              <w:left w:w="108" w:type="dxa"/>
              <w:bottom w:w="0" w:type="dxa"/>
              <w:right w:w="108" w:type="dxa"/>
            </w:tcMar>
            <w:vAlign w:val="center"/>
          </w:tcPr>
          <w:p w14:paraId="6FE887F2"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AIC</w:t>
            </w:r>
          </w:p>
        </w:tc>
        <w:tc>
          <w:tcPr>
            <w:tcW w:w="3645" w:type="pct"/>
            <w:vAlign w:val="center"/>
          </w:tcPr>
          <w:p w14:paraId="46B42F59" w14:textId="77777777" w:rsidR="00F717EB" w:rsidRDefault="00F717EB" w:rsidP="0017228C">
            <w:pPr>
              <w:spacing w:line="252" w:lineRule="auto"/>
              <w:ind w:left="115" w:right="125"/>
              <w:rPr>
                <w:sz w:val="20"/>
                <w:szCs w:val="20"/>
              </w:rPr>
            </w:pPr>
            <w:r>
              <w:rPr>
                <w:sz w:val="20"/>
                <w:szCs w:val="20"/>
              </w:rPr>
              <w:t xml:space="preserve">Australian Institute of Criminology </w:t>
            </w:r>
          </w:p>
        </w:tc>
      </w:tr>
      <w:tr w:rsidR="00F717EB" w:rsidRPr="00C04BCA" w14:paraId="31059404" w14:textId="77777777" w:rsidTr="00F717EB">
        <w:trPr>
          <w:trHeight w:val="454"/>
        </w:trPr>
        <w:tc>
          <w:tcPr>
            <w:tcW w:w="1355" w:type="pct"/>
            <w:shd w:val="clear" w:color="auto" w:fill="auto"/>
            <w:tcMar>
              <w:top w:w="15" w:type="dxa"/>
              <w:left w:w="108" w:type="dxa"/>
              <w:bottom w:w="0" w:type="dxa"/>
              <w:right w:w="108" w:type="dxa"/>
            </w:tcMar>
            <w:vAlign w:val="center"/>
          </w:tcPr>
          <w:p w14:paraId="70954FA8"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ATSILS</w:t>
            </w:r>
          </w:p>
        </w:tc>
        <w:tc>
          <w:tcPr>
            <w:tcW w:w="3645" w:type="pct"/>
            <w:vAlign w:val="center"/>
          </w:tcPr>
          <w:p w14:paraId="2B1DCB1B" w14:textId="77777777" w:rsidR="00F717EB" w:rsidRDefault="00F717EB" w:rsidP="0017228C">
            <w:pPr>
              <w:spacing w:line="252" w:lineRule="auto"/>
              <w:ind w:left="115" w:right="125"/>
              <w:rPr>
                <w:sz w:val="20"/>
                <w:szCs w:val="20"/>
              </w:rPr>
            </w:pPr>
            <w:r>
              <w:rPr>
                <w:sz w:val="20"/>
                <w:szCs w:val="20"/>
              </w:rPr>
              <w:t xml:space="preserve">Aboriginal and Torres Strait Islander Legal Service </w:t>
            </w:r>
          </w:p>
        </w:tc>
      </w:tr>
      <w:tr w:rsidR="00F717EB" w:rsidRPr="00C04BCA" w14:paraId="548F95D4" w14:textId="77777777" w:rsidTr="00F717EB">
        <w:trPr>
          <w:trHeight w:val="454"/>
        </w:trPr>
        <w:tc>
          <w:tcPr>
            <w:tcW w:w="1355" w:type="pct"/>
            <w:shd w:val="clear" w:color="auto" w:fill="auto"/>
            <w:tcMar>
              <w:top w:w="15" w:type="dxa"/>
              <w:left w:w="108" w:type="dxa"/>
              <w:bottom w:w="0" w:type="dxa"/>
              <w:right w:w="108" w:type="dxa"/>
            </w:tcMar>
            <w:vAlign w:val="center"/>
          </w:tcPr>
          <w:p w14:paraId="3E0C22B0"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CCS</w:t>
            </w:r>
          </w:p>
        </w:tc>
        <w:tc>
          <w:tcPr>
            <w:tcW w:w="3645" w:type="pct"/>
            <w:vAlign w:val="center"/>
          </w:tcPr>
          <w:p w14:paraId="729B8D7B" w14:textId="77777777" w:rsidR="00F717EB" w:rsidRPr="00E31C2F" w:rsidRDefault="00F717EB" w:rsidP="0017228C">
            <w:pPr>
              <w:spacing w:line="252" w:lineRule="auto"/>
              <w:ind w:left="115" w:right="125"/>
              <w:rPr>
                <w:sz w:val="20"/>
                <w:szCs w:val="20"/>
              </w:rPr>
            </w:pPr>
            <w:r w:rsidRPr="00E31C2F">
              <w:rPr>
                <w:sz w:val="20"/>
                <w:szCs w:val="20"/>
              </w:rPr>
              <w:t>Child Care Subsidy</w:t>
            </w:r>
          </w:p>
        </w:tc>
      </w:tr>
      <w:tr w:rsidR="00F717EB" w:rsidRPr="00C04BCA" w14:paraId="7DF32DF2" w14:textId="77777777" w:rsidTr="00F717EB">
        <w:trPr>
          <w:trHeight w:val="2102"/>
        </w:trPr>
        <w:tc>
          <w:tcPr>
            <w:tcW w:w="1355" w:type="pct"/>
            <w:shd w:val="clear" w:color="auto" w:fill="auto"/>
            <w:tcMar>
              <w:top w:w="15" w:type="dxa"/>
              <w:left w:w="108" w:type="dxa"/>
              <w:bottom w:w="0" w:type="dxa"/>
              <w:right w:w="108" w:type="dxa"/>
            </w:tcMar>
            <w:vAlign w:val="center"/>
          </w:tcPr>
          <w:p w14:paraId="2373C075"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Closing the Gap</w:t>
            </w:r>
          </w:p>
        </w:tc>
        <w:tc>
          <w:tcPr>
            <w:tcW w:w="3645" w:type="pct"/>
            <w:vAlign w:val="center"/>
          </w:tcPr>
          <w:p w14:paraId="2AAB0533" w14:textId="77777777" w:rsidR="00F717EB" w:rsidRPr="005A3F73" w:rsidRDefault="00F717EB" w:rsidP="0017228C">
            <w:pPr>
              <w:spacing w:line="252" w:lineRule="auto"/>
              <w:ind w:left="115" w:right="125"/>
              <w:rPr>
                <w:rFonts w:ascii="Arial" w:hAnsi="Arial" w:cs="Arial"/>
                <w:color w:val="212529"/>
                <w:spacing w:val="12"/>
              </w:rPr>
            </w:pPr>
            <w:r w:rsidRPr="005A3F73">
              <w:rPr>
                <w:b/>
                <w:sz w:val="20"/>
                <w:szCs w:val="20"/>
              </w:rPr>
              <w:t>Closing the Gap</w:t>
            </w:r>
            <w:r w:rsidRPr="005A3F73">
              <w:rPr>
                <w:sz w:val="20"/>
                <w:szCs w:val="20"/>
              </w:rPr>
              <w:t xml:space="preserve"> is a national strategy that aims to reduce Indigenous disadvantage with respect to life expectancy, child mortality, access to early childhood education, educational achievement and employment outcomes.</w:t>
            </w:r>
            <w:r>
              <w:rPr>
                <w:sz w:val="20"/>
                <w:szCs w:val="20"/>
              </w:rPr>
              <w:t xml:space="preserve"> It </w:t>
            </w:r>
            <w:r w:rsidRPr="005A3F73">
              <w:rPr>
                <w:sz w:val="20"/>
                <w:szCs w:val="20"/>
              </w:rPr>
              <w:t>acknowledges the ongoing strength and resilience of Aboriginal and Torres Strait Islander people in sustaining the world’s oldest living cultures. Closing the Gap is underpinned by the belief that when Aboriginal and Torres Strait Islander people have a genuine say in the design and delivery of policies, programs and services that affect them, better life outcomes are achieved.</w:t>
            </w:r>
          </w:p>
        </w:tc>
      </w:tr>
      <w:tr w:rsidR="00F717EB" w:rsidRPr="00C04BCA" w14:paraId="75757E13" w14:textId="77777777" w:rsidTr="00F717EB">
        <w:trPr>
          <w:trHeight w:val="454"/>
        </w:trPr>
        <w:tc>
          <w:tcPr>
            <w:tcW w:w="1355" w:type="pct"/>
            <w:shd w:val="clear" w:color="auto" w:fill="auto"/>
            <w:tcMar>
              <w:top w:w="15" w:type="dxa"/>
              <w:left w:w="108" w:type="dxa"/>
              <w:bottom w:w="0" w:type="dxa"/>
              <w:right w:w="108" w:type="dxa"/>
            </w:tcMar>
            <w:vAlign w:val="center"/>
          </w:tcPr>
          <w:p w14:paraId="7536947F"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ECEC</w:t>
            </w:r>
          </w:p>
        </w:tc>
        <w:tc>
          <w:tcPr>
            <w:tcW w:w="3645" w:type="pct"/>
            <w:vAlign w:val="center"/>
          </w:tcPr>
          <w:p w14:paraId="49EBC871" w14:textId="77777777" w:rsidR="00F717EB" w:rsidRPr="00E31C2F" w:rsidRDefault="00F717EB" w:rsidP="0017228C">
            <w:pPr>
              <w:spacing w:line="252" w:lineRule="auto"/>
              <w:ind w:left="115" w:right="125"/>
              <w:rPr>
                <w:sz w:val="20"/>
                <w:szCs w:val="20"/>
              </w:rPr>
            </w:pPr>
            <w:r>
              <w:rPr>
                <w:sz w:val="20"/>
                <w:szCs w:val="20"/>
              </w:rPr>
              <w:t>E</w:t>
            </w:r>
            <w:r w:rsidRPr="00E31C2F">
              <w:rPr>
                <w:sz w:val="20"/>
                <w:szCs w:val="20"/>
              </w:rPr>
              <w:t xml:space="preserve">arly childhood </w:t>
            </w:r>
            <w:r>
              <w:rPr>
                <w:sz w:val="20"/>
                <w:szCs w:val="20"/>
              </w:rPr>
              <w:t>E</w:t>
            </w:r>
            <w:r w:rsidRPr="00E31C2F">
              <w:rPr>
                <w:sz w:val="20"/>
                <w:szCs w:val="20"/>
              </w:rPr>
              <w:t xml:space="preserve">ducation and </w:t>
            </w:r>
            <w:r>
              <w:rPr>
                <w:sz w:val="20"/>
                <w:szCs w:val="20"/>
              </w:rPr>
              <w:t>C</w:t>
            </w:r>
            <w:r w:rsidRPr="00E31C2F">
              <w:rPr>
                <w:sz w:val="20"/>
                <w:szCs w:val="20"/>
              </w:rPr>
              <w:t>are</w:t>
            </w:r>
          </w:p>
        </w:tc>
      </w:tr>
      <w:tr w:rsidR="00F717EB" w:rsidRPr="00170DEF" w14:paraId="6213737B" w14:textId="77777777" w:rsidTr="00F717EB">
        <w:trPr>
          <w:trHeight w:val="1114"/>
        </w:trPr>
        <w:tc>
          <w:tcPr>
            <w:tcW w:w="1355" w:type="pct"/>
            <w:shd w:val="clear" w:color="auto" w:fill="auto"/>
            <w:tcMar>
              <w:top w:w="15" w:type="dxa"/>
              <w:left w:w="108" w:type="dxa"/>
              <w:bottom w:w="0" w:type="dxa"/>
              <w:right w:w="108" w:type="dxa"/>
            </w:tcMar>
            <w:vAlign w:val="center"/>
          </w:tcPr>
          <w:p w14:paraId="377295BD" w14:textId="77777777" w:rsidR="00F717EB" w:rsidRPr="001977DA" w:rsidRDefault="00F717EB" w:rsidP="00F717EB">
            <w:pPr>
              <w:spacing w:line="252" w:lineRule="auto"/>
              <w:rPr>
                <w:rFonts w:cstheme="minorHAnsi"/>
                <w:b/>
                <w:sz w:val="20"/>
                <w:szCs w:val="20"/>
              </w:rPr>
            </w:pPr>
            <w:r w:rsidRPr="001977DA">
              <w:rPr>
                <w:rFonts w:cstheme="minorHAnsi"/>
                <w:b/>
                <w:sz w:val="20"/>
                <w:szCs w:val="20"/>
              </w:rPr>
              <w:lastRenderedPageBreak/>
              <w:t>First Nations</w:t>
            </w:r>
          </w:p>
        </w:tc>
        <w:tc>
          <w:tcPr>
            <w:tcW w:w="3645" w:type="pct"/>
            <w:vAlign w:val="center"/>
          </w:tcPr>
          <w:p w14:paraId="41E750CC" w14:textId="77777777" w:rsidR="00F717EB" w:rsidRPr="00170DEF" w:rsidRDefault="00F717EB" w:rsidP="0017228C">
            <w:pPr>
              <w:spacing w:line="252" w:lineRule="auto"/>
              <w:ind w:left="115" w:right="125"/>
              <w:rPr>
                <w:sz w:val="20"/>
                <w:szCs w:val="20"/>
              </w:rPr>
            </w:pPr>
            <w:r>
              <w:rPr>
                <w:sz w:val="20"/>
                <w:szCs w:val="20"/>
              </w:rPr>
              <w:t xml:space="preserve">People who have identified themselves or have been identified by a representative (for example, their parent or guardian) as being of Aboriginal and/or Torres Strait Islander origin </w:t>
            </w:r>
            <w:r w:rsidRPr="007967D2">
              <w:rPr>
                <w:i/>
                <w:sz w:val="20"/>
                <w:szCs w:val="20"/>
              </w:rPr>
              <w:t>[throughout the report, terms First Nations people, Indigenous people and Aboriginal and Torres Strait Islander people are used interchangeably].</w:t>
            </w:r>
          </w:p>
        </w:tc>
      </w:tr>
      <w:tr w:rsidR="00F717EB" w:rsidRPr="00170DEF" w14:paraId="11FE1870" w14:textId="77777777" w:rsidTr="00F717EB">
        <w:trPr>
          <w:trHeight w:val="834"/>
        </w:trPr>
        <w:tc>
          <w:tcPr>
            <w:tcW w:w="1355" w:type="pct"/>
            <w:shd w:val="clear" w:color="auto" w:fill="auto"/>
            <w:tcMar>
              <w:top w:w="15" w:type="dxa"/>
              <w:left w:w="108" w:type="dxa"/>
              <w:bottom w:w="0" w:type="dxa"/>
              <w:right w:w="108" w:type="dxa"/>
            </w:tcMar>
            <w:vAlign w:val="center"/>
          </w:tcPr>
          <w:p w14:paraId="1F421991"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 xml:space="preserve">First Action Plan </w:t>
            </w:r>
          </w:p>
        </w:tc>
        <w:tc>
          <w:tcPr>
            <w:tcW w:w="3645" w:type="pct"/>
            <w:vAlign w:val="center"/>
          </w:tcPr>
          <w:p w14:paraId="45DB8806" w14:textId="77777777" w:rsidR="00F717EB" w:rsidRPr="00317769" w:rsidRDefault="00F717EB" w:rsidP="0017228C">
            <w:pPr>
              <w:spacing w:line="252" w:lineRule="auto"/>
              <w:ind w:left="115" w:right="125"/>
              <w:rPr>
                <w:sz w:val="20"/>
                <w:szCs w:val="20"/>
              </w:rPr>
            </w:pPr>
            <w:r w:rsidRPr="003777C8">
              <w:rPr>
                <w:sz w:val="20"/>
                <w:szCs w:val="20"/>
              </w:rPr>
              <w:t>The First Action Plan (2023-2027) provides a roadmap for the first 5 year effort towards achieving the vision of the National Plan</w:t>
            </w:r>
            <w:r>
              <w:rPr>
                <w:sz w:val="20"/>
                <w:szCs w:val="20"/>
              </w:rPr>
              <w:t xml:space="preserve"> to End Violence against Women and Children</w:t>
            </w:r>
            <w:r w:rsidRPr="003777C8">
              <w:rPr>
                <w:sz w:val="20"/>
                <w:szCs w:val="20"/>
              </w:rPr>
              <w:t>.</w:t>
            </w:r>
          </w:p>
        </w:tc>
      </w:tr>
      <w:tr w:rsidR="00F717EB" w:rsidRPr="00170DEF" w14:paraId="4985C186" w14:textId="77777777" w:rsidTr="00F717EB">
        <w:trPr>
          <w:trHeight w:val="1385"/>
        </w:trPr>
        <w:tc>
          <w:tcPr>
            <w:tcW w:w="1355" w:type="pct"/>
            <w:shd w:val="clear" w:color="auto" w:fill="auto"/>
            <w:tcMar>
              <w:top w:w="15" w:type="dxa"/>
              <w:left w:w="108" w:type="dxa"/>
              <w:bottom w:w="0" w:type="dxa"/>
              <w:right w:w="108" w:type="dxa"/>
            </w:tcMar>
            <w:vAlign w:val="center"/>
          </w:tcPr>
          <w:p w14:paraId="5BFC3463"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First Action Plan 2023-2027 and Aboriginal and Torres Strait Islander Action Plan 2023–2025</w:t>
            </w:r>
          </w:p>
        </w:tc>
        <w:tc>
          <w:tcPr>
            <w:tcW w:w="3645" w:type="pct"/>
            <w:vAlign w:val="center"/>
          </w:tcPr>
          <w:p w14:paraId="7572A08A" w14:textId="77777777" w:rsidR="00F717EB" w:rsidRPr="00170DEF" w:rsidRDefault="00F717EB" w:rsidP="0017228C">
            <w:pPr>
              <w:spacing w:line="252" w:lineRule="auto"/>
              <w:ind w:left="115" w:right="125"/>
              <w:rPr>
                <w:sz w:val="20"/>
                <w:szCs w:val="20"/>
              </w:rPr>
            </w:pPr>
            <w:r w:rsidRPr="00317769">
              <w:rPr>
                <w:sz w:val="20"/>
                <w:szCs w:val="20"/>
              </w:rPr>
              <w:t xml:space="preserve">A dedicated Aboriginal and Torres Strait Islander Action Plan </w:t>
            </w:r>
            <w:r>
              <w:rPr>
                <w:sz w:val="20"/>
                <w:szCs w:val="20"/>
              </w:rPr>
              <w:t>that will</w:t>
            </w:r>
            <w:r w:rsidRPr="00317769">
              <w:rPr>
                <w:sz w:val="20"/>
                <w:szCs w:val="20"/>
              </w:rPr>
              <w:t xml:space="preserve"> work </w:t>
            </w:r>
            <w:r>
              <w:rPr>
                <w:sz w:val="20"/>
                <w:szCs w:val="20"/>
              </w:rPr>
              <w:t>alongside the First Action Plan, developed</w:t>
            </w:r>
            <w:r w:rsidRPr="00317769">
              <w:rPr>
                <w:sz w:val="20"/>
                <w:szCs w:val="20"/>
              </w:rPr>
              <w:t xml:space="preserve"> in genuine partnership with the Aboriginal and Torres Strait Islander Advisory Council on family, domestic and sexual violence.</w:t>
            </w:r>
            <w:r>
              <w:rPr>
                <w:sz w:val="20"/>
                <w:szCs w:val="20"/>
              </w:rPr>
              <w:t xml:space="preserve"> It</w:t>
            </w:r>
            <w:r w:rsidRPr="00317769">
              <w:rPr>
                <w:sz w:val="20"/>
                <w:szCs w:val="20"/>
              </w:rPr>
              <w:t xml:space="preserve"> </w:t>
            </w:r>
            <w:r>
              <w:rPr>
                <w:sz w:val="20"/>
                <w:szCs w:val="20"/>
              </w:rPr>
              <w:t>recognises</w:t>
            </w:r>
            <w:r w:rsidRPr="00317769">
              <w:rPr>
                <w:sz w:val="20"/>
                <w:szCs w:val="20"/>
              </w:rPr>
              <w:t xml:space="preserve"> the disproportionately high rates of family, domestic and sexual violence that Aboriginal and Torres Strait Islander women experience.</w:t>
            </w:r>
          </w:p>
        </w:tc>
      </w:tr>
      <w:tr w:rsidR="00F717EB" w:rsidRPr="00C04BCA" w14:paraId="33E5E09C" w14:textId="77777777" w:rsidTr="00F717EB">
        <w:trPr>
          <w:trHeight w:val="454"/>
        </w:trPr>
        <w:tc>
          <w:tcPr>
            <w:tcW w:w="1355" w:type="pct"/>
            <w:shd w:val="clear" w:color="auto" w:fill="auto"/>
            <w:tcMar>
              <w:top w:w="15" w:type="dxa"/>
              <w:left w:w="108" w:type="dxa"/>
              <w:bottom w:w="0" w:type="dxa"/>
              <w:right w:w="108" w:type="dxa"/>
            </w:tcMar>
            <w:vAlign w:val="center"/>
          </w:tcPr>
          <w:p w14:paraId="2B5E0108"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FVP</w:t>
            </w:r>
          </w:p>
        </w:tc>
        <w:tc>
          <w:tcPr>
            <w:tcW w:w="3645" w:type="pct"/>
            <w:vAlign w:val="center"/>
          </w:tcPr>
          <w:p w14:paraId="505A5118" w14:textId="77777777" w:rsidR="00F717EB" w:rsidRDefault="00F717EB" w:rsidP="0017228C">
            <w:pPr>
              <w:spacing w:line="252" w:lineRule="auto"/>
              <w:ind w:left="115" w:right="125"/>
              <w:rPr>
                <w:sz w:val="20"/>
                <w:szCs w:val="20"/>
              </w:rPr>
            </w:pPr>
            <w:r>
              <w:rPr>
                <w:sz w:val="20"/>
                <w:szCs w:val="20"/>
              </w:rPr>
              <w:t xml:space="preserve">Family Violence Provisions </w:t>
            </w:r>
          </w:p>
        </w:tc>
      </w:tr>
      <w:tr w:rsidR="00F717EB" w:rsidRPr="00C04BCA" w14:paraId="155BB43C" w14:textId="77777777" w:rsidTr="00F717EB">
        <w:trPr>
          <w:trHeight w:val="454"/>
        </w:trPr>
        <w:tc>
          <w:tcPr>
            <w:tcW w:w="1355" w:type="pct"/>
            <w:shd w:val="clear" w:color="auto" w:fill="auto"/>
            <w:tcMar>
              <w:top w:w="15" w:type="dxa"/>
              <w:left w:w="108" w:type="dxa"/>
              <w:bottom w:w="0" w:type="dxa"/>
              <w:right w:w="108" w:type="dxa"/>
            </w:tcMar>
            <w:vAlign w:val="center"/>
          </w:tcPr>
          <w:p w14:paraId="14E680D0"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FWC</w:t>
            </w:r>
          </w:p>
        </w:tc>
        <w:tc>
          <w:tcPr>
            <w:tcW w:w="3645" w:type="pct"/>
            <w:vAlign w:val="center"/>
          </w:tcPr>
          <w:p w14:paraId="69E8719E" w14:textId="77777777" w:rsidR="00F717EB" w:rsidRDefault="00F717EB" w:rsidP="0017228C">
            <w:pPr>
              <w:spacing w:line="252" w:lineRule="auto"/>
              <w:ind w:left="115" w:right="125"/>
              <w:rPr>
                <w:sz w:val="20"/>
                <w:szCs w:val="20"/>
              </w:rPr>
            </w:pPr>
            <w:r>
              <w:rPr>
                <w:sz w:val="20"/>
                <w:szCs w:val="20"/>
              </w:rPr>
              <w:t>Fair Work Commission</w:t>
            </w:r>
          </w:p>
        </w:tc>
      </w:tr>
      <w:tr w:rsidR="00F717EB" w:rsidRPr="00C04BCA" w14:paraId="57578F5F" w14:textId="77777777" w:rsidTr="00F717EB">
        <w:trPr>
          <w:trHeight w:val="1432"/>
        </w:trPr>
        <w:tc>
          <w:tcPr>
            <w:tcW w:w="1355" w:type="pct"/>
            <w:shd w:val="clear" w:color="auto" w:fill="auto"/>
            <w:tcMar>
              <w:top w:w="15" w:type="dxa"/>
              <w:left w:w="108" w:type="dxa"/>
              <w:bottom w:w="0" w:type="dxa"/>
              <w:right w:w="108" w:type="dxa"/>
            </w:tcMar>
            <w:vAlign w:val="center"/>
          </w:tcPr>
          <w:p w14:paraId="7A1E229B"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Gender</w:t>
            </w:r>
          </w:p>
        </w:tc>
        <w:tc>
          <w:tcPr>
            <w:tcW w:w="3645" w:type="pct"/>
            <w:vAlign w:val="center"/>
          </w:tcPr>
          <w:p w14:paraId="71229914" w14:textId="77777777" w:rsidR="00F717EB" w:rsidRPr="005A3F73" w:rsidRDefault="00F717EB" w:rsidP="0017228C">
            <w:pPr>
              <w:spacing w:line="252" w:lineRule="auto"/>
              <w:ind w:left="115" w:right="125"/>
              <w:rPr>
                <w:sz w:val="20"/>
                <w:szCs w:val="20"/>
              </w:rPr>
            </w:pPr>
            <w:r>
              <w:rPr>
                <w:i/>
                <w:sz w:val="20"/>
                <w:szCs w:val="20"/>
              </w:rPr>
              <w:t xml:space="preserve">[World Health Organisation definition] </w:t>
            </w:r>
            <w:r w:rsidRPr="005A3F73">
              <w:rPr>
                <w:sz w:val="20"/>
                <w:szCs w:val="20"/>
              </w:rPr>
              <w:t>Gender refers to the characteristics of women, men, girls and boys that are socially constructed. This includes norms, behaviours and roles associated with being a woman, man, girl or boy, as well as relationships with each other. As a social construct, gender varies from society to society and can change over time.</w:t>
            </w:r>
          </w:p>
        </w:tc>
      </w:tr>
      <w:tr w:rsidR="00F717EB" w:rsidRPr="00C04BCA" w14:paraId="03C9FE0D" w14:textId="77777777" w:rsidTr="00F717EB">
        <w:trPr>
          <w:trHeight w:val="2374"/>
        </w:trPr>
        <w:tc>
          <w:tcPr>
            <w:tcW w:w="1355" w:type="pct"/>
            <w:shd w:val="clear" w:color="auto" w:fill="auto"/>
            <w:tcMar>
              <w:top w:w="15" w:type="dxa"/>
              <w:left w:w="108" w:type="dxa"/>
              <w:bottom w:w="0" w:type="dxa"/>
              <w:right w:w="108" w:type="dxa"/>
            </w:tcMar>
            <w:vAlign w:val="center"/>
          </w:tcPr>
          <w:p w14:paraId="55241A22"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Gender Equality Indicators</w:t>
            </w:r>
          </w:p>
        </w:tc>
        <w:tc>
          <w:tcPr>
            <w:tcW w:w="3645" w:type="pct"/>
            <w:vAlign w:val="center"/>
          </w:tcPr>
          <w:p w14:paraId="650B7665" w14:textId="77777777" w:rsidR="00F717EB" w:rsidRDefault="00F717EB" w:rsidP="0017228C">
            <w:pPr>
              <w:spacing w:line="252" w:lineRule="auto"/>
              <w:ind w:left="115" w:right="125"/>
              <w:rPr>
                <w:sz w:val="20"/>
                <w:szCs w:val="20"/>
              </w:rPr>
            </w:pPr>
            <w:r w:rsidRPr="001977DA">
              <w:rPr>
                <w:sz w:val="20"/>
                <w:szCs w:val="20"/>
              </w:rPr>
              <w:t>The </w:t>
            </w:r>
            <w:r w:rsidRPr="001977DA">
              <w:rPr>
                <w:i/>
                <w:iCs/>
                <w:sz w:val="20"/>
                <w:szCs w:val="20"/>
              </w:rPr>
              <w:t>Workplace Gender Equality Act 2012</w:t>
            </w:r>
            <w:r w:rsidRPr="001977DA">
              <w:rPr>
                <w:sz w:val="20"/>
                <w:szCs w:val="20"/>
              </w:rPr>
              <w:t> requires employers with 100 or more employees to report annually against 6 Gender Equality Indicators. The 6 indicators are: gender composition of the workforce; gender composition of governing bodies of relevant employers; equal remuneration between women and men; availability and utility of employment terms, conditions and practices relating to flexible working arrangements for employees and to working arrangements supporting employees with family or caring responsibilities</w:t>
            </w:r>
            <w:r>
              <w:rPr>
                <w:sz w:val="20"/>
                <w:szCs w:val="20"/>
              </w:rPr>
              <w:t>; consultation with employees on issues concerning gender equality in the workplace; and sexual harassment, harassment on the ground of sex or discrimination</w:t>
            </w:r>
            <w:r w:rsidRPr="001977DA">
              <w:rPr>
                <w:sz w:val="20"/>
                <w:szCs w:val="20"/>
              </w:rPr>
              <w:t xml:space="preserve">. </w:t>
            </w:r>
          </w:p>
        </w:tc>
      </w:tr>
      <w:tr w:rsidR="00F717EB" w:rsidRPr="00170DEF" w14:paraId="353D4072" w14:textId="77777777" w:rsidTr="00F717EB">
        <w:trPr>
          <w:trHeight w:val="1118"/>
        </w:trPr>
        <w:tc>
          <w:tcPr>
            <w:tcW w:w="1355" w:type="pct"/>
            <w:shd w:val="clear" w:color="auto" w:fill="auto"/>
            <w:tcMar>
              <w:top w:w="15" w:type="dxa"/>
              <w:left w:w="108" w:type="dxa"/>
              <w:bottom w:w="0" w:type="dxa"/>
              <w:right w:w="108" w:type="dxa"/>
            </w:tcMar>
            <w:vAlign w:val="center"/>
          </w:tcPr>
          <w:p w14:paraId="7723E7C6"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Gender impact assessment</w:t>
            </w:r>
          </w:p>
        </w:tc>
        <w:tc>
          <w:tcPr>
            <w:tcW w:w="3645" w:type="pct"/>
            <w:vAlign w:val="center"/>
          </w:tcPr>
          <w:p w14:paraId="377F99D5" w14:textId="77777777" w:rsidR="00F717EB" w:rsidRPr="00170DEF" w:rsidRDefault="00F717EB" w:rsidP="0017228C">
            <w:pPr>
              <w:spacing w:line="252" w:lineRule="auto"/>
              <w:ind w:left="115" w:right="125"/>
              <w:rPr>
                <w:sz w:val="20"/>
                <w:szCs w:val="20"/>
              </w:rPr>
            </w:pPr>
            <w:r w:rsidRPr="001B31C5">
              <w:rPr>
                <w:sz w:val="20"/>
                <w:szCs w:val="20"/>
              </w:rPr>
              <w:t>A Gender Impact Assessment provides decision makers with a transparent and clear understanding of the gendered impacts of the policy proposal. It also outlines where gender analysis has been used to inform the policy design to deliver better gender equality outcomes.</w:t>
            </w:r>
          </w:p>
        </w:tc>
      </w:tr>
      <w:tr w:rsidR="00F717EB" w:rsidRPr="00C04BCA" w14:paraId="5C77F8F1" w14:textId="77777777" w:rsidTr="00F717EB">
        <w:trPr>
          <w:trHeight w:val="681"/>
        </w:trPr>
        <w:tc>
          <w:tcPr>
            <w:tcW w:w="1355" w:type="pct"/>
            <w:shd w:val="clear" w:color="auto" w:fill="auto"/>
            <w:tcMar>
              <w:top w:w="15" w:type="dxa"/>
              <w:left w:w="108" w:type="dxa"/>
              <w:bottom w:w="0" w:type="dxa"/>
              <w:right w:w="108" w:type="dxa"/>
            </w:tcMar>
            <w:vAlign w:val="center"/>
          </w:tcPr>
          <w:p w14:paraId="09DE1482" w14:textId="77777777" w:rsidR="00F717EB" w:rsidRPr="001977DA" w:rsidRDefault="00F717EB" w:rsidP="00F717EB">
            <w:pPr>
              <w:spacing w:line="252" w:lineRule="auto"/>
              <w:rPr>
                <w:rFonts w:cstheme="minorHAnsi"/>
                <w:b/>
                <w:sz w:val="20"/>
                <w:szCs w:val="20"/>
              </w:rPr>
            </w:pPr>
            <w:r>
              <w:rPr>
                <w:rFonts w:cstheme="minorHAnsi"/>
                <w:b/>
                <w:sz w:val="20"/>
                <w:szCs w:val="20"/>
              </w:rPr>
              <w:t>Gender m</w:t>
            </w:r>
            <w:r w:rsidRPr="001977DA">
              <w:rPr>
                <w:rFonts w:cstheme="minorHAnsi"/>
                <w:b/>
                <w:sz w:val="20"/>
                <w:szCs w:val="20"/>
              </w:rPr>
              <w:t>ainstreaming</w:t>
            </w:r>
          </w:p>
        </w:tc>
        <w:tc>
          <w:tcPr>
            <w:tcW w:w="3645" w:type="pct"/>
            <w:vAlign w:val="center"/>
          </w:tcPr>
          <w:p w14:paraId="27C57075" w14:textId="77777777" w:rsidR="00F717EB" w:rsidRPr="005A3F73" w:rsidRDefault="00F717EB" w:rsidP="0017228C">
            <w:pPr>
              <w:spacing w:line="252" w:lineRule="auto"/>
              <w:ind w:left="115" w:right="125"/>
              <w:rPr>
                <w:sz w:val="20"/>
                <w:szCs w:val="20"/>
              </w:rPr>
            </w:pPr>
            <w:r w:rsidRPr="005A3F73">
              <w:rPr>
                <w:b/>
                <w:sz w:val="20"/>
                <w:szCs w:val="20"/>
              </w:rPr>
              <w:t>Gender mainstreaming</w:t>
            </w:r>
            <w:r w:rsidRPr="005A3F73">
              <w:rPr>
                <w:sz w:val="20"/>
                <w:szCs w:val="20"/>
              </w:rPr>
              <w:t xml:space="preserve"> means integrating a gender equality perspective at all stages and levels of policies, programmes and projects.</w:t>
            </w:r>
          </w:p>
        </w:tc>
      </w:tr>
      <w:tr w:rsidR="00F717EB" w:rsidRPr="00170DEF" w14:paraId="53542295" w14:textId="77777777" w:rsidTr="00F717EB">
        <w:trPr>
          <w:trHeight w:val="1400"/>
        </w:trPr>
        <w:tc>
          <w:tcPr>
            <w:tcW w:w="1355" w:type="pct"/>
            <w:shd w:val="clear" w:color="auto" w:fill="auto"/>
            <w:tcMar>
              <w:top w:w="15" w:type="dxa"/>
              <w:left w:w="108" w:type="dxa"/>
              <w:bottom w:w="0" w:type="dxa"/>
              <w:right w:w="108" w:type="dxa"/>
            </w:tcMar>
            <w:vAlign w:val="center"/>
          </w:tcPr>
          <w:p w14:paraId="0196177C"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Gender responsive budgeting</w:t>
            </w:r>
          </w:p>
        </w:tc>
        <w:tc>
          <w:tcPr>
            <w:tcW w:w="3645" w:type="pct"/>
            <w:vAlign w:val="center"/>
          </w:tcPr>
          <w:p w14:paraId="760FB308" w14:textId="77777777" w:rsidR="00F717EB" w:rsidRPr="00170DEF" w:rsidRDefault="00F717EB" w:rsidP="0017228C">
            <w:pPr>
              <w:spacing w:line="252" w:lineRule="auto"/>
              <w:ind w:left="115" w:right="125"/>
              <w:rPr>
                <w:sz w:val="20"/>
                <w:szCs w:val="20"/>
              </w:rPr>
            </w:pPr>
            <w:r w:rsidRPr="00A6077B">
              <w:rPr>
                <w:b/>
                <w:sz w:val="20"/>
                <w:szCs w:val="20"/>
              </w:rPr>
              <w:t>Gender-responsive budgeting</w:t>
            </w:r>
            <w:r w:rsidRPr="001B31C5">
              <w:rPr>
                <w:sz w:val="20"/>
                <w:szCs w:val="20"/>
              </w:rPr>
              <w:t xml:space="preserve"> is a strategy that </w:t>
            </w:r>
            <w:r>
              <w:rPr>
                <w:sz w:val="20"/>
                <w:szCs w:val="20"/>
              </w:rPr>
              <w:t>develops</w:t>
            </w:r>
            <w:r w:rsidRPr="001B31C5">
              <w:rPr>
                <w:sz w:val="20"/>
                <w:szCs w:val="20"/>
              </w:rPr>
              <w:t xml:space="preserve"> budgets that work for everyone</w:t>
            </w:r>
            <w:r>
              <w:rPr>
                <w:sz w:val="20"/>
                <w:szCs w:val="20"/>
              </w:rPr>
              <w:t xml:space="preserve"> and weaves consideration of gender impact through the budget process. It is a key way that the Australian Government can identify and fund measures that close gender gaps. Australian Government departments are now required to undertake gender analysis for New Policy Proposals and Cabinet Submissions.</w:t>
            </w:r>
            <w:r w:rsidRPr="001B31C5">
              <w:rPr>
                <w:sz w:val="20"/>
                <w:szCs w:val="20"/>
              </w:rPr>
              <w:t> </w:t>
            </w:r>
          </w:p>
        </w:tc>
      </w:tr>
      <w:tr w:rsidR="00F717EB" w:rsidRPr="00C04BCA" w14:paraId="3253FB88" w14:textId="77777777" w:rsidTr="00F717EB">
        <w:trPr>
          <w:trHeight w:val="454"/>
        </w:trPr>
        <w:tc>
          <w:tcPr>
            <w:tcW w:w="1355" w:type="pct"/>
            <w:shd w:val="clear" w:color="auto" w:fill="auto"/>
            <w:tcMar>
              <w:top w:w="15" w:type="dxa"/>
              <w:left w:w="108" w:type="dxa"/>
              <w:bottom w:w="0" w:type="dxa"/>
              <w:right w:w="108" w:type="dxa"/>
            </w:tcMar>
            <w:vAlign w:val="center"/>
          </w:tcPr>
          <w:p w14:paraId="5DBF8A10"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HTVF</w:t>
            </w:r>
          </w:p>
        </w:tc>
        <w:tc>
          <w:tcPr>
            <w:tcW w:w="3645" w:type="pct"/>
            <w:vAlign w:val="center"/>
          </w:tcPr>
          <w:p w14:paraId="18208326" w14:textId="77777777" w:rsidR="00F717EB" w:rsidRDefault="00F717EB" w:rsidP="0017228C">
            <w:pPr>
              <w:spacing w:line="252" w:lineRule="auto"/>
              <w:ind w:left="115" w:right="125"/>
              <w:rPr>
                <w:sz w:val="20"/>
                <w:szCs w:val="20"/>
              </w:rPr>
            </w:pPr>
            <w:r>
              <w:rPr>
                <w:sz w:val="20"/>
                <w:szCs w:val="20"/>
              </w:rPr>
              <w:t xml:space="preserve">Human Trafficking Visa Framework </w:t>
            </w:r>
          </w:p>
        </w:tc>
      </w:tr>
      <w:tr w:rsidR="00F717EB" w:rsidRPr="00C04BCA" w14:paraId="1D4646FB" w14:textId="77777777" w:rsidTr="00F717EB">
        <w:trPr>
          <w:trHeight w:val="903"/>
        </w:trPr>
        <w:tc>
          <w:tcPr>
            <w:tcW w:w="1355" w:type="pct"/>
            <w:shd w:val="clear" w:color="auto" w:fill="auto"/>
            <w:tcMar>
              <w:top w:w="15" w:type="dxa"/>
              <w:left w:w="108" w:type="dxa"/>
              <w:bottom w:w="0" w:type="dxa"/>
              <w:right w:w="108" w:type="dxa"/>
            </w:tcMar>
            <w:vAlign w:val="center"/>
          </w:tcPr>
          <w:p w14:paraId="5AE5691F" w14:textId="77777777" w:rsidR="00F717EB" w:rsidRPr="00621B48" w:rsidRDefault="00F717EB" w:rsidP="00F717EB">
            <w:pPr>
              <w:spacing w:line="252" w:lineRule="auto"/>
              <w:rPr>
                <w:rFonts w:cstheme="minorHAnsi"/>
                <w:b/>
                <w:sz w:val="20"/>
                <w:szCs w:val="20"/>
              </w:rPr>
            </w:pPr>
            <w:r w:rsidRPr="00621B48">
              <w:rPr>
                <w:rFonts w:cstheme="minorHAnsi"/>
                <w:b/>
                <w:sz w:val="20"/>
                <w:szCs w:val="20"/>
              </w:rPr>
              <w:t>JobKeeper Payment</w:t>
            </w:r>
          </w:p>
        </w:tc>
        <w:tc>
          <w:tcPr>
            <w:tcW w:w="3645" w:type="pct"/>
            <w:vAlign w:val="center"/>
          </w:tcPr>
          <w:p w14:paraId="2DFEA680" w14:textId="77777777" w:rsidR="00F717EB" w:rsidRPr="00170DEF" w:rsidRDefault="00F717EB" w:rsidP="0017228C">
            <w:pPr>
              <w:spacing w:line="252" w:lineRule="auto"/>
              <w:ind w:left="115" w:right="125"/>
              <w:rPr>
                <w:sz w:val="20"/>
                <w:szCs w:val="20"/>
              </w:rPr>
            </w:pPr>
            <w:r w:rsidRPr="00C04BCA">
              <w:rPr>
                <w:sz w:val="20"/>
                <w:szCs w:val="20"/>
              </w:rPr>
              <w:t xml:space="preserve">An initiative introduced during COVID-19 [March 2020-March 2021] to support businesses and households affected by the pandemic with temporary and targeted payments. </w:t>
            </w:r>
          </w:p>
        </w:tc>
      </w:tr>
      <w:tr w:rsidR="00F717EB" w:rsidRPr="00C04BCA" w14:paraId="7599A9BB" w14:textId="77777777" w:rsidTr="00F717EB">
        <w:trPr>
          <w:trHeight w:val="1115"/>
        </w:trPr>
        <w:tc>
          <w:tcPr>
            <w:tcW w:w="1355" w:type="pct"/>
            <w:shd w:val="clear" w:color="auto" w:fill="auto"/>
            <w:tcMar>
              <w:top w:w="15" w:type="dxa"/>
              <w:left w:w="108" w:type="dxa"/>
              <w:bottom w:w="0" w:type="dxa"/>
              <w:right w:w="108" w:type="dxa"/>
            </w:tcMar>
            <w:vAlign w:val="center"/>
          </w:tcPr>
          <w:p w14:paraId="2C1DD3CA" w14:textId="77777777" w:rsidR="00F717EB" w:rsidRPr="001977DA" w:rsidRDefault="00F717EB" w:rsidP="00F717EB">
            <w:pPr>
              <w:spacing w:line="252" w:lineRule="auto"/>
              <w:rPr>
                <w:rFonts w:cstheme="minorHAnsi"/>
                <w:b/>
                <w:i/>
                <w:sz w:val="20"/>
                <w:szCs w:val="20"/>
              </w:rPr>
            </w:pPr>
            <w:r w:rsidRPr="001977DA">
              <w:rPr>
                <w:rFonts w:cstheme="minorHAnsi"/>
                <w:b/>
                <w:sz w:val="20"/>
                <w:szCs w:val="20"/>
              </w:rPr>
              <w:t>JobSeeker Payment</w:t>
            </w:r>
          </w:p>
        </w:tc>
        <w:tc>
          <w:tcPr>
            <w:tcW w:w="3645" w:type="pct"/>
            <w:vAlign w:val="center"/>
          </w:tcPr>
          <w:p w14:paraId="0F52C69A" w14:textId="77777777" w:rsidR="00F717EB" w:rsidRPr="00C04BCA" w:rsidRDefault="00F717EB" w:rsidP="0017228C">
            <w:pPr>
              <w:spacing w:line="252" w:lineRule="auto"/>
              <w:ind w:left="115" w:right="125"/>
              <w:rPr>
                <w:sz w:val="20"/>
                <w:szCs w:val="20"/>
              </w:rPr>
            </w:pPr>
            <w:r w:rsidRPr="001B31C5">
              <w:rPr>
                <w:sz w:val="20"/>
                <w:szCs w:val="20"/>
              </w:rPr>
              <w:t xml:space="preserve">Financial help provided by the Australian Government through Services Australia to persons aged between 22 and Age Pension age and looking for work. </w:t>
            </w:r>
            <w:r>
              <w:rPr>
                <w:sz w:val="20"/>
                <w:szCs w:val="20"/>
              </w:rPr>
              <w:t xml:space="preserve">It also provides financial support when an employee is sick or </w:t>
            </w:r>
            <w:r w:rsidRPr="001B31C5">
              <w:rPr>
                <w:sz w:val="20"/>
                <w:szCs w:val="20"/>
              </w:rPr>
              <w:t xml:space="preserve">injured and </w:t>
            </w:r>
            <w:r>
              <w:rPr>
                <w:sz w:val="20"/>
                <w:szCs w:val="20"/>
              </w:rPr>
              <w:t xml:space="preserve">unable to do their </w:t>
            </w:r>
            <w:r w:rsidRPr="001B31C5">
              <w:rPr>
                <w:sz w:val="20"/>
                <w:szCs w:val="20"/>
              </w:rPr>
              <w:t>usual work or study for a short time.</w:t>
            </w:r>
          </w:p>
        </w:tc>
      </w:tr>
      <w:tr w:rsidR="00F717EB" w:rsidRPr="00C04BCA" w14:paraId="4D7306D2" w14:textId="77777777" w:rsidTr="00F717EB">
        <w:trPr>
          <w:trHeight w:val="454"/>
        </w:trPr>
        <w:tc>
          <w:tcPr>
            <w:tcW w:w="1355" w:type="pct"/>
            <w:shd w:val="clear" w:color="auto" w:fill="auto"/>
            <w:tcMar>
              <w:top w:w="15" w:type="dxa"/>
              <w:left w:w="108" w:type="dxa"/>
              <w:bottom w:w="0" w:type="dxa"/>
              <w:right w:w="108" w:type="dxa"/>
            </w:tcMar>
            <w:vAlign w:val="center"/>
          </w:tcPr>
          <w:p w14:paraId="23115615" w14:textId="77777777" w:rsidR="00F717EB" w:rsidRPr="001977DA" w:rsidRDefault="00F717EB" w:rsidP="00F717EB">
            <w:pPr>
              <w:spacing w:line="252" w:lineRule="auto"/>
              <w:rPr>
                <w:rFonts w:cstheme="minorHAnsi"/>
                <w:b/>
                <w:sz w:val="20"/>
                <w:szCs w:val="20"/>
              </w:rPr>
            </w:pPr>
            <w:r w:rsidRPr="001977DA">
              <w:rPr>
                <w:rFonts w:cstheme="minorHAnsi"/>
                <w:b/>
                <w:sz w:val="20"/>
                <w:szCs w:val="20"/>
              </w:rPr>
              <w:lastRenderedPageBreak/>
              <w:t>LARC</w:t>
            </w:r>
          </w:p>
        </w:tc>
        <w:tc>
          <w:tcPr>
            <w:tcW w:w="3645" w:type="pct"/>
            <w:vAlign w:val="center"/>
          </w:tcPr>
          <w:p w14:paraId="6B2033E0" w14:textId="77777777" w:rsidR="00F717EB" w:rsidRPr="005A3F73" w:rsidRDefault="00F717EB" w:rsidP="0017228C">
            <w:pPr>
              <w:spacing w:line="252" w:lineRule="auto"/>
              <w:ind w:left="115" w:right="125"/>
              <w:rPr>
                <w:sz w:val="20"/>
                <w:szCs w:val="20"/>
              </w:rPr>
            </w:pPr>
            <w:r w:rsidRPr="005A3F73">
              <w:rPr>
                <w:sz w:val="20"/>
                <w:szCs w:val="20"/>
              </w:rPr>
              <w:t xml:space="preserve">Long-acting reversible contraception </w:t>
            </w:r>
          </w:p>
        </w:tc>
      </w:tr>
      <w:tr w:rsidR="00F717EB" w:rsidRPr="00C04BCA" w14:paraId="4582EA37" w14:textId="77777777" w:rsidTr="00F717EB">
        <w:trPr>
          <w:trHeight w:val="628"/>
        </w:trPr>
        <w:tc>
          <w:tcPr>
            <w:tcW w:w="1355" w:type="pct"/>
            <w:shd w:val="clear" w:color="auto" w:fill="auto"/>
            <w:tcMar>
              <w:top w:w="15" w:type="dxa"/>
              <w:left w:w="108" w:type="dxa"/>
              <w:bottom w:w="0" w:type="dxa"/>
              <w:right w:w="108" w:type="dxa"/>
            </w:tcMar>
            <w:vAlign w:val="center"/>
          </w:tcPr>
          <w:p w14:paraId="50D9763D"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LGBTIQA+</w:t>
            </w:r>
          </w:p>
        </w:tc>
        <w:tc>
          <w:tcPr>
            <w:tcW w:w="3645" w:type="pct"/>
            <w:vAlign w:val="center"/>
          </w:tcPr>
          <w:p w14:paraId="4199D4BB" w14:textId="77777777" w:rsidR="00F717EB" w:rsidRDefault="00F717EB" w:rsidP="0017228C">
            <w:pPr>
              <w:spacing w:line="252" w:lineRule="auto"/>
              <w:ind w:left="115" w:right="125"/>
            </w:pPr>
            <w:r w:rsidRPr="001977DA">
              <w:rPr>
                <w:rFonts w:cstheme="minorHAnsi"/>
                <w:b/>
                <w:sz w:val="20"/>
                <w:szCs w:val="20"/>
              </w:rPr>
              <w:t>LGBTIQA+</w:t>
            </w:r>
            <w:r>
              <w:rPr>
                <w:rFonts w:cstheme="minorHAnsi"/>
                <w:b/>
                <w:sz w:val="20"/>
                <w:szCs w:val="20"/>
              </w:rPr>
              <w:t xml:space="preserve"> </w:t>
            </w:r>
            <w:r>
              <w:rPr>
                <w:rFonts w:cstheme="minorHAnsi"/>
                <w:sz w:val="20"/>
                <w:szCs w:val="20"/>
              </w:rPr>
              <w:t>is an evolving acronym that stands for lesbian, gay, bisexual, transgender, intersex, queer/questioning, asexual.</w:t>
            </w:r>
          </w:p>
        </w:tc>
      </w:tr>
      <w:tr w:rsidR="00F717EB" w:rsidRPr="00C04BCA" w14:paraId="13834FE9" w14:textId="77777777" w:rsidTr="00F717EB">
        <w:trPr>
          <w:trHeight w:val="454"/>
        </w:trPr>
        <w:tc>
          <w:tcPr>
            <w:tcW w:w="1355" w:type="pct"/>
            <w:shd w:val="clear" w:color="auto" w:fill="auto"/>
            <w:tcMar>
              <w:top w:w="15" w:type="dxa"/>
              <w:left w:w="108" w:type="dxa"/>
              <w:bottom w:w="0" w:type="dxa"/>
              <w:right w:w="108" w:type="dxa"/>
            </w:tcMar>
            <w:vAlign w:val="center"/>
          </w:tcPr>
          <w:p w14:paraId="4A60297B"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NACCHO</w:t>
            </w:r>
          </w:p>
        </w:tc>
        <w:tc>
          <w:tcPr>
            <w:tcW w:w="3645" w:type="pct"/>
            <w:vAlign w:val="center"/>
          </w:tcPr>
          <w:p w14:paraId="662423EE" w14:textId="77777777" w:rsidR="00F717EB" w:rsidRPr="005A3F73" w:rsidRDefault="00F717EB" w:rsidP="0017228C">
            <w:pPr>
              <w:spacing w:line="252" w:lineRule="auto"/>
              <w:ind w:left="115" w:right="125"/>
              <w:rPr>
                <w:sz w:val="20"/>
                <w:szCs w:val="20"/>
              </w:rPr>
            </w:pPr>
            <w:r w:rsidRPr="005A3F73">
              <w:rPr>
                <w:sz w:val="20"/>
                <w:szCs w:val="20"/>
              </w:rPr>
              <w:t>National Aboriginal Community Controlled Health Organisation</w:t>
            </w:r>
          </w:p>
        </w:tc>
      </w:tr>
      <w:tr w:rsidR="00F717EB" w:rsidRPr="00C04BCA" w14:paraId="4582B3DD" w14:textId="77777777" w:rsidTr="00F717EB">
        <w:trPr>
          <w:trHeight w:val="454"/>
        </w:trPr>
        <w:tc>
          <w:tcPr>
            <w:tcW w:w="1355" w:type="pct"/>
            <w:shd w:val="clear" w:color="auto" w:fill="auto"/>
            <w:tcMar>
              <w:top w:w="15" w:type="dxa"/>
              <w:left w:w="108" w:type="dxa"/>
              <w:bottom w:w="0" w:type="dxa"/>
              <w:right w:w="108" w:type="dxa"/>
            </w:tcMar>
            <w:vAlign w:val="center"/>
          </w:tcPr>
          <w:p w14:paraId="2F9D4715"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NASHH</w:t>
            </w:r>
          </w:p>
        </w:tc>
        <w:tc>
          <w:tcPr>
            <w:tcW w:w="3645" w:type="pct"/>
            <w:vAlign w:val="center"/>
          </w:tcPr>
          <w:p w14:paraId="3FBCB543" w14:textId="77777777" w:rsidR="00F717EB" w:rsidRPr="00E31C2F" w:rsidRDefault="00F717EB" w:rsidP="0017228C">
            <w:pPr>
              <w:spacing w:line="252" w:lineRule="auto"/>
              <w:ind w:left="115" w:right="125"/>
              <w:rPr>
                <w:sz w:val="20"/>
                <w:szCs w:val="20"/>
              </w:rPr>
            </w:pPr>
            <w:r w:rsidRPr="00E31C2F">
              <w:rPr>
                <w:sz w:val="20"/>
                <w:szCs w:val="20"/>
              </w:rPr>
              <w:t>National Agreement on Social Housing and Homelessness</w:t>
            </w:r>
          </w:p>
        </w:tc>
      </w:tr>
      <w:tr w:rsidR="00F717EB" w:rsidRPr="00170DEF" w14:paraId="161DCD3E" w14:textId="77777777" w:rsidTr="00F717EB">
        <w:trPr>
          <w:trHeight w:val="862"/>
        </w:trPr>
        <w:tc>
          <w:tcPr>
            <w:tcW w:w="1355" w:type="pct"/>
            <w:shd w:val="clear" w:color="auto" w:fill="auto"/>
            <w:tcMar>
              <w:top w:w="15" w:type="dxa"/>
              <w:left w:w="108" w:type="dxa"/>
              <w:bottom w:w="0" w:type="dxa"/>
              <w:right w:w="108" w:type="dxa"/>
            </w:tcMar>
            <w:vAlign w:val="center"/>
          </w:tcPr>
          <w:p w14:paraId="423B0E09"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National Plan to End Violence against Women and Children 2022–2032</w:t>
            </w:r>
          </w:p>
        </w:tc>
        <w:tc>
          <w:tcPr>
            <w:tcW w:w="3645" w:type="pct"/>
            <w:vAlign w:val="center"/>
          </w:tcPr>
          <w:p w14:paraId="6E96468F" w14:textId="77777777" w:rsidR="00F717EB" w:rsidRPr="00170DEF" w:rsidRDefault="00F717EB" w:rsidP="0017228C">
            <w:pPr>
              <w:spacing w:line="252" w:lineRule="auto"/>
              <w:ind w:left="115" w:right="125"/>
              <w:rPr>
                <w:sz w:val="20"/>
                <w:szCs w:val="20"/>
              </w:rPr>
            </w:pPr>
            <w:r>
              <w:rPr>
                <w:sz w:val="20"/>
                <w:szCs w:val="20"/>
              </w:rPr>
              <w:t xml:space="preserve">The National Plan was launched in October 2022 by the federal, state and territory governments. It is the overarching national policy framework that will guide actions towards ending violence against women and children over the next 10 years. </w:t>
            </w:r>
          </w:p>
        </w:tc>
      </w:tr>
      <w:tr w:rsidR="00F717EB" w:rsidRPr="00170DEF" w14:paraId="5093A803" w14:textId="77777777" w:rsidTr="00F717EB">
        <w:trPr>
          <w:trHeight w:val="1242"/>
        </w:trPr>
        <w:tc>
          <w:tcPr>
            <w:tcW w:w="1355" w:type="pct"/>
            <w:shd w:val="clear" w:color="auto" w:fill="auto"/>
            <w:tcMar>
              <w:top w:w="15" w:type="dxa"/>
              <w:left w:w="108" w:type="dxa"/>
              <w:bottom w:w="0" w:type="dxa"/>
              <w:right w:w="108" w:type="dxa"/>
            </w:tcMar>
            <w:vAlign w:val="center"/>
          </w:tcPr>
          <w:p w14:paraId="10578F94" w14:textId="77777777" w:rsidR="00F717EB" w:rsidRPr="00621B48" w:rsidRDefault="00F717EB" w:rsidP="00F717EB">
            <w:pPr>
              <w:spacing w:line="252" w:lineRule="auto"/>
              <w:rPr>
                <w:rFonts w:cstheme="minorHAnsi"/>
                <w:b/>
                <w:sz w:val="20"/>
                <w:szCs w:val="20"/>
              </w:rPr>
            </w:pPr>
            <w:r w:rsidRPr="00621B48">
              <w:rPr>
                <w:rFonts w:cstheme="minorHAnsi"/>
                <w:b/>
                <w:sz w:val="20"/>
                <w:szCs w:val="20"/>
              </w:rPr>
              <w:t>National Agreement on Closing the Gap</w:t>
            </w:r>
          </w:p>
        </w:tc>
        <w:tc>
          <w:tcPr>
            <w:tcW w:w="3645" w:type="pct"/>
            <w:vAlign w:val="center"/>
          </w:tcPr>
          <w:p w14:paraId="0A2BE242" w14:textId="77777777" w:rsidR="00F717EB" w:rsidRPr="00170DEF" w:rsidRDefault="00F717EB" w:rsidP="0017228C">
            <w:pPr>
              <w:spacing w:line="252" w:lineRule="auto"/>
              <w:ind w:left="115" w:right="125"/>
              <w:rPr>
                <w:sz w:val="20"/>
                <w:szCs w:val="20"/>
              </w:rPr>
            </w:pPr>
            <w:r w:rsidRPr="001B31C5">
              <w:rPr>
                <w:sz w:val="20"/>
                <w:szCs w:val="20"/>
              </w:rPr>
              <w:t xml:space="preserve">The objective of the </w:t>
            </w:r>
            <w:r w:rsidRPr="00E31C2F">
              <w:rPr>
                <w:b/>
                <w:sz w:val="20"/>
                <w:szCs w:val="20"/>
              </w:rPr>
              <w:t>National Agreement on Closing the Gap</w:t>
            </w:r>
            <w:r w:rsidRPr="001B31C5">
              <w:rPr>
                <w:sz w:val="20"/>
                <w:szCs w:val="20"/>
              </w:rPr>
              <w:t xml:space="preserve"> is to enable Aboriginal and Torres Strait Islander people and governments to work together to overcome the inequality experienced by Aboriginal and Torres Strait Islander people, and </w:t>
            </w:r>
            <w:r>
              <w:rPr>
                <w:sz w:val="20"/>
                <w:szCs w:val="20"/>
              </w:rPr>
              <w:t xml:space="preserve">to </w:t>
            </w:r>
            <w:r w:rsidRPr="001B31C5">
              <w:rPr>
                <w:sz w:val="20"/>
                <w:szCs w:val="20"/>
              </w:rPr>
              <w:t>achieve life outcomes equal to all Australians.</w:t>
            </w:r>
          </w:p>
        </w:tc>
      </w:tr>
      <w:tr w:rsidR="00F717EB" w:rsidRPr="00170DEF" w14:paraId="5EBED951" w14:textId="77777777" w:rsidTr="00F717EB">
        <w:trPr>
          <w:trHeight w:val="834"/>
        </w:trPr>
        <w:tc>
          <w:tcPr>
            <w:tcW w:w="1355" w:type="pct"/>
            <w:shd w:val="clear" w:color="auto" w:fill="auto"/>
            <w:tcMar>
              <w:top w:w="15" w:type="dxa"/>
              <w:left w:w="108" w:type="dxa"/>
              <w:bottom w:w="0" w:type="dxa"/>
              <w:right w:w="108" w:type="dxa"/>
            </w:tcMar>
            <w:vAlign w:val="center"/>
          </w:tcPr>
          <w:p w14:paraId="4BA1511B"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National Women’s Health Strategy 2020–2030</w:t>
            </w:r>
          </w:p>
        </w:tc>
        <w:tc>
          <w:tcPr>
            <w:tcW w:w="3645" w:type="pct"/>
            <w:vAlign w:val="center"/>
          </w:tcPr>
          <w:p w14:paraId="06B166BB" w14:textId="77777777" w:rsidR="00F717EB" w:rsidRPr="00170DEF" w:rsidRDefault="00F717EB" w:rsidP="0017228C">
            <w:pPr>
              <w:spacing w:line="252" w:lineRule="auto"/>
              <w:ind w:left="115" w:right="125"/>
              <w:rPr>
                <w:sz w:val="20"/>
                <w:szCs w:val="20"/>
              </w:rPr>
            </w:pPr>
            <w:r>
              <w:rPr>
                <w:sz w:val="20"/>
                <w:szCs w:val="20"/>
              </w:rPr>
              <w:t xml:space="preserve">The Women’s Health Strategy outlines Australia’s national approach to improving the health of women and girls – particularly those at greatest risk of poor health – and to reducing inequities between different groups. </w:t>
            </w:r>
          </w:p>
        </w:tc>
      </w:tr>
      <w:tr w:rsidR="00F717EB" w:rsidRPr="00C04BCA" w14:paraId="177B091D" w14:textId="77777777" w:rsidTr="00F717EB">
        <w:trPr>
          <w:trHeight w:val="454"/>
        </w:trPr>
        <w:tc>
          <w:tcPr>
            <w:tcW w:w="1355" w:type="pct"/>
            <w:shd w:val="clear" w:color="auto" w:fill="auto"/>
            <w:tcMar>
              <w:top w:w="15" w:type="dxa"/>
              <w:left w:w="108" w:type="dxa"/>
              <w:bottom w:w="0" w:type="dxa"/>
              <w:right w:w="108" w:type="dxa"/>
            </w:tcMar>
            <w:vAlign w:val="center"/>
          </w:tcPr>
          <w:p w14:paraId="5AA3D9E8"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NHHA</w:t>
            </w:r>
          </w:p>
        </w:tc>
        <w:tc>
          <w:tcPr>
            <w:tcW w:w="3645" w:type="pct"/>
            <w:vAlign w:val="center"/>
          </w:tcPr>
          <w:p w14:paraId="5AEB7F2F" w14:textId="77777777" w:rsidR="00F717EB" w:rsidRPr="00E31C2F" w:rsidRDefault="00F717EB" w:rsidP="0017228C">
            <w:pPr>
              <w:spacing w:line="252" w:lineRule="auto"/>
              <w:ind w:left="115" w:right="125"/>
              <w:rPr>
                <w:sz w:val="20"/>
                <w:szCs w:val="20"/>
              </w:rPr>
            </w:pPr>
            <w:r w:rsidRPr="00E31C2F">
              <w:rPr>
                <w:sz w:val="20"/>
                <w:szCs w:val="20"/>
              </w:rPr>
              <w:t>National Housing and Homelessness Agreement</w:t>
            </w:r>
          </w:p>
        </w:tc>
      </w:tr>
      <w:tr w:rsidR="00F717EB" w:rsidRPr="00C04BCA" w14:paraId="1C66366B" w14:textId="77777777" w:rsidTr="00F717EB">
        <w:trPr>
          <w:trHeight w:val="454"/>
        </w:trPr>
        <w:tc>
          <w:tcPr>
            <w:tcW w:w="1355" w:type="pct"/>
            <w:shd w:val="clear" w:color="auto" w:fill="auto"/>
            <w:tcMar>
              <w:top w:w="15" w:type="dxa"/>
              <w:left w:w="108" w:type="dxa"/>
              <w:bottom w:w="0" w:type="dxa"/>
              <w:right w:w="108" w:type="dxa"/>
            </w:tcMar>
            <w:vAlign w:val="center"/>
          </w:tcPr>
          <w:p w14:paraId="66196B9C"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NHRI</w:t>
            </w:r>
          </w:p>
        </w:tc>
        <w:tc>
          <w:tcPr>
            <w:tcW w:w="3645" w:type="pct"/>
            <w:vAlign w:val="center"/>
          </w:tcPr>
          <w:p w14:paraId="784223D9" w14:textId="77777777" w:rsidR="00F717EB" w:rsidRDefault="00F717EB" w:rsidP="0017228C">
            <w:pPr>
              <w:spacing w:line="252" w:lineRule="auto"/>
              <w:ind w:left="115" w:right="125"/>
              <w:rPr>
                <w:sz w:val="20"/>
                <w:szCs w:val="20"/>
              </w:rPr>
            </w:pPr>
            <w:r>
              <w:rPr>
                <w:sz w:val="20"/>
                <w:szCs w:val="20"/>
              </w:rPr>
              <w:t>National Human Rights Institution</w:t>
            </w:r>
          </w:p>
        </w:tc>
      </w:tr>
      <w:tr w:rsidR="00F717EB" w:rsidRPr="00C04BCA" w14:paraId="3322F092" w14:textId="77777777" w:rsidTr="00F717EB">
        <w:trPr>
          <w:trHeight w:val="454"/>
        </w:trPr>
        <w:tc>
          <w:tcPr>
            <w:tcW w:w="1355" w:type="pct"/>
            <w:shd w:val="clear" w:color="auto" w:fill="auto"/>
            <w:tcMar>
              <w:top w:w="15" w:type="dxa"/>
              <w:left w:w="108" w:type="dxa"/>
              <w:bottom w:w="0" w:type="dxa"/>
              <w:right w:w="108" w:type="dxa"/>
            </w:tcMar>
            <w:vAlign w:val="center"/>
          </w:tcPr>
          <w:p w14:paraId="184260A5"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NLAP</w:t>
            </w:r>
          </w:p>
        </w:tc>
        <w:tc>
          <w:tcPr>
            <w:tcW w:w="3645" w:type="pct"/>
            <w:vAlign w:val="center"/>
          </w:tcPr>
          <w:p w14:paraId="45824F24" w14:textId="77777777" w:rsidR="00F717EB" w:rsidRDefault="00F717EB" w:rsidP="0017228C">
            <w:pPr>
              <w:spacing w:line="252" w:lineRule="auto"/>
              <w:ind w:left="115" w:right="125"/>
              <w:rPr>
                <w:sz w:val="20"/>
                <w:szCs w:val="20"/>
              </w:rPr>
            </w:pPr>
            <w:r>
              <w:rPr>
                <w:sz w:val="20"/>
                <w:szCs w:val="20"/>
              </w:rPr>
              <w:t>National Legal Assistance Partnership</w:t>
            </w:r>
          </w:p>
        </w:tc>
      </w:tr>
      <w:tr w:rsidR="00F717EB" w:rsidRPr="00C04BCA" w14:paraId="502EE98A" w14:textId="77777777" w:rsidTr="00F717EB">
        <w:trPr>
          <w:trHeight w:val="1237"/>
        </w:trPr>
        <w:tc>
          <w:tcPr>
            <w:tcW w:w="1355" w:type="pct"/>
            <w:shd w:val="clear" w:color="auto" w:fill="auto"/>
            <w:tcMar>
              <w:top w:w="15" w:type="dxa"/>
              <w:left w:w="108" w:type="dxa"/>
              <w:bottom w:w="0" w:type="dxa"/>
              <w:right w:w="108" w:type="dxa"/>
            </w:tcMar>
            <w:vAlign w:val="center"/>
          </w:tcPr>
          <w:p w14:paraId="5E73D85F" w14:textId="77777777" w:rsidR="00F717EB" w:rsidRPr="00072A31" w:rsidRDefault="00F717EB" w:rsidP="00F717EB">
            <w:pPr>
              <w:spacing w:line="252" w:lineRule="auto"/>
              <w:rPr>
                <w:rFonts w:cstheme="minorHAnsi"/>
                <w:b/>
                <w:sz w:val="20"/>
                <w:szCs w:val="20"/>
              </w:rPr>
            </w:pPr>
            <w:r>
              <w:rPr>
                <w:rFonts w:cstheme="minorHAnsi"/>
                <w:b/>
                <w:sz w:val="20"/>
                <w:szCs w:val="20"/>
              </w:rPr>
              <w:t>N</w:t>
            </w:r>
            <w:r w:rsidRPr="00072A31">
              <w:rPr>
                <w:rFonts w:cstheme="minorHAnsi"/>
                <w:b/>
                <w:sz w:val="20"/>
                <w:szCs w:val="20"/>
              </w:rPr>
              <w:t>on-refoulement</w:t>
            </w:r>
          </w:p>
        </w:tc>
        <w:tc>
          <w:tcPr>
            <w:tcW w:w="3645" w:type="pct"/>
            <w:vAlign w:val="center"/>
          </w:tcPr>
          <w:p w14:paraId="1D408B5B" w14:textId="77777777" w:rsidR="00F717EB" w:rsidRDefault="00F717EB" w:rsidP="0017228C">
            <w:pPr>
              <w:spacing w:line="252" w:lineRule="auto"/>
              <w:ind w:left="115" w:right="125"/>
              <w:rPr>
                <w:sz w:val="20"/>
                <w:szCs w:val="20"/>
              </w:rPr>
            </w:pPr>
            <w:r w:rsidRPr="00072A31">
              <w:rPr>
                <w:sz w:val="20"/>
                <w:szCs w:val="20"/>
              </w:rPr>
              <w:t>Under international human rights law, the principle of non-refoulement guarantees that no one should be returned to a country where they would face torture, cruel, inhuman or degrading treatment or punishment and other irreparable harm. This principle applies to all migrants at all times, irrespective of migration status.</w:t>
            </w:r>
          </w:p>
        </w:tc>
      </w:tr>
      <w:tr w:rsidR="00F717EB" w:rsidRPr="00170DEF" w14:paraId="5A6D156A" w14:textId="77777777" w:rsidTr="00F717EB">
        <w:trPr>
          <w:trHeight w:val="454"/>
        </w:trPr>
        <w:tc>
          <w:tcPr>
            <w:tcW w:w="1355" w:type="pct"/>
            <w:shd w:val="clear" w:color="auto" w:fill="auto"/>
            <w:tcMar>
              <w:top w:w="15" w:type="dxa"/>
              <w:left w:w="108" w:type="dxa"/>
              <w:bottom w:w="0" w:type="dxa"/>
              <w:right w:w="108" w:type="dxa"/>
            </w:tcMar>
            <w:vAlign w:val="center"/>
          </w:tcPr>
          <w:p w14:paraId="32C237EA"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NPP</w:t>
            </w:r>
          </w:p>
        </w:tc>
        <w:tc>
          <w:tcPr>
            <w:tcW w:w="3645" w:type="pct"/>
            <w:vAlign w:val="center"/>
          </w:tcPr>
          <w:p w14:paraId="5FE7CB3F" w14:textId="77777777" w:rsidR="00F717EB" w:rsidRPr="00170DEF" w:rsidRDefault="00F717EB" w:rsidP="0017228C">
            <w:pPr>
              <w:spacing w:line="252" w:lineRule="auto"/>
              <w:ind w:left="115" w:right="125"/>
              <w:rPr>
                <w:sz w:val="20"/>
                <w:szCs w:val="20"/>
              </w:rPr>
            </w:pPr>
            <w:r>
              <w:rPr>
                <w:sz w:val="20"/>
                <w:szCs w:val="20"/>
              </w:rPr>
              <w:t xml:space="preserve">New Policy Proposal are any policy that requires a government decision. </w:t>
            </w:r>
          </w:p>
        </w:tc>
      </w:tr>
      <w:tr w:rsidR="00F717EB" w:rsidRPr="00C04BCA" w14:paraId="08B69BDE" w14:textId="77777777" w:rsidTr="00F717EB">
        <w:trPr>
          <w:trHeight w:val="624"/>
        </w:trPr>
        <w:tc>
          <w:tcPr>
            <w:tcW w:w="1355" w:type="pct"/>
            <w:shd w:val="clear" w:color="auto" w:fill="auto"/>
            <w:tcMar>
              <w:top w:w="15" w:type="dxa"/>
              <w:left w:w="108" w:type="dxa"/>
              <w:bottom w:w="0" w:type="dxa"/>
              <w:right w:w="108" w:type="dxa"/>
            </w:tcMar>
            <w:vAlign w:val="center"/>
          </w:tcPr>
          <w:p w14:paraId="25DB6212" w14:textId="77777777" w:rsidR="00F717EB" w:rsidRPr="001977DA" w:rsidRDefault="00F717EB" w:rsidP="00F717EB">
            <w:pPr>
              <w:spacing w:line="252" w:lineRule="auto"/>
              <w:rPr>
                <w:rFonts w:cstheme="minorHAnsi"/>
                <w:b/>
                <w:i/>
                <w:sz w:val="20"/>
                <w:szCs w:val="20"/>
              </w:rPr>
            </w:pPr>
            <w:r w:rsidRPr="001977DA">
              <w:rPr>
                <w:rFonts w:cstheme="minorHAnsi"/>
                <w:b/>
                <w:sz w:val="20"/>
                <w:szCs w:val="20"/>
              </w:rPr>
              <w:t>OPCAT</w:t>
            </w:r>
          </w:p>
        </w:tc>
        <w:tc>
          <w:tcPr>
            <w:tcW w:w="3645" w:type="pct"/>
            <w:vAlign w:val="center"/>
          </w:tcPr>
          <w:p w14:paraId="6C4E08DB" w14:textId="77777777" w:rsidR="00F717EB" w:rsidRDefault="00F717EB" w:rsidP="0017228C">
            <w:pPr>
              <w:spacing w:line="252" w:lineRule="auto"/>
              <w:ind w:left="115" w:right="125"/>
              <w:rPr>
                <w:sz w:val="20"/>
                <w:szCs w:val="20"/>
              </w:rPr>
            </w:pPr>
            <w:r>
              <w:rPr>
                <w:sz w:val="20"/>
                <w:szCs w:val="20"/>
              </w:rPr>
              <w:t xml:space="preserve">Optional Protocol to the Convention Against Torture and other Cruel, Inhuman or Degrading Treatment or Punishment </w:t>
            </w:r>
          </w:p>
        </w:tc>
      </w:tr>
      <w:tr w:rsidR="00F717EB" w:rsidRPr="00C04BCA" w14:paraId="5EA73381" w14:textId="77777777" w:rsidTr="00F717EB">
        <w:trPr>
          <w:trHeight w:val="1682"/>
        </w:trPr>
        <w:tc>
          <w:tcPr>
            <w:tcW w:w="1355" w:type="pct"/>
            <w:shd w:val="clear" w:color="auto" w:fill="auto"/>
            <w:tcMar>
              <w:top w:w="15" w:type="dxa"/>
              <w:left w:w="108" w:type="dxa"/>
              <w:bottom w:w="0" w:type="dxa"/>
              <w:right w:w="108" w:type="dxa"/>
            </w:tcMar>
            <w:vAlign w:val="center"/>
          </w:tcPr>
          <w:p w14:paraId="6086531C" w14:textId="77777777" w:rsidR="00F717EB" w:rsidRPr="001977DA" w:rsidRDefault="00F717EB" w:rsidP="00F717EB">
            <w:pPr>
              <w:spacing w:line="252" w:lineRule="auto"/>
              <w:rPr>
                <w:rFonts w:cstheme="minorHAnsi"/>
                <w:b/>
                <w:sz w:val="20"/>
                <w:szCs w:val="20"/>
              </w:rPr>
            </w:pPr>
            <w:r>
              <w:rPr>
                <w:rFonts w:cstheme="minorHAnsi"/>
                <w:b/>
                <w:sz w:val="20"/>
                <w:szCs w:val="20"/>
              </w:rPr>
              <w:t xml:space="preserve">Order of Australia </w:t>
            </w:r>
          </w:p>
        </w:tc>
        <w:tc>
          <w:tcPr>
            <w:tcW w:w="3645" w:type="pct"/>
            <w:vAlign w:val="center"/>
          </w:tcPr>
          <w:p w14:paraId="1C2F539B" w14:textId="77777777" w:rsidR="00F717EB" w:rsidRPr="00CF363B" w:rsidRDefault="00F717EB" w:rsidP="0017228C">
            <w:pPr>
              <w:spacing w:line="252" w:lineRule="auto"/>
              <w:ind w:left="115" w:right="125"/>
              <w:rPr>
                <w:sz w:val="20"/>
                <w:szCs w:val="20"/>
              </w:rPr>
            </w:pPr>
            <w:r w:rsidRPr="009D059C">
              <w:rPr>
                <w:sz w:val="20"/>
                <w:szCs w:val="20"/>
              </w:rPr>
              <w:t xml:space="preserve">The </w:t>
            </w:r>
            <w:r w:rsidRPr="009D059C">
              <w:rPr>
                <w:b/>
                <w:sz w:val="20"/>
                <w:szCs w:val="20"/>
              </w:rPr>
              <w:t>Australia Day</w:t>
            </w:r>
            <w:r>
              <w:rPr>
                <w:sz w:val="20"/>
                <w:szCs w:val="20"/>
              </w:rPr>
              <w:t xml:space="preserve"> </w:t>
            </w:r>
            <w:r w:rsidRPr="009D059C">
              <w:rPr>
                <w:b/>
                <w:sz w:val="20"/>
                <w:szCs w:val="20"/>
              </w:rPr>
              <w:t>Order of Australia</w:t>
            </w:r>
            <w:r w:rsidRPr="009D059C">
              <w:rPr>
                <w:sz w:val="20"/>
                <w:szCs w:val="20"/>
              </w:rPr>
              <w:t> recognises Australians who have demonstrated outstanding service or exceptional achievement. There are four levels of award. The Order of Australia also has a Military Division (awards in this division are recommended to the Governor-General by the Minister for Defence). It is administered by the Office of the Official Secretary to the Governor-General Secretariat and is governed by the Constitution of the Order of Australia.</w:t>
            </w:r>
          </w:p>
        </w:tc>
      </w:tr>
      <w:tr w:rsidR="00F717EB" w:rsidRPr="00C04BCA" w14:paraId="0D911EAA" w14:textId="77777777" w:rsidTr="00F717EB">
        <w:trPr>
          <w:trHeight w:val="1115"/>
        </w:trPr>
        <w:tc>
          <w:tcPr>
            <w:tcW w:w="1355" w:type="pct"/>
            <w:shd w:val="clear" w:color="auto" w:fill="auto"/>
            <w:tcMar>
              <w:top w:w="15" w:type="dxa"/>
              <w:left w:w="108" w:type="dxa"/>
              <w:bottom w:w="0" w:type="dxa"/>
              <w:right w:w="108" w:type="dxa"/>
            </w:tcMar>
            <w:vAlign w:val="center"/>
          </w:tcPr>
          <w:p w14:paraId="4F6FBFAB"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PALM scheme</w:t>
            </w:r>
          </w:p>
        </w:tc>
        <w:tc>
          <w:tcPr>
            <w:tcW w:w="3645" w:type="pct"/>
            <w:vAlign w:val="center"/>
          </w:tcPr>
          <w:p w14:paraId="0D18DADE" w14:textId="77777777" w:rsidR="00F717EB" w:rsidRDefault="00F717EB" w:rsidP="0017228C">
            <w:pPr>
              <w:spacing w:line="252" w:lineRule="auto"/>
              <w:ind w:left="115" w:right="125"/>
              <w:rPr>
                <w:sz w:val="20"/>
                <w:szCs w:val="20"/>
              </w:rPr>
            </w:pPr>
            <w:r w:rsidRPr="00CF363B">
              <w:rPr>
                <w:sz w:val="20"/>
                <w:szCs w:val="20"/>
              </w:rPr>
              <w:t xml:space="preserve">The </w:t>
            </w:r>
            <w:r w:rsidRPr="00CF363B">
              <w:rPr>
                <w:b/>
                <w:sz w:val="20"/>
                <w:szCs w:val="20"/>
              </w:rPr>
              <w:t>Pacific Australia Labour Mobility</w:t>
            </w:r>
            <w:r w:rsidRPr="00CF363B">
              <w:rPr>
                <w:sz w:val="20"/>
                <w:szCs w:val="20"/>
              </w:rPr>
              <w:t xml:space="preserve"> scheme allows eligible Australian businesses to hire workers from 9 Pacific islands and Timor-Leste when there are not enough local workers available.</w:t>
            </w:r>
            <w:r>
              <w:rPr>
                <w:sz w:val="20"/>
                <w:szCs w:val="20"/>
              </w:rPr>
              <w:t xml:space="preserve"> The countries include Fiji, Kiribati, Nauru, Samoa, Tonga, Papua New Guinea, Solomon Islands, Tuvalu and Vanuatu.  </w:t>
            </w:r>
          </w:p>
        </w:tc>
      </w:tr>
      <w:tr w:rsidR="00F717EB" w:rsidRPr="00C04BCA" w14:paraId="42B01F34" w14:textId="77777777" w:rsidTr="00F717EB">
        <w:trPr>
          <w:trHeight w:val="881"/>
        </w:trPr>
        <w:tc>
          <w:tcPr>
            <w:tcW w:w="1355" w:type="pct"/>
            <w:shd w:val="clear" w:color="auto" w:fill="auto"/>
            <w:tcMar>
              <w:top w:w="15" w:type="dxa"/>
              <w:left w:w="108" w:type="dxa"/>
              <w:bottom w:w="0" w:type="dxa"/>
              <w:right w:w="108" w:type="dxa"/>
            </w:tcMar>
            <w:vAlign w:val="center"/>
          </w:tcPr>
          <w:p w14:paraId="13521316"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Paris Principles</w:t>
            </w:r>
          </w:p>
        </w:tc>
        <w:tc>
          <w:tcPr>
            <w:tcW w:w="3645" w:type="pct"/>
            <w:vAlign w:val="center"/>
          </w:tcPr>
          <w:p w14:paraId="4EB2F6BA" w14:textId="77777777" w:rsidR="00F717EB" w:rsidRDefault="00F717EB" w:rsidP="0017228C">
            <w:pPr>
              <w:spacing w:line="252" w:lineRule="auto"/>
              <w:ind w:left="115" w:right="125"/>
              <w:rPr>
                <w:sz w:val="20"/>
                <w:szCs w:val="20"/>
              </w:rPr>
            </w:pPr>
            <w:r w:rsidRPr="001977DA">
              <w:rPr>
                <w:sz w:val="20"/>
                <w:szCs w:val="20"/>
              </w:rPr>
              <w:t>The Paris Principles (Principles Relating to the Status of Nat</w:t>
            </w:r>
            <w:r>
              <w:rPr>
                <w:sz w:val="20"/>
                <w:szCs w:val="20"/>
              </w:rPr>
              <w:t>ional Human Rights Institutions</w:t>
            </w:r>
            <w:r w:rsidRPr="001977DA">
              <w:rPr>
                <w:sz w:val="20"/>
                <w:szCs w:val="20"/>
              </w:rPr>
              <w:t>) set out the minimum standards required by national human rights institutions to be considered credible and to operate effectively.</w:t>
            </w:r>
          </w:p>
        </w:tc>
      </w:tr>
      <w:tr w:rsidR="00F717EB" w:rsidRPr="00C04BCA" w14:paraId="44734DD0" w14:textId="77777777" w:rsidTr="00F717EB">
        <w:trPr>
          <w:trHeight w:val="454"/>
        </w:trPr>
        <w:tc>
          <w:tcPr>
            <w:tcW w:w="1355" w:type="pct"/>
            <w:shd w:val="clear" w:color="auto" w:fill="auto"/>
            <w:tcMar>
              <w:top w:w="15" w:type="dxa"/>
              <w:left w:w="108" w:type="dxa"/>
              <w:bottom w:w="0" w:type="dxa"/>
              <w:right w:w="108" w:type="dxa"/>
            </w:tcMar>
            <w:vAlign w:val="center"/>
          </w:tcPr>
          <w:p w14:paraId="79A9DB5D"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PBS</w:t>
            </w:r>
          </w:p>
        </w:tc>
        <w:tc>
          <w:tcPr>
            <w:tcW w:w="3645" w:type="pct"/>
            <w:vAlign w:val="center"/>
          </w:tcPr>
          <w:p w14:paraId="045177F3" w14:textId="77777777" w:rsidR="00F717EB" w:rsidRPr="005A3F73" w:rsidRDefault="00F717EB" w:rsidP="0017228C">
            <w:pPr>
              <w:spacing w:line="252" w:lineRule="auto"/>
              <w:ind w:left="115" w:right="125"/>
              <w:rPr>
                <w:sz w:val="20"/>
                <w:szCs w:val="20"/>
              </w:rPr>
            </w:pPr>
            <w:r w:rsidRPr="005A3F73">
              <w:rPr>
                <w:sz w:val="20"/>
                <w:szCs w:val="20"/>
              </w:rPr>
              <w:t>Pharmaceutical Benefits Scheme</w:t>
            </w:r>
          </w:p>
        </w:tc>
      </w:tr>
      <w:tr w:rsidR="00F717EB" w:rsidRPr="00C04BCA" w14:paraId="1B5201C5" w14:textId="77777777" w:rsidTr="00F717EB">
        <w:trPr>
          <w:trHeight w:val="454"/>
        </w:trPr>
        <w:tc>
          <w:tcPr>
            <w:tcW w:w="1355" w:type="pct"/>
            <w:shd w:val="clear" w:color="auto" w:fill="auto"/>
            <w:tcMar>
              <w:top w:w="15" w:type="dxa"/>
              <w:left w:w="108" w:type="dxa"/>
              <w:bottom w:w="0" w:type="dxa"/>
              <w:right w:w="108" w:type="dxa"/>
            </w:tcMar>
            <w:vAlign w:val="center"/>
          </w:tcPr>
          <w:p w14:paraId="167D08AB"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PIMHS</w:t>
            </w:r>
          </w:p>
        </w:tc>
        <w:tc>
          <w:tcPr>
            <w:tcW w:w="3645" w:type="pct"/>
            <w:vAlign w:val="center"/>
          </w:tcPr>
          <w:p w14:paraId="55C2555F" w14:textId="77777777" w:rsidR="00F717EB" w:rsidRPr="005A3F73" w:rsidRDefault="00F717EB" w:rsidP="0017228C">
            <w:pPr>
              <w:spacing w:line="252" w:lineRule="auto"/>
              <w:ind w:left="115" w:right="125"/>
              <w:rPr>
                <w:sz w:val="20"/>
                <w:szCs w:val="20"/>
              </w:rPr>
            </w:pPr>
            <w:r w:rsidRPr="005A3F73">
              <w:rPr>
                <w:sz w:val="20"/>
                <w:szCs w:val="20"/>
              </w:rPr>
              <w:t>NSW Health Perinatal and Infant Mental Health Services</w:t>
            </w:r>
          </w:p>
        </w:tc>
      </w:tr>
      <w:tr w:rsidR="00F717EB" w:rsidRPr="00C04BCA" w14:paraId="49A2EC8B" w14:textId="77777777" w:rsidTr="00F717EB">
        <w:trPr>
          <w:trHeight w:val="1937"/>
        </w:trPr>
        <w:tc>
          <w:tcPr>
            <w:tcW w:w="1355" w:type="pct"/>
            <w:shd w:val="clear" w:color="auto" w:fill="auto"/>
            <w:tcMar>
              <w:top w:w="15" w:type="dxa"/>
              <w:left w:w="108" w:type="dxa"/>
              <w:bottom w:w="0" w:type="dxa"/>
              <w:right w:w="108" w:type="dxa"/>
            </w:tcMar>
            <w:vAlign w:val="center"/>
          </w:tcPr>
          <w:p w14:paraId="341A9764" w14:textId="77777777" w:rsidR="00F717EB" w:rsidRPr="001977DA" w:rsidRDefault="00F717EB" w:rsidP="00F717EB">
            <w:pPr>
              <w:spacing w:line="252" w:lineRule="auto"/>
              <w:rPr>
                <w:rFonts w:cstheme="minorHAnsi"/>
                <w:b/>
                <w:sz w:val="20"/>
                <w:szCs w:val="20"/>
              </w:rPr>
            </w:pPr>
            <w:r>
              <w:rPr>
                <w:rFonts w:cstheme="minorHAnsi"/>
                <w:b/>
                <w:sz w:val="20"/>
                <w:szCs w:val="20"/>
              </w:rPr>
              <w:lastRenderedPageBreak/>
              <w:t>P</w:t>
            </w:r>
            <w:r w:rsidRPr="001977DA">
              <w:rPr>
                <w:rFonts w:cstheme="minorHAnsi"/>
                <w:b/>
                <w:sz w:val="20"/>
                <w:szCs w:val="20"/>
              </w:rPr>
              <w:t>lace-based</w:t>
            </w:r>
          </w:p>
        </w:tc>
        <w:tc>
          <w:tcPr>
            <w:tcW w:w="3645" w:type="pct"/>
            <w:vAlign w:val="center"/>
          </w:tcPr>
          <w:p w14:paraId="7B2EB356" w14:textId="77777777" w:rsidR="00F717EB" w:rsidRPr="00072A31" w:rsidRDefault="00F717EB" w:rsidP="0017228C">
            <w:pPr>
              <w:spacing w:line="252" w:lineRule="auto"/>
              <w:ind w:left="115" w:right="125"/>
              <w:rPr>
                <w:sz w:val="20"/>
                <w:szCs w:val="20"/>
              </w:rPr>
            </w:pPr>
            <w:r w:rsidRPr="00072A31">
              <w:rPr>
                <w:sz w:val="20"/>
                <w:szCs w:val="20"/>
              </w:rPr>
              <w:t>A place based approach is about </w:t>
            </w:r>
            <w:r>
              <w:rPr>
                <w:sz w:val="20"/>
                <w:szCs w:val="20"/>
              </w:rPr>
              <w:t>working together with community members and stakeholders (citizens, industry, diverse non-government organisations and all levels of government) to understand challenges, lived experiences,</w:t>
            </w:r>
            <w:r w:rsidRPr="00072A31">
              <w:rPr>
                <w:sz w:val="20"/>
                <w:szCs w:val="20"/>
              </w:rPr>
              <w:t xml:space="preserve">, interconnections and relationships in a place and </w:t>
            </w:r>
            <w:r>
              <w:rPr>
                <w:sz w:val="20"/>
                <w:szCs w:val="20"/>
              </w:rPr>
              <w:t xml:space="preserve">developing </w:t>
            </w:r>
            <w:r w:rsidRPr="00072A31">
              <w:rPr>
                <w:sz w:val="20"/>
                <w:szCs w:val="20"/>
              </w:rPr>
              <w:t>action and investment to improve the quality of life for that community. Place-based initiatives can be a successful mechanism for responding to entrenched disadvantage and improve community outcomes in particular locations.</w:t>
            </w:r>
          </w:p>
        </w:tc>
      </w:tr>
      <w:tr w:rsidR="00F717EB" w:rsidRPr="00C04BCA" w14:paraId="6C1A0F64" w14:textId="77777777" w:rsidTr="00F717EB">
        <w:trPr>
          <w:trHeight w:val="1114"/>
        </w:trPr>
        <w:tc>
          <w:tcPr>
            <w:tcW w:w="1355" w:type="pct"/>
            <w:shd w:val="clear" w:color="auto" w:fill="auto"/>
            <w:tcMar>
              <w:top w:w="15" w:type="dxa"/>
              <w:left w:w="108" w:type="dxa"/>
              <w:bottom w:w="0" w:type="dxa"/>
              <w:right w:w="108" w:type="dxa"/>
            </w:tcMar>
            <w:vAlign w:val="center"/>
          </w:tcPr>
          <w:p w14:paraId="0A59658B"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PPL</w:t>
            </w:r>
          </w:p>
        </w:tc>
        <w:tc>
          <w:tcPr>
            <w:tcW w:w="3645" w:type="pct"/>
            <w:vAlign w:val="center"/>
          </w:tcPr>
          <w:p w14:paraId="22993F31" w14:textId="77777777" w:rsidR="00F717EB" w:rsidRPr="00170DEF" w:rsidRDefault="00F717EB" w:rsidP="0017228C">
            <w:pPr>
              <w:spacing w:line="252" w:lineRule="auto"/>
              <w:ind w:left="115" w:right="125"/>
              <w:rPr>
                <w:sz w:val="20"/>
                <w:szCs w:val="20"/>
              </w:rPr>
            </w:pPr>
            <w:r w:rsidRPr="00E31C2F">
              <w:rPr>
                <w:b/>
                <w:sz w:val="20"/>
                <w:szCs w:val="20"/>
              </w:rPr>
              <w:t>Paid Parental Leave</w:t>
            </w:r>
            <w:r>
              <w:rPr>
                <w:sz w:val="20"/>
                <w:szCs w:val="20"/>
              </w:rPr>
              <w:t xml:space="preserve"> - a federally funded parental leave scheme introduced in Australia in January 2011. Under the scheme eligible working parents across Australia can access payments for taking time off work to care for a new-born or newly adopted child. </w:t>
            </w:r>
          </w:p>
        </w:tc>
      </w:tr>
      <w:tr w:rsidR="00F717EB" w:rsidRPr="00C04BCA" w14:paraId="1F1DD49D" w14:textId="77777777" w:rsidTr="00F717EB">
        <w:trPr>
          <w:trHeight w:val="692"/>
        </w:trPr>
        <w:tc>
          <w:tcPr>
            <w:tcW w:w="1355" w:type="pct"/>
            <w:shd w:val="clear" w:color="auto" w:fill="auto"/>
            <w:tcMar>
              <w:top w:w="15" w:type="dxa"/>
              <w:left w:w="108" w:type="dxa"/>
              <w:bottom w:w="0" w:type="dxa"/>
              <w:right w:w="108" w:type="dxa"/>
            </w:tcMar>
            <w:vAlign w:val="center"/>
          </w:tcPr>
          <w:p w14:paraId="3ECD724E"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Respect@Work</w:t>
            </w:r>
          </w:p>
        </w:tc>
        <w:tc>
          <w:tcPr>
            <w:tcW w:w="3645" w:type="pct"/>
            <w:vAlign w:val="center"/>
          </w:tcPr>
          <w:p w14:paraId="6AA6E14A" w14:textId="77777777" w:rsidR="00F717EB" w:rsidRPr="00F154D4" w:rsidRDefault="00F717EB" w:rsidP="0017228C">
            <w:pPr>
              <w:spacing w:line="252" w:lineRule="auto"/>
              <w:ind w:left="115" w:right="125"/>
              <w:rPr>
                <w:sz w:val="20"/>
                <w:szCs w:val="20"/>
              </w:rPr>
            </w:pPr>
            <w:r w:rsidRPr="00F154D4">
              <w:rPr>
                <w:sz w:val="20"/>
                <w:szCs w:val="20"/>
              </w:rPr>
              <w:t>The </w:t>
            </w:r>
            <w:r w:rsidRPr="00F154D4">
              <w:rPr>
                <w:b/>
                <w:sz w:val="20"/>
                <w:szCs w:val="20"/>
              </w:rPr>
              <w:t>Respect@Work</w:t>
            </w:r>
            <w:r w:rsidRPr="00F154D4">
              <w:rPr>
                <w:sz w:val="20"/>
                <w:szCs w:val="20"/>
              </w:rPr>
              <w:t> platform helps individuals and organisations prevent and respond to workplace sexual harassment.</w:t>
            </w:r>
          </w:p>
        </w:tc>
      </w:tr>
      <w:tr w:rsidR="00F717EB" w:rsidRPr="00C04BCA" w14:paraId="2CABC173" w14:textId="77777777" w:rsidTr="00F717EB">
        <w:trPr>
          <w:trHeight w:val="958"/>
        </w:trPr>
        <w:tc>
          <w:tcPr>
            <w:tcW w:w="1355" w:type="pct"/>
            <w:shd w:val="clear" w:color="auto" w:fill="auto"/>
            <w:tcMar>
              <w:top w:w="15" w:type="dxa"/>
              <w:left w:w="108" w:type="dxa"/>
              <w:bottom w:w="0" w:type="dxa"/>
              <w:right w:w="108" w:type="dxa"/>
            </w:tcMar>
            <w:vAlign w:val="center"/>
          </w:tcPr>
          <w:p w14:paraId="567240C2"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 xml:space="preserve">Royal Commission </w:t>
            </w:r>
          </w:p>
        </w:tc>
        <w:tc>
          <w:tcPr>
            <w:tcW w:w="3645" w:type="pct"/>
            <w:vAlign w:val="center"/>
          </w:tcPr>
          <w:p w14:paraId="782B3561" w14:textId="77777777" w:rsidR="00F717EB" w:rsidRPr="00724686" w:rsidRDefault="00F717EB" w:rsidP="0017228C">
            <w:pPr>
              <w:spacing w:line="252" w:lineRule="auto"/>
              <w:ind w:left="115" w:right="125"/>
              <w:rPr>
                <w:rFonts w:ascii="Times New Roman" w:hAnsi="Times New Roman" w:cs="Times New Roman"/>
                <w:sz w:val="20"/>
                <w:szCs w:val="20"/>
                <w:lang w:val="en-NZ"/>
              </w:rPr>
            </w:pPr>
            <w:r w:rsidRPr="00072A31">
              <w:rPr>
                <w:sz w:val="20"/>
                <w:szCs w:val="20"/>
              </w:rPr>
              <w:t xml:space="preserve">A </w:t>
            </w:r>
            <w:r w:rsidRPr="00880A02">
              <w:rPr>
                <w:b/>
                <w:sz w:val="20"/>
                <w:szCs w:val="20"/>
              </w:rPr>
              <w:t>royal commission</w:t>
            </w:r>
            <w:r w:rsidRPr="00072A31">
              <w:rPr>
                <w:sz w:val="20"/>
                <w:szCs w:val="20"/>
              </w:rPr>
              <w:t xml:space="preserve"> is an independent public inquiry. In Australia, royal commissions are the highest form of inquiry on matters of public importance. They are only established in rare and exceptional circumstances.</w:t>
            </w:r>
          </w:p>
        </w:tc>
      </w:tr>
      <w:tr w:rsidR="00F717EB" w:rsidRPr="00C04BCA" w14:paraId="7554495D" w14:textId="77777777" w:rsidTr="00F717EB">
        <w:trPr>
          <w:trHeight w:val="1112"/>
        </w:trPr>
        <w:tc>
          <w:tcPr>
            <w:tcW w:w="1355" w:type="pct"/>
            <w:shd w:val="clear" w:color="auto" w:fill="auto"/>
            <w:tcMar>
              <w:top w:w="15" w:type="dxa"/>
              <w:left w:w="108" w:type="dxa"/>
              <w:bottom w:w="0" w:type="dxa"/>
              <w:right w:w="108" w:type="dxa"/>
            </w:tcMar>
            <w:vAlign w:val="center"/>
          </w:tcPr>
          <w:p w14:paraId="54293251"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Senate Inquiry</w:t>
            </w:r>
          </w:p>
        </w:tc>
        <w:tc>
          <w:tcPr>
            <w:tcW w:w="3645" w:type="pct"/>
            <w:vAlign w:val="center"/>
          </w:tcPr>
          <w:p w14:paraId="4B7C2996" w14:textId="77777777" w:rsidR="00F717EB" w:rsidRPr="00F154D4" w:rsidRDefault="00F717EB" w:rsidP="0017228C">
            <w:pPr>
              <w:spacing w:line="252" w:lineRule="auto"/>
              <w:ind w:left="115" w:right="125"/>
              <w:rPr>
                <w:sz w:val="20"/>
                <w:szCs w:val="20"/>
              </w:rPr>
            </w:pPr>
            <w:r w:rsidRPr="00F154D4">
              <w:rPr>
                <w:sz w:val="20"/>
                <w:szCs w:val="20"/>
              </w:rPr>
              <w:t>Committees inquire into all kinds of matters—workplace relations, foreign policy, immigration, health, proposed taxes and government spending. Committee hearings are usually open to the public. In some cases however, evidence may be taken in private.</w:t>
            </w:r>
          </w:p>
        </w:tc>
      </w:tr>
      <w:tr w:rsidR="00F717EB" w:rsidRPr="00C04BCA" w14:paraId="6C76CDA6" w14:textId="77777777" w:rsidTr="00F717EB">
        <w:trPr>
          <w:trHeight w:val="689"/>
        </w:trPr>
        <w:tc>
          <w:tcPr>
            <w:tcW w:w="1355" w:type="pct"/>
            <w:shd w:val="clear" w:color="auto" w:fill="auto"/>
            <w:tcMar>
              <w:top w:w="15" w:type="dxa"/>
              <w:left w:w="108" w:type="dxa"/>
              <w:bottom w:w="0" w:type="dxa"/>
              <w:right w:w="108" w:type="dxa"/>
            </w:tcMar>
            <w:vAlign w:val="center"/>
          </w:tcPr>
          <w:p w14:paraId="3D8F67E0"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Sendai GAP</w:t>
            </w:r>
          </w:p>
        </w:tc>
        <w:tc>
          <w:tcPr>
            <w:tcW w:w="3645" w:type="pct"/>
            <w:vAlign w:val="center"/>
          </w:tcPr>
          <w:p w14:paraId="4190D637" w14:textId="77777777" w:rsidR="00F717EB" w:rsidRDefault="00F717EB" w:rsidP="0017228C">
            <w:pPr>
              <w:spacing w:line="252" w:lineRule="auto"/>
              <w:ind w:left="115" w:right="125"/>
              <w:rPr>
                <w:sz w:val="20"/>
                <w:szCs w:val="20"/>
              </w:rPr>
            </w:pPr>
            <w:r>
              <w:rPr>
                <w:sz w:val="20"/>
                <w:szCs w:val="20"/>
              </w:rPr>
              <w:t>Gender Action Plan to support implementation of the Sendai Framework for Disaster Risk Reduction 2015-2030</w:t>
            </w:r>
          </w:p>
        </w:tc>
      </w:tr>
      <w:tr w:rsidR="00F717EB" w:rsidRPr="00C04BCA" w14:paraId="78263278" w14:textId="77777777" w:rsidTr="00F717EB">
        <w:trPr>
          <w:trHeight w:val="454"/>
        </w:trPr>
        <w:tc>
          <w:tcPr>
            <w:tcW w:w="1355" w:type="pct"/>
            <w:shd w:val="clear" w:color="auto" w:fill="auto"/>
            <w:tcMar>
              <w:top w:w="15" w:type="dxa"/>
              <w:left w:w="108" w:type="dxa"/>
              <w:bottom w:w="0" w:type="dxa"/>
              <w:right w:w="108" w:type="dxa"/>
            </w:tcMar>
            <w:vAlign w:val="center"/>
          </w:tcPr>
          <w:p w14:paraId="24BC590F"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SDG</w:t>
            </w:r>
          </w:p>
        </w:tc>
        <w:tc>
          <w:tcPr>
            <w:tcW w:w="3645" w:type="pct"/>
            <w:vAlign w:val="center"/>
          </w:tcPr>
          <w:p w14:paraId="68B162BF" w14:textId="77777777" w:rsidR="00F717EB" w:rsidRPr="00170DEF" w:rsidRDefault="00F717EB" w:rsidP="0017228C">
            <w:pPr>
              <w:spacing w:line="252" w:lineRule="auto"/>
              <w:ind w:left="115" w:right="125"/>
            </w:pPr>
            <w:r w:rsidRPr="00E31C2F">
              <w:rPr>
                <w:sz w:val="20"/>
                <w:szCs w:val="20"/>
              </w:rPr>
              <w:t>United Nations Sustainable Development Goals</w:t>
            </w:r>
            <w:r>
              <w:t xml:space="preserve"> </w:t>
            </w:r>
          </w:p>
        </w:tc>
      </w:tr>
      <w:tr w:rsidR="00F717EB" w:rsidRPr="00C04BCA" w14:paraId="5E10703B" w14:textId="77777777" w:rsidTr="00F717EB">
        <w:trPr>
          <w:trHeight w:val="1472"/>
        </w:trPr>
        <w:tc>
          <w:tcPr>
            <w:tcW w:w="1355" w:type="pct"/>
            <w:shd w:val="clear" w:color="auto" w:fill="auto"/>
            <w:tcMar>
              <w:top w:w="15" w:type="dxa"/>
              <w:left w:w="108" w:type="dxa"/>
              <w:bottom w:w="0" w:type="dxa"/>
              <w:right w:w="108" w:type="dxa"/>
            </w:tcMar>
            <w:vAlign w:val="center"/>
          </w:tcPr>
          <w:p w14:paraId="6C6B13D0" w14:textId="77777777" w:rsidR="00F717EB" w:rsidRPr="001977DA" w:rsidRDefault="00F717EB" w:rsidP="00F717EB">
            <w:pPr>
              <w:spacing w:line="252" w:lineRule="auto"/>
              <w:rPr>
                <w:rFonts w:cstheme="minorHAnsi"/>
                <w:b/>
                <w:sz w:val="20"/>
                <w:szCs w:val="20"/>
              </w:rPr>
            </w:pPr>
            <w:r>
              <w:rPr>
                <w:rFonts w:cstheme="minorHAnsi"/>
                <w:b/>
                <w:sz w:val="20"/>
                <w:szCs w:val="20"/>
              </w:rPr>
              <w:t>Sistergirls</w:t>
            </w:r>
          </w:p>
        </w:tc>
        <w:tc>
          <w:tcPr>
            <w:tcW w:w="3645" w:type="pct"/>
            <w:vAlign w:val="center"/>
          </w:tcPr>
          <w:p w14:paraId="62E3F3E4" w14:textId="77777777" w:rsidR="00F717EB" w:rsidRPr="00072A31" w:rsidRDefault="00F717EB" w:rsidP="0017228C">
            <w:pPr>
              <w:spacing w:line="252" w:lineRule="auto"/>
              <w:ind w:left="115" w:right="125"/>
              <w:rPr>
                <w:sz w:val="20"/>
                <w:szCs w:val="20"/>
              </w:rPr>
            </w:pPr>
            <w:r w:rsidRPr="00072A31">
              <w:rPr>
                <w:sz w:val="20"/>
                <w:szCs w:val="20"/>
              </w:rPr>
              <w:t xml:space="preserve">Sistergirl is a term used by Aboriginal and Torres Strait Islander people to describe gender diverse people that have a female spirit and take on female roles within the community, including looking after children and family. How the word Sistergirl is used can differ between locations, countries and nations. Sistergirls might be non-binary, female or male. </w:t>
            </w:r>
          </w:p>
        </w:tc>
      </w:tr>
      <w:tr w:rsidR="00F717EB" w:rsidRPr="00C04BCA" w14:paraId="130630E5" w14:textId="77777777" w:rsidTr="00F717EB">
        <w:trPr>
          <w:trHeight w:val="454"/>
        </w:trPr>
        <w:tc>
          <w:tcPr>
            <w:tcW w:w="1355" w:type="pct"/>
            <w:shd w:val="clear" w:color="auto" w:fill="auto"/>
            <w:tcMar>
              <w:top w:w="15" w:type="dxa"/>
              <w:left w:w="108" w:type="dxa"/>
              <w:bottom w:w="0" w:type="dxa"/>
              <w:right w:w="108" w:type="dxa"/>
            </w:tcMar>
            <w:vAlign w:val="center"/>
          </w:tcPr>
          <w:p w14:paraId="37AE71AF"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SRSS</w:t>
            </w:r>
          </w:p>
        </w:tc>
        <w:tc>
          <w:tcPr>
            <w:tcW w:w="3645" w:type="pct"/>
            <w:vAlign w:val="center"/>
          </w:tcPr>
          <w:p w14:paraId="3A4C0FC8" w14:textId="77777777" w:rsidR="00F717EB" w:rsidRPr="00E31C2F" w:rsidRDefault="00F717EB" w:rsidP="0017228C">
            <w:pPr>
              <w:spacing w:line="252" w:lineRule="auto"/>
              <w:ind w:left="115" w:right="125"/>
              <w:rPr>
                <w:sz w:val="20"/>
                <w:szCs w:val="20"/>
              </w:rPr>
            </w:pPr>
            <w:r w:rsidRPr="00E31C2F">
              <w:rPr>
                <w:sz w:val="20"/>
                <w:szCs w:val="20"/>
              </w:rPr>
              <w:t>Status Resolution Support Services Program</w:t>
            </w:r>
          </w:p>
        </w:tc>
      </w:tr>
      <w:tr w:rsidR="00F717EB" w:rsidRPr="00C04BCA" w14:paraId="4C4AA778" w14:textId="77777777" w:rsidTr="00F717EB">
        <w:trPr>
          <w:trHeight w:val="454"/>
        </w:trPr>
        <w:tc>
          <w:tcPr>
            <w:tcW w:w="1355" w:type="pct"/>
            <w:shd w:val="clear" w:color="auto" w:fill="auto"/>
            <w:tcMar>
              <w:top w:w="15" w:type="dxa"/>
              <w:left w:w="108" w:type="dxa"/>
              <w:bottom w:w="0" w:type="dxa"/>
              <w:right w:w="108" w:type="dxa"/>
            </w:tcMar>
            <w:vAlign w:val="center"/>
          </w:tcPr>
          <w:p w14:paraId="6F8E6E5F"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STEM</w:t>
            </w:r>
          </w:p>
        </w:tc>
        <w:tc>
          <w:tcPr>
            <w:tcW w:w="3645" w:type="pct"/>
            <w:vAlign w:val="center"/>
          </w:tcPr>
          <w:p w14:paraId="462D20A8" w14:textId="77777777" w:rsidR="00F717EB" w:rsidRDefault="00F717EB" w:rsidP="0017228C">
            <w:pPr>
              <w:spacing w:line="252" w:lineRule="auto"/>
              <w:ind w:left="115" w:right="125"/>
              <w:rPr>
                <w:sz w:val="20"/>
                <w:szCs w:val="20"/>
              </w:rPr>
            </w:pPr>
            <w:r>
              <w:rPr>
                <w:sz w:val="20"/>
                <w:szCs w:val="20"/>
              </w:rPr>
              <w:t>Science, Technology, Engineering, and Mathematics</w:t>
            </w:r>
          </w:p>
        </w:tc>
      </w:tr>
      <w:tr w:rsidR="00F717EB" w:rsidRPr="00C04BCA" w14:paraId="3E303794" w14:textId="77777777" w:rsidTr="00F717EB">
        <w:trPr>
          <w:trHeight w:val="1010"/>
        </w:trPr>
        <w:tc>
          <w:tcPr>
            <w:tcW w:w="1355" w:type="pct"/>
            <w:shd w:val="clear" w:color="auto" w:fill="auto"/>
            <w:tcMar>
              <w:top w:w="15" w:type="dxa"/>
              <w:left w:w="108" w:type="dxa"/>
              <w:bottom w:w="0" w:type="dxa"/>
              <w:right w:w="108" w:type="dxa"/>
            </w:tcMar>
            <w:vAlign w:val="center"/>
          </w:tcPr>
          <w:p w14:paraId="670789A6"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STPP</w:t>
            </w:r>
          </w:p>
        </w:tc>
        <w:tc>
          <w:tcPr>
            <w:tcW w:w="3645" w:type="pct"/>
            <w:vAlign w:val="center"/>
          </w:tcPr>
          <w:p w14:paraId="27388417" w14:textId="77777777" w:rsidR="00F717EB" w:rsidRDefault="00F717EB" w:rsidP="0017228C">
            <w:pPr>
              <w:spacing w:line="252" w:lineRule="auto"/>
              <w:ind w:left="115" w:right="125"/>
              <w:rPr>
                <w:sz w:val="20"/>
                <w:szCs w:val="20"/>
              </w:rPr>
            </w:pPr>
            <w:r>
              <w:rPr>
                <w:sz w:val="20"/>
                <w:szCs w:val="20"/>
              </w:rPr>
              <w:t xml:space="preserve">Support for Trafficked People Program – a program delivered by the Australian Red Cross to provide case managed support to people affected by human trafficking, including those in or at risk of forced marriage. </w:t>
            </w:r>
          </w:p>
        </w:tc>
      </w:tr>
      <w:tr w:rsidR="00F717EB" w:rsidRPr="00C04BCA" w14:paraId="05338543" w14:textId="77777777" w:rsidTr="00F717EB">
        <w:trPr>
          <w:trHeight w:val="454"/>
        </w:trPr>
        <w:tc>
          <w:tcPr>
            <w:tcW w:w="1355" w:type="pct"/>
            <w:shd w:val="clear" w:color="auto" w:fill="auto"/>
            <w:tcMar>
              <w:top w:w="15" w:type="dxa"/>
              <w:left w:w="108" w:type="dxa"/>
              <w:bottom w:w="0" w:type="dxa"/>
              <w:right w:w="108" w:type="dxa"/>
            </w:tcMar>
            <w:vAlign w:val="center"/>
          </w:tcPr>
          <w:p w14:paraId="5AD0FEB5"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The Register</w:t>
            </w:r>
          </w:p>
        </w:tc>
        <w:tc>
          <w:tcPr>
            <w:tcW w:w="3645" w:type="pct"/>
            <w:vAlign w:val="center"/>
          </w:tcPr>
          <w:p w14:paraId="1EC84CB5" w14:textId="77777777" w:rsidR="00F717EB" w:rsidRDefault="00F717EB" w:rsidP="0017228C">
            <w:pPr>
              <w:spacing w:line="252" w:lineRule="auto"/>
              <w:ind w:left="115" w:right="125"/>
              <w:rPr>
                <w:sz w:val="20"/>
                <w:szCs w:val="20"/>
              </w:rPr>
            </w:pPr>
            <w:r>
              <w:rPr>
                <w:sz w:val="20"/>
                <w:szCs w:val="20"/>
              </w:rPr>
              <w:t xml:space="preserve">The Modern Slavery Statements Register – an online public register </w:t>
            </w:r>
          </w:p>
        </w:tc>
      </w:tr>
      <w:tr w:rsidR="00F717EB" w:rsidRPr="00C04BCA" w14:paraId="5A599B5D" w14:textId="77777777" w:rsidTr="00F717EB">
        <w:trPr>
          <w:trHeight w:val="454"/>
        </w:trPr>
        <w:tc>
          <w:tcPr>
            <w:tcW w:w="1355" w:type="pct"/>
            <w:shd w:val="clear" w:color="auto" w:fill="auto"/>
            <w:tcMar>
              <w:top w:w="15" w:type="dxa"/>
              <w:left w:w="108" w:type="dxa"/>
              <w:bottom w:w="0" w:type="dxa"/>
              <w:right w:w="108" w:type="dxa"/>
            </w:tcMar>
            <w:vAlign w:val="center"/>
          </w:tcPr>
          <w:p w14:paraId="248C1616"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UN</w:t>
            </w:r>
          </w:p>
        </w:tc>
        <w:tc>
          <w:tcPr>
            <w:tcW w:w="3645" w:type="pct"/>
            <w:vAlign w:val="center"/>
          </w:tcPr>
          <w:p w14:paraId="2D380D0E" w14:textId="77777777" w:rsidR="00F717EB" w:rsidRDefault="00F717EB" w:rsidP="0017228C">
            <w:pPr>
              <w:spacing w:line="252" w:lineRule="auto"/>
              <w:ind w:left="115" w:right="125"/>
              <w:rPr>
                <w:sz w:val="20"/>
                <w:szCs w:val="20"/>
              </w:rPr>
            </w:pPr>
            <w:r>
              <w:rPr>
                <w:sz w:val="20"/>
                <w:szCs w:val="20"/>
              </w:rPr>
              <w:t>United Nations</w:t>
            </w:r>
          </w:p>
        </w:tc>
      </w:tr>
      <w:tr w:rsidR="00F717EB" w:rsidRPr="00C04BCA" w14:paraId="1FB4826C" w14:textId="77777777" w:rsidTr="00F717EB">
        <w:trPr>
          <w:trHeight w:val="454"/>
        </w:trPr>
        <w:tc>
          <w:tcPr>
            <w:tcW w:w="1355" w:type="pct"/>
            <w:shd w:val="clear" w:color="auto" w:fill="auto"/>
            <w:tcMar>
              <w:top w:w="15" w:type="dxa"/>
              <w:left w:w="108" w:type="dxa"/>
              <w:bottom w:w="0" w:type="dxa"/>
              <w:right w:w="108" w:type="dxa"/>
            </w:tcMar>
            <w:vAlign w:val="center"/>
          </w:tcPr>
          <w:p w14:paraId="3AAA315A" w14:textId="77777777" w:rsidR="00F717EB" w:rsidRPr="001977DA" w:rsidRDefault="00F717EB" w:rsidP="00F717EB">
            <w:pPr>
              <w:spacing w:line="252" w:lineRule="auto"/>
              <w:rPr>
                <w:rFonts w:cstheme="minorHAnsi"/>
                <w:b/>
                <w:sz w:val="20"/>
                <w:szCs w:val="20"/>
              </w:rPr>
            </w:pPr>
            <w:r>
              <w:rPr>
                <w:rFonts w:cstheme="minorHAnsi"/>
                <w:b/>
                <w:sz w:val="20"/>
                <w:szCs w:val="20"/>
              </w:rPr>
              <w:t>UNSC</w:t>
            </w:r>
          </w:p>
        </w:tc>
        <w:tc>
          <w:tcPr>
            <w:tcW w:w="3645" w:type="pct"/>
            <w:vAlign w:val="center"/>
          </w:tcPr>
          <w:p w14:paraId="2E34191F" w14:textId="77777777" w:rsidR="00F717EB" w:rsidRDefault="00F717EB" w:rsidP="0017228C">
            <w:pPr>
              <w:spacing w:line="252" w:lineRule="auto"/>
              <w:ind w:left="115" w:right="125"/>
              <w:rPr>
                <w:sz w:val="20"/>
                <w:szCs w:val="20"/>
              </w:rPr>
            </w:pPr>
            <w:r>
              <w:rPr>
                <w:sz w:val="20"/>
                <w:szCs w:val="20"/>
              </w:rPr>
              <w:t>United Nations Security Council</w:t>
            </w:r>
          </w:p>
        </w:tc>
      </w:tr>
      <w:tr w:rsidR="00F717EB" w:rsidRPr="00C04BCA" w14:paraId="477C8054" w14:textId="77777777" w:rsidTr="00F717EB">
        <w:trPr>
          <w:trHeight w:val="454"/>
        </w:trPr>
        <w:tc>
          <w:tcPr>
            <w:tcW w:w="1355" w:type="pct"/>
            <w:shd w:val="clear" w:color="auto" w:fill="auto"/>
            <w:tcMar>
              <w:top w:w="15" w:type="dxa"/>
              <w:left w:w="108" w:type="dxa"/>
              <w:bottom w:w="0" w:type="dxa"/>
              <w:right w:w="108" w:type="dxa"/>
            </w:tcMar>
            <w:vAlign w:val="center"/>
          </w:tcPr>
          <w:p w14:paraId="6AFC19A3"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VET</w:t>
            </w:r>
          </w:p>
        </w:tc>
        <w:tc>
          <w:tcPr>
            <w:tcW w:w="3645" w:type="pct"/>
            <w:vAlign w:val="center"/>
          </w:tcPr>
          <w:p w14:paraId="64706917" w14:textId="77777777" w:rsidR="00F717EB" w:rsidRPr="00E31C2F" w:rsidRDefault="00F717EB" w:rsidP="0017228C">
            <w:pPr>
              <w:spacing w:line="252" w:lineRule="auto"/>
              <w:ind w:left="115" w:right="125"/>
              <w:rPr>
                <w:sz w:val="20"/>
                <w:szCs w:val="20"/>
              </w:rPr>
            </w:pPr>
            <w:r>
              <w:rPr>
                <w:sz w:val="20"/>
                <w:szCs w:val="20"/>
              </w:rPr>
              <w:t>V</w:t>
            </w:r>
            <w:r w:rsidRPr="00E31C2F">
              <w:rPr>
                <w:sz w:val="20"/>
                <w:szCs w:val="20"/>
              </w:rPr>
              <w:t xml:space="preserve">ocational </w:t>
            </w:r>
            <w:r>
              <w:rPr>
                <w:sz w:val="20"/>
                <w:szCs w:val="20"/>
              </w:rPr>
              <w:t>E</w:t>
            </w:r>
            <w:r w:rsidRPr="00E31C2F">
              <w:rPr>
                <w:sz w:val="20"/>
                <w:szCs w:val="20"/>
              </w:rPr>
              <w:t xml:space="preserve">ducation and </w:t>
            </w:r>
            <w:r>
              <w:rPr>
                <w:sz w:val="20"/>
                <w:szCs w:val="20"/>
              </w:rPr>
              <w:t>T</w:t>
            </w:r>
            <w:r w:rsidRPr="00E31C2F">
              <w:rPr>
                <w:sz w:val="20"/>
                <w:szCs w:val="20"/>
              </w:rPr>
              <w:t>raining</w:t>
            </w:r>
          </w:p>
        </w:tc>
      </w:tr>
      <w:tr w:rsidR="00F717EB" w:rsidRPr="00170DEF" w14:paraId="3277CA89" w14:textId="77777777" w:rsidTr="00F717EB">
        <w:trPr>
          <w:trHeight w:val="454"/>
        </w:trPr>
        <w:tc>
          <w:tcPr>
            <w:tcW w:w="135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15" w:type="dxa"/>
              <w:left w:w="108" w:type="dxa"/>
              <w:bottom w:w="0" w:type="dxa"/>
              <w:right w:w="108" w:type="dxa"/>
            </w:tcMar>
            <w:vAlign w:val="center"/>
          </w:tcPr>
          <w:p w14:paraId="0E5402B7"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WGE Act</w:t>
            </w:r>
          </w:p>
        </w:tc>
        <w:tc>
          <w:tcPr>
            <w:tcW w:w="364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7F8E50C" w14:textId="77777777" w:rsidR="00F717EB" w:rsidRPr="00621B48" w:rsidRDefault="00F717EB" w:rsidP="0017228C">
            <w:pPr>
              <w:spacing w:line="252" w:lineRule="auto"/>
              <w:ind w:left="115" w:right="125"/>
              <w:rPr>
                <w:sz w:val="20"/>
                <w:szCs w:val="20"/>
              </w:rPr>
            </w:pPr>
            <w:r w:rsidRPr="00621B48">
              <w:rPr>
                <w:sz w:val="20"/>
                <w:szCs w:val="20"/>
              </w:rPr>
              <w:t>Workplace Gender Equality Act 2012 (Cth)</w:t>
            </w:r>
          </w:p>
        </w:tc>
      </w:tr>
      <w:tr w:rsidR="00F717EB" w:rsidRPr="00170DEF" w14:paraId="084C5555" w14:textId="77777777" w:rsidTr="00F717EB">
        <w:trPr>
          <w:trHeight w:val="454"/>
        </w:trPr>
        <w:tc>
          <w:tcPr>
            <w:tcW w:w="135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15" w:type="dxa"/>
              <w:left w:w="108" w:type="dxa"/>
              <w:bottom w:w="0" w:type="dxa"/>
              <w:right w:w="108" w:type="dxa"/>
            </w:tcMar>
            <w:vAlign w:val="center"/>
          </w:tcPr>
          <w:p w14:paraId="38A1C70E" w14:textId="77777777" w:rsidR="00F717EB" w:rsidRPr="00621B48" w:rsidRDefault="00F717EB" w:rsidP="00F717EB">
            <w:pPr>
              <w:spacing w:line="252" w:lineRule="auto"/>
              <w:rPr>
                <w:rFonts w:cstheme="minorHAnsi"/>
                <w:b/>
                <w:sz w:val="20"/>
                <w:szCs w:val="20"/>
              </w:rPr>
            </w:pPr>
            <w:r w:rsidRPr="001977DA">
              <w:rPr>
                <w:rFonts w:cstheme="minorHAnsi"/>
                <w:b/>
                <w:sz w:val="20"/>
                <w:szCs w:val="20"/>
              </w:rPr>
              <w:t>WGEA</w:t>
            </w:r>
          </w:p>
        </w:tc>
        <w:tc>
          <w:tcPr>
            <w:tcW w:w="364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15E4365" w14:textId="77777777" w:rsidR="00F717EB" w:rsidRPr="00170DEF" w:rsidRDefault="00F717EB" w:rsidP="0017228C">
            <w:pPr>
              <w:spacing w:line="252" w:lineRule="auto"/>
              <w:ind w:left="115" w:right="125"/>
              <w:rPr>
                <w:sz w:val="20"/>
                <w:szCs w:val="20"/>
              </w:rPr>
            </w:pPr>
            <w:r>
              <w:rPr>
                <w:sz w:val="20"/>
                <w:szCs w:val="20"/>
              </w:rPr>
              <w:t>The Workplace Gender Equality Agency</w:t>
            </w:r>
          </w:p>
        </w:tc>
      </w:tr>
      <w:tr w:rsidR="00F717EB" w:rsidRPr="00170DEF" w14:paraId="292CA233" w14:textId="77777777" w:rsidTr="00F717EB">
        <w:trPr>
          <w:trHeight w:val="1208"/>
        </w:trPr>
        <w:tc>
          <w:tcPr>
            <w:tcW w:w="135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15" w:type="dxa"/>
              <w:left w:w="108" w:type="dxa"/>
              <w:bottom w:w="0" w:type="dxa"/>
              <w:right w:w="108" w:type="dxa"/>
            </w:tcMar>
            <w:vAlign w:val="center"/>
          </w:tcPr>
          <w:p w14:paraId="737256F9" w14:textId="77777777" w:rsidR="00F717EB" w:rsidRPr="001977DA" w:rsidRDefault="00F717EB" w:rsidP="00F717EB">
            <w:pPr>
              <w:spacing w:line="252" w:lineRule="auto"/>
              <w:rPr>
                <w:rFonts w:cstheme="minorHAnsi"/>
                <w:b/>
                <w:sz w:val="20"/>
                <w:szCs w:val="20"/>
              </w:rPr>
            </w:pPr>
            <w:r w:rsidRPr="001977DA">
              <w:rPr>
                <w:rFonts w:cstheme="minorHAnsi"/>
                <w:b/>
                <w:sz w:val="20"/>
                <w:szCs w:val="20"/>
              </w:rPr>
              <w:lastRenderedPageBreak/>
              <w:t>Working for Women: A Strategy for Gender Equality</w:t>
            </w:r>
          </w:p>
        </w:tc>
        <w:tc>
          <w:tcPr>
            <w:tcW w:w="364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47F7809" w14:textId="77777777" w:rsidR="00F717EB" w:rsidRPr="00170DEF" w:rsidRDefault="00F717EB" w:rsidP="0017228C">
            <w:pPr>
              <w:spacing w:line="252" w:lineRule="auto"/>
              <w:ind w:left="115" w:right="125"/>
              <w:rPr>
                <w:sz w:val="20"/>
                <w:szCs w:val="20"/>
              </w:rPr>
            </w:pPr>
            <w:r>
              <w:rPr>
                <w:sz w:val="20"/>
                <w:szCs w:val="20"/>
              </w:rPr>
              <w:t xml:space="preserve">The Working for Women strategy was launched in March 2024 and outlines the Australian Government’s vision for gender equality – an Australia where people are safe, treated with respect, have choices, and have access to resources and equal outcomes no matter their gender. </w:t>
            </w:r>
          </w:p>
        </w:tc>
      </w:tr>
      <w:tr w:rsidR="00F717EB" w:rsidRPr="00C04BCA" w14:paraId="520C0470" w14:textId="77777777" w:rsidTr="00F717EB">
        <w:trPr>
          <w:trHeight w:val="1680"/>
        </w:trPr>
        <w:tc>
          <w:tcPr>
            <w:tcW w:w="135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15" w:type="dxa"/>
              <w:left w:w="108" w:type="dxa"/>
              <w:bottom w:w="0" w:type="dxa"/>
              <w:right w:w="108" w:type="dxa"/>
            </w:tcMar>
            <w:vAlign w:val="center"/>
          </w:tcPr>
          <w:p w14:paraId="30574975" w14:textId="77777777" w:rsidR="00F717EB" w:rsidRPr="001977DA" w:rsidRDefault="00F717EB" w:rsidP="00F717EB">
            <w:pPr>
              <w:spacing w:line="252" w:lineRule="auto"/>
              <w:rPr>
                <w:rFonts w:cstheme="minorHAnsi"/>
                <w:b/>
                <w:sz w:val="20"/>
                <w:szCs w:val="20"/>
              </w:rPr>
            </w:pPr>
            <w:r w:rsidRPr="001977DA">
              <w:rPr>
                <w:rFonts w:cstheme="minorHAnsi"/>
                <w:b/>
                <w:sz w:val="20"/>
                <w:szCs w:val="20"/>
              </w:rPr>
              <w:t>WPS</w:t>
            </w:r>
          </w:p>
        </w:tc>
        <w:tc>
          <w:tcPr>
            <w:tcW w:w="364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FA9D98F" w14:textId="1181090C" w:rsidR="00F717EB" w:rsidRDefault="00F717EB" w:rsidP="0017228C">
            <w:pPr>
              <w:spacing w:line="252" w:lineRule="auto"/>
              <w:ind w:left="115" w:right="125"/>
              <w:rPr>
                <w:sz w:val="20"/>
                <w:szCs w:val="20"/>
              </w:rPr>
            </w:pPr>
            <w:r w:rsidRPr="00B72083">
              <w:rPr>
                <w:sz w:val="20"/>
                <w:szCs w:val="20"/>
              </w:rPr>
              <w:t>Women, Peace and Security</w:t>
            </w:r>
            <w:r w:rsidRPr="00CF363B">
              <w:rPr>
                <w:sz w:val="20"/>
                <w:szCs w:val="20"/>
              </w:rPr>
              <w:t xml:space="preserve"> </w:t>
            </w:r>
            <w:r>
              <w:rPr>
                <w:sz w:val="20"/>
                <w:szCs w:val="20"/>
              </w:rPr>
              <w:t>was recognised by the United Nations Security Council (UNSC) in 2000.</w:t>
            </w:r>
            <w:r w:rsidRPr="00072A31">
              <w:rPr>
                <w:sz w:val="20"/>
                <w:szCs w:val="20"/>
              </w:rPr>
              <w:t xml:space="preserve"> </w:t>
            </w:r>
            <w:r>
              <w:rPr>
                <w:sz w:val="20"/>
                <w:szCs w:val="20"/>
              </w:rPr>
              <w:t>T</w:t>
            </w:r>
            <w:r w:rsidRPr="00072A31">
              <w:rPr>
                <w:sz w:val="20"/>
                <w:szCs w:val="20"/>
              </w:rPr>
              <w:t>he UNSC formally acknowledged, through the creation of Resolution 1325, the disproportionate impact that conflict and war has on women and girls, as well as the critical role that women can, and already do, play in peacebuilding efforts. The Australian Government is a committed global champion of</w:t>
            </w:r>
            <w:r>
              <w:rPr>
                <w:sz w:val="20"/>
                <w:szCs w:val="20"/>
              </w:rPr>
              <w:t xml:space="preserve"> the Women, Peace and Security </w:t>
            </w:r>
            <w:r w:rsidRPr="00072A31">
              <w:rPr>
                <w:sz w:val="20"/>
                <w:szCs w:val="20"/>
              </w:rPr>
              <w:t>agenda.</w:t>
            </w:r>
          </w:p>
        </w:tc>
      </w:tr>
    </w:tbl>
    <w:p w14:paraId="0472C550" w14:textId="77777777" w:rsidR="00E40895" w:rsidRPr="004A132D" w:rsidRDefault="00E40895" w:rsidP="00A86F12">
      <w:pPr>
        <w:rPr>
          <w:lang w:val="en-NZ"/>
        </w:rPr>
      </w:pPr>
    </w:p>
    <w:sectPr w:rsidR="00E40895" w:rsidRPr="004A132D" w:rsidSect="008D1C71">
      <w:headerReference w:type="even" r:id="rId16"/>
      <w:headerReference w:type="default" r:id="rId17"/>
      <w:footerReference w:type="even" r:id="rId18"/>
      <w:footerReference w:type="default" r:id="rId19"/>
      <w:headerReference w:type="first" r:id="rId20"/>
      <w:footerReference w:type="first" r:id="rId21"/>
      <w:pgSz w:w="11900" w:h="16840"/>
      <w:pgMar w:top="1418" w:right="56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999D1" w14:textId="77777777" w:rsidR="00106262" w:rsidRDefault="00106262" w:rsidP="00A926E2">
      <w:r>
        <w:separator/>
      </w:r>
    </w:p>
  </w:endnote>
  <w:endnote w:type="continuationSeparator" w:id="0">
    <w:p w14:paraId="4C111330" w14:textId="77777777" w:rsidR="00106262" w:rsidRDefault="00106262" w:rsidP="00A926E2">
      <w:r>
        <w:continuationSeparator/>
      </w:r>
    </w:p>
  </w:endnote>
  <w:endnote w:type="continuationNotice" w:id="1">
    <w:p w14:paraId="6AFD9025" w14:textId="77777777" w:rsidR="00106262" w:rsidRDefault="00106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8518" w14:textId="77777777" w:rsidR="00106262" w:rsidRDefault="00106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380660"/>
      <w:docPartObj>
        <w:docPartGallery w:val="Page Numbers (Bottom of Page)"/>
        <w:docPartUnique/>
      </w:docPartObj>
    </w:sdtPr>
    <w:sdtEndPr>
      <w:rPr>
        <w:noProof/>
      </w:rPr>
    </w:sdtEndPr>
    <w:sdtContent>
      <w:p w14:paraId="286A5840" w14:textId="34F08665" w:rsidR="00106262" w:rsidRDefault="00106262" w:rsidP="00F13949">
        <w:pPr>
          <w:pStyle w:val="Footer"/>
          <w:jc w:val="center"/>
        </w:pPr>
        <w:r w:rsidRPr="00F13949">
          <w:rPr>
            <w:rFonts w:ascii="Times New Roman" w:hAnsi="Times New Roman" w:cs="Times New Roman"/>
            <w:sz w:val="22"/>
          </w:rPr>
          <w:fldChar w:fldCharType="begin"/>
        </w:r>
        <w:r w:rsidRPr="00F13949">
          <w:rPr>
            <w:rFonts w:ascii="Times New Roman" w:hAnsi="Times New Roman" w:cs="Times New Roman"/>
            <w:sz w:val="22"/>
          </w:rPr>
          <w:instrText xml:space="preserve"> PAGE   \* MERGEFORMAT </w:instrText>
        </w:r>
        <w:r w:rsidRPr="00F13949">
          <w:rPr>
            <w:rFonts w:ascii="Times New Roman" w:hAnsi="Times New Roman" w:cs="Times New Roman"/>
            <w:sz w:val="22"/>
          </w:rPr>
          <w:fldChar w:fldCharType="separate"/>
        </w:r>
        <w:r w:rsidR="000826E7">
          <w:rPr>
            <w:rFonts w:ascii="Times New Roman" w:hAnsi="Times New Roman" w:cs="Times New Roman"/>
            <w:noProof/>
            <w:sz w:val="22"/>
          </w:rPr>
          <w:t>27</w:t>
        </w:r>
        <w:r w:rsidRPr="00F13949">
          <w:rPr>
            <w:rFonts w:ascii="Times New Roman" w:hAnsi="Times New Roman" w:cs="Times New Roman"/>
            <w:noProof/>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8D2D9" w14:textId="77777777" w:rsidR="00106262" w:rsidRDefault="00106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09BE6" w14:textId="77777777" w:rsidR="00106262" w:rsidRDefault="00106262" w:rsidP="00A926E2">
      <w:r>
        <w:separator/>
      </w:r>
    </w:p>
  </w:footnote>
  <w:footnote w:type="continuationSeparator" w:id="0">
    <w:p w14:paraId="3ED307D6" w14:textId="77777777" w:rsidR="00106262" w:rsidRDefault="00106262" w:rsidP="00A926E2">
      <w:r>
        <w:continuationSeparator/>
      </w:r>
    </w:p>
  </w:footnote>
  <w:footnote w:type="continuationNotice" w:id="1">
    <w:p w14:paraId="7CB694DE" w14:textId="77777777" w:rsidR="00106262" w:rsidRDefault="00106262"/>
  </w:footnote>
  <w:footnote w:id="2">
    <w:p w14:paraId="10AF2965" w14:textId="2809EB25" w:rsidR="00106262" w:rsidRPr="0017228C" w:rsidRDefault="00106262">
      <w:pPr>
        <w:pStyle w:val="FootnoteText"/>
        <w:rPr>
          <w:lang w:val="en-US"/>
        </w:rPr>
      </w:pPr>
      <w:r>
        <w:rPr>
          <w:rStyle w:val="FootnoteReference"/>
        </w:rPr>
        <w:footnoteRef/>
      </w:r>
      <w:r>
        <w:t xml:space="preserve"> Referred to as ‘periodic report’ throughout this document.</w:t>
      </w:r>
    </w:p>
  </w:footnote>
  <w:footnote w:id="3">
    <w:p w14:paraId="629CB73B" w14:textId="77777777" w:rsidR="00106262" w:rsidRPr="006C3A97" w:rsidRDefault="00106262">
      <w:pPr>
        <w:pStyle w:val="FootnoteText"/>
        <w:rPr>
          <w:rFonts w:cs="Times New Roman"/>
        </w:rPr>
      </w:pPr>
      <w:r w:rsidRPr="006C3A97">
        <w:rPr>
          <w:rStyle w:val="FootnoteReference"/>
          <w:rFonts w:cs="Times New Roman"/>
        </w:rPr>
        <w:footnoteRef/>
      </w:r>
      <w:r w:rsidRPr="006C3A97">
        <w:rPr>
          <w:rFonts w:cs="Times New Roman"/>
        </w:rPr>
        <w:t xml:space="preserve"> In this report, First Nations people, Indigenous people and Aboriginal and Torres Strait Islander people are used interchangeably. See Australia’s Common Core Document (2023) for further information.</w:t>
      </w:r>
    </w:p>
  </w:footnote>
  <w:footnote w:id="4">
    <w:p w14:paraId="56030CF8" w14:textId="33D9BA57" w:rsidR="00106262" w:rsidRPr="006C3A97" w:rsidRDefault="00106262" w:rsidP="008607E1">
      <w:pPr>
        <w:pStyle w:val="FootnoteText"/>
        <w:rPr>
          <w:rFonts w:cs="Times New Roman"/>
        </w:rPr>
      </w:pPr>
      <w:r w:rsidRPr="006C3A97">
        <w:rPr>
          <w:rStyle w:val="FootnoteReference"/>
          <w:rFonts w:cs="Times New Roman"/>
        </w:rPr>
        <w:footnoteRef/>
      </w:r>
      <w:r w:rsidRPr="006C3A97">
        <w:rPr>
          <w:rFonts w:cs="Times New Roman"/>
        </w:rPr>
        <w:t xml:space="preserve"> The Australian Government funds 6 National Women’s Alliances to elevate the voices of Australian women by engaging with the community and working with government in the following priority areas: women’s safety; women’s economic security and leadership; women from culturally and linguistically diverse backgrounds; First nations women; women living in rural, regional and remote areas of Australia; and women with disability.</w:t>
      </w:r>
    </w:p>
  </w:footnote>
  <w:footnote w:id="5">
    <w:p w14:paraId="61410663" w14:textId="26D87AEB" w:rsidR="00106262" w:rsidRPr="006C3A97" w:rsidRDefault="00106262" w:rsidP="0049600E">
      <w:pPr>
        <w:pStyle w:val="FootnoteText"/>
        <w:rPr>
          <w:rFonts w:ascii="Times New Roman" w:hAnsi="Times New Roman" w:cs="Times New Roman"/>
        </w:rPr>
      </w:pPr>
      <w:r w:rsidRPr="006C3A97">
        <w:rPr>
          <w:rStyle w:val="FootnoteReference"/>
          <w:rFonts w:cs="Times New Roman"/>
        </w:rPr>
        <w:footnoteRef/>
      </w:r>
      <w:r w:rsidRPr="006C3A97">
        <w:rPr>
          <w:rFonts w:cs="Times New Roman"/>
        </w:rPr>
        <w:t xml:space="preserve"> For example, the </w:t>
      </w:r>
      <w:r w:rsidRPr="006C3A97">
        <w:rPr>
          <w:rFonts w:cs="Times New Roman"/>
          <w:i/>
        </w:rPr>
        <w:t xml:space="preserve">Australian Health Sector Emergency Response Plan for Novel Coronavirus (COVID-19) </w:t>
      </w:r>
      <w:r w:rsidRPr="006C3A97">
        <w:rPr>
          <w:rFonts w:cs="Times New Roman"/>
        </w:rPr>
        <w:t>and the</w:t>
      </w:r>
      <w:r w:rsidRPr="006C3A97">
        <w:rPr>
          <w:rFonts w:cs="Times New Roman"/>
          <w:i/>
        </w:rPr>
        <w:t xml:space="preserve"> National COVID-19 Health Management Plan for 2023</w:t>
      </w:r>
      <w:r w:rsidRPr="006C3A97">
        <w:rPr>
          <w:rFonts w:cs="Times New Roman"/>
        </w:rPr>
        <w:t xml:space="preserve">. Australia was one of the first countries in the world to recognise the mental health impacts of the pandemic and develop a </w:t>
      </w:r>
      <w:r w:rsidRPr="006C3A97">
        <w:rPr>
          <w:rFonts w:cs="Times New Roman"/>
          <w:i/>
        </w:rPr>
        <w:t>National Mental Health and Wellbeing Pandemic Response Plan</w:t>
      </w:r>
      <w:r w:rsidRPr="006C3A97">
        <w:rPr>
          <w:rFonts w:cs="Times New Roman"/>
        </w:rPr>
        <w:t>, released in May 2020.</w:t>
      </w:r>
    </w:p>
  </w:footnote>
  <w:footnote w:id="6">
    <w:p w14:paraId="24D1C837" w14:textId="77777777" w:rsidR="00106262" w:rsidRPr="006C3A97" w:rsidRDefault="00106262">
      <w:pPr>
        <w:pStyle w:val="FootnoteText"/>
        <w:rPr>
          <w:rFonts w:cstheme="minorHAnsi"/>
        </w:rPr>
      </w:pPr>
      <w:r w:rsidRPr="006C3A97">
        <w:rPr>
          <w:rStyle w:val="FootnoteReference"/>
          <w:rFonts w:cstheme="minorHAnsi"/>
        </w:rPr>
        <w:footnoteRef/>
      </w:r>
      <w:r w:rsidRPr="006C3A97">
        <w:rPr>
          <w:rFonts w:cstheme="minorHAnsi"/>
        </w:rPr>
        <w:t xml:space="preserve"> Source: World Health Organization </w:t>
      </w:r>
      <w:hyperlink r:id="rId1" w:anchor="capacityscore" w:history="1">
        <w:r w:rsidRPr="006C3A97">
          <w:rPr>
            <w:rStyle w:val="Hyperlink"/>
            <w:rFonts w:cstheme="minorHAnsi"/>
          </w:rPr>
          <w:t>https://extranet.who.int/e-spar#capacityscore</w:t>
        </w:r>
      </w:hyperlink>
    </w:p>
  </w:footnote>
  <w:footnote w:id="7">
    <w:p w14:paraId="493BA627" w14:textId="4823AC9D" w:rsidR="00106262" w:rsidRPr="006C3A97" w:rsidRDefault="00106262">
      <w:pPr>
        <w:pStyle w:val="FootnoteText"/>
      </w:pPr>
      <w:r w:rsidRPr="006C3A97">
        <w:rPr>
          <w:rStyle w:val="FootnoteReference"/>
          <w:rFonts w:cstheme="minorHAnsi"/>
        </w:rPr>
        <w:footnoteRef/>
      </w:r>
      <w:r w:rsidRPr="006C3A97">
        <w:rPr>
          <w:rFonts w:cstheme="minorHAnsi"/>
        </w:rPr>
        <w:t xml:space="preserve"> UNFP, Trends in Maternal Mortality: 1990 to 2015 – estimates by WHO, UNICEF, UNFPA, the World Bank and the UN Population Division, United Nations, New York, 2015.</w:t>
      </w:r>
    </w:p>
  </w:footnote>
  <w:footnote w:id="8">
    <w:p w14:paraId="1EFAA2D3" w14:textId="77777777" w:rsidR="00106262" w:rsidRPr="006C3A97" w:rsidRDefault="00106262">
      <w:pPr>
        <w:pStyle w:val="FootnoteText"/>
        <w:rPr>
          <w:rFonts w:cs="Times New Roman"/>
        </w:rPr>
      </w:pPr>
      <w:r w:rsidRPr="006C3A97">
        <w:rPr>
          <w:rStyle w:val="FootnoteReference"/>
          <w:rFonts w:cs="Times New Roman"/>
        </w:rPr>
        <w:footnoteRef/>
      </w:r>
      <w:r w:rsidRPr="006C3A97">
        <w:rPr>
          <w:rFonts w:cs="Times New Roman"/>
        </w:rPr>
        <w:t xml:space="preserve"> Source: </w:t>
      </w:r>
      <w:hyperlink r:id="rId2" w:history="1">
        <w:r w:rsidRPr="006C3A97">
          <w:rPr>
            <w:rStyle w:val="Hyperlink"/>
            <w:rFonts w:cs="Times New Roman"/>
          </w:rPr>
          <w:t>Independent Evaluation of the JobKeeper Payment Final Report (treasury.gov.au)</w:t>
        </w:r>
      </w:hyperlink>
    </w:p>
  </w:footnote>
  <w:footnote w:id="9">
    <w:p w14:paraId="10453F03" w14:textId="77777777" w:rsidR="00106262" w:rsidRPr="006C3A97" w:rsidRDefault="00106262">
      <w:pPr>
        <w:pStyle w:val="FootnoteText"/>
        <w:rPr>
          <w:rFonts w:cs="Times New Roman"/>
        </w:rPr>
      </w:pPr>
      <w:r w:rsidRPr="006C3A97">
        <w:rPr>
          <w:rStyle w:val="FootnoteReference"/>
          <w:rFonts w:cs="Times New Roman"/>
        </w:rPr>
        <w:footnoteRef/>
      </w:r>
      <w:r w:rsidRPr="006C3A97">
        <w:rPr>
          <w:rFonts w:cs="Times New Roman"/>
        </w:rPr>
        <w:t xml:space="preserve"> Source: </w:t>
      </w:r>
      <w:hyperlink r:id="rId3" w:history="1">
        <w:r w:rsidRPr="006C3A97">
          <w:rPr>
            <w:rStyle w:val="Hyperlink"/>
            <w:rFonts w:cs="Times New Roman"/>
          </w:rPr>
          <w:t>Who can get Parental Leave Pay for a child born or adopted from 1 July 2023 - Parental Leave Pay for a child born or adopted from 1 July 2023 - Services Australia</w:t>
        </w:r>
      </w:hyperlink>
    </w:p>
  </w:footnote>
  <w:footnote w:id="10">
    <w:p w14:paraId="4B8F1F12" w14:textId="77777777" w:rsidR="00106262" w:rsidRPr="006C3A97" w:rsidRDefault="00106262" w:rsidP="0001503B">
      <w:pPr>
        <w:pStyle w:val="FootnoteText"/>
        <w:rPr>
          <w:rFonts w:cs="Times New Roman"/>
        </w:rPr>
      </w:pPr>
      <w:r w:rsidRPr="006C3A97">
        <w:rPr>
          <w:rStyle w:val="FootnoteReference"/>
          <w:rFonts w:cs="Times New Roman"/>
        </w:rPr>
        <w:footnoteRef/>
      </w:r>
      <w:r w:rsidRPr="006C3A97">
        <w:rPr>
          <w:rFonts w:cs="Times New Roman"/>
        </w:rPr>
        <w:t xml:space="preserve"> In Australia, superannuation is money put aside by employers over a person’s working life for them to live on when they retire from work. Australia's superannuation system is the main way people save for their retirement.</w:t>
      </w:r>
    </w:p>
  </w:footnote>
  <w:footnote w:id="11">
    <w:p w14:paraId="4CA7CC3B" w14:textId="77777777" w:rsidR="00106262" w:rsidRPr="006C3A97" w:rsidRDefault="00106262">
      <w:pPr>
        <w:pStyle w:val="FootnoteText"/>
        <w:rPr>
          <w:rFonts w:ascii="Times New Roman" w:hAnsi="Times New Roman" w:cs="Times New Roman"/>
        </w:rPr>
      </w:pPr>
      <w:r w:rsidRPr="006C3A97">
        <w:rPr>
          <w:rStyle w:val="FootnoteReference"/>
          <w:rFonts w:cs="Times New Roman"/>
        </w:rPr>
        <w:footnoteRef/>
      </w:r>
      <w:r w:rsidRPr="006C3A97">
        <w:rPr>
          <w:rFonts w:cs="Times New Roman"/>
        </w:rPr>
        <w:t xml:space="preserve"> Source: </w:t>
      </w:r>
      <w:hyperlink r:id="rId4" w:history="1">
        <w:r w:rsidRPr="006C3A97">
          <w:rPr>
            <w:rStyle w:val="Hyperlink"/>
            <w:rFonts w:cs="Times New Roman"/>
          </w:rPr>
          <w:t>Marriages in Australia | Australian Institute of Family Studies (aifs.gov.au)</w:t>
        </w:r>
      </w:hyperlink>
    </w:p>
  </w:footnote>
  <w:footnote w:id="12">
    <w:p w14:paraId="5C52D357" w14:textId="77777777" w:rsidR="00106262" w:rsidRPr="006C3A97" w:rsidRDefault="00106262">
      <w:pPr>
        <w:pStyle w:val="FootnoteText"/>
        <w:rPr>
          <w:rFonts w:cs="Times New Roman"/>
        </w:rPr>
      </w:pPr>
      <w:r w:rsidRPr="006C3A97">
        <w:rPr>
          <w:rStyle w:val="FootnoteReference"/>
          <w:rFonts w:cs="Times New Roman"/>
        </w:rPr>
        <w:footnoteRef/>
      </w:r>
      <w:r w:rsidRPr="006C3A97">
        <w:rPr>
          <w:rFonts w:cs="Times New Roman"/>
        </w:rPr>
        <w:t xml:space="preserve"> Following these reforms to ADVO duration, the NSW Bureau of Crime Statistics and Research released a report in November 2023 on the impact of ADVO duration on offending and breaches. See NSW Bureau of Crime Statistics and Research, “The long and short of it: The impact of Apprehended Domestic Violence Order duration on offending and breaches”, (A Teperski and S Boiteux), Crime and Justice Bulletin, Number 261, November 2023.</w:t>
      </w:r>
    </w:p>
  </w:footnote>
  <w:footnote w:id="13">
    <w:p w14:paraId="70829DA0" w14:textId="77777777" w:rsidR="00106262" w:rsidRPr="006C3A97" w:rsidRDefault="00106262" w:rsidP="00825918">
      <w:pPr>
        <w:pStyle w:val="FootnoteText"/>
        <w:rPr>
          <w:rFonts w:ascii="Times New Roman" w:hAnsi="Times New Roman" w:cs="Times New Roman"/>
        </w:rPr>
      </w:pPr>
      <w:r w:rsidRPr="006C3A97">
        <w:rPr>
          <w:rStyle w:val="FootnoteReference"/>
          <w:rFonts w:cs="Times New Roman"/>
        </w:rPr>
        <w:footnoteRef/>
      </w:r>
      <w:r w:rsidRPr="006C3A97">
        <w:rPr>
          <w:rFonts w:cs="Times New Roman"/>
        </w:rPr>
        <w:t xml:space="preserve"> See NSW Bureau of Crime Statistics and Research, “The long and short of it: The impact of Apprehended Domestic Violence Order duration on offending and breaches”, (A Teperski and S Boiteux), Crime and Justice Bulletin, Number 261, November 2023.</w:t>
      </w:r>
    </w:p>
  </w:footnote>
  <w:footnote w:id="14">
    <w:p w14:paraId="646F85CC" w14:textId="7E0AB223" w:rsidR="00106262" w:rsidRPr="006C3A97" w:rsidRDefault="00106262">
      <w:pPr>
        <w:pStyle w:val="FootnoteText"/>
      </w:pPr>
      <w:r w:rsidRPr="006C3A97">
        <w:rPr>
          <w:rStyle w:val="FootnoteReference"/>
        </w:rPr>
        <w:footnoteRef/>
      </w:r>
      <w:r w:rsidRPr="006C3A97">
        <w:t xml:space="preserve"> See, </w:t>
      </w:r>
      <w:hyperlink r:id="rId5" w:history="1">
        <w:r w:rsidRPr="006C3A97">
          <w:rPr>
            <w:rStyle w:val="Hyperlink"/>
          </w:rPr>
          <w:t xml:space="preserve">Standing Council of Attorneys-General Working Group Report Executive Summary Consistency of Sexual Harassment and Sex Discrimination laws in Australia. </w:t>
        </w:r>
      </w:hyperlink>
    </w:p>
  </w:footnote>
  <w:footnote w:id="15">
    <w:p w14:paraId="5DE5E7FA" w14:textId="77777777" w:rsidR="00106262" w:rsidRPr="006C3A97" w:rsidRDefault="00106262">
      <w:pPr>
        <w:pStyle w:val="FootnoteText"/>
        <w:rPr>
          <w:rFonts w:cs="Times New Roman"/>
        </w:rPr>
      </w:pPr>
      <w:r w:rsidRPr="006C3A97">
        <w:rPr>
          <w:rStyle w:val="FootnoteReference"/>
          <w:rFonts w:cs="Times New Roman"/>
        </w:rPr>
        <w:footnoteRef/>
      </w:r>
      <w:r w:rsidRPr="006C3A97">
        <w:rPr>
          <w:rFonts w:cs="Times New Roman"/>
        </w:rPr>
        <w:t xml:space="preserve"> See </w:t>
      </w:r>
      <w:hyperlink r:id="rId6" w:anchor=":~:text=On%2029%20April%202016%2C%20The,the%20state%20and%20territory%20level." w:history="1">
        <w:r w:rsidRPr="006C3A97">
          <w:rPr>
            <w:rStyle w:val="Hyperlink"/>
            <w:rFonts w:cs="Times New Roman"/>
          </w:rPr>
          <w:t>Government response to the Productivity Commission's report into Access to Justice Arrangements | Attorney-General's Department (ag.gov.au)</w:t>
        </w:r>
      </w:hyperlink>
    </w:p>
  </w:footnote>
  <w:footnote w:id="16">
    <w:p w14:paraId="58014E8A" w14:textId="77777777" w:rsidR="00106262" w:rsidRPr="006C3A97" w:rsidRDefault="00106262">
      <w:pPr>
        <w:pStyle w:val="FootnoteText"/>
        <w:rPr>
          <w:rFonts w:cs="Times New Roman"/>
        </w:rPr>
      </w:pPr>
      <w:r w:rsidRPr="006C3A97">
        <w:rPr>
          <w:rStyle w:val="FootnoteReference"/>
          <w:rFonts w:cs="Times New Roman"/>
        </w:rPr>
        <w:footnoteRef/>
      </w:r>
      <w:r w:rsidRPr="006C3A97">
        <w:rPr>
          <w:rFonts w:cs="Times New Roman"/>
        </w:rPr>
        <w:t xml:space="preserve"> See </w:t>
      </w:r>
      <w:hyperlink r:id="rId7" w:history="1">
        <w:r w:rsidRPr="006C3A97">
          <w:rPr>
            <w:rStyle w:val="Hyperlink"/>
            <w:rFonts w:cs="Times New Roman"/>
          </w:rPr>
          <w:t>Government Response to ALRC Report 135: Family Law for the Future – An Inquiry into the Family Law System (ag.gov.au)</w:t>
        </w:r>
      </w:hyperlink>
    </w:p>
  </w:footnote>
  <w:footnote w:id="17">
    <w:p w14:paraId="452EF37A" w14:textId="77777777" w:rsidR="00106262" w:rsidRPr="006C3A97" w:rsidRDefault="00106262">
      <w:pPr>
        <w:pStyle w:val="FootnoteText"/>
        <w:rPr>
          <w:rFonts w:ascii="Times New Roman" w:hAnsi="Times New Roman" w:cs="Times New Roman"/>
        </w:rPr>
      </w:pPr>
      <w:r w:rsidRPr="006C3A97">
        <w:rPr>
          <w:rStyle w:val="FootnoteReference"/>
          <w:rFonts w:cs="Times New Roman"/>
        </w:rPr>
        <w:footnoteRef/>
      </w:r>
      <w:r w:rsidRPr="006C3A97">
        <w:rPr>
          <w:rFonts w:cs="Times New Roman"/>
        </w:rPr>
        <w:t xml:space="preserve"> Source: </w:t>
      </w:r>
      <w:hyperlink r:id="rId8" w:history="1">
        <w:r w:rsidRPr="006C3A97">
          <w:rPr>
            <w:rStyle w:val="Hyperlink"/>
            <w:rFonts w:cs="Times New Roman"/>
          </w:rPr>
          <w:t>2022 National Profile of Solicitors - Final.pdf (lawsociety.com.au)</w:t>
        </w:r>
      </w:hyperlink>
    </w:p>
  </w:footnote>
  <w:footnote w:id="18">
    <w:p w14:paraId="353F6603" w14:textId="77777777" w:rsidR="00106262" w:rsidRPr="006C3A97" w:rsidRDefault="00106262">
      <w:pPr>
        <w:pStyle w:val="FootnoteText"/>
        <w:rPr>
          <w:rFonts w:cs="Times New Roman"/>
        </w:rPr>
      </w:pPr>
      <w:r w:rsidRPr="006C3A97">
        <w:rPr>
          <w:rStyle w:val="FootnoteReference"/>
          <w:rFonts w:cs="Times New Roman"/>
        </w:rPr>
        <w:footnoteRef/>
      </w:r>
      <w:r w:rsidRPr="006C3A97">
        <w:rPr>
          <w:rFonts w:cs="Times New Roman"/>
        </w:rPr>
        <w:t xml:space="preserve"> A list of exemptions can be found here: </w:t>
      </w:r>
      <w:hyperlink r:id="rId9" w:history="1">
        <w:r w:rsidRPr="006C3A97">
          <w:rPr>
            <w:rStyle w:val="Hyperlink"/>
            <w:rFonts w:cs="Times New Roman"/>
          </w:rPr>
          <w:t>Exemption applications under the Sex Discrimination Act 1984 (Cth) | Australian Human Rights Commission</w:t>
        </w:r>
      </w:hyperlink>
    </w:p>
  </w:footnote>
  <w:footnote w:id="19">
    <w:p w14:paraId="5C3960FF" w14:textId="77777777" w:rsidR="00106262" w:rsidRPr="006C3A97" w:rsidRDefault="00106262" w:rsidP="001B3CF8">
      <w:pPr>
        <w:pStyle w:val="FootnoteText"/>
        <w:rPr>
          <w:rFonts w:ascii="Times New Roman" w:hAnsi="Times New Roman" w:cs="Times New Roman"/>
        </w:rPr>
      </w:pPr>
      <w:r w:rsidRPr="006C3A97">
        <w:rPr>
          <w:rStyle w:val="FootnoteReference"/>
          <w:rFonts w:cs="Times New Roman"/>
        </w:rPr>
        <w:footnoteRef/>
      </w:r>
      <w:r w:rsidRPr="006C3A97">
        <w:rPr>
          <w:rFonts w:cs="Times New Roman"/>
        </w:rPr>
        <w:t xml:space="preserve"> Technical and Further Education (TAFE) is a government-run system that provides education and vocational training after secondary school.</w:t>
      </w:r>
    </w:p>
  </w:footnote>
  <w:footnote w:id="20">
    <w:p w14:paraId="5A9538EC" w14:textId="131D55DD" w:rsidR="00106262" w:rsidRPr="006C3A97" w:rsidRDefault="00106262">
      <w:pPr>
        <w:pStyle w:val="FootnoteText"/>
        <w:rPr>
          <w:rFonts w:cs="Times New Roman"/>
          <w:color w:val="040C28"/>
        </w:rPr>
      </w:pPr>
      <w:r w:rsidRPr="006C3A97">
        <w:rPr>
          <w:rStyle w:val="FootnoteReference"/>
          <w:rFonts w:cs="Times New Roman"/>
        </w:rPr>
        <w:footnoteRef/>
      </w:r>
      <w:r w:rsidRPr="006C3A97">
        <w:rPr>
          <w:rFonts w:cs="Times New Roman"/>
        </w:rPr>
        <w:t xml:space="preserve"> </w:t>
      </w:r>
      <w:r w:rsidRPr="006C3A97">
        <w:rPr>
          <w:rFonts w:cs="Times New Roman"/>
          <w:color w:val="040C28"/>
        </w:rPr>
        <w:t xml:space="preserve">All financial figures in this report are in Australian dollars. </w:t>
      </w:r>
    </w:p>
  </w:footnote>
  <w:footnote w:id="21">
    <w:p w14:paraId="204B03A9" w14:textId="77777777" w:rsidR="00106262" w:rsidRPr="006C3A97" w:rsidRDefault="00106262">
      <w:pPr>
        <w:pStyle w:val="FootnoteText"/>
        <w:rPr>
          <w:rFonts w:ascii="Times New Roman" w:hAnsi="Times New Roman" w:cs="Times New Roman"/>
        </w:rPr>
      </w:pPr>
      <w:r w:rsidRPr="006C3A97">
        <w:rPr>
          <w:rStyle w:val="FootnoteReference"/>
          <w:rFonts w:cs="Times New Roman"/>
        </w:rPr>
        <w:footnoteRef/>
      </w:r>
      <w:r w:rsidRPr="006C3A97">
        <w:rPr>
          <w:rFonts w:cs="Times New Roman"/>
        </w:rPr>
        <w:t xml:space="preserve"> </w:t>
      </w:r>
      <w:r w:rsidRPr="006C3A97">
        <w:rPr>
          <w:rFonts w:cs="Times New Roman"/>
          <w:color w:val="040C28"/>
        </w:rPr>
        <w:t>Lesbian, gay, bisexual, transgender, intersex, queer/questioning, asexual.</w:t>
      </w:r>
    </w:p>
  </w:footnote>
  <w:footnote w:id="22">
    <w:p w14:paraId="78D828E2" w14:textId="77777777" w:rsidR="00106262" w:rsidRPr="006C3A97" w:rsidRDefault="00106262" w:rsidP="00207660">
      <w:pPr>
        <w:pStyle w:val="FootnoteText"/>
        <w:rPr>
          <w:rFonts w:cs="Times New Roman"/>
        </w:rPr>
      </w:pPr>
      <w:r w:rsidRPr="006C3A97">
        <w:rPr>
          <w:rStyle w:val="FootnoteReference"/>
          <w:rFonts w:cs="Times New Roman"/>
        </w:rPr>
        <w:footnoteRef/>
      </w:r>
      <w:r w:rsidRPr="006C3A97">
        <w:rPr>
          <w:rFonts w:cs="Times New Roman"/>
        </w:rPr>
        <w:t xml:space="preserve"> See </w:t>
      </w:r>
      <w:hyperlink r:id="rId10" w:history="1">
        <w:r w:rsidRPr="006C3A97">
          <w:rPr>
            <w:rStyle w:val="Hyperlink"/>
            <w:rFonts w:cs="Times New Roman"/>
          </w:rPr>
          <w:t>Modern Slavery Statements Register (modernslaveryregister.gov.au)</w:t>
        </w:r>
      </w:hyperlink>
    </w:p>
  </w:footnote>
  <w:footnote w:id="23">
    <w:p w14:paraId="17A552AD" w14:textId="77777777" w:rsidR="00106262" w:rsidRPr="006C3A97" w:rsidRDefault="00106262" w:rsidP="00817BD0">
      <w:pPr>
        <w:pStyle w:val="FootnoteText"/>
        <w:rPr>
          <w:rFonts w:cs="Times New Roman"/>
        </w:rPr>
      </w:pPr>
      <w:r w:rsidRPr="006C3A97">
        <w:rPr>
          <w:rStyle w:val="FootnoteReference"/>
          <w:rFonts w:cs="Times New Roman"/>
        </w:rPr>
        <w:footnoteRef/>
      </w:r>
      <w:r w:rsidRPr="006C3A97">
        <w:rPr>
          <w:rFonts w:cs="Times New Roman"/>
        </w:rPr>
        <w:t xml:space="preserve"> Victorian Government, </w:t>
      </w:r>
      <w:r w:rsidRPr="006C3A97">
        <w:rPr>
          <w:rFonts w:cs="Times New Roman"/>
          <w:i/>
        </w:rPr>
        <w:t>Decriminalising sex work in Victoria</w:t>
      </w:r>
      <w:r w:rsidRPr="006C3A97">
        <w:rPr>
          <w:rFonts w:cs="Times New Roman"/>
        </w:rPr>
        <w:t xml:space="preserve"> (Web Page) &lt; </w:t>
      </w:r>
      <w:hyperlink r:id="rId11" w:history="1">
        <w:r w:rsidRPr="006C3A97">
          <w:rPr>
            <w:rStyle w:val="Hyperlink"/>
            <w:rFonts w:cs="Times New Roman"/>
          </w:rPr>
          <w:t>Decriminalising sex work in Victoria | vic.gov.au (www.vic.gov.au)</w:t>
        </w:r>
      </w:hyperlink>
      <w:r w:rsidRPr="006C3A97">
        <w:rPr>
          <w:rFonts w:cs="Times New Roman"/>
        </w:rPr>
        <w:t xml:space="preserve">&gt;; </w:t>
      </w:r>
      <w:r w:rsidRPr="006C3A97">
        <w:rPr>
          <w:rFonts w:cs="Times New Roman"/>
          <w:i/>
        </w:rPr>
        <w:t xml:space="preserve">Sex Work Decriminalisation Act 2022 </w:t>
      </w:r>
      <w:r w:rsidRPr="006C3A97">
        <w:rPr>
          <w:rFonts w:cs="Times New Roman"/>
        </w:rPr>
        <w:t>(Vic) s 34.</w:t>
      </w:r>
    </w:p>
  </w:footnote>
  <w:footnote w:id="24">
    <w:p w14:paraId="3C6171F7" w14:textId="77777777" w:rsidR="00106262" w:rsidRPr="006C3A97" w:rsidRDefault="00106262">
      <w:pPr>
        <w:pStyle w:val="FootnoteText"/>
        <w:rPr>
          <w:rFonts w:cs="Times New Roman"/>
        </w:rPr>
      </w:pPr>
      <w:r w:rsidRPr="006C3A97">
        <w:rPr>
          <w:rStyle w:val="FootnoteReference"/>
          <w:rFonts w:cs="Times New Roman"/>
        </w:rPr>
        <w:footnoteRef/>
      </w:r>
      <w:r w:rsidRPr="006C3A97">
        <w:rPr>
          <w:rFonts w:cs="Times New Roman"/>
        </w:rPr>
        <w:t xml:space="preserve"> Source: </w:t>
      </w:r>
      <w:hyperlink r:id="rId12" w:history="1">
        <w:r w:rsidRPr="006C3A97">
          <w:rPr>
            <w:rStyle w:val="Hyperlink"/>
            <w:rFonts w:cs="Times New Roman"/>
          </w:rPr>
          <w:t>Cultural diversity in the 47th Parliament: a quick guide – Parliament of Australia (aph.gov.au)</w:t>
        </w:r>
      </w:hyperlink>
    </w:p>
  </w:footnote>
  <w:footnote w:id="25">
    <w:p w14:paraId="015DF6A3" w14:textId="77777777" w:rsidR="00106262" w:rsidRPr="006C3A97" w:rsidRDefault="00106262">
      <w:pPr>
        <w:pStyle w:val="FootnoteText"/>
        <w:rPr>
          <w:rFonts w:cs="Times New Roman"/>
        </w:rPr>
      </w:pPr>
      <w:r w:rsidRPr="006C3A97">
        <w:rPr>
          <w:rStyle w:val="FootnoteReference"/>
          <w:rFonts w:cs="Times New Roman"/>
        </w:rPr>
        <w:footnoteRef/>
      </w:r>
      <w:r w:rsidRPr="006C3A97">
        <w:rPr>
          <w:rFonts w:cs="Times New Roman"/>
        </w:rPr>
        <w:t xml:space="preserve"> Source: </w:t>
      </w:r>
      <w:hyperlink r:id="rId13" w:history="1">
        <w:r w:rsidRPr="006C3A97">
          <w:rPr>
            <w:rStyle w:val="Hyperlink"/>
            <w:rFonts w:cs="Times New Roman"/>
          </w:rPr>
          <w:t>www.pmc.gov.au/office-women/womens-leadership/gender-balance-australian-government-boards</w:t>
        </w:r>
      </w:hyperlink>
    </w:p>
  </w:footnote>
  <w:footnote w:id="26">
    <w:p w14:paraId="722C326E" w14:textId="6FB62E20" w:rsidR="00106262" w:rsidRPr="006C3A97" w:rsidRDefault="00106262">
      <w:pPr>
        <w:pStyle w:val="FootnoteText"/>
        <w:rPr>
          <w:rFonts w:cs="Times New Roman"/>
        </w:rPr>
      </w:pPr>
      <w:r w:rsidRPr="006C3A97">
        <w:rPr>
          <w:rStyle w:val="FootnoteReference"/>
          <w:rFonts w:cs="Times New Roman"/>
        </w:rPr>
        <w:footnoteRef/>
      </w:r>
      <w:r w:rsidRPr="006C3A97">
        <w:t xml:space="preserve"> </w:t>
      </w:r>
      <w:r w:rsidRPr="006C3A97">
        <w:rPr>
          <w:rFonts w:cs="Times New Roman"/>
          <w:color w:val="202124"/>
          <w:shd w:val="clear" w:color="auto" w:fill="FFFFFF"/>
        </w:rPr>
        <w:t>The Order of Australia </w:t>
      </w:r>
      <w:r w:rsidRPr="006C3A97">
        <w:rPr>
          <w:rFonts w:cs="Times New Roman"/>
          <w:color w:val="040C28"/>
        </w:rPr>
        <w:t>recognises Australians who have demonstrated outstanding service or exceptional achievement</w:t>
      </w:r>
      <w:r w:rsidRPr="006C3A97">
        <w:rPr>
          <w:rFonts w:cs="Times New Roman"/>
          <w:color w:val="202124"/>
          <w:shd w:val="clear" w:color="auto" w:fill="FFFFFF"/>
        </w:rPr>
        <w:t>. There are four levels of award. The Order of Australia also has a Military Division (awards in this division are recommended to the Governor-General by the Minister for Defence). It is administered by the Office of the Official Secretary to the Governor-General Secretariat and is governed by the Constitution of the Order of Australia.</w:t>
      </w:r>
    </w:p>
  </w:footnote>
  <w:footnote w:id="27">
    <w:p w14:paraId="2D861272" w14:textId="3749A0EC" w:rsidR="00106262" w:rsidRPr="006C3A97" w:rsidRDefault="00106262">
      <w:pPr>
        <w:pStyle w:val="FootnoteText"/>
        <w:rPr>
          <w:rFonts w:ascii="Times New Roman" w:hAnsi="Times New Roman" w:cs="Times New Roman"/>
          <w:color w:val="202124"/>
          <w:shd w:val="clear" w:color="auto" w:fill="FFFFFF"/>
        </w:rPr>
      </w:pPr>
      <w:r w:rsidRPr="006C3A97">
        <w:rPr>
          <w:rStyle w:val="FootnoteReference"/>
        </w:rPr>
        <w:footnoteRef/>
      </w:r>
      <w:r w:rsidRPr="006C3A97">
        <w:t xml:space="preserve"> </w:t>
      </w:r>
      <w:r w:rsidRPr="006C3A97">
        <w:rPr>
          <w:rFonts w:cs="Times New Roman"/>
          <w:color w:val="202124"/>
          <w:shd w:val="clear" w:color="auto" w:fill="FFFFFF"/>
        </w:rPr>
        <w:t>There are 4 levels of the Order of Australia, which are recognised across two Divisions (General and Military): the Companion of the Order (AC) highest level of award; Officer of the Order (AO), Member of the Order (AM), and Medal of the Order (OAM).</w:t>
      </w:r>
      <w:r w:rsidRPr="006C3A97">
        <w:rPr>
          <w:rFonts w:ascii="Times New Roman" w:hAnsi="Times New Roman" w:cs="Times New Roman"/>
          <w:color w:val="202124"/>
          <w:shd w:val="clear" w:color="auto" w:fill="FFFFFF"/>
        </w:rPr>
        <w:t xml:space="preserve"> </w:t>
      </w:r>
    </w:p>
  </w:footnote>
  <w:footnote w:id="28">
    <w:p w14:paraId="0CCB7FE5" w14:textId="77777777" w:rsidR="00106262" w:rsidRPr="006C3A97" w:rsidRDefault="00106262">
      <w:pPr>
        <w:pStyle w:val="FootnoteText"/>
        <w:rPr>
          <w:rFonts w:cs="Times New Roman"/>
        </w:rPr>
      </w:pPr>
      <w:r w:rsidRPr="006C3A97">
        <w:rPr>
          <w:rStyle w:val="FootnoteReference"/>
          <w:rFonts w:cs="Times New Roman"/>
        </w:rPr>
        <w:footnoteRef/>
      </w:r>
      <w:r w:rsidRPr="006C3A97">
        <w:rPr>
          <w:rFonts w:cs="Times New Roman"/>
        </w:rPr>
        <w:t xml:space="preserve"> </w:t>
      </w:r>
      <w:hyperlink r:id="rId14" w:history="1">
        <w:r w:rsidRPr="006C3A97">
          <w:rPr>
            <w:rStyle w:val="Hyperlink"/>
            <w:rFonts w:cs="Times New Roman"/>
          </w:rPr>
          <w:t>Additional Documents – Parliament of Australia (aph.gov.au)</w:t>
        </w:r>
      </w:hyperlink>
    </w:p>
  </w:footnote>
  <w:footnote w:id="29">
    <w:p w14:paraId="75F61BE7" w14:textId="77777777" w:rsidR="00106262" w:rsidRPr="006C3A97" w:rsidRDefault="00106262">
      <w:pPr>
        <w:pStyle w:val="FootnoteText"/>
        <w:rPr>
          <w:rFonts w:cs="Times New Roman"/>
        </w:rPr>
      </w:pPr>
      <w:r w:rsidRPr="006C3A97">
        <w:rPr>
          <w:rStyle w:val="FootnoteReference"/>
          <w:rFonts w:cs="Times New Roman"/>
        </w:rPr>
        <w:footnoteRef/>
      </w:r>
      <w:r w:rsidRPr="006C3A97">
        <w:rPr>
          <w:rFonts w:cs="Times New Roman"/>
        </w:rPr>
        <w:t xml:space="preserve"> </w:t>
      </w:r>
      <w:hyperlink r:id="rId15" w:history="1">
        <w:r w:rsidRPr="006C3A97">
          <w:rPr>
            <w:rStyle w:val="Hyperlink"/>
            <w:rFonts w:cs="Times New Roman"/>
          </w:rPr>
          <w:t>Parental leave - Fair Work Ombudsman</w:t>
        </w:r>
      </w:hyperlink>
    </w:p>
  </w:footnote>
  <w:footnote w:id="30">
    <w:p w14:paraId="7D995C98" w14:textId="77777777" w:rsidR="00106262" w:rsidRPr="006C3A97" w:rsidRDefault="00106262">
      <w:pPr>
        <w:pStyle w:val="FootnoteText"/>
        <w:rPr>
          <w:rFonts w:cs="Times New Roman"/>
        </w:rPr>
      </w:pPr>
      <w:r w:rsidRPr="006C3A97">
        <w:rPr>
          <w:rStyle w:val="FootnoteReference"/>
          <w:rFonts w:cs="Times New Roman"/>
        </w:rPr>
        <w:footnoteRef/>
      </w:r>
      <w:r w:rsidRPr="006C3A97">
        <w:rPr>
          <w:rFonts w:cs="Times New Roman"/>
        </w:rPr>
        <w:t xml:space="preserve"> </w:t>
      </w:r>
      <w:hyperlink r:id="rId16" w:history="1">
        <w:r w:rsidRPr="006C3A97">
          <w:rPr>
            <w:rStyle w:val="Hyperlink"/>
            <w:rFonts w:cs="Times New Roman"/>
          </w:rPr>
          <w:t>Working Parents: A quick guide to your rights | Australian Human Rights Commission</w:t>
        </w:r>
      </w:hyperlink>
    </w:p>
  </w:footnote>
  <w:footnote w:id="31">
    <w:p w14:paraId="7F823C8F" w14:textId="77777777" w:rsidR="00106262" w:rsidRPr="006C3A97" w:rsidRDefault="00106262" w:rsidP="007D4F38">
      <w:pPr>
        <w:pStyle w:val="FootnoteText"/>
        <w:rPr>
          <w:rFonts w:cs="Times New Roman"/>
        </w:rPr>
      </w:pPr>
      <w:r w:rsidRPr="006C3A97">
        <w:rPr>
          <w:rStyle w:val="FootnoteReference"/>
          <w:rFonts w:cs="Times New Roman"/>
        </w:rPr>
        <w:footnoteRef/>
      </w:r>
      <w:r w:rsidRPr="006C3A97">
        <w:rPr>
          <w:rFonts w:cs="Times New Roman"/>
        </w:rPr>
        <w:t xml:space="preserve"> </w:t>
      </w:r>
      <w:hyperlink r:id="rId17" w:history="1">
        <w:r w:rsidRPr="006C3A97">
          <w:rPr>
            <w:rStyle w:val="Hyperlink"/>
            <w:rFonts w:cs="Times New Roman"/>
          </w:rPr>
          <w:t>Understand your workplace rights - Department of Employment and Workplace Relations, Australian Government (dewr.gov.au)</w:t>
        </w:r>
      </w:hyperlink>
    </w:p>
  </w:footnote>
  <w:footnote w:id="32">
    <w:p w14:paraId="425A3834" w14:textId="77777777" w:rsidR="00106262" w:rsidRPr="006C3A97" w:rsidRDefault="00106262">
      <w:pPr>
        <w:pStyle w:val="FootnoteText"/>
        <w:rPr>
          <w:rFonts w:ascii="Times New Roman" w:hAnsi="Times New Roman" w:cs="Times New Roman"/>
        </w:rPr>
      </w:pPr>
      <w:r w:rsidRPr="006C3A97">
        <w:rPr>
          <w:rStyle w:val="FootnoteReference"/>
          <w:rFonts w:cs="Times New Roman"/>
        </w:rPr>
        <w:footnoteRef/>
      </w:r>
      <w:r w:rsidRPr="006C3A97">
        <w:rPr>
          <w:rFonts w:cs="Times New Roman"/>
        </w:rPr>
        <w:t xml:space="preserve"> </w:t>
      </w:r>
      <w:hyperlink r:id="rId18" w:history="1">
        <w:r w:rsidRPr="006C3A97">
          <w:rPr>
            <w:rStyle w:val="Hyperlink"/>
            <w:rFonts w:cs="Times New Roman"/>
          </w:rPr>
          <w:t>WGEA-Leading-Practice-Parental-Leave-Policy-Guide.pdf</w:t>
        </w:r>
      </w:hyperlink>
    </w:p>
  </w:footnote>
  <w:footnote w:id="33">
    <w:p w14:paraId="1A2AFF48" w14:textId="77777777" w:rsidR="00106262" w:rsidRPr="006C3A97" w:rsidRDefault="00106262">
      <w:pPr>
        <w:pStyle w:val="FootnoteText"/>
        <w:rPr>
          <w:rFonts w:cs="Times New Roman"/>
        </w:rPr>
      </w:pPr>
      <w:r w:rsidRPr="006C3A97">
        <w:rPr>
          <w:rStyle w:val="FootnoteReference"/>
          <w:rFonts w:cs="Times New Roman"/>
        </w:rPr>
        <w:footnoteRef/>
      </w:r>
      <w:r w:rsidRPr="006C3A97">
        <w:rPr>
          <w:rFonts w:cs="Times New Roman"/>
        </w:rPr>
        <w:t xml:space="preserve"> See </w:t>
      </w:r>
      <w:hyperlink r:id="rId19" w:history="1">
        <w:r w:rsidRPr="006C3A97">
          <w:rPr>
            <w:rStyle w:val="Hyperlink"/>
            <w:rFonts w:cs="Times New Roman"/>
          </w:rPr>
          <w:t>www.aph.gov.au/About_Parliament/Parliamentary_Leadership_Taskforce/Progress_of_recommendations</w:t>
        </w:r>
      </w:hyperlink>
      <w:r w:rsidRPr="006C3A97">
        <w:rPr>
          <w:rFonts w:cs="Times New Roman"/>
        </w:rPr>
        <w:t xml:space="preserve"> </w:t>
      </w:r>
    </w:p>
  </w:footnote>
  <w:footnote w:id="34">
    <w:p w14:paraId="7E901F34" w14:textId="77777777" w:rsidR="00106262" w:rsidRPr="006C3A97" w:rsidRDefault="00106262">
      <w:pPr>
        <w:pStyle w:val="FootnoteText"/>
        <w:rPr>
          <w:rFonts w:cs="Times New Roman"/>
        </w:rPr>
      </w:pPr>
      <w:r w:rsidRPr="006C3A97">
        <w:rPr>
          <w:rStyle w:val="FootnoteReference"/>
          <w:rFonts w:cs="Times New Roman"/>
        </w:rPr>
        <w:footnoteRef/>
      </w:r>
      <w:r w:rsidRPr="006C3A97">
        <w:rPr>
          <w:rFonts w:cs="Times New Roman"/>
        </w:rPr>
        <w:t xml:space="preserve"> The Medicare Benefits Schedule (MBS) is a list of health professional services that the Australian Government subsidises. MBS items provide patient benefits for a wide range of health services including consultations, diagnostic tests and operations.</w:t>
      </w:r>
    </w:p>
  </w:footnote>
  <w:footnote w:id="35">
    <w:p w14:paraId="7A0A1AFA" w14:textId="77777777" w:rsidR="00106262" w:rsidRPr="006C3A97" w:rsidRDefault="00106262">
      <w:pPr>
        <w:pStyle w:val="FootnoteText"/>
        <w:rPr>
          <w:rFonts w:cs="Times New Roman"/>
        </w:rPr>
      </w:pPr>
      <w:r w:rsidRPr="006C3A97">
        <w:rPr>
          <w:rStyle w:val="FootnoteReference"/>
          <w:rFonts w:cs="Times New Roman"/>
        </w:rPr>
        <w:footnoteRef/>
      </w:r>
      <w:r w:rsidRPr="006C3A97">
        <w:rPr>
          <w:rFonts w:cs="Times New Roman"/>
        </w:rPr>
        <w:t xml:space="preserve"> The Pharmaceutical Benefits Scheme (PBS) is an Australian Government program that benefits all Australians by subsidising medicines to make them more affordable</w:t>
      </w:r>
    </w:p>
  </w:footnote>
  <w:footnote w:id="36">
    <w:p w14:paraId="70B9EA38" w14:textId="77777777" w:rsidR="00106262" w:rsidRPr="006C3A97" w:rsidRDefault="00106262" w:rsidP="008B6CFE">
      <w:pPr>
        <w:pStyle w:val="FootnoteText"/>
        <w:rPr>
          <w:rFonts w:cs="Times New Roman"/>
        </w:rPr>
      </w:pPr>
      <w:r w:rsidRPr="006C3A97">
        <w:rPr>
          <w:rStyle w:val="FootnoteReference"/>
          <w:rFonts w:cs="Times New Roman"/>
        </w:rPr>
        <w:footnoteRef/>
      </w:r>
      <w:r w:rsidRPr="006C3A97">
        <w:rPr>
          <w:rStyle w:val="FootnoteReference"/>
          <w:rFonts w:cs="Times New Roman"/>
        </w:rPr>
        <w:t xml:space="preserve"> </w:t>
      </w:r>
      <w:r w:rsidRPr="006C3A97">
        <w:rPr>
          <w:rFonts w:cs="Times New Roman"/>
        </w:rPr>
        <w:t>The NHRA is an agreement between the Australian Government and all state and territory governments. It is the key mechanism for the transparency, governance and financing of Australia’s public hospital system.</w:t>
      </w:r>
    </w:p>
    <w:p w14:paraId="275B5ADC" w14:textId="77777777" w:rsidR="00106262" w:rsidRPr="006C3A97" w:rsidRDefault="00106262">
      <w:pPr>
        <w:pStyle w:val="FootnoteText"/>
        <w:rPr>
          <w:rFonts w:ascii="Times New Roman" w:hAnsi="Times New Roman" w:cs="Times New Roman"/>
        </w:rPr>
      </w:pPr>
    </w:p>
  </w:footnote>
  <w:footnote w:id="37">
    <w:p w14:paraId="76B96EC7" w14:textId="77777777" w:rsidR="00106262" w:rsidRPr="006C3A97" w:rsidRDefault="00106262">
      <w:pPr>
        <w:pStyle w:val="FootnoteText"/>
        <w:rPr>
          <w:rFonts w:cs="Times New Roman"/>
        </w:rPr>
      </w:pPr>
      <w:r w:rsidRPr="006C3A97">
        <w:rPr>
          <w:rStyle w:val="FootnoteReference"/>
          <w:rFonts w:cs="Times New Roman"/>
        </w:rPr>
        <w:footnoteRef/>
      </w:r>
      <w:r w:rsidRPr="006C3A97">
        <w:rPr>
          <w:rFonts w:cs="Times New Roman"/>
        </w:rPr>
        <w:t xml:space="preserve"> </w:t>
      </w:r>
      <w:r w:rsidRPr="006C3A97">
        <w:rPr>
          <w:rFonts w:cs="Times New Roman"/>
          <w:i/>
        </w:rPr>
        <w:t>Health Act 1993</w:t>
      </w:r>
      <w:r w:rsidRPr="006C3A97">
        <w:rPr>
          <w:rFonts w:cs="Times New Roman"/>
        </w:rPr>
        <w:t xml:space="preserve"> (ACT); </w:t>
      </w:r>
      <w:r w:rsidRPr="006C3A97">
        <w:rPr>
          <w:rFonts w:cs="Times New Roman"/>
          <w:i/>
          <w:lang w:val="en-NZ"/>
        </w:rPr>
        <w:t xml:space="preserve">Abortion Law Reform Act 2019 </w:t>
      </w:r>
      <w:r w:rsidRPr="006C3A97">
        <w:rPr>
          <w:rFonts w:cs="Times New Roman"/>
          <w:lang w:val="en-NZ"/>
        </w:rPr>
        <w:t>(NSW);</w:t>
      </w:r>
      <w:r w:rsidRPr="006C3A97">
        <w:rPr>
          <w:rFonts w:cs="Times New Roman"/>
          <w:i/>
          <w:lang w:val="en-NZ"/>
        </w:rPr>
        <w:t xml:space="preserve"> Termination of Pregnancy Law Reform Act 2017</w:t>
      </w:r>
      <w:r w:rsidRPr="006C3A97">
        <w:rPr>
          <w:rFonts w:cs="Times New Roman"/>
          <w:lang w:val="en-NZ"/>
        </w:rPr>
        <w:t xml:space="preserve"> (NT); </w:t>
      </w:r>
      <w:r w:rsidRPr="006C3A97">
        <w:rPr>
          <w:rFonts w:cs="Times New Roman"/>
          <w:i/>
          <w:lang w:val="en-NZ"/>
        </w:rPr>
        <w:t xml:space="preserve">Termination of Pregnancy Act 2018 </w:t>
      </w:r>
      <w:r w:rsidRPr="006C3A97">
        <w:rPr>
          <w:rFonts w:cs="Times New Roman"/>
          <w:lang w:val="en-NZ"/>
        </w:rPr>
        <w:t xml:space="preserve">(QLD); </w:t>
      </w:r>
      <w:r w:rsidRPr="006C3A97">
        <w:rPr>
          <w:rFonts w:cs="Times New Roman"/>
          <w:i/>
          <w:lang w:val="en-NZ"/>
        </w:rPr>
        <w:t xml:space="preserve">Termination of Pregnancy Act 2021 </w:t>
      </w:r>
      <w:r w:rsidRPr="006C3A97">
        <w:rPr>
          <w:rFonts w:cs="Times New Roman"/>
          <w:lang w:val="en-NZ"/>
        </w:rPr>
        <w:t>(SA);</w:t>
      </w:r>
      <w:r w:rsidRPr="006C3A97">
        <w:rPr>
          <w:rFonts w:cs="Times New Roman"/>
          <w:i/>
          <w:lang w:val="en-NZ"/>
        </w:rPr>
        <w:t xml:space="preserve"> Termination of Pregnancy Regulations 2022 </w:t>
      </w:r>
      <w:r w:rsidRPr="006C3A97">
        <w:rPr>
          <w:rFonts w:cs="Times New Roman"/>
          <w:lang w:val="en-NZ"/>
        </w:rPr>
        <w:t>(SA);</w:t>
      </w:r>
      <w:r w:rsidRPr="006C3A97">
        <w:rPr>
          <w:rFonts w:cs="Times New Roman"/>
          <w:i/>
          <w:lang w:val="en-NZ"/>
        </w:rPr>
        <w:t xml:space="preserve"> Reproductive Health (Access to Terminations) Act 2013</w:t>
      </w:r>
      <w:r w:rsidRPr="006C3A97">
        <w:rPr>
          <w:rFonts w:cs="Times New Roman"/>
          <w:lang w:val="en-NZ"/>
        </w:rPr>
        <w:t xml:space="preserve"> (Tas); </w:t>
      </w:r>
      <w:r w:rsidRPr="006C3A97">
        <w:rPr>
          <w:rFonts w:cs="Times New Roman"/>
          <w:i/>
          <w:lang w:val="en-NZ"/>
        </w:rPr>
        <w:t xml:space="preserve">Abortion Law Reform Act 2008 </w:t>
      </w:r>
      <w:r w:rsidRPr="006C3A97">
        <w:rPr>
          <w:rFonts w:cs="Times New Roman"/>
          <w:lang w:val="en-NZ"/>
        </w:rPr>
        <w:t xml:space="preserve">(Vic); </w:t>
      </w:r>
      <w:r w:rsidRPr="006C3A97">
        <w:rPr>
          <w:rFonts w:cs="Times New Roman"/>
          <w:i/>
          <w:lang w:val="en-NZ"/>
        </w:rPr>
        <w:t>Abortion Legislation Reform Act 2023</w:t>
      </w:r>
      <w:r w:rsidRPr="006C3A97">
        <w:rPr>
          <w:rFonts w:cs="Times New Roman"/>
          <w:lang w:val="en-NZ"/>
        </w:rPr>
        <w:t xml:space="preserve"> (WA). </w:t>
      </w:r>
    </w:p>
  </w:footnote>
  <w:footnote w:id="38">
    <w:p w14:paraId="42DBC5B9" w14:textId="77777777" w:rsidR="00106262" w:rsidRPr="006C3A97" w:rsidRDefault="00106262" w:rsidP="00CE165B">
      <w:pPr>
        <w:pStyle w:val="FootnoteText"/>
        <w:rPr>
          <w:rFonts w:cs="Times New Roman"/>
        </w:rPr>
      </w:pPr>
      <w:r w:rsidRPr="006C3A97">
        <w:rPr>
          <w:rStyle w:val="FootnoteReference"/>
          <w:rFonts w:cs="Times New Roman"/>
        </w:rPr>
        <w:footnoteRef/>
      </w:r>
      <w:r w:rsidRPr="006C3A97">
        <w:rPr>
          <w:rFonts w:cs="Times New Roman"/>
        </w:rPr>
        <w:t xml:space="preserve"> </w:t>
      </w:r>
      <w:r w:rsidRPr="006C3A97">
        <w:rPr>
          <w:rFonts w:cs="Times New Roman"/>
          <w:i/>
        </w:rPr>
        <w:t>Health (Patient Privacy) Amendment Act 2015</w:t>
      </w:r>
      <w:r w:rsidRPr="006C3A97">
        <w:rPr>
          <w:rFonts w:cs="Times New Roman"/>
        </w:rPr>
        <w:t xml:space="preserve"> (ACT)</w:t>
      </w:r>
      <w:r w:rsidRPr="006C3A97">
        <w:rPr>
          <w:rFonts w:cs="Times New Roman"/>
          <w:iCs/>
        </w:rPr>
        <w:t>;</w:t>
      </w:r>
      <w:r w:rsidRPr="006C3A97">
        <w:rPr>
          <w:rFonts w:cs="Times New Roman"/>
        </w:rPr>
        <w:t xml:space="preserve"> </w:t>
      </w:r>
      <w:r w:rsidRPr="006C3A97">
        <w:rPr>
          <w:rFonts w:cs="Times New Roman"/>
          <w:i/>
        </w:rPr>
        <w:t>Public Health Amendment (Safe Access to Reproductive Health Clinics) Act 2018</w:t>
      </w:r>
      <w:r w:rsidRPr="006C3A97">
        <w:rPr>
          <w:rFonts w:cs="Times New Roman"/>
        </w:rPr>
        <w:t xml:space="preserve"> (NSW); </w:t>
      </w:r>
      <w:r w:rsidRPr="006C3A97">
        <w:rPr>
          <w:rFonts w:cs="Times New Roman"/>
          <w:i/>
          <w:lang w:val="en-NZ"/>
        </w:rPr>
        <w:t>Termination of Pregnancy Law Reform Act 2017</w:t>
      </w:r>
      <w:r w:rsidRPr="006C3A97">
        <w:rPr>
          <w:rFonts w:cs="Times New Roman"/>
          <w:lang w:val="en-NZ"/>
        </w:rPr>
        <w:t xml:space="preserve"> (NT); </w:t>
      </w:r>
      <w:r w:rsidRPr="006C3A97">
        <w:rPr>
          <w:rFonts w:cs="Times New Roman"/>
          <w:i/>
        </w:rPr>
        <w:t>Termination of Pregnancy Act 2018</w:t>
      </w:r>
      <w:r w:rsidRPr="006C3A97">
        <w:rPr>
          <w:rFonts w:cs="Times New Roman"/>
        </w:rPr>
        <w:t xml:space="preserve"> (Qld); Health Care (Safe Access) Amendment Act 2020 (SA); </w:t>
      </w:r>
      <w:r w:rsidRPr="006C3A97">
        <w:rPr>
          <w:rFonts w:cs="Times New Roman"/>
          <w:i/>
          <w:lang w:val="en-NZ"/>
        </w:rPr>
        <w:t>Reproductive Health (Access to Terminations) Act 2013</w:t>
      </w:r>
      <w:r w:rsidRPr="006C3A97">
        <w:rPr>
          <w:rFonts w:cs="Times New Roman"/>
          <w:lang w:val="en-NZ"/>
        </w:rPr>
        <w:t xml:space="preserve"> (Tas); </w:t>
      </w:r>
      <w:r w:rsidRPr="006C3A97">
        <w:rPr>
          <w:rFonts w:cs="Times New Roman"/>
          <w:i/>
        </w:rPr>
        <w:t>Public Health and Wellbeing Amendment (Safe Access Zones) Act 2015</w:t>
      </w:r>
      <w:r w:rsidRPr="006C3A97">
        <w:rPr>
          <w:rFonts w:cs="Times New Roman"/>
        </w:rPr>
        <w:t xml:space="preserve"> (Vic); </w:t>
      </w:r>
      <w:r w:rsidRPr="006C3A97">
        <w:rPr>
          <w:rFonts w:cs="Times New Roman"/>
          <w:i/>
        </w:rPr>
        <w:t>Public Health Amendment (Safe Access Zones) Act 2021</w:t>
      </w:r>
      <w:r w:rsidRPr="006C3A97">
        <w:rPr>
          <w:rFonts w:cs="Times New Roman"/>
        </w:rPr>
        <w:t xml:space="preserve"> (WA).</w:t>
      </w:r>
    </w:p>
  </w:footnote>
  <w:footnote w:id="39">
    <w:p w14:paraId="043D26BF" w14:textId="77777777" w:rsidR="00106262" w:rsidRPr="006C3A97" w:rsidRDefault="00106262" w:rsidP="00F13949">
      <w:pPr>
        <w:pStyle w:val="FootnoteText"/>
        <w:rPr>
          <w:rFonts w:ascii="Times New Roman" w:hAnsi="Times New Roman" w:cs="Times New Roman"/>
        </w:rPr>
      </w:pPr>
      <w:r w:rsidRPr="006C3A97">
        <w:rPr>
          <w:rStyle w:val="FootnoteReference"/>
          <w:rFonts w:cs="Times New Roman"/>
        </w:rPr>
        <w:footnoteRef/>
      </w:r>
      <w:r w:rsidRPr="006C3A97">
        <w:rPr>
          <w:rFonts w:cs="Times New Roman"/>
        </w:rPr>
        <w:t xml:space="preserve"> Conscientious objection provisions are found in jurisdictional legislation outlined in Footnote 30.</w:t>
      </w:r>
      <w:r w:rsidRPr="006C3A97">
        <w:rPr>
          <w:rFonts w:ascii="Times New Roman" w:hAnsi="Times New Roman" w:cs="Times New Roman"/>
        </w:rPr>
        <w:t xml:space="preserve"> </w:t>
      </w:r>
    </w:p>
  </w:footnote>
  <w:footnote w:id="40">
    <w:p w14:paraId="39042D60" w14:textId="77777777" w:rsidR="00106262" w:rsidRPr="006C3A97" w:rsidRDefault="00106262">
      <w:pPr>
        <w:pStyle w:val="FootnoteText"/>
        <w:rPr>
          <w:rFonts w:ascii="Calibri" w:hAnsi="Calibri" w:cs="Times New Roman"/>
        </w:rPr>
      </w:pPr>
      <w:r w:rsidRPr="006C3A97">
        <w:rPr>
          <w:rStyle w:val="FootnoteReference"/>
          <w:rFonts w:ascii="Calibri" w:hAnsi="Calibri" w:cs="Times New Roman"/>
        </w:rPr>
        <w:footnoteRef/>
      </w:r>
      <w:r w:rsidRPr="006C3A97">
        <w:rPr>
          <w:rFonts w:ascii="Calibri" w:hAnsi="Calibri" w:cs="Times New Roman"/>
        </w:rPr>
        <w:t xml:space="preserve"> For example, see </w:t>
      </w:r>
      <w:hyperlink r:id="rId20" w:history="1">
        <w:r w:rsidRPr="006C3A97">
          <w:rPr>
            <w:rStyle w:val="Hyperlink"/>
            <w:rFonts w:ascii="Calibri" w:hAnsi="Calibri" w:cs="Times New Roman"/>
          </w:rPr>
          <w:t>What we're doing about mental health | Australian Government Department of Health and Aged Care</w:t>
        </w:r>
      </w:hyperlink>
    </w:p>
  </w:footnote>
  <w:footnote w:id="41">
    <w:p w14:paraId="2493768E" w14:textId="61243BB6" w:rsidR="00106262" w:rsidRPr="006C3A97" w:rsidRDefault="00106262">
      <w:pPr>
        <w:pStyle w:val="FootnoteText"/>
      </w:pPr>
      <w:r w:rsidRPr="006C3A97">
        <w:rPr>
          <w:rStyle w:val="FootnoteReference"/>
        </w:rPr>
        <w:footnoteRef/>
      </w:r>
      <w:r w:rsidRPr="006C3A97">
        <w:t xml:space="preserve"> Howard-Wagner, D, 2021, ‘Increased incarceration of First Nations women is interwoven with the experience of violence and trauma’ The Conversation (online article, 6 August 2021) </w:t>
      </w:r>
      <w:hyperlink r:id="rId21" w:history="1">
        <w:r w:rsidRPr="006C3A97">
          <w:rPr>
            <w:rStyle w:val="Hyperlink"/>
          </w:rPr>
          <w:t>Increased incarceration of First Nations women</w:t>
        </w:r>
      </w:hyperlink>
    </w:p>
  </w:footnote>
  <w:footnote w:id="42">
    <w:p w14:paraId="704D9A5B" w14:textId="77777777" w:rsidR="00106262" w:rsidRPr="006C3A97" w:rsidRDefault="00106262" w:rsidP="00F7691C">
      <w:pPr>
        <w:pStyle w:val="FootnoteText"/>
        <w:rPr>
          <w:rFonts w:cs="Times New Roman"/>
          <w:lang w:val="en-NZ"/>
        </w:rPr>
      </w:pPr>
      <w:r w:rsidRPr="006C3A97">
        <w:rPr>
          <w:rStyle w:val="FootnoteReference"/>
          <w:rFonts w:cs="Times New Roman"/>
        </w:rPr>
        <w:footnoteRef/>
      </w:r>
      <w:r w:rsidRPr="006C3A97">
        <w:rPr>
          <w:rFonts w:cs="Times New Roman"/>
        </w:rPr>
        <w:t xml:space="preserve"> </w:t>
      </w:r>
      <w:hyperlink r:id="rId22" w:history="1">
        <w:r w:rsidRPr="006C3A97">
          <w:rPr>
            <w:rFonts w:cs="Times New Roman"/>
            <w:lang w:val="en-NZ"/>
          </w:rPr>
          <w:t>Guiding Principles for Corrections in Australia (act.gov.au)</w:t>
        </w:r>
      </w:hyperlink>
    </w:p>
  </w:footnote>
  <w:footnote w:id="43">
    <w:p w14:paraId="3848E61E" w14:textId="694F729A" w:rsidR="00106262" w:rsidRPr="006C3A97" w:rsidRDefault="00106262" w:rsidP="00B27116">
      <w:pPr>
        <w:shd w:val="clear" w:color="auto" w:fill="FFFFFF"/>
        <w:rPr>
          <w:rFonts w:ascii="Times New Roman" w:hAnsi="Times New Roman" w:cs="Times New Roman"/>
          <w:sz w:val="20"/>
          <w:szCs w:val="20"/>
          <w:lang w:val="en-NZ"/>
        </w:rPr>
      </w:pPr>
      <w:r w:rsidRPr="006C3A97">
        <w:rPr>
          <w:rStyle w:val="FootnoteReference"/>
          <w:rFonts w:cs="Times New Roman"/>
          <w:sz w:val="20"/>
          <w:szCs w:val="20"/>
        </w:rPr>
        <w:footnoteRef/>
      </w:r>
      <w:r w:rsidRPr="006C3A97">
        <w:rPr>
          <w:rFonts w:cs="Times New Roman"/>
          <w:sz w:val="20"/>
          <w:szCs w:val="20"/>
        </w:rPr>
        <w:t xml:space="preserve"> </w:t>
      </w:r>
      <w:r w:rsidRPr="006C3A97">
        <w:rPr>
          <w:rFonts w:cs="Times New Roman"/>
          <w:sz w:val="20"/>
          <w:szCs w:val="20"/>
          <w:lang w:val="en-NZ"/>
        </w:rPr>
        <w:t>Sistergirl is a term used by Aboriginal and Torres Strait Islander people to describe gender diverse people that have a female spirit and take on female roles within the community, including looking after children and</w:t>
      </w:r>
      <w:r w:rsidRPr="006C3A97">
        <w:rPr>
          <w:rFonts w:cs="Times New Roman"/>
          <w:sz w:val="20"/>
          <w:szCs w:val="20"/>
        </w:rPr>
        <w:t xml:space="preserve"> </w:t>
      </w:r>
      <w:r w:rsidRPr="006C3A97">
        <w:rPr>
          <w:rFonts w:cs="Times New Roman"/>
          <w:sz w:val="20"/>
          <w:szCs w:val="20"/>
          <w:lang w:val="en-NZ"/>
        </w:rPr>
        <w:t xml:space="preserve">family. How the word Sistergirl is used can differ between locations, countries and nations. Sistergirls might be non-binary, female or male. Ref: </w:t>
      </w:r>
      <w:hyperlink r:id="rId23" w:history="1">
        <w:r w:rsidRPr="006C3A97">
          <w:rPr>
            <w:rStyle w:val="Hyperlink"/>
            <w:rFonts w:cs="Times New Roman"/>
            <w:sz w:val="20"/>
            <w:szCs w:val="20"/>
            <w:lang w:val="en-NZ"/>
          </w:rPr>
          <w:t>TransMob</w:t>
        </w:r>
      </w:hyperlink>
      <w:r w:rsidRPr="006C3A97">
        <w:rPr>
          <w:rFonts w:cs="Times New Roman"/>
          <w:sz w:val="20"/>
          <w:szCs w:val="20"/>
          <w:lang w:val="en-NZ"/>
        </w:rPr>
        <w:t>.</w:t>
      </w:r>
    </w:p>
  </w:footnote>
  <w:footnote w:id="44">
    <w:p w14:paraId="6C279722" w14:textId="77777777" w:rsidR="00106262" w:rsidRPr="006C3A97" w:rsidRDefault="00106262">
      <w:pPr>
        <w:pStyle w:val="FootnoteText"/>
        <w:rPr>
          <w:rFonts w:cs="Times New Roman"/>
          <w:lang w:val="en-NZ"/>
        </w:rPr>
      </w:pPr>
      <w:r w:rsidRPr="006C3A97">
        <w:rPr>
          <w:rStyle w:val="FootnoteReference"/>
          <w:rFonts w:cs="Times New Roman"/>
        </w:rPr>
        <w:footnoteRef/>
      </w:r>
      <w:r w:rsidRPr="006C3A97">
        <w:rPr>
          <w:rFonts w:cs="Times New Roman"/>
        </w:rPr>
        <w:t xml:space="preserve"> </w:t>
      </w:r>
      <w:r w:rsidRPr="006C3A97">
        <w:rPr>
          <w:rFonts w:cs="Times New Roman"/>
          <w:lang w:val="en-NZ"/>
        </w:rPr>
        <w:t>Eg. Australian Law Reform Commission’s Family Law for the Future – An Inquiry into the Family Law System and the Joint Select Committee on Australia's Family Law System Inquiry.</w:t>
      </w:r>
    </w:p>
  </w:footnote>
  <w:footnote w:id="45">
    <w:p w14:paraId="6FE7A928" w14:textId="30512EA0" w:rsidR="00106262" w:rsidRPr="006C3A97" w:rsidRDefault="00106262">
      <w:pPr>
        <w:pStyle w:val="FootnoteText"/>
      </w:pPr>
      <w:r w:rsidRPr="006C3A97">
        <w:rPr>
          <w:rStyle w:val="FootnoteReference"/>
        </w:rPr>
        <w:footnoteRef/>
      </w:r>
      <w:r w:rsidRPr="006C3A97">
        <w:t xml:space="preserve"> See, </w:t>
      </w:r>
      <w:hyperlink r:id="rId24" w:history="1">
        <w:r w:rsidRPr="006C3A97">
          <w:rPr>
            <w:rStyle w:val="Hyperlink"/>
          </w:rPr>
          <w:t>Report of the Implementation of the Sustainable Development Goals (dfat.gov.au)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564" w14:textId="77777777" w:rsidR="00106262" w:rsidRDefault="00106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5E982" w14:textId="743F3626" w:rsidR="00106262" w:rsidRPr="005E32B5" w:rsidRDefault="00106262">
    <w:pPr>
      <w:pStyle w:val="Header"/>
      <w:rPr>
        <w:i/>
        <w:color w:val="404040" w:themeColor="text1" w:themeTint="BF"/>
        <w:sz w:val="28"/>
        <w:lang w:val="en-US"/>
      </w:rPr>
    </w:pPr>
    <w:r w:rsidRPr="005E32B5">
      <w:rPr>
        <w:color w:val="404040" w:themeColor="text1" w:themeTint="BF"/>
        <w:sz w:val="28"/>
        <w:lang w:val="en-US"/>
      </w:rPr>
      <w:t xml:space="preserve">DRAFT </w:t>
    </w:r>
    <w:r>
      <w:rPr>
        <w:color w:val="404040" w:themeColor="text1" w:themeTint="BF"/>
        <w:sz w:val="28"/>
        <w:lang w:val="en-US"/>
      </w:rPr>
      <w:t xml:space="preserve">PERIODIC REPORT </w:t>
    </w:r>
    <w:r w:rsidRPr="005E32B5">
      <w:rPr>
        <w:i/>
        <w:color w:val="404040" w:themeColor="text1" w:themeTint="BF"/>
        <w:sz w:val="28"/>
        <w:lang w:val="en-US"/>
      </w:rPr>
      <w:t xml:space="preserve">[September 2024]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36B1" w14:textId="77777777" w:rsidR="00106262" w:rsidRDefault="00106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F49"/>
    <w:multiLevelType w:val="multilevel"/>
    <w:tmpl w:val="09A2F3A0"/>
    <w:lvl w:ilvl="0">
      <w:start w:val="1"/>
      <w:numFmt w:val="bullet"/>
      <w:pStyle w:val="Bullet"/>
      <w:lvlText w:val="•"/>
      <w:lvlJc w:val="left"/>
      <w:pPr>
        <w:tabs>
          <w:tab w:val="num" w:pos="1287"/>
        </w:tabs>
        <w:ind w:left="1287" w:hanging="567"/>
      </w:pPr>
      <w:rPr>
        <w:rFonts w:ascii="Times New Roman" w:hAnsi="Times New Roman" w:cs="Times New Roman"/>
        <w:b/>
        <w:color w:val="000000"/>
        <w:sz w:val="34"/>
        <w:szCs w:val="34"/>
      </w:rPr>
    </w:lvl>
    <w:lvl w:ilvl="1">
      <w:start w:val="1"/>
      <w:numFmt w:val="bullet"/>
      <w:pStyle w:val="Dash"/>
      <w:lvlText w:val="–"/>
      <w:lvlJc w:val="left"/>
      <w:pPr>
        <w:tabs>
          <w:tab w:val="num" w:pos="1854"/>
        </w:tabs>
        <w:ind w:left="1854" w:hanging="567"/>
      </w:pPr>
      <w:rPr>
        <w:rFonts w:ascii="Times New Roman" w:hAnsi="Times New Roman" w:cs="Times New Roman"/>
        <w:color w:val="000000"/>
      </w:rPr>
    </w:lvl>
    <w:lvl w:ilvl="2">
      <w:start w:val="1"/>
      <w:numFmt w:val="bullet"/>
      <w:pStyle w:val="DoubleDot"/>
      <w:lvlText w:val=""/>
      <w:lvlJc w:val="left"/>
      <w:pPr>
        <w:tabs>
          <w:tab w:val="num" w:pos="2421"/>
        </w:tabs>
        <w:ind w:left="2421" w:hanging="567"/>
      </w:pPr>
      <w:rPr>
        <w:rFonts w:ascii="Wingdings" w:hAnsi="Wingdings" w:hint="default"/>
        <w:color w:val="000000"/>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 w15:restartNumberingAfterBreak="0">
    <w:nsid w:val="03550C6F"/>
    <w:multiLevelType w:val="hybridMultilevel"/>
    <w:tmpl w:val="5EBE12EC"/>
    <w:lvl w:ilvl="0" w:tplc="BD40E4A4">
      <w:start w:val="1"/>
      <w:numFmt w:val="decimal"/>
      <w:lvlText w:val="%1."/>
      <w:lvlJc w:val="left"/>
      <w:pPr>
        <w:ind w:left="1353" w:hanging="360"/>
      </w:pPr>
      <w:rPr>
        <w:i w:val="0"/>
        <w:iCs w:val="0"/>
      </w:rPr>
    </w:lvl>
    <w:lvl w:ilvl="1" w:tplc="08090019">
      <w:start w:val="1"/>
      <w:numFmt w:val="lowerLetter"/>
      <w:lvlText w:val="%2."/>
      <w:lvlJc w:val="left"/>
      <w:pPr>
        <w:ind w:left="2574" w:hanging="360"/>
      </w:pPr>
    </w:lvl>
    <w:lvl w:ilvl="2" w:tplc="0C090001">
      <w:start w:val="1"/>
      <w:numFmt w:val="bullet"/>
      <w:lvlText w:val=""/>
      <w:lvlJc w:val="left"/>
      <w:pPr>
        <w:ind w:left="3294" w:hanging="180"/>
      </w:pPr>
      <w:rPr>
        <w:rFonts w:ascii="Symbol" w:hAnsi="Symbol"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17E4C53"/>
    <w:multiLevelType w:val="hybridMultilevel"/>
    <w:tmpl w:val="AEDCB6AC"/>
    <w:lvl w:ilvl="0" w:tplc="0C090001">
      <w:start w:val="1"/>
      <w:numFmt w:val="bullet"/>
      <w:lvlText w:val=""/>
      <w:lvlJc w:val="left"/>
      <w:pPr>
        <w:ind w:left="2520" w:hanging="360"/>
      </w:pPr>
      <w:rPr>
        <w:rFonts w:ascii="Symbol" w:hAnsi="Symbol" w:hint="default"/>
        <w:i w:val="0"/>
        <w:iCs w:val="0"/>
      </w:rPr>
    </w:lvl>
    <w:lvl w:ilvl="1" w:tplc="0C090001">
      <w:start w:val="1"/>
      <w:numFmt w:val="bullet"/>
      <w:lvlText w:val=""/>
      <w:lvlJc w:val="left"/>
      <w:pPr>
        <w:ind w:left="3741" w:hanging="360"/>
      </w:pPr>
      <w:rPr>
        <w:rFonts w:ascii="Symbol" w:hAnsi="Symbol" w:hint="default"/>
      </w:rPr>
    </w:lvl>
    <w:lvl w:ilvl="2" w:tplc="0809001B">
      <w:start w:val="1"/>
      <w:numFmt w:val="lowerRoman"/>
      <w:lvlText w:val="%3."/>
      <w:lvlJc w:val="right"/>
      <w:pPr>
        <w:ind w:left="4461" w:hanging="180"/>
      </w:pPr>
    </w:lvl>
    <w:lvl w:ilvl="3" w:tplc="0809000F" w:tentative="1">
      <w:start w:val="1"/>
      <w:numFmt w:val="decimal"/>
      <w:lvlText w:val="%4."/>
      <w:lvlJc w:val="left"/>
      <w:pPr>
        <w:ind w:left="5181" w:hanging="360"/>
      </w:pPr>
    </w:lvl>
    <w:lvl w:ilvl="4" w:tplc="08090019" w:tentative="1">
      <w:start w:val="1"/>
      <w:numFmt w:val="lowerLetter"/>
      <w:lvlText w:val="%5."/>
      <w:lvlJc w:val="left"/>
      <w:pPr>
        <w:ind w:left="5901" w:hanging="360"/>
      </w:pPr>
    </w:lvl>
    <w:lvl w:ilvl="5" w:tplc="0809001B" w:tentative="1">
      <w:start w:val="1"/>
      <w:numFmt w:val="lowerRoman"/>
      <w:lvlText w:val="%6."/>
      <w:lvlJc w:val="right"/>
      <w:pPr>
        <w:ind w:left="6621" w:hanging="180"/>
      </w:pPr>
    </w:lvl>
    <w:lvl w:ilvl="6" w:tplc="0809000F" w:tentative="1">
      <w:start w:val="1"/>
      <w:numFmt w:val="decimal"/>
      <w:lvlText w:val="%7."/>
      <w:lvlJc w:val="left"/>
      <w:pPr>
        <w:ind w:left="7341" w:hanging="360"/>
      </w:pPr>
    </w:lvl>
    <w:lvl w:ilvl="7" w:tplc="08090019" w:tentative="1">
      <w:start w:val="1"/>
      <w:numFmt w:val="lowerLetter"/>
      <w:lvlText w:val="%8."/>
      <w:lvlJc w:val="left"/>
      <w:pPr>
        <w:ind w:left="8061" w:hanging="360"/>
      </w:pPr>
    </w:lvl>
    <w:lvl w:ilvl="8" w:tplc="0809001B" w:tentative="1">
      <w:start w:val="1"/>
      <w:numFmt w:val="lowerRoman"/>
      <w:lvlText w:val="%9."/>
      <w:lvlJc w:val="right"/>
      <w:pPr>
        <w:ind w:left="8781" w:hanging="180"/>
      </w:pPr>
    </w:lvl>
  </w:abstractNum>
  <w:abstractNum w:abstractNumId="3" w15:restartNumberingAfterBreak="0">
    <w:nsid w:val="19440BD0"/>
    <w:multiLevelType w:val="hybridMultilevel"/>
    <w:tmpl w:val="85CA2C5A"/>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C54EBC"/>
    <w:multiLevelType w:val="hybridMultilevel"/>
    <w:tmpl w:val="FA960D52"/>
    <w:lvl w:ilvl="0" w:tplc="F514AEE8">
      <w:start w:val="1"/>
      <w:numFmt w:val="bullet"/>
      <w:pStyle w:val="Keypoints"/>
      <w:lvlText w:val=""/>
      <w:lvlJc w:val="left"/>
      <w:pPr>
        <w:ind w:left="1074" w:hanging="360"/>
      </w:pPr>
      <w:rPr>
        <w:rFonts w:ascii="Symbol" w:hAnsi="Symbol" w:hint="default"/>
      </w:rPr>
    </w:lvl>
    <w:lvl w:ilvl="1" w:tplc="68DC3242">
      <w:start w:val="1"/>
      <w:numFmt w:val="bullet"/>
      <w:pStyle w:val="Subkeypoint"/>
      <w:lvlText w:val="o"/>
      <w:lvlJc w:val="left"/>
      <w:pPr>
        <w:ind w:left="1794" w:hanging="587"/>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5" w15:restartNumberingAfterBreak="0">
    <w:nsid w:val="3B754351"/>
    <w:multiLevelType w:val="hybridMultilevel"/>
    <w:tmpl w:val="C33E9F66"/>
    <w:lvl w:ilvl="0" w:tplc="BD40E4A4">
      <w:start w:val="1"/>
      <w:numFmt w:val="decimal"/>
      <w:pStyle w:val="Numbers"/>
      <w:lvlText w:val="%1."/>
      <w:lvlJc w:val="left"/>
      <w:pPr>
        <w:ind w:left="2629" w:hanging="360"/>
      </w:pPr>
      <w:rPr>
        <w:i w:val="0"/>
        <w:iCs w:val="0"/>
      </w:rPr>
    </w:lvl>
    <w:lvl w:ilvl="1" w:tplc="0C090001">
      <w:start w:val="1"/>
      <w:numFmt w:val="bullet"/>
      <w:lvlText w:val=""/>
      <w:lvlJc w:val="left"/>
      <w:pPr>
        <w:ind w:left="2574" w:hanging="360"/>
      </w:pPr>
      <w:rPr>
        <w:rFonts w:ascii="Symbol" w:hAnsi="Symbol" w:hint="default"/>
      </w:r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4F6464FF"/>
    <w:multiLevelType w:val="hybridMultilevel"/>
    <w:tmpl w:val="9A14639C"/>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0C090001">
      <w:start w:val="1"/>
      <w:numFmt w:val="bullet"/>
      <w:lvlText w:val=""/>
      <w:lvlJc w:val="left"/>
      <w:pPr>
        <w:ind w:left="360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0E3256"/>
    <w:multiLevelType w:val="hybridMultilevel"/>
    <w:tmpl w:val="D200FF02"/>
    <w:lvl w:ilvl="0" w:tplc="35488512">
      <w:start w:val="1"/>
      <w:numFmt w:val="decimal"/>
      <w:pStyle w:val="Paragraph"/>
      <w:lvlText w:val="%1."/>
      <w:lvlJc w:val="left"/>
      <w:pPr>
        <w:ind w:left="360" w:hanging="360"/>
      </w:pPr>
      <w:rPr>
        <w:rFonts w:hint="default"/>
        <w:b w:val="0"/>
        <w:i w:val="0"/>
        <w:color w:val="000000" w:themeColor="text1"/>
      </w:rPr>
    </w:lvl>
    <w:lvl w:ilvl="1" w:tplc="7EAC2608">
      <w:start w:val="1"/>
      <w:numFmt w:val="lowerLetter"/>
      <w:lvlText w:val="%2."/>
      <w:lvlJc w:val="left"/>
      <w:pPr>
        <w:ind w:left="1080" w:hanging="360"/>
      </w:pPr>
      <w:rPr>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7B62FDB"/>
    <w:multiLevelType w:val="hybridMultilevel"/>
    <w:tmpl w:val="FD400FB4"/>
    <w:lvl w:ilvl="0" w:tplc="4380F844">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4E5E95"/>
    <w:multiLevelType w:val="hybridMultilevel"/>
    <w:tmpl w:val="7A2C8D3A"/>
    <w:lvl w:ilvl="0" w:tplc="08090019">
      <w:start w:val="1"/>
      <w:numFmt w:val="lowerLetter"/>
      <w:lvlText w:val="%1."/>
      <w:lvlJc w:val="left"/>
      <w:pPr>
        <w:ind w:left="257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E933D3"/>
    <w:multiLevelType w:val="hybridMultilevel"/>
    <w:tmpl w:val="FCF2521C"/>
    <w:lvl w:ilvl="0" w:tplc="19A04FDC">
      <w:start w:val="1"/>
      <w:numFmt w:val="bullet"/>
      <w:pStyle w:val="Dotpoint"/>
      <w:lvlText w:val=""/>
      <w:lvlJc w:val="left"/>
      <w:pPr>
        <w:ind w:left="502" w:hanging="360"/>
      </w:pPr>
      <w:rPr>
        <w:rFonts w:ascii="Symbol" w:hAnsi="Symbol" w:hint="default"/>
      </w:rPr>
    </w:lvl>
    <w:lvl w:ilvl="1" w:tplc="08B0CBF8">
      <w:start w:val="1"/>
      <w:numFmt w:val="bullet"/>
      <w:pStyle w:val="Sub-dotpoint"/>
      <w:lvlText w:val="o"/>
      <w:lvlJc w:val="left"/>
      <w:pPr>
        <w:ind w:left="1440" w:hanging="360"/>
      </w:pPr>
      <w:rPr>
        <w:rFonts w:ascii="Courier New" w:hAnsi="Courier New" w:cs="Courier New" w:hint="default"/>
      </w:rPr>
    </w:lvl>
    <w:lvl w:ilvl="2" w:tplc="90D84E48">
      <w:start w:val="1"/>
      <w:numFmt w:val="bullet"/>
      <w:lvlText w:val=""/>
      <w:lvlJc w:val="left"/>
      <w:pPr>
        <w:ind w:left="2160" w:hanging="360"/>
      </w:pPr>
      <w:rPr>
        <w:rFonts w:ascii="Wingdings" w:hAnsi="Wingdings" w:hint="default"/>
      </w:rPr>
    </w:lvl>
    <w:lvl w:ilvl="3" w:tplc="7750D202">
      <w:start w:val="1"/>
      <w:numFmt w:val="bullet"/>
      <w:lvlText w:val=""/>
      <w:lvlJc w:val="left"/>
      <w:pPr>
        <w:ind w:left="2880" w:hanging="360"/>
      </w:pPr>
      <w:rPr>
        <w:rFonts w:ascii="Symbol" w:hAnsi="Symbol" w:hint="default"/>
      </w:rPr>
    </w:lvl>
    <w:lvl w:ilvl="4" w:tplc="4DC04A94">
      <w:start w:val="1"/>
      <w:numFmt w:val="bullet"/>
      <w:lvlText w:val="o"/>
      <w:lvlJc w:val="left"/>
      <w:pPr>
        <w:ind w:left="3600" w:hanging="360"/>
      </w:pPr>
      <w:rPr>
        <w:rFonts w:ascii="Courier New" w:hAnsi="Courier New" w:cs="Courier New" w:hint="default"/>
      </w:rPr>
    </w:lvl>
    <w:lvl w:ilvl="5" w:tplc="97284DF8">
      <w:start w:val="1"/>
      <w:numFmt w:val="bullet"/>
      <w:lvlText w:val=""/>
      <w:lvlJc w:val="left"/>
      <w:pPr>
        <w:ind w:left="4320" w:hanging="360"/>
      </w:pPr>
      <w:rPr>
        <w:rFonts w:ascii="Wingdings" w:hAnsi="Wingdings" w:hint="default"/>
      </w:rPr>
    </w:lvl>
    <w:lvl w:ilvl="6" w:tplc="912482B0">
      <w:start w:val="1"/>
      <w:numFmt w:val="bullet"/>
      <w:lvlText w:val=""/>
      <w:lvlJc w:val="left"/>
      <w:pPr>
        <w:ind w:left="5040" w:hanging="360"/>
      </w:pPr>
      <w:rPr>
        <w:rFonts w:ascii="Symbol" w:hAnsi="Symbol" w:hint="default"/>
      </w:rPr>
    </w:lvl>
    <w:lvl w:ilvl="7" w:tplc="054C828E">
      <w:start w:val="1"/>
      <w:numFmt w:val="bullet"/>
      <w:lvlText w:val="o"/>
      <w:lvlJc w:val="left"/>
      <w:pPr>
        <w:ind w:left="5760" w:hanging="360"/>
      </w:pPr>
      <w:rPr>
        <w:rFonts w:ascii="Courier New" w:hAnsi="Courier New" w:cs="Courier New" w:hint="default"/>
      </w:rPr>
    </w:lvl>
    <w:lvl w:ilvl="8" w:tplc="01D24B40">
      <w:start w:val="1"/>
      <w:numFmt w:val="bullet"/>
      <w:lvlText w:val=""/>
      <w:lvlJc w:val="left"/>
      <w:pPr>
        <w:ind w:left="6480" w:hanging="360"/>
      </w:pPr>
      <w:rPr>
        <w:rFonts w:ascii="Wingdings" w:hAnsi="Wingdings" w:hint="default"/>
      </w:rPr>
    </w:lvl>
  </w:abstractNum>
  <w:num w:numId="1">
    <w:abstractNumId w:val="5"/>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7"/>
  </w:num>
  <w:num w:numId="6">
    <w:abstractNumId w:val="9"/>
  </w:num>
  <w:num w:numId="7">
    <w:abstractNumId w:val="3"/>
  </w:num>
  <w:num w:numId="8">
    <w:abstractNumId w:val="1"/>
  </w:num>
  <w:num w:numId="9">
    <w:abstractNumId w:val="6"/>
  </w:num>
  <w:num w:numId="10">
    <w:abstractNumId w:val="2"/>
  </w:num>
  <w:num w:numId="11">
    <w:abstractNumId w:val="5"/>
  </w:num>
  <w:num w:numId="12">
    <w:abstractNumId w:val="5"/>
  </w:num>
  <w:num w:numId="13">
    <w:abstractNumId w:val="5"/>
  </w:num>
  <w:num w:numId="14">
    <w:abstractNumId w:val="5"/>
  </w:num>
  <w:num w:numId="15">
    <w:abstractNumId w:val="5"/>
    <w:lvlOverride w:ilvl="0">
      <w:startOverride w:val="110"/>
    </w:lvlOverride>
  </w:num>
  <w:num w:numId="16">
    <w:abstractNumId w:val="5"/>
    <w:lvlOverride w:ilvl="0">
      <w:startOverride w:val="101"/>
    </w:lvlOverride>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8"/>
  </w:num>
  <w:num w:numId="25">
    <w:abstractNumId w:val="5"/>
    <w:lvlOverride w:ilvl="0">
      <w:startOverride w:val="1"/>
    </w:lvlOverride>
  </w:num>
  <w:num w:numId="26">
    <w:abstractNumId w:val="5"/>
  </w:num>
  <w:num w:numId="27">
    <w:abstractNumId w:val="5"/>
    <w:lvlOverride w:ilvl="0">
      <w:startOverride w:val="1"/>
    </w:lvlOverride>
  </w:num>
  <w:num w:numId="2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CA"/>
    <w:rsid w:val="000002CD"/>
    <w:rsid w:val="000002CE"/>
    <w:rsid w:val="00001803"/>
    <w:rsid w:val="000020BE"/>
    <w:rsid w:val="00002DDF"/>
    <w:rsid w:val="0000489E"/>
    <w:rsid w:val="00004A06"/>
    <w:rsid w:val="000058C5"/>
    <w:rsid w:val="00007E3C"/>
    <w:rsid w:val="00010574"/>
    <w:rsid w:val="00010B59"/>
    <w:rsid w:val="00011C44"/>
    <w:rsid w:val="00012D18"/>
    <w:rsid w:val="000134E8"/>
    <w:rsid w:val="000138F8"/>
    <w:rsid w:val="0001503B"/>
    <w:rsid w:val="0001552B"/>
    <w:rsid w:val="00015FEA"/>
    <w:rsid w:val="000177F8"/>
    <w:rsid w:val="000206BD"/>
    <w:rsid w:val="000211E8"/>
    <w:rsid w:val="000213B8"/>
    <w:rsid w:val="00021BE4"/>
    <w:rsid w:val="00023334"/>
    <w:rsid w:val="0002356E"/>
    <w:rsid w:val="0002378E"/>
    <w:rsid w:val="00023A4C"/>
    <w:rsid w:val="0002470D"/>
    <w:rsid w:val="000247D6"/>
    <w:rsid w:val="00024C19"/>
    <w:rsid w:val="00025DE0"/>
    <w:rsid w:val="0002668C"/>
    <w:rsid w:val="000266E2"/>
    <w:rsid w:val="00026EDA"/>
    <w:rsid w:val="00027821"/>
    <w:rsid w:val="00030798"/>
    <w:rsid w:val="0003219B"/>
    <w:rsid w:val="000327E3"/>
    <w:rsid w:val="00033526"/>
    <w:rsid w:val="00033B94"/>
    <w:rsid w:val="00034C07"/>
    <w:rsid w:val="000352DD"/>
    <w:rsid w:val="00035B0E"/>
    <w:rsid w:val="00036420"/>
    <w:rsid w:val="00037028"/>
    <w:rsid w:val="00037ECB"/>
    <w:rsid w:val="000407E9"/>
    <w:rsid w:val="00040B9F"/>
    <w:rsid w:val="00040BD9"/>
    <w:rsid w:val="00040CEE"/>
    <w:rsid w:val="00041B62"/>
    <w:rsid w:val="000421DA"/>
    <w:rsid w:val="00042A0A"/>
    <w:rsid w:val="00042DE6"/>
    <w:rsid w:val="00042EB3"/>
    <w:rsid w:val="00043425"/>
    <w:rsid w:val="000436B9"/>
    <w:rsid w:val="00043F55"/>
    <w:rsid w:val="000440DB"/>
    <w:rsid w:val="000440E8"/>
    <w:rsid w:val="00044E45"/>
    <w:rsid w:val="00046399"/>
    <w:rsid w:val="0004715A"/>
    <w:rsid w:val="00047D0F"/>
    <w:rsid w:val="00050B20"/>
    <w:rsid w:val="00050ED7"/>
    <w:rsid w:val="0005218A"/>
    <w:rsid w:val="00055E4D"/>
    <w:rsid w:val="00056659"/>
    <w:rsid w:val="000605FB"/>
    <w:rsid w:val="00060B9A"/>
    <w:rsid w:val="00061035"/>
    <w:rsid w:val="00061604"/>
    <w:rsid w:val="0006217E"/>
    <w:rsid w:val="0006248F"/>
    <w:rsid w:val="00062768"/>
    <w:rsid w:val="00062B35"/>
    <w:rsid w:val="00063073"/>
    <w:rsid w:val="00063210"/>
    <w:rsid w:val="0006355B"/>
    <w:rsid w:val="00064275"/>
    <w:rsid w:val="0006500D"/>
    <w:rsid w:val="0006604E"/>
    <w:rsid w:val="0006633D"/>
    <w:rsid w:val="00066BB3"/>
    <w:rsid w:val="00066D1D"/>
    <w:rsid w:val="0007059A"/>
    <w:rsid w:val="00070BA3"/>
    <w:rsid w:val="00071ED2"/>
    <w:rsid w:val="000728EC"/>
    <w:rsid w:val="00072AE5"/>
    <w:rsid w:val="00072C06"/>
    <w:rsid w:val="000739F1"/>
    <w:rsid w:val="000742D3"/>
    <w:rsid w:val="0007527A"/>
    <w:rsid w:val="000800E3"/>
    <w:rsid w:val="0008253F"/>
    <w:rsid w:val="000826E7"/>
    <w:rsid w:val="00083084"/>
    <w:rsid w:val="00083CCA"/>
    <w:rsid w:val="00085B3D"/>
    <w:rsid w:val="000863D6"/>
    <w:rsid w:val="000870EF"/>
    <w:rsid w:val="00087734"/>
    <w:rsid w:val="00087EB0"/>
    <w:rsid w:val="00087EBA"/>
    <w:rsid w:val="00090703"/>
    <w:rsid w:val="00090808"/>
    <w:rsid w:val="000914AC"/>
    <w:rsid w:val="00092BD9"/>
    <w:rsid w:val="000936CA"/>
    <w:rsid w:val="00093D56"/>
    <w:rsid w:val="00093FDF"/>
    <w:rsid w:val="00095146"/>
    <w:rsid w:val="00095218"/>
    <w:rsid w:val="000952AF"/>
    <w:rsid w:val="000955D6"/>
    <w:rsid w:val="0009582F"/>
    <w:rsid w:val="00096663"/>
    <w:rsid w:val="00097499"/>
    <w:rsid w:val="0009790A"/>
    <w:rsid w:val="000A00A6"/>
    <w:rsid w:val="000A01C4"/>
    <w:rsid w:val="000A0386"/>
    <w:rsid w:val="000A2599"/>
    <w:rsid w:val="000A287B"/>
    <w:rsid w:val="000A2971"/>
    <w:rsid w:val="000A2AF9"/>
    <w:rsid w:val="000A41E5"/>
    <w:rsid w:val="000A4C40"/>
    <w:rsid w:val="000A6380"/>
    <w:rsid w:val="000A6804"/>
    <w:rsid w:val="000B17E2"/>
    <w:rsid w:val="000B1E17"/>
    <w:rsid w:val="000B21F7"/>
    <w:rsid w:val="000B24D3"/>
    <w:rsid w:val="000B33B8"/>
    <w:rsid w:val="000B3F5F"/>
    <w:rsid w:val="000B5218"/>
    <w:rsid w:val="000B55E1"/>
    <w:rsid w:val="000B588F"/>
    <w:rsid w:val="000B5AFF"/>
    <w:rsid w:val="000B6E49"/>
    <w:rsid w:val="000B79E4"/>
    <w:rsid w:val="000C1522"/>
    <w:rsid w:val="000C3618"/>
    <w:rsid w:val="000C54E7"/>
    <w:rsid w:val="000C6048"/>
    <w:rsid w:val="000C6B33"/>
    <w:rsid w:val="000C7B10"/>
    <w:rsid w:val="000D138D"/>
    <w:rsid w:val="000D17F9"/>
    <w:rsid w:val="000D2AFA"/>
    <w:rsid w:val="000D6333"/>
    <w:rsid w:val="000D764F"/>
    <w:rsid w:val="000D7C11"/>
    <w:rsid w:val="000D7D4F"/>
    <w:rsid w:val="000E0042"/>
    <w:rsid w:val="000E0FF1"/>
    <w:rsid w:val="000E2B9D"/>
    <w:rsid w:val="000E2DF8"/>
    <w:rsid w:val="000E3FEC"/>
    <w:rsid w:val="000E7047"/>
    <w:rsid w:val="000E7247"/>
    <w:rsid w:val="000F0511"/>
    <w:rsid w:val="000F106B"/>
    <w:rsid w:val="000F23BE"/>
    <w:rsid w:val="000F2C61"/>
    <w:rsid w:val="000F3693"/>
    <w:rsid w:val="000F450F"/>
    <w:rsid w:val="000F4B43"/>
    <w:rsid w:val="000F4E46"/>
    <w:rsid w:val="000F5112"/>
    <w:rsid w:val="000F67B5"/>
    <w:rsid w:val="000F6DB0"/>
    <w:rsid w:val="000F6E73"/>
    <w:rsid w:val="000F7E13"/>
    <w:rsid w:val="000F7E8F"/>
    <w:rsid w:val="000F7F3F"/>
    <w:rsid w:val="0010001D"/>
    <w:rsid w:val="0010014D"/>
    <w:rsid w:val="001002BD"/>
    <w:rsid w:val="00102AD3"/>
    <w:rsid w:val="00102C38"/>
    <w:rsid w:val="00103970"/>
    <w:rsid w:val="00103FB4"/>
    <w:rsid w:val="0010434F"/>
    <w:rsid w:val="00104C33"/>
    <w:rsid w:val="0010519A"/>
    <w:rsid w:val="0010547F"/>
    <w:rsid w:val="00105E99"/>
    <w:rsid w:val="00105EE4"/>
    <w:rsid w:val="00106262"/>
    <w:rsid w:val="00107A84"/>
    <w:rsid w:val="00110497"/>
    <w:rsid w:val="001108FC"/>
    <w:rsid w:val="00110D2A"/>
    <w:rsid w:val="001111E7"/>
    <w:rsid w:val="00111772"/>
    <w:rsid w:val="0011381E"/>
    <w:rsid w:val="001142DD"/>
    <w:rsid w:val="001150E6"/>
    <w:rsid w:val="0011551B"/>
    <w:rsid w:val="0011648C"/>
    <w:rsid w:val="001172BB"/>
    <w:rsid w:val="001203F8"/>
    <w:rsid w:val="00120635"/>
    <w:rsid w:val="00121C0B"/>
    <w:rsid w:val="001220A9"/>
    <w:rsid w:val="0012287C"/>
    <w:rsid w:val="00122DD4"/>
    <w:rsid w:val="00123C75"/>
    <w:rsid w:val="001265DA"/>
    <w:rsid w:val="001269CE"/>
    <w:rsid w:val="00127B3E"/>
    <w:rsid w:val="00131F36"/>
    <w:rsid w:val="00132470"/>
    <w:rsid w:val="00133093"/>
    <w:rsid w:val="0013343F"/>
    <w:rsid w:val="0013374F"/>
    <w:rsid w:val="001339DB"/>
    <w:rsid w:val="00133B7E"/>
    <w:rsid w:val="001353A3"/>
    <w:rsid w:val="00135CB2"/>
    <w:rsid w:val="00136887"/>
    <w:rsid w:val="00136B26"/>
    <w:rsid w:val="00137290"/>
    <w:rsid w:val="00137DB0"/>
    <w:rsid w:val="00141391"/>
    <w:rsid w:val="001416A2"/>
    <w:rsid w:val="00142ACC"/>
    <w:rsid w:val="00143483"/>
    <w:rsid w:val="0014489C"/>
    <w:rsid w:val="001456CC"/>
    <w:rsid w:val="00146467"/>
    <w:rsid w:val="00146F2F"/>
    <w:rsid w:val="001511E7"/>
    <w:rsid w:val="00151BB7"/>
    <w:rsid w:val="00152897"/>
    <w:rsid w:val="00153766"/>
    <w:rsid w:val="001538A6"/>
    <w:rsid w:val="00154181"/>
    <w:rsid w:val="001554A5"/>
    <w:rsid w:val="0015550F"/>
    <w:rsid w:val="00155CA4"/>
    <w:rsid w:val="00157D7F"/>
    <w:rsid w:val="00160702"/>
    <w:rsid w:val="00161823"/>
    <w:rsid w:val="00161ADD"/>
    <w:rsid w:val="00162A67"/>
    <w:rsid w:val="00162EE9"/>
    <w:rsid w:val="001630DE"/>
    <w:rsid w:val="0016311B"/>
    <w:rsid w:val="00163476"/>
    <w:rsid w:val="00163B2C"/>
    <w:rsid w:val="00164263"/>
    <w:rsid w:val="00164857"/>
    <w:rsid w:val="00165514"/>
    <w:rsid w:val="001660A1"/>
    <w:rsid w:val="00166C4A"/>
    <w:rsid w:val="00167C4F"/>
    <w:rsid w:val="00167D5D"/>
    <w:rsid w:val="00170DEF"/>
    <w:rsid w:val="00170F7F"/>
    <w:rsid w:val="001717AB"/>
    <w:rsid w:val="0017228C"/>
    <w:rsid w:val="00172486"/>
    <w:rsid w:val="001730D8"/>
    <w:rsid w:val="00174251"/>
    <w:rsid w:val="00174428"/>
    <w:rsid w:val="001766AB"/>
    <w:rsid w:val="00176AF2"/>
    <w:rsid w:val="00180734"/>
    <w:rsid w:val="00180783"/>
    <w:rsid w:val="0018092B"/>
    <w:rsid w:val="00182A72"/>
    <w:rsid w:val="00183613"/>
    <w:rsid w:val="00185AA1"/>
    <w:rsid w:val="0018738B"/>
    <w:rsid w:val="00190503"/>
    <w:rsid w:val="00190585"/>
    <w:rsid w:val="00190B48"/>
    <w:rsid w:val="00190BE4"/>
    <w:rsid w:val="00191806"/>
    <w:rsid w:val="00191E31"/>
    <w:rsid w:val="00194396"/>
    <w:rsid w:val="0019448E"/>
    <w:rsid w:val="00194AC9"/>
    <w:rsid w:val="00194EC2"/>
    <w:rsid w:val="0019582D"/>
    <w:rsid w:val="00195DEB"/>
    <w:rsid w:val="001965AD"/>
    <w:rsid w:val="001969B2"/>
    <w:rsid w:val="00197FA4"/>
    <w:rsid w:val="001A0995"/>
    <w:rsid w:val="001A0FF6"/>
    <w:rsid w:val="001A3C0F"/>
    <w:rsid w:val="001A3D47"/>
    <w:rsid w:val="001A44EA"/>
    <w:rsid w:val="001A458F"/>
    <w:rsid w:val="001A47EA"/>
    <w:rsid w:val="001A4E7D"/>
    <w:rsid w:val="001A5689"/>
    <w:rsid w:val="001A63C0"/>
    <w:rsid w:val="001A69C4"/>
    <w:rsid w:val="001A6A73"/>
    <w:rsid w:val="001B047F"/>
    <w:rsid w:val="001B08D2"/>
    <w:rsid w:val="001B090C"/>
    <w:rsid w:val="001B097C"/>
    <w:rsid w:val="001B0C29"/>
    <w:rsid w:val="001B22A6"/>
    <w:rsid w:val="001B26D8"/>
    <w:rsid w:val="001B2F39"/>
    <w:rsid w:val="001B38AA"/>
    <w:rsid w:val="001B3B4F"/>
    <w:rsid w:val="001B3CF8"/>
    <w:rsid w:val="001B4F61"/>
    <w:rsid w:val="001B5256"/>
    <w:rsid w:val="001B5B34"/>
    <w:rsid w:val="001B679C"/>
    <w:rsid w:val="001B67EC"/>
    <w:rsid w:val="001B7346"/>
    <w:rsid w:val="001C0375"/>
    <w:rsid w:val="001C055F"/>
    <w:rsid w:val="001C59EB"/>
    <w:rsid w:val="001C5B8F"/>
    <w:rsid w:val="001C6279"/>
    <w:rsid w:val="001C6704"/>
    <w:rsid w:val="001C7A1F"/>
    <w:rsid w:val="001C7E82"/>
    <w:rsid w:val="001D0FA3"/>
    <w:rsid w:val="001D1EF6"/>
    <w:rsid w:val="001D27C4"/>
    <w:rsid w:val="001D4F40"/>
    <w:rsid w:val="001D62D8"/>
    <w:rsid w:val="001D6DC6"/>
    <w:rsid w:val="001D71D1"/>
    <w:rsid w:val="001D73AA"/>
    <w:rsid w:val="001D7AE1"/>
    <w:rsid w:val="001D7CE9"/>
    <w:rsid w:val="001E0605"/>
    <w:rsid w:val="001E06B1"/>
    <w:rsid w:val="001E0D5A"/>
    <w:rsid w:val="001E2683"/>
    <w:rsid w:val="001E2FAF"/>
    <w:rsid w:val="001E32D3"/>
    <w:rsid w:val="001E476A"/>
    <w:rsid w:val="001E4EC2"/>
    <w:rsid w:val="001E55D1"/>
    <w:rsid w:val="001E5E9B"/>
    <w:rsid w:val="001E6492"/>
    <w:rsid w:val="001E6766"/>
    <w:rsid w:val="001E6FF6"/>
    <w:rsid w:val="001E7C4F"/>
    <w:rsid w:val="001E7CD4"/>
    <w:rsid w:val="001E7D61"/>
    <w:rsid w:val="001F07BA"/>
    <w:rsid w:val="001F3E94"/>
    <w:rsid w:val="001F48D1"/>
    <w:rsid w:val="001F4CFD"/>
    <w:rsid w:val="001F4F9B"/>
    <w:rsid w:val="001F54EB"/>
    <w:rsid w:val="001F5917"/>
    <w:rsid w:val="001F6D2F"/>
    <w:rsid w:val="001F73F9"/>
    <w:rsid w:val="002008F2"/>
    <w:rsid w:val="002009CC"/>
    <w:rsid w:val="00201BAE"/>
    <w:rsid w:val="002024DC"/>
    <w:rsid w:val="00203865"/>
    <w:rsid w:val="00204530"/>
    <w:rsid w:val="00204E36"/>
    <w:rsid w:val="00205496"/>
    <w:rsid w:val="00205497"/>
    <w:rsid w:val="0020696F"/>
    <w:rsid w:val="00207660"/>
    <w:rsid w:val="00210C12"/>
    <w:rsid w:val="00210C98"/>
    <w:rsid w:val="00211673"/>
    <w:rsid w:val="002123E4"/>
    <w:rsid w:val="00215775"/>
    <w:rsid w:val="002159EC"/>
    <w:rsid w:val="00215CF2"/>
    <w:rsid w:val="002171AC"/>
    <w:rsid w:val="0022085B"/>
    <w:rsid w:val="00221334"/>
    <w:rsid w:val="00221ACF"/>
    <w:rsid w:val="00222DED"/>
    <w:rsid w:val="00223602"/>
    <w:rsid w:val="0022395D"/>
    <w:rsid w:val="0022399B"/>
    <w:rsid w:val="00223C90"/>
    <w:rsid w:val="00224040"/>
    <w:rsid w:val="002247D2"/>
    <w:rsid w:val="00225D33"/>
    <w:rsid w:val="002262A9"/>
    <w:rsid w:val="002272B9"/>
    <w:rsid w:val="002275CC"/>
    <w:rsid w:val="00227934"/>
    <w:rsid w:val="002305D7"/>
    <w:rsid w:val="00230C2B"/>
    <w:rsid w:val="00230EA5"/>
    <w:rsid w:val="00230F88"/>
    <w:rsid w:val="00231D40"/>
    <w:rsid w:val="002329C6"/>
    <w:rsid w:val="00232E8B"/>
    <w:rsid w:val="00234592"/>
    <w:rsid w:val="00234C05"/>
    <w:rsid w:val="00236F7A"/>
    <w:rsid w:val="00236FF9"/>
    <w:rsid w:val="00237BCC"/>
    <w:rsid w:val="00237DDD"/>
    <w:rsid w:val="00240001"/>
    <w:rsid w:val="00240D3F"/>
    <w:rsid w:val="0024159C"/>
    <w:rsid w:val="00241B9A"/>
    <w:rsid w:val="00241C7A"/>
    <w:rsid w:val="00242F5B"/>
    <w:rsid w:val="00243281"/>
    <w:rsid w:val="00243627"/>
    <w:rsid w:val="00245668"/>
    <w:rsid w:val="00246562"/>
    <w:rsid w:val="00247AFA"/>
    <w:rsid w:val="002523FB"/>
    <w:rsid w:val="00252901"/>
    <w:rsid w:val="00252D87"/>
    <w:rsid w:val="00252DCA"/>
    <w:rsid w:val="002534A6"/>
    <w:rsid w:val="002535DA"/>
    <w:rsid w:val="00253A29"/>
    <w:rsid w:val="00253B8F"/>
    <w:rsid w:val="00253D02"/>
    <w:rsid w:val="00253D07"/>
    <w:rsid w:val="00253F91"/>
    <w:rsid w:val="002548CC"/>
    <w:rsid w:val="002548E0"/>
    <w:rsid w:val="00254ACB"/>
    <w:rsid w:val="00255F70"/>
    <w:rsid w:val="0025673A"/>
    <w:rsid w:val="0026286D"/>
    <w:rsid w:val="002634DB"/>
    <w:rsid w:val="0026366A"/>
    <w:rsid w:val="00263B14"/>
    <w:rsid w:val="00263B4D"/>
    <w:rsid w:val="00263BB7"/>
    <w:rsid w:val="00263F6C"/>
    <w:rsid w:val="00264AB8"/>
    <w:rsid w:val="002655DB"/>
    <w:rsid w:val="00266B46"/>
    <w:rsid w:val="00266BF8"/>
    <w:rsid w:val="002703DD"/>
    <w:rsid w:val="00270EBE"/>
    <w:rsid w:val="002714D4"/>
    <w:rsid w:val="0027266B"/>
    <w:rsid w:val="00272D2E"/>
    <w:rsid w:val="00273FCF"/>
    <w:rsid w:val="00274B5D"/>
    <w:rsid w:val="00274C22"/>
    <w:rsid w:val="00275341"/>
    <w:rsid w:val="00276166"/>
    <w:rsid w:val="00280225"/>
    <w:rsid w:val="00281D71"/>
    <w:rsid w:val="00281DBE"/>
    <w:rsid w:val="00283617"/>
    <w:rsid w:val="00283905"/>
    <w:rsid w:val="00285538"/>
    <w:rsid w:val="002869CC"/>
    <w:rsid w:val="00286E13"/>
    <w:rsid w:val="002872D3"/>
    <w:rsid w:val="002901AE"/>
    <w:rsid w:val="00290332"/>
    <w:rsid w:val="00293825"/>
    <w:rsid w:val="00293DD6"/>
    <w:rsid w:val="0029448C"/>
    <w:rsid w:val="0029481F"/>
    <w:rsid w:val="00294C89"/>
    <w:rsid w:val="00296AF8"/>
    <w:rsid w:val="00296B58"/>
    <w:rsid w:val="00296F48"/>
    <w:rsid w:val="00297772"/>
    <w:rsid w:val="00297BB8"/>
    <w:rsid w:val="002A10E5"/>
    <w:rsid w:val="002A1CB4"/>
    <w:rsid w:val="002A1F13"/>
    <w:rsid w:val="002A1F2D"/>
    <w:rsid w:val="002A25D4"/>
    <w:rsid w:val="002A2A82"/>
    <w:rsid w:val="002A321D"/>
    <w:rsid w:val="002A32A7"/>
    <w:rsid w:val="002A353B"/>
    <w:rsid w:val="002A4211"/>
    <w:rsid w:val="002A4249"/>
    <w:rsid w:val="002A56DC"/>
    <w:rsid w:val="002A5758"/>
    <w:rsid w:val="002A5CA0"/>
    <w:rsid w:val="002A5FED"/>
    <w:rsid w:val="002A6078"/>
    <w:rsid w:val="002A7386"/>
    <w:rsid w:val="002A7C97"/>
    <w:rsid w:val="002B112B"/>
    <w:rsid w:val="002B2E91"/>
    <w:rsid w:val="002B3AA0"/>
    <w:rsid w:val="002B480E"/>
    <w:rsid w:val="002B493D"/>
    <w:rsid w:val="002B5921"/>
    <w:rsid w:val="002B59AE"/>
    <w:rsid w:val="002B5DE3"/>
    <w:rsid w:val="002B720F"/>
    <w:rsid w:val="002B76CE"/>
    <w:rsid w:val="002C05E7"/>
    <w:rsid w:val="002C0B36"/>
    <w:rsid w:val="002C0DDE"/>
    <w:rsid w:val="002C1783"/>
    <w:rsid w:val="002C187D"/>
    <w:rsid w:val="002C1EE3"/>
    <w:rsid w:val="002C2705"/>
    <w:rsid w:val="002C2DC2"/>
    <w:rsid w:val="002C37CA"/>
    <w:rsid w:val="002C41B1"/>
    <w:rsid w:val="002C4AB1"/>
    <w:rsid w:val="002C4EF1"/>
    <w:rsid w:val="002C5B52"/>
    <w:rsid w:val="002C6688"/>
    <w:rsid w:val="002C714B"/>
    <w:rsid w:val="002C7641"/>
    <w:rsid w:val="002C7E00"/>
    <w:rsid w:val="002D1112"/>
    <w:rsid w:val="002D280D"/>
    <w:rsid w:val="002D2988"/>
    <w:rsid w:val="002D6CBE"/>
    <w:rsid w:val="002D7C10"/>
    <w:rsid w:val="002E00A7"/>
    <w:rsid w:val="002E0473"/>
    <w:rsid w:val="002E06BD"/>
    <w:rsid w:val="002E1291"/>
    <w:rsid w:val="002E1773"/>
    <w:rsid w:val="002E195D"/>
    <w:rsid w:val="002E27F1"/>
    <w:rsid w:val="002E4BD0"/>
    <w:rsid w:val="002E4C48"/>
    <w:rsid w:val="002E5281"/>
    <w:rsid w:val="002E545C"/>
    <w:rsid w:val="002E5AA1"/>
    <w:rsid w:val="002E614C"/>
    <w:rsid w:val="002F0920"/>
    <w:rsid w:val="002F0AFB"/>
    <w:rsid w:val="002F17A1"/>
    <w:rsid w:val="002F1C2C"/>
    <w:rsid w:val="002F2DFD"/>
    <w:rsid w:val="002F3516"/>
    <w:rsid w:val="002F43C9"/>
    <w:rsid w:val="002F4C79"/>
    <w:rsid w:val="002F4D11"/>
    <w:rsid w:val="002F5E7B"/>
    <w:rsid w:val="002F67D3"/>
    <w:rsid w:val="002F7A48"/>
    <w:rsid w:val="0030142A"/>
    <w:rsid w:val="00302EFE"/>
    <w:rsid w:val="00302F27"/>
    <w:rsid w:val="00303808"/>
    <w:rsid w:val="00303F1D"/>
    <w:rsid w:val="00304114"/>
    <w:rsid w:val="00306854"/>
    <w:rsid w:val="0030688C"/>
    <w:rsid w:val="00307908"/>
    <w:rsid w:val="00310396"/>
    <w:rsid w:val="003107B2"/>
    <w:rsid w:val="00310B8C"/>
    <w:rsid w:val="00311C43"/>
    <w:rsid w:val="00312593"/>
    <w:rsid w:val="00313473"/>
    <w:rsid w:val="00313A7C"/>
    <w:rsid w:val="00314389"/>
    <w:rsid w:val="003159B5"/>
    <w:rsid w:val="00316401"/>
    <w:rsid w:val="00316863"/>
    <w:rsid w:val="00316BF2"/>
    <w:rsid w:val="00317107"/>
    <w:rsid w:val="003208D0"/>
    <w:rsid w:val="00320C81"/>
    <w:rsid w:val="00322A5C"/>
    <w:rsid w:val="003235BA"/>
    <w:rsid w:val="003239F5"/>
    <w:rsid w:val="00323F30"/>
    <w:rsid w:val="00324849"/>
    <w:rsid w:val="003249B5"/>
    <w:rsid w:val="00325E19"/>
    <w:rsid w:val="00327D23"/>
    <w:rsid w:val="0033002F"/>
    <w:rsid w:val="003311FF"/>
    <w:rsid w:val="00331CC1"/>
    <w:rsid w:val="003322E0"/>
    <w:rsid w:val="00333008"/>
    <w:rsid w:val="00334E1C"/>
    <w:rsid w:val="00335E37"/>
    <w:rsid w:val="0033605B"/>
    <w:rsid w:val="00337159"/>
    <w:rsid w:val="00337DBB"/>
    <w:rsid w:val="00340053"/>
    <w:rsid w:val="0034010D"/>
    <w:rsid w:val="003410C8"/>
    <w:rsid w:val="003412E5"/>
    <w:rsid w:val="00341AFA"/>
    <w:rsid w:val="00342C85"/>
    <w:rsid w:val="00343A5B"/>
    <w:rsid w:val="0034446D"/>
    <w:rsid w:val="00344943"/>
    <w:rsid w:val="00347621"/>
    <w:rsid w:val="00347736"/>
    <w:rsid w:val="00347936"/>
    <w:rsid w:val="0035035C"/>
    <w:rsid w:val="00351184"/>
    <w:rsid w:val="00351450"/>
    <w:rsid w:val="00351768"/>
    <w:rsid w:val="00352529"/>
    <w:rsid w:val="0035306A"/>
    <w:rsid w:val="00353FDB"/>
    <w:rsid w:val="00354D30"/>
    <w:rsid w:val="00354D69"/>
    <w:rsid w:val="00354E39"/>
    <w:rsid w:val="003558E5"/>
    <w:rsid w:val="00356202"/>
    <w:rsid w:val="00356405"/>
    <w:rsid w:val="00357166"/>
    <w:rsid w:val="00360039"/>
    <w:rsid w:val="00360C1B"/>
    <w:rsid w:val="00360DDB"/>
    <w:rsid w:val="00361473"/>
    <w:rsid w:val="0036195D"/>
    <w:rsid w:val="00363F33"/>
    <w:rsid w:val="00364278"/>
    <w:rsid w:val="00365058"/>
    <w:rsid w:val="00365784"/>
    <w:rsid w:val="003667C3"/>
    <w:rsid w:val="00370975"/>
    <w:rsid w:val="00371C81"/>
    <w:rsid w:val="003733D2"/>
    <w:rsid w:val="00373531"/>
    <w:rsid w:val="0037511D"/>
    <w:rsid w:val="0037527B"/>
    <w:rsid w:val="00376A3B"/>
    <w:rsid w:val="00376C92"/>
    <w:rsid w:val="00377F3F"/>
    <w:rsid w:val="0038034A"/>
    <w:rsid w:val="00381673"/>
    <w:rsid w:val="003842B4"/>
    <w:rsid w:val="00385EBE"/>
    <w:rsid w:val="0038615C"/>
    <w:rsid w:val="003864B1"/>
    <w:rsid w:val="00387FDB"/>
    <w:rsid w:val="00390047"/>
    <w:rsid w:val="0039165C"/>
    <w:rsid w:val="00391E3D"/>
    <w:rsid w:val="0039239A"/>
    <w:rsid w:val="003927AE"/>
    <w:rsid w:val="00392E4B"/>
    <w:rsid w:val="00393287"/>
    <w:rsid w:val="0039351F"/>
    <w:rsid w:val="003940E5"/>
    <w:rsid w:val="0039702A"/>
    <w:rsid w:val="003A00B2"/>
    <w:rsid w:val="003A0FAF"/>
    <w:rsid w:val="003A12CD"/>
    <w:rsid w:val="003A1708"/>
    <w:rsid w:val="003A29C4"/>
    <w:rsid w:val="003A3F0B"/>
    <w:rsid w:val="003A4021"/>
    <w:rsid w:val="003A4151"/>
    <w:rsid w:val="003A4AFE"/>
    <w:rsid w:val="003A53B6"/>
    <w:rsid w:val="003A53D4"/>
    <w:rsid w:val="003A561A"/>
    <w:rsid w:val="003A6A0A"/>
    <w:rsid w:val="003A6B6F"/>
    <w:rsid w:val="003A6C6C"/>
    <w:rsid w:val="003A70E8"/>
    <w:rsid w:val="003A778C"/>
    <w:rsid w:val="003B09C1"/>
    <w:rsid w:val="003B2F8D"/>
    <w:rsid w:val="003B5CDB"/>
    <w:rsid w:val="003B7252"/>
    <w:rsid w:val="003B7A3A"/>
    <w:rsid w:val="003C006E"/>
    <w:rsid w:val="003C033D"/>
    <w:rsid w:val="003C0528"/>
    <w:rsid w:val="003C1E43"/>
    <w:rsid w:val="003C2773"/>
    <w:rsid w:val="003C292C"/>
    <w:rsid w:val="003C4925"/>
    <w:rsid w:val="003C498E"/>
    <w:rsid w:val="003C5633"/>
    <w:rsid w:val="003C64C2"/>
    <w:rsid w:val="003C77C3"/>
    <w:rsid w:val="003D0E7B"/>
    <w:rsid w:val="003D2426"/>
    <w:rsid w:val="003D2A3A"/>
    <w:rsid w:val="003D3024"/>
    <w:rsid w:val="003D3D05"/>
    <w:rsid w:val="003D3DB8"/>
    <w:rsid w:val="003D6456"/>
    <w:rsid w:val="003D6D4C"/>
    <w:rsid w:val="003D6E11"/>
    <w:rsid w:val="003D72D5"/>
    <w:rsid w:val="003E0EF0"/>
    <w:rsid w:val="003E11BB"/>
    <w:rsid w:val="003E2BDD"/>
    <w:rsid w:val="003E39A8"/>
    <w:rsid w:val="003E3FA5"/>
    <w:rsid w:val="003E443B"/>
    <w:rsid w:val="003E50D3"/>
    <w:rsid w:val="003E52A4"/>
    <w:rsid w:val="003E6383"/>
    <w:rsid w:val="003E63B2"/>
    <w:rsid w:val="003F1D9B"/>
    <w:rsid w:val="003F2890"/>
    <w:rsid w:val="003F30E7"/>
    <w:rsid w:val="003F396E"/>
    <w:rsid w:val="003F5FF9"/>
    <w:rsid w:val="003F6193"/>
    <w:rsid w:val="003F69F9"/>
    <w:rsid w:val="004001BD"/>
    <w:rsid w:val="004005D4"/>
    <w:rsid w:val="004005D5"/>
    <w:rsid w:val="00401147"/>
    <w:rsid w:val="004020F8"/>
    <w:rsid w:val="00402A8F"/>
    <w:rsid w:val="00403087"/>
    <w:rsid w:val="00403AED"/>
    <w:rsid w:val="00404DD8"/>
    <w:rsid w:val="00404ED7"/>
    <w:rsid w:val="004056EE"/>
    <w:rsid w:val="004104F0"/>
    <w:rsid w:val="004107DD"/>
    <w:rsid w:val="0041176F"/>
    <w:rsid w:val="00411A42"/>
    <w:rsid w:val="0041240E"/>
    <w:rsid w:val="00412A1A"/>
    <w:rsid w:val="00413B26"/>
    <w:rsid w:val="004145FB"/>
    <w:rsid w:val="0041485F"/>
    <w:rsid w:val="00414BE3"/>
    <w:rsid w:val="00414C62"/>
    <w:rsid w:val="0041612B"/>
    <w:rsid w:val="00416205"/>
    <w:rsid w:val="00416824"/>
    <w:rsid w:val="00416B56"/>
    <w:rsid w:val="0041724D"/>
    <w:rsid w:val="00417AD5"/>
    <w:rsid w:val="00417CD0"/>
    <w:rsid w:val="004201B9"/>
    <w:rsid w:val="004230FB"/>
    <w:rsid w:val="00423846"/>
    <w:rsid w:val="004249F5"/>
    <w:rsid w:val="00426C05"/>
    <w:rsid w:val="00426E4C"/>
    <w:rsid w:val="00427266"/>
    <w:rsid w:val="0043006C"/>
    <w:rsid w:val="00432244"/>
    <w:rsid w:val="00432486"/>
    <w:rsid w:val="004326ED"/>
    <w:rsid w:val="00432F6C"/>
    <w:rsid w:val="00433013"/>
    <w:rsid w:val="0043473D"/>
    <w:rsid w:val="00434D66"/>
    <w:rsid w:val="0043558B"/>
    <w:rsid w:val="0043565E"/>
    <w:rsid w:val="004357E3"/>
    <w:rsid w:val="00435B31"/>
    <w:rsid w:val="00435E29"/>
    <w:rsid w:val="004372C3"/>
    <w:rsid w:val="00437B38"/>
    <w:rsid w:val="004415A5"/>
    <w:rsid w:val="004433B5"/>
    <w:rsid w:val="00443D13"/>
    <w:rsid w:val="00443D34"/>
    <w:rsid w:val="004451D2"/>
    <w:rsid w:val="004453B5"/>
    <w:rsid w:val="0044646D"/>
    <w:rsid w:val="00447C6C"/>
    <w:rsid w:val="004503DE"/>
    <w:rsid w:val="00450D8A"/>
    <w:rsid w:val="004512EE"/>
    <w:rsid w:val="004519F3"/>
    <w:rsid w:val="004533A6"/>
    <w:rsid w:val="0045385E"/>
    <w:rsid w:val="004539CC"/>
    <w:rsid w:val="00453F79"/>
    <w:rsid w:val="0045433E"/>
    <w:rsid w:val="0045465B"/>
    <w:rsid w:val="00456CA5"/>
    <w:rsid w:val="00457698"/>
    <w:rsid w:val="00457F56"/>
    <w:rsid w:val="00457FB9"/>
    <w:rsid w:val="00460528"/>
    <w:rsid w:val="004619F2"/>
    <w:rsid w:val="00462474"/>
    <w:rsid w:val="00462AE3"/>
    <w:rsid w:val="00462D2D"/>
    <w:rsid w:val="00462ED7"/>
    <w:rsid w:val="00464FD9"/>
    <w:rsid w:val="00466019"/>
    <w:rsid w:val="00466D17"/>
    <w:rsid w:val="0046720E"/>
    <w:rsid w:val="004678CB"/>
    <w:rsid w:val="00467E06"/>
    <w:rsid w:val="00471E38"/>
    <w:rsid w:val="00472C19"/>
    <w:rsid w:val="00472DF8"/>
    <w:rsid w:val="00473512"/>
    <w:rsid w:val="00474CA5"/>
    <w:rsid w:val="0047786B"/>
    <w:rsid w:val="004801F1"/>
    <w:rsid w:val="004809BD"/>
    <w:rsid w:val="00480B7C"/>
    <w:rsid w:val="00480C1F"/>
    <w:rsid w:val="004810ED"/>
    <w:rsid w:val="00481936"/>
    <w:rsid w:val="00481B5B"/>
    <w:rsid w:val="004821A6"/>
    <w:rsid w:val="00482F19"/>
    <w:rsid w:val="0048351D"/>
    <w:rsid w:val="00483BE8"/>
    <w:rsid w:val="00483C9D"/>
    <w:rsid w:val="00485815"/>
    <w:rsid w:val="0048598F"/>
    <w:rsid w:val="0048677A"/>
    <w:rsid w:val="00486D5A"/>
    <w:rsid w:val="0048720C"/>
    <w:rsid w:val="00487F0A"/>
    <w:rsid w:val="0049006B"/>
    <w:rsid w:val="0049103B"/>
    <w:rsid w:val="0049242F"/>
    <w:rsid w:val="00492459"/>
    <w:rsid w:val="00494066"/>
    <w:rsid w:val="00494A67"/>
    <w:rsid w:val="0049600E"/>
    <w:rsid w:val="00496EEF"/>
    <w:rsid w:val="004A00C3"/>
    <w:rsid w:val="004A132D"/>
    <w:rsid w:val="004A1572"/>
    <w:rsid w:val="004A1B52"/>
    <w:rsid w:val="004A21CB"/>
    <w:rsid w:val="004A23C0"/>
    <w:rsid w:val="004A26B4"/>
    <w:rsid w:val="004A32DD"/>
    <w:rsid w:val="004A50EC"/>
    <w:rsid w:val="004A578F"/>
    <w:rsid w:val="004A62B5"/>
    <w:rsid w:val="004A6FBA"/>
    <w:rsid w:val="004A7A71"/>
    <w:rsid w:val="004A7E26"/>
    <w:rsid w:val="004B0451"/>
    <w:rsid w:val="004B1FAF"/>
    <w:rsid w:val="004B26C0"/>
    <w:rsid w:val="004B2D6E"/>
    <w:rsid w:val="004B395D"/>
    <w:rsid w:val="004B41BA"/>
    <w:rsid w:val="004B4481"/>
    <w:rsid w:val="004B4583"/>
    <w:rsid w:val="004B650F"/>
    <w:rsid w:val="004B7276"/>
    <w:rsid w:val="004B7954"/>
    <w:rsid w:val="004C22D5"/>
    <w:rsid w:val="004C47DF"/>
    <w:rsid w:val="004C4CC7"/>
    <w:rsid w:val="004C51AB"/>
    <w:rsid w:val="004C608D"/>
    <w:rsid w:val="004C6FCF"/>
    <w:rsid w:val="004C793B"/>
    <w:rsid w:val="004C7C32"/>
    <w:rsid w:val="004C7ED2"/>
    <w:rsid w:val="004D01EA"/>
    <w:rsid w:val="004D2031"/>
    <w:rsid w:val="004D2B61"/>
    <w:rsid w:val="004D2EBF"/>
    <w:rsid w:val="004D3D0A"/>
    <w:rsid w:val="004E08A7"/>
    <w:rsid w:val="004E0F03"/>
    <w:rsid w:val="004E16F5"/>
    <w:rsid w:val="004E1C8B"/>
    <w:rsid w:val="004E2093"/>
    <w:rsid w:val="004E448F"/>
    <w:rsid w:val="004E6B23"/>
    <w:rsid w:val="004F0FF0"/>
    <w:rsid w:val="004F11CD"/>
    <w:rsid w:val="004F41DF"/>
    <w:rsid w:val="004F4C02"/>
    <w:rsid w:val="004F580E"/>
    <w:rsid w:val="004F5CAA"/>
    <w:rsid w:val="004F6007"/>
    <w:rsid w:val="004F6847"/>
    <w:rsid w:val="004F6A27"/>
    <w:rsid w:val="004F6E9B"/>
    <w:rsid w:val="005003F6"/>
    <w:rsid w:val="00500726"/>
    <w:rsid w:val="00500E75"/>
    <w:rsid w:val="005014E4"/>
    <w:rsid w:val="005016B1"/>
    <w:rsid w:val="0050184E"/>
    <w:rsid w:val="00502394"/>
    <w:rsid w:val="0050268B"/>
    <w:rsid w:val="005026B3"/>
    <w:rsid w:val="00502E3D"/>
    <w:rsid w:val="00503099"/>
    <w:rsid w:val="005032FB"/>
    <w:rsid w:val="00504067"/>
    <w:rsid w:val="00504386"/>
    <w:rsid w:val="00504A3A"/>
    <w:rsid w:val="00506215"/>
    <w:rsid w:val="005062D7"/>
    <w:rsid w:val="005105A9"/>
    <w:rsid w:val="00510907"/>
    <w:rsid w:val="005119CC"/>
    <w:rsid w:val="00511E9B"/>
    <w:rsid w:val="005120A0"/>
    <w:rsid w:val="00512788"/>
    <w:rsid w:val="00513210"/>
    <w:rsid w:val="00513ED2"/>
    <w:rsid w:val="00514192"/>
    <w:rsid w:val="0051427F"/>
    <w:rsid w:val="005151C2"/>
    <w:rsid w:val="00516221"/>
    <w:rsid w:val="00516AAC"/>
    <w:rsid w:val="00520CB6"/>
    <w:rsid w:val="00520DF4"/>
    <w:rsid w:val="005218DA"/>
    <w:rsid w:val="0052218D"/>
    <w:rsid w:val="00522A41"/>
    <w:rsid w:val="00522EF4"/>
    <w:rsid w:val="005234D6"/>
    <w:rsid w:val="005241A5"/>
    <w:rsid w:val="0052505F"/>
    <w:rsid w:val="0052544B"/>
    <w:rsid w:val="00525980"/>
    <w:rsid w:val="00525F14"/>
    <w:rsid w:val="005273EE"/>
    <w:rsid w:val="00532305"/>
    <w:rsid w:val="00532B5F"/>
    <w:rsid w:val="005338E1"/>
    <w:rsid w:val="00533E0E"/>
    <w:rsid w:val="0053441C"/>
    <w:rsid w:val="00535360"/>
    <w:rsid w:val="005362A0"/>
    <w:rsid w:val="00537090"/>
    <w:rsid w:val="00540B0B"/>
    <w:rsid w:val="00541988"/>
    <w:rsid w:val="0054429F"/>
    <w:rsid w:val="005446D8"/>
    <w:rsid w:val="0054485E"/>
    <w:rsid w:val="0054528C"/>
    <w:rsid w:val="00545AC9"/>
    <w:rsid w:val="00545B13"/>
    <w:rsid w:val="005467C6"/>
    <w:rsid w:val="005468C1"/>
    <w:rsid w:val="00547142"/>
    <w:rsid w:val="00547D46"/>
    <w:rsid w:val="0055000C"/>
    <w:rsid w:val="0055026C"/>
    <w:rsid w:val="005510F5"/>
    <w:rsid w:val="0055151B"/>
    <w:rsid w:val="005520F7"/>
    <w:rsid w:val="00553DA1"/>
    <w:rsid w:val="00554978"/>
    <w:rsid w:val="00555934"/>
    <w:rsid w:val="00561899"/>
    <w:rsid w:val="00561BBE"/>
    <w:rsid w:val="00561D0E"/>
    <w:rsid w:val="005620E6"/>
    <w:rsid w:val="005621C9"/>
    <w:rsid w:val="00562479"/>
    <w:rsid w:val="00563013"/>
    <w:rsid w:val="00563281"/>
    <w:rsid w:val="0056430F"/>
    <w:rsid w:val="00566DE5"/>
    <w:rsid w:val="00567B31"/>
    <w:rsid w:val="00570BDC"/>
    <w:rsid w:val="00570FCE"/>
    <w:rsid w:val="00571192"/>
    <w:rsid w:val="005716DD"/>
    <w:rsid w:val="00571A84"/>
    <w:rsid w:val="00573474"/>
    <w:rsid w:val="005745AD"/>
    <w:rsid w:val="00574E73"/>
    <w:rsid w:val="00575986"/>
    <w:rsid w:val="00575F13"/>
    <w:rsid w:val="00576092"/>
    <w:rsid w:val="00576F82"/>
    <w:rsid w:val="0057747D"/>
    <w:rsid w:val="0057786D"/>
    <w:rsid w:val="00580F0A"/>
    <w:rsid w:val="00581457"/>
    <w:rsid w:val="00581483"/>
    <w:rsid w:val="00581AF8"/>
    <w:rsid w:val="00581ECF"/>
    <w:rsid w:val="0058208B"/>
    <w:rsid w:val="00582458"/>
    <w:rsid w:val="00582723"/>
    <w:rsid w:val="00582B85"/>
    <w:rsid w:val="00582FEB"/>
    <w:rsid w:val="00583C5C"/>
    <w:rsid w:val="005843A0"/>
    <w:rsid w:val="00584F7E"/>
    <w:rsid w:val="00585BC1"/>
    <w:rsid w:val="00586230"/>
    <w:rsid w:val="0058691D"/>
    <w:rsid w:val="00586F61"/>
    <w:rsid w:val="00586F81"/>
    <w:rsid w:val="00590A8F"/>
    <w:rsid w:val="00590CB5"/>
    <w:rsid w:val="00593E25"/>
    <w:rsid w:val="00593FB8"/>
    <w:rsid w:val="005A0158"/>
    <w:rsid w:val="005A0457"/>
    <w:rsid w:val="005A0D68"/>
    <w:rsid w:val="005A0F29"/>
    <w:rsid w:val="005A1CE1"/>
    <w:rsid w:val="005A2EB3"/>
    <w:rsid w:val="005A324A"/>
    <w:rsid w:val="005A5D03"/>
    <w:rsid w:val="005A7744"/>
    <w:rsid w:val="005B01E3"/>
    <w:rsid w:val="005B0EF5"/>
    <w:rsid w:val="005B1310"/>
    <w:rsid w:val="005B2C73"/>
    <w:rsid w:val="005B3515"/>
    <w:rsid w:val="005B3DB6"/>
    <w:rsid w:val="005B41DE"/>
    <w:rsid w:val="005B4F3E"/>
    <w:rsid w:val="005B664C"/>
    <w:rsid w:val="005B721F"/>
    <w:rsid w:val="005B72EF"/>
    <w:rsid w:val="005B7EA0"/>
    <w:rsid w:val="005C0705"/>
    <w:rsid w:val="005C0B81"/>
    <w:rsid w:val="005C195F"/>
    <w:rsid w:val="005C51A3"/>
    <w:rsid w:val="005C5646"/>
    <w:rsid w:val="005C5B75"/>
    <w:rsid w:val="005C5B98"/>
    <w:rsid w:val="005C63C0"/>
    <w:rsid w:val="005C681F"/>
    <w:rsid w:val="005C73E9"/>
    <w:rsid w:val="005C7489"/>
    <w:rsid w:val="005C7C6F"/>
    <w:rsid w:val="005D18F7"/>
    <w:rsid w:val="005D1B25"/>
    <w:rsid w:val="005D1D73"/>
    <w:rsid w:val="005D3529"/>
    <w:rsid w:val="005D3F1C"/>
    <w:rsid w:val="005D4410"/>
    <w:rsid w:val="005D4CA2"/>
    <w:rsid w:val="005D599C"/>
    <w:rsid w:val="005D631B"/>
    <w:rsid w:val="005D6688"/>
    <w:rsid w:val="005D7610"/>
    <w:rsid w:val="005D7A05"/>
    <w:rsid w:val="005E0391"/>
    <w:rsid w:val="005E0548"/>
    <w:rsid w:val="005E0BFD"/>
    <w:rsid w:val="005E0D55"/>
    <w:rsid w:val="005E1B9D"/>
    <w:rsid w:val="005E32B5"/>
    <w:rsid w:val="005E35F2"/>
    <w:rsid w:val="005E43BD"/>
    <w:rsid w:val="005E58AC"/>
    <w:rsid w:val="005E6B01"/>
    <w:rsid w:val="005E6DC6"/>
    <w:rsid w:val="005E738B"/>
    <w:rsid w:val="005E755B"/>
    <w:rsid w:val="005E7D4E"/>
    <w:rsid w:val="005E7E0C"/>
    <w:rsid w:val="005F048E"/>
    <w:rsid w:val="005F0A3E"/>
    <w:rsid w:val="005F1FD6"/>
    <w:rsid w:val="005F2368"/>
    <w:rsid w:val="005F248D"/>
    <w:rsid w:val="005F3645"/>
    <w:rsid w:val="005F3EC1"/>
    <w:rsid w:val="005F4202"/>
    <w:rsid w:val="005F56F4"/>
    <w:rsid w:val="005F6B4E"/>
    <w:rsid w:val="005F6B98"/>
    <w:rsid w:val="005F72F8"/>
    <w:rsid w:val="005F7A0D"/>
    <w:rsid w:val="0060076B"/>
    <w:rsid w:val="00601148"/>
    <w:rsid w:val="00601320"/>
    <w:rsid w:val="00601424"/>
    <w:rsid w:val="00601539"/>
    <w:rsid w:val="006028EE"/>
    <w:rsid w:val="00605ADA"/>
    <w:rsid w:val="0060799C"/>
    <w:rsid w:val="00607DC6"/>
    <w:rsid w:val="00611F84"/>
    <w:rsid w:val="0061208B"/>
    <w:rsid w:val="00613301"/>
    <w:rsid w:val="00613429"/>
    <w:rsid w:val="00613936"/>
    <w:rsid w:val="00613E65"/>
    <w:rsid w:val="00613FAB"/>
    <w:rsid w:val="00614856"/>
    <w:rsid w:val="0061574A"/>
    <w:rsid w:val="00616343"/>
    <w:rsid w:val="006166FB"/>
    <w:rsid w:val="00617166"/>
    <w:rsid w:val="00617C9D"/>
    <w:rsid w:val="00617E25"/>
    <w:rsid w:val="00617E41"/>
    <w:rsid w:val="0062026B"/>
    <w:rsid w:val="006205A1"/>
    <w:rsid w:val="0062080B"/>
    <w:rsid w:val="00620B34"/>
    <w:rsid w:val="00620EB6"/>
    <w:rsid w:val="00621A4F"/>
    <w:rsid w:val="0062235A"/>
    <w:rsid w:val="00622D95"/>
    <w:rsid w:val="0062391D"/>
    <w:rsid w:val="00624CAE"/>
    <w:rsid w:val="0062571C"/>
    <w:rsid w:val="0062684B"/>
    <w:rsid w:val="00626E5B"/>
    <w:rsid w:val="006274A9"/>
    <w:rsid w:val="00627EC1"/>
    <w:rsid w:val="00630A78"/>
    <w:rsid w:val="006311F3"/>
    <w:rsid w:val="00631390"/>
    <w:rsid w:val="00631477"/>
    <w:rsid w:val="00633844"/>
    <w:rsid w:val="00633A92"/>
    <w:rsid w:val="00633D34"/>
    <w:rsid w:val="006347F2"/>
    <w:rsid w:val="006355F1"/>
    <w:rsid w:val="006373A0"/>
    <w:rsid w:val="00640A46"/>
    <w:rsid w:val="00640FC3"/>
    <w:rsid w:val="00641797"/>
    <w:rsid w:val="00642414"/>
    <w:rsid w:val="00643724"/>
    <w:rsid w:val="00643777"/>
    <w:rsid w:val="00646505"/>
    <w:rsid w:val="006470B4"/>
    <w:rsid w:val="006475FF"/>
    <w:rsid w:val="00650496"/>
    <w:rsid w:val="0065064A"/>
    <w:rsid w:val="0065103C"/>
    <w:rsid w:val="00651FB4"/>
    <w:rsid w:val="00652D15"/>
    <w:rsid w:val="006537E4"/>
    <w:rsid w:val="00654E7F"/>
    <w:rsid w:val="006572B6"/>
    <w:rsid w:val="00660577"/>
    <w:rsid w:val="006608C7"/>
    <w:rsid w:val="006616CB"/>
    <w:rsid w:val="00661A75"/>
    <w:rsid w:val="00661D32"/>
    <w:rsid w:val="00661DA6"/>
    <w:rsid w:val="00661F84"/>
    <w:rsid w:val="00662C4D"/>
    <w:rsid w:val="00662E43"/>
    <w:rsid w:val="00664236"/>
    <w:rsid w:val="006642F9"/>
    <w:rsid w:val="00664F73"/>
    <w:rsid w:val="006665DA"/>
    <w:rsid w:val="006676A0"/>
    <w:rsid w:val="00667EF5"/>
    <w:rsid w:val="00670802"/>
    <w:rsid w:val="00670ED0"/>
    <w:rsid w:val="00672C20"/>
    <w:rsid w:val="0067302F"/>
    <w:rsid w:val="00673532"/>
    <w:rsid w:val="00674761"/>
    <w:rsid w:val="00675610"/>
    <w:rsid w:val="00675DB7"/>
    <w:rsid w:val="0067604A"/>
    <w:rsid w:val="006766B7"/>
    <w:rsid w:val="00676E3E"/>
    <w:rsid w:val="00677F1C"/>
    <w:rsid w:val="00680484"/>
    <w:rsid w:val="0068068C"/>
    <w:rsid w:val="00681B6B"/>
    <w:rsid w:val="00682E0F"/>
    <w:rsid w:val="006833FE"/>
    <w:rsid w:val="00686B06"/>
    <w:rsid w:val="006874C3"/>
    <w:rsid w:val="00690502"/>
    <w:rsid w:val="0069241C"/>
    <w:rsid w:val="00692D10"/>
    <w:rsid w:val="00694E11"/>
    <w:rsid w:val="00695FD1"/>
    <w:rsid w:val="0069624E"/>
    <w:rsid w:val="00697035"/>
    <w:rsid w:val="00697E22"/>
    <w:rsid w:val="006A04BC"/>
    <w:rsid w:val="006A0D9B"/>
    <w:rsid w:val="006A1075"/>
    <w:rsid w:val="006A1089"/>
    <w:rsid w:val="006A3484"/>
    <w:rsid w:val="006A3D85"/>
    <w:rsid w:val="006A40A0"/>
    <w:rsid w:val="006A5425"/>
    <w:rsid w:val="006A6295"/>
    <w:rsid w:val="006A76A6"/>
    <w:rsid w:val="006B08E4"/>
    <w:rsid w:val="006B0954"/>
    <w:rsid w:val="006B0CF0"/>
    <w:rsid w:val="006B1322"/>
    <w:rsid w:val="006B17C3"/>
    <w:rsid w:val="006B307C"/>
    <w:rsid w:val="006B468D"/>
    <w:rsid w:val="006B684C"/>
    <w:rsid w:val="006B6A25"/>
    <w:rsid w:val="006B7713"/>
    <w:rsid w:val="006C0790"/>
    <w:rsid w:val="006C09FC"/>
    <w:rsid w:val="006C0E0F"/>
    <w:rsid w:val="006C1415"/>
    <w:rsid w:val="006C2477"/>
    <w:rsid w:val="006C275F"/>
    <w:rsid w:val="006C3067"/>
    <w:rsid w:val="006C3A97"/>
    <w:rsid w:val="006C44FE"/>
    <w:rsid w:val="006C4CFA"/>
    <w:rsid w:val="006C54F8"/>
    <w:rsid w:val="006C59F4"/>
    <w:rsid w:val="006C5C98"/>
    <w:rsid w:val="006D0885"/>
    <w:rsid w:val="006D0C72"/>
    <w:rsid w:val="006D0C96"/>
    <w:rsid w:val="006D108E"/>
    <w:rsid w:val="006D1179"/>
    <w:rsid w:val="006D12F5"/>
    <w:rsid w:val="006D131F"/>
    <w:rsid w:val="006D16E5"/>
    <w:rsid w:val="006D1C78"/>
    <w:rsid w:val="006D2986"/>
    <w:rsid w:val="006D30B6"/>
    <w:rsid w:val="006D3A91"/>
    <w:rsid w:val="006D5691"/>
    <w:rsid w:val="006D5958"/>
    <w:rsid w:val="006D6BB9"/>
    <w:rsid w:val="006E05FD"/>
    <w:rsid w:val="006E0DDF"/>
    <w:rsid w:val="006E1083"/>
    <w:rsid w:val="006E2287"/>
    <w:rsid w:val="006E25AA"/>
    <w:rsid w:val="006E2EA8"/>
    <w:rsid w:val="006E4A1D"/>
    <w:rsid w:val="006E5552"/>
    <w:rsid w:val="006E5768"/>
    <w:rsid w:val="006F0853"/>
    <w:rsid w:val="006F0AF6"/>
    <w:rsid w:val="006F0B60"/>
    <w:rsid w:val="006F0EE7"/>
    <w:rsid w:val="006F1EB7"/>
    <w:rsid w:val="006F2A14"/>
    <w:rsid w:val="006F446A"/>
    <w:rsid w:val="006F7AA3"/>
    <w:rsid w:val="006F7C3F"/>
    <w:rsid w:val="007007C6"/>
    <w:rsid w:val="00700EF8"/>
    <w:rsid w:val="00700F83"/>
    <w:rsid w:val="00700FD7"/>
    <w:rsid w:val="00701A7C"/>
    <w:rsid w:val="00701F0D"/>
    <w:rsid w:val="00701FE9"/>
    <w:rsid w:val="00703065"/>
    <w:rsid w:val="007038A7"/>
    <w:rsid w:val="00703E08"/>
    <w:rsid w:val="007052EE"/>
    <w:rsid w:val="0070565D"/>
    <w:rsid w:val="00705DDD"/>
    <w:rsid w:val="00706857"/>
    <w:rsid w:val="00707462"/>
    <w:rsid w:val="00707602"/>
    <w:rsid w:val="007076CB"/>
    <w:rsid w:val="007112DF"/>
    <w:rsid w:val="007114FA"/>
    <w:rsid w:val="00711FF3"/>
    <w:rsid w:val="00712308"/>
    <w:rsid w:val="007123DB"/>
    <w:rsid w:val="00714C3A"/>
    <w:rsid w:val="00714FC0"/>
    <w:rsid w:val="00715655"/>
    <w:rsid w:val="007166EE"/>
    <w:rsid w:val="007167F1"/>
    <w:rsid w:val="00717BDC"/>
    <w:rsid w:val="00721629"/>
    <w:rsid w:val="007238EB"/>
    <w:rsid w:val="00723FDE"/>
    <w:rsid w:val="007244F0"/>
    <w:rsid w:val="00724686"/>
    <w:rsid w:val="00724F8F"/>
    <w:rsid w:val="00726642"/>
    <w:rsid w:val="007267FB"/>
    <w:rsid w:val="00727301"/>
    <w:rsid w:val="00727524"/>
    <w:rsid w:val="00727BDA"/>
    <w:rsid w:val="007325A7"/>
    <w:rsid w:val="00732DCF"/>
    <w:rsid w:val="00732F70"/>
    <w:rsid w:val="00733560"/>
    <w:rsid w:val="00733D22"/>
    <w:rsid w:val="0073692F"/>
    <w:rsid w:val="00736C4A"/>
    <w:rsid w:val="0073792B"/>
    <w:rsid w:val="00740564"/>
    <w:rsid w:val="007406BF"/>
    <w:rsid w:val="00741232"/>
    <w:rsid w:val="00741F9E"/>
    <w:rsid w:val="0074349A"/>
    <w:rsid w:val="007436C2"/>
    <w:rsid w:val="00743C52"/>
    <w:rsid w:val="00745829"/>
    <w:rsid w:val="00746415"/>
    <w:rsid w:val="00746D4B"/>
    <w:rsid w:val="00747E89"/>
    <w:rsid w:val="00750326"/>
    <w:rsid w:val="00752ADF"/>
    <w:rsid w:val="00752BF1"/>
    <w:rsid w:val="00754124"/>
    <w:rsid w:val="00757B4A"/>
    <w:rsid w:val="00757B7A"/>
    <w:rsid w:val="00757BD5"/>
    <w:rsid w:val="0076012B"/>
    <w:rsid w:val="00763004"/>
    <w:rsid w:val="007633A7"/>
    <w:rsid w:val="007637AC"/>
    <w:rsid w:val="00766B94"/>
    <w:rsid w:val="007672D2"/>
    <w:rsid w:val="00767D57"/>
    <w:rsid w:val="00767DF0"/>
    <w:rsid w:val="00771673"/>
    <w:rsid w:val="00771C9D"/>
    <w:rsid w:val="0077219B"/>
    <w:rsid w:val="00772DB6"/>
    <w:rsid w:val="00773176"/>
    <w:rsid w:val="0077428B"/>
    <w:rsid w:val="00774C7E"/>
    <w:rsid w:val="00774C8B"/>
    <w:rsid w:val="00776440"/>
    <w:rsid w:val="00776797"/>
    <w:rsid w:val="007769F9"/>
    <w:rsid w:val="007770F3"/>
    <w:rsid w:val="00777A73"/>
    <w:rsid w:val="0078037D"/>
    <w:rsid w:val="00780FC7"/>
    <w:rsid w:val="00781C76"/>
    <w:rsid w:val="007822A9"/>
    <w:rsid w:val="007830FB"/>
    <w:rsid w:val="0078335C"/>
    <w:rsid w:val="0078341D"/>
    <w:rsid w:val="00783D1B"/>
    <w:rsid w:val="007853FD"/>
    <w:rsid w:val="007859C4"/>
    <w:rsid w:val="00786CE0"/>
    <w:rsid w:val="00787BA0"/>
    <w:rsid w:val="00787D6B"/>
    <w:rsid w:val="00791FBF"/>
    <w:rsid w:val="0079244D"/>
    <w:rsid w:val="007941B6"/>
    <w:rsid w:val="0079474F"/>
    <w:rsid w:val="0079527F"/>
    <w:rsid w:val="007957CA"/>
    <w:rsid w:val="00795B73"/>
    <w:rsid w:val="007973CE"/>
    <w:rsid w:val="00797BBE"/>
    <w:rsid w:val="007A1523"/>
    <w:rsid w:val="007A4128"/>
    <w:rsid w:val="007A48E7"/>
    <w:rsid w:val="007A5025"/>
    <w:rsid w:val="007A5467"/>
    <w:rsid w:val="007A5C0F"/>
    <w:rsid w:val="007A5C26"/>
    <w:rsid w:val="007A6C21"/>
    <w:rsid w:val="007A6E44"/>
    <w:rsid w:val="007A7A3E"/>
    <w:rsid w:val="007B06D8"/>
    <w:rsid w:val="007B1EFC"/>
    <w:rsid w:val="007B2394"/>
    <w:rsid w:val="007B43A5"/>
    <w:rsid w:val="007B5A34"/>
    <w:rsid w:val="007B66D0"/>
    <w:rsid w:val="007B6BA7"/>
    <w:rsid w:val="007B6CED"/>
    <w:rsid w:val="007B6FAC"/>
    <w:rsid w:val="007B7A0D"/>
    <w:rsid w:val="007C01A1"/>
    <w:rsid w:val="007C1244"/>
    <w:rsid w:val="007C1248"/>
    <w:rsid w:val="007C1282"/>
    <w:rsid w:val="007C15E0"/>
    <w:rsid w:val="007C1C47"/>
    <w:rsid w:val="007C3549"/>
    <w:rsid w:val="007C59E9"/>
    <w:rsid w:val="007C62AF"/>
    <w:rsid w:val="007C62CB"/>
    <w:rsid w:val="007C63AC"/>
    <w:rsid w:val="007C7E8D"/>
    <w:rsid w:val="007D0243"/>
    <w:rsid w:val="007D18FE"/>
    <w:rsid w:val="007D1CDE"/>
    <w:rsid w:val="007D2DFE"/>
    <w:rsid w:val="007D3698"/>
    <w:rsid w:val="007D3913"/>
    <w:rsid w:val="007D42E9"/>
    <w:rsid w:val="007D4F38"/>
    <w:rsid w:val="007D4F82"/>
    <w:rsid w:val="007D567F"/>
    <w:rsid w:val="007D5C14"/>
    <w:rsid w:val="007D64B2"/>
    <w:rsid w:val="007D693E"/>
    <w:rsid w:val="007D7C48"/>
    <w:rsid w:val="007E0957"/>
    <w:rsid w:val="007E1410"/>
    <w:rsid w:val="007E14CF"/>
    <w:rsid w:val="007E1863"/>
    <w:rsid w:val="007E2823"/>
    <w:rsid w:val="007E3270"/>
    <w:rsid w:val="007E3332"/>
    <w:rsid w:val="007E34E4"/>
    <w:rsid w:val="007E3D2E"/>
    <w:rsid w:val="007E45DE"/>
    <w:rsid w:val="007E57AE"/>
    <w:rsid w:val="007E68C3"/>
    <w:rsid w:val="007E7F13"/>
    <w:rsid w:val="007E7FDA"/>
    <w:rsid w:val="007F01FA"/>
    <w:rsid w:val="007F04A7"/>
    <w:rsid w:val="007F1E97"/>
    <w:rsid w:val="007F22DB"/>
    <w:rsid w:val="007F2448"/>
    <w:rsid w:val="00801CF3"/>
    <w:rsid w:val="008020CC"/>
    <w:rsid w:val="00802790"/>
    <w:rsid w:val="008028F2"/>
    <w:rsid w:val="008037D8"/>
    <w:rsid w:val="008052BC"/>
    <w:rsid w:val="008064E6"/>
    <w:rsid w:val="0080699B"/>
    <w:rsid w:val="00806B94"/>
    <w:rsid w:val="00806FED"/>
    <w:rsid w:val="0080726A"/>
    <w:rsid w:val="00807AB8"/>
    <w:rsid w:val="008109DC"/>
    <w:rsid w:val="008115A1"/>
    <w:rsid w:val="00812EF3"/>
    <w:rsid w:val="00812F4C"/>
    <w:rsid w:val="00815EC8"/>
    <w:rsid w:val="00817BD0"/>
    <w:rsid w:val="0082010B"/>
    <w:rsid w:val="008206A0"/>
    <w:rsid w:val="00820B59"/>
    <w:rsid w:val="0082181D"/>
    <w:rsid w:val="00821E66"/>
    <w:rsid w:val="00822A20"/>
    <w:rsid w:val="00823911"/>
    <w:rsid w:val="008243F5"/>
    <w:rsid w:val="00825918"/>
    <w:rsid w:val="00825D34"/>
    <w:rsid w:val="00827B9D"/>
    <w:rsid w:val="00827EEB"/>
    <w:rsid w:val="008300EF"/>
    <w:rsid w:val="00830B1B"/>
    <w:rsid w:val="00830CC9"/>
    <w:rsid w:val="00831282"/>
    <w:rsid w:val="008329F3"/>
    <w:rsid w:val="00833553"/>
    <w:rsid w:val="00834F16"/>
    <w:rsid w:val="0083518C"/>
    <w:rsid w:val="00835B84"/>
    <w:rsid w:val="00835E75"/>
    <w:rsid w:val="008360C9"/>
    <w:rsid w:val="0083634C"/>
    <w:rsid w:val="00836377"/>
    <w:rsid w:val="00837238"/>
    <w:rsid w:val="0084054D"/>
    <w:rsid w:val="00841460"/>
    <w:rsid w:val="00842596"/>
    <w:rsid w:val="00842CAF"/>
    <w:rsid w:val="00843737"/>
    <w:rsid w:val="00843B2F"/>
    <w:rsid w:val="008457F1"/>
    <w:rsid w:val="008479BA"/>
    <w:rsid w:val="00850123"/>
    <w:rsid w:val="00850D9A"/>
    <w:rsid w:val="00851152"/>
    <w:rsid w:val="008511B5"/>
    <w:rsid w:val="00851A28"/>
    <w:rsid w:val="00852000"/>
    <w:rsid w:val="008528BC"/>
    <w:rsid w:val="008534E6"/>
    <w:rsid w:val="0085560F"/>
    <w:rsid w:val="00855ED6"/>
    <w:rsid w:val="0085664D"/>
    <w:rsid w:val="00857FF0"/>
    <w:rsid w:val="008607E1"/>
    <w:rsid w:val="00861054"/>
    <w:rsid w:val="00861D95"/>
    <w:rsid w:val="00861F38"/>
    <w:rsid w:val="0086330E"/>
    <w:rsid w:val="0086370D"/>
    <w:rsid w:val="00863952"/>
    <w:rsid w:val="00863D36"/>
    <w:rsid w:val="00863D76"/>
    <w:rsid w:val="008642CB"/>
    <w:rsid w:val="00864531"/>
    <w:rsid w:val="00865C05"/>
    <w:rsid w:val="008667C9"/>
    <w:rsid w:val="00867366"/>
    <w:rsid w:val="00870728"/>
    <w:rsid w:val="0087074C"/>
    <w:rsid w:val="00870B31"/>
    <w:rsid w:val="0087154A"/>
    <w:rsid w:val="00872CB0"/>
    <w:rsid w:val="00873F25"/>
    <w:rsid w:val="008761FE"/>
    <w:rsid w:val="008765DB"/>
    <w:rsid w:val="00876D4E"/>
    <w:rsid w:val="00880F8F"/>
    <w:rsid w:val="0088104A"/>
    <w:rsid w:val="00881B79"/>
    <w:rsid w:val="008824B7"/>
    <w:rsid w:val="00882D5C"/>
    <w:rsid w:val="008831EA"/>
    <w:rsid w:val="00883B38"/>
    <w:rsid w:val="00883E39"/>
    <w:rsid w:val="00884169"/>
    <w:rsid w:val="008842A2"/>
    <w:rsid w:val="00884794"/>
    <w:rsid w:val="00886082"/>
    <w:rsid w:val="0089056B"/>
    <w:rsid w:val="00890E83"/>
    <w:rsid w:val="00890F5F"/>
    <w:rsid w:val="008921E0"/>
    <w:rsid w:val="008922D1"/>
    <w:rsid w:val="00892B97"/>
    <w:rsid w:val="008941BC"/>
    <w:rsid w:val="00895831"/>
    <w:rsid w:val="008965BE"/>
    <w:rsid w:val="00897912"/>
    <w:rsid w:val="00897D1C"/>
    <w:rsid w:val="008A13BB"/>
    <w:rsid w:val="008A3931"/>
    <w:rsid w:val="008A5D48"/>
    <w:rsid w:val="008A5E09"/>
    <w:rsid w:val="008A61CA"/>
    <w:rsid w:val="008B0E4E"/>
    <w:rsid w:val="008B1A62"/>
    <w:rsid w:val="008B38F1"/>
    <w:rsid w:val="008B4EA3"/>
    <w:rsid w:val="008B4EBB"/>
    <w:rsid w:val="008B5002"/>
    <w:rsid w:val="008B6CFE"/>
    <w:rsid w:val="008B72C2"/>
    <w:rsid w:val="008B75C0"/>
    <w:rsid w:val="008C0A81"/>
    <w:rsid w:val="008C1CB7"/>
    <w:rsid w:val="008C24DD"/>
    <w:rsid w:val="008C2802"/>
    <w:rsid w:val="008C2EFF"/>
    <w:rsid w:val="008C31FE"/>
    <w:rsid w:val="008C34EF"/>
    <w:rsid w:val="008C3594"/>
    <w:rsid w:val="008C3597"/>
    <w:rsid w:val="008C35D3"/>
    <w:rsid w:val="008C4A44"/>
    <w:rsid w:val="008C4FEC"/>
    <w:rsid w:val="008C5084"/>
    <w:rsid w:val="008C59D9"/>
    <w:rsid w:val="008C69C2"/>
    <w:rsid w:val="008C6A06"/>
    <w:rsid w:val="008D014F"/>
    <w:rsid w:val="008D13BC"/>
    <w:rsid w:val="008D1B3A"/>
    <w:rsid w:val="008D1C71"/>
    <w:rsid w:val="008D234A"/>
    <w:rsid w:val="008D2FF2"/>
    <w:rsid w:val="008D4D46"/>
    <w:rsid w:val="008D5452"/>
    <w:rsid w:val="008D63FD"/>
    <w:rsid w:val="008D7EC4"/>
    <w:rsid w:val="008E1F2A"/>
    <w:rsid w:val="008E37A9"/>
    <w:rsid w:val="008E3B9E"/>
    <w:rsid w:val="008E3D5B"/>
    <w:rsid w:val="008E4061"/>
    <w:rsid w:val="008E48B0"/>
    <w:rsid w:val="008E547E"/>
    <w:rsid w:val="008E5DA8"/>
    <w:rsid w:val="008E6AAA"/>
    <w:rsid w:val="008E730E"/>
    <w:rsid w:val="008F07DA"/>
    <w:rsid w:val="008F28B5"/>
    <w:rsid w:val="008F2C86"/>
    <w:rsid w:val="008F3DFC"/>
    <w:rsid w:val="008F417D"/>
    <w:rsid w:val="008F4B22"/>
    <w:rsid w:val="008F4BEF"/>
    <w:rsid w:val="008F4ED1"/>
    <w:rsid w:val="008F5028"/>
    <w:rsid w:val="008F5155"/>
    <w:rsid w:val="008F5D30"/>
    <w:rsid w:val="008F5ECD"/>
    <w:rsid w:val="008F68AD"/>
    <w:rsid w:val="008F6A4C"/>
    <w:rsid w:val="009000F1"/>
    <w:rsid w:val="00900B5C"/>
    <w:rsid w:val="0090150D"/>
    <w:rsid w:val="00901A30"/>
    <w:rsid w:val="00901E29"/>
    <w:rsid w:val="00902C35"/>
    <w:rsid w:val="00902F5B"/>
    <w:rsid w:val="009057D9"/>
    <w:rsid w:val="009064C4"/>
    <w:rsid w:val="0090720C"/>
    <w:rsid w:val="00907C7B"/>
    <w:rsid w:val="00910DC8"/>
    <w:rsid w:val="00911351"/>
    <w:rsid w:val="00911750"/>
    <w:rsid w:val="00913080"/>
    <w:rsid w:val="00914307"/>
    <w:rsid w:val="00914ADE"/>
    <w:rsid w:val="00914FC5"/>
    <w:rsid w:val="009152D5"/>
    <w:rsid w:val="00916380"/>
    <w:rsid w:val="00916A65"/>
    <w:rsid w:val="0091748D"/>
    <w:rsid w:val="00921CC5"/>
    <w:rsid w:val="00921D2A"/>
    <w:rsid w:val="0092255B"/>
    <w:rsid w:val="009227BC"/>
    <w:rsid w:val="009228AE"/>
    <w:rsid w:val="00922AE9"/>
    <w:rsid w:val="00922C29"/>
    <w:rsid w:val="009231DF"/>
    <w:rsid w:val="0092423F"/>
    <w:rsid w:val="0092581A"/>
    <w:rsid w:val="0092642A"/>
    <w:rsid w:val="00926EA2"/>
    <w:rsid w:val="009301C3"/>
    <w:rsid w:val="0093044C"/>
    <w:rsid w:val="0093087C"/>
    <w:rsid w:val="00930A63"/>
    <w:rsid w:val="00931632"/>
    <w:rsid w:val="009335A3"/>
    <w:rsid w:val="009340F8"/>
    <w:rsid w:val="00934AF5"/>
    <w:rsid w:val="00937365"/>
    <w:rsid w:val="00937E13"/>
    <w:rsid w:val="00940E3B"/>
    <w:rsid w:val="00940E6F"/>
    <w:rsid w:val="009424F0"/>
    <w:rsid w:val="0094337D"/>
    <w:rsid w:val="0094393C"/>
    <w:rsid w:val="00943BCD"/>
    <w:rsid w:val="00945084"/>
    <w:rsid w:val="00945A87"/>
    <w:rsid w:val="009461D9"/>
    <w:rsid w:val="0094730A"/>
    <w:rsid w:val="00950530"/>
    <w:rsid w:val="00952081"/>
    <w:rsid w:val="009542C6"/>
    <w:rsid w:val="009543D4"/>
    <w:rsid w:val="009546B7"/>
    <w:rsid w:val="00955C00"/>
    <w:rsid w:val="0095657E"/>
    <w:rsid w:val="0095684C"/>
    <w:rsid w:val="00956880"/>
    <w:rsid w:val="00956A11"/>
    <w:rsid w:val="00956D13"/>
    <w:rsid w:val="00960675"/>
    <w:rsid w:val="00961891"/>
    <w:rsid w:val="00962911"/>
    <w:rsid w:val="00964507"/>
    <w:rsid w:val="00965C72"/>
    <w:rsid w:val="00966398"/>
    <w:rsid w:val="009667E0"/>
    <w:rsid w:val="009670FD"/>
    <w:rsid w:val="0096722C"/>
    <w:rsid w:val="00971FED"/>
    <w:rsid w:val="00972DE4"/>
    <w:rsid w:val="00974ECD"/>
    <w:rsid w:val="009776D1"/>
    <w:rsid w:val="00977C63"/>
    <w:rsid w:val="00980A6F"/>
    <w:rsid w:val="0098115B"/>
    <w:rsid w:val="009817A6"/>
    <w:rsid w:val="00982071"/>
    <w:rsid w:val="00982EE1"/>
    <w:rsid w:val="00983633"/>
    <w:rsid w:val="009848A9"/>
    <w:rsid w:val="00985678"/>
    <w:rsid w:val="00985B72"/>
    <w:rsid w:val="0098628A"/>
    <w:rsid w:val="00986419"/>
    <w:rsid w:val="00986AD2"/>
    <w:rsid w:val="00986E2D"/>
    <w:rsid w:val="009878AE"/>
    <w:rsid w:val="009907D9"/>
    <w:rsid w:val="00990D34"/>
    <w:rsid w:val="00991645"/>
    <w:rsid w:val="009925A0"/>
    <w:rsid w:val="009929FB"/>
    <w:rsid w:val="00993803"/>
    <w:rsid w:val="009943C6"/>
    <w:rsid w:val="00994551"/>
    <w:rsid w:val="00994DDF"/>
    <w:rsid w:val="00995203"/>
    <w:rsid w:val="00995206"/>
    <w:rsid w:val="00995F99"/>
    <w:rsid w:val="00996AB8"/>
    <w:rsid w:val="00996D4F"/>
    <w:rsid w:val="00997ACE"/>
    <w:rsid w:val="009A0154"/>
    <w:rsid w:val="009A0579"/>
    <w:rsid w:val="009A078D"/>
    <w:rsid w:val="009A097A"/>
    <w:rsid w:val="009A0C0B"/>
    <w:rsid w:val="009A0EC4"/>
    <w:rsid w:val="009A1B79"/>
    <w:rsid w:val="009A1EA9"/>
    <w:rsid w:val="009A2242"/>
    <w:rsid w:val="009A2282"/>
    <w:rsid w:val="009A2789"/>
    <w:rsid w:val="009A32A9"/>
    <w:rsid w:val="009A3CF1"/>
    <w:rsid w:val="009A3FB3"/>
    <w:rsid w:val="009A4377"/>
    <w:rsid w:val="009A7BD9"/>
    <w:rsid w:val="009B0696"/>
    <w:rsid w:val="009B0E53"/>
    <w:rsid w:val="009B19C6"/>
    <w:rsid w:val="009B2A2A"/>
    <w:rsid w:val="009B4698"/>
    <w:rsid w:val="009B4AEF"/>
    <w:rsid w:val="009B4CF1"/>
    <w:rsid w:val="009B5169"/>
    <w:rsid w:val="009C0393"/>
    <w:rsid w:val="009C11EA"/>
    <w:rsid w:val="009C195B"/>
    <w:rsid w:val="009C226F"/>
    <w:rsid w:val="009C2567"/>
    <w:rsid w:val="009C25EC"/>
    <w:rsid w:val="009C49E9"/>
    <w:rsid w:val="009C4AC0"/>
    <w:rsid w:val="009C53B5"/>
    <w:rsid w:val="009C5E71"/>
    <w:rsid w:val="009C620B"/>
    <w:rsid w:val="009C66D1"/>
    <w:rsid w:val="009C71A9"/>
    <w:rsid w:val="009D0572"/>
    <w:rsid w:val="009D0B87"/>
    <w:rsid w:val="009D2B1A"/>
    <w:rsid w:val="009D2BBD"/>
    <w:rsid w:val="009D3A46"/>
    <w:rsid w:val="009D44F3"/>
    <w:rsid w:val="009D4FAE"/>
    <w:rsid w:val="009D517F"/>
    <w:rsid w:val="009D614B"/>
    <w:rsid w:val="009D6392"/>
    <w:rsid w:val="009D7658"/>
    <w:rsid w:val="009D77A4"/>
    <w:rsid w:val="009D7A96"/>
    <w:rsid w:val="009D7CA8"/>
    <w:rsid w:val="009E06F0"/>
    <w:rsid w:val="009E08C6"/>
    <w:rsid w:val="009E15D7"/>
    <w:rsid w:val="009E2098"/>
    <w:rsid w:val="009E29E4"/>
    <w:rsid w:val="009E2A66"/>
    <w:rsid w:val="009E313F"/>
    <w:rsid w:val="009E3B24"/>
    <w:rsid w:val="009E42AC"/>
    <w:rsid w:val="009E439C"/>
    <w:rsid w:val="009E551E"/>
    <w:rsid w:val="009E5B41"/>
    <w:rsid w:val="009E7625"/>
    <w:rsid w:val="009E78C0"/>
    <w:rsid w:val="009F2B2F"/>
    <w:rsid w:val="009F3108"/>
    <w:rsid w:val="009F33CC"/>
    <w:rsid w:val="009F351D"/>
    <w:rsid w:val="009F3EC5"/>
    <w:rsid w:val="009F44E6"/>
    <w:rsid w:val="009F4872"/>
    <w:rsid w:val="009F4F0D"/>
    <w:rsid w:val="009F7ABE"/>
    <w:rsid w:val="00A00F9A"/>
    <w:rsid w:val="00A04106"/>
    <w:rsid w:val="00A041C3"/>
    <w:rsid w:val="00A044F2"/>
    <w:rsid w:val="00A04EC4"/>
    <w:rsid w:val="00A056E0"/>
    <w:rsid w:val="00A05E12"/>
    <w:rsid w:val="00A060C3"/>
    <w:rsid w:val="00A06299"/>
    <w:rsid w:val="00A0646A"/>
    <w:rsid w:val="00A07840"/>
    <w:rsid w:val="00A109DD"/>
    <w:rsid w:val="00A11324"/>
    <w:rsid w:val="00A11BA2"/>
    <w:rsid w:val="00A12388"/>
    <w:rsid w:val="00A12989"/>
    <w:rsid w:val="00A13472"/>
    <w:rsid w:val="00A14ACE"/>
    <w:rsid w:val="00A15EC3"/>
    <w:rsid w:val="00A1662C"/>
    <w:rsid w:val="00A16DA3"/>
    <w:rsid w:val="00A174DD"/>
    <w:rsid w:val="00A176B7"/>
    <w:rsid w:val="00A20EA1"/>
    <w:rsid w:val="00A2108B"/>
    <w:rsid w:val="00A22626"/>
    <w:rsid w:val="00A226CB"/>
    <w:rsid w:val="00A22EFC"/>
    <w:rsid w:val="00A232DD"/>
    <w:rsid w:val="00A248BC"/>
    <w:rsid w:val="00A24C02"/>
    <w:rsid w:val="00A2554D"/>
    <w:rsid w:val="00A25878"/>
    <w:rsid w:val="00A25BB1"/>
    <w:rsid w:val="00A26088"/>
    <w:rsid w:val="00A272FC"/>
    <w:rsid w:val="00A27AA0"/>
    <w:rsid w:val="00A27C00"/>
    <w:rsid w:val="00A30D34"/>
    <w:rsid w:val="00A31008"/>
    <w:rsid w:val="00A32027"/>
    <w:rsid w:val="00A324BE"/>
    <w:rsid w:val="00A3408D"/>
    <w:rsid w:val="00A34BC6"/>
    <w:rsid w:val="00A357DB"/>
    <w:rsid w:val="00A360A7"/>
    <w:rsid w:val="00A36581"/>
    <w:rsid w:val="00A369EE"/>
    <w:rsid w:val="00A373ED"/>
    <w:rsid w:val="00A37A66"/>
    <w:rsid w:val="00A37C4B"/>
    <w:rsid w:val="00A37CBA"/>
    <w:rsid w:val="00A40853"/>
    <w:rsid w:val="00A41DCF"/>
    <w:rsid w:val="00A4206D"/>
    <w:rsid w:val="00A42843"/>
    <w:rsid w:val="00A42876"/>
    <w:rsid w:val="00A42B4F"/>
    <w:rsid w:val="00A4354A"/>
    <w:rsid w:val="00A46DEC"/>
    <w:rsid w:val="00A47148"/>
    <w:rsid w:val="00A47209"/>
    <w:rsid w:val="00A509F7"/>
    <w:rsid w:val="00A5194E"/>
    <w:rsid w:val="00A52C74"/>
    <w:rsid w:val="00A53106"/>
    <w:rsid w:val="00A53265"/>
    <w:rsid w:val="00A566F3"/>
    <w:rsid w:val="00A60C0D"/>
    <w:rsid w:val="00A621E7"/>
    <w:rsid w:val="00A629A0"/>
    <w:rsid w:val="00A63116"/>
    <w:rsid w:val="00A64CBA"/>
    <w:rsid w:val="00A66252"/>
    <w:rsid w:val="00A66817"/>
    <w:rsid w:val="00A6708F"/>
    <w:rsid w:val="00A708A6"/>
    <w:rsid w:val="00A71C2D"/>
    <w:rsid w:val="00A71D6D"/>
    <w:rsid w:val="00A722C7"/>
    <w:rsid w:val="00A72398"/>
    <w:rsid w:val="00A72E13"/>
    <w:rsid w:val="00A73345"/>
    <w:rsid w:val="00A74561"/>
    <w:rsid w:val="00A74832"/>
    <w:rsid w:val="00A74F58"/>
    <w:rsid w:val="00A75441"/>
    <w:rsid w:val="00A76190"/>
    <w:rsid w:val="00A76FC7"/>
    <w:rsid w:val="00A77217"/>
    <w:rsid w:val="00A77ED3"/>
    <w:rsid w:val="00A8012C"/>
    <w:rsid w:val="00A80671"/>
    <w:rsid w:val="00A8089F"/>
    <w:rsid w:val="00A80A64"/>
    <w:rsid w:val="00A80A7D"/>
    <w:rsid w:val="00A80EFC"/>
    <w:rsid w:val="00A828DF"/>
    <w:rsid w:val="00A82F6D"/>
    <w:rsid w:val="00A846CF"/>
    <w:rsid w:val="00A84C31"/>
    <w:rsid w:val="00A85BEF"/>
    <w:rsid w:val="00A86927"/>
    <w:rsid w:val="00A86A39"/>
    <w:rsid w:val="00A86F12"/>
    <w:rsid w:val="00A87466"/>
    <w:rsid w:val="00A87468"/>
    <w:rsid w:val="00A87979"/>
    <w:rsid w:val="00A87D07"/>
    <w:rsid w:val="00A87E7B"/>
    <w:rsid w:val="00A907F8"/>
    <w:rsid w:val="00A9117E"/>
    <w:rsid w:val="00A91BAC"/>
    <w:rsid w:val="00A924BF"/>
    <w:rsid w:val="00A926E2"/>
    <w:rsid w:val="00A92E00"/>
    <w:rsid w:val="00A93092"/>
    <w:rsid w:val="00A95B63"/>
    <w:rsid w:val="00A966B9"/>
    <w:rsid w:val="00A96D9D"/>
    <w:rsid w:val="00A975BC"/>
    <w:rsid w:val="00AA0229"/>
    <w:rsid w:val="00AA05EB"/>
    <w:rsid w:val="00AA063D"/>
    <w:rsid w:val="00AA0E87"/>
    <w:rsid w:val="00AA29F2"/>
    <w:rsid w:val="00AA35AC"/>
    <w:rsid w:val="00AA3C24"/>
    <w:rsid w:val="00AA482B"/>
    <w:rsid w:val="00AA5E1B"/>
    <w:rsid w:val="00AA7412"/>
    <w:rsid w:val="00AA7C5D"/>
    <w:rsid w:val="00AA7DE2"/>
    <w:rsid w:val="00AB14F4"/>
    <w:rsid w:val="00AB189C"/>
    <w:rsid w:val="00AB2D11"/>
    <w:rsid w:val="00AB2E15"/>
    <w:rsid w:val="00AB36AF"/>
    <w:rsid w:val="00AB3852"/>
    <w:rsid w:val="00AB3F8F"/>
    <w:rsid w:val="00AB4B21"/>
    <w:rsid w:val="00AB50D1"/>
    <w:rsid w:val="00AB59B3"/>
    <w:rsid w:val="00AB5C4B"/>
    <w:rsid w:val="00AB7F67"/>
    <w:rsid w:val="00AC24FB"/>
    <w:rsid w:val="00AC27A2"/>
    <w:rsid w:val="00AC39D5"/>
    <w:rsid w:val="00AC3A9D"/>
    <w:rsid w:val="00AC7E4D"/>
    <w:rsid w:val="00AD0850"/>
    <w:rsid w:val="00AD1D1D"/>
    <w:rsid w:val="00AD2877"/>
    <w:rsid w:val="00AD43E6"/>
    <w:rsid w:val="00AE26BE"/>
    <w:rsid w:val="00AE2CE0"/>
    <w:rsid w:val="00AE450E"/>
    <w:rsid w:val="00AE4BAA"/>
    <w:rsid w:val="00AE6016"/>
    <w:rsid w:val="00AE6DF6"/>
    <w:rsid w:val="00AE7172"/>
    <w:rsid w:val="00AF0005"/>
    <w:rsid w:val="00AF016C"/>
    <w:rsid w:val="00AF1B9A"/>
    <w:rsid w:val="00AF1CDC"/>
    <w:rsid w:val="00AF2F70"/>
    <w:rsid w:val="00AF79F7"/>
    <w:rsid w:val="00B013D1"/>
    <w:rsid w:val="00B016DE"/>
    <w:rsid w:val="00B0229C"/>
    <w:rsid w:val="00B02A12"/>
    <w:rsid w:val="00B032D6"/>
    <w:rsid w:val="00B052B5"/>
    <w:rsid w:val="00B05B6B"/>
    <w:rsid w:val="00B06333"/>
    <w:rsid w:val="00B06A93"/>
    <w:rsid w:val="00B06C0B"/>
    <w:rsid w:val="00B102E7"/>
    <w:rsid w:val="00B1096A"/>
    <w:rsid w:val="00B10AF3"/>
    <w:rsid w:val="00B129B3"/>
    <w:rsid w:val="00B12DEB"/>
    <w:rsid w:val="00B12E41"/>
    <w:rsid w:val="00B138DD"/>
    <w:rsid w:val="00B13B5D"/>
    <w:rsid w:val="00B13CAF"/>
    <w:rsid w:val="00B1424B"/>
    <w:rsid w:val="00B143D9"/>
    <w:rsid w:val="00B14D72"/>
    <w:rsid w:val="00B15688"/>
    <w:rsid w:val="00B16227"/>
    <w:rsid w:val="00B1669B"/>
    <w:rsid w:val="00B16883"/>
    <w:rsid w:val="00B17103"/>
    <w:rsid w:val="00B20AE7"/>
    <w:rsid w:val="00B22AD2"/>
    <w:rsid w:val="00B23ACF"/>
    <w:rsid w:val="00B24055"/>
    <w:rsid w:val="00B24176"/>
    <w:rsid w:val="00B24279"/>
    <w:rsid w:val="00B244D2"/>
    <w:rsid w:val="00B2475C"/>
    <w:rsid w:val="00B248DB"/>
    <w:rsid w:val="00B24CF2"/>
    <w:rsid w:val="00B25C5C"/>
    <w:rsid w:val="00B25E3B"/>
    <w:rsid w:val="00B26DE3"/>
    <w:rsid w:val="00B26ED6"/>
    <w:rsid w:val="00B27116"/>
    <w:rsid w:val="00B27A55"/>
    <w:rsid w:val="00B27CD5"/>
    <w:rsid w:val="00B3011A"/>
    <w:rsid w:val="00B301BF"/>
    <w:rsid w:val="00B30579"/>
    <w:rsid w:val="00B3134C"/>
    <w:rsid w:val="00B31D87"/>
    <w:rsid w:val="00B3298B"/>
    <w:rsid w:val="00B32B7D"/>
    <w:rsid w:val="00B34018"/>
    <w:rsid w:val="00B3415F"/>
    <w:rsid w:val="00B3489A"/>
    <w:rsid w:val="00B349C9"/>
    <w:rsid w:val="00B34ED5"/>
    <w:rsid w:val="00B37164"/>
    <w:rsid w:val="00B37873"/>
    <w:rsid w:val="00B37E3C"/>
    <w:rsid w:val="00B37FA3"/>
    <w:rsid w:val="00B40642"/>
    <w:rsid w:val="00B413E6"/>
    <w:rsid w:val="00B42082"/>
    <w:rsid w:val="00B426C8"/>
    <w:rsid w:val="00B42A76"/>
    <w:rsid w:val="00B42AEF"/>
    <w:rsid w:val="00B42D0D"/>
    <w:rsid w:val="00B42DEB"/>
    <w:rsid w:val="00B42FFD"/>
    <w:rsid w:val="00B43766"/>
    <w:rsid w:val="00B43B4C"/>
    <w:rsid w:val="00B444C3"/>
    <w:rsid w:val="00B44951"/>
    <w:rsid w:val="00B4527B"/>
    <w:rsid w:val="00B45421"/>
    <w:rsid w:val="00B463A7"/>
    <w:rsid w:val="00B46604"/>
    <w:rsid w:val="00B468C4"/>
    <w:rsid w:val="00B511C7"/>
    <w:rsid w:val="00B5149F"/>
    <w:rsid w:val="00B532FD"/>
    <w:rsid w:val="00B5495F"/>
    <w:rsid w:val="00B54B0E"/>
    <w:rsid w:val="00B5680F"/>
    <w:rsid w:val="00B5701C"/>
    <w:rsid w:val="00B5709A"/>
    <w:rsid w:val="00B606D4"/>
    <w:rsid w:val="00B61A52"/>
    <w:rsid w:val="00B62345"/>
    <w:rsid w:val="00B63180"/>
    <w:rsid w:val="00B63652"/>
    <w:rsid w:val="00B636F2"/>
    <w:rsid w:val="00B643B6"/>
    <w:rsid w:val="00B64D0F"/>
    <w:rsid w:val="00B6527A"/>
    <w:rsid w:val="00B65DC8"/>
    <w:rsid w:val="00B65FB7"/>
    <w:rsid w:val="00B66081"/>
    <w:rsid w:val="00B66286"/>
    <w:rsid w:val="00B66F45"/>
    <w:rsid w:val="00B67A3C"/>
    <w:rsid w:val="00B717B5"/>
    <w:rsid w:val="00B71BFC"/>
    <w:rsid w:val="00B720EE"/>
    <w:rsid w:val="00B7236C"/>
    <w:rsid w:val="00B7382A"/>
    <w:rsid w:val="00B73967"/>
    <w:rsid w:val="00B74126"/>
    <w:rsid w:val="00B74187"/>
    <w:rsid w:val="00B7454A"/>
    <w:rsid w:val="00B74C87"/>
    <w:rsid w:val="00B76874"/>
    <w:rsid w:val="00B768E9"/>
    <w:rsid w:val="00B76B53"/>
    <w:rsid w:val="00B771A5"/>
    <w:rsid w:val="00B81703"/>
    <w:rsid w:val="00B82812"/>
    <w:rsid w:val="00B833E0"/>
    <w:rsid w:val="00B83A20"/>
    <w:rsid w:val="00B8423E"/>
    <w:rsid w:val="00B84688"/>
    <w:rsid w:val="00B84B04"/>
    <w:rsid w:val="00B84B30"/>
    <w:rsid w:val="00B84E00"/>
    <w:rsid w:val="00B85099"/>
    <w:rsid w:val="00B85F90"/>
    <w:rsid w:val="00B87A35"/>
    <w:rsid w:val="00B87DB9"/>
    <w:rsid w:val="00B87DF6"/>
    <w:rsid w:val="00B9224C"/>
    <w:rsid w:val="00B9288E"/>
    <w:rsid w:val="00B92E45"/>
    <w:rsid w:val="00B93754"/>
    <w:rsid w:val="00B941E0"/>
    <w:rsid w:val="00B951AA"/>
    <w:rsid w:val="00B957A7"/>
    <w:rsid w:val="00B9581D"/>
    <w:rsid w:val="00B979F6"/>
    <w:rsid w:val="00B97B60"/>
    <w:rsid w:val="00BA0016"/>
    <w:rsid w:val="00BA1BCF"/>
    <w:rsid w:val="00BA1E72"/>
    <w:rsid w:val="00BA2341"/>
    <w:rsid w:val="00BA2BBF"/>
    <w:rsid w:val="00BA5756"/>
    <w:rsid w:val="00BB0037"/>
    <w:rsid w:val="00BB0FBF"/>
    <w:rsid w:val="00BB14C5"/>
    <w:rsid w:val="00BB1B66"/>
    <w:rsid w:val="00BB1D4B"/>
    <w:rsid w:val="00BB290B"/>
    <w:rsid w:val="00BB313E"/>
    <w:rsid w:val="00BB68FA"/>
    <w:rsid w:val="00BB7361"/>
    <w:rsid w:val="00BB7CBA"/>
    <w:rsid w:val="00BC0A02"/>
    <w:rsid w:val="00BC0D06"/>
    <w:rsid w:val="00BC19B0"/>
    <w:rsid w:val="00BC1CCC"/>
    <w:rsid w:val="00BC1F1C"/>
    <w:rsid w:val="00BC3E6B"/>
    <w:rsid w:val="00BC44D3"/>
    <w:rsid w:val="00BC48D7"/>
    <w:rsid w:val="00BC4ACB"/>
    <w:rsid w:val="00BC4FA5"/>
    <w:rsid w:val="00BC6D07"/>
    <w:rsid w:val="00BD07F4"/>
    <w:rsid w:val="00BD1E44"/>
    <w:rsid w:val="00BD2751"/>
    <w:rsid w:val="00BD2D66"/>
    <w:rsid w:val="00BD2FCD"/>
    <w:rsid w:val="00BD3301"/>
    <w:rsid w:val="00BD376F"/>
    <w:rsid w:val="00BD3FDD"/>
    <w:rsid w:val="00BD5C3C"/>
    <w:rsid w:val="00BD5F09"/>
    <w:rsid w:val="00BD61F8"/>
    <w:rsid w:val="00BD69C7"/>
    <w:rsid w:val="00BD6F0C"/>
    <w:rsid w:val="00BD794C"/>
    <w:rsid w:val="00BE0718"/>
    <w:rsid w:val="00BE0760"/>
    <w:rsid w:val="00BE07F9"/>
    <w:rsid w:val="00BE2422"/>
    <w:rsid w:val="00BE2C4F"/>
    <w:rsid w:val="00BE3CCB"/>
    <w:rsid w:val="00BE4C40"/>
    <w:rsid w:val="00BE6254"/>
    <w:rsid w:val="00BE6767"/>
    <w:rsid w:val="00BE72AD"/>
    <w:rsid w:val="00BE79A5"/>
    <w:rsid w:val="00BE7F31"/>
    <w:rsid w:val="00BF32F6"/>
    <w:rsid w:val="00BF3734"/>
    <w:rsid w:val="00BF42A0"/>
    <w:rsid w:val="00BF4306"/>
    <w:rsid w:val="00BF4E43"/>
    <w:rsid w:val="00BF50A3"/>
    <w:rsid w:val="00BF5AB1"/>
    <w:rsid w:val="00BF69F1"/>
    <w:rsid w:val="00BF78CD"/>
    <w:rsid w:val="00BF7A77"/>
    <w:rsid w:val="00C035C7"/>
    <w:rsid w:val="00C03920"/>
    <w:rsid w:val="00C03AE4"/>
    <w:rsid w:val="00C042EA"/>
    <w:rsid w:val="00C048E7"/>
    <w:rsid w:val="00C04990"/>
    <w:rsid w:val="00C04D35"/>
    <w:rsid w:val="00C04FF7"/>
    <w:rsid w:val="00C053D3"/>
    <w:rsid w:val="00C05422"/>
    <w:rsid w:val="00C05E7F"/>
    <w:rsid w:val="00C070F1"/>
    <w:rsid w:val="00C07328"/>
    <w:rsid w:val="00C106B8"/>
    <w:rsid w:val="00C1130F"/>
    <w:rsid w:val="00C11E44"/>
    <w:rsid w:val="00C12EB6"/>
    <w:rsid w:val="00C13751"/>
    <w:rsid w:val="00C1527D"/>
    <w:rsid w:val="00C163FF"/>
    <w:rsid w:val="00C176B3"/>
    <w:rsid w:val="00C178CB"/>
    <w:rsid w:val="00C20868"/>
    <w:rsid w:val="00C20EBB"/>
    <w:rsid w:val="00C213D9"/>
    <w:rsid w:val="00C2315A"/>
    <w:rsid w:val="00C238FE"/>
    <w:rsid w:val="00C24F54"/>
    <w:rsid w:val="00C25ED1"/>
    <w:rsid w:val="00C266A0"/>
    <w:rsid w:val="00C27533"/>
    <w:rsid w:val="00C276A4"/>
    <w:rsid w:val="00C279C2"/>
    <w:rsid w:val="00C30BA7"/>
    <w:rsid w:val="00C31125"/>
    <w:rsid w:val="00C31E9B"/>
    <w:rsid w:val="00C32659"/>
    <w:rsid w:val="00C3273D"/>
    <w:rsid w:val="00C32C81"/>
    <w:rsid w:val="00C33013"/>
    <w:rsid w:val="00C33800"/>
    <w:rsid w:val="00C33AD6"/>
    <w:rsid w:val="00C347E2"/>
    <w:rsid w:val="00C34B43"/>
    <w:rsid w:val="00C35CF0"/>
    <w:rsid w:val="00C35F5C"/>
    <w:rsid w:val="00C405C5"/>
    <w:rsid w:val="00C42907"/>
    <w:rsid w:val="00C429B3"/>
    <w:rsid w:val="00C42B5D"/>
    <w:rsid w:val="00C42C23"/>
    <w:rsid w:val="00C430C3"/>
    <w:rsid w:val="00C43435"/>
    <w:rsid w:val="00C46D9E"/>
    <w:rsid w:val="00C50308"/>
    <w:rsid w:val="00C50CC2"/>
    <w:rsid w:val="00C50D00"/>
    <w:rsid w:val="00C52838"/>
    <w:rsid w:val="00C52FA7"/>
    <w:rsid w:val="00C53576"/>
    <w:rsid w:val="00C54292"/>
    <w:rsid w:val="00C5529C"/>
    <w:rsid w:val="00C57359"/>
    <w:rsid w:val="00C57506"/>
    <w:rsid w:val="00C61F9A"/>
    <w:rsid w:val="00C620A8"/>
    <w:rsid w:val="00C628CE"/>
    <w:rsid w:val="00C63359"/>
    <w:rsid w:val="00C63967"/>
    <w:rsid w:val="00C63B39"/>
    <w:rsid w:val="00C648E4"/>
    <w:rsid w:val="00C67B9B"/>
    <w:rsid w:val="00C67CBF"/>
    <w:rsid w:val="00C709F8"/>
    <w:rsid w:val="00C7151F"/>
    <w:rsid w:val="00C71E82"/>
    <w:rsid w:val="00C729B6"/>
    <w:rsid w:val="00C73158"/>
    <w:rsid w:val="00C731BA"/>
    <w:rsid w:val="00C73FED"/>
    <w:rsid w:val="00C75A21"/>
    <w:rsid w:val="00C76022"/>
    <w:rsid w:val="00C77973"/>
    <w:rsid w:val="00C77DD3"/>
    <w:rsid w:val="00C8028A"/>
    <w:rsid w:val="00C80D27"/>
    <w:rsid w:val="00C820C7"/>
    <w:rsid w:val="00C82C1D"/>
    <w:rsid w:val="00C82E9E"/>
    <w:rsid w:val="00C8545A"/>
    <w:rsid w:val="00C86B63"/>
    <w:rsid w:val="00C87134"/>
    <w:rsid w:val="00C90591"/>
    <w:rsid w:val="00C909ED"/>
    <w:rsid w:val="00C91E51"/>
    <w:rsid w:val="00C91F2A"/>
    <w:rsid w:val="00C91F95"/>
    <w:rsid w:val="00C928F0"/>
    <w:rsid w:val="00C938AE"/>
    <w:rsid w:val="00C944BD"/>
    <w:rsid w:val="00C946A6"/>
    <w:rsid w:val="00C94E1C"/>
    <w:rsid w:val="00C95386"/>
    <w:rsid w:val="00C95577"/>
    <w:rsid w:val="00C95C6B"/>
    <w:rsid w:val="00C96994"/>
    <w:rsid w:val="00C96BFD"/>
    <w:rsid w:val="00C9761A"/>
    <w:rsid w:val="00CA0C86"/>
    <w:rsid w:val="00CA134A"/>
    <w:rsid w:val="00CA1EC5"/>
    <w:rsid w:val="00CA1F5F"/>
    <w:rsid w:val="00CA2345"/>
    <w:rsid w:val="00CA260E"/>
    <w:rsid w:val="00CA3436"/>
    <w:rsid w:val="00CA3E80"/>
    <w:rsid w:val="00CA43B9"/>
    <w:rsid w:val="00CA4887"/>
    <w:rsid w:val="00CA4EA6"/>
    <w:rsid w:val="00CA4EBD"/>
    <w:rsid w:val="00CA726B"/>
    <w:rsid w:val="00CA7AEC"/>
    <w:rsid w:val="00CA7FE4"/>
    <w:rsid w:val="00CB0049"/>
    <w:rsid w:val="00CB28E1"/>
    <w:rsid w:val="00CB2909"/>
    <w:rsid w:val="00CB2AFD"/>
    <w:rsid w:val="00CB4854"/>
    <w:rsid w:val="00CB7919"/>
    <w:rsid w:val="00CB7AD4"/>
    <w:rsid w:val="00CC024E"/>
    <w:rsid w:val="00CC0A70"/>
    <w:rsid w:val="00CC0F5A"/>
    <w:rsid w:val="00CC15B5"/>
    <w:rsid w:val="00CC2FA5"/>
    <w:rsid w:val="00CC3F1C"/>
    <w:rsid w:val="00CC4125"/>
    <w:rsid w:val="00CC413B"/>
    <w:rsid w:val="00CC4704"/>
    <w:rsid w:val="00CC4857"/>
    <w:rsid w:val="00CC48BE"/>
    <w:rsid w:val="00CC4BA5"/>
    <w:rsid w:val="00CC53F8"/>
    <w:rsid w:val="00CC5702"/>
    <w:rsid w:val="00CC5992"/>
    <w:rsid w:val="00CC63E4"/>
    <w:rsid w:val="00CC7954"/>
    <w:rsid w:val="00CD1C40"/>
    <w:rsid w:val="00CD1CA7"/>
    <w:rsid w:val="00CD1DE8"/>
    <w:rsid w:val="00CD1F03"/>
    <w:rsid w:val="00CD3D04"/>
    <w:rsid w:val="00CD4E4D"/>
    <w:rsid w:val="00CD51E2"/>
    <w:rsid w:val="00CD59A8"/>
    <w:rsid w:val="00CD5DED"/>
    <w:rsid w:val="00CD6BB0"/>
    <w:rsid w:val="00CD7217"/>
    <w:rsid w:val="00CE0441"/>
    <w:rsid w:val="00CE0537"/>
    <w:rsid w:val="00CE165B"/>
    <w:rsid w:val="00CE3A05"/>
    <w:rsid w:val="00CE59D9"/>
    <w:rsid w:val="00CE6064"/>
    <w:rsid w:val="00CF02F0"/>
    <w:rsid w:val="00CF1AF9"/>
    <w:rsid w:val="00CF1EEB"/>
    <w:rsid w:val="00CF21C1"/>
    <w:rsid w:val="00CF22CD"/>
    <w:rsid w:val="00CF25AE"/>
    <w:rsid w:val="00CF2CDB"/>
    <w:rsid w:val="00CF4564"/>
    <w:rsid w:val="00CF4FA6"/>
    <w:rsid w:val="00CF5F1B"/>
    <w:rsid w:val="00D00288"/>
    <w:rsid w:val="00D00992"/>
    <w:rsid w:val="00D01091"/>
    <w:rsid w:val="00D017FD"/>
    <w:rsid w:val="00D02D2A"/>
    <w:rsid w:val="00D0314D"/>
    <w:rsid w:val="00D03557"/>
    <w:rsid w:val="00D05257"/>
    <w:rsid w:val="00D058A6"/>
    <w:rsid w:val="00D05C28"/>
    <w:rsid w:val="00D05CE3"/>
    <w:rsid w:val="00D07D67"/>
    <w:rsid w:val="00D1006D"/>
    <w:rsid w:val="00D109B0"/>
    <w:rsid w:val="00D109D6"/>
    <w:rsid w:val="00D1122D"/>
    <w:rsid w:val="00D11E79"/>
    <w:rsid w:val="00D14BF2"/>
    <w:rsid w:val="00D14CFB"/>
    <w:rsid w:val="00D153CC"/>
    <w:rsid w:val="00D16518"/>
    <w:rsid w:val="00D169D1"/>
    <w:rsid w:val="00D16CB5"/>
    <w:rsid w:val="00D17919"/>
    <w:rsid w:val="00D17C8A"/>
    <w:rsid w:val="00D209D3"/>
    <w:rsid w:val="00D20E50"/>
    <w:rsid w:val="00D20FCC"/>
    <w:rsid w:val="00D21CED"/>
    <w:rsid w:val="00D2219D"/>
    <w:rsid w:val="00D22AD9"/>
    <w:rsid w:val="00D23779"/>
    <w:rsid w:val="00D239AF"/>
    <w:rsid w:val="00D24D33"/>
    <w:rsid w:val="00D25964"/>
    <w:rsid w:val="00D25EAC"/>
    <w:rsid w:val="00D26060"/>
    <w:rsid w:val="00D27322"/>
    <w:rsid w:val="00D2749D"/>
    <w:rsid w:val="00D27AA7"/>
    <w:rsid w:val="00D27B0C"/>
    <w:rsid w:val="00D30681"/>
    <w:rsid w:val="00D30741"/>
    <w:rsid w:val="00D30F85"/>
    <w:rsid w:val="00D30FEE"/>
    <w:rsid w:val="00D31478"/>
    <w:rsid w:val="00D33A7C"/>
    <w:rsid w:val="00D33B94"/>
    <w:rsid w:val="00D368C0"/>
    <w:rsid w:val="00D37889"/>
    <w:rsid w:val="00D378B6"/>
    <w:rsid w:val="00D37A3D"/>
    <w:rsid w:val="00D419CE"/>
    <w:rsid w:val="00D41C94"/>
    <w:rsid w:val="00D41FF3"/>
    <w:rsid w:val="00D42772"/>
    <w:rsid w:val="00D429D3"/>
    <w:rsid w:val="00D42BB9"/>
    <w:rsid w:val="00D43405"/>
    <w:rsid w:val="00D4365B"/>
    <w:rsid w:val="00D44CC3"/>
    <w:rsid w:val="00D46E26"/>
    <w:rsid w:val="00D47BCF"/>
    <w:rsid w:val="00D510AE"/>
    <w:rsid w:val="00D53C6B"/>
    <w:rsid w:val="00D549DE"/>
    <w:rsid w:val="00D57EB3"/>
    <w:rsid w:val="00D57FD5"/>
    <w:rsid w:val="00D6002B"/>
    <w:rsid w:val="00D6053D"/>
    <w:rsid w:val="00D6054E"/>
    <w:rsid w:val="00D60AD8"/>
    <w:rsid w:val="00D60C45"/>
    <w:rsid w:val="00D616E5"/>
    <w:rsid w:val="00D61A5D"/>
    <w:rsid w:val="00D62473"/>
    <w:rsid w:val="00D6459F"/>
    <w:rsid w:val="00D6479B"/>
    <w:rsid w:val="00D65112"/>
    <w:rsid w:val="00D654AF"/>
    <w:rsid w:val="00D65CE3"/>
    <w:rsid w:val="00D67217"/>
    <w:rsid w:val="00D67B62"/>
    <w:rsid w:val="00D67E8F"/>
    <w:rsid w:val="00D709C3"/>
    <w:rsid w:val="00D712A3"/>
    <w:rsid w:val="00D71B62"/>
    <w:rsid w:val="00D7234F"/>
    <w:rsid w:val="00D74A67"/>
    <w:rsid w:val="00D75E70"/>
    <w:rsid w:val="00D767B8"/>
    <w:rsid w:val="00D77D85"/>
    <w:rsid w:val="00D80131"/>
    <w:rsid w:val="00D80468"/>
    <w:rsid w:val="00D82088"/>
    <w:rsid w:val="00D82475"/>
    <w:rsid w:val="00D8288E"/>
    <w:rsid w:val="00D82998"/>
    <w:rsid w:val="00D83475"/>
    <w:rsid w:val="00D83882"/>
    <w:rsid w:val="00D83CA9"/>
    <w:rsid w:val="00D83D06"/>
    <w:rsid w:val="00D846A0"/>
    <w:rsid w:val="00D848E2"/>
    <w:rsid w:val="00D8614C"/>
    <w:rsid w:val="00D86AB2"/>
    <w:rsid w:val="00D9072B"/>
    <w:rsid w:val="00D91533"/>
    <w:rsid w:val="00D92A3B"/>
    <w:rsid w:val="00D92DF2"/>
    <w:rsid w:val="00D93B2D"/>
    <w:rsid w:val="00D93C0B"/>
    <w:rsid w:val="00D93F4D"/>
    <w:rsid w:val="00D9454A"/>
    <w:rsid w:val="00D95659"/>
    <w:rsid w:val="00D96BDA"/>
    <w:rsid w:val="00D96CB8"/>
    <w:rsid w:val="00D97286"/>
    <w:rsid w:val="00D97334"/>
    <w:rsid w:val="00D9739C"/>
    <w:rsid w:val="00D973D1"/>
    <w:rsid w:val="00D97D3B"/>
    <w:rsid w:val="00DA1138"/>
    <w:rsid w:val="00DA223F"/>
    <w:rsid w:val="00DA29BD"/>
    <w:rsid w:val="00DA3660"/>
    <w:rsid w:val="00DA3B3B"/>
    <w:rsid w:val="00DA3E06"/>
    <w:rsid w:val="00DA416E"/>
    <w:rsid w:val="00DA5F10"/>
    <w:rsid w:val="00DA5F26"/>
    <w:rsid w:val="00DA6322"/>
    <w:rsid w:val="00DA65AF"/>
    <w:rsid w:val="00DA6734"/>
    <w:rsid w:val="00DB01D8"/>
    <w:rsid w:val="00DB12B7"/>
    <w:rsid w:val="00DB1BB8"/>
    <w:rsid w:val="00DB2463"/>
    <w:rsid w:val="00DB2E3F"/>
    <w:rsid w:val="00DB3D87"/>
    <w:rsid w:val="00DB3DFD"/>
    <w:rsid w:val="00DB3E49"/>
    <w:rsid w:val="00DB4337"/>
    <w:rsid w:val="00DB4778"/>
    <w:rsid w:val="00DB54E0"/>
    <w:rsid w:val="00DB5858"/>
    <w:rsid w:val="00DB5BAA"/>
    <w:rsid w:val="00DB60F5"/>
    <w:rsid w:val="00DB7F12"/>
    <w:rsid w:val="00DC0764"/>
    <w:rsid w:val="00DC10B3"/>
    <w:rsid w:val="00DC1E5D"/>
    <w:rsid w:val="00DC350D"/>
    <w:rsid w:val="00DC3AE7"/>
    <w:rsid w:val="00DC636C"/>
    <w:rsid w:val="00DC7053"/>
    <w:rsid w:val="00DC76D8"/>
    <w:rsid w:val="00DC7D30"/>
    <w:rsid w:val="00DD0D5A"/>
    <w:rsid w:val="00DD12C0"/>
    <w:rsid w:val="00DD525B"/>
    <w:rsid w:val="00DD6213"/>
    <w:rsid w:val="00DD776F"/>
    <w:rsid w:val="00DD7C36"/>
    <w:rsid w:val="00DE01CF"/>
    <w:rsid w:val="00DE0D33"/>
    <w:rsid w:val="00DE1220"/>
    <w:rsid w:val="00DE251B"/>
    <w:rsid w:val="00DE3AAB"/>
    <w:rsid w:val="00DE3D87"/>
    <w:rsid w:val="00DE4209"/>
    <w:rsid w:val="00DE4A4E"/>
    <w:rsid w:val="00DE4D46"/>
    <w:rsid w:val="00DE5D67"/>
    <w:rsid w:val="00DE6576"/>
    <w:rsid w:val="00DE7F27"/>
    <w:rsid w:val="00DE7F4E"/>
    <w:rsid w:val="00DF0536"/>
    <w:rsid w:val="00DF142C"/>
    <w:rsid w:val="00DF3AD8"/>
    <w:rsid w:val="00DF4140"/>
    <w:rsid w:val="00DF5408"/>
    <w:rsid w:val="00DF7807"/>
    <w:rsid w:val="00DF7DC4"/>
    <w:rsid w:val="00E004A5"/>
    <w:rsid w:val="00E00A72"/>
    <w:rsid w:val="00E02FE7"/>
    <w:rsid w:val="00E03056"/>
    <w:rsid w:val="00E03EDB"/>
    <w:rsid w:val="00E05274"/>
    <w:rsid w:val="00E05D6C"/>
    <w:rsid w:val="00E06C76"/>
    <w:rsid w:val="00E071AB"/>
    <w:rsid w:val="00E07F4B"/>
    <w:rsid w:val="00E07F82"/>
    <w:rsid w:val="00E105E7"/>
    <w:rsid w:val="00E11230"/>
    <w:rsid w:val="00E1217C"/>
    <w:rsid w:val="00E1219F"/>
    <w:rsid w:val="00E12260"/>
    <w:rsid w:val="00E125F1"/>
    <w:rsid w:val="00E12F5B"/>
    <w:rsid w:val="00E12F96"/>
    <w:rsid w:val="00E13353"/>
    <w:rsid w:val="00E135BF"/>
    <w:rsid w:val="00E137E6"/>
    <w:rsid w:val="00E139B1"/>
    <w:rsid w:val="00E13A48"/>
    <w:rsid w:val="00E14576"/>
    <w:rsid w:val="00E174FB"/>
    <w:rsid w:val="00E17AA9"/>
    <w:rsid w:val="00E17E67"/>
    <w:rsid w:val="00E20A8D"/>
    <w:rsid w:val="00E20F81"/>
    <w:rsid w:val="00E21720"/>
    <w:rsid w:val="00E22418"/>
    <w:rsid w:val="00E22FB7"/>
    <w:rsid w:val="00E23026"/>
    <w:rsid w:val="00E23CD3"/>
    <w:rsid w:val="00E248FD"/>
    <w:rsid w:val="00E251EF"/>
    <w:rsid w:val="00E25DF2"/>
    <w:rsid w:val="00E2727A"/>
    <w:rsid w:val="00E279EB"/>
    <w:rsid w:val="00E27B5E"/>
    <w:rsid w:val="00E30D20"/>
    <w:rsid w:val="00E31E34"/>
    <w:rsid w:val="00E33049"/>
    <w:rsid w:val="00E33374"/>
    <w:rsid w:val="00E33BDD"/>
    <w:rsid w:val="00E33D32"/>
    <w:rsid w:val="00E33E1E"/>
    <w:rsid w:val="00E34967"/>
    <w:rsid w:val="00E35150"/>
    <w:rsid w:val="00E373AC"/>
    <w:rsid w:val="00E37E8A"/>
    <w:rsid w:val="00E40298"/>
    <w:rsid w:val="00E40727"/>
    <w:rsid w:val="00E40895"/>
    <w:rsid w:val="00E41BE5"/>
    <w:rsid w:val="00E42635"/>
    <w:rsid w:val="00E42BBE"/>
    <w:rsid w:val="00E42FC2"/>
    <w:rsid w:val="00E43D08"/>
    <w:rsid w:val="00E4600D"/>
    <w:rsid w:val="00E4617B"/>
    <w:rsid w:val="00E478B5"/>
    <w:rsid w:val="00E5184C"/>
    <w:rsid w:val="00E519F4"/>
    <w:rsid w:val="00E51A34"/>
    <w:rsid w:val="00E51FE6"/>
    <w:rsid w:val="00E52FB0"/>
    <w:rsid w:val="00E53258"/>
    <w:rsid w:val="00E542F8"/>
    <w:rsid w:val="00E54AEF"/>
    <w:rsid w:val="00E5557B"/>
    <w:rsid w:val="00E563A8"/>
    <w:rsid w:val="00E56A2F"/>
    <w:rsid w:val="00E56A47"/>
    <w:rsid w:val="00E6017D"/>
    <w:rsid w:val="00E62C1B"/>
    <w:rsid w:val="00E63D71"/>
    <w:rsid w:val="00E63DAB"/>
    <w:rsid w:val="00E6424C"/>
    <w:rsid w:val="00E64A79"/>
    <w:rsid w:val="00E64F80"/>
    <w:rsid w:val="00E65EAA"/>
    <w:rsid w:val="00E667F1"/>
    <w:rsid w:val="00E66AD4"/>
    <w:rsid w:val="00E66E21"/>
    <w:rsid w:val="00E66F44"/>
    <w:rsid w:val="00E67260"/>
    <w:rsid w:val="00E70733"/>
    <w:rsid w:val="00E708AC"/>
    <w:rsid w:val="00E70C6F"/>
    <w:rsid w:val="00E71E63"/>
    <w:rsid w:val="00E72479"/>
    <w:rsid w:val="00E729D0"/>
    <w:rsid w:val="00E72A0B"/>
    <w:rsid w:val="00E72DF3"/>
    <w:rsid w:val="00E73077"/>
    <w:rsid w:val="00E7388C"/>
    <w:rsid w:val="00E751EA"/>
    <w:rsid w:val="00E753B1"/>
    <w:rsid w:val="00E75E35"/>
    <w:rsid w:val="00E762C9"/>
    <w:rsid w:val="00E764B0"/>
    <w:rsid w:val="00E76610"/>
    <w:rsid w:val="00E776A0"/>
    <w:rsid w:val="00E8095F"/>
    <w:rsid w:val="00E813F4"/>
    <w:rsid w:val="00E8185B"/>
    <w:rsid w:val="00E82610"/>
    <w:rsid w:val="00E829A4"/>
    <w:rsid w:val="00E82ACA"/>
    <w:rsid w:val="00E83DE3"/>
    <w:rsid w:val="00E85947"/>
    <w:rsid w:val="00E86B0B"/>
    <w:rsid w:val="00E86B8A"/>
    <w:rsid w:val="00E8725E"/>
    <w:rsid w:val="00E87F98"/>
    <w:rsid w:val="00E903B2"/>
    <w:rsid w:val="00E90F23"/>
    <w:rsid w:val="00E91263"/>
    <w:rsid w:val="00E91993"/>
    <w:rsid w:val="00E91DE2"/>
    <w:rsid w:val="00E92135"/>
    <w:rsid w:val="00E9301B"/>
    <w:rsid w:val="00E938E8"/>
    <w:rsid w:val="00E93A80"/>
    <w:rsid w:val="00E94B07"/>
    <w:rsid w:val="00E94B6C"/>
    <w:rsid w:val="00E9551F"/>
    <w:rsid w:val="00E95A1E"/>
    <w:rsid w:val="00E972E3"/>
    <w:rsid w:val="00E97860"/>
    <w:rsid w:val="00EA004E"/>
    <w:rsid w:val="00EA074D"/>
    <w:rsid w:val="00EA0B37"/>
    <w:rsid w:val="00EA1259"/>
    <w:rsid w:val="00EA1321"/>
    <w:rsid w:val="00EA13E4"/>
    <w:rsid w:val="00EA1DDD"/>
    <w:rsid w:val="00EA3E73"/>
    <w:rsid w:val="00EA3FD5"/>
    <w:rsid w:val="00EA430F"/>
    <w:rsid w:val="00EA4670"/>
    <w:rsid w:val="00EA501D"/>
    <w:rsid w:val="00EA693E"/>
    <w:rsid w:val="00EA6A80"/>
    <w:rsid w:val="00EB01BD"/>
    <w:rsid w:val="00EB201A"/>
    <w:rsid w:val="00EB3E51"/>
    <w:rsid w:val="00EB4A8D"/>
    <w:rsid w:val="00EB51DC"/>
    <w:rsid w:val="00EB56A6"/>
    <w:rsid w:val="00EB5897"/>
    <w:rsid w:val="00EB6701"/>
    <w:rsid w:val="00EB683E"/>
    <w:rsid w:val="00EB6C5E"/>
    <w:rsid w:val="00EB78EC"/>
    <w:rsid w:val="00EC0056"/>
    <w:rsid w:val="00EC0960"/>
    <w:rsid w:val="00EC14AD"/>
    <w:rsid w:val="00EC1A4B"/>
    <w:rsid w:val="00EC2090"/>
    <w:rsid w:val="00EC426D"/>
    <w:rsid w:val="00EC4896"/>
    <w:rsid w:val="00EC577D"/>
    <w:rsid w:val="00EC5F87"/>
    <w:rsid w:val="00EC77FD"/>
    <w:rsid w:val="00EC78D6"/>
    <w:rsid w:val="00ED0366"/>
    <w:rsid w:val="00ED0638"/>
    <w:rsid w:val="00ED10B7"/>
    <w:rsid w:val="00ED1847"/>
    <w:rsid w:val="00ED1F24"/>
    <w:rsid w:val="00ED2C81"/>
    <w:rsid w:val="00ED3AD6"/>
    <w:rsid w:val="00ED4476"/>
    <w:rsid w:val="00ED5A3D"/>
    <w:rsid w:val="00ED5D24"/>
    <w:rsid w:val="00ED6EFC"/>
    <w:rsid w:val="00ED70D5"/>
    <w:rsid w:val="00ED717B"/>
    <w:rsid w:val="00ED775C"/>
    <w:rsid w:val="00ED7A4B"/>
    <w:rsid w:val="00EE028F"/>
    <w:rsid w:val="00EE05C7"/>
    <w:rsid w:val="00EE07BD"/>
    <w:rsid w:val="00EE1B39"/>
    <w:rsid w:val="00EE2D0D"/>
    <w:rsid w:val="00EE3D24"/>
    <w:rsid w:val="00EE414F"/>
    <w:rsid w:val="00EE50E1"/>
    <w:rsid w:val="00EE5F33"/>
    <w:rsid w:val="00EE67F0"/>
    <w:rsid w:val="00EE6A3A"/>
    <w:rsid w:val="00EE6E07"/>
    <w:rsid w:val="00EF045E"/>
    <w:rsid w:val="00EF1FE7"/>
    <w:rsid w:val="00EF2410"/>
    <w:rsid w:val="00EF37BD"/>
    <w:rsid w:val="00EF589C"/>
    <w:rsid w:val="00EF5A26"/>
    <w:rsid w:val="00EF605B"/>
    <w:rsid w:val="00EF7911"/>
    <w:rsid w:val="00F00906"/>
    <w:rsid w:val="00F00B55"/>
    <w:rsid w:val="00F02120"/>
    <w:rsid w:val="00F02846"/>
    <w:rsid w:val="00F042A0"/>
    <w:rsid w:val="00F04AD7"/>
    <w:rsid w:val="00F05D55"/>
    <w:rsid w:val="00F066D5"/>
    <w:rsid w:val="00F067E9"/>
    <w:rsid w:val="00F075E1"/>
    <w:rsid w:val="00F0776D"/>
    <w:rsid w:val="00F07EBE"/>
    <w:rsid w:val="00F10B7F"/>
    <w:rsid w:val="00F1115A"/>
    <w:rsid w:val="00F12AC3"/>
    <w:rsid w:val="00F12F3A"/>
    <w:rsid w:val="00F136E2"/>
    <w:rsid w:val="00F13949"/>
    <w:rsid w:val="00F147DF"/>
    <w:rsid w:val="00F15568"/>
    <w:rsid w:val="00F156BC"/>
    <w:rsid w:val="00F16199"/>
    <w:rsid w:val="00F1638D"/>
    <w:rsid w:val="00F16770"/>
    <w:rsid w:val="00F1738C"/>
    <w:rsid w:val="00F17B9D"/>
    <w:rsid w:val="00F2043D"/>
    <w:rsid w:val="00F2266F"/>
    <w:rsid w:val="00F227A8"/>
    <w:rsid w:val="00F2350F"/>
    <w:rsid w:val="00F242C2"/>
    <w:rsid w:val="00F24A2F"/>
    <w:rsid w:val="00F273C6"/>
    <w:rsid w:val="00F2742E"/>
    <w:rsid w:val="00F27F15"/>
    <w:rsid w:val="00F316A4"/>
    <w:rsid w:val="00F31E2F"/>
    <w:rsid w:val="00F347A9"/>
    <w:rsid w:val="00F34B6B"/>
    <w:rsid w:val="00F35AFE"/>
    <w:rsid w:val="00F35C55"/>
    <w:rsid w:val="00F360DF"/>
    <w:rsid w:val="00F379AB"/>
    <w:rsid w:val="00F40975"/>
    <w:rsid w:val="00F40A8E"/>
    <w:rsid w:val="00F41ED2"/>
    <w:rsid w:val="00F420C4"/>
    <w:rsid w:val="00F420EE"/>
    <w:rsid w:val="00F424DC"/>
    <w:rsid w:val="00F42B56"/>
    <w:rsid w:val="00F42CB0"/>
    <w:rsid w:val="00F42ED3"/>
    <w:rsid w:val="00F43553"/>
    <w:rsid w:val="00F45A7F"/>
    <w:rsid w:val="00F465BF"/>
    <w:rsid w:val="00F46ED3"/>
    <w:rsid w:val="00F476B3"/>
    <w:rsid w:val="00F5007C"/>
    <w:rsid w:val="00F50C9F"/>
    <w:rsid w:val="00F510D7"/>
    <w:rsid w:val="00F5171B"/>
    <w:rsid w:val="00F51ABE"/>
    <w:rsid w:val="00F51F75"/>
    <w:rsid w:val="00F52682"/>
    <w:rsid w:val="00F5380D"/>
    <w:rsid w:val="00F542BB"/>
    <w:rsid w:val="00F54A68"/>
    <w:rsid w:val="00F55553"/>
    <w:rsid w:val="00F55D34"/>
    <w:rsid w:val="00F563F1"/>
    <w:rsid w:val="00F5696E"/>
    <w:rsid w:val="00F56C44"/>
    <w:rsid w:val="00F56FD2"/>
    <w:rsid w:val="00F603E8"/>
    <w:rsid w:val="00F60F55"/>
    <w:rsid w:val="00F6116D"/>
    <w:rsid w:val="00F61500"/>
    <w:rsid w:val="00F61D14"/>
    <w:rsid w:val="00F61FFF"/>
    <w:rsid w:val="00F620E0"/>
    <w:rsid w:val="00F661BC"/>
    <w:rsid w:val="00F66462"/>
    <w:rsid w:val="00F6656F"/>
    <w:rsid w:val="00F66673"/>
    <w:rsid w:val="00F67402"/>
    <w:rsid w:val="00F674CF"/>
    <w:rsid w:val="00F706E0"/>
    <w:rsid w:val="00F70753"/>
    <w:rsid w:val="00F7100D"/>
    <w:rsid w:val="00F71417"/>
    <w:rsid w:val="00F717EB"/>
    <w:rsid w:val="00F71B92"/>
    <w:rsid w:val="00F71D6B"/>
    <w:rsid w:val="00F724A2"/>
    <w:rsid w:val="00F73767"/>
    <w:rsid w:val="00F741DA"/>
    <w:rsid w:val="00F7511F"/>
    <w:rsid w:val="00F767C3"/>
    <w:rsid w:val="00F7691C"/>
    <w:rsid w:val="00F80137"/>
    <w:rsid w:val="00F804C9"/>
    <w:rsid w:val="00F80E84"/>
    <w:rsid w:val="00F82FE0"/>
    <w:rsid w:val="00F831A1"/>
    <w:rsid w:val="00F8333F"/>
    <w:rsid w:val="00F85365"/>
    <w:rsid w:val="00F85FC2"/>
    <w:rsid w:val="00F8797D"/>
    <w:rsid w:val="00F87B05"/>
    <w:rsid w:val="00F934BD"/>
    <w:rsid w:val="00F94844"/>
    <w:rsid w:val="00F94C7F"/>
    <w:rsid w:val="00FA13EA"/>
    <w:rsid w:val="00FA2272"/>
    <w:rsid w:val="00FA36BE"/>
    <w:rsid w:val="00FA43C9"/>
    <w:rsid w:val="00FA4EC3"/>
    <w:rsid w:val="00FA4FF6"/>
    <w:rsid w:val="00FA53E2"/>
    <w:rsid w:val="00FA5B23"/>
    <w:rsid w:val="00FA5F75"/>
    <w:rsid w:val="00FA7770"/>
    <w:rsid w:val="00FA79CF"/>
    <w:rsid w:val="00FA7BF2"/>
    <w:rsid w:val="00FB07E1"/>
    <w:rsid w:val="00FB0E15"/>
    <w:rsid w:val="00FB2600"/>
    <w:rsid w:val="00FB538D"/>
    <w:rsid w:val="00FB5568"/>
    <w:rsid w:val="00FB5623"/>
    <w:rsid w:val="00FB5D90"/>
    <w:rsid w:val="00FB6334"/>
    <w:rsid w:val="00FB639A"/>
    <w:rsid w:val="00FB7BDE"/>
    <w:rsid w:val="00FB7E8D"/>
    <w:rsid w:val="00FB7FE0"/>
    <w:rsid w:val="00FC1545"/>
    <w:rsid w:val="00FC34FA"/>
    <w:rsid w:val="00FC4880"/>
    <w:rsid w:val="00FC523A"/>
    <w:rsid w:val="00FC59BE"/>
    <w:rsid w:val="00FC5B06"/>
    <w:rsid w:val="00FC6411"/>
    <w:rsid w:val="00FC6907"/>
    <w:rsid w:val="00FC7893"/>
    <w:rsid w:val="00FD0280"/>
    <w:rsid w:val="00FD0AF7"/>
    <w:rsid w:val="00FD2038"/>
    <w:rsid w:val="00FD30F5"/>
    <w:rsid w:val="00FD3533"/>
    <w:rsid w:val="00FD3AFA"/>
    <w:rsid w:val="00FD4760"/>
    <w:rsid w:val="00FD47C4"/>
    <w:rsid w:val="00FE1A7D"/>
    <w:rsid w:val="00FE3519"/>
    <w:rsid w:val="00FE36D6"/>
    <w:rsid w:val="00FE48F0"/>
    <w:rsid w:val="00FE5080"/>
    <w:rsid w:val="00FE5AE1"/>
    <w:rsid w:val="00FE5B04"/>
    <w:rsid w:val="00FE60FD"/>
    <w:rsid w:val="00FE6543"/>
    <w:rsid w:val="00FE6D52"/>
    <w:rsid w:val="00FE70EA"/>
    <w:rsid w:val="00FE7B37"/>
    <w:rsid w:val="00FE7DBB"/>
    <w:rsid w:val="00FF0432"/>
    <w:rsid w:val="00FF0805"/>
    <w:rsid w:val="00FF1156"/>
    <w:rsid w:val="00FF20A9"/>
    <w:rsid w:val="00FF3AEE"/>
    <w:rsid w:val="00FF3C64"/>
    <w:rsid w:val="00FF4302"/>
    <w:rsid w:val="00FF5A17"/>
    <w:rsid w:val="00FF60C4"/>
    <w:rsid w:val="00FF723D"/>
    <w:rsid w:val="7600E0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3F32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2E5"/>
    <w:rPr>
      <w14:ligatures w14:val="none"/>
    </w:rPr>
  </w:style>
  <w:style w:type="paragraph" w:styleId="Heading1">
    <w:name w:val="heading 1"/>
    <w:basedOn w:val="Normal"/>
    <w:next w:val="Normal"/>
    <w:link w:val="Heading1Char"/>
    <w:uiPriority w:val="9"/>
    <w:qFormat/>
    <w:rsid w:val="001766AB"/>
    <w:pPr>
      <w:keepNext/>
      <w:keepLines/>
      <w:spacing w:before="240" w:line="360" w:lineRule="auto"/>
      <w:ind w:left="1021"/>
      <w:outlineLvl w:val="0"/>
    </w:pPr>
    <w:rPr>
      <w:rFonts w:ascii="Calibri" w:eastAsiaTheme="majorEastAsia" w:hAnsi="Calibri" w:cs="Times New Roman"/>
      <w:b/>
      <w:sz w:val="28"/>
      <w:szCs w:val="32"/>
      <w:lang w:val="en-NZ"/>
    </w:rPr>
  </w:style>
  <w:style w:type="paragraph" w:styleId="Heading2">
    <w:name w:val="heading 2"/>
    <w:basedOn w:val="Letters"/>
    <w:next w:val="Normal"/>
    <w:link w:val="Heading2Char"/>
    <w:uiPriority w:val="9"/>
    <w:unhideWhenUsed/>
    <w:qFormat/>
    <w:rsid w:val="006C3A97"/>
    <w:pPr>
      <w:tabs>
        <w:tab w:val="left" w:pos="1134"/>
      </w:tabs>
      <w:ind w:left="1021" w:firstLine="0"/>
      <w:outlineLvl w:val="1"/>
    </w:pPr>
    <w:rPr>
      <w:rFonts w:asciiTheme="minorHAnsi" w:hAnsiTheme="minorHAnsi"/>
      <w:b/>
    </w:rPr>
  </w:style>
  <w:style w:type="paragraph" w:styleId="Heading3">
    <w:name w:val="heading 3"/>
    <w:basedOn w:val="Normal"/>
    <w:next w:val="Normal"/>
    <w:link w:val="Heading3Char"/>
    <w:uiPriority w:val="9"/>
    <w:semiHidden/>
    <w:unhideWhenUsed/>
    <w:qFormat/>
    <w:rsid w:val="00E9213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B1BB8"/>
    <w:pPr>
      <w:ind w:left="720"/>
      <w:contextualSpacing/>
    </w:pPr>
  </w:style>
  <w:style w:type="paragraph" w:customStyle="1" w:styleId="SingleTxtG">
    <w:name w:val="_ Single Txt_G"/>
    <w:basedOn w:val="Normal"/>
    <w:link w:val="SingleTxtGChar"/>
    <w:qFormat/>
    <w:rsid w:val="00E762C9"/>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kern w:val="0"/>
      <w:sz w:val="20"/>
      <w:szCs w:val="20"/>
      <w:lang w:val="en-GB"/>
    </w:rPr>
  </w:style>
  <w:style w:type="character" w:customStyle="1" w:styleId="SingleTxtGChar">
    <w:name w:val="_ Single Txt_G Char"/>
    <w:link w:val="SingleTxtG"/>
    <w:locked/>
    <w:rsid w:val="00E762C9"/>
    <w:rPr>
      <w:rFonts w:ascii="Times New Roman" w:hAnsi="Times New Roman" w:cs="Times New Roman"/>
      <w:kern w:val="0"/>
      <w:sz w:val="20"/>
      <w:szCs w:val="20"/>
      <w:lang w:val="en-GB"/>
      <w14:ligatures w14:val="none"/>
    </w:rPr>
  </w:style>
  <w:style w:type="paragraph" w:styleId="Header">
    <w:name w:val="header"/>
    <w:basedOn w:val="Normal"/>
    <w:link w:val="HeaderChar"/>
    <w:uiPriority w:val="99"/>
    <w:unhideWhenUsed/>
    <w:rsid w:val="00A926E2"/>
    <w:pPr>
      <w:tabs>
        <w:tab w:val="center" w:pos="4513"/>
        <w:tab w:val="right" w:pos="9026"/>
      </w:tabs>
    </w:pPr>
  </w:style>
  <w:style w:type="character" w:customStyle="1" w:styleId="HeaderChar">
    <w:name w:val="Header Char"/>
    <w:basedOn w:val="DefaultParagraphFont"/>
    <w:link w:val="Header"/>
    <w:uiPriority w:val="99"/>
    <w:rsid w:val="00A926E2"/>
  </w:style>
  <w:style w:type="paragraph" w:styleId="Footer">
    <w:name w:val="footer"/>
    <w:basedOn w:val="Normal"/>
    <w:link w:val="FooterChar"/>
    <w:uiPriority w:val="99"/>
    <w:unhideWhenUsed/>
    <w:rsid w:val="00A926E2"/>
    <w:pPr>
      <w:tabs>
        <w:tab w:val="center" w:pos="4513"/>
        <w:tab w:val="right" w:pos="9026"/>
      </w:tabs>
    </w:pPr>
  </w:style>
  <w:style w:type="character" w:customStyle="1" w:styleId="FooterChar">
    <w:name w:val="Footer Char"/>
    <w:basedOn w:val="DefaultParagraphFont"/>
    <w:link w:val="Footer"/>
    <w:uiPriority w:val="99"/>
    <w:rsid w:val="00A926E2"/>
  </w:style>
  <w:style w:type="character" w:customStyle="1" w:styleId="Heading1Char">
    <w:name w:val="Heading 1 Char"/>
    <w:basedOn w:val="DefaultParagraphFont"/>
    <w:link w:val="Heading1"/>
    <w:uiPriority w:val="9"/>
    <w:rsid w:val="001766AB"/>
    <w:rPr>
      <w:rFonts w:ascii="Calibri" w:eastAsiaTheme="majorEastAsia" w:hAnsi="Calibri" w:cs="Times New Roman"/>
      <w:b/>
      <w:sz w:val="28"/>
      <w:szCs w:val="32"/>
      <w:lang w:val="en-NZ"/>
    </w:rPr>
  </w:style>
  <w:style w:type="character" w:customStyle="1" w:styleId="Heading2Char">
    <w:name w:val="Heading 2 Char"/>
    <w:basedOn w:val="DefaultParagraphFont"/>
    <w:link w:val="Heading2"/>
    <w:uiPriority w:val="9"/>
    <w:rsid w:val="006C3A97"/>
    <w:rPr>
      <w:rFonts w:cs="Times New Roman"/>
      <w:b/>
      <w:kern w:val="0"/>
      <w:lang w:val="en-GB"/>
      <w14:ligatures w14:val="none"/>
    </w:rPr>
  </w:style>
  <w:style w:type="character" w:styleId="CommentReference">
    <w:name w:val="annotation reference"/>
    <w:basedOn w:val="DefaultParagraphFont"/>
    <w:uiPriority w:val="99"/>
    <w:semiHidden/>
    <w:unhideWhenUsed/>
    <w:rsid w:val="00F66462"/>
    <w:rPr>
      <w:sz w:val="16"/>
      <w:szCs w:val="16"/>
    </w:rPr>
  </w:style>
  <w:style w:type="paragraph" w:styleId="CommentText">
    <w:name w:val="annotation text"/>
    <w:basedOn w:val="Normal"/>
    <w:link w:val="CommentTextChar"/>
    <w:uiPriority w:val="99"/>
    <w:unhideWhenUsed/>
    <w:rsid w:val="00F66462"/>
    <w:rPr>
      <w:sz w:val="20"/>
      <w:szCs w:val="20"/>
    </w:rPr>
  </w:style>
  <w:style w:type="character" w:customStyle="1" w:styleId="CommentTextChar">
    <w:name w:val="Comment Text Char"/>
    <w:basedOn w:val="DefaultParagraphFont"/>
    <w:link w:val="CommentText"/>
    <w:uiPriority w:val="99"/>
    <w:rsid w:val="00F66462"/>
    <w:rPr>
      <w:sz w:val="20"/>
      <w:szCs w:val="20"/>
    </w:rPr>
  </w:style>
  <w:style w:type="paragraph" w:styleId="CommentSubject">
    <w:name w:val="annotation subject"/>
    <w:basedOn w:val="CommentText"/>
    <w:next w:val="CommentText"/>
    <w:link w:val="CommentSubjectChar"/>
    <w:uiPriority w:val="99"/>
    <w:semiHidden/>
    <w:unhideWhenUsed/>
    <w:rsid w:val="00F66462"/>
    <w:rPr>
      <w:b/>
      <w:bCs/>
    </w:rPr>
  </w:style>
  <w:style w:type="character" w:customStyle="1" w:styleId="CommentSubjectChar">
    <w:name w:val="Comment Subject Char"/>
    <w:basedOn w:val="CommentTextChar"/>
    <w:link w:val="CommentSubject"/>
    <w:uiPriority w:val="99"/>
    <w:semiHidden/>
    <w:rsid w:val="00F66462"/>
    <w:rPr>
      <w:b/>
      <w:bCs/>
      <w:sz w:val="20"/>
      <w:szCs w:val="20"/>
    </w:rPr>
  </w:style>
  <w:style w:type="paragraph" w:styleId="BalloonText">
    <w:name w:val="Balloon Text"/>
    <w:basedOn w:val="Normal"/>
    <w:link w:val="BalloonTextChar"/>
    <w:uiPriority w:val="99"/>
    <w:semiHidden/>
    <w:unhideWhenUsed/>
    <w:rsid w:val="00F66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462"/>
    <w:rPr>
      <w:rFonts w:ascii="Segoe UI" w:hAnsi="Segoe UI" w:cs="Segoe UI"/>
      <w:sz w:val="18"/>
      <w:szCs w:val="18"/>
    </w:rPr>
  </w:style>
  <w:style w:type="character" w:styleId="Hyperlink">
    <w:name w:val="Hyperlink"/>
    <w:basedOn w:val="DefaultParagraphFont"/>
    <w:uiPriority w:val="99"/>
    <w:unhideWhenUsed/>
    <w:rsid w:val="007B6BA7"/>
    <w:rPr>
      <w:color w:val="0563C1"/>
      <w:u w:val="single"/>
    </w:rPr>
  </w:style>
  <w:style w:type="paragraph" w:styleId="FootnoteText">
    <w:name w:val="footnote text"/>
    <w:basedOn w:val="Normal"/>
    <w:link w:val="FootnoteTextChar"/>
    <w:uiPriority w:val="99"/>
    <w:unhideWhenUsed/>
    <w:rsid w:val="00B24176"/>
    <w:rPr>
      <w:sz w:val="20"/>
      <w:szCs w:val="20"/>
    </w:rPr>
  </w:style>
  <w:style w:type="character" w:customStyle="1" w:styleId="FootnoteTextChar">
    <w:name w:val="Footnote Text Char"/>
    <w:basedOn w:val="DefaultParagraphFont"/>
    <w:link w:val="FootnoteText"/>
    <w:uiPriority w:val="99"/>
    <w:rsid w:val="00B24176"/>
    <w:rPr>
      <w:sz w:val="20"/>
      <w:szCs w:val="20"/>
    </w:rPr>
  </w:style>
  <w:style w:type="character" w:styleId="FootnoteReference">
    <w:name w:val="footnote reference"/>
    <w:basedOn w:val="DefaultParagraphFont"/>
    <w:uiPriority w:val="99"/>
    <w:semiHidden/>
    <w:unhideWhenUsed/>
    <w:rsid w:val="00B24176"/>
    <w:rPr>
      <w:vertAlign w:val="superscript"/>
    </w:rPr>
  </w:style>
  <w:style w:type="character" w:styleId="FollowedHyperlink">
    <w:name w:val="FollowedHyperlink"/>
    <w:basedOn w:val="DefaultParagraphFont"/>
    <w:uiPriority w:val="99"/>
    <w:semiHidden/>
    <w:unhideWhenUsed/>
    <w:rsid w:val="004F4C02"/>
    <w:rPr>
      <w:color w:val="954F72" w:themeColor="followedHyperlink"/>
      <w:u w:val="single"/>
    </w:rPr>
  </w:style>
  <w:style w:type="paragraph" w:styleId="BodyText3">
    <w:name w:val="Body Text 3"/>
    <w:basedOn w:val="Normal"/>
    <w:link w:val="BodyText3Char"/>
    <w:uiPriority w:val="99"/>
    <w:semiHidden/>
    <w:unhideWhenUsed/>
    <w:rsid w:val="006028EE"/>
    <w:pPr>
      <w:spacing w:after="120"/>
    </w:pPr>
    <w:rPr>
      <w:rFonts w:ascii="Times New Roman" w:hAnsi="Times New Roman" w:cs="Times New Roman"/>
      <w:kern w:val="0"/>
      <w:sz w:val="28"/>
      <w:szCs w:val="28"/>
    </w:rPr>
  </w:style>
  <w:style w:type="character" w:customStyle="1" w:styleId="BodyText3Char">
    <w:name w:val="Body Text 3 Char"/>
    <w:basedOn w:val="DefaultParagraphFont"/>
    <w:link w:val="BodyText3"/>
    <w:uiPriority w:val="99"/>
    <w:semiHidden/>
    <w:rsid w:val="006028EE"/>
    <w:rPr>
      <w:rFonts w:ascii="Times New Roman" w:hAnsi="Times New Roman" w:cs="Times New Roman"/>
      <w:kern w:val="0"/>
      <w:sz w:val="28"/>
      <w:szCs w:val="28"/>
      <w14:ligatures w14:val="none"/>
    </w:rPr>
  </w:style>
  <w:style w:type="paragraph" w:customStyle="1" w:styleId="Bullet">
    <w:name w:val="Bullet"/>
    <w:basedOn w:val="Normal"/>
    <w:rsid w:val="006028EE"/>
    <w:pPr>
      <w:numPr>
        <w:numId w:val="2"/>
      </w:numPr>
      <w:spacing w:after="240"/>
    </w:pPr>
    <w:rPr>
      <w:rFonts w:ascii="Times New Roman" w:hAnsi="Times New Roman" w:cs="Times New Roman"/>
      <w:kern w:val="0"/>
    </w:rPr>
  </w:style>
  <w:style w:type="paragraph" w:customStyle="1" w:styleId="Dash">
    <w:name w:val="Dash"/>
    <w:basedOn w:val="Normal"/>
    <w:rsid w:val="006028EE"/>
    <w:pPr>
      <w:numPr>
        <w:ilvl w:val="1"/>
        <w:numId w:val="2"/>
      </w:numPr>
      <w:spacing w:after="240"/>
    </w:pPr>
    <w:rPr>
      <w:rFonts w:ascii="Times New Roman" w:hAnsi="Times New Roman" w:cs="Times New Roman"/>
      <w:kern w:val="0"/>
    </w:rPr>
  </w:style>
  <w:style w:type="paragraph" w:customStyle="1" w:styleId="DoubleDot">
    <w:name w:val="Double Dot"/>
    <w:basedOn w:val="Normal"/>
    <w:rsid w:val="006028EE"/>
    <w:pPr>
      <w:numPr>
        <w:ilvl w:val="2"/>
        <w:numId w:val="2"/>
      </w:numPr>
      <w:spacing w:after="240"/>
    </w:pPr>
    <w:rPr>
      <w:rFonts w:ascii="Times New Roman" w:hAnsi="Times New Roman" w:cs="Times New Roman"/>
      <w:kern w:val="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A6734"/>
  </w:style>
  <w:style w:type="paragraph" w:customStyle="1" w:styleId="paragraph0">
    <w:name w:val="paragraph"/>
    <w:basedOn w:val="Normal"/>
    <w:rsid w:val="004E0F03"/>
    <w:pPr>
      <w:spacing w:before="100" w:beforeAutospacing="1" w:after="100" w:afterAutospacing="1"/>
    </w:pPr>
    <w:rPr>
      <w:rFonts w:ascii="Times New Roman" w:hAnsi="Times New Roman" w:cs="Times New Roman"/>
      <w:kern w:val="0"/>
      <w:lang w:eastAsia="en-AU"/>
    </w:rPr>
  </w:style>
  <w:style w:type="character" w:customStyle="1" w:styleId="normaltextrun">
    <w:name w:val="normaltextrun"/>
    <w:basedOn w:val="DefaultParagraphFont"/>
    <w:rsid w:val="004E0F03"/>
  </w:style>
  <w:style w:type="character" w:customStyle="1" w:styleId="Sub-dotpointChar">
    <w:name w:val="Sub-dot point Char"/>
    <w:basedOn w:val="DefaultParagraphFont"/>
    <w:link w:val="Sub-dotpoint"/>
    <w:locked/>
    <w:rsid w:val="004E0F03"/>
    <w:rPr>
      <w:rFonts w:ascii="Calibri" w:hAnsi="Calibri" w:cs="Calibri"/>
      <w:sz w:val="28"/>
      <w:szCs w:val="28"/>
    </w:rPr>
  </w:style>
  <w:style w:type="paragraph" w:customStyle="1" w:styleId="Sub-dotpoint">
    <w:name w:val="Sub-dot point"/>
    <w:basedOn w:val="Normal"/>
    <w:link w:val="Sub-dotpointChar"/>
    <w:rsid w:val="004E0F03"/>
    <w:pPr>
      <w:numPr>
        <w:ilvl w:val="1"/>
        <w:numId w:val="3"/>
      </w:numPr>
      <w:spacing w:after="120"/>
    </w:pPr>
    <w:rPr>
      <w:rFonts w:ascii="Calibri" w:hAnsi="Calibri" w:cs="Calibri"/>
      <w:sz w:val="28"/>
      <w:szCs w:val="28"/>
    </w:rPr>
  </w:style>
  <w:style w:type="paragraph" w:customStyle="1" w:styleId="Dotpoint">
    <w:name w:val="Dot point"/>
    <w:basedOn w:val="Normal"/>
    <w:rsid w:val="004E0F03"/>
    <w:pPr>
      <w:numPr>
        <w:numId w:val="3"/>
      </w:numPr>
      <w:spacing w:after="120"/>
      <w:ind w:left="720" w:firstLine="0"/>
    </w:pPr>
    <w:rPr>
      <w:rFonts w:ascii="Calibri" w:hAnsi="Calibri" w:cs="Calibri"/>
      <w:kern w:val="0"/>
      <w:sz w:val="28"/>
      <w:szCs w:val="28"/>
      <w:lang w:eastAsia="en-AU"/>
    </w:rPr>
  </w:style>
  <w:style w:type="paragraph" w:customStyle="1" w:styleId="null">
    <w:name w:val="null"/>
    <w:basedOn w:val="Normal"/>
    <w:rsid w:val="00E27B5E"/>
    <w:pPr>
      <w:spacing w:before="100" w:beforeAutospacing="1" w:after="100" w:afterAutospacing="1"/>
    </w:pPr>
    <w:rPr>
      <w:rFonts w:ascii="Calibri" w:hAnsi="Calibri" w:cs="Calibri"/>
      <w:kern w:val="0"/>
      <w:sz w:val="22"/>
      <w:szCs w:val="22"/>
      <w:lang w:eastAsia="en-AU"/>
    </w:rPr>
  </w:style>
  <w:style w:type="character" w:customStyle="1" w:styleId="eop">
    <w:name w:val="eop"/>
    <w:basedOn w:val="DefaultParagraphFont"/>
    <w:rsid w:val="00E27B5E"/>
  </w:style>
  <w:style w:type="character" w:customStyle="1" w:styleId="findhit">
    <w:name w:val="findhit"/>
    <w:basedOn w:val="DefaultParagraphFont"/>
    <w:rsid w:val="00E27B5E"/>
  </w:style>
  <w:style w:type="paragraph" w:styleId="NormalWeb">
    <w:name w:val="Normal (Web)"/>
    <w:basedOn w:val="Normal"/>
    <w:uiPriority w:val="99"/>
    <w:unhideWhenUsed/>
    <w:rsid w:val="00055E4D"/>
    <w:pPr>
      <w:spacing w:before="100" w:beforeAutospacing="1" w:after="100" w:afterAutospacing="1"/>
    </w:pPr>
    <w:rPr>
      <w:rFonts w:ascii="Times New Roman" w:eastAsia="Times New Roman" w:hAnsi="Times New Roman" w:cs="Times New Roman"/>
      <w:kern w:val="0"/>
      <w:lang w:eastAsia="en-AU"/>
    </w:rPr>
  </w:style>
  <w:style w:type="character" w:customStyle="1" w:styleId="null1">
    <w:name w:val="null1"/>
    <w:basedOn w:val="DefaultParagraphFont"/>
    <w:rsid w:val="00A82F6D"/>
  </w:style>
  <w:style w:type="paragraph" w:customStyle="1" w:styleId="Background">
    <w:name w:val="Background"/>
    <w:basedOn w:val="Normal"/>
    <w:link w:val="BackgroundChar"/>
    <w:rsid w:val="00CB4854"/>
    <w:pPr>
      <w:spacing w:before="120" w:after="120" w:line="288" w:lineRule="auto"/>
      <w:ind w:left="360" w:hanging="360"/>
    </w:pPr>
    <w:rPr>
      <w:rFonts w:asciiTheme="majorHAnsi" w:hAnsiTheme="majorHAnsi"/>
      <w:color w:val="595959" w:themeColor="text1" w:themeTint="A6"/>
      <w:kern w:val="20"/>
      <w:lang w:val="en-GB" w:eastAsia="ja-JP"/>
    </w:rPr>
  </w:style>
  <w:style w:type="character" w:customStyle="1" w:styleId="BackgroundChar">
    <w:name w:val="Background Char"/>
    <w:basedOn w:val="DefaultParagraphFont"/>
    <w:link w:val="Background"/>
    <w:rsid w:val="00CB4854"/>
    <w:rPr>
      <w:rFonts w:asciiTheme="majorHAnsi" w:hAnsiTheme="majorHAnsi"/>
      <w:color w:val="595959" w:themeColor="text1" w:themeTint="A6"/>
      <w:kern w:val="20"/>
      <w:lang w:val="en-GB" w:eastAsia="ja-JP"/>
      <w14:ligatures w14:val="none"/>
    </w:rPr>
  </w:style>
  <w:style w:type="paragraph" w:customStyle="1" w:styleId="Keypoints">
    <w:name w:val="Key points"/>
    <w:basedOn w:val="Normal"/>
    <w:rsid w:val="00CB4854"/>
    <w:pPr>
      <w:numPr>
        <w:numId w:val="4"/>
      </w:numPr>
      <w:spacing w:before="120" w:line="288" w:lineRule="auto"/>
    </w:pPr>
    <w:rPr>
      <w:rFonts w:ascii="Calibri" w:hAnsi="Calibri" w:cs="Calibri"/>
      <w:kern w:val="20"/>
      <w:szCs w:val="28"/>
      <w:lang w:eastAsia="ja-JP"/>
    </w:rPr>
  </w:style>
  <w:style w:type="paragraph" w:customStyle="1" w:styleId="Subkeypoint">
    <w:name w:val="Sub key point"/>
    <w:basedOn w:val="Keypoints"/>
    <w:rsid w:val="00CB4854"/>
    <w:pPr>
      <w:numPr>
        <w:ilvl w:val="1"/>
      </w:numPr>
    </w:pPr>
  </w:style>
  <w:style w:type="paragraph" w:customStyle="1" w:styleId="BoxKeyPoint">
    <w:name w:val="Box Key Point"/>
    <w:basedOn w:val="Keypoints"/>
    <w:link w:val="BoxKeyPointChar"/>
    <w:qFormat/>
    <w:rsid w:val="00CB4854"/>
    <w:pPr>
      <w:spacing w:before="0" w:after="60" w:line="276" w:lineRule="auto"/>
    </w:pPr>
    <w:rPr>
      <w:rFonts w:ascii="Calibri Light" w:hAnsi="Calibri Light" w:cs="Calibri Light"/>
    </w:rPr>
  </w:style>
  <w:style w:type="character" w:customStyle="1" w:styleId="BoxKeyPointChar">
    <w:name w:val="Box Key Point Char"/>
    <w:basedOn w:val="DefaultParagraphFont"/>
    <w:link w:val="BoxKeyPoint"/>
    <w:rsid w:val="00CB4854"/>
    <w:rPr>
      <w:rFonts w:ascii="Calibri Light" w:hAnsi="Calibri Light" w:cs="Calibri Light"/>
      <w:kern w:val="20"/>
      <w:szCs w:val="28"/>
      <w:lang w:eastAsia="ja-JP"/>
      <w14:ligatures w14:val="none"/>
    </w:rPr>
  </w:style>
  <w:style w:type="paragraph" w:styleId="EndnoteText">
    <w:name w:val="endnote text"/>
    <w:basedOn w:val="Normal"/>
    <w:link w:val="EndnoteTextChar"/>
    <w:uiPriority w:val="99"/>
    <w:unhideWhenUsed/>
    <w:rsid w:val="00CB4854"/>
    <w:rPr>
      <w:rFonts w:ascii="Times New Roman" w:eastAsia="Times New Roman" w:hAnsi="Times New Roman" w:cs="Times New Roman"/>
      <w:kern w:val="0"/>
      <w:sz w:val="20"/>
      <w:szCs w:val="20"/>
    </w:rPr>
  </w:style>
  <w:style w:type="character" w:customStyle="1" w:styleId="EndnoteTextChar">
    <w:name w:val="Endnote Text Char"/>
    <w:basedOn w:val="DefaultParagraphFont"/>
    <w:link w:val="EndnoteText"/>
    <w:uiPriority w:val="99"/>
    <w:rsid w:val="00CB4854"/>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unhideWhenUsed/>
    <w:rsid w:val="00CB4854"/>
    <w:rPr>
      <w:vertAlign w:val="superscript"/>
    </w:rPr>
  </w:style>
  <w:style w:type="character" w:styleId="Emphasis">
    <w:name w:val="Emphasis"/>
    <w:basedOn w:val="DefaultParagraphFont"/>
    <w:uiPriority w:val="20"/>
    <w:qFormat/>
    <w:rsid w:val="00732F70"/>
    <w:rPr>
      <w:i/>
      <w:iCs/>
    </w:rPr>
  </w:style>
  <w:style w:type="character" w:customStyle="1" w:styleId="Heading3Char">
    <w:name w:val="Heading 3 Char"/>
    <w:basedOn w:val="DefaultParagraphFont"/>
    <w:link w:val="Heading3"/>
    <w:uiPriority w:val="9"/>
    <w:semiHidden/>
    <w:rsid w:val="00E92135"/>
    <w:rPr>
      <w:rFonts w:asciiTheme="majorHAnsi" w:eastAsiaTheme="majorEastAsia" w:hAnsiTheme="majorHAnsi" w:cstheme="majorBidi"/>
      <w:color w:val="1F3763" w:themeColor="accent1" w:themeShade="7F"/>
    </w:rPr>
  </w:style>
  <w:style w:type="character" w:customStyle="1" w:styleId="vuuxrf">
    <w:name w:val="vuuxrf"/>
    <w:basedOn w:val="DefaultParagraphFont"/>
    <w:rsid w:val="00E92135"/>
  </w:style>
  <w:style w:type="paragraph" w:customStyle="1" w:styleId="Paragraph">
    <w:name w:val="Paragraph"/>
    <w:basedOn w:val="Normal"/>
    <w:link w:val="ParagraphChar"/>
    <w:qFormat/>
    <w:rsid w:val="000C3618"/>
    <w:pPr>
      <w:numPr>
        <w:numId w:val="5"/>
      </w:numPr>
      <w:spacing w:after="120" w:line="288" w:lineRule="auto"/>
    </w:pPr>
    <w:rPr>
      <w:rFonts w:ascii="Calibri Light" w:eastAsia="Calibri" w:hAnsi="Calibri Light" w:cs="Calibri Light"/>
      <w:kern w:val="20"/>
      <w:lang w:eastAsia="ja-JP"/>
    </w:rPr>
  </w:style>
  <w:style w:type="character" w:customStyle="1" w:styleId="ParagraphChar">
    <w:name w:val="Paragraph Char"/>
    <w:basedOn w:val="DefaultParagraphFont"/>
    <w:link w:val="Paragraph"/>
    <w:rsid w:val="000C3618"/>
    <w:rPr>
      <w:rFonts w:ascii="Calibri Light" w:eastAsia="Calibri" w:hAnsi="Calibri Light" w:cs="Calibri Light"/>
      <w:kern w:val="20"/>
      <w:lang w:eastAsia="ja-JP"/>
      <w14:ligatures w14:val="none"/>
    </w:rPr>
  </w:style>
  <w:style w:type="paragraph" w:customStyle="1" w:styleId="rogs-comment">
    <w:name w:val="rogs-comment"/>
    <w:basedOn w:val="Normal"/>
    <w:rsid w:val="00DA5F10"/>
    <w:pPr>
      <w:spacing w:before="100" w:beforeAutospacing="1" w:after="100" w:afterAutospacing="1"/>
    </w:pPr>
    <w:rPr>
      <w:rFonts w:ascii="Times New Roman" w:eastAsia="Times New Roman" w:hAnsi="Times New Roman" w:cs="Times New Roman"/>
      <w:kern w:val="0"/>
      <w:lang w:eastAsia="en-AU"/>
    </w:rPr>
  </w:style>
  <w:style w:type="paragraph" w:customStyle="1" w:styleId="Numbers">
    <w:name w:val="Numbers"/>
    <w:basedOn w:val="SingleTxtG"/>
    <w:link w:val="NumbersChar"/>
    <w:qFormat/>
    <w:rsid w:val="00457F56"/>
    <w:pPr>
      <w:numPr>
        <w:numId w:val="1"/>
      </w:numPr>
      <w:spacing w:line="360" w:lineRule="auto"/>
    </w:pPr>
    <w:rPr>
      <w:sz w:val="24"/>
      <w:szCs w:val="24"/>
    </w:rPr>
  </w:style>
  <w:style w:type="paragraph" w:customStyle="1" w:styleId="Letters">
    <w:name w:val="Letters"/>
    <w:basedOn w:val="SingleTxtG"/>
    <w:link w:val="LettersChar"/>
    <w:qFormat/>
    <w:rsid w:val="00617166"/>
    <w:pPr>
      <w:spacing w:line="360" w:lineRule="auto"/>
      <w:ind w:left="1920" w:hanging="360"/>
      <w:jc w:val="left"/>
    </w:pPr>
    <w:rPr>
      <w:sz w:val="24"/>
      <w:szCs w:val="24"/>
    </w:rPr>
  </w:style>
  <w:style w:type="character" w:customStyle="1" w:styleId="NumbersChar">
    <w:name w:val="Numbers Char"/>
    <w:basedOn w:val="SingleTxtGChar"/>
    <w:link w:val="Numbers"/>
    <w:rsid w:val="00457F56"/>
    <w:rPr>
      <w:rFonts w:ascii="Times New Roman" w:hAnsi="Times New Roman" w:cs="Times New Roman"/>
      <w:kern w:val="0"/>
      <w:sz w:val="20"/>
      <w:szCs w:val="20"/>
      <w:lang w:val="en-GB"/>
      <w14:ligatures w14:val="none"/>
    </w:rPr>
  </w:style>
  <w:style w:type="character" w:styleId="Strong">
    <w:name w:val="Strong"/>
    <w:basedOn w:val="DefaultParagraphFont"/>
    <w:uiPriority w:val="22"/>
    <w:qFormat/>
    <w:rsid w:val="004A7A71"/>
    <w:rPr>
      <w:b/>
      <w:bCs/>
    </w:rPr>
  </w:style>
  <w:style w:type="character" w:customStyle="1" w:styleId="LettersChar">
    <w:name w:val="Letters Char"/>
    <w:basedOn w:val="NumbersChar"/>
    <w:link w:val="Letters"/>
    <w:rsid w:val="00617166"/>
    <w:rPr>
      <w:rFonts w:ascii="Times New Roman" w:hAnsi="Times New Roman" w:cs="Times New Roman"/>
      <w:kern w:val="0"/>
      <w:sz w:val="20"/>
      <w:szCs w:val="20"/>
      <w:lang w:val="en-GB"/>
      <w14:ligatures w14:val="none"/>
    </w:rPr>
  </w:style>
  <w:style w:type="paragraph" w:styleId="Revision">
    <w:name w:val="Revision"/>
    <w:hidden/>
    <w:uiPriority w:val="99"/>
    <w:semiHidden/>
    <w:rsid w:val="00B1424B"/>
  </w:style>
  <w:style w:type="character" w:customStyle="1" w:styleId="ui-provider">
    <w:name w:val="ui-provider"/>
    <w:basedOn w:val="DefaultParagraphFont"/>
    <w:rsid w:val="006E2EA8"/>
  </w:style>
  <w:style w:type="paragraph" w:customStyle="1" w:styleId="Default">
    <w:name w:val="Default"/>
    <w:rsid w:val="00F02120"/>
    <w:pPr>
      <w:autoSpaceDE w:val="0"/>
      <w:autoSpaceDN w:val="0"/>
      <w:adjustRightInd w:val="0"/>
    </w:pPr>
    <w:rPr>
      <w:rFonts w:ascii="Calibri Light" w:hAnsi="Calibri Light" w:cs="Calibri Light"/>
      <w:color w:val="000000"/>
      <w:kern w:val="0"/>
    </w:rPr>
  </w:style>
  <w:style w:type="paragraph" w:styleId="TOCHeading">
    <w:name w:val="TOC Heading"/>
    <w:basedOn w:val="Heading1"/>
    <w:next w:val="Normal"/>
    <w:uiPriority w:val="39"/>
    <w:unhideWhenUsed/>
    <w:qFormat/>
    <w:rsid w:val="003C5633"/>
    <w:pPr>
      <w:spacing w:line="259" w:lineRule="auto"/>
      <w:ind w:left="0"/>
      <w:outlineLvl w:val="9"/>
    </w:pPr>
    <w:rPr>
      <w:rFonts w:asciiTheme="majorHAnsi" w:hAnsiTheme="majorHAnsi" w:cstheme="majorBidi"/>
      <w:b w:val="0"/>
      <w:color w:val="2F5496" w:themeColor="accent1" w:themeShade="BF"/>
      <w:kern w:val="0"/>
      <w:sz w:val="32"/>
      <w:lang w:val="en-US"/>
    </w:rPr>
  </w:style>
  <w:style w:type="paragraph" w:styleId="TOC1">
    <w:name w:val="toc 1"/>
    <w:basedOn w:val="Normal"/>
    <w:next w:val="Normal"/>
    <w:autoRedefine/>
    <w:uiPriority w:val="39"/>
    <w:unhideWhenUsed/>
    <w:rsid w:val="003C5633"/>
    <w:pPr>
      <w:tabs>
        <w:tab w:val="right" w:leader="dot" w:pos="10610"/>
      </w:tabs>
      <w:spacing w:after="100"/>
    </w:pPr>
    <w:rPr>
      <w:b/>
      <w:noProof/>
    </w:rPr>
  </w:style>
  <w:style w:type="paragraph" w:styleId="TOC2">
    <w:name w:val="toc 2"/>
    <w:basedOn w:val="Normal"/>
    <w:next w:val="Normal"/>
    <w:autoRedefine/>
    <w:uiPriority w:val="39"/>
    <w:unhideWhenUsed/>
    <w:rsid w:val="00DC10B3"/>
    <w:pPr>
      <w:tabs>
        <w:tab w:val="right" w:leader="dot" w:pos="10610"/>
      </w:tabs>
      <w:spacing w:after="100"/>
      <w:ind w:left="240"/>
    </w:pPr>
    <w:rPr>
      <w:noProof/>
    </w:rPr>
  </w:style>
  <w:style w:type="paragraph" w:styleId="TOC3">
    <w:name w:val="toc 3"/>
    <w:basedOn w:val="Normal"/>
    <w:next w:val="Normal"/>
    <w:autoRedefine/>
    <w:uiPriority w:val="39"/>
    <w:unhideWhenUsed/>
    <w:rsid w:val="003C5633"/>
    <w:pPr>
      <w:spacing w:after="100" w:line="259" w:lineRule="auto"/>
      <w:ind w:left="440"/>
    </w:pPr>
    <w:rPr>
      <w:rFonts w:eastAsiaTheme="minorEastAsia"/>
      <w:kern w:val="0"/>
      <w:sz w:val="22"/>
      <w:szCs w:val="22"/>
      <w:lang w:eastAsia="en-AU"/>
    </w:rPr>
  </w:style>
  <w:style w:type="paragraph" w:styleId="TOC4">
    <w:name w:val="toc 4"/>
    <w:basedOn w:val="Normal"/>
    <w:next w:val="Normal"/>
    <w:autoRedefine/>
    <w:uiPriority w:val="39"/>
    <w:unhideWhenUsed/>
    <w:rsid w:val="003C5633"/>
    <w:pPr>
      <w:spacing w:after="100" w:line="259" w:lineRule="auto"/>
      <w:ind w:left="660"/>
    </w:pPr>
    <w:rPr>
      <w:rFonts w:eastAsiaTheme="minorEastAsia"/>
      <w:kern w:val="0"/>
      <w:sz w:val="22"/>
      <w:szCs w:val="22"/>
      <w:lang w:eastAsia="en-AU"/>
    </w:rPr>
  </w:style>
  <w:style w:type="paragraph" w:styleId="TOC5">
    <w:name w:val="toc 5"/>
    <w:basedOn w:val="Normal"/>
    <w:next w:val="Normal"/>
    <w:autoRedefine/>
    <w:uiPriority w:val="39"/>
    <w:unhideWhenUsed/>
    <w:rsid w:val="003C5633"/>
    <w:pPr>
      <w:spacing w:after="100" w:line="259" w:lineRule="auto"/>
      <w:ind w:left="880"/>
    </w:pPr>
    <w:rPr>
      <w:rFonts w:eastAsiaTheme="minorEastAsia"/>
      <w:kern w:val="0"/>
      <w:sz w:val="22"/>
      <w:szCs w:val="22"/>
      <w:lang w:eastAsia="en-AU"/>
    </w:rPr>
  </w:style>
  <w:style w:type="paragraph" w:styleId="TOC6">
    <w:name w:val="toc 6"/>
    <w:basedOn w:val="Normal"/>
    <w:next w:val="Normal"/>
    <w:autoRedefine/>
    <w:uiPriority w:val="39"/>
    <w:unhideWhenUsed/>
    <w:rsid w:val="003C5633"/>
    <w:pPr>
      <w:spacing w:after="100" w:line="259" w:lineRule="auto"/>
      <w:ind w:left="1100"/>
    </w:pPr>
    <w:rPr>
      <w:rFonts w:eastAsiaTheme="minorEastAsia"/>
      <w:kern w:val="0"/>
      <w:sz w:val="22"/>
      <w:szCs w:val="22"/>
      <w:lang w:eastAsia="en-AU"/>
    </w:rPr>
  </w:style>
  <w:style w:type="paragraph" w:styleId="TOC7">
    <w:name w:val="toc 7"/>
    <w:basedOn w:val="Normal"/>
    <w:next w:val="Normal"/>
    <w:autoRedefine/>
    <w:uiPriority w:val="39"/>
    <w:unhideWhenUsed/>
    <w:rsid w:val="003C5633"/>
    <w:pPr>
      <w:spacing w:after="100" w:line="259" w:lineRule="auto"/>
      <w:ind w:left="1320"/>
    </w:pPr>
    <w:rPr>
      <w:rFonts w:eastAsiaTheme="minorEastAsia"/>
      <w:kern w:val="0"/>
      <w:sz w:val="22"/>
      <w:szCs w:val="22"/>
      <w:lang w:eastAsia="en-AU"/>
    </w:rPr>
  </w:style>
  <w:style w:type="paragraph" w:styleId="TOC8">
    <w:name w:val="toc 8"/>
    <w:basedOn w:val="Normal"/>
    <w:next w:val="Normal"/>
    <w:autoRedefine/>
    <w:uiPriority w:val="39"/>
    <w:unhideWhenUsed/>
    <w:rsid w:val="003C5633"/>
    <w:pPr>
      <w:spacing w:after="100" w:line="259" w:lineRule="auto"/>
      <w:ind w:left="1540"/>
    </w:pPr>
    <w:rPr>
      <w:rFonts w:eastAsiaTheme="minorEastAsia"/>
      <w:kern w:val="0"/>
      <w:sz w:val="22"/>
      <w:szCs w:val="22"/>
      <w:lang w:eastAsia="en-AU"/>
    </w:rPr>
  </w:style>
  <w:style w:type="paragraph" w:styleId="TOC9">
    <w:name w:val="toc 9"/>
    <w:basedOn w:val="Normal"/>
    <w:next w:val="Normal"/>
    <w:autoRedefine/>
    <w:uiPriority w:val="39"/>
    <w:unhideWhenUsed/>
    <w:rsid w:val="003C5633"/>
    <w:pPr>
      <w:spacing w:after="100" w:line="259" w:lineRule="auto"/>
      <w:ind w:left="1760"/>
    </w:pPr>
    <w:rPr>
      <w:rFonts w:eastAsiaTheme="minorEastAsia"/>
      <w:kern w:val="0"/>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0461">
      <w:bodyDiv w:val="1"/>
      <w:marLeft w:val="0"/>
      <w:marRight w:val="0"/>
      <w:marTop w:val="0"/>
      <w:marBottom w:val="0"/>
      <w:divBdr>
        <w:top w:val="none" w:sz="0" w:space="0" w:color="auto"/>
        <w:left w:val="none" w:sz="0" w:space="0" w:color="auto"/>
        <w:bottom w:val="none" w:sz="0" w:space="0" w:color="auto"/>
        <w:right w:val="none" w:sz="0" w:space="0" w:color="auto"/>
      </w:divBdr>
    </w:div>
    <w:div w:id="70008377">
      <w:bodyDiv w:val="1"/>
      <w:marLeft w:val="0"/>
      <w:marRight w:val="0"/>
      <w:marTop w:val="0"/>
      <w:marBottom w:val="0"/>
      <w:divBdr>
        <w:top w:val="none" w:sz="0" w:space="0" w:color="auto"/>
        <w:left w:val="none" w:sz="0" w:space="0" w:color="auto"/>
        <w:bottom w:val="none" w:sz="0" w:space="0" w:color="auto"/>
        <w:right w:val="none" w:sz="0" w:space="0" w:color="auto"/>
      </w:divBdr>
    </w:div>
    <w:div w:id="114755848">
      <w:bodyDiv w:val="1"/>
      <w:marLeft w:val="0"/>
      <w:marRight w:val="0"/>
      <w:marTop w:val="0"/>
      <w:marBottom w:val="0"/>
      <w:divBdr>
        <w:top w:val="none" w:sz="0" w:space="0" w:color="auto"/>
        <w:left w:val="none" w:sz="0" w:space="0" w:color="auto"/>
        <w:bottom w:val="none" w:sz="0" w:space="0" w:color="auto"/>
        <w:right w:val="none" w:sz="0" w:space="0" w:color="auto"/>
      </w:divBdr>
    </w:div>
    <w:div w:id="166218066">
      <w:bodyDiv w:val="1"/>
      <w:marLeft w:val="0"/>
      <w:marRight w:val="0"/>
      <w:marTop w:val="0"/>
      <w:marBottom w:val="0"/>
      <w:divBdr>
        <w:top w:val="none" w:sz="0" w:space="0" w:color="auto"/>
        <w:left w:val="none" w:sz="0" w:space="0" w:color="auto"/>
        <w:bottom w:val="none" w:sz="0" w:space="0" w:color="auto"/>
        <w:right w:val="none" w:sz="0" w:space="0" w:color="auto"/>
      </w:divBdr>
    </w:div>
    <w:div w:id="183905362">
      <w:bodyDiv w:val="1"/>
      <w:marLeft w:val="0"/>
      <w:marRight w:val="0"/>
      <w:marTop w:val="0"/>
      <w:marBottom w:val="0"/>
      <w:divBdr>
        <w:top w:val="none" w:sz="0" w:space="0" w:color="auto"/>
        <w:left w:val="none" w:sz="0" w:space="0" w:color="auto"/>
        <w:bottom w:val="none" w:sz="0" w:space="0" w:color="auto"/>
        <w:right w:val="none" w:sz="0" w:space="0" w:color="auto"/>
      </w:divBdr>
    </w:div>
    <w:div w:id="238759276">
      <w:bodyDiv w:val="1"/>
      <w:marLeft w:val="0"/>
      <w:marRight w:val="0"/>
      <w:marTop w:val="0"/>
      <w:marBottom w:val="0"/>
      <w:divBdr>
        <w:top w:val="none" w:sz="0" w:space="0" w:color="auto"/>
        <w:left w:val="none" w:sz="0" w:space="0" w:color="auto"/>
        <w:bottom w:val="none" w:sz="0" w:space="0" w:color="auto"/>
        <w:right w:val="none" w:sz="0" w:space="0" w:color="auto"/>
      </w:divBdr>
    </w:div>
    <w:div w:id="266039458">
      <w:bodyDiv w:val="1"/>
      <w:marLeft w:val="0"/>
      <w:marRight w:val="0"/>
      <w:marTop w:val="0"/>
      <w:marBottom w:val="0"/>
      <w:divBdr>
        <w:top w:val="none" w:sz="0" w:space="0" w:color="auto"/>
        <w:left w:val="none" w:sz="0" w:space="0" w:color="auto"/>
        <w:bottom w:val="none" w:sz="0" w:space="0" w:color="auto"/>
        <w:right w:val="none" w:sz="0" w:space="0" w:color="auto"/>
      </w:divBdr>
    </w:div>
    <w:div w:id="363406167">
      <w:bodyDiv w:val="1"/>
      <w:marLeft w:val="0"/>
      <w:marRight w:val="0"/>
      <w:marTop w:val="0"/>
      <w:marBottom w:val="0"/>
      <w:divBdr>
        <w:top w:val="none" w:sz="0" w:space="0" w:color="auto"/>
        <w:left w:val="none" w:sz="0" w:space="0" w:color="auto"/>
        <w:bottom w:val="none" w:sz="0" w:space="0" w:color="auto"/>
        <w:right w:val="none" w:sz="0" w:space="0" w:color="auto"/>
      </w:divBdr>
    </w:div>
    <w:div w:id="371465749">
      <w:bodyDiv w:val="1"/>
      <w:marLeft w:val="0"/>
      <w:marRight w:val="0"/>
      <w:marTop w:val="0"/>
      <w:marBottom w:val="0"/>
      <w:divBdr>
        <w:top w:val="none" w:sz="0" w:space="0" w:color="auto"/>
        <w:left w:val="none" w:sz="0" w:space="0" w:color="auto"/>
        <w:bottom w:val="none" w:sz="0" w:space="0" w:color="auto"/>
        <w:right w:val="none" w:sz="0" w:space="0" w:color="auto"/>
      </w:divBdr>
      <w:divsChild>
        <w:div w:id="1151946671">
          <w:marLeft w:val="0"/>
          <w:marRight w:val="0"/>
          <w:marTop w:val="0"/>
          <w:marBottom w:val="0"/>
          <w:divBdr>
            <w:top w:val="none" w:sz="0" w:space="0" w:color="auto"/>
            <w:left w:val="none" w:sz="0" w:space="0" w:color="auto"/>
            <w:bottom w:val="none" w:sz="0" w:space="0" w:color="auto"/>
            <w:right w:val="none" w:sz="0" w:space="0" w:color="auto"/>
          </w:divBdr>
          <w:divsChild>
            <w:div w:id="651107445">
              <w:marLeft w:val="0"/>
              <w:marRight w:val="0"/>
              <w:marTop w:val="0"/>
              <w:marBottom w:val="0"/>
              <w:divBdr>
                <w:top w:val="none" w:sz="0" w:space="0" w:color="auto"/>
                <w:left w:val="none" w:sz="0" w:space="0" w:color="auto"/>
                <w:bottom w:val="none" w:sz="0" w:space="0" w:color="auto"/>
                <w:right w:val="none" w:sz="0" w:space="0" w:color="auto"/>
              </w:divBdr>
              <w:divsChild>
                <w:div w:id="1766068559">
                  <w:marLeft w:val="0"/>
                  <w:marRight w:val="0"/>
                  <w:marTop w:val="0"/>
                  <w:marBottom w:val="0"/>
                  <w:divBdr>
                    <w:top w:val="none" w:sz="0" w:space="0" w:color="auto"/>
                    <w:left w:val="none" w:sz="0" w:space="0" w:color="auto"/>
                    <w:bottom w:val="none" w:sz="0" w:space="0" w:color="auto"/>
                    <w:right w:val="none" w:sz="0" w:space="0" w:color="auto"/>
                  </w:divBdr>
                </w:div>
                <w:div w:id="18440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26271">
      <w:bodyDiv w:val="1"/>
      <w:marLeft w:val="0"/>
      <w:marRight w:val="0"/>
      <w:marTop w:val="0"/>
      <w:marBottom w:val="0"/>
      <w:divBdr>
        <w:top w:val="none" w:sz="0" w:space="0" w:color="auto"/>
        <w:left w:val="none" w:sz="0" w:space="0" w:color="auto"/>
        <w:bottom w:val="none" w:sz="0" w:space="0" w:color="auto"/>
        <w:right w:val="none" w:sz="0" w:space="0" w:color="auto"/>
      </w:divBdr>
    </w:div>
    <w:div w:id="406148440">
      <w:bodyDiv w:val="1"/>
      <w:marLeft w:val="0"/>
      <w:marRight w:val="0"/>
      <w:marTop w:val="0"/>
      <w:marBottom w:val="0"/>
      <w:divBdr>
        <w:top w:val="none" w:sz="0" w:space="0" w:color="auto"/>
        <w:left w:val="none" w:sz="0" w:space="0" w:color="auto"/>
        <w:bottom w:val="none" w:sz="0" w:space="0" w:color="auto"/>
        <w:right w:val="none" w:sz="0" w:space="0" w:color="auto"/>
      </w:divBdr>
    </w:div>
    <w:div w:id="408231198">
      <w:bodyDiv w:val="1"/>
      <w:marLeft w:val="0"/>
      <w:marRight w:val="0"/>
      <w:marTop w:val="0"/>
      <w:marBottom w:val="0"/>
      <w:divBdr>
        <w:top w:val="none" w:sz="0" w:space="0" w:color="auto"/>
        <w:left w:val="none" w:sz="0" w:space="0" w:color="auto"/>
        <w:bottom w:val="none" w:sz="0" w:space="0" w:color="auto"/>
        <w:right w:val="none" w:sz="0" w:space="0" w:color="auto"/>
      </w:divBdr>
    </w:div>
    <w:div w:id="463039298">
      <w:bodyDiv w:val="1"/>
      <w:marLeft w:val="0"/>
      <w:marRight w:val="0"/>
      <w:marTop w:val="0"/>
      <w:marBottom w:val="0"/>
      <w:divBdr>
        <w:top w:val="none" w:sz="0" w:space="0" w:color="auto"/>
        <w:left w:val="none" w:sz="0" w:space="0" w:color="auto"/>
        <w:bottom w:val="none" w:sz="0" w:space="0" w:color="auto"/>
        <w:right w:val="none" w:sz="0" w:space="0" w:color="auto"/>
      </w:divBdr>
    </w:div>
    <w:div w:id="464472821">
      <w:bodyDiv w:val="1"/>
      <w:marLeft w:val="0"/>
      <w:marRight w:val="0"/>
      <w:marTop w:val="0"/>
      <w:marBottom w:val="0"/>
      <w:divBdr>
        <w:top w:val="none" w:sz="0" w:space="0" w:color="auto"/>
        <w:left w:val="none" w:sz="0" w:space="0" w:color="auto"/>
        <w:bottom w:val="none" w:sz="0" w:space="0" w:color="auto"/>
        <w:right w:val="none" w:sz="0" w:space="0" w:color="auto"/>
      </w:divBdr>
    </w:div>
    <w:div w:id="481774951">
      <w:bodyDiv w:val="1"/>
      <w:marLeft w:val="0"/>
      <w:marRight w:val="0"/>
      <w:marTop w:val="0"/>
      <w:marBottom w:val="0"/>
      <w:divBdr>
        <w:top w:val="none" w:sz="0" w:space="0" w:color="auto"/>
        <w:left w:val="none" w:sz="0" w:space="0" w:color="auto"/>
        <w:bottom w:val="none" w:sz="0" w:space="0" w:color="auto"/>
        <w:right w:val="none" w:sz="0" w:space="0" w:color="auto"/>
      </w:divBdr>
    </w:div>
    <w:div w:id="518736595">
      <w:bodyDiv w:val="1"/>
      <w:marLeft w:val="0"/>
      <w:marRight w:val="0"/>
      <w:marTop w:val="0"/>
      <w:marBottom w:val="0"/>
      <w:divBdr>
        <w:top w:val="none" w:sz="0" w:space="0" w:color="auto"/>
        <w:left w:val="none" w:sz="0" w:space="0" w:color="auto"/>
        <w:bottom w:val="none" w:sz="0" w:space="0" w:color="auto"/>
        <w:right w:val="none" w:sz="0" w:space="0" w:color="auto"/>
      </w:divBdr>
    </w:div>
    <w:div w:id="549655205">
      <w:bodyDiv w:val="1"/>
      <w:marLeft w:val="0"/>
      <w:marRight w:val="0"/>
      <w:marTop w:val="0"/>
      <w:marBottom w:val="0"/>
      <w:divBdr>
        <w:top w:val="none" w:sz="0" w:space="0" w:color="auto"/>
        <w:left w:val="none" w:sz="0" w:space="0" w:color="auto"/>
        <w:bottom w:val="none" w:sz="0" w:space="0" w:color="auto"/>
        <w:right w:val="none" w:sz="0" w:space="0" w:color="auto"/>
      </w:divBdr>
    </w:div>
    <w:div w:id="562788998">
      <w:bodyDiv w:val="1"/>
      <w:marLeft w:val="0"/>
      <w:marRight w:val="0"/>
      <w:marTop w:val="0"/>
      <w:marBottom w:val="0"/>
      <w:divBdr>
        <w:top w:val="none" w:sz="0" w:space="0" w:color="auto"/>
        <w:left w:val="none" w:sz="0" w:space="0" w:color="auto"/>
        <w:bottom w:val="none" w:sz="0" w:space="0" w:color="auto"/>
        <w:right w:val="none" w:sz="0" w:space="0" w:color="auto"/>
      </w:divBdr>
    </w:div>
    <w:div w:id="570433249">
      <w:bodyDiv w:val="1"/>
      <w:marLeft w:val="0"/>
      <w:marRight w:val="0"/>
      <w:marTop w:val="0"/>
      <w:marBottom w:val="0"/>
      <w:divBdr>
        <w:top w:val="none" w:sz="0" w:space="0" w:color="auto"/>
        <w:left w:val="none" w:sz="0" w:space="0" w:color="auto"/>
        <w:bottom w:val="none" w:sz="0" w:space="0" w:color="auto"/>
        <w:right w:val="none" w:sz="0" w:space="0" w:color="auto"/>
      </w:divBdr>
    </w:div>
    <w:div w:id="573666680">
      <w:bodyDiv w:val="1"/>
      <w:marLeft w:val="0"/>
      <w:marRight w:val="0"/>
      <w:marTop w:val="0"/>
      <w:marBottom w:val="0"/>
      <w:divBdr>
        <w:top w:val="none" w:sz="0" w:space="0" w:color="auto"/>
        <w:left w:val="none" w:sz="0" w:space="0" w:color="auto"/>
        <w:bottom w:val="none" w:sz="0" w:space="0" w:color="auto"/>
        <w:right w:val="none" w:sz="0" w:space="0" w:color="auto"/>
      </w:divBdr>
    </w:div>
    <w:div w:id="599796098">
      <w:bodyDiv w:val="1"/>
      <w:marLeft w:val="0"/>
      <w:marRight w:val="0"/>
      <w:marTop w:val="0"/>
      <w:marBottom w:val="0"/>
      <w:divBdr>
        <w:top w:val="none" w:sz="0" w:space="0" w:color="auto"/>
        <w:left w:val="none" w:sz="0" w:space="0" w:color="auto"/>
        <w:bottom w:val="none" w:sz="0" w:space="0" w:color="auto"/>
        <w:right w:val="none" w:sz="0" w:space="0" w:color="auto"/>
      </w:divBdr>
    </w:div>
    <w:div w:id="637612941">
      <w:bodyDiv w:val="1"/>
      <w:marLeft w:val="0"/>
      <w:marRight w:val="0"/>
      <w:marTop w:val="0"/>
      <w:marBottom w:val="0"/>
      <w:divBdr>
        <w:top w:val="none" w:sz="0" w:space="0" w:color="auto"/>
        <w:left w:val="none" w:sz="0" w:space="0" w:color="auto"/>
        <w:bottom w:val="none" w:sz="0" w:space="0" w:color="auto"/>
        <w:right w:val="none" w:sz="0" w:space="0" w:color="auto"/>
      </w:divBdr>
    </w:div>
    <w:div w:id="682971473">
      <w:bodyDiv w:val="1"/>
      <w:marLeft w:val="0"/>
      <w:marRight w:val="0"/>
      <w:marTop w:val="0"/>
      <w:marBottom w:val="0"/>
      <w:divBdr>
        <w:top w:val="none" w:sz="0" w:space="0" w:color="auto"/>
        <w:left w:val="none" w:sz="0" w:space="0" w:color="auto"/>
        <w:bottom w:val="none" w:sz="0" w:space="0" w:color="auto"/>
        <w:right w:val="none" w:sz="0" w:space="0" w:color="auto"/>
      </w:divBdr>
    </w:div>
    <w:div w:id="704795457">
      <w:bodyDiv w:val="1"/>
      <w:marLeft w:val="0"/>
      <w:marRight w:val="0"/>
      <w:marTop w:val="0"/>
      <w:marBottom w:val="0"/>
      <w:divBdr>
        <w:top w:val="none" w:sz="0" w:space="0" w:color="auto"/>
        <w:left w:val="none" w:sz="0" w:space="0" w:color="auto"/>
        <w:bottom w:val="none" w:sz="0" w:space="0" w:color="auto"/>
        <w:right w:val="none" w:sz="0" w:space="0" w:color="auto"/>
      </w:divBdr>
    </w:div>
    <w:div w:id="715812329">
      <w:bodyDiv w:val="1"/>
      <w:marLeft w:val="0"/>
      <w:marRight w:val="0"/>
      <w:marTop w:val="0"/>
      <w:marBottom w:val="0"/>
      <w:divBdr>
        <w:top w:val="none" w:sz="0" w:space="0" w:color="auto"/>
        <w:left w:val="none" w:sz="0" w:space="0" w:color="auto"/>
        <w:bottom w:val="none" w:sz="0" w:space="0" w:color="auto"/>
        <w:right w:val="none" w:sz="0" w:space="0" w:color="auto"/>
      </w:divBdr>
    </w:div>
    <w:div w:id="783618773">
      <w:bodyDiv w:val="1"/>
      <w:marLeft w:val="0"/>
      <w:marRight w:val="0"/>
      <w:marTop w:val="0"/>
      <w:marBottom w:val="0"/>
      <w:divBdr>
        <w:top w:val="none" w:sz="0" w:space="0" w:color="auto"/>
        <w:left w:val="none" w:sz="0" w:space="0" w:color="auto"/>
        <w:bottom w:val="none" w:sz="0" w:space="0" w:color="auto"/>
        <w:right w:val="none" w:sz="0" w:space="0" w:color="auto"/>
      </w:divBdr>
    </w:div>
    <w:div w:id="822083832">
      <w:bodyDiv w:val="1"/>
      <w:marLeft w:val="0"/>
      <w:marRight w:val="0"/>
      <w:marTop w:val="0"/>
      <w:marBottom w:val="0"/>
      <w:divBdr>
        <w:top w:val="none" w:sz="0" w:space="0" w:color="auto"/>
        <w:left w:val="none" w:sz="0" w:space="0" w:color="auto"/>
        <w:bottom w:val="none" w:sz="0" w:space="0" w:color="auto"/>
        <w:right w:val="none" w:sz="0" w:space="0" w:color="auto"/>
      </w:divBdr>
    </w:div>
    <w:div w:id="853346258">
      <w:bodyDiv w:val="1"/>
      <w:marLeft w:val="0"/>
      <w:marRight w:val="0"/>
      <w:marTop w:val="0"/>
      <w:marBottom w:val="0"/>
      <w:divBdr>
        <w:top w:val="none" w:sz="0" w:space="0" w:color="auto"/>
        <w:left w:val="none" w:sz="0" w:space="0" w:color="auto"/>
        <w:bottom w:val="none" w:sz="0" w:space="0" w:color="auto"/>
        <w:right w:val="none" w:sz="0" w:space="0" w:color="auto"/>
      </w:divBdr>
    </w:div>
    <w:div w:id="865749987">
      <w:bodyDiv w:val="1"/>
      <w:marLeft w:val="0"/>
      <w:marRight w:val="0"/>
      <w:marTop w:val="0"/>
      <w:marBottom w:val="0"/>
      <w:divBdr>
        <w:top w:val="none" w:sz="0" w:space="0" w:color="auto"/>
        <w:left w:val="none" w:sz="0" w:space="0" w:color="auto"/>
        <w:bottom w:val="none" w:sz="0" w:space="0" w:color="auto"/>
        <w:right w:val="none" w:sz="0" w:space="0" w:color="auto"/>
      </w:divBdr>
    </w:div>
    <w:div w:id="873351288">
      <w:bodyDiv w:val="1"/>
      <w:marLeft w:val="0"/>
      <w:marRight w:val="0"/>
      <w:marTop w:val="0"/>
      <w:marBottom w:val="0"/>
      <w:divBdr>
        <w:top w:val="none" w:sz="0" w:space="0" w:color="auto"/>
        <w:left w:val="none" w:sz="0" w:space="0" w:color="auto"/>
        <w:bottom w:val="none" w:sz="0" w:space="0" w:color="auto"/>
        <w:right w:val="none" w:sz="0" w:space="0" w:color="auto"/>
      </w:divBdr>
    </w:div>
    <w:div w:id="874006834">
      <w:bodyDiv w:val="1"/>
      <w:marLeft w:val="0"/>
      <w:marRight w:val="0"/>
      <w:marTop w:val="0"/>
      <w:marBottom w:val="0"/>
      <w:divBdr>
        <w:top w:val="none" w:sz="0" w:space="0" w:color="auto"/>
        <w:left w:val="none" w:sz="0" w:space="0" w:color="auto"/>
        <w:bottom w:val="none" w:sz="0" w:space="0" w:color="auto"/>
        <w:right w:val="none" w:sz="0" w:space="0" w:color="auto"/>
      </w:divBdr>
      <w:divsChild>
        <w:div w:id="921448753">
          <w:marLeft w:val="0"/>
          <w:marRight w:val="0"/>
          <w:marTop w:val="0"/>
          <w:marBottom w:val="0"/>
          <w:divBdr>
            <w:top w:val="none" w:sz="0" w:space="0" w:color="auto"/>
            <w:left w:val="none" w:sz="0" w:space="0" w:color="auto"/>
            <w:bottom w:val="none" w:sz="0" w:space="0" w:color="auto"/>
            <w:right w:val="none" w:sz="0" w:space="0" w:color="auto"/>
          </w:divBdr>
          <w:divsChild>
            <w:div w:id="396902749">
              <w:marLeft w:val="0"/>
              <w:marRight w:val="0"/>
              <w:marTop w:val="0"/>
              <w:marBottom w:val="0"/>
              <w:divBdr>
                <w:top w:val="none" w:sz="0" w:space="0" w:color="auto"/>
                <w:left w:val="none" w:sz="0" w:space="0" w:color="auto"/>
                <w:bottom w:val="none" w:sz="0" w:space="0" w:color="auto"/>
                <w:right w:val="none" w:sz="0" w:space="0" w:color="auto"/>
              </w:divBdr>
              <w:divsChild>
                <w:div w:id="316082384">
                  <w:marLeft w:val="0"/>
                  <w:marRight w:val="0"/>
                  <w:marTop w:val="0"/>
                  <w:marBottom w:val="0"/>
                  <w:divBdr>
                    <w:top w:val="none" w:sz="0" w:space="0" w:color="auto"/>
                    <w:left w:val="none" w:sz="0" w:space="0" w:color="auto"/>
                    <w:bottom w:val="none" w:sz="0" w:space="0" w:color="auto"/>
                    <w:right w:val="none" w:sz="0" w:space="0" w:color="auto"/>
                  </w:divBdr>
                </w:div>
                <w:div w:id="2201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92848">
      <w:bodyDiv w:val="1"/>
      <w:marLeft w:val="0"/>
      <w:marRight w:val="0"/>
      <w:marTop w:val="0"/>
      <w:marBottom w:val="0"/>
      <w:divBdr>
        <w:top w:val="none" w:sz="0" w:space="0" w:color="auto"/>
        <w:left w:val="none" w:sz="0" w:space="0" w:color="auto"/>
        <w:bottom w:val="none" w:sz="0" w:space="0" w:color="auto"/>
        <w:right w:val="none" w:sz="0" w:space="0" w:color="auto"/>
      </w:divBdr>
    </w:div>
    <w:div w:id="905648520">
      <w:bodyDiv w:val="1"/>
      <w:marLeft w:val="0"/>
      <w:marRight w:val="0"/>
      <w:marTop w:val="0"/>
      <w:marBottom w:val="0"/>
      <w:divBdr>
        <w:top w:val="none" w:sz="0" w:space="0" w:color="auto"/>
        <w:left w:val="none" w:sz="0" w:space="0" w:color="auto"/>
        <w:bottom w:val="none" w:sz="0" w:space="0" w:color="auto"/>
        <w:right w:val="none" w:sz="0" w:space="0" w:color="auto"/>
      </w:divBdr>
    </w:div>
    <w:div w:id="964896819">
      <w:bodyDiv w:val="1"/>
      <w:marLeft w:val="0"/>
      <w:marRight w:val="0"/>
      <w:marTop w:val="0"/>
      <w:marBottom w:val="0"/>
      <w:divBdr>
        <w:top w:val="none" w:sz="0" w:space="0" w:color="auto"/>
        <w:left w:val="none" w:sz="0" w:space="0" w:color="auto"/>
        <w:bottom w:val="none" w:sz="0" w:space="0" w:color="auto"/>
        <w:right w:val="none" w:sz="0" w:space="0" w:color="auto"/>
      </w:divBdr>
    </w:div>
    <w:div w:id="993069352">
      <w:bodyDiv w:val="1"/>
      <w:marLeft w:val="0"/>
      <w:marRight w:val="0"/>
      <w:marTop w:val="0"/>
      <w:marBottom w:val="0"/>
      <w:divBdr>
        <w:top w:val="none" w:sz="0" w:space="0" w:color="auto"/>
        <w:left w:val="none" w:sz="0" w:space="0" w:color="auto"/>
        <w:bottom w:val="none" w:sz="0" w:space="0" w:color="auto"/>
        <w:right w:val="none" w:sz="0" w:space="0" w:color="auto"/>
      </w:divBdr>
    </w:div>
    <w:div w:id="993296082">
      <w:bodyDiv w:val="1"/>
      <w:marLeft w:val="0"/>
      <w:marRight w:val="0"/>
      <w:marTop w:val="0"/>
      <w:marBottom w:val="0"/>
      <w:divBdr>
        <w:top w:val="none" w:sz="0" w:space="0" w:color="auto"/>
        <w:left w:val="none" w:sz="0" w:space="0" w:color="auto"/>
        <w:bottom w:val="none" w:sz="0" w:space="0" w:color="auto"/>
        <w:right w:val="none" w:sz="0" w:space="0" w:color="auto"/>
      </w:divBdr>
    </w:div>
    <w:div w:id="998577692">
      <w:bodyDiv w:val="1"/>
      <w:marLeft w:val="0"/>
      <w:marRight w:val="0"/>
      <w:marTop w:val="0"/>
      <w:marBottom w:val="0"/>
      <w:divBdr>
        <w:top w:val="none" w:sz="0" w:space="0" w:color="auto"/>
        <w:left w:val="none" w:sz="0" w:space="0" w:color="auto"/>
        <w:bottom w:val="none" w:sz="0" w:space="0" w:color="auto"/>
        <w:right w:val="none" w:sz="0" w:space="0" w:color="auto"/>
      </w:divBdr>
    </w:div>
    <w:div w:id="1018777917">
      <w:bodyDiv w:val="1"/>
      <w:marLeft w:val="0"/>
      <w:marRight w:val="0"/>
      <w:marTop w:val="0"/>
      <w:marBottom w:val="0"/>
      <w:divBdr>
        <w:top w:val="none" w:sz="0" w:space="0" w:color="auto"/>
        <w:left w:val="none" w:sz="0" w:space="0" w:color="auto"/>
        <w:bottom w:val="none" w:sz="0" w:space="0" w:color="auto"/>
        <w:right w:val="none" w:sz="0" w:space="0" w:color="auto"/>
      </w:divBdr>
    </w:div>
    <w:div w:id="1039815069">
      <w:bodyDiv w:val="1"/>
      <w:marLeft w:val="0"/>
      <w:marRight w:val="0"/>
      <w:marTop w:val="0"/>
      <w:marBottom w:val="0"/>
      <w:divBdr>
        <w:top w:val="none" w:sz="0" w:space="0" w:color="auto"/>
        <w:left w:val="none" w:sz="0" w:space="0" w:color="auto"/>
        <w:bottom w:val="none" w:sz="0" w:space="0" w:color="auto"/>
        <w:right w:val="none" w:sz="0" w:space="0" w:color="auto"/>
      </w:divBdr>
    </w:div>
    <w:div w:id="1167479483">
      <w:bodyDiv w:val="1"/>
      <w:marLeft w:val="0"/>
      <w:marRight w:val="0"/>
      <w:marTop w:val="0"/>
      <w:marBottom w:val="0"/>
      <w:divBdr>
        <w:top w:val="none" w:sz="0" w:space="0" w:color="auto"/>
        <w:left w:val="none" w:sz="0" w:space="0" w:color="auto"/>
        <w:bottom w:val="none" w:sz="0" w:space="0" w:color="auto"/>
        <w:right w:val="none" w:sz="0" w:space="0" w:color="auto"/>
      </w:divBdr>
    </w:div>
    <w:div w:id="1167524741">
      <w:bodyDiv w:val="1"/>
      <w:marLeft w:val="0"/>
      <w:marRight w:val="0"/>
      <w:marTop w:val="0"/>
      <w:marBottom w:val="0"/>
      <w:divBdr>
        <w:top w:val="none" w:sz="0" w:space="0" w:color="auto"/>
        <w:left w:val="none" w:sz="0" w:space="0" w:color="auto"/>
        <w:bottom w:val="none" w:sz="0" w:space="0" w:color="auto"/>
        <w:right w:val="none" w:sz="0" w:space="0" w:color="auto"/>
      </w:divBdr>
    </w:div>
    <w:div w:id="1169058316">
      <w:bodyDiv w:val="1"/>
      <w:marLeft w:val="0"/>
      <w:marRight w:val="0"/>
      <w:marTop w:val="0"/>
      <w:marBottom w:val="0"/>
      <w:divBdr>
        <w:top w:val="none" w:sz="0" w:space="0" w:color="auto"/>
        <w:left w:val="none" w:sz="0" w:space="0" w:color="auto"/>
        <w:bottom w:val="none" w:sz="0" w:space="0" w:color="auto"/>
        <w:right w:val="none" w:sz="0" w:space="0" w:color="auto"/>
      </w:divBdr>
    </w:div>
    <w:div w:id="1176726105">
      <w:bodyDiv w:val="1"/>
      <w:marLeft w:val="0"/>
      <w:marRight w:val="0"/>
      <w:marTop w:val="0"/>
      <w:marBottom w:val="0"/>
      <w:divBdr>
        <w:top w:val="none" w:sz="0" w:space="0" w:color="auto"/>
        <w:left w:val="none" w:sz="0" w:space="0" w:color="auto"/>
        <w:bottom w:val="none" w:sz="0" w:space="0" w:color="auto"/>
        <w:right w:val="none" w:sz="0" w:space="0" w:color="auto"/>
      </w:divBdr>
    </w:div>
    <w:div w:id="1190948970">
      <w:bodyDiv w:val="1"/>
      <w:marLeft w:val="0"/>
      <w:marRight w:val="0"/>
      <w:marTop w:val="0"/>
      <w:marBottom w:val="0"/>
      <w:divBdr>
        <w:top w:val="none" w:sz="0" w:space="0" w:color="auto"/>
        <w:left w:val="none" w:sz="0" w:space="0" w:color="auto"/>
        <w:bottom w:val="none" w:sz="0" w:space="0" w:color="auto"/>
        <w:right w:val="none" w:sz="0" w:space="0" w:color="auto"/>
      </w:divBdr>
    </w:div>
    <w:div w:id="1223101516">
      <w:bodyDiv w:val="1"/>
      <w:marLeft w:val="0"/>
      <w:marRight w:val="0"/>
      <w:marTop w:val="0"/>
      <w:marBottom w:val="0"/>
      <w:divBdr>
        <w:top w:val="none" w:sz="0" w:space="0" w:color="auto"/>
        <w:left w:val="none" w:sz="0" w:space="0" w:color="auto"/>
        <w:bottom w:val="none" w:sz="0" w:space="0" w:color="auto"/>
        <w:right w:val="none" w:sz="0" w:space="0" w:color="auto"/>
      </w:divBdr>
    </w:div>
    <w:div w:id="1240363230">
      <w:bodyDiv w:val="1"/>
      <w:marLeft w:val="0"/>
      <w:marRight w:val="0"/>
      <w:marTop w:val="0"/>
      <w:marBottom w:val="0"/>
      <w:divBdr>
        <w:top w:val="none" w:sz="0" w:space="0" w:color="auto"/>
        <w:left w:val="none" w:sz="0" w:space="0" w:color="auto"/>
        <w:bottom w:val="none" w:sz="0" w:space="0" w:color="auto"/>
        <w:right w:val="none" w:sz="0" w:space="0" w:color="auto"/>
      </w:divBdr>
    </w:div>
    <w:div w:id="1311516739">
      <w:bodyDiv w:val="1"/>
      <w:marLeft w:val="0"/>
      <w:marRight w:val="0"/>
      <w:marTop w:val="0"/>
      <w:marBottom w:val="0"/>
      <w:divBdr>
        <w:top w:val="none" w:sz="0" w:space="0" w:color="auto"/>
        <w:left w:val="none" w:sz="0" w:space="0" w:color="auto"/>
        <w:bottom w:val="none" w:sz="0" w:space="0" w:color="auto"/>
        <w:right w:val="none" w:sz="0" w:space="0" w:color="auto"/>
      </w:divBdr>
    </w:div>
    <w:div w:id="1338263225">
      <w:bodyDiv w:val="1"/>
      <w:marLeft w:val="0"/>
      <w:marRight w:val="0"/>
      <w:marTop w:val="0"/>
      <w:marBottom w:val="0"/>
      <w:divBdr>
        <w:top w:val="none" w:sz="0" w:space="0" w:color="auto"/>
        <w:left w:val="none" w:sz="0" w:space="0" w:color="auto"/>
        <w:bottom w:val="none" w:sz="0" w:space="0" w:color="auto"/>
        <w:right w:val="none" w:sz="0" w:space="0" w:color="auto"/>
      </w:divBdr>
    </w:div>
    <w:div w:id="1350794991">
      <w:bodyDiv w:val="1"/>
      <w:marLeft w:val="0"/>
      <w:marRight w:val="0"/>
      <w:marTop w:val="0"/>
      <w:marBottom w:val="0"/>
      <w:divBdr>
        <w:top w:val="none" w:sz="0" w:space="0" w:color="auto"/>
        <w:left w:val="none" w:sz="0" w:space="0" w:color="auto"/>
        <w:bottom w:val="none" w:sz="0" w:space="0" w:color="auto"/>
        <w:right w:val="none" w:sz="0" w:space="0" w:color="auto"/>
      </w:divBdr>
    </w:div>
    <w:div w:id="1374383788">
      <w:bodyDiv w:val="1"/>
      <w:marLeft w:val="0"/>
      <w:marRight w:val="0"/>
      <w:marTop w:val="0"/>
      <w:marBottom w:val="0"/>
      <w:divBdr>
        <w:top w:val="none" w:sz="0" w:space="0" w:color="auto"/>
        <w:left w:val="none" w:sz="0" w:space="0" w:color="auto"/>
        <w:bottom w:val="none" w:sz="0" w:space="0" w:color="auto"/>
        <w:right w:val="none" w:sz="0" w:space="0" w:color="auto"/>
      </w:divBdr>
    </w:div>
    <w:div w:id="1399092516">
      <w:bodyDiv w:val="1"/>
      <w:marLeft w:val="0"/>
      <w:marRight w:val="0"/>
      <w:marTop w:val="0"/>
      <w:marBottom w:val="0"/>
      <w:divBdr>
        <w:top w:val="none" w:sz="0" w:space="0" w:color="auto"/>
        <w:left w:val="none" w:sz="0" w:space="0" w:color="auto"/>
        <w:bottom w:val="none" w:sz="0" w:space="0" w:color="auto"/>
        <w:right w:val="none" w:sz="0" w:space="0" w:color="auto"/>
      </w:divBdr>
    </w:div>
    <w:div w:id="1428885624">
      <w:bodyDiv w:val="1"/>
      <w:marLeft w:val="0"/>
      <w:marRight w:val="0"/>
      <w:marTop w:val="0"/>
      <w:marBottom w:val="0"/>
      <w:divBdr>
        <w:top w:val="none" w:sz="0" w:space="0" w:color="auto"/>
        <w:left w:val="none" w:sz="0" w:space="0" w:color="auto"/>
        <w:bottom w:val="none" w:sz="0" w:space="0" w:color="auto"/>
        <w:right w:val="none" w:sz="0" w:space="0" w:color="auto"/>
      </w:divBdr>
    </w:div>
    <w:div w:id="1439716350">
      <w:bodyDiv w:val="1"/>
      <w:marLeft w:val="0"/>
      <w:marRight w:val="0"/>
      <w:marTop w:val="0"/>
      <w:marBottom w:val="0"/>
      <w:divBdr>
        <w:top w:val="none" w:sz="0" w:space="0" w:color="auto"/>
        <w:left w:val="none" w:sz="0" w:space="0" w:color="auto"/>
        <w:bottom w:val="none" w:sz="0" w:space="0" w:color="auto"/>
        <w:right w:val="none" w:sz="0" w:space="0" w:color="auto"/>
      </w:divBdr>
    </w:div>
    <w:div w:id="1451316684">
      <w:bodyDiv w:val="1"/>
      <w:marLeft w:val="0"/>
      <w:marRight w:val="0"/>
      <w:marTop w:val="0"/>
      <w:marBottom w:val="0"/>
      <w:divBdr>
        <w:top w:val="none" w:sz="0" w:space="0" w:color="auto"/>
        <w:left w:val="none" w:sz="0" w:space="0" w:color="auto"/>
        <w:bottom w:val="none" w:sz="0" w:space="0" w:color="auto"/>
        <w:right w:val="none" w:sz="0" w:space="0" w:color="auto"/>
      </w:divBdr>
    </w:div>
    <w:div w:id="1464232725">
      <w:bodyDiv w:val="1"/>
      <w:marLeft w:val="0"/>
      <w:marRight w:val="0"/>
      <w:marTop w:val="0"/>
      <w:marBottom w:val="0"/>
      <w:divBdr>
        <w:top w:val="none" w:sz="0" w:space="0" w:color="auto"/>
        <w:left w:val="none" w:sz="0" w:space="0" w:color="auto"/>
        <w:bottom w:val="none" w:sz="0" w:space="0" w:color="auto"/>
        <w:right w:val="none" w:sz="0" w:space="0" w:color="auto"/>
      </w:divBdr>
    </w:div>
    <w:div w:id="1506360070">
      <w:bodyDiv w:val="1"/>
      <w:marLeft w:val="0"/>
      <w:marRight w:val="0"/>
      <w:marTop w:val="0"/>
      <w:marBottom w:val="0"/>
      <w:divBdr>
        <w:top w:val="none" w:sz="0" w:space="0" w:color="auto"/>
        <w:left w:val="none" w:sz="0" w:space="0" w:color="auto"/>
        <w:bottom w:val="none" w:sz="0" w:space="0" w:color="auto"/>
        <w:right w:val="none" w:sz="0" w:space="0" w:color="auto"/>
      </w:divBdr>
    </w:div>
    <w:div w:id="1526023029">
      <w:bodyDiv w:val="1"/>
      <w:marLeft w:val="0"/>
      <w:marRight w:val="0"/>
      <w:marTop w:val="0"/>
      <w:marBottom w:val="0"/>
      <w:divBdr>
        <w:top w:val="none" w:sz="0" w:space="0" w:color="auto"/>
        <w:left w:val="none" w:sz="0" w:space="0" w:color="auto"/>
        <w:bottom w:val="none" w:sz="0" w:space="0" w:color="auto"/>
        <w:right w:val="none" w:sz="0" w:space="0" w:color="auto"/>
      </w:divBdr>
    </w:div>
    <w:div w:id="1569881367">
      <w:bodyDiv w:val="1"/>
      <w:marLeft w:val="0"/>
      <w:marRight w:val="0"/>
      <w:marTop w:val="0"/>
      <w:marBottom w:val="0"/>
      <w:divBdr>
        <w:top w:val="none" w:sz="0" w:space="0" w:color="auto"/>
        <w:left w:val="none" w:sz="0" w:space="0" w:color="auto"/>
        <w:bottom w:val="none" w:sz="0" w:space="0" w:color="auto"/>
        <w:right w:val="none" w:sz="0" w:space="0" w:color="auto"/>
      </w:divBdr>
    </w:div>
    <w:div w:id="1602376221">
      <w:bodyDiv w:val="1"/>
      <w:marLeft w:val="0"/>
      <w:marRight w:val="0"/>
      <w:marTop w:val="0"/>
      <w:marBottom w:val="0"/>
      <w:divBdr>
        <w:top w:val="none" w:sz="0" w:space="0" w:color="auto"/>
        <w:left w:val="none" w:sz="0" w:space="0" w:color="auto"/>
        <w:bottom w:val="none" w:sz="0" w:space="0" w:color="auto"/>
        <w:right w:val="none" w:sz="0" w:space="0" w:color="auto"/>
      </w:divBdr>
    </w:div>
    <w:div w:id="1683043955">
      <w:bodyDiv w:val="1"/>
      <w:marLeft w:val="0"/>
      <w:marRight w:val="0"/>
      <w:marTop w:val="0"/>
      <w:marBottom w:val="0"/>
      <w:divBdr>
        <w:top w:val="none" w:sz="0" w:space="0" w:color="auto"/>
        <w:left w:val="none" w:sz="0" w:space="0" w:color="auto"/>
        <w:bottom w:val="none" w:sz="0" w:space="0" w:color="auto"/>
        <w:right w:val="none" w:sz="0" w:space="0" w:color="auto"/>
      </w:divBdr>
    </w:div>
    <w:div w:id="1689864404">
      <w:bodyDiv w:val="1"/>
      <w:marLeft w:val="0"/>
      <w:marRight w:val="0"/>
      <w:marTop w:val="0"/>
      <w:marBottom w:val="0"/>
      <w:divBdr>
        <w:top w:val="none" w:sz="0" w:space="0" w:color="auto"/>
        <w:left w:val="none" w:sz="0" w:space="0" w:color="auto"/>
        <w:bottom w:val="none" w:sz="0" w:space="0" w:color="auto"/>
        <w:right w:val="none" w:sz="0" w:space="0" w:color="auto"/>
      </w:divBdr>
    </w:div>
    <w:div w:id="1731423489">
      <w:bodyDiv w:val="1"/>
      <w:marLeft w:val="0"/>
      <w:marRight w:val="0"/>
      <w:marTop w:val="0"/>
      <w:marBottom w:val="0"/>
      <w:divBdr>
        <w:top w:val="none" w:sz="0" w:space="0" w:color="auto"/>
        <w:left w:val="none" w:sz="0" w:space="0" w:color="auto"/>
        <w:bottom w:val="none" w:sz="0" w:space="0" w:color="auto"/>
        <w:right w:val="none" w:sz="0" w:space="0" w:color="auto"/>
      </w:divBdr>
    </w:div>
    <w:div w:id="1740446856">
      <w:bodyDiv w:val="1"/>
      <w:marLeft w:val="0"/>
      <w:marRight w:val="0"/>
      <w:marTop w:val="0"/>
      <w:marBottom w:val="0"/>
      <w:divBdr>
        <w:top w:val="none" w:sz="0" w:space="0" w:color="auto"/>
        <w:left w:val="none" w:sz="0" w:space="0" w:color="auto"/>
        <w:bottom w:val="none" w:sz="0" w:space="0" w:color="auto"/>
        <w:right w:val="none" w:sz="0" w:space="0" w:color="auto"/>
      </w:divBdr>
    </w:div>
    <w:div w:id="1824348388">
      <w:bodyDiv w:val="1"/>
      <w:marLeft w:val="0"/>
      <w:marRight w:val="0"/>
      <w:marTop w:val="0"/>
      <w:marBottom w:val="0"/>
      <w:divBdr>
        <w:top w:val="none" w:sz="0" w:space="0" w:color="auto"/>
        <w:left w:val="none" w:sz="0" w:space="0" w:color="auto"/>
        <w:bottom w:val="none" w:sz="0" w:space="0" w:color="auto"/>
        <w:right w:val="none" w:sz="0" w:space="0" w:color="auto"/>
      </w:divBdr>
    </w:div>
    <w:div w:id="1838812184">
      <w:bodyDiv w:val="1"/>
      <w:marLeft w:val="0"/>
      <w:marRight w:val="0"/>
      <w:marTop w:val="0"/>
      <w:marBottom w:val="0"/>
      <w:divBdr>
        <w:top w:val="none" w:sz="0" w:space="0" w:color="auto"/>
        <w:left w:val="none" w:sz="0" w:space="0" w:color="auto"/>
        <w:bottom w:val="none" w:sz="0" w:space="0" w:color="auto"/>
        <w:right w:val="none" w:sz="0" w:space="0" w:color="auto"/>
      </w:divBdr>
    </w:div>
    <w:div w:id="1930582962">
      <w:bodyDiv w:val="1"/>
      <w:marLeft w:val="0"/>
      <w:marRight w:val="0"/>
      <w:marTop w:val="0"/>
      <w:marBottom w:val="0"/>
      <w:divBdr>
        <w:top w:val="none" w:sz="0" w:space="0" w:color="auto"/>
        <w:left w:val="none" w:sz="0" w:space="0" w:color="auto"/>
        <w:bottom w:val="none" w:sz="0" w:space="0" w:color="auto"/>
        <w:right w:val="none" w:sz="0" w:space="0" w:color="auto"/>
      </w:divBdr>
    </w:div>
    <w:div w:id="1935286045">
      <w:bodyDiv w:val="1"/>
      <w:marLeft w:val="0"/>
      <w:marRight w:val="0"/>
      <w:marTop w:val="0"/>
      <w:marBottom w:val="0"/>
      <w:divBdr>
        <w:top w:val="none" w:sz="0" w:space="0" w:color="auto"/>
        <w:left w:val="none" w:sz="0" w:space="0" w:color="auto"/>
        <w:bottom w:val="none" w:sz="0" w:space="0" w:color="auto"/>
        <w:right w:val="none" w:sz="0" w:space="0" w:color="auto"/>
      </w:divBdr>
    </w:div>
    <w:div w:id="1995261144">
      <w:bodyDiv w:val="1"/>
      <w:marLeft w:val="0"/>
      <w:marRight w:val="0"/>
      <w:marTop w:val="0"/>
      <w:marBottom w:val="0"/>
      <w:divBdr>
        <w:top w:val="none" w:sz="0" w:space="0" w:color="auto"/>
        <w:left w:val="none" w:sz="0" w:space="0" w:color="auto"/>
        <w:bottom w:val="none" w:sz="0" w:space="0" w:color="auto"/>
        <w:right w:val="none" w:sz="0" w:space="0" w:color="auto"/>
      </w:divBdr>
    </w:div>
    <w:div w:id="2007828542">
      <w:bodyDiv w:val="1"/>
      <w:marLeft w:val="0"/>
      <w:marRight w:val="0"/>
      <w:marTop w:val="0"/>
      <w:marBottom w:val="0"/>
      <w:divBdr>
        <w:top w:val="none" w:sz="0" w:space="0" w:color="auto"/>
        <w:left w:val="none" w:sz="0" w:space="0" w:color="auto"/>
        <w:bottom w:val="none" w:sz="0" w:space="0" w:color="auto"/>
        <w:right w:val="none" w:sz="0" w:space="0" w:color="auto"/>
      </w:divBdr>
    </w:div>
    <w:div w:id="2013796695">
      <w:bodyDiv w:val="1"/>
      <w:marLeft w:val="0"/>
      <w:marRight w:val="0"/>
      <w:marTop w:val="0"/>
      <w:marBottom w:val="0"/>
      <w:divBdr>
        <w:top w:val="none" w:sz="0" w:space="0" w:color="auto"/>
        <w:left w:val="none" w:sz="0" w:space="0" w:color="auto"/>
        <w:bottom w:val="none" w:sz="0" w:space="0" w:color="auto"/>
        <w:right w:val="none" w:sz="0" w:space="0" w:color="auto"/>
      </w:divBdr>
    </w:div>
    <w:div w:id="2032680922">
      <w:bodyDiv w:val="1"/>
      <w:marLeft w:val="0"/>
      <w:marRight w:val="0"/>
      <w:marTop w:val="0"/>
      <w:marBottom w:val="0"/>
      <w:divBdr>
        <w:top w:val="none" w:sz="0" w:space="0" w:color="auto"/>
        <w:left w:val="none" w:sz="0" w:space="0" w:color="auto"/>
        <w:bottom w:val="none" w:sz="0" w:space="0" w:color="auto"/>
        <w:right w:val="none" w:sz="0" w:space="0" w:color="auto"/>
      </w:divBdr>
    </w:div>
    <w:div w:id="2056196883">
      <w:bodyDiv w:val="1"/>
      <w:marLeft w:val="0"/>
      <w:marRight w:val="0"/>
      <w:marTop w:val="0"/>
      <w:marBottom w:val="0"/>
      <w:divBdr>
        <w:top w:val="none" w:sz="0" w:space="0" w:color="auto"/>
        <w:left w:val="none" w:sz="0" w:space="0" w:color="auto"/>
        <w:bottom w:val="none" w:sz="0" w:space="0" w:color="auto"/>
        <w:right w:val="none" w:sz="0" w:space="0" w:color="auto"/>
      </w:divBdr>
    </w:div>
    <w:div w:id="2085376673">
      <w:bodyDiv w:val="1"/>
      <w:marLeft w:val="0"/>
      <w:marRight w:val="0"/>
      <w:marTop w:val="0"/>
      <w:marBottom w:val="0"/>
      <w:divBdr>
        <w:top w:val="none" w:sz="0" w:space="0" w:color="auto"/>
        <w:left w:val="none" w:sz="0" w:space="0" w:color="auto"/>
        <w:bottom w:val="none" w:sz="0" w:space="0" w:color="auto"/>
        <w:right w:val="none" w:sz="0" w:space="0" w:color="auto"/>
      </w:divBdr>
    </w:div>
    <w:div w:id="2116435163">
      <w:bodyDiv w:val="1"/>
      <w:marLeft w:val="0"/>
      <w:marRight w:val="0"/>
      <w:marTop w:val="0"/>
      <w:marBottom w:val="0"/>
      <w:divBdr>
        <w:top w:val="none" w:sz="0" w:space="0" w:color="auto"/>
        <w:left w:val="none" w:sz="0" w:space="0" w:color="auto"/>
        <w:bottom w:val="none" w:sz="0" w:space="0" w:color="auto"/>
        <w:right w:val="none" w:sz="0" w:space="0" w:color="auto"/>
      </w:divBdr>
    </w:div>
    <w:div w:id="213709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dcceew.gov.au/parks-heritage/heritage/places/national-heritage-li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bs.gov.au/statistics/standards/standard-sex-gender-variations-sex-characteristics-and-sexual-orientation-variables/latest-releas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awsociety.com.au/sites/default/files/2023-05/2022%20National%20Profile%20of%20Solicitors%20-%20Final.pdf" TargetMode="External"/><Relationship Id="rId13" Type="http://schemas.openxmlformats.org/officeDocument/2006/relationships/hyperlink" Target="http://www.pmc.gov.au/office-women/womens-leadership/gender-balance-australian-government-boards" TargetMode="External"/><Relationship Id="rId18" Type="http://schemas.openxmlformats.org/officeDocument/2006/relationships/hyperlink" Target="https://www.wgea.gov.au/sites/default/files/documents/WGEA-Leading-Practice-Parental-Leave-Policy-Guide.pdf" TargetMode="External"/><Relationship Id="rId3" Type="http://schemas.openxmlformats.org/officeDocument/2006/relationships/hyperlink" Target="https://www.servicesaustralia.gov.au/who-can-get-parental-leave-pay-for-child-born-or-adopted-from-1-july-2023?context=64479" TargetMode="External"/><Relationship Id="rId21" Type="http://schemas.openxmlformats.org/officeDocument/2006/relationships/hyperlink" Target="https://theconversation.com/increased-incarceration-of-first-nations-women-is-interwoven-with-the-experience-of-violence-and-trauma-164773" TargetMode="External"/><Relationship Id="rId7" Type="http://schemas.openxmlformats.org/officeDocument/2006/relationships/hyperlink" Target="https://www.ag.gov.au/system/files/2021-03/alrc-government-response-2021.PDF" TargetMode="External"/><Relationship Id="rId12" Type="http://schemas.openxmlformats.org/officeDocument/2006/relationships/hyperlink" Target="https://www.aph.gov.au/About_Parliament/Parliamentary_departments/Parliamentary_Library/pubs/rp/rp2324/Quick_Guides/CulturalDiversity47thParliament" TargetMode="External"/><Relationship Id="rId17" Type="http://schemas.openxmlformats.org/officeDocument/2006/relationships/hyperlink" Target="https://www.dewr.gov.au/workplace-relations/understand-your-workplace-rights" TargetMode="External"/><Relationship Id="rId2" Type="http://schemas.openxmlformats.org/officeDocument/2006/relationships/hyperlink" Target="https://treasury.gov.au/sites/default/files/2023-10/p2023-455038.pdf" TargetMode="External"/><Relationship Id="rId16" Type="http://schemas.openxmlformats.org/officeDocument/2006/relationships/hyperlink" Target="https://humanrights.gov.au/our-work/sex-discrimination/working-parents-quick-guide-your-rights" TargetMode="External"/><Relationship Id="rId20" Type="http://schemas.openxmlformats.org/officeDocument/2006/relationships/hyperlink" Target="https://www.health.gov.au/topics/mental-health-and-suicide-prevention/what-were-doing-about-mental-health" TargetMode="External"/><Relationship Id="rId1" Type="http://schemas.openxmlformats.org/officeDocument/2006/relationships/hyperlink" Target="https://extranet.who.int/e-spar" TargetMode="External"/><Relationship Id="rId6" Type="http://schemas.openxmlformats.org/officeDocument/2006/relationships/hyperlink" Target="https://www.ag.gov.au/legal-system/publications/government-response-productivity-commissions-report-access-justice-arrangements" TargetMode="External"/><Relationship Id="rId11" Type="http://schemas.openxmlformats.org/officeDocument/2006/relationships/hyperlink" Target="https://www.vic.gov.au/review-make-recommendations-decriminalisation-sex-work" TargetMode="External"/><Relationship Id="rId24" Type="http://schemas.openxmlformats.org/officeDocument/2006/relationships/hyperlink" Target="https://www.dfat.gov.au/sites/default/files/sdg-voluntary-national-review.pdf" TargetMode="External"/><Relationship Id="rId5" Type="http://schemas.openxmlformats.org/officeDocument/2006/relationships/hyperlink" Target="https://view.officeapps.live.com/op/view.aspx?src=https%3A%2F%2Fwww.ag.gov.au%2Fsites%2Fdefault%2Ffiles%2F2023-10%2Fscag-working-group-report-exec-summary-consistency-of-sexual-harassment-and-sex-discrimination-laws-in-australia.DOCX&amp;wdOrigin=BROWSELINK" TargetMode="External"/><Relationship Id="rId15" Type="http://schemas.openxmlformats.org/officeDocument/2006/relationships/hyperlink" Target="https://www.fairwork.gov.au/leave/parental-leave" TargetMode="External"/><Relationship Id="rId23" Type="http://schemas.openxmlformats.org/officeDocument/2006/relationships/hyperlink" Target="https://www.transhub.org.au/trans-mob?rq=sistergirl%20is%20a%20term%20used%20" TargetMode="External"/><Relationship Id="rId10" Type="http://schemas.openxmlformats.org/officeDocument/2006/relationships/hyperlink" Target="https://modernslaveryregister.gov.au/" TargetMode="External"/><Relationship Id="rId19" Type="http://schemas.openxmlformats.org/officeDocument/2006/relationships/hyperlink" Target="http://www.aph.gov.au/About_Parliament/Parliamentary_Leadership_Taskforce/Progress_of_recommendations" TargetMode="External"/><Relationship Id="rId4" Type="http://schemas.openxmlformats.org/officeDocument/2006/relationships/hyperlink" Target="https://aifs.gov.au/research/facts-and-figures/marriages-australia-2023" TargetMode="External"/><Relationship Id="rId9" Type="http://schemas.openxmlformats.org/officeDocument/2006/relationships/hyperlink" Target="https://humanrights.gov.au/our-work/legal/exemption-applications-under-sex-discrimination-act-1984-cth" TargetMode="External"/><Relationship Id="rId14" Type="http://schemas.openxmlformats.org/officeDocument/2006/relationships/hyperlink" Target="https://www.aph.gov.au/Parliamentary_Business/Committees/Senate/Finance_and_Public_Administration/Gendersegregation/Additional_Documents?docType=Government%20Response" TargetMode="External"/><Relationship Id="rId22" Type="http://schemas.openxmlformats.org/officeDocument/2006/relationships/hyperlink" Target="https://www.ics.act.gov.au/__data/assets/pdf_file/0009/1355805/guiding_principles_correctionsaustrevised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57397adc744e7436a08adf0d9d67afac">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9ad62d7b73460f0f4dc353dffe08b559"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readOnly="false"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4</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PMCdoc-213507164-57957</_dlc_DocId>
    <_dlc_DocIdUrl xmlns="d0dfa800-9ef0-44cb-8a12-633e29de1e0b">
      <Url>https://pmc01.sharepoint.com/sites/pmc-ms-cb/_layouts/15/DocIdRedir.aspx?ID=PMCdoc-213507164-57957</Url>
      <Description>PMCdoc-213507164-57957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997B5-0F10-4E8C-9841-4F9E6D474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EB787-14F5-4FCA-94C9-B4053123D756}">
  <ds:schemaRefs>
    <ds:schemaRef ds:uri="http://schemas.microsoft.com/sharepoint/events"/>
  </ds:schemaRefs>
</ds:datastoreItem>
</file>

<file path=customXml/itemProps3.xml><?xml version="1.0" encoding="utf-8"?>
<ds:datastoreItem xmlns:ds="http://schemas.openxmlformats.org/officeDocument/2006/customXml" ds:itemID="{9F9F7474-2D70-4DF4-89D8-F84AA95E8FFE}">
  <ds:schemaRefs>
    <ds:schemaRef ds:uri="http://schemas.microsoft.com/sharepoint/v3/contenttype/forms"/>
  </ds:schemaRefs>
</ds:datastoreItem>
</file>

<file path=customXml/itemProps4.xml><?xml version="1.0" encoding="utf-8"?>
<ds:datastoreItem xmlns:ds="http://schemas.openxmlformats.org/officeDocument/2006/customXml" ds:itemID="{E00E4584-A9EE-4833-A935-F33065B960AE}">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dfa800-9ef0-44cb-8a12-633e29de1e0b"/>
    <ds:schemaRef ds:uri="http://schemas.microsoft.com/office/2006/metadata/properties"/>
    <ds:schemaRef ds:uri="http://purl.org/dc/elements/1.1/"/>
    <ds:schemaRef ds:uri="http://purl.org/dc/dcmitype/"/>
    <ds:schemaRef ds:uri="http://schemas.microsoft.com/sharepoint/v3"/>
    <ds:schemaRef ds:uri="ce530a30-1469-477c-a42f-e412a5d2cfe7"/>
    <ds:schemaRef ds:uri="e771ab56-0c5d-40e7-b080-2686d2b89623"/>
    <ds:schemaRef ds:uri="http://www.w3.org/XML/1998/namespace"/>
  </ds:schemaRefs>
</ds:datastoreItem>
</file>

<file path=customXml/itemProps5.xml><?xml version="1.0" encoding="utf-8"?>
<ds:datastoreItem xmlns:ds="http://schemas.openxmlformats.org/officeDocument/2006/customXml" ds:itemID="{B6E39FD7-AEFE-4AB0-A773-66A14EFF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28142</Words>
  <Characters>171429</Characters>
  <Application>Microsoft Office Word</Application>
  <DocSecurity>0</DocSecurity>
  <Lines>1428</Lines>
  <Paragraphs>398</Paragraphs>
  <ScaleCrop>false</ScaleCrop>
  <HeadingPairs>
    <vt:vector size="2" baseType="variant">
      <vt:variant>
        <vt:lpstr>Title</vt:lpstr>
      </vt:variant>
      <vt:variant>
        <vt:i4>1</vt:i4>
      </vt:variant>
    </vt:vector>
  </HeadingPairs>
  <TitlesOfParts>
    <vt:vector size="1" baseType="lpstr">
      <vt:lpstr>Draft of the Ninth periodic report submitted by Australia under article 18 of the Convention on the Elimination of All Forms of Discrimination against Women</vt:lpstr>
    </vt:vector>
  </TitlesOfParts>
  <Company/>
  <LinksUpToDate>false</LinksUpToDate>
  <CharactersWithSpaces>199173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the Ninth periodic report submitted by Australia under article 18 of the Convention on the Elimination of All Forms of Discrimination against Women</dc:title>
  <dc:subject/>
  <dc:creator/>
  <cp:keywords/>
  <dc:description/>
  <cp:lastModifiedBy/>
  <cp:revision>1</cp:revision>
  <dcterms:created xsi:type="dcterms:W3CDTF">2024-09-02T00:25:00Z</dcterms:created>
  <dcterms:modified xsi:type="dcterms:W3CDTF">2024-09-03T02:39:00Z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TaxKeyword">
    <vt:lpwstr/>
  </property>
  <property fmtid="{D5CDD505-2E9C-101B-9397-08002B2CF9AE}" pid="4" name="MediaServiceImageTags">
    <vt:lpwstr/>
  </property>
  <property fmtid="{D5CDD505-2E9C-101B-9397-08002B2CF9AE}" pid="5" name="SecurityClassification">
    <vt:lpwstr>4;#OFFICIAL|9e0ec9cb-4e7f-4d4a-bd32-1ee7525c6d87</vt:lpwstr>
  </property>
  <property fmtid="{D5CDD505-2E9C-101B-9397-08002B2CF9AE}" pid="6" name="InformationMarker">
    <vt:lpwstr/>
  </property>
  <property fmtid="{D5CDD505-2E9C-101B-9397-08002B2CF9AE}" pid="7" name="_dlc_DocIdItemGuid">
    <vt:lpwstr>b1075a2b-57d0-4483-80ba-33a47b1f0e05</vt:lpwstr>
  </property>
</Properties>
</file>