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45FBA" w14:textId="77777777" w:rsidR="0057794B" w:rsidRPr="00AA4AF4" w:rsidRDefault="0057794B" w:rsidP="00DA6F03">
      <w:pPr>
        <w:spacing w:before="2880"/>
        <w:ind w:left="1080"/>
        <w:rPr>
          <w:rFonts w:ascii="Segoe UI Semilight" w:hAnsi="Segoe UI Semilight" w:cs="Segoe UI Semilight"/>
          <w:color w:val="FFFFFF" w:themeColor="background1"/>
          <w:sz w:val="72"/>
          <w:szCs w:val="72"/>
        </w:rPr>
      </w:pPr>
      <w:r w:rsidRPr="00CC6E1A">
        <w:rPr>
          <w:noProof/>
          <w:color w:val="FFFFFF" w:themeColor="background1"/>
          <w:lang w:eastAsia="en-AU"/>
        </w:rPr>
        <mc:AlternateContent>
          <mc:Choice Requires="wps">
            <w:drawing>
              <wp:anchor distT="0" distB="0" distL="114300" distR="114300" simplePos="0" relativeHeight="251658240" behindDoc="1" locked="0" layoutInCell="1" allowOverlap="1" wp14:anchorId="06E4627E" wp14:editId="06E4627F">
                <wp:simplePos x="0" y="0"/>
                <wp:positionH relativeFrom="margin">
                  <wp:align>center</wp:align>
                </wp:positionH>
                <wp:positionV relativeFrom="paragraph">
                  <wp:posOffset>-635</wp:posOffset>
                </wp:positionV>
                <wp:extent cx="6858000" cy="9652000"/>
                <wp:effectExtent l="0" t="0" r="0" b="6350"/>
                <wp:wrapNone/>
                <wp:docPr id="194" name="Rectangle 194"/>
                <wp:cNvGraphicFramePr/>
                <a:graphic xmlns:a="http://schemas.openxmlformats.org/drawingml/2006/main">
                  <a:graphicData uri="http://schemas.microsoft.com/office/word/2010/wordprocessingShape">
                    <wps:wsp>
                      <wps:cNvSpPr/>
                      <wps:spPr>
                        <a:xfrm>
                          <a:off x="0" y="0"/>
                          <a:ext cx="6858000" cy="9652000"/>
                        </a:xfrm>
                        <a:prstGeom prst="rect">
                          <a:avLst/>
                        </a:prstGeom>
                        <a:gradFill>
                          <a:gsLst>
                            <a:gs pos="97849">
                              <a:srgbClr val="4BADB0">
                                <a:lumMod val="20000"/>
                                <a:lumOff val="80000"/>
                              </a:srgbClr>
                            </a:gs>
                            <a:gs pos="44000">
                              <a:srgbClr val="092B57"/>
                            </a:gs>
                            <a:gs pos="80000">
                              <a:srgbClr val="4BADB0">
                                <a:lumMod val="60000"/>
                                <a:lumOff val="40000"/>
                              </a:srgbClr>
                            </a:gs>
                          </a:gsLst>
                          <a:lin ang="3000000" scaled="0"/>
                        </a:gradFill>
                        <a:ln w="12700" cap="flat" cmpd="sng" algn="ctr">
                          <a:noFill/>
                          <a:prstDash val="solid"/>
                          <a:miter lim="800000"/>
                        </a:ln>
                        <a:effectLst/>
                      </wps:spPr>
                      <wps:txbx>
                        <w:txbxContent>
                          <w:p w14:paraId="06E462B4" w14:textId="77777777" w:rsidR="00815E99" w:rsidRDefault="00815E99" w:rsidP="005779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E4627E" id="Rectangle 194" o:spid="_x0000_s1026" style="position:absolute;left:0;text-align:left;margin-left:0;margin-top:-.05pt;width:540pt;height:760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" fillcolor="#092b57" stroked="f" strokeweight="1pt">
                <v:fill color2="#dbeff0" angle="40" colors="0 #092b57;28836f #092b57;52429f #92cfd1" focus="100%" type="gradient">
                  <o:fill v:ext="view" type="gradientUnscaled"/>
                </v:fill>
                <v:textbox>
                  <w:txbxContent>
                    <w:p w14:paraId="06E462B4" w14:textId="77777777" w:rsidR="00815E99" w:rsidRDefault="00815E99" w:rsidP="0057794B">
                      <w:pPr>
                        <w:jc w:val="center"/>
                      </w:pPr>
                    </w:p>
                  </w:txbxContent>
                </v:textbox>
                <w10:wrap anchorx="margin"/>
              </v:rect>
            </w:pict>
          </mc:Fallback>
        </mc:AlternateContent>
      </w:r>
      <w:bookmarkStart w:id="0" w:name="_Toc170980533"/>
      <w:bookmarkStart w:id="1" w:name="_Toc171004247"/>
      <w:r w:rsidRPr="00AA4AF4">
        <w:rPr>
          <w:rFonts w:ascii="Segoe UI Semilight" w:hAnsi="Segoe UI Semilight" w:cs="Segoe UI Semilight"/>
          <w:color w:val="FFFFFF" w:themeColor="background1"/>
          <w:sz w:val="72"/>
          <w:szCs w:val="72"/>
        </w:rPr>
        <w:t>Independent Review</w:t>
      </w:r>
      <w:r w:rsidRPr="00AA4AF4">
        <w:rPr>
          <w:rFonts w:ascii="Segoe UI Semilight" w:hAnsi="Segoe UI Semilight" w:cs="Segoe UI Semilight"/>
          <w:color w:val="FFFFFF" w:themeColor="background1"/>
          <w:sz w:val="72"/>
          <w:szCs w:val="72"/>
        </w:rPr>
        <w:br/>
        <w:t>of Commonwealth funding</w:t>
      </w:r>
      <w:r w:rsidRPr="00AA4AF4">
        <w:rPr>
          <w:rFonts w:ascii="Segoe UI Semilight" w:hAnsi="Segoe UI Semilight" w:cs="Segoe UI Semilight"/>
          <w:color w:val="FFFFFF" w:themeColor="background1"/>
          <w:sz w:val="72"/>
          <w:szCs w:val="72"/>
        </w:rPr>
        <w:br/>
        <w:t>for strategic policy work</w:t>
      </w:r>
    </w:p>
    <w:p w14:paraId="06E45FBB" w14:textId="77777777" w:rsidR="0057794B" w:rsidRPr="00AA4AF4" w:rsidRDefault="0057794B" w:rsidP="0057794B">
      <w:pPr>
        <w:spacing w:before="1920" w:after="100" w:afterAutospacing="1" w:line="240" w:lineRule="auto"/>
        <w:ind w:left="1134"/>
        <w:rPr>
          <w:rFonts w:cstheme="minorHAnsi"/>
          <w:color w:val="FFFFFF" w:themeColor="background1"/>
          <w:sz w:val="32"/>
          <w:szCs w:val="32"/>
        </w:rPr>
      </w:pPr>
      <w:r w:rsidRPr="00AA4AF4">
        <w:rPr>
          <w:rFonts w:cstheme="minorHAnsi"/>
          <w:color w:val="FFFFFF" w:themeColor="background1"/>
          <w:sz w:val="32"/>
          <w:szCs w:val="32"/>
        </w:rPr>
        <w:t>A report to the Australian Government</w:t>
      </w:r>
      <w:r w:rsidRPr="00AA4AF4">
        <w:rPr>
          <w:rFonts w:cstheme="minorHAnsi"/>
          <w:color w:val="FFFFFF" w:themeColor="background1"/>
          <w:sz w:val="32"/>
          <w:szCs w:val="32"/>
        </w:rPr>
        <w:br/>
        <w:t>By Peter N Varghese AO</w:t>
      </w:r>
    </w:p>
    <w:p w14:paraId="06E45FBC" w14:textId="77777777" w:rsidR="0057794B" w:rsidRPr="00AA4AF4" w:rsidRDefault="0057794B" w:rsidP="00A65D07">
      <w:pPr>
        <w:spacing w:before="4680" w:after="100" w:afterAutospacing="1" w:line="240" w:lineRule="auto"/>
        <w:ind w:left="1134"/>
        <w:rPr>
          <w:rFonts w:cstheme="minorHAnsi"/>
          <w:color w:val="FFFFFF" w:themeColor="background1"/>
          <w:sz w:val="72"/>
          <w:szCs w:val="72"/>
        </w:rPr>
      </w:pPr>
      <w:r w:rsidRPr="00AA4AF4">
        <w:rPr>
          <w:rFonts w:cstheme="minorHAnsi"/>
          <w:color w:val="FFFFFF" w:themeColor="background1"/>
          <w:sz w:val="24"/>
          <w:szCs w:val="24"/>
        </w:rPr>
        <w:t>31 July 2024</w:t>
      </w:r>
    </w:p>
    <w:p w14:paraId="06E45FBD" w14:textId="77777777" w:rsidR="00496840" w:rsidRDefault="00496840" w:rsidP="010E2734">
      <w:pPr>
        <w:spacing w:after="200" w:line="288" w:lineRule="auto"/>
        <w:rPr>
          <w:rFonts w:asciiTheme="majorHAnsi" w:eastAsiaTheme="majorEastAsia" w:hAnsiTheme="majorHAnsi" w:cstheme="majorBidi"/>
          <w:b/>
          <w:bCs/>
          <w:color w:val="092B57" w:themeColor="accent1"/>
          <w:sz w:val="48"/>
          <w:szCs w:val="48"/>
        </w:rPr>
      </w:pPr>
      <w:r>
        <w:br w:type="page"/>
      </w:r>
    </w:p>
    <w:p w14:paraId="06E45FBE" w14:textId="77777777" w:rsidR="00CB3743" w:rsidRDefault="00F941BB" w:rsidP="606D2310">
      <w:pPr>
        <w:pStyle w:val="Heading1"/>
      </w:pPr>
      <w:bookmarkStart w:id="2" w:name="_Toc171074969"/>
      <w:bookmarkStart w:id="3" w:name="_Toc172665577"/>
      <w:r>
        <w:lastRenderedPageBreak/>
        <w:t>Letter</w:t>
      </w:r>
      <w:r w:rsidR="00F83ADB">
        <w:t xml:space="preserve"> of T</w:t>
      </w:r>
      <w:r w:rsidR="005B16F4">
        <w:t>ransmission</w:t>
      </w:r>
      <w:bookmarkEnd w:id="0"/>
      <w:bookmarkEnd w:id="1"/>
      <w:bookmarkEnd w:id="2"/>
      <w:bookmarkEnd w:id="3"/>
    </w:p>
    <w:p w14:paraId="06E45FBF" w14:textId="77777777" w:rsidR="005B16F4" w:rsidRDefault="005B16F4" w:rsidP="000E68AC">
      <w:pPr>
        <w:pStyle w:val="paragraph"/>
        <w:spacing w:before="0" w:beforeAutospacing="0" w:after="0" w:afterAutospacing="0"/>
        <w:textAlignment w:val="baseline"/>
        <w:rPr>
          <w:rFonts w:ascii="Calibri" w:hAnsi="Calibri" w:cs="Calibri"/>
          <w:sz w:val="22"/>
          <w:szCs w:val="22"/>
        </w:rPr>
      </w:pPr>
    </w:p>
    <w:p w14:paraId="06E45FC0" w14:textId="77777777" w:rsidR="000E68AC" w:rsidRPr="00C40CCB" w:rsidRDefault="0069727F" w:rsidP="000E68AC">
      <w:pPr>
        <w:pStyle w:val="paragraph"/>
        <w:spacing w:before="0" w:beforeAutospacing="0" w:after="0" w:afterAutospacing="0"/>
        <w:textAlignment w:val="baseline"/>
        <w:rPr>
          <w:rFonts w:ascii="Segoe UI" w:hAnsi="Segoe UI" w:cs="Segoe UI"/>
          <w:sz w:val="18"/>
          <w:szCs w:val="18"/>
        </w:rPr>
      </w:pPr>
      <w:r>
        <w:rPr>
          <w:rFonts w:ascii="Segoe UI" w:hAnsi="Segoe UI" w:cs="Segoe UI"/>
          <w:sz w:val="22"/>
          <w:szCs w:val="22"/>
        </w:rPr>
        <w:t>26</w:t>
      </w:r>
      <w:r w:rsidR="00AC0290" w:rsidRPr="00C40CCB">
        <w:rPr>
          <w:rFonts w:ascii="Segoe UI" w:hAnsi="Segoe UI" w:cs="Segoe UI"/>
          <w:sz w:val="22"/>
          <w:szCs w:val="22"/>
        </w:rPr>
        <w:t xml:space="preserve"> July 2024</w:t>
      </w:r>
      <w:r w:rsidR="000E68AC" w:rsidRPr="00C40CCB">
        <w:rPr>
          <w:rFonts w:ascii="Segoe UI" w:hAnsi="Segoe UI" w:cs="Segoe UI"/>
          <w:sz w:val="22"/>
          <w:szCs w:val="22"/>
        </w:rPr>
        <w:t> </w:t>
      </w:r>
    </w:p>
    <w:p w14:paraId="06E45FC1" w14:textId="77777777" w:rsidR="000E68AC" w:rsidRPr="00C40CCB" w:rsidRDefault="000E68AC" w:rsidP="000E68AC">
      <w:pPr>
        <w:spacing w:after="0" w:line="240" w:lineRule="auto"/>
        <w:textAlignment w:val="baseline"/>
        <w:rPr>
          <w:rFonts w:ascii="Segoe UI" w:eastAsia="Times New Roman" w:hAnsi="Segoe UI" w:cs="Segoe UI"/>
          <w:sz w:val="18"/>
          <w:szCs w:val="18"/>
          <w:lang w:eastAsia="en-AU"/>
        </w:rPr>
      </w:pPr>
      <w:r w:rsidRPr="00C40CCB">
        <w:rPr>
          <w:rFonts w:ascii="Segoe UI" w:eastAsia="Times New Roman" w:hAnsi="Segoe UI" w:cs="Segoe UI"/>
          <w:szCs w:val="22"/>
          <w:lang w:eastAsia="en-AU"/>
        </w:rPr>
        <w:t> </w:t>
      </w:r>
    </w:p>
    <w:p w14:paraId="06E45FC2" w14:textId="3C333755" w:rsidR="000E68AC" w:rsidRPr="00C40CCB" w:rsidRDefault="000E68AC" w:rsidP="009263C0">
      <w:pPr>
        <w:spacing w:before="240" w:after="0" w:line="240" w:lineRule="auto"/>
        <w:textAlignment w:val="baseline"/>
        <w:rPr>
          <w:rFonts w:ascii="Segoe UI" w:eastAsia="Times New Roman" w:hAnsi="Segoe UI" w:cs="Segoe UI"/>
          <w:sz w:val="18"/>
          <w:szCs w:val="18"/>
          <w:lang w:eastAsia="en-AU"/>
        </w:rPr>
      </w:pPr>
      <w:r w:rsidRPr="00C40CCB">
        <w:rPr>
          <w:rFonts w:ascii="Segoe UI" w:eastAsia="Times New Roman" w:hAnsi="Segoe UI" w:cs="Segoe UI"/>
          <w:szCs w:val="22"/>
          <w:lang w:eastAsia="en-AU"/>
        </w:rPr>
        <w:t>Professor Glyn Davis AC </w:t>
      </w:r>
    </w:p>
    <w:p w14:paraId="06E45FC3" w14:textId="77777777" w:rsidR="000E68AC" w:rsidRPr="00C40CCB" w:rsidRDefault="000E68AC" w:rsidP="000E68AC">
      <w:pPr>
        <w:spacing w:after="0" w:line="240" w:lineRule="auto"/>
        <w:textAlignment w:val="baseline"/>
        <w:rPr>
          <w:rFonts w:ascii="Segoe UI" w:eastAsia="Times New Roman" w:hAnsi="Segoe UI" w:cs="Segoe UI"/>
          <w:sz w:val="18"/>
          <w:szCs w:val="18"/>
          <w:lang w:eastAsia="en-AU"/>
        </w:rPr>
      </w:pPr>
      <w:r w:rsidRPr="00C40CCB">
        <w:rPr>
          <w:rFonts w:ascii="Segoe UI" w:eastAsia="Times New Roman" w:hAnsi="Segoe UI" w:cs="Segoe UI"/>
          <w:szCs w:val="22"/>
          <w:lang w:eastAsia="en-AU"/>
        </w:rPr>
        <w:t>Secretary </w:t>
      </w:r>
    </w:p>
    <w:p w14:paraId="06E45FC4" w14:textId="77777777" w:rsidR="000E68AC" w:rsidRPr="00C40CCB" w:rsidRDefault="000E68AC" w:rsidP="000E68AC">
      <w:pPr>
        <w:spacing w:after="0" w:line="240" w:lineRule="auto"/>
        <w:textAlignment w:val="baseline"/>
        <w:rPr>
          <w:rFonts w:ascii="Segoe UI" w:eastAsia="Times New Roman" w:hAnsi="Segoe UI" w:cs="Segoe UI"/>
          <w:sz w:val="18"/>
          <w:szCs w:val="18"/>
          <w:lang w:eastAsia="en-AU"/>
        </w:rPr>
      </w:pPr>
      <w:r w:rsidRPr="00C40CCB">
        <w:rPr>
          <w:rFonts w:ascii="Segoe UI" w:eastAsia="Times New Roman" w:hAnsi="Segoe UI" w:cs="Segoe UI"/>
          <w:szCs w:val="22"/>
          <w:lang w:eastAsia="en-AU"/>
        </w:rPr>
        <w:t>Department of the Prime Minister and Cabinet </w:t>
      </w:r>
    </w:p>
    <w:p w14:paraId="06E45FC5" w14:textId="77777777" w:rsidR="000E68AC" w:rsidRPr="00C40CCB" w:rsidRDefault="000E68AC" w:rsidP="000E68AC">
      <w:pPr>
        <w:spacing w:after="0" w:line="240" w:lineRule="auto"/>
        <w:textAlignment w:val="baseline"/>
        <w:rPr>
          <w:rFonts w:ascii="Segoe UI" w:eastAsia="Times New Roman" w:hAnsi="Segoe UI" w:cs="Segoe UI"/>
          <w:sz w:val="18"/>
          <w:szCs w:val="18"/>
          <w:lang w:eastAsia="en-AU"/>
        </w:rPr>
      </w:pPr>
      <w:r w:rsidRPr="00C40CCB">
        <w:rPr>
          <w:rFonts w:ascii="Segoe UI" w:eastAsia="Times New Roman" w:hAnsi="Segoe UI" w:cs="Segoe UI"/>
          <w:szCs w:val="22"/>
          <w:lang w:eastAsia="en-AU"/>
        </w:rPr>
        <w:t> </w:t>
      </w:r>
    </w:p>
    <w:p w14:paraId="06E45FC6" w14:textId="77777777" w:rsidR="000E68AC" w:rsidRPr="00C40CCB" w:rsidRDefault="000E68AC" w:rsidP="009263C0">
      <w:pPr>
        <w:spacing w:before="240" w:after="0" w:line="240" w:lineRule="auto"/>
        <w:jc w:val="center"/>
        <w:textAlignment w:val="baseline"/>
        <w:rPr>
          <w:rFonts w:ascii="Segoe UI" w:eastAsia="Times New Roman" w:hAnsi="Segoe UI" w:cs="Segoe UI"/>
          <w:sz w:val="18"/>
          <w:szCs w:val="18"/>
          <w:lang w:eastAsia="en-AU"/>
        </w:rPr>
      </w:pPr>
      <w:r w:rsidRPr="00C40CCB">
        <w:rPr>
          <w:rFonts w:ascii="Segoe UI" w:eastAsia="Times New Roman" w:hAnsi="Segoe UI" w:cs="Segoe UI"/>
          <w:b/>
          <w:bCs/>
          <w:szCs w:val="22"/>
          <w:lang w:eastAsia="en-AU"/>
        </w:rPr>
        <w:t>Independent Review of Commonwealth funding for strategic policy work</w:t>
      </w:r>
      <w:r w:rsidRPr="00C40CCB">
        <w:rPr>
          <w:rFonts w:ascii="Segoe UI" w:eastAsia="Times New Roman" w:hAnsi="Segoe UI" w:cs="Segoe UI"/>
          <w:szCs w:val="22"/>
          <w:lang w:eastAsia="en-AU"/>
        </w:rPr>
        <w:t> </w:t>
      </w:r>
    </w:p>
    <w:p w14:paraId="06E45FC7" w14:textId="77777777" w:rsidR="000E68AC" w:rsidRPr="00C40CCB" w:rsidRDefault="000E68AC" w:rsidP="000E68AC">
      <w:pPr>
        <w:spacing w:after="0" w:line="240" w:lineRule="auto"/>
        <w:jc w:val="center"/>
        <w:textAlignment w:val="baseline"/>
        <w:rPr>
          <w:rFonts w:ascii="Segoe UI" w:eastAsia="Times New Roman" w:hAnsi="Segoe UI" w:cs="Segoe UI"/>
          <w:sz w:val="18"/>
          <w:szCs w:val="18"/>
          <w:lang w:eastAsia="en-AU"/>
        </w:rPr>
      </w:pPr>
      <w:r w:rsidRPr="00C40CCB">
        <w:rPr>
          <w:rFonts w:ascii="Segoe UI" w:eastAsia="Times New Roman" w:hAnsi="Segoe UI" w:cs="Segoe UI"/>
          <w:szCs w:val="22"/>
          <w:lang w:eastAsia="en-AU"/>
        </w:rPr>
        <w:t> </w:t>
      </w:r>
    </w:p>
    <w:p w14:paraId="06E45FC8" w14:textId="77777777" w:rsidR="000E68AC" w:rsidRPr="00C40CCB" w:rsidRDefault="000E68AC" w:rsidP="000E68AC">
      <w:pPr>
        <w:spacing w:after="0" w:line="240" w:lineRule="auto"/>
        <w:textAlignment w:val="baseline"/>
        <w:rPr>
          <w:rFonts w:ascii="Segoe UI" w:eastAsia="Times New Roman" w:hAnsi="Segoe UI" w:cs="Segoe UI"/>
          <w:sz w:val="18"/>
          <w:szCs w:val="18"/>
          <w:lang w:eastAsia="en-AU"/>
        </w:rPr>
      </w:pPr>
      <w:r w:rsidRPr="00C40CCB">
        <w:rPr>
          <w:rFonts w:ascii="Segoe UI" w:eastAsia="Times New Roman" w:hAnsi="Segoe UI" w:cs="Segoe UI"/>
          <w:szCs w:val="22"/>
          <w:lang w:eastAsia="en-AU"/>
        </w:rPr>
        <w:t xml:space="preserve">Dear </w:t>
      </w:r>
      <w:r w:rsidR="001A3204">
        <w:rPr>
          <w:rFonts w:ascii="Segoe UI" w:eastAsia="Times New Roman" w:hAnsi="Segoe UI" w:cs="Segoe UI"/>
          <w:szCs w:val="22"/>
          <w:lang w:eastAsia="en-AU"/>
        </w:rPr>
        <w:t xml:space="preserve">Professor </w:t>
      </w:r>
      <w:r w:rsidR="00AC0290" w:rsidRPr="00C40CCB">
        <w:rPr>
          <w:rFonts w:ascii="Segoe UI" w:eastAsia="Times New Roman" w:hAnsi="Segoe UI" w:cs="Segoe UI"/>
          <w:szCs w:val="22"/>
          <w:lang w:eastAsia="en-AU"/>
        </w:rPr>
        <w:t>Davis</w:t>
      </w:r>
    </w:p>
    <w:p w14:paraId="06E45FC9" w14:textId="77777777" w:rsidR="000E68AC" w:rsidRPr="00C40CCB" w:rsidRDefault="000E68AC" w:rsidP="000E68AC">
      <w:pPr>
        <w:spacing w:after="0" w:line="240" w:lineRule="auto"/>
        <w:textAlignment w:val="baseline"/>
        <w:rPr>
          <w:rFonts w:ascii="Segoe UI" w:eastAsia="Times New Roman" w:hAnsi="Segoe UI" w:cs="Segoe UI"/>
          <w:sz w:val="18"/>
          <w:szCs w:val="18"/>
          <w:lang w:eastAsia="en-AU"/>
        </w:rPr>
      </w:pPr>
      <w:r w:rsidRPr="00C40CCB">
        <w:rPr>
          <w:rFonts w:ascii="Segoe UI" w:eastAsia="Times New Roman" w:hAnsi="Segoe UI" w:cs="Segoe UI"/>
          <w:szCs w:val="22"/>
          <w:lang w:eastAsia="en-AU"/>
        </w:rPr>
        <w:t> </w:t>
      </w:r>
    </w:p>
    <w:p w14:paraId="06E45FCA" w14:textId="77777777" w:rsidR="001A3204" w:rsidRDefault="000E68AC" w:rsidP="007D30FE">
      <w:pPr>
        <w:spacing w:after="0" w:line="240" w:lineRule="auto"/>
        <w:textAlignment w:val="baseline"/>
        <w:rPr>
          <w:rFonts w:ascii="Segoe UI" w:eastAsia="Times New Roman" w:hAnsi="Segoe UI" w:cs="Segoe UI"/>
          <w:szCs w:val="22"/>
          <w:lang w:eastAsia="en-AU"/>
        </w:rPr>
      </w:pPr>
      <w:r w:rsidRPr="00C40CCB">
        <w:rPr>
          <w:rFonts w:ascii="Segoe UI" w:eastAsia="Times New Roman" w:hAnsi="Segoe UI" w:cs="Segoe UI"/>
          <w:szCs w:val="22"/>
          <w:lang w:eastAsia="en-AU"/>
        </w:rPr>
        <w:t>On 5 February 2024</w:t>
      </w:r>
      <w:r w:rsidR="00DB4F00">
        <w:rPr>
          <w:rFonts w:ascii="Segoe UI" w:eastAsia="Times New Roman" w:hAnsi="Segoe UI" w:cs="Segoe UI"/>
          <w:szCs w:val="22"/>
          <w:lang w:eastAsia="en-AU"/>
        </w:rPr>
        <w:t>,</w:t>
      </w:r>
      <w:r w:rsidRPr="00C40CCB">
        <w:rPr>
          <w:rFonts w:ascii="Segoe UI" w:eastAsia="Times New Roman" w:hAnsi="Segoe UI" w:cs="Segoe UI"/>
          <w:szCs w:val="22"/>
          <w:lang w:eastAsia="en-AU"/>
        </w:rPr>
        <w:t xml:space="preserve"> you </w:t>
      </w:r>
      <w:r w:rsidR="00FF7650">
        <w:rPr>
          <w:rFonts w:ascii="Segoe UI" w:eastAsia="Times New Roman" w:hAnsi="Segoe UI" w:cs="Segoe UI"/>
          <w:szCs w:val="22"/>
          <w:lang w:eastAsia="en-AU"/>
        </w:rPr>
        <w:t>commissioned</w:t>
      </w:r>
      <w:r w:rsidRPr="00C40CCB">
        <w:rPr>
          <w:rFonts w:ascii="Segoe UI" w:eastAsia="Times New Roman" w:hAnsi="Segoe UI" w:cs="Segoe UI"/>
          <w:szCs w:val="22"/>
          <w:lang w:eastAsia="en-AU"/>
        </w:rPr>
        <w:t xml:space="preserve"> me to lead an independent </w:t>
      </w:r>
      <w:r w:rsidR="00967C04" w:rsidRPr="00C40CCB">
        <w:rPr>
          <w:rFonts w:ascii="Segoe UI" w:eastAsia="Times New Roman" w:hAnsi="Segoe UI" w:cs="Segoe UI"/>
          <w:szCs w:val="22"/>
          <w:lang w:eastAsia="en-AU"/>
        </w:rPr>
        <w:t xml:space="preserve">review </w:t>
      </w:r>
      <w:r w:rsidR="006B5EC3" w:rsidRPr="00C40CCB">
        <w:rPr>
          <w:rFonts w:ascii="Segoe UI" w:eastAsia="Times New Roman" w:hAnsi="Segoe UI" w:cs="Segoe UI"/>
          <w:szCs w:val="22"/>
          <w:lang w:eastAsia="en-AU"/>
        </w:rPr>
        <w:t>into</w:t>
      </w:r>
      <w:r w:rsidR="00967C04" w:rsidRPr="00C40CCB">
        <w:rPr>
          <w:rFonts w:ascii="Segoe UI" w:eastAsia="Times New Roman" w:hAnsi="Segoe UI" w:cs="Segoe UI"/>
          <w:szCs w:val="22"/>
          <w:lang w:eastAsia="en-AU"/>
        </w:rPr>
        <w:t xml:space="preserve"> Commonwealth funding for </w:t>
      </w:r>
      <w:r w:rsidRPr="00C40CCB">
        <w:rPr>
          <w:rFonts w:ascii="Segoe UI" w:eastAsia="Times New Roman" w:hAnsi="Segoe UI" w:cs="Segoe UI"/>
          <w:szCs w:val="22"/>
          <w:lang w:eastAsia="en-AU"/>
        </w:rPr>
        <w:t>strategic policy work. </w:t>
      </w:r>
    </w:p>
    <w:p w14:paraId="06E45FCB" w14:textId="77777777" w:rsidR="000E68AC" w:rsidRPr="00C40CCB" w:rsidRDefault="000E68AC" w:rsidP="000E68AC">
      <w:pPr>
        <w:spacing w:after="0" w:line="240" w:lineRule="auto"/>
        <w:textAlignment w:val="baseline"/>
        <w:rPr>
          <w:rFonts w:ascii="Segoe UI" w:eastAsia="Times New Roman" w:hAnsi="Segoe UI" w:cs="Segoe UI"/>
          <w:sz w:val="18"/>
          <w:szCs w:val="18"/>
          <w:lang w:eastAsia="en-AU"/>
        </w:rPr>
      </w:pPr>
      <w:r w:rsidRPr="00C40CCB">
        <w:rPr>
          <w:rFonts w:ascii="Segoe UI" w:eastAsia="Times New Roman" w:hAnsi="Segoe UI" w:cs="Segoe UI"/>
          <w:szCs w:val="22"/>
          <w:lang w:eastAsia="en-AU"/>
        </w:rPr>
        <w:t> </w:t>
      </w:r>
    </w:p>
    <w:p w14:paraId="06E45FCC" w14:textId="77777777" w:rsidR="000E68AC" w:rsidRPr="00C40CCB" w:rsidRDefault="000E68AC" w:rsidP="000E68AC">
      <w:pPr>
        <w:spacing w:after="0" w:line="240" w:lineRule="auto"/>
        <w:textAlignment w:val="baseline"/>
        <w:rPr>
          <w:rFonts w:ascii="Segoe UI" w:eastAsia="Times New Roman" w:hAnsi="Segoe UI" w:cs="Segoe UI"/>
          <w:sz w:val="18"/>
          <w:szCs w:val="18"/>
          <w:lang w:eastAsia="en-AU"/>
        </w:rPr>
      </w:pPr>
      <w:r w:rsidRPr="463DCF74">
        <w:rPr>
          <w:rFonts w:ascii="Segoe UI" w:eastAsia="Times New Roman" w:hAnsi="Segoe UI" w:cs="Segoe UI"/>
          <w:lang w:eastAsia="en-AU"/>
        </w:rPr>
        <w:t xml:space="preserve">In commissioning the </w:t>
      </w:r>
      <w:r w:rsidR="007D30FE">
        <w:rPr>
          <w:rFonts w:ascii="Segoe UI" w:eastAsia="Times New Roman" w:hAnsi="Segoe UI" w:cs="Segoe UI"/>
          <w:lang w:eastAsia="en-AU"/>
        </w:rPr>
        <w:t>R</w:t>
      </w:r>
      <w:r w:rsidRPr="463DCF74">
        <w:rPr>
          <w:rFonts w:ascii="Segoe UI" w:eastAsia="Times New Roman" w:hAnsi="Segoe UI" w:cs="Segoe UI"/>
          <w:lang w:eastAsia="en-AU"/>
        </w:rPr>
        <w:t xml:space="preserve">eview you sought a </w:t>
      </w:r>
      <w:r w:rsidR="00B63793" w:rsidRPr="463DCF74">
        <w:rPr>
          <w:rFonts w:ascii="Segoe UI" w:eastAsia="Times New Roman" w:hAnsi="Segoe UI" w:cs="Segoe UI"/>
          <w:lang w:eastAsia="en-AU"/>
        </w:rPr>
        <w:t xml:space="preserve">stocktake of </w:t>
      </w:r>
      <w:r w:rsidRPr="463DCF74">
        <w:rPr>
          <w:rFonts w:ascii="Segoe UI" w:eastAsia="Times New Roman" w:hAnsi="Segoe UI" w:cs="Segoe UI"/>
          <w:lang w:eastAsia="en-AU"/>
        </w:rPr>
        <w:t xml:space="preserve">funding of third-party organisations by Commonwealth agencies within Australia’s national security community, a performance evaluation of these activities and a series of recommendations to improve the conduct and outcomes of relevant activities with regards to individual national security </w:t>
      </w:r>
      <w:r w:rsidR="00DB4F00" w:rsidRPr="463DCF74">
        <w:rPr>
          <w:rFonts w:ascii="Segoe UI" w:eastAsia="Times New Roman" w:hAnsi="Segoe UI" w:cs="Segoe UI"/>
          <w:lang w:eastAsia="en-AU"/>
        </w:rPr>
        <w:t xml:space="preserve">agency </w:t>
      </w:r>
      <w:r w:rsidRPr="463DCF74">
        <w:rPr>
          <w:rFonts w:ascii="Segoe UI" w:eastAsia="Times New Roman" w:hAnsi="Segoe UI" w:cs="Segoe UI"/>
          <w:lang w:eastAsia="en-AU"/>
        </w:rPr>
        <w:t>objectives. </w:t>
      </w:r>
    </w:p>
    <w:p w14:paraId="06E45FCD" w14:textId="77777777" w:rsidR="000E68AC" w:rsidRPr="00C40CCB" w:rsidRDefault="000E68AC" w:rsidP="000E68AC">
      <w:pPr>
        <w:spacing w:after="0" w:line="240" w:lineRule="auto"/>
        <w:textAlignment w:val="baseline"/>
        <w:rPr>
          <w:rFonts w:ascii="Segoe UI" w:eastAsia="Times New Roman" w:hAnsi="Segoe UI" w:cs="Segoe UI"/>
          <w:sz w:val="18"/>
          <w:szCs w:val="18"/>
          <w:lang w:eastAsia="en-AU"/>
        </w:rPr>
      </w:pPr>
      <w:r w:rsidRPr="00C40CCB">
        <w:rPr>
          <w:rFonts w:ascii="Segoe UI" w:eastAsia="Times New Roman" w:hAnsi="Segoe UI" w:cs="Segoe UI"/>
          <w:szCs w:val="22"/>
          <w:lang w:eastAsia="en-AU"/>
        </w:rPr>
        <w:t> </w:t>
      </w:r>
    </w:p>
    <w:p w14:paraId="06E45FCE" w14:textId="77777777" w:rsidR="007D30FE" w:rsidRPr="00C40CCB" w:rsidRDefault="007D30FE" w:rsidP="007D30FE">
      <w:pPr>
        <w:spacing w:after="0" w:line="240" w:lineRule="auto"/>
        <w:textAlignment w:val="baseline"/>
        <w:rPr>
          <w:rFonts w:ascii="Segoe UI" w:eastAsia="Times New Roman" w:hAnsi="Segoe UI" w:cs="Segoe UI"/>
          <w:sz w:val="18"/>
          <w:szCs w:val="18"/>
          <w:lang w:eastAsia="en-AU"/>
        </w:rPr>
      </w:pPr>
      <w:r>
        <w:rPr>
          <w:rFonts w:ascii="Segoe UI" w:eastAsia="Times New Roman" w:hAnsi="Segoe UI" w:cs="Segoe UI"/>
          <w:szCs w:val="22"/>
          <w:lang w:eastAsia="en-AU"/>
        </w:rPr>
        <w:t>My Report is attached.</w:t>
      </w:r>
    </w:p>
    <w:p w14:paraId="06E45FCF" w14:textId="77777777" w:rsidR="007D30FE" w:rsidRDefault="007D30FE" w:rsidP="00967C04">
      <w:pPr>
        <w:spacing w:after="0" w:line="240" w:lineRule="auto"/>
        <w:textAlignment w:val="baseline"/>
        <w:rPr>
          <w:rFonts w:ascii="Segoe UI" w:eastAsia="Times New Roman" w:hAnsi="Segoe UI" w:cs="Segoe UI"/>
          <w:szCs w:val="22"/>
          <w:lang w:eastAsia="en-AU"/>
        </w:rPr>
      </w:pPr>
    </w:p>
    <w:p w14:paraId="06E45FD0" w14:textId="77777777" w:rsidR="001A3204" w:rsidRDefault="007D30FE" w:rsidP="00967C04">
      <w:pPr>
        <w:spacing w:after="0" w:line="240" w:lineRule="auto"/>
        <w:textAlignment w:val="baseline"/>
        <w:rPr>
          <w:rFonts w:ascii="Segoe UI" w:eastAsia="Times New Roman" w:hAnsi="Segoe UI" w:cs="Segoe UI"/>
          <w:szCs w:val="22"/>
          <w:lang w:eastAsia="en-AU"/>
        </w:rPr>
      </w:pPr>
      <w:r>
        <w:rPr>
          <w:rFonts w:ascii="Segoe UI" w:eastAsia="Times New Roman" w:hAnsi="Segoe UI" w:cs="Segoe UI"/>
          <w:szCs w:val="22"/>
          <w:lang w:eastAsia="en-AU"/>
        </w:rPr>
        <w:t xml:space="preserve">The </w:t>
      </w:r>
      <w:r w:rsidR="00967C04" w:rsidRPr="00C40CCB">
        <w:rPr>
          <w:rFonts w:ascii="Segoe UI" w:eastAsia="Times New Roman" w:hAnsi="Segoe UI" w:cs="Segoe UI"/>
          <w:szCs w:val="22"/>
          <w:lang w:eastAsia="en-AU"/>
        </w:rPr>
        <w:t xml:space="preserve">Review </w:t>
      </w:r>
      <w:r w:rsidR="001A3204">
        <w:rPr>
          <w:rFonts w:ascii="Segoe UI" w:eastAsia="Times New Roman" w:hAnsi="Segoe UI" w:cs="Segoe UI"/>
          <w:szCs w:val="22"/>
          <w:lang w:eastAsia="en-AU"/>
        </w:rPr>
        <w:t>concluded that</w:t>
      </w:r>
      <w:r w:rsidR="003C7CF3">
        <w:rPr>
          <w:rFonts w:ascii="Segoe UI" w:eastAsia="Times New Roman" w:hAnsi="Segoe UI" w:cs="Segoe UI"/>
          <w:szCs w:val="22"/>
          <w:lang w:eastAsia="en-AU"/>
        </w:rPr>
        <w:t>,</w:t>
      </w:r>
      <w:r w:rsidR="001A3204">
        <w:rPr>
          <w:rFonts w:ascii="Segoe UI" w:eastAsia="Times New Roman" w:hAnsi="Segoe UI" w:cs="Segoe UI"/>
          <w:szCs w:val="22"/>
          <w:lang w:eastAsia="en-AU"/>
        </w:rPr>
        <w:t xml:space="preserve"> while the current system for funding </w:t>
      </w:r>
      <w:r w:rsidR="00A94975" w:rsidRPr="00C40CCB">
        <w:rPr>
          <w:rFonts w:ascii="Segoe UI" w:eastAsia="Times New Roman" w:hAnsi="Segoe UI" w:cs="Segoe UI"/>
          <w:szCs w:val="22"/>
          <w:lang w:eastAsia="en-AU"/>
        </w:rPr>
        <w:t>think t</w:t>
      </w:r>
      <w:r w:rsidR="000E68AC" w:rsidRPr="00C40CCB">
        <w:rPr>
          <w:rFonts w:ascii="Segoe UI" w:eastAsia="Times New Roman" w:hAnsi="Segoe UI" w:cs="Segoe UI"/>
          <w:szCs w:val="22"/>
          <w:lang w:eastAsia="en-AU"/>
        </w:rPr>
        <w:t xml:space="preserve">anks and commissioned strategic policy analysis </w:t>
      </w:r>
      <w:r w:rsidR="00537E30">
        <w:rPr>
          <w:rFonts w:ascii="Segoe UI" w:eastAsia="Times New Roman" w:hAnsi="Segoe UI" w:cs="Segoe UI"/>
          <w:szCs w:val="22"/>
          <w:lang w:eastAsia="en-AU"/>
        </w:rPr>
        <w:t xml:space="preserve">is not broken and </w:t>
      </w:r>
      <w:r w:rsidR="001A3204">
        <w:rPr>
          <w:rFonts w:ascii="Segoe UI" w:eastAsia="Times New Roman" w:hAnsi="Segoe UI" w:cs="Segoe UI"/>
          <w:szCs w:val="22"/>
          <w:lang w:eastAsia="en-AU"/>
        </w:rPr>
        <w:t>delivers many benefits, there is considerable room for improvement.</w:t>
      </w:r>
    </w:p>
    <w:p w14:paraId="06E45FD1" w14:textId="77777777" w:rsidR="001A3204" w:rsidRDefault="001A3204" w:rsidP="00967C04">
      <w:pPr>
        <w:spacing w:after="0" w:line="240" w:lineRule="auto"/>
        <w:textAlignment w:val="baseline"/>
        <w:rPr>
          <w:rFonts w:ascii="Segoe UI" w:eastAsia="Times New Roman" w:hAnsi="Segoe UI" w:cs="Segoe UI"/>
          <w:szCs w:val="22"/>
          <w:lang w:eastAsia="en-AU"/>
        </w:rPr>
      </w:pPr>
    </w:p>
    <w:p w14:paraId="06E45FD2" w14:textId="77777777" w:rsidR="001A3204" w:rsidRDefault="002A268C" w:rsidP="00983290">
      <w:pPr>
        <w:spacing w:after="0" w:line="240" w:lineRule="auto"/>
        <w:textAlignment w:val="baseline"/>
        <w:rPr>
          <w:rFonts w:ascii="Segoe UI" w:eastAsia="Times New Roman" w:hAnsi="Segoe UI" w:cs="Segoe UI"/>
          <w:szCs w:val="22"/>
          <w:lang w:eastAsia="en-AU"/>
        </w:rPr>
      </w:pPr>
      <w:r>
        <w:rPr>
          <w:rFonts w:ascii="Segoe UI" w:eastAsia="Times New Roman" w:hAnsi="Segoe UI" w:cs="Segoe UI"/>
          <w:szCs w:val="22"/>
          <w:lang w:eastAsia="en-AU"/>
        </w:rPr>
        <w:t>T</w:t>
      </w:r>
      <w:r w:rsidR="00983290">
        <w:rPr>
          <w:rFonts w:ascii="Segoe UI" w:eastAsia="Times New Roman" w:hAnsi="Segoe UI" w:cs="Segoe UI"/>
          <w:szCs w:val="22"/>
          <w:lang w:eastAsia="en-AU"/>
        </w:rPr>
        <w:t xml:space="preserve">he Review makes some observations on the performance of the major recipients of Government funding to the sector, </w:t>
      </w:r>
      <w:r>
        <w:rPr>
          <w:rFonts w:ascii="Segoe UI" w:eastAsia="Times New Roman" w:hAnsi="Segoe UI" w:cs="Segoe UI"/>
          <w:szCs w:val="22"/>
          <w:lang w:eastAsia="en-AU"/>
        </w:rPr>
        <w:t xml:space="preserve">but </w:t>
      </w:r>
      <w:r w:rsidR="00983290">
        <w:rPr>
          <w:rFonts w:ascii="Segoe UI" w:eastAsia="Times New Roman" w:hAnsi="Segoe UI" w:cs="Segoe UI"/>
          <w:szCs w:val="22"/>
          <w:lang w:eastAsia="en-AU"/>
        </w:rPr>
        <w:t>it has not sought to provide a detailed report card on individual grant recipients.</w:t>
      </w:r>
      <w:r w:rsidR="009210B7">
        <w:rPr>
          <w:rFonts w:ascii="Segoe UI" w:eastAsia="Times New Roman" w:hAnsi="Segoe UI" w:cs="Segoe UI"/>
          <w:szCs w:val="22"/>
          <w:lang w:eastAsia="en-AU"/>
        </w:rPr>
        <w:t xml:space="preserve"> </w:t>
      </w:r>
      <w:r w:rsidR="00983290">
        <w:rPr>
          <w:rFonts w:ascii="Segoe UI" w:eastAsia="Times New Roman" w:hAnsi="Segoe UI" w:cs="Segoe UI"/>
          <w:szCs w:val="22"/>
          <w:lang w:eastAsia="en-AU"/>
        </w:rPr>
        <w:t xml:space="preserve">Instead, the Review provides a set of principles to govern the Government’s approach to funding. </w:t>
      </w:r>
      <w:r w:rsidR="001A3204">
        <w:rPr>
          <w:rFonts w:ascii="Segoe UI" w:eastAsia="Times New Roman" w:hAnsi="Segoe UI" w:cs="Segoe UI"/>
          <w:szCs w:val="22"/>
          <w:lang w:eastAsia="en-AU"/>
        </w:rPr>
        <w:t>I have also sought to set out what good looks like in this area</w:t>
      </w:r>
      <w:r w:rsidR="00537E30">
        <w:rPr>
          <w:rFonts w:ascii="Segoe UI" w:eastAsia="Times New Roman" w:hAnsi="Segoe UI" w:cs="Segoe UI"/>
          <w:szCs w:val="22"/>
          <w:lang w:eastAsia="en-AU"/>
        </w:rPr>
        <w:t xml:space="preserve"> in the longer term</w:t>
      </w:r>
      <w:r w:rsidR="001A3204">
        <w:rPr>
          <w:rFonts w:ascii="Segoe UI" w:eastAsia="Times New Roman" w:hAnsi="Segoe UI" w:cs="Segoe UI"/>
          <w:szCs w:val="22"/>
          <w:lang w:eastAsia="en-AU"/>
        </w:rPr>
        <w:t>.</w:t>
      </w:r>
    </w:p>
    <w:p w14:paraId="06E45FD3" w14:textId="77777777" w:rsidR="001A3204" w:rsidRDefault="001A3204" w:rsidP="000E68AC">
      <w:pPr>
        <w:spacing w:after="0" w:line="240" w:lineRule="auto"/>
        <w:textAlignment w:val="baseline"/>
        <w:rPr>
          <w:rFonts w:ascii="Segoe UI" w:eastAsia="Times New Roman" w:hAnsi="Segoe UI" w:cs="Segoe UI"/>
          <w:szCs w:val="22"/>
          <w:lang w:eastAsia="en-AU"/>
        </w:rPr>
      </w:pPr>
    </w:p>
    <w:p w14:paraId="06E45FD4" w14:textId="77777777" w:rsidR="001A3204" w:rsidRDefault="001A3204" w:rsidP="000E68AC">
      <w:pPr>
        <w:spacing w:after="0" w:line="240" w:lineRule="auto"/>
        <w:textAlignment w:val="baseline"/>
        <w:rPr>
          <w:rFonts w:ascii="Segoe UI" w:eastAsia="Times New Roman" w:hAnsi="Segoe UI" w:cs="Segoe UI"/>
          <w:szCs w:val="22"/>
          <w:lang w:eastAsia="en-AU"/>
        </w:rPr>
      </w:pPr>
      <w:r>
        <w:rPr>
          <w:rFonts w:ascii="Segoe UI" w:eastAsia="Times New Roman" w:hAnsi="Segoe UI" w:cs="Segoe UI"/>
          <w:szCs w:val="22"/>
          <w:lang w:eastAsia="en-AU"/>
        </w:rPr>
        <w:t>My recommendations go to how to do better within the existing funding envelope. I have also however presented options for how funding could be increased</w:t>
      </w:r>
      <w:r w:rsidR="00537E30">
        <w:rPr>
          <w:rFonts w:ascii="Segoe UI" w:eastAsia="Times New Roman" w:hAnsi="Segoe UI" w:cs="Segoe UI"/>
          <w:szCs w:val="22"/>
          <w:lang w:eastAsia="en-AU"/>
        </w:rPr>
        <w:t xml:space="preserve"> </w:t>
      </w:r>
      <w:r>
        <w:rPr>
          <w:rFonts w:ascii="Segoe UI" w:eastAsia="Times New Roman" w:hAnsi="Segoe UI" w:cs="Segoe UI"/>
          <w:szCs w:val="22"/>
          <w:lang w:eastAsia="en-AU"/>
        </w:rPr>
        <w:t>if th</w:t>
      </w:r>
      <w:r w:rsidR="00537E30">
        <w:rPr>
          <w:rFonts w:ascii="Segoe UI" w:eastAsia="Times New Roman" w:hAnsi="Segoe UI" w:cs="Segoe UI"/>
          <w:szCs w:val="22"/>
          <w:lang w:eastAsia="en-AU"/>
        </w:rPr>
        <w:t>is or future</w:t>
      </w:r>
      <w:r>
        <w:rPr>
          <w:rFonts w:ascii="Segoe UI" w:eastAsia="Times New Roman" w:hAnsi="Segoe UI" w:cs="Segoe UI"/>
          <w:szCs w:val="22"/>
          <w:lang w:eastAsia="en-AU"/>
        </w:rPr>
        <w:t xml:space="preserve"> Government</w:t>
      </w:r>
      <w:r w:rsidR="00537E30">
        <w:rPr>
          <w:rFonts w:ascii="Segoe UI" w:eastAsia="Times New Roman" w:hAnsi="Segoe UI" w:cs="Segoe UI"/>
          <w:szCs w:val="22"/>
          <w:lang w:eastAsia="en-AU"/>
        </w:rPr>
        <w:t>s</w:t>
      </w:r>
      <w:r>
        <w:rPr>
          <w:rFonts w:ascii="Segoe UI" w:eastAsia="Times New Roman" w:hAnsi="Segoe UI" w:cs="Segoe UI"/>
          <w:szCs w:val="22"/>
          <w:lang w:eastAsia="en-AU"/>
        </w:rPr>
        <w:t xml:space="preserve"> were so inclined.</w:t>
      </w:r>
    </w:p>
    <w:p w14:paraId="06E45FD5" w14:textId="77777777" w:rsidR="006B5EC3" w:rsidRPr="00C40CCB" w:rsidRDefault="006B5EC3" w:rsidP="000E68AC">
      <w:pPr>
        <w:spacing w:after="0" w:line="240" w:lineRule="auto"/>
        <w:textAlignment w:val="baseline"/>
        <w:rPr>
          <w:rFonts w:ascii="Segoe UI" w:eastAsia="Times New Roman" w:hAnsi="Segoe UI" w:cs="Segoe UI"/>
          <w:szCs w:val="22"/>
          <w:lang w:eastAsia="en-AU"/>
        </w:rPr>
      </w:pPr>
    </w:p>
    <w:p w14:paraId="06E45FD6" w14:textId="77777777" w:rsidR="007D30FE" w:rsidRDefault="006B5EC3" w:rsidP="000E68AC">
      <w:pPr>
        <w:spacing w:after="0" w:line="240" w:lineRule="auto"/>
        <w:textAlignment w:val="baseline"/>
        <w:rPr>
          <w:rFonts w:ascii="Segoe UI" w:eastAsia="Times New Roman" w:hAnsi="Segoe UI" w:cs="Segoe UI"/>
          <w:szCs w:val="22"/>
          <w:lang w:eastAsia="en-AU"/>
        </w:rPr>
      </w:pPr>
      <w:r w:rsidRPr="00C40CCB">
        <w:rPr>
          <w:rFonts w:ascii="Segoe UI" w:eastAsia="Times New Roman" w:hAnsi="Segoe UI" w:cs="Segoe UI"/>
          <w:szCs w:val="22"/>
          <w:lang w:eastAsia="en-AU"/>
        </w:rPr>
        <w:t xml:space="preserve">I would </w:t>
      </w:r>
      <w:r w:rsidR="00B63793" w:rsidRPr="00C40CCB">
        <w:rPr>
          <w:rFonts w:ascii="Segoe UI" w:eastAsia="Times New Roman" w:hAnsi="Segoe UI" w:cs="Segoe UI"/>
          <w:szCs w:val="22"/>
          <w:lang w:eastAsia="en-AU"/>
        </w:rPr>
        <w:t xml:space="preserve">like to acknowledge the cooperation and support I received from stakeholders throughout the course of my Review, including from </w:t>
      </w:r>
      <w:r w:rsidR="00E61C88">
        <w:rPr>
          <w:rFonts w:ascii="Segoe UI" w:eastAsia="Times New Roman" w:hAnsi="Segoe UI" w:cs="Segoe UI"/>
          <w:szCs w:val="22"/>
          <w:lang w:eastAsia="en-AU"/>
        </w:rPr>
        <w:t xml:space="preserve">the </w:t>
      </w:r>
      <w:r w:rsidR="00B63793" w:rsidRPr="00C40CCB">
        <w:rPr>
          <w:rFonts w:ascii="Segoe UI" w:eastAsia="Times New Roman" w:hAnsi="Segoe UI" w:cs="Segoe UI"/>
          <w:szCs w:val="22"/>
          <w:lang w:eastAsia="en-AU"/>
        </w:rPr>
        <w:t>Government, Opposition</w:t>
      </w:r>
      <w:r w:rsidR="00262220">
        <w:rPr>
          <w:rFonts w:ascii="Segoe UI" w:eastAsia="Times New Roman" w:hAnsi="Segoe UI" w:cs="Segoe UI"/>
          <w:szCs w:val="22"/>
          <w:lang w:eastAsia="en-AU"/>
        </w:rPr>
        <w:t>, Australian Public Service,</w:t>
      </w:r>
      <w:r w:rsidR="00B63793" w:rsidRPr="00C40CCB">
        <w:rPr>
          <w:rFonts w:ascii="Segoe UI" w:eastAsia="Times New Roman" w:hAnsi="Segoe UI" w:cs="Segoe UI"/>
          <w:szCs w:val="22"/>
          <w:lang w:eastAsia="en-AU"/>
        </w:rPr>
        <w:t xml:space="preserve"> and </w:t>
      </w:r>
      <w:r w:rsidR="002A268C">
        <w:rPr>
          <w:rFonts w:ascii="Segoe UI" w:eastAsia="Times New Roman" w:hAnsi="Segoe UI" w:cs="Segoe UI"/>
          <w:szCs w:val="22"/>
          <w:lang w:eastAsia="en-AU"/>
        </w:rPr>
        <w:t xml:space="preserve">the </w:t>
      </w:r>
      <w:r w:rsidR="00B63793" w:rsidRPr="00C40CCB">
        <w:rPr>
          <w:rFonts w:ascii="Segoe UI" w:eastAsia="Times New Roman" w:hAnsi="Segoe UI" w:cs="Segoe UI"/>
          <w:szCs w:val="22"/>
          <w:lang w:eastAsia="en-AU"/>
        </w:rPr>
        <w:t xml:space="preserve">sector. </w:t>
      </w:r>
      <w:r w:rsidR="007D30FE">
        <w:rPr>
          <w:rFonts w:ascii="Segoe UI" w:eastAsia="Times New Roman" w:hAnsi="Segoe UI" w:cs="Segoe UI"/>
          <w:szCs w:val="22"/>
          <w:lang w:eastAsia="en-AU"/>
        </w:rPr>
        <w:t>Not surprisingly, their perspectives varied</w:t>
      </w:r>
      <w:r w:rsidR="00AA4AF4">
        <w:rPr>
          <w:rFonts w:ascii="Segoe UI" w:eastAsia="Times New Roman" w:hAnsi="Segoe UI" w:cs="Segoe UI"/>
          <w:szCs w:val="22"/>
          <w:lang w:eastAsia="en-AU"/>
        </w:rPr>
        <w:t>.</w:t>
      </w:r>
      <w:r w:rsidR="007D30FE">
        <w:rPr>
          <w:rFonts w:ascii="Segoe UI" w:eastAsia="Times New Roman" w:hAnsi="Segoe UI" w:cs="Segoe UI"/>
          <w:szCs w:val="22"/>
          <w:lang w:eastAsia="en-AU"/>
        </w:rPr>
        <w:t xml:space="preserve"> </w:t>
      </w:r>
      <w:r w:rsidR="00AA4AF4">
        <w:rPr>
          <w:rFonts w:ascii="Segoe UI" w:eastAsia="Times New Roman" w:hAnsi="Segoe UI" w:cs="Segoe UI"/>
          <w:szCs w:val="22"/>
          <w:lang w:eastAsia="en-AU"/>
        </w:rPr>
        <w:t>B</w:t>
      </w:r>
      <w:r w:rsidR="007D30FE">
        <w:rPr>
          <w:rFonts w:ascii="Segoe UI" w:eastAsia="Times New Roman" w:hAnsi="Segoe UI" w:cs="Segoe UI"/>
          <w:szCs w:val="22"/>
          <w:lang w:eastAsia="en-AU"/>
        </w:rPr>
        <w:t xml:space="preserve">ut on one point there was broad consensus: </w:t>
      </w:r>
      <w:r w:rsidR="00983290">
        <w:rPr>
          <w:rFonts w:ascii="Segoe UI" w:eastAsia="Times New Roman" w:hAnsi="Segoe UI" w:cs="Segoe UI"/>
          <w:szCs w:val="22"/>
          <w:lang w:eastAsia="en-AU"/>
        </w:rPr>
        <w:t>t</w:t>
      </w:r>
      <w:r w:rsidR="007D30FE">
        <w:rPr>
          <w:rFonts w:ascii="Segoe UI" w:eastAsia="Times New Roman" w:hAnsi="Segoe UI" w:cs="Segoe UI"/>
          <w:szCs w:val="22"/>
          <w:lang w:eastAsia="en-AU"/>
        </w:rPr>
        <w:t xml:space="preserve">hink </w:t>
      </w:r>
      <w:r w:rsidR="001260ED">
        <w:rPr>
          <w:rFonts w:ascii="Segoe UI" w:eastAsia="Times New Roman" w:hAnsi="Segoe UI" w:cs="Segoe UI"/>
          <w:szCs w:val="22"/>
          <w:lang w:eastAsia="en-AU"/>
        </w:rPr>
        <w:t>t</w:t>
      </w:r>
      <w:r w:rsidR="007D30FE">
        <w:rPr>
          <w:rFonts w:ascii="Segoe UI" w:eastAsia="Times New Roman" w:hAnsi="Segoe UI" w:cs="Segoe UI"/>
          <w:szCs w:val="22"/>
          <w:lang w:eastAsia="en-AU"/>
        </w:rPr>
        <w:t xml:space="preserve">anks and commissioned research can play an important role in subjecting policy </w:t>
      </w:r>
      <w:r w:rsidR="003C7CF3">
        <w:rPr>
          <w:rFonts w:ascii="Segoe UI" w:eastAsia="Times New Roman" w:hAnsi="Segoe UI" w:cs="Segoe UI"/>
          <w:szCs w:val="22"/>
          <w:lang w:eastAsia="en-AU"/>
        </w:rPr>
        <w:t xml:space="preserve">development </w:t>
      </w:r>
      <w:r w:rsidR="007D30FE">
        <w:rPr>
          <w:rFonts w:ascii="Segoe UI" w:eastAsia="Times New Roman" w:hAnsi="Segoe UI" w:cs="Segoe UI"/>
          <w:szCs w:val="22"/>
          <w:lang w:eastAsia="en-AU"/>
        </w:rPr>
        <w:t>to external scrutiny, in raising public understanding of the strategic challenges facing Australia and in deepening the currently limited pool of experts on strategic policy in Australia.</w:t>
      </w:r>
    </w:p>
    <w:p w14:paraId="06E45FD7" w14:textId="77777777" w:rsidR="007D30FE" w:rsidRDefault="007D30FE" w:rsidP="000E68AC">
      <w:pPr>
        <w:spacing w:after="0" w:line="240" w:lineRule="auto"/>
        <w:textAlignment w:val="baseline"/>
        <w:rPr>
          <w:rFonts w:ascii="Segoe UI" w:eastAsia="Times New Roman" w:hAnsi="Segoe UI" w:cs="Segoe UI"/>
          <w:szCs w:val="22"/>
          <w:lang w:eastAsia="en-AU"/>
        </w:rPr>
      </w:pPr>
    </w:p>
    <w:p w14:paraId="06E45FD8" w14:textId="77777777" w:rsidR="001260ED" w:rsidRDefault="007D30FE" w:rsidP="3B2DF18C">
      <w:pPr>
        <w:spacing w:after="0" w:line="240" w:lineRule="auto"/>
        <w:textAlignment w:val="baseline"/>
        <w:rPr>
          <w:rFonts w:ascii="Segoe UI" w:eastAsia="Times New Roman" w:hAnsi="Segoe UI" w:cs="Segoe UI"/>
          <w:lang w:eastAsia="en-AU"/>
        </w:rPr>
      </w:pPr>
      <w:r w:rsidRPr="3B2DF18C">
        <w:rPr>
          <w:rFonts w:ascii="Segoe UI" w:eastAsia="Times New Roman" w:hAnsi="Segoe UI" w:cs="Segoe UI"/>
          <w:lang w:eastAsia="en-AU"/>
        </w:rPr>
        <w:t xml:space="preserve">I would also like to acknowledge and thank the secretariat to this </w:t>
      </w:r>
      <w:r w:rsidR="002A268C">
        <w:rPr>
          <w:rFonts w:ascii="Segoe UI" w:eastAsia="Times New Roman" w:hAnsi="Segoe UI" w:cs="Segoe UI"/>
          <w:lang w:eastAsia="en-AU"/>
        </w:rPr>
        <w:t>R</w:t>
      </w:r>
      <w:r w:rsidRPr="3B2DF18C">
        <w:rPr>
          <w:rFonts w:ascii="Segoe UI" w:eastAsia="Times New Roman" w:hAnsi="Segoe UI" w:cs="Segoe UI"/>
          <w:lang w:eastAsia="en-AU"/>
        </w:rPr>
        <w:t>eview, led by Colin McKenna, w</w:t>
      </w:r>
      <w:r w:rsidR="003C7CF3" w:rsidRPr="3B2DF18C">
        <w:rPr>
          <w:rFonts w:ascii="Segoe UI" w:eastAsia="Times New Roman" w:hAnsi="Segoe UI" w:cs="Segoe UI"/>
          <w:lang w:eastAsia="en-AU"/>
        </w:rPr>
        <w:t>hich</w:t>
      </w:r>
      <w:r w:rsidRPr="3B2DF18C">
        <w:rPr>
          <w:rFonts w:ascii="Segoe UI" w:eastAsia="Times New Roman" w:hAnsi="Segoe UI" w:cs="Segoe UI"/>
          <w:lang w:eastAsia="en-AU"/>
        </w:rPr>
        <w:t xml:space="preserve"> provided essential support and whose research and analysis </w:t>
      </w:r>
      <w:r w:rsidR="001260ED">
        <w:rPr>
          <w:rFonts w:ascii="Segoe UI" w:eastAsia="Times New Roman" w:hAnsi="Segoe UI" w:cs="Segoe UI"/>
          <w:lang w:eastAsia="en-AU"/>
        </w:rPr>
        <w:t xml:space="preserve">greatly assisted </w:t>
      </w:r>
      <w:r w:rsidRPr="3B2DF18C">
        <w:rPr>
          <w:rFonts w:ascii="Segoe UI" w:eastAsia="Times New Roman" w:hAnsi="Segoe UI" w:cs="Segoe UI"/>
          <w:lang w:eastAsia="en-AU"/>
        </w:rPr>
        <w:t>the conclusions and recommendations of th</w:t>
      </w:r>
      <w:r w:rsidR="00983290">
        <w:rPr>
          <w:rFonts w:ascii="Segoe UI" w:eastAsia="Times New Roman" w:hAnsi="Segoe UI" w:cs="Segoe UI"/>
          <w:lang w:eastAsia="en-AU"/>
        </w:rPr>
        <w:t>e</w:t>
      </w:r>
      <w:r w:rsidRPr="3B2DF18C">
        <w:rPr>
          <w:rFonts w:ascii="Segoe UI" w:eastAsia="Times New Roman" w:hAnsi="Segoe UI" w:cs="Segoe UI"/>
          <w:lang w:eastAsia="en-AU"/>
        </w:rPr>
        <w:t xml:space="preserve"> R</w:t>
      </w:r>
      <w:r w:rsidR="00537E30" w:rsidRPr="3B2DF18C">
        <w:rPr>
          <w:rFonts w:ascii="Segoe UI" w:eastAsia="Times New Roman" w:hAnsi="Segoe UI" w:cs="Segoe UI"/>
          <w:lang w:eastAsia="en-AU"/>
        </w:rPr>
        <w:t>eview</w:t>
      </w:r>
      <w:r w:rsidRPr="3B2DF18C">
        <w:rPr>
          <w:rFonts w:ascii="Segoe UI" w:eastAsia="Times New Roman" w:hAnsi="Segoe UI" w:cs="Segoe UI"/>
          <w:lang w:eastAsia="en-AU"/>
        </w:rPr>
        <w:t>.</w:t>
      </w:r>
      <w:r w:rsidR="009210B7">
        <w:rPr>
          <w:rFonts w:ascii="Segoe UI" w:eastAsia="Times New Roman" w:hAnsi="Segoe UI" w:cs="Segoe UI"/>
          <w:lang w:eastAsia="en-AU"/>
        </w:rPr>
        <w:t xml:space="preserve"> </w:t>
      </w:r>
      <w:r w:rsidRPr="3B2DF18C">
        <w:rPr>
          <w:rFonts w:ascii="Segoe UI" w:eastAsia="Times New Roman" w:hAnsi="Segoe UI" w:cs="Segoe UI"/>
          <w:lang w:eastAsia="en-AU"/>
        </w:rPr>
        <w:t xml:space="preserve">Members of the secretariat are listed at </w:t>
      </w:r>
      <w:r w:rsidRPr="00474B98">
        <w:rPr>
          <w:rFonts w:ascii="Segoe UI" w:eastAsia="Times New Roman" w:hAnsi="Segoe UI" w:cs="Segoe UI"/>
          <w:b/>
          <w:lang w:eastAsia="en-AU"/>
        </w:rPr>
        <w:t>Attachment</w:t>
      </w:r>
      <w:r w:rsidR="007C3E8F" w:rsidRPr="00474B98">
        <w:rPr>
          <w:rFonts w:ascii="Segoe UI" w:eastAsia="Times New Roman" w:hAnsi="Segoe UI" w:cs="Segoe UI"/>
          <w:b/>
          <w:lang w:eastAsia="en-AU"/>
        </w:rPr>
        <w:t xml:space="preserve"> B</w:t>
      </w:r>
      <w:r w:rsidR="007C3E8F" w:rsidRPr="3B2DF18C">
        <w:rPr>
          <w:rFonts w:ascii="Segoe UI" w:eastAsia="Times New Roman" w:hAnsi="Segoe UI" w:cs="Segoe UI"/>
          <w:lang w:eastAsia="en-AU"/>
        </w:rPr>
        <w:t>.</w:t>
      </w:r>
      <w:r w:rsidRPr="3B2DF18C">
        <w:rPr>
          <w:rFonts w:ascii="Segoe UI" w:eastAsia="Times New Roman" w:hAnsi="Segoe UI" w:cs="Segoe UI"/>
          <w:lang w:eastAsia="en-AU"/>
        </w:rPr>
        <w:t xml:space="preserve"> </w:t>
      </w:r>
    </w:p>
    <w:p w14:paraId="06E45FD9" w14:textId="77777777" w:rsidR="001260ED" w:rsidRDefault="001260ED" w:rsidP="3B2DF18C">
      <w:pPr>
        <w:spacing w:after="0" w:line="240" w:lineRule="auto"/>
        <w:textAlignment w:val="baseline"/>
        <w:rPr>
          <w:rFonts w:ascii="Segoe UI" w:eastAsia="Times New Roman" w:hAnsi="Segoe UI" w:cs="Segoe UI"/>
          <w:lang w:eastAsia="en-AU"/>
        </w:rPr>
      </w:pPr>
    </w:p>
    <w:p w14:paraId="06E45FDA" w14:textId="77777777" w:rsidR="00B63793" w:rsidRPr="00C40CCB" w:rsidRDefault="001260ED" w:rsidP="3B2DF18C">
      <w:pPr>
        <w:spacing w:after="0" w:line="240" w:lineRule="auto"/>
        <w:textAlignment w:val="baseline"/>
        <w:rPr>
          <w:rFonts w:ascii="Segoe UI" w:eastAsia="Times New Roman" w:hAnsi="Segoe UI" w:cs="Segoe UI"/>
          <w:lang w:eastAsia="en-AU"/>
        </w:rPr>
      </w:pPr>
      <w:r>
        <w:rPr>
          <w:rFonts w:ascii="Segoe UI" w:eastAsia="Times New Roman" w:hAnsi="Segoe UI" w:cs="Segoe UI"/>
          <w:lang w:eastAsia="en-AU"/>
        </w:rPr>
        <w:lastRenderedPageBreak/>
        <w:t>Finally, I would like to thank you for the opportunity to conduct this Review.</w:t>
      </w:r>
      <w:r w:rsidR="009210B7">
        <w:rPr>
          <w:rFonts w:ascii="Segoe UI" w:eastAsia="Times New Roman" w:hAnsi="Segoe UI" w:cs="Segoe UI"/>
          <w:lang w:eastAsia="en-AU"/>
        </w:rPr>
        <w:t xml:space="preserve"> </w:t>
      </w:r>
      <w:r>
        <w:rPr>
          <w:rFonts w:ascii="Segoe UI" w:eastAsia="Times New Roman" w:hAnsi="Segoe UI" w:cs="Segoe UI"/>
          <w:lang w:eastAsia="en-AU"/>
        </w:rPr>
        <w:t xml:space="preserve">Australia’s strategic policy must wrestle with many large </w:t>
      </w:r>
      <w:r w:rsidR="003A6EB3">
        <w:rPr>
          <w:rFonts w:ascii="Segoe UI" w:eastAsia="Times New Roman" w:hAnsi="Segoe UI" w:cs="Segoe UI"/>
          <w:lang w:eastAsia="en-AU"/>
        </w:rPr>
        <w:t xml:space="preserve">and complex </w:t>
      </w:r>
      <w:r>
        <w:rPr>
          <w:rFonts w:ascii="Segoe UI" w:eastAsia="Times New Roman" w:hAnsi="Segoe UI" w:cs="Segoe UI"/>
          <w:lang w:eastAsia="en-AU"/>
        </w:rPr>
        <w:t>challenges.</w:t>
      </w:r>
      <w:r w:rsidR="009210B7">
        <w:rPr>
          <w:rFonts w:ascii="Segoe UI" w:eastAsia="Times New Roman" w:hAnsi="Segoe UI" w:cs="Segoe UI"/>
          <w:lang w:eastAsia="en-AU"/>
        </w:rPr>
        <w:t xml:space="preserve"> </w:t>
      </w:r>
      <w:r>
        <w:rPr>
          <w:rFonts w:ascii="Segoe UI" w:eastAsia="Times New Roman" w:hAnsi="Segoe UI" w:cs="Segoe UI"/>
          <w:lang w:eastAsia="en-AU"/>
        </w:rPr>
        <w:t>I hope the recommendations in this Report will go some way to ensuring that we are better placed to meet those challenges.</w:t>
      </w:r>
      <w:r w:rsidR="009210B7">
        <w:rPr>
          <w:rFonts w:ascii="Segoe UI" w:eastAsia="Times New Roman" w:hAnsi="Segoe UI" w:cs="Segoe UI"/>
          <w:lang w:eastAsia="en-AU"/>
        </w:rPr>
        <w:t xml:space="preserve">  </w:t>
      </w:r>
    </w:p>
    <w:p w14:paraId="06E45FDB" w14:textId="77777777" w:rsidR="00316F5B" w:rsidRDefault="00316F5B" w:rsidP="00316F5B">
      <w:pPr>
        <w:spacing w:after="0" w:line="240" w:lineRule="auto"/>
        <w:textAlignment w:val="baseline"/>
        <w:rPr>
          <w:rFonts w:ascii="Segoe UI" w:eastAsia="Times New Roman" w:hAnsi="Segoe UI" w:cs="Segoe UI"/>
          <w:sz w:val="18"/>
          <w:szCs w:val="18"/>
          <w:lang w:eastAsia="en-AU"/>
        </w:rPr>
      </w:pPr>
    </w:p>
    <w:p w14:paraId="06E45FDC" w14:textId="77777777" w:rsidR="002A7CB1" w:rsidRPr="0053248D" w:rsidRDefault="002A7CB1" w:rsidP="0053248D">
      <w:pPr>
        <w:rPr>
          <w:rFonts w:ascii="Segoe UI" w:hAnsi="Segoe UI" w:cs="Segoe UI"/>
          <w:lang w:eastAsia="en-AU"/>
        </w:rPr>
      </w:pPr>
      <w:r w:rsidRPr="0053248D">
        <w:rPr>
          <w:rFonts w:ascii="Segoe UI" w:hAnsi="Segoe UI" w:cs="Segoe UI"/>
          <w:lang w:eastAsia="en-AU"/>
        </w:rPr>
        <w:t>Yours sincerely</w:t>
      </w:r>
    </w:p>
    <w:p w14:paraId="06E45FDD" w14:textId="77777777" w:rsidR="00867609" w:rsidRPr="00C40CCB" w:rsidRDefault="007B6552" w:rsidP="0053248D">
      <w:pPr>
        <w:spacing w:before="240" w:after="0" w:line="240" w:lineRule="auto"/>
        <w:textAlignment w:val="baseline"/>
        <w:rPr>
          <w:rFonts w:ascii="Segoe UI" w:eastAsia="Times New Roman" w:hAnsi="Segoe UI" w:cs="Segoe UI"/>
          <w:sz w:val="18"/>
          <w:szCs w:val="18"/>
          <w:lang w:eastAsia="en-AU"/>
        </w:rPr>
      </w:pPr>
      <w:r>
        <w:rPr>
          <w:noProof/>
          <w:lang w:eastAsia="en-AU"/>
        </w:rPr>
        <w:drawing>
          <wp:inline distT="0" distB="0" distL="0" distR="0" wp14:anchorId="06E46280" wp14:editId="06E46281">
            <wp:extent cx="1066800" cy="807720"/>
            <wp:effectExtent l="0" t="0" r="0" b="0"/>
            <wp:docPr id="1656375356" name="Picture 1656375356" descr="Signature of Peter N Varghese AO."/>
            <wp:cNvGraphicFramePr/>
            <a:graphic xmlns:a="http://schemas.openxmlformats.org/drawingml/2006/main">
              <a:graphicData uri="http://schemas.openxmlformats.org/drawingml/2006/picture">
                <pic:pic xmlns:pic="http://schemas.openxmlformats.org/drawingml/2006/picture">
                  <pic:nvPicPr>
                    <pic:cNvPr id="1656375356" name="Picture 1656375356" descr="cid:D12C249354259F4D9327352B7257707F@dfat.gov.au"/>
                    <pic:cNvPicPr/>
                  </pic:nvPicPr>
                  <pic:blipFill>
                    <a:blip r:embed="rId12" r:link="rId13">
                      <a:alphaModFix/>
                      <a:extLst>
                        <a:ext uri="{28A0092B-C50C-407E-A947-70E740481C1C}">
                          <a14:useLocalDpi xmlns:a14="http://schemas.microsoft.com/office/drawing/2010/main" val="0"/>
                        </a:ext>
                      </a:extLst>
                    </a:blip>
                    <a:srcRect/>
                    <a:stretch>
                      <a:fillRect/>
                    </a:stretch>
                  </pic:blipFill>
                  <pic:spPr bwMode="auto">
                    <a:xfrm>
                      <a:off x="0" y="0"/>
                      <a:ext cx="1066800" cy="807720"/>
                    </a:xfrm>
                    <a:prstGeom prst="rect">
                      <a:avLst/>
                    </a:prstGeom>
                    <a:noFill/>
                    <a:ln>
                      <a:noFill/>
                    </a:ln>
                  </pic:spPr>
                </pic:pic>
              </a:graphicData>
            </a:graphic>
          </wp:inline>
        </w:drawing>
      </w:r>
    </w:p>
    <w:p w14:paraId="06E45FDE" w14:textId="77777777" w:rsidR="606D2310" w:rsidRPr="003B6973" w:rsidRDefault="00AC0290" w:rsidP="00C40CCB">
      <w:pPr>
        <w:spacing w:after="0" w:line="240" w:lineRule="auto"/>
        <w:textAlignment w:val="baseline"/>
        <w:rPr>
          <w:lang w:val="pt-BR"/>
        </w:rPr>
      </w:pPr>
      <w:r w:rsidRPr="003B6973">
        <w:rPr>
          <w:rFonts w:ascii="Segoe UI" w:hAnsi="Segoe UI"/>
          <w:lang w:val="pt-BR"/>
        </w:rPr>
        <w:t>Peter</w:t>
      </w:r>
      <w:r w:rsidR="00F83ADB" w:rsidRPr="003B6973">
        <w:rPr>
          <w:rFonts w:ascii="Segoe UI" w:hAnsi="Segoe UI"/>
          <w:lang w:val="pt-BR"/>
        </w:rPr>
        <w:t xml:space="preserve"> N</w:t>
      </w:r>
      <w:r w:rsidRPr="003B6973">
        <w:rPr>
          <w:rFonts w:ascii="Segoe UI" w:hAnsi="Segoe UI"/>
          <w:lang w:val="pt-BR"/>
        </w:rPr>
        <w:t xml:space="preserve"> </w:t>
      </w:r>
      <w:r w:rsidR="000E68AC" w:rsidRPr="003B6973">
        <w:rPr>
          <w:rFonts w:ascii="Segoe UI" w:hAnsi="Segoe UI"/>
          <w:lang w:val="pt-BR"/>
        </w:rPr>
        <w:t>Varghese AO</w:t>
      </w:r>
    </w:p>
    <w:p w14:paraId="06E45FDF" w14:textId="77777777" w:rsidR="00F34A6C" w:rsidRDefault="00F34A6C" w:rsidP="0053248D">
      <w:pPr>
        <w:pStyle w:val="Heading1"/>
        <w:pageBreakBefore/>
      </w:pPr>
      <w:bookmarkStart w:id="4" w:name="_Toc170980534"/>
      <w:bookmarkStart w:id="5" w:name="_Toc171004248"/>
      <w:bookmarkStart w:id="6" w:name="_Toc171074970"/>
      <w:bookmarkStart w:id="7" w:name="_Toc172665578"/>
      <w:r>
        <w:lastRenderedPageBreak/>
        <w:t>Executive Summary</w:t>
      </w:r>
      <w:bookmarkEnd w:id="4"/>
      <w:bookmarkEnd w:id="5"/>
      <w:bookmarkEnd w:id="6"/>
      <w:bookmarkEnd w:id="7"/>
    </w:p>
    <w:p w14:paraId="06E45FE0" w14:textId="77777777" w:rsidR="003C7CF3" w:rsidRDefault="003C7CF3" w:rsidP="001A339A">
      <w:pPr>
        <w:pStyle w:val="ListParagraph"/>
        <w:numPr>
          <w:ilvl w:val="0"/>
          <w:numId w:val="40"/>
        </w:numPr>
        <w:ind w:left="0" w:firstLine="0"/>
        <w:contextualSpacing w:val="0"/>
        <w:rPr>
          <w:rFonts w:ascii="Segoe UI" w:eastAsia="Times New Roman" w:hAnsi="Segoe UI" w:cs="Segoe UI"/>
          <w:color w:val="212121"/>
        </w:rPr>
      </w:pPr>
      <w:r>
        <w:rPr>
          <w:rFonts w:ascii="Segoe UI" w:eastAsia="Times New Roman" w:hAnsi="Segoe UI" w:cs="Segoe UI"/>
          <w:color w:val="212121"/>
        </w:rPr>
        <w:t>The strategic policy ecosystem in Australia is thin.</w:t>
      </w:r>
      <w:r w:rsidR="009210B7">
        <w:rPr>
          <w:rFonts w:ascii="Segoe UI" w:eastAsia="Times New Roman" w:hAnsi="Segoe UI" w:cs="Segoe UI"/>
          <w:color w:val="212121"/>
        </w:rPr>
        <w:t xml:space="preserve"> </w:t>
      </w:r>
      <w:r>
        <w:rPr>
          <w:rFonts w:ascii="Segoe UI" w:eastAsia="Times New Roman" w:hAnsi="Segoe UI" w:cs="Segoe UI"/>
          <w:color w:val="212121"/>
        </w:rPr>
        <w:t xml:space="preserve">Unlike in the United States, think tanks </w:t>
      </w:r>
      <w:r w:rsidR="00914935">
        <w:rPr>
          <w:rFonts w:ascii="Segoe UI" w:eastAsia="Times New Roman" w:hAnsi="Segoe UI" w:cs="Segoe UI"/>
          <w:color w:val="212121"/>
        </w:rPr>
        <w:t xml:space="preserve">and </w:t>
      </w:r>
      <w:r w:rsidR="009A25C6" w:rsidRPr="1E3E56AE">
        <w:rPr>
          <w:rFonts w:ascii="Segoe UI" w:eastAsia="Times New Roman" w:hAnsi="Segoe UI" w:cs="Segoe UI"/>
          <w:color w:val="212121"/>
        </w:rPr>
        <w:t>academic</w:t>
      </w:r>
      <w:r w:rsidR="009A25C6">
        <w:rPr>
          <w:rFonts w:ascii="Segoe UI" w:eastAsia="Times New Roman" w:hAnsi="Segoe UI" w:cs="Segoe UI"/>
          <w:color w:val="212121"/>
        </w:rPr>
        <w:t xml:space="preserve"> institutions</w:t>
      </w:r>
      <w:r w:rsidR="00914935">
        <w:rPr>
          <w:rFonts w:ascii="Segoe UI" w:eastAsia="Times New Roman" w:hAnsi="Segoe UI" w:cs="Segoe UI"/>
          <w:color w:val="212121"/>
        </w:rPr>
        <w:t xml:space="preserve"> </w:t>
      </w:r>
      <w:r>
        <w:rPr>
          <w:rFonts w:ascii="Segoe UI" w:eastAsia="Times New Roman" w:hAnsi="Segoe UI" w:cs="Segoe UI"/>
          <w:color w:val="212121"/>
        </w:rPr>
        <w:t>do not yet play a strong role in policy formulation.</w:t>
      </w:r>
      <w:r w:rsidR="009210B7">
        <w:rPr>
          <w:rFonts w:ascii="Segoe UI" w:eastAsia="Times New Roman" w:hAnsi="Segoe UI" w:cs="Segoe UI"/>
          <w:color w:val="212121"/>
        </w:rPr>
        <w:t xml:space="preserve"> </w:t>
      </w:r>
      <w:r>
        <w:rPr>
          <w:rFonts w:ascii="Segoe UI" w:eastAsia="Times New Roman" w:hAnsi="Segoe UI" w:cs="Segoe UI"/>
          <w:color w:val="212121"/>
        </w:rPr>
        <w:t>Strategic policy tends to be made and adjusted largely within government.</w:t>
      </w:r>
      <w:r w:rsidR="009210B7">
        <w:rPr>
          <w:rFonts w:ascii="Segoe UI" w:eastAsia="Times New Roman" w:hAnsi="Segoe UI" w:cs="Segoe UI"/>
          <w:color w:val="212121"/>
        </w:rPr>
        <w:t xml:space="preserve"> </w:t>
      </w:r>
      <w:r>
        <w:rPr>
          <w:rFonts w:ascii="Segoe UI" w:eastAsia="Times New Roman" w:hAnsi="Segoe UI" w:cs="Segoe UI"/>
          <w:color w:val="212121"/>
        </w:rPr>
        <w:t>Australia does not have a strong tradition of subjecting policy development to rigorous external scrutiny, and external engagement tends to be more in the nature of stakeholder management than actively searching out new or different policy perspectives.</w:t>
      </w:r>
    </w:p>
    <w:p w14:paraId="06E45FE1" w14:textId="77777777" w:rsidR="00914935" w:rsidRDefault="00AA4AF4" w:rsidP="001A339A">
      <w:pPr>
        <w:pStyle w:val="ListParagraph"/>
        <w:numPr>
          <w:ilvl w:val="0"/>
          <w:numId w:val="40"/>
        </w:numPr>
        <w:spacing w:line="259" w:lineRule="auto"/>
        <w:ind w:left="0" w:firstLine="0"/>
        <w:contextualSpacing w:val="0"/>
        <w:rPr>
          <w:rFonts w:ascii="Segoe UI" w:eastAsia="Times New Roman" w:hAnsi="Segoe UI" w:cs="Segoe UI"/>
          <w:color w:val="212121"/>
        </w:rPr>
      </w:pPr>
      <w:r w:rsidRPr="142214B8">
        <w:rPr>
          <w:rFonts w:ascii="Segoe UI" w:eastAsia="Times New Roman" w:hAnsi="Segoe UI" w:cs="Segoe UI"/>
          <w:color w:val="212121"/>
        </w:rPr>
        <w:t>Contestability</w:t>
      </w:r>
      <w:r>
        <w:rPr>
          <w:rFonts w:ascii="Segoe UI" w:eastAsia="Times New Roman" w:hAnsi="Segoe UI" w:cs="Segoe UI"/>
          <w:color w:val="212121"/>
        </w:rPr>
        <w:t xml:space="preserve"> is a critical component of a liberal democracy. </w:t>
      </w:r>
      <w:r w:rsidR="00914935">
        <w:rPr>
          <w:rFonts w:ascii="Segoe UI" w:eastAsia="Times New Roman" w:hAnsi="Segoe UI" w:cs="Segoe UI"/>
          <w:color w:val="212121"/>
        </w:rPr>
        <w:t>The real value of contestability is that it can improve policy by explaining where a policy is not working or where its analytical foundations are either weak or wrong.</w:t>
      </w:r>
      <w:r w:rsidR="009210B7">
        <w:rPr>
          <w:rFonts w:ascii="Segoe UI" w:eastAsia="Times New Roman" w:hAnsi="Segoe UI" w:cs="Segoe UI"/>
          <w:color w:val="212121"/>
        </w:rPr>
        <w:t xml:space="preserve"> </w:t>
      </w:r>
      <w:r w:rsidR="00914935">
        <w:rPr>
          <w:rFonts w:ascii="Segoe UI" w:eastAsia="Times New Roman" w:hAnsi="Segoe UI" w:cs="Segoe UI"/>
          <w:color w:val="212121"/>
        </w:rPr>
        <w:t>Good policy making rests on a contest of ideas and the testing of assumptions.</w:t>
      </w:r>
    </w:p>
    <w:p w14:paraId="06E45FE2" w14:textId="77777777" w:rsidR="00594BD2" w:rsidRPr="00752A8B" w:rsidRDefault="00594BD2" w:rsidP="001A339A">
      <w:pPr>
        <w:pStyle w:val="ListParagraph"/>
        <w:numPr>
          <w:ilvl w:val="0"/>
          <w:numId w:val="40"/>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Policy making cannot be an endless debate.</w:t>
      </w:r>
      <w:r w:rsidR="009210B7">
        <w:rPr>
          <w:rFonts w:ascii="Segoe UI" w:eastAsia="Times New Roman" w:hAnsi="Segoe UI" w:cs="Segoe UI"/>
          <w:color w:val="212121"/>
        </w:rPr>
        <w:t xml:space="preserve"> </w:t>
      </w:r>
      <w:r>
        <w:rPr>
          <w:rFonts w:ascii="Segoe UI" w:eastAsia="Times New Roman" w:hAnsi="Segoe UI" w:cs="Segoe UI"/>
          <w:color w:val="212121"/>
        </w:rPr>
        <w:t>But unless different perspectives are rigorously sifted and weighed up, policy conclusions are more likely to be flawed.</w:t>
      </w:r>
      <w:r w:rsidR="009210B7">
        <w:rPr>
          <w:rFonts w:ascii="Segoe UI" w:eastAsia="Times New Roman" w:hAnsi="Segoe UI" w:cs="Segoe UI"/>
          <w:color w:val="212121"/>
        </w:rPr>
        <w:t xml:space="preserve"> </w:t>
      </w:r>
      <w:r>
        <w:rPr>
          <w:rFonts w:ascii="Segoe UI" w:eastAsia="Times New Roman" w:hAnsi="Segoe UI" w:cs="Segoe UI"/>
          <w:color w:val="212121"/>
        </w:rPr>
        <w:t>Governments must accept the sector will present some uncomfortable and at times even unhelpful contributions, but debate is both healthy and necessary.</w:t>
      </w:r>
      <w:r w:rsidRPr="5705605F">
        <w:rPr>
          <w:rFonts w:ascii="Segoe UI" w:eastAsia="Times New Roman" w:hAnsi="Segoe UI" w:cs="Segoe UI"/>
          <w:color w:val="212121"/>
        </w:rPr>
        <w:t xml:space="preserve"> </w:t>
      </w:r>
    </w:p>
    <w:p w14:paraId="06E45FE3" w14:textId="77777777" w:rsidR="00C06D2D" w:rsidRDefault="003C7CF3" w:rsidP="001A339A">
      <w:pPr>
        <w:pStyle w:val="ListParagraph"/>
        <w:numPr>
          <w:ilvl w:val="0"/>
          <w:numId w:val="40"/>
        </w:numPr>
        <w:ind w:left="0" w:firstLine="0"/>
        <w:contextualSpacing w:val="0"/>
        <w:rPr>
          <w:rFonts w:ascii="Segoe UI" w:eastAsia="Times New Roman" w:hAnsi="Segoe UI" w:cs="Segoe UI"/>
          <w:color w:val="212121"/>
        </w:rPr>
      </w:pPr>
      <w:r>
        <w:rPr>
          <w:rFonts w:ascii="Segoe UI" w:eastAsia="Times New Roman" w:hAnsi="Segoe UI" w:cs="Segoe UI"/>
          <w:color w:val="212121"/>
        </w:rPr>
        <w:t>Australia does not have the tradition of corporate and philanthropic support which sustain</w:t>
      </w:r>
      <w:r w:rsidR="00914935">
        <w:rPr>
          <w:rFonts w:ascii="Segoe UI" w:eastAsia="Times New Roman" w:hAnsi="Segoe UI" w:cs="Segoe UI"/>
          <w:color w:val="212121"/>
        </w:rPr>
        <w:t xml:space="preserve"> the think tank sector</w:t>
      </w:r>
      <w:r>
        <w:rPr>
          <w:rFonts w:ascii="Segoe UI" w:eastAsia="Times New Roman" w:hAnsi="Segoe UI" w:cs="Segoe UI"/>
          <w:color w:val="212121"/>
        </w:rPr>
        <w:t xml:space="preserve"> in many other countries.</w:t>
      </w:r>
      <w:r w:rsidR="009210B7">
        <w:rPr>
          <w:rFonts w:ascii="Segoe UI" w:eastAsia="Times New Roman" w:hAnsi="Segoe UI" w:cs="Segoe UI"/>
          <w:color w:val="212121"/>
        </w:rPr>
        <w:t xml:space="preserve"> </w:t>
      </w:r>
      <w:r>
        <w:rPr>
          <w:rFonts w:ascii="Segoe UI" w:eastAsia="Times New Roman" w:hAnsi="Segoe UI" w:cs="Segoe UI"/>
          <w:color w:val="212121"/>
        </w:rPr>
        <w:t>Philanthropy in Australia is changing for the better</w:t>
      </w:r>
      <w:r w:rsidR="00AA4AF4">
        <w:rPr>
          <w:rFonts w:ascii="Segoe UI" w:eastAsia="Times New Roman" w:hAnsi="Segoe UI" w:cs="Segoe UI"/>
          <w:color w:val="212121"/>
        </w:rPr>
        <w:t>,</w:t>
      </w:r>
      <w:r w:rsidR="00C06D2D">
        <w:rPr>
          <w:rFonts w:ascii="Segoe UI" w:eastAsia="Times New Roman" w:hAnsi="Segoe UI" w:cs="Segoe UI"/>
          <w:color w:val="212121"/>
        </w:rPr>
        <w:t xml:space="preserve"> but for the foreseeable future</w:t>
      </w:r>
      <w:r w:rsidR="00106CDA">
        <w:rPr>
          <w:rFonts w:ascii="Segoe UI" w:eastAsia="Times New Roman" w:hAnsi="Segoe UI" w:cs="Segoe UI"/>
          <w:color w:val="212121"/>
        </w:rPr>
        <w:t>,</w:t>
      </w:r>
      <w:r w:rsidR="00C06D2D">
        <w:rPr>
          <w:rFonts w:ascii="Segoe UI" w:eastAsia="Times New Roman" w:hAnsi="Segoe UI" w:cs="Segoe UI"/>
          <w:color w:val="212121"/>
        </w:rPr>
        <w:t xml:space="preserve"> and with rare exceptions, we </w:t>
      </w:r>
      <w:r w:rsidR="00914935">
        <w:rPr>
          <w:rFonts w:ascii="Segoe UI" w:eastAsia="Times New Roman" w:hAnsi="Segoe UI" w:cs="Segoe UI"/>
          <w:color w:val="212121"/>
        </w:rPr>
        <w:t>must</w:t>
      </w:r>
      <w:r w:rsidR="00C06D2D">
        <w:rPr>
          <w:rFonts w:ascii="Segoe UI" w:eastAsia="Times New Roman" w:hAnsi="Segoe UI" w:cs="Segoe UI"/>
          <w:color w:val="212121"/>
        </w:rPr>
        <w:t xml:space="preserve"> accept the ecosystem of think tanks and commissioned research simply cannot survive without substantial government funding.</w:t>
      </w:r>
    </w:p>
    <w:p w14:paraId="06E45FE4" w14:textId="77777777" w:rsidR="002507DB" w:rsidRDefault="00C06D2D" w:rsidP="001A339A">
      <w:pPr>
        <w:pStyle w:val="ListParagraph"/>
        <w:numPr>
          <w:ilvl w:val="0"/>
          <w:numId w:val="40"/>
        </w:numPr>
        <w:ind w:left="0" w:firstLine="0"/>
        <w:contextualSpacing w:val="0"/>
        <w:rPr>
          <w:rFonts w:ascii="Segoe UI" w:eastAsia="Times New Roman" w:hAnsi="Segoe UI" w:cs="Segoe UI"/>
          <w:color w:val="212121"/>
        </w:rPr>
      </w:pPr>
      <w:r>
        <w:rPr>
          <w:rFonts w:ascii="Segoe UI" w:eastAsia="Times New Roman" w:hAnsi="Segoe UI" w:cs="Segoe UI"/>
          <w:color w:val="212121"/>
        </w:rPr>
        <w:t>As in other areas of public policy, we can learn from the experience</w:t>
      </w:r>
      <w:r w:rsidR="002507DB">
        <w:rPr>
          <w:rFonts w:ascii="Segoe UI" w:eastAsia="Times New Roman" w:hAnsi="Segoe UI" w:cs="Segoe UI"/>
          <w:color w:val="212121"/>
        </w:rPr>
        <w:t xml:space="preserve"> of other countries</w:t>
      </w:r>
      <w:r w:rsidR="0069635D">
        <w:rPr>
          <w:rFonts w:ascii="Segoe UI" w:eastAsia="Times New Roman" w:hAnsi="Segoe UI" w:cs="Segoe UI"/>
          <w:color w:val="212121"/>
        </w:rPr>
        <w:t>. B</w:t>
      </w:r>
      <w:r w:rsidR="002507DB">
        <w:rPr>
          <w:rFonts w:ascii="Segoe UI" w:eastAsia="Times New Roman" w:hAnsi="Segoe UI" w:cs="Segoe UI"/>
          <w:color w:val="212121"/>
        </w:rPr>
        <w:t xml:space="preserve">ut </w:t>
      </w:r>
      <w:r w:rsidR="00316F5B">
        <w:rPr>
          <w:rFonts w:ascii="Segoe UI" w:eastAsia="Times New Roman" w:hAnsi="Segoe UI" w:cs="Segoe UI"/>
          <w:color w:val="212121"/>
        </w:rPr>
        <w:t>ultimately,</w:t>
      </w:r>
      <w:r w:rsidR="002507DB">
        <w:rPr>
          <w:rFonts w:ascii="Segoe UI" w:eastAsia="Times New Roman" w:hAnsi="Segoe UI" w:cs="Segoe UI"/>
          <w:color w:val="212121"/>
        </w:rPr>
        <w:t xml:space="preserve"> we must settle on a framework which suits our conditions and meets our distinctive needs. </w:t>
      </w:r>
    </w:p>
    <w:p w14:paraId="06E45FE5" w14:textId="77777777" w:rsidR="002507DB" w:rsidRPr="00554B7C" w:rsidRDefault="00537E30" w:rsidP="001A339A">
      <w:pPr>
        <w:pStyle w:val="ListParagraph"/>
        <w:numPr>
          <w:ilvl w:val="0"/>
          <w:numId w:val="40"/>
        </w:numPr>
        <w:ind w:left="0" w:firstLine="0"/>
        <w:contextualSpacing w:val="0"/>
        <w:rPr>
          <w:rFonts w:ascii="Segoe UI" w:eastAsia="Times New Roman" w:hAnsi="Segoe UI" w:cs="Segoe UI"/>
          <w:color w:val="212121"/>
        </w:rPr>
      </w:pPr>
      <w:r w:rsidRPr="00554B7C">
        <w:rPr>
          <w:rFonts w:ascii="Segoe UI" w:eastAsia="Times New Roman" w:hAnsi="Segoe UI" w:cs="Segoe UI"/>
          <w:color w:val="212121"/>
        </w:rPr>
        <w:t>T</w:t>
      </w:r>
      <w:r w:rsidR="002507DB" w:rsidRPr="00554B7C">
        <w:rPr>
          <w:rFonts w:ascii="Segoe UI" w:eastAsia="Times New Roman" w:hAnsi="Segoe UI" w:cs="Segoe UI"/>
          <w:color w:val="212121"/>
        </w:rPr>
        <w:t>he current system</w:t>
      </w:r>
      <w:r w:rsidR="003F1F5F" w:rsidRPr="00554B7C">
        <w:rPr>
          <w:rFonts w:ascii="Segoe UI" w:eastAsia="Times New Roman" w:hAnsi="Segoe UI" w:cs="Segoe UI"/>
          <w:color w:val="212121"/>
        </w:rPr>
        <w:t xml:space="preserve"> </w:t>
      </w:r>
      <w:r w:rsidRPr="00554B7C">
        <w:rPr>
          <w:rFonts w:ascii="Segoe UI" w:eastAsia="Times New Roman" w:hAnsi="Segoe UI" w:cs="Segoe UI"/>
          <w:color w:val="212121"/>
        </w:rPr>
        <w:t xml:space="preserve">is not broken and </w:t>
      </w:r>
      <w:r w:rsidR="002507DB" w:rsidRPr="00554B7C">
        <w:rPr>
          <w:rFonts w:ascii="Segoe UI" w:eastAsia="Times New Roman" w:hAnsi="Segoe UI" w:cs="Segoe UI"/>
          <w:color w:val="212121"/>
        </w:rPr>
        <w:t>delivers many benefits</w:t>
      </w:r>
      <w:r w:rsidR="00AA4AF4">
        <w:rPr>
          <w:rFonts w:ascii="Segoe UI" w:eastAsia="Times New Roman" w:hAnsi="Segoe UI" w:cs="Segoe UI"/>
          <w:color w:val="212121"/>
        </w:rPr>
        <w:t>,</w:t>
      </w:r>
      <w:r w:rsidR="002507DB" w:rsidRPr="00554B7C">
        <w:rPr>
          <w:rFonts w:ascii="Segoe UI" w:eastAsia="Times New Roman" w:hAnsi="Segoe UI" w:cs="Segoe UI"/>
          <w:color w:val="212121"/>
        </w:rPr>
        <w:t xml:space="preserve"> </w:t>
      </w:r>
      <w:r w:rsidRPr="00554B7C">
        <w:rPr>
          <w:rFonts w:ascii="Segoe UI" w:eastAsia="Times New Roman" w:hAnsi="Segoe UI" w:cs="Segoe UI"/>
          <w:color w:val="212121"/>
        </w:rPr>
        <w:t xml:space="preserve">but </w:t>
      </w:r>
      <w:r w:rsidR="002507DB" w:rsidRPr="00554B7C">
        <w:rPr>
          <w:rFonts w:ascii="Segoe UI" w:eastAsia="Times New Roman" w:hAnsi="Segoe UI" w:cs="Segoe UI"/>
          <w:color w:val="212121"/>
        </w:rPr>
        <w:t>there is considerable room for improvement.</w:t>
      </w:r>
      <w:r w:rsidR="003F1F5F" w:rsidRPr="00554B7C">
        <w:rPr>
          <w:rFonts w:ascii="Segoe UI" w:eastAsia="Times New Roman" w:hAnsi="Segoe UI" w:cs="Segoe UI"/>
          <w:color w:val="212121"/>
        </w:rPr>
        <w:t xml:space="preserve"> </w:t>
      </w:r>
      <w:r w:rsidR="00E61C88" w:rsidRPr="00554B7C">
        <w:rPr>
          <w:rFonts w:ascii="Segoe UI" w:eastAsia="Times New Roman" w:hAnsi="Segoe UI" w:cs="Segoe UI"/>
          <w:color w:val="212121"/>
        </w:rPr>
        <w:t>To this end</w:t>
      </w:r>
      <w:r w:rsidR="002507DB" w:rsidRPr="00554B7C">
        <w:rPr>
          <w:rFonts w:ascii="Segoe UI" w:eastAsia="Times New Roman" w:hAnsi="Segoe UI" w:cs="Segoe UI"/>
          <w:color w:val="212121"/>
        </w:rPr>
        <w:t xml:space="preserve">, </w:t>
      </w:r>
      <w:r w:rsidR="003C41F2" w:rsidRPr="00554B7C">
        <w:rPr>
          <w:rFonts w:ascii="Segoe UI" w:eastAsia="Times New Roman" w:hAnsi="Segoe UI" w:cs="Segoe UI"/>
          <w:color w:val="212121"/>
        </w:rPr>
        <w:t xml:space="preserve">the Review </w:t>
      </w:r>
      <w:r w:rsidR="002507DB" w:rsidRPr="00554B7C">
        <w:rPr>
          <w:rFonts w:ascii="Segoe UI" w:eastAsia="Times New Roman" w:hAnsi="Segoe UI" w:cs="Segoe UI"/>
          <w:color w:val="212121"/>
        </w:rPr>
        <w:t>provide</w:t>
      </w:r>
      <w:r w:rsidR="003C41F2" w:rsidRPr="00554B7C">
        <w:rPr>
          <w:rFonts w:ascii="Segoe UI" w:eastAsia="Times New Roman" w:hAnsi="Segoe UI" w:cs="Segoe UI"/>
          <w:color w:val="212121"/>
        </w:rPr>
        <w:t>s</w:t>
      </w:r>
      <w:r w:rsidR="002507DB" w:rsidRPr="00554B7C">
        <w:rPr>
          <w:rFonts w:ascii="Segoe UI" w:eastAsia="Times New Roman" w:hAnsi="Segoe UI" w:cs="Segoe UI"/>
          <w:color w:val="212121"/>
        </w:rPr>
        <w:t xml:space="preserve"> a set of principles</w:t>
      </w:r>
      <w:r w:rsidR="003C41F2" w:rsidRPr="00554B7C">
        <w:rPr>
          <w:rFonts w:ascii="Segoe UI" w:eastAsia="Times New Roman" w:hAnsi="Segoe UI" w:cs="Segoe UI"/>
          <w:color w:val="212121"/>
        </w:rPr>
        <w:t xml:space="preserve"> to govern </w:t>
      </w:r>
      <w:r w:rsidR="002507DB" w:rsidRPr="00554B7C">
        <w:rPr>
          <w:rFonts w:ascii="Segoe UI" w:eastAsia="Times New Roman" w:hAnsi="Segoe UI" w:cs="Segoe UI"/>
          <w:color w:val="212121"/>
        </w:rPr>
        <w:t xml:space="preserve">the Government’s approach to funding. </w:t>
      </w:r>
    </w:p>
    <w:p w14:paraId="06E45FE6" w14:textId="77777777" w:rsidR="002507DB" w:rsidRPr="00554B7C" w:rsidRDefault="003C41F2" w:rsidP="001A339A">
      <w:pPr>
        <w:pStyle w:val="ListParagraph"/>
        <w:numPr>
          <w:ilvl w:val="0"/>
          <w:numId w:val="40"/>
        </w:numPr>
        <w:ind w:left="0" w:firstLine="0"/>
        <w:contextualSpacing w:val="0"/>
        <w:rPr>
          <w:rFonts w:ascii="Segoe UI" w:eastAsia="Times New Roman" w:hAnsi="Segoe UI" w:cs="Segoe UI"/>
          <w:color w:val="212121"/>
        </w:rPr>
      </w:pPr>
      <w:r w:rsidRPr="00554B7C">
        <w:rPr>
          <w:rFonts w:ascii="Segoe UI" w:eastAsia="Times New Roman" w:hAnsi="Segoe UI" w:cs="Segoe UI"/>
          <w:color w:val="212121"/>
        </w:rPr>
        <w:t xml:space="preserve">The Review’s </w:t>
      </w:r>
      <w:r w:rsidR="002507DB" w:rsidRPr="00554B7C">
        <w:rPr>
          <w:rFonts w:ascii="Segoe UI" w:eastAsia="Times New Roman" w:hAnsi="Segoe UI" w:cs="Segoe UI"/>
          <w:color w:val="212121"/>
        </w:rPr>
        <w:t xml:space="preserve">recommendations </w:t>
      </w:r>
      <w:r w:rsidR="003F1F5F" w:rsidRPr="00554B7C">
        <w:rPr>
          <w:rFonts w:ascii="Segoe UI" w:eastAsia="Times New Roman" w:hAnsi="Segoe UI" w:cs="Segoe UI"/>
          <w:color w:val="212121"/>
        </w:rPr>
        <w:t xml:space="preserve">focus on </w:t>
      </w:r>
      <w:r w:rsidR="002507DB" w:rsidRPr="00554B7C">
        <w:rPr>
          <w:rFonts w:ascii="Segoe UI" w:eastAsia="Times New Roman" w:hAnsi="Segoe UI" w:cs="Segoe UI"/>
          <w:color w:val="212121"/>
        </w:rPr>
        <w:t xml:space="preserve">how to do better within the existing funding envelope. </w:t>
      </w:r>
      <w:r w:rsidR="001260ED" w:rsidRPr="00554B7C">
        <w:rPr>
          <w:rFonts w:ascii="Segoe UI" w:eastAsia="Times New Roman" w:hAnsi="Segoe UI" w:cs="Segoe UI"/>
          <w:color w:val="212121"/>
        </w:rPr>
        <w:t xml:space="preserve">It </w:t>
      </w:r>
      <w:r w:rsidR="00717901" w:rsidRPr="00554B7C">
        <w:rPr>
          <w:rFonts w:ascii="Segoe UI" w:eastAsia="Times New Roman" w:hAnsi="Segoe UI" w:cs="Segoe UI"/>
          <w:color w:val="212121"/>
        </w:rPr>
        <w:t xml:space="preserve">also sets out what good looks like in the sector in the longer </w:t>
      </w:r>
      <w:r w:rsidR="0069635D" w:rsidRPr="00554B7C">
        <w:rPr>
          <w:rFonts w:ascii="Segoe UI" w:eastAsia="Times New Roman" w:hAnsi="Segoe UI" w:cs="Segoe UI"/>
          <w:color w:val="212121"/>
        </w:rPr>
        <w:t>term, and</w:t>
      </w:r>
      <w:r w:rsidR="002507DB" w:rsidRPr="00554B7C">
        <w:rPr>
          <w:rFonts w:ascii="Segoe UI" w:eastAsia="Times New Roman" w:hAnsi="Segoe UI" w:cs="Segoe UI"/>
          <w:color w:val="212121"/>
        </w:rPr>
        <w:t xml:space="preserve"> present</w:t>
      </w:r>
      <w:r w:rsidRPr="00554B7C">
        <w:rPr>
          <w:rFonts w:ascii="Segoe UI" w:eastAsia="Times New Roman" w:hAnsi="Segoe UI" w:cs="Segoe UI"/>
          <w:color w:val="212121"/>
        </w:rPr>
        <w:t>s</w:t>
      </w:r>
      <w:r w:rsidR="002507DB" w:rsidRPr="00554B7C">
        <w:rPr>
          <w:rFonts w:ascii="Segoe UI" w:eastAsia="Times New Roman" w:hAnsi="Segoe UI" w:cs="Segoe UI"/>
          <w:color w:val="212121"/>
        </w:rPr>
        <w:t xml:space="preserve"> options for how funding could be increased if th</w:t>
      </w:r>
      <w:r w:rsidR="00537E30" w:rsidRPr="00554B7C">
        <w:rPr>
          <w:rFonts w:ascii="Segoe UI" w:eastAsia="Times New Roman" w:hAnsi="Segoe UI" w:cs="Segoe UI"/>
          <w:color w:val="212121"/>
        </w:rPr>
        <w:t xml:space="preserve">is or future </w:t>
      </w:r>
      <w:r w:rsidR="002507DB" w:rsidRPr="00554B7C">
        <w:rPr>
          <w:rFonts w:ascii="Segoe UI" w:eastAsia="Times New Roman" w:hAnsi="Segoe UI" w:cs="Segoe UI"/>
          <w:color w:val="212121"/>
        </w:rPr>
        <w:t>Government</w:t>
      </w:r>
      <w:r w:rsidR="00537E30" w:rsidRPr="00554B7C">
        <w:rPr>
          <w:rFonts w:ascii="Segoe UI" w:eastAsia="Times New Roman" w:hAnsi="Segoe UI" w:cs="Segoe UI"/>
          <w:color w:val="212121"/>
        </w:rPr>
        <w:t>s</w:t>
      </w:r>
      <w:r w:rsidR="00AA4AF4">
        <w:rPr>
          <w:rFonts w:ascii="Segoe UI" w:eastAsia="Times New Roman" w:hAnsi="Segoe UI" w:cs="Segoe UI"/>
          <w:color w:val="212121"/>
        </w:rPr>
        <w:t xml:space="preserve"> a</w:t>
      </w:r>
      <w:r w:rsidR="002507DB" w:rsidRPr="00554B7C">
        <w:rPr>
          <w:rFonts w:ascii="Segoe UI" w:eastAsia="Times New Roman" w:hAnsi="Segoe UI" w:cs="Segoe UI"/>
          <w:color w:val="212121"/>
        </w:rPr>
        <w:t>re so inclined.</w:t>
      </w:r>
      <w:r w:rsidR="009210B7" w:rsidRPr="00554B7C">
        <w:rPr>
          <w:rFonts w:ascii="Segoe UI" w:eastAsia="Times New Roman" w:hAnsi="Segoe UI" w:cs="Segoe UI"/>
          <w:color w:val="212121"/>
        </w:rPr>
        <w:t xml:space="preserve"> </w:t>
      </w:r>
      <w:r w:rsidR="00983290" w:rsidRPr="00554B7C">
        <w:rPr>
          <w:rFonts w:ascii="Segoe UI" w:eastAsia="Times New Roman" w:hAnsi="Segoe UI" w:cs="Segoe UI"/>
          <w:color w:val="212121"/>
        </w:rPr>
        <w:t>I do not consider this an urgent matter</w:t>
      </w:r>
      <w:r w:rsidR="00AA4AF4">
        <w:rPr>
          <w:rFonts w:ascii="Segoe UI" w:eastAsia="Times New Roman" w:hAnsi="Segoe UI" w:cs="Segoe UI"/>
          <w:color w:val="212121"/>
        </w:rPr>
        <w:t>,</w:t>
      </w:r>
      <w:r w:rsidR="00983290" w:rsidRPr="00554B7C">
        <w:rPr>
          <w:rFonts w:ascii="Segoe UI" w:eastAsia="Times New Roman" w:hAnsi="Segoe UI" w:cs="Segoe UI"/>
          <w:color w:val="212121"/>
        </w:rPr>
        <w:t xml:space="preserve"> but one which should be kept under review.</w:t>
      </w:r>
    </w:p>
    <w:p w14:paraId="06E45FE7" w14:textId="77777777" w:rsidR="003F1F5F" w:rsidRPr="00554B7C" w:rsidRDefault="00914935" w:rsidP="001A339A">
      <w:pPr>
        <w:pStyle w:val="ListParagraph"/>
        <w:numPr>
          <w:ilvl w:val="0"/>
          <w:numId w:val="40"/>
        </w:numPr>
        <w:ind w:left="0" w:firstLine="0"/>
        <w:contextualSpacing w:val="0"/>
        <w:rPr>
          <w:rFonts w:ascii="Segoe UI" w:eastAsia="Times New Roman" w:hAnsi="Segoe UI" w:cs="Segoe UI"/>
          <w:color w:val="212121"/>
        </w:rPr>
      </w:pPr>
      <w:r w:rsidRPr="00554B7C">
        <w:rPr>
          <w:rFonts w:ascii="Segoe UI" w:eastAsia="Times New Roman" w:hAnsi="Segoe UI" w:cs="Segoe UI"/>
          <w:color w:val="212121"/>
        </w:rPr>
        <w:t xml:space="preserve">My </w:t>
      </w:r>
      <w:r w:rsidR="0092710D" w:rsidRPr="00554B7C">
        <w:rPr>
          <w:rFonts w:ascii="Segoe UI" w:eastAsia="Times New Roman" w:hAnsi="Segoe UI" w:cs="Segoe UI"/>
          <w:color w:val="212121"/>
        </w:rPr>
        <w:t>starting point is that</w:t>
      </w:r>
      <w:r w:rsidR="003F1F5F" w:rsidRPr="00554B7C">
        <w:rPr>
          <w:rFonts w:ascii="Segoe UI" w:eastAsia="Times New Roman" w:hAnsi="Segoe UI" w:cs="Segoe UI"/>
          <w:color w:val="212121"/>
        </w:rPr>
        <w:t xml:space="preserve"> think tanks and commissioned research can play an important role in subjecting policy development to external scrutiny, in raising public understanding of the strategic challenges facing Australia</w:t>
      </w:r>
      <w:r w:rsidR="00106CDA">
        <w:rPr>
          <w:rFonts w:ascii="Segoe UI" w:eastAsia="Times New Roman" w:hAnsi="Segoe UI" w:cs="Segoe UI"/>
          <w:color w:val="212121"/>
        </w:rPr>
        <w:t>,</w:t>
      </w:r>
      <w:r w:rsidR="003F1F5F" w:rsidRPr="00554B7C">
        <w:rPr>
          <w:rFonts w:ascii="Segoe UI" w:eastAsia="Times New Roman" w:hAnsi="Segoe UI" w:cs="Segoe UI"/>
          <w:color w:val="212121"/>
        </w:rPr>
        <w:t xml:space="preserve"> and in deepening the currently limited pool of experts on strategic policy in Australia.</w:t>
      </w:r>
      <w:r w:rsidR="009210B7" w:rsidRPr="00554B7C">
        <w:rPr>
          <w:rFonts w:ascii="Segoe UI" w:eastAsia="Times New Roman" w:hAnsi="Segoe UI" w:cs="Segoe UI"/>
          <w:color w:val="212121"/>
        </w:rPr>
        <w:t xml:space="preserve"> </w:t>
      </w:r>
      <w:r w:rsidR="003F1F5F" w:rsidRPr="00554B7C">
        <w:rPr>
          <w:rFonts w:ascii="Segoe UI" w:eastAsia="Times New Roman" w:hAnsi="Segoe UI" w:cs="Segoe UI"/>
          <w:color w:val="212121"/>
        </w:rPr>
        <w:t>As our strategic challenges grow in the face of a shifting geostrategic landscape, this contribution will become more important.</w:t>
      </w:r>
      <w:r w:rsidR="009210B7" w:rsidRPr="00554B7C">
        <w:rPr>
          <w:rFonts w:ascii="Segoe UI" w:eastAsia="Times New Roman" w:hAnsi="Segoe UI" w:cs="Segoe UI"/>
          <w:color w:val="212121"/>
        </w:rPr>
        <w:t xml:space="preserve"> </w:t>
      </w:r>
      <w:r w:rsidR="003F1F5F" w:rsidRPr="00554B7C">
        <w:rPr>
          <w:rFonts w:ascii="Segoe UI" w:eastAsia="Times New Roman" w:hAnsi="Segoe UI" w:cs="Segoe UI"/>
          <w:color w:val="212121"/>
        </w:rPr>
        <w:t xml:space="preserve">So getting the </w:t>
      </w:r>
      <w:r w:rsidR="003C41F2" w:rsidRPr="00554B7C">
        <w:rPr>
          <w:rFonts w:ascii="Segoe UI" w:eastAsia="Times New Roman" w:hAnsi="Segoe UI" w:cs="Segoe UI"/>
          <w:color w:val="212121"/>
        </w:rPr>
        <w:t xml:space="preserve">framework and </w:t>
      </w:r>
      <w:r w:rsidR="003F1F5F" w:rsidRPr="00554B7C">
        <w:rPr>
          <w:rFonts w:ascii="Segoe UI" w:eastAsia="Times New Roman" w:hAnsi="Segoe UI" w:cs="Segoe UI"/>
          <w:color w:val="212121"/>
        </w:rPr>
        <w:t>funding model right is important.</w:t>
      </w:r>
    </w:p>
    <w:p w14:paraId="06E45FE8" w14:textId="77777777" w:rsidR="003F1F5F" w:rsidRPr="00554B7C" w:rsidRDefault="007B0C33" w:rsidP="001A339A">
      <w:pPr>
        <w:pStyle w:val="ListParagraph"/>
        <w:numPr>
          <w:ilvl w:val="0"/>
          <w:numId w:val="40"/>
        </w:numPr>
        <w:ind w:left="0" w:firstLine="0"/>
        <w:contextualSpacing w:val="0"/>
        <w:rPr>
          <w:rFonts w:ascii="Segoe UI" w:eastAsia="Times New Roman" w:hAnsi="Segoe UI" w:cs="Segoe UI"/>
          <w:color w:val="212121"/>
        </w:rPr>
      </w:pPr>
      <w:r w:rsidRPr="00554B7C">
        <w:rPr>
          <w:rFonts w:ascii="Segoe UI" w:eastAsia="Times New Roman" w:hAnsi="Segoe UI" w:cs="Segoe UI"/>
          <w:color w:val="212121"/>
        </w:rPr>
        <w:t xml:space="preserve">The Commonwealth provides approximately $40 million per annum to the sector to undertake research, convene events and deliver professional development activities. </w:t>
      </w:r>
      <w:r w:rsidR="001D7B47" w:rsidRPr="00554B7C">
        <w:rPr>
          <w:rFonts w:ascii="Segoe UI" w:eastAsia="Times New Roman" w:hAnsi="Segoe UI" w:cs="Segoe UI"/>
          <w:color w:val="212121"/>
        </w:rPr>
        <w:t>Seven organisations receive almost two-thirds of Commonwealth funding for the sector</w:t>
      </w:r>
      <w:r w:rsidRPr="00554B7C">
        <w:rPr>
          <w:rFonts w:ascii="Segoe UI" w:eastAsia="Times New Roman" w:hAnsi="Segoe UI" w:cs="Segoe UI"/>
          <w:color w:val="212121"/>
        </w:rPr>
        <w:t xml:space="preserve">, followed by a </w:t>
      </w:r>
      <w:r w:rsidR="001478B9" w:rsidRPr="00554B7C">
        <w:rPr>
          <w:rFonts w:ascii="Segoe UI" w:eastAsia="Times New Roman" w:hAnsi="Segoe UI" w:cs="Segoe UI"/>
          <w:color w:val="212121"/>
        </w:rPr>
        <w:t xml:space="preserve">long tail of organisations receiving </w:t>
      </w:r>
      <w:r w:rsidR="00841966" w:rsidRPr="00554B7C">
        <w:rPr>
          <w:rFonts w:ascii="Segoe UI" w:eastAsia="Times New Roman" w:hAnsi="Segoe UI" w:cs="Segoe UI"/>
          <w:color w:val="212121"/>
        </w:rPr>
        <w:t xml:space="preserve">more </w:t>
      </w:r>
      <w:r w:rsidR="001478B9" w:rsidRPr="00554B7C">
        <w:rPr>
          <w:rFonts w:ascii="Segoe UI" w:eastAsia="Times New Roman" w:hAnsi="Segoe UI" w:cs="Segoe UI"/>
          <w:color w:val="212121"/>
        </w:rPr>
        <w:t>modest amounts</w:t>
      </w:r>
      <w:r w:rsidRPr="00554B7C">
        <w:rPr>
          <w:rFonts w:ascii="Segoe UI" w:eastAsia="Times New Roman" w:hAnsi="Segoe UI" w:cs="Segoe UI"/>
          <w:color w:val="212121"/>
        </w:rPr>
        <w:t xml:space="preserve"> for bespoke projects</w:t>
      </w:r>
      <w:r w:rsidR="001478B9" w:rsidRPr="00554B7C">
        <w:rPr>
          <w:rFonts w:ascii="Segoe UI" w:eastAsia="Times New Roman" w:hAnsi="Segoe UI" w:cs="Segoe UI"/>
          <w:color w:val="212121"/>
        </w:rPr>
        <w:t xml:space="preserve">. </w:t>
      </w:r>
    </w:p>
    <w:p w14:paraId="06E45FE9" w14:textId="77777777" w:rsidR="007B0C33" w:rsidRDefault="00076F74" w:rsidP="001A339A">
      <w:pPr>
        <w:pStyle w:val="ListParagraph"/>
        <w:numPr>
          <w:ilvl w:val="0"/>
          <w:numId w:val="40"/>
        </w:numPr>
        <w:ind w:left="0" w:firstLine="0"/>
        <w:contextualSpacing w:val="0"/>
        <w:rPr>
          <w:rFonts w:ascii="Segoe UI" w:hAnsi="Segoe UI" w:cs="Segoe UI"/>
        </w:rPr>
      </w:pPr>
      <w:r>
        <w:rPr>
          <w:rFonts w:ascii="Segoe UI" w:hAnsi="Segoe UI" w:cs="Segoe UI"/>
        </w:rPr>
        <w:lastRenderedPageBreak/>
        <w:t xml:space="preserve">Under this model the </w:t>
      </w:r>
      <w:r w:rsidR="007B0C33">
        <w:rPr>
          <w:rFonts w:ascii="Segoe UI" w:hAnsi="Segoe UI" w:cs="Segoe UI"/>
        </w:rPr>
        <w:t xml:space="preserve">sector’s overall performance </w:t>
      </w:r>
      <w:r w:rsidR="003A72E2">
        <w:rPr>
          <w:rFonts w:ascii="Segoe UI" w:hAnsi="Segoe UI" w:cs="Segoe UI"/>
        </w:rPr>
        <w:t>is</w:t>
      </w:r>
      <w:r w:rsidR="007B0C33">
        <w:rPr>
          <w:rFonts w:ascii="Segoe UI" w:hAnsi="Segoe UI" w:cs="Segoe UI"/>
        </w:rPr>
        <w:t xml:space="preserve"> mixed. It has </w:t>
      </w:r>
      <w:r w:rsidR="009C7E34">
        <w:rPr>
          <w:rFonts w:ascii="Segoe UI" w:hAnsi="Segoe UI" w:cs="Segoe UI"/>
        </w:rPr>
        <w:t xml:space="preserve">generally </w:t>
      </w:r>
      <w:r w:rsidR="007B0C33">
        <w:rPr>
          <w:rFonts w:ascii="Segoe UI" w:hAnsi="Segoe UI" w:cs="Segoe UI"/>
        </w:rPr>
        <w:t xml:space="preserve">performed well </w:t>
      </w:r>
      <w:r>
        <w:rPr>
          <w:rFonts w:ascii="Segoe UI" w:hAnsi="Segoe UI" w:cs="Segoe UI"/>
        </w:rPr>
        <w:t>at</w:t>
      </w:r>
      <w:r w:rsidR="007B0C33">
        <w:rPr>
          <w:rFonts w:ascii="Segoe UI" w:hAnsi="Segoe UI" w:cs="Segoe UI"/>
        </w:rPr>
        <w:t xml:space="preserve"> delivering policy-related events and professional development services. </w:t>
      </w:r>
      <w:r>
        <w:rPr>
          <w:rFonts w:ascii="Segoe UI" w:hAnsi="Segoe UI" w:cs="Segoe UI"/>
        </w:rPr>
        <w:t>But</w:t>
      </w:r>
      <w:r w:rsidR="007B0C33">
        <w:rPr>
          <w:rFonts w:ascii="Segoe UI" w:hAnsi="Segoe UI" w:cs="Segoe UI"/>
        </w:rPr>
        <w:t xml:space="preserve"> the research outputs </w:t>
      </w:r>
      <w:r w:rsidR="00841966">
        <w:rPr>
          <w:rFonts w:ascii="Segoe UI" w:hAnsi="Segoe UI" w:cs="Segoe UI"/>
        </w:rPr>
        <w:t>are</w:t>
      </w:r>
      <w:r w:rsidR="007B0C33">
        <w:rPr>
          <w:rFonts w:ascii="Segoe UI" w:hAnsi="Segoe UI" w:cs="Segoe UI"/>
        </w:rPr>
        <w:t xml:space="preserve"> variable</w:t>
      </w:r>
      <w:r w:rsidR="009C7E34">
        <w:rPr>
          <w:rFonts w:ascii="Segoe UI" w:hAnsi="Segoe UI" w:cs="Segoe UI"/>
        </w:rPr>
        <w:t xml:space="preserve">, </w:t>
      </w:r>
      <w:r w:rsidR="00F90EE5">
        <w:rPr>
          <w:rFonts w:ascii="Segoe UI" w:hAnsi="Segoe UI" w:cs="Segoe UI"/>
        </w:rPr>
        <w:t xml:space="preserve">often </w:t>
      </w:r>
      <w:r w:rsidR="009C7E34" w:rsidRPr="00752A8B">
        <w:rPr>
          <w:rFonts w:ascii="Segoe UI" w:eastAsia="Times New Roman" w:hAnsi="Segoe UI" w:cs="Segoe UI"/>
          <w:color w:val="212121"/>
        </w:rPr>
        <w:t>lack</w:t>
      </w:r>
      <w:r w:rsidR="009C7E34">
        <w:rPr>
          <w:rFonts w:ascii="Segoe UI" w:eastAsia="Times New Roman" w:hAnsi="Segoe UI" w:cs="Segoe UI"/>
          <w:color w:val="212121"/>
        </w:rPr>
        <w:t>ing</w:t>
      </w:r>
      <w:r w:rsidR="009C7E34" w:rsidRPr="00752A8B">
        <w:rPr>
          <w:rFonts w:ascii="Segoe UI" w:eastAsia="Times New Roman" w:hAnsi="Segoe UI" w:cs="Segoe UI"/>
          <w:color w:val="212121"/>
        </w:rPr>
        <w:t xml:space="preserve"> divers</w:t>
      </w:r>
      <w:r w:rsidR="009C7E34">
        <w:rPr>
          <w:rFonts w:ascii="Segoe UI" w:eastAsia="Times New Roman" w:hAnsi="Segoe UI" w:cs="Segoe UI"/>
          <w:color w:val="212121"/>
        </w:rPr>
        <w:t xml:space="preserve">e views </w:t>
      </w:r>
      <w:r w:rsidR="009C7E34" w:rsidRPr="00752A8B">
        <w:rPr>
          <w:rFonts w:ascii="Segoe UI" w:eastAsia="Times New Roman" w:hAnsi="Segoe UI" w:cs="Segoe UI"/>
          <w:color w:val="212121"/>
        </w:rPr>
        <w:t xml:space="preserve">and </w:t>
      </w:r>
      <w:r w:rsidR="009C7E34">
        <w:rPr>
          <w:rFonts w:ascii="Segoe UI" w:eastAsia="Times New Roman" w:hAnsi="Segoe UI" w:cs="Segoe UI"/>
          <w:color w:val="212121"/>
        </w:rPr>
        <w:t xml:space="preserve">at times </w:t>
      </w:r>
      <w:r w:rsidR="009C7E34" w:rsidRPr="00752A8B">
        <w:rPr>
          <w:rFonts w:ascii="Segoe UI" w:eastAsia="Times New Roman" w:hAnsi="Segoe UI" w:cs="Segoe UI"/>
          <w:color w:val="212121"/>
        </w:rPr>
        <w:t>stray</w:t>
      </w:r>
      <w:r w:rsidR="009C7E34">
        <w:rPr>
          <w:rFonts w:ascii="Segoe UI" w:eastAsia="Times New Roman" w:hAnsi="Segoe UI" w:cs="Segoe UI"/>
          <w:color w:val="212121"/>
        </w:rPr>
        <w:t>ing</w:t>
      </w:r>
      <w:r w:rsidR="009C7E34" w:rsidRPr="00752A8B">
        <w:rPr>
          <w:rFonts w:ascii="Segoe UI" w:eastAsia="Times New Roman" w:hAnsi="Segoe UI" w:cs="Segoe UI"/>
          <w:color w:val="212121"/>
        </w:rPr>
        <w:t xml:space="preserve"> from </w:t>
      </w:r>
      <w:r w:rsidR="009C7E34">
        <w:rPr>
          <w:rFonts w:ascii="Segoe UI" w:eastAsia="Times New Roman" w:hAnsi="Segoe UI" w:cs="Segoe UI"/>
          <w:color w:val="212121"/>
        </w:rPr>
        <w:t xml:space="preserve">fact-based </w:t>
      </w:r>
      <w:r w:rsidR="009C7E34" w:rsidRPr="00752A8B">
        <w:rPr>
          <w:rFonts w:ascii="Segoe UI" w:eastAsia="Times New Roman" w:hAnsi="Segoe UI" w:cs="Segoe UI"/>
          <w:color w:val="212121"/>
        </w:rPr>
        <w:t>analysis into opinion-based commentary.</w:t>
      </w:r>
      <w:r w:rsidR="009C7E34">
        <w:rPr>
          <w:rFonts w:ascii="Segoe UI" w:eastAsia="Times New Roman" w:hAnsi="Segoe UI" w:cs="Segoe UI"/>
          <w:color w:val="212121"/>
        </w:rPr>
        <w:t xml:space="preserve"> This undermines quality and </w:t>
      </w:r>
      <w:r w:rsidR="00F90EE5">
        <w:rPr>
          <w:rFonts w:ascii="Segoe UI" w:eastAsia="Times New Roman" w:hAnsi="Segoe UI" w:cs="Segoe UI"/>
          <w:color w:val="212121"/>
        </w:rPr>
        <w:t xml:space="preserve">diminishes </w:t>
      </w:r>
      <w:r w:rsidR="009C7E34">
        <w:rPr>
          <w:rFonts w:ascii="Segoe UI" w:eastAsia="Times New Roman" w:hAnsi="Segoe UI" w:cs="Segoe UI"/>
          <w:color w:val="212121"/>
        </w:rPr>
        <w:t>trust in the sector.</w:t>
      </w:r>
      <w:r w:rsidR="00F90EE5">
        <w:rPr>
          <w:rFonts w:ascii="Segoe UI" w:eastAsia="Times New Roman" w:hAnsi="Segoe UI" w:cs="Segoe UI"/>
          <w:color w:val="212121"/>
        </w:rPr>
        <w:t xml:space="preserve"> Improvements are needed from both Government and the sector</w:t>
      </w:r>
      <w:r w:rsidR="00841966">
        <w:rPr>
          <w:rFonts w:ascii="Segoe UI" w:eastAsia="Times New Roman" w:hAnsi="Segoe UI" w:cs="Segoe UI"/>
          <w:color w:val="212121"/>
        </w:rPr>
        <w:t xml:space="preserve"> to raise the bar</w:t>
      </w:r>
      <w:r w:rsidR="00F90EE5">
        <w:rPr>
          <w:rFonts w:ascii="Segoe UI" w:eastAsia="Times New Roman" w:hAnsi="Segoe UI" w:cs="Segoe UI"/>
          <w:color w:val="212121"/>
        </w:rPr>
        <w:t>.</w:t>
      </w:r>
    </w:p>
    <w:p w14:paraId="06E45FEA" w14:textId="77777777" w:rsidR="00D163ED" w:rsidRDefault="00696C84" w:rsidP="001A339A">
      <w:pPr>
        <w:pStyle w:val="ListParagraph"/>
        <w:numPr>
          <w:ilvl w:val="0"/>
          <w:numId w:val="40"/>
        </w:numPr>
        <w:ind w:left="0" w:firstLine="0"/>
        <w:contextualSpacing w:val="0"/>
        <w:rPr>
          <w:rFonts w:ascii="Segoe UI" w:eastAsia="Times New Roman" w:hAnsi="Segoe UI" w:cs="Segoe UI"/>
          <w:color w:val="212121"/>
        </w:rPr>
      </w:pPr>
      <w:r>
        <w:rPr>
          <w:rFonts w:ascii="Segoe UI" w:eastAsia="Times New Roman" w:hAnsi="Segoe UI" w:cs="Segoe UI"/>
          <w:color w:val="212121"/>
        </w:rPr>
        <w:t xml:space="preserve">Currently, there are no </w:t>
      </w:r>
      <w:r w:rsidR="009C7E34" w:rsidRPr="00752A8B">
        <w:rPr>
          <w:rFonts w:ascii="Segoe UI" w:eastAsia="Times New Roman" w:hAnsi="Segoe UI" w:cs="Segoe UI"/>
          <w:color w:val="212121"/>
        </w:rPr>
        <w:t xml:space="preserve">whole-of-government objectives </w:t>
      </w:r>
      <w:r w:rsidR="009C7E34">
        <w:rPr>
          <w:rFonts w:ascii="Segoe UI" w:eastAsia="Times New Roman" w:hAnsi="Segoe UI" w:cs="Segoe UI"/>
          <w:color w:val="212121"/>
        </w:rPr>
        <w:t xml:space="preserve">and priorities </w:t>
      </w:r>
      <w:r w:rsidR="009C7E34" w:rsidRPr="00752A8B">
        <w:rPr>
          <w:rFonts w:ascii="Segoe UI" w:eastAsia="Times New Roman" w:hAnsi="Segoe UI" w:cs="Segoe UI"/>
          <w:color w:val="212121"/>
        </w:rPr>
        <w:t xml:space="preserve">for the </w:t>
      </w:r>
      <w:r>
        <w:rPr>
          <w:rFonts w:ascii="Segoe UI" w:eastAsia="Times New Roman" w:hAnsi="Segoe UI" w:cs="Segoe UI"/>
          <w:color w:val="212121"/>
        </w:rPr>
        <w:t xml:space="preserve">funding of </w:t>
      </w:r>
      <w:r w:rsidR="00AA4AF4">
        <w:rPr>
          <w:rFonts w:ascii="Segoe UI" w:eastAsia="Times New Roman" w:hAnsi="Segoe UI" w:cs="Segoe UI"/>
          <w:color w:val="212121"/>
        </w:rPr>
        <w:t xml:space="preserve">national security </w:t>
      </w:r>
      <w:r>
        <w:rPr>
          <w:rFonts w:ascii="Segoe UI" w:eastAsia="Times New Roman" w:hAnsi="Segoe UI" w:cs="Segoe UI"/>
          <w:color w:val="212121"/>
        </w:rPr>
        <w:t>strategic policy work.</w:t>
      </w:r>
      <w:r w:rsidR="009210B7">
        <w:rPr>
          <w:rFonts w:ascii="Segoe UI" w:eastAsia="Times New Roman" w:hAnsi="Segoe UI" w:cs="Segoe UI"/>
          <w:color w:val="212121"/>
        </w:rPr>
        <w:t xml:space="preserve"> </w:t>
      </w:r>
      <w:r>
        <w:rPr>
          <w:rFonts w:ascii="Segoe UI" w:eastAsia="Times New Roman" w:hAnsi="Segoe UI" w:cs="Segoe UI"/>
          <w:color w:val="212121"/>
        </w:rPr>
        <w:t>This must change.</w:t>
      </w:r>
      <w:r w:rsidR="009210B7">
        <w:rPr>
          <w:rFonts w:ascii="Segoe UI" w:eastAsia="Times New Roman" w:hAnsi="Segoe UI" w:cs="Segoe UI"/>
          <w:color w:val="212121"/>
        </w:rPr>
        <w:t xml:space="preserve"> </w:t>
      </w:r>
      <w:r w:rsidR="009C7E34">
        <w:rPr>
          <w:rFonts w:ascii="Segoe UI" w:eastAsia="Times New Roman" w:hAnsi="Segoe UI" w:cs="Segoe UI"/>
          <w:color w:val="212121"/>
        </w:rPr>
        <w:t xml:space="preserve">The Secretaries’ Committee on National Security </w:t>
      </w:r>
      <w:r>
        <w:rPr>
          <w:rFonts w:ascii="Segoe UI" w:eastAsia="Times New Roman" w:hAnsi="Segoe UI" w:cs="Segoe UI"/>
          <w:color w:val="212121"/>
        </w:rPr>
        <w:t xml:space="preserve">(SCNS) </w:t>
      </w:r>
      <w:r w:rsidR="009C7E34">
        <w:rPr>
          <w:rFonts w:ascii="Segoe UI" w:eastAsia="Times New Roman" w:hAnsi="Segoe UI" w:cs="Segoe UI"/>
          <w:color w:val="212121"/>
        </w:rPr>
        <w:t xml:space="preserve">should take </w:t>
      </w:r>
      <w:r>
        <w:rPr>
          <w:rFonts w:ascii="Segoe UI" w:eastAsia="Times New Roman" w:hAnsi="Segoe UI" w:cs="Segoe UI"/>
          <w:color w:val="212121"/>
        </w:rPr>
        <w:t>the lead on this by setting annual priorities.</w:t>
      </w:r>
      <w:r w:rsidR="009210B7">
        <w:rPr>
          <w:rFonts w:ascii="Segoe UI" w:eastAsia="Times New Roman" w:hAnsi="Segoe UI" w:cs="Segoe UI"/>
          <w:color w:val="212121"/>
        </w:rPr>
        <w:t xml:space="preserve"> </w:t>
      </w:r>
    </w:p>
    <w:p w14:paraId="06E45FEB" w14:textId="77777777" w:rsidR="00D163ED" w:rsidRDefault="00D163ED" w:rsidP="001A339A">
      <w:pPr>
        <w:pStyle w:val="ListParagraph"/>
        <w:numPr>
          <w:ilvl w:val="0"/>
          <w:numId w:val="40"/>
        </w:numPr>
        <w:ind w:left="0" w:firstLine="0"/>
        <w:contextualSpacing w:val="0"/>
        <w:rPr>
          <w:rFonts w:ascii="Segoe UI" w:eastAsia="Times New Roman" w:hAnsi="Segoe UI" w:cs="Segoe UI"/>
          <w:color w:val="212121"/>
        </w:rPr>
      </w:pPr>
      <w:r w:rsidRPr="00D163ED">
        <w:rPr>
          <w:rFonts w:ascii="Segoe UI" w:eastAsia="Times New Roman" w:hAnsi="Segoe UI" w:cs="Segoe UI"/>
          <w:color w:val="212121"/>
        </w:rPr>
        <w:t xml:space="preserve">The Review recommends that operating funding move to a </w:t>
      </w:r>
      <w:r w:rsidR="0052215F">
        <w:rPr>
          <w:rFonts w:ascii="Segoe UI" w:eastAsia="Times New Roman" w:hAnsi="Segoe UI" w:cs="Segoe UI"/>
          <w:color w:val="212121"/>
        </w:rPr>
        <w:t>five-year</w:t>
      </w:r>
      <w:r w:rsidRPr="00D163ED">
        <w:rPr>
          <w:rFonts w:ascii="Segoe UI" w:eastAsia="Times New Roman" w:hAnsi="Segoe UI" w:cs="Segoe UI"/>
          <w:color w:val="212121"/>
        </w:rPr>
        <w:t xml:space="preserve"> funding cycle to provide greater funding certainty.</w:t>
      </w:r>
      <w:r>
        <w:rPr>
          <w:rFonts w:ascii="Segoe UI" w:eastAsia="Times New Roman" w:hAnsi="Segoe UI" w:cs="Segoe UI"/>
          <w:color w:val="212121"/>
        </w:rPr>
        <w:t xml:space="preserve"> </w:t>
      </w:r>
      <w:r w:rsidRPr="00D163ED">
        <w:rPr>
          <w:rFonts w:ascii="Segoe UI" w:eastAsia="Times New Roman" w:hAnsi="Segoe UI" w:cs="Segoe UI"/>
          <w:color w:val="212121"/>
        </w:rPr>
        <w:t>To avoid excessive disruption, existing funding arrangements should be rolled over for two years, with the first year used to conclude an open tender process and the second year providing current recipients time to adjust, if necessary, to the outcome of the open tender.</w:t>
      </w:r>
    </w:p>
    <w:p w14:paraId="06E45FEC" w14:textId="77777777" w:rsidR="00696C84" w:rsidRDefault="00D163ED" w:rsidP="001A339A">
      <w:pPr>
        <w:pStyle w:val="ListParagraph"/>
        <w:numPr>
          <w:ilvl w:val="0"/>
          <w:numId w:val="40"/>
        </w:numPr>
        <w:ind w:left="0" w:firstLine="0"/>
        <w:contextualSpacing w:val="0"/>
        <w:rPr>
          <w:rFonts w:ascii="Segoe UI" w:eastAsia="Times New Roman" w:hAnsi="Segoe UI" w:cs="Segoe UI"/>
          <w:color w:val="212121"/>
        </w:rPr>
      </w:pPr>
      <w:r>
        <w:rPr>
          <w:rFonts w:ascii="Segoe UI" w:eastAsia="Times New Roman" w:hAnsi="Segoe UI" w:cs="Segoe UI"/>
          <w:color w:val="212121"/>
        </w:rPr>
        <w:t xml:space="preserve">Aside from these processes, the Review recognises and upholds the benefits of a decentralised system. </w:t>
      </w:r>
      <w:r w:rsidR="00696C84">
        <w:rPr>
          <w:rFonts w:ascii="Segoe UI" w:eastAsia="Times New Roman" w:hAnsi="Segoe UI" w:cs="Segoe UI"/>
          <w:color w:val="212121"/>
        </w:rPr>
        <w:t xml:space="preserve">Departments and agencies </w:t>
      </w:r>
      <w:r>
        <w:rPr>
          <w:rFonts w:ascii="Segoe UI" w:eastAsia="Times New Roman" w:hAnsi="Segoe UI" w:cs="Segoe UI"/>
          <w:color w:val="212121"/>
        </w:rPr>
        <w:t xml:space="preserve">should </w:t>
      </w:r>
      <w:r w:rsidR="00696C84">
        <w:rPr>
          <w:rFonts w:ascii="Segoe UI" w:eastAsia="Times New Roman" w:hAnsi="Segoe UI" w:cs="Segoe UI"/>
          <w:color w:val="212121"/>
        </w:rPr>
        <w:t xml:space="preserve">make their own decisions on what </w:t>
      </w:r>
      <w:r w:rsidR="00554B7C">
        <w:rPr>
          <w:rFonts w:ascii="Segoe UI" w:eastAsia="Times New Roman" w:hAnsi="Segoe UI" w:cs="Segoe UI"/>
          <w:color w:val="212121"/>
        </w:rPr>
        <w:t xml:space="preserve">other </w:t>
      </w:r>
      <w:r w:rsidR="00696C84">
        <w:rPr>
          <w:rFonts w:ascii="Segoe UI" w:eastAsia="Times New Roman" w:hAnsi="Segoe UI" w:cs="Segoe UI"/>
          <w:color w:val="212121"/>
        </w:rPr>
        <w:t>work to fund</w:t>
      </w:r>
      <w:r w:rsidR="00983290">
        <w:rPr>
          <w:rFonts w:ascii="Segoe UI" w:eastAsia="Times New Roman" w:hAnsi="Segoe UI" w:cs="Segoe UI"/>
          <w:color w:val="212121"/>
        </w:rPr>
        <w:t>,</w:t>
      </w:r>
      <w:r w:rsidR="00696C84">
        <w:rPr>
          <w:rFonts w:ascii="Segoe UI" w:eastAsia="Times New Roman" w:hAnsi="Segoe UI" w:cs="Segoe UI"/>
          <w:color w:val="212121"/>
        </w:rPr>
        <w:t xml:space="preserve"> </w:t>
      </w:r>
      <w:r w:rsidR="00914935">
        <w:rPr>
          <w:rFonts w:ascii="Segoe UI" w:eastAsia="Times New Roman" w:hAnsi="Segoe UI" w:cs="Segoe UI"/>
          <w:color w:val="212121"/>
        </w:rPr>
        <w:t xml:space="preserve">providing </w:t>
      </w:r>
      <w:r w:rsidR="00696C84">
        <w:rPr>
          <w:rFonts w:ascii="Segoe UI" w:eastAsia="Times New Roman" w:hAnsi="Segoe UI" w:cs="Segoe UI"/>
          <w:color w:val="212121"/>
        </w:rPr>
        <w:t>they align with the centrally determined priorities.</w:t>
      </w:r>
      <w:r w:rsidR="009210B7">
        <w:rPr>
          <w:rFonts w:ascii="Segoe UI" w:eastAsia="Times New Roman" w:hAnsi="Segoe UI" w:cs="Segoe UI"/>
          <w:color w:val="212121"/>
        </w:rPr>
        <w:t xml:space="preserve"> </w:t>
      </w:r>
    </w:p>
    <w:p w14:paraId="06E45FED" w14:textId="77777777" w:rsidR="00696C84" w:rsidRDefault="00076F74" w:rsidP="001A339A">
      <w:pPr>
        <w:pStyle w:val="ListParagraph"/>
        <w:numPr>
          <w:ilvl w:val="0"/>
          <w:numId w:val="40"/>
        </w:numPr>
        <w:ind w:left="0" w:firstLine="0"/>
        <w:contextualSpacing w:val="0"/>
        <w:rPr>
          <w:rFonts w:ascii="Segoe UI" w:hAnsi="Segoe UI" w:cs="Segoe UI"/>
        </w:rPr>
      </w:pPr>
      <w:r w:rsidRPr="1E3E56AE">
        <w:rPr>
          <w:rFonts w:ascii="Segoe UI" w:eastAsia="Times New Roman" w:hAnsi="Segoe UI" w:cs="Segoe UI"/>
        </w:rPr>
        <w:t xml:space="preserve">The current system </w:t>
      </w:r>
      <w:r w:rsidR="009A25C6" w:rsidRPr="1E3E56AE">
        <w:rPr>
          <w:rFonts w:ascii="Segoe UI" w:eastAsia="Times New Roman" w:hAnsi="Segoe UI" w:cs="Segoe UI"/>
        </w:rPr>
        <w:t>is spread too thin</w:t>
      </w:r>
      <w:r w:rsidR="001478B9">
        <w:rPr>
          <w:rFonts w:ascii="Segoe UI" w:hAnsi="Segoe UI" w:cs="Segoe UI"/>
        </w:rPr>
        <w:t xml:space="preserve"> and involves too much administration.</w:t>
      </w:r>
      <w:r w:rsidR="003C41F2">
        <w:rPr>
          <w:rFonts w:ascii="Segoe UI" w:hAnsi="Segoe UI" w:cs="Segoe UI"/>
        </w:rPr>
        <w:t xml:space="preserve"> Funding fewer organisations for longer would be better and would ease </w:t>
      </w:r>
      <w:r w:rsidR="00914935">
        <w:rPr>
          <w:rFonts w:ascii="Segoe UI" w:hAnsi="Segoe UI" w:cs="Segoe UI"/>
        </w:rPr>
        <w:t>recruitment</w:t>
      </w:r>
      <w:r w:rsidR="003C41F2">
        <w:rPr>
          <w:rFonts w:ascii="Segoe UI" w:hAnsi="Segoe UI" w:cs="Segoe UI"/>
        </w:rPr>
        <w:t xml:space="preserve"> planning.</w:t>
      </w:r>
      <w:r w:rsidR="00E61C88">
        <w:rPr>
          <w:rFonts w:ascii="Segoe UI" w:hAnsi="Segoe UI" w:cs="Segoe UI"/>
        </w:rPr>
        <w:t xml:space="preserve"> Minimum burden should be a guiding principle for administration, and access to Commonwealth funding should be through single departmental gateways wherever practical. </w:t>
      </w:r>
    </w:p>
    <w:p w14:paraId="06E45FEE" w14:textId="77777777" w:rsidR="00F64CB7" w:rsidRDefault="009A25C6" w:rsidP="001A339A">
      <w:pPr>
        <w:pStyle w:val="ListParagraph"/>
        <w:numPr>
          <w:ilvl w:val="0"/>
          <w:numId w:val="40"/>
        </w:numPr>
        <w:ind w:left="0" w:firstLine="0"/>
        <w:contextualSpacing w:val="0"/>
        <w:rPr>
          <w:rFonts w:ascii="Segoe UI" w:hAnsi="Segoe UI" w:cs="Segoe UI"/>
        </w:rPr>
      </w:pPr>
      <w:r>
        <w:rPr>
          <w:rFonts w:ascii="Segoe UI" w:hAnsi="Segoe UI" w:cs="Segoe UI"/>
        </w:rPr>
        <w:t>Co-</w:t>
      </w:r>
      <w:r w:rsidR="00E61C88">
        <w:rPr>
          <w:rFonts w:ascii="Segoe UI" w:hAnsi="Segoe UI" w:cs="Segoe UI"/>
        </w:rPr>
        <w:t>design should be a feature of Government’s engagement with the sector. This should apply all the way through an arrangement’s life</w:t>
      </w:r>
      <w:r w:rsidR="00F64CB7">
        <w:rPr>
          <w:rFonts w:ascii="Segoe UI" w:hAnsi="Segoe UI" w:cs="Segoe UI"/>
        </w:rPr>
        <w:t>-</w:t>
      </w:r>
      <w:r w:rsidR="00E61C88">
        <w:rPr>
          <w:rFonts w:ascii="Segoe UI" w:hAnsi="Segoe UI" w:cs="Segoe UI"/>
        </w:rPr>
        <w:t xml:space="preserve">cycle, including designing the scope, fine-tuning the direction and </w:t>
      </w:r>
      <w:r w:rsidR="00F64CB7">
        <w:rPr>
          <w:rFonts w:ascii="Segoe UI" w:hAnsi="Segoe UI" w:cs="Segoe UI"/>
        </w:rPr>
        <w:t xml:space="preserve">making evaluation a dialogue rather than a tick the box on completion. </w:t>
      </w:r>
      <w:r w:rsidR="00B70151">
        <w:rPr>
          <w:rFonts w:ascii="Segoe UI" w:hAnsi="Segoe UI" w:cs="Segoe UI"/>
        </w:rPr>
        <w:t>Security clearances, secondments</w:t>
      </w:r>
      <w:r>
        <w:rPr>
          <w:rFonts w:ascii="Segoe UI" w:hAnsi="Segoe UI" w:cs="Segoe UI"/>
        </w:rPr>
        <w:t>,</w:t>
      </w:r>
      <w:r w:rsidR="00B70151">
        <w:rPr>
          <w:rFonts w:ascii="Segoe UI" w:hAnsi="Segoe UI" w:cs="Segoe UI"/>
        </w:rPr>
        <w:t xml:space="preserve"> and exchanges should be more prominent in the sector to enhance Government’s ability to engage effectively.</w:t>
      </w:r>
    </w:p>
    <w:p w14:paraId="06E45FEF" w14:textId="77777777" w:rsidR="006C47AA" w:rsidRDefault="003C41F2" w:rsidP="001A339A">
      <w:pPr>
        <w:pStyle w:val="ListParagraph"/>
        <w:numPr>
          <w:ilvl w:val="0"/>
          <w:numId w:val="40"/>
        </w:numPr>
        <w:ind w:left="0" w:firstLine="0"/>
        <w:contextualSpacing w:val="0"/>
        <w:rPr>
          <w:rFonts w:ascii="Segoe UI" w:hAnsi="Segoe UI" w:cs="Segoe UI"/>
        </w:rPr>
      </w:pPr>
      <w:r>
        <w:rPr>
          <w:rFonts w:ascii="Segoe UI" w:hAnsi="Segoe UI" w:cs="Segoe UI"/>
        </w:rPr>
        <w:t xml:space="preserve">The current system is </w:t>
      </w:r>
      <w:r w:rsidR="006C47AA">
        <w:rPr>
          <w:rFonts w:ascii="Segoe UI" w:hAnsi="Segoe UI" w:cs="Segoe UI"/>
        </w:rPr>
        <w:t xml:space="preserve">not transparent. There is no central data base which outlines who is getting what funding for what purpose and from whom. </w:t>
      </w:r>
      <w:r w:rsidR="001260ED">
        <w:rPr>
          <w:rFonts w:ascii="Segoe UI" w:hAnsi="Segoe UI" w:cs="Segoe UI"/>
        </w:rPr>
        <w:t>Twenty nine per</w:t>
      </w:r>
      <w:r w:rsidR="009A25C6">
        <w:rPr>
          <w:rFonts w:ascii="Segoe UI" w:hAnsi="Segoe UI" w:cs="Segoe UI"/>
        </w:rPr>
        <w:t xml:space="preserve"> </w:t>
      </w:r>
      <w:r w:rsidR="001260ED">
        <w:rPr>
          <w:rFonts w:ascii="Segoe UI" w:hAnsi="Segoe UI" w:cs="Segoe UI"/>
        </w:rPr>
        <w:t xml:space="preserve">cent of funding to the sector came from non-competitive grants. </w:t>
      </w:r>
      <w:r w:rsidR="006C47AA">
        <w:rPr>
          <w:rFonts w:ascii="Segoe UI" w:hAnsi="Segoe UI" w:cs="Segoe UI"/>
        </w:rPr>
        <w:t>Opaque arrangements only make sweetheart deals more likely.</w:t>
      </w:r>
      <w:r w:rsidR="001260ED">
        <w:rPr>
          <w:rFonts w:ascii="Segoe UI" w:hAnsi="Segoe UI" w:cs="Segoe UI"/>
        </w:rPr>
        <w:t xml:space="preserve"> </w:t>
      </w:r>
    </w:p>
    <w:p w14:paraId="06E45FF0" w14:textId="77777777" w:rsidR="009B1B44" w:rsidRDefault="009B1B44" w:rsidP="001A339A">
      <w:pPr>
        <w:pStyle w:val="ListParagraph"/>
        <w:numPr>
          <w:ilvl w:val="0"/>
          <w:numId w:val="40"/>
        </w:numPr>
        <w:ind w:left="0" w:firstLine="0"/>
        <w:contextualSpacing w:val="0"/>
        <w:rPr>
          <w:rFonts w:ascii="Segoe UI" w:hAnsi="Segoe UI" w:cs="Segoe UI"/>
        </w:rPr>
      </w:pPr>
      <w:r>
        <w:rPr>
          <w:rFonts w:ascii="Segoe UI" w:hAnsi="Segoe UI" w:cs="Segoe UI"/>
        </w:rPr>
        <w:t>Commissioned strategic policy work would benefit from a more multi</w:t>
      </w:r>
      <w:r w:rsidR="00717901">
        <w:rPr>
          <w:rFonts w:ascii="Segoe UI" w:hAnsi="Segoe UI" w:cs="Segoe UI"/>
        </w:rPr>
        <w:t>-</w:t>
      </w:r>
      <w:r>
        <w:rPr>
          <w:rFonts w:ascii="Segoe UI" w:hAnsi="Segoe UI" w:cs="Segoe UI"/>
        </w:rPr>
        <w:t xml:space="preserve">disciplinary perspective that is better able to weave together the geopolitical, economic, technological and social threads of policy. Also there would be value in more collaboration by think tanks and </w:t>
      </w:r>
      <w:r w:rsidR="009A25C6" w:rsidRPr="2A58AD4E">
        <w:rPr>
          <w:rFonts w:ascii="Segoe UI" w:hAnsi="Segoe UI" w:cs="Segoe UI"/>
        </w:rPr>
        <w:t>academic</w:t>
      </w:r>
      <w:r w:rsidR="009A25C6">
        <w:rPr>
          <w:rFonts w:ascii="Segoe UI" w:hAnsi="Segoe UI" w:cs="Segoe UI"/>
        </w:rPr>
        <w:t xml:space="preserve"> institutions</w:t>
      </w:r>
      <w:r>
        <w:rPr>
          <w:rFonts w:ascii="Segoe UI" w:hAnsi="Segoe UI" w:cs="Segoe UI"/>
        </w:rPr>
        <w:t xml:space="preserve">, especially when tasked by </w:t>
      </w:r>
      <w:r w:rsidR="003A72E2">
        <w:rPr>
          <w:rFonts w:ascii="Segoe UI" w:hAnsi="Segoe UI" w:cs="Segoe UI"/>
        </w:rPr>
        <w:t xml:space="preserve">Government </w:t>
      </w:r>
      <w:r>
        <w:rPr>
          <w:rFonts w:ascii="Segoe UI" w:hAnsi="Segoe UI" w:cs="Segoe UI"/>
        </w:rPr>
        <w:t>to address specific but interconnected policy challenges.</w:t>
      </w:r>
    </w:p>
    <w:p w14:paraId="06E45FF1" w14:textId="77777777" w:rsidR="009B1B44" w:rsidRDefault="009B1B44" w:rsidP="001A339A">
      <w:pPr>
        <w:pStyle w:val="ListParagraph"/>
        <w:numPr>
          <w:ilvl w:val="0"/>
          <w:numId w:val="40"/>
        </w:numPr>
        <w:ind w:left="0" w:firstLine="0"/>
        <w:contextualSpacing w:val="0"/>
        <w:rPr>
          <w:rFonts w:ascii="Segoe UI" w:hAnsi="Segoe UI" w:cs="Segoe UI"/>
        </w:rPr>
      </w:pPr>
      <w:r>
        <w:rPr>
          <w:rFonts w:ascii="Segoe UI" w:hAnsi="Segoe UI" w:cs="Segoe UI"/>
        </w:rPr>
        <w:t xml:space="preserve">Not only should strategic policy making be subject to more external scrutiny by experts in the field, </w:t>
      </w:r>
      <w:r w:rsidR="00316F5B">
        <w:rPr>
          <w:rFonts w:ascii="Segoe UI" w:hAnsi="Segoe UI" w:cs="Segoe UI"/>
        </w:rPr>
        <w:t>but this contestability should also</w:t>
      </w:r>
      <w:r>
        <w:rPr>
          <w:rFonts w:ascii="Segoe UI" w:hAnsi="Segoe UI" w:cs="Segoe UI"/>
        </w:rPr>
        <w:t xml:space="preserve"> come earlier in the policy making process so that it can help shape policy.</w:t>
      </w:r>
      <w:r w:rsidR="001F426D">
        <w:rPr>
          <w:rFonts w:ascii="Segoe UI" w:hAnsi="Segoe UI" w:cs="Segoe UI"/>
        </w:rPr>
        <w:t xml:space="preserve"> </w:t>
      </w:r>
      <w:r w:rsidR="001F426D" w:rsidRPr="00752A8B">
        <w:rPr>
          <w:rFonts w:ascii="Segoe UI" w:eastAsia="Segoe UI" w:hAnsi="Segoe UI" w:cs="Segoe UI"/>
          <w:color w:val="212121"/>
        </w:rPr>
        <w:t xml:space="preserve">The sector can be a useful sounding board for testing current thinking on a given issue. </w:t>
      </w:r>
      <w:r w:rsidR="001F426D">
        <w:rPr>
          <w:rFonts w:ascii="Segoe UI" w:eastAsia="Segoe UI" w:hAnsi="Segoe UI" w:cs="Segoe UI"/>
          <w:color w:val="212121"/>
        </w:rPr>
        <w:t xml:space="preserve">In some cases, this is best conducted in private and on the condition of confidentiality, but there is also value in an open public debate about policy options. </w:t>
      </w:r>
    </w:p>
    <w:p w14:paraId="06E45FF2" w14:textId="77777777" w:rsidR="00594BD2" w:rsidRDefault="00594BD2" w:rsidP="001A339A">
      <w:pPr>
        <w:pStyle w:val="ListParagraph"/>
        <w:numPr>
          <w:ilvl w:val="0"/>
          <w:numId w:val="40"/>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M</w:t>
      </w:r>
      <w:r w:rsidRPr="2C3B9D34">
        <w:rPr>
          <w:rFonts w:ascii="Segoe UI" w:eastAsia="Times New Roman" w:hAnsi="Segoe UI" w:cs="Segoe UI"/>
          <w:color w:val="212121"/>
        </w:rPr>
        <w:t xml:space="preserve">aintaining independence and apolitical perspectives is critical to </w:t>
      </w:r>
      <w:r>
        <w:rPr>
          <w:rFonts w:ascii="Segoe UI" w:eastAsia="Times New Roman" w:hAnsi="Segoe UI" w:cs="Segoe UI"/>
          <w:color w:val="212121"/>
        </w:rPr>
        <w:t>the sector’s work. This requires strong leadership and sound judgement from</w:t>
      </w:r>
      <w:r w:rsidR="001260ED">
        <w:rPr>
          <w:rFonts w:ascii="Segoe UI" w:eastAsia="Times New Roman" w:hAnsi="Segoe UI" w:cs="Segoe UI"/>
          <w:color w:val="212121"/>
        </w:rPr>
        <w:t xml:space="preserve"> </w:t>
      </w:r>
      <w:r>
        <w:rPr>
          <w:rFonts w:ascii="Segoe UI" w:eastAsia="Times New Roman" w:hAnsi="Segoe UI" w:cs="Segoe UI"/>
          <w:color w:val="212121"/>
        </w:rPr>
        <w:t>CEO</w:t>
      </w:r>
      <w:r w:rsidR="001260ED">
        <w:rPr>
          <w:rFonts w:ascii="Segoe UI" w:eastAsia="Times New Roman" w:hAnsi="Segoe UI" w:cs="Segoe UI"/>
          <w:color w:val="212121"/>
        </w:rPr>
        <w:t>s in the sector</w:t>
      </w:r>
      <w:r>
        <w:rPr>
          <w:rFonts w:ascii="Segoe UI" w:eastAsia="Times New Roman" w:hAnsi="Segoe UI" w:cs="Segoe UI"/>
          <w:color w:val="212121"/>
        </w:rPr>
        <w:t xml:space="preserve"> but it rests ultimately </w:t>
      </w:r>
      <w:r>
        <w:rPr>
          <w:rFonts w:ascii="Segoe UI" w:eastAsia="Times New Roman" w:hAnsi="Segoe UI" w:cs="Segoe UI"/>
          <w:color w:val="212121"/>
        </w:rPr>
        <w:lastRenderedPageBreak/>
        <w:t xml:space="preserve">with </w:t>
      </w:r>
      <w:r w:rsidR="001260ED">
        <w:rPr>
          <w:rFonts w:ascii="Segoe UI" w:eastAsia="Times New Roman" w:hAnsi="Segoe UI" w:cs="Segoe UI"/>
          <w:color w:val="212121"/>
        </w:rPr>
        <w:t>good governance</w:t>
      </w:r>
      <w:r>
        <w:rPr>
          <w:rFonts w:ascii="Segoe UI" w:eastAsia="Times New Roman" w:hAnsi="Segoe UI" w:cs="Segoe UI"/>
          <w:color w:val="212121"/>
        </w:rPr>
        <w:t xml:space="preserve">. Clear guidelines on external funding, faithful adherence to the principle that a funder can have no influence on research conclusions, and a sensitivity to how the identity and business interests of funders sits with the subject matter of reports are all vital aspects of good governance. </w:t>
      </w:r>
      <w:r w:rsidR="00E61C88">
        <w:rPr>
          <w:rFonts w:ascii="Segoe UI" w:eastAsia="Times New Roman" w:hAnsi="Segoe UI" w:cs="Segoe UI"/>
          <w:color w:val="212121"/>
        </w:rPr>
        <w:t>Where the Commonwealth provides significant operational funding to an organisation, the Government should be provided observer status on the Board.</w:t>
      </w:r>
    </w:p>
    <w:p w14:paraId="06E45FF3" w14:textId="77777777" w:rsidR="00076F74" w:rsidRPr="009B1B44" w:rsidRDefault="009B1B44" w:rsidP="001A339A">
      <w:pPr>
        <w:pStyle w:val="ListParagraph"/>
        <w:numPr>
          <w:ilvl w:val="0"/>
          <w:numId w:val="40"/>
        </w:numPr>
        <w:ind w:left="0" w:firstLine="0"/>
        <w:contextualSpacing w:val="0"/>
        <w:rPr>
          <w:rFonts w:ascii="Segoe UI" w:hAnsi="Segoe UI" w:cs="Segoe UI"/>
        </w:rPr>
      </w:pPr>
      <w:r>
        <w:rPr>
          <w:rFonts w:ascii="Segoe UI" w:hAnsi="Segoe UI" w:cs="Segoe UI"/>
        </w:rPr>
        <w:t>These areas for improvement are directly addressed in the framework of principles recommended by the Review</w:t>
      </w:r>
      <w:r w:rsidR="00983290">
        <w:rPr>
          <w:rFonts w:ascii="Segoe UI" w:hAnsi="Segoe UI" w:cs="Segoe UI"/>
        </w:rPr>
        <w:t xml:space="preserve"> and detailed in </w:t>
      </w:r>
      <w:r w:rsidR="00983290" w:rsidRPr="00474B98">
        <w:rPr>
          <w:rFonts w:ascii="Segoe UI" w:hAnsi="Segoe UI" w:cs="Segoe UI"/>
          <w:b/>
        </w:rPr>
        <w:t xml:space="preserve">Attachment </w:t>
      </w:r>
      <w:r w:rsidR="00017D9C">
        <w:rPr>
          <w:rFonts w:ascii="Segoe UI" w:hAnsi="Segoe UI" w:cs="Segoe UI"/>
          <w:b/>
        </w:rPr>
        <w:t>A</w:t>
      </w:r>
      <w:r>
        <w:rPr>
          <w:rFonts w:ascii="Segoe UI" w:hAnsi="Segoe UI" w:cs="Segoe UI"/>
        </w:rPr>
        <w:t>.</w:t>
      </w:r>
      <w:r w:rsidR="009210B7">
        <w:rPr>
          <w:rFonts w:ascii="Segoe UI" w:hAnsi="Segoe UI" w:cs="Segoe UI"/>
        </w:rPr>
        <w:t xml:space="preserve"> </w:t>
      </w:r>
      <w:r>
        <w:rPr>
          <w:rFonts w:ascii="Segoe UI" w:hAnsi="Segoe UI" w:cs="Segoe UI"/>
        </w:rPr>
        <w:t xml:space="preserve">Taken together these principles will help create </w:t>
      </w:r>
      <w:r w:rsidR="00076F74">
        <w:rPr>
          <w:rFonts w:ascii="Segoe UI" w:hAnsi="Segoe UI" w:cs="Segoe UI"/>
        </w:rPr>
        <w:t>more consistency, increas</w:t>
      </w:r>
      <w:r w:rsidR="00104379">
        <w:rPr>
          <w:rFonts w:ascii="Segoe UI" w:hAnsi="Segoe UI" w:cs="Segoe UI"/>
        </w:rPr>
        <w:t>e</w:t>
      </w:r>
      <w:r w:rsidR="00076F74">
        <w:rPr>
          <w:rFonts w:ascii="Segoe UI" w:hAnsi="Segoe UI" w:cs="Segoe UI"/>
        </w:rPr>
        <w:t xml:space="preserve"> </w:t>
      </w:r>
      <w:r w:rsidR="00076F74" w:rsidRPr="00076F74">
        <w:rPr>
          <w:rFonts w:ascii="Segoe UI" w:hAnsi="Segoe UI" w:cs="Segoe UI"/>
        </w:rPr>
        <w:t xml:space="preserve">value for money, </w:t>
      </w:r>
      <w:r w:rsidR="00076F74">
        <w:rPr>
          <w:rFonts w:ascii="Segoe UI" w:hAnsi="Segoe UI" w:cs="Segoe UI"/>
        </w:rPr>
        <w:t xml:space="preserve">and </w:t>
      </w:r>
      <w:r w:rsidR="00104379">
        <w:rPr>
          <w:rFonts w:ascii="Segoe UI" w:hAnsi="Segoe UI" w:cs="Segoe UI"/>
        </w:rPr>
        <w:t>sustain</w:t>
      </w:r>
      <w:r w:rsidR="00076F74" w:rsidRPr="00076F74">
        <w:rPr>
          <w:rFonts w:ascii="Segoe UI" w:hAnsi="Segoe UI" w:cs="Segoe UI"/>
        </w:rPr>
        <w:t xml:space="preserve"> an effective sector into the future. </w:t>
      </w:r>
    </w:p>
    <w:p w14:paraId="06E45FF4" w14:textId="77777777" w:rsidR="00E61C88" w:rsidRDefault="00E61C88" w:rsidP="001A339A">
      <w:pPr>
        <w:pStyle w:val="ListParagraph"/>
        <w:numPr>
          <w:ilvl w:val="0"/>
          <w:numId w:val="40"/>
        </w:numPr>
        <w:ind w:left="0" w:firstLine="0"/>
        <w:contextualSpacing w:val="0"/>
        <w:rPr>
          <w:rFonts w:ascii="Segoe UI" w:eastAsia="Times New Roman" w:hAnsi="Segoe UI" w:cs="Segoe UI"/>
          <w:lang w:eastAsia="en-AU"/>
        </w:rPr>
      </w:pPr>
      <w:r w:rsidRPr="1E3E56AE">
        <w:rPr>
          <w:rFonts w:ascii="Segoe UI" w:eastAsia="Times New Roman" w:hAnsi="Segoe UI" w:cs="Segoe UI"/>
          <w:lang w:eastAsia="en-AU"/>
        </w:rPr>
        <w:t xml:space="preserve">While the Review </w:t>
      </w:r>
      <w:r w:rsidR="004E001B" w:rsidRPr="1E3E56AE">
        <w:rPr>
          <w:rFonts w:ascii="Segoe UI" w:eastAsia="Times New Roman" w:hAnsi="Segoe UI" w:cs="Segoe UI"/>
          <w:lang w:eastAsia="en-AU"/>
        </w:rPr>
        <w:t>is</w:t>
      </w:r>
      <w:r w:rsidRPr="1E3E56AE">
        <w:rPr>
          <w:rFonts w:ascii="Segoe UI" w:eastAsia="Times New Roman" w:hAnsi="Segoe UI" w:cs="Segoe UI"/>
          <w:lang w:eastAsia="en-AU"/>
        </w:rPr>
        <w:t xml:space="preserve"> not a detailed report card on </w:t>
      </w:r>
      <w:r w:rsidR="004E001B" w:rsidRPr="1E3E56AE">
        <w:rPr>
          <w:rFonts w:ascii="Segoe UI" w:eastAsia="Times New Roman" w:hAnsi="Segoe UI" w:cs="Segoe UI"/>
          <w:lang w:eastAsia="en-AU"/>
        </w:rPr>
        <w:t>major</w:t>
      </w:r>
      <w:r w:rsidRPr="1E3E56AE">
        <w:rPr>
          <w:rFonts w:ascii="Segoe UI" w:eastAsia="Times New Roman" w:hAnsi="Segoe UI" w:cs="Segoe UI"/>
          <w:lang w:eastAsia="en-AU"/>
        </w:rPr>
        <w:t xml:space="preserve"> recipients</w:t>
      </w:r>
      <w:r w:rsidR="004E001B" w:rsidRPr="1E3E56AE">
        <w:rPr>
          <w:rFonts w:ascii="Segoe UI" w:eastAsia="Times New Roman" w:hAnsi="Segoe UI" w:cs="Segoe UI"/>
          <w:lang w:eastAsia="en-AU"/>
        </w:rPr>
        <w:t>, it</w:t>
      </w:r>
      <w:r w:rsidR="00F64CB7" w:rsidRPr="1E3E56AE">
        <w:rPr>
          <w:rFonts w:ascii="Segoe UI" w:eastAsia="Times New Roman" w:hAnsi="Segoe UI" w:cs="Segoe UI"/>
          <w:lang w:eastAsia="en-AU"/>
        </w:rPr>
        <w:t xml:space="preserve"> does </w:t>
      </w:r>
      <w:r w:rsidR="004E001B" w:rsidRPr="1E3E56AE">
        <w:rPr>
          <w:rFonts w:ascii="Segoe UI" w:eastAsia="Times New Roman" w:hAnsi="Segoe UI" w:cs="Segoe UI"/>
          <w:lang w:eastAsia="en-AU"/>
        </w:rPr>
        <w:t>make</w:t>
      </w:r>
      <w:r w:rsidR="00F64CB7" w:rsidRPr="1E3E56AE">
        <w:rPr>
          <w:rFonts w:ascii="Segoe UI" w:eastAsia="Times New Roman" w:hAnsi="Segoe UI" w:cs="Segoe UI"/>
          <w:lang w:eastAsia="en-AU"/>
        </w:rPr>
        <w:t xml:space="preserve"> recommendations </w:t>
      </w:r>
      <w:r w:rsidR="004E001B" w:rsidRPr="1E3E56AE">
        <w:rPr>
          <w:rFonts w:ascii="Segoe UI" w:eastAsia="Times New Roman" w:hAnsi="Segoe UI" w:cs="Segoe UI"/>
          <w:lang w:eastAsia="en-AU"/>
        </w:rPr>
        <w:t>on</w:t>
      </w:r>
      <w:r w:rsidR="00F64CB7" w:rsidRPr="1E3E56AE">
        <w:rPr>
          <w:rFonts w:ascii="Segoe UI" w:eastAsia="Times New Roman" w:hAnsi="Segoe UI" w:cs="Segoe UI"/>
          <w:lang w:eastAsia="en-AU"/>
        </w:rPr>
        <w:t xml:space="preserve"> two existing grants. </w:t>
      </w:r>
      <w:r w:rsidR="004E001B" w:rsidRPr="1E3E56AE">
        <w:rPr>
          <w:rFonts w:ascii="Segoe UI" w:eastAsia="Times New Roman" w:hAnsi="Segoe UI" w:cs="Segoe UI"/>
          <w:lang w:eastAsia="en-AU"/>
        </w:rPr>
        <w:t>It recommends</w:t>
      </w:r>
      <w:r w:rsidR="00F64CB7" w:rsidRPr="1E3E56AE">
        <w:rPr>
          <w:rFonts w:ascii="Segoe UI" w:eastAsia="Times New Roman" w:hAnsi="Segoe UI" w:cs="Segoe UI"/>
          <w:lang w:eastAsia="en-AU"/>
        </w:rPr>
        <w:t xml:space="preserve"> ending funding for </w:t>
      </w:r>
      <w:r w:rsidR="00042337" w:rsidRPr="1E3E56AE">
        <w:rPr>
          <w:rFonts w:ascii="Segoe UI" w:eastAsia="Times New Roman" w:hAnsi="Segoe UI" w:cs="Segoe UI"/>
          <w:lang w:eastAsia="en-AU"/>
        </w:rPr>
        <w:t>the Australian Strategic Policy Institute’s (</w:t>
      </w:r>
      <w:r w:rsidR="00F64CB7" w:rsidRPr="1E3E56AE">
        <w:rPr>
          <w:rFonts w:ascii="Segoe UI" w:eastAsia="Times New Roman" w:hAnsi="Segoe UI" w:cs="Segoe UI"/>
          <w:lang w:eastAsia="en-AU"/>
        </w:rPr>
        <w:t>ASPI’s</w:t>
      </w:r>
      <w:r w:rsidR="00042337" w:rsidRPr="1E3E56AE">
        <w:rPr>
          <w:rFonts w:ascii="Segoe UI" w:eastAsia="Times New Roman" w:hAnsi="Segoe UI" w:cs="Segoe UI"/>
          <w:lang w:eastAsia="en-AU"/>
        </w:rPr>
        <w:t>)</w:t>
      </w:r>
      <w:r w:rsidR="00F64CB7" w:rsidRPr="1E3E56AE">
        <w:rPr>
          <w:rFonts w:ascii="Segoe UI" w:eastAsia="Times New Roman" w:hAnsi="Segoe UI" w:cs="Segoe UI"/>
          <w:lang w:eastAsia="en-AU"/>
        </w:rPr>
        <w:t xml:space="preserve"> Washington Office at the conclusion of the current contract, and making any </w:t>
      </w:r>
      <w:r w:rsidR="008E082F" w:rsidRPr="1E3E56AE">
        <w:rPr>
          <w:rFonts w:ascii="Segoe UI" w:eastAsia="Times New Roman" w:hAnsi="Segoe UI" w:cs="Segoe UI"/>
          <w:lang w:eastAsia="en-AU"/>
        </w:rPr>
        <w:t>further grants</w:t>
      </w:r>
      <w:r w:rsidR="00F64CB7" w:rsidRPr="1E3E56AE">
        <w:rPr>
          <w:rFonts w:ascii="Segoe UI" w:eastAsia="Times New Roman" w:hAnsi="Segoe UI" w:cs="Segoe UI"/>
          <w:lang w:eastAsia="en-AU"/>
        </w:rPr>
        <w:t xml:space="preserve"> to the </w:t>
      </w:r>
      <w:r w:rsidR="00042337" w:rsidRPr="1E3E56AE">
        <w:rPr>
          <w:rFonts w:ascii="Segoe UI" w:eastAsia="Times New Roman" w:hAnsi="Segoe UI" w:cs="Segoe UI"/>
          <w:lang w:eastAsia="en-AU"/>
        </w:rPr>
        <w:t>Australian American Leadership Dialogue (</w:t>
      </w:r>
      <w:r w:rsidR="00F64CB7" w:rsidRPr="1E3E56AE">
        <w:rPr>
          <w:rFonts w:ascii="Segoe UI" w:eastAsia="Times New Roman" w:hAnsi="Segoe UI" w:cs="Segoe UI"/>
          <w:lang w:eastAsia="en-AU"/>
        </w:rPr>
        <w:t>AALD</w:t>
      </w:r>
      <w:r w:rsidR="00042337" w:rsidRPr="1E3E56AE">
        <w:rPr>
          <w:rFonts w:ascii="Segoe UI" w:eastAsia="Times New Roman" w:hAnsi="Segoe UI" w:cs="Segoe UI"/>
          <w:lang w:eastAsia="en-AU"/>
        </w:rPr>
        <w:t>)</w:t>
      </w:r>
      <w:r w:rsidR="00F64CB7" w:rsidRPr="1E3E56AE">
        <w:rPr>
          <w:rFonts w:ascii="Segoe UI" w:eastAsia="Times New Roman" w:hAnsi="Segoe UI" w:cs="Segoe UI"/>
          <w:lang w:eastAsia="en-AU"/>
        </w:rPr>
        <w:t xml:space="preserve"> contingent on a matching co-contribution from the US Government as well as a </w:t>
      </w:r>
      <w:r w:rsidR="00F64CB7" w:rsidRPr="004117D3">
        <w:rPr>
          <w:rFonts w:ascii="Segoe UI" w:eastAsia="Times New Roman" w:hAnsi="Segoe UI" w:cs="Segoe UI"/>
          <w:color w:val="212121"/>
        </w:rPr>
        <w:t>substantial contribution from the private sector</w:t>
      </w:r>
      <w:r w:rsidR="00F64CB7">
        <w:rPr>
          <w:rFonts w:ascii="Segoe UI" w:eastAsia="Times New Roman" w:hAnsi="Segoe UI" w:cs="Segoe UI"/>
          <w:color w:val="212121"/>
        </w:rPr>
        <w:t xml:space="preserve">. The Review also recommends changes to ASPI’s governance arrangements to strengthen its independence and </w:t>
      </w:r>
      <w:r w:rsidR="004E001B">
        <w:rPr>
          <w:rFonts w:ascii="Segoe UI" w:eastAsia="Times New Roman" w:hAnsi="Segoe UI" w:cs="Segoe UI"/>
          <w:color w:val="212121"/>
        </w:rPr>
        <w:t xml:space="preserve">to </w:t>
      </w:r>
      <w:r w:rsidR="00F64CB7">
        <w:rPr>
          <w:rFonts w:ascii="Segoe UI" w:eastAsia="Times New Roman" w:hAnsi="Segoe UI" w:cs="Segoe UI"/>
          <w:color w:val="212121"/>
        </w:rPr>
        <w:t xml:space="preserve">provide </w:t>
      </w:r>
      <w:r w:rsidR="00AA4AF4">
        <w:rPr>
          <w:rFonts w:ascii="Segoe UI" w:eastAsia="Times New Roman" w:hAnsi="Segoe UI" w:cs="Segoe UI"/>
          <w:color w:val="212121"/>
        </w:rPr>
        <w:t xml:space="preserve">it with </w:t>
      </w:r>
      <w:r w:rsidR="00F64CB7">
        <w:rPr>
          <w:rFonts w:ascii="Segoe UI" w:eastAsia="Times New Roman" w:hAnsi="Segoe UI" w:cs="Segoe UI"/>
          <w:color w:val="212121"/>
        </w:rPr>
        <w:t>tax deductibility status.</w:t>
      </w:r>
    </w:p>
    <w:p w14:paraId="06E45FF5" w14:textId="77777777" w:rsidR="00104379" w:rsidRDefault="00F64CB7" w:rsidP="001A339A">
      <w:pPr>
        <w:pStyle w:val="ListParagraph"/>
        <w:numPr>
          <w:ilvl w:val="0"/>
          <w:numId w:val="40"/>
        </w:numPr>
        <w:ind w:left="0" w:firstLine="0"/>
        <w:contextualSpacing w:val="0"/>
        <w:rPr>
          <w:rFonts w:ascii="Segoe UI" w:eastAsia="Segoe UI" w:hAnsi="Segoe UI" w:cs="Segoe UI"/>
        </w:rPr>
      </w:pPr>
      <w:r>
        <w:rPr>
          <w:rFonts w:ascii="Segoe UI" w:eastAsia="Segoe UI" w:hAnsi="Segoe UI" w:cs="Segoe UI"/>
        </w:rPr>
        <w:t>Finally, t</w:t>
      </w:r>
      <w:r w:rsidR="00104379">
        <w:rPr>
          <w:rFonts w:ascii="Segoe UI" w:eastAsia="Segoe UI" w:hAnsi="Segoe UI" w:cs="Segoe UI"/>
        </w:rPr>
        <w:t xml:space="preserve">he </w:t>
      </w:r>
      <w:r w:rsidR="003A72E2">
        <w:rPr>
          <w:rFonts w:ascii="Segoe UI" w:eastAsia="Segoe UI" w:hAnsi="Segoe UI" w:cs="Segoe UI"/>
        </w:rPr>
        <w:t xml:space="preserve">Review </w:t>
      </w:r>
      <w:r w:rsidR="00914935">
        <w:rPr>
          <w:rFonts w:ascii="Segoe UI" w:eastAsia="Segoe UI" w:hAnsi="Segoe UI" w:cs="Segoe UI"/>
        </w:rPr>
        <w:t>goes</w:t>
      </w:r>
      <w:r w:rsidR="00104379">
        <w:rPr>
          <w:rFonts w:ascii="Segoe UI" w:eastAsia="Segoe UI" w:hAnsi="Segoe UI" w:cs="Segoe UI"/>
        </w:rPr>
        <w:t xml:space="preserve"> to </w:t>
      </w:r>
      <w:r w:rsidR="00076F74">
        <w:rPr>
          <w:rFonts w:ascii="Segoe UI" w:eastAsia="Segoe UI" w:hAnsi="Segoe UI" w:cs="Segoe UI"/>
        </w:rPr>
        <w:t>what good would look like for the sector’s future</w:t>
      </w:r>
      <w:r w:rsidR="001260ED">
        <w:rPr>
          <w:rFonts w:ascii="Segoe UI" w:eastAsia="Segoe UI" w:hAnsi="Segoe UI" w:cs="Segoe UI"/>
        </w:rPr>
        <w:t xml:space="preserve"> in the longer term.</w:t>
      </w:r>
      <w:r w:rsidR="00076F74">
        <w:rPr>
          <w:rFonts w:ascii="Segoe UI" w:eastAsia="Segoe UI" w:hAnsi="Segoe UI" w:cs="Segoe UI"/>
        </w:rPr>
        <w:t xml:space="preserve"> </w:t>
      </w:r>
      <w:r w:rsidR="00F90EE5">
        <w:rPr>
          <w:rFonts w:ascii="Segoe UI" w:eastAsia="Segoe UI" w:hAnsi="Segoe UI" w:cs="Segoe UI"/>
        </w:rPr>
        <w:t xml:space="preserve">It </w:t>
      </w:r>
      <w:r w:rsidR="00104379">
        <w:rPr>
          <w:rFonts w:ascii="Segoe UI" w:eastAsia="Segoe UI" w:hAnsi="Segoe UI" w:cs="Segoe UI"/>
        </w:rPr>
        <w:t>addresses critical mass</w:t>
      </w:r>
      <w:r w:rsidR="001260ED">
        <w:rPr>
          <w:rFonts w:ascii="Segoe UI" w:eastAsia="Segoe UI" w:hAnsi="Segoe UI" w:cs="Segoe UI"/>
        </w:rPr>
        <w:t xml:space="preserve"> </w:t>
      </w:r>
      <w:r w:rsidR="00104379">
        <w:rPr>
          <w:rFonts w:ascii="Segoe UI" w:eastAsia="Segoe UI" w:hAnsi="Segoe UI" w:cs="Segoe UI"/>
        </w:rPr>
        <w:t xml:space="preserve">in an Australian context. Currently, there remain large gaps in coverage, especially in relation to Australia’s major regional relationships. It is understandable that the predominance of effort in terms of strategic policy work </w:t>
      </w:r>
      <w:r w:rsidR="001260ED">
        <w:rPr>
          <w:rFonts w:ascii="Segoe UI" w:eastAsia="Segoe UI" w:hAnsi="Segoe UI" w:cs="Segoe UI"/>
        </w:rPr>
        <w:t xml:space="preserve">in the sector </w:t>
      </w:r>
      <w:r w:rsidR="00104379">
        <w:rPr>
          <w:rFonts w:ascii="Segoe UI" w:eastAsia="Segoe UI" w:hAnsi="Segoe UI" w:cs="Segoe UI"/>
        </w:rPr>
        <w:t>has a US alliance focus. But that strategic policy focus should be extended to our strategic relationships with the major powers of the Indo</w:t>
      </w:r>
      <w:r w:rsidR="003A72E2">
        <w:rPr>
          <w:rFonts w:ascii="Segoe UI" w:eastAsia="Segoe UI" w:hAnsi="Segoe UI" w:cs="Segoe UI"/>
        </w:rPr>
        <w:t>-</w:t>
      </w:r>
      <w:r w:rsidR="00104379">
        <w:rPr>
          <w:rFonts w:ascii="Segoe UI" w:eastAsia="Segoe UI" w:hAnsi="Segoe UI" w:cs="Segoe UI"/>
        </w:rPr>
        <w:t xml:space="preserve">Pacific such as China, India, Japan, Indonesia and Korea which get </w:t>
      </w:r>
      <w:r w:rsidR="004E001B">
        <w:rPr>
          <w:rFonts w:ascii="Segoe UI" w:eastAsia="Segoe UI" w:hAnsi="Segoe UI" w:cs="Segoe UI"/>
        </w:rPr>
        <w:t>far</w:t>
      </w:r>
      <w:r w:rsidR="00104379">
        <w:rPr>
          <w:rFonts w:ascii="Segoe UI" w:eastAsia="Segoe UI" w:hAnsi="Segoe UI" w:cs="Segoe UI"/>
        </w:rPr>
        <w:t xml:space="preserve"> less attention than they warrant. </w:t>
      </w:r>
    </w:p>
    <w:p w14:paraId="06E45FF6" w14:textId="77777777" w:rsidR="005B3558" w:rsidRDefault="00F64CB7" w:rsidP="001A339A">
      <w:pPr>
        <w:pStyle w:val="ListParagraph"/>
        <w:numPr>
          <w:ilvl w:val="0"/>
          <w:numId w:val="40"/>
        </w:numPr>
        <w:ind w:left="0" w:firstLine="0"/>
        <w:contextualSpacing w:val="0"/>
        <w:rPr>
          <w:rFonts w:ascii="Segoe UI" w:eastAsia="Segoe UI" w:hAnsi="Segoe UI" w:cs="Segoe UI"/>
        </w:rPr>
      </w:pPr>
      <w:r>
        <w:rPr>
          <w:rFonts w:ascii="Segoe UI" w:eastAsia="Segoe UI" w:hAnsi="Segoe UI" w:cs="Segoe UI"/>
        </w:rPr>
        <w:t>A</w:t>
      </w:r>
      <w:r w:rsidR="00523CEF">
        <w:rPr>
          <w:rFonts w:ascii="Segoe UI" w:eastAsia="Segoe UI" w:hAnsi="Segoe UI" w:cs="Segoe UI"/>
        </w:rPr>
        <w:t xml:space="preserve">s future Australian </w:t>
      </w:r>
      <w:r w:rsidR="00AA4AF4">
        <w:rPr>
          <w:rFonts w:ascii="Segoe UI" w:eastAsia="Segoe UI" w:hAnsi="Segoe UI" w:cs="Segoe UI"/>
        </w:rPr>
        <w:t>G</w:t>
      </w:r>
      <w:r w:rsidR="00523CEF">
        <w:rPr>
          <w:rFonts w:ascii="Segoe UI" w:eastAsia="Segoe UI" w:hAnsi="Segoe UI" w:cs="Segoe UI"/>
        </w:rPr>
        <w:t xml:space="preserve">overnments are inevitably required to invest more in defence and national security, they will face a rising social licence challenge. Already, according to Lowy Institute polling, public support for increased defence spending is falling in the face of other demands on the budget especially spending on social programs. Think tanks can help build social licence by contributing an independent voice on the rising strategic and security challenges facing Australia. For this reason, while the Review stops short of recommending </w:t>
      </w:r>
      <w:r w:rsidR="00983290">
        <w:rPr>
          <w:rFonts w:ascii="Segoe UI" w:eastAsia="Segoe UI" w:hAnsi="Segoe UI" w:cs="Segoe UI"/>
        </w:rPr>
        <w:t xml:space="preserve">an immediate </w:t>
      </w:r>
      <w:r w:rsidR="00523CEF">
        <w:rPr>
          <w:rFonts w:ascii="Segoe UI" w:eastAsia="Segoe UI" w:hAnsi="Segoe UI" w:cs="Segoe UI"/>
        </w:rPr>
        <w:t>increase</w:t>
      </w:r>
      <w:r w:rsidR="00983290">
        <w:rPr>
          <w:rFonts w:ascii="Segoe UI" w:eastAsia="Segoe UI" w:hAnsi="Segoe UI" w:cs="Segoe UI"/>
        </w:rPr>
        <w:t xml:space="preserve"> in</w:t>
      </w:r>
      <w:r w:rsidR="00523CEF">
        <w:rPr>
          <w:rFonts w:ascii="Segoe UI" w:eastAsia="Segoe UI" w:hAnsi="Segoe UI" w:cs="Segoe UI"/>
        </w:rPr>
        <w:t xml:space="preserve"> funding for the sector, it does outline options to grow the sector should governments in the future wish to do so.</w:t>
      </w:r>
    </w:p>
    <w:p w14:paraId="06E45FF7" w14:textId="77777777" w:rsidR="00F34A6C" w:rsidRPr="001478B9" w:rsidRDefault="00F34A6C" w:rsidP="00076F74">
      <w:pPr>
        <w:rPr>
          <w:rFonts w:ascii="Segoe UI" w:eastAsia="Segoe UI" w:hAnsi="Segoe UI" w:cs="Segoe UI"/>
        </w:rPr>
      </w:pPr>
      <w:r>
        <w:br w:type="page"/>
      </w:r>
    </w:p>
    <w:p w14:paraId="06E45FF8" w14:textId="77777777" w:rsidR="00F34A6C" w:rsidRDefault="00F34A6C" w:rsidP="00F34A6C">
      <w:pPr>
        <w:pStyle w:val="Heading1"/>
      </w:pPr>
      <w:bookmarkStart w:id="8" w:name="_Toc170980535"/>
      <w:bookmarkStart w:id="9" w:name="_Toc171004249"/>
      <w:bookmarkStart w:id="10" w:name="_Toc171074971"/>
      <w:bookmarkStart w:id="11" w:name="_Toc172665579"/>
      <w:r>
        <w:lastRenderedPageBreak/>
        <w:t>Summary of Recommendations</w:t>
      </w:r>
      <w:bookmarkEnd w:id="8"/>
      <w:bookmarkEnd w:id="9"/>
      <w:bookmarkEnd w:id="10"/>
      <w:bookmarkEnd w:id="11"/>
    </w:p>
    <w:p w14:paraId="06E45FF9" w14:textId="77777777" w:rsidR="00316F5B" w:rsidRDefault="00316F5B" w:rsidP="0018554D">
      <w:pPr>
        <w:spacing w:after="120" w:line="259" w:lineRule="auto"/>
        <w:rPr>
          <w:rFonts w:ascii="Segoe UI" w:eastAsia="Times New Roman" w:hAnsi="Segoe UI" w:cs="Segoe UI"/>
          <w:color w:val="212121"/>
        </w:rPr>
      </w:pPr>
      <w:r>
        <w:rPr>
          <w:rFonts w:ascii="Segoe UI" w:eastAsia="Segoe UI" w:hAnsi="Segoe UI" w:cs="Segoe UI"/>
          <w:b/>
          <w:bCs/>
          <w:color w:val="212121"/>
        </w:rPr>
        <w:t xml:space="preserve">Recommendation </w:t>
      </w:r>
      <w:r w:rsidRPr="3F8621EE">
        <w:rPr>
          <w:rFonts w:ascii="Segoe UI" w:eastAsia="Segoe UI" w:hAnsi="Segoe UI" w:cs="Segoe UI"/>
          <w:b/>
          <w:bCs/>
          <w:color w:val="212121"/>
        </w:rPr>
        <w:t>1</w:t>
      </w:r>
      <w:r>
        <w:rPr>
          <w:rFonts w:ascii="Segoe UI" w:eastAsia="Segoe UI" w:hAnsi="Segoe UI" w:cs="Segoe UI"/>
          <w:b/>
          <w:bCs/>
          <w:color w:val="212121"/>
        </w:rPr>
        <w:t xml:space="preserve">: </w:t>
      </w:r>
      <w:r w:rsidRPr="00E247C0">
        <w:rPr>
          <w:rFonts w:ascii="Segoe UI" w:eastAsia="Times New Roman" w:hAnsi="Segoe UI" w:cs="Segoe UI"/>
          <w:color w:val="212121"/>
        </w:rPr>
        <w:t xml:space="preserve">Government should </w:t>
      </w:r>
      <w:r>
        <w:rPr>
          <w:rFonts w:ascii="Segoe UI" w:eastAsia="Times New Roman" w:hAnsi="Segoe UI" w:cs="Segoe UI"/>
          <w:color w:val="212121"/>
        </w:rPr>
        <w:t>use</w:t>
      </w:r>
      <w:r w:rsidRPr="00E247C0">
        <w:rPr>
          <w:rFonts w:ascii="Segoe UI" w:eastAsia="Times New Roman" w:hAnsi="Segoe UI" w:cs="Segoe UI"/>
          <w:color w:val="212121"/>
        </w:rPr>
        <w:t xml:space="preserve"> </w:t>
      </w:r>
      <w:r>
        <w:rPr>
          <w:rFonts w:ascii="Segoe UI" w:eastAsia="Times New Roman" w:hAnsi="Segoe UI" w:cs="Segoe UI"/>
          <w:color w:val="212121"/>
        </w:rPr>
        <w:t xml:space="preserve">the </w:t>
      </w:r>
      <w:r w:rsidRPr="00E247C0">
        <w:rPr>
          <w:rFonts w:ascii="Segoe UI" w:eastAsia="Times New Roman" w:hAnsi="Segoe UI" w:cs="Segoe UI"/>
          <w:color w:val="212121"/>
        </w:rPr>
        <w:t xml:space="preserve">principles-based framework </w:t>
      </w:r>
      <w:r>
        <w:rPr>
          <w:rFonts w:ascii="Segoe UI" w:eastAsia="Times New Roman" w:hAnsi="Segoe UI" w:cs="Segoe UI"/>
          <w:color w:val="212121"/>
        </w:rPr>
        <w:t xml:space="preserve">set out in Attachment </w:t>
      </w:r>
      <w:r w:rsidR="00017D9C">
        <w:rPr>
          <w:rFonts w:ascii="Segoe UI" w:eastAsia="Times New Roman" w:hAnsi="Segoe UI" w:cs="Segoe UI"/>
          <w:color w:val="212121"/>
        </w:rPr>
        <w:t>A</w:t>
      </w:r>
      <w:r w:rsidR="00612F91">
        <w:rPr>
          <w:rFonts w:ascii="Segoe UI" w:eastAsia="Times New Roman" w:hAnsi="Segoe UI" w:cs="Segoe UI"/>
          <w:color w:val="212121"/>
        </w:rPr>
        <w:t xml:space="preserve"> </w:t>
      </w:r>
      <w:r>
        <w:rPr>
          <w:rFonts w:ascii="Segoe UI" w:eastAsia="Times New Roman" w:hAnsi="Segoe UI" w:cs="Segoe UI"/>
          <w:color w:val="212121"/>
        </w:rPr>
        <w:t xml:space="preserve">to frame decisions on </w:t>
      </w:r>
      <w:r w:rsidRPr="00E247C0">
        <w:rPr>
          <w:rFonts w:ascii="Segoe UI" w:eastAsia="Times New Roman" w:hAnsi="Segoe UI" w:cs="Segoe UI"/>
          <w:color w:val="212121"/>
        </w:rPr>
        <w:t>commissioning strategic policy work</w:t>
      </w:r>
      <w:r>
        <w:rPr>
          <w:rFonts w:ascii="Segoe UI" w:eastAsia="Times New Roman" w:hAnsi="Segoe UI" w:cs="Segoe UI"/>
          <w:color w:val="212121"/>
        </w:rPr>
        <w:t>.</w:t>
      </w:r>
    </w:p>
    <w:p w14:paraId="06E45FFA" w14:textId="77777777" w:rsidR="00E247C0" w:rsidRPr="00316F5B" w:rsidRDefault="00D53632" w:rsidP="0018554D">
      <w:pPr>
        <w:spacing w:after="120" w:line="259" w:lineRule="auto"/>
        <w:rPr>
          <w:rFonts w:ascii="Segoe UI" w:eastAsia="Times New Roman" w:hAnsi="Segoe UI" w:cs="Segoe UI"/>
          <w:bCs/>
          <w:color w:val="212121"/>
        </w:rPr>
      </w:pPr>
      <w:r w:rsidRPr="75EBCA1C">
        <w:rPr>
          <w:rFonts w:ascii="Segoe UI" w:eastAsia="Times New Roman" w:hAnsi="Segoe UI" w:cs="Segoe UI"/>
          <w:b/>
          <w:color w:val="212121"/>
        </w:rPr>
        <w:t xml:space="preserve">Recommendation </w:t>
      </w:r>
      <w:r w:rsidR="00FF7650">
        <w:rPr>
          <w:rFonts w:ascii="Segoe UI" w:eastAsia="Times New Roman" w:hAnsi="Segoe UI" w:cs="Segoe UI"/>
          <w:b/>
          <w:color w:val="212121"/>
        </w:rPr>
        <w:t>2</w:t>
      </w:r>
      <w:r w:rsidR="00496840">
        <w:rPr>
          <w:rFonts w:ascii="Segoe UI" w:eastAsia="Times New Roman" w:hAnsi="Segoe UI" w:cs="Segoe UI"/>
          <w:b/>
          <w:color w:val="212121"/>
        </w:rPr>
        <w:t xml:space="preserve">: </w:t>
      </w:r>
      <w:r w:rsidR="00316F5B" w:rsidRPr="00316F5B">
        <w:rPr>
          <w:rFonts w:ascii="Segoe UI" w:eastAsia="Times New Roman" w:hAnsi="Segoe UI" w:cs="Segoe UI"/>
          <w:bCs/>
          <w:color w:val="212121"/>
        </w:rPr>
        <w:t xml:space="preserve">The Secretaries Committee on National Security (SCNS) should approve annual priorities for the </w:t>
      </w:r>
      <w:r w:rsidR="00A43712" w:rsidRPr="00A43712">
        <w:rPr>
          <w:rFonts w:ascii="Segoe UI" w:eastAsia="Times New Roman" w:hAnsi="Segoe UI" w:cs="Segoe UI"/>
          <w:bCs/>
          <w:color w:val="212121"/>
        </w:rPr>
        <w:t>sector,</w:t>
      </w:r>
      <w:r w:rsidR="00316F5B" w:rsidRPr="00316F5B">
        <w:rPr>
          <w:rFonts w:ascii="Segoe UI" w:eastAsia="Times New Roman" w:hAnsi="Segoe UI" w:cs="Segoe UI"/>
          <w:bCs/>
          <w:color w:val="212121"/>
        </w:rPr>
        <w:t xml:space="preserve"> drafted by SCNS deputies in consultation with the sector. </w:t>
      </w:r>
    </w:p>
    <w:p w14:paraId="06E45FFB" w14:textId="77777777" w:rsidR="00042337" w:rsidRDefault="00042337" w:rsidP="00042337">
      <w:pPr>
        <w:spacing w:after="120" w:line="259" w:lineRule="auto"/>
        <w:rPr>
          <w:rFonts w:ascii="Segoe UI" w:eastAsia="Times New Roman" w:hAnsi="Segoe UI" w:cs="Segoe UI"/>
          <w:b/>
          <w:color w:val="212121"/>
        </w:rPr>
      </w:pPr>
      <w:r w:rsidRPr="00042337">
        <w:rPr>
          <w:rFonts w:ascii="Segoe UI" w:eastAsia="Times New Roman" w:hAnsi="Segoe UI" w:cs="Segoe UI"/>
          <w:b/>
          <w:color w:val="212121"/>
        </w:rPr>
        <w:t>Recommendation 3</w:t>
      </w:r>
      <w:r>
        <w:rPr>
          <w:rFonts w:ascii="Segoe UI" w:eastAsia="Times New Roman" w:hAnsi="Segoe UI" w:cs="Segoe UI"/>
          <w:b/>
          <w:color w:val="212121"/>
        </w:rPr>
        <w:t xml:space="preserve">: </w:t>
      </w:r>
      <w:r w:rsidR="004E001B" w:rsidRPr="002241D6">
        <w:rPr>
          <w:rFonts w:ascii="Segoe UI" w:eastAsia="Times New Roman" w:hAnsi="Segoe UI" w:cs="Segoe UI"/>
          <w:color w:val="212121"/>
        </w:rPr>
        <w:t xml:space="preserve">Funding for the </w:t>
      </w:r>
      <w:r w:rsidR="00AA4AF4">
        <w:rPr>
          <w:rFonts w:ascii="Segoe UI" w:eastAsia="Times New Roman" w:hAnsi="Segoe UI" w:cs="Segoe UI"/>
          <w:color w:val="212121"/>
        </w:rPr>
        <w:t>United States Studies Centre (</w:t>
      </w:r>
      <w:r w:rsidR="004E001B" w:rsidRPr="002241D6">
        <w:rPr>
          <w:rFonts w:ascii="Segoe UI" w:eastAsia="Times New Roman" w:hAnsi="Segoe UI" w:cs="Segoe UI"/>
          <w:color w:val="212121"/>
        </w:rPr>
        <w:t>USSC</w:t>
      </w:r>
      <w:r w:rsidR="00AA4AF4">
        <w:rPr>
          <w:rFonts w:ascii="Segoe UI" w:eastAsia="Times New Roman" w:hAnsi="Segoe UI" w:cs="Segoe UI"/>
          <w:color w:val="212121"/>
        </w:rPr>
        <w:t>)</w:t>
      </w:r>
      <w:r w:rsidR="004E001B" w:rsidRPr="002241D6">
        <w:rPr>
          <w:rFonts w:ascii="Segoe UI" w:eastAsia="Times New Roman" w:hAnsi="Segoe UI" w:cs="Segoe UI"/>
          <w:color w:val="212121"/>
        </w:rPr>
        <w:t>,</w:t>
      </w:r>
      <w:r w:rsidR="00AA4AF4">
        <w:rPr>
          <w:rFonts w:ascii="Segoe UI" w:eastAsia="Times New Roman" w:hAnsi="Segoe UI" w:cs="Segoe UI"/>
          <w:color w:val="212121"/>
        </w:rPr>
        <w:t xml:space="preserve"> Perth USAsia Centre</w:t>
      </w:r>
      <w:r w:rsidR="004E001B" w:rsidRPr="002241D6">
        <w:rPr>
          <w:rFonts w:ascii="Segoe UI" w:eastAsia="Times New Roman" w:hAnsi="Segoe UI" w:cs="Segoe UI"/>
          <w:color w:val="212121"/>
        </w:rPr>
        <w:t xml:space="preserve"> </w:t>
      </w:r>
      <w:r w:rsidR="00AA4AF4">
        <w:rPr>
          <w:rFonts w:ascii="Segoe UI" w:eastAsia="Times New Roman" w:hAnsi="Segoe UI" w:cs="Segoe UI"/>
          <w:color w:val="212121"/>
        </w:rPr>
        <w:t>(</w:t>
      </w:r>
      <w:r w:rsidR="004E001B" w:rsidRPr="002241D6">
        <w:rPr>
          <w:rFonts w:ascii="Segoe UI" w:eastAsia="Times New Roman" w:hAnsi="Segoe UI" w:cs="Segoe UI"/>
          <w:color w:val="212121"/>
        </w:rPr>
        <w:t>USAC</w:t>
      </w:r>
      <w:r w:rsidR="00AA4AF4">
        <w:rPr>
          <w:rFonts w:ascii="Segoe UI" w:eastAsia="Times New Roman" w:hAnsi="Segoe UI" w:cs="Segoe UI"/>
          <w:color w:val="212121"/>
        </w:rPr>
        <w:t>)</w:t>
      </w:r>
      <w:r w:rsidR="004E001B" w:rsidRPr="002241D6">
        <w:rPr>
          <w:rFonts w:ascii="Segoe UI" w:eastAsia="Times New Roman" w:hAnsi="Segoe UI" w:cs="Segoe UI"/>
          <w:color w:val="212121"/>
        </w:rPr>
        <w:t xml:space="preserve">, </w:t>
      </w:r>
      <w:r w:rsidR="00AA4AF4">
        <w:rPr>
          <w:rFonts w:ascii="Segoe UI" w:eastAsia="Times New Roman" w:hAnsi="Segoe UI" w:cs="Segoe UI"/>
          <w:color w:val="212121"/>
        </w:rPr>
        <w:t>Australian Strategic Policy Institute (</w:t>
      </w:r>
      <w:r w:rsidR="004E001B" w:rsidRPr="002241D6">
        <w:rPr>
          <w:rFonts w:ascii="Segoe UI" w:eastAsia="Times New Roman" w:hAnsi="Segoe UI" w:cs="Segoe UI"/>
          <w:color w:val="212121"/>
        </w:rPr>
        <w:t>ASPI</w:t>
      </w:r>
      <w:r w:rsidR="00AA4AF4">
        <w:rPr>
          <w:rFonts w:ascii="Segoe UI" w:eastAsia="Times New Roman" w:hAnsi="Segoe UI" w:cs="Segoe UI"/>
          <w:color w:val="212121"/>
        </w:rPr>
        <w:t>)</w:t>
      </w:r>
      <w:r w:rsidR="004E001B" w:rsidRPr="002241D6">
        <w:rPr>
          <w:rFonts w:ascii="Segoe UI" w:eastAsia="Times New Roman" w:hAnsi="Segoe UI" w:cs="Segoe UI"/>
          <w:color w:val="212121"/>
        </w:rPr>
        <w:t xml:space="preserve"> and </w:t>
      </w:r>
      <w:r w:rsidR="00AA4AF4">
        <w:rPr>
          <w:rFonts w:ascii="Segoe UI" w:eastAsia="Times New Roman" w:hAnsi="Segoe UI" w:cs="Segoe UI"/>
          <w:color w:val="212121"/>
        </w:rPr>
        <w:t>National Security College (</w:t>
      </w:r>
      <w:r w:rsidR="004E001B" w:rsidRPr="002241D6">
        <w:rPr>
          <w:rFonts w:ascii="Segoe UI" w:eastAsia="Times New Roman" w:hAnsi="Segoe UI" w:cs="Segoe UI"/>
          <w:color w:val="212121"/>
        </w:rPr>
        <w:t>NSC</w:t>
      </w:r>
      <w:r w:rsidR="00AA4AF4">
        <w:rPr>
          <w:rFonts w:ascii="Segoe UI" w:eastAsia="Times New Roman" w:hAnsi="Segoe UI" w:cs="Segoe UI"/>
          <w:color w:val="212121"/>
        </w:rPr>
        <w:t>)</w:t>
      </w:r>
      <w:r w:rsidR="004E001B" w:rsidRPr="002241D6">
        <w:rPr>
          <w:rFonts w:ascii="Segoe UI" w:eastAsia="Times New Roman" w:hAnsi="Segoe UI" w:cs="Segoe UI"/>
          <w:color w:val="212121"/>
        </w:rPr>
        <w:t xml:space="preserve"> should be extended until 30 June 2027 to align with the commencement </w:t>
      </w:r>
      <w:r w:rsidR="52907D97" w:rsidRPr="3945748E">
        <w:rPr>
          <w:rFonts w:ascii="Segoe UI" w:eastAsia="Times New Roman" w:hAnsi="Segoe UI" w:cs="Segoe UI"/>
          <w:color w:val="212121"/>
        </w:rPr>
        <w:t xml:space="preserve">in 2027-28 </w:t>
      </w:r>
      <w:r w:rsidR="004E001B" w:rsidRPr="002241D6">
        <w:rPr>
          <w:rFonts w:ascii="Segoe UI" w:eastAsia="Times New Roman" w:hAnsi="Segoe UI" w:cs="Segoe UI"/>
          <w:color w:val="212121"/>
        </w:rPr>
        <w:t xml:space="preserve">of the new </w:t>
      </w:r>
      <w:r w:rsidR="0052215F">
        <w:rPr>
          <w:rFonts w:ascii="Segoe UI" w:eastAsia="Times New Roman" w:hAnsi="Segoe UI" w:cs="Segoe UI"/>
          <w:color w:val="212121"/>
        </w:rPr>
        <w:t>five-year</w:t>
      </w:r>
      <w:r w:rsidR="004E001B" w:rsidRPr="002241D6">
        <w:rPr>
          <w:rFonts w:ascii="Segoe UI" w:eastAsia="Times New Roman" w:hAnsi="Segoe UI" w:cs="Segoe UI"/>
          <w:color w:val="212121"/>
        </w:rPr>
        <w:t xml:space="preserve"> funding </w:t>
      </w:r>
      <w:r w:rsidR="004E001B">
        <w:rPr>
          <w:rFonts w:ascii="Segoe UI" w:eastAsia="Times New Roman" w:hAnsi="Segoe UI" w:cs="Segoe UI"/>
          <w:color w:val="212121"/>
        </w:rPr>
        <w:t>cycle</w:t>
      </w:r>
      <w:r w:rsidR="004E001B" w:rsidRPr="002241D6">
        <w:rPr>
          <w:rFonts w:ascii="Segoe UI" w:eastAsia="Times New Roman" w:hAnsi="Segoe UI" w:cs="Segoe UI"/>
          <w:color w:val="212121"/>
        </w:rPr>
        <w:t xml:space="preserve"> at Recommendation </w:t>
      </w:r>
      <w:r w:rsidR="09B20449" w:rsidRPr="3945748E">
        <w:rPr>
          <w:rFonts w:ascii="Segoe UI" w:eastAsia="Times New Roman" w:hAnsi="Segoe UI" w:cs="Segoe UI"/>
          <w:color w:val="212121"/>
        </w:rPr>
        <w:t>4</w:t>
      </w:r>
      <w:r w:rsidR="004E001B" w:rsidRPr="002241D6">
        <w:rPr>
          <w:rFonts w:ascii="Segoe UI" w:eastAsia="Times New Roman" w:hAnsi="Segoe UI" w:cs="Segoe UI"/>
          <w:color w:val="212121"/>
        </w:rPr>
        <w:t>.</w:t>
      </w:r>
      <w:r w:rsidR="004E001B">
        <w:rPr>
          <w:rFonts w:ascii="Segoe UI" w:eastAsia="Times New Roman" w:hAnsi="Segoe UI" w:cs="Segoe UI"/>
          <w:color w:val="212121"/>
        </w:rPr>
        <w:t xml:space="preserve"> </w:t>
      </w:r>
    </w:p>
    <w:p w14:paraId="06E45FFC" w14:textId="77777777" w:rsidR="001663F0" w:rsidRPr="002241D6" w:rsidRDefault="001663F0" w:rsidP="001663F0">
      <w:pPr>
        <w:spacing w:after="120" w:line="259" w:lineRule="auto"/>
        <w:rPr>
          <w:rFonts w:ascii="Segoe UI" w:eastAsia="Times New Roman" w:hAnsi="Segoe UI" w:cs="Segoe UI"/>
          <w:color w:val="212121"/>
        </w:rPr>
      </w:pPr>
      <w:r>
        <w:rPr>
          <w:rFonts w:ascii="Segoe UI" w:eastAsia="Times New Roman" w:hAnsi="Segoe UI" w:cs="Segoe UI"/>
          <w:b/>
          <w:color w:val="212121"/>
        </w:rPr>
        <w:t xml:space="preserve">Recommendation 4: </w:t>
      </w:r>
      <w:r w:rsidR="004E001B" w:rsidRPr="002241D6">
        <w:rPr>
          <w:rFonts w:ascii="Segoe UI" w:eastAsia="Times New Roman" w:hAnsi="Segoe UI" w:cs="Segoe UI"/>
          <w:color w:val="212121"/>
        </w:rPr>
        <w:t xml:space="preserve">Government should adopt a </w:t>
      </w:r>
      <w:r w:rsidR="0052215F">
        <w:rPr>
          <w:rFonts w:ascii="Segoe UI" w:eastAsia="Times New Roman" w:hAnsi="Segoe UI" w:cs="Segoe UI"/>
          <w:color w:val="212121"/>
        </w:rPr>
        <w:t>five-year</w:t>
      </w:r>
      <w:r w:rsidR="004E001B" w:rsidRPr="002241D6">
        <w:rPr>
          <w:rFonts w:ascii="Segoe UI" w:eastAsia="Times New Roman" w:hAnsi="Segoe UI" w:cs="Segoe UI"/>
          <w:color w:val="212121"/>
        </w:rPr>
        <w:t xml:space="preserve"> </w:t>
      </w:r>
      <w:r w:rsidR="004E001B">
        <w:rPr>
          <w:rFonts w:ascii="Segoe UI" w:eastAsia="Times New Roman" w:hAnsi="Segoe UI" w:cs="Segoe UI"/>
          <w:color w:val="212121"/>
        </w:rPr>
        <w:t>cycle</w:t>
      </w:r>
      <w:r w:rsidR="004E001B" w:rsidRPr="002241D6">
        <w:rPr>
          <w:rFonts w:ascii="Segoe UI" w:eastAsia="Times New Roman" w:hAnsi="Segoe UI" w:cs="Segoe UI"/>
          <w:color w:val="212121"/>
        </w:rPr>
        <w:t xml:space="preserve"> for providing operating funding to the sector, commencing in 2027-28</w:t>
      </w:r>
      <w:r w:rsidR="004E001B">
        <w:rPr>
          <w:rFonts w:ascii="Segoe UI" w:eastAsia="Times New Roman" w:hAnsi="Segoe UI" w:cs="Segoe UI"/>
          <w:color w:val="212121"/>
        </w:rPr>
        <w:t>. Th</w:t>
      </w:r>
      <w:r w:rsidR="00FE79EB">
        <w:rPr>
          <w:rFonts w:ascii="Segoe UI" w:eastAsia="Times New Roman" w:hAnsi="Segoe UI" w:cs="Segoe UI"/>
          <w:color w:val="212121"/>
        </w:rPr>
        <w:t>e</w:t>
      </w:r>
      <w:r w:rsidR="7114149A" w:rsidRPr="4F10518B">
        <w:rPr>
          <w:rFonts w:ascii="Segoe UI" w:eastAsia="Times New Roman" w:hAnsi="Segoe UI" w:cs="Segoe UI"/>
          <w:color w:val="212121"/>
        </w:rPr>
        <w:t xml:space="preserve"> </w:t>
      </w:r>
      <w:r w:rsidR="3830BED0" w:rsidRPr="4F10518B">
        <w:rPr>
          <w:rFonts w:ascii="Segoe UI" w:eastAsia="Times New Roman" w:hAnsi="Segoe UI" w:cs="Segoe UI"/>
          <w:color w:val="212121"/>
        </w:rPr>
        <w:t>new</w:t>
      </w:r>
      <w:r w:rsidR="004E001B">
        <w:rPr>
          <w:rFonts w:ascii="Segoe UI" w:eastAsia="Times New Roman" w:hAnsi="Segoe UI" w:cs="Segoe UI"/>
          <w:color w:val="212121"/>
        </w:rPr>
        <w:t xml:space="preserve"> funding cycle should involve a performance evaluation in year three and an open tender process</w:t>
      </w:r>
      <w:r w:rsidR="009A25C6">
        <w:rPr>
          <w:rFonts w:ascii="Segoe UI" w:eastAsia="Times New Roman" w:hAnsi="Segoe UI" w:cs="Segoe UI"/>
          <w:color w:val="212121"/>
        </w:rPr>
        <w:t xml:space="preserve"> in year four</w:t>
      </w:r>
      <w:r w:rsidR="004E001B">
        <w:rPr>
          <w:rFonts w:ascii="Segoe UI" w:eastAsia="Times New Roman" w:hAnsi="Segoe UI" w:cs="Segoe UI"/>
          <w:color w:val="212121"/>
        </w:rPr>
        <w:t xml:space="preserve">. This </w:t>
      </w:r>
      <w:r w:rsidR="00FE79EB">
        <w:rPr>
          <w:rFonts w:ascii="Segoe UI" w:eastAsia="Times New Roman" w:hAnsi="Segoe UI" w:cs="Segoe UI"/>
          <w:color w:val="212121"/>
        </w:rPr>
        <w:t>R</w:t>
      </w:r>
      <w:r w:rsidR="004E001B">
        <w:rPr>
          <w:rFonts w:ascii="Segoe UI" w:eastAsia="Times New Roman" w:hAnsi="Segoe UI" w:cs="Segoe UI"/>
          <w:color w:val="212121"/>
        </w:rPr>
        <w:t xml:space="preserve">eview should be drawn on for </w:t>
      </w:r>
      <w:r w:rsidR="009A25C6">
        <w:rPr>
          <w:rFonts w:ascii="Segoe UI" w:eastAsia="Times New Roman" w:hAnsi="Segoe UI" w:cs="Segoe UI"/>
          <w:color w:val="212121"/>
        </w:rPr>
        <w:t xml:space="preserve">evaluation </w:t>
      </w:r>
      <w:r w:rsidR="004E001B">
        <w:rPr>
          <w:rFonts w:ascii="Segoe UI" w:eastAsia="Times New Roman" w:hAnsi="Segoe UI" w:cs="Segoe UI"/>
          <w:color w:val="212121"/>
        </w:rPr>
        <w:t>decision</w:t>
      </w:r>
      <w:r w:rsidR="00FE79EB">
        <w:rPr>
          <w:rFonts w:ascii="Segoe UI" w:eastAsia="Times New Roman" w:hAnsi="Segoe UI" w:cs="Segoe UI"/>
          <w:color w:val="212121"/>
        </w:rPr>
        <w:t>s</w:t>
      </w:r>
      <w:r w:rsidR="004E001B">
        <w:rPr>
          <w:rFonts w:ascii="Segoe UI" w:eastAsia="Times New Roman" w:hAnsi="Segoe UI" w:cs="Segoe UI"/>
          <w:color w:val="212121"/>
        </w:rPr>
        <w:t xml:space="preserve"> by SCNS </w:t>
      </w:r>
      <w:r w:rsidR="7BEF3876" w:rsidRPr="4F10518B">
        <w:rPr>
          <w:rFonts w:ascii="Segoe UI" w:eastAsia="Times New Roman" w:hAnsi="Segoe UI" w:cs="Segoe UI"/>
          <w:color w:val="212121"/>
        </w:rPr>
        <w:t>for</w:t>
      </w:r>
      <w:r w:rsidR="004E001B">
        <w:rPr>
          <w:rFonts w:ascii="Segoe UI" w:eastAsia="Times New Roman" w:hAnsi="Segoe UI" w:cs="Segoe UI"/>
          <w:color w:val="212121"/>
        </w:rPr>
        <w:t xml:space="preserve"> the first </w:t>
      </w:r>
      <w:r w:rsidR="0052215F">
        <w:rPr>
          <w:rFonts w:ascii="Segoe UI" w:eastAsia="Times New Roman" w:hAnsi="Segoe UI" w:cs="Segoe UI"/>
          <w:color w:val="212121"/>
        </w:rPr>
        <w:t>five-year</w:t>
      </w:r>
      <w:r w:rsidR="004E001B">
        <w:rPr>
          <w:rFonts w:ascii="Segoe UI" w:eastAsia="Times New Roman" w:hAnsi="Segoe UI" w:cs="Segoe UI"/>
          <w:color w:val="212121"/>
        </w:rPr>
        <w:t xml:space="preserve"> funding cycle (2027-28 to 2031-32).</w:t>
      </w:r>
    </w:p>
    <w:p w14:paraId="06E45FFD" w14:textId="77777777" w:rsidR="00042337" w:rsidRDefault="00042337" w:rsidP="00042337">
      <w:pPr>
        <w:spacing w:after="120" w:line="259" w:lineRule="auto"/>
        <w:rPr>
          <w:rFonts w:ascii="Segoe UI" w:eastAsia="Times New Roman" w:hAnsi="Segoe UI" w:cs="Segoe UI"/>
          <w:b/>
          <w:color w:val="212121"/>
        </w:rPr>
      </w:pPr>
      <w:r>
        <w:rPr>
          <w:rFonts w:ascii="Segoe UI" w:eastAsia="Times New Roman" w:hAnsi="Segoe UI" w:cs="Segoe UI"/>
          <w:b/>
          <w:color w:val="212121"/>
        </w:rPr>
        <w:t xml:space="preserve">Recommendation 5: </w:t>
      </w:r>
      <w:r w:rsidRPr="008B2291">
        <w:rPr>
          <w:rFonts w:ascii="Segoe UI" w:eastAsia="Times New Roman" w:hAnsi="Segoe UI" w:cs="Segoe UI"/>
          <w:color w:val="212121"/>
        </w:rPr>
        <w:t>Departments and agencies should retain the a</w:t>
      </w:r>
      <w:r>
        <w:rPr>
          <w:rFonts w:ascii="Segoe UI" w:eastAsia="Times New Roman" w:hAnsi="Segoe UI" w:cs="Segoe UI"/>
          <w:color w:val="212121"/>
        </w:rPr>
        <w:t>utonomy</w:t>
      </w:r>
      <w:r w:rsidRPr="008B2291">
        <w:rPr>
          <w:rFonts w:ascii="Segoe UI" w:eastAsia="Times New Roman" w:hAnsi="Segoe UI" w:cs="Segoe UI"/>
          <w:color w:val="212121"/>
        </w:rPr>
        <w:t xml:space="preserve"> to commission strategic policy work in support of their priorities</w:t>
      </w:r>
      <w:r w:rsidR="004E001B">
        <w:rPr>
          <w:rFonts w:ascii="Segoe UI" w:eastAsia="Times New Roman" w:hAnsi="Segoe UI" w:cs="Segoe UI"/>
          <w:color w:val="212121"/>
        </w:rPr>
        <w:t>,</w:t>
      </w:r>
      <w:r>
        <w:rPr>
          <w:rFonts w:ascii="Segoe UI" w:eastAsia="Times New Roman" w:hAnsi="Segoe UI" w:cs="Segoe UI"/>
          <w:color w:val="212121"/>
        </w:rPr>
        <w:t xml:space="preserve"> provid</w:t>
      </w:r>
      <w:r w:rsidR="004E001B">
        <w:rPr>
          <w:rFonts w:ascii="Segoe UI" w:eastAsia="Times New Roman" w:hAnsi="Segoe UI" w:cs="Segoe UI"/>
          <w:color w:val="212121"/>
        </w:rPr>
        <w:t>ed</w:t>
      </w:r>
      <w:r>
        <w:rPr>
          <w:rFonts w:ascii="Segoe UI" w:eastAsia="Times New Roman" w:hAnsi="Segoe UI" w:cs="Segoe UI"/>
          <w:color w:val="212121"/>
        </w:rPr>
        <w:t xml:space="preserve"> these are consistent with the annual priorities approved by SCNS</w:t>
      </w:r>
      <w:r w:rsidR="004E001B">
        <w:rPr>
          <w:rFonts w:ascii="Segoe UI" w:eastAsia="Times New Roman" w:hAnsi="Segoe UI" w:cs="Segoe UI"/>
          <w:color w:val="212121"/>
        </w:rPr>
        <w:t xml:space="preserve"> and the principles</w:t>
      </w:r>
      <w:r w:rsidR="008B3A47">
        <w:rPr>
          <w:rFonts w:ascii="Segoe UI" w:eastAsia="Times New Roman" w:hAnsi="Segoe UI" w:cs="Segoe UI"/>
          <w:color w:val="212121"/>
        </w:rPr>
        <w:t>-</w:t>
      </w:r>
      <w:r w:rsidR="004E001B">
        <w:rPr>
          <w:rFonts w:ascii="Segoe UI" w:eastAsia="Times New Roman" w:hAnsi="Segoe UI" w:cs="Segoe UI"/>
          <w:color w:val="212121"/>
        </w:rPr>
        <w:t>based framework</w:t>
      </w:r>
      <w:r>
        <w:rPr>
          <w:rFonts w:ascii="Segoe UI" w:eastAsia="Times New Roman" w:hAnsi="Segoe UI" w:cs="Segoe UI"/>
          <w:color w:val="212121"/>
        </w:rPr>
        <w:t>.</w:t>
      </w:r>
    </w:p>
    <w:p w14:paraId="06E45FFE" w14:textId="77777777" w:rsidR="008A6C91" w:rsidRDefault="00A92DC3" w:rsidP="0018554D">
      <w:pPr>
        <w:spacing w:after="120" w:line="259" w:lineRule="auto"/>
        <w:rPr>
          <w:rFonts w:ascii="Segoe UI" w:eastAsia="Times New Roman" w:hAnsi="Segoe UI" w:cs="Segoe UI"/>
          <w:color w:val="212121"/>
        </w:rPr>
      </w:pPr>
      <w:r w:rsidRPr="75EBCA1C">
        <w:rPr>
          <w:rFonts w:ascii="Segoe UI" w:eastAsia="Times New Roman" w:hAnsi="Segoe UI" w:cs="Segoe UI"/>
          <w:b/>
          <w:color w:val="212121"/>
        </w:rPr>
        <w:t xml:space="preserve">Recommendation </w:t>
      </w:r>
      <w:r w:rsidR="00042337">
        <w:rPr>
          <w:rFonts w:ascii="Segoe UI" w:eastAsia="Times New Roman" w:hAnsi="Segoe UI" w:cs="Segoe UI"/>
          <w:b/>
          <w:color w:val="212121"/>
        </w:rPr>
        <w:t>6</w:t>
      </w:r>
      <w:r w:rsidR="00EB7317" w:rsidRPr="002A0F0E">
        <w:rPr>
          <w:rFonts w:ascii="Segoe UI" w:eastAsia="Times New Roman" w:hAnsi="Segoe UI" w:cs="Segoe UI"/>
          <w:b/>
          <w:color w:val="212121"/>
        </w:rPr>
        <w:t xml:space="preserve">: </w:t>
      </w:r>
      <w:r w:rsidR="00AA4AF4">
        <w:rPr>
          <w:rFonts w:ascii="Segoe UI" w:eastAsia="Times New Roman" w:hAnsi="Segoe UI" w:cs="Segoe UI"/>
          <w:color w:val="212121"/>
        </w:rPr>
        <w:t>The Department of the Prime Minister and Cabinet (</w:t>
      </w:r>
      <w:r w:rsidR="004F55D5" w:rsidRPr="00D77645">
        <w:rPr>
          <w:rFonts w:ascii="Segoe UI" w:eastAsia="Times New Roman" w:hAnsi="Segoe UI" w:cs="Segoe UI"/>
          <w:bCs/>
          <w:color w:val="212121"/>
        </w:rPr>
        <w:t>PM&amp;C</w:t>
      </w:r>
      <w:r w:rsidR="00AA4AF4">
        <w:rPr>
          <w:rFonts w:ascii="Segoe UI" w:eastAsia="Times New Roman" w:hAnsi="Segoe UI" w:cs="Segoe UI"/>
          <w:bCs/>
          <w:color w:val="212121"/>
        </w:rPr>
        <w:t>)</w:t>
      </w:r>
      <w:r w:rsidR="004F55D5" w:rsidRPr="00D77645">
        <w:rPr>
          <w:rFonts w:ascii="Segoe UI" w:eastAsia="Times New Roman" w:hAnsi="Segoe UI" w:cs="Segoe UI"/>
          <w:bCs/>
          <w:color w:val="212121"/>
        </w:rPr>
        <w:t xml:space="preserve"> should maintain and regularly update a central database</w:t>
      </w:r>
      <w:r w:rsidR="004F55D5">
        <w:rPr>
          <w:rFonts w:ascii="Segoe UI" w:eastAsia="Times New Roman" w:hAnsi="Segoe UI" w:cs="Segoe UI"/>
          <w:bCs/>
          <w:color w:val="212121"/>
        </w:rPr>
        <w:t xml:space="preserve">, internal to Government, </w:t>
      </w:r>
      <w:r w:rsidR="004F55D5" w:rsidRPr="00D77645">
        <w:rPr>
          <w:rFonts w:ascii="Segoe UI" w:eastAsia="Times New Roman" w:hAnsi="Segoe UI" w:cs="Segoe UI"/>
          <w:bCs/>
          <w:color w:val="212121"/>
        </w:rPr>
        <w:t xml:space="preserve">of all funding </w:t>
      </w:r>
      <w:r w:rsidR="004F55D5">
        <w:rPr>
          <w:rFonts w:ascii="Segoe UI" w:eastAsia="Times New Roman" w:hAnsi="Segoe UI" w:cs="Segoe UI"/>
          <w:bCs/>
          <w:color w:val="212121"/>
        </w:rPr>
        <w:t>arrangements with</w:t>
      </w:r>
      <w:r w:rsidR="004F55D5" w:rsidRPr="00D77645">
        <w:rPr>
          <w:rFonts w:ascii="Segoe UI" w:eastAsia="Times New Roman" w:hAnsi="Segoe UI" w:cs="Segoe UI"/>
          <w:bCs/>
          <w:color w:val="212121"/>
        </w:rPr>
        <w:t xml:space="preserve"> the sector including the name of the recipient</w:t>
      </w:r>
      <w:r w:rsidR="004F55D5">
        <w:rPr>
          <w:rFonts w:ascii="Segoe UI" w:eastAsia="Times New Roman" w:hAnsi="Segoe UI" w:cs="Segoe UI"/>
          <w:bCs/>
          <w:color w:val="212121"/>
        </w:rPr>
        <w:t xml:space="preserve"> organisations</w:t>
      </w:r>
      <w:r w:rsidR="004F55D5" w:rsidRPr="00D77645">
        <w:rPr>
          <w:rFonts w:ascii="Segoe UI" w:eastAsia="Times New Roman" w:hAnsi="Segoe UI" w:cs="Segoe UI"/>
          <w:bCs/>
          <w:color w:val="212121"/>
        </w:rPr>
        <w:t>,</w:t>
      </w:r>
      <w:r w:rsidR="004F55D5">
        <w:rPr>
          <w:rFonts w:ascii="Segoe UI" w:eastAsia="Times New Roman" w:hAnsi="Segoe UI" w:cs="Segoe UI"/>
          <w:bCs/>
          <w:color w:val="212121"/>
        </w:rPr>
        <w:t xml:space="preserve"> details of the project teams,</w:t>
      </w:r>
      <w:r w:rsidR="004F55D5" w:rsidRPr="00D77645">
        <w:rPr>
          <w:rFonts w:ascii="Segoe UI" w:eastAsia="Times New Roman" w:hAnsi="Segoe UI" w:cs="Segoe UI"/>
          <w:bCs/>
          <w:color w:val="212121"/>
        </w:rPr>
        <w:t xml:space="preserve"> level and duration of funding, funding agency, purpose of funding and evaluation outcomes.</w:t>
      </w:r>
    </w:p>
    <w:p w14:paraId="06E45FFF" w14:textId="77777777" w:rsidR="00222531" w:rsidRDefault="00D53632" w:rsidP="00594BD2">
      <w:pPr>
        <w:spacing w:after="120" w:line="259" w:lineRule="auto"/>
        <w:rPr>
          <w:rFonts w:ascii="Segoe UI" w:eastAsia="Times New Roman" w:hAnsi="Segoe UI" w:cs="Segoe UI"/>
          <w:color w:val="212121"/>
        </w:rPr>
      </w:pPr>
      <w:r>
        <w:rPr>
          <w:rFonts w:ascii="Segoe UI" w:eastAsia="Times New Roman" w:hAnsi="Segoe UI" w:cs="Segoe UI"/>
          <w:b/>
          <w:color w:val="212121"/>
        </w:rPr>
        <w:t xml:space="preserve">Recommendation </w:t>
      </w:r>
      <w:r w:rsidR="00042337">
        <w:rPr>
          <w:rFonts w:ascii="Segoe UI" w:eastAsia="Times New Roman" w:hAnsi="Segoe UI" w:cs="Segoe UI"/>
          <w:b/>
          <w:color w:val="212121"/>
        </w:rPr>
        <w:t>7</w:t>
      </w:r>
      <w:r w:rsidR="00496840">
        <w:rPr>
          <w:rFonts w:ascii="Segoe UI" w:eastAsia="Times New Roman" w:hAnsi="Segoe UI" w:cs="Segoe UI"/>
          <w:b/>
          <w:color w:val="212121"/>
        </w:rPr>
        <w:t>:</w:t>
      </w:r>
      <w:r w:rsidR="00222531">
        <w:rPr>
          <w:rFonts w:ascii="Segoe UI" w:eastAsia="Times New Roman" w:hAnsi="Segoe UI" w:cs="Segoe UI"/>
          <w:color w:val="212121"/>
        </w:rPr>
        <w:t xml:space="preserve"> </w:t>
      </w:r>
      <w:r w:rsidR="005E5378">
        <w:rPr>
          <w:rFonts w:ascii="Segoe UI" w:eastAsia="Times New Roman" w:hAnsi="Segoe UI" w:cs="Segoe UI"/>
          <w:color w:val="212121"/>
        </w:rPr>
        <w:t>D</w:t>
      </w:r>
      <w:r w:rsidR="00222531">
        <w:rPr>
          <w:rFonts w:ascii="Segoe UI" w:eastAsia="Times New Roman" w:hAnsi="Segoe UI" w:cs="Segoe UI"/>
          <w:color w:val="212121"/>
        </w:rPr>
        <w:t xml:space="preserve">epartments and agencies should commission, administer and coordinate their fee-for-service </w:t>
      </w:r>
      <w:r w:rsidR="00983290">
        <w:rPr>
          <w:rFonts w:ascii="Segoe UI" w:eastAsia="Times New Roman" w:hAnsi="Segoe UI" w:cs="Segoe UI"/>
          <w:color w:val="212121"/>
        </w:rPr>
        <w:t xml:space="preserve">strategic policy </w:t>
      </w:r>
      <w:r w:rsidR="00222531">
        <w:rPr>
          <w:rFonts w:ascii="Segoe UI" w:eastAsia="Times New Roman" w:hAnsi="Segoe UI" w:cs="Segoe UI"/>
          <w:color w:val="212121"/>
        </w:rPr>
        <w:t xml:space="preserve">activities through </w:t>
      </w:r>
      <w:r w:rsidR="00594BD2">
        <w:rPr>
          <w:rFonts w:ascii="Segoe UI" w:eastAsia="Times New Roman" w:hAnsi="Segoe UI" w:cs="Segoe UI"/>
          <w:color w:val="212121"/>
        </w:rPr>
        <w:t xml:space="preserve">single </w:t>
      </w:r>
      <w:r w:rsidR="004E001B">
        <w:rPr>
          <w:rFonts w:ascii="Segoe UI" w:eastAsia="Times New Roman" w:hAnsi="Segoe UI" w:cs="Segoe UI"/>
          <w:color w:val="212121"/>
        </w:rPr>
        <w:t xml:space="preserve">departmental </w:t>
      </w:r>
      <w:r w:rsidR="00594BD2">
        <w:rPr>
          <w:rFonts w:ascii="Segoe UI" w:eastAsia="Times New Roman" w:hAnsi="Segoe UI" w:cs="Segoe UI"/>
          <w:color w:val="212121"/>
        </w:rPr>
        <w:t>gateway</w:t>
      </w:r>
      <w:r w:rsidR="004E001B">
        <w:rPr>
          <w:rFonts w:ascii="Segoe UI" w:eastAsia="Times New Roman" w:hAnsi="Segoe UI" w:cs="Segoe UI"/>
          <w:color w:val="212121"/>
        </w:rPr>
        <w:t>s</w:t>
      </w:r>
      <w:r w:rsidR="00594BD2">
        <w:rPr>
          <w:rFonts w:ascii="Segoe UI" w:eastAsia="Times New Roman" w:hAnsi="Segoe UI" w:cs="Segoe UI"/>
          <w:color w:val="212121"/>
        </w:rPr>
        <w:t xml:space="preserve"> </w:t>
      </w:r>
      <w:r w:rsidR="005E5378">
        <w:rPr>
          <w:rFonts w:ascii="Segoe UI" w:eastAsia="Times New Roman" w:hAnsi="Segoe UI" w:cs="Segoe UI"/>
          <w:color w:val="212121"/>
        </w:rPr>
        <w:t>where practical</w:t>
      </w:r>
      <w:r w:rsidR="00222531">
        <w:rPr>
          <w:rFonts w:ascii="Segoe UI" w:eastAsia="Times New Roman" w:hAnsi="Segoe UI" w:cs="Segoe UI"/>
          <w:color w:val="212121"/>
        </w:rPr>
        <w:t>.</w:t>
      </w:r>
      <w:r w:rsidR="00983290">
        <w:rPr>
          <w:rFonts w:ascii="Segoe UI" w:eastAsia="Times New Roman" w:hAnsi="Segoe UI" w:cs="Segoe UI"/>
          <w:color w:val="212121"/>
        </w:rPr>
        <w:t xml:space="preserve"> </w:t>
      </w:r>
    </w:p>
    <w:p w14:paraId="06E46000" w14:textId="77777777" w:rsidR="00D53632" w:rsidRDefault="00222531" w:rsidP="0018554D">
      <w:pPr>
        <w:spacing w:after="120" w:line="259" w:lineRule="auto"/>
        <w:rPr>
          <w:rFonts w:ascii="Segoe UI" w:eastAsia="Times New Roman" w:hAnsi="Segoe UI" w:cs="Segoe UI"/>
          <w:color w:val="212121"/>
        </w:rPr>
      </w:pPr>
      <w:r>
        <w:rPr>
          <w:rFonts w:ascii="Segoe UI" w:eastAsia="Times New Roman" w:hAnsi="Segoe UI" w:cs="Segoe UI"/>
          <w:b/>
          <w:color w:val="212121"/>
        </w:rPr>
        <w:t xml:space="preserve">Recommendation </w:t>
      </w:r>
      <w:r w:rsidR="00042337">
        <w:rPr>
          <w:rFonts w:ascii="Segoe UI" w:eastAsia="Times New Roman" w:hAnsi="Segoe UI" w:cs="Segoe UI"/>
          <w:b/>
          <w:color w:val="212121"/>
        </w:rPr>
        <w:t>8</w:t>
      </w:r>
      <w:r>
        <w:rPr>
          <w:rFonts w:ascii="Segoe UI" w:eastAsia="Times New Roman" w:hAnsi="Segoe UI" w:cs="Segoe UI"/>
          <w:b/>
          <w:color w:val="212121"/>
        </w:rPr>
        <w:t xml:space="preserve">: </w:t>
      </w:r>
      <w:r w:rsidR="00316F5B" w:rsidRPr="00316F5B">
        <w:rPr>
          <w:rFonts w:ascii="Segoe UI" w:eastAsia="Times New Roman" w:hAnsi="Segoe UI" w:cs="Segoe UI"/>
          <w:bCs/>
          <w:color w:val="212121"/>
        </w:rPr>
        <w:t xml:space="preserve">To facilitate deeper interaction between Government and the sector, </w:t>
      </w:r>
      <w:r w:rsidR="00D53632" w:rsidRPr="2DB2A043">
        <w:rPr>
          <w:rFonts w:ascii="Segoe UI" w:eastAsia="Times New Roman" w:hAnsi="Segoe UI" w:cs="Segoe UI"/>
          <w:color w:val="212121"/>
        </w:rPr>
        <w:t xml:space="preserve">Government should sponsor security clearances for key figures across a diverse range of organisations </w:t>
      </w:r>
      <w:r w:rsidR="00D53632">
        <w:rPr>
          <w:rFonts w:ascii="Segoe UI" w:eastAsia="Times New Roman" w:hAnsi="Segoe UI" w:cs="Segoe UI"/>
          <w:color w:val="212121"/>
        </w:rPr>
        <w:t>where sponsorship is not</w:t>
      </w:r>
      <w:r w:rsidR="008E082F">
        <w:rPr>
          <w:rFonts w:ascii="Segoe UI" w:eastAsia="Times New Roman" w:hAnsi="Segoe UI" w:cs="Segoe UI"/>
          <w:color w:val="212121"/>
        </w:rPr>
        <w:t xml:space="preserve"> otherwise</w:t>
      </w:r>
      <w:r w:rsidR="00D53632">
        <w:rPr>
          <w:rFonts w:ascii="Segoe UI" w:eastAsia="Times New Roman" w:hAnsi="Segoe UI" w:cs="Segoe UI"/>
          <w:color w:val="212121"/>
        </w:rPr>
        <w:t xml:space="preserve"> possible</w:t>
      </w:r>
      <w:r w:rsidR="00D53632" w:rsidRPr="2DB2A043">
        <w:rPr>
          <w:rFonts w:ascii="Segoe UI" w:eastAsia="Times New Roman" w:hAnsi="Segoe UI" w:cs="Segoe UI"/>
          <w:color w:val="212121"/>
        </w:rPr>
        <w:t>. </w:t>
      </w:r>
    </w:p>
    <w:p w14:paraId="06E46001" w14:textId="77777777" w:rsidR="00D53632" w:rsidRDefault="00D53632" w:rsidP="11F50067">
      <w:pPr>
        <w:spacing w:after="120" w:line="257" w:lineRule="auto"/>
        <w:rPr>
          <w:rFonts w:ascii="Segoe UI" w:eastAsia="Times New Roman" w:hAnsi="Segoe UI" w:cs="Segoe UI"/>
          <w:color w:val="212121"/>
        </w:rPr>
      </w:pPr>
      <w:r w:rsidRPr="11F50067">
        <w:rPr>
          <w:rFonts w:ascii="Segoe UI" w:eastAsia="Times New Roman" w:hAnsi="Segoe UI" w:cs="Segoe UI"/>
          <w:b/>
          <w:bCs/>
          <w:color w:val="212121"/>
        </w:rPr>
        <w:t xml:space="preserve">Recommendation </w:t>
      </w:r>
      <w:r w:rsidR="00042337" w:rsidRPr="11F50067">
        <w:rPr>
          <w:rFonts w:ascii="Segoe UI" w:eastAsia="Times New Roman" w:hAnsi="Segoe UI" w:cs="Segoe UI"/>
          <w:b/>
          <w:bCs/>
          <w:color w:val="212121"/>
        </w:rPr>
        <w:t>9</w:t>
      </w:r>
      <w:r w:rsidR="00496840" w:rsidRPr="11F50067">
        <w:rPr>
          <w:rFonts w:ascii="Segoe UI" w:eastAsia="Times New Roman" w:hAnsi="Segoe UI" w:cs="Segoe UI"/>
          <w:b/>
          <w:bCs/>
          <w:color w:val="212121"/>
        </w:rPr>
        <w:t xml:space="preserve">: </w:t>
      </w:r>
      <w:r w:rsidR="6CD2AFA2" w:rsidRPr="11F50067">
        <w:rPr>
          <w:rFonts w:ascii="Segoe UI" w:eastAsia="Segoe UI" w:hAnsi="Segoe UI" w:cs="Segoe UI"/>
          <w:color w:val="212121"/>
          <w:szCs w:val="22"/>
        </w:rPr>
        <w:t>Government should increase secondments and two-way exchanges with organisations, prioritising high-achieving individuals. Government secondees should protect confidential information but not be otherwise constrained by their home agency on their research outputs.</w:t>
      </w:r>
    </w:p>
    <w:p w14:paraId="06E46002" w14:textId="77777777" w:rsidR="00F64CB7" w:rsidRDefault="00F64CB7" w:rsidP="0018554D">
      <w:pPr>
        <w:spacing w:after="120" w:line="259" w:lineRule="auto"/>
        <w:rPr>
          <w:rFonts w:ascii="Segoe UI" w:eastAsia="Times New Roman" w:hAnsi="Segoe UI" w:cs="Segoe UI"/>
          <w:b/>
          <w:color w:val="212121"/>
        </w:rPr>
      </w:pPr>
      <w:r w:rsidRPr="11F50067">
        <w:rPr>
          <w:rFonts w:ascii="Segoe UI" w:eastAsia="Times New Roman" w:hAnsi="Segoe UI" w:cs="Segoe UI"/>
          <w:b/>
          <w:bCs/>
          <w:color w:val="212121"/>
        </w:rPr>
        <w:t xml:space="preserve">Recommendation </w:t>
      </w:r>
      <w:r w:rsidR="00042337" w:rsidRPr="11F50067">
        <w:rPr>
          <w:rFonts w:ascii="Segoe UI" w:eastAsia="Times New Roman" w:hAnsi="Segoe UI" w:cs="Segoe UI"/>
          <w:b/>
          <w:bCs/>
          <w:color w:val="212121"/>
        </w:rPr>
        <w:t>10</w:t>
      </w:r>
      <w:r w:rsidRPr="11F50067">
        <w:rPr>
          <w:rFonts w:ascii="Segoe UI" w:eastAsia="Times New Roman" w:hAnsi="Segoe UI" w:cs="Segoe UI"/>
          <w:b/>
          <w:bCs/>
          <w:color w:val="212121"/>
        </w:rPr>
        <w:t xml:space="preserve">: </w:t>
      </w:r>
      <w:r w:rsidRPr="11F50067">
        <w:rPr>
          <w:rFonts w:ascii="Segoe UI" w:eastAsia="Times New Roman" w:hAnsi="Segoe UI" w:cs="Segoe UI"/>
          <w:color w:val="212121"/>
        </w:rPr>
        <w:t xml:space="preserve">Organisations should implement best-practice governance, including a skills matrix for Board positions, policies </w:t>
      </w:r>
      <w:r w:rsidR="00A17E7F" w:rsidRPr="11F50067">
        <w:rPr>
          <w:rFonts w:ascii="Segoe UI" w:eastAsia="Times New Roman" w:hAnsi="Segoe UI" w:cs="Segoe UI"/>
          <w:color w:val="212121"/>
        </w:rPr>
        <w:t>governing</w:t>
      </w:r>
      <w:r w:rsidRPr="11F50067">
        <w:rPr>
          <w:rFonts w:ascii="Segoe UI" w:eastAsia="Times New Roman" w:hAnsi="Segoe UI" w:cs="Segoe UI"/>
          <w:color w:val="212121"/>
        </w:rPr>
        <w:t xml:space="preserve"> the transparency and </w:t>
      </w:r>
      <w:r w:rsidR="00A17E7F" w:rsidRPr="11F50067">
        <w:rPr>
          <w:rFonts w:ascii="Segoe UI" w:eastAsia="Times New Roman" w:hAnsi="Segoe UI" w:cs="Segoe UI"/>
          <w:color w:val="212121"/>
        </w:rPr>
        <w:t>appropriateness of corporate</w:t>
      </w:r>
      <w:r w:rsidR="004E001B" w:rsidRPr="11F50067">
        <w:rPr>
          <w:rFonts w:ascii="Segoe UI" w:eastAsia="Times New Roman" w:hAnsi="Segoe UI" w:cs="Segoe UI"/>
          <w:color w:val="212121"/>
        </w:rPr>
        <w:t>, philanthropic</w:t>
      </w:r>
      <w:r w:rsidR="00A17E7F" w:rsidRPr="11F50067">
        <w:rPr>
          <w:rFonts w:ascii="Segoe UI" w:eastAsia="Times New Roman" w:hAnsi="Segoe UI" w:cs="Segoe UI"/>
          <w:color w:val="212121"/>
        </w:rPr>
        <w:t xml:space="preserve"> and foreign funding, and providing Government observer status on Boards where the Commonwealth provides operating funding. These should be a precondition of Commonwealth </w:t>
      </w:r>
      <w:r w:rsidR="00B808C5" w:rsidRPr="11F50067">
        <w:rPr>
          <w:rFonts w:ascii="Segoe UI" w:eastAsia="Times New Roman" w:hAnsi="Segoe UI" w:cs="Segoe UI"/>
          <w:color w:val="212121"/>
        </w:rPr>
        <w:t xml:space="preserve">operating </w:t>
      </w:r>
      <w:r w:rsidR="00A17E7F" w:rsidRPr="11F50067">
        <w:rPr>
          <w:rFonts w:ascii="Segoe UI" w:eastAsia="Times New Roman" w:hAnsi="Segoe UI" w:cs="Segoe UI"/>
          <w:color w:val="212121"/>
        </w:rPr>
        <w:t>funding</w:t>
      </w:r>
      <w:r w:rsidR="004F55D5" w:rsidRPr="11F50067">
        <w:rPr>
          <w:rFonts w:ascii="Segoe UI" w:eastAsia="Times New Roman" w:hAnsi="Segoe UI" w:cs="Segoe UI"/>
          <w:color w:val="212121"/>
        </w:rPr>
        <w:t>, but not fee-for-service funding</w:t>
      </w:r>
      <w:r w:rsidR="00A17E7F" w:rsidRPr="11F50067">
        <w:rPr>
          <w:rFonts w:ascii="Segoe UI" w:eastAsia="Times New Roman" w:hAnsi="Segoe UI" w:cs="Segoe UI"/>
          <w:color w:val="212121"/>
        </w:rPr>
        <w:t xml:space="preserve">. </w:t>
      </w:r>
    </w:p>
    <w:p w14:paraId="06E46003" w14:textId="77777777" w:rsidR="00E247C0" w:rsidRPr="00E247C0" w:rsidRDefault="00E247C0" w:rsidP="0018554D">
      <w:pPr>
        <w:spacing w:after="120" w:line="259" w:lineRule="auto"/>
        <w:rPr>
          <w:rFonts w:ascii="Segoe UI" w:eastAsia="Times New Roman" w:hAnsi="Segoe UI" w:cs="Segoe UI"/>
          <w:color w:val="212121"/>
        </w:rPr>
      </w:pPr>
      <w:r w:rsidRPr="00E247C0">
        <w:rPr>
          <w:rFonts w:ascii="Segoe UI" w:eastAsia="Times New Roman" w:hAnsi="Segoe UI" w:cs="Segoe UI"/>
          <w:b/>
          <w:color w:val="212121"/>
        </w:rPr>
        <w:t xml:space="preserve">Recommendation </w:t>
      </w:r>
      <w:r w:rsidR="00042337">
        <w:rPr>
          <w:rFonts w:ascii="Segoe UI" w:eastAsia="Times New Roman" w:hAnsi="Segoe UI" w:cs="Segoe UI"/>
          <w:b/>
          <w:color w:val="212121"/>
        </w:rPr>
        <w:t>11</w:t>
      </w:r>
      <w:r w:rsidR="00496840">
        <w:rPr>
          <w:rFonts w:ascii="Segoe UI" w:eastAsia="Times New Roman" w:hAnsi="Segoe UI" w:cs="Segoe UI"/>
          <w:b/>
          <w:color w:val="212121"/>
        </w:rPr>
        <w:t xml:space="preserve">: </w:t>
      </w:r>
      <w:r w:rsidRPr="00E247C0">
        <w:rPr>
          <w:rFonts w:ascii="Segoe UI" w:eastAsia="Times New Roman" w:hAnsi="Segoe UI" w:cs="Segoe UI"/>
          <w:color w:val="212121"/>
        </w:rPr>
        <w:t xml:space="preserve">Government should re-constitute ASPI’s Council with up to </w:t>
      </w:r>
      <w:r w:rsidR="00EF4034">
        <w:rPr>
          <w:rFonts w:ascii="Segoe UI" w:eastAsia="Times New Roman" w:hAnsi="Segoe UI" w:cs="Segoe UI"/>
          <w:color w:val="212121"/>
        </w:rPr>
        <w:t>eight</w:t>
      </w:r>
      <w:r w:rsidRPr="00E247C0">
        <w:rPr>
          <w:rFonts w:ascii="Segoe UI" w:eastAsia="Times New Roman" w:hAnsi="Segoe UI" w:cs="Segoe UI"/>
          <w:color w:val="212121"/>
        </w:rPr>
        <w:t xml:space="preserve"> members, comprising a chair and t</w:t>
      </w:r>
      <w:r w:rsidR="00EF4034">
        <w:rPr>
          <w:rFonts w:ascii="Segoe UI" w:eastAsia="Times New Roman" w:hAnsi="Segoe UI" w:cs="Segoe UI"/>
          <w:color w:val="212121"/>
        </w:rPr>
        <w:t>wo</w:t>
      </w:r>
      <w:r w:rsidRPr="00E247C0">
        <w:rPr>
          <w:rFonts w:ascii="Segoe UI" w:eastAsia="Times New Roman" w:hAnsi="Segoe UI" w:cs="Segoe UI"/>
          <w:color w:val="212121"/>
        </w:rPr>
        <w:t xml:space="preserve"> members appointed by the Minister for Defence, t</w:t>
      </w:r>
      <w:r w:rsidR="00EF4034">
        <w:rPr>
          <w:rFonts w:ascii="Segoe UI" w:eastAsia="Times New Roman" w:hAnsi="Segoe UI" w:cs="Segoe UI"/>
          <w:color w:val="212121"/>
        </w:rPr>
        <w:t>wo</w:t>
      </w:r>
      <w:r w:rsidRPr="00E247C0">
        <w:rPr>
          <w:rFonts w:ascii="Segoe UI" w:eastAsia="Times New Roman" w:hAnsi="Segoe UI" w:cs="Segoe UI"/>
          <w:color w:val="212121"/>
        </w:rPr>
        <w:t xml:space="preserve"> members appointed by the Leader of the Opposition, and up to three members appointed by the Council </w:t>
      </w:r>
      <w:r w:rsidR="00EF4034">
        <w:rPr>
          <w:rFonts w:ascii="Segoe UI" w:eastAsia="Times New Roman" w:hAnsi="Segoe UI" w:cs="Segoe UI"/>
          <w:color w:val="212121"/>
        </w:rPr>
        <w:t xml:space="preserve">itself </w:t>
      </w:r>
      <w:r w:rsidRPr="00E247C0">
        <w:rPr>
          <w:rFonts w:ascii="Segoe UI" w:eastAsia="Times New Roman" w:hAnsi="Segoe UI" w:cs="Segoe UI"/>
          <w:color w:val="212121"/>
        </w:rPr>
        <w:t xml:space="preserve">based on a skills matrix. The Council should have the authority to appoint the Executive Director. </w:t>
      </w:r>
    </w:p>
    <w:p w14:paraId="06E46004" w14:textId="77777777" w:rsidR="00E247C0" w:rsidRDefault="00E247C0" w:rsidP="11F50067">
      <w:pPr>
        <w:spacing w:after="120" w:line="259" w:lineRule="auto"/>
        <w:rPr>
          <w:rFonts w:ascii="Segoe UI" w:eastAsia="Times New Roman" w:hAnsi="Segoe UI" w:cs="Segoe UI"/>
          <w:color w:val="212121"/>
        </w:rPr>
      </w:pPr>
      <w:r w:rsidRPr="11F50067">
        <w:rPr>
          <w:rFonts w:ascii="Segoe UI" w:eastAsia="Times New Roman" w:hAnsi="Segoe UI" w:cs="Segoe UI"/>
          <w:b/>
          <w:bCs/>
          <w:color w:val="212121"/>
        </w:rPr>
        <w:lastRenderedPageBreak/>
        <w:t xml:space="preserve">Recommendation </w:t>
      </w:r>
      <w:r w:rsidR="00F64CB7" w:rsidRPr="11F50067">
        <w:rPr>
          <w:rFonts w:ascii="Segoe UI" w:eastAsia="Times New Roman" w:hAnsi="Segoe UI" w:cs="Segoe UI"/>
          <w:b/>
          <w:bCs/>
          <w:color w:val="212121"/>
        </w:rPr>
        <w:t>1</w:t>
      </w:r>
      <w:r w:rsidR="00042337" w:rsidRPr="11F50067">
        <w:rPr>
          <w:rFonts w:ascii="Segoe UI" w:eastAsia="Times New Roman" w:hAnsi="Segoe UI" w:cs="Segoe UI"/>
          <w:b/>
          <w:bCs/>
          <w:color w:val="212121"/>
        </w:rPr>
        <w:t>2</w:t>
      </w:r>
      <w:r w:rsidR="00496840" w:rsidRPr="11F50067">
        <w:rPr>
          <w:rFonts w:ascii="Segoe UI" w:eastAsia="Times New Roman" w:hAnsi="Segoe UI" w:cs="Segoe UI"/>
          <w:b/>
          <w:bCs/>
          <w:color w:val="212121"/>
        </w:rPr>
        <w:t xml:space="preserve">: </w:t>
      </w:r>
      <w:r w:rsidR="4428A603" w:rsidRPr="11F50067">
        <w:rPr>
          <w:rFonts w:ascii="Segoe UI" w:eastAsia="Times New Roman" w:hAnsi="Segoe UI" w:cs="Segoe UI"/>
          <w:color w:val="212121"/>
        </w:rPr>
        <w:t>Subject to a formal application being received from ASPI</w:t>
      </w:r>
      <w:r w:rsidR="00533BCC">
        <w:rPr>
          <w:rFonts w:ascii="Segoe UI" w:eastAsia="Times New Roman" w:hAnsi="Segoe UI" w:cs="Segoe UI"/>
          <w:color w:val="212121"/>
        </w:rPr>
        <w:t>,</w:t>
      </w:r>
      <w:r w:rsidR="4428A603" w:rsidRPr="11F50067">
        <w:rPr>
          <w:rFonts w:ascii="Segoe UI" w:eastAsia="Times New Roman" w:hAnsi="Segoe UI" w:cs="Segoe UI"/>
          <w:color w:val="212121"/>
        </w:rPr>
        <w:t xml:space="preserve"> and meeting relevant requirements, the Government should support Deductible Gift Recipient status for ASPI, either as an approved research institute or, if necessary, through a specific listing in the tax law. This should be subject to ASPI’s Council developing guidelines, cleared by the Minister for Defence, that ensure potential donors understand that ASPI’s Commonwealth Company status does not confer any special privileges or access to Government.</w:t>
      </w:r>
    </w:p>
    <w:p w14:paraId="06E46005" w14:textId="77777777" w:rsidR="00E247C0" w:rsidRPr="00E247C0" w:rsidRDefault="00E247C0" w:rsidP="0018554D">
      <w:pPr>
        <w:spacing w:after="120" w:line="259" w:lineRule="auto"/>
        <w:rPr>
          <w:rFonts w:ascii="Segoe UI" w:eastAsia="Times New Roman" w:hAnsi="Segoe UI" w:cs="Segoe UI"/>
          <w:color w:val="212121"/>
        </w:rPr>
      </w:pPr>
      <w:r w:rsidRPr="00E247C0">
        <w:rPr>
          <w:rFonts w:ascii="Segoe UI" w:eastAsia="Times New Roman" w:hAnsi="Segoe UI" w:cs="Segoe UI"/>
          <w:b/>
          <w:color w:val="212121"/>
        </w:rPr>
        <w:t xml:space="preserve">Recommendation </w:t>
      </w:r>
      <w:r w:rsidR="005E5378">
        <w:rPr>
          <w:rFonts w:ascii="Segoe UI" w:eastAsia="Times New Roman" w:hAnsi="Segoe UI" w:cs="Segoe UI"/>
          <w:b/>
          <w:color w:val="212121"/>
        </w:rPr>
        <w:t>1</w:t>
      </w:r>
      <w:r w:rsidR="00042337">
        <w:rPr>
          <w:rFonts w:ascii="Segoe UI" w:eastAsia="Times New Roman" w:hAnsi="Segoe UI" w:cs="Segoe UI"/>
          <w:b/>
          <w:color w:val="212121"/>
        </w:rPr>
        <w:t>3</w:t>
      </w:r>
      <w:r w:rsidR="00496840">
        <w:rPr>
          <w:rFonts w:ascii="Segoe UI" w:eastAsia="Times New Roman" w:hAnsi="Segoe UI" w:cs="Segoe UI"/>
          <w:b/>
          <w:color w:val="212121"/>
        </w:rPr>
        <w:t xml:space="preserve">: </w:t>
      </w:r>
      <w:r w:rsidRPr="00E247C0">
        <w:rPr>
          <w:rFonts w:ascii="Segoe UI" w:eastAsia="Times New Roman" w:hAnsi="Segoe UI" w:cs="Segoe UI"/>
          <w:color w:val="212121"/>
        </w:rPr>
        <w:t>Government should cease funding for ASPI’s Washington D.C. Office once existing contracts conclude at the end of the 2024</w:t>
      </w:r>
      <w:r w:rsidR="007959C0">
        <w:rPr>
          <w:rFonts w:ascii="Segoe UI" w:eastAsia="Times New Roman" w:hAnsi="Segoe UI" w:cs="Segoe UI"/>
          <w:color w:val="212121"/>
        </w:rPr>
        <w:t>-</w:t>
      </w:r>
      <w:r w:rsidRPr="00E247C0">
        <w:rPr>
          <w:rFonts w:ascii="Segoe UI" w:eastAsia="Times New Roman" w:hAnsi="Segoe UI" w:cs="Segoe UI"/>
          <w:color w:val="212121"/>
        </w:rPr>
        <w:t>25 financial year. </w:t>
      </w:r>
    </w:p>
    <w:p w14:paraId="06E46006" w14:textId="77777777" w:rsidR="00042337" w:rsidRPr="00E247C0" w:rsidRDefault="00E247C0" w:rsidP="0018554D">
      <w:pPr>
        <w:spacing w:after="120" w:line="259" w:lineRule="auto"/>
        <w:rPr>
          <w:rFonts w:ascii="Segoe UI" w:eastAsia="Times New Roman" w:hAnsi="Segoe UI" w:cs="Segoe UI"/>
          <w:color w:val="212121"/>
        </w:rPr>
      </w:pPr>
      <w:r w:rsidRPr="00E247C0">
        <w:rPr>
          <w:rFonts w:ascii="Segoe UI" w:eastAsia="Times New Roman" w:hAnsi="Segoe UI" w:cs="Segoe UI"/>
          <w:b/>
          <w:color w:val="212121"/>
        </w:rPr>
        <w:t xml:space="preserve">Recommendation </w:t>
      </w:r>
      <w:r w:rsidR="00A92DC3">
        <w:rPr>
          <w:rFonts w:ascii="Segoe UI" w:eastAsia="Times New Roman" w:hAnsi="Segoe UI" w:cs="Segoe UI"/>
          <w:b/>
          <w:bCs/>
          <w:color w:val="212121"/>
        </w:rPr>
        <w:t>1</w:t>
      </w:r>
      <w:r w:rsidR="00042337">
        <w:rPr>
          <w:rFonts w:ascii="Segoe UI" w:eastAsia="Times New Roman" w:hAnsi="Segoe UI" w:cs="Segoe UI"/>
          <w:b/>
          <w:bCs/>
          <w:color w:val="212121"/>
        </w:rPr>
        <w:t>4</w:t>
      </w:r>
      <w:r w:rsidR="00496840">
        <w:rPr>
          <w:rFonts w:ascii="Segoe UI" w:eastAsia="Times New Roman" w:hAnsi="Segoe UI" w:cs="Segoe UI"/>
          <w:b/>
          <w:bCs/>
          <w:color w:val="212121"/>
        </w:rPr>
        <w:t xml:space="preserve">: </w:t>
      </w:r>
      <w:r w:rsidR="004117D3" w:rsidRPr="004117D3">
        <w:rPr>
          <w:rFonts w:ascii="Segoe UI" w:eastAsia="Times New Roman" w:hAnsi="Segoe UI" w:cs="Segoe UI"/>
          <w:color w:val="212121"/>
        </w:rPr>
        <w:t xml:space="preserve">At the conclusion of the existing grant to the </w:t>
      </w:r>
      <w:r w:rsidR="002224F6">
        <w:rPr>
          <w:rFonts w:ascii="Segoe UI" w:eastAsia="Times New Roman" w:hAnsi="Segoe UI" w:cs="Segoe UI"/>
          <w:color w:val="212121"/>
        </w:rPr>
        <w:t>Australian American Leadership Dialogue (</w:t>
      </w:r>
      <w:r w:rsidR="004117D3" w:rsidRPr="004117D3">
        <w:rPr>
          <w:rFonts w:ascii="Segoe UI" w:eastAsia="Times New Roman" w:hAnsi="Segoe UI" w:cs="Segoe UI"/>
          <w:color w:val="212121"/>
        </w:rPr>
        <w:t>AALD</w:t>
      </w:r>
      <w:r w:rsidR="002224F6">
        <w:rPr>
          <w:rFonts w:ascii="Segoe UI" w:eastAsia="Times New Roman" w:hAnsi="Segoe UI" w:cs="Segoe UI"/>
          <w:color w:val="212121"/>
        </w:rPr>
        <w:t>)</w:t>
      </w:r>
      <w:r w:rsidR="004117D3" w:rsidRPr="004117D3">
        <w:rPr>
          <w:rFonts w:ascii="Segoe UI" w:eastAsia="Times New Roman" w:hAnsi="Segoe UI" w:cs="Segoe UI"/>
          <w:color w:val="212121"/>
        </w:rPr>
        <w:t xml:space="preserve"> in 2027</w:t>
      </w:r>
      <w:r w:rsidR="004E001B">
        <w:rPr>
          <w:rFonts w:ascii="Segoe UI" w:eastAsia="Times New Roman" w:hAnsi="Segoe UI" w:cs="Segoe UI"/>
          <w:color w:val="212121"/>
        </w:rPr>
        <w:t>-28</w:t>
      </w:r>
      <w:r w:rsidR="004117D3" w:rsidRPr="004117D3">
        <w:rPr>
          <w:rFonts w:ascii="Segoe UI" w:eastAsia="Times New Roman" w:hAnsi="Segoe UI" w:cs="Segoe UI"/>
          <w:color w:val="212121"/>
        </w:rPr>
        <w:t xml:space="preserve">, the Government review its funding and make any further funding contingent on a </w:t>
      </w:r>
      <w:r w:rsidR="004117D3">
        <w:rPr>
          <w:rFonts w:ascii="Segoe UI" w:eastAsia="Times New Roman" w:hAnsi="Segoe UI" w:cs="Segoe UI"/>
          <w:color w:val="212121"/>
        </w:rPr>
        <w:t xml:space="preserve">matching </w:t>
      </w:r>
      <w:r w:rsidR="004117D3" w:rsidRPr="004117D3">
        <w:rPr>
          <w:rFonts w:ascii="Segoe UI" w:eastAsia="Times New Roman" w:hAnsi="Segoe UI" w:cs="Segoe UI"/>
          <w:color w:val="212121"/>
        </w:rPr>
        <w:t>co-contribution from the US Government a</w:t>
      </w:r>
      <w:r w:rsidR="004117D3">
        <w:rPr>
          <w:rFonts w:ascii="Segoe UI" w:eastAsia="Times New Roman" w:hAnsi="Segoe UI" w:cs="Segoe UI"/>
          <w:color w:val="212121"/>
        </w:rPr>
        <w:t xml:space="preserve">s well </w:t>
      </w:r>
      <w:r w:rsidR="004117D3" w:rsidRPr="004117D3">
        <w:rPr>
          <w:rFonts w:ascii="Segoe UI" w:eastAsia="Times New Roman" w:hAnsi="Segoe UI" w:cs="Segoe UI"/>
          <w:color w:val="212121"/>
        </w:rPr>
        <w:t>a</w:t>
      </w:r>
      <w:r w:rsidR="004117D3">
        <w:rPr>
          <w:rFonts w:ascii="Segoe UI" w:eastAsia="Times New Roman" w:hAnsi="Segoe UI" w:cs="Segoe UI"/>
          <w:color w:val="212121"/>
        </w:rPr>
        <w:t>s</w:t>
      </w:r>
      <w:r w:rsidR="004117D3" w:rsidRPr="004117D3">
        <w:rPr>
          <w:rFonts w:ascii="Segoe UI" w:eastAsia="Times New Roman" w:hAnsi="Segoe UI" w:cs="Segoe UI"/>
          <w:color w:val="212121"/>
        </w:rPr>
        <w:t xml:space="preserve"> </w:t>
      </w:r>
      <w:r w:rsidR="00FF7650">
        <w:rPr>
          <w:rFonts w:ascii="Segoe UI" w:eastAsia="Times New Roman" w:hAnsi="Segoe UI" w:cs="Segoe UI"/>
          <w:color w:val="212121"/>
        </w:rPr>
        <w:t xml:space="preserve">a </w:t>
      </w:r>
      <w:r w:rsidR="004117D3" w:rsidRPr="004117D3">
        <w:rPr>
          <w:rFonts w:ascii="Segoe UI" w:eastAsia="Times New Roman" w:hAnsi="Segoe UI" w:cs="Segoe UI"/>
          <w:color w:val="212121"/>
        </w:rPr>
        <w:t>substantial contribution from the private sector.</w:t>
      </w:r>
      <w:r w:rsidR="004117D3">
        <w:rPr>
          <w:rFonts w:ascii="Segoe UI" w:eastAsia="Times New Roman" w:hAnsi="Segoe UI" w:cs="Segoe UI"/>
          <w:b/>
          <w:bCs/>
          <w:color w:val="212121"/>
        </w:rPr>
        <w:t xml:space="preserve"> </w:t>
      </w:r>
    </w:p>
    <w:p w14:paraId="06E46007" w14:textId="77777777" w:rsidR="00F34A6C" w:rsidRDefault="00F34A6C" w:rsidP="009210B7">
      <w:pPr>
        <w:spacing w:after="120" w:line="259" w:lineRule="auto"/>
      </w:pPr>
      <w:r>
        <w:br w:type="page"/>
      </w:r>
    </w:p>
    <w:p w14:paraId="06E46008" w14:textId="77777777" w:rsidR="00AA2723" w:rsidRPr="002224F6" w:rsidRDefault="00AA2723" w:rsidP="0013658B">
      <w:pPr>
        <w:rPr>
          <w:rFonts w:ascii="Segoe UI" w:eastAsiaTheme="majorEastAsia" w:hAnsi="Segoe UI" w:cs="Segoe UI"/>
          <w:b/>
          <w:bCs/>
          <w:color w:val="092B57" w:themeColor="accent1"/>
          <w:sz w:val="48"/>
          <w:szCs w:val="48"/>
        </w:rPr>
      </w:pPr>
      <w:bookmarkStart w:id="12" w:name="_Toc170469358"/>
      <w:bookmarkStart w:id="13" w:name="_Toc170469731"/>
      <w:bookmarkStart w:id="14" w:name="_Toc170470346"/>
      <w:r w:rsidRPr="002224F6">
        <w:rPr>
          <w:rFonts w:ascii="Segoe UI" w:eastAsiaTheme="majorEastAsia" w:hAnsi="Segoe UI" w:cs="Segoe UI"/>
          <w:b/>
          <w:bCs/>
          <w:color w:val="092B57" w:themeColor="accent1"/>
          <w:sz w:val="48"/>
          <w:szCs w:val="48"/>
        </w:rPr>
        <w:lastRenderedPageBreak/>
        <w:t>Table of Contents</w:t>
      </w:r>
      <w:bookmarkEnd w:id="12"/>
      <w:bookmarkEnd w:id="13"/>
      <w:bookmarkEnd w:id="14"/>
    </w:p>
    <w:p w14:paraId="06E46009" w14:textId="77777777" w:rsidR="009B7C90" w:rsidRDefault="00107DD3">
      <w:pPr>
        <w:pStyle w:val="TOC1"/>
        <w:rPr>
          <w:b w:val="0"/>
          <w:noProof/>
          <w:szCs w:val="22"/>
          <w:lang w:eastAsia="en-AU"/>
        </w:rPr>
      </w:pPr>
      <w:r>
        <w:fldChar w:fldCharType="begin"/>
      </w:r>
      <w:r>
        <w:instrText>TOC \o "1-2" \z \u \h</w:instrText>
      </w:r>
      <w:r>
        <w:fldChar w:fldCharType="separate"/>
      </w:r>
      <w:hyperlink w:anchor="_Toc172665577" w:history="1">
        <w:r w:rsidR="009B7C90" w:rsidRPr="00103C35">
          <w:rPr>
            <w:rStyle w:val="Hyperlink"/>
            <w:noProof/>
          </w:rPr>
          <w:t>Letter of Transmission</w:t>
        </w:r>
        <w:r w:rsidR="009B7C90">
          <w:rPr>
            <w:noProof/>
            <w:webHidden/>
          </w:rPr>
          <w:tab/>
        </w:r>
        <w:r w:rsidR="009B7C90">
          <w:rPr>
            <w:noProof/>
            <w:webHidden/>
          </w:rPr>
          <w:fldChar w:fldCharType="begin"/>
        </w:r>
        <w:r w:rsidR="009B7C90">
          <w:rPr>
            <w:noProof/>
            <w:webHidden/>
          </w:rPr>
          <w:instrText xml:space="preserve"> PAGEREF _Toc172665577 \h </w:instrText>
        </w:r>
        <w:r w:rsidR="009B7C90">
          <w:rPr>
            <w:noProof/>
            <w:webHidden/>
          </w:rPr>
        </w:r>
        <w:r w:rsidR="009B7C90">
          <w:rPr>
            <w:noProof/>
            <w:webHidden/>
          </w:rPr>
          <w:fldChar w:fldCharType="separate"/>
        </w:r>
        <w:r w:rsidR="00D77A0B">
          <w:rPr>
            <w:noProof/>
            <w:webHidden/>
          </w:rPr>
          <w:t>ii</w:t>
        </w:r>
        <w:r w:rsidR="009B7C90">
          <w:rPr>
            <w:noProof/>
            <w:webHidden/>
          </w:rPr>
          <w:fldChar w:fldCharType="end"/>
        </w:r>
      </w:hyperlink>
    </w:p>
    <w:p w14:paraId="06E4600A" w14:textId="77777777" w:rsidR="009B7C90" w:rsidRDefault="004319BA">
      <w:pPr>
        <w:pStyle w:val="TOC1"/>
        <w:rPr>
          <w:b w:val="0"/>
          <w:noProof/>
          <w:szCs w:val="22"/>
          <w:lang w:eastAsia="en-AU"/>
        </w:rPr>
      </w:pPr>
      <w:hyperlink w:anchor="_Toc172665578" w:history="1">
        <w:r w:rsidR="009B7C90" w:rsidRPr="00103C35">
          <w:rPr>
            <w:rStyle w:val="Hyperlink"/>
            <w:noProof/>
          </w:rPr>
          <w:t>Executive Summary</w:t>
        </w:r>
        <w:r w:rsidR="009B7C90">
          <w:rPr>
            <w:noProof/>
            <w:webHidden/>
          </w:rPr>
          <w:tab/>
        </w:r>
        <w:r w:rsidR="009B7C90">
          <w:rPr>
            <w:noProof/>
            <w:webHidden/>
          </w:rPr>
          <w:fldChar w:fldCharType="begin"/>
        </w:r>
        <w:r w:rsidR="009B7C90">
          <w:rPr>
            <w:noProof/>
            <w:webHidden/>
          </w:rPr>
          <w:instrText xml:space="preserve"> PAGEREF _Toc172665578 \h </w:instrText>
        </w:r>
        <w:r w:rsidR="009B7C90">
          <w:rPr>
            <w:noProof/>
            <w:webHidden/>
          </w:rPr>
        </w:r>
        <w:r w:rsidR="009B7C90">
          <w:rPr>
            <w:noProof/>
            <w:webHidden/>
          </w:rPr>
          <w:fldChar w:fldCharType="separate"/>
        </w:r>
        <w:r w:rsidR="00D77A0B">
          <w:rPr>
            <w:noProof/>
            <w:webHidden/>
          </w:rPr>
          <w:t>iv</w:t>
        </w:r>
        <w:r w:rsidR="009B7C90">
          <w:rPr>
            <w:noProof/>
            <w:webHidden/>
          </w:rPr>
          <w:fldChar w:fldCharType="end"/>
        </w:r>
      </w:hyperlink>
    </w:p>
    <w:p w14:paraId="06E4600B" w14:textId="77777777" w:rsidR="009B7C90" w:rsidRDefault="004319BA">
      <w:pPr>
        <w:pStyle w:val="TOC1"/>
        <w:rPr>
          <w:b w:val="0"/>
          <w:noProof/>
          <w:szCs w:val="22"/>
          <w:lang w:eastAsia="en-AU"/>
        </w:rPr>
      </w:pPr>
      <w:hyperlink w:anchor="_Toc172665579" w:history="1">
        <w:r w:rsidR="009B7C90" w:rsidRPr="00103C35">
          <w:rPr>
            <w:rStyle w:val="Hyperlink"/>
            <w:noProof/>
          </w:rPr>
          <w:t>Summary of Recommendations</w:t>
        </w:r>
        <w:r w:rsidR="009B7C90">
          <w:rPr>
            <w:noProof/>
            <w:webHidden/>
          </w:rPr>
          <w:tab/>
        </w:r>
        <w:r w:rsidR="009B7C90">
          <w:rPr>
            <w:noProof/>
            <w:webHidden/>
          </w:rPr>
          <w:fldChar w:fldCharType="begin"/>
        </w:r>
        <w:r w:rsidR="009B7C90">
          <w:rPr>
            <w:noProof/>
            <w:webHidden/>
          </w:rPr>
          <w:instrText xml:space="preserve"> PAGEREF _Toc172665579 \h </w:instrText>
        </w:r>
        <w:r w:rsidR="009B7C90">
          <w:rPr>
            <w:noProof/>
            <w:webHidden/>
          </w:rPr>
        </w:r>
        <w:r w:rsidR="009B7C90">
          <w:rPr>
            <w:noProof/>
            <w:webHidden/>
          </w:rPr>
          <w:fldChar w:fldCharType="separate"/>
        </w:r>
        <w:r w:rsidR="00D77A0B">
          <w:rPr>
            <w:noProof/>
            <w:webHidden/>
          </w:rPr>
          <w:t>vii</w:t>
        </w:r>
        <w:r w:rsidR="009B7C90">
          <w:rPr>
            <w:noProof/>
            <w:webHidden/>
          </w:rPr>
          <w:fldChar w:fldCharType="end"/>
        </w:r>
      </w:hyperlink>
    </w:p>
    <w:p w14:paraId="06E4600C" w14:textId="77777777" w:rsidR="009B7C90" w:rsidRDefault="004319BA">
      <w:pPr>
        <w:pStyle w:val="TOC1"/>
        <w:rPr>
          <w:b w:val="0"/>
          <w:noProof/>
          <w:szCs w:val="22"/>
          <w:lang w:eastAsia="en-AU"/>
        </w:rPr>
      </w:pPr>
      <w:hyperlink w:anchor="_Toc172665580" w:history="1">
        <w:r w:rsidR="009B7C90" w:rsidRPr="00103C35">
          <w:rPr>
            <w:rStyle w:val="Hyperlink"/>
            <w:noProof/>
          </w:rPr>
          <w:t>List of Acronyms and Abbreviations</w:t>
        </w:r>
        <w:r w:rsidR="009B7C90">
          <w:rPr>
            <w:noProof/>
            <w:webHidden/>
          </w:rPr>
          <w:tab/>
        </w:r>
        <w:r w:rsidR="009B7C90">
          <w:rPr>
            <w:noProof/>
            <w:webHidden/>
          </w:rPr>
          <w:fldChar w:fldCharType="begin"/>
        </w:r>
        <w:r w:rsidR="009B7C90">
          <w:rPr>
            <w:noProof/>
            <w:webHidden/>
          </w:rPr>
          <w:instrText xml:space="preserve"> PAGEREF _Toc172665580 \h </w:instrText>
        </w:r>
        <w:r w:rsidR="009B7C90">
          <w:rPr>
            <w:noProof/>
            <w:webHidden/>
          </w:rPr>
        </w:r>
        <w:r w:rsidR="009B7C90">
          <w:rPr>
            <w:noProof/>
            <w:webHidden/>
          </w:rPr>
          <w:fldChar w:fldCharType="separate"/>
        </w:r>
        <w:r w:rsidR="00D77A0B">
          <w:rPr>
            <w:noProof/>
            <w:webHidden/>
          </w:rPr>
          <w:t>x</w:t>
        </w:r>
        <w:r w:rsidR="009B7C90">
          <w:rPr>
            <w:noProof/>
            <w:webHidden/>
          </w:rPr>
          <w:fldChar w:fldCharType="end"/>
        </w:r>
      </w:hyperlink>
    </w:p>
    <w:p w14:paraId="06E4600D" w14:textId="77777777" w:rsidR="009B7C90" w:rsidRDefault="004319BA">
      <w:pPr>
        <w:pStyle w:val="TOC1"/>
        <w:rPr>
          <w:b w:val="0"/>
          <w:noProof/>
          <w:szCs w:val="22"/>
          <w:lang w:eastAsia="en-AU"/>
        </w:rPr>
      </w:pPr>
      <w:hyperlink w:anchor="_Toc172665581" w:history="1">
        <w:r w:rsidR="009B7C90" w:rsidRPr="00103C35">
          <w:rPr>
            <w:rStyle w:val="Hyperlink"/>
            <w:noProof/>
          </w:rPr>
          <w:t>Introduction</w:t>
        </w:r>
        <w:r w:rsidR="009B7C90">
          <w:rPr>
            <w:noProof/>
            <w:webHidden/>
          </w:rPr>
          <w:tab/>
        </w:r>
        <w:r w:rsidR="009B7C90">
          <w:rPr>
            <w:noProof/>
            <w:webHidden/>
          </w:rPr>
          <w:fldChar w:fldCharType="begin"/>
        </w:r>
        <w:r w:rsidR="009B7C90">
          <w:rPr>
            <w:noProof/>
            <w:webHidden/>
          </w:rPr>
          <w:instrText xml:space="preserve"> PAGEREF _Toc172665581 \h </w:instrText>
        </w:r>
        <w:r w:rsidR="009B7C90">
          <w:rPr>
            <w:noProof/>
            <w:webHidden/>
          </w:rPr>
        </w:r>
        <w:r w:rsidR="009B7C90">
          <w:rPr>
            <w:noProof/>
            <w:webHidden/>
          </w:rPr>
          <w:fldChar w:fldCharType="separate"/>
        </w:r>
        <w:r w:rsidR="00D77A0B">
          <w:rPr>
            <w:noProof/>
            <w:webHidden/>
          </w:rPr>
          <w:t>1</w:t>
        </w:r>
        <w:r w:rsidR="009B7C90">
          <w:rPr>
            <w:noProof/>
            <w:webHidden/>
          </w:rPr>
          <w:fldChar w:fldCharType="end"/>
        </w:r>
      </w:hyperlink>
    </w:p>
    <w:p w14:paraId="06E4600E" w14:textId="77777777" w:rsidR="009B7C90" w:rsidRDefault="004319BA">
      <w:pPr>
        <w:pStyle w:val="TOC2"/>
        <w:rPr>
          <w:noProof/>
          <w:szCs w:val="22"/>
          <w:lang w:eastAsia="en-AU"/>
        </w:rPr>
      </w:pPr>
      <w:hyperlink w:anchor="_Toc172665582" w:history="1">
        <w:r w:rsidR="009B7C90" w:rsidRPr="00103C35">
          <w:rPr>
            <w:rStyle w:val="Hyperlink"/>
            <w:noProof/>
          </w:rPr>
          <w:t>Scope and definitions</w:t>
        </w:r>
        <w:r w:rsidR="009B7C90">
          <w:rPr>
            <w:noProof/>
            <w:webHidden/>
          </w:rPr>
          <w:tab/>
        </w:r>
        <w:r w:rsidR="009B7C90">
          <w:rPr>
            <w:noProof/>
            <w:webHidden/>
          </w:rPr>
          <w:fldChar w:fldCharType="begin"/>
        </w:r>
        <w:r w:rsidR="009B7C90">
          <w:rPr>
            <w:noProof/>
            <w:webHidden/>
          </w:rPr>
          <w:instrText xml:space="preserve"> PAGEREF _Toc172665582 \h </w:instrText>
        </w:r>
        <w:r w:rsidR="009B7C90">
          <w:rPr>
            <w:noProof/>
            <w:webHidden/>
          </w:rPr>
        </w:r>
        <w:r w:rsidR="009B7C90">
          <w:rPr>
            <w:noProof/>
            <w:webHidden/>
          </w:rPr>
          <w:fldChar w:fldCharType="separate"/>
        </w:r>
        <w:r w:rsidR="00D77A0B">
          <w:rPr>
            <w:noProof/>
            <w:webHidden/>
          </w:rPr>
          <w:t>2</w:t>
        </w:r>
        <w:r w:rsidR="009B7C90">
          <w:rPr>
            <w:noProof/>
            <w:webHidden/>
          </w:rPr>
          <w:fldChar w:fldCharType="end"/>
        </w:r>
      </w:hyperlink>
    </w:p>
    <w:p w14:paraId="06E4600F" w14:textId="77777777" w:rsidR="009B7C90" w:rsidRDefault="004319BA">
      <w:pPr>
        <w:pStyle w:val="TOC2"/>
        <w:rPr>
          <w:noProof/>
          <w:szCs w:val="22"/>
          <w:lang w:eastAsia="en-AU"/>
        </w:rPr>
      </w:pPr>
      <w:hyperlink w:anchor="_Toc172665583" w:history="1">
        <w:r w:rsidR="009B7C90" w:rsidRPr="00103C35">
          <w:rPr>
            <w:rStyle w:val="Hyperlink"/>
            <w:rFonts w:cs="Segoe UI"/>
            <w:noProof/>
          </w:rPr>
          <w:t>Stocktake</w:t>
        </w:r>
        <w:r w:rsidR="009B7C90">
          <w:rPr>
            <w:noProof/>
            <w:webHidden/>
          </w:rPr>
          <w:tab/>
        </w:r>
        <w:r w:rsidR="009B7C90">
          <w:rPr>
            <w:noProof/>
            <w:webHidden/>
          </w:rPr>
          <w:fldChar w:fldCharType="begin"/>
        </w:r>
        <w:r w:rsidR="009B7C90">
          <w:rPr>
            <w:noProof/>
            <w:webHidden/>
          </w:rPr>
          <w:instrText xml:space="preserve"> PAGEREF _Toc172665583 \h </w:instrText>
        </w:r>
        <w:r w:rsidR="009B7C90">
          <w:rPr>
            <w:noProof/>
            <w:webHidden/>
          </w:rPr>
        </w:r>
        <w:r w:rsidR="009B7C90">
          <w:rPr>
            <w:noProof/>
            <w:webHidden/>
          </w:rPr>
          <w:fldChar w:fldCharType="separate"/>
        </w:r>
        <w:r w:rsidR="00D77A0B">
          <w:rPr>
            <w:noProof/>
            <w:webHidden/>
          </w:rPr>
          <w:t>3</w:t>
        </w:r>
        <w:r w:rsidR="009B7C90">
          <w:rPr>
            <w:noProof/>
            <w:webHidden/>
          </w:rPr>
          <w:fldChar w:fldCharType="end"/>
        </w:r>
      </w:hyperlink>
    </w:p>
    <w:p w14:paraId="06E46010" w14:textId="77777777" w:rsidR="009B7C90" w:rsidRDefault="004319BA">
      <w:pPr>
        <w:pStyle w:val="TOC2"/>
        <w:rPr>
          <w:noProof/>
          <w:szCs w:val="22"/>
          <w:lang w:eastAsia="en-AU"/>
        </w:rPr>
      </w:pPr>
      <w:hyperlink w:anchor="_Toc172665584" w:history="1">
        <w:r w:rsidR="009B7C90" w:rsidRPr="00103C35">
          <w:rPr>
            <w:rStyle w:val="Hyperlink"/>
            <w:rFonts w:cs="Segoe UI"/>
            <w:noProof/>
          </w:rPr>
          <w:t>We need think tanks and commissioned research…</w:t>
        </w:r>
        <w:r w:rsidR="009B7C90">
          <w:rPr>
            <w:noProof/>
            <w:webHidden/>
          </w:rPr>
          <w:tab/>
        </w:r>
        <w:r w:rsidR="009B7C90">
          <w:rPr>
            <w:noProof/>
            <w:webHidden/>
          </w:rPr>
          <w:fldChar w:fldCharType="begin"/>
        </w:r>
        <w:r w:rsidR="009B7C90">
          <w:rPr>
            <w:noProof/>
            <w:webHidden/>
          </w:rPr>
          <w:instrText xml:space="preserve"> PAGEREF _Toc172665584 \h </w:instrText>
        </w:r>
        <w:r w:rsidR="009B7C90">
          <w:rPr>
            <w:noProof/>
            <w:webHidden/>
          </w:rPr>
        </w:r>
        <w:r w:rsidR="009B7C90">
          <w:rPr>
            <w:noProof/>
            <w:webHidden/>
          </w:rPr>
          <w:fldChar w:fldCharType="separate"/>
        </w:r>
        <w:r w:rsidR="00D77A0B">
          <w:rPr>
            <w:noProof/>
            <w:webHidden/>
          </w:rPr>
          <w:t>4</w:t>
        </w:r>
        <w:r w:rsidR="009B7C90">
          <w:rPr>
            <w:noProof/>
            <w:webHidden/>
          </w:rPr>
          <w:fldChar w:fldCharType="end"/>
        </w:r>
      </w:hyperlink>
    </w:p>
    <w:p w14:paraId="06E46011" w14:textId="77777777" w:rsidR="009B7C90" w:rsidRDefault="004319BA">
      <w:pPr>
        <w:pStyle w:val="TOC2"/>
        <w:rPr>
          <w:noProof/>
          <w:szCs w:val="22"/>
          <w:lang w:eastAsia="en-AU"/>
        </w:rPr>
      </w:pPr>
      <w:hyperlink w:anchor="_Toc172665585" w:history="1">
        <w:r w:rsidR="009B7C90" w:rsidRPr="00103C35">
          <w:rPr>
            <w:rStyle w:val="Hyperlink"/>
            <w:rFonts w:cs="Segoe UI"/>
            <w:noProof/>
          </w:rPr>
          <w:t>…but the sector’s business model is challenging</w:t>
        </w:r>
        <w:r w:rsidR="009B7C90">
          <w:rPr>
            <w:noProof/>
            <w:webHidden/>
          </w:rPr>
          <w:tab/>
        </w:r>
        <w:r w:rsidR="009B7C90">
          <w:rPr>
            <w:noProof/>
            <w:webHidden/>
          </w:rPr>
          <w:fldChar w:fldCharType="begin"/>
        </w:r>
        <w:r w:rsidR="009B7C90">
          <w:rPr>
            <w:noProof/>
            <w:webHidden/>
          </w:rPr>
          <w:instrText xml:space="preserve"> PAGEREF _Toc172665585 \h </w:instrText>
        </w:r>
        <w:r w:rsidR="009B7C90">
          <w:rPr>
            <w:noProof/>
            <w:webHidden/>
          </w:rPr>
        </w:r>
        <w:r w:rsidR="009B7C90">
          <w:rPr>
            <w:noProof/>
            <w:webHidden/>
          </w:rPr>
          <w:fldChar w:fldCharType="separate"/>
        </w:r>
        <w:r w:rsidR="00D77A0B">
          <w:rPr>
            <w:noProof/>
            <w:webHidden/>
          </w:rPr>
          <w:t>4</w:t>
        </w:r>
        <w:r w:rsidR="009B7C90">
          <w:rPr>
            <w:noProof/>
            <w:webHidden/>
          </w:rPr>
          <w:fldChar w:fldCharType="end"/>
        </w:r>
      </w:hyperlink>
    </w:p>
    <w:p w14:paraId="06E46012" w14:textId="77777777" w:rsidR="009B7C90" w:rsidRDefault="004319BA">
      <w:pPr>
        <w:pStyle w:val="TOC1"/>
        <w:rPr>
          <w:b w:val="0"/>
          <w:noProof/>
          <w:szCs w:val="22"/>
          <w:lang w:eastAsia="en-AU"/>
        </w:rPr>
      </w:pPr>
      <w:hyperlink w:anchor="_Toc172665586" w:history="1">
        <w:r w:rsidR="009B7C90" w:rsidRPr="00103C35">
          <w:rPr>
            <w:rStyle w:val="Hyperlink"/>
            <w:noProof/>
          </w:rPr>
          <w:t>Chapter One: Improving the Current System</w:t>
        </w:r>
        <w:r w:rsidR="009B7C90">
          <w:rPr>
            <w:noProof/>
            <w:webHidden/>
          </w:rPr>
          <w:tab/>
        </w:r>
        <w:r w:rsidR="009B7C90">
          <w:rPr>
            <w:noProof/>
            <w:webHidden/>
          </w:rPr>
          <w:fldChar w:fldCharType="begin"/>
        </w:r>
        <w:r w:rsidR="009B7C90">
          <w:rPr>
            <w:noProof/>
            <w:webHidden/>
          </w:rPr>
          <w:instrText xml:space="preserve"> PAGEREF _Toc172665586 \h </w:instrText>
        </w:r>
        <w:r w:rsidR="009B7C90">
          <w:rPr>
            <w:noProof/>
            <w:webHidden/>
          </w:rPr>
        </w:r>
        <w:r w:rsidR="009B7C90">
          <w:rPr>
            <w:noProof/>
            <w:webHidden/>
          </w:rPr>
          <w:fldChar w:fldCharType="separate"/>
        </w:r>
        <w:r w:rsidR="00D77A0B">
          <w:rPr>
            <w:noProof/>
            <w:webHidden/>
          </w:rPr>
          <w:t>6</w:t>
        </w:r>
        <w:r w:rsidR="009B7C90">
          <w:rPr>
            <w:noProof/>
            <w:webHidden/>
          </w:rPr>
          <w:fldChar w:fldCharType="end"/>
        </w:r>
      </w:hyperlink>
    </w:p>
    <w:p w14:paraId="06E46013" w14:textId="77777777" w:rsidR="009B7C90" w:rsidRDefault="004319BA">
      <w:pPr>
        <w:pStyle w:val="TOC2"/>
        <w:rPr>
          <w:noProof/>
          <w:szCs w:val="22"/>
          <w:lang w:eastAsia="en-AU"/>
        </w:rPr>
      </w:pPr>
      <w:hyperlink w:anchor="_Toc172665587" w:history="1">
        <w:r w:rsidR="009B7C90" w:rsidRPr="00103C35">
          <w:rPr>
            <w:rStyle w:val="Hyperlink"/>
            <w:rFonts w:cs="Segoe UI"/>
            <w:noProof/>
          </w:rPr>
          <w:t>Adopt a principles-based framework</w:t>
        </w:r>
        <w:r w:rsidR="009B7C90">
          <w:rPr>
            <w:noProof/>
            <w:webHidden/>
          </w:rPr>
          <w:tab/>
        </w:r>
        <w:r w:rsidR="009B7C90">
          <w:rPr>
            <w:noProof/>
            <w:webHidden/>
          </w:rPr>
          <w:fldChar w:fldCharType="begin"/>
        </w:r>
        <w:r w:rsidR="009B7C90">
          <w:rPr>
            <w:noProof/>
            <w:webHidden/>
          </w:rPr>
          <w:instrText xml:space="preserve"> PAGEREF _Toc172665587 \h </w:instrText>
        </w:r>
        <w:r w:rsidR="009B7C90">
          <w:rPr>
            <w:noProof/>
            <w:webHidden/>
          </w:rPr>
        </w:r>
        <w:r w:rsidR="009B7C90">
          <w:rPr>
            <w:noProof/>
            <w:webHidden/>
          </w:rPr>
          <w:fldChar w:fldCharType="separate"/>
        </w:r>
        <w:r w:rsidR="00D77A0B">
          <w:rPr>
            <w:noProof/>
            <w:webHidden/>
          </w:rPr>
          <w:t>6</w:t>
        </w:r>
        <w:r w:rsidR="009B7C90">
          <w:rPr>
            <w:noProof/>
            <w:webHidden/>
          </w:rPr>
          <w:fldChar w:fldCharType="end"/>
        </w:r>
      </w:hyperlink>
    </w:p>
    <w:p w14:paraId="06E46014" w14:textId="77777777" w:rsidR="009B7C90" w:rsidRDefault="004319BA">
      <w:pPr>
        <w:pStyle w:val="TOC2"/>
        <w:rPr>
          <w:noProof/>
          <w:szCs w:val="22"/>
          <w:lang w:eastAsia="en-AU"/>
        </w:rPr>
      </w:pPr>
      <w:hyperlink w:anchor="_Toc172665588" w:history="1">
        <w:r w:rsidR="009B7C90" w:rsidRPr="00103C35">
          <w:rPr>
            <w:rStyle w:val="Hyperlink"/>
            <w:rFonts w:cs="Segoe UI"/>
            <w:noProof/>
          </w:rPr>
          <w:t>Centrally set objectives and strategic priorities, and funding decisions will follow</w:t>
        </w:r>
        <w:r w:rsidR="009B7C90">
          <w:rPr>
            <w:noProof/>
            <w:webHidden/>
          </w:rPr>
          <w:tab/>
        </w:r>
        <w:r w:rsidR="009B7C90">
          <w:rPr>
            <w:noProof/>
            <w:webHidden/>
          </w:rPr>
          <w:fldChar w:fldCharType="begin"/>
        </w:r>
        <w:r w:rsidR="009B7C90">
          <w:rPr>
            <w:noProof/>
            <w:webHidden/>
          </w:rPr>
          <w:instrText xml:space="preserve"> PAGEREF _Toc172665588 \h </w:instrText>
        </w:r>
        <w:r w:rsidR="009B7C90">
          <w:rPr>
            <w:noProof/>
            <w:webHidden/>
          </w:rPr>
        </w:r>
        <w:r w:rsidR="009B7C90">
          <w:rPr>
            <w:noProof/>
            <w:webHidden/>
          </w:rPr>
          <w:fldChar w:fldCharType="separate"/>
        </w:r>
        <w:r w:rsidR="00D77A0B">
          <w:rPr>
            <w:noProof/>
            <w:webHidden/>
          </w:rPr>
          <w:t>6</w:t>
        </w:r>
        <w:r w:rsidR="009B7C90">
          <w:rPr>
            <w:noProof/>
            <w:webHidden/>
          </w:rPr>
          <w:fldChar w:fldCharType="end"/>
        </w:r>
      </w:hyperlink>
    </w:p>
    <w:p w14:paraId="06E46015" w14:textId="77777777" w:rsidR="009B7C90" w:rsidRDefault="004319BA">
      <w:pPr>
        <w:pStyle w:val="TOC2"/>
        <w:rPr>
          <w:noProof/>
          <w:szCs w:val="22"/>
          <w:lang w:eastAsia="en-AU"/>
        </w:rPr>
      </w:pPr>
      <w:hyperlink w:anchor="_Toc172665589" w:history="1">
        <w:r w:rsidR="009B7C90" w:rsidRPr="00103C35">
          <w:rPr>
            <w:rStyle w:val="Hyperlink"/>
            <w:rFonts w:cs="Segoe UI"/>
            <w:noProof/>
          </w:rPr>
          <w:t>Establish a five-year cycle for operating funding</w:t>
        </w:r>
        <w:r w:rsidR="009B7C90">
          <w:rPr>
            <w:noProof/>
            <w:webHidden/>
          </w:rPr>
          <w:tab/>
        </w:r>
        <w:r w:rsidR="009B7C90">
          <w:rPr>
            <w:noProof/>
            <w:webHidden/>
          </w:rPr>
          <w:fldChar w:fldCharType="begin"/>
        </w:r>
        <w:r w:rsidR="009B7C90">
          <w:rPr>
            <w:noProof/>
            <w:webHidden/>
          </w:rPr>
          <w:instrText xml:space="preserve"> PAGEREF _Toc172665589 \h </w:instrText>
        </w:r>
        <w:r w:rsidR="009B7C90">
          <w:rPr>
            <w:noProof/>
            <w:webHidden/>
          </w:rPr>
        </w:r>
        <w:r w:rsidR="009B7C90">
          <w:rPr>
            <w:noProof/>
            <w:webHidden/>
          </w:rPr>
          <w:fldChar w:fldCharType="separate"/>
        </w:r>
        <w:r w:rsidR="00D77A0B">
          <w:rPr>
            <w:noProof/>
            <w:webHidden/>
          </w:rPr>
          <w:t>7</w:t>
        </w:r>
        <w:r w:rsidR="009B7C90">
          <w:rPr>
            <w:noProof/>
            <w:webHidden/>
          </w:rPr>
          <w:fldChar w:fldCharType="end"/>
        </w:r>
      </w:hyperlink>
    </w:p>
    <w:p w14:paraId="06E46016" w14:textId="77777777" w:rsidR="009B7C90" w:rsidRDefault="004319BA">
      <w:pPr>
        <w:pStyle w:val="TOC2"/>
        <w:rPr>
          <w:noProof/>
          <w:szCs w:val="22"/>
          <w:lang w:eastAsia="en-AU"/>
        </w:rPr>
      </w:pPr>
      <w:hyperlink w:anchor="_Toc172665590" w:history="1">
        <w:r w:rsidR="009B7C90" w:rsidRPr="00103C35">
          <w:rPr>
            <w:rStyle w:val="Hyperlink"/>
            <w:rFonts w:cs="Segoe UI"/>
            <w:noProof/>
          </w:rPr>
          <w:t>Retain decentralised funding but improve transparency</w:t>
        </w:r>
        <w:r w:rsidR="009B7C90">
          <w:rPr>
            <w:noProof/>
            <w:webHidden/>
          </w:rPr>
          <w:tab/>
        </w:r>
        <w:r w:rsidR="009B7C90">
          <w:rPr>
            <w:noProof/>
            <w:webHidden/>
          </w:rPr>
          <w:fldChar w:fldCharType="begin"/>
        </w:r>
        <w:r w:rsidR="009B7C90">
          <w:rPr>
            <w:noProof/>
            <w:webHidden/>
          </w:rPr>
          <w:instrText xml:space="preserve"> PAGEREF _Toc172665590 \h </w:instrText>
        </w:r>
        <w:r w:rsidR="009B7C90">
          <w:rPr>
            <w:noProof/>
            <w:webHidden/>
          </w:rPr>
        </w:r>
        <w:r w:rsidR="009B7C90">
          <w:rPr>
            <w:noProof/>
            <w:webHidden/>
          </w:rPr>
          <w:fldChar w:fldCharType="separate"/>
        </w:r>
        <w:r w:rsidR="00D77A0B">
          <w:rPr>
            <w:noProof/>
            <w:webHidden/>
          </w:rPr>
          <w:t>8</w:t>
        </w:r>
        <w:r w:rsidR="009B7C90">
          <w:rPr>
            <w:noProof/>
            <w:webHidden/>
          </w:rPr>
          <w:fldChar w:fldCharType="end"/>
        </w:r>
      </w:hyperlink>
    </w:p>
    <w:p w14:paraId="06E46017" w14:textId="77777777" w:rsidR="009B7C90" w:rsidRDefault="004319BA">
      <w:pPr>
        <w:pStyle w:val="TOC2"/>
        <w:rPr>
          <w:noProof/>
          <w:szCs w:val="22"/>
          <w:lang w:eastAsia="en-AU"/>
        </w:rPr>
      </w:pPr>
      <w:hyperlink w:anchor="_Toc172665591" w:history="1">
        <w:r w:rsidR="009B7C90" w:rsidRPr="00103C35">
          <w:rPr>
            <w:rStyle w:val="Hyperlink"/>
            <w:rFonts w:cs="Segoe UI"/>
            <w:noProof/>
          </w:rPr>
          <w:t>Provide more funding certainty</w:t>
        </w:r>
        <w:r w:rsidR="009B7C90">
          <w:rPr>
            <w:noProof/>
            <w:webHidden/>
          </w:rPr>
          <w:tab/>
        </w:r>
        <w:r w:rsidR="009B7C90">
          <w:rPr>
            <w:noProof/>
            <w:webHidden/>
          </w:rPr>
          <w:fldChar w:fldCharType="begin"/>
        </w:r>
        <w:r w:rsidR="009B7C90">
          <w:rPr>
            <w:noProof/>
            <w:webHidden/>
          </w:rPr>
          <w:instrText xml:space="preserve"> PAGEREF _Toc172665591 \h </w:instrText>
        </w:r>
        <w:r w:rsidR="009B7C90">
          <w:rPr>
            <w:noProof/>
            <w:webHidden/>
          </w:rPr>
        </w:r>
        <w:r w:rsidR="009B7C90">
          <w:rPr>
            <w:noProof/>
            <w:webHidden/>
          </w:rPr>
          <w:fldChar w:fldCharType="separate"/>
        </w:r>
        <w:r w:rsidR="00D77A0B">
          <w:rPr>
            <w:noProof/>
            <w:webHidden/>
          </w:rPr>
          <w:t>9</w:t>
        </w:r>
        <w:r w:rsidR="009B7C90">
          <w:rPr>
            <w:noProof/>
            <w:webHidden/>
          </w:rPr>
          <w:fldChar w:fldCharType="end"/>
        </w:r>
      </w:hyperlink>
    </w:p>
    <w:p w14:paraId="06E46018" w14:textId="77777777" w:rsidR="009B7C90" w:rsidRDefault="004319BA">
      <w:pPr>
        <w:pStyle w:val="TOC2"/>
        <w:rPr>
          <w:noProof/>
          <w:szCs w:val="22"/>
          <w:lang w:eastAsia="en-AU"/>
        </w:rPr>
      </w:pPr>
      <w:hyperlink w:anchor="_Toc172665592" w:history="1">
        <w:r w:rsidR="009B7C90" w:rsidRPr="00103C35">
          <w:rPr>
            <w:rStyle w:val="Hyperlink"/>
            <w:rFonts w:cs="Segoe UI"/>
            <w:noProof/>
          </w:rPr>
          <w:t>Simplify administration</w:t>
        </w:r>
        <w:r w:rsidR="009B7C90">
          <w:rPr>
            <w:noProof/>
            <w:webHidden/>
          </w:rPr>
          <w:tab/>
        </w:r>
        <w:r w:rsidR="009B7C90">
          <w:rPr>
            <w:noProof/>
            <w:webHidden/>
          </w:rPr>
          <w:fldChar w:fldCharType="begin"/>
        </w:r>
        <w:r w:rsidR="009B7C90">
          <w:rPr>
            <w:noProof/>
            <w:webHidden/>
          </w:rPr>
          <w:instrText xml:space="preserve"> PAGEREF _Toc172665592 \h </w:instrText>
        </w:r>
        <w:r w:rsidR="009B7C90">
          <w:rPr>
            <w:noProof/>
            <w:webHidden/>
          </w:rPr>
        </w:r>
        <w:r w:rsidR="009B7C90">
          <w:rPr>
            <w:noProof/>
            <w:webHidden/>
          </w:rPr>
          <w:fldChar w:fldCharType="separate"/>
        </w:r>
        <w:r w:rsidR="00D77A0B">
          <w:rPr>
            <w:noProof/>
            <w:webHidden/>
          </w:rPr>
          <w:t>9</w:t>
        </w:r>
        <w:r w:rsidR="009B7C90">
          <w:rPr>
            <w:noProof/>
            <w:webHidden/>
          </w:rPr>
          <w:fldChar w:fldCharType="end"/>
        </w:r>
      </w:hyperlink>
    </w:p>
    <w:p w14:paraId="06E46019" w14:textId="77777777" w:rsidR="009B7C90" w:rsidRDefault="004319BA">
      <w:pPr>
        <w:pStyle w:val="TOC2"/>
        <w:rPr>
          <w:noProof/>
          <w:szCs w:val="22"/>
          <w:lang w:eastAsia="en-AU"/>
        </w:rPr>
      </w:pPr>
      <w:hyperlink w:anchor="_Toc172665593" w:history="1">
        <w:r w:rsidR="009B7C90" w:rsidRPr="00103C35">
          <w:rPr>
            <w:rStyle w:val="Hyperlink"/>
            <w:rFonts w:cs="Segoe UI"/>
            <w:noProof/>
          </w:rPr>
          <w:t>Improve engagement between Government and the sector</w:t>
        </w:r>
        <w:r w:rsidR="009B7C90">
          <w:rPr>
            <w:noProof/>
            <w:webHidden/>
          </w:rPr>
          <w:tab/>
        </w:r>
        <w:r w:rsidR="009B7C90">
          <w:rPr>
            <w:noProof/>
            <w:webHidden/>
          </w:rPr>
          <w:fldChar w:fldCharType="begin"/>
        </w:r>
        <w:r w:rsidR="009B7C90">
          <w:rPr>
            <w:noProof/>
            <w:webHidden/>
          </w:rPr>
          <w:instrText xml:space="preserve"> PAGEREF _Toc172665593 \h </w:instrText>
        </w:r>
        <w:r w:rsidR="009B7C90">
          <w:rPr>
            <w:noProof/>
            <w:webHidden/>
          </w:rPr>
        </w:r>
        <w:r w:rsidR="009B7C90">
          <w:rPr>
            <w:noProof/>
            <w:webHidden/>
          </w:rPr>
          <w:fldChar w:fldCharType="separate"/>
        </w:r>
        <w:r w:rsidR="00D77A0B">
          <w:rPr>
            <w:noProof/>
            <w:webHidden/>
          </w:rPr>
          <w:t>10</w:t>
        </w:r>
        <w:r w:rsidR="009B7C90">
          <w:rPr>
            <w:noProof/>
            <w:webHidden/>
          </w:rPr>
          <w:fldChar w:fldCharType="end"/>
        </w:r>
      </w:hyperlink>
    </w:p>
    <w:p w14:paraId="06E4601A" w14:textId="77777777" w:rsidR="009B7C90" w:rsidRDefault="004319BA">
      <w:pPr>
        <w:pStyle w:val="TOC2"/>
        <w:rPr>
          <w:noProof/>
          <w:szCs w:val="22"/>
          <w:lang w:eastAsia="en-AU"/>
        </w:rPr>
      </w:pPr>
      <w:hyperlink w:anchor="_Toc172665594" w:history="1">
        <w:r w:rsidR="009B7C90" w:rsidRPr="00103C35">
          <w:rPr>
            <w:rStyle w:val="Hyperlink"/>
            <w:rFonts w:cs="Segoe UI"/>
            <w:noProof/>
          </w:rPr>
          <w:t>Seek contestability earlier and more often</w:t>
        </w:r>
        <w:r w:rsidR="009B7C90">
          <w:rPr>
            <w:noProof/>
            <w:webHidden/>
          </w:rPr>
          <w:tab/>
        </w:r>
        <w:r w:rsidR="009B7C90">
          <w:rPr>
            <w:noProof/>
            <w:webHidden/>
          </w:rPr>
          <w:fldChar w:fldCharType="begin"/>
        </w:r>
        <w:r w:rsidR="009B7C90">
          <w:rPr>
            <w:noProof/>
            <w:webHidden/>
          </w:rPr>
          <w:instrText xml:space="preserve"> PAGEREF _Toc172665594 \h </w:instrText>
        </w:r>
        <w:r w:rsidR="009B7C90">
          <w:rPr>
            <w:noProof/>
            <w:webHidden/>
          </w:rPr>
        </w:r>
        <w:r w:rsidR="009B7C90">
          <w:rPr>
            <w:noProof/>
            <w:webHidden/>
          </w:rPr>
          <w:fldChar w:fldCharType="separate"/>
        </w:r>
        <w:r w:rsidR="00D77A0B">
          <w:rPr>
            <w:noProof/>
            <w:webHidden/>
          </w:rPr>
          <w:t>11</w:t>
        </w:r>
        <w:r w:rsidR="009B7C90">
          <w:rPr>
            <w:noProof/>
            <w:webHidden/>
          </w:rPr>
          <w:fldChar w:fldCharType="end"/>
        </w:r>
      </w:hyperlink>
    </w:p>
    <w:p w14:paraId="06E4601B" w14:textId="77777777" w:rsidR="009B7C90" w:rsidRDefault="004319BA">
      <w:pPr>
        <w:pStyle w:val="TOC2"/>
        <w:rPr>
          <w:noProof/>
          <w:szCs w:val="22"/>
          <w:lang w:eastAsia="en-AU"/>
        </w:rPr>
      </w:pPr>
      <w:hyperlink w:anchor="_Toc172665595" w:history="1">
        <w:r w:rsidR="009B7C90" w:rsidRPr="00103C35">
          <w:rPr>
            <w:rStyle w:val="Hyperlink"/>
            <w:rFonts w:cs="Segoe UI"/>
            <w:noProof/>
          </w:rPr>
          <w:t>Increase collaboration and multi-disciplinary analysis</w:t>
        </w:r>
        <w:r w:rsidR="009B7C90">
          <w:rPr>
            <w:noProof/>
            <w:webHidden/>
          </w:rPr>
          <w:tab/>
        </w:r>
        <w:r w:rsidR="009B7C90">
          <w:rPr>
            <w:noProof/>
            <w:webHidden/>
          </w:rPr>
          <w:fldChar w:fldCharType="begin"/>
        </w:r>
        <w:r w:rsidR="009B7C90">
          <w:rPr>
            <w:noProof/>
            <w:webHidden/>
          </w:rPr>
          <w:instrText xml:space="preserve"> PAGEREF _Toc172665595 \h </w:instrText>
        </w:r>
        <w:r w:rsidR="009B7C90">
          <w:rPr>
            <w:noProof/>
            <w:webHidden/>
          </w:rPr>
        </w:r>
        <w:r w:rsidR="009B7C90">
          <w:rPr>
            <w:noProof/>
            <w:webHidden/>
          </w:rPr>
          <w:fldChar w:fldCharType="separate"/>
        </w:r>
        <w:r w:rsidR="00D77A0B">
          <w:rPr>
            <w:noProof/>
            <w:webHidden/>
          </w:rPr>
          <w:t>12</w:t>
        </w:r>
        <w:r w:rsidR="009B7C90">
          <w:rPr>
            <w:noProof/>
            <w:webHidden/>
          </w:rPr>
          <w:fldChar w:fldCharType="end"/>
        </w:r>
      </w:hyperlink>
    </w:p>
    <w:p w14:paraId="06E4601C" w14:textId="77777777" w:rsidR="009B7C90" w:rsidRDefault="004319BA">
      <w:pPr>
        <w:pStyle w:val="TOC2"/>
        <w:rPr>
          <w:noProof/>
          <w:szCs w:val="22"/>
          <w:lang w:eastAsia="en-AU"/>
        </w:rPr>
      </w:pPr>
      <w:hyperlink w:anchor="_Toc172665596" w:history="1">
        <w:r w:rsidR="009B7C90" w:rsidRPr="00103C35">
          <w:rPr>
            <w:rStyle w:val="Hyperlink"/>
            <w:rFonts w:cs="Segoe UI"/>
            <w:noProof/>
          </w:rPr>
          <w:t>Introduce greater transparency</w:t>
        </w:r>
        <w:r w:rsidR="009B7C90">
          <w:rPr>
            <w:noProof/>
            <w:webHidden/>
          </w:rPr>
          <w:tab/>
        </w:r>
        <w:r w:rsidR="009B7C90">
          <w:rPr>
            <w:noProof/>
            <w:webHidden/>
          </w:rPr>
          <w:fldChar w:fldCharType="begin"/>
        </w:r>
        <w:r w:rsidR="009B7C90">
          <w:rPr>
            <w:noProof/>
            <w:webHidden/>
          </w:rPr>
          <w:instrText xml:space="preserve"> PAGEREF _Toc172665596 \h </w:instrText>
        </w:r>
        <w:r w:rsidR="009B7C90">
          <w:rPr>
            <w:noProof/>
            <w:webHidden/>
          </w:rPr>
        </w:r>
        <w:r w:rsidR="009B7C90">
          <w:rPr>
            <w:noProof/>
            <w:webHidden/>
          </w:rPr>
          <w:fldChar w:fldCharType="separate"/>
        </w:r>
        <w:r w:rsidR="00D77A0B">
          <w:rPr>
            <w:noProof/>
            <w:webHidden/>
          </w:rPr>
          <w:t>12</w:t>
        </w:r>
        <w:r w:rsidR="009B7C90">
          <w:rPr>
            <w:noProof/>
            <w:webHidden/>
          </w:rPr>
          <w:fldChar w:fldCharType="end"/>
        </w:r>
      </w:hyperlink>
    </w:p>
    <w:p w14:paraId="06E4601D" w14:textId="77777777" w:rsidR="009B7C90" w:rsidRDefault="004319BA">
      <w:pPr>
        <w:pStyle w:val="TOC2"/>
        <w:rPr>
          <w:noProof/>
          <w:szCs w:val="22"/>
          <w:lang w:eastAsia="en-AU"/>
        </w:rPr>
      </w:pPr>
      <w:hyperlink w:anchor="_Toc172665597" w:history="1">
        <w:r w:rsidR="009B7C90" w:rsidRPr="00103C35">
          <w:rPr>
            <w:rStyle w:val="Hyperlink"/>
            <w:rFonts w:cs="Segoe UI"/>
            <w:noProof/>
          </w:rPr>
          <w:t>Streamline and standardise evaluation</w:t>
        </w:r>
        <w:r w:rsidR="009B7C90">
          <w:rPr>
            <w:noProof/>
            <w:webHidden/>
          </w:rPr>
          <w:tab/>
        </w:r>
        <w:r w:rsidR="009B7C90">
          <w:rPr>
            <w:noProof/>
            <w:webHidden/>
          </w:rPr>
          <w:fldChar w:fldCharType="begin"/>
        </w:r>
        <w:r w:rsidR="009B7C90">
          <w:rPr>
            <w:noProof/>
            <w:webHidden/>
          </w:rPr>
          <w:instrText xml:space="preserve"> PAGEREF _Toc172665597 \h </w:instrText>
        </w:r>
        <w:r w:rsidR="009B7C90">
          <w:rPr>
            <w:noProof/>
            <w:webHidden/>
          </w:rPr>
        </w:r>
        <w:r w:rsidR="009B7C90">
          <w:rPr>
            <w:noProof/>
            <w:webHidden/>
          </w:rPr>
          <w:fldChar w:fldCharType="separate"/>
        </w:r>
        <w:r w:rsidR="00D77A0B">
          <w:rPr>
            <w:noProof/>
            <w:webHidden/>
          </w:rPr>
          <w:t>12</w:t>
        </w:r>
        <w:r w:rsidR="009B7C90">
          <w:rPr>
            <w:noProof/>
            <w:webHidden/>
          </w:rPr>
          <w:fldChar w:fldCharType="end"/>
        </w:r>
      </w:hyperlink>
    </w:p>
    <w:p w14:paraId="06E4601E" w14:textId="77777777" w:rsidR="009B7C90" w:rsidRDefault="004319BA">
      <w:pPr>
        <w:pStyle w:val="TOC2"/>
        <w:rPr>
          <w:noProof/>
          <w:szCs w:val="22"/>
          <w:lang w:eastAsia="en-AU"/>
        </w:rPr>
      </w:pPr>
      <w:hyperlink w:anchor="_Toc172665598" w:history="1">
        <w:r w:rsidR="009B7C90" w:rsidRPr="00103C35">
          <w:rPr>
            <w:rStyle w:val="Hyperlink"/>
            <w:rFonts w:cs="Segoe UI"/>
            <w:noProof/>
          </w:rPr>
          <w:t>Strengthen governance arrangements</w:t>
        </w:r>
        <w:r w:rsidR="009B7C90">
          <w:rPr>
            <w:noProof/>
            <w:webHidden/>
          </w:rPr>
          <w:tab/>
        </w:r>
        <w:r w:rsidR="009B7C90">
          <w:rPr>
            <w:noProof/>
            <w:webHidden/>
          </w:rPr>
          <w:fldChar w:fldCharType="begin"/>
        </w:r>
        <w:r w:rsidR="009B7C90">
          <w:rPr>
            <w:noProof/>
            <w:webHidden/>
          </w:rPr>
          <w:instrText xml:space="preserve"> PAGEREF _Toc172665598 \h </w:instrText>
        </w:r>
        <w:r w:rsidR="009B7C90">
          <w:rPr>
            <w:noProof/>
            <w:webHidden/>
          </w:rPr>
        </w:r>
        <w:r w:rsidR="009B7C90">
          <w:rPr>
            <w:noProof/>
            <w:webHidden/>
          </w:rPr>
          <w:fldChar w:fldCharType="separate"/>
        </w:r>
        <w:r w:rsidR="00D77A0B">
          <w:rPr>
            <w:noProof/>
            <w:webHidden/>
          </w:rPr>
          <w:t>13</w:t>
        </w:r>
        <w:r w:rsidR="009B7C90">
          <w:rPr>
            <w:noProof/>
            <w:webHidden/>
          </w:rPr>
          <w:fldChar w:fldCharType="end"/>
        </w:r>
      </w:hyperlink>
    </w:p>
    <w:p w14:paraId="06E4601F" w14:textId="77777777" w:rsidR="009B7C90" w:rsidRDefault="004319BA">
      <w:pPr>
        <w:pStyle w:val="TOC1"/>
        <w:rPr>
          <w:b w:val="0"/>
          <w:noProof/>
          <w:szCs w:val="22"/>
          <w:lang w:eastAsia="en-AU"/>
        </w:rPr>
      </w:pPr>
      <w:hyperlink w:anchor="_Toc172665599" w:history="1">
        <w:r w:rsidR="009B7C90" w:rsidRPr="00103C35">
          <w:rPr>
            <w:rStyle w:val="Hyperlink"/>
            <w:noProof/>
          </w:rPr>
          <w:t>Chapter Two: Performance Evaluation</w:t>
        </w:r>
        <w:r w:rsidR="009B7C90">
          <w:rPr>
            <w:noProof/>
            <w:webHidden/>
          </w:rPr>
          <w:tab/>
        </w:r>
        <w:r w:rsidR="009B7C90">
          <w:rPr>
            <w:noProof/>
            <w:webHidden/>
          </w:rPr>
          <w:fldChar w:fldCharType="begin"/>
        </w:r>
        <w:r w:rsidR="009B7C90">
          <w:rPr>
            <w:noProof/>
            <w:webHidden/>
          </w:rPr>
          <w:instrText xml:space="preserve"> PAGEREF _Toc172665599 \h </w:instrText>
        </w:r>
        <w:r w:rsidR="009B7C90">
          <w:rPr>
            <w:noProof/>
            <w:webHidden/>
          </w:rPr>
        </w:r>
        <w:r w:rsidR="009B7C90">
          <w:rPr>
            <w:noProof/>
            <w:webHidden/>
          </w:rPr>
          <w:fldChar w:fldCharType="separate"/>
        </w:r>
        <w:r w:rsidR="00D77A0B">
          <w:rPr>
            <w:noProof/>
            <w:webHidden/>
          </w:rPr>
          <w:t>15</w:t>
        </w:r>
        <w:r w:rsidR="009B7C90">
          <w:rPr>
            <w:noProof/>
            <w:webHidden/>
          </w:rPr>
          <w:fldChar w:fldCharType="end"/>
        </w:r>
      </w:hyperlink>
    </w:p>
    <w:p w14:paraId="06E46020" w14:textId="77777777" w:rsidR="009B7C90" w:rsidRDefault="004319BA">
      <w:pPr>
        <w:pStyle w:val="TOC2"/>
        <w:rPr>
          <w:noProof/>
          <w:szCs w:val="22"/>
          <w:lang w:eastAsia="en-AU"/>
        </w:rPr>
      </w:pPr>
      <w:hyperlink w:anchor="_Toc172665600" w:history="1">
        <w:r w:rsidR="009B7C90" w:rsidRPr="00103C35">
          <w:rPr>
            <w:rStyle w:val="Hyperlink"/>
            <w:rFonts w:cs="Segoe UI"/>
            <w:noProof/>
          </w:rPr>
          <w:t>The Australian National University (ANU)</w:t>
        </w:r>
        <w:r w:rsidR="009B7C90">
          <w:rPr>
            <w:noProof/>
            <w:webHidden/>
          </w:rPr>
          <w:tab/>
        </w:r>
        <w:r w:rsidR="009B7C90">
          <w:rPr>
            <w:noProof/>
            <w:webHidden/>
          </w:rPr>
          <w:fldChar w:fldCharType="begin"/>
        </w:r>
        <w:r w:rsidR="009B7C90">
          <w:rPr>
            <w:noProof/>
            <w:webHidden/>
          </w:rPr>
          <w:instrText xml:space="preserve"> PAGEREF _Toc172665600 \h </w:instrText>
        </w:r>
        <w:r w:rsidR="009B7C90">
          <w:rPr>
            <w:noProof/>
            <w:webHidden/>
          </w:rPr>
        </w:r>
        <w:r w:rsidR="009B7C90">
          <w:rPr>
            <w:noProof/>
            <w:webHidden/>
          </w:rPr>
          <w:fldChar w:fldCharType="separate"/>
        </w:r>
        <w:r w:rsidR="00D77A0B">
          <w:rPr>
            <w:noProof/>
            <w:webHidden/>
          </w:rPr>
          <w:t>15</w:t>
        </w:r>
        <w:r w:rsidR="009B7C90">
          <w:rPr>
            <w:noProof/>
            <w:webHidden/>
          </w:rPr>
          <w:fldChar w:fldCharType="end"/>
        </w:r>
      </w:hyperlink>
    </w:p>
    <w:p w14:paraId="06E46021" w14:textId="77777777" w:rsidR="009B7C90" w:rsidRDefault="004319BA">
      <w:pPr>
        <w:pStyle w:val="TOC2"/>
        <w:rPr>
          <w:noProof/>
          <w:szCs w:val="22"/>
          <w:lang w:eastAsia="en-AU"/>
        </w:rPr>
      </w:pPr>
      <w:hyperlink w:anchor="_Toc172665601" w:history="1">
        <w:r w:rsidR="009B7C90" w:rsidRPr="00103C35">
          <w:rPr>
            <w:rStyle w:val="Hyperlink"/>
            <w:rFonts w:cs="Segoe UI"/>
            <w:noProof/>
          </w:rPr>
          <w:t>The Australian Strategic Policy Institute (ASPI)</w:t>
        </w:r>
        <w:r w:rsidR="009B7C90">
          <w:rPr>
            <w:noProof/>
            <w:webHidden/>
          </w:rPr>
          <w:tab/>
        </w:r>
        <w:r w:rsidR="009B7C90">
          <w:rPr>
            <w:noProof/>
            <w:webHidden/>
          </w:rPr>
          <w:fldChar w:fldCharType="begin"/>
        </w:r>
        <w:r w:rsidR="009B7C90">
          <w:rPr>
            <w:noProof/>
            <w:webHidden/>
          </w:rPr>
          <w:instrText xml:space="preserve"> PAGEREF _Toc172665601 \h </w:instrText>
        </w:r>
        <w:r w:rsidR="009B7C90">
          <w:rPr>
            <w:noProof/>
            <w:webHidden/>
          </w:rPr>
        </w:r>
        <w:r w:rsidR="009B7C90">
          <w:rPr>
            <w:noProof/>
            <w:webHidden/>
          </w:rPr>
          <w:fldChar w:fldCharType="separate"/>
        </w:r>
        <w:r w:rsidR="00D77A0B">
          <w:rPr>
            <w:noProof/>
            <w:webHidden/>
          </w:rPr>
          <w:t>17</w:t>
        </w:r>
        <w:r w:rsidR="009B7C90">
          <w:rPr>
            <w:noProof/>
            <w:webHidden/>
          </w:rPr>
          <w:fldChar w:fldCharType="end"/>
        </w:r>
      </w:hyperlink>
    </w:p>
    <w:p w14:paraId="06E46022" w14:textId="77777777" w:rsidR="009B7C90" w:rsidRDefault="004319BA">
      <w:pPr>
        <w:pStyle w:val="TOC2"/>
        <w:rPr>
          <w:noProof/>
          <w:szCs w:val="22"/>
          <w:lang w:eastAsia="en-AU"/>
        </w:rPr>
      </w:pPr>
      <w:hyperlink w:anchor="_Toc172665602" w:history="1">
        <w:r w:rsidR="009B7C90" w:rsidRPr="00103C35">
          <w:rPr>
            <w:rStyle w:val="Hyperlink"/>
            <w:rFonts w:cs="Segoe UI"/>
            <w:noProof/>
          </w:rPr>
          <w:t>The American Australian Association (AAA)</w:t>
        </w:r>
        <w:r w:rsidR="009B7C90">
          <w:rPr>
            <w:noProof/>
            <w:webHidden/>
          </w:rPr>
          <w:tab/>
        </w:r>
        <w:r w:rsidR="009B7C90">
          <w:rPr>
            <w:noProof/>
            <w:webHidden/>
          </w:rPr>
          <w:fldChar w:fldCharType="begin"/>
        </w:r>
        <w:r w:rsidR="009B7C90">
          <w:rPr>
            <w:noProof/>
            <w:webHidden/>
          </w:rPr>
          <w:instrText xml:space="preserve"> PAGEREF _Toc172665602 \h </w:instrText>
        </w:r>
        <w:r w:rsidR="009B7C90">
          <w:rPr>
            <w:noProof/>
            <w:webHidden/>
          </w:rPr>
        </w:r>
        <w:r w:rsidR="009B7C90">
          <w:rPr>
            <w:noProof/>
            <w:webHidden/>
          </w:rPr>
          <w:fldChar w:fldCharType="separate"/>
        </w:r>
        <w:r w:rsidR="00D77A0B">
          <w:rPr>
            <w:noProof/>
            <w:webHidden/>
          </w:rPr>
          <w:t>19</w:t>
        </w:r>
        <w:r w:rsidR="009B7C90">
          <w:rPr>
            <w:noProof/>
            <w:webHidden/>
          </w:rPr>
          <w:fldChar w:fldCharType="end"/>
        </w:r>
      </w:hyperlink>
    </w:p>
    <w:p w14:paraId="06E46023" w14:textId="77777777" w:rsidR="009B7C90" w:rsidRDefault="004319BA">
      <w:pPr>
        <w:pStyle w:val="TOC2"/>
        <w:rPr>
          <w:noProof/>
          <w:szCs w:val="22"/>
          <w:lang w:eastAsia="en-AU"/>
        </w:rPr>
      </w:pPr>
      <w:hyperlink w:anchor="_Toc172665603" w:history="1">
        <w:r w:rsidR="009B7C90" w:rsidRPr="00103C35">
          <w:rPr>
            <w:rStyle w:val="Hyperlink"/>
            <w:rFonts w:cs="Segoe UI"/>
            <w:noProof/>
          </w:rPr>
          <w:t>RAND Australia</w:t>
        </w:r>
        <w:r w:rsidR="009B7C90">
          <w:rPr>
            <w:noProof/>
            <w:webHidden/>
          </w:rPr>
          <w:tab/>
        </w:r>
        <w:r w:rsidR="009B7C90">
          <w:rPr>
            <w:noProof/>
            <w:webHidden/>
          </w:rPr>
          <w:fldChar w:fldCharType="begin"/>
        </w:r>
        <w:r w:rsidR="009B7C90">
          <w:rPr>
            <w:noProof/>
            <w:webHidden/>
          </w:rPr>
          <w:instrText xml:space="preserve"> PAGEREF _Toc172665603 \h </w:instrText>
        </w:r>
        <w:r w:rsidR="009B7C90">
          <w:rPr>
            <w:noProof/>
            <w:webHidden/>
          </w:rPr>
        </w:r>
        <w:r w:rsidR="009B7C90">
          <w:rPr>
            <w:noProof/>
            <w:webHidden/>
          </w:rPr>
          <w:fldChar w:fldCharType="separate"/>
        </w:r>
        <w:r w:rsidR="00D77A0B">
          <w:rPr>
            <w:noProof/>
            <w:webHidden/>
          </w:rPr>
          <w:t>21</w:t>
        </w:r>
        <w:r w:rsidR="009B7C90">
          <w:rPr>
            <w:noProof/>
            <w:webHidden/>
          </w:rPr>
          <w:fldChar w:fldCharType="end"/>
        </w:r>
      </w:hyperlink>
    </w:p>
    <w:p w14:paraId="06E46024" w14:textId="77777777" w:rsidR="009B7C90" w:rsidRDefault="004319BA">
      <w:pPr>
        <w:pStyle w:val="TOC2"/>
        <w:rPr>
          <w:noProof/>
          <w:szCs w:val="22"/>
          <w:lang w:eastAsia="en-AU"/>
        </w:rPr>
      </w:pPr>
      <w:hyperlink w:anchor="_Toc172665604" w:history="1">
        <w:r w:rsidR="009B7C90" w:rsidRPr="00103C35">
          <w:rPr>
            <w:rStyle w:val="Hyperlink"/>
            <w:rFonts w:cs="Segoe UI"/>
            <w:noProof/>
          </w:rPr>
          <w:t>The Lowy Institute (Lowy)</w:t>
        </w:r>
        <w:r w:rsidR="009B7C90">
          <w:rPr>
            <w:noProof/>
            <w:webHidden/>
          </w:rPr>
          <w:tab/>
        </w:r>
        <w:r w:rsidR="009B7C90">
          <w:rPr>
            <w:noProof/>
            <w:webHidden/>
          </w:rPr>
          <w:fldChar w:fldCharType="begin"/>
        </w:r>
        <w:r w:rsidR="009B7C90">
          <w:rPr>
            <w:noProof/>
            <w:webHidden/>
          </w:rPr>
          <w:instrText xml:space="preserve"> PAGEREF _Toc172665604 \h </w:instrText>
        </w:r>
        <w:r w:rsidR="009B7C90">
          <w:rPr>
            <w:noProof/>
            <w:webHidden/>
          </w:rPr>
        </w:r>
        <w:r w:rsidR="009B7C90">
          <w:rPr>
            <w:noProof/>
            <w:webHidden/>
          </w:rPr>
          <w:fldChar w:fldCharType="separate"/>
        </w:r>
        <w:r w:rsidR="00D77A0B">
          <w:rPr>
            <w:noProof/>
            <w:webHidden/>
          </w:rPr>
          <w:t>21</w:t>
        </w:r>
        <w:r w:rsidR="009B7C90">
          <w:rPr>
            <w:noProof/>
            <w:webHidden/>
          </w:rPr>
          <w:fldChar w:fldCharType="end"/>
        </w:r>
      </w:hyperlink>
    </w:p>
    <w:p w14:paraId="06E46025" w14:textId="77777777" w:rsidR="009B7C90" w:rsidRDefault="004319BA">
      <w:pPr>
        <w:pStyle w:val="TOC2"/>
        <w:rPr>
          <w:noProof/>
          <w:szCs w:val="22"/>
          <w:lang w:eastAsia="en-AU"/>
        </w:rPr>
      </w:pPr>
      <w:hyperlink w:anchor="_Toc172665605" w:history="1">
        <w:r w:rsidR="009B7C90" w:rsidRPr="00103C35">
          <w:rPr>
            <w:rStyle w:val="Hyperlink"/>
            <w:rFonts w:cs="Segoe UI"/>
            <w:noProof/>
          </w:rPr>
          <w:t>The Australian American Leadership Dialogue (AALD)</w:t>
        </w:r>
        <w:r w:rsidR="009B7C90">
          <w:rPr>
            <w:noProof/>
            <w:webHidden/>
          </w:rPr>
          <w:tab/>
        </w:r>
        <w:r w:rsidR="009B7C90">
          <w:rPr>
            <w:noProof/>
            <w:webHidden/>
          </w:rPr>
          <w:fldChar w:fldCharType="begin"/>
        </w:r>
        <w:r w:rsidR="009B7C90">
          <w:rPr>
            <w:noProof/>
            <w:webHidden/>
          </w:rPr>
          <w:instrText xml:space="preserve"> PAGEREF _Toc172665605 \h </w:instrText>
        </w:r>
        <w:r w:rsidR="009B7C90">
          <w:rPr>
            <w:noProof/>
            <w:webHidden/>
          </w:rPr>
        </w:r>
        <w:r w:rsidR="009B7C90">
          <w:rPr>
            <w:noProof/>
            <w:webHidden/>
          </w:rPr>
          <w:fldChar w:fldCharType="separate"/>
        </w:r>
        <w:r w:rsidR="00D77A0B">
          <w:rPr>
            <w:noProof/>
            <w:webHidden/>
          </w:rPr>
          <w:t>22</w:t>
        </w:r>
        <w:r w:rsidR="009B7C90">
          <w:rPr>
            <w:noProof/>
            <w:webHidden/>
          </w:rPr>
          <w:fldChar w:fldCharType="end"/>
        </w:r>
      </w:hyperlink>
    </w:p>
    <w:p w14:paraId="06E46026" w14:textId="77777777" w:rsidR="009B7C90" w:rsidRDefault="004319BA">
      <w:pPr>
        <w:pStyle w:val="TOC1"/>
        <w:rPr>
          <w:b w:val="0"/>
          <w:noProof/>
          <w:szCs w:val="22"/>
          <w:lang w:eastAsia="en-AU"/>
        </w:rPr>
      </w:pPr>
      <w:hyperlink w:anchor="_Toc172665606" w:history="1">
        <w:r w:rsidR="009B7C90" w:rsidRPr="00103C35">
          <w:rPr>
            <w:rStyle w:val="Hyperlink"/>
            <w:noProof/>
          </w:rPr>
          <w:t>Chapter Three: Options to Build the Sector</w:t>
        </w:r>
        <w:r w:rsidR="009B7C90">
          <w:rPr>
            <w:noProof/>
            <w:webHidden/>
          </w:rPr>
          <w:tab/>
        </w:r>
        <w:r w:rsidR="009B7C90">
          <w:rPr>
            <w:noProof/>
            <w:webHidden/>
          </w:rPr>
          <w:fldChar w:fldCharType="begin"/>
        </w:r>
        <w:r w:rsidR="009B7C90">
          <w:rPr>
            <w:noProof/>
            <w:webHidden/>
          </w:rPr>
          <w:instrText xml:space="preserve"> PAGEREF _Toc172665606 \h </w:instrText>
        </w:r>
        <w:r w:rsidR="009B7C90">
          <w:rPr>
            <w:noProof/>
            <w:webHidden/>
          </w:rPr>
        </w:r>
        <w:r w:rsidR="009B7C90">
          <w:rPr>
            <w:noProof/>
            <w:webHidden/>
          </w:rPr>
          <w:fldChar w:fldCharType="separate"/>
        </w:r>
        <w:r w:rsidR="00D77A0B">
          <w:rPr>
            <w:noProof/>
            <w:webHidden/>
          </w:rPr>
          <w:t>24</w:t>
        </w:r>
        <w:r w:rsidR="009B7C90">
          <w:rPr>
            <w:noProof/>
            <w:webHidden/>
          </w:rPr>
          <w:fldChar w:fldCharType="end"/>
        </w:r>
      </w:hyperlink>
    </w:p>
    <w:p w14:paraId="06E46027" w14:textId="77777777" w:rsidR="009B7C90" w:rsidRDefault="004319BA">
      <w:pPr>
        <w:pStyle w:val="TOC2"/>
        <w:rPr>
          <w:noProof/>
          <w:szCs w:val="22"/>
          <w:lang w:eastAsia="en-AU"/>
        </w:rPr>
      </w:pPr>
      <w:hyperlink w:anchor="_Toc172665607" w:history="1">
        <w:r w:rsidR="009B7C90" w:rsidRPr="00103C35">
          <w:rPr>
            <w:rStyle w:val="Hyperlink"/>
            <w:rFonts w:cs="Segoe UI"/>
            <w:noProof/>
          </w:rPr>
          <w:t>The social licence challenge</w:t>
        </w:r>
        <w:r w:rsidR="009B7C90">
          <w:rPr>
            <w:noProof/>
            <w:webHidden/>
          </w:rPr>
          <w:tab/>
        </w:r>
        <w:r w:rsidR="009B7C90">
          <w:rPr>
            <w:noProof/>
            <w:webHidden/>
          </w:rPr>
          <w:fldChar w:fldCharType="begin"/>
        </w:r>
        <w:r w:rsidR="009B7C90">
          <w:rPr>
            <w:noProof/>
            <w:webHidden/>
          </w:rPr>
          <w:instrText xml:space="preserve"> PAGEREF _Toc172665607 \h </w:instrText>
        </w:r>
        <w:r w:rsidR="009B7C90">
          <w:rPr>
            <w:noProof/>
            <w:webHidden/>
          </w:rPr>
        </w:r>
        <w:r w:rsidR="009B7C90">
          <w:rPr>
            <w:noProof/>
            <w:webHidden/>
          </w:rPr>
          <w:fldChar w:fldCharType="separate"/>
        </w:r>
        <w:r w:rsidR="00D77A0B">
          <w:rPr>
            <w:noProof/>
            <w:webHidden/>
          </w:rPr>
          <w:t>24</w:t>
        </w:r>
        <w:r w:rsidR="009B7C90">
          <w:rPr>
            <w:noProof/>
            <w:webHidden/>
          </w:rPr>
          <w:fldChar w:fldCharType="end"/>
        </w:r>
      </w:hyperlink>
    </w:p>
    <w:p w14:paraId="06E46028" w14:textId="77777777" w:rsidR="009B7C90" w:rsidRDefault="004319BA">
      <w:pPr>
        <w:pStyle w:val="TOC2"/>
        <w:rPr>
          <w:noProof/>
          <w:szCs w:val="22"/>
          <w:lang w:eastAsia="en-AU"/>
        </w:rPr>
      </w:pPr>
      <w:hyperlink w:anchor="_Toc172665608" w:history="1">
        <w:r w:rsidR="009B7C90" w:rsidRPr="00103C35">
          <w:rPr>
            <w:rStyle w:val="Hyperlink"/>
            <w:rFonts w:cs="Segoe UI"/>
            <w:noProof/>
          </w:rPr>
          <w:t>What does good look like in the long term?</w:t>
        </w:r>
        <w:r w:rsidR="009B7C90">
          <w:rPr>
            <w:noProof/>
            <w:webHidden/>
          </w:rPr>
          <w:tab/>
        </w:r>
        <w:r w:rsidR="009B7C90">
          <w:rPr>
            <w:noProof/>
            <w:webHidden/>
          </w:rPr>
          <w:fldChar w:fldCharType="begin"/>
        </w:r>
        <w:r w:rsidR="009B7C90">
          <w:rPr>
            <w:noProof/>
            <w:webHidden/>
          </w:rPr>
          <w:instrText xml:space="preserve"> PAGEREF _Toc172665608 \h </w:instrText>
        </w:r>
        <w:r w:rsidR="009B7C90">
          <w:rPr>
            <w:noProof/>
            <w:webHidden/>
          </w:rPr>
        </w:r>
        <w:r w:rsidR="009B7C90">
          <w:rPr>
            <w:noProof/>
            <w:webHidden/>
          </w:rPr>
          <w:fldChar w:fldCharType="separate"/>
        </w:r>
        <w:r w:rsidR="00D77A0B">
          <w:rPr>
            <w:noProof/>
            <w:webHidden/>
          </w:rPr>
          <w:t>24</w:t>
        </w:r>
        <w:r w:rsidR="009B7C90">
          <w:rPr>
            <w:noProof/>
            <w:webHidden/>
          </w:rPr>
          <w:fldChar w:fldCharType="end"/>
        </w:r>
      </w:hyperlink>
    </w:p>
    <w:p w14:paraId="06E46029" w14:textId="77777777" w:rsidR="009B7C90" w:rsidRDefault="004319BA">
      <w:pPr>
        <w:pStyle w:val="TOC2"/>
        <w:rPr>
          <w:noProof/>
          <w:szCs w:val="22"/>
          <w:lang w:eastAsia="en-AU"/>
        </w:rPr>
      </w:pPr>
      <w:hyperlink w:anchor="_Toc172665609" w:history="1">
        <w:r w:rsidR="009B7C90" w:rsidRPr="00103C35">
          <w:rPr>
            <w:rStyle w:val="Hyperlink"/>
            <w:rFonts w:cs="Segoe UI"/>
            <w:noProof/>
          </w:rPr>
          <w:t>Potential options for increased funding</w:t>
        </w:r>
        <w:r w:rsidR="009B7C90">
          <w:rPr>
            <w:noProof/>
            <w:webHidden/>
          </w:rPr>
          <w:tab/>
        </w:r>
        <w:r w:rsidR="009B7C90">
          <w:rPr>
            <w:noProof/>
            <w:webHidden/>
          </w:rPr>
          <w:fldChar w:fldCharType="begin"/>
        </w:r>
        <w:r w:rsidR="009B7C90">
          <w:rPr>
            <w:noProof/>
            <w:webHidden/>
          </w:rPr>
          <w:instrText xml:space="preserve"> PAGEREF _Toc172665609 \h </w:instrText>
        </w:r>
        <w:r w:rsidR="009B7C90">
          <w:rPr>
            <w:noProof/>
            <w:webHidden/>
          </w:rPr>
        </w:r>
        <w:r w:rsidR="009B7C90">
          <w:rPr>
            <w:noProof/>
            <w:webHidden/>
          </w:rPr>
          <w:fldChar w:fldCharType="separate"/>
        </w:r>
        <w:r w:rsidR="00D77A0B">
          <w:rPr>
            <w:noProof/>
            <w:webHidden/>
          </w:rPr>
          <w:t>26</w:t>
        </w:r>
        <w:r w:rsidR="009B7C90">
          <w:rPr>
            <w:noProof/>
            <w:webHidden/>
          </w:rPr>
          <w:fldChar w:fldCharType="end"/>
        </w:r>
      </w:hyperlink>
    </w:p>
    <w:p w14:paraId="06E4602A" w14:textId="77777777" w:rsidR="009B7C90" w:rsidRDefault="004319BA">
      <w:pPr>
        <w:pStyle w:val="TOC1"/>
        <w:rPr>
          <w:b w:val="0"/>
          <w:noProof/>
          <w:szCs w:val="22"/>
          <w:lang w:eastAsia="en-AU"/>
        </w:rPr>
      </w:pPr>
      <w:hyperlink w:anchor="_Toc172665610" w:history="1">
        <w:r w:rsidR="009B7C90" w:rsidRPr="00103C35">
          <w:rPr>
            <w:rStyle w:val="Hyperlink"/>
            <w:noProof/>
          </w:rPr>
          <w:t>Attachments</w:t>
        </w:r>
        <w:r w:rsidR="009B7C90">
          <w:rPr>
            <w:noProof/>
            <w:webHidden/>
          </w:rPr>
          <w:tab/>
        </w:r>
        <w:r w:rsidR="009B7C90">
          <w:rPr>
            <w:noProof/>
            <w:webHidden/>
          </w:rPr>
          <w:fldChar w:fldCharType="begin"/>
        </w:r>
        <w:r w:rsidR="009B7C90">
          <w:rPr>
            <w:noProof/>
            <w:webHidden/>
          </w:rPr>
          <w:instrText xml:space="preserve"> PAGEREF _Toc172665610 \h </w:instrText>
        </w:r>
        <w:r w:rsidR="009B7C90">
          <w:rPr>
            <w:noProof/>
            <w:webHidden/>
          </w:rPr>
        </w:r>
        <w:r w:rsidR="009B7C90">
          <w:rPr>
            <w:noProof/>
            <w:webHidden/>
          </w:rPr>
          <w:fldChar w:fldCharType="separate"/>
        </w:r>
        <w:r w:rsidR="00D77A0B">
          <w:rPr>
            <w:noProof/>
            <w:webHidden/>
          </w:rPr>
          <w:t>27</w:t>
        </w:r>
        <w:r w:rsidR="009B7C90">
          <w:rPr>
            <w:noProof/>
            <w:webHidden/>
          </w:rPr>
          <w:fldChar w:fldCharType="end"/>
        </w:r>
      </w:hyperlink>
    </w:p>
    <w:p w14:paraId="06E4602B" w14:textId="77777777" w:rsidR="009B7C90" w:rsidRDefault="004319BA">
      <w:pPr>
        <w:pStyle w:val="TOC2"/>
        <w:rPr>
          <w:noProof/>
          <w:szCs w:val="22"/>
          <w:lang w:eastAsia="en-AU"/>
        </w:rPr>
      </w:pPr>
      <w:hyperlink w:anchor="_Toc172665611" w:history="1">
        <w:r w:rsidR="009B7C90" w:rsidRPr="00103C35">
          <w:rPr>
            <w:rStyle w:val="Hyperlink"/>
            <w:noProof/>
          </w:rPr>
          <w:t>Attachment A: A principles-based framework</w:t>
        </w:r>
        <w:r w:rsidR="009B7C90">
          <w:rPr>
            <w:noProof/>
            <w:webHidden/>
          </w:rPr>
          <w:tab/>
        </w:r>
        <w:r w:rsidR="009B7C90">
          <w:rPr>
            <w:noProof/>
            <w:webHidden/>
          </w:rPr>
          <w:fldChar w:fldCharType="begin"/>
        </w:r>
        <w:r w:rsidR="009B7C90">
          <w:rPr>
            <w:noProof/>
            <w:webHidden/>
          </w:rPr>
          <w:instrText xml:space="preserve"> PAGEREF _Toc172665611 \h </w:instrText>
        </w:r>
        <w:r w:rsidR="009B7C90">
          <w:rPr>
            <w:noProof/>
            <w:webHidden/>
          </w:rPr>
        </w:r>
        <w:r w:rsidR="009B7C90">
          <w:rPr>
            <w:noProof/>
            <w:webHidden/>
          </w:rPr>
          <w:fldChar w:fldCharType="separate"/>
        </w:r>
        <w:r w:rsidR="00D77A0B">
          <w:rPr>
            <w:noProof/>
            <w:webHidden/>
          </w:rPr>
          <w:t>28</w:t>
        </w:r>
        <w:r w:rsidR="009B7C90">
          <w:rPr>
            <w:noProof/>
            <w:webHidden/>
          </w:rPr>
          <w:fldChar w:fldCharType="end"/>
        </w:r>
      </w:hyperlink>
    </w:p>
    <w:p w14:paraId="06E4602C" w14:textId="77777777" w:rsidR="009B7C90" w:rsidRDefault="004319BA">
      <w:pPr>
        <w:pStyle w:val="TOC2"/>
        <w:rPr>
          <w:noProof/>
          <w:szCs w:val="22"/>
          <w:lang w:eastAsia="en-AU"/>
        </w:rPr>
      </w:pPr>
      <w:hyperlink w:anchor="_Toc172665612" w:history="1">
        <w:r w:rsidR="009B7C90" w:rsidRPr="00103C35">
          <w:rPr>
            <w:rStyle w:val="Hyperlink"/>
            <w:rFonts w:cs="Segoe UI"/>
            <w:noProof/>
          </w:rPr>
          <w:t>Attachment B: Review Terms of Reference</w:t>
        </w:r>
        <w:r w:rsidR="009B7C90">
          <w:rPr>
            <w:noProof/>
            <w:webHidden/>
          </w:rPr>
          <w:tab/>
        </w:r>
        <w:r w:rsidR="009B7C90">
          <w:rPr>
            <w:noProof/>
            <w:webHidden/>
          </w:rPr>
          <w:fldChar w:fldCharType="begin"/>
        </w:r>
        <w:r w:rsidR="009B7C90">
          <w:rPr>
            <w:noProof/>
            <w:webHidden/>
          </w:rPr>
          <w:instrText xml:space="preserve"> PAGEREF _Toc172665612 \h </w:instrText>
        </w:r>
        <w:r w:rsidR="009B7C90">
          <w:rPr>
            <w:noProof/>
            <w:webHidden/>
          </w:rPr>
        </w:r>
        <w:r w:rsidR="009B7C90">
          <w:rPr>
            <w:noProof/>
            <w:webHidden/>
          </w:rPr>
          <w:fldChar w:fldCharType="separate"/>
        </w:r>
        <w:r w:rsidR="00D77A0B">
          <w:rPr>
            <w:noProof/>
            <w:webHidden/>
          </w:rPr>
          <w:t>31</w:t>
        </w:r>
        <w:r w:rsidR="009B7C90">
          <w:rPr>
            <w:noProof/>
            <w:webHidden/>
          </w:rPr>
          <w:fldChar w:fldCharType="end"/>
        </w:r>
      </w:hyperlink>
    </w:p>
    <w:p w14:paraId="06E4602D" w14:textId="77777777" w:rsidR="009B7C90" w:rsidRDefault="004319BA">
      <w:pPr>
        <w:pStyle w:val="TOC2"/>
        <w:rPr>
          <w:noProof/>
          <w:szCs w:val="22"/>
          <w:lang w:eastAsia="en-AU"/>
        </w:rPr>
      </w:pPr>
      <w:hyperlink w:anchor="_Toc172665613" w:history="1">
        <w:r w:rsidR="009B7C90" w:rsidRPr="00103C35">
          <w:rPr>
            <w:rStyle w:val="Hyperlink"/>
            <w:noProof/>
          </w:rPr>
          <w:t>Attachment C: How the Review was conducted</w:t>
        </w:r>
        <w:r w:rsidR="009B7C90">
          <w:rPr>
            <w:noProof/>
            <w:webHidden/>
          </w:rPr>
          <w:tab/>
        </w:r>
        <w:r w:rsidR="009B7C90">
          <w:rPr>
            <w:noProof/>
            <w:webHidden/>
          </w:rPr>
          <w:fldChar w:fldCharType="begin"/>
        </w:r>
        <w:r w:rsidR="009B7C90">
          <w:rPr>
            <w:noProof/>
            <w:webHidden/>
          </w:rPr>
          <w:instrText xml:space="preserve"> PAGEREF _Toc172665613 \h </w:instrText>
        </w:r>
        <w:r w:rsidR="009B7C90">
          <w:rPr>
            <w:noProof/>
            <w:webHidden/>
          </w:rPr>
        </w:r>
        <w:r w:rsidR="009B7C90">
          <w:rPr>
            <w:noProof/>
            <w:webHidden/>
          </w:rPr>
          <w:fldChar w:fldCharType="separate"/>
        </w:r>
        <w:r w:rsidR="00D77A0B">
          <w:rPr>
            <w:noProof/>
            <w:webHidden/>
          </w:rPr>
          <w:t>33</w:t>
        </w:r>
        <w:r w:rsidR="009B7C90">
          <w:rPr>
            <w:noProof/>
            <w:webHidden/>
          </w:rPr>
          <w:fldChar w:fldCharType="end"/>
        </w:r>
      </w:hyperlink>
    </w:p>
    <w:p w14:paraId="06E4602E" w14:textId="77777777" w:rsidR="009B7C90" w:rsidRDefault="004319BA">
      <w:pPr>
        <w:pStyle w:val="TOC2"/>
        <w:rPr>
          <w:noProof/>
          <w:szCs w:val="22"/>
          <w:lang w:eastAsia="en-AU"/>
        </w:rPr>
      </w:pPr>
      <w:hyperlink w:anchor="_Toc172665614" w:history="1">
        <w:r w:rsidR="009B7C90" w:rsidRPr="00103C35">
          <w:rPr>
            <w:rStyle w:val="Hyperlink"/>
            <w:noProof/>
          </w:rPr>
          <w:t>Attachment D: Insights from data collected</w:t>
        </w:r>
        <w:r w:rsidR="009B7C90">
          <w:rPr>
            <w:noProof/>
            <w:webHidden/>
          </w:rPr>
          <w:tab/>
        </w:r>
        <w:r w:rsidR="009B7C90">
          <w:rPr>
            <w:noProof/>
            <w:webHidden/>
          </w:rPr>
          <w:fldChar w:fldCharType="begin"/>
        </w:r>
        <w:r w:rsidR="009B7C90">
          <w:rPr>
            <w:noProof/>
            <w:webHidden/>
          </w:rPr>
          <w:instrText xml:space="preserve"> PAGEREF _Toc172665614 \h </w:instrText>
        </w:r>
        <w:r w:rsidR="009B7C90">
          <w:rPr>
            <w:noProof/>
            <w:webHidden/>
          </w:rPr>
        </w:r>
        <w:r w:rsidR="009B7C90">
          <w:rPr>
            <w:noProof/>
            <w:webHidden/>
          </w:rPr>
          <w:fldChar w:fldCharType="separate"/>
        </w:r>
        <w:r w:rsidR="00D77A0B">
          <w:rPr>
            <w:noProof/>
            <w:webHidden/>
          </w:rPr>
          <w:t>36</w:t>
        </w:r>
        <w:r w:rsidR="009B7C90">
          <w:rPr>
            <w:noProof/>
            <w:webHidden/>
          </w:rPr>
          <w:fldChar w:fldCharType="end"/>
        </w:r>
      </w:hyperlink>
    </w:p>
    <w:p w14:paraId="06E4602F" w14:textId="77777777" w:rsidR="009B7C90" w:rsidRDefault="004319BA">
      <w:pPr>
        <w:pStyle w:val="TOC2"/>
        <w:rPr>
          <w:noProof/>
          <w:szCs w:val="22"/>
          <w:lang w:eastAsia="en-AU"/>
        </w:rPr>
      </w:pPr>
      <w:hyperlink w:anchor="_Toc172665615" w:history="1">
        <w:r w:rsidR="009B7C90" w:rsidRPr="00103C35">
          <w:rPr>
            <w:rStyle w:val="Hyperlink"/>
            <w:noProof/>
          </w:rPr>
          <w:t>Attachment E: Declaration of interests</w:t>
        </w:r>
        <w:r w:rsidR="009B7C90">
          <w:rPr>
            <w:noProof/>
            <w:webHidden/>
          </w:rPr>
          <w:tab/>
        </w:r>
        <w:r w:rsidR="009B7C90">
          <w:rPr>
            <w:noProof/>
            <w:webHidden/>
          </w:rPr>
          <w:fldChar w:fldCharType="begin"/>
        </w:r>
        <w:r w:rsidR="009B7C90">
          <w:rPr>
            <w:noProof/>
            <w:webHidden/>
          </w:rPr>
          <w:instrText xml:space="preserve"> PAGEREF _Toc172665615 \h </w:instrText>
        </w:r>
        <w:r w:rsidR="009B7C90">
          <w:rPr>
            <w:noProof/>
            <w:webHidden/>
          </w:rPr>
        </w:r>
        <w:r w:rsidR="009B7C90">
          <w:rPr>
            <w:noProof/>
            <w:webHidden/>
          </w:rPr>
          <w:fldChar w:fldCharType="separate"/>
        </w:r>
        <w:r w:rsidR="00D77A0B">
          <w:rPr>
            <w:noProof/>
            <w:webHidden/>
          </w:rPr>
          <w:t>41</w:t>
        </w:r>
        <w:r w:rsidR="009B7C90">
          <w:rPr>
            <w:noProof/>
            <w:webHidden/>
          </w:rPr>
          <w:fldChar w:fldCharType="end"/>
        </w:r>
      </w:hyperlink>
    </w:p>
    <w:p w14:paraId="06E46030" w14:textId="77777777" w:rsidR="00671EB7" w:rsidRDefault="00107DD3" w:rsidP="00671EB7">
      <w:r>
        <w:fldChar w:fldCharType="end"/>
      </w:r>
      <w:bookmarkStart w:id="15" w:name="_Toc170307476"/>
      <w:bookmarkStart w:id="16" w:name="_Toc170383153"/>
      <w:bookmarkStart w:id="17" w:name="_Toc170392342"/>
      <w:r w:rsidR="00671EB7">
        <w:br w:type="page"/>
      </w:r>
    </w:p>
    <w:p w14:paraId="06E46031" w14:textId="77777777" w:rsidR="00671EB7" w:rsidRDefault="00671EB7" w:rsidP="001316B6">
      <w:pPr>
        <w:pStyle w:val="Heading1"/>
      </w:pPr>
      <w:bookmarkStart w:id="18" w:name="_Toc172665580"/>
      <w:r>
        <w:lastRenderedPageBreak/>
        <w:t xml:space="preserve">List of </w:t>
      </w:r>
      <w:r w:rsidR="00EE1891">
        <w:t>A</w:t>
      </w:r>
      <w:r>
        <w:t xml:space="preserve">cronyms and </w:t>
      </w:r>
      <w:r w:rsidR="00EE1891">
        <w:t>A</w:t>
      </w:r>
      <w:r>
        <w:t>bbreviations</w:t>
      </w:r>
      <w:bookmarkEnd w:id="18"/>
    </w:p>
    <w:p w14:paraId="06E46032" w14:textId="77777777" w:rsidR="00D26429" w:rsidRDefault="00D26429" w:rsidP="00453F7C">
      <w:pPr>
        <w:spacing w:after="120"/>
        <w:rPr>
          <w:rFonts w:ascii="Segoe UI" w:eastAsia="Times New Roman" w:hAnsi="Segoe UI" w:cs="Segoe UI"/>
          <w:color w:val="212121"/>
        </w:rPr>
      </w:pPr>
      <w:r w:rsidRPr="008643F5">
        <w:rPr>
          <w:rFonts w:ascii="Segoe UI" w:eastAsia="Times New Roman" w:hAnsi="Segoe UI" w:cs="Segoe UI"/>
          <w:b/>
          <w:color w:val="212121"/>
        </w:rPr>
        <w:t>AAA</w:t>
      </w:r>
      <w:r>
        <w:rPr>
          <w:rFonts w:ascii="Segoe UI" w:eastAsia="Times New Roman" w:hAnsi="Segoe UI" w:cs="Segoe UI"/>
          <w:color w:val="212121"/>
        </w:rPr>
        <w:t xml:space="preserve"> </w:t>
      </w:r>
      <w:r w:rsidRPr="00B008DA">
        <w:rPr>
          <w:rFonts w:ascii="Segoe UI" w:eastAsia="Times New Roman" w:hAnsi="Segoe UI" w:cs="Segoe UI"/>
          <w:color w:val="212121"/>
        </w:rPr>
        <w:t>-</w:t>
      </w:r>
      <w:r>
        <w:rPr>
          <w:rFonts w:ascii="Segoe UI" w:eastAsia="Times New Roman" w:hAnsi="Segoe UI" w:cs="Segoe UI"/>
          <w:color w:val="212121"/>
        </w:rPr>
        <w:t xml:space="preserve"> American Australian Association </w:t>
      </w:r>
    </w:p>
    <w:p w14:paraId="06E46033" w14:textId="77777777" w:rsidR="00D26429" w:rsidRDefault="00D26429" w:rsidP="00453F7C">
      <w:pPr>
        <w:spacing w:after="120"/>
        <w:rPr>
          <w:rFonts w:ascii="Segoe UI" w:eastAsia="Times New Roman" w:hAnsi="Segoe UI" w:cs="Segoe UI"/>
        </w:rPr>
      </w:pPr>
      <w:r w:rsidRPr="008643F5">
        <w:rPr>
          <w:rFonts w:ascii="Segoe UI" w:eastAsia="Times New Roman" w:hAnsi="Segoe UI" w:cs="Segoe UI"/>
          <w:b/>
        </w:rPr>
        <w:t>AALD</w:t>
      </w:r>
      <w:r>
        <w:rPr>
          <w:rFonts w:ascii="Segoe UI" w:eastAsia="Times New Roman" w:hAnsi="Segoe UI" w:cs="Segoe UI"/>
        </w:rPr>
        <w:t xml:space="preserve"> - Australian American Leadership Dialogue</w:t>
      </w:r>
    </w:p>
    <w:p w14:paraId="06E46034" w14:textId="77777777" w:rsidR="00D26429" w:rsidRDefault="00D26429" w:rsidP="00453F7C">
      <w:pPr>
        <w:spacing w:after="120"/>
        <w:rPr>
          <w:rFonts w:ascii="Segoe UI" w:eastAsia="Times New Roman" w:hAnsi="Segoe UI" w:cs="Segoe UI"/>
          <w:color w:val="212121"/>
        </w:rPr>
      </w:pPr>
      <w:r>
        <w:rPr>
          <w:rFonts w:ascii="Segoe UI" w:eastAsia="Times New Roman" w:hAnsi="Segoe UI" w:cs="Segoe UI"/>
          <w:b/>
          <w:color w:val="212121"/>
        </w:rPr>
        <w:t xml:space="preserve">ANAO </w:t>
      </w:r>
      <w:r w:rsidR="00B008DA" w:rsidRPr="00B008DA">
        <w:rPr>
          <w:rFonts w:ascii="Segoe UI" w:eastAsia="Times New Roman" w:hAnsi="Segoe UI" w:cs="Segoe UI"/>
          <w:color w:val="212121"/>
        </w:rPr>
        <w:t>-</w:t>
      </w:r>
      <w:r w:rsidR="00B008DA">
        <w:rPr>
          <w:rFonts w:ascii="Segoe UI" w:eastAsia="Times New Roman" w:hAnsi="Segoe UI" w:cs="Segoe UI"/>
          <w:color w:val="212121"/>
        </w:rPr>
        <w:t xml:space="preserve"> </w:t>
      </w:r>
      <w:r>
        <w:rPr>
          <w:rFonts w:ascii="Segoe UI" w:eastAsia="Times New Roman" w:hAnsi="Segoe UI" w:cs="Segoe UI"/>
          <w:color w:val="212121"/>
        </w:rPr>
        <w:t>Australian National Audit Office</w:t>
      </w:r>
    </w:p>
    <w:p w14:paraId="06E46035" w14:textId="77777777" w:rsidR="00D26429" w:rsidRDefault="00D26429" w:rsidP="00453F7C">
      <w:pPr>
        <w:spacing w:after="120"/>
        <w:rPr>
          <w:rFonts w:ascii="Segoe UI" w:eastAsia="Times New Roman" w:hAnsi="Segoe UI" w:cs="Segoe UI"/>
          <w:color w:val="212121"/>
        </w:rPr>
      </w:pPr>
      <w:r w:rsidRPr="008643F5">
        <w:rPr>
          <w:rFonts w:ascii="Segoe UI" w:eastAsia="Times New Roman" w:hAnsi="Segoe UI" w:cs="Segoe UI"/>
          <w:b/>
          <w:color w:val="212121"/>
        </w:rPr>
        <w:t>ANU</w:t>
      </w:r>
      <w:r>
        <w:rPr>
          <w:rFonts w:ascii="Segoe UI" w:eastAsia="Times New Roman" w:hAnsi="Segoe UI" w:cs="Segoe UI"/>
          <w:color w:val="212121"/>
        </w:rPr>
        <w:t xml:space="preserve"> - </w:t>
      </w:r>
      <w:r w:rsidRPr="00752A8B">
        <w:rPr>
          <w:rFonts w:ascii="Segoe UI" w:eastAsia="Times New Roman" w:hAnsi="Segoe UI" w:cs="Segoe UI"/>
          <w:color w:val="212121"/>
        </w:rPr>
        <w:t>Australian National University</w:t>
      </w:r>
    </w:p>
    <w:p w14:paraId="06E46036" w14:textId="77777777" w:rsidR="00D26429" w:rsidRDefault="00D26429" w:rsidP="00453F7C">
      <w:pPr>
        <w:spacing w:after="120"/>
        <w:rPr>
          <w:rFonts w:ascii="Segoe UI" w:eastAsia="Times New Roman" w:hAnsi="Segoe UI" w:cs="Segoe UI"/>
          <w:color w:val="212121"/>
        </w:rPr>
      </w:pPr>
      <w:r>
        <w:rPr>
          <w:rFonts w:ascii="Segoe UI" w:eastAsia="Times New Roman" w:hAnsi="Segoe UI" w:cs="Segoe UI"/>
          <w:b/>
          <w:color w:val="212121"/>
        </w:rPr>
        <w:t xml:space="preserve">APS </w:t>
      </w:r>
      <w:r w:rsidRPr="00B008DA">
        <w:rPr>
          <w:rFonts w:ascii="Segoe UI" w:eastAsia="Times New Roman" w:hAnsi="Segoe UI" w:cs="Segoe UI"/>
          <w:color w:val="212121"/>
        </w:rPr>
        <w:t>-</w:t>
      </w:r>
      <w:r>
        <w:rPr>
          <w:rFonts w:ascii="Segoe UI" w:eastAsia="Times New Roman" w:hAnsi="Segoe UI" w:cs="Segoe UI"/>
          <w:b/>
          <w:color w:val="212121"/>
        </w:rPr>
        <w:t xml:space="preserve"> </w:t>
      </w:r>
      <w:r>
        <w:rPr>
          <w:rFonts w:ascii="Segoe UI" w:eastAsia="Times New Roman" w:hAnsi="Segoe UI" w:cs="Segoe UI"/>
          <w:color w:val="212121"/>
        </w:rPr>
        <w:t xml:space="preserve">Australian Public Service </w:t>
      </w:r>
    </w:p>
    <w:p w14:paraId="06E46037" w14:textId="77777777" w:rsidR="00D26429" w:rsidRDefault="00D26429" w:rsidP="00453F7C">
      <w:pPr>
        <w:spacing w:after="120"/>
        <w:rPr>
          <w:rFonts w:ascii="Segoe UI" w:eastAsia="Times New Roman" w:hAnsi="Segoe UI" w:cs="Segoe UI"/>
          <w:color w:val="212121"/>
        </w:rPr>
      </w:pPr>
      <w:r w:rsidRPr="008643F5">
        <w:rPr>
          <w:rFonts w:ascii="Segoe UI" w:eastAsia="Times New Roman" w:hAnsi="Segoe UI" w:cs="Segoe UI"/>
          <w:b/>
          <w:color w:val="212121"/>
        </w:rPr>
        <w:t xml:space="preserve">ASD </w:t>
      </w:r>
      <w:r>
        <w:rPr>
          <w:rFonts w:ascii="Segoe UI" w:eastAsia="Times New Roman" w:hAnsi="Segoe UI" w:cs="Segoe UI"/>
          <w:color w:val="212121"/>
        </w:rPr>
        <w:t xml:space="preserve">- Australian Signals Directorate </w:t>
      </w:r>
    </w:p>
    <w:p w14:paraId="06E46038" w14:textId="77777777" w:rsidR="00D26429" w:rsidRDefault="00D26429" w:rsidP="00453F7C">
      <w:pPr>
        <w:spacing w:after="120"/>
        <w:rPr>
          <w:rFonts w:ascii="Segoe UI" w:eastAsia="Times New Roman" w:hAnsi="Segoe UI" w:cs="Segoe UI"/>
        </w:rPr>
      </w:pPr>
      <w:r>
        <w:rPr>
          <w:rFonts w:ascii="Segoe UI" w:eastAsia="Times New Roman" w:hAnsi="Segoe UI" w:cs="Segoe UI"/>
          <w:b/>
        </w:rPr>
        <w:t xml:space="preserve">ASPI </w:t>
      </w:r>
      <w:r w:rsidRPr="00B008DA">
        <w:rPr>
          <w:rFonts w:ascii="Segoe UI" w:eastAsia="Times New Roman" w:hAnsi="Segoe UI" w:cs="Segoe UI"/>
        </w:rPr>
        <w:t>-</w:t>
      </w:r>
      <w:r>
        <w:rPr>
          <w:rFonts w:ascii="Segoe UI" w:eastAsia="Times New Roman" w:hAnsi="Segoe UI" w:cs="Segoe UI"/>
          <w:b/>
        </w:rPr>
        <w:t xml:space="preserve"> </w:t>
      </w:r>
      <w:r>
        <w:rPr>
          <w:rFonts w:ascii="Segoe UI" w:eastAsia="Times New Roman" w:hAnsi="Segoe UI" w:cs="Segoe UI"/>
        </w:rPr>
        <w:t xml:space="preserve">Australian Strategic Policy Institute </w:t>
      </w:r>
    </w:p>
    <w:p w14:paraId="06E46039" w14:textId="77777777" w:rsidR="00D26429" w:rsidRDefault="00D26429" w:rsidP="00453F7C">
      <w:pPr>
        <w:spacing w:after="120"/>
        <w:rPr>
          <w:rFonts w:ascii="Segoe UI" w:eastAsia="Times New Roman" w:hAnsi="Segoe UI" w:cs="Segoe UI"/>
          <w:color w:val="212121"/>
        </w:rPr>
      </w:pPr>
      <w:r w:rsidRPr="008643F5">
        <w:rPr>
          <w:rFonts w:ascii="Segoe UI" w:eastAsia="Times New Roman" w:hAnsi="Segoe UI" w:cs="Segoe UI"/>
          <w:b/>
          <w:color w:val="212121"/>
        </w:rPr>
        <w:t xml:space="preserve">AusCSCAP </w:t>
      </w:r>
      <w:r>
        <w:rPr>
          <w:rFonts w:ascii="Segoe UI" w:eastAsia="Times New Roman" w:hAnsi="Segoe UI" w:cs="Segoe UI"/>
          <w:color w:val="212121"/>
        </w:rPr>
        <w:t xml:space="preserve">- Australian Member Committee of the Council for Security Cooperation in the Asia Pacific </w:t>
      </w:r>
    </w:p>
    <w:p w14:paraId="06E4603A" w14:textId="77777777" w:rsidR="00D26429" w:rsidRPr="008643F5" w:rsidRDefault="00D26429" w:rsidP="00453F7C">
      <w:pPr>
        <w:spacing w:after="120"/>
        <w:rPr>
          <w:rFonts w:ascii="Segoe UI" w:eastAsia="Times New Roman" w:hAnsi="Segoe UI" w:cs="Segoe UI"/>
        </w:rPr>
      </w:pPr>
      <w:r>
        <w:rPr>
          <w:rFonts w:ascii="Segoe UI" w:eastAsia="Times New Roman" w:hAnsi="Segoe UI" w:cs="Segoe UI"/>
          <w:b/>
        </w:rPr>
        <w:t>Defence</w:t>
      </w:r>
      <w:r>
        <w:rPr>
          <w:rFonts w:ascii="Segoe UI" w:eastAsia="Times New Roman" w:hAnsi="Segoe UI" w:cs="Segoe UI"/>
        </w:rPr>
        <w:t xml:space="preserve"> - Department of Defence</w:t>
      </w:r>
    </w:p>
    <w:p w14:paraId="06E4603B" w14:textId="77777777" w:rsidR="00D26429" w:rsidRPr="008643F5" w:rsidRDefault="00D26429" w:rsidP="00453F7C">
      <w:pPr>
        <w:spacing w:after="120"/>
        <w:rPr>
          <w:rFonts w:ascii="Segoe UI" w:eastAsia="Times New Roman" w:hAnsi="Segoe UI" w:cs="Segoe UI"/>
        </w:rPr>
      </w:pPr>
      <w:r>
        <w:rPr>
          <w:rFonts w:ascii="Segoe UI" w:eastAsia="Times New Roman" w:hAnsi="Segoe UI" w:cs="Segoe UI"/>
          <w:b/>
        </w:rPr>
        <w:t xml:space="preserve">DFAT </w:t>
      </w:r>
      <w:r>
        <w:rPr>
          <w:rFonts w:ascii="Segoe UI" w:eastAsia="Times New Roman" w:hAnsi="Segoe UI" w:cs="Segoe UI"/>
        </w:rPr>
        <w:t>- Department of Foreign Affairs and Trade</w:t>
      </w:r>
    </w:p>
    <w:p w14:paraId="06E4603C" w14:textId="77777777" w:rsidR="00D26429" w:rsidRDefault="00D26429" w:rsidP="00453F7C">
      <w:pPr>
        <w:spacing w:after="120"/>
        <w:rPr>
          <w:rFonts w:ascii="Segoe UI" w:eastAsia="Times New Roman" w:hAnsi="Segoe UI" w:cs="Segoe UI"/>
          <w:color w:val="212121"/>
        </w:rPr>
      </w:pPr>
      <w:r>
        <w:rPr>
          <w:rFonts w:ascii="Segoe UI" w:eastAsia="Times New Roman" w:hAnsi="Segoe UI" w:cs="Segoe UI"/>
          <w:b/>
          <w:color w:val="212121"/>
        </w:rPr>
        <w:t xml:space="preserve">DGR </w:t>
      </w:r>
      <w:r>
        <w:rPr>
          <w:rFonts w:ascii="Segoe UI" w:eastAsia="Times New Roman" w:hAnsi="Segoe UI" w:cs="Segoe UI"/>
          <w:color w:val="212121"/>
        </w:rPr>
        <w:t xml:space="preserve">- </w:t>
      </w:r>
      <w:r w:rsidRPr="00107DD3">
        <w:rPr>
          <w:rFonts w:ascii="Segoe UI" w:eastAsia="Times New Roman" w:hAnsi="Segoe UI" w:cs="Segoe UI"/>
          <w:color w:val="212121"/>
        </w:rPr>
        <w:t>Deductible Gif</w:t>
      </w:r>
      <w:r>
        <w:rPr>
          <w:rFonts w:ascii="Segoe UI" w:eastAsia="Times New Roman" w:hAnsi="Segoe UI" w:cs="Segoe UI"/>
          <w:color w:val="212121"/>
        </w:rPr>
        <w:t>t</w:t>
      </w:r>
      <w:r w:rsidRPr="00107DD3">
        <w:rPr>
          <w:rFonts w:ascii="Segoe UI" w:eastAsia="Times New Roman" w:hAnsi="Segoe UI" w:cs="Segoe UI"/>
          <w:color w:val="212121"/>
        </w:rPr>
        <w:t xml:space="preserve"> Recipient </w:t>
      </w:r>
    </w:p>
    <w:p w14:paraId="06E4603D" w14:textId="77777777" w:rsidR="00D26429" w:rsidRDefault="00D26429" w:rsidP="00453F7C">
      <w:pPr>
        <w:spacing w:after="120"/>
        <w:rPr>
          <w:rFonts w:ascii="Segoe UI" w:eastAsia="Times New Roman" w:hAnsi="Segoe UI" w:cs="Segoe UI"/>
        </w:rPr>
      </w:pPr>
      <w:r>
        <w:rPr>
          <w:rFonts w:ascii="Segoe UI" w:eastAsia="Times New Roman" w:hAnsi="Segoe UI" w:cs="Segoe UI"/>
          <w:b/>
        </w:rPr>
        <w:t>DSCNS</w:t>
      </w:r>
      <w:r w:rsidRPr="008643F5">
        <w:rPr>
          <w:rFonts w:ascii="Segoe UI" w:eastAsia="Times New Roman" w:hAnsi="Segoe UI" w:cs="Segoe UI"/>
          <w:b/>
        </w:rPr>
        <w:t xml:space="preserve"> </w:t>
      </w:r>
      <w:r>
        <w:rPr>
          <w:rFonts w:ascii="Segoe UI" w:eastAsia="Times New Roman" w:hAnsi="Segoe UI" w:cs="Segoe UI"/>
        </w:rPr>
        <w:t xml:space="preserve">- </w:t>
      </w:r>
      <w:r w:rsidRPr="00752A8B">
        <w:rPr>
          <w:rFonts w:ascii="Segoe UI" w:eastAsia="Times New Roman" w:hAnsi="Segoe UI" w:cs="Segoe UI"/>
          <w:szCs w:val="22"/>
        </w:rPr>
        <w:t xml:space="preserve">Deputy Secretaries Committee on National Security </w:t>
      </w:r>
    </w:p>
    <w:p w14:paraId="06E4603E" w14:textId="77777777" w:rsidR="00D163ED" w:rsidRPr="00D163ED" w:rsidRDefault="00D163ED" w:rsidP="00D163ED">
      <w:pPr>
        <w:rPr>
          <w:rFonts w:ascii="Segoe UI" w:eastAsia="Times New Roman" w:hAnsi="Segoe UI" w:cs="Segoe UI"/>
          <w:szCs w:val="22"/>
        </w:rPr>
      </w:pPr>
      <w:r w:rsidRPr="00D163ED">
        <w:rPr>
          <w:rFonts w:ascii="Segoe UI" w:eastAsia="Times New Roman" w:hAnsi="Segoe UI" w:cs="Segoe UI"/>
          <w:b/>
        </w:rPr>
        <w:t>Fee-for-</w:t>
      </w:r>
      <w:r w:rsidR="00085D3C">
        <w:rPr>
          <w:rFonts w:ascii="Segoe UI" w:eastAsia="Times New Roman" w:hAnsi="Segoe UI" w:cs="Segoe UI"/>
          <w:b/>
        </w:rPr>
        <w:t>s</w:t>
      </w:r>
      <w:r w:rsidRPr="00D163ED">
        <w:rPr>
          <w:rFonts w:ascii="Segoe UI" w:eastAsia="Times New Roman" w:hAnsi="Segoe UI" w:cs="Segoe UI"/>
          <w:b/>
        </w:rPr>
        <w:t>ervice funding</w:t>
      </w:r>
      <w:r>
        <w:t xml:space="preserve"> </w:t>
      </w:r>
      <w:r w:rsidRPr="00D163ED">
        <w:rPr>
          <w:rFonts w:ascii="Segoe UI" w:eastAsia="Times New Roman" w:hAnsi="Segoe UI" w:cs="Segoe UI"/>
          <w:szCs w:val="22"/>
        </w:rPr>
        <w:t xml:space="preserve">- Funding provided to an individual researcher or organisation, either via a grant or </w:t>
      </w:r>
      <w:r>
        <w:rPr>
          <w:rFonts w:ascii="Segoe UI" w:eastAsia="Times New Roman" w:hAnsi="Segoe UI" w:cs="Segoe UI"/>
          <w:szCs w:val="22"/>
        </w:rPr>
        <w:t>procurement</w:t>
      </w:r>
      <w:r w:rsidRPr="00D163ED">
        <w:rPr>
          <w:rFonts w:ascii="Segoe UI" w:eastAsia="Times New Roman" w:hAnsi="Segoe UI" w:cs="Segoe UI"/>
          <w:szCs w:val="22"/>
        </w:rPr>
        <w:t xml:space="preserve"> process, on the basis of receiving a service in return. </w:t>
      </w:r>
    </w:p>
    <w:p w14:paraId="06E4603F" w14:textId="77777777" w:rsidR="00D26429" w:rsidRDefault="00D26429" w:rsidP="00453F7C">
      <w:pPr>
        <w:spacing w:after="120"/>
        <w:rPr>
          <w:rFonts w:ascii="Segoe UI" w:eastAsia="Times New Roman" w:hAnsi="Segoe UI" w:cs="Segoe UI"/>
          <w:color w:val="212121"/>
        </w:rPr>
      </w:pPr>
      <w:r>
        <w:rPr>
          <w:rFonts w:ascii="Segoe UI" w:eastAsia="Times New Roman" w:hAnsi="Segoe UI" w:cs="Segoe UI"/>
          <w:b/>
          <w:color w:val="212121"/>
        </w:rPr>
        <w:t xml:space="preserve">Lowy </w:t>
      </w:r>
      <w:r w:rsidR="00B008DA" w:rsidRPr="00B008DA">
        <w:rPr>
          <w:rFonts w:ascii="Segoe UI" w:eastAsia="Times New Roman" w:hAnsi="Segoe UI" w:cs="Segoe UI"/>
          <w:color w:val="212121"/>
        </w:rPr>
        <w:t>-</w:t>
      </w:r>
      <w:r w:rsidR="00B008DA">
        <w:rPr>
          <w:rFonts w:ascii="Segoe UI" w:eastAsia="Times New Roman" w:hAnsi="Segoe UI" w:cs="Segoe UI"/>
          <w:color w:val="212121"/>
        </w:rPr>
        <w:t xml:space="preserve"> </w:t>
      </w:r>
      <w:r>
        <w:rPr>
          <w:rFonts w:ascii="Segoe UI" w:eastAsia="Times New Roman" w:hAnsi="Segoe UI" w:cs="Segoe UI"/>
          <w:color w:val="212121"/>
        </w:rPr>
        <w:t>Lowy Institute</w:t>
      </w:r>
    </w:p>
    <w:p w14:paraId="06E46040" w14:textId="77777777" w:rsidR="00D26429" w:rsidRDefault="00D26429" w:rsidP="00453F7C">
      <w:pPr>
        <w:spacing w:after="120"/>
      </w:pPr>
      <w:r>
        <w:rPr>
          <w:rFonts w:ascii="Segoe UI" w:eastAsia="Segoe UI" w:hAnsi="Segoe UI" w:cs="Segoe UI"/>
          <w:b/>
        </w:rPr>
        <w:t>NPP</w:t>
      </w:r>
      <w:r>
        <w:rPr>
          <w:rFonts w:ascii="Segoe UI" w:eastAsia="Segoe UI" w:hAnsi="Segoe UI" w:cs="Segoe UI"/>
        </w:rPr>
        <w:t xml:space="preserve"> - New Policy Proposal </w:t>
      </w:r>
    </w:p>
    <w:p w14:paraId="06E46041" w14:textId="77777777" w:rsidR="00D26429" w:rsidRDefault="00D26429" w:rsidP="00453F7C">
      <w:pPr>
        <w:spacing w:after="120"/>
        <w:rPr>
          <w:rFonts w:ascii="Segoe UI" w:eastAsia="Times New Roman" w:hAnsi="Segoe UI" w:cs="Segoe UI"/>
        </w:rPr>
      </w:pPr>
      <w:r>
        <w:rPr>
          <w:rFonts w:ascii="Segoe UI" w:eastAsia="Times New Roman" w:hAnsi="Segoe UI" w:cs="Segoe UI"/>
          <w:b/>
        </w:rPr>
        <w:t xml:space="preserve">NSC </w:t>
      </w:r>
      <w:r>
        <w:rPr>
          <w:rFonts w:ascii="Segoe UI" w:eastAsia="Times New Roman" w:hAnsi="Segoe UI" w:cs="Segoe UI"/>
        </w:rPr>
        <w:t>- National Security College</w:t>
      </w:r>
    </w:p>
    <w:p w14:paraId="06E46042" w14:textId="77777777" w:rsidR="00D26429" w:rsidRPr="008643F5" w:rsidRDefault="00D26429" w:rsidP="00453F7C">
      <w:pPr>
        <w:spacing w:after="120"/>
        <w:rPr>
          <w:rFonts w:ascii="Segoe UI" w:eastAsia="Times New Roman" w:hAnsi="Segoe UI" w:cs="Segoe UI"/>
        </w:rPr>
      </w:pPr>
      <w:r>
        <w:rPr>
          <w:rFonts w:ascii="Segoe UI" w:eastAsia="Times New Roman" w:hAnsi="Segoe UI" w:cs="Segoe UI"/>
          <w:b/>
        </w:rPr>
        <w:t xml:space="preserve">ONI </w:t>
      </w:r>
      <w:r>
        <w:rPr>
          <w:rFonts w:ascii="Segoe UI" w:eastAsia="Times New Roman" w:hAnsi="Segoe UI" w:cs="Segoe UI"/>
        </w:rPr>
        <w:t>-</w:t>
      </w:r>
      <w:r w:rsidRPr="008643F5">
        <w:rPr>
          <w:rFonts w:ascii="Segoe UI" w:eastAsia="Times New Roman" w:hAnsi="Segoe UI" w:cs="Segoe UI"/>
        </w:rPr>
        <w:t xml:space="preserve"> Office of National Intelligence</w:t>
      </w:r>
    </w:p>
    <w:p w14:paraId="06E46043" w14:textId="77777777" w:rsidR="00D163ED" w:rsidRPr="00D163ED" w:rsidRDefault="00D163ED" w:rsidP="00D163ED">
      <w:pPr>
        <w:rPr>
          <w:rFonts w:ascii="Segoe UI" w:eastAsia="Times New Roman" w:hAnsi="Segoe UI" w:cs="Segoe UI"/>
          <w:szCs w:val="22"/>
        </w:rPr>
      </w:pPr>
      <w:r w:rsidRPr="00D163ED">
        <w:rPr>
          <w:rFonts w:ascii="Segoe UI" w:eastAsia="Times New Roman" w:hAnsi="Segoe UI" w:cs="Segoe UI"/>
          <w:b/>
        </w:rPr>
        <w:t>Operating funding</w:t>
      </w:r>
      <w:r>
        <w:t xml:space="preserve"> - </w:t>
      </w:r>
      <w:r w:rsidRPr="00D163ED">
        <w:rPr>
          <w:rFonts w:ascii="Segoe UI" w:eastAsia="Times New Roman" w:hAnsi="Segoe UI" w:cs="Segoe UI"/>
          <w:szCs w:val="22"/>
        </w:rPr>
        <w:t>Funding provided to an organisation to support their day-to-day operations</w:t>
      </w:r>
      <w:r>
        <w:rPr>
          <w:rFonts w:ascii="Segoe UI" w:eastAsia="Times New Roman" w:hAnsi="Segoe UI" w:cs="Segoe UI"/>
          <w:szCs w:val="22"/>
        </w:rPr>
        <w:t xml:space="preserve">, such </w:t>
      </w:r>
      <w:r w:rsidRPr="00D163ED">
        <w:rPr>
          <w:rFonts w:ascii="Segoe UI" w:eastAsia="Times New Roman" w:hAnsi="Segoe UI" w:cs="Segoe UI"/>
          <w:szCs w:val="22"/>
        </w:rPr>
        <w:t>as salaries, rent, and utilities.</w:t>
      </w:r>
    </w:p>
    <w:p w14:paraId="06E46044" w14:textId="77777777" w:rsidR="00D26429" w:rsidRDefault="00D26429" w:rsidP="00453F7C">
      <w:pPr>
        <w:spacing w:after="120"/>
        <w:rPr>
          <w:rFonts w:ascii="Segoe UI" w:eastAsia="Times New Roman" w:hAnsi="Segoe UI" w:cs="Segoe UI"/>
          <w:color w:val="212121"/>
        </w:rPr>
      </w:pPr>
      <w:r>
        <w:rPr>
          <w:rFonts w:ascii="Segoe UI" w:eastAsia="Times New Roman" w:hAnsi="Segoe UI" w:cs="Segoe UI"/>
          <w:b/>
          <w:color w:val="212121"/>
        </w:rPr>
        <w:t xml:space="preserve">PM&amp;C - </w:t>
      </w:r>
      <w:r>
        <w:rPr>
          <w:rFonts w:ascii="Segoe UI" w:eastAsia="Times New Roman" w:hAnsi="Segoe UI" w:cs="Segoe UI"/>
          <w:color w:val="212121"/>
        </w:rPr>
        <w:t>Department of the Prime Minister and Cabinet</w:t>
      </w:r>
      <w:r w:rsidRPr="413BEFF2">
        <w:rPr>
          <w:rFonts w:ascii="Segoe UI" w:eastAsia="Times New Roman" w:hAnsi="Segoe UI" w:cs="Segoe UI"/>
          <w:color w:val="212121"/>
        </w:rPr>
        <w:t xml:space="preserve"> </w:t>
      </w:r>
    </w:p>
    <w:p w14:paraId="06E46045" w14:textId="77777777" w:rsidR="00D26429" w:rsidRDefault="00D26429" w:rsidP="00453F7C">
      <w:pPr>
        <w:spacing w:after="120"/>
        <w:rPr>
          <w:rFonts w:ascii="Segoe UI" w:eastAsia="Times New Roman" w:hAnsi="Segoe UI" w:cs="Segoe UI"/>
          <w:color w:val="212121"/>
        </w:rPr>
      </w:pPr>
      <w:r>
        <w:rPr>
          <w:rFonts w:ascii="Segoe UI" w:eastAsia="Times New Roman" w:hAnsi="Segoe UI" w:cs="Segoe UI"/>
          <w:b/>
          <w:color w:val="212121"/>
        </w:rPr>
        <w:t xml:space="preserve">RAMSI </w:t>
      </w:r>
      <w:r>
        <w:rPr>
          <w:rFonts w:ascii="Segoe UI" w:eastAsia="Times New Roman" w:hAnsi="Segoe UI" w:cs="Segoe UI"/>
          <w:color w:val="212121"/>
        </w:rPr>
        <w:t xml:space="preserve">- Regional Assistance Mission to Solomon Islands </w:t>
      </w:r>
    </w:p>
    <w:p w14:paraId="06E46046" w14:textId="77777777" w:rsidR="00D26429" w:rsidRDefault="00D26429" w:rsidP="00453F7C">
      <w:pPr>
        <w:spacing w:after="120"/>
        <w:rPr>
          <w:rFonts w:ascii="Segoe UI" w:eastAsia="Times New Roman" w:hAnsi="Segoe UI" w:cs="Segoe UI"/>
          <w:color w:val="212121"/>
        </w:rPr>
      </w:pPr>
      <w:r w:rsidRPr="008643F5">
        <w:rPr>
          <w:rFonts w:ascii="Segoe UI" w:eastAsia="Times New Roman" w:hAnsi="Segoe UI" w:cs="Segoe UI"/>
          <w:b/>
          <w:color w:val="212121"/>
        </w:rPr>
        <w:t>SCNS</w:t>
      </w:r>
      <w:r>
        <w:rPr>
          <w:rFonts w:ascii="Segoe UI" w:eastAsia="Times New Roman" w:hAnsi="Segoe UI" w:cs="Segoe UI"/>
          <w:color w:val="212121"/>
        </w:rPr>
        <w:t xml:space="preserve"> - </w:t>
      </w:r>
      <w:r w:rsidRPr="00752A8B">
        <w:rPr>
          <w:rFonts w:ascii="Segoe UI" w:eastAsia="Times New Roman" w:hAnsi="Segoe UI" w:cs="Segoe UI"/>
          <w:color w:val="212121"/>
        </w:rPr>
        <w:t>Secretaries Committee on National Security</w:t>
      </w:r>
    </w:p>
    <w:p w14:paraId="06E46047" w14:textId="77777777" w:rsidR="00D26429" w:rsidRDefault="00D26429" w:rsidP="00453F7C">
      <w:pPr>
        <w:spacing w:after="120"/>
        <w:rPr>
          <w:rFonts w:ascii="Segoe UI" w:eastAsia="Times New Roman" w:hAnsi="Segoe UI" w:cs="Segoe UI"/>
          <w:color w:val="212121"/>
        </w:rPr>
      </w:pPr>
      <w:r w:rsidRPr="008643F5">
        <w:rPr>
          <w:rFonts w:ascii="Segoe UI" w:eastAsia="Times New Roman" w:hAnsi="Segoe UI" w:cs="Segoe UI"/>
          <w:b/>
          <w:color w:val="212121"/>
        </w:rPr>
        <w:t>SDSC</w:t>
      </w:r>
      <w:r>
        <w:rPr>
          <w:rFonts w:ascii="Segoe UI" w:eastAsia="Times New Roman" w:hAnsi="Segoe UI" w:cs="Segoe UI"/>
          <w:color w:val="212121"/>
        </w:rPr>
        <w:t xml:space="preserve"> - Strategic and Defence Studies Centre</w:t>
      </w:r>
    </w:p>
    <w:p w14:paraId="06E46048" w14:textId="77777777" w:rsidR="00D26429" w:rsidRDefault="00F95901" w:rsidP="00453F7C">
      <w:pPr>
        <w:spacing w:after="120"/>
        <w:rPr>
          <w:rFonts w:ascii="Segoe UI" w:eastAsia="Times New Roman" w:hAnsi="Segoe UI" w:cs="Segoe UI"/>
          <w:color w:val="212121"/>
        </w:rPr>
      </w:pPr>
      <w:r w:rsidRPr="008643F5">
        <w:rPr>
          <w:rFonts w:ascii="Segoe UI" w:eastAsia="Times New Roman" w:hAnsi="Segoe UI" w:cs="Segoe UI"/>
          <w:b/>
          <w:color w:val="212121"/>
        </w:rPr>
        <w:t>The</w:t>
      </w:r>
      <w:r w:rsidR="00D26429" w:rsidRPr="008643F5">
        <w:rPr>
          <w:rFonts w:ascii="Segoe UI" w:eastAsia="Times New Roman" w:hAnsi="Segoe UI" w:cs="Segoe UI"/>
          <w:b/>
          <w:color w:val="212121"/>
        </w:rPr>
        <w:t xml:space="preserve"> sector</w:t>
      </w:r>
      <w:r w:rsidR="00D26429" w:rsidRPr="00165D79">
        <w:rPr>
          <w:rFonts w:ascii="Segoe UI" w:eastAsia="Times New Roman" w:hAnsi="Segoe UI" w:cs="Segoe UI"/>
          <w:color w:val="212121"/>
        </w:rPr>
        <w:t xml:space="preserve"> </w:t>
      </w:r>
      <w:r w:rsidR="00D26429" w:rsidRPr="00836FBD">
        <w:rPr>
          <w:rFonts w:ascii="Segoe UI" w:eastAsia="Times New Roman" w:hAnsi="Segoe UI" w:cs="Segoe UI"/>
          <w:color w:val="212121"/>
        </w:rPr>
        <w:t>-</w:t>
      </w:r>
      <w:r w:rsidR="00D26429">
        <w:rPr>
          <w:rFonts w:ascii="Segoe UI" w:eastAsia="Times New Roman" w:hAnsi="Segoe UI" w:cs="Segoe UI"/>
          <w:color w:val="212121"/>
        </w:rPr>
        <w:t xml:space="preserve"> </w:t>
      </w:r>
      <w:r w:rsidR="00D26429" w:rsidRPr="00F7315D">
        <w:rPr>
          <w:rFonts w:ascii="Segoe UI" w:eastAsia="Times New Roman" w:hAnsi="Segoe UI" w:cs="Segoe UI"/>
          <w:color w:val="212121"/>
        </w:rPr>
        <w:t>Australia’s na</w:t>
      </w:r>
      <w:r w:rsidR="00D26429">
        <w:rPr>
          <w:rFonts w:ascii="Segoe UI" w:eastAsia="Times New Roman" w:hAnsi="Segoe UI" w:cs="Segoe UI"/>
          <w:color w:val="212121"/>
        </w:rPr>
        <w:t>tional security research sector</w:t>
      </w:r>
      <w:r w:rsidR="00D26429" w:rsidRPr="00F7315D">
        <w:rPr>
          <w:rFonts w:ascii="Segoe UI" w:eastAsia="Times New Roman" w:hAnsi="Segoe UI" w:cs="Segoe UI"/>
          <w:color w:val="212121"/>
        </w:rPr>
        <w:t xml:space="preserve"> </w:t>
      </w:r>
      <w:r w:rsidR="00A17E7F">
        <w:rPr>
          <w:rFonts w:ascii="Segoe UI" w:eastAsia="Times New Roman" w:hAnsi="Segoe UI" w:cs="Segoe UI"/>
          <w:color w:val="212121"/>
        </w:rPr>
        <w:t>(definition on page 2)</w:t>
      </w:r>
    </w:p>
    <w:p w14:paraId="06E46049" w14:textId="77777777" w:rsidR="00D26429" w:rsidRDefault="00D26429" w:rsidP="00453F7C">
      <w:pPr>
        <w:spacing w:after="120"/>
        <w:rPr>
          <w:rFonts w:ascii="Segoe UI" w:eastAsia="Times New Roman" w:hAnsi="Segoe UI" w:cs="Segoe UI"/>
          <w:color w:val="212121"/>
        </w:rPr>
      </w:pPr>
      <w:r w:rsidRPr="008643F5">
        <w:rPr>
          <w:rFonts w:ascii="Segoe UI" w:eastAsia="Times New Roman" w:hAnsi="Segoe UI" w:cs="Segoe UI"/>
          <w:b/>
          <w:color w:val="212121"/>
        </w:rPr>
        <w:t xml:space="preserve">ToRs </w:t>
      </w:r>
      <w:r>
        <w:rPr>
          <w:rFonts w:ascii="Segoe UI" w:eastAsia="Times New Roman" w:hAnsi="Segoe UI" w:cs="Segoe UI"/>
          <w:color w:val="212121"/>
        </w:rPr>
        <w:t>- Terms of Reference</w:t>
      </w:r>
    </w:p>
    <w:p w14:paraId="06E4604A" w14:textId="77777777" w:rsidR="00D26429" w:rsidRDefault="00D26429" w:rsidP="00453F7C">
      <w:pPr>
        <w:spacing w:after="120"/>
        <w:rPr>
          <w:rFonts w:ascii="Segoe UI" w:eastAsia="Times New Roman" w:hAnsi="Segoe UI" w:cs="Segoe UI"/>
          <w:color w:val="212121"/>
        </w:rPr>
      </w:pPr>
      <w:r>
        <w:rPr>
          <w:rFonts w:ascii="Segoe UI" w:eastAsia="Times New Roman" w:hAnsi="Segoe UI" w:cs="Segoe UI"/>
          <w:b/>
          <w:color w:val="212121"/>
        </w:rPr>
        <w:t>Track 1.5</w:t>
      </w:r>
      <w:r>
        <w:rPr>
          <w:rFonts w:ascii="Segoe UI" w:eastAsia="Times New Roman" w:hAnsi="Segoe UI" w:cs="Segoe UI"/>
          <w:color w:val="212121"/>
        </w:rPr>
        <w:t xml:space="preserve"> - </w:t>
      </w:r>
      <w:r w:rsidR="00F95901">
        <w:rPr>
          <w:rFonts w:ascii="Segoe UI" w:eastAsia="Times New Roman" w:hAnsi="Segoe UI" w:cs="Segoe UI"/>
          <w:color w:val="212121"/>
        </w:rPr>
        <w:t>I</w:t>
      </w:r>
      <w:r>
        <w:rPr>
          <w:rFonts w:ascii="Segoe UI" w:eastAsia="Times New Roman" w:hAnsi="Segoe UI" w:cs="Segoe UI"/>
          <w:color w:val="212121"/>
        </w:rPr>
        <w:t>nternational dialogues involving government and non-government representatives</w:t>
      </w:r>
    </w:p>
    <w:p w14:paraId="06E4604B" w14:textId="77777777" w:rsidR="00D26429" w:rsidRDefault="00D26429" w:rsidP="00453F7C">
      <w:pPr>
        <w:spacing w:after="120"/>
        <w:rPr>
          <w:rFonts w:ascii="Segoe UI" w:eastAsia="Times New Roman" w:hAnsi="Segoe UI" w:cs="Segoe UI"/>
          <w:color w:val="212121"/>
        </w:rPr>
      </w:pPr>
      <w:r>
        <w:rPr>
          <w:rFonts w:ascii="Segoe UI" w:eastAsia="Times New Roman" w:hAnsi="Segoe UI" w:cs="Segoe UI"/>
          <w:b/>
          <w:color w:val="212121"/>
        </w:rPr>
        <w:t xml:space="preserve">Track 2 </w:t>
      </w:r>
      <w:r w:rsidRPr="00836FBD">
        <w:rPr>
          <w:rFonts w:ascii="Segoe UI" w:eastAsia="Times New Roman" w:hAnsi="Segoe UI" w:cs="Segoe UI"/>
          <w:color w:val="212121"/>
        </w:rPr>
        <w:t>-</w:t>
      </w:r>
      <w:r>
        <w:rPr>
          <w:rFonts w:ascii="Segoe UI" w:eastAsia="Times New Roman" w:hAnsi="Segoe UI" w:cs="Segoe UI"/>
          <w:b/>
          <w:color w:val="212121"/>
        </w:rPr>
        <w:t xml:space="preserve"> </w:t>
      </w:r>
      <w:r w:rsidR="00F95901" w:rsidRPr="001B3231">
        <w:rPr>
          <w:rFonts w:ascii="Segoe UI" w:eastAsia="Times New Roman" w:hAnsi="Segoe UI" w:cs="Segoe UI"/>
          <w:color w:val="212121"/>
        </w:rPr>
        <w:t>I</w:t>
      </w:r>
      <w:r w:rsidRPr="001B3231">
        <w:rPr>
          <w:rFonts w:ascii="Segoe UI" w:eastAsia="Times New Roman" w:hAnsi="Segoe UI" w:cs="Segoe UI"/>
          <w:color w:val="212121"/>
        </w:rPr>
        <w:t xml:space="preserve">nternational </w:t>
      </w:r>
      <w:r w:rsidRPr="00EB3A9F">
        <w:rPr>
          <w:rFonts w:ascii="Segoe UI" w:eastAsia="Times New Roman" w:hAnsi="Segoe UI" w:cs="Segoe UI"/>
          <w:color w:val="212121"/>
        </w:rPr>
        <w:t>dialogues</w:t>
      </w:r>
      <w:r>
        <w:rPr>
          <w:rFonts w:ascii="Segoe UI" w:eastAsia="Times New Roman" w:hAnsi="Segoe UI" w:cs="Segoe UI"/>
          <w:b/>
          <w:color w:val="212121"/>
        </w:rPr>
        <w:t xml:space="preserve"> </w:t>
      </w:r>
      <w:r>
        <w:rPr>
          <w:rFonts w:ascii="Segoe UI" w:eastAsia="Times New Roman" w:hAnsi="Segoe UI" w:cs="Segoe UI"/>
          <w:color w:val="212121"/>
        </w:rPr>
        <w:t xml:space="preserve">diplomacy exclusively involving non-government representatives </w:t>
      </w:r>
    </w:p>
    <w:p w14:paraId="06E4604C" w14:textId="77777777" w:rsidR="00D26429" w:rsidRPr="008643F5" w:rsidRDefault="00D26429" w:rsidP="00453F7C">
      <w:pPr>
        <w:spacing w:after="120"/>
        <w:rPr>
          <w:rFonts w:ascii="Segoe UI" w:eastAsia="Times New Roman" w:hAnsi="Segoe UI" w:cs="Segoe UI"/>
        </w:rPr>
      </w:pPr>
      <w:r w:rsidRPr="008643F5">
        <w:rPr>
          <w:rFonts w:ascii="Segoe UI" w:eastAsia="Times New Roman" w:hAnsi="Segoe UI" w:cs="Segoe UI"/>
          <w:b/>
        </w:rPr>
        <w:t>USAC</w:t>
      </w:r>
      <w:r>
        <w:rPr>
          <w:rFonts w:ascii="Segoe UI" w:eastAsia="Times New Roman" w:hAnsi="Segoe UI" w:cs="Segoe UI"/>
        </w:rPr>
        <w:t xml:space="preserve"> - </w:t>
      </w:r>
      <w:r w:rsidRPr="008643F5">
        <w:rPr>
          <w:rFonts w:ascii="Segoe UI" w:eastAsia="Times New Roman" w:hAnsi="Segoe UI" w:cs="Segoe UI"/>
        </w:rPr>
        <w:t xml:space="preserve">Perth USAsia Centre </w:t>
      </w:r>
    </w:p>
    <w:p w14:paraId="06E4604F" w14:textId="45BA4D0C" w:rsidR="00C24E05" w:rsidRDefault="00D26429" w:rsidP="002913F3">
      <w:pPr>
        <w:rPr>
          <w:sz w:val="16"/>
          <w:szCs w:val="16"/>
        </w:rPr>
        <w:sectPr w:rsidR="00C24E05" w:rsidSect="00485AB4">
          <w:headerReference w:type="default" r:id="rId14"/>
          <w:footerReference w:type="default" r:id="rId15"/>
          <w:footerReference w:type="first" r:id="rId16"/>
          <w:pgSz w:w="11906" w:h="16838"/>
          <w:pgMar w:top="851" w:right="1134" w:bottom="992" w:left="1134" w:header="425" w:footer="57" w:gutter="0"/>
          <w:pgNumType w:fmt="lowerRoman" w:start="1"/>
          <w:cols w:space="708"/>
          <w:titlePg/>
          <w:docGrid w:linePitch="360"/>
        </w:sectPr>
      </w:pPr>
      <w:r w:rsidRPr="11E2B0AB">
        <w:rPr>
          <w:rFonts w:ascii="Segoe UI" w:eastAsia="Times New Roman" w:hAnsi="Segoe UI" w:cs="Segoe UI"/>
          <w:b/>
          <w:bCs/>
        </w:rPr>
        <w:t>USSC</w:t>
      </w:r>
      <w:r w:rsidRPr="11E2B0AB">
        <w:rPr>
          <w:rFonts w:ascii="Segoe UI" w:eastAsia="Times New Roman" w:hAnsi="Segoe UI" w:cs="Segoe UI"/>
        </w:rPr>
        <w:t xml:space="preserve"> - United States Studies Centre </w:t>
      </w:r>
    </w:p>
    <w:p w14:paraId="06E46050" w14:textId="77777777" w:rsidR="00C906D3" w:rsidRPr="00752A8B" w:rsidRDefault="00C906D3" w:rsidP="00CA5B67">
      <w:pPr>
        <w:pStyle w:val="Heading1"/>
        <w:spacing w:before="0"/>
        <w:rPr>
          <w:rFonts w:cs="Segoe UI"/>
          <w:sz w:val="40"/>
        </w:rPr>
      </w:pPr>
      <w:bookmarkStart w:id="19" w:name="_Toc170980536"/>
      <w:bookmarkStart w:id="20" w:name="_Toc171004250"/>
      <w:bookmarkStart w:id="21" w:name="_Toc171074972"/>
      <w:bookmarkStart w:id="22" w:name="_Toc172665581"/>
      <w:r>
        <w:lastRenderedPageBreak/>
        <w:t>Introduction</w:t>
      </w:r>
      <w:bookmarkEnd w:id="15"/>
      <w:bookmarkEnd w:id="16"/>
      <w:bookmarkEnd w:id="17"/>
      <w:bookmarkEnd w:id="19"/>
      <w:bookmarkEnd w:id="20"/>
      <w:bookmarkEnd w:id="21"/>
      <w:bookmarkEnd w:id="22"/>
    </w:p>
    <w:p w14:paraId="06E46051" w14:textId="77777777" w:rsidR="00983290" w:rsidRPr="00DD38B7" w:rsidRDefault="009A6501"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DD38B7">
        <w:rPr>
          <w:rFonts w:ascii="Segoe UI" w:eastAsia="Times New Roman" w:hAnsi="Segoe UI" w:cs="Segoe UI"/>
          <w:color w:val="212121"/>
        </w:rPr>
        <w:t xml:space="preserve">On 5 February 2024, </w:t>
      </w:r>
      <w:r w:rsidR="00B264DD" w:rsidRPr="00DD38B7">
        <w:rPr>
          <w:rFonts w:ascii="Segoe UI" w:eastAsia="Times New Roman" w:hAnsi="Segoe UI" w:cs="Segoe UI"/>
          <w:color w:val="212121"/>
        </w:rPr>
        <w:t xml:space="preserve">the Secretary of the Department of the Prime Minister and Cabinet </w:t>
      </w:r>
      <w:r w:rsidR="008D173E" w:rsidRPr="00DD38B7">
        <w:rPr>
          <w:rFonts w:ascii="Segoe UI" w:eastAsia="Times New Roman" w:hAnsi="Segoe UI" w:cs="Segoe UI"/>
          <w:color w:val="212121"/>
        </w:rPr>
        <w:t xml:space="preserve">(PM&amp;C) </w:t>
      </w:r>
      <w:r w:rsidRPr="00DD38B7">
        <w:rPr>
          <w:rFonts w:ascii="Segoe UI" w:eastAsia="Times New Roman" w:hAnsi="Segoe UI" w:cs="Segoe UI"/>
          <w:color w:val="212121"/>
        </w:rPr>
        <w:t>commissioned me to conduct an independent review of Commonwealth funding for national security strategic policy work.</w:t>
      </w:r>
    </w:p>
    <w:p w14:paraId="06E46052" w14:textId="77777777" w:rsidR="001547E4" w:rsidRPr="00752A8B" w:rsidRDefault="003057F2"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The Terms of Reference (ToRs) directed me</w:t>
      </w:r>
      <w:r w:rsidR="006B5B50">
        <w:rPr>
          <w:rFonts w:ascii="Segoe UI" w:eastAsia="Times New Roman" w:hAnsi="Segoe UI" w:cs="Segoe UI"/>
          <w:color w:val="212121"/>
        </w:rPr>
        <w:t xml:space="preserve"> </w:t>
      </w:r>
      <w:r w:rsidR="005B5C66">
        <w:rPr>
          <w:rFonts w:ascii="Segoe UI" w:eastAsia="Times New Roman" w:hAnsi="Segoe UI" w:cs="Segoe UI"/>
          <w:color w:val="212121"/>
        </w:rPr>
        <w:t xml:space="preserve">to make recommendations to assist agencies commissioning strategic policy work while achieving value-for-money, administrative efficiency, and appropriate levels of governance, accountability, probity and transparency. </w:t>
      </w:r>
      <w:r w:rsidR="3B4B4C5D" w:rsidRPr="413BEFF2">
        <w:rPr>
          <w:rFonts w:ascii="Segoe UI" w:eastAsia="Times New Roman" w:hAnsi="Segoe UI" w:cs="Segoe UI"/>
          <w:color w:val="212121"/>
        </w:rPr>
        <w:t xml:space="preserve">The </w:t>
      </w:r>
      <w:r w:rsidR="006B5B50">
        <w:rPr>
          <w:rFonts w:ascii="Segoe UI" w:eastAsia="Times New Roman" w:hAnsi="Segoe UI" w:cs="Segoe UI"/>
          <w:color w:val="212121"/>
        </w:rPr>
        <w:t>ToR</w:t>
      </w:r>
      <w:r w:rsidR="00BD7000">
        <w:rPr>
          <w:rFonts w:ascii="Segoe UI" w:eastAsia="Times New Roman" w:hAnsi="Segoe UI" w:cs="Segoe UI"/>
          <w:color w:val="212121"/>
        </w:rPr>
        <w:t>s</w:t>
      </w:r>
      <w:r w:rsidR="3B4B4C5D" w:rsidRPr="413BEFF2">
        <w:rPr>
          <w:rFonts w:ascii="Segoe UI" w:eastAsia="Times New Roman" w:hAnsi="Segoe UI" w:cs="Segoe UI"/>
          <w:color w:val="212121"/>
        </w:rPr>
        <w:t xml:space="preserve"> are at </w:t>
      </w:r>
      <w:r w:rsidR="3B4B4C5D" w:rsidRPr="00963625">
        <w:rPr>
          <w:rFonts w:ascii="Segoe UI" w:eastAsia="Times New Roman" w:hAnsi="Segoe UI" w:cs="Segoe UI"/>
          <w:b/>
          <w:color w:val="212121"/>
        </w:rPr>
        <w:t xml:space="preserve">Attachment </w:t>
      </w:r>
      <w:r w:rsidR="00017D9C" w:rsidRPr="00963625">
        <w:rPr>
          <w:rFonts w:ascii="Segoe UI" w:eastAsia="Times New Roman" w:hAnsi="Segoe UI" w:cs="Segoe UI"/>
          <w:b/>
          <w:color w:val="212121"/>
        </w:rPr>
        <w:t>B</w:t>
      </w:r>
      <w:r w:rsidR="3B4B4C5D" w:rsidRPr="413BEFF2">
        <w:rPr>
          <w:rFonts w:ascii="Segoe UI" w:eastAsia="Times New Roman" w:hAnsi="Segoe UI" w:cs="Segoe UI"/>
          <w:color w:val="212121"/>
        </w:rPr>
        <w:t>.</w:t>
      </w:r>
    </w:p>
    <w:p w14:paraId="06E46053" w14:textId="77777777" w:rsidR="0065424B" w:rsidRDefault="006C31EB"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In conducting this Review, I noted previous relevant reviews as well as related developments in the Australian Public Service (APS)</w:t>
      </w:r>
      <w:r w:rsidR="0018554D">
        <w:rPr>
          <w:rFonts w:ascii="Segoe UI" w:eastAsia="Times New Roman" w:hAnsi="Segoe UI" w:cs="Segoe UI"/>
          <w:color w:val="212121"/>
        </w:rPr>
        <w:t>,</w:t>
      </w:r>
      <w:r>
        <w:rPr>
          <w:rFonts w:ascii="Segoe UI" w:eastAsia="Times New Roman" w:hAnsi="Segoe UI" w:cs="Segoe UI"/>
          <w:color w:val="212121"/>
        </w:rPr>
        <w:t xml:space="preserve"> including</w:t>
      </w:r>
      <w:r w:rsidR="0065424B">
        <w:rPr>
          <w:rFonts w:ascii="Segoe UI" w:eastAsia="Times New Roman" w:hAnsi="Segoe UI" w:cs="Segoe UI"/>
          <w:color w:val="212121"/>
        </w:rPr>
        <w:t>:</w:t>
      </w:r>
    </w:p>
    <w:p w14:paraId="06E46054" w14:textId="77777777" w:rsidR="006C31EB" w:rsidRPr="00384A08" w:rsidRDefault="00EE3E01" w:rsidP="006F3393">
      <w:pPr>
        <w:numPr>
          <w:ilvl w:val="0"/>
          <w:numId w:val="15"/>
        </w:numPr>
        <w:spacing w:line="259" w:lineRule="auto"/>
        <w:ind w:left="714" w:hanging="357"/>
        <w:contextualSpacing/>
        <w:rPr>
          <w:rFonts w:ascii="Segoe UI" w:eastAsia="Times New Roman" w:hAnsi="Segoe UI" w:cs="Segoe UI"/>
          <w:color w:val="212121"/>
        </w:rPr>
      </w:pPr>
      <w:r w:rsidRPr="08C538FF">
        <w:rPr>
          <w:rFonts w:ascii="Segoe UI" w:eastAsia="Times New Roman" w:hAnsi="Segoe UI" w:cs="Segoe UI"/>
          <w:color w:val="212121"/>
        </w:rPr>
        <w:t>In June 2021, the Senate</w:t>
      </w:r>
      <w:r w:rsidR="001912A7" w:rsidRPr="08C538FF">
        <w:rPr>
          <w:rFonts w:ascii="Segoe UI" w:eastAsia="Times New Roman" w:hAnsi="Segoe UI" w:cs="Segoe UI"/>
          <w:color w:val="212121"/>
        </w:rPr>
        <w:t>’s</w:t>
      </w:r>
      <w:r w:rsidRPr="08C538FF">
        <w:rPr>
          <w:rFonts w:ascii="Segoe UI" w:eastAsia="Times New Roman" w:hAnsi="Segoe UI" w:cs="Segoe UI"/>
          <w:color w:val="212121"/>
        </w:rPr>
        <w:t xml:space="preserve"> Standing Committee on Foreign Affairs, Defence and Trade inquiry into funding for public research into foreign policy issues</w:t>
      </w:r>
      <w:r w:rsidR="1097760B" w:rsidRPr="08C538FF">
        <w:rPr>
          <w:rFonts w:ascii="Segoe UI" w:eastAsia="Times New Roman" w:hAnsi="Segoe UI" w:cs="Segoe UI"/>
          <w:color w:val="212121"/>
        </w:rPr>
        <w:t xml:space="preserve"> </w:t>
      </w:r>
      <w:r w:rsidR="0065424B" w:rsidRPr="08C538FF">
        <w:rPr>
          <w:rFonts w:ascii="Segoe UI" w:eastAsia="Times New Roman" w:hAnsi="Segoe UI" w:cs="Segoe UI"/>
          <w:color w:val="212121"/>
        </w:rPr>
        <w:t xml:space="preserve">found the Commonwealth was ad hoc in its approach, did not provide sufficient </w:t>
      </w:r>
      <w:r w:rsidR="36FA5B6E" w:rsidRPr="2B0EB1AF">
        <w:rPr>
          <w:rFonts w:ascii="Segoe UI" w:eastAsia="Times New Roman" w:hAnsi="Segoe UI" w:cs="Segoe UI"/>
          <w:color w:val="212121"/>
        </w:rPr>
        <w:t>funding</w:t>
      </w:r>
      <w:r w:rsidR="0065424B" w:rsidRPr="08C538FF">
        <w:rPr>
          <w:rFonts w:ascii="Segoe UI" w:eastAsia="Times New Roman" w:hAnsi="Segoe UI" w:cs="Segoe UI"/>
          <w:color w:val="212121"/>
        </w:rPr>
        <w:t xml:space="preserve">, and did not leverage </w:t>
      </w:r>
      <w:r w:rsidR="0207DF7B" w:rsidRPr="08C538FF">
        <w:rPr>
          <w:rFonts w:ascii="Segoe UI" w:eastAsia="Times New Roman" w:hAnsi="Segoe UI" w:cs="Segoe UI"/>
          <w:color w:val="212121"/>
        </w:rPr>
        <w:t xml:space="preserve">the sector’s </w:t>
      </w:r>
      <w:r w:rsidR="0065424B" w:rsidRPr="08C538FF">
        <w:rPr>
          <w:rFonts w:ascii="Segoe UI" w:eastAsia="Times New Roman" w:hAnsi="Segoe UI" w:cs="Segoe UI"/>
          <w:color w:val="212121"/>
        </w:rPr>
        <w:t xml:space="preserve">capabilities </w:t>
      </w:r>
      <w:r w:rsidR="45890733" w:rsidRPr="2B0EB1AF">
        <w:rPr>
          <w:rFonts w:ascii="Segoe UI" w:eastAsia="Times New Roman" w:hAnsi="Segoe UI" w:cs="Segoe UI"/>
          <w:color w:val="212121"/>
        </w:rPr>
        <w:t>effectively</w:t>
      </w:r>
      <w:r w:rsidR="36FA5B6E" w:rsidRPr="2B0EB1AF">
        <w:rPr>
          <w:rFonts w:ascii="Segoe UI" w:eastAsia="Times New Roman" w:hAnsi="Segoe UI" w:cs="Segoe UI"/>
          <w:color w:val="212121"/>
        </w:rPr>
        <w:t>.</w:t>
      </w:r>
      <w:r w:rsidR="0065424B" w:rsidRPr="08C538FF">
        <w:rPr>
          <w:rFonts w:ascii="Segoe UI" w:eastAsia="Times New Roman" w:hAnsi="Segoe UI" w:cs="Segoe UI"/>
          <w:color w:val="212121"/>
        </w:rPr>
        <w:t xml:space="preserve"> In its recommendations, the inquiry called for a more deliberate whole-of-government approach to improve transparency and coordination. </w:t>
      </w:r>
    </w:p>
    <w:p w14:paraId="06E46055" w14:textId="77777777" w:rsidR="006C31EB" w:rsidRPr="00384A08" w:rsidRDefault="00C16B25" w:rsidP="006F3393">
      <w:pPr>
        <w:numPr>
          <w:ilvl w:val="0"/>
          <w:numId w:val="15"/>
        </w:numPr>
        <w:spacing w:line="259" w:lineRule="auto"/>
        <w:ind w:left="714" w:hanging="357"/>
        <w:contextualSpacing/>
        <w:rPr>
          <w:rFonts w:ascii="Segoe UI" w:eastAsia="Times New Roman" w:hAnsi="Segoe UI" w:cs="Segoe UI"/>
          <w:color w:val="212121"/>
        </w:rPr>
      </w:pPr>
      <w:r w:rsidRPr="47580452">
        <w:rPr>
          <w:rFonts w:ascii="Segoe UI" w:eastAsia="Times New Roman" w:hAnsi="Segoe UI" w:cs="Segoe UI"/>
          <w:color w:val="212121"/>
        </w:rPr>
        <w:t xml:space="preserve">In October 2022, </w:t>
      </w:r>
      <w:r w:rsidR="008D6776">
        <w:rPr>
          <w:rFonts w:ascii="Segoe UI" w:eastAsia="Times New Roman" w:hAnsi="Segoe UI" w:cs="Segoe UI"/>
          <w:color w:val="212121"/>
        </w:rPr>
        <w:t>t</w:t>
      </w:r>
      <w:r w:rsidR="008D6776" w:rsidRPr="47580452">
        <w:rPr>
          <w:rFonts w:ascii="Segoe UI" w:eastAsia="Times New Roman" w:hAnsi="Segoe UI" w:cs="Segoe UI"/>
          <w:color w:val="212121"/>
        </w:rPr>
        <w:t xml:space="preserve">he </w:t>
      </w:r>
      <w:r w:rsidRPr="47580452">
        <w:rPr>
          <w:rFonts w:ascii="Segoe UI" w:eastAsia="Times New Roman" w:hAnsi="Segoe UI" w:cs="Segoe UI"/>
          <w:color w:val="212121"/>
        </w:rPr>
        <w:t xml:space="preserve">Australian Public Service Commissioner commenced significant reforms to </w:t>
      </w:r>
      <w:r w:rsidR="1EC8E15A" w:rsidRPr="47580452">
        <w:rPr>
          <w:rFonts w:ascii="Segoe UI" w:eastAsia="Times New Roman" w:hAnsi="Segoe UI" w:cs="Segoe UI"/>
          <w:color w:val="212121"/>
        </w:rPr>
        <w:t xml:space="preserve">build the capability and capacity of the </w:t>
      </w:r>
      <w:r w:rsidRPr="47580452">
        <w:rPr>
          <w:rFonts w:ascii="Segoe UI" w:eastAsia="Times New Roman" w:hAnsi="Segoe UI" w:cs="Segoe UI"/>
          <w:color w:val="212121"/>
        </w:rPr>
        <w:t xml:space="preserve">APS. </w:t>
      </w:r>
    </w:p>
    <w:p w14:paraId="06E46056" w14:textId="77777777" w:rsidR="006C31EB" w:rsidRPr="00384A08" w:rsidRDefault="027EF053" w:rsidP="006F3393">
      <w:pPr>
        <w:numPr>
          <w:ilvl w:val="0"/>
          <w:numId w:val="15"/>
        </w:numPr>
        <w:spacing w:line="259" w:lineRule="auto"/>
        <w:ind w:left="714" w:hanging="357"/>
        <w:contextualSpacing/>
        <w:rPr>
          <w:rFonts w:ascii="Segoe UI" w:eastAsia="Times New Roman" w:hAnsi="Segoe UI" w:cs="Segoe UI"/>
          <w:color w:val="212121"/>
        </w:rPr>
      </w:pPr>
      <w:r w:rsidRPr="00107DD3">
        <w:rPr>
          <w:rFonts w:ascii="Segoe UI" w:eastAsia="Times New Roman" w:hAnsi="Segoe UI" w:cs="Segoe UI"/>
          <w:color w:val="212121"/>
        </w:rPr>
        <w:t>In February 2023, the Treasurer commissioned the Productivity Commission to undertake an inquiry into philanthropy in Australia. The draft report</w:t>
      </w:r>
      <w:r w:rsidR="00DE2AB3">
        <w:rPr>
          <w:rFonts w:ascii="Segoe UI" w:eastAsia="Times New Roman" w:hAnsi="Segoe UI" w:cs="Segoe UI"/>
          <w:color w:val="212121"/>
        </w:rPr>
        <w:t xml:space="preserve"> </w:t>
      </w:r>
      <w:r w:rsidRPr="00107DD3">
        <w:rPr>
          <w:rFonts w:ascii="Segoe UI" w:eastAsia="Times New Roman" w:hAnsi="Segoe UI" w:cs="Segoe UI"/>
          <w:color w:val="212121"/>
        </w:rPr>
        <w:t>recommend</w:t>
      </w:r>
      <w:r w:rsidR="00DE2AB3">
        <w:rPr>
          <w:rFonts w:ascii="Segoe UI" w:eastAsia="Times New Roman" w:hAnsi="Segoe UI" w:cs="Segoe UI"/>
          <w:color w:val="212121"/>
        </w:rPr>
        <w:t>s</w:t>
      </w:r>
      <w:r w:rsidRPr="00107DD3">
        <w:rPr>
          <w:rFonts w:ascii="Segoe UI" w:eastAsia="Times New Roman" w:hAnsi="Segoe UI" w:cs="Segoe UI"/>
          <w:color w:val="212121"/>
        </w:rPr>
        <w:t xml:space="preserve"> a suite of reforms aimed at making the </w:t>
      </w:r>
      <w:r w:rsidR="52E41303" w:rsidRPr="00107DD3">
        <w:rPr>
          <w:rFonts w:ascii="Segoe UI" w:eastAsia="Times New Roman" w:hAnsi="Segoe UI" w:cs="Segoe UI"/>
          <w:color w:val="212121"/>
        </w:rPr>
        <w:t>Deductible Gif</w:t>
      </w:r>
      <w:r w:rsidR="003C3326">
        <w:rPr>
          <w:rFonts w:ascii="Segoe UI" w:eastAsia="Times New Roman" w:hAnsi="Segoe UI" w:cs="Segoe UI"/>
          <w:color w:val="212121"/>
        </w:rPr>
        <w:t>t</w:t>
      </w:r>
      <w:r w:rsidR="52E41303" w:rsidRPr="00107DD3">
        <w:rPr>
          <w:rFonts w:ascii="Segoe UI" w:eastAsia="Times New Roman" w:hAnsi="Segoe UI" w:cs="Segoe UI"/>
          <w:color w:val="212121"/>
        </w:rPr>
        <w:t xml:space="preserve"> Recipient (</w:t>
      </w:r>
      <w:r w:rsidRPr="00107DD3">
        <w:rPr>
          <w:rFonts w:ascii="Segoe UI" w:eastAsia="Times New Roman" w:hAnsi="Segoe UI" w:cs="Segoe UI"/>
          <w:color w:val="212121"/>
        </w:rPr>
        <w:t>DGR</w:t>
      </w:r>
      <w:r w:rsidR="5FD98A9D" w:rsidRPr="00107DD3">
        <w:rPr>
          <w:rFonts w:ascii="Segoe UI" w:eastAsia="Times New Roman" w:hAnsi="Segoe UI" w:cs="Segoe UI"/>
          <w:color w:val="212121"/>
        </w:rPr>
        <w:t>)</w:t>
      </w:r>
      <w:r w:rsidRPr="00107DD3">
        <w:rPr>
          <w:rFonts w:ascii="Segoe UI" w:eastAsia="Times New Roman" w:hAnsi="Segoe UI" w:cs="Segoe UI"/>
          <w:color w:val="212121"/>
        </w:rPr>
        <w:t xml:space="preserve"> system simpler and fairer, including by making DGR status more accessible.</w:t>
      </w:r>
    </w:p>
    <w:p w14:paraId="06E46057" w14:textId="77777777" w:rsidR="0065424B" w:rsidRDefault="6093F97A" w:rsidP="00C7202C">
      <w:pPr>
        <w:numPr>
          <w:ilvl w:val="0"/>
          <w:numId w:val="15"/>
        </w:numPr>
        <w:spacing w:line="259" w:lineRule="auto"/>
        <w:rPr>
          <w:rFonts w:ascii="Segoe UI" w:eastAsia="Times New Roman" w:hAnsi="Segoe UI" w:cs="Segoe UI"/>
          <w:color w:val="212121"/>
        </w:rPr>
      </w:pPr>
      <w:r w:rsidRPr="6F3BCA96">
        <w:rPr>
          <w:rFonts w:ascii="Segoe UI" w:eastAsia="Times New Roman" w:hAnsi="Segoe UI" w:cs="Segoe UI"/>
          <w:color w:val="212121"/>
        </w:rPr>
        <w:t xml:space="preserve">In June 2023, the Joint Committee of Public Accounts and Audits conducted an inquiry into Commonwealth grants programs, drawing </w:t>
      </w:r>
      <w:r w:rsidR="5BFC3625" w:rsidRPr="6F3BCA96">
        <w:rPr>
          <w:rFonts w:ascii="Segoe UI" w:eastAsia="Times New Roman" w:hAnsi="Segoe UI" w:cs="Segoe UI"/>
          <w:color w:val="212121"/>
        </w:rPr>
        <w:t>on</w:t>
      </w:r>
      <w:r w:rsidRPr="6F3BCA96">
        <w:rPr>
          <w:rFonts w:ascii="Segoe UI" w:eastAsia="Times New Roman" w:hAnsi="Segoe UI" w:cs="Segoe UI"/>
          <w:color w:val="212121"/>
        </w:rPr>
        <w:t xml:space="preserve"> the </w:t>
      </w:r>
      <w:r w:rsidR="003C3326" w:rsidRPr="6F3BCA96">
        <w:rPr>
          <w:rFonts w:ascii="Segoe UI" w:eastAsia="Times New Roman" w:hAnsi="Segoe UI" w:cs="Segoe UI"/>
          <w:color w:val="212121"/>
        </w:rPr>
        <w:t>finding</w:t>
      </w:r>
      <w:r w:rsidR="003C3326">
        <w:rPr>
          <w:rFonts w:ascii="Segoe UI" w:eastAsia="Times New Roman" w:hAnsi="Segoe UI" w:cs="Segoe UI"/>
          <w:color w:val="212121"/>
        </w:rPr>
        <w:t>s</w:t>
      </w:r>
      <w:r w:rsidR="08104134" w:rsidRPr="6F3BCA96">
        <w:rPr>
          <w:rFonts w:ascii="Segoe UI" w:eastAsia="Times New Roman" w:hAnsi="Segoe UI" w:cs="Segoe UI"/>
          <w:color w:val="212121"/>
        </w:rPr>
        <w:t xml:space="preserve"> of recent </w:t>
      </w:r>
      <w:r w:rsidRPr="6F3BCA96">
        <w:rPr>
          <w:rFonts w:ascii="Segoe UI" w:eastAsia="Times New Roman" w:hAnsi="Segoe UI" w:cs="Segoe UI"/>
          <w:color w:val="212121"/>
        </w:rPr>
        <w:t>audits</w:t>
      </w:r>
      <w:r w:rsidR="00273B4F">
        <w:rPr>
          <w:rFonts w:ascii="Segoe UI" w:eastAsia="Times New Roman" w:hAnsi="Segoe UI" w:cs="Segoe UI"/>
          <w:color w:val="212121"/>
        </w:rPr>
        <w:t xml:space="preserve"> conducted by the</w:t>
      </w:r>
      <w:r w:rsidR="00273B4F" w:rsidRPr="00273B4F">
        <w:rPr>
          <w:rFonts w:ascii="Segoe UI" w:eastAsia="Times New Roman" w:hAnsi="Segoe UI" w:cs="Segoe UI"/>
          <w:color w:val="212121"/>
        </w:rPr>
        <w:t xml:space="preserve"> </w:t>
      </w:r>
      <w:r w:rsidR="00273B4F">
        <w:rPr>
          <w:rFonts w:ascii="Segoe UI" w:eastAsia="Times New Roman" w:hAnsi="Segoe UI" w:cs="Segoe UI"/>
          <w:color w:val="212121"/>
        </w:rPr>
        <w:t>Australian National Audit Office (</w:t>
      </w:r>
      <w:r w:rsidR="00273B4F" w:rsidRPr="6F3BCA96">
        <w:rPr>
          <w:rFonts w:ascii="Segoe UI" w:eastAsia="Times New Roman" w:hAnsi="Segoe UI" w:cs="Segoe UI"/>
          <w:color w:val="212121"/>
        </w:rPr>
        <w:t>ANAO</w:t>
      </w:r>
      <w:r w:rsidR="00273B4F">
        <w:rPr>
          <w:rFonts w:ascii="Segoe UI" w:eastAsia="Times New Roman" w:hAnsi="Segoe UI" w:cs="Segoe UI"/>
          <w:color w:val="212121"/>
        </w:rPr>
        <w:t>)</w:t>
      </w:r>
      <w:r w:rsidR="003C3326">
        <w:rPr>
          <w:rFonts w:ascii="Segoe UI" w:eastAsia="Times New Roman" w:hAnsi="Segoe UI" w:cs="Segoe UI"/>
          <w:color w:val="212121"/>
        </w:rPr>
        <w:t>.</w:t>
      </w:r>
      <w:r w:rsidR="0065424B" w:rsidRPr="00A152C3">
        <w:rPr>
          <w:rFonts w:ascii="Segoe UI" w:eastAsia="Times New Roman" w:hAnsi="Segoe UI" w:cs="Segoe UI"/>
          <w:color w:val="212121"/>
          <w:vertAlign w:val="superscript"/>
        </w:rPr>
        <w:footnoteReference w:id="2"/>
      </w:r>
      <w:r w:rsidRPr="6F3BCA96">
        <w:rPr>
          <w:rFonts w:ascii="Segoe UI" w:eastAsia="Times New Roman" w:hAnsi="Segoe UI" w:cs="Segoe UI"/>
          <w:color w:val="212121"/>
        </w:rPr>
        <w:t xml:space="preserve"> </w:t>
      </w:r>
      <w:r w:rsidR="5BFC3625" w:rsidRPr="6F3BCA96">
        <w:rPr>
          <w:rFonts w:ascii="Segoe UI" w:eastAsia="Times New Roman" w:hAnsi="Segoe UI" w:cs="Segoe UI"/>
          <w:color w:val="212121"/>
        </w:rPr>
        <w:t>It</w:t>
      </w:r>
      <w:r w:rsidRPr="6F3BCA96">
        <w:rPr>
          <w:rFonts w:ascii="Segoe UI" w:eastAsia="Times New Roman" w:hAnsi="Segoe UI" w:cs="Segoe UI"/>
          <w:color w:val="212121"/>
        </w:rPr>
        <w:t xml:space="preserve"> found evidence of poor record-keeping practices of decision-making and a tendency for departments to preference non-competitive processes over competitive ones. </w:t>
      </w:r>
    </w:p>
    <w:p w14:paraId="06E46058" w14:textId="77777777" w:rsidR="00BD7000" w:rsidRDefault="5A2367D2"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B118063">
        <w:rPr>
          <w:rFonts w:ascii="Segoe UI" w:eastAsia="Times New Roman" w:hAnsi="Segoe UI" w:cs="Segoe UI"/>
          <w:color w:val="212121"/>
        </w:rPr>
        <w:t xml:space="preserve">Following a </w:t>
      </w:r>
      <w:r w:rsidR="5F06FC17" w:rsidRPr="1C7DD9B8">
        <w:rPr>
          <w:rFonts w:ascii="Segoe UI" w:eastAsia="Times New Roman" w:hAnsi="Segoe UI" w:cs="Segoe UI"/>
          <w:color w:val="212121"/>
        </w:rPr>
        <w:t>brief</w:t>
      </w:r>
      <w:r w:rsidRPr="0B118063">
        <w:rPr>
          <w:rFonts w:ascii="Segoe UI" w:eastAsia="Times New Roman" w:hAnsi="Segoe UI" w:cs="Segoe UI"/>
          <w:color w:val="212121"/>
        </w:rPr>
        <w:t xml:space="preserve"> overview of the sector and its importance, </w:t>
      </w:r>
      <w:r w:rsidR="006C31EB">
        <w:rPr>
          <w:rFonts w:ascii="Segoe UI" w:eastAsia="Times New Roman" w:hAnsi="Segoe UI" w:cs="Segoe UI"/>
          <w:color w:val="212121"/>
        </w:rPr>
        <w:t xml:space="preserve">this </w:t>
      </w:r>
      <w:r w:rsidR="001056BA">
        <w:rPr>
          <w:rFonts w:ascii="Segoe UI" w:eastAsia="Times New Roman" w:hAnsi="Segoe UI" w:cs="Segoe UI"/>
          <w:color w:val="212121"/>
        </w:rPr>
        <w:t>R</w:t>
      </w:r>
      <w:r w:rsidRPr="0B118063">
        <w:rPr>
          <w:rFonts w:ascii="Segoe UI" w:eastAsia="Times New Roman" w:hAnsi="Segoe UI" w:cs="Segoe UI"/>
          <w:color w:val="212121"/>
        </w:rPr>
        <w:t xml:space="preserve">eport </w:t>
      </w:r>
      <w:r w:rsidR="2FDED108" w:rsidRPr="626178DC">
        <w:rPr>
          <w:rFonts w:ascii="Segoe UI" w:eastAsia="Times New Roman" w:hAnsi="Segoe UI" w:cs="Segoe UI"/>
          <w:color w:val="212121"/>
        </w:rPr>
        <w:t xml:space="preserve">focusses </w:t>
      </w:r>
      <w:r w:rsidR="00F7315D">
        <w:rPr>
          <w:rFonts w:ascii="Segoe UI" w:eastAsia="Times New Roman" w:hAnsi="Segoe UI" w:cs="Segoe UI"/>
          <w:color w:val="212121"/>
        </w:rPr>
        <w:t>on</w:t>
      </w:r>
      <w:r w:rsidR="00836FBD">
        <w:rPr>
          <w:rFonts w:ascii="Segoe UI" w:eastAsia="Times New Roman" w:hAnsi="Segoe UI" w:cs="Segoe UI"/>
          <w:color w:val="212121"/>
        </w:rPr>
        <w:t xml:space="preserve"> three areas</w:t>
      </w:r>
      <w:r w:rsidR="00BD7000">
        <w:rPr>
          <w:rFonts w:ascii="Segoe UI" w:eastAsia="Times New Roman" w:hAnsi="Segoe UI" w:cs="Segoe UI"/>
          <w:color w:val="212121"/>
        </w:rPr>
        <w:t xml:space="preserve">: </w:t>
      </w:r>
    </w:p>
    <w:p w14:paraId="06E46059" w14:textId="77777777" w:rsidR="00A91060" w:rsidRPr="008B2291" w:rsidRDefault="008B2291" w:rsidP="00C7202C">
      <w:pPr>
        <w:pStyle w:val="ListParagraph"/>
        <w:numPr>
          <w:ilvl w:val="0"/>
          <w:numId w:val="23"/>
        </w:numPr>
        <w:spacing w:line="259" w:lineRule="auto"/>
        <w:rPr>
          <w:rFonts w:ascii="Segoe UI" w:eastAsia="Times New Roman" w:hAnsi="Segoe UI" w:cs="Segoe UI"/>
          <w:color w:val="212121"/>
        </w:rPr>
      </w:pPr>
      <w:r w:rsidRPr="008B2291">
        <w:rPr>
          <w:rFonts w:ascii="Segoe UI" w:eastAsia="Times New Roman" w:hAnsi="Segoe UI" w:cs="Segoe UI"/>
          <w:color w:val="212121"/>
        </w:rPr>
        <w:t xml:space="preserve">Recommendations to improve the current system within the current resourcing envelope, </w:t>
      </w:r>
      <w:r>
        <w:rPr>
          <w:rFonts w:ascii="Segoe UI" w:eastAsia="Times New Roman" w:hAnsi="Segoe UI" w:cs="Segoe UI"/>
          <w:color w:val="212121"/>
        </w:rPr>
        <w:t>based on o</w:t>
      </w:r>
      <w:r w:rsidR="3120C503" w:rsidRPr="008B2291">
        <w:rPr>
          <w:rFonts w:ascii="Segoe UI" w:eastAsia="Times New Roman" w:hAnsi="Segoe UI" w:cs="Segoe UI"/>
          <w:color w:val="212121"/>
        </w:rPr>
        <w:t>bservations</w:t>
      </w:r>
      <w:r w:rsidR="2FDED108" w:rsidRPr="008B2291">
        <w:rPr>
          <w:rFonts w:ascii="Segoe UI" w:eastAsia="Times New Roman" w:hAnsi="Segoe UI" w:cs="Segoe UI"/>
          <w:color w:val="212121"/>
        </w:rPr>
        <w:t xml:space="preserve"> and fin</w:t>
      </w:r>
      <w:r w:rsidR="6B5AE2ED" w:rsidRPr="008B2291">
        <w:rPr>
          <w:rFonts w:ascii="Segoe UI" w:eastAsia="Times New Roman" w:hAnsi="Segoe UI" w:cs="Segoe UI"/>
          <w:color w:val="212121"/>
        </w:rPr>
        <w:t>d</w:t>
      </w:r>
      <w:r w:rsidR="2FDED108" w:rsidRPr="008B2291">
        <w:rPr>
          <w:rFonts w:ascii="Segoe UI" w:eastAsia="Times New Roman" w:hAnsi="Segoe UI" w:cs="Segoe UI"/>
          <w:color w:val="212121"/>
        </w:rPr>
        <w:t>i</w:t>
      </w:r>
      <w:r w:rsidR="60177130" w:rsidRPr="008B2291">
        <w:rPr>
          <w:rFonts w:ascii="Segoe UI" w:eastAsia="Times New Roman" w:hAnsi="Segoe UI" w:cs="Segoe UI"/>
          <w:color w:val="212121"/>
        </w:rPr>
        <w:t>n</w:t>
      </w:r>
      <w:r w:rsidR="2FDED108" w:rsidRPr="008B2291">
        <w:rPr>
          <w:rFonts w:ascii="Segoe UI" w:eastAsia="Times New Roman" w:hAnsi="Segoe UI" w:cs="Segoe UI"/>
          <w:color w:val="212121"/>
        </w:rPr>
        <w:t>g</w:t>
      </w:r>
      <w:r w:rsidR="60177130" w:rsidRPr="008B2291">
        <w:rPr>
          <w:rFonts w:ascii="Segoe UI" w:eastAsia="Times New Roman" w:hAnsi="Segoe UI" w:cs="Segoe UI"/>
          <w:color w:val="212121"/>
        </w:rPr>
        <w:t>s</w:t>
      </w:r>
      <w:r w:rsidR="2FDED108" w:rsidRPr="008B2291">
        <w:rPr>
          <w:rFonts w:ascii="Segoe UI" w:eastAsia="Times New Roman" w:hAnsi="Segoe UI" w:cs="Segoe UI"/>
          <w:color w:val="212121"/>
        </w:rPr>
        <w:t xml:space="preserve"> </w:t>
      </w:r>
      <w:r w:rsidR="00AA2723">
        <w:rPr>
          <w:rFonts w:ascii="Segoe UI" w:eastAsia="Times New Roman" w:hAnsi="Segoe UI" w:cs="Segoe UI"/>
          <w:color w:val="212121"/>
        </w:rPr>
        <w:t>relating to</w:t>
      </w:r>
      <w:r w:rsidR="2FDED108" w:rsidRPr="008B2291">
        <w:rPr>
          <w:rFonts w:ascii="Segoe UI" w:eastAsia="Times New Roman" w:hAnsi="Segoe UI" w:cs="Segoe UI"/>
          <w:color w:val="212121"/>
        </w:rPr>
        <w:t xml:space="preserve"> the sector </w:t>
      </w:r>
      <w:r>
        <w:rPr>
          <w:rFonts w:ascii="Segoe UI" w:eastAsia="Times New Roman" w:hAnsi="Segoe UI" w:cs="Segoe UI"/>
          <w:color w:val="212121"/>
        </w:rPr>
        <w:t>from</w:t>
      </w:r>
      <w:r w:rsidR="2FDED108" w:rsidRPr="008B2291">
        <w:rPr>
          <w:rFonts w:ascii="Segoe UI" w:eastAsia="Times New Roman" w:hAnsi="Segoe UI" w:cs="Segoe UI"/>
          <w:color w:val="212121"/>
        </w:rPr>
        <w:t xml:space="preserve"> my </w:t>
      </w:r>
      <w:r w:rsidR="0A41A681" w:rsidRPr="008B2291">
        <w:rPr>
          <w:rFonts w:ascii="Segoe UI" w:eastAsia="Times New Roman" w:hAnsi="Segoe UI" w:cs="Segoe UI"/>
          <w:color w:val="212121"/>
        </w:rPr>
        <w:t>consultations</w:t>
      </w:r>
      <w:r w:rsidR="2FDED108" w:rsidRPr="008B2291">
        <w:rPr>
          <w:rFonts w:ascii="Segoe UI" w:eastAsia="Times New Roman" w:hAnsi="Segoe UI" w:cs="Segoe UI"/>
          <w:color w:val="212121"/>
        </w:rPr>
        <w:t xml:space="preserve">. </w:t>
      </w:r>
    </w:p>
    <w:p w14:paraId="06E4605A" w14:textId="77777777" w:rsidR="00A91060" w:rsidRPr="00384A08" w:rsidRDefault="00BD7000" w:rsidP="00C7202C">
      <w:pPr>
        <w:pStyle w:val="ListParagraph"/>
        <w:numPr>
          <w:ilvl w:val="0"/>
          <w:numId w:val="23"/>
        </w:numPr>
        <w:spacing w:line="259" w:lineRule="auto"/>
        <w:rPr>
          <w:rFonts w:ascii="Segoe UI" w:eastAsia="Times New Roman" w:hAnsi="Segoe UI" w:cs="Segoe UI"/>
          <w:color w:val="212121"/>
        </w:rPr>
      </w:pPr>
      <w:r>
        <w:rPr>
          <w:rFonts w:ascii="Segoe UI" w:eastAsia="Times New Roman" w:hAnsi="Segoe UI" w:cs="Segoe UI"/>
          <w:color w:val="212121"/>
        </w:rPr>
        <w:t>A</w:t>
      </w:r>
      <w:r w:rsidR="2FDED108" w:rsidRPr="00BD7000">
        <w:rPr>
          <w:rFonts w:ascii="Segoe UI" w:eastAsia="Times New Roman" w:hAnsi="Segoe UI" w:cs="Segoe UI"/>
          <w:color w:val="212121"/>
        </w:rPr>
        <w:t xml:space="preserve"> high</w:t>
      </w:r>
      <w:r w:rsidR="31963647" w:rsidRPr="00BD7000">
        <w:rPr>
          <w:rFonts w:ascii="Segoe UI" w:eastAsia="Times New Roman" w:hAnsi="Segoe UI" w:cs="Segoe UI"/>
          <w:color w:val="212121"/>
        </w:rPr>
        <w:t>-level</w:t>
      </w:r>
      <w:r w:rsidR="2FDED108" w:rsidRPr="00BD7000">
        <w:rPr>
          <w:rFonts w:ascii="Segoe UI" w:eastAsia="Times New Roman" w:hAnsi="Segoe UI" w:cs="Segoe UI"/>
          <w:color w:val="212121"/>
        </w:rPr>
        <w:t xml:space="preserve"> a</w:t>
      </w:r>
      <w:r w:rsidR="5CD0AC21" w:rsidRPr="00BD7000">
        <w:rPr>
          <w:rFonts w:ascii="Segoe UI" w:eastAsia="Times New Roman" w:hAnsi="Segoe UI" w:cs="Segoe UI"/>
          <w:color w:val="212121"/>
        </w:rPr>
        <w:t>ssessment</w:t>
      </w:r>
      <w:r w:rsidR="2FDED108" w:rsidRPr="00BD7000">
        <w:rPr>
          <w:rFonts w:ascii="Segoe UI" w:eastAsia="Times New Roman" w:hAnsi="Segoe UI" w:cs="Segoe UI"/>
          <w:color w:val="212121"/>
        </w:rPr>
        <w:t xml:space="preserve"> of the most prominent </w:t>
      </w:r>
      <w:r w:rsidR="0A87F32F" w:rsidRPr="00BD7000">
        <w:rPr>
          <w:rFonts w:ascii="Segoe UI" w:eastAsia="Times New Roman" w:hAnsi="Segoe UI" w:cs="Segoe UI"/>
          <w:color w:val="212121"/>
        </w:rPr>
        <w:t>organisations</w:t>
      </w:r>
      <w:r w:rsidR="2FDED108" w:rsidRPr="00BD7000">
        <w:rPr>
          <w:rFonts w:ascii="Segoe UI" w:eastAsia="Times New Roman" w:hAnsi="Segoe UI" w:cs="Segoe UI"/>
          <w:color w:val="212121"/>
        </w:rPr>
        <w:t xml:space="preserve"> in the sector, </w:t>
      </w:r>
      <w:r w:rsidR="00983290">
        <w:rPr>
          <w:rFonts w:ascii="Segoe UI" w:eastAsia="Times New Roman" w:hAnsi="Segoe UI" w:cs="Segoe UI"/>
          <w:color w:val="212121"/>
        </w:rPr>
        <w:t xml:space="preserve">namely </w:t>
      </w:r>
      <w:r w:rsidR="2FDED108" w:rsidRPr="00BD7000">
        <w:rPr>
          <w:rFonts w:ascii="Segoe UI" w:eastAsia="Times New Roman" w:hAnsi="Segoe UI" w:cs="Segoe UI"/>
          <w:color w:val="212121"/>
        </w:rPr>
        <w:t>those that receive</w:t>
      </w:r>
      <w:r w:rsidR="2C720A46" w:rsidRPr="00BD7000">
        <w:rPr>
          <w:rFonts w:ascii="Segoe UI" w:eastAsia="Times New Roman" w:hAnsi="Segoe UI" w:cs="Segoe UI"/>
          <w:color w:val="212121"/>
        </w:rPr>
        <w:t>d over $5</w:t>
      </w:r>
      <w:r w:rsidR="19BEE8FC" w:rsidRPr="00BD7000">
        <w:rPr>
          <w:rFonts w:ascii="Segoe UI" w:eastAsia="Times New Roman" w:hAnsi="Segoe UI" w:cs="Segoe UI"/>
          <w:color w:val="212121"/>
        </w:rPr>
        <w:t xml:space="preserve"> </w:t>
      </w:r>
      <w:r w:rsidR="2C720A46" w:rsidRPr="00BD7000">
        <w:rPr>
          <w:rFonts w:ascii="Segoe UI" w:eastAsia="Times New Roman" w:hAnsi="Segoe UI" w:cs="Segoe UI"/>
          <w:color w:val="212121"/>
        </w:rPr>
        <w:t xml:space="preserve">million in </w:t>
      </w:r>
      <w:r w:rsidR="00A17E7F">
        <w:rPr>
          <w:rFonts w:ascii="Segoe UI" w:eastAsia="Times New Roman" w:hAnsi="Segoe UI" w:cs="Segoe UI"/>
          <w:color w:val="212121"/>
        </w:rPr>
        <w:t xml:space="preserve">total </w:t>
      </w:r>
      <w:r w:rsidR="2C720A46" w:rsidRPr="00BD7000">
        <w:rPr>
          <w:rFonts w:ascii="Segoe UI" w:eastAsia="Times New Roman" w:hAnsi="Segoe UI" w:cs="Segoe UI"/>
          <w:color w:val="212121"/>
        </w:rPr>
        <w:t xml:space="preserve">Commonwealth funding </w:t>
      </w:r>
      <w:r w:rsidR="00A17E7F">
        <w:rPr>
          <w:rFonts w:ascii="Segoe UI" w:eastAsia="Times New Roman" w:hAnsi="Segoe UI" w:cs="Segoe UI"/>
          <w:color w:val="212121"/>
        </w:rPr>
        <w:t>over</w:t>
      </w:r>
      <w:r w:rsidR="00A17E7F" w:rsidRPr="00BD7000">
        <w:rPr>
          <w:rFonts w:ascii="Segoe UI" w:eastAsia="Times New Roman" w:hAnsi="Segoe UI" w:cs="Segoe UI"/>
          <w:color w:val="212121"/>
        </w:rPr>
        <w:t xml:space="preserve"> </w:t>
      </w:r>
      <w:r w:rsidR="2C720A46" w:rsidRPr="00BD7000">
        <w:rPr>
          <w:rFonts w:ascii="Segoe UI" w:eastAsia="Times New Roman" w:hAnsi="Segoe UI" w:cs="Segoe UI"/>
          <w:color w:val="212121"/>
        </w:rPr>
        <w:t xml:space="preserve">the </w:t>
      </w:r>
      <w:r w:rsidR="00A91060">
        <w:rPr>
          <w:rFonts w:ascii="Segoe UI" w:eastAsia="Times New Roman" w:hAnsi="Segoe UI" w:cs="Segoe UI"/>
          <w:color w:val="212121"/>
        </w:rPr>
        <w:t xml:space="preserve">five year </w:t>
      </w:r>
      <w:r w:rsidR="2C720A46" w:rsidRPr="00BD7000">
        <w:rPr>
          <w:rFonts w:ascii="Segoe UI" w:eastAsia="Times New Roman" w:hAnsi="Segoe UI" w:cs="Segoe UI"/>
          <w:color w:val="212121"/>
        </w:rPr>
        <w:t>review term</w:t>
      </w:r>
      <w:r w:rsidR="00A91060">
        <w:rPr>
          <w:rFonts w:ascii="Segoe UI" w:eastAsia="Times New Roman" w:hAnsi="Segoe UI" w:cs="Segoe UI"/>
          <w:color w:val="212121"/>
        </w:rPr>
        <w:t xml:space="preserve">. </w:t>
      </w:r>
    </w:p>
    <w:p w14:paraId="06E4605B" w14:textId="77777777" w:rsidR="00983290" w:rsidRPr="003B6973" w:rsidRDefault="00A91060" w:rsidP="00C7202C">
      <w:pPr>
        <w:pStyle w:val="ListParagraph"/>
        <w:numPr>
          <w:ilvl w:val="0"/>
          <w:numId w:val="23"/>
        </w:numPr>
        <w:spacing w:line="259" w:lineRule="auto"/>
      </w:pPr>
      <w:r w:rsidRPr="00983290">
        <w:rPr>
          <w:rFonts w:ascii="Segoe UI" w:eastAsia="Times New Roman" w:hAnsi="Segoe UI" w:cs="Segoe UI"/>
          <w:color w:val="212121"/>
        </w:rPr>
        <w:t xml:space="preserve">Options </w:t>
      </w:r>
      <w:r w:rsidR="0018554D" w:rsidRPr="00983290">
        <w:rPr>
          <w:rFonts w:ascii="Segoe UI" w:eastAsia="Times New Roman" w:hAnsi="Segoe UI" w:cs="Segoe UI"/>
          <w:color w:val="212121"/>
        </w:rPr>
        <w:t>to</w:t>
      </w:r>
      <w:r w:rsidRPr="00983290">
        <w:rPr>
          <w:rFonts w:ascii="Segoe UI" w:eastAsia="Times New Roman" w:hAnsi="Segoe UI" w:cs="Segoe UI"/>
          <w:color w:val="212121"/>
        </w:rPr>
        <w:t xml:space="preserve"> increase funding for the sector should </w:t>
      </w:r>
      <w:r w:rsidR="00983290" w:rsidRPr="00983290">
        <w:rPr>
          <w:rFonts w:ascii="Segoe UI" w:eastAsia="Times New Roman" w:hAnsi="Segoe UI" w:cs="Segoe UI"/>
          <w:color w:val="212121"/>
        </w:rPr>
        <w:t xml:space="preserve">this or </w:t>
      </w:r>
      <w:r w:rsidRPr="00983290">
        <w:rPr>
          <w:rFonts w:ascii="Segoe UI" w:eastAsia="Times New Roman" w:hAnsi="Segoe UI" w:cs="Segoe UI"/>
          <w:color w:val="212121"/>
        </w:rPr>
        <w:t xml:space="preserve">future governments wish to consider them, noting that I do not </w:t>
      </w:r>
      <w:r w:rsidR="00983290" w:rsidRPr="00983290">
        <w:rPr>
          <w:rFonts w:ascii="Segoe UI" w:eastAsia="Times New Roman" w:hAnsi="Segoe UI" w:cs="Segoe UI"/>
          <w:color w:val="212121"/>
        </w:rPr>
        <w:t xml:space="preserve">consider increased funding is urgently required. </w:t>
      </w:r>
      <w:bookmarkStart w:id="23" w:name="_Toc170307477"/>
      <w:bookmarkStart w:id="24" w:name="_Toc170383154"/>
    </w:p>
    <w:p w14:paraId="06E4605C" w14:textId="77777777" w:rsidR="0018554D" w:rsidRPr="003B6973" w:rsidRDefault="00B264DD" w:rsidP="00EE1891">
      <w:pPr>
        <w:pStyle w:val="Heading2"/>
      </w:pPr>
      <w:bookmarkStart w:id="25" w:name="_Toc172665582"/>
      <w:r w:rsidRPr="003B6973">
        <w:lastRenderedPageBreak/>
        <w:t>S</w:t>
      </w:r>
      <w:r w:rsidR="00C906D3" w:rsidRPr="003B6973">
        <w:t xml:space="preserve">cope </w:t>
      </w:r>
      <w:r w:rsidR="7DFE9DA0" w:rsidRPr="003B6973">
        <w:t xml:space="preserve">and </w:t>
      </w:r>
      <w:r w:rsidR="00EE1891">
        <w:t>d</w:t>
      </w:r>
      <w:r w:rsidR="7DFE9DA0" w:rsidRPr="003B6973">
        <w:t>efinitions</w:t>
      </w:r>
      <w:bookmarkEnd w:id="23"/>
      <w:bookmarkEnd w:id="24"/>
      <w:bookmarkEnd w:id="25"/>
    </w:p>
    <w:p w14:paraId="06E4605D" w14:textId="77777777" w:rsidR="0031068C" w:rsidRPr="00963625" w:rsidRDefault="00983290"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 xml:space="preserve">Consistent with its </w:t>
      </w:r>
      <w:r w:rsidR="0092098A">
        <w:rPr>
          <w:rFonts w:ascii="Segoe UI" w:eastAsia="Times New Roman" w:hAnsi="Segoe UI" w:cs="Segoe UI"/>
          <w:color w:val="212121"/>
        </w:rPr>
        <w:t>ToRs,</w:t>
      </w:r>
      <w:r>
        <w:rPr>
          <w:rFonts w:ascii="Segoe UI" w:eastAsia="Times New Roman" w:hAnsi="Segoe UI" w:cs="Segoe UI"/>
          <w:color w:val="212121"/>
        </w:rPr>
        <w:t xml:space="preserve"> t</w:t>
      </w:r>
      <w:r w:rsidR="0031068C" w:rsidRPr="00752A8B">
        <w:rPr>
          <w:rFonts w:ascii="Segoe UI" w:eastAsia="Times New Roman" w:hAnsi="Segoe UI" w:cs="Segoe UI"/>
          <w:color w:val="212121"/>
        </w:rPr>
        <w:t xml:space="preserve">he Review restricted its examination </w:t>
      </w:r>
      <w:r w:rsidR="007D700F" w:rsidRPr="00752A8B">
        <w:rPr>
          <w:rFonts w:ascii="Segoe UI" w:eastAsia="Times New Roman" w:hAnsi="Segoe UI" w:cs="Segoe UI"/>
          <w:color w:val="212121"/>
        </w:rPr>
        <w:t xml:space="preserve">to </w:t>
      </w:r>
      <w:r w:rsidR="0031068C" w:rsidRPr="00752A8B">
        <w:rPr>
          <w:rFonts w:ascii="Segoe UI" w:eastAsia="Times New Roman" w:hAnsi="Segoe UI" w:cs="Segoe UI"/>
          <w:color w:val="212121"/>
        </w:rPr>
        <w:t>strategic policy work commissioned by departments and agencies represented on the Secretaries Committee on National Security (SCNS).</w:t>
      </w:r>
      <w:r w:rsidR="009E48FC" w:rsidRPr="00C50346">
        <w:rPr>
          <w:rFonts w:ascii="Segoe UI" w:eastAsia="Times New Roman" w:hAnsi="Segoe UI" w:cs="Segoe UI"/>
          <w:color w:val="212121"/>
          <w:vertAlign w:val="superscript"/>
        </w:rPr>
        <w:footnoteReference w:id="3"/>
      </w:r>
    </w:p>
    <w:p w14:paraId="06E4605E" w14:textId="77777777" w:rsidR="0031068C" w:rsidRPr="00963625" w:rsidRDefault="0031068C"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 xml:space="preserve">The Review defined ‘national security’ as including the following issues: Border Security, Counter Foreign Interference, Counter Terrorism, Critical Infrastructure, Cyber Security, Defence Capability, Defence Industry, Law Enforcement, Intelligence Policy, Irregular Migration, Strategic Policy, Energy Security, and Climate Security. </w:t>
      </w:r>
    </w:p>
    <w:p w14:paraId="06E4605F" w14:textId="77777777" w:rsidR="0031068C" w:rsidRPr="00F7315D" w:rsidRDefault="0031068C"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F7315D">
        <w:rPr>
          <w:rFonts w:ascii="Segoe UI" w:eastAsia="Times New Roman" w:hAnsi="Segoe UI" w:cs="Segoe UI"/>
          <w:color w:val="212121"/>
        </w:rPr>
        <w:t xml:space="preserve">The Review defined ‘strategic policy work’ as national security-focused and policy-relevant research, </w:t>
      </w:r>
      <w:r w:rsidR="00DB4F00" w:rsidRPr="00F7315D">
        <w:rPr>
          <w:rFonts w:ascii="Segoe UI" w:eastAsia="Times New Roman" w:hAnsi="Segoe UI" w:cs="Segoe UI"/>
          <w:color w:val="212121"/>
        </w:rPr>
        <w:t>events</w:t>
      </w:r>
      <w:r w:rsidRPr="00F7315D">
        <w:rPr>
          <w:rFonts w:ascii="Segoe UI" w:eastAsia="Times New Roman" w:hAnsi="Segoe UI" w:cs="Segoe UI"/>
          <w:color w:val="212121"/>
        </w:rPr>
        <w:t xml:space="preserve">, and professional development activities. </w:t>
      </w:r>
      <w:r w:rsidR="57B0DCDD" w:rsidRPr="00F7315D">
        <w:rPr>
          <w:rFonts w:ascii="Segoe UI" w:eastAsia="Times New Roman" w:hAnsi="Segoe UI" w:cs="Segoe UI"/>
          <w:color w:val="212121"/>
        </w:rPr>
        <w:t>T</w:t>
      </w:r>
      <w:r w:rsidR="7DFA99C6" w:rsidRPr="00F7315D">
        <w:rPr>
          <w:rFonts w:ascii="Segoe UI" w:eastAsia="Times New Roman" w:hAnsi="Segoe UI" w:cs="Segoe UI"/>
          <w:color w:val="212121"/>
        </w:rPr>
        <w:t>h</w:t>
      </w:r>
      <w:r w:rsidR="5B1C00D3" w:rsidRPr="00F7315D">
        <w:rPr>
          <w:rFonts w:ascii="Segoe UI" w:eastAsia="Times New Roman" w:hAnsi="Segoe UI" w:cs="Segoe UI"/>
          <w:color w:val="212121"/>
        </w:rPr>
        <w:t>is</w:t>
      </w:r>
      <w:r w:rsidR="009A6501" w:rsidRPr="00F7315D">
        <w:rPr>
          <w:rFonts w:ascii="Segoe UI" w:eastAsia="Times New Roman" w:hAnsi="Segoe UI" w:cs="Segoe UI"/>
          <w:color w:val="212121"/>
        </w:rPr>
        <w:t xml:space="preserve"> exclude</w:t>
      </w:r>
      <w:r w:rsidR="00B264DD" w:rsidRPr="00F7315D">
        <w:rPr>
          <w:rFonts w:ascii="Segoe UI" w:eastAsia="Times New Roman" w:hAnsi="Segoe UI" w:cs="Segoe UI"/>
          <w:color w:val="212121"/>
        </w:rPr>
        <w:t>d</w:t>
      </w:r>
      <w:r w:rsidR="009A6501" w:rsidRPr="00F7315D">
        <w:rPr>
          <w:rFonts w:ascii="Segoe UI" w:eastAsia="Times New Roman" w:hAnsi="Segoe UI" w:cs="Segoe UI"/>
          <w:color w:val="212121"/>
        </w:rPr>
        <w:t xml:space="preserve"> operational activities</w:t>
      </w:r>
      <w:r w:rsidR="009E48FC" w:rsidRPr="00F7315D">
        <w:rPr>
          <w:rFonts w:ascii="Segoe UI" w:eastAsia="Times New Roman" w:hAnsi="Segoe UI" w:cs="Segoe UI"/>
          <w:color w:val="212121"/>
        </w:rPr>
        <w:t xml:space="preserve">, </w:t>
      </w:r>
      <w:r w:rsidR="00A17E7F">
        <w:rPr>
          <w:rFonts w:ascii="Segoe UI" w:eastAsia="Times New Roman" w:hAnsi="Segoe UI" w:cs="Segoe UI"/>
          <w:color w:val="212121"/>
        </w:rPr>
        <w:t xml:space="preserve">such as </w:t>
      </w:r>
      <w:r w:rsidR="009A6501" w:rsidRPr="00F7315D">
        <w:rPr>
          <w:rFonts w:ascii="Segoe UI" w:eastAsia="Times New Roman" w:hAnsi="Segoe UI" w:cs="Segoe UI"/>
          <w:color w:val="212121"/>
        </w:rPr>
        <w:t>capability uplift</w:t>
      </w:r>
      <w:r w:rsidR="00983290">
        <w:rPr>
          <w:rFonts w:ascii="Segoe UI" w:eastAsia="Times New Roman" w:hAnsi="Segoe UI" w:cs="Segoe UI"/>
          <w:color w:val="212121"/>
        </w:rPr>
        <w:t xml:space="preserve"> or </w:t>
      </w:r>
      <w:r w:rsidR="00D419B1" w:rsidRPr="00F7315D">
        <w:rPr>
          <w:rFonts w:ascii="Segoe UI" w:eastAsia="Times New Roman" w:hAnsi="Segoe UI" w:cs="Segoe UI"/>
          <w:color w:val="212121"/>
        </w:rPr>
        <w:t xml:space="preserve">training </w:t>
      </w:r>
      <w:r w:rsidR="009E48FC" w:rsidRPr="00F7315D">
        <w:rPr>
          <w:rFonts w:ascii="Segoe UI" w:eastAsia="Times New Roman" w:hAnsi="Segoe UI" w:cs="Segoe UI"/>
          <w:color w:val="212121"/>
        </w:rPr>
        <w:t xml:space="preserve">for </w:t>
      </w:r>
      <w:r w:rsidR="009A6501" w:rsidRPr="00F7315D">
        <w:rPr>
          <w:rFonts w:ascii="Segoe UI" w:eastAsia="Times New Roman" w:hAnsi="Segoe UI" w:cs="Segoe UI"/>
          <w:color w:val="212121"/>
        </w:rPr>
        <w:t>international partners</w:t>
      </w:r>
      <w:r w:rsidR="00D419B1" w:rsidRPr="00F7315D">
        <w:rPr>
          <w:rFonts w:ascii="Segoe UI" w:eastAsia="Times New Roman" w:hAnsi="Segoe UI" w:cs="Segoe UI"/>
          <w:color w:val="212121"/>
        </w:rPr>
        <w:t xml:space="preserve">, </w:t>
      </w:r>
      <w:r w:rsidR="00A17E7F">
        <w:rPr>
          <w:rFonts w:ascii="Segoe UI" w:eastAsia="Times New Roman" w:hAnsi="Segoe UI" w:cs="Segoe UI"/>
          <w:color w:val="212121"/>
        </w:rPr>
        <w:t>as well as</w:t>
      </w:r>
      <w:r w:rsidR="00A17E7F" w:rsidRPr="00F7315D">
        <w:rPr>
          <w:rFonts w:ascii="Segoe UI" w:eastAsia="Times New Roman" w:hAnsi="Segoe UI" w:cs="Segoe UI"/>
          <w:color w:val="212121"/>
        </w:rPr>
        <w:t xml:space="preserve"> </w:t>
      </w:r>
      <w:r w:rsidR="009E48FC" w:rsidRPr="00F7315D">
        <w:rPr>
          <w:rFonts w:ascii="Segoe UI" w:eastAsia="Times New Roman" w:hAnsi="Segoe UI" w:cs="Segoe UI"/>
          <w:color w:val="212121"/>
        </w:rPr>
        <w:t xml:space="preserve">technical </w:t>
      </w:r>
      <w:r w:rsidR="00D419B1" w:rsidRPr="00F7315D">
        <w:rPr>
          <w:rFonts w:ascii="Segoe UI" w:eastAsia="Times New Roman" w:hAnsi="Segoe UI" w:cs="Segoe UI"/>
          <w:color w:val="212121"/>
        </w:rPr>
        <w:t>research</w:t>
      </w:r>
      <w:r w:rsidR="009E48FC" w:rsidRPr="00F7315D">
        <w:rPr>
          <w:rFonts w:ascii="Segoe UI" w:eastAsia="Times New Roman" w:hAnsi="Segoe UI" w:cs="Segoe UI"/>
          <w:color w:val="212121"/>
        </w:rPr>
        <w:t xml:space="preserve"> and development</w:t>
      </w:r>
      <w:r w:rsidR="009A6501" w:rsidRPr="00F7315D">
        <w:rPr>
          <w:rFonts w:ascii="Segoe UI" w:eastAsia="Times New Roman" w:hAnsi="Segoe UI" w:cs="Segoe UI"/>
          <w:color w:val="212121"/>
        </w:rPr>
        <w:t>.</w:t>
      </w:r>
    </w:p>
    <w:p w14:paraId="06E46060" w14:textId="77777777" w:rsidR="0031068C" w:rsidRPr="00F7315D" w:rsidRDefault="0031068C"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F7315D">
        <w:rPr>
          <w:rFonts w:ascii="Segoe UI" w:eastAsia="Times New Roman" w:hAnsi="Segoe UI" w:cs="Segoe UI"/>
          <w:color w:val="212121"/>
        </w:rPr>
        <w:t xml:space="preserve">‘Australia’s national security research sector’ (the sector) </w:t>
      </w:r>
      <w:r w:rsidR="0018554D">
        <w:rPr>
          <w:rFonts w:ascii="Segoe UI" w:eastAsia="Times New Roman" w:hAnsi="Segoe UI" w:cs="Segoe UI"/>
          <w:color w:val="212121"/>
        </w:rPr>
        <w:t xml:space="preserve">comprises the individual researchers and </w:t>
      </w:r>
      <w:r w:rsidR="003E4DE1">
        <w:rPr>
          <w:rFonts w:ascii="Segoe UI" w:eastAsia="Times New Roman" w:hAnsi="Segoe UI" w:cs="Segoe UI"/>
          <w:color w:val="212121"/>
        </w:rPr>
        <w:t xml:space="preserve">organisations </w:t>
      </w:r>
      <w:r w:rsidRPr="00F7315D">
        <w:rPr>
          <w:rFonts w:ascii="Segoe UI" w:eastAsia="Times New Roman" w:hAnsi="Segoe UI" w:cs="Segoe UI"/>
          <w:color w:val="212121"/>
        </w:rPr>
        <w:t>delivering strategic policy work</w:t>
      </w:r>
      <w:r w:rsidR="00A17E7F">
        <w:rPr>
          <w:rFonts w:ascii="Segoe UI" w:eastAsia="Times New Roman" w:hAnsi="Segoe UI" w:cs="Segoe UI"/>
          <w:color w:val="212121"/>
        </w:rPr>
        <w:t>.</w:t>
      </w:r>
      <w:r w:rsidRPr="00F7315D">
        <w:rPr>
          <w:rFonts w:ascii="Segoe UI" w:eastAsia="Times New Roman" w:hAnsi="Segoe UI" w:cs="Segoe UI"/>
          <w:color w:val="212121"/>
        </w:rPr>
        <w:t xml:space="preserve"> </w:t>
      </w:r>
      <w:r w:rsidR="00AA2723">
        <w:rPr>
          <w:rFonts w:ascii="Segoe UI" w:eastAsia="Times New Roman" w:hAnsi="Segoe UI" w:cs="Segoe UI"/>
          <w:color w:val="212121"/>
        </w:rPr>
        <w:t>These organisations tend to fall into one of the following three categories:</w:t>
      </w:r>
    </w:p>
    <w:p w14:paraId="06E46061" w14:textId="77777777" w:rsidR="0018554D" w:rsidRPr="008260BB" w:rsidRDefault="0018554D" w:rsidP="00C7202C">
      <w:pPr>
        <w:numPr>
          <w:ilvl w:val="0"/>
          <w:numId w:val="15"/>
        </w:numPr>
        <w:spacing w:line="259" w:lineRule="auto"/>
        <w:rPr>
          <w:rFonts w:ascii="Segoe UI" w:eastAsia="Times New Roman" w:hAnsi="Segoe UI" w:cs="Segoe UI"/>
          <w:color w:val="212121"/>
        </w:rPr>
      </w:pPr>
      <w:r w:rsidRPr="007B6552">
        <w:rPr>
          <w:rFonts w:ascii="Segoe UI" w:eastAsia="Times New Roman" w:hAnsi="Segoe UI" w:cs="Segoe UI"/>
          <w:color w:val="212121"/>
        </w:rPr>
        <w:t>Traditional academic institutions</w:t>
      </w:r>
      <w:r w:rsidRPr="008260BB">
        <w:rPr>
          <w:rFonts w:ascii="Segoe UI" w:eastAsia="Times New Roman" w:hAnsi="Segoe UI" w:cs="Segoe UI"/>
          <w:color w:val="212121"/>
        </w:rPr>
        <w:t>, such as university schools, do not have a legal identity separate from their university. Teaching and research are the primary functions. These institutions focus on deep research papers published in peer-reviewed academic journals.</w:t>
      </w:r>
      <w:r w:rsidRPr="0018554D">
        <w:rPr>
          <w:rFonts w:ascii="Segoe UI" w:eastAsia="Times New Roman" w:hAnsi="Segoe UI" w:cs="Segoe UI"/>
          <w:color w:val="212121"/>
        </w:rPr>
        <w:t xml:space="preserve"> </w:t>
      </w:r>
      <w:r w:rsidRPr="008260BB">
        <w:rPr>
          <w:rFonts w:ascii="Segoe UI" w:eastAsia="Times New Roman" w:hAnsi="Segoe UI" w:cs="Segoe UI"/>
          <w:color w:val="212121"/>
        </w:rPr>
        <w:t>The primary challenge with this model is bridging the gap between academic rigour and policy relevance. Academic papers are often too dense to inform policy development and lack forward leaning recommendations. However, deep research pieces tend to have a longer shelf</w:t>
      </w:r>
      <w:r w:rsidR="009A25C6">
        <w:rPr>
          <w:rFonts w:ascii="Segoe UI" w:eastAsia="Times New Roman" w:hAnsi="Segoe UI" w:cs="Segoe UI"/>
          <w:color w:val="212121"/>
        </w:rPr>
        <w:t xml:space="preserve"> life than the shorter policy-</w:t>
      </w:r>
      <w:r w:rsidRPr="008260BB">
        <w:rPr>
          <w:rFonts w:ascii="Segoe UI" w:eastAsia="Times New Roman" w:hAnsi="Segoe UI" w:cs="Segoe UI"/>
          <w:color w:val="212121"/>
        </w:rPr>
        <w:t>relevant pieces, providing more lasting benefits to the policy discourse, with more rigorous underlying data.</w:t>
      </w:r>
    </w:p>
    <w:p w14:paraId="06E46062" w14:textId="77777777" w:rsidR="0018554D" w:rsidRPr="0018554D" w:rsidRDefault="0018554D" w:rsidP="00C7202C">
      <w:pPr>
        <w:numPr>
          <w:ilvl w:val="0"/>
          <w:numId w:val="15"/>
        </w:numPr>
        <w:spacing w:line="259" w:lineRule="auto"/>
        <w:rPr>
          <w:rFonts w:ascii="Segoe UI" w:eastAsia="Times New Roman" w:hAnsi="Segoe UI" w:cs="Segoe UI"/>
          <w:color w:val="212121"/>
        </w:rPr>
      </w:pPr>
      <w:r w:rsidRPr="007B6552">
        <w:rPr>
          <w:rFonts w:ascii="Segoe UI" w:eastAsia="Times New Roman" w:hAnsi="Segoe UI" w:cs="Segoe UI"/>
          <w:color w:val="212121"/>
        </w:rPr>
        <w:t>Free-standing think tanks</w:t>
      </w:r>
      <w:r w:rsidRPr="0018554D">
        <w:rPr>
          <w:rFonts w:ascii="Segoe UI" w:eastAsia="Times New Roman" w:hAnsi="Segoe UI" w:cs="Segoe UI"/>
          <w:color w:val="212121"/>
        </w:rPr>
        <w:t xml:space="preserve"> have their own legal identity, generally as not-for-profit organisations. They conduct policy-relevant research, help shape the public debate, and connect government and non-government stakeholders through events such as seminars, public speeches and policy roundtables. They conduct some deep research, but tend to focus on shorter form briefs and reports with recommendations designed to influence contemporary policy debate. Independence allows these institutions to concentrate on policy relevance</w:t>
      </w:r>
      <w:r w:rsidR="00AA2723">
        <w:rPr>
          <w:rFonts w:ascii="Segoe UI" w:eastAsia="Times New Roman" w:hAnsi="Segoe UI" w:cs="Segoe UI"/>
          <w:color w:val="212121"/>
        </w:rPr>
        <w:t>, b</w:t>
      </w:r>
      <w:r w:rsidRPr="0018554D">
        <w:rPr>
          <w:rFonts w:ascii="Segoe UI" w:eastAsia="Times New Roman" w:hAnsi="Segoe UI" w:cs="Segoe UI"/>
          <w:color w:val="212121"/>
        </w:rPr>
        <w:t>ut high overheads for staff and facilities means they are difficult to establish and maintain.</w:t>
      </w:r>
    </w:p>
    <w:p w14:paraId="06E46063" w14:textId="77777777" w:rsidR="0018554D" w:rsidRPr="00A17E7F" w:rsidRDefault="0018554D" w:rsidP="00C7202C">
      <w:pPr>
        <w:numPr>
          <w:ilvl w:val="0"/>
          <w:numId w:val="15"/>
        </w:numPr>
        <w:spacing w:line="259" w:lineRule="auto"/>
        <w:rPr>
          <w:rFonts w:ascii="Segoe UI" w:eastAsia="Times New Roman" w:hAnsi="Segoe UI" w:cs="Segoe UI"/>
          <w:color w:val="212121"/>
        </w:rPr>
      </w:pPr>
      <w:r w:rsidRPr="007B6552">
        <w:rPr>
          <w:rFonts w:ascii="Segoe UI" w:eastAsia="Times New Roman" w:hAnsi="Segoe UI" w:cs="Segoe UI"/>
          <w:color w:val="212121"/>
        </w:rPr>
        <w:t>University-based think tanks</w:t>
      </w:r>
      <w:r w:rsidRPr="00A17E7F">
        <w:rPr>
          <w:rFonts w:ascii="Segoe UI" w:eastAsia="Times New Roman" w:hAnsi="Segoe UI" w:cs="Segoe UI"/>
          <w:color w:val="212121"/>
        </w:rPr>
        <w:t xml:space="preserve"> are a hybrid between an academic institution and a free-standing think tank. Although on university premises, they are more independent than traditional academic institutions, often with their own legal identity. University-based think tanks have similar functions to free-standing think tank</w:t>
      </w:r>
      <w:r w:rsidR="00717901" w:rsidRPr="00A17E7F">
        <w:rPr>
          <w:rFonts w:ascii="Segoe UI" w:eastAsia="Times New Roman" w:hAnsi="Segoe UI" w:cs="Segoe UI"/>
          <w:color w:val="212121"/>
        </w:rPr>
        <w:t>s</w:t>
      </w:r>
      <w:r w:rsidRPr="00A17E7F">
        <w:rPr>
          <w:rFonts w:ascii="Segoe UI" w:eastAsia="Times New Roman" w:hAnsi="Segoe UI" w:cs="Segoe UI"/>
          <w:color w:val="212121"/>
        </w:rPr>
        <w:t xml:space="preserve">, but they also conduct or draw from teaching programs. University affiliation enables them to </w:t>
      </w:r>
      <w:r w:rsidR="00AA2723" w:rsidRPr="00A17E7F">
        <w:rPr>
          <w:rFonts w:ascii="Segoe UI" w:eastAsia="Times New Roman" w:hAnsi="Segoe UI" w:cs="Segoe UI"/>
          <w:color w:val="212121"/>
        </w:rPr>
        <w:t>leverage</w:t>
      </w:r>
      <w:r w:rsidRPr="00A17E7F">
        <w:rPr>
          <w:rFonts w:ascii="Segoe UI" w:eastAsia="Times New Roman" w:hAnsi="Segoe UI" w:cs="Segoe UI"/>
          <w:color w:val="212121"/>
        </w:rPr>
        <w:t xml:space="preserve"> the significant financial and administrative infrastructure of a university. It is also the case however that the </w:t>
      </w:r>
      <w:r w:rsidRPr="00A17E7F">
        <w:rPr>
          <w:rFonts w:ascii="Segoe UI" w:eastAsia="Times New Roman" w:hAnsi="Segoe UI" w:cs="Segoe UI"/>
          <w:color w:val="212121"/>
        </w:rPr>
        <w:lastRenderedPageBreak/>
        <w:t xml:space="preserve">incentive structures of universities and thinks tanks can sometimes be at odds and complicate a think tank’s strategy and operations. </w:t>
      </w:r>
    </w:p>
    <w:p w14:paraId="06E46064" w14:textId="77777777" w:rsidR="00657325" w:rsidRPr="0018554D" w:rsidRDefault="2135F22A"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18554D">
        <w:rPr>
          <w:rFonts w:ascii="Segoe UI" w:eastAsia="Times New Roman" w:hAnsi="Segoe UI" w:cs="Segoe UI"/>
          <w:color w:val="212121"/>
        </w:rPr>
        <w:t>The Review examined</w:t>
      </w:r>
      <w:r w:rsidR="00657325" w:rsidRPr="0018554D">
        <w:rPr>
          <w:rFonts w:ascii="Segoe UI" w:eastAsia="Times New Roman" w:hAnsi="Segoe UI" w:cs="Segoe UI"/>
          <w:color w:val="212121"/>
        </w:rPr>
        <w:t xml:space="preserve"> </w:t>
      </w:r>
      <w:r w:rsidR="004835D9" w:rsidRPr="0018554D">
        <w:rPr>
          <w:rFonts w:ascii="Segoe UI" w:eastAsia="Times New Roman" w:hAnsi="Segoe UI" w:cs="Segoe UI"/>
          <w:color w:val="212121"/>
        </w:rPr>
        <w:t>agreements</w:t>
      </w:r>
      <w:r w:rsidR="00657325" w:rsidRPr="0018554D">
        <w:rPr>
          <w:rFonts w:ascii="Segoe UI" w:eastAsia="Times New Roman" w:hAnsi="Segoe UI" w:cs="Segoe UI"/>
          <w:color w:val="212121"/>
        </w:rPr>
        <w:t xml:space="preserve"> between 1 January 2019 and 31 December 2023. Agreements signed before 1 January 2019 but still active, as well as agreements signed </w:t>
      </w:r>
      <w:r w:rsidR="004C3F0C" w:rsidRPr="0018554D">
        <w:rPr>
          <w:rFonts w:ascii="Segoe UI" w:eastAsia="Times New Roman" w:hAnsi="Segoe UI" w:cs="Segoe UI"/>
          <w:color w:val="212121"/>
        </w:rPr>
        <w:t>by</w:t>
      </w:r>
      <w:r w:rsidR="00657325" w:rsidRPr="0018554D">
        <w:rPr>
          <w:rFonts w:ascii="Segoe UI" w:eastAsia="Times New Roman" w:hAnsi="Segoe UI" w:cs="Segoe UI"/>
          <w:color w:val="212121"/>
        </w:rPr>
        <w:t xml:space="preserve"> </w:t>
      </w:r>
      <w:r w:rsidR="65957E22" w:rsidRPr="0018554D">
        <w:rPr>
          <w:rFonts w:ascii="Segoe UI" w:eastAsia="Times New Roman" w:hAnsi="Segoe UI" w:cs="Segoe UI"/>
          <w:color w:val="212121"/>
        </w:rPr>
        <w:t>and</w:t>
      </w:r>
      <w:r w:rsidR="00657325" w:rsidRPr="0018554D">
        <w:rPr>
          <w:rFonts w:ascii="Segoe UI" w:eastAsia="Times New Roman" w:hAnsi="Segoe UI" w:cs="Segoe UI"/>
          <w:color w:val="212121"/>
        </w:rPr>
        <w:t xml:space="preserve"> active beyond 31</w:t>
      </w:r>
      <w:r w:rsidR="001056BA" w:rsidRPr="0018554D">
        <w:rPr>
          <w:rFonts w:ascii="Segoe UI" w:eastAsia="Times New Roman" w:hAnsi="Segoe UI" w:cs="Segoe UI"/>
          <w:color w:val="212121"/>
        </w:rPr>
        <w:t> </w:t>
      </w:r>
      <w:r w:rsidR="00657325" w:rsidRPr="0018554D">
        <w:rPr>
          <w:rFonts w:ascii="Segoe UI" w:eastAsia="Times New Roman" w:hAnsi="Segoe UI" w:cs="Segoe UI"/>
          <w:color w:val="212121"/>
        </w:rPr>
        <w:t>December</w:t>
      </w:r>
      <w:r w:rsidR="73EA010F" w:rsidRPr="0018554D">
        <w:rPr>
          <w:rFonts w:ascii="Segoe UI" w:eastAsia="Times New Roman" w:hAnsi="Segoe UI" w:cs="Segoe UI"/>
          <w:color w:val="212121"/>
        </w:rPr>
        <w:t xml:space="preserve"> 2023</w:t>
      </w:r>
      <w:r w:rsidR="00657325" w:rsidRPr="0018554D">
        <w:rPr>
          <w:rFonts w:ascii="Segoe UI" w:eastAsia="Times New Roman" w:hAnsi="Segoe UI" w:cs="Segoe UI"/>
          <w:color w:val="212121"/>
        </w:rPr>
        <w:t xml:space="preserve">, were </w:t>
      </w:r>
      <w:r w:rsidR="00A91060" w:rsidRPr="0018554D">
        <w:rPr>
          <w:rFonts w:ascii="Segoe UI" w:eastAsia="Times New Roman" w:hAnsi="Segoe UI" w:cs="Segoe UI"/>
          <w:color w:val="212121"/>
        </w:rPr>
        <w:t xml:space="preserve">considered </w:t>
      </w:r>
      <w:r w:rsidR="009E48FC" w:rsidRPr="0018554D">
        <w:rPr>
          <w:rFonts w:ascii="Segoe UI" w:eastAsia="Times New Roman" w:hAnsi="Segoe UI" w:cs="Segoe UI"/>
          <w:color w:val="212121"/>
        </w:rPr>
        <w:t>in scope</w:t>
      </w:r>
      <w:r w:rsidR="00657325" w:rsidRPr="0018554D">
        <w:rPr>
          <w:rFonts w:ascii="Segoe UI" w:eastAsia="Times New Roman" w:hAnsi="Segoe UI" w:cs="Segoe UI"/>
          <w:color w:val="212121"/>
        </w:rPr>
        <w:t>.</w:t>
      </w:r>
      <w:r w:rsidR="4E03DAD7" w:rsidRPr="0018554D">
        <w:rPr>
          <w:rFonts w:ascii="Segoe UI" w:eastAsia="Times New Roman" w:hAnsi="Segoe UI" w:cs="Segoe UI"/>
          <w:color w:val="212121"/>
        </w:rPr>
        <w:t xml:space="preserve"> </w:t>
      </w:r>
    </w:p>
    <w:p w14:paraId="06E46065" w14:textId="77777777" w:rsidR="000912D5" w:rsidRDefault="00310328"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 xml:space="preserve">While </w:t>
      </w:r>
      <w:r w:rsidR="00A91060">
        <w:rPr>
          <w:rFonts w:ascii="Segoe UI" w:eastAsia="Times New Roman" w:hAnsi="Segoe UI" w:cs="Segoe UI"/>
          <w:color w:val="212121"/>
        </w:rPr>
        <w:t xml:space="preserve">the </w:t>
      </w:r>
      <w:r w:rsidR="001056BA">
        <w:rPr>
          <w:rFonts w:ascii="Segoe UI" w:eastAsia="Times New Roman" w:hAnsi="Segoe UI" w:cs="Segoe UI"/>
          <w:color w:val="212121"/>
        </w:rPr>
        <w:t>R</w:t>
      </w:r>
      <w:r>
        <w:rPr>
          <w:rFonts w:ascii="Segoe UI" w:eastAsia="Times New Roman" w:hAnsi="Segoe UI" w:cs="Segoe UI"/>
          <w:color w:val="212121"/>
        </w:rPr>
        <w:t xml:space="preserve">eview </w:t>
      </w:r>
      <w:r w:rsidR="00A91060">
        <w:rPr>
          <w:rFonts w:ascii="Segoe UI" w:eastAsia="Times New Roman" w:hAnsi="Segoe UI" w:cs="Segoe UI"/>
          <w:color w:val="212121"/>
        </w:rPr>
        <w:t xml:space="preserve">necessarily focused on its </w:t>
      </w:r>
      <w:r w:rsidR="008E082F">
        <w:rPr>
          <w:rFonts w:ascii="Segoe UI" w:eastAsia="Times New Roman" w:hAnsi="Segoe UI" w:cs="Segoe UI"/>
          <w:color w:val="212121"/>
        </w:rPr>
        <w:t>ToRs</w:t>
      </w:r>
      <w:r w:rsidR="00A91060">
        <w:rPr>
          <w:rFonts w:ascii="Segoe UI" w:eastAsia="Times New Roman" w:hAnsi="Segoe UI" w:cs="Segoe UI"/>
          <w:color w:val="212121"/>
        </w:rPr>
        <w:t xml:space="preserve">, </w:t>
      </w:r>
      <w:r w:rsidR="00A17E7F">
        <w:rPr>
          <w:rFonts w:ascii="Segoe UI" w:eastAsia="Times New Roman" w:hAnsi="Segoe UI" w:cs="Segoe UI"/>
          <w:color w:val="212121"/>
        </w:rPr>
        <w:t xml:space="preserve">most </w:t>
      </w:r>
      <w:r w:rsidR="00A91060">
        <w:rPr>
          <w:rFonts w:ascii="Segoe UI" w:eastAsia="Times New Roman" w:hAnsi="Segoe UI" w:cs="Segoe UI"/>
          <w:color w:val="212121"/>
        </w:rPr>
        <w:t>of its observations about the performance of think tanks and research institutions, and especially their relationship to policy making</w:t>
      </w:r>
      <w:r w:rsidR="00F7315D">
        <w:rPr>
          <w:rFonts w:ascii="Segoe UI" w:eastAsia="Times New Roman" w:hAnsi="Segoe UI" w:cs="Segoe UI"/>
          <w:color w:val="212121"/>
        </w:rPr>
        <w:t xml:space="preserve">, are relevant to policy development across </w:t>
      </w:r>
      <w:r w:rsidR="004E001B">
        <w:rPr>
          <w:rFonts w:ascii="Segoe UI" w:eastAsia="Times New Roman" w:hAnsi="Segoe UI" w:cs="Segoe UI"/>
          <w:color w:val="212121"/>
        </w:rPr>
        <w:t>other</w:t>
      </w:r>
      <w:r w:rsidR="008E082F">
        <w:rPr>
          <w:rFonts w:ascii="Segoe UI" w:eastAsia="Times New Roman" w:hAnsi="Segoe UI" w:cs="Segoe UI"/>
          <w:color w:val="212121"/>
        </w:rPr>
        <w:t xml:space="preserve"> </w:t>
      </w:r>
      <w:r w:rsidR="00F7315D">
        <w:rPr>
          <w:rFonts w:ascii="Segoe UI" w:eastAsia="Times New Roman" w:hAnsi="Segoe UI" w:cs="Segoe UI"/>
          <w:color w:val="212121"/>
        </w:rPr>
        <w:t xml:space="preserve">areas of Government. </w:t>
      </w:r>
    </w:p>
    <w:p w14:paraId="06E46066" w14:textId="77777777" w:rsidR="00657325" w:rsidRPr="00752A8B" w:rsidRDefault="4AE9539F"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52ADF365">
        <w:rPr>
          <w:rFonts w:ascii="Segoe UI" w:eastAsia="Times New Roman" w:hAnsi="Segoe UI" w:cs="Segoe UI"/>
          <w:color w:val="212121"/>
        </w:rPr>
        <w:t xml:space="preserve">An overview of the approach taken by the Review is at </w:t>
      </w:r>
      <w:r w:rsidRPr="00963625">
        <w:rPr>
          <w:rFonts w:ascii="Segoe UI" w:eastAsia="Times New Roman" w:hAnsi="Segoe UI" w:cs="Segoe UI"/>
          <w:b/>
          <w:color w:val="212121"/>
        </w:rPr>
        <w:t xml:space="preserve">Attachment </w:t>
      </w:r>
      <w:r w:rsidR="00017D9C" w:rsidRPr="00963625">
        <w:rPr>
          <w:rFonts w:ascii="Segoe UI" w:eastAsia="Times New Roman" w:hAnsi="Segoe UI" w:cs="Segoe UI"/>
          <w:b/>
          <w:color w:val="212121"/>
        </w:rPr>
        <w:t>C</w:t>
      </w:r>
      <w:r w:rsidRPr="52ADF365">
        <w:rPr>
          <w:rFonts w:ascii="Segoe UI" w:eastAsia="Times New Roman" w:hAnsi="Segoe UI" w:cs="Segoe UI"/>
          <w:color w:val="212121"/>
        </w:rPr>
        <w:t>.</w:t>
      </w:r>
    </w:p>
    <w:p w14:paraId="06E46067" w14:textId="77777777" w:rsidR="00C906D3" w:rsidRPr="00752A8B" w:rsidRDefault="719F6740" w:rsidP="17A40BD7">
      <w:pPr>
        <w:pStyle w:val="Heading2"/>
        <w:rPr>
          <w:rFonts w:cs="Segoe UI"/>
          <w:sz w:val="32"/>
          <w:szCs w:val="32"/>
        </w:rPr>
      </w:pPr>
      <w:bookmarkStart w:id="26" w:name="_Toc170307478"/>
      <w:bookmarkStart w:id="27" w:name="_Toc170383155"/>
      <w:bookmarkStart w:id="28" w:name="_Toc170980537"/>
      <w:bookmarkStart w:id="29" w:name="_Toc171004251"/>
      <w:bookmarkStart w:id="30" w:name="_Toc171074973"/>
      <w:bookmarkStart w:id="31" w:name="_Toc172665583"/>
      <w:r w:rsidRPr="00752A8B">
        <w:rPr>
          <w:rFonts w:cs="Segoe UI"/>
          <w:sz w:val="32"/>
          <w:szCs w:val="32"/>
        </w:rPr>
        <w:t>Stocktake</w:t>
      </w:r>
      <w:bookmarkEnd w:id="26"/>
      <w:bookmarkEnd w:id="27"/>
      <w:bookmarkEnd w:id="28"/>
      <w:bookmarkEnd w:id="29"/>
      <w:bookmarkEnd w:id="30"/>
      <w:bookmarkEnd w:id="31"/>
    </w:p>
    <w:p w14:paraId="06E46068" w14:textId="77777777" w:rsidR="00A17E7F" w:rsidRDefault="473FA014" w:rsidP="31F124D0">
      <w:pPr>
        <w:pStyle w:val="ListParagraph"/>
        <w:numPr>
          <w:ilvl w:val="0"/>
          <w:numId w:val="22"/>
        </w:numPr>
        <w:spacing w:line="259" w:lineRule="auto"/>
        <w:ind w:left="0" w:firstLine="0"/>
        <w:contextualSpacing w:val="0"/>
        <w:rPr>
          <w:rFonts w:ascii="Segoe UI" w:eastAsia="Times New Roman" w:hAnsi="Segoe UI" w:cs="Segoe UI"/>
          <w:color w:val="212121"/>
        </w:rPr>
      </w:pPr>
      <w:r w:rsidRPr="00752A8B">
        <w:rPr>
          <w:rFonts w:ascii="Segoe UI" w:eastAsia="Times New Roman" w:hAnsi="Segoe UI" w:cs="Segoe UI"/>
          <w:color w:val="212121"/>
        </w:rPr>
        <w:t>According to the data collected, the Commonwealth spent approximately $</w:t>
      </w:r>
      <w:r w:rsidR="00A17E7F">
        <w:rPr>
          <w:rFonts w:ascii="Segoe UI" w:eastAsia="Times New Roman" w:hAnsi="Segoe UI" w:cs="Segoe UI"/>
          <w:color w:val="212121"/>
        </w:rPr>
        <w:t>200</w:t>
      </w:r>
      <w:r w:rsidRPr="00752A8B">
        <w:rPr>
          <w:rFonts w:ascii="Segoe UI" w:eastAsia="Times New Roman" w:hAnsi="Segoe UI" w:cs="Segoe UI"/>
          <w:color w:val="212121"/>
        </w:rPr>
        <w:t xml:space="preserve"> million </w:t>
      </w:r>
      <w:r w:rsidRPr="00DE2AB3">
        <w:rPr>
          <w:rFonts w:ascii="Segoe UI" w:eastAsia="Times New Roman" w:hAnsi="Segoe UI" w:cs="Segoe UI"/>
          <w:color w:val="212121"/>
        </w:rPr>
        <w:t>across 62</w:t>
      </w:r>
      <w:r w:rsidR="00091951">
        <w:rPr>
          <w:rFonts w:ascii="Segoe UI" w:eastAsia="Times New Roman" w:hAnsi="Segoe UI" w:cs="Segoe UI"/>
          <w:color w:val="212121"/>
        </w:rPr>
        <w:t>2</w:t>
      </w:r>
      <w:r w:rsidR="001056BA">
        <w:rPr>
          <w:rFonts w:ascii="Segoe UI" w:eastAsia="Times New Roman" w:hAnsi="Segoe UI" w:cs="Segoe UI"/>
          <w:color w:val="212121"/>
        </w:rPr>
        <w:t> </w:t>
      </w:r>
      <w:r w:rsidR="00131FAA">
        <w:rPr>
          <w:rFonts w:ascii="Segoe UI" w:eastAsia="Times New Roman" w:hAnsi="Segoe UI" w:cs="Segoe UI"/>
          <w:color w:val="212121"/>
        </w:rPr>
        <w:t>agreements</w:t>
      </w:r>
      <w:r w:rsidRPr="00DE2AB3">
        <w:rPr>
          <w:rFonts w:ascii="Segoe UI" w:eastAsia="Times New Roman" w:hAnsi="Segoe UI" w:cs="Segoe UI"/>
          <w:color w:val="212121"/>
        </w:rPr>
        <w:t xml:space="preserve"> between 1 January 2019 and 31 December 2023. The Review </w:t>
      </w:r>
      <w:r w:rsidR="00A17E7F">
        <w:rPr>
          <w:rFonts w:ascii="Segoe UI" w:eastAsia="Times New Roman" w:hAnsi="Segoe UI" w:cs="Segoe UI"/>
          <w:color w:val="212121"/>
        </w:rPr>
        <w:t xml:space="preserve">also </w:t>
      </w:r>
      <w:r w:rsidRPr="00DE2AB3">
        <w:rPr>
          <w:rFonts w:ascii="Segoe UI" w:eastAsia="Times New Roman" w:hAnsi="Segoe UI" w:cs="Segoe UI"/>
          <w:color w:val="212121"/>
        </w:rPr>
        <w:t>found that 17</w:t>
      </w:r>
      <w:r w:rsidR="000639D4">
        <w:rPr>
          <w:rFonts w:ascii="Segoe UI" w:eastAsia="Times New Roman" w:hAnsi="Segoe UI" w:cs="Segoe UI"/>
          <w:color w:val="212121"/>
        </w:rPr>
        <w:t>5</w:t>
      </w:r>
      <w:r w:rsidR="003C0AE2" w:rsidRPr="003C0AE2">
        <w:rPr>
          <w:rStyle w:val="FootnoteReference"/>
          <w:rFonts w:ascii="Segoe UI" w:eastAsia="Times New Roman" w:hAnsi="Segoe UI" w:cs="Segoe UI"/>
          <w:color w:val="212121"/>
          <w:vertAlign w:val="superscript"/>
        </w:rPr>
        <w:footnoteReference w:id="4"/>
      </w:r>
      <w:r w:rsidR="001056BA" w:rsidRPr="003C0AE2">
        <w:rPr>
          <w:rFonts w:ascii="Segoe UI" w:eastAsia="Times New Roman" w:hAnsi="Segoe UI" w:cs="Segoe UI"/>
          <w:color w:val="212121"/>
          <w:vertAlign w:val="superscript"/>
        </w:rPr>
        <w:t> </w:t>
      </w:r>
      <w:r w:rsidRPr="00DE2AB3">
        <w:rPr>
          <w:rFonts w:ascii="Segoe UI" w:eastAsia="Times New Roman" w:hAnsi="Segoe UI" w:cs="Segoe UI"/>
          <w:color w:val="212121"/>
        </w:rPr>
        <w:t>organisations received Commonwealth funding within this timeframe.</w:t>
      </w:r>
      <w:r w:rsidR="00BB2C71" w:rsidRPr="00DE2AB3">
        <w:rPr>
          <w:rFonts w:ascii="Segoe UI" w:eastAsia="Times New Roman" w:hAnsi="Segoe UI" w:cs="Segoe UI"/>
          <w:color w:val="212121"/>
        </w:rPr>
        <w:t xml:space="preserve"> </w:t>
      </w:r>
      <w:r w:rsidR="009A25C6">
        <w:rPr>
          <w:rFonts w:ascii="Segoe UI" w:eastAsia="Times New Roman" w:hAnsi="Segoe UI" w:cs="Segoe UI"/>
          <w:color w:val="212121"/>
        </w:rPr>
        <w:t>Further high-</w:t>
      </w:r>
      <w:r w:rsidR="00A17E7F">
        <w:rPr>
          <w:rFonts w:ascii="Segoe UI" w:eastAsia="Times New Roman" w:hAnsi="Segoe UI" w:cs="Segoe UI"/>
          <w:color w:val="212121"/>
        </w:rPr>
        <w:t xml:space="preserve">level insights are at </w:t>
      </w:r>
      <w:r w:rsidR="00A17E7F" w:rsidRPr="00963625">
        <w:rPr>
          <w:rFonts w:ascii="Segoe UI" w:eastAsia="Times New Roman" w:hAnsi="Segoe UI" w:cs="Segoe UI"/>
          <w:b/>
          <w:color w:val="212121"/>
        </w:rPr>
        <w:t>Attachment D</w:t>
      </w:r>
      <w:r w:rsidR="00A17E7F">
        <w:rPr>
          <w:rFonts w:ascii="Segoe UI" w:eastAsia="Times New Roman" w:hAnsi="Segoe UI" w:cs="Segoe UI"/>
          <w:color w:val="212121"/>
        </w:rPr>
        <w:t>. The full details of the 622 agreements ha</w:t>
      </w:r>
      <w:r w:rsidR="0016597E">
        <w:rPr>
          <w:rFonts w:ascii="Segoe UI" w:eastAsia="Times New Roman" w:hAnsi="Segoe UI" w:cs="Segoe UI"/>
          <w:color w:val="212121"/>
        </w:rPr>
        <w:t>ve</w:t>
      </w:r>
      <w:r w:rsidR="00A17E7F">
        <w:rPr>
          <w:rFonts w:ascii="Segoe UI" w:eastAsia="Times New Roman" w:hAnsi="Segoe UI" w:cs="Segoe UI"/>
          <w:color w:val="212121"/>
        </w:rPr>
        <w:t xml:space="preserve"> not been included in this Report as some </w:t>
      </w:r>
      <w:r w:rsidR="007276F2">
        <w:rPr>
          <w:rFonts w:ascii="Segoe UI" w:eastAsia="Times New Roman" w:hAnsi="Segoe UI" w:cs="Segoe UI"/>
          <w:color w:val="212121"/>
        </w:rPr>
        <w:t>details are classified or commercially sensitive.</w:t>
      </w:r>
    </w:p>
    <w:p w14:paraId="06E46069" w14:textId="77777777" w:rsidR="00B264DD" w:rsidRDefault="00BB2C71"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DE2AB3">
        <w:rPr>
          <w:rFonts w:ascii="Segoe UI" w:eastAsia="Times New Roman" w:hAnsi="Segoe UI" w:cs="Segoe UI"/>
          <w:color w:val="212121"/>
        </w:rPr>
        <w:t xml:space="preserve">The data revealed </w:t>
      </w:r>
      <w:r w:rsidR="002B7428">
        <w:rPr>
          <w:rFonts w:ascii="Segoe UI" w:eastAsia="Times New Roman" w:hAnsi="Segoe UI" w:cs="Segoe UI"/>
          <w:color w:val="212121"/>
        </w:rPr>
        <w:t>two</w:t>
      </w:r>
      <w:r w:rsidR="00F7315D">
        <w:rPr>
          <w:rFonts w:ascii="Segoe UI" w:eastAsia="Times New Roman" w:hAnsi="Segoe UI" w:cs="Segoe UI"/>
          <w:color w:val="212121"/>
        </w:rPr>
        <w:t xml:space="preserve"> </w:t>
      </w:r>
      <w:r w:rsidR="002B7428">
        <w:rPr>
          <w:rFonts w:ascii="Segoe UI" w:eastAsia="Times New Roman" w:hAnsi="Segoe UI" w:cs="Segoe UI"/>
          <w:color w:val="212121"/>
        </w:rPr>
        <w:t>categories of</w:t>
      </w:r>
      <w:r>
        <w:rPr>
          <w:rFonts w:ascii="Segoe UI" w:eastAsia="Times New Roman" w:hAnsi="Segoe UI" w:cs="Segoe UI"/>
          <w:color w:val="212121"/>
        </w:rPr>
        <w:t xml:space="preserve"> Commonwealth</w:t>
      </w:r>
      <w:r w:rsidR="00F7315D">
        <w:rPr>
          <w:rFonts w:ascii="Segoe UI" w:eastAsia="Times New Roman" w:hAnsi="Segoe UI" w:cs="Segoe UI"/>
          <w:color w:val="212121"/>
        </w:rPr>
        <w:t xml:space="preserve"> </w:t>
      </w:r>
      <w:r>
        <w:rPr>
          <w:rFonts w:ascii="Segoe UI" w:eastAsia="Times New Roman" w:hAnsi="Segoe UI" w:cs="Segoe UI"/>
          <w:color w:val="212121"/>
        </w:rPr>
        <w:t>funding to the sector</w:t>
      </w:r>
      <w:r w:rsidR="00B264DD">
        <w:rPr>
          <w:rFonts w:ascii="Segoe UI" w:eastAsia="Times New Roman" w:hAnsi="Segoe UI" w:cs="Segoe UI"/>
          <w:color w:val="212121"/>
        </w:rPr>
        <w:t>:</w:t>
      </w:r>
      <w:r w:rsidR="000A497E">
        <w:rPr>
          <w:rFonts w:ascii="Segoe UI" w:eastAsia="Times New Roman" w:hAnsi="Segoe UI" w:cs="Segoe UI"/>
          <w:color w:val="212121"/>
        </w:rPr>
        <w:t xml:space="preserve"> </w:t>
      </w:r>
    </w:p>
    <w:p w14:paraId="06E4606A" w14:textId="77777777" w:rsidR="00F7315D" w:rsidRPr="0018554D" w:rsidRDefault="005962D6" w:rsidP="00C7202C">
      <w:pPr>
        <w:numPr>
          <w:ilvl w:val="0"/>
          <w:numId w:val="15"/>
        </w:numPr>
        <w:spacing w:after="0" w:line="259" w:lineRule="auto"/>
        <w:ind w:left="714" w:hanging="357"/>
        <w:rPr>
          <w:rFonts w:ascii="Segoe UI" w:eastAsia="Times New Roman" w:hAnsi="Segoe UI" w:cs="Segoe UI"/>
          <w:color w:val="212121"/>
        </w:rPr>
      </w:pPr>
      <w:r w:rsidRPr="00EC3640">
        <w:rPr>
          <w:rFonts w:ascii="Segoe UI" w:eastAsia="Times New Roman" w:hAnsi="Segoe UI" w:cs="Segoe UI"/>
          <w:b/>
          <w:color w:val="212121"/>
        </w:rPr>
        <w:t>Operating funding:</w:t>
      </w:r>
      <w:r>
        <w:rPr>
          <w:rFonts w:ascii="Segoe UI" w:eastAsia="Times New Roman" w:hAnsi="Segoe UI" w:cs="Segoe UI"/>
          <w:color w:val="212121"/>
        </w:rPr>
        <w:t xml:space="preserve"> </w:t>
      </w:r>
      <w:r w:rsidR="00C02325">
        <w:rPr>
          <w:rFonts w:ascii="Segoe UI" w:eastAsia="Times New Roman" w:hAnsi="Segoe UI" w:cs="Segoe UI"/>
          <w:color w:val="212121"/>
        </w:rPr>
        <w:t>Four agreements</w:t>
      </w:r>
      <w:r w:rsidR="00EC3640" w:rsidRPr="00EC3640">
        <w:rPr>
          <w:rStyle w:val="FootnoteReference"/>
          <w:rFonts w:ascii="Segoe UI" w:eastAsia="Times New Roman" w:hAnsi="Segoe UI" w:cs="Segoe UI"/>
          <w:color w:val="212121"/>
          <w:vertAlign w:val="superscript"/>
        </w:rPr>
        <w:footnoteReference w:id="5"/>
      </w:r>
      <w:r w:rsidR="00EC3640">
        <w:rPr>
          <w:rFonts w:ascii="Segoe UI" w:eastAsia="Times New Roman" w:hAnsi="Segoe UI" w:cs="Segoe UI"/>
          <w:color w:val="212121"/>
        </w:rPr>
        <w:t xml:space="preserve"> a</w:t>
      </w:r>
      <w:r w:rsidR="00C02325">
        <w:rPr>
          <w:rFonts w:ascii="Segoe UI" w:eastAsia="Times New Roman" w:hAnsi="Segoe UI" w:cs="Segoe UI"/>
          <w:color w:val="212121"/>
        </w:rPr>
        <w:t>ccount</w:t>
      </w:r>
      <w:r w:rsidR="007276F2">
        <w:rPr>
          <w:rFonts w:ascii="Segoe UI" w:eastAsia="Times New Roman" w:hAnsi="Segoe UI" w:cs="Segoe UI"/>
          <w:color w:val="212121"/>
        </w:rPr>
        <w:t xml:space="preserve"> </w:t>
      </w:r>
      <w:r w:rsidR="009A25C6">
        <w:rPr>
          <w:rFonts w:ascii="Segoe UI" w:eastAsia="Times New Roman" w:hAnsi="Segoe UI" w:cs="Segoe UI"/>
          <w:color w:val="212121"/>
        </w:rPr>
        <w:t xml:space="preserve">for </w:t>
      </w:r>
      <w:r w:rsidR="007276F2" w:rsidRPr="0018554D">
        <w:rPr>
          <w:rFonts w:ascii="Segoe UI" w:eastAsia="Times New Roman" w:hAnsi="Segoe UI" w:cs="Segoe UI"/>
          <w:color w:val="212121"/>
        </w:rPr>
        <w:t>28 per cent of total funding ($56 million across five years</w:t>
      </w:r>
      <w:r w:rsidR="002224F6">
        <w:rPr>
          <w:rFonts w:ascii="Segoe UI" w:eastAsia="Times New Roman" w:hAnsi="Segoe UI" w:cs="Segoe UI"/>
          <w:color w:val="212121"/>
        </w:rPr>
        <w:t>,</w:t>
      </w:r>
      <w:r w:rsidR="007276F2" w:rsidRPr="0018554D">
        <w:rPr>
          <w:rFonts w:ascii="Segoe UI" w:eastAsia="Times New Roman" w:hAnsi="Segoe UI" w:cs="Segoe UI"/>
          <w:color w:val="212121"/>
        </w:rPr>
        <w:t xml:space="preserve"> </w:t>
      </w:r>
      <w:r w:rsidR="007276F2">
        <w:rPr>
          <w:rFonts w:ascii="Segoe UI" w:eastAsia="Times New Roman" w:hAnsi="Segoe UI" w:cs="Segoe UI"/>
          <w:color w:val="212121"/>
        </w:rPr>
        <w:t xml:space="preserve">approximately </w:t>
      </w:r>
      <w:r w:rsidR="007276F2" w:rsidRPr="0018554D">
        <w:rPr>
          <w:rFonts w:ascii="Segoe UI" w:eastAsia="Times New Roman" w:hAnsi="Segoe UI" w:cs="Segoe UI"/>
          <w:color w:val="212121"/>
        </w:rPr>
        <w:t>$11 million annually).</w:t>
      </w:r>
      <w:r w:rsidR="007276F2">
        <w:rPr>
          <w:rFonts w:ascii="Segoe UI" w:eastAsia="Times New Roman" w:hAnsi="Segoe UI" w:cs="Segoe UI"/>
          <w:color w:val="212121"/>
        </w:rPr>
        <w:t xml:space="preserve"> </w:t>
      </w:r>
    </w:p>
    <w:p w14:paraId="06E4606B" w14:textId="77777777" w:rsidR="002A5978" w:rsidRPr="0018554D" w:rsidRDefault="005962D6" w:rsidP="00C7202C">
      <w:pPr>
        <w:numPr>
          <w:ilvl w:val="0"/>
          <w:numId w:val="15"/>
        </w:numPr>
        <w:spacing w:line="259" w:lineRule="auto"/>
        <w:rPr>
          <w:rFonts w:ascii="Segoe UI" w:eastAsia="Times New Roman" w:hAnsi="Segoe UI" w:cs="Segoe UI"/>
          <w:color w:val="212121"/>
        </w:rPr>
      </w:pPr>
      <w:r w:rsidRPr="00EC3640">
        <w:rPr>
          <w:rFonts w:ascii="Segoe UI" w:eastAsia="Times New Roman" w:hAnsi="Segoe UI" w:cs="Segoe UI"/>
          <w:b/>
          <w:color w:val="212121"/>
        </w:rPr>
        <w:t>Fee-for-service activities:</w:t>
      </w:r>
      <w:r>
        <w:rPr>
          <w:rFonts w:ascii="Segoe UI" w:eastAsia="Times New Roman" w:hAnsi="Segoe UI" w:cs="Segoe UI"/>
          <w:color w:val="212121"/>
        </w:rPr>
        <w:t xml:space="preserve"> T</w:t>
      </w:r>
      <w:r w:rsidR="002A5978" w:rsidRPr="3B2DF18C">
        <w:rPr>
          <w:rFonts w:ascii="Segoe UI" w:eastAsia="Times New Roman" w:hAnsi="Segoe UI" w:cs="Segoe UI"/>
          <w:color w:val="212121"/>
        </w:rPr>
        <w:t xml:space="preserve">he remaining </w:t>
      </w:r>
      <w:r w:rsidR="002C754F" w:rsidRPr="3B2DF18C">
        <w:rPr>
          <w:rFonts w:ascii="Segoe UI" w:eastAsia="Times New Roman" w:hAnsi="Segoe UI" w:cs="Segoe UI"/>
          <w:color w:val="212121"/>
        </w:rPr>
        <w:t>61</w:t>
      </w:r>
      <w:r w:rsidR="000741AD" w:rsidRPr="3B2DF18C">
        <w:rPr>
          <w:rFonts w:ascii="Segoe UI" w:eastAsia="Times New Roman" w:hAnsi="Segoe UI" w:cs="Segoe UI"/>
          <w:color w:val="212121"/>
        </w:rPr>
        <w:t>8</w:t>
      </w:r>
      <w:r w:rsidR="002A5978" w:rsidRPr="3B2DF18C">
        <w:rPr>
          <w:rFonts w:ascii="Segoe UI" w:eastAsia="Times New Roman" w:hAnsi="Segoe UI" w:cs="Segoe UI"/>
          <w:color w:val="212121"/>
        </w:rPr>
        <w:t xml:space="preserve"> agreements</w:t>
      </w:r>
      <w:r>
        <w:rPr>
          <w:rFonts w:ascii="Segoe UI" w:eastAsia="Times New Roman" w:hAnsi="Segoe UI" w:cs="Segoe UI"/>
          <w:color w:val="212121"/>
        </w:rPr>
        <w:t xml:space="preserve"> </w:t>
      </w:r>
      <w:r w:rsidR="007276F2">
        <w:rPr>
          <w:rFonts w:ascii="Segoe UI" w:eastAsia="Times New Roman" w:hAnsi="Segoe UI" w:cs="Segoe UI"/>
          <w:color w:val="212121"/>
        </w:rPr>
        <w:t>range from $</w:t>
      </w:r>
      <w:r w:rsidR="001C11A5">
        <w:rPr>
          <w:rFonts w:ascii="Segoe UI" w:eastAsia="Times New Roman" w:hAnsi="Segoe UI" w:cs="Segoe UI"/>
          <w:color w:val="212121"/>
        </w:rPr>
        <w:t>750</w:t>
      </w:r>
      <w:r w:rsidR="007276F2">
        <w:rPr>
          <w:rFonts w:ascii="Segoe UI" w:eastAsia="Times New Roman" w:hAnsi="Segoe UI" w:cs="Segoe UI"/>
          <w:color w:val="212121"/>
        </w:rPr>
        <w:t xml:space="preserve"> to $</w:t>
      </w:r>
      <w:r w:rsidR="001C11A5">
        <w:rPr>
          <w:rFonts w:ascii="Segoe UI" w:eastAsia="Times New Roman" w:hAnsi="Segoe UI" w:cs="Segoe UI"/>
          <w:color w:val="212121"/>
        </w:rPr>
        <w:t>10,047,274</w:t>
      </w:r>
      <w:r w:rsidR="007276F2">
        <w:rPr>
          <w:rFonts w:ascii="Segoe UI" w:eastAsia="Times New Roman" w:hAnsi="Segoe UI" w:cs="Segoe UI"/>
          <w:color w:val="212121"/>
        </w:rPr>
        <w:t xml:space="preserve"> and </w:t>
      </w:r>
      <w:r w:rsidR="002A5978" w:rsidRPr="3B2DF18C">
        <w:rPr>
          <w:rFonts w:ascii="Segoe UI" w:eastAsia="Times New Roman" w:hAnsi="Segoe UI" w:cs="Segoe UI"/>
          <w:color w:val="212121"/>
        </w:rPr>
        <w:t>average around $2</w:t>
      </w:r>
      <w:r w:rsidR="002C754F" w:rsidRPr="3B2DF18C">
        <w:rPr>
          <w:rFonts w:ascii="Segoe UI" w:eastAsia="Times New Roman" w:hAnsi="Segoe UI" w:cs="Segoe UI"/>
          <w:color w:val="212121"/>
        </w:rPr>
        <w:t>3</w:t>
      </w:r>
      <w:r w:rsidR="000741AD" w:rsidRPr="3B2DF18C">
        <w:rPr>
          <w:rFonts w:ascii="Segoe UI" w:eastAsia="Times New Roman" w:hAnsi="Segoe UI" w:cs="Segoe UI"/>
          <w:color w:val="212121"/>
        </w:rPr>
        <w:t>2</w:t>
      </w:r>
      <w:r w:rsidR="002A5978" w:rsidRPr="3B2DF18C">
        <w:rPr>
          <w:rFonts w:ascii="Segoe UI" w:eastAsia="Times New Roman" w:hAnsi="Segoe UI" w:cs="Segoe UI"/>
          <w:color w:val="212121"/>
        </w:rPr>
        <w:t>,0</w:t>
      </w:r>
      <w:r w:rsidR="001C11A5">
        <w:rPr>
          <w:rFonts w:ascii="Segoe UI" w:eastAsia="Times New Roman" w:hAnsi="Segoe UI" w:cs="Segoe UI"/>
          <w:color w:val="212121"/>
        </w:rPr>
        <w:t>33</w:t>
      </w:r>
      <w:r w:rsidR="002A5978" w:rsidRPr="3B2DF18C">
        <w:rPr>
          <w:rFonts w:ascii="Segoe UI" w:eastAsia="Times New Roman" w:hAnsi="Segoe UI" w:cs="Segoe UI"/>
          <w:color w:val="212121"/>
        </w:rPr>
        <w:t xml:space="preserve"> per agreement. These agreements account for the remaining 72 per cent of total funding</w:t>
      </w:r>
      <w:r w:rsidR="00F7315D" w:rsidRPr="3B2DF18C">
        <w:rPr>
          <w:rFonts w:ascii="Segoe UI" w:eastAsia="Times New Roman" w:hAnsi="Segoe UI" w:cs="Segoe UI"/>
          <w:color w:val="212121"/>
        </w:rPr>
        <w:t xml:space="preserve"> </w:t>
      </w:r>
      <w:r w:rsidR="002A5978" w:rsidRPr="3B2DF18C">
        <w:rPr>
          <w:rFonts w:ascii="Segoe UI" w:eastAsia="Times New Roman" w:hAnsi="Segoe UI" w:cs="Segoe UI"/>
          <w:color w:val="212121"/>
        </w:rPr>
        <w:t>($143 million across five years</w:t>
      </w:r>
      <w:r w:rsidR="002224F6">
        <w:rPr>
          <w:rFonts w:ascii="Segoe UI" w:eastAsia="Times New Roman" w:hAnsi="Segoe UI" w:cs="Segoe UI"/>
          <w:color w:val="212121"/>
        </w:rPr>
        <w:t>,</w:t>
      </w:r>
      <w:r w:rsidR="002A5978" w:rsidRPr="3B2DF18C">
        <w:rPr>
          <w:rFonts w:ascii="Segoe UI" w:eastAsia="Times New Roman" w:hAnsi="Segoe UI" w:cs="Segoe UI"/>
          <w:color w:val="212121"/>
        </w:rPr>
        <w:t xml:space="preserve"> </w:t>
      </w:r>
      <w:r w:rsidR="00F95901">
        <w:rPr>
          <w:rFonts w:ascii="Segoe UI" w:eastAsia="Times New Roman" w:hAnsi="Segoe UI" w:cs="Segoe UI"/>
          <w:color w:val="212121"/>
        </w:rPr>
        <w:t xml:space="preserve">approximately </w:t>
      </w:r>
      <w:r w:rsidR="002A5978" w:rsidRPr="3B2DF18C">
        <w:rPr>
          <w:rFonts w:ascii="Segoe UI" w:eastAsia="Times New Roman" w:hAnsi="Segoe UI" w:cs="Segoe UI"/>
          <w:color w:val="212121"/>
        </w:rPr>
        <w:t>$29 million annually).</w:t>
      </w:r>
    </w:p>
    <w:p w14:paraId="06E4606C" w14:textId="77777777" w:rsidR="00D163ED" w:rsidRPr="00963625" w:rsidRDefault="004E001B"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The data also highlighted that Commonwealth funding across</w:t>
      </w:r>
      <w:r w:rsidR="00E75764" w:rsidRPr="00963625">
        <w:rPr>
          <w:rFonts w:ascii="Segoe UI" w:eastAsia="Times New Roman" w:hAnsi="Segoe UI" w:cs="Segoe UI"/>
          <w:color w:val="212121"/>
        </w:rPr>
        <w:t xml:space="preserve"> both </w:t>
      </w:r>
      <w:r w:rsidR="00A43712" w:rsidRPr="00963625">
        <w:rPr>
          <w:rFonts w:ascii="Segoe UI" w:eastAsia="Times New Roman" w:hAnsi="Segoe UI" w:cs="Segoe UI"/>
          <w:color w:val="212121"/>
        </w:rPr>
        <w:t xml:space="preserve">operating </w:t>
      </w:r>
      <w:r w:rsidRPr="00963625">
        <w:rPr>
          <w:rFonts w:ascii="Segoe UI" w:eastAsia="Times New Roman" w:hAnsi="Segoe UI" w:cs="Segoe UI"/>
          <w:color w:val="212121"/>
        </w:rPr>
        <w:t xml:space="preserve">funding </w:t>
      </w:r>
      <w:r w:rsidR="00A43712" w:rsidRPr="00963625">
        <w:rPr>
          <w:rFonts w:ascii="Segoe UI" w:eastAsia="Times New Roman" w:hAnsi="Segoe UI" w:cs="Segoe UI"/>
          <w:color w:val="212121"/>
        </w:rPr>
        <w:t xml:space="preserve">and fee-for-service activities </w:t>
      </w:r>
      <w:r w:rsidRPr="00963625">
        <w:rPr>
          <w:rFonts w:ascii="Segoe UI" w:eastAsia="Times New Roman" w:hAnsi="Segoe UI" w:cs="Segoe UI"/>
          <w:color w:val="212121"/>
        </w:rPr>
        <w:t xml:space="preserve">is heavily concentrated towards a few organisations, with a long tail of </w:t>
      </w:r>
      <w:r w:rsidR="00A43712" w:rsidRPr="00963625">
        <w:rPr>
          <w:rFonts w:ascii="Segoe UI" w:eastAsia="Times New Roman" w:hAnsi="Segoe UI" w:cs="Segoe UI"/>
          <w:color w:val="212121"/>
        </w:rPr>
        <w:t xml:space="preserve">comparatively </w:t>
      </w:r>
      <w:r w:rsidRPr="00963625">
        <w:rPr>
          <w:rFonts w:ascii="Segoe UI" w:eastAsia="Times New Roman" w:hAnsi="Segoe UI" w:cs="Segoe UI"/>
          <w:color w:val="212121"/>
        </w:rPr>
        <w:t>minor funding agreements to the remaining organisations.</w:t>
      </w:r>
      <w:r w:rsidR="00D163ED" w:rsidRPr="00963625">
        <w:rPr>
          <w:rFonts w:ascii="Segoe UI" w:eastAsia="Times New Roman" w:hAnsi="Segoe UI" w:cs="Segoe UI"/>
          <w:color w:val="212121"/>
        </w:rPr>
        <w:t xml:space="preserve"> </w:t>
      </w:r>
    </w:p>
    <w:p w14:paraId="06E4606D" w14:textId="77777777" w:rsidR="001B149A" w:rsidRPr="00531969" w:rsidRDefault="009A2C5E" w:rsidP="00C7202C">
      <w:pPr>
        <w:pStyle w:val="ListParagraph"/>
        <w:numPr>
          <w:ilvl w:val="0"/>
          <w:numId w:val="21"/>
        </w:numPr>
        <w:spacing w:line="256" w:lineRule="auto"/>
        <w:rPr>
          <w:rFonts w:ascii="Segoe UI" w:eastAsia="Times New Roman" w:hAnsi="Segoe UI" w:cs="Segoe UI"/>
          <w:b/>
          <w:bCs/>
        </w:rPr>
      </w:pPr>
      <w:r>
        <w:rPr>
          <w:rFonts w:ascii="Segoe UI" w:eastAsia="Times New Roman" w:hAnsi="Segoe UI" w:cs="Segoe UI"/>
          <w:bCs/>
        </w:rPr>
        <w:t>The top e</w:t>
      </w:r>
      <w:r w:rsidR="007215E7" w:rsidRPr="00531969">
        <w:rPr>
          <w:rFonts w:ascii="Segoe UI" w:eastAsia="Times New Roman" w:hAnsi="Segoe UI" w:cs="Segoe UI"/>
          <w:bCs/>
        </w:rPr>
        <w:t>ight</w:t>
      </w:r>
      <w:r w:rsidR="00A43712" w:rsidRPr="00531969">
        <w:rPr>
          <w:rFonts w:ascii="Segoe UI" w:eastAsia="Times New Roman" w:hAnsi="Segoe UI" w:cs="Segoe UI"/>
          <w:bCs/>
        </w:rPr>
        <w:t xml:space="preserve"> organisations</w:t>
      </w:r>
      <w:r w:rsidR="00A43712" w:rsidRPr="00531969">
        <w:rPr>
          <w:rStyle w:val="FootnoteReference"/>
          <w:rFonts w:ascii="Segoe UI" w:eastAsia="Times New Roman" w:hAnsi="Segoe UI" w:cs="Segoe UI"/>
          <w:bCs/>
          <w:vertAlign w:val="superscript"/>
        </w:rPr>
        <w:footnoteReference w:id="6"/>
      </w:r>
      <w:r w:rsidR="00A43712" w:rsidRPr="00531969">
        <w:rPr>
          <w:rFonts w:ascii="Segoe UI" w:eastAsia="Times New Roman" w:hAnsi="Segoe UI" w:cs="Segoe UI"/>
          <w:bCs/>
        </w:rPr>
        <w:t xml:space="preserve"> received</w:t>
      </w:r>
      <w:r w:rsidR="00E75764" w:rsidRPr="00531969">
        <w:rPr>
          <w:rFonts w:ascii="Segoe UI" w:eastAsia="Times New Roman" w:hAnsi="Segoe UI" w:cs="Segoe UI"/>
          <w:bCs/>
        </w:rPr>
        <w:t xml:space="preserve"> a total of</w:t>
      </w:r>
      <w:r w:rsidR="0013329C" w:rsidRPr="00531969">
        <w:rPr>
          <w:rFonts w:ascii="Segoe UI" w:eastAsia="Times New Roman" w:hAnsi="Segoe UI" w:cs="Segoe UI"/>
          <w:bCs/>
        </w:rPr>
        <w:t xml:space="preserve"> </w:t>
      </w:r>
      <w:r w:rsidR="001F62A5" w:rsidRPr="00531969">
        <w:rPr>
          <w:rFonts w:ascii="Segoe UI" w:eastAsia="Times New Roman" w:hAnsi="Segoe UI" w:cs="Segoe UI"/>
          <w:bCs/>
        </w:rPr>
        <w:t>$1</w:t>
      </w:r>
      <w:r>
        <w:rPr>
          <w:rFonts w:ascii="Segoe UI" w:eastAsia="Times New Roman" w:hAnsi="Segoe UI" w:cs="Segoe UI"/>
          <w:bCs/>
        </w:rPr>
        <w:t>26,963,517</w:t>
      </w:r>
      <w:r w:rsidR="001F62A5" w:rsidRPr="00531969">
        <w:rPr>
          <w:rFonts w:ascii="Segoe UI" w:eastAsia="Times New Roman" w:hAnsi="Segoe UI" w:cs="Segoe UI"/>
          <w:bCs/>
        </w:rPr>
        <w:t xml:space="preserve"> over the Review timeframe, which represents 6</w:t>
      </w:r>
      <w:r>
        <w:rPr>
          <w:rFonts w:ascii="Segoe UI" w:eastAsia="Times New Roman" w:hAnsi="Segoe UI" w:cs="Segoe UI"/>
          <w:bCs/>
        </w:rPr>
        <w:t>3</w:t>
      </w:r>
      <w:r w:rsidR="001F62A5" w:rsidRPr="00531969">
        <w:rPr>
          <w:rFonts w:ascii="Segoe UI" w:eastAsia="Times New Roman" w:hAnsi="Segoe UI" w:cs="Segoe UI"/>
          <w:bCs/>
        </w:rPr>
        <w:t>.</w:t>
      </w:r>
      <w:r>
        <w:rPr>
          <w:rFonts w:ascii="Segoe UI" w:eastAsia="Times New Roman" w:hAnsi="Segoe UI" w:cs="Segoe UI"/>
          <w:bCs/>
        </w:rPr>
        <w:t>8</w:t>
      </w:r>
      <w:r w:rsidR="001F62A5" w:rsidRPr="00531969">
        <w:rPr>
          <w:rFonts w:ascii="Segoe UI" w:eastAsia="Times New Roman" w:hAnsi="Segoe UI" w:cs="Segoe UI"/>
          <w:bCs/>
        </w:rPr>
        <w:t xml:space="preserve"> per cent of total Commonwealth funding.</w:t>
      </w:r>
    </w:p>
    <w:p w14:paraId="06E4606E" w14:textId="77777777" w:rsidR="00A43712" w:rsidRPr="00531969" w:rsidRDefault="003C0AE2" w:rsidP="00C7202C">
      <w:pPr>
        <w:pStyle w:val="ListParagraph"/>
        <w:numPr>
          <w:ilvl w:val="0"/>
          <w:numId w:val="21"/>
        </w:numPr>
        <w:spacing w:line="257" w:lineRule="auto"/>
        <w:ind w:left="714" w:hanging="357"/>
        <w:contextualSpacing w:val="0"/>
        <w:rPr>
          <w:rFonts w:ascii="Segoe UI" w:eastAsia="Times New Roman" w:hAnsi="Segoe UI" w:cs="Segoe UI"/>
          <w:b/>
          <w:bCs/>
        </w:rPr>
      </w:pPr>
      <w:r>
        <w:rPr>
          <w:rFonts w:ascii="Segoe UI" w:eastAsia="Times New Roman" w:hAnsi="Segoe UI" w:cs="Segoe UI"/>
          <w:bCs/>
        </w:rPr>
        <w:t xml:space="preserve">The remaining </w:t>
      </w:r>
      <w:r w:rsidR="00A43712" w:rsidRPr="00531969">
        <w:rPr>
          <w:rFonts w:ascii="Segoe UI" w:eastAsia="Times New Roman" w:hAnsi="Segoe UI" w:cs="Segoe UI"/>
          <w:bCs/>
        </w:rPr>
        <w:t>1</w:t>
      </w:r>
      <w:r w:rsidR="009A2C5E">
        <w:rPr>
          <w:rFonts w:ascii="Segoe UI" w:eastAsia="Times New Roman" w:hAnsi="Segoe UI" w:cs="Segoe UI"/>
          <w:bCs/>
        </w:rPr>
        <w:t>67</w:t>
      </w:r>
      <w:r w:rsidR="00A43712" w:rsidRPr="00531969">
        <w:rPr>
          <w:rFonts w:ascii="Segoe UI" w:eastAsia="Times New Roman" w:hAnsi="Segoe UI" w:cs="Segoe UI"/>
          <w:bCs/>
        </w:rPr>
        <w:t xml:space="preserve"> organisations received $</w:t>
      </w:r>
      <w:r w:rsidR="009A2C5E">
        <w:rPr>
          <w:rFonts w:ascii="Segoe UI" w:eastAsia="Times New Roman" w:hAnsi="Segoe UI" w:cs="Segoe UI"/>
          <w:bCs/>
        </w:rPr>
        <w:t>71</w:t>
      </w:r>
      <w:r w:rsidR="007215E7" w:rsidRPr="00531969">
        <w:rPr>
          <w:rFonts w:ascii="Segoe UI" w:eastAsia="Times New Roman" w:hAnsi="Segoe UI" w:cs="Segoe UI"/>
          <w:bCs/>
        </w:rPr>
        <w:t>,</w:t>
      </w:r>
      <w:r w:rsidR="009A2C5E">
        <w:rPr>
          <w:rFonts w:ascii="Segoe UI" w:eastAsia="Times New Roman" w:hAnsi="Segoe UI" w:cs="Segoe UI"/>
          <w:bCs/>
        </w:rPr>
        <w:t>987</w:t>
      </w:r>
      <w:r w:rsidR="00C02325" w:rsidRPr="00531969">
        <w:rPr>
          <w:rFonts w:ascii="Segoe UI" w:eastAsia="Times New Roman" w:hAnsi="Segoe UI" w:cs="Segoe UI"/>
          <w:bCs/>
        </w:rPr>
        <w:t>,</w:t>
      </w:r>
      <w:r w:rsidR="009A2C5E">
        <w:rPr>
          <w:rFonts w:ascii="Segoe UI" w:eastAsia="Times New Roman" w:hAnsi="Segoe UI" w:cs="Segoe UI"/>
          <w:bCs/>
        </w:rPr>
        <w:t>771</w:t>
      </w:r>
      <w:r w:rsidR="00A43712" w:rsidRPr="00531969">
        <w:rPr>
          <w:rFonts w:ascii="Segoe UI" w:eastAsia="Times New Roman" w:hAnsi="Segoe UI" w:cs="Segoe UI"/>
          <w:bCs/>
        </w:rPr>
        <w:t xml:space="preserve"> over the review timeframe, representing 3</w:t>
      </w:r>
      <w:r w:rsidR="009A2C5E">
        <w:rPr>
          <w:rFonts w:ascii="Segoe UI" w:eastAsia="Times New Roman" w:hAnsi="Segoe UI" w:cs="Segoe UI"/>
          <w:bCs/>
        </w:rPr>
        <w:t>6</w:t>
      </w:r>
      <w:r w:rsidR="00A43712" w:rsidRPr="00531969">
        <w:rPr>
          <w:rFonts w:ascii="Segoe UI" w:eastAsia="Times New Roman" w:hAnsi="Segoe UI" w:cs="Segoe UI"/>
          <w:bCs/>
        </w:rPr>
        <w:t>.</w:t>
      </w:r>
      <w:r w:rsidR="009A2C5E">
        <w:rPr>
          <w:rFonts w:ascii="Segoe UI" w:eastAsia="Times New Roman" w:hAnsi="Segoe UI" w:cs="Segoe UI"/>
          <w:bCs/>
        </w:rPr>
        <w:t>2</w:t>
      </w:r>
      <w:r w:rsidR="006F3393" w:rsidRPr="00531969">
        <w:rPr>
          <w:rFonts w:ascii="Segoe UI" w:eastAsia="Times New Roman" w:hAnsi="Segoe UI" w:cs="Segoe UI"/>
          <w:bCs/>
        </w:rPr>
        <w:t> </w:t>
      </w:r>
      <w:r w:rsidR="00A43712" w:rsidRPr="00531969">
        <w:rPr>
          <w:rFonts w:ascii="Segoe UI" w:eastAsia="Times New Roman" w:hAnsi="Segoe UI" w:cs="Segoe UI"/>
          <w:bCs/>
        </w:rPr>
        <w:t>per</w:t>
      </w:r>
      <w:r w:rsidR="006F3393" w:rsidRPr="00531969">
        <w:rPr>
          <w:rFonts w:ascii="Segoe UI" w:eastAsia="Times New Roman" w:hAnsi="Segoe UI" w:cs="Segoe UI"/>
          <w:bCs/>
        </w:rPr>
        <w:t> </w:t>
      </w:r>
      <w:r w:rsidR="00A43712" w:rsidRPr="00531969">
        <w:rPr>
          <w:rFonts w:ascii="Segoe UI" w:eastAsia="Times New Roman" w:hAnsi="Segoe UI" w:cs="Segoe UI"/>
          <w:bCs/>
        </w:rPr>
        <w:t>cent of government funding and an average of $</w:t>
      </w:r>
      <w:r w:rsidR="00A33DB2" w:rsidRPr="00531969">
        <w:rPr>
          <w:rFonts w:ascii="Segoe UI" w:eastAsia="Times New Roman" w:hAnsi="Segoe UI" w:cs="Segoe UI"/>
          <w:bCs/>
        </w:rPr>
        <w:t>362</w:t>
      </w:r>
      <w:r w:rsidR="00C02325" w:rsidRPr="00531969">
        <w:rPr>
          <w:rFonts w:ascii="Segoe UI" w:eastAsia="Times New Roman" w:hAnsi="Segoe UI" w:cs="Segoe UI"/>
          <w:bCs/>
        </w:rPr>
        <w:t>,44</w:t>
      </w:r>
      <w:r w:rsidR="00A33DB2" w:rsidRPr="00531969">
        <w:rPr>
          <w:rFonts w:ascii="Segoe UI" w:eastAsia="Times New Roman" w:hAnsi="Segoe UI" w:cs="Segoe UI"/>
          <w:bCs/>
        </w:rPr>
        <w:t>5</w:t>
      </w:r>
      <w:r w:rsidR="00C02325" w:rsidRPr="00531969">
        <w:rPr>
          <w:rFonts w:ascii="Segoe UI" w:eastAsia="Times New Roman" w:hAnsi="Segoe UI" w:cs="Segoe UI"/>
          <w:bCs/>
        </w:rPr>
        <w:t xml:space="preserve"> </w:t>
      </w:r>
      <w:r w:rsidR="00A43712" w:rsidRPr="00531969">
        <w:rPr>
          <w:rFonts w:ascii="Segoe UI" w:eastAsia="Times New Roman" w:hAnsi="Segoe UI" w:cs="Segoe UI"/>
          <w:bCs/>
        </w:rPr>
        <w:t>per organisation.</w:t>
      </w:r>
    </w:p>
    <w:p w14:paraId="06E4606F" w14:textId="77777777" w:rsidR="00061DBF" w:rsidRDefault="00061DBF"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The Department of Defence</w:t>
      </w:r>
      <w:r w:rsidR="008D173E">
        <w:rPr>
          <w:rFonts w:ascii="Segoe UI" w:eastAsia="Times New Roman" w:hAnsi="Segoe UI" w:cs="Segoe UI"/>
          <w:color w:val="212121"/>
        </w:rPr>
        <w:t xml:space="preserve"> (Defence)</w:t>
      </w:r>
      <w:r>
        <w:rPr>
          <w:rFonts w:ascii="Segoe UI" w:eastAsia="Times New Roman" w:hAnsi="Segoe UI" w:cs="Segoe UI"/>
          <w:color w:val="212121"/>
        </w:rPr>
        <w:t xml:space="preserve"> spent the most on strategic policy work, $</w:t>
      </w:r>
      <w:r w:rsidDel="00021025">
        <w:rPr>
          <w:rFonts w:ascii="Segoe UI" w:eastAsia="Times New Roman" w:hAnsi="Segoe UI" w:cs="Segoe UI"/>
          <w:color w:val="212121"/>
        </w:rPr>
        <w:t>10</w:t>
      </w:r>
      <w:r w:rsidR="00223977" w:rsidDel="00021025">
        <w:rPr>
          <w:rFonts w:ascii="Segoe UI" w:eastAsia="Times New Roman" w:hAnsi="Segoe UI" w:cs="Segoe UI"/>
          <w:color w:val="212121"/>
        </w:rPr>
        <w:t>0</w:t>
      </w:r>
      <w:r>
        <w:rPr>
          <w:rFonts w:ascii="Segoe UI" w:eastAsia="Times New Roman" w:hAnsi="Segoe UI" w:cs="Segoe UI"/>
          <w:color w:val="212121"/>
        </w:rPr>
        <w:t xml:space="preserve"> million over the five year timeframe (5</w:t>
      </w:r>
      <w:r w:rsidR="00223977">
        <w:rPr>
          <w:rFonts w:ascii="Segoe UI" w:eastAsia="Times New Roman" w:hAnsi="Segoe UI" w:cs="Segoe UI"/>
          <w:color w:val="212121"/>
        </w:rPr>
        <w:t>0</w:t>
      </w:r>
      <w:r w:rsidR="00B264DD">
        <w:rPr>
          <w:rFonts w:ascii="Segoe UI" w:eastAsia="Times New Roman" w:hAnsi="Segoe UI" w:cs="Segoe UI"/>
          <w:color w:val="212121"/>
        </w:rPr>
        <w:t xml:space="preserve"> per cent</w:t>
      </w:r>
      <w:r>
        <w:rPr>
          <w:rFonts w:ascii="Segoe UI" w:eastAsia="Times New Roman" w:hAnsi="Segoe UI" w:cs="Segoe UI"/>
          <w:color w:val="212121"/>
        </w:rPr>
        <w:t xml:space="preserve"> of total funding). This dwarfs the Department of Foreign Affairs</w:t>
      </w:r>
      <w:r w:rsidR="006B5B50">
        <w:rPr>
          <w:rFonts w:ascii="Segoe UI" w:eastAsia="Times New Roman" w:hAnsi="Segoe UI" w:cs="Segoe UI"/>
          <w:color w:val="212121"/>
        </w:rPr>
        <w:t xml:space="preserve"> and Trade</w:t>
      </w:r>
      <w:r w:rsidR="001C2553">
        <w:rPr>
          <w:rFonts w:ascii="Segoe UI" w:eastAsia="Times New Roman" w:hAnsi="Segoe UI" w:cs="Segoe UI"/>
          <w:color w:val="212121"/>
        </w:rPr>
        <w:t xml:space="preserve"> (DFAT)</w:t>
      </w:r>
      <w:r>
        <w:rPr>
          <w:rFonts w:ascii="Segoe UI" w:eastAsia="Times New Roman" w:hAnsi="Segoe UI" w:cs="Segoe UI"/>
          <w:color w:val="212121"/>
        </w:rPr>
        <w:t xml:space="preserve">, </w:t>
      </w:r>
      <w:r w:rsidR="00223977">
        <w:rPr>
          <w:rFonts w:ascii="Segoe UI" w:eastAsia="Times New Roman" w:hAnsi="Segoe UI" w:cs="Segoe UI"/>
          <w:color w:val="212121"/>
        </w:rPr>
        <w:t>$36 million (</w:t>
      </w:r>
      <w:r>
        <w:rPr>
          <w:rFonts w:ascii="Segoe UI" w:eastAsia="Times New Roman" w:hAnsi="Segoe UI" w:cs="Segoe UI"/>
          <w:color w:val="212121"/>
        </w:rPr>
        <w:t>18</w:t>
      </w:r>
      <w:r w:rsidR="00B264DD">
        <w:rPr>
          <w:rFonts w:ascii="Segoe UI" w:eastAsia="Times New Roman" w:hAnsi="Segoe UI" w:cs="Segoe UI"/>
          <w:color w:val="212121"/>
        </w:rPr>
        <w:t xml:space="preserve"> per cent</w:t>
      </w:r>
      <w:r w:rsidR="00223977">
        <w:rPr>
          <w:rFonts w:ascii="Segoe UI" w:eastAsia="Times New Roman" w:hAnsi="Segoe UI" w:cs="Segoe UI"/>
          <w:color w:val="212121"/>
        </w:rPr>
        <w:t>)</w:t>
      </w:r>
      <w:r>
        <w:rPr>
          <w:rFonts w:ascii="Segoe UI" w:eastAsia="Times New Roman" w:hAnsi="Segoe UI" w:cs="Segoe UI"/>
          <w:color w:val="212121"/>
        </w:rPr>
        <w:t>, and the Office of National Intelligence</w:t>
      </w:r>
      <w:r w:rsidR="6BC94C6D" w:rsidRPr="1A370EBC">
        <w:rPr>
          <w:rFonts w:ascii="Segoe UI" w:eastAsia="Times New Roman" w:hAnsi="Segoe UI" w:cs="Segoe UI"/>
          <w:color w:val="212121"/>
        </w:rPr>
        <w:t xml:space="preserve"> </w:t>
      </w:r>
      <w:r w:rsidR="000E5999">
        <w:rPr>
          <w:rFonts w:ascii="Segoe UI" w:eastAsia="Times New Roman" w:hAnsi="Segoe UI" w:cs="Segoe UI"/>
          <w:color w:val="212121"/>
        </w:rPr>
        <w:t>(ONI)</w:t>
      </w:r>
      <w:r w:rsidR="00623D82">
        <w:rPr>
          <w:rFonts w:ascii="Segoe UI" w:eastAsia="Times New Roman" w:hAnsi="Segoe UI" w:cs="Segoe UI"/>
          <w:color w:val="212121"/>
        </w:rPr>
        <w:t xml:space="preserve">, </w:t>
      </w:r>
      <w:r w:rsidR="00223977">
        <w:rPr>
          <w:rFonts w:ascii="Segoe UI" w:eastAsia="Times New Roman" w:hAnsi="Segoe UI" w:cs="Segoe UI"/>
          <w:color w:val="212121"/>
        </w:rPr>
        <w:t>$19</w:t>
      </w:r>
      <w:r w:rsidR="00134A39">
        <w:rPr>
          <w:rFonts w:ascii="Segoe UI" w:eastAsia="Times New Roman" w:hAnsi="Segoe UI" w:cs="Segoe UI"/>
          <w:color w:val="212121"/>
        </w:rPr>
        <w:t> </w:t>
      </w:r>
      <w:r w:rsidR="00223977">
        <w:rPr>
          <w:rFonts w:ascii="Segoe UI" w:eastAsia="Times New Roman" w:hAnsi="Segoe UI" w:cs="Segoe UI"/>
          <w:color w:val="212121"/>
        </w:rPr>
        <w:t>million (10</w:t>
      </w:r>
      <w:r w:rsidR="00623D82">
        <w:rPr>
          <w:rFonts w:ascii="Segoe UI" w:eastAsia="Times New Roman" w:hAnsi="Segoe UI" w:cs="Segoe UI"/>
          <w:color w:val="212121"/>
        </w:rPr>
        <w:t> </w:t>
      </w:r>
      <w:r w:rsidR="00B264DD">
        <w:rPr>
          <w:rFonts w:ascii="Segoe UI" w:eastAsia="Times New Roman" w:hAnsi="Segoe UI" w:cs="Segoe UI"/>
          <w:color w:val="212121"/>
        </w:rPr>
        <w:t>per cent</w:t>
      </w:r>
      <w:r w:rsidR="00223977">
        <w:rPr>
          <w:rFonts w:ascii="Segoe UI" w:eastAsia="Times New Roman" w:hAnsi="Segoe UI" w:cs="Segoe UI"/>
          <w:color w:val="212121"/>
        </w:rPr>
        <w:t>)</w:t>
      </w:r>
      <w:r w:rsidR="002224F6">
        <w:rPr>
          <w:rFonts w:ascii="Segoe UI" w:eastAsia="Times New Roman" w:hAnsi="Segoe UI" w:cs="Segoe UI"/>
          <w:color w:val="212121"/>
        </w:rPr>
        <w:t>,</w:t>
      </w:r>
      <w:r w:rsidR="000A497E">
        <w:rPr>
          <w:rFonts w:ascii="Segoe UI" w:eastAsia="Times New Roman" w:hAnsi="Segoe UI" w:cs="Segoe UI"/>
          <w:color w:val="212121"/>
        </w:rPr>
        <w:t xml:space="preserve"> with most of ONI’s expenditure supporting deep and quite technical </w:t>
      </w:r>
      <w:r w:rsidR="000A497E">
        <w:rPr>
          <w:rFonts w:ascii="Segoe UI" w:eastAsia="Times New Roman" w:hAnsi="Segoe UI" w:cs="Segoe UI"/>
          <w:color w:val="212121"/>
        </w:rPr>
        <w:lastRenderedPageBreak/>
        <w:t>research on behalf of the intelligence community</w:t>
      </w:r>
      <w:r>
        <w:rPr>
          <w:rFonts w:ascii="Segoe UI" w:eastAsia="Times New Roman" w:hAnsi="Segoe UI" w:cs="Segoe UI"/>
          <w:color w:val="212121"/>
        </w:rPr>
        <w:t>. T</w:t>
      </w:r>
      <w:r w:rsidR="000A497E">
        <w:rPr>
          <w:rFonts w:ascii="Segoe UI" w:eastAsia="Times New Roman" w:hAnsi="Segoe UI" w:cs="Segoe UI"/>
          <w:color w:val="212121"/>
        </w:rPr>
        <w:t xml:space="preserve">hese variations </w:t>
      </w:r>
      <w:r>
        <w:rPr>
          <w:rFonts w:ascii="Segoe UI" w:eastAsia="Times New Roman" w:hAnsi="Segoe UI" w:cs="Segoe UI"/>
          <w:color w:val="212121"/>
        </w:rPr>
        <w:t>come as no surprise given Defence</w:t>
      </w:r>
      <w:r w:rsidR="00623D82">
        <w:rPr>
          <w:rFonts w:ascii="Segoe UI" w:eastAsia="Times New Roman" w:hAnsi="Segoe UI" w:cs="Segoe UI"/>
          <w:color w:val="212121"/>
        </w:rPr>
        <w:t>’s</w:t>
      </w:r>
      <w:r>
        <w:rPr>
          <w:rFonts w:ascii="Segoe UI" w:eastAsia="Times New Roman" w:hAnsi="Segoe UI" w:cs="Segoe UI"/>
          <w:color w:val="212121"/>
        </w:rPr>
        <w:t xml:space="preserve"> budget</w:t>
      </w:r>
      <w:r w:rsidR="00623D82">
        <w:rPr>
          <w:rFonts w:ascii="Segoe UI" w:eastAsia="Times New Roman" w:hAnsi="Segoe UI" w:cs="Segoe UI"/>
          <w:color w:val="212121"/>
        </w:rPr>
        <w:t xml:space="preserve"> compared to other</w:t>
      </w:r>
      <w:r>
        <w:rPr>
          <w:rFonts w:ascii="Segoe UI" w:eastAsia="Times New Roman" w:hAnsi="Segoe UI" w:cs="Segoe UI"/>
          <w:color w:val="212121"/>
        </w:rPr>
        <w:t xml:space="preserve"> SCNS agencies.</w:t>
      </w:r>
    </w:p>
    <w:p w14:paraId="06E46070" w14:textId="77777777" w:rsidR="00061DBF" w:rsidRDefault="000A497E"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 xml:space="preserve">Despite a perception in some quarters </w:t>
      </w:r>
      <w:r w:rsidR="00D045FF">
        <w:rPr>
          <w:rFonts w:ascii="Segoe UI" w:eastAsia="Times New Roman" w:hAnsi="Segoe UI" w:cs="Segoe UI"/>
          <w:color w:val="212121"/>
        </w:rPr>
        <w:t xml:space="preserve">that the Commonwealth prioritises funding international </w:t>
      </w:r>
      <w:r w:rsidR="00130CE5">
        <w:rPr>
          <w:rFonts w:ascii="Segoe UI" w:eastAsia="Times New Roman" w:hAnsi="Segoe UI" w:cs="Segoe UI"/>
          <w:color w:val="212121"/>
        </w:rPr>
        <w:t>experts over Australian</w:t>
      </w:r>
      <w:r w:rsidR="00B264DD">
        <w:rPr>
          <w:rFonts w:ascii="Segoe UI" w:eastAsia="Times New Roman" w:hAnsi="Segoe UI" w:cs="Segoe UI"/>
          <w:color w:val="212121"/>
        </w:rPr>
        <w:t>s</w:t>
      </w:r>
      <w:r w:rsidR="000223E7">
        <w:rPr>
          <w:rFonts w:ascii="Segoe UI" w:eastAsia="Times New Roman" w:hAnsi="Segoe UI" w:cs="Segoe UI"/>
          <w:color w:val="212121"/>
        </w:rPr>
        <w:t>,</w:t>
      </w:r>
      <w:r w:rsidR="256E32CB" w:rsidRPr="179B7595">
        <w:rPr>
          <w:rFonts w:ascii="Segoe UI" w:eastAsia="Times New Roman" w:hAnsi="Segoe UI" w:cs="Segoe UI"/>
          <w:color w:val="212121"/>
        </w:rPr>
        <w:t xml:space="preserve"> agreements </w:t>
      </w:r>
      <w:r w:rsidR="001B3231">
        <w:rPr>
          <w:rFonts w:ascii="Segoe UI" w:eastAsia="Times New Roman" w:hAnsi="Segoe UI" w:cs="Segoe UI"/>
          <w:color w:val="212121"/>
        </w:rPr>
        <w:t xml:space="preserve">with foreign-based entities </w:t>
      </w:r>
      <w:r w:rsidR="000223E7">
        <w:rPr>
          <w:rFonts w:ascii="Segoe UI" w:eastAsia="Times New Roman" w:hAnsi="Segoe UI" w:cs="Segoe UI"/>
          <w:color w:val="212121"/>
        </w:rPr>
        <w:t>only represented</w:t>
      </w:r>
      <w:r w:rsidR="00BD7000">
        <w:rPr>
          <w:rFonts w:ascii="Segoe UI" w:eastAsia="Times New Roman" w:hAnsi="Segoe UI" w:cs="Segoe UI"/>
          <w:color w:val="212121"/>
        </w:rPr>
        <w:t xml:space="preserve"> </w:t>
      </w:r>
      <w:r w:rsidR="00223977">
        <w:rPr>
          <w:rFonts w:ascii="Segoe UI" w:eastAsia="Times New Roman" w:hAnsi="Segoe UI" w:cs="Segoe UI"/>
          <w:color w:val="212121"/>
        </w:rPr>
        <w:t>5</w:t>
      </w:r>
      <w:r w:rsidR="006F3393">
        <w:rPr>
          <w:rFonts w:ascii="Segoe UI" w:eastAsia="Times New Roman" w:hAnsi="Segoe UI" w:cs="Segoe UI"/>
          <w:color w:val="212121"/>
        </w:rPr>
        <w:t> </w:t>
      </w:r>
      <w:r w:rsidR="00B264DD">
        <w:rPr>
          <w:rFonts w:ascii="Segoe UI" w:eastAsia="Times New Roman" w:hAnsi="Segoe UI" w:cs="Segoe UI"/>
          <w:color w:val="212121"/>
        </w:rPr>
        <w:t>per cent</w:t>
      </w:r>
      <w:r w:rsidR="00130CE5">
        <w:rPr>
          <w:rFonts w:ascii="Segoe UI" w:eastAsia="Times New Roman" w:hAnsi="Segoe UI" w:cs="Segoe UI"/>
          <w:color w:val="212121"/>
        </w:rPr>
        <w:t xml:space="preserve"> of total </w:t>
      </w:r>
      <w:r w:rsidR="00A24B0E">
        <w:rPr>
          <w:rFonts w:ascii="Segoe UI" w:eastAsia="Times New Roman" w:hAnsi="Segoe UI" w:cs="Segoe UI"/>
          <w:color w:val="212121"/>
        </w:rPr>
        <w:t>funding</w:t>
      </w:r>
      <w:r w:rsidR="00130CE5">
        <w:rPr>
          <w:rFonts w:ascii="Segoe UI" w:eastAsia="Times New Roman" w:hAnsi="Segoe UI" w:cs="Segoe UI"/>
          <w:color w:val="212121"/>
        </w:rPr>
        <w:t>.</w:t>
      </w:r>
    </w:p>
    <w:p w14:paraId="06E46071" w14:textId="77777777" w:rsidR="00C906D3" w:rsidRPr="00752A8B" w:rsidRDefault="0018554D" w:rsidP="785D1840">
      <w:pPr>
        <w:pStyle w:val="Heading2"/>
        <w:spacing w:line="259" w:lineRule="auto"/>
        <w:rPr>
          <w:rFonts w:cs="Segoe UI"/>
          <w:sz w:val="32"/>
          <w:szCs w:val="32"/>
        </w:rPr>
      </w:pPr>
      <w:bookmarkStart w:id="32" w:name="_Toc170307479"/>
      <w:bookmarkStart w:id="33" w:name="_Toc170383156"/>
      <w:bookmarkStart w:id="34" w:name="_Toc170980538"/>
      <w:bookmarkStart w:id="35" w:name="_Toc171004252"/>
      <w:bookmarkStart w:id="36" w:name="_Toc171074974"/>
      <w:bookmarkStart w:id="37" w:name="_Toc172665584"/>
      <w:r>
        <w:rPr>
          <w:rFonts w:cs="Segoe UI"/>
          <w:sz w:val="32"/>
          <w:szCs w:val="32"/>
        </w:rPr>
        <w:t>W</w:t>
      </w:r>
      <w:r w:rsidR="00C906D3" w:rsidRPr="00752A8B">
        <w:rPr>
          <w:rFonts w:cs="Segoe UI"/>
          <w:sz w:val="32"/>
          <w:szCs w:val="32"/>
        </w:rPr>
        <w:t>e need think tanks and commissioned research</w:t>
      </w:r>
      <w:bookmarkEnd w:id="32"/>
      <w:bookmarkEnd w:id="33"/>
      <w:bookmarkEnd w:id="34"/>
      <w:bookmarkEnd w:id="35"/>
      <w:bookmarkEnd w:id="36"/>
      <w:r>
        <w:rPr>
          <w:rFonts w:cs="Segoe UI"/>
          <w:sz w:val="32"/>
          <w:szCs w:val="32"/>
        </w:rPr>
        <w:t>…</w:t>
      </w:r>
      <w:bookmarkEnd w:id="37"/>
    </w:p>
    <w:p w14:paraId="06E46072" w14:textId="77777777" w:rsidR="00946EEF" w:rsidRPr="00752A8B" w:rsidRDefault="001547E4"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752A8B">
        <w:rPr>
          <w:rFonts w:ascii="Segoe UI" w:eastAsia="Times New Roman" w:hAnsi="Segoe UI" w:cs="Segoe UI"/>
          <w:color w:val="212121"/>
        </w:rPr>
        <w:t>Think tanks and commissioned strategic policy analysis contribute to policy making by subjecting policy positions to critical scrutiny, promoting public understanding of the strategic policy challenges facing Australia</w:t>
      </w:r>
      <w:r w:rsidR="59AAE79D" w:rsidRPr="00752A8B">
        <w:rPr>
          <w:rFonts w:ascii="Segoe UI" w:eastAsia="Times New Roman" w:hAnsi="Segoe UI" w:cs="Segoe UI"/>
          <w:color w:val="212121"/>
        </w:rPr>
        <w:t>,</w:t>
      </w:r>
      <w:r w:rsidRPr="00752A8B">
        <w:rPr>
          <w:rFonts w:ascii="Segoe UI" w:eastAsia="Times New Roman" w:hAnsi="Segoe UI" w:cs="Segoe UI"/>
          <w:color w:val="212121"/>
        </w:rPr>
        <w:t xml:space="preserve"> and building </w:t>
      </w:r>
      <w:r w:rsidR="009E48FC" w:rsidRPr="00752A8B">
        <w:rPr>
          <w:rFonts w:ascii="Segoe UI" w:eastAsia="Times New Roman" w:hAnsi="Segoe UI" w:cs="Segoe UI"/>
          <w:color w:val="212121"/>
        </w:rPr>
        <w:t xml:space="preserve">the </w:t>
      </w:r>
      <w:r w:rsidRPr="00752A8B">
        <w:rPr>
          <w:rFonts w:ascii="Segoe UI" w:eastAsia="Times New Roman" w:hAnsi="Segoe UI" w:cs="Segoe UI"/>
          <w:color w:val="212121"/>
        </w:rPr>
        <w:t xml:space="preserve">cohort of strategic analysts in Australia. </w:t>
      </w:r>
    </w:p>
    <w:p w14:paraId="06E46073" w14:textId="77777777" w:rsidR="00946EEF" w:rsidRPr="00752A8B" w:rsidRDefault="049A7632" w:rsidP="001A339A">
      <w:pPr>
        <w:pStyle w:val="ListParagraph"/>
        <w:numPr>
          <w:ilvl w:val="0"/>
          <w:numId w:val="22"/>
        </w:numPr>
        <w:spacing w:line="259" w:lineRule="auto"/>
        <w:ind w:left="0" w:firstLine="0"/>
        <w:contextualSpacing w:val="0"/>
        <w:rPr>
          <w:rFonts w:ascii="Segoe UI" w:eastAsia="Times New Roman" w:hAnsi="Segoe UI" w:cs="Segoe UI"/>
          <w:color w:val="212121"/>
        </w:rPr>
      </w:pPr>
      <w:r w:rsidRPr="755A0839">
        <w:rPr>
          <w:rFonts w:ascii="Segoe UI" w:eastAsia="Times New Roman" w:hAnsi="Segoe UI" w:cs="Segoe UI"/>
          <w:color w:val="212121"/>
        </w:rPr>
        <w:t>T</w:t>
      </w:r>
      <w:r w:rsidR="70C70F4A" w:rsidRPr="755A0839">
        <w:rPr>
          <w:rFonts w:ascii="Segoe UI" w:eastAsia="Times New Roman" w:hAnsi="Segoe UI" w:cs="Segoe UI"/>
          <w:color w:val="212121"/>
        </w:rPr>
        <w:t>he sector acts as a bridge between Government</w:t>
      </w:r>
      <w:r w:rsidRPr="755A0839">
        <w:rPr>
          <w:rFonts w:ascii="Segoe UI" w:eastAsia="Times New Roman" w:hAnsi="Segoe UI" w:cs="Segoe UI"/>
          <w:color w:val="212121"/>
        </w:rPr>
        <w:t>, the Academy</w:t>
      </w:r>
      <w:r w:rsidR="009A25C6">
        <w:rPr>
          <w:rFonts w:ascii="Segoe UI" w:eastAsia="Times New Roman" w:hAnsi="Segoe UI" w:cs="Segoe UI"/>
          <w:color w:val="212121"/>
        </w:rPr>
        <w:t>,</w:t>
      </w:r>
      <w:r w:rsidR="70C70F4A" w:rsidRPr="755A0839">
        <w:rPr>
          <w:rFonts w:ascii="Segoe UI" w:eastAsia="Times New Roman" w:hAnsi="Segoe UI" w:cs="Segoe UI"/>
          <w:color w:val="212121"/>
        </w:rPr>
        <w:t xml:space="preserve"> and the public. </w:t>
      </w:r>
      <w:r w:rsidR="69520FFC" w:rsidRPr="75E71512">
        <w:rPr>
          <w:rFonts w:ascii="Segoe UI" w:eastAsia="Times New Roman" w:hAnsi="Segoe UI" w:cs="Segoe UI"/>
          <w:color w:val="212121"/>
        </w:rPr>
        <w:t>It</w:t>
      </w:r>
      <w:r w:rsidR="559692CC" w:rsidRPr="755A0839">
        <w:rPr>
          <w:rFonts w:ascii="Segoe UI" w:eastAsia="Times New Roman" w:hAnsi="Segoe UI" w:cs="Segoe UI"/>
          <w:color w:val="212121"/>
        </w:rPr>
        <w:t xml:space="preserve"> </w:t>
      </w:r>
      <w:r w:rsidR="17D6EAF9" w:rsidRPr="755A0839">
        <w:rPr>
          <w:rFonts w:ascii="Segoe UI" w:eastAsia="Times New Roman" w:hAnsi="Segoe UI" w:cs="Segoe UI"/>
          <w:color w:val="212121"/>
        </w:rPr>
        <w:t>create</w:t>
      </w:r>
      <w:r w:rsidR="4C58AA88" w:rsidRPr="755A0839">
        <w:rPr>
          <w:rFonts w:ascii="Segoe UI" w:eastAsia="Times New Roman" w:hAnsi="Segoe UI" w:cs="Segoe UI"/>
          <w:color w:val="212121"/>
        </w:rPr>
        <w:t>s</w:t>
      </w:r>
      <w:r w:rsidR="17D6EAF9" w:rsidRPr="755A0839">
        <w:rPr>
          <w:rFonts w:ascii="Segoe UI" w:eastAsia="Times New Roman" w:hAnsi="Segoe UI" w:cs="Segoe UI"/>
          <w:color w:val="212121"/>
        </w:rPr>
        <w:t xml:space="preserve"> </w:t>
      </w:r>
      <w:r w:rsidR="1BB499C2" w:rsidRPr="755A0839">
        <w:rPr>
          <w:rFonts w:ascii="Segoe UI" w:eastAsia="Times New Roman" w:hAnsi="Segoe UI" w:cs="Segoe UI"/>
          <w:color w:val="212121"/>
        </w:rPr>
        <w:t xml:space="preserve">analytical material </w:t>
      </w:r>
      <w:r w:rsidR="3716B122" w:rsidRPr="755A0839">
        <w:rPr>
          <w:rFonts w:ascii="Segoe UI" w:eastAsia="Times New Roman" w:hAnsi="Segoe UI" w:cs="Segoe UI"/>
          <w:color w:val="212121"/>
        </w:rPr>
        <w:t>to increase</w:t>
      </w:r>
      <w:r w:rsidR="70C70F4A" w:rsidRPr="755A0839">
        <w:rPr>
          <w:rFonts w:ascii="Segoe UI" w:eastAsia="Times New Roman" w:hAnsi="Segoe UI" w:cs="Segoe UI"/>
          <w:color w:val="212121"/>
        </w:rPr>
        <w:t xml:space="preserve"> transparency</w:t>
      </w:r>
      <w:r w:rsidR="009A25C6">
        <w:rPr>
          <w:rFonts w:ascii="Segoe UI" w:eastAsia="Times New Roman" w:hAnsi="Segoe UI" w:cs="Segoe UI"/>
          <w:color w:val="212121"/>
        </w:rPr>
        <w:t>,</w:t>
      </w:r>
      <w:r w:rsidR="000661AA">
        <w:rPr>
          <w:rFonts w:ascii="Segoe UI" w:eastAsia="Times New Roman" w:hAnsi="Segoe UI" w:cs="Segoe UI"/>
          <w:color w:val="212121"/>
        </w:rPr>
        <w:t xml:space="preserve"> </w:t>
      </w:r>
      <w:r w:rsidR="1BB499C2" w:rsidRPr="755A0839">
        <w:rPr>
          <w:rFonts w:ascii="Segoe UI" w:eastAsia="Times New Roman" w:hAnsi="Segoe UI" w:cs="Segoe UI"/>
          <w:color w:val="212121"/>
        </w:rPr>
        <w:t>public understanding</w:t>
      </w:r>
      <w:r w:rsidR="009A25C6">
        <w:rPr>
          <w:rFonts w:ascii="Segoe UI" w:eastAsia="Times New Roman" w:hAnsi="Segoe UI" w:cs="Segoe UI"/>
          <w:color w:val="212121"/>
        </w:rPr>
        <w:t>,</w:t>
      </w:r>
      <w:r w:rsidR="1BB499C2" w:rsidRPr="755A0839">
        <w:rPr>
          <w:rFonts w:ascii="Segoe UI" w:eastAsia="Times New Roman" w:hAnsi="Segoe UI" w:cs="Segoe UI"/>
          <w:color w:val="212121"/>
        </w:rPr>
        <w:t xml:space="preserve"> and scrutiny of </w:t>
      </w:r>
      <w:r w:rsidRPr="755A0839">
        <w:rPr>
          <w:rFonts w:ascii="Segoe UI" w:eastAsia="Times New Roman" w:hAnsi="Segoe UI" w:cs="Segoe UI"/>
          <w:color w:val="212121"/>
        </w:rPr>
        <w:t xml:space="preserve">national security </w:t>
      </w:r>
      <w:r w:rsidR="1BB499C2" w:rsidRPr="755A0839">
        <w:rPr>
          <w:rFonts w:ascii="Segoe UI" w:eastAsia="Times New Roman" w:hAnsi="Segoe UI" w:cs="Segoe UI"/>
          <w:color w:val="212121"/>
        </w:rPr>
        <w:t xml:space="preserve">issues. </w:t>
      </w:r>
      <w:r w:rsidR="007276F2">
        <w:rPr>
          <w:rFonts w:ascii="Segoe UI" w:eastAsia="Times New Roman" w:hAnsi="Segoe UI" w:cs="Segoe UI"/>
          <w:color w:val="212121"/>
        </w:rPr>
        <w:t xml:space="preserve">Think tanks </w:t>
      </w:r>
      <w:r w:rsidR="05D5F8C1" w:rsidRPr="755A0839">
        <w:rPr>
          <w:rFonts w:ascii="Segoe UI" w:eastAsia="Times New Roman" w:hAnsi="Segoe UI" w:cs="Segoe UI"/>
          <w:color w:val="212121"/>
        </w:rPr>
        <w:t>draw</w:t>
      </w:r>
      <w:r w:rsidR="001C11A5">
        <w:rPr>
          <w:rFonts w:ascii="Segoe UI" w:eastAsia="Times New Roman" w:hAnsi="Segoe UI" w:cs="Segoe UI"/>
          <w:color w:val="212121"/>
        </w:rPr>
        <w:t xml:space="preserve"> </w:t>
      </w:r>
      <w:r w:rsidR="05D5F8C1" w:rsidRPr="755A0839">
        <w:rPr>
          <w:rFonts w:ascii="Segoe UI" w:eastAsia="Times New Roman" w:hAnsi="Segoe UI" w:cs="Segoe UI"/>
          <w:color w:val="212121"/>
        </w:rPr>
        <w:t xml:space="preserve">from the deep </w:t>
      </w:r>
      <w:r w:rsidR="007276F2">
        <w:rPr>
          <w:rFonts w:ascii="Segoe UI" w:eastAsia="Times New Roman" w:hAnsi="Segoe UI" w:cs="Segoe UI"/>
          <w:color w:val="212121"/>
        </w:rPr>
        <w:t xml:space="preserve">open-source </w:t>
      </w:r>
      <w:r w:rsidR="05D5F8C1" w:rsidRPr="755A0839">
        <w:rPr>
          <w:rFonts w:ascii="Segoe UI" w:eastAsia="Times New Roman" w:hAnsi="Segoe UI" w:cs="Segoe UI"/>
          <w:color w:val="212121"/>
        </w:rPr>
        <w:t xml:space="preserve">research conducted by the academic sector, </w:t>
      </w:r>
      <w:r w:rsidR="253E665E" w:rsidRPr="755A0839">
        <w:rPr>
          <w:rFonts w:ascii="Segoe UI" w:eastAsia="Times New Roman" w:hAnsi="Segoe UI" w:cs="Segoe UI"/>
          <w:color w:val="212121"/>
        </w:rPr>
        <w:t xml:space="preserve">but </w:t>
      </w:r>
      <w:r w:rsidR="14864634" w:rsidRPr="1042313F">
        <w:rPr>
          <w:rFonts w:ascii="Segoe UI" w:eastAsia="Times New Roman" w:hAnsi="Segoe UI" w:cs="Segoe UI"/>
          <w:color w:val="212121"/>
        </w:rPr>
        <w:t>provide</w:t>
      </w:r>
      <w:r w:rsidR="05D5F8C1" w:rsidRPr="755A0839">
        <w:rPr>
          <w:rFonts w:ascii="Segoe UI" w:eastAsia="Times New Roman" w:hAnsi="Segoe UI" w:cs="Segoe UI"/>
          <w:color w:val="212121"/>
        </w:rPr>
        <w:t xml:space="preserve"> more succinct, </w:t>
      </w:r>
      <w:r w:rsidR="253E665E" w:rsidRPr="755A0839">
        <w:rPr>
          <w:rFonts w:ascii="Segoe UI" w:eastAsia="Times New Roman" w:hAnsi="Segoe UI" w:cs="Segoe UI"/>
          <w:color w:val="212121"/>
        </w:rPr>
        <w:t xml:space="preserve">timely and </w:t>
      </w:r>
      <w:r w:rsidR="05D5F8C1" w:rsidRPr="755A0839">
        <w:rPr>
          <w:rFonts w:ascii="Segoe UI" w:eastAsia="Times New Roman" w:hAnsi="Segoe UI" w:cs="Segoe UI"/>
          <w:color w:val="212121"/>
        </w:rPr>
        <w:t xml:space="preserve">policy-relevant </w:t>
      </w:r>
      <w:r w:rsidR="0500401F" w:rsidRPr="755A0839">
        <w:rPr>
          <w:rFonts w:ascii="Segoe UI" w:eastAsia="Times New Roman" w:hAnsi="Segoe UI" w:cs="Segoe UI"/>
          <w:color w:val="212121"/>
        </w:rPr>
        <w:t>products</w:t>
      </w:r>
      <w:r w:rsidR="05D5F8C1" w:rsidRPr="755A0839">
        <w:rPr>
          <w:rFonts w:ascii="Segoe UI" w:eastAsia="Times New Roman" w:hAnsi="Segoe UI" w:cs="Segoe UI"/>
          <w:color w:val="212121"/>
        </w:rPr>
        <w:t xml:space="preserve"> with forward looking recommendations. </w:t>
      </w:r>
      <w:r w:rsidR="70C70F4A" w:rsidRPr="755A0839">
        <w:rPr>
          <w:rFonts w:ascii="Segoe UI" w:eastAsia="Times New Roman" w:hAnsi="Segoe UI" w:cs="Segoe UI"/>
          <w:color w:val="212121"/>
        </w:rPr>
        <w:t>The sector’s events provide a platform for engagement between Government</w:t>
      </w:r>
      <w:r w:rsidR="3A1345ED" w:rsidRPr="755A0839">
        <w:rPr>
          <w:rFonts w:ascii="Segoe UI" w:eastAsia="Times New Roman" w:hAnsi="Segoe UI" w:cs="Segoe UI"/>
          <w:color w:val="212121"/>
        </w:rPr>
        <w:t>, non-government experts,</w:t>
      </w:r>
      <w:r w:rsidR="70C70F4A" w:rsidRPr="755A0839">
        <w:rPr>
          <w:rFonts w:ascii="Segoe UI" w:eastAsia="Times New Roman" w:hAnsi="Segoe UI" w:cs="Segoe UI"/>
          <w:color w:val="212121"/>
        </w:rPr>
        <w:t xml:space="preserve"> and the public on national security issues. </w:t>
      </w:r>
      <w:r w:rsidR="2A161689" w:rsidRPr="755A0839">
        <w:rPr>
          <w:rFonts w:ascii="Segoe UI" w:eastAsia="Times New Roman" w:hAnsi="Segoe UI" w:cs="Segoe UI"/>
          <w:color w:val="212121"/>
        </w:rPr>
        <w:t>Teaching and p</w:t>
      </w:r>
      <w:r w:rsidR="25E13A07" w:rsidRPr="755A0839">
        <w:rPr>
          <w:rFonts w:ascii="Segoe UI" w:eastAsia="Times New Roman" w:hAnsi="Segoe UI" w:cs="Segoe UI"/>
          <w:color w:val="212121"/>
        </w:rPr>
        <w:t xml:space="preserve">rofessional development activities </w:t>
      </w:r>
      <w:r w:rsidR="057BB814" w:rsidRPr="755A0839">
        <w:rPr>
          <w:rFonts w:ascii="Segoe UI" w:eastAsia="Times New Roman" w:hAnsi="Segoe UI" w:cs="Segoe UI"/>
          <w:color w:val="212121"/>
        </w:rPr>
        <w:t>build</w:t>
      </w:r>
      <w:r w:rsidR="25E13A07" w:rsidRPr="755A0839">
        <w:rPr>
          <w:rFonts w:ascii="Segoe UI" w:eastAsia="Times New Roman" w:hAnsi="Segoe UI" w:cs="Segoe UI"/>
          <w:color w:val="212121"/>
        </w:rPr>
        <w:t xml:space="preserve"> </w:t>
      </w:r>
      <w:r w:rsidR="5D64256A" w:rsidRPr="755A0839">
        <w:rPr>
          <w:rFonts w:ascii="Segoe UI" w:eastAsia="Times New Roman" w:hAnsi="Segoe UI" w:cs="Segoe UI"/>
          <w:color w:val="212121"/>
        </w:rPr>
        <w:t xml:space="preserve">national security practitioners’ </w:t>
      </w:r>
      <w:r w:rsidR="25E13A07" w:rsidRPr="755A0839">
        <w:rPr>
          <w:rFonts w:ascii="Segoe UI" w:eastAsia="Times New Roman" w:hAnsi="Segoe UI" w:cs="Segoe UI"/>
          <w:color w:val="212121"/>
        </w:rPr>
        <w:t xml:space="preserve">expertise </w:t>
      </w:r>
      <w:r w:rsidR="70045AF5" w:rsidRPr="755A0839">
        <w:rPr>
          <w:rFonts w:ascii="Segoe UI" w:eastAsia="Times New Roman" w:hAnsi="Segoe UI" w:cs="Segoe UI"/>
          <w:color w:val="212121"/>
        </w:rPr>
        <w:t xml:space="preserve">and </w:t>
      </w:r>
      <w:r w:rsidR="5320A7B5" w:rsidRPr="755A0839">
        <w:rPr>
          <w:rFonts w:ascii="Segoe UI" w:eastAsia="Times New Roman" w:hAnsi="Segoe UI" w:cs="Segoe UI"/>
          <w:color w:val="212121"/>
        </w:rPr>
        <w:t xml:space="preserve">create </w:t>
      </w:r>
      <w:r w:rsidR="70045AF5" w:rsidRPr="755A0839">
        <w:rPr>
          <w:rFonts w:ascii="Segoe UI" w:eastAsia="Times New Roman" w:hAnsi="Segoe UI" w:cs="Segoe UI"/>
          <w:color w:val="212121"/>
        </w:rPr>
        <w:t xml:space="preserve">a </w:t>
      </w:r>
      <w:r w:rsidR="004073B2">
        <w:rPr>
          <w:rFonts w:ascii="Segoe UI" w:eastAsia="Times New Roman" w:hAnsi="Segoe UI" w:cs="Segoe UI"/>
          <w:color w:val="212121"/>
        </w:rPr>
        <w:t xml:space="preserve">talent </w:t>
      </w:r>
      <w:r w:rsidR="25E13A07" w:rsidRPr="755A0839">
        <w:rPr>
          <w:rFonts w:ascii="Segoe UI" w:eastAsia="Times New Roman" w:hAnsi="Segoe UI" w:cs="Segoe UI"/>
          <w:color w:val="212121"/>
        </w:rPr>
        <w:t xml:space="preserve">pipeline. </w:t>
      </w:r>
    </w:p>
    <w:p w14:paraId="06E46074" w14:textId="77777777" w:rsidR="000A497E" w:rsidRDefault="000A497E"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At its best, t</w:t>
      </w:r>
      <w:r w:rsidR="00A24B0E" w:rsidRPr="4CEFA247">
        <w:rPr>
          <w:rFonts w:ascii="Segoe UI" w:eastAsia="Times New Roman" w:hAnsi="Segoe UI" w:cs="Segoe UI"/>
          <w:color w:val="212121"/>
        </w:rPr>
        <w:t>he</w:t>
      </w:r>
      <w:r w:rsidR="00A24B0E">
        <w:rPr>
          <w:rFonts w:ascii="Segoe UI" w:eastAsia="Times New Roman" w:hAnsi="Segoe UI" w:cs="Segoe UI"/>
          <w:color w:val="212121"/>
        </w:rPr>
        <w:t xml:space="preserve"> sector </w:t>
      </w:r>
      <w:r w:rsidR="00A24B0E" w:rsidRPr="4CEFA247">
        <w:rPr>
          <w:rFonts w:ascii="Segoe UI" w:eastAsia="Times New Roman" w:hAnsi="Segoe UI" w:cs="Segoe UI"/>
          <w:color w:val="212121"/>
        </w:rPr>
        <w:t>generate</w:t>
      </w:r>
      <w:r w:rsidR="19C29854" w:rsidRPr="4CEFA247">
        <w:rPr>
          <w:rFonts w:ascii="Segoe UI" w:eastAsia="Times New Roman" w:hAnsi="Segoe UI" w:cs="Segoe UI"/>
          <w:color w:val="212121"/>
        </w:rPr>
        <w:t>s</w:t>
      </w:r>
      <w:r w:rsidR="00A24B0E">
        <w:rPr>
          <w:rFonts w:ascii="Segoe UI" w:eastAsia="Times New Roman" w:hAnsi="Segoe UI" w:cs="Segoe UI"/>
          <w:color w:val="212121"/>
        </w:rPr>
        <w:t xml:space="preserve"> true policy contestability. </w:t>
      </w:r>
      <w:r w:rsidR="00A24B0E" w:rsidRPr="7BF2D87E">
        <w:rPr>
          <w:rFonts w:ascii="Segoe UI" w:eastAsia="Times New Roman" w:hAnsi="Segoe UI" w:cs="Segoe UI"/>
          <w:color w:val="212121"/>
        </w:rPr>
        <w:t xml:space="preserve">Being </w:t>
      </w:r>
      <w:r w:rsidR="00A24B0E" w:rsidRPr="00752A8B">
        <w:rPr>
          <w:rFonts w:ascii="Segoe UI" w:eastAsia="Times New Roman" w:hAnsi="Segoe UI" w:cs="Segoe UI"/>
          <w:color w:val="212121"/>
        </w:rPr>
        <w:t>unencumbered</w:t>
      </w:r>
      <w:r w:rsidR="00A24B0E" w:rsidRPr="7BF2D87E">
        <w:rPr>
          <w:rFonts w:ascii="Segoe UI" w:eastAsia="Times New Roman" w:hAnsi="Segoe UI" w:cs="Segoe UI"/>
          <w:color w:val="212121"/>
        </w:rPr>
        <w:t xml:space="preserve"> by the government’s bureaucracy and direction allows think tanks to think innovatively, </w:t>
      </w:r>
      <w:r w:rsidR="38E5333D" w:rsidRPr="4CEFA247">
        <w:rPr>
          <w:rFonts w:ascii="Segoe UI" w:eastAsia="Times New Roman" w:hAnsi="Segoe UI" w:cs="Segoe UI"/>
          <w:color w:val="212121"/>
        </w:rPr>
        <w:t xml:space="preserve">challenge existing </w:t>
      </w:r>
      <w:r w:rsidR="00CB2493">
        <w:rPr>
          <w:rFonts w:ascii="Segoe UI" w:eastAsia="Times New Roman" w:hAnsi="Segoe UI" w:cs="Segoe UI"/>
          <w:color w:val="212121"/>
        </w:rPr>
        <w:t>ideas</w:t>
      </w:r>
      <w:r w:rsidR="00A43712">
        <w:rPr>
          <w:rFonts w:ascii="Segoe UI" w:eastAsia="Times New Roman" w:hAnsi="Segoe UI" w:cs="Segoe UI"/>
          <w:color w:val="212121"/>
        </w:rPr>
        <w:t>,</w:t>
      </w:r>
      <w:r w:rsidR="38E5333D" w:rsidRPr="4CEFA247">
        <w:rPr>
          <w:rFonts w:ascii="Segoe UI" w:eastAsia="Times New Roman" w:hAnsi="Segoe UI" w:cs="Segoe UI"/>
          <w:color w:val="212121"/>
        </w:rPr>
        <w:t xml:space="preserve"> </w:t>
      </w:r>
      <w:r w:rsidR="00A24B0E" w:rsidRPr="7BF2D87E">
        <w:rPr>
          <w:rFonts w:ascii="Segoe UI" w:eastAsia="Times New Roman" w:hAnsi="Segoe UI" w:cs="Segoe UI"/>
          <w:color w:val="212121"/>
        </w:rPr>
        <w:t>produce new policy concepts</w:t>
      </w:r>
      <w:r w:rsidR="0093419F">
        <w:rPr>
          <w:rFonts w:ascii="Segoe UI" w:eastAsia="Times New Roman" w:hAnsi="Segoe UI" w:cs="Segoe UI"/>
          <w:color w:val="212121"/>
        </w:rPr>
        <w:t>,</w:t>
      </w:r>
      <w:r w:rsidR="00A24B0E" w:rsidRPr="7BF2D87E">
        <w:rPr>
          <w:rFonts w:ascii="Segoe UI" w:eastAsia="Times New Roman" w:hAnsi="Segoe UI" w:cs="Segoe UI"/>
          <w:color w:val="212121"/>
        </w:rPr>
        <w:t xml:space="preserve"> and identify emerging issues</w:t>
      </w:r>
      <w:r w:rsidR="00A24B0E">
        <w:rPr>
          <w:rFonts w:ascii="Segoe UI" w:eastAsia="Times New Roman" w:hAnsi="Segoe UI" w:cs="Segoe UI"/>
          <w:color w:val="212121"/>
        </w:rPr>
        <w:t>.</w:t>
      </w:r>
      <w:r w:rsidR="00A24B0E" w:rsidRPr="00A24B0E">
        <w:rPr>
          <w:rFonts w:ascii="Segoe UI" w:eastAsia="Times New Roman" w:hAnsi="Segoe UI" w:cs="Segoe UI"/>
          <w:color w:val="212121"/>
        </w:rPr>
        <w:t xml:space="preserve"> </w:t>
      </w:r>
      <w:r w:rsidR="00A24B0E">
        <w:rPr>
          <w:rFonts w:ascii="Segoe UI" w:eastAsia="Times New Roman" w:hAnsi="Segoe UI" w:cs="Segoe UI"/>
          <w:color w:val="212121"/>
        </w:rPr>
        <w:t xml:space="preserve">The sector </w:t>
      </w:r>
      <w:r w:rsidR="00A24B0E" w:rsidRPr="4CEFA247">
        <w:rPr>
          <w:rFonts w:ascii="Segoe UI" w:eastAsia="Times New Roman" w:hAnsi="Segoe UI" w:cs="Segoe UI"/>
          <w:color w:val="212121"/>
        </w:rPr>
        <w:t>inject</w:t>
      </w:r>
      <w:r w:rsidR="73E0A38D" w:rsidRPr="4CEFA247">
        <w:rPr>
          <w:rFonts w:ascii="Segoe UI" w:eastAsia="Times New Roman" w:hAnsi="Segoe UI" w:cs="Segoe UI"/>
          <w:color w:val="212121"/>
        </w:rPr>
        <w:t>s</w:t>
      </w:r>
      <w:r w:rsidR="00A24B0E">
        <w:rPr>
          <w:rFonts w:ascii="Segoe UI" w:eastAsia="Times New Roman" w:hAnsi="Segoe UI" w:cs="Segoe UI"/>
          <w:color w:val="212121"/>
        </w:rPr>
        <w:t xml:space="preserve"> alternative perspectives into </w:t>
      </w:r>
      <w:r w:rsidR="00F815B8">
        <w:rPr>
          <w:rFonts w:ascii="Segoe UI" w:eastAsia="Times New Roman" w:hAnsi="Segoe UI" w:cs="Segoe UI"/>
          <w:color w:val="212121"/>
        </w:rPr>
        <w:t>policy</w:t>
      </w:r>
      <w:r w:rsidR="00A24B0E">
        <w:rPr>
          <w:rFonts w:ascii="Segoe UI" w:eastAsia="Times New Roman" w:hAnsi="Segoe UI" w:cs="Segoe UI"/>
          <w:color w:val="212121"/>
        </w:rPr>
        <w:t xml:space="preserve"> discussions, helping to mitigate groupthink.</w:t>
      </w:r>
      <w:r w:rsidR="007226B7">
        <w:rPr>
          <w:rFonts w:ascii="Segoe UI" w:eastAsia="Times New Roman" w:hAnsi="Segoe UI" w:cs="Segoe UI"/>
          <w:color w:val="212121"/>
        </w:rPr>
        <w:t xml:space="preserve"> </w:t>
      </w:r>
    </w:p>
    <w:p w14:paraId="06E46075" w14:textId="77777777" w:rsidR="009D258F" w:rsidRDefault="004C3F0C"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This is a</w:t>
      </w:r>
      <w:r w:rsidR="00193524">
        <w:rPr>
          <w:rFonts w:ascii="Segoe UI" w:eastAsia="Times New Roman" w:hAnsi="Segoe UI" w:cs="Segoe UI"/>
          <w:color w:val="212121"/>
        </w:rPr>
        <w:t xml:space="preserve"> role </w:t>
      </w:r>
      <w:r>
        <w:rPr>
          <w:rFonts w:ascii="Segoe UI" w:eastAsia="Times New Roman" w:hAnsi="Segoe UI" w:cs="Segoe UI"/>
          <w:color w:val="212121"/>
        </w:rPr>
        <w:t xml:space="preserve">that </w:t>
      </w:r>
      <w:r w:rsidR="007226B7">
        <w:rPr>
          <w:rFonts w:ascii="Segoe UI" w:eastAsia="Times New Roman" w:hAnsi="Segoe UI" w:cs="Segoe UI"/>
          <w:color w:val="212121"/>
        </w:rPr>
        <w:t>strengthen</w:t>
      </w:r>
      <w:r>
        <w:rPr>
          <w:rFonts w:ascii="Segoe UI" w:eastAsia="Times New Roman" w:hAnsi="Segoe UI" w:cs="Segoe UI"/>
          <w:color w:val="212121"/>
        </w:rPr>
        <w:t>s</w:t>
      </w:r>
      <w:r w:rsidR="007226B7">
        <w:rPr>
          <w:rFonts w:ascii="Segoe UI" w:eastAsia="Times New Roman" w:hAnsi="Segoe UI" w:cs="Segoe UI"/>
          <w:color w:val="212121"/>
        </w:rPr>
        <w:t xml:space="preserve"> </w:t>
      </w:r>
      <w:r w:rsidR="0093419F">
        <w:rPr>
          <w:rFonts w:ascii="Segoe UI" w:eastAsia="Times New Roman" w:hAnsi="Segoe UI" w:cs="Segoe UI"/>
          <w:color w:val="212121"/>
        </w:rPr>
        <w:t xml:space="preserve">the </w:t>
      </w:r>
      <w:r w:rsidR="0CA60C39" w:rsidRPr="4CEFA247">
        <w:rPr>
          <w:rFonts w:ascii="Segoe UI" w:eastAsia="Times New Roman" w:hAnsi="Segoe UI" w:cs="Segoe UI"/>
          <w:color w:val="212121"/>
        </w:rPr>
        <w:t>public service</w:t>
      </w:r>
      <w:r w:rsidR="007226B7">
        <w:rPr>
          <w:rFonts w:ascii="Segoe UI" w:eastAsia="Times New Roman" w:hAnsi="Segoe UI" w:cs="Segoe UI"/>
          <w:color w:val="212121"/>
        </w:rPr>
        <w:t>, rather than diminish</w:t>
      </w:r>
      <w:r w:rsidR="00193524">
        <w:rPr>
          <w:rFonts w:ascii="Segoe UI" w:eastAsia="Times New Roman" w:hAnsi="Segoe UI" w:cs="Segoe UI"/>
          <w:color w:val="212121"/>
        </w:rPr>
        <w:t>ing</w:t>
      </w:r>
      <w:r w:rsidR="007226B7">
        <w:rPr>
          <w:rFonts w:ascii="Segoe UI" w:eastAsia="Times New Roman" w:hAnsi="Segoe UI" w:cs="Segoe UI"/>
          <w:color w:val="212121"/>
        </w:rPr>
        <w:t xml:space="preserve"> it</w:t>
      </w:r>
      <w:r w:rsidR="00CF237E">
        <w:rPr>
          <w:rFonts w:ascii="Segoe UI" w:eastAsia="Times New Roman" w:hAnsi="Segoe UI" w:cs="Segoe UI"/>
          <w:color w:val="212121"/>
        </w:rPr>
        <w:t xml:space="preserve">. Funding the sector however should not be used as a means </w:t>
      </w:r>
      <w:r w:rsidR="0018554D">
        <w:rPr>
          <w:rFonts w:ascii="Segoe UI" w:eastAsia="Times New Roman" w:hAnsi="Segoe UI" w:cs="Segoe UI"/>
          <w:color w:val="212121"/>
        </w:rPr>
        <w:t>to</w:t>
      </w:r>
      <w:r w:rsidR="00CF237E">
        <w:rPr>
          <w:rFonts w:ascii="Segoe UI" w:eastAsia="Times New Roman" w:hAnsi="Segoe UI" w:cs="Segoe UI"/>
          <w:color w:val="212121"/>
        </w:rPr>
        <w:t xml:space="preserve"> fill gaps in APS capability. There will be occasions where the sector has capabilities which cannot be found in the public service</w:t>
      </w:r>
      <w:r w:rsidR="0018554D">
        <w:rPr>
          <w:rFonts w:ascii="Segoe UI" w:eastAsia="Times New Roman" w:hAnsi="Segoe UI" w:cs="Segoe UI"/>
          <w:color w:val="212121"/>
        </w:rPr>
        <w:t>,</w:t>
      </w:r>
      <w:r w:rsidR="00CF237E">
        <w:rPr>
          <w:rFonts w:ascii="Segoe UI" w:eastAsia="Times New Roman" w:hAnsi="Segoe UI" w:cs="Segoe UI"/>
          <w:color w:val="212121"/>
        </w:rPr>
        <w:t xml:space="preserve"> but even a public service performing at full capacity gains from the perspective of </w:t>
      </w:r>
      <w:r w:rsidR="0018554D">
        <w:rPr>
          <w:rFonts w:ascii="Segoe UI" w:eastAsia="Times New Roman" w:hAnsi="Segoe UI" w:cs="Segoe UI"/>
          <w:color w:val="212121"/>
        </w:rPr>
        <w:t xml:space="preserve">external </w:t>
      </w:r>
      <w:r w:rsidR="00CF237E">
        <w:rPr>
          <w:rFonts w:ascii="Segoe UI" w:eastAsia="Times New Roman" w:hAnsi="Segoe UI" w:cs="Segoe UI"/>
          <w:color w:val="212121"/>
        </w:rPr>
        <w:t xml:space="preserve">experts. In this sense, the value of the sector </w:t>
      </w:r>
      <w:r w:rsidR="007226B7">
        <w:rPr>
          <w:rFonts w:ascii="Segoe UI" w:eastAsia="Times New Roman" w:hAnsi="Segoe UI" w:cs="Segoe UI"/>
          <w:color w:val="212121"/>
        </w:rPr>
        <w:t xml:space="preserve">is complementary to the important </w:t>
      </w:r>
      <w:r w:rsidR="003C3326">
        <w:rPr>
          <w:rFonts w:ascii="Segoe UI" w:eastAsia="Times New Roman" w:hAnsi="Segoe UI" w:cs="Segoe UI"/>
          <w:color w:val="212121"/>
        </w:rPr>
        <w:t xml:space="preserve">reform agenda to build </w:t>
      </w:r>
      <w:r w:rsidR="0093419F">
        <w:rPr>
          <w:rFonts w:ascii="Segoe UI" w:eastAsia="Times New Roman" w:hAnsi="Segoe UI" w:cs="Segoe UI"/>
          <w:color w:val="212121"/>
        </w:rPr>
        <w:t xml:space="preserve">back </w:t>
      </w:r>
      <w:r w:rsidR="7827112C" w:rsidRPr="4CEFA247">
        <w:rPr>
          <w:rFonts w:ascii="Segoe UI" w:eastAsia="Times New Roman" w:hAnsi="Segoe UI" w:cs="Segoe UI"/>
          <w:color w:val="212121"/>
        </w:rPr>
        <w:t xml:space="preserve">APS </w:t>
      </w:r>
      <w:r w:rsidR="003C3326">
        <w:rPr>
          <w:rFonts w:ascii="Segoe UI" w:eastAsia="Times New Roman" w:hAnsi="Segoe UI" w:cs="Segoe UI"/>
          <w:color w:val="212121"/>
        </w:rPr>
        <w:t xml:space="preserve">capability. </w:t>
      </w:r>
    </w:p>
    <w:p w14:paraId="06E46076" w14:textId="77777777" w:rsidR="00D00725" w:rsidRPr="00752A8B" w:rsidRDefault="0018554D" w:rsidP="00D00725">
      <w:pPr>
        <w:pStyle w:val="Heading2"/>
        <w:rPr>
          <w:rFonts w:cs="Segoe UI"/>
          <w:sz w:val="32"/>
          <w:szCs w:val="32"/>
        </w:rPr>
      </w:pPr>
      <w:bookmarkStart w:id="38" w:name="_Toc172665585"/>
      <w:r>
        <w:rPr>
          <w:rFonts w:cs="Segoe UI"/>
          <w:sz w:val="32"/>
          <w:szCs w:val="32"/>
        </w:rPr>
        <w:t xml:space="preserve">…but the </w:t>
      </w:r>
      <w:r w:rsidR="00D00725" w:rsidRPr="00752A8B">
        <w:rPr>
          <w:rFonts w:cs="Segoe UI"/>
          <w:sz w:val="32"/>
          <w:szCs w:val="32"/>
        </w:rPr>
        <w:t>sector’s business model is challenging</w:t>
      </w:r>
      <w:bookmarkEnd w:id="38"/>
    </w:p>
    <w:p w14:paraId="06E46077" w14:textId="77777777" w:rsidR="000661AA" w:rsidRDefault="00D00725"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752A8B">
        <w:rPr>
          <w:rFonts w:ascii="Segoe UI" w:eastAsia="Times New Roman" w:hAnsi="Segoe UI" w:cs="Segoe UI"/>
          <w:color w:val="212121"/>
        </w:rPr>
        <w:t xml:space="preserve">Unlike the United States, Australia lacks a philanthropic culture towards public policy institutes, particularly for national security. </w:t>
      </w:r>
      <w:r>
        <w:rPr>
          <w:rFonts w:ascii="Segoe UI" w:eastAsia="Times New Roman" w:hAnsi="Segoe UI" w:cs="Segoe UI"/>
          <w:color w:val="212121"/>
        </w:rPr>
        <w:t xml:space="preserve">The Lowy family </w:t>
      </w:r>
      <w:r w:rsidRPr="0BF4F7EB">
        <w:rPr>
          <w:rFonts w:ascii="Segoe UI" w:eastAsia="Times New Roman" w:hAnsi="Segoe UI" w:cs="Segoe UI"/>
          <w:color w:val="212121"/>
        </w:rPr>
        <w:t>aside</w:t>
      </w:r>
      <w:r>
        <w:rPr>
          <w:rFonts w:ascii="Segoe UI" w:eastAsia="Times New Roman" w:hAnsi="Segoe UI" w:cs="Segoe UI"/>
          <w:color w:val="212121"/>
        </w:rPr>
        <w:t xml:space="preserve">, there are few examples of individual or corporate philanthropy at a sufficient quantum to sustain think tanks financially. </w:t>
      </w:r>
      <w:r w:rsidRPr="00752A8B">
        <w:rPr>
          <w:rFonts w:ascii="Segoe UI" w:eastAsia="Times New Roman" w:hAnsi="Segoe UI" w:cs="Segoe UI"/>
          <w:color w:val="212121"/>
        </w:rPr>
        <w:t>This</w:t>
      </w:r>
      <w:r>
        <w:rPr>
          <w:rFonts w:ascii="Segoe UI" w:eastAsia="Times New Roman" w:hAnsi="Segoe UI" w:cs="Segoe UI"/>
          <w:color w:val="212121"/>
        </w:rPr>
        <w:t xml:space="preserve"> </w:t>
      </w:r>
      <w:r w:rsidRPr="00752A8B">
        <w:rPr>
          <w:rFonts w:ascii="Segoe UI" w:eastAsia="Times New Roman" w:hAnsi="Segoe UI" w:cs="Segoe UI"/>
          <w:color w:val="212121"/>
        </w:rPr>
        <w:t xml:space="preserve">significantly hampers the sector’s business model. </w:t>
      </w:r>
    </w:p>
    <w:p w14:paraId="06E46078" w14:textId="77777777" w:rsidR="00D00725" w:rsidRPr="00752A8B" w:rsidRDefault="00D00725"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BF4F7EB">
        <w:rPr>
          <w:rFonts w:ascii="Segoe UI" w:eastAsia="Times New Roman" w:hAnsi="Segoe UI" w:cs="Segoe UI"/>
          <w:color w:val="212121"/>
        </w:rPr>
        <w:t xml:space="preserve">Absent a </w:t>
      </w:r>
      <w:r w:rsidRPr="00752A8B">
        <w:rPr>
          <w:rFonts w:ascii="Segoe UI" w:eastAsia="Times New Roman" w:hAnsi="Segoe UI" w:cs="Segoe UI"/>
          <w:color w:val="212121"/>
        </w:rPr>
        <w:t>dedicated and secure funding base, organisations will seek out additional funding from a variety of sources, often to the detriment of a clear strategy and focus. This can</w:t>
      </w:r>
      <w:r w:rsidRPr="0BF4F7EB">
        <w:rPr>
          <w:rFonts w:ascii="Segoe UI" w:eastAsia="Times New Roman" w:hAnsi="Segoe UI" w:cs="Segoe UI"/>
          <w:color w:val="212121"/>
        </w:rPr>
        <w:t xml:space="preserve"> also</w:t>
      </w:r>
      <w:r w:rsidRPr="00752A8B">
        <w:rPr>
          <w:rFonts w:ascii="Segoe UI" w:eastAsia="Times New Roman" w:hAnsi="Segoe UI" w:cs="Segoe UI"/>
          <w:color w:val="212121"/>
        </w:rPr>
        <w:t xml:space="preserve"> raise questions about perceived conflicts or bias (conscious or unconscious) relating to an organisation’s outputs.</w:t>
      </w:r>
      <w:r>
        <w:rPr>
          <w:rFonts w:ascii="Segoe UI" w:eastAsia="Times New Roman" w:hAnsi="Segoe UI" w:cs="Segoe UI"/>
          <w:color w:val="212121"/>
        </w:rPr>
        <w:t xml:space="preserve"> Chasing funding takes up a disproportionate amount of the time and resources of think tanks, including for those that are better funded.</w:t>
      </w:r>
    </w:p>
    <w:p w14:paraId="06E46079" w14:textId="77777777" w:rsidR="00D00725" w:rsidRPr="00963625" w:rsidRDefault="00D00725"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752A8B">
        <w:rPr>
          <w:rFonts w:ascii="Segoe UI" w:eastAsia="Times New Roman" w:hAnsi="Segoe UI" w:cs="Segoe UI"/>
          <w:color w:val="212121"/>
        </w:rPr>
        <w:t>It is unrealistic to expect Australian think tanks to survive without government support</w:t>
      </w:r>
      <w:r>
        <w:rPr>
          <w:rFonts w:ascii="Segoe UI" w:eastAsia="Times New Roman" w:hAnsi="Segoe UI" w:cs="Segoe UI"/>
          <w:color w:val="212121"/>
        </w:rPr>
        <w:t xml:space="preserve"> and it is also the case that the </w:t>
      </w:r>
      <w:r w:rsidRPr="00752A8B">
        <w:rPr>
          <w:rFonts w:ascii="Segoe UI" w:eastAsia="Times New Roman" w:hAnsi="Segoe UI" w:cs="Segoe UI"/>
          <w:color w:val="212121"/>
        </w:rPr>
        <w:t>Government and the Australian public are the major benef</w:t>
      </w:r>
      <w:r>
        <w:rPr>
          <w:rFonts w:ascii="Segoe UI" w:eastAsia="Times New Roman" w:hAnsi="Segoe UI" w:cs="Segoe UI"/>
          <w:color w:val="212121"/>
        </w:rPr>
        <w:t>iciaries</w:t>
      </w:r>
      <w:r w:rsidRPr="00752A8B">
        <w:rPr>
          <w:rFonts w:ascii="Segoe UI" w:eastAsia="Times New Roman" w:hAnsi="Segoe UI" w:cs="Segoe UI"/>
          <w:color w:val="212121"/>
        </w:rPr>
        <w:t xml:space="preserve"> of the sector’s </w:t>
      </w:r>
      <w:r>
        <w:rPr>
          <w:rFonts w:ascii="Segoe UI" w:eastAsia="Times New Roman" w:hAnsi="Segoe UI" w:cs="Segoe UI"/>
          <w:color w:val="212121"/>
        </w:rPr>
        <w:t>work</w:t>
      </w:r>
      <w:r w:rsidRPr="00752A8B">
        <w:rPr>
          <w:rFonts w:ascii="Segoe UI" w:eastAsia="Times New Roman" w:hAnsi="Segoe UI" w:cs="Segoe UI"/>
          <w:color w:val="212121"/>
        </w:rPr>
        <w:t xml:space="preserve">. Previous attempts to provide seed funding with the expectation that philanthropic </w:t>
      </w:r>
      <w:r w:rsidRPr="00752A8B">
        <w:rPr>
          <w:rFonts w:ascii="Segoe UI" w:eastAsia="Times New Roman" w:hAnsi="Segoe UI" w:cs="Segoe UI"/>
          <w:color w:val="212121"/>
        </w:rPr>
        <w:lastRenderedPageBreak/>
        <w:t>and corporate funding would subsequently cover costs have failed. Even the Lowy Institute</w:t>
      </w:r>
      <w:r w:rsidR="00671EB7">
        <w:rPr>
          <w:rFonts w:ascii="Segoe UI" w:eastAsia="Times New Roman" w:hAnsi="Segoe UI" w:cs="Segoe UI"/>
          <w:color w:val="212121"/>
        </w:rPr>
        <w:t xml:space="preserve"> (Lowy)</w:t>
      </w:r>
      <w:r w:rsidRPr="00752A8B">
        <w:rPr>
          <w:rFonts w:ascii="Segoe UI" w:eastAsia="Times New Roman" w:hAnsi="Segoe UI" w:cs="Segoe UI"/>
          <w:color w:val="212121"/>
        </w:rPr>
        <w:t xml:space="preserve"> receives slightly more than 50 per cent of its funding from governments.</w:t>
      </w:r>
      <w:r w:rsidRPr="00C50346">
        <w:rPr>
          <w:rFonts w:ascii="Segoe UI" w:eastAsia="Times New Roman" w:hAnsi="Segoe UI" w:cs="Segoe UI"/>
          <w:color w:val="212121"/>
          <w:vertAlign w:val="superscript"/>
        </w:rPr>
        <w:footnoteReference w:id="7"/>
      </w:r>
      <w:r w:rsidRPr="00C50346">
        <w:rPr>
          <w:rFonts w:ascii="Segoe UI" w:eastAsia="Times New Roman" w:hAnsi="Segoe UI" w:cs="Segoe UI"/>
          <w:color w:val="212121"/>
          <w:vertAlign w:val="superscript"/>
        </w:rPr>
        <w:t xml:space="preserve"> </w:t>
      </w:r>
    </w:p>
    <w:p w14:paraId="06E4607A" w14:textId="77777777" w:rsidR="007276F2" w:rsidRDefault="00D00725"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 xml:space="preserve">For all these reasons </w:t>
      </w:r>
      <w:r w:rsidRPr="005D4467">
        <w:rPr>
          <w:rFonts w:ascii="Segoe UI" w:eastAsia="Times New Roman" w:hAnsi="Segoe UI" w:cs="Segoe UI"/>
          <w:color w:val="212121"/>
        </w:rPr>
        <w:t xml:space="preserve">the Australian </w:t>
      </w:r>
      <w:r>
        <w:rPr>
          <w:rFonts w:ascii="Segoe UI" w:eastAsia="Times New Roman" w:hAnsi="Segoe UI" w:cs="Segoe UI"/>
          <w:color w:val="212121"/>
        </w:rPr>
        <w:t>G</w:t>
      </w:r>
      <w:r w:rsidRPr="005D4467">
        <w:rPr>
          <w:rFonts w:ascii="Segoe UI" w:eastAsia="Times New Roman" w:hAnsi="Segoe UI" w:cs="Segoe UI"/>
          <w:color w:val="212121"/>
        </w:rPr>
        <w:t xml:space="preserve">overnment </w:t>
      </w:r>
      <w:r w:rsidRPr="6804BDE7">
        <w:rPr>
          <w:rFonts w:ascii="Segoe UI" w:eastAsia="Times New Roman" w:hAnsi="Segoe UI" w:cs="Segoe UI"/>
          <w:color w:val="212121"/>
        </w:rPr>
        <w:t xml:space="preserve">should </w:t>
      </w:r>
      <w:r w:rsidRPr="005D4467">
        <w:rPr>
          <w:rFonts w:ascii="Segoe UI" w:eastAsia="Times New Roman" w:hAnsi="Segoe UI" w:cs="Segoe UI"/>
          <w:color w:val="212121"/>
        </w:rPr>
        <w:t>continue</w:t>
      </w:r>
      <w:r>
        <w:rPr>
          <w:rFonts w:ascii="Segoe UI" w:eastAsia="Times New Roman" w:hAnsi="Segoe UI" w:cs="Segoe UI"/>
          <w:color w:val="212121"/>
        </w:rPr>
        <w:t xml:space="preserve"> to </w:t>
      </w:r>
      <w:r w:rsidRPr="005D4467">
        <w:rPr>
          <w:rFonts w:ascii="Segoe UI" w:eastAsia="Times New Roman" w:hAnsi="Segoe UI" w:cs="Segoe UI"/>
          <w:color w:val="212121"/>
        </w:rPr>
        <w:t>support</w:t>
      </w:r>
      <w:r>
        <w:rPr>
          <w:rFonts w:ascii="Segoe UI" w:eastAsia="Times New Roman" w:hAnsi="Segoe UI" w:cs="Segoe UI"/>
          <w:color w:val="212121"/>
        </w:rPr>
        <w:t xml:space="preserve"> </w:t>
      </w:r>
      <w:r w:rsidRPr="005D4467">
        <w:rPr>
          <w:rFonts w:ascii="Segoe UI" w:eastAsia="Times New Roman" w:hAnsi="Segoe UI" w:cs="Segoe UI"/>
          <w:color w:val="212121"/>
        </w:rPr>
        <w:t xml:space="preserve">the sector in the </w:t>
      </w:r>
      <w:r>
        <w:rPr>
          <w:rFonts w:ascii="Segoe UI" w:eastAsia="Times New Roman" w:hAnsi="Segoe UI" w:cs="Segoe UI"/>
          <w:color w:val="212121"/>
        </w:rPr>
        <w:t>medium</w:t>
      </w:r>
      <w:r w:rsidRPr="005D4467">
        <w:rPr>
          <w:rFonts w:ascii="Segoe UI" w:eastAsia="Times New Roman" w:hAnsi="Segoe UI" w:cs="Segoe UI"/>
          <w:color w:val="212121"/>
        </w:rPr>
        <w:t xml:space="preserve"> term. </w:t>
      </w:r>
      <w:r>
        <w:rPr>
          <w:rFonts w:ascii="Segoe UI" w:eastAsia="Times New Roman" w:hAnsi="Segoe UI" w:cs="Segoe UI"/>
          <w:color w:val="212121"/>
        </w:rPr>
        <w:t>In the longer term this may change</w:t>
      </w:r>
      <w:r w:rsidR="00A43712">
        <w:rPr>
          <w:rFonts w:ascii="Segoe UI" w:eastAsia="Times New Roman" w:hAnsi="Segoe UI" w:cs="Segoe UI"/>
          <w:color w:val="212121"/>
        </w:rPr>
        <w:t>,</w:t>
      </w:r>
      <w:r>
        <w:rPr>
          <w:rFonts w:ascii="Segoe UI" w:eastAsia="Times New Roman" w:hAnsi="Segoe UI" w:cs="Segoe UI"/>
          <w:color w:val="212121"/>
        </w:rPr>
        <w:t xml:space="preserve"> but we should be realistic about how soon this might happen. Philanthropy offers better prospects than corporate support which in Australia tends to be limited, short term and narrow in its approach to supporting </w:t>
      </w:r>
      <w:r w:rsidR="00A43712">
        <w:rPr>
          <w:rFonts w:ascii="Segoe UI" w:eastAsia="Times New Roman" w:hAnsi="Segoe UI" w:cs="Segoe UI"/>
          <w:color w:val="212121"/>
        </w:rPr>
        <w:t xml:space="preserve">a </w:t>
      </w:r>
      <w:r>
        <w:rPr>
          <w:rFonts w:ascii="Segoe UI" w:eastAsia="Times New Roman" w:hAnsi="Segoe UI" w:cs="Segoe UI"/>
          <w:color w:val="212121"/>
        </w:rPr>
        <w:t xml:space="preserve">broader public good. </w:t>
      </w:r>
    </w:p>
    <w:p w14:paraId="06E4607B" w14:textId="77777777" w:rsidR="00D00725" w:rsidRPr="00752A8B" w:rsidRDefault="00D00725"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 xml:space="preserve">One potential source of funding is Australia’s superannuation sector for whom understanding geopolitical risk and global economic trends are now crucial to their investment decisions. Here too the Government can play a role to encourage the superannuation sector to consider the benefits to their investment decision making of backing think tanks. And if we do see an increase in philanthropy on the back of the </w:t>
      </w:r>
      <w:r w:rsidRPr="00107DD3">
        <w:rPr>
          <w:rFonts w:ascii="Segoe UI" w:eastAsia="Times New Roman" w:hAnsi="Segoe UI" w:cs="Segoe UI"/>
          <w:color w:val="212121"/>
        </w:rPr>
        <w:t>Productivity Commission</w:t>
      </w:r>
      <w:r>
        <w:rPr>
          <w:rFonts w:ascii="Segoe UI" w:eastAsia="Times New Roman" w:hAnsi="Segoe UI" w:cs="Segoe UI"/>
          <w:color w:val="212121"/>
        </w:rPr>
        <w:t xml:space="preserve"> inquiry, this too could benefit the sector. </w:t>
      </w:r>
    </w:p>
    <w:p w14:paraId="06E4607C" w14:textId="77777777" w:rsidR="00C7202C" w:rsidRDefault="00C7202C">
      <w:pPr>
        <w:spacing w:after="200" w:line="288" w:lineRule="auto"/>
        <w:rPr>
          <w:rFonts w:asciiTheme="majorHAnsi" w:eastAsiaTheme="majorEastAsia" w:hAnsiTheme="majorHAnsi" w:cstheme="majorBidi"/>
          <w:b/>
          <w:color w:val="092B57" w:themeColor="accent1"/>
          <w:sz w:val="48"/>
          <w:szCs w:val="40"/>
        </w:rPr>
      </w:pPr>
      <w:bookmarkStart w:id="39" w:name="_Toc170307481"/>
      <w:bookmarkStart w:id="40" w:name="_Toc170383158"/>
      <w:bookmarkStart w:id="41" w:name="_Toc170980540"/>
      <w:bookmarkStart w:id="42" w:name="_Toc171004254"/>
      <w:bookmarkStart w:id="43" w:name="_Toc171074976"/>
      <w:r>
        <w:br w:type="page"/>
      </w:r>
    </w:p>
    <w:p w14:paraId="06E4607D" w14:textId="77777777" w:rsidR="00C906D3" w:rsidRPr="00752A8B" w:rsidRDefault="00222531" w:rsidP="00284042">
      <w:pPr>
        <w:pStyle w:val="Heading1"/>
        <w:rPr>
          <w:rFonts w:cs="Segoe UI"/>
          <w:b w:val="0"/>
          <w:sz w:val="40"/>
        </w:rPr>
      </w:pPr>
      <w:bookmarkStart w:id="44" w:name="_Toc172665586"/>
      <w:r>
        <w:lastRenderedPageBreak/>
        <w:t>Chapter One</w:t>
      </w:r>
      <w:r w:rsidR="70D81F3A" w:rsidRPr="00347560">
        <w:t xml:space="preserve">: </w:t>
      </w:r>
      <w:bookmarkEnd w:id="39"/>
      <w:bookmarkEnd w:id="40"/>
      <w:bookmarkEnd w:id="41"/>
      <w:bookmarkEnd w:id="42"/>
      <w:bookmarkEnd w:id="43"/>
      <w:r w:rsidR="00AA2723">
        <w:t>I</w:t>
      </w:r>
      <w:r w:rsidR="00EB7317">
        <w:t>mprov</w:t>
      </w:r>
      <w:r w:rsidR="00AA2723">
        <w:t>ing</w:t>
      </w:r>
      <w:r w:rsidR="00EB7317">
        <w:t xml:space="preserve"> the </w:t>
      </w:r>
      <w:r w:rsidR="00EE1891">
        <w:t>C</w:t>
      </w:r>
      <w:r w:rsidR="00EB7317">
        <w:t xml:space="preserve">urrent </w:t>
      </w:r>
      <w:r w:rsidR="00EE1891">
        <w:t>S</w:t>
      </w:r>
      <w:r w:rsidR="00EB7317">
        <w:t>ystem</w:t>
      </w:r>
      <w:bookmarkEnd w:id="44"/>
    </w:p>
    <w:p w14:paraId="06E4607E" w14:textId="77777777" w:rsidR="34E162E0" w:rsidRPr="009D39C4" w:rsidRDefault="00D00725"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D39C4">
        <w:rPr>
          <w:rFonts w:ascii="Segoe UI" w:eastAsia="Times New Roman" w:hAnsi="Segoe UI" w:cs="Segoe UI"/>
          <w:color w:val="212121"/>
        </w:rPr>
        <w:t xml:space="preserve">Australia's national security strategic research </w:t>
      </w:r>
      <w:r>
        <w:rPr>
          <w:rFonts w:ascii="Segoe UI" w:eastAsia="Times New Roman" w:hAnsi="Segoe UI" w:cs="Segoe UI"/>
          <w:color w:val="212121"/>
        </w:rPr>
        <w:t>sector</w:t>
      </w:r>
      <w:r w:rsidRPr="009D39C4">
        <w:rPr>
          <w:rFonts w:ascii="Segoe UI" w:eastAsia="Times New Roman" w:hAnsi="Segoe UI" w:cs="Segoe UI"/>
          <w:color w:val="212121"/>
        </w:rPr>
        <w:t xml:space="preserve"> is not broken</w:t>
      </w:r>
      <w:r w:rsidR="00A43712">
        <w:rPr>
          <w:rFonts w:ascii="Segoe UI" w:eastAsia="Times New Roman" w:hAnsi="Segoe UI" w:cs="Segoe UI"/>
          <w:color w:val="212121"/>
        </w:rPr>
        <w:t>, b</w:t>
      </w:r>
      <w:r w:rsidR="007276F2">
        <w:rPr>
          <w:rFonts w:ascii="Segoe UI" w:eastAsia="Times New Roman" w:hAnsi="Segoe UI" w:cs="Segoe UI"/>
          <w:color w:val="212121"/>
        </w:rPr>
        <w:t xml:space="preserve">ut </w:t>
      </w:r>
      <w:r w:rsidR="00A43712">
        <w:rPr>
          <w:rFonts w:ascii="Segoe UI" w:eastAsia="Times New Roman" w:hAnsi="Segoe UI" w:cs="Segoe UI"/>
          <w:color w:val="212121"/>
        </w:rPr>
        <w:t>it</w:t>
      </w:r>
      <w:r>
        <w:rPr>
          <w:rFonts w:ascii="Segoe UI" w:eastAsia="Times New Roman" w:hAnsi="Segoe UI" w:cs="Segoe UI"/>
          <w:color w:val="212121"/>
        </w:rPr>
        <w:t xml:space="preserve"> could </w:t>
      </w:r>
      <w:r w:rsidR="009E5C15">
        <w:rPr>
          <w:rFonts w:ascii="Segoe UI" w:eastAsia="Times New Roman" w:hAnsi="Segoe UI" w:cs="Segoe UI"/>
          <w:color w:val="212121"/>
        </w:rPr>
        <w:t xml:space="preserve">play a stronger role in informing policy development if </w:t>
      </w:r>
      <w:r>
        <w:rPr>
          <w:rFonts w:ascii="Segoe UI" w:eastAsia="Times New Roman" w:hAnsi="Segoe UI" w:cs="Segoe UI"/>
          <w:color w:val="212121"/>
        </w:rPr>
        <w:t xml:space="preserve">the following </w:t>
      </w:r>
      <w:r w:rsidR="009E5C15">
        <w:rPr>
          <w:rFonts w:ascii="Segoe UI" w:eastAsia="Times New Roman" w:hAnsi="Segoe UI" w:cs="Segoe UI"/>
          <w:color w:val="212121"/>
        </w:rPr>
        <w:t>improvements</w:t>
      </w:r>
      <w:r w:rsidR="00EE5321">
        <w:rPr>
          <w:rFonts w:ascii="Segoe UI" w:eastAsia="Times New Roman" w:hAnsi="Segoe UI" w:cs="Segoe UI"/>
          <w:color w:val="212121"/>
        </w:rPr>
        <w:t xml:space="preserve"> are made</w:t>
      </w:r>
      <w:r w:rsidR="009E5C15">
        <w:rPr>
          <w:rFonts w:ascii="Segoe UI" w:eastAsia="Times New Roman" w:hAnsi="Segoe UI" w:cs="Segoe UI"/>
          <w:color w:val="212121"/>
        </w:rPr>
        <w:t xml:space="preserve"> to</w:t>
      </w:r>
      <w:r w:rsidR="00E13162">
        <w:rPr>
          <w:rFonts w:ascii="Segoe UI" w:eastAsia="Times New Roman" w:hAnsi="Segoe UI" w:cs="Segoe UI"/>
          <w:color w:val="212121"/>
        </w:rPr>
        <w:t xml:space="preserve"> </w:t>
      </w:r>
      <w:r w:rsidR="00623D82" w:rsidRPr="009D39C4">
        <w:rPr>
          <w:rFonts w:ascii="Segoe UI" w:eastAsia="Times New Roman" w:hAnsi="Segoe UI" w:cs="Segoe UI"/>
          <w:color w:val="212121"/>
        </w:rPr>
        <w:t>the current system</w:t>
      </w:r>
      <w:r w:rsidR="009E5C15">
        <w:rPr>
          <w:rFonts w:ascii="Segoe UI" w:eastAsia="Times New Roman" w:hAnsi="Segoe UI" w:cs="Segoe UI"/>
          <w:color w:val="212121"/>
        </w:rPr>
        <w:t xml:space="preserve">. </w:t>
      </w:r>
    </w:p>
    <w:p w14:paraId="06E4607F" w14:textId="77777777" w:rsidR="00EB7317" w:rsidRDefault="00987408" w:rsidP="00EB7317">
      <w:pPr>
        <w:pStyle w:val="Heading2"/>
        <w:rPr>
          <w:rFonts w:cs="Segoe UI"/>
          <w:sz w:val="32"/>
          <w:szCs w:val="32"/>
        </w:rPr>
      </w:pPr>
      <w:bookmarkStart w:id="45" w:name="_Toc172665587"/>
      <w:bookmarkStart w:id="46" w:name="_Toc170307482"/>
      <w:bookmarkStart w:id="47" w:name="_Toc170383159"/>
      <w:bookmarkStart w:id="48" w:name="_Toc170980541"/>
      <w:bookmarkStart w:id="49" w:name="_Toc171004255"/>
      <w:bookmarkStart w:id="50" w:name="_Toc171074977"/>
      <w:r>
        <w:rPr>
          <w:rFonts w:cs="Segoe UI"/>
          <w:sz w:val="32"/>
          <w:szCs w:val="32"/>
        </w:rPr>
        <w:t>Adopt a</w:t>
      </w:r>
      <w:r w:rsidR="00EB7317">
        <w:rPr>
          <w:rFonts w:cs="Segoe UI"/>
          <w:sz w:val="32"/>
          <w:szCs w:val="32"/>
        </w:rPr>
        <w:t xml:space="preserve"> principles-based framework</w:t>
      </w:r>
      <w:bookmarkEnd w:id="45"/>
    </w:p>
    <w:p w14:paraId="06E46080" w14:textId="77777777" w:rsidR="000661AA" w:rsidRPr="00963625" w:rsidRDefault="005E5378"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 xml:space="preserve">The current approach to commissioning strategic policy work is haphazard. </w:t>
      </w:r>
      <w:r w:rsidR="000661AA" w:rsidRPr="00963625">
        <w:rPr>
          <w:rFonts w:ascii="Segoe UI" w:eastAsia="Times New Roman" w:hAnsi="Segoe UI" w:cs="Segoe UI"/>
          <w:color w:val="212121"/>
        </w:rPr>
        <w:t>H</w:t>
      </w:r>
      <w:r w:rsidR="00D33D8F" w:rsidRPr="00963625">
        <w:rPr>
          <w:rFonts w:ascii="Segoe UI" w:eastAsia="Times New Roman" w:hAnsi="Segoe UI" w:cs="Segoe UI"/>
          <w:color w:val="212121"/>
        </w:rPr>
        <w:t xml:space="preserve">aving all strategic policy work funding decisions guided by </w:t>
      </w:r>
      <w:r w:rsidR="00EB7317" w:rsidRPr="00963625">
        <w:rPr>
          <w:rFonts w:ascii="Segoe UI" w:eastAsia="Times New Roman" w:hAnsi="Segoe UI" w:cs="Segoe UI"/>
          <w:color w:val="212121"/>
        </w:rPr>
        <w:t xml:space="preserve">a principles-based framework will create a more rigorous and strategically directed approach to commissioned strategic policy work. </w:t>
      </w:r>
    </w:p>
    <w:p w14:paraId="06E46081" w14:textId="77777777" w:rsidR="00EB7317" w:rsidRPr="00963625" w:rsidRDefault="00EB7317" w:rsidP="318EA393">
      <w:pPr>
        <w:pStyle w:val="ListParagraph"/>
        <w:numPr>
          <w:ilvl w:val="0"/>
          <w:numId w:val="22"/>
        </w:numPr>
        <w:spacing w:line="259" w:lineRule="auto"/>
        <w:ind w:left="0" w:firstLine="0"/>
        <w:rPr>
          <w:rFonts w:ascii="Segoe UI" w:eastAsia="Times New Roman" w:hAnsi="Segoe UI" w:cs="Segoe UI"/>
          <w:color w:val="212121"/>
        </w:rPr>
      </w:pPr>
      <w:r w:rsidRPr="00963625">
        <w:rPr>
          <w:rFonts w:ascii="Segoe UI" w:eastAsia="Times New Roman" w:hAnsi="Segoe UI" w:cs="Segoe UI"/>
          <w:color w:val="212121"/>
        </w:rPr>
        <w:t xml:space="preserve">The principles set out </w:t>
      </w:r>
      <w:r w:rsidR="00D00725" w:rsidRPr="00963625">
        <w:rPr>
          <w:rFonts w:ascii="Segoe UI" w:eastAsia="Times New Roman" w:hAnsi="Segoe UI" w:cs="Segoe UI"/>
          <w:color w:val="212121"/>
        </w:rPr>
        <w:t>at</w:t>
      </w:r>
      <w:r w:rsidRPr="00963625">
        <w:rPr>
          <w:rFonts w:ascii="Segoe UI" w:eastAsia="Times New Roman" w:hAnsi="Segoe UI" w:cs="Segoe UI"/>
          <w:color w:val="212121"/>
        </w:rPr>
        <w:t xml:space="preserve"> </w:t>
      </w:r>
      <w:r w:rsidRPr="00963625">
        <w:rPr>
          <w:rFonts w:ascii="Segoe UI" w:eastAsia="Times New Roman" w:hAnsi="Segoe UI" w:cs="Segoe UI"/>
          <w:b/>
          <w:color w:val="212121"/>
        </w:rPr>
        <w:t xml:space="preserve">Attachment </w:t>
      </w:r>
      <w:r w:rsidR="00017D9C" w:rsidRPr="00963625">
        <w:rPr>
          <w:rFonts w:ascii="Segoe UI" w:eastAsia="Times New Roman" w:hAnsi="Segoe UI" w:cs="Segoe UI"/>
          <w:b/>
          <w:color w:val="212121"/>
        </w:rPr>
        <w:t>A</w:t>
      </w:r>
      <w:r w:rsidR="005E5378" w:rsidRPr="00963625">
        <w:rPr>
          <w:rFonts w:ascii="Segoe UI" w:eastAsia="Times New Roman" w:hAnsi="Segoe UI" w:cs="Segoe UI"/>
          <w:color w:val="212121"/>
        </w:rPr>
        <w:t xml:space="preserve"> are designed to </w:t>
      </w:r>
      <w:r w:rsidRPr="00963625">
        <w:rPr>
          <w:rFonts w:ascii="Segoe UI" w:eastAsia="Times New Roman" w:hAnsi="Segoe UI" w:cs="Segoe UI"/>
          <w:color w:val="212121"/>
        </w:rPr>
        <w:t>ensure greater consistency in how Government engages the sector and provide better value for money for Government, while maintaining an effective sector into the future.</w:t>
      </w:r>
      <w:r w:rsidR="00D33D8F" w:rsidRPr="00963625">
        <w:rPr>
          <w:rFonts w:ascii="Segoe UI" w:eastAsia="Times New Roman" w:hAnsi="Segoe UI" w:cs="Segoe UI"/>
          <w:color w:val="212121"/>
        </w:rPr>
        <w:t xml:space="preserve"> </w:t>
      </w:r>
    </w:p>
    <w:p w14:paraId="06E46082" w14:textId="77777777" w:rsidR="00D77645" w:rsidRDefault="00D77645" w:rsidP="00D77645">
      <w:pPr>
        <w:pStyle w:val="BOXHeading3"/>
        <w:spacing w:after="80"/>
      </w:pPr>
      <w:r>
        <w:t>Recommendation 1</w:t>
      </w:r>
    </w:p>
    <w:p w14:paraId="06E46083" w14:textId="77777777" w:rsidR="00D77645" w:rsidRPr="00D77645" w:rsidRDefault="00D77645" w:rsidP="00D77645">
      <w:pPr>
        <w:pStyle w:val="BOXText"/>
        <w:spacing w:after="80"/>
      </w:pPr>
      <w:r>
        <w:t xml:space="preserve">Government should use </w:t>
      </w:r>
      <w:r>
        <w:rPr>
          <w:rFonts w:ascii="Segoe UI" w:eastAsia="Times New Roman" w:hAnsi="Segoe UI" w:cs="Segoe UI"/>
          <w:color w:val="212121"/>
        </w:rPr>
        <w:t xml:space="preserve">the </w:t>
      </w:r>
      <w:r w:rsidRPr="00E247C0">
        <w:rPr>
          <w:rFonts w:ascii="Segoe UI" w:eastAsia="Times New Roman" w:hAnsi="Segoe UI" w:cs="Segoe UI"/>
          <w:color w:val="212121"/>
        </w:rPr>
        <w:t xml:space="preserve">principles-based framework </w:t>
      </w:r>
      <w:r>
        <w:rPr>
          <w:rFonts w:ascii="Segoe UI" w:eastAsia="Times New Roman" w:hAnsi="Segoe UI" w:cs="Segoe UI"/>
          <w:color w:val="212121"/>
        </w:rPr>
        <w:t xml:space="preserve">set out in </w:t>
      </w:r>
      <w:r w:rsidRPr="00474B98">
        <w:rPr>
          <w:rFonts w:ascii="Segoe UI" w:eastAsia="Times New Roman" w:hAnsi="Segoe UI" w:cs="Segoe UI"/>
          <w:color w:val="212121"/>
        </w:rPr>
        <w:t xml:space="preserve">Attachment </w:t>
      </w:r>
      <w:r w:rsidR="00017D9C">
        <w:rPr>
          <w:rFonts w:ascii="Segoe UI" w:eastAsia="Times New Roman" w:hAnsi="Segoe UI" w:cs="Segoe UI"/>
          <w:color w:val="212121"/>
        </w:rPr>
        <w:t>A</w:t>
      </w:r>
      <w:r>
        <w:rPr>
          <w:rFonts w:ascii="Segoe UI" w:eastAsia="Times New Roman" w:hAnsi="Segoe UI" w:cs="Segoe UI"/>
          <w:color w:val="212121"/>
        </w:rPr>
        <w:t xml:space="preserve"> to frame decisions on </w:t>
      </w:r>
      <w:r w:rsidRPr="00E247C0">
        <w:rPr>
          <w:rFonts w:ascii="Segoe UI" w:eastAsia="Times New Roman" w:hAnsi="Segoe UI" w:cs="Segoe UI"/>
          <w:color w:val="212121"/>
        </w:rPr>
        <w:t>commissioning strategic policy work</w:t>
      </w:r>
      <w:r>
        <w:rPr>
          <w:rFonts w:ascii="Segoe UI" w:eastAsia="Times New Roman" w:hAnsi="Segoe UI" w:cs="Segoe UI"/>
          <w:color w:val="212121"/>
        </w:rPr>
        <w:t>.</w:t>
      </w:r>
    </w:p>
    <w:p w14:paraId="06E46084" w14:textId="77777777" w:rsidR="00EB7317" w:rsidRPr="00752A8B" w:rsidRDefault="000661AA" w:rsidP="00EB7317">
      <w:pPr>
        <w:pStyle w:val="Heading2"/>
        <w:rPr>
          <w:rFonts w:cs="Segoe UI"/>
          <w:sz w:val="32"/>
          <w:szCs w:val="32"/>
        </w:rPr>
      </w:pPr>
      <w:bookmarkStart w:id="51" w:name="_Toc172665588"/>
      <w:r>
        <w:rPr>
          <w:rFonts w:cs="Segoe UI"/>
          <w:sz w:val="32"/>
          <w:szCs w:val="32"/>
        </w:rPr>
        <w:t>Centrally s</w:t>
      </w:r>
      <w:r w:rsidR="00987408">
        <w:rPr>
          <w:rFonts w:cs="Segoe UI"/>
          <w:sz w:val="32"/>
          <w:szCs w:val="32"/>
        </w:rPr>
        <w:t>et</w:t>
      </w:r>
      <w:r>
        <w:rPr>
          <w:rFonts w:cs="Segoe UI"/>
          <w:sz w:val="32"/>
          <w:szCs w:val="32"/>
        </w:rPr>
        <w:t xml:space="preserve"> </w:t>
      </w:r>
      <w:r w:rsidR="00EB7317">
        <w:rPr>
          <w:rFonts w:cs="Segoe UI"/>
          <w:sz w:val="32"/>
          <w:szCs w:val="32"/>
        </w:rPr>
        <w:t>objectives</w:t>
      </w:r>
      <w:r>
        <w:rPr>
          <w:rFonts w:cs="Segoe UI"/>
          <w:sz w:val="32"/>
          <w:szCs w:val="32"/>
        </w:rPr>
        <w:t xml:space="preserve"> and strategic </w:t>
      </w:r>
      <w:r w:rsidR="00EB7317">
        <w:rPr>
          <w:rFonts w:cs="Segoe UI"/>
          <w:sz w:val="32"/>
          <w:szCs w:val="32"/>
        </w:rPr>
        <w:t>priorities</w:t>
      </w:r>
      <w:r w:rsidR="00A43712">
        <w:rPr>
          <w:rFonts w:cs="Segoe UI"/>
          <w:sz w:val="32"/>
          <w:szCs w:val="32"/>
        </w:rPr>
        <w:t>,</w:t>
      </w:r>
      <w:r>
        <w:rPr>
          <w:rFonts w:cs="Segoe UI"/>
          <w:sz w:val="32"/>
          <w:szCs w:val="32"/>
        </w:rPr>
        <w:t xml:space="preserve"> </w:t>
      </w:r>
      <w:r w:rsidR="00717901">
        <w:rPr>
          <w:rFonts w:cs="Segoe UI"/>
          <w:sz w:val="32"/>
          <w:szCs w:val="32"/>
        </w:rPr>
        <w:t>and funding</w:t>
      </w:r>
      <w:r>
        <w:rPr>
          <w:rFonts w:cs="Segoe UI"/>
          <w:sz w:val="32"/>
          <w:szCs w:val="32"/>
        </w:rPr>
        <w:t xml:space="preserve"> decisions will follow</w:t>
      </w:r>
      <w:bookmarkEnd w:id="51"/>
    </w:p>
    <w:p w14:paraId="06E46085" w14:textId="77777777" w:rsidR="00EA51EC" w:rsidRPr="00752A8B" w:rsidRDefault="00EA51EC"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199F7E2D">
        <w:rPr>
          <w:rFonts w:ascii="Segoe UI" w:eastAsia="Times New Roman" w:hAnsi="Segoe UI" w:cs="Segoe UI"/>
          <w:color w:val="212121"/>
        </w:rPr>
        <w:t xml:space="preserve">A common critique during consultations was Government does not </w:t>
      </w:r>
      <w:r w:rsidR="002224F6">
        <w:rPr>
          <w:rFonts w:ascii="Segoe UI" w:eastAsia="Times New Roman" w:hAnsi="Segoe UI" w:cs="Segoe UI"/>
          <w:color w:val="212121"/>
        </w:rPr>
        <w:t xml:space="preserve">either </w:t>
      </w:r>
      <w:r w:rsidRPr="199F7E2D">
        <w:rPr>
          <w:rFonts w:ascii="Segoe UI" w:eastAsia="Times New Roman" w:hAnsi="Segoe UI" w:cs="Segoe UI"/>
          <w:color w:val="212121"/>
        </w:rPr>
        <w:t>know</w:t>
      </w:r>
      <w:r w:rsidR="002224F6">
        <w:rPr>
          <w:rFonts w:ascii="Segoe UI" w:eastAsia="Times New Roman" w:hAnsi="Segoe UI" w:cs="Segoe UI"/>
          <w:color w:val="212121"/>
        </w:rPr>
        <w:t>,</w:t>
      </w:r>
      <w:r w:rsidRPr="199F7E2D">
        <w:rPr>
          <w:rFonts w:ascii="Segoe UI" w:eastAsia="Times New Roman" w:hAnsi="Segoe UI" w:cs="Segoe UI"/>
          <w:color w:val="212121"/>
        </w:rPr>
        <w:t xml:space="preserve"> or communicate</w:t>
      </w:r>
      <w:r w:rsidR="002224F6">
        <w:rPr>
          <w:rFonts w:ascii="Segoe UI" w:eastAsia="Times New Roman" w:hAnsi="Segoe UI" w:cs="Segoe UI"/>
          <w:color w:val="212121"/>
        </w:rPr>
        <w:t>,</w:t>
      </w:r>
      <w:r w:rsidRPr="199F7E2D">
        <w:rPr>
          <w:rFonts w:ascii="Segoe UI" w:eastAsia="Times New Roman" w:hAnsi="Segoe UI" w:cs="Segoe UI"/>
          <w:color w:val="212121"/>
        </w:rPr>
        <w:t xml:space="preserve"> what it wants from the sector. Government has not presented agreed objectives, topics or current</w:t>
      </w:r>
      <w:r>
        <w:rPr>
          <w:rFonts w:ascii="Segoe UI" w:eastAsia="Times New Roman" w:hAnsi="Segoe UI" w:cs="Segoe UI"/>
          <w:color w:val="212121"/>
        </w:rPr>
        <w:t xml:space="preserve"> and </w:t>
      </w:r>
      <w:r w:rsidRPr="199F7E2D">
        <w:rPr>
          <w:rFonts w:ascii="Segoe UI" w:eastAsia="Times New Roman" w:hAnsi="Segoe UI" w:cs="Segoe UI"/>
          <w:color w:val="212121"/>
        </w:rPr>
        <w:t xml:space="preserve">emerging challenges to the sector to inform activities. Instead, </w:t>
      </w:r>
      <w:r>
        <w:rPr>
          <w:rFonts w:ascii="Segoe UI" w:eastAsia="Times New Roman" w:hAnsi="Segoe UI" w:cs="Segoe UI"/>
          <w:color w:val="212121"/>
        </w:rPr>
        <w:t xml:space="preserve">officials generally provide </w:t>
      </w:r>
      <w:r w:rsidRPr="199F7E2D">
        <w:rPr>
          <w:rFonts w:ascii="Segoe UI" w:eastAsia="Times New Roman" w:hAnsi="Segoe UI" w:cs="Segoe UI"/>
          <w:color w:val="212121"/>
        </w:rPr>
        <w:t xml:space="preserve">guidance on a case-by-case basis to outline objectives for individual programs or activities. </w:t>
      </w:r>
    </w:p>
    <w:p w14:paraId="06E46086" w14:textId="77777777" w:rsidR="00EB7317" w:rsidRPr="00963625" w:rsidRDefault="00EA51EC" w:rsidP="001A339A">
      <w:pPr>
        <w:pStyle w:val="ListParagraph"/>
        <w:numPr>
          <w:ilvl w:val="0"/>
          <w:numId w:val="22"/>
        </w:numPr>
        <w:spacing w:line="259" w:lineRule="auto"/>
        <w:ind w:left="0" w:firstLine="0"/>
        <w:contextualSpacing w:val="0"/>
        <w:rPr>
          <w:rFonts w:ascii="Segoe UI" w:eastAsia="Times New Roman" w:hAnsi="Segoe UI" w:cs="Segoe UI"/>
          <w:color w:val="212121"/>
        </w:rPr>
      </w:pPr>
      <w:r w:rsidRPr="00752A8B">
        <w:rPr>
          <w:rFonts w:ascii="Segoe UI" w:eastAsia="Times New Roman" w:hAnsi="Segoe UI" w:cs="Segoe UI"/>
          <w:color w:val="212121"/>
        </w:rPr>
        <w:t xml:space="preserve">Establishing whole-of-government objectives </w:t>
      </w:r>
      <w:r>
        <w:rPr>
          <w:rFonts w:ascii="Segoe UI" w:eastAsia="Times New Roman" w:hAnsi="Segoe UI" w:cs="Segoe UI"/>
          <w:color w:val="212121"/>
        </w:rPr>
        <w:t xml:space="preserve">and priorities </w:t>
      </w:r>
      <w:r w:rsidRPr="00752A8B">
        <w:rPr>
          <w:rFonts w:ascii="Segoe UI" w:eastAsia="Times New Roman" w:hAnsi="Segoe UI" w:cs="Segoe UI"/>
          <w:color w:val="212121"/>
        </w:rPr>
        <w:t xml:space="preserve">for the sector is the first step to introducing more rigour. This </w:t>
      </w:r>
      <w:r>
        <w:rPr>
          <w:rFonts w:ascii="Segoe UI" w:eastAsia="Times New Roman" w:hAnsi="Segoe UI" w:cs="Segoe UI"/>
          <w:color w:val="212121"/>
        </w:rPr>
        <w:t>includes identifying</w:t>
      </w:r>
      <w:r w:rsidRPr="00752A8B">
        <w:rPr>
          <w:rFonts w:ascii="Segoe UI" w:eastAsia="Times New Roman" w:hAnsi="Segoe UI" w:cs="Segoe UI"/>
          <w:color w:val="212121"/>
        </w:rPr>
        <w:t xml:space="preserve"> specific national security </w:t>
      </w:r>
      <w:r>
        <w:rPr>
          <w:rFonts w:ascii="Segoe UI" w:eastAsia="Times New Roman" w:hAnsi="Segoe UI" w:cs="Segoe UI"/>
          <w:color w:val="212121"/>
        </w:rPr>
        <w:t xml:space="preserve">policy </w:t>
      </w:r>
      <w:r w:rsidRPr="00752A8B">
        <w:rPr>
          <w:rFonts w:ascii="Segoe UI" w:eastAsia="Times New Roman" w:hAnsi="Segoe UI" w:cs="Segoe UI"/>
          <w:color w:val="212121"/>
        </w:rPr>
        <w:t>topics</w:t>
      </w:r>
      <w:r>
        <w:rPr>
          <w:rFonts w:ascii="Segoe UI" w:eastAsia="Times New Roman" w:hAnsi="Segoe UI" w:cs="Segoe UI"/>
          <w:color w:val="212121"/>
        </w:rPr>
        <w:t>, questions</w:t>
      </w:r>
      <w:r w:rsidR="009A25C6">
        <w:rPr>
          <w:rFonts w:ascii="Segoe UI" w:eastAsia="Times New Roman" w:hAnsi="Segoe UI" w:cs="Segoe UI"/>
          <w:color w:val="212121"/>
        </w:rPr>
        <w:t>,</w:t>
      </w:r>
      <w:r w:rsidRPr="00752A8B">
        <w:rPr>
          <w:rFonts w:ascii="Segoe UI" w:eastAsia="Times New Roman" w:hAnsi="Segoe UI" w:cs="Segoe UI"/>
          <w:color w:val="212121"/>
        </w:rPr>
        <w:t xml:space="preserve"> and </w:t>
      </w:r>
      <w:r>
        <w:rPr>
          <w:rFonts w:ascii="Segoe UI" w:eastAsia="Times New Roman" w:hAnsi="Segoe UI" w:cs="Segoe UI"/>
          <w:color w:val="212121"/>
        </w:rPr>
        <w:t>dilemmas</w:t>
      </w:r>
      <w:r w:rsidRPr="00752A8B">
        <w:rPr>
          <w:rFonts w:ascii="Segoe UI" w:eastAsia="Times New Roman" w:hAnsi="Segoe UI" w:cs="Segoe UI"/>
          <w:color w:val="212121"/>
        </w:rPr>
        <w:t xml:space="preserve"> that would benefit from greater debate and analysis. </w:t>
      </w:r>
      <w:r>
        <w:rPr>
          <w:rFonts w:ascii="Segoe UI" w:eastAsia="Times New Roman" w:hAnsi="Segoe UI" w:cs="Segoe UI"/>
          <w:color w:val="212121"/>
        </w:rPr>
        <w:t>The sector should be encouraged to think creatively and provide</w:t>
      </w:r>
      <w:r w:rsidR="000661AA">
        <w:rPr>
          <w:rFonts w:ascii="Segoe UI" w:eastAsia="Times New Roman" w:hAnsi="Segoe UI" w:cs="Segoe UI"/>
          <w:color w:val="212121"/>
        </w:rPr>
        <w:t xml:space="preserve"> </w:t>
      </w:r>
      <w:r>
        <w:rPr>
          <w:rFonts w:ascii="Segoe UI" w:eastAsia="Times New Roman" w:hAnsi="Segoe UI" w:cs="Segoe UI"/>
          <w:color w:val="212121"/>
        </w:rPr>
        <w:t xml:space="preserve">constructive suggestions in </w:t>
      </w:r>
      <w:r w:rsidRPr="00752A8B">
        <w:rPr>
          <w:rFonts w:ascii="Segoe UI" w:eastAsia="Times New Roman" w:hAnsi="Segoe UI" w:cs="Segoe UI"/>
          <w:color w:val="212121"/>
        </w:rPr>
        <w:t>areas where public understanding is limited, policy positions are evolving</w:t>
      </w:r>
      <w:r>
        <w:rPr>
          <w:rFonts w:ascii="Segoe UI" w:eastAsia="Times New Roman" w:hAnsi="Segoe UI" w:cs="Segoe UI"/>
          <w:color w:val="212121"/>
        </w:rPr>
        <w:t xml:space="preserve"> or </w:t>
      </w:r>
      <w:r w:rsidRPr="00752A8B">
        <w:rPr>
          <w:rFonts w:ascii="Segoe UI" w:eastAsia="Times New Roman" w:hAnsi="Segoe UI" w:cs="Segoe UI"/>
          <w:color w:val="212121"/>
        </w:rPr>
        <w:t>untested, or policy implementation is difficult.</w:t>
      </w:r>
      <w:r w:rsidR="00AA2723">
        <w:rPr>
          <w:rFonts w:ascii="Segoe UI" w:eastAsia="Times New Roman" w:hAnsi="Segoe UI" w:cs="Segoe UI"/>
          <w:color w:val="212121"/>
        </w:rPr>
        <w:t xml:space="preserve"> </w:t>
      </w:r>
      <w:r w:rsidR="00EB7317" w:rsidRPr="00963625">
        <w:rPr>
          <w:rFonts w:ascii="Segoe UI" w:eastAsia="Times New Roman" w:hAnsi="Segoe UI" w:cs="Segoe UI"/>
          <w:color w:val="212121"/>
        </w:rPr>
        <w:t>Government’s objectives for funding the sector should be to: </w:t>
      </w:r>
    </w:p>
    <w:p w14:paraId="06E46087" w14:textId="77777777" w:rsidR="00EB7317" w:rsidRPr="00752A8B" w:rsidRDefault="00EB7317" w:rsidP="001A339A">
      <w:pPr>
        <w:pStyle w:val="ListParagraph"/>
        <w:numPr>
          <w:ilvl w:val="0"/>
          <w:numId w:val="41"/>
        </w:numPr>
        <w:spacing w:after="120"/>
        <w:rPr>
          <w:rFonts w:ascii="Segoe UI" w:eastAsia="Times New Roman" w:hAnsi="Segoe UI" w:cs="Segoe UI"/>
          <w:color w:val="212121"/>
          <w:szCs w:val="22"/>
        </w:rPr>
      </w:pPr>
      <w:r w:rsidRPr="00752A8B">
        <w:rPr>
          <w:rFonts w:ascii="Segoe UI" w:eastAsia="Times New Roman" w:hAnsi="Segoe UI" w:cs="Segoe UI"/>
          <w:color w:val="212121"/>
          <w:szCs w:val="22"/>
        </w:rPr>
        <w:t>Broaden the policy lens through policy-relevant research and options to address current</w:t>
      </w:r>
      <w:r>
        <w:rPr>
          <w:rFonts w:ascii="Segoe UI" w:eastAsia="Times New Roman" w:hAnsi="Segoe UI" w:cs="Segoe UI"/>
          <w:color w:val="212121"/>
          <w:szCs w:val="22"/>
        </w:rPr>
        <w:t xml:space="preserve"> and </w:t>
      </w:r>
      <w:r w:rsidRPr="00752A8B">
        <w:rPr>
          <w:rFonts w:ascii="Segoe UI" w:eastAsia="Times New Roman" w:hAnsi="Segoe UI" w:cs="Segoe UI"/>
          <w:color w:val="212121"/>
          <w:szCs w:val="22"/>
        </w:rPr>
        <w:t>emerging national security challenges. </w:t>
      </w:r>
    </w:p>
    <w:p w14:paraId="06E46088" w14:textId="77777777" w:rsidR="00EB7317" w:rsidRPr="00752A8B" w:rsidRDefault="00EB7317" w:rsidP="001A339A">
      <w:pPr>
        <w:pStyle w:val="ListParagraph"/>
        <w:numPr>
          <w:ilvl w:val="0"/>
          <w:numId w:val="41"/>
        </w:numPr>
        <w:spacing w:after="120"/>
        <w:rPr>
          <w:rFonts w:ascii="Segoe UI" w:eastAsia="Times New Roman" w:hAnsi="Segoe UI" w:cs="Segoe UI"/>
          <w:color w:val="212121"/>
          <w:szCs w:val="22"/>
        </w:rPr>
      </w:pPr>
      <w:r w:rsidRPr="00752A8B">
        <w:rPr>
          <w:rFonts w:ascii="Segoe UI" w:eastAsia="Times New Roman" w:hAnsi="Segoe UI" w:cs="Segoe UI"/>
          <w:color w:val="212121"/>
          <w:szCs w:val="22"/>
        </w:rPr>
        <w:t>Enhance the public understanding and debate about national security policies. </w:t>
      </w:r>
    </w:p>
    <w:p w14:paraId="06E46089" w14:textId="77777777" w:rsidR="00EB7317" w:rsidRPr="00752A8B" w:rsidRDefault="00EB7317" w:rsidP="001A339A">
      <w:pPr>
        <w:pStyle w:val="ListParagraph"/>
        <w:numPr>
          <w:ilvl w:val="0"/>
          <w:numId w:val="41"/>
        </w:numPr>
        <w:spacing w:after="120"/>
        <w:contextualSpacing w:val="0"/>
        <w:rPr>
          <w:rFonts w:ascii="Segoe UI" w:eastAsia="Times New Roman" w:hAnsi="Segoe UI" w:cs="Segoe UI"/>
          <w:color w:val="212121"/>
          <w:szCs w:val="22"/>
        </w:rPr>
      </w:pPr>
      <w:r>
        <w:rPr>
          <w:rFonts w:ascii="Segoe UI" w:eastAsia="Times New Roman" w:hAnsi="Segoe UI" w:cs="Segoe UI"/>
          <w:color w:val="212121"/>
          <w:szCs w:val="22"/>
        </w:rPr>
        <w:t>Grow the</w:t>
      </w:r>
      <w:r w:rsidRPr="00752A8B">
        <w:rPr>
          <w:rFonts w:ascii="Segoe UI" w:eastAsia="Times New Roman" w:hAnsi="Segoe UI" w:cs="Segoe UI"/>
          <w:color w:val="212121"/>
          <w:szCs w:val="22"/>
        </w:rPr>
        <w:t xml:space="preserve"> cohort of skilled policy analysts, covering a range of disciplines relevant to national security. </w:t>
      </w:r>
    </w:p>
    <w:p w14:paraId="06E4608A" w14:textId="77777777" w:rsidR="00EB7317" w:rsidRPr="000B100F" w:rsidRDefault="00EB7317" w:rsidP="009B7C90">
      <w:pPr>
        <w:pStyle w:val="ListParagraph"/>
        <w:numPr>
          <w:ilvl w:val="0"/>
          <w:numId w:val="22"/>
        </w:numPr>
        <w:spacing w:line="259" w:lineRule="auto"/>
        <w:ind w:left="0" w:firstLine="0"/>
        <w:contextualSpacing w:val="0"/>
        <w:rPr>
          <w:rFonts w:ascii="Segoe UI" w:eastAsia="Times New Roman" w:hAnsi="Segoe UI" w:cs="Segoe UI"/>
          <w:color w:val="212121"/>
        </w:rPr>
      </w:pPr>
      <w:r w:rsidRPr="000B100F">
        <w:rPr>
          <w:rFonts w:ascii="Segoe UI" w:eastAsia="Times New Roman" w:hAnsi="Segoe UI" w:cs="Segoe UI"/>
          <w:color w:val="212121"/>
        </w:rPr>
        <w:t>SCNS</w:t>
      </w:r>
      <w:r w:rsidR="002224F6" w:rsidRPr="000B100F">
        <w:rPr>
          <w:rFonts w:ascii="Segoe UI" w:eastAsia="Times New Roman" w:hAnsi="Segoe UI" w:cs="Segoe UI"/>
          <w:color w:val="212121"/>
        </w:rPr>
        <w:t>,</w:t>
      </w:r>
      <w:r w:rsidRPr="000B100F">
        <w:rPr>
          <w:rFonts w:ascii="Segoe UI" w:eastAsia="Times New Roman" w:hAnsi="Segoe UI" w:cs="Segoe UI"/>
          <w:color w:val="212121"/>
        </w:rPr>
        <w:t xml:space="preserve"> drawing on the work of </w:t>
      </w:r>
      <w:r w:rsidR="006F3393" w:rsidRPr="000B100F">
        <w:rPr>
          <w:rFonts w:ascii="Segoe UI" w:eastAsia="Times New Roman" w:hAnsi="Segoe UI" w:cs="Segoe UI"/>
          <w:color w:val="212121"/>
        </w:rPr>
        <w:t>the</w:t>
      </w:r>
      <w:r w:rsidRPr="000B100F">
        <w:rPr>
          <w:rFonts w:ascii="Segoe UI" w:eastAsia="Times New Roman" w:hAnsi="Segoe UI" w:cs="Segoe UI"/>
          <w:color w:val="212121"/>
        </w:rPr>
        <w:t xml:space="preserve"> Deputy Secretaries Committee on National Security (DSCNS), should take the lead in shaping the Government’s engagement with the sector by setting overarching strategic priorities on an annual basis. This includes being clear about the research, </w:t>
      </w:r>
      <w:r w:rsidRPr="000B100F">
        <w:rPr>
          <w:rFonts w:ascii="Segoe UI" w:eastAsia="Times New Roman" w:hAnsi="Segoe UI" w:cs="Segoe UI"/>
          <w:color w:val="212121"/>
        </w:rPr>
        <w:lastRenderedPageBreak/>
        <w:t>engagement and professional development tasks the sector could deliver to support the Government’s agenda. Setting the strategic direction should occur before the start of a new financial year so that the sector can incorporate Government’s updated prioritie</w:t>
      </w:r>
      <w:r w:rsidR="009210B7" w:rsidRPr="000B100F">
        <w:rPr>
          <w:rFonts w:ascii="Segoe UI" w:eastAsia="Times New Roman" w:hAnsi="Segoe UI" w:cs="Segoe UI"/>
          <w:color w:val="212121"/>
        </w:rPr>
        <w:t>s into their forward planning. </w:t>
      </w:r>
    </w:p>
    <w:p w14:paraId="06E4608B" w14:textId="77777777" w:rsidR="00324F73" w:rsidRDefault="00324F73" w:rsidP="00324F73">
      <w:pPr>
        <w:pStyle w:val="BOXHeading3"/>
        <w:spacing w:after="80"/>
      </w:pPr>
      <w:r>
        <w:t>Recommendation 2</w:t>
      </w:r>
    </w:p>
    <w:p w14:paraId="06E4608C" w14:textId="77777777" w:rsidR="00324F73" w:rsidRDefault="00324F73" w:rsidP="00324F73">
      <w:pPr>
        <w:pStyle w:val="BOXText"/>
        <w:spacing w:after="80"/>
      </w:pPr>
      <w:r w:rsidRPr="00D77645">
        <w:rPr>
          <w:bCs/>
        </w:rPr>
        <w:t xml:space="preserve">The Secretaries Committee on National Security (SCNS) should approve annual priorities for the </w:t>
      </w:r>
      <w:r w:rsidR="00A43712">
        <w:rPr>
          <w:bCs/>
        </w:rPr>
        <w:t>sector,</w:t>
      </w:r>
      <w:r w:rsidRPr="00D77645">
        <w:rPr>
          <w:bCs/>
        </w:rPr>
        <w:t xml:space="preserve"> drafted by SCNS deputies in consultation with the sector.</w:t>
      </w:r>
    </w:p>
    <w:p w14:paraId="06E4608D" w14:textId="77777777" w:rsidR="007276F2" w:rsidRPr="002241D6" w:rsidRDefault="007276F2" w:rsidP="002241D6">
      <w:pPr>
        <w:pStyle w:val="Heading2"/>
        <w:rPr>
          <w:rFonts w:cs="Segoe UI"/>
          <w:sz w:val="32"/>
          <w:szCs w:val="32"/>
        </w:rPr>
      </w:pPr>
      <w:bookmarkStart w:id="52" w:name="_Toc172665589"/>
      <w:r w:rsidRPr="002241D6">
        <w:rPr>
          <w:rFonts w:cs="Segoe UI"/>
          <w:sz w:val="32"/>
          <w:szCs w:val="32"/>
        </w:rPr>
        <w:t xml:space="preserve">Establish a </w:t>
      </w:r>
      <w:r w:rsidR="0052215F">
        <w:rPr>
          <w:rFonts w:cs="Segoe UI"/>
          <w:sz w:val="32"/>
          <w:szCs w:val="32"/>
        </w:rPr>
        <w:t>five-year</w:t>
      </w:r>
      <w:r w:rsidRPr="002241D6">
        <w:rPr>
          <w:rFonts w:cs="Segoe UI"/>
          <w:sz w:val="32"/>
          <w:szCs w:val="32"/>
        </w:rPr>
        <w:t xml:space="preserve"> </w:t>
      </w:r>
      <w:r w:rsidR="00A43712">
        <w:rPr>
          <w:rFonts w:cs="Segoe UI"/>
          <w:sz w:val="32"/>
          <w:szCs w:val="32"/>
        </w:rPr>
        <w:t>cycle</w:t>
      </w:r>
      <w:r w:rsidRPr="002241D6">
        <w:rPr>
          <w:rFonts w:cs="Segoe UI"/>
          <w:sz w:val="32"/>
          <w:szCs w:val="32"/>
        </w:rPr>
        <w:t xml:space="preserve"> for operating funding</w:t>
      </w:r>
      <w:bookmarkEnd w:id="52"/>
    </w:p>
    <w:p w14:paraId="06E4608E" w14:textId="77777777" w:rsidR="002A268C" w:rsidRPr="00963625" w:rsidRDefault="002A268C" w:rsidP="001A339A">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 xml:space="preserve">With the exception of the AALD, all the agreements with organisations which receive operating funding from the Government </w:t>
      </w:r>
      <w:r w:rsidR="00A43712" w:rsidRPr="00963625">
        <w:rPr>
          <w:rFonts w:ascii="Segoe UI" w:eastAsia="Times New Roman" w:hAnsi="Segoe UI" w:cs="Segoe UI"/>
          <w:color w:val="212121"/>
        </w:rPr>
        <w:t>will</w:t>
      </w:r>
      <w:r w:rsidRPr="00963625">
        <w:rPr>
          <w:rFonts w:ascii="Segoe UI" w:eastAsia="Times New Roman" w:hAnsi="Segoe UI" w:cs="Segoe UI"/>
          <w:color w:val="212121"/>
        </w:rPr>
        <w:t xml:space="preserve"> expire at the end of the 2024</w:t>
      </w:r>
      <w:r w:rsidR="007959C0">
        <w:rPr>
          <w:rFonts w:ascii="Segoe UI" w:eastAsia="Times New Roman" w:hAnsi="Segoe UI" w:cs="Segoe UI"/>
          <w:color w:val="212121"/>
        </w:rPr>
        <w:t>-</w:t>
      </w:r>
      <w:r w:rsidRPr="00963625">
        <w:rPr>
          <w:rFonts w:ascii="Segoe UI" w:eastAsia="Times New Roman" w:hAnsi="Segoe UI" w:cs="Segoe UI"/>
          <w:color w:val="212121"/>
        </w:rPr>
        <w:t>25 financial year. To avoid undermining these investments, Government should extend the agreements for a further two years (</w:t>
      </w:r>
      <w:r w:rsidR="006F3393">
        <w:rPr>
          <w:rFonts w:ascii="Segoe UI" w:eastAsia="Times New Roman" w:hAnsi="Segoe UI" w:cs="Segoe UI"/>
          <w:color w:val="212121"/>
        </w:rPr>
        <w:t>until 30 June 2027</w:t>
      </w:r>
      <w:r w:rsidRPr="00963625">
        <w:rPr>
          <w:rFonts w:ascii="Segoe UI" w:eastAsia="Times New Roman" w:hAnsi="Segoe UI" w:cs="Segoe UI"/>
          <w:color w:val="212121"/>
        </w:rPr>
        <w:t xml:space="preserve">) while it </w:t>
      </w:r>
      <w:r w:rsidRPr="00963625" w:rsidDel="009A25C6">
        <w:rPr>
          <w:rFonts w:ascii="Segoe UI" w:eastAsia="Times New Roman" w:hAnsi="Segoe UI" w:cs="Segoe UI"/>
          <w:color w:val="212121"/>
        </w:rPr>
        <w:t xml:space="preserve">establishes </w:t>
      </w:r>
      <w:r w:rsidRPr="298B4F96">
        <w:rPr>
          <w:rFonts w:ascii="Segoe UI" w:eastAsia="Times New Roman" w:hAnsi="Segoe UI" w:cs="Segoe UI"/>
          <w:color w:val="212121"/>
        </w:rPr>
        <w:t xml:space="preserve">the </w:t>
      </w:r>
      <w:r w:rsidR="442393A6" w:rsidRPr="298B4F96">
        <w:rPr>
          <w:rFonts w:ascii="Segoe UI" w:eastAsia="Times New Roman" w:hAnsi="Segoe UI" w:cs="Segoe UI"/>
          <w:color w:val="212121"/>
        </w:rPr>
        <w:t>proposed</w:t>
      </w:r>
      <w:r w:rsidRPr="00963625">
        <w:rPr>
          <w:rFonts w:ascii="Segoe UI" w:eastAsia="Times New Roman" w:hAnsi="Segoe UI" w:cs="Segoe UI"/>
          <w:color w:val="212121"/>
        </w:rPr>
        <w:t xml:space="preserve"> five year funding </w:t>
      </w:r>
      <w:r w:rsidR="009A25C6" w:rsidRPr="298B4F96">
        <w:rPr>
          <w:rFonts w:ascii="Segoe UI" w:eastAsia="Times New Roman" w:hAnsi="Segoe UI" w:cs="Segoe UI"/>
          <w:color w:val="212121"/>
        </w:rPr>
        <w:t>cycle</w:t>
      </w:r>
      <w:r w:rsidRPr="298B4F96">
        <w:rPr>
          <w:rFonts w:ascii="Segoe UI" w:eastAsia="Times New Roman" w:hAnsi="Segoe UI" w:cs="Segoe UI"/>
          <w:color w:val="212121"/>
        </w:rPr>
        <w:t>.</w:t>
      </w:r>
      <w:r w:rsidRPr="00963625">
        <w:rPr>
          <w:rFonts w:ascii="Segoe UI" w:eastAsia="Times New Roman" w:hAnsi="Segoe UI" w:cs="Segoe UI"/>
          <w:color w:val="212121"/>
        </w:rPr>
        <w:t xml:space="preserve"> To cease funding abruptly would be excessively disruptive. </w:t>
      </w:r>
    </w:p>
    <w:p w14:paraId="06E4608F" w14:textId="77777777" w:rsidR="007276F2" w:rsidRPr="00963625" w:rsidRDefault="00384C32" w:rsidP="001A339A">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 xml:space="preserve">Currently, all operating funding agreements are non-competitive, which leads to perceptions of favouritism, an issue raised regularly during my consultations. </w:t>
      </w:r>
      <w:r w:rsidR="007276F2" w:rsidRPr="00963625">
        <w:rPr>
          <w:rFonts w:ascii="Segoe UI" w:eastAsia="Times New Roman" w:hAnsi="Segoe UI" w:cs="Segoe UI"/>
          <w:color w:val="212121"/>
        </w:rPr>
        <w:t xml:space="preserve">SCNS should review the performance and skills base of organisations receiving operating funding to ensure </w:t>
      </w:r>
      <w:r w:rsidR="00324F73" w:rsidRPr="00963625">
        <w:rPr>
          <w:rFonts w:ascii="Segoe UI" w:eastAsia="Times New Roman" w:hAnsi="Segoe UI" w:cs="Segoe UI"/>
          <w:color w:val="212121"/>
        </w:rPr>
        <w:t>the sector</w:t>
      </w:r>
      <w:r w:rsidR="007276F2" w:rsidRPr="00963625">
        <w:rPr>
          <w:rFonts w:ascii="Segoe UI" w:eastAsia="Times New Roman" w:hAnsi="Segoe UI" w:cs="Segoe UI"/>
          <w:color w:val="212121"/>
        </w:rPr>
        <w:t xml:space="preserve"> remains fit for purpose. Centralising decision-making on operating funding, while retaining a decentralised approach to fee</w:t>
      </w:r>
      <w:r w:rsidR="00E11BE1" w:rsidRPr="00963625">
        <w:rPr>
          <w:rFonts w:ascii="Segoe UI" w:eastAsia="Times New Roman" w:hAnsi="Segoe UI" w:cs="Segoe UI"/>
          <w:color w:val="212121"/>
        </w:rPr>
        <w:t>-</w:t>
      </w:r>
      <w:r w:rsidR="007276F2" w:rsidRPr="00963625">
        <w:rPr>
          <w:rFonts w:ascii="Segoe UI" w:eastAsia="Times New Roman" w:hAnsi="Segoe UI" w:cs="Segoe UI"/>
          <w:color w:val="212121"/>
        </w:rPr>
        <w:t>for</w:t>
      </w:r>
      <w:r w:rsidR="00E11BE1" w:rsidRPr="00963625">
        <w:rPr>
          <w:rFonts w:ascii="Segoe UI" w:eastAsia="Times New Roman" w:hAnsi="Segoe UI" w:cs="Segoe UI"/>
          <w:color w:val="212121"/>
        </w:rPr>
        <w:t>-</w:t>
      </w:r>
      <w:r w:rsidR="007276F2" w:rsidRPr="00963625">
        <w:rPr>
          <w:rFonts w:ascii="Segoe UI" w:eastAsia="Times New Roman" w:hAnsi="Segoe UI" w:cs="Segoe UI"/>
          <w:color w:val="212121"/>
        </w:rPr>
        <w:t>service funding</w:t>
      </w:r>
      <w:r w:rsidR="00042337" w:rsidRPr="00963625">
        <w:rPr>
          <w:rFonts w:ascii="Segoe UI" w:eastAsia="Times New Roman" w:hAnsi="Segoe UI" w:cs="Segoe UI"/>
          <w:color w:val="212121"/>
        </w:rPr>
        <w:t>,</w:t>
      </w:r>
      <w:r w:rsidR="007276F2" w:rsidRPr="00963625">
        <w:rPr>
          <w:rFonts w:ascii="Segoe UI" w:eastAsia="Times New Roman" w:hAnsi="Segoe UI" w:cs="Segoe UI"/>
          <w:color w:val="212121"/>
        </w:rPr>
        <w:t xml:space="preserve"> would help Government direct Commonwealth funding towards Australia’s national security interests.</w:t>
      </w:r>
      <w:r w:rsidR="00324F73" w:rsidRPr="00963625">
        <w:rPr>
          <w:rFonts w:ascii="Segoe UI" w:eastAsia="Times New Roman" w:hAnsi="Segoe UI" w:cs="Segoe UI"/>
          <w:color w:val="212121"/>
        </w:rPr>
        <w:t xml:space="preserve"> This should be accompanied by greater transparency in the applications process and regular performance reviews. </w:t>
      </w:r>
    </w:p>
    <w:p w14:paraId="06E46090" w14:textId="77777777" w:rsidR="00324F73" w:rsidRPr="00963625" w:rsidRDefault="00324F73" w:rsidP="001A339A">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To achieve this</w:t>
      </w:r>
      <w:r w:rsidR="001663F0" w:rsidRPr="00963625">
        <w:rPr>
          <w:rFonts w:ascii="Segoe UI" w:eastAsia="Times New Roman" w:hAnsi="Segoe UI" w:cs="Segoe UI"/>
          <w:color w:val="212121"/>
        </w:rPr>
        <w:t>,</w:t>
      </w:r>
      <w:r w:rsidRPr="00963625">
        <w:rPr>
          <w:rFonts w:ascii="Segoe UI" w:eastAsia="Times New Roman" w:hAnsi="Segoe UI" w:cs="Segoe UI"/>
          <w:color w:val="212121"/>
        </w:rPr>
        <w:t xml:space="preserve"> </w:t>
      </w:r>
      <w:r w:rsidR="009A25C6">
        <w:rPr>
          <w:rFonts w:ascii="Segoe UI" w:eastAsia="Times New Roman" w:hAnsi="Segoe UI" w:cs="Segoe UI"/>
          <w:color w:val="212121"/>
        </w:rPr>
        <w:t xml:space="preserve">Government should establish </w:t>
      </w:r>
      <w:r w:rsidRPr="00963625">
        <w:rPr>
          <w:rFonts w:ascii="Segoe UI" w:eastAsia="Times New Roman" w:hAnsi="Segoe UI" w:cs="Segoe UI"/>
          <w:color w:val="212121"/>
        </w:rPr>
        <w:t xml:space="preserve">a </w:t>
      </w:r>
      <w:r w:rsidR="0052215F">
        <w:rPr>
          <w:rFonts w:ascii="Segoe UI" w:eastAsia="Times New Roman" w:hAnsi="Segoe UI" w:cs="Segoe UI"/>
          <w:color w:val="212121"/>
        </w:rPr>
        <w:t>five-year</w:t>
      </w:r>
      <w:r w:rsidRPr="00963625">
        <w:rPr>
          <w:rFonts w:ascii="Segoe UI" w:eastAsia="Times New Roman" w:hAnsi="Segoe UI" w:cs="Segoe UI"/>
          <w:color w:val="212121"/>
        </w:rPr>
        <w:t xml:space="preserve"> funding </w:t>
      </w:r>
      <w:r w:rsidR="00FE79EB" w:rsidRPr="00963625">
        <w:rPr>
          <w:rFonts w:ascii="Segoe UI" w:eastAsia="Times New Roman" w:hAnsi="Segoe UI" w:cs="Segoe UI"/>
          <w:color w:val="212121"/>
        </w:rPr>
        <w:t>cycle</w:t>
      </w:r>
      <w:r w:rsidRPr="00963625">
        <w:rPr>
          <w:rFonts w:ascii="Segoe UI" w:eastAsia="Times New Roman" w:hAnsi="Segoe UI" w:cs="Segoe UI"/>
          <w:color w:val="212121"/>
        </w:rPr>
        <w:t>, commencing in financial year 202</w:t>
      </w:r>
      <w:r w:rsidR="00B70151" w:rsidRPr="00963625">
        <w:rPr>
          <w:rFonts w:ascii="Segoe UI" w:eastAsia="Times New Roman" w:hAnsi="Segoe UI" w:cs="Segoe UI"/>
          <w:color w:val="212121"/>
        </w:rPr>
        <w:t>7</w:t>
      </w:r>
      <w:r w:rsidR="00FE79EB" w:rsidRPr="00963625">
        <w:rPr>
          <w:rFonts w:ascii="Segoe UI" w:eastAsia="Times New Roman" w:hAnsi="Segoe UI" w:cs="Segoe UI"/>
          <w:color w:val="212121"/>
        </w:rPr>
        <w:noBreakHyphen/>
      </w:r>
      <w:r w:rsidRPr="00963625">
        <w:rPr>
          <w:rFonts w:ascii="Segoe UI" w:eastAsia="Times New Roman" w:hAnsi="Segoe UI" w:cs="Segoe UI"/>
          <w:color w:val="212121"/>
        </w:rPr>
        <w:t>2</w:t>
      </w:r>
      <w:r w:rsidR="00B70151" w:rsidRPr="00963625">
        <w:rPr>
          <w:rFonts w:ascii="Segoe UI" w:eastAsia="Times New Roman" w:hAnsi="Segoe UI" w:cs="Segoe UI"/>
          <w:color w:val="212121"/>
        </w:rPr>
        <w:t>8</w:t>
      </w:r>
      <w:r w:rsidRPr="00963625">
        <w:rPr>
          <w:rFonts w:ascii="Segoe UI" w:eastAsia="Times New Roman" w:hAnsi="Segoe UI" w:cs="Segoe UI"/>
          <w:color w:val="212121"/>
        </w:rPr>
        <w:t>. This would involve establishing five year operating agreements, which are reviewed in year</w:t>
      </w:r>
      <w:r w:rsidR="009A25C6">
        <w:rPr>
          <w:rFonts w:ascii="Segoe UI" w:eastAsia="Times New Roman" w:hAnsi="Segoe UI" w:cs="Segoe UI"/>
          <w:color w:val="212121"/>
        </w:rPr>
        <w:t xml:space="preserve"> three</w:t>
      </w:r>
      <w:r w:rsidRPr="00963625">
        <w:rPr>
          <w:rFonts w:ascii="Segoe UI" w:eastAsia="Times New Roman" w:hAnsi="Segoe UI" w:cs="Segoe UI"/>
          <w:color w:val="212121"/>
        </w:rPr>
        <w:t xml:space="preserve"> by the funding </w:t>
      </w:r>
      <w:r w:rsidR="001663F0" w:rsidRPr="00963625">
        <w:rPr>
          <w:rFonts w:ascii="Segoe UI" w:eastAsia="Times New Roman" w:hAnsi="Segoe UI" w:cs="Segoe UI"/>
          <w:color w:val="212121"/>
        </w:rPr>
        <w:t xml:space="preserve">department or </w:t>
      </w:r>
      <w:r w:rsidRPr="00963625">
        <w:rPr>
          <w:rFonts w:ascii="Segoe UI" w:eastAsia="Times New Roman" w:hAnsi="Segoe UI" w:cs="Segoe UI"/>
          <w:color w:val="212121"/>
        </w:rPr>
        <w:t xml:space="preserve">agency, followed by an open and competitive process in year four </w:t>
      </w:r>
      <w:r w:rsidR="00017D9C" w:rsidRPr="00963625">
        <w:rPr>
          <w:rFonts w:ascii="Segoe UI" w:eastAsia="Times New Roman" w:hAnsi="Segoe UI" w:cs="Segoe UI"/>
          <w:color w:val="212121"/>
        </w:rPr>
        <w:t>to inform SCNS decisions on</w:t>
      </w:r>
      <w:r w:rsidRPr="00963625">
        <w:rPr>
          <w:rFonts w:ascii="Segoe UI" w:eastAsia="Times New Roman" w:hAnsi="Segoe UI" w:cs="Segoe UI"/>
          <w:color w:val="212121"/>
        </w:rPr>
        <w:t xml:space="preserve"> the </w:t>
      </w:r>
      <w:r w:rsidR="00042337" w:rsidRPr="00963625">
        <w:rPr>
          <w:rFonts w:ascii="Segoe UI" w:eastAsia="Times New Roman" w:hAnsi="Segoe UI" w:cs="Segoe UI"/>
          <w:color w:val="212121"/>
        </w:rPr>
        <w:t xml:space="preserve">next block of </w:t>
      </w:r>
      <w:r w:rsidR="001663F0" w:rsidRPr="00963625">
        <w:rPr>
          <w:rFonts w:ascii="Segoe UI" w:eastAsia="Times New Roman" w:hAnsi="Segoe UI" w:cs="Segoe UI"/>
          <w:color w:val="212121"/>
        </w:rPr>
        <w:t xml:space="preserve">operating funding </w:t>
      </w:r>
      <w:r w:rsidRPr="00963625">
        <w:rPr>
          <w:rFonts w:ascii="Segoe UI" w:eastAsia="Times New Roman" w:hAnsi="Segoe UI" w:cs="Segoe UI"/>
          <w:color w:val="212121"/>
        </w:rPr>
        <w:t xml:space="preserve">allocations. This could involve </w:t>
      </w:r>
      <w:r w:rsidR="00A43712" w:rsidRPr="00963625">
        <w:rPr>
          <w:rFonts w:ascii="Segoe UI" w:eastAsia="Times New Roman" w:hAnsi="Segoe UI" w:cs="Segoe UI"/>
          <w:color w:val="212121"/>
        </w:rPr>
        <w:t xml:space="preserve">continuing </w:t>
      </w:r>
      <w:r w:rsidR="000B100F">
        <w:rPr>
          <w:rFonts w:ascii="Segoe UI" w:eastAsia="Times New Roman" w:hAnsi="Segoe UI" w:cs="Segoe UI"/>
          <w:color w:val="212121"/>
        </w:rPr>
        <w:t>the current</w:t>
      </w:r>
      <w:r w:rsidR="00A43712" w:rsidRPr="00963625">
        <w:rPr>
          <w:rFonts w:ascii="Segoe UI" w:eastAsia="Times New Roman" w:hAnsi="Segoe UI" w:cs="Segoe UI"/>
          <w:color w:val="212121"/>
        </w:rPr>
        <w:t xml:space="preserve"> fund</w:t>
      </w:r>
      <w:r w:rsidR="000B100F">
        <w:rPr>
          <w:rFonts w:ascii="Segoe UI" w:eastAsia="Times New Roman" w:hAnsi="Segoe UI" w:cs="Segoe UI"/>
          <w:color w:val="212121"/>
        </w:rPr>
        <w:t>ing to</w:t>
      </w:r>
      <w:r w:rsidR="00A43712" w:rsidRPr="00963625">
        <w:rPr>
          <w:rFonts w:ascii="Segoe UI" w:eastAsia="Times New Roman" w:hAnsi="Segoe UI" w:cs="Segoe UI"/>
          <w:color w:val="212121"/>
        </w:rPr>
        <w:t xml:space="preserve"> organisations, or</w:t>
      </w:r>
      <w:r w:rsidRPr="00963625">
        <w:rPr>
          <w:rFonts w:ascii="Segoe UI" w:eastAsia="Times New Roman" w:hAnsi="Segoe UI" w:cs="Segoe UI"/>
          <w:color w:val="212121"/>
        </w:rPr>
        <w:t xml:space="preserve"> changing the organisations and the funding amounts provided. Such an approach would reduce incumbency complacency and increase transparency.</w:t>
      </w:r>
    </w:p>
    <w:p w14:paraId="06E46091" w14:textId="77777777" w:rsidR="0096396F" w:rsidRDefault="0096396F" w:rsidP="005C5A5B">
      <w:pPr>
        <w:pStyle w:val="ListParagraph"/>
        <w:numPr>
          <w:ilvl w:val="0"/>
          <w:numId w:val="22"/>
        </w:numPr>
        <w:spacing w:line="259" w:lineRule="auto"/>
        <w:ind w:left="0" w:firstLine="0"/>
        <w:contextualSpacing w:val="0"/>
        <w:rPr>
          <w:rFonts w:ascii="Segoe UI" w:eastAsia="Times New Roman" w:hAnsi="Segoe UI" w:cs="Segoe UI"/>
          <w:color w:val="212121"/>
        </w:rPr>
      </w:pPr>
      <w:r w:rsidRPr="31469175">
        <w:rPr>
          <w:rFonts w:ascii="Segoe UI" w:eastAsia="Times New Roman" w:hAnsi="Segoe UI" w:cs="Segoe UI"/>
          <w:color w:val="212121"/>
        </w:rPr>
        <w:t>Organisation receiving operating funding should direct the majority of their business</w:t>
      </w:r>
      <w:r w:rsidR="00A43712" w:rsidRPr="31469175">
        <w:rPr>
          <w:rFonts w:ascii="Segoe UI" w:eastAsia="Times New Roman" w:hAnsi="Segoe UI" w:cs="Segoe UI"/>
          <w:color w:val="212121"/>
        </w:rPr>
        <w:t>-</w:t>
      </w:r>
      <w:r w:rsidRPr="31469175">
        <w:rPr>
          <w:rFonts w:ascii="Segoe UI" w:eastAsia="Times New Roman" w:hAnsi="Segoe UI" w:cs="Segoe UI"/>
          <w:color w:val="212121"/>
        </w:rPr>
        <w:t>as</w:t>
      </w:r>
      <w:r w:rsidR="00A43712" w:rsidRPr="31469175">
        <w:rPr>
          <w:rFonts w:ascii="Segoe UI" w:eastAsia="Times New Roman" w:hAnsi="Segoe UI" w:cs="Segoe UI"/>
          <w:color w:val="212121"/>
        </w:rPr>
        <w:t>-</w:t>
      </w:r>
      <w:r w:rsidRPr="31469175">
        <w:rPr>
          <w:rFonts w:ascii="Segoe UI" w:eastAsia="Times New Roman" w:hAnsi="Segoe UI" w:cs="Segoe UI"/>
          <w:color w:val="212121"/>
        </w:rPr>
        <w:t xml:space="preserve">usual activities towards </w:t>
      </w:r>
      <w:r w:rsidR="00A43712" w:rsidRPr="31469175">
        <w:rPr>
          <w:rFonts w:ascii="Segoe UI" w:eastAsia="Times New Roman" w:hAnsi="Segoe UI" w:cs="Segoe UI"/>
          <w:color w:val="212121"/>
        </w:rPr>
        <w:t>the annual</w:t>
      </w:r>
      <w:r w:rsidRPr="31469175">
        <w:rPr>
          <w:rFonts w:ascii="Segoe UI" w:eastAsia="Times New Roman" w:hAnsi="Segoe UI" w:cs="Segoe UI"/>
          <w:color w:val="212121"/>
        </w:rPr>
        <w:t xml:space="preserve"> priorities</w:t>
      </w:r>
      <w:r w:rsidR="00A43712" w:rsidRPr="31469175">
        <w:rPr>
          <w:rFonts w:ascii="Segoe UI" w:eastAsia="Times New Roman" w:hAnsi="Segoe UI" w:cs="Segoe UI"/>
          <w:color w:val="212121"/>
        </w:rPr>
        <w:t xml:space="preserve"> set by </w:t>
      </w:r>
      <w:r w:rsidRPr="31469175">
        <w:rPr>
          <w:rFonts w:ascii="Segoe UI" w:eastAsia="Times New Roman" w:hAnsi="Segoe UI" w:cs="Segoe UI"/>
          <w:color w:val="212121"/>
        </w:rPr>
        <w:t xml:space="preserve">SCNS. How effectively they have delivered against these priorities should be part of the review process and inform </w:t>
      </w:r>
      <w:r w:rsidR="5AC580C8" w:rsidRPr="31469175">
        <w:rPr>
          <w:rFonts w:ascii="Segoe UI" w:eastAsia="Times New Roman" w:hAnsi="Segoe UI" w:cs="Segoe UI"/>
          <w:color w:val="212121"/>
        </w:rPr>
        <w:t xml:space="preserve">future </w:t>
      </w:r>
      <w:r w:rsidRPr="31469175">
        <w:rPr>
          <w:rFonts w:ascii="Segoe UI" w:eastAsia="Times New Roman" w:hAnsi="Segoe UI" w:cs="Segoe UI"/>
          <w:color w:val="212121"/>
        </w:rPr>
        <w:t>SCNS decisions. Government operating funding should not displace an organisation</w:t>
      </w:r>
      <w:r w:rsidR="00E11BE1" w:rsidRPr="31469175">
        <w:rPr>
          <w:rFonts w:ascii="Segoe UI" w:eastAsia="Times New Roman" w:hAnsi="Segoe UI" w:cs="Segoe UI"/>
          <w:color w:val="212121"/>
        </w:rPr>
        <w:t>’</w:t>
      </w:r>
      <w:r w:rsidRPr="31469175">
        <w:rPr>
          <w:rFonts w:ascii="Segoe UI" w:eastAsia="Times New Roman" w:hAnsi="Segoe UI" w:cs="Segoe UI"/>
          <w:color w:val="212121"/>
        </w:rPr>
        <w:t>s requirement to consider operating expenses when receiving funding through non-government sources. It is common practice to include overheads of around 30 per cent of contracted work to cover operating expenses</w:t>
      </w:r>
      <w:r w:rsidR="00B573A1">
        <w:rPr>
          <w:rFonts w:ascii="Segoe UI" w:eastAsia="Times New Roman" w:hAnsi="Segoe UI" w:cs="Segoe UI"/>
          <w:color w:val="212121"/>
        </w:rPr>
        <w:t xml:space="preserve">. This </w:t>
      </w:r>
      <w:r w:rsidRPr="31469175">
        <w:rPr>
          <w:rFonts w:ascii="Segoe UI" w:eastAsia="Times New Roman" w:hAnsi="Segoe UI" w:cs="Segoe UI"/>
          <w:color w:val="212121"/>
        </w:rPr>
        <w:t>allow</w:t>
      </w:r>
      <w:r w:rsidR="00B573A1">
        <w:rPr>
          <w:rFonts w:ascii="Segoe UI" w:eastAsia="Times New Roman" w:hAnsi="Segoe UI" w:cs="Segoe UI"/>
          <w:color w:val="212121"/>
        </w:rPr>
        <w:t>s</w:t>
      </w:r>
      <w:r w:rsidRPr="31469175">
        <w:rPr>
          <w:rFonts w:ascii="Segoe UI" w:eastAsia="Times New Roman" w:hAnsi="Segoe UI" w:cs="Segoe UI"/>
          <w:color w:val="212121"/>
        </w:rPr>
        <w:t xml:space="preserve"> further Commonwealth operating funding </w:t>
      </w:r>
      <w:r w:rsidR="009279CF" w:rsidRPr="31469175">
        <w:rPr>
          <w:rFonts w:ascii="Segoe UI" w:eastAsia="Times New Roman" w:hAnsi="Segoe UI" w:cs="Segoe UI"/>
          <w:color w:val="212121"/>
        </w:rPr>
        <w:t>to be directed towards</w:t>
      </w:r>
      <w:r w:rsidRPr="31469175">
        <w:rPr>
          <w:rFonts w:ascii="Segoe UI" w:eastAsia="Times New Roman" w:hAnsi="Segoe UI" w:cs="Segoe UI"/>
          <w:color w:val="212121"/>
        </w:rPr>
        <w:t xml:space="preserve"> </w:t>
      </w:r>
      <w:r w:rsidR="009279CF" w:rsidRPr="31469175">
        <w:rPr>
          <w:rFonts w:ascii="Segoe UI" w:eastAsia="Times New Roman" w:hAnsi="Segoe UI" w:cs="Segoe UI"/>
          <w:color w:val="212121"/>
        </w:rPr>
        <w:t xml:space="preserve">SCNS </w:t>
      </w:r>
      <w:r w:rsidRPr="31469175">
        <w:rPr>
          <w:rFonts w:ascii="Segoe UI" w:eastAsia="Times New Roman" w:hAnsi="Segoe UI" w:cs="Segoe UI"/>
          <w:color w:val="212121"/>
        </w:rPr>
        <w:t xml:space="preserve">priorities. </w:t>
      </w:r>
      <w:r w:rsidR="4792AFB8" w:rsidRPr="31469175">
        <w:rPr>
          <w:rFonts w:ascii="Segoe UI" w:eastAsia="Times New Roman" w:hAnsi="Segoe UI" w:cs="Segoe UI"/>
          <w:color w:val="212121"/>
        </w:rPr>
        <w:t>Similarly, organisations should be encouraged to seek co-</w:t>
      </w:r>
      <w:r w:rsidR="07B3C75F" w:rsidRPr="31469175">
        <w:rPr>
          <w:rFonts w:ascii="Segoe UI" w:eastAsia="Times New Roman" w:hAnsi="Segoe UI" w:cs="Segoe UI"/>
          <w:color w:val="212121"/>
        </w:rPr>
        <w:t>contributions</w:t>
      </w:r>
      <w:r w:rsidR="4792AFB8" w:rsidRPr="31469175">
        <w:rPr>
          <w:rFonts w:ascii="Segoe UI" w:eastAsia="Times New Roman" w:hAnsi="Segoe UI" w:cs="Segoe UI"/>
          <w:color w:val="212121"/>
        </w:rPr>
        <w:t xml:space="preserve"> from </w:t>
      </w:r>
      <w:r w:rsidR="00B573A1">
        <w:rPr>
          <w:rFonts w:ascii="Segoe UI" w:eastAsia="Times New Roman" w:hAnsi="Segoe UI" w:cs="Segoe UI"/>
          <w:color w:val="212121"/>
        </w:rPr>
        <w:t xml:space="preserve">other sources such as </w:t>
      </w:r>
      <w:r w:rsidR="4792AFB8" w:rsidRPr="31469175">
        <w:rPr>
          <w:rFonts w:ascii="Segoe UI" w:eastAsia="Times New Roman" w:hAnsi="Segoe UI" w:cs="Segoe UI"/>
          <w:color w:val="212121"/>
        </w:rPr>
        <w:t>state and territory governments, philanthrop</w:t>
      </w:r>
      <w:r w:rsidR="377A66F0" w:rsidRPr="31469175">
        <w:rPr>
          <w:rFonts w:ascii="Segoe UI" w:eastAsia="Times New Roman" w:hAnsi="Segoe UI" w:cs="Segoe UI"/>
          <w:color w:val="212121"/>
        </w:rPr>
        <w:t>ists</w:t>
      </w:r>
      <w:r w:rsidR="4792AFB8" w:rsidRPr="31469175">
        <w:rPr>
          <w:rFonts w:ascii="Segoe UI" w:eastAsia="Times New Roman" w:hAnsi="Segoe UI" w:cs="Segoe UI"/>
          <w:color w:val="212121"/>
        </w:rPr>
        <w:t xml:space="preserve"> and the corporate sector </w:t>
      </w:r>
      <w:r w:rsidR="501CCFB9" w:rsidRPr="31469175">
        <w:rPr>
          <w:rFonts w:ascii="Segoe UI" w:eastAsia="Times New Roman" w:hAnsi="Segoe UI" w:cs="Segoe UI"/>
          <w:color w:val="212121"/>
        </w:rPr>
        <w:t>as part of the</w:t>
      </w:r>
      <w:r w:rsidR="00B573A1">
        <w:rPr>
          <w:rFonts w:ascii="Segoe UI" w:eastAsia="Times New Roman" w:hAnsi="Segoe UI" w:cs="Segoe UI"/>
          <w:color w:val="212121"/>
        </w:rPr>
        <w:t>ir</w:t>
      </w:r>
      <w:r w:rsidR="501CCFB9" w:rsidRPr="31469175">
        <w:rPr>
          <w:rFonts w:ascii="Segoe UI" w:eastAsia="Times New Roman" w:hAnsi="Segoe UI" w:cs="Segoe UI"/>
          <w:color w:val="212121"/>
        </w:rPr>
        <w:t xml:space="preserve"> bids for operating funding.</w:t>
      </w:r>
    </w:p>
    <w:p w14:paraId="06E46092" w14:textId="77777777" w:rsidR="0096396F" w:rsidRPr="00963625" w:rsidRDefault="00A43712" w:rsidP="001A339A">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In making these decisions SCNS should be mindful that b</w:t>
      </w:r>
      <w:r w:rsidR="002A268C" w:rsidRPr="00963625">
        <w:rPr>
          <w:rFonts w:ascii="Segoe UI" w:eastAsia="Times New Roman" w:hAnsi="Segoe UI" w:cs="Segoe UI"/>
          <w:color w:val="212121"/>
        </w:rPr>
        <w:t xml:space="preserve">uilding institutional capability can take decades. Sustaining investment will help ensure Australia’s sector retains some organisations with sufficient heft to influence national debates on national security and sufficient depth of expertise to undertake larger, more complex research projects on behalf of Government. </w:t>
      </w:r>
    </w:p>
    <w:p w14:paraId="06E46093" w14:textId="77777777" w:rsidR="001663F0" w:rsidRDefault="001663F0" w:rsidP="001663F0">
      <w:pPr>
        <w:pStyle w:val="BOXHeading3"/>
        <w:spacing w:after="80"/>
      </w:pPr>
      <w:r>
        <w:lastRenderedPageBreak/>
        <w:t>Recommendation 3</w:t>
      </w:r>
    </w:p>
    <w:p w14:paraId="06E46094" w14:textId="77777777" w:rsidR="001A339A" w:rsidRDefault="001A339A" w:rsidP="001A339A">
      <w:pPr>
        <w:pStyle w:val="BOXHeading3"/>
        <w:spacing w:before="120" w:after="120"/>
        <w:rPr>
          <w:rFonts w:ascii="Segoe UI" w:eastAsia="Times New Roman" w:hAnsi="Segoe UI" w:cs="Segoe UI"/>
          <w:b w:val="0"/>
          <w:color w:val="212121"/>
          <w:sz w:val="22"/>
          <w:szCs w:val="21"/>
        </w:rPr>
      </w:pPr>
      <w:r w:rsidRPr="001A339A">
        <w:rPr>
          <w:rFonts w:ascii="Segoe UI" w:eastAsia="Times New Roman" w:hAnsi="Segoe UI" w:cs="Segoe UI"/>
          <w:b w:val="0"/>
          <w:color w:val="212121"/>
          <w:sz w:val="22"/>
          <w:szCs w:val="21"/>
        </w:rPr>
        <w:t xml:space="preserve">Funding for the USSC, USAC, ASPI and NSC should be extended until 30 June 2027 to align with the commencement in 2027-28 of the new </w:t>
      </w:r>
      <w:r w:rsidR="0052215F">
        <w:rPr>
          <w:rFonts w:ascii="Segoe UI" w:eastAsia="Times New Roman" w:hAnsi="Segoe UI" w:cs="Segoe UI"/>
          <w:b w:val="0"/>
          <w:color w:val="212121"/>
          <w:sz w:val="22"/>
          <w:szCs w:val="21"/>
        </w:rPr>
        <w:t>five-year</w:t>
      </w:r>
      <w:r w:rsidRPr="001A339A">
        <w:rPr>
          <w:rFonts w:ascii="Segoe UI" w:eastAsia="Times New Roman" w:hAnsi="Segoe UI" w:cs="Segoe UI"/>
          <w:b w:val="0"/>
          <w:color w:val="212121"/>
          <w:sz w:val="22"/>
          <w:szCs w:val="21"/>
        </w:rPr>
        <w:t xml:space="preserve"> funding cycle at Recommendation 4. </w:t>
      </w:r>
    </w:p>
    <w:p w14:paraId="06E46095" w14:textId="77777777" w:rsidR="001663F0" w:rsidRDefault="001663F0" w:rsidP="001A339A">
      <w:pPr>
        <w:pStyle w:val="BOXHeading3"/>
        <w:spacing w:before="120" w:after="120"/>
      </w:pPr>
      <w:r>
        <w:t>Recommendation 4</w:t>
      </w:r>
    </w:p>
    <w:p w14:paraId="06E46096" w14:textId="77777777" w:rsidR="002A268C" w:rsidRPr="002241D6" w:rsidRDefault="001A339A" w:rsidP="002A268C">
      <w:pPr>
        <w:pStyle w:val="BOXText"/>
        <w:spacing w:after="80"/>
        <w:rPr>
          <w:rFonts w:ascii="Segoe UI" w:eastAsia="Times New Roman" w:hAnsi="Segoe UI" w:cs="Segoe UI"/>
          <w:color w:val="212121"/>
        </w:rPr>
      </w:pPr>
      <w:r w:rsidRPr="002241D6">
        <w:rPr>
          <w:rFonts w:ascii="Segoe UI" w:eastAsia="Times New Roman" w:hAnsi="Segoe UI" w:cs="Segoe UI"/>
          <w:color w:val="212121"/>
        </w:rPr>
        <w:t xml:space="preserve">Government should adopt a </w:t>
      </w:r>
      <w:r w:rsidR="0052215F">
        <w:rPr>
          <w:rFonts w:ascii="Segoe UI" w:eastAsia="Times New Roman" w:hAnsi="Segoe UI" w:cs="Segoe UI"/>
          <w:color w:val="212121"/>
        </w:rPr>
        <w:t>five-year</w:t>
      </w:r>
      <w:r w:rsidRPr="002241D6">
        <w:rPr>
          <w:rFonts w:ascii="Segoe UI" w:eastAsia="Times New Roman" w:hAnsi="Segoe UI" w:cs="Segoe UI"/>
          <w:color w:val="212121"/>
        </w:rPr>
        <w:t xml:space="preserve"> </w:t>
      </w:r>
      <w:r>
        <w:rPr>
          <w:rFonts w:ascii="Segoe UI" w:eastAsia="Times New Roman" w:hAnsi="Segoe UI" w:cs="Segoe UI"/>
          <w:color w:val="212121"/>
        </w:rPr>
        <w:t>cycle</w:t>
      </w:r>
      <w:r w:rsidRPr="002241D6">
        <w:rPr>
          <w:rFonts w:ascii="Segoe UI" w:eastAsia="Times New Roman" w:hAnsi="Segoe UI" w:cs="Segoe UI"/>
          <w:color w:val="212121"/>
        </w:rPr>
        <w:t xml:space="preserve"> for providing operating funding to the sector, commencing in 2027-28</w:t>
      </w:r>
      <w:r>
        <w:rPr>
          <w:rFonts w:ascii="Segoe UI" w:eastAsia="Times New Roman" w:hAnsi="Segoe UI" w:cs="Segoe UI"/>
          <w:color w:val="212121"/>
        </w:rPr>
        <w:t>. The</w:t>
      </w:r>
      <w:r w:rsidRPr="4F10518B">
        <w:rPr>
          <w:rFonts w:ascii="Segoe UI" w:eastAsia="Times New Roman" w:hAnsi="Segoe UI" w:cs="Segoe UI"/>
          <w:color w:val="212121"/>
        </w:rPr>
        <w:t xml:space="preserve"> new</w:t>
      </w:r>
      <w:r>
        <w:rPr>
          <w:rFonts w:ascii="Segoe UI" w:eastAsia="Times New Roman" w:hAnsi="Segoe UI" w:cs="Segoe UI"/>
          <w:color w:val="212121"/>
        </w:rPr>
        <w:t xml:space="preserve"> funding cycle should involve a performance evaluation in year three and an open tender process in year four. This Review should be drawn on for evaluation decisions by SCNS </w:t>
      </w:r>
      <w:r w:rsidRPr="4F10518B">
        <w:rPr>
          <w:rFonts w:ascii="Segoe UI" w:eastAsia="Times New Roman" w:hAnsi="Segoe UI" w:cs="Segoe UI"/>
          <w:color w:val="212121"/>
        </w:rPr>
        <w:t>for</w:t>
      </w:r>
      <w:r>
        <w:rPr>
          <w:rFonts w:ascii="Segoe UI" w:eastAsia="Times New Roman" w:hAnsi="Segoe UI" w:cs="Segoe UI"/>
          <w:color w:val="212121"/>
        </w:rPr>
        <w:t xml:space="preserve"> the first </w:t>
      </w:r>
      <w:r w:rsidR="0052215F">
        <w:rPr>
          <w:rFonts w:ascii="Segoe UI" w:eastAsia="Times New Roman" w:hAnsi="Segoe UI" w:cs="Segoe UI"/>
          <w:color w:val="212121"/>
        </w:rPr>
        <w:t>five-year</w:t>
      </w:r>
      <w:r>
        <w:rPr>
          <w:rFonts w:ascii="Segoe UI" w:eastAsia="Times New Roman" w:hAnsi="Segoe UI" w:cs="Segoe UI"/>
          <w:color w:val="212121"/>
        </w:rPr>
        <w:t xml:space="preserve"> funding cycle (2027-28 to 2031-32).</w:t>
      </w:r>
    </w:p>
    <w:p w14:paraId="06E46097" w14:textId="77777777" w:rsidR="00D00725" w:rsidRPr="00752A8B" w:rsidRDefault="00454F1B" w:rsidP="00D00725">
      <w:pPr>
        <w:pStyle w:val="Heading2"/>
        <w:spacing w:line="259" w:lineRule="auto"/>
        <w:rPr>
          <w:rFonts w:cs="Segoe UI"/>
          <w:sz w:val="32"/>
          <w:szCs w:val="32"/>
        </w:rPr>
      </w:pPr>
      <w:bookmarkStart w:id="53" w:name="_Toc170307484"/>
      <w:bookmarkStart w:id="54" w:name="_Toc170383161"/>
      <w:bookmarkStart w:id="55" w:name="_Toc170980543"/>
      <w:bookmarkStart w:id="56" w:name="_Toc171004257"/>
      <w:bookmarkStart w:id="57" w:name="_Toc171074979"/>
      <w:bookmarkStart w:id="58" w:name="_Toc172665590"/>
      <w:r>
        <w:rPr>
          <w:rFonts w:cs="Segoe UI"/>
          <w:sz w:val="32"/>
          <w:szCs w:val="32"/>
        </w:rPr>
        <w:t xml:space="preserve">Retain </w:t>
      </w:r>
      <w:r w:rsidR="00987408">
        <w:rPr>
          <w:rFonts w:cs="Segoe UI"/>
          <w:sz w:val="32"/>
          <w:szCs w:val="32"/>
        </w:rPr>
        <w:t>d</w:t>
      </w:r>
      <w:r w:rsidR="00D00725">
        <w:rPr>
          <w:rFonts w:cs="Segoe UI"/>
          <w:sz w:val="32"/>
          <w:szCs w:val="32"/>
        </w:rPr>
        <w:t xml:space="preserve">ecentralised </w:t>
      </w:r>
      <w:r w:rsidR="00987408">
        <w:rPr>
          <w:rFonts w:cs="Segoe UI"/>
          <w:sz w:val="32"/>
          <w:szCs w:val="32"/>
        </w:rPr>
        <w:t>f</w:t>
      </w:r>
      <w:r w:rsidR="00D00725" w:rsidRPr="00752A8B">
        <w:rPr>
          <w:rFonts w:cs="Segoe UI"/>
          <w:sz w:val="32"/>
          <w:szCs w:val="32"/>
        </w:rPr>
        <w:t>unding</w:t>
      </w:r>
      <w:bookmarkEnd w:id="53"/>
      <w:bookmarkEnd w:id="54"/>
      <w:bookmarkEnd w:id="55"/>
      <w:bookmarkEnd w:id="56"/>
      <w:bookmarkEnd w:id="57"/>
      <w:r w:rsidR="00987408">
        <w:rPr>
          <w:rFonts w:cs="Segoe UI"/>
          <w:sz w:val="32"/>
          <w:szCs w:val="32"/>
        </w:rPr>
        <w:t xml:space="preserve"> </w:t>
      </w:r>
      <w:r>
        <w:rPr>
          <w:rFonts w:cs="Segoe UI"/>
          <w:sz w:val="32"/>
          <w:szCs w:val="32"/>
        </w:rPr>
        <w:t xml:space="preserve">but improve </w:t>
      </w:r>
      <w:r w:rsidR="00594BD2">
        <w:rPr>
          <w:rFonts w:cs="Segoe UI"/>
          <w:sz w:val="32"/>
          <w:szCs w:val="32"/>
        </w:rPr>
        <w:t>transparency</w:t>
      </w:r>
      <w:bookmarkEnd w:id="58"/>
    </w:p>
    <w:p w14:paraId="06E46098" w14:textId="77777777" w:rsidR="00D00725" w:rsidRDefault="00D00725"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752A8B">
        <w:rPr>
          <w:rFonts w:ascii="Segoe UI" w:eastAsia="Times New Roman" w:hAnsi="Segoe UI" w:cs="Segoe UI"/>
          <w:color w:val="212121"/>
        </w:rPr>
        <w:t xml:space="preserve">The current </w:t>
      </w:r>
      <w:r>
        <w:rPr>
          <w:rFonts w:ascii="Segoe UI" w:eastAsia="Times New Roman" w:hAnsi="Segoe UI" w:cs="Segoe UI"/>
          <w:color w:val="212121"/>
        </w:rPr>
        <w:t xml:space="preserve">funding </w:t>
      </w:r>
      <w:r w:rsidRPr="00752A8B">
        <w:rPr>
          <w:rFonts w:ascii="Segoe UI" w:eastAsia="Times New Roman" w:hAnsi="Segoe UI" w:cs="Segoe UI"/>
          <w:color w:val="212121"/>
        </w:rPr>
        <w:t>system is mostly decentralised</w:t>
      </w:r>
      <w:r w:rsidR="00454F1B">
        <w:rPr>
          <w:rFonts w:ascii="Segoe UI" w:eastAsia="Times New Roman" w:hAnsi="Segoe UI" w:cs="Segoe UI"/>
          <w:color w:val="212121"/>
        </w:rPr>
        <w:t xml:space="preserve">, which </w:t>
      </w:r>
      <w:r w:rsidR="006635C2">
        <w:rPr>
          <w:rFonts w:ascii="Segoe UI" w:eastAsia="Times New Roman" w:hAnsi="Segoe UI" w:cs="Segoe UI"/>
          <w:color w:val="212121"/>
        </w:rPr>
        <w:t xml:space="preserve">means taking decisions </w:t>
      </w:r>
      <w:r w:rsidR="00FE79EB">
        <w:rPr>
          <w:rFonts w:ascii="Segoe UI" w:eastAsia="Times New Roman" w:hAnsi="Segoe UI" w:cs="Segoe UI"/>
          <w:color w:val="212121"/>
        </w:rPr>
        <w:t>that</w:t>
      </w:r>
      <w:r w:rsidR="006635C2">
        <w:rPr>
          <w:rFonts w:ascii="Segoe UI" w:eastAsia="Times New Roman" w:hAnsi="Segoe UI" w:cs="Segoe UI"/>
          <w:color w:val="212121"/>
        </w:rPr>
        <w:t xml:space="preserve"> </w:t>
      </w:r>
      <w:r w:rsidR="00B573A1">
        <w:rPr>
          <w:rFonts w:ascii="Segoe UI" w:eastAsia="Times New Roman" w:hAnsi="Segoe UI" w:cs="Segoe UI"/>
          <w:color w:val="212121"/>
        </w:rPr>
        <w:t xml:space="preserve">best </w:t>
      </w:r>
      <w:r w:rsidR="006635C2">
        <w:rPr>
          <w:rFonts w:ascii="Segoe UI" w:eastAsia="Times New Roman" w:hAnsi="Segoe UI" w:cs="Segoe UI"/>
          <w:color w:val="212121"/>
        </w:rPr>
        <w:t xml:space="preserve">suit a </w:t>
      </w:r>
      <w:r w:rsidR="00454F1B">
        <w:rPr>
          <w:rFonts w:ascii="Segoe UI" w:eastAsia="Times New Roman" w:hAnsi="Segoe UI" w:cs="Segoe UI"/>
          <w:color w:val="212121"/>
        </w:rPr>
        <w:t>d</w:t>
      </w:r>
      <w:r w:rsidR="006635C2">
        <w:rPr>
          <w:rFonts w:ascii="Segoe UI" w:eastAsia="Times New Roman" w:hAnsi="Segoe UI" w:cs="Segoe UI"/>
          <w:color w:val="212121"/>
        </w:rPr>
        <w:t>epartment’s or agency’s interests and objectives. This remains a sound principle.</w:t>
      </w:r>
      <w:r w:rsidRPr="00752A8B">
        <w:rPr>
          <w:rFonts w:ascii="Segoe UI" w:eastAsia="Times New Roman" w:hAnsi="Segoe UI" w:cs="Segoe UI"/>
          <w:color w:val="212121"/>
        </w:rPr>
        <w:t xml:space="preserve"> </w:t>
      </w:r>
      <w:r>
        <w:rPr>
          <w:rFonts w:ascii="Segoe UI" w:eastAsia="Times New Roman" w:hAnsi="Segoe UI" w:cs="Segoe UI"/>
          <w:color w:val="212121"/>
        </w:rPr>
        <w:t>I</w:t>
      </w:r>
      <w:r w:rsidR="00C46100">
        <w:rPr>
          <w:rFonts w:ascii="Segoe UI" w:eastAsia="Times New Roman" w:hAnsi="Segoe UI" w:cs="Segoe UI"/>
          <w:color w:val="212121"/>
        </w:rPr>
        <w:t> </w:t>
      </w:r>
      <w:r>
        <w:rPr>
          <w:rFonts w:ascii="Segoe UI" w:eastAsia="Times New Roman" w:hAnsi="Segoe UI" w:cs="Segoe UI"/>
          <w:color w:val="212121"/>
        </w:rPr>
        <w:t xml:space="preserve">considered a completely centralised model, with a central entity commissioning and administering all strategic policy work. Some stakeholders held the view that centralisation would increase transparency, avoid duplication, and improve research dissemination across Government. Other stakeholders suggested </w:t>
      </w:r>
      <w:r w:rsidRPr="222947FA">
        <w:rPr>
          <w:rFonts w:ascii="Segoe UI" w:eastAsia="Times New Roman" w:hAnsi="Segoe UI" w:cs="Segoe UI"/>
          <w:color w:val="212121"/>
        </w:rPr>
        <w:t>this</w:t>
      </w:r>
      <w:r>
        <w:rPr>
          <w:rFonts w:ascii="Segoe UI" w:eastAsia="Times New Roman" w:hAnsi="Segoe UI" w:cs="Segoe UI"/>
          <w:color w:val="212121"/>
        </w:rPr>
        <w:t xml:space="preserve"> would create administrative overheads and </w:t>
      </w:r>
      <w:r w:rsidRPr="222947FA">
        <w:rPr>
          <w:rFonts w:ascii="Segoe UI" w:eastAsia="Times New Roman" w:hAnsi="Segoe UI" w:cs="Segoe UI"/>
          <w:color w:val="212121"/>
        </w:rPr>
        <w:t>reduce agency autonomy</w:t>
      </w:r>
      <w:r>
        <w:rPr>
          <w:rFonts w:ascii="Segoe UI" w:eastAsia="Times New Roman" w:hAnsi="Segoe UI" w:cs="Segoe UI"/>
          <w:color w:val="212121"/>
        </w:rPr>
        <w:t>, leading to poorer outcomes</w:t>
      </w:r>
      <w:r w:rsidR="006635C2">
        <w:rPr>
          <w:rFonts w:ascii="Segoe UI" w:eastAsia="Times New Roman" w:hAnsi="Segoe UI" w:cs="Segoe UI"/>
          <w:color w:val="212121"/>
        </w:rPr>
        <w:t xml:space="preserve">, </w:t>
      </w:r>
      <w:r w:rsidR="000B100F">
        <w:rPr>
          <w:rFonts w:ascii="Segoe UI" w:eastAsia="Times New Roman" w:hAnsi="Segoe UI" w:cs="Segoe UI"/>
          <w:color w:val="212121"/>
        </w:rPr>
        <w:t xml:space="preserve">with </w:t>
      </w:r>
      <w:r w:rsidR="006635C2">
        <w:rPr>
          <w:rFonts w:ascii="Segoe UI" w:eastAsia="Times New Roman" w:hAnsi="Segoe UI" w:cs="Segoe UI"/>
          <w:color w:val="212121"/>
        </w:rPr>
        <w:t>which I am inclined to agree</w:t>
      </w:r>
      <w:r w:rsidR="00454F1B">
        <w:rPr>
          <w:rFonts w:ascii="Segoe UI" w:eastAsia="Times New Roman" w:hAnsi="Segoe UI" w:cs="Segoe UI"/>
          <w:color w:val="212121"/>
        </w:rPr>
        <w:t>.</w:t>
      </w:r>
    </w:p>
    <w:p w14:paraId="06E46099" w14:textId="77777777" w:rsidR="00EA51EC" w:rsidRDefault="003E0A3B"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Although departments and agencies should retain the ability to commission strategic policy work,</w:t>
      </w:r>
      <w:r w:rsidR="00AA2723" w:rsidRPr="00963625">
        <w:rPr>
          <w:rFonts w:ascii="Segoe UI" w:eastAsia="Times New Roman" w:hAnsi="Segoe UI" w:cs="Segoe UI"/>
          <w:color w:val="212121"/>
        </w:rPr>
        <w:t xml:space="preserve"> </w:t>
      </w:r>
      <w:r w:rsidR="000661AA" w:rsidRPr="00963625">
        <w:rPr>
          <w:rFonts w:ascii="Segoe UI" w:eastAsia="Times New Roman" w:hAnsi="Segoe UI" w:cs="Segoe UI"/>
          <w:color w:val="212121"/>
        </w:rPr>
        <w:t>transparency</w:t>
      </w:r>
      <w:r w:rsidR="00EA51EC" w:rsidRPr="00963625">
        <w:rPr>
          <w:rFonts w:ascii="Segoe UI" w:eastAsia="Times New Roman" w:hAnsi="Segoe UI" w:cs="Segoe UI"/>
          <w:color w:val="212121"/>
        </w:rPr>
        <w:t xml:space="preserve"> </w:t>
      </w:r>
      <w:r w:rsidRPr="00963625">
        <w:rPr>
          <w:rFonts w:ascii="Segoe UI" w:eastAsia="Times New Roman" w:hAnsi="Segoe UI" w:cs="Segoe UI"/>
          <w:color w:val="212121"/>
        </w:rPr>
        <w:t>of their activities</w:t>
      </w:r>
      <w:r w:rsidR="00EA51EC" w:rsidRPr="00963625">
        <w:rPr>
          <w:rFonts w:ascii="Segoe UI" w:eastAsia="Times New Roman" w:hAnsi="Segoe UI" w:cs="Segoe UI"/>
          <w:color w:val="212121"/>
        </w:rPr>
        <w:t xml:space="preserve"> needs to improve</w:t>
      </w:r>
      <w:r w:rsidR="002B080B">
        <w:rPr>
          <w:rFonts w:ascii="Segoe UI" w:eastAsia="Times New Roman" w:hAnsi="Segoe UI" w:cs="Segoe UI"/>
          <w:color w:val="212121"/>
        </w:rPr>
        <w:t xml:space="preserve"> as </w:t>
      </w:r>
      <w:r w:rsidR="005532A6">
        <w:rPr>
          <w:rFonts w:ascii="Segoe UI" w:eastAsia="Times New Roman" w:hAnsi="Segoe UI" w:cs="Segoe UI"/>
          <w:color w:val="212121"/>
        </w:rPr>
        <w:t xml:space="preserve">they </w:t>
      </w:r>
      <w:r w:rsidR="00EA51EC" w:rsidRPr="00752A8B">
        <w:rPr>
          <w:rFonts w:ascii="Segoe UI" w:eastAsia="Times New Roman" w:hAnsi="Segoe UI" w:cs="Segoe UI"/>
          <w:color w:val="212121"/>
        </w:rPr>
        <w:t xml:space="preserve">do not </w:t>
      </w:r>
      <w:r w:rsidR="002B080B">
        <w:rPr>
          <w:rFonts w:ascii="Segoe UI" w:eastAsia="Times New Roman" w:hAnsi="Segoe UI" w:cs="Segoe UI"/>
          <w:color w:val="212121"/>
        </w:rPr>
        <w:t xml:space="preserve">currently </w:t>
      </w:r>
      <w:r w:rsidR="00EA51EC" w:rsidRPr="00752A8B">
        <w:rPr>
          <w:rFonts w:ascii="Segoe UI" w:eastAsia="Times New Roman" w:hAnsi="Segoe UI" w:cs="Segoe UI"/>
          <w:color w:val="212121"/>
        </w:rPr>
        <w:t xml:space="preserve">have visibility of each other’s activities. This makes it difficult for Government to get an accurate picture of aggregate funding for organisations and the sector, </w:t>
      </w:r>
      <w:r w:rsidR="00EA51EC">
        <w:rPr>
          <w:rFonts w:ascii="Segoe UI" w:eastAsia="Times New Roman" w:hAnsi="Segoe UI" w:cs="Segoe UI"/>
          <w:color w:val="212121"/>
        </w:rPr>
        <w:t xml:space="preserve">and on </w:t>
      </w:r>
      <w:r w:rsidR="00EA51EC" w:rsidRPr="00752A8B">
        <w:rPr>
          <w:rFonts w:ascii="Segoe UI" w:eastAsia="Times New Roman" w:hAnsi="Segoe UI" w:cs="Segoe UI"/>
          <w:color w:val="212121"/>
        </w:rPr>
        <w:t>any</w:t>
      </w:r>
      <w:r w:rsidR="00EA51EC">
        <w:rPr>
          <w:rFonts w:ascii="Segoe UI" w:eastAsia="Times New Roman" w:hAnsi="Segoe UI" w:cs="Segoe UI"/>
          <w:color w:val="212121"/>
        </w:rPr>
        <w:t xml:space="preserve"> </w:t>
      </w:r>
      <w:r w:rsidR="00EA51EC" w:rsidRPr="00752A8B">
        <w:rPr>
          <w:rFonts w:ascii="Segoe UI" w:eastAsia="Times New Roman" w:hAnsi="Segoe UI" w:cs="Segoe UI"/>
          <w:color w:val="212121"/>
        </w:rPr>
        <w:t>duplication</w:t>
      </w:r>
      <w:r w:rsidR="00EA51EC">
        <w:rPr>
          <w:rFonts w:ascii="Segoe UI" w:eastAsia="Times New Roman" w:hAnsi="Segoe UI" w:cs="Segoe UI"/>
          <w:color w:val="212121"/>
        </w:rPr>
        <w:t xml:space="preserve"> or </w:t>
      </w:r>
      <w:r w:rsidR="00EA51EC" w:rsidRPr="00752A8B">
        <w:rPr>
          <w:rFonts w:ascii="Segoe UI" w:eastAsia="Times New Roman" w:hAnsi="Segoe UI" w:cs="Segoe UI"/>
          <w:color w:val="212121"/>
        </w:rPr>
        <w:t xml:space="preserve">complementarity. </w:t>
      </w:r>
    </w:p>
    <w:p w14:paraId="06E4609A" w14:textId="77777777" w:rsidR="00EA51EC" w:rsidRPr="00963625" w:rsidRDefault="00EA51EC" w:rsidP="00936832">
      <w:pPr>
        <w:pStyle w:val="ListParagraph"/>
        <w:numPr>
          <w:ilvl w:val="0"/>
          <w:numId w:val="22"/>
        </w:numPr>
        <w:spacing w:line="259" w:lineRule="auto"/>
        <w:ind w:left="0" w:firstLine="0"/>
        <w:contextualSpacing w:val="0"/>
        <w:rPr>
          <w:rFonts w:ascii="Segoe UI" w:eastAsia="Times New Roman" w:hAnsi="Segoe UI" w:cs="Segoe UI"/>
          <w:color w:val="212121"/>
        </w:rPr>
      </w:pPr>
      <w:r w:rsidRPr="03587EA4">
        <w:rPr>
          <w:rFonts w:ascii="Segoe UI" w:eastAsia="Times New Roman" w:hAnsi="Segoe UI" w:cs="Segoe UI"/>
          <w:color w:val="212121"/>
        </w:rPr>
        <w:t xml:space="preserve">Greater coordination would </w:t>
      </w:r>
      <w:r w:rsidR="00AA2723" w:rsidRPr="03587EA4">
        <w:rPr>
          <w:rFonts w:ascii="Segoe UI" w:eastAsia="Times New Roman" w:hAnsi="Segoe UI" w:cs="Segoe UI"/>
          <w:color w:val="212121"/>
        </w:rPr>
        <w:t xml:space="preserve">also </w:t>
      </w:r>
      <w:r w:rsidRPr="03587EA4">
        <w:rPr>
          <w:rFonts w:ascii="Segoe UI" w:eastAsia="Times New Roman" w:hAnsi="Segoe UI" w:cs="Segoe UI"/>
          <w:color w:val="212121"/>
        </w:rPr>
        <w:t xml:space="preserve">create more opportunities for </w:t>
      </w:r>
      <w:r w:rsidR="009A25C6" w:rsidRPr="03587EA4">
        <w:rPr>
          <w:rFonts w:ascii="Segoe UI" w:eastAsia="Times New Roman" w:hAnsi="Segoe UI" w:cs="Segoe UI"/>
          <w:color w:val="212121"/>
        </w:rPr>
        <w:t xml:space="preserve">Government </w:t>
      </w:r>
      <w:r w:rsidR="00AA2723" w:rsidRPr="03587EA4">
        <w:rPr>
          <w:rFonts w:ascii="Segoe UI" w:eastAsia="Times New Roman" w:hAnsi="Segoe UI" w:cs="Segoe UI"/>
          <w:color w:val="212121"/>
        </w:rPr>
        <w:t xml:space="preserve">to </w:t>
      </w:r>
      <w:r w:rsidRPr="03587EA4">
        <w:rPr>
          <w:rFonts w:ascii="Segoe UI" w:eastAsia="Times New Roman" w:hAnsi="Segoe UI" w:cs="Segoe UI"/>
          <w:color w:val="212121"/>
        </w:rPr>
        <w:t>cross</w:t>
      </w:r>
      <w:r w:rsidR="00B573A1">
        <w:rPr>
          <w:rFonts w:ascii="Segoe UI" w:eastAsia="Times New Roman" w:hAnsi="Segoe UI" w:cs="Segoe UI"/>
          <w:color w:val="212121"/>
        </w:rPr>
        <w:noBreakHyphen/>
      </w:r>
      <w:r w:rsidRPr="03587EA4">
        <w:rPr>
          <w:rFonts w:ascii="Segoe UI" w:eastAsia="Times New Roman" w:hAnsi="Segoe UI" w:cs="Segoe UI"/>
          <w:color w:val="212121"/>
        </w:rPr>
        <w:t>pollinat</w:t>
      </w:r>
      <w:r w:rsidR="00AA2723" w:rsidRPr="03587EA4">
        <w:rPr>
          <w:rFonts w:ascii="Segoe UI" w:eastAsia="Times New Roman" w:hAnsi="Segoe UI" w:cs="Segoe UI"/>
          <w:color w:val="212121"/>
        </w:rPr>
        <w:t>e</w:t>
      </w:r>
      <w:r w:rsidRPr="03587EA4">
        <w:rPr>
          <w:rFonts w:ascii="Segoe UI" w:eastAsia="Times New Roman" w:hAnsi="Segoe UI" w:cs="Segoe UI"/>
          <w:color w:val="212121"/>
        </w:rPr>
        <w:t xml:space="preserve">. As one smaller </w:t>
      </w:r>
      <w:r w:rsidR="00324F73" w:rsidRPr="03587EA4">
        <w:rPr>
          <w:rFonts w:ascii="Segoe UI" w:eastAsia="Times New Roman" w:hAnsi="Segoe UI" w:cs="Segoe UI"/>
          <w:color w:val="212121"/>
        </w:rPr>
        <w:t xml:space="preserve">contributing </w:t>
      </w:r>
      <w:r w:rsidRPr="03587EA4">
        <w:rPr>
          <w:rFonts w:ascii="Segoe UI" w:eastAsia="Times New Roman" w:hAnsi="Segoe UI" w:cs="Segoe UI"/>
          <w:color w:val="212121"/>
        </w:rPr>
        <w:t>agency put it to me, greater visibility of what other agencies were funding may enable them to add a small amount to meet their objectives where ‘going it alone’ would not be viable. </w:t>
      </w:r>
    </w:p>
    <w:p w14:paraId="06E4609B" w14:textId="77777777" w:rsidR="00EA51EC" w:rsidRPr="00963625" w:rsidRDefault="00EA51EC"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 xml:space="preserve">The Review has created a database that captures all strategic policy work commissioned by SCNS departments and agencies over the past five years. It is a useful tool that Government should continue to leverage. PM&amp;C would be the logical entity to maintain the database, with departments and agencies responsible for providing annual updates on their funding agreements to PM&amp;C. This data would help inform SCNS decisions on priorities and funding allocations. The database should be internal to </w:t>
      </w:r>
      <w:r w:rsidR="00324F73" w:rsidRPr="00963625">
        <w:rPr>
          <w:rFonts w:ascii="Segoe UI" w:eastAsia="Times New Roman" w:hAnsi="Segoe UI" w:cs="Segoe UI"/>
          <w:color w:val="212121"/>
        </w:rPr>
        <w:t>G</w:t>
      </w:r>
      <w:r w:rsidRPr="00963625">
        <w:rPr>
          <w:rFonts w:ascii="Segoe UI" w:eastAsia="Times New Roman" w:hAnsi="Segoe UI" w:cs="Segoe UI"/>
          <w:color w:val="212121"/>
        </w:rPr>
        <w:t xml:space="preserve">overnment, given </w:t>
      </w:r>
      <w:r w:rsidR="00FE79EB" w:rsidRPr="00963625">
        <w:rPr>
          <w:rFonts w:ascii="Segoe UI" w:eastAsia="Times New Roman" w:hAnsi="Segoe UI" w:cs="Segoe UI"/>
          <w:color w:val="212121"/>
        </w:rPr>
        <w:t>classification</w:t>
      </w:r>
      <w:r w:rsidR="000661AA" w:rsidRPr="00963625">
        <w:rPr>
          <w:rFonts w:ascii="Segoe UI" w:eastAsia="Times New Roman" w:hAnsi="Segoe UI" w:cs="Segoe UI"/>
          <w:color w:val="212121"/>
        </w:rPr>
        <w:t xml:space="preserve"> and </w:t>
      </w:r>
      <w:r w:rsidRPr="00963625">
        <w:rPr>
          <w:rFonts w:ascii="Segoe UI" w:eastAsia="Times New Roman" w:hAnsi="Segoe UI" w:cs="Segoe UI"/>
          <w:color w:val="212121"/>
        </w:rPr>
        <w:t>commercial sensitivities.</w:t>
      </w:r>
    </w:p>
    <w:p w14:paraId="06E4609C" w14:textId="77777777" w:rsidR="00D77645" w:rsidRDefault="00D77645" w:rsidP="00D77645">
      <w:pPr>
        <w:pStyle w:val="BOXHeading3"/>
        <w:spacing w:after="80"/>
      </w:pPr>
      <w:r>
        <w:t xml:space="preserve">Recommendation </w:t>
      </w:r>
      <w:r w:rsidR="001663F0">
        <w:t>5</w:t>
      </w:r>
    </w:p>
    <w:p w14:paraId="06E4609D" w14:textId="77777777" w:rsidR="005532A6" w:rsidRDefault="00D77645" w:rsidP="005532A6">
      <w:pPr>
        <w:pStyle w:val="BOXText"/>
        <w:spacing w:after="80"/>
        <w:rPr>
          <w:rFonts w:ascii="Segoe UI" w:eastAsia="Times New Roman" w:hAnsi="Segoe UI" w:cs="Segoe UI"/>
          <w:color w:val="212121"/>
        </w:rPr>
      </w:pPr>
      <w:r w:rsidRPr="03587EA4">
        <w:rPr>
          <w:rFonts w:ascii="Segoe UI" w:eastAsia="Times New Roman" w:hAnsi="Segoe UI" w:cs="Segoe UI"/>
          <w:color w:val="212121"/>
        </w:rPr>
        <w:t>Departments and agencies should retain the ability to commission strategic policy work in support of their priorities</w:t>
      </w:r>
      <w:r w:rsidR="00FE79EB" w:rsidRPr="03587EA4">
        <w:rPr>
          <w:rFonts w:ascii="Segoe UI" w:eastAsia="Times New Roman" w:hAnsi="Segoe UI" w:cs="Segoe UI"/>
          <w:color w:val="212121"/>
        </w:rPr>
        <w:t>,</w:t>
      </w:r>
      <w:r w:rsidRPr="03587EA4">
        <w:rPr>
          <w:rFonts w:ascii="Segoe UI" w:eastAsia="Times New Roman" w:hAnsi="Segoe UI" w:cs="Segoe UI"/>
          <w:color w:val="212121"/>
        </w:rPr>
        <w:t xml:space="preserve"> provid</w:t>
      </w:r>
      <w:r w:rsidR="00FE79EB" w:rsidRPr="03587EA4">
        <w:rPr>
          <w:rFonts w:ascii="Segoe UI" w:eastAsia="Times New Roman" w:hAnsi="Segoe UI" w:cs="Segoe UI"/>
          <w:color w:val="212121"/>
        </w:rPr>
        <w:t>ed</w:t>
      </w:r>
      <w:r w:rsidRPr="03587EA4">
        <w:rPr>
          <w:rFonts w:ascii="Segoe UI" w:eastAsia="Times New Roman" w:hAnsi="Segoe UI" w:cs="Segoe UI"/>
          <w:color w:val="212121"/>
        </w:rPr>
        <w:t xml:space="preserve"> these are consistent with th</w:t>
      </w:r>
      <w:r w:rsidR="009210B7" w:rsidRPr="03587EA4">
        <w:rPr>
          <w:rFonts w:ascii="Segoe UI" w:eastAsia="Times New Roman" w:hAnsi="Segoe UI" w:cs="Segoe UI"/>
          <w:color w:val="212121"/>
        </w:rPr>
        <w:t xml:space="preserve">e annual priorities approved by </w:t>
      </w:r>
      <w:r w:rsidRPr="03587EA4">
        <w:rPr>
          <w:rFonts w:ascii="Segoe UI" w:eastAsia="Times New Roman" w:hAnsi="Segoe UI" w:cs="Segoe UI"/>
          <w:color w:val="212121"/>
        </w:rPr>
        <w:t>SCNS</w:t>
      </w:r>
      <w:r w:rsidR="00FE79EB" w:rsidRPr="03587EA4">
        <w:rPr>
          <w:rFonts w:ascii="Segoe UI" w:eastAsia="Times New Roman" w:hAnsi="Segoe UI" w:cs="Segoe UI"/>
          <w:color w:val="212121"/>
        </w:rPr>
        <w:t xml:space="preserve"> and th</w:t>
      </w:r>
      <w:r w:rsidR="008B3A47" w:rsidRPr="03587EA4">
        <w:rPr>
          <w:rFonts w:ascii="Segoe UI" w:eastAsia="Times New Roman" w:hAnsi="Segoe UI" w:cs="Segoe UI"/>
          <w:color w:val="212121"/>
        </w:rPr>
        <w:t xml:space="preserve">e principles-based </w:t>
      </w:r>
      <w:r w:rsidR="00FE79EB" w:rsidRPr="03587EA4">
        <w:rPr>
          <w:rFonts w:ascii="Segoe UI" w:eastAsia="Times New Roman" w:hAnsi="Segoe UI" w:cs="Segoe UI"/>
          <w:color w:val="212121"/>
        </w:rPr>
        <w:t>framework</w:t>
      </w:r>
      <w:r w:rsidRPr="03587EA4">
        <w:rPr>
          <w:rFonts w:ascii="Segoe UI" w:eastAsia="Times New Roman" w:hAnsi="Segoe UI" w:cs="Segoe UI"/>
          <w:color w:val="212121"/>
        </w:rPr>
        <w:t>.</w:t>
      </w:r>
    </w:p>
    <w:p w14:paraId="06E4609E" w14:textId="77777777" w:rsidR="00D77645" w:rsidRDefault="00D77645" w:rsidP="002241D6">
      <w:pPr>
        <w:pStyle w:val="BOXHeading3"/>
        <w:spacing w:before="120" w:after="80"/>
      </w:pPr>
      <w:r>
        <w:t xml:space="preserve">Recommendation </w:t>
      </w:r>
      <w:r w:rsidR="001663F0">
        <w:t>6</w:t>
      </w:r>
    </w:p>
    <w:p w14:paraId="06E4609F" w14:textId="77777777" w:rsidR="00D77645" w:rsidRDefault="00D77645" w:rsidP="00D77645">
      <w:pPr>
        <w:pStyle w:val="BOXText"/>
        <w:spacing w:after="80"/>
      </w:pPr>
      <w:r w:rsidRPr="00D77645">
        <w:rPr>
          <w:rFonts w:ascii="Segoe UI" w:eastAsia="Times New Roman" w:hAnsi="Segoe UI" w:cs="Segoe UI"/>
          <w:bCs/>
          <w:color w:val="212121"/>
        </w:rPr>
        <w:t>PM&amp;C should maintain and regularly update a central database</w:t>
      </w:r>
      <w:r w:rsidR="00324F73">
        <w:rPr>
          <w:rFonts w:ascii="Segoe UI" w:eastAsia="Times New Roman" w:hAnsi="Segoe UI" w:cs="Segoe UI"/>
          <w:bCs/>
          <w:color w:val="212121"/>
        </w:rPr>
        <w:t xml:space="preserve">, internal to Government, </w:t>
      </w:r>
      <w:r w:rsidRPr="00D77645">
        <w:rPr>
          <w:rFonts w:ascii="Segoe UI" w:eastAsia="Times New Roman" w:hAnsi="Segoe UI" w:cs="Segoe UI"/>
          <w:bCs/>
          <w:color w:val="212121"/>
        </w:rPr>
        <w:t xml:space="preserve">of all funding </w:t>
      </w:r>
      <w:r w:rsidR="001F426D">
        <w:rPr>
          <w:rFonts w:ascii="Segoe UI" w:eastAsia="Times New Roman" w:hAnsi="Segoe UI" w:cs="Segoe UI"/>
          <w:bCs/>
          <w:color w:val="212121"/>
        </w:rPr>
        <w:t>arrangements with</w:t>
      </w:r>
      <w:r w:rsidR="001F426D" w:rsidRPr="00D77645">
        <w:rPr>
          <w:rFonts w:ascii="Segoe UI" w:eastAsia="Times New Roman" w:hAnsi="Segoe UI" w:cs="Segoe UI"/>
          <w:bCs/>
          <w:color w:val="212121"/>
        </w:rPr>
        <w:t xml:space="preserve"> </w:t>
      </w:r>
      <w:r w:rsidRPr="00D77645">
        <w:rPr>
          <w:rFonts w:ascii="Segoe UI" w:eastAsia="Times New Roman" w:hAnsi="Segoe UI" w:cs="Segoe UI"/>
          <w:bCs/>
          <w:color w:val="212121"/>
        </w:rPr>
        <w:t>the sector including the name of the recipient</w:t>
      </w:r>
      <w:r w:rsidR="00CD605A">
        <w:rPr>
          <w:rFonts w:ascii="Segoe UI" w:eastAsia="Times New Roman" w:hAnsi="Segoe UI" w:cs="Segoe UI"/>
          <w:bCs/>
          <w:color w:val="212121"/>
        </w:rPr>
        <w:t xml:space="preserve"> organisations</w:t>
      </w:r>
      <w:r w:rsidRPr="00D77645">
        <w:rPr>
          <w:rFonts w:ascii="Segoe UI" w:eastAsia="Times New Roman" w:hAnsi="Segoe UI" w:cs="Segoe UI"/>
          <w:bCs/>
          <w:color w:val="212121"/>
        </w:rPr>
        <w:t>,</w:t>
      </w:r>
      <w:r w:rsidR="00CD605A">
        <w:rPr>
          <w:rFonts w:ascii="Segoe UI" w:eastAsia="Times New Roman" w:hAnsi="Segoe UI" w:cs="Segoe UI"/>
          <w:bCs/>
          <w:color w:val="212121"/>
        </w:rPr>
        <w:t xml:space="preserve"> details of the project teams</w:t>
      </w:r>
      <w:r w:rsidR="0020281C">
        <w:rPr>
          <w:rFonts w:ascii="Segoe UI" w:eastAsia="Times New Roman" w:hAnsi="Segoe UI" w:cs="Segoe UI"/>
          <w:bCs/>
          <w:color w:val="212121"/>
        </w:rPr>
        <w:t>,</w:t>
      </w:r>
      <w:r w:rsidRPr="00D77645">
        <w:rPr>
          <w:rFonts w:ascii="Segoe UI" w:eastAsia="Times New Roman" w:hAnsi="Segoe UI" w:cs="Segoe UI"/>
          <w:bCs/>
          <w:color w:val="212121"/>
        </w:rPr>
        <w:t xml:space="preserve"> level and duration of funding, funding agency, purpose of funding and evaluation outcomes. </w:t>
      </w:r>
    </w:p>
    <w:p w14:paraId="06E460A0" w14:textId="77777777" w:rsidR="003E0A3B" w:rsidRDefault="003E0A3B" w:rsidP="00284042">
      <w:pPr>
        <w:pStyle w:val="Heading2"/>
        <w:rPr>
          <w:rFonts w:cs="Segoe UI"/>
          <w:sz w:val="32"/>
          <w:szCs w:val="32"/>
        </w:rPr>
      </w:pPr>
      <w:bookmarkStart w:id="59" w:name="_Toc172665591"/>
      <w:bookmarkEnd w:id="46"/>
      <w:bookmarkEnd w:id="47"/>
      <w:bookmarkEnd w:id="48"/>
      <w:bookmarkEnd w:id="49"/>
      <w:bookmarkEnd w:id="50"/>
      <w:r>
        <w:rPr>
          <w:rFonts w:cs="Segoe UI"/>
          <w:sz w:val="32"/>
          <w:szCs w:val="32"/>
        </w:rPr>
        <w:lastRenderedPageBreak/>
        <w:t xml:space="preserve">Provide more </w:t>
      </w:r>
      <w:r w:rsidR="009F73EE">
        <w:rPr>
          <w:rFonts w:cs="Segoe UI"/>
          <w:sz w:val="32"/>
          <w:szCs w:val="32"/>
        </w:rPr>
        <w:t xml:space="preserve">funding </w:t>
      </w:r>
      <w:r>
        <w:rPr>
          <w:rFonts w:cs="Segoe UI"/>
          <w:sz w:val="32"/>
          <w:szCs w:val="32"/>
        </w:rPr>
        <w:t>certainty</w:t>
      </w:r>
      <w:bookmarkEnd w:id="59"/>
    </w:p>
    <w:p w14:paraId="06E460A1" w14:textId="77777777" w:rsidR="003E0A3B" w:rsidRPr="00752A8B" w:rsidDel="00EB71C0" w:rsidRDefault="002A268C"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 xml:space="preserve">The </w:t>
      </w:r>
      <w:r w:rsidR="0052215F">
        <w:rPr>
          <w:rFonts w:ascii="Segoe UI" w:eastAsia="Times New Roman" w:hAnsi="Segoe UI" w:cs="Segoe UI"/>
          <w:color w:val="212121"/>
        </w:rPr>
        <w:t>five-year</w:t>
      </w:r>
      <w:r w:rsidRPr="00963625">
        <w:rPr>
          <w:rFonts w:ascii="Segoe UI" w:eastAsia="Times New Roman" w:hAnsi="Segoe UI" w:cs="Segoe UI"/>
          <w:color w:val="212121"/>
        </w:rPr>
        <w:t xml:space="preserve"> funding cycle will provide greater certainty to the limited number of organisations that receive operating funding. But</w:t>
      </w:r>
      <w:r w:rsidR="0069635D" w:rsidRPr="00963625">
        <w:rPr>
          <w:rFonts w:ascii="Segoe UI" w:eastAsia="Times New Roman" w:hAnsi="Segoe UI" w:cs="Segoe UI"/>
          <w:color w:val="212121"/>
        </w:rPr>
        <w:t xml:space="preserve">, </w:t>
      </w:r>
      <w:r w:rsidR="003E0A3B" w:rsidRPr="00963625">
        <w:rPr>
          <w:rFonts w:ascii="Segoe UI" w:eastAsia="Times New Roman" w:hAnsi="Segoe UI" w:cs="Segoe UI"/>
          <w:color w:val="212121"/>
        </w:rPr>
        <w:t xml:space="preserve">I would </w:t>
      </w:r>
      <w:r w:rsidR="00782AD3" w:rsidRPr="00963625">
        <w:rPr>
          <w:rFonts w:ascii="Segoe UI" w:eastAsia="Times New Roman" w:hAnsi="Segoe UI" w:cs="Segoe UI"/>
          <w:color w:val="212121"/>
        </w:rPr>
        <w:t xml:space="preserve">also </w:t>
      </w:r>
      <w:r w:rsidR="003E0A3B" w:rsidRPr="00963625">
        <w:rPr>
          <w:rFonts w:ascii="Segoe UI" w:eastAsia="Times New Roman" w:hAnsi="Segoe UI" w:cs="Segoe UI"/>
          <w:color w:val="212121"/>
        </w:rPr>
        <w:t xml:space="preserve">like to see </w:t>
      </w:r>
      <w:r w:rsidR="00782AD3" w:rsidRPr="00963625">
        <w:rPr>
          <w:rFonts w:ascii="Segoe UI" w:eastAsia="Times New Roman" w:hAnsi="Segoe UI" w:cs="Segoe UI"/>
          <w:color w:val="212121"/>
        </w:rPr>
        <w:t xml:space="preserve">departments and agencies provide greater funding certainty </w:t>
      </w:r>
      <w:r w:rsidRPr="00963625">
        <w:rPr>
          <w:rFonts w:ascii="Segoe UI" w:eastAsia="Times New Roman" w:hAnsi="Segoe UI" w:cs="Segoe UI"/>
          <w:color w:val="212121"/>
        </w:rPr>
        <w:t>for fee-for-service</w:t>
      </w:r>
      <w:r w:rsidR="001F426D" w:rsidRPr="00963625">
        <w:rPr>
          <w:rFonts w:ascii="Segoe UI" w:eastAsia="Times New Roman" w:hAnsi="Segoe UI" w:cs="Segoe UI"/>
          <w:color w:val="212121"/>
        </w:rPr>
        <w:t xml:space="preserve"> </w:t>
      </w:r>
      <w:r w:rsidR="0069635D" w:rsidRPr="00963625">
        <w:rPr>
          <w:rFonts w:ascii="Segoe UI" w:eastAsia="Times New Roman" w:hAnsi="Segoe UI" w:cs="Segoe UI"/>
          <w:color w:val="212121"/>
        </w:rPr>
        <w:t xml:space="preserve">agreements </w:t>
      </w:r>
      <w:r w:rsidRPr="00963625">
        <w:rPr>
          <w:rFonts w:ascii="Segoe UI" w:eastAsia="Times New Roman" w:hAnsi="Segoe UI" w:cs="Segoe UI"/>
          <w:color w:val="212121"/>
        </w:rPr>
        <w:t xml:space="preserve">by increasing both the </w:t>
      </w:r>
      <w:r w:rsidR="00782AD3" w:rsidRPr="00963625">
        <w:rPr>
          <w:rFonts w:ascii="Segoe UI" w:eastAsia="Times New Roman" w:hAnsi="Segoe UI" w:cs="Segoe UI"/>
          <w:color w:val="212121"/>
        </w:rPr>
        <w:t>quantum and duration</w:t>
      </w:r>
      <w:r w:rsidRPr="00963625">
        <w:rPr>
          <w:rFonts w:ascii="Segoe UI" w:eastAsia="Times New Roman" w:hAnsi="Segoe UI" w:cs="Segoe UI"/>
          <w:color w:val="212121"/>
        </w:rPr>
        <w:t xml:space="preserve"> of funding agreements</w:t>
      </w:r>
      <w:r w:rsidR="00782AD3" w:rsidRPr="00963625">
        <w:rPr>
          <w:rFonts w:ascii="Segoe UI" w:eastAsia="Times New Roman" w:hAnsi="Segoe UI" w:cs="Segoe UI"/>
          <w:color w:val="212121"/>
        </w:rPr>
        <w:t xml:space="preserve">. </w:t>
      </w:r>
      <w:r w:rsidR="003E0A3B" w:rsidRPr="00963625">
        <w:rPr>
          <w:rFonts w:ascii="Segoe UI" w:eastAsia="Times New Roman" w:hAnsi="Segoe UI" w:cs="Segoe UI"/>
          <w:color w:val="212121"/>
        </w:rPr>
        <w:t xml:space="preserve">The current </w:t>
      </w:r>
      <w:r w:rsidR="003E0A3B">
        <w:rPr>
          <w:rFonts w:ascii="Segoe UI" w:eastAsia="Times New Roman" w:hAnsi="Segoe UI" w:cs="Segoe UI"/>
          <w:color w:val="212121"/>
        </w:rPr>
        <w:t>l</w:t>
      </w:r>
      <w:r w:rsidR="003E0A3B" w:rsidRPr="0E52E83D" w:rsidDel="00EB71C0">
        <w:rPr>
          <w:rFonts w:ascii="Segoe UI" w:eastAsia="Times New Roman" w:hAnsi="Segoe UI" w:cs="Segoe UI"/>
          <w:color w:val="212121"/>
        </w:rPr>
        <w:t>ong tail in Commonwealth funding, with the s</w:t>
      </w:r>
      <w:r w:rsidR="009F73EE">
        <w:rPr>
          <w:rFonts w:ascii="Segoe UI" w:eastAsia="Times New Roman" w:hAnsi="Segoe UI" w:cs="Segoe UI"/>
          <w:color w:val="212121"/>
        </w:rPr>
        <w:t>ector heavily driven by small and</w:t>
      </w:r>
      <w:r w:rsidR="003E0A3B" w:rsidRPr="0E52E83D" w:rsidDel="00EB71C0">
        <w:rPr>
          <w:rFonts w:ascii="Segoe UI" w:eastAsia="Times New Roman" w:hAnsi="Segoe UI" w:cs="Segoe UI"/>
          <w:color w:val="212121"/>
        </w:rPr>
        <w:t xml:space="preserve"> short-term bespoke activities</w:t>
      </w:r>
      <w:r w:rsidR="009F73EE">
        <w:rPr>
          <w:rFonts w:ascii="Segoe UI" w:eastAsia="Times New Roman" w:hAnsi="Segoe UI" w:cs="Segoe UI"/>
          <w:color w:val="212121"/>
        </w:rPr>
        <w:t>,</w:t>
      </w:r>
      <w:r w:rsidR="003E0A3B" w:rsidRPr="0E52E83D" w:rsidDel="00EB71C0">
        <w:rPr>
          <w:rFonts w:ascii="Segoe UI" w:eastAsia="Times New Roman" w:hAnsi="Segoe UI" w:cs="Segoe UI"/>
          <w:color w:val="212121"/>
        </w:rPr>
        <w:t xml:space="preserve"> is problematic for two reasons: </w:t>
      </w:r>
    </w:p>
    <w:p w14:paraId="06E460A2" w14:textId="77777777" w:rsidR="003E0A3B" w:rsidRPr="00752A8B" w:rsidDel="00EB71C0" w:rsidRDefault="003E0A3B" w:rsidP="00C7202C">
      <w:pPr>
        <w:pStyle w:val="ListParagraph"/>
        <w:numPr>
          <w:ilvl w:val="0"/>
          <w:numId w:val="17"/>
        </w:numPr>
        <w:spacing w:line="259" w:lineRule="auto"/>
        <w:rPr>
          <w:rFonts w:ascii="Segoe UI" w:eastAsia="Times New Roman" w:hAnsi="Segoe UI" w:cs="Segoe UI"/>
          <w:color w:val="212121"/>
        </w:rPr>
      </w:pPr>
      <w:r w:rsidRPr="43BA56B3" w:rsidDel="00EB71C0">
        <w:rPr>
          <w:rFonts w:ascii="Segoe UI" w:eastAsia="Times New Roman" w:hAnsi="Segoe UI" w:cs="Segoe UI"/>
          <w:color w:val="212121"/>
        </w:rPr>
        <w:t xml:space="preserve">smaller funding amounts do not provide certainty to the recipient, making it more difficult to attract and retain quality researchers and to deliver deeper strategic analysis; and </w:t>
      </w:r>
    </w:p>
    <w:p w14:paraId="06E460A3" w14:textId="77777777" w:rsidR="003E0A3B" w:rsidRDefault="003E0A3B" w:rsidP="00C7202C">
      <w:pPr>
        <w:pStyle w:val="ListParagraph"/>
        <w:numPr>
          <w:ilvl w:val="0"/>
          <w:numId w:val="17"/>
        </w:numPr>
        <w:spacing w:line="259" w:lineRule="auto"/>
        <w:ind w:left="714" w:hanging="357"/>
        <w:contextualSpacing w:val="0"/>
        <w:rPr>
          <w:rFonts w:ascii="Segoe UI" w:eastAsia="Times New Roman" w:hAnsi="Segoe UI" w:cs="Segoe UI"/>
          <w:color w:val="212121"/>
          <w:szCs w:val="22"/>
        </w:rPr>
      </w:pPr>
      <w:r w:rsidDel="00EB71C0">
        <w:rPr>
          <w:rFonts w:ascii="Segoe UI" w:eastAsia="Times New Roman" w:hAnsi="Segoe UI" w:cs="Segoe UI"/>
          <w:color w:val="212121"/>
        </w:rPr>
        <w:t xml:space="preserve">uncertain funding forces </w:t>
      </w:r>
      <w:r w:rsidRPr="004073B2" w:rsidDel="00EB71C0">
        <w:rPr>
          <w:rFonts w:ascii="Segoe UI" w:eastAsia="Times New Roman" w:hAnsi="Segoe UI" w:cs="Segoe UI"/>
          <w:color w:val="212121"/>
        </w:rPr>
        <w:t>researchers</w:t>
      </w:r>
      <w:r w:rsidDel="00EB71C0">
        <w:rPr>
          <w:rFonts w:ascii="Segoe UI" w:eastAsia="Times New Roman" w:hAnsi="Segoe UI" w:cs="Segoe UI"/>
          <w:color w:val="212121"/>
        </w:rPr>
        <w:t xml:space="preserve"> and </w:t>
      </w:r>
      <w:r w:rsidRPr="004073B2" w:rsidDel="00EB71C0">
        <w:rPr>
          <w:rFonts w:ascii="Segoe UI" w:eastAsia="Times New Roman" w:hAnsi="Segoe UI" w:cs="Segoe UI"/>
          <w:color w:val="212121"/>
        </w:rPr>
        <w:t>organisations</w:t>
      </w:r>
      <w:r w:rsidRPr="00752A8B" w:rsidDel="00EB71C0">
        <w:rPr>
          <w:rFonts w:ascii="Segoe UI" w:eastAsia="Times New Roman" w:hAnsi="Segoe UI" w:cs="Segoe UI"/>
          <w:color w:val="212121"/>
          <w:szCs w:val="22"/>
        </w:rPr>
        <w:t xml:space="preserve"> to chase project</w:t>
      </w:r>
      <w:r w:rsidDel="00EB71C0">
        <w:rPr>
          <w:rFonts w:ascii="Segoe UI" w:eastAsia="Times New Roman" w:hAnsi="Segoe UI" w:cs="Segoe UI"/>
          <w:color w:val="212121"/>
          <w:szCs w:val="22"/>
        </w:rPr>
        <w:t>s</w:t>
      </w:r>
      <w:r w:rsidRPr="00752A8B" w:rsidDel="00EB71C0">
        <w:rPr>
          <w:rFonts w:ascii="Segoe UI" w:eastAsia="Times New Roman" w:hAnsi="Segoe UI" w:cs="Segoe UI"/>
          <w:color w:val="212121"/>
          <w:szCs w:val="22"/>
        </w:rPr>
        <w:t xml:space="preserve"> to remain viable, distracting from analysis</w:t>
      </w:r>
      <w:r w:rsidDel="00EB71C0">
        <w:rPr>
          <w:rFonts w:ascii="Segoe UI" w:eastAsia="Times New Roman" w:hAnsi="Segoe UI" w:cs="Segoe UI"/>
          <w:color w:val="212121"/>
          <w:szCs w:val="22"/>
        </w:rPr>
        <w:t xml:space="preserve">, </w:t>
      </w:r>
      <w:r w:rsidRPr="00752A8B" w:rsidDel="00EB71C0">
        <w:rPr>
          <w:rFonts w:ascii="Segoe UI" w:eastAsia="Times New Roman" w:hAnsi="Segoe UI" w:cs="Segoe UI"/>
          <w:color w:val="212121"/>
          <w:szCs w:val="22"/>
        </w:rPr>
        <w:t>research</w:t>
      </w:r>
      <w:r w:rsidDel="00EB71C0">
        <w:rPr>
          <w:rFonts w:ascii="Segoe UI" w:eastAsia="Times New Roman" w:hAnsi="Segoe UI" w:cs="Segoe UI"/>
          <w:color w:val="212121"/>
          <w:szCs w:val="22"/>
        </w:rPr>
        <w:t xml:space="preserve"> and, in some cases, organisational strategies</w:t>
      </w:r>
      <w:r w:rsidRPr="00752A8B" w:rsidDel="00EB71C0">
        <w:rPr>
          <w:rFonts w:ascii="Segoe UI" w:eastAsia="Times New Roman" w:hAnsi="Segoe UI" w:cs="Segoe UI"/>
          <w:color w:val="212121"/>
          <w:szCs w:val="22"/>
        </w:rPr>
        <w:t xml:space="preserve">. </w:t>
      </w:r>
    </w:p>
    <w:p w14:paraId="06E460A4" w14:textId="77777777" w:rsidR="00087D42" w:rsidRPr="00963625" w:rsidRDefault="0069635D"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L</w:t>
      </w:r>
      <w:r w:rsidR="00782AD3" w:rsidRPr="00963625">
        <w:rPr>
          <w:rFonts w:ascii="Segoe UI" w:eastAsia="Times New Roman" w:hAnsi="Segoe UI" w:cs="Segoe UI"/>
          <w:color w:val="212121"/>
        </w:rPr>
        <w:t>arger and longer-term agreements may result in fewer</w:t>
      </w:r>
      <w:r w:rsidR="00B573A1">
        <w:rPr>
          <w:rFonts w:ascii="Segoe UI" w:eastAsia="Times New Roman" w:hAnsi="Segoe UI" w:cs="Segoe UI"/>
          <w:color w:val="212121"/>
        </w:rPr>
        <w:t>,</w:t>
      </w:r>
      <w:r w:rsidR="00782AD3" w:rsidRPr="00963625">
        <w:rPr>
          <w:rFonts w:ascii="Segoe UI" w:eastAsia="Times New Roman" w:hAnsi="Segoe UI" w:cs="Segoe UI"/>
          <w:color w:val="212121"/>
        </w:rPr>
        <w:t xml:space="preserve"> better funded recipients than currently</w:t>
      </w:r>
      <w:r w:rsidR="00FE79EB" w:rsidRPr="00963625">
        <w:rPr>
          <w:rFonts w:ascii="Segoe UI" w:eastAsia="Times New Roman" w:hAnsi="Segoe UI" w:cs="Segoe UI"/>
          <w:color w:val="212121"/>
        </w:rPr>
        <w:t>,</w:t>
      </w:r>
      <w:r w:rsidR="00782AD3" w:rsidRPr="00963625">
        <w:rPr>
          <w:rFonts w:ascii="Segoe UI" w:eastAsia="Times New Roman" w:hAnsi="Segoe UI" w:cs="Segoe UI"/>
          <w:color w:val="212121"/>
        </w:rPr>
        <w:t xml:space="preserve"> but this trade off-is worth pursuing</w:t>
      </w:r>
      <w:r w:rsidR="00087D42" w:rsidRPr="00963625">
        <w:rPr>
          <w:rFonts w:ascii="Segoe UI" w:eastAsia="Times New Roman" w:hAnsi="Segoe UI" w:cs="Segoe UI"/>
          <w:color w:val="212121"/>
        </w:rPr>
        <w:t xml:space="preserve"> because it will help lay the foundations for future </w:t>
      </w:r>
      <w:r w:rsidRPr="00963625">
        <w:rPr>
          <w:rFonts w:ascii="Segoe UI" w:eastAsia="Times New Roman" w:hAnsi="Segoe UI" w:cs="Segoe UI"/>
          <w:color w:val="212121"/>
        </w:rPr>
        <w:t xml:space="preserve">sector </w:t>
      </w:r>
      <w:r w:rsidR="00087D42" w:rsidRPr="00963625">
        <w:rPr>
          <w:rFonts w:ascii="Segoe UI" w:eastAsia="Times New Roman" w:hAnsi="Segoe UI" w:cs="Segoe UI"/>
          <w:color w:val="212121"/>
        </w:rPr>
        <w:t>growth</w:t>
      </w:r>
      <w:r w:rsidR="00782AD3" w:rsidRPr="00963625">
        <w:rPr>
          <w:rFonts w:ascii="Segoe UI" w:eastAsia="Times New Roman" w:hAnsi="Segoe UI" w:cs="Segoe UI"/>
          <w:color w:val="212121"/>
        </w:rPr>
        <w:t xml:space="preserve">. </w:t>
      </w:r>
      <w:r w:rsidR="00087D42" w:rsidRPr="00963625">
        <w:rPr>
          <w:rFonts w:ascii="Segoe UI" w:eastAsia="Times New Roman" w:hAnsi="Segoe UI" w:cs="Segoe UI"/>
          <w:color w:val="212121"/>
        </w:rPr>
        <w:t xml:space="preserve">It will enable those organisations receiving funds to develop heft, giving them </w:t>
      </w:r>
      <w:r w:rsidRPr="00963625">
        <w:rPr>
          <w:rFonts w:ascii="Segoe UI" w:eastAsia="Times New Roman" w:hAnsi="Segoe UI" w:cs="Segoe UI"/>
          <w:color w:val="212121"/>
        </w:rPr>
        <w:t>greater</w:t>
      </w:r>
      <w:r w:rsidR="00594BD2" w:rsidRPr="00963625">
        <w:rPr>
          <w:rFonts w:ascii="Segoe UI" w:eastAsia="Times New Roman" w:hAnsi="Segoe UI" w:cs="Segoe UI"/>
          <w:color w:val="212121"/>
        </w:rPr>
        <w:t xml:space="preserve"> scope </w:t>
      </w:r>
      <w:r w:rsidR="00087D42" w:rsidRPr="00963625">
        <w:rPr>
          <w:rFonts w:ascii="Segoe UI" w:eastAsia="Times New Roman" w:hAnsi="Segoe UI" w:cs="Segoe UI"/>
          <w:color w:val="212121"/>
        </w:rPr>
        <w:t xml:space="preserve">to recruit talent, develop expertise, and conduct deeper research. </w:t>
      </w:r>
    </w:p>
    <w:p w14:paraId="06E460A5" w14:textId="77777777" w:rsidR="001F426D" w:rsidRPr="00963625" w:rsidRDefault="001F426D"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752A8B">
        <w:rPr>
          <w:rFonts w:ascii="Segoe UI" w:eastAsia="Times New Roman" w:hAnsi="Segoe UI" w:cs="Segoe UI"/>
          <w:color w:val="212121"/>
        </w:rPr>
        <w:t xml:space="preserve">Government should also become more consistent with timing for commissioning strategic policy work. A common criticism made by stakeholders was that Government can be sporadic with its funding opportunities, such as departmental grant programs, sometimes only allowing a short window for applications. More consistency </w:t>
      </w:r>
      <w:r>
        <w:rPr>
          <w:rFonts w:ascii="Segoe UI" w:eastAsia="Times New Roman" w:hAnsi="Segoe UI" w:cs="Segoe UI"/>
          <w:color w:val="212121"/>
        </w:rPr>
        <w:t>and outreach on</w:t>
      </w:r>
      <w:r w:rsidRPr="00752A8B">
        <w:rPr>
          <w:rFonts w:ascii="Segoe UI" w:eastAsia="Times New Roman" w:hAnsi="Segoe UI" w:cs="Segoe UI"/>
          <w:color w:val="212121"/>
        </w:rPr>
        <w:t xml:space="preserve"> when funding opportunities are available will help prime the sector to prepare proposals. </w:t>
      </w:r>
    </w:p>
    <w:p w14:paraId="06E460A6" w14:textId="77777777" w:rsidR="00DE7087" w:rsidRPr="00752A8B" w:rsidRDefault="005C59F3" w:rsidP="00284042">
      <w:pPr>
        <w:pStyle w:val="Heading2"/>
        <w:rPr>
          <w:rFonts w:cs="Segoe UI"/>
          <w:sz w:val="32"/>
          <w:szCs w:val="32"/>
        </w:rPr>
      </w:pPr>
      <w:bookmarkStart w:id="60" w:name="_Toc172665592"/>
      <w:r>
        <w:rPr>
          <w:rFonts w:cs="Segoe UI"/>
          <w:sz w:val="32"/>
          <w:szCs w:val="32"/>
        </w:rPr>
        <w:t>Simplify administration</w:t>
      </w:r>
      <w:bookmarkEnd w:id="60"/>
    </w:p>
    <w:p w14:paraId="06E460A7" w14:textId="77777777" w:rsidR="00162B2F" w:rsidRPr="00752A8B" w:rsidRDefault="00C24E05"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C</w:t>
      </w:r>
      <w:r w:rsidR="008319AA" w:rsidRPr="00752A8B">
        <w:rPr>
          <w:rFonts w:ascii="Segoe UI" w:eastAsia="Times New Roman" w:hAnsi="Segoe UI" w:cs="Segoe UI"/>
          <w:color w:val="212121"/>
        </w:rPr>
        <w:t>urrent a</w:t>
      </w:r>
      <w:r w:rsidR="004351AF" w:rsidRPr="00752A8B">
        <w:rPr>
          <w:rFonts w:ascii="Segoe UI" w:eastAsia="Times New Roman" w:hAnsi="Segoe UI" w:cs="Segoe UI"/>
          <w:color w:val="212121"/>
        </w:rPr>
        <w:t xml:space="preserve">dministration </w:t>
      </w:r>
      <w:r w:rsidR="00C06E4A">
        <w:rPr>
          <w:rFonts w:ascii="Segoe UI" w:eastAsia="Times New Roman" w:hAnsi="Segoe UI" w:cs="Segoe UI"/>
          <w:color w:val="212121"/>
        </w:rPr>
        <w:t xml:space="preserve">of grants </w:t>
      </w:r>
      <w:r w:rsidR="004351AF" w:rsidRPr="00752A8B">
        <w:rPr>
          <w:rFonts w:ascii="Segoe UI" w:eastAsia="Times New Roman" w:hAnsi="Segoe UI" w:cs="Segoe UI"/>
          <w:color w:val="212121"/>
        </w:rPr>
        <w:t>is unnecessarily burdensome for Government and the sector</w:t>
      </w:r>
      <w:r w:rsidR="007C762B" w:rsidRPr="00752A8B">
        <w:rPr>
          <w:rFonts w:ascii="Segoe UI" w:eastAsia="Times New Roman" w:hAnsi="Segoe UI" w:cs="Segoe UI"/>
          <w:color w:val="212121"/>
        </w:rPr>
        <w:t xml:space="preserve">, both at the application stage and during </w:t>
      </w:r>
      <w:r w:rsidR="00C06E4A">
        <w:rPr>
          <w:rFonts w:ascii="Segoe UI" w:eastAsia="Times New Roman" w:hAnsi="Segoe UI" w:cs="Segoe UI"/>
          <w:color w:val="212121"/>
        </w:rPr>
        <w:t xml:space="preserve">the course of </w:t>
      </w:r>
      <w:r w:rsidR="007C762B" w:rsidRPr="00752A8B">
        <w:rPr>
          <w:rFonts w:ascii="Segoe UI" w:eastAsia="Times New Roman" w:hAnsi="Segoe UI" w:cs="Segoe UI"/>
          <w:color w:val="212121"/>
        </w:rPr>
        <w:t xml:space="preserve">an agreement. </w:t>
      </w:r>
      <w:r w:rsidR="00131FAA">
        <w:rPr>
          <w:rFonts w:ascii="Segoe UI" w:eastAsia="Times New Roman" w:hAnsi="Segoe UI" w:cs="Segoe UI"/>
          <w:color w:val="212121"/>
        </w:rPr>
        <w:t>Applicants</w:t>
      </w:r>
      <w:r w:rsidR="00001012" w:rsidRPr="00752A8B">
        <w:rPr>
          <w:rFonts w:ascii="Segoe UI" w:eastAsia="Times New Roman" w:hAnsi="Segoe UI" w:cs="Segoe UI"/>
          <w:color w:val="212121"/>
        </w:rPr>
        <w:t xml:space="preserve"> are </w:t>
      </w:r>
      <w:r w:rsidR="0B1EB3D6" w:rsidRPr="00752A8B">
        <w:rPr>
          <w:rFonts w:ascii="Segoe UI" w:eastAsia="Times New Roman" w:hAnsi="Segoe UI" w:cs="Segoe UI"/>
          <w:color w:val="212121"/>
        </w:rPr>
        <w:t>usually</w:t>
      </w:r>
      <w:r w:rsidR="00001012" w:rsidRPr="00752A8B">
        <w:rPr>
          <w:rFonts w:ascii="Segoe UI" w:eastAsia="Times New Roman" w:hAnsi="Segoe UI" w:cs="Segoe UI"/>
          <w:color w:val="212121"/>
        </w:rPr>
        <w:t xml:space="preserve"> required to submit a full application that details the project’s research question(s), methodolog</w:t>
      </w:r>
      <w:r w:rsidR="0C4414C7" w:rsidRPr="00752A8B">
        <w:rPr>
          <w:rFonts w:ascii="Segoe UI" w:eastAsia="Times New Roman" w:hAnsi="Segoe UI" w:cs="Segoe UI"/>
          <w:color w:val="212121"/>
        </w:rPr>
        <w:t>y</w:t>
      </w:r>
      <w:r w:rsidR="00001012" w:rsidRPr="00752A8B">
        <w:rPr>
          <w:rFonts w:ascii="Segoe UI" w:eastAsia="Times New Roman" w:hAnsi="Segoe UI" w:cs="Segoe UI"/>
          <w:color w:val="212121"/>
        </w:rPr>
        <w:t xml:space="preserve">, deliverables measures of performance, and the research team’s credentials. </w:t>
      </w:r>
      <w:r w:rsidR="373A09BA" w:rsidRPr="00752A8B">
        <w:rPr>
          <w:rFonts w:ascii="Segoe UI" w:eastAsia="Times New Roman" w:hAnsi="Segoe UI" w:cs="Segoe UI"/>
          <w:color w:val="212121"/>
        </w:rPr>
        <w:t xml:space="preserve">This </w:t>
      </w:r>
      <w:r w:rsidR="00872B9B" w:rsidRPr="00752A8B">
        <w:rPr>
          <w:rFonts w:ascii="Segoe UI" w:eastAsia="Times New Roman" w:hAnsi="Segoe UI" w:cs="Segoe UI"/>
          <w:color w:val="212121"/>
        </w:rPr>
        <w:t>require</w:t>
      </w:r>
      <w:r w:rsidR="61D7CB54" w:rsidRPr="00752A8B">
        <w:rPr>
          <w:rFonts w:ascii="Segoe UI" w:eastAsia="Times New Roman" w:hAnsi="Segoe UI" w:cs="Segoe UI"/>
          <w:color w:val="212121"/>
        </w:rPr>
        <w:t>s</w:t>
      </w:r>
      <w:r w:rsidR="00872B9B" w:rsidRPr="00752A8B">
        <w:rPr>
          <w:rFonts w:ascii="Segoe UI" w:eastAsia="Times New Roman" w:hAnsi="Segoe UI" w:cs="Segoe UI"/>
          <w:color w:val="212121"/>
        </w:rPr>
        <w:t xml:space="preserve"> </w:t>
      </w:r>
      <w:r w:rsidR="00001012" w:rsidRPr="00752A8B">
        <w:rPr>
          <w:rFonts w:ascii="Segoe UI" w:eastAsia="Times New Roman" w:hAnsi="Segoe UI" w:cs="Segoe UI"/>
          <w:color w:val="212121"/>
        </w:rPr>
        <w:t>significant effort</w:t>
      </w:r>
      <w:r w:rsidR="090715C2" w:rsidRPr="00752A8B">
        <w:rPr>
          <w:rFonts w:ascii="Segoe UI" w:eastAsia="Times New Roman" w:hAnsi="Segoe UI" w:cs="Segoe UI"/>
          <w:color w:val="212121"/>
        </w:rPr>
        <w:t xml:space="preserve"> to develop and for </w:t>
      </w:r>
      <w:r w:rsidR="26F504B7" w:rsidRPr="00752A8B">
        <w:rPr>
          <w:rFonts w:ascii="Segoe UI" w:eastAsia="Times New Roman" w:hAnsi="Segoe UI" w:cs="Segoe UI"/>
          <w:color w:val="212121"/>
        </w:rPr>
        <w:t>Government</w:t>
      </w:r>
      <w:r w:rsidR="090715C2" w:rsidRPr="00752A8B">
        <w:rPr>
          <w:rFonts w:ascii="Segoe UI" w:eastAsia="Times New Roman" w:hAnsi="Segoe UI" w:cs="Segoe UI"/>
          <w:color w:val="212121"/>
        </w:rPr>
        <w:t xml:space="preserve"> to </w:t>
      </w:r>
      <w:r w:rsidR="00872B9B" w:rsidRPr="00752A8B">
        <w:rPr>
          <w:rFonts w:ascii="Segoe UI" w:eastAsia="Times New Roman" w:hAnsi="Segoe UI" w:cs="Segoe UI"/>
          <w:color w:val="212121"/>
        </w:rPr>
        <w:t>review</w:t>
      </w:r>
      <w:r w:rsidR="00EC10C7">
        <w:rPr>
          <w:rFonts w:ascii="Segoe UI" w:eastAsia="Times New Roman" w:hAnsi="Segoe UI" w:cs="Segoe UI"/>
          <w:color w:val="212121"/>
        </w:rPr>
        <w:t>. Defence’s Strategic Policy Grants Program, which is one of the main strategic policy work grant programs, only fund</w:t>
      </w:r>
      <w:r w:rsidR="00D03797">
        <w:rPr>
          <w:rFonts w:ascii="Segoe UI" w:eastAsia="Times New Roman" w:hAnsi="Segoe UI" w:cs="Segoe UI"/>
          <w:color w:val="212121"/>
        </w:rPr>
        <w:t>ed 6.7 per cent of applications in 2023 and 16.8 per cent in 2024</w:t>
      </w:r>
      <w:r w:rsidR="00EC10C7">
        <w:rPr>
          <w:rFonts w:ascii="Segoe UI" w:eastAsia="Times New Roman" w:hAnsi="Segoe UI" w:cs="Segoe UI"/>
          <w:color w:val="212121"/>
        </w:rPr>
        <w:t>, so there is a lot of wasted effort on both sides.</w:t>
      </w:r>
      <w:r w:rsidR="00872B9B" w:rsidRPr="00752A8B">
        <w:rPr>
          <w:rFonts w:ascii="Segoe UI" w:eastAsia="Times New Roman" w:hAnsi="Segoe UI" w:cs="Segoe UI"/>
          <w:color w:val="212121"/>
        </w:rPr>
        <w:t xml:space="preserve"> </w:t>
      </w:r>
    </w:p>
    <w:p w14:paraId="06E460A8" w14:textId="77777777" w:rsidR="00A92DC3" w:rsidRDefault="00C3410A"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72CE88A8">
        <w:rPr>
          <w:rFonts w:ascii="Segoe UI" w:eastAsia="Times New Roman" w:hAnsi="Segoe UI" w:cs="Segoe UI"/>
          <w:color w:val="212121"/>
        </w:rPr>
        <w:t>ONI</w:t>
      </w:r>
      <w:r w:rsidR="00F1519E">
        <w:rPr>
          <w:rFonts w:ascii="Segoe UI" w:eastAsia="Times New Roman" w:hAnsi="Segoe UI" w:cs="Segoe UI"/>
          <w:color w:val="212121"/>
        </w:rPr>
        <w:t xml:space="preserve"> </w:t>
      </w:r>
      <w:r w:rsidR="00872B9B" w:rsidRPr="00752A8B">
        <w:rPr>
          <w:rFonts w:ascii="Segoe UI" w:eastAsia="Times New Roman" w:hAnsi="Segoe UI" w:cs="Segoe UI"/>
          <w:color w:val="212121"/>
        </w:rPr>
        <w:t>has introduced a two-stage application process for its grant</w:t>
      </w:r>
      <w:r w:rsidR="00C24E05">
        <w:rPr>
          <w:rFonts w:ascii="Segoe UI" w:eastAsia="Times New Roman" w:hAnsi="Segoe UI" w:cs="Segoe UI"/>
          <w:color w:val="212121"/>
        </w:rPr>
        <w:t>s</w:t>
      </w:r>
      <w:r w:rsidR="20BD02C6" w:rsidRPr="00752A8B">
        <w:rPr>
          <w:rFonts w:ascii="Segoe UI" w:eastAsia="Times New Roman" w:hAnsi="Segoe UI" w:cs="Segoe UI"/>
          <w:color w:val="212121"/>
        </w:rPr>
        <w:t xml:space="preserve">, with </w:t>
      </w:r>
      <w:r w:rsidR="00B43C80" w:rsidRPr="00752A8B">
        <w:rPr>
          <w:rFonts w:ascii="Segoe UI" w:eastAsia="Times New Roman" w:hAnsi="Segoe UI" w:cs="Segoe UI"/>
          <w:color w:val="212121"/>
        </w:rPr>
        <w:t>short pitch</w:t>
      </w:r>
      <w:r w:rsidR="2B276B0D" w:rsidRPr="00752A8B">
        <w:rPr>
          <w:rFonts w:ascii="Segoe UI" w:eastAsia="Times New Roman" w:hAnsi="Segoe UI" w:cs="Segoe UI"/>
          <w:color w:val="212121"/>
        </w:rPr>
        <w:t>es</w:t>
      </w:r>
      <w:r w:rsidR="07A35D4B" w:rsidRPr="00752A8B">
        <w:rPr>
          <w:rFonts w:ascii="Segoe UI" w:eastAsia="Times New Roman" w:hAnsi="Segoe UI" w:cs="Segoe UI"/>
          <w:color w:val="212121"/>
        </w:rPr>
        <w:t xml:space="preserve"> triaged and </w:t>
      </w:r>
      <w:r w:rsidR="426C2180" w:rsidRPr="00752A8B">
        <w:rPr>
          <w:rFonts w:ascii="Segoe UI" w:eastAsia="Times New Roman" w:hAnsi="Segoe UI" w:cs="Segoe UI"/>
          <w:color w:val="212121"/>
        </w:rPr>
        <w:t xml:space="preserve">then </w:t>
      </w:r>
      <w:r w:rsidR="07A35D4B" w:rsidRPr="00752A8B">
        <w:rPr>
          <w:rFonts w:ascii="Segoe UI" w:eastAsia="Times New Roman" w:hAnsi="Segoe UI" w:cs="Segoe UI"/>
          <w:color w:val="212121"/>
        </w:rPr>
        <w:t xml:space="preserve">select organisations </w:t>
      </w:r>
      <w:r w:rsidR="00872B9B" w:rsidRPr="00752A8B">
        <w:rPr>
          <w:rFonts w:ascii="Segoe UI" w:eastAsia="Times New Roman" w:hAnsi="Segoe UI" w:cs="Segoe UI"/>
          <w:color w:val="212121"/>
        </w:rPr>
        <w:t>invited to submit a full application</w:t>
      </w:r>
      <w:r w:rsidR="472C519A" w:rsidRPr="00752A8B">
        <w:rPr>
          <w:rFonts w:ascii="Segoe UI" w:eastAsia="Times New Roman" w:hAnsi="Segoe UI" w:cs="Segoe UI"/>
          <w:color w:val="212121"/>
        </w:rPr>
        <w:t xml:space="preserve">. </w:t>
      </w:r>
      <w:r w:rsidR="00566726">
        <w:rPr>
          <w:rFonts w:ascii="Segoe UI" w:eastAsia="Times New Roman" w:hAnsi="Segoe UI" w:cs="Segoe UI"/>
          <w:color w:val="212121"/>
        </w:rPr>
        <w:t>Shortlisted applicants then co-design a full application</w:t>
      </w:r>
      <w:r w:rsidR="52CCF117" w:rsidRPr="00752A8B">
        <w:rPr>
          <w:rFonts w:ascii="Segoe UI" w:eastAsia="Times New Roman" w:hAnsi="Segoe UI" w:cs="Segoe UI"/>
          <w:color w:val="212121"/>
        </w:rPr>
        <w:t xml:space="preserve"> </w:t>
      </w:r>
      <w:r w:rsidR="00872B9B" w:rsidRPr="00752A8B">
        <w:rPr>
          <w:rFonts w:ascii="Segoe UI" w:eastAsia="Times New Roman" w:hAnsi="Segoe UI" w:cs="Segoe UI"/>
          <w:color w:val="212121"/>
        </w:rPr>
        <w:t xml:space="preserve">with </w:t>
      </w:r>
      <w:r w:rsidR="36DB7799" w:rsidRPr="00752A8B">
        <w:rPr>
          <w:rFonts w:ascii="Segoe UI" w:eastAsia="Times New Roman" w:hAnsi="Segoe UI" w:cs="Segoe UI"/>
          <w:color w:val="212121"/>
        </w:rPr>
        <w:t>Government</w:t>
      </w:r>
      <w:r w:rsidR="00872B9B" w:rsidRPr="00752A8B">
        <w:rPr>
          <w:rFonts w:ascii="Segoe UI" w:eastAsia="Times New Roman" w:hAnsi="Segoe UI" w:cs="Segoe UI"/>
          <w:color w:val="212121"/>
        </w:rPr>
        <w:t xml:space="preserve">. </w:t>
      </w:r>
      <w:r w:rsidR="00566726">
        <w:rPr>
          <w:rFonts w:ascii="Segoe UI" w:eastAsia="Times New Roman" w:hAnsi="Segoe UI" w:cs="Segoe UI"/>
          <w:color w:val="212121"/>
        </w:rPr>
        <w:t xml:space="preserve">Stakeholders welcomed this </w:t>
      </w:r>
      <w:r w:rsidR="3430D19F" w:rsidRPr="09864435">
        <w:rPr>
          <w:rFonts w:ascii="Segoe UI" w:eastAsia="Times New Roman" w:hAnsi="Segoe UI" w:cs="Segoe UI"/>
          <w:color w:val="212121"/>
        </w:rPr>
        <w:t>approach</w:t>
      </w:r>
      <w:r w:rsidR="00566726">
        <w:rPr>
          <w:rFonts w:ascii="Segoe UI" w:eastAsia="Times New Roman" w:hAnsi="Segoe UI" w:cs="Segoe UI"/>
          <w:color w:val="212121"/>
        </w:rPr>
        <w:t>. Government should replicate this model</w:t>
      </w:r>
      <w:r w:rsidR="3430D19F" w:rsidRPr="09864435">
        <w:rPr>
          <w:rFonts w:ascii="Segoe UI" w:eastAsia="Times New Roman" w:hAnsi="Segoe UI" w:cs="Segoe UI"/>
          <w:color w:val="212121"/>
        </w:rPr>
        <w:t xml:space="preserve"> </w:t>
      </w:r>
      <w:r w:rsidR="76D00999" w:rsidRPr="09864435">
        <w:rPr>
          <w:rFonts w:ascii="Segoe UI" w:eastAsia="Times New Roman" w:hAnsi="Segoe UI" w:cs="Segoe UI"/>
          <w:color w:val="212121"/>
        </w:rPr>
        <w:t>for</w:t>
      </w:r>
      <w:r w:rsidR="00566726">
        <w:rPr>
          <w:rFonts w:ascii="Segoe UI" w:eastAsia="Times New Roman" w:hAnsi="Segoe UI" w:cs="Segoe UI"/>
          <w:color w:val="212121"/>
        </w:rPr>
        <w:t xml:space="preserve"> other</w:t>
      </w:r>
      <w:r w:rsidR="76D00999" w:rsidRPr="09864435">
        <w:rPr>
          <w:rFonts w:ascii="Segoe UI" w:eastAsia="Times New Roman" w:hAnsi="Segoe UI" w:cs="Segoe UI"/>
          <w:color w:val="212121"/>
        </w:rPr>
        <w:t xml:space="preserve"> </w:t>
      </w:r>
      <w:r w:rsidR="3430D19F" w:rsidRPr="00752A8B">
        <w:rPr>
          <w:rFonts w:ascii="Segoe UI" w:eastAsia="Times New Roman" w:hAnsi="Segoe UI" w:cs="Segoe UI"/>
          <w:color w:val="212121"/>
        </w:rPr>
        <w:t xml:space="preserve">competitive fee-for-service </w:t>
      </w:r>
      <w:r w:rsidR="004835D9">
        <w:rPr>
          <w:rFonts w:ascii="Segoe UI" w:eastAsia="Times New Roman" w:hAnsi="Segoe UI" w:cs="Segoe UI"/>
          <w:color w:val="212121"/>
        </w:rPr>
        <w:t>agreements</w:t>
      </w:r>
      <w:r w:rsidR="3430D19F" w:rsidRPr="00752A8B">
        <w:rPr>
          <w:rFonts w:ascii="Segoe UI" w:eastAsia="Times New Roman" w:hAnsi="Segoe UI" w:cs="Segoe UI"/>
          <w:color w:val="212121"/>
        </w:rPr>
        <w:t>.</w:t>
      </w:r>
    </w:p>
    <w:p w14:paraId="06E460A9" w14:textId="77777777" w:rsidR="00162B2F" w:rsidRDefault="00A92DC3"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 xml:space="preserve">How departments and agencies administer their commissioned strategic policy work also matters. </w:t>
      </w:r>
      <w:r w:rsidR="00EA51EC">
        <w:rPr>
          <w:rFonts w:ascii="Segoe UI" w:eastAsia="Times New Roman" w:hAnsi="Segoe UI" w:cs="Segoe UI"/>
          <w:color w:val="212121"/>
        </w:rPr>
        <w:t>S</w:t>
      </w:r>
      <w:r w:rsidR="008D6776">
        <w:rPr>
          <w:rFonts w:ascii="Segoe UI" w:eastAsia="Times New Roman" w:hAnsi="Segoe UI" w:cs="Segoe UI"/>
          <w:color w:val="212121"/>
        </w:rPr>
        <w:t xml:space="preserve">takeholders from the sector </w:t>
      </w:r>
      <w:r w:rsidR="00EA51EC">
        <w:rPr>
          <w:rFonts w:ascii="Segoe UI" w:eastAsia="Times New Roman" w:hAnsi="Segoe UI" w:cs="Segoe UI"/>
          <w:color w:val="212121"/>
        </w:rPr>
        <w:t xml:space="preserve">remarked that they often needed to </w:t>
      </w:r>
      <w:r w:rsidR="008D6776">
        <w:rPr>
          <w:rFonts w:ascii="Segoe UI" w:eastAsia="Times New Roman" w:hAnsi="Segoe UI" w:cs="Segoe UI"/>
          <w:color w:val="212121"/>
        </w:rPr>
        <w:t xml:space="preserve">shop their ideas around multiple line areas within a department to secure funding. This is </w:t>
      </w:r>
      <w:r w:rsidR="00EA51EC">
        <w:rPr>
          <w:rFonts w:ascii="Segoe UI" w:eastAsia="Times New Roman" w:hAnsi="Segoe UI" w:cs="Segoe UI"/>
          <w:color w:val="212121"/>
        </w:rPr>
        <w:t xml:space="preserve">not </w:t>
      </w:r>
      <w:r w:rsidR="008D6776">
        <w:rPr>
          <w:rFonts w:ascii="Segoe UI" w:eastAsia="Times New Roman" w:hAnsi="Segoe UI" w:cs="Segoe UI"/>
          <w:color w:val="212121"/>
        </w:rPr>
        <w:t xml:space="preserve">a strategic nor efficient way of commissioning, administering and coordinating </w:t>
      </w:r>
      <w:r w:rsidR="00AA2723">
        <w:rPr>
          <w:rFonts w:ascii="Segoe UI" w:eastAsia="Times New Roman" w:hAnsi="Segoe UI" w:cs="Segoe UI"/>
          <w:color w:val="212121"/>
        </w:rPr>
        <w:t>strategic policy</w:t>
      </w:r>
      <w:r w:rsidR="008D6776">
        <w:rPr>
          <w:rFonts w:ascii="Segoe UI" w:eastAsia="Times New Roman" w:hAnsi="Segoe UI" w:cs="Segoe UI"/>
          <w:color w:val="212121"/>
        </w:rPr>
        <w:t xml:space="preserve"> work. </w:t>
      </w:r>
      <w:r>
        <w:rPr>
          <w:rFonts w:ascii="Segoe UI" w:eastAsia="Times New Roman" w:hAnsi="Segoe UI" w:cs="Segoe UI"/>
          <w:color w:val="212121"/>
        </w:rPr>
        <w:t>Defence and ONI have dedicated directorate</w:t>
      </w:r>
      <w:r w:rsidR="00EA51EC">
        <w:rPr>
          <w:rFonts w:ascii="Segoe UI" w:eastAsia="Times New Roman" w:hAnsi="Segoe UI" w:cs="Segoe UI"/>
          <w:color w:val="212121"/>
        </w:rPr>
        <w:t>s</w:t>
      </w:r>
      <w:r>
        <w:rPr>
          <w:rFonts w:ascii="Segoe UI" w:eastAsia="Times New Roman" w:hAnsi="Segoe UI" w:cs="Segoe UI"/>
          <w:color w:val="212121"/>
        </w:rPr>
        <w:t xml:space="preserve"> responsible for administering </w:t>
      </w:r>
      <w:r w:rsidR="00F20623">
        <w:rPr>
          <w:rFonts w:ascii="Segoe UI" w:eastAsia="Times New Roman" w:hAnsi="Segoe UI" w:cs="Segoe UI"/>
          <w:color w:val="212121"/>
        </w:rPr>
        <w:t>their respective grant programs</w:t>
      </w:r>
      <w:r w:rsidR="00EA51EC">
        <w:rPr>
          <w:rFonts w:ascii="Segoe UI" w:eastAsia="Times New Roman" w:hAnsi="Segoe UI" w:cs="Segoe UI"/>
          <w:color w:val="212121"/>
        </w:rPr>
        <w:t>, which</w:t>
      </w:r>
      <w:r w:rsidR="00F20623">
        <w:rPr>
          <w:rFonts w:ascii="Segoe UI" w:eastAsia="Times New Roman" w:hAnsi="Segoe UI" w:cs="Segoe UI"/>
          <w:color w:val="212121"/>
        </w:rPr>
        <w:t xml:space="preserve"> </w:t>
      </w:r>
      <w:r w:rsidR="00EA51EC">
        <w:rPr>
          <w:rFonts w:ascii="Segoe UI" w:eastAsia="Times New Roman" w:hAnsi="Segoe UI" w:cs="Segoe UI"/>
          <w:color w:val="212121"/>
        </w:rPr>
        <w:t xml:space="preserve">also act as a conduit connecting the funding recipient with relevant </w:t>
      </w:r>
      <w:r w:rsidR="00FE79EB">
        <w:rPr>
          <w:rFonts w:ascii="Segoe UI" w:eastAsia="Times New Roman" w:hAnsi="Segoe UI" w:cs="Segoe UI"/>
          <w:color w:val="212121"/>
        </w:rPr>
        <w:t xml:space="preserve">government </w:t>
      </w:r>
      <w:r w:rsidR="00EA51EC">
        <w:rPr>
          <w:rFonts w:ascii="Segoe UI" w:eastAsia="Times New Roman" w:hAnsi="Segoe UI" w:cs="Segoe UI"/>
          <w:color w:val="212121"/>
        </w:rPr>
        <w:t>stakeholders. This approach has been well received by stakeholders and should be replicated by departments and agencies where practical noting resourcing i</w:t>
      </w:r>
      <w:r w:rsidR="005E5378">
        <w:rPr>
          <w:rFonts w:ascii="Segoe UI" w:eastAsia="Times New Roman" w:hAnsi="Segoe UI" w:cs="Segoe UI"/>
          <w:color w:val="212121"/>
        </w:rPr>
        <w:t>m</w:t>
      </w:r>
      <w:r w:rsidR="00EA51EC">
        <w:rPr>
          <w:rFonts w:ascii="Segoe UI" w:eastAsia="Times New Roman" w:hAnsi="Segoe UI" w:cs="Segoe UI"/>
          <w:color w:val="212121"/>
        </w:rPr>
        <w:t>plications.</w:t>
      </w:r>
    </w:p>
    <w:p w14:paraId="06E460AA" w14:textId="77777777" w:rsidR="00D77645" w:rsidRDefault="00D77645" w:rsidP="00D77645">
      <w:pPr>
        <w:pStyle w:val="BOXHeading3"/>
        <w:spacing w:after="80"/>
      </w:pPr>
      <w:r>
        <w:lastRenderedPageBreak/>
        <w:t xml:space="preserve">Recommendation </w:t>
      </w:r>
      <w:r w:rsidR="00017D9C">
        <w:t>7</w:t>
      </w:r>
    </w:p>
    <w:p w14:paraId="06E460AB" w14:textId="77777777" w:rsidR="00D77645" w:rsidRDefault="00D77645" w:rsidP="00D77645">
      <w:pPr>
        <w:pStyle w:val="BOXText"/>
        <w:spacing w:after="80"/>
        <w:rPr>
          <w:rFonts w:ascii="Segoe UI" w:eastAsia="Times New Roman" w:hAnsi="Segoe UI" w:cs="Segoe UI"/>
          <w:bCs/>
          <w:color w:val="212121"/>
        </w:rPr>
      </w:pPr>
      <w:r>
        <w:rPr>
          <w:rFonts w:ascii="Segoe UI" w:eastAsia="Times New Roman" w:hAnsi="Segoe UI" w:cs="Segoe UI"/>
          <w:color w:val="212121"/>
        </w:rPr>
        <w:t xml:space="preserve">Departments and agencies should commission, administer and coordinate their fee-for-service strategic policy activities through single </w:t>
      </w:r>
      <w:r w:rsidR="001F426D">
        <w:rPr>
          <w:rFonts w:ascii="Segoe UI" w:eastAsia="Times New Roman" w:hAnsi="Segoe UI" w:cs="Segoe UI"/>
          <w:color w:val="212121"/>
        </w:rPr>
        <w:t xml:space="preserve">departmental </w:t>
      </w:r>
      <w:r>
        <w:rPr>
          <w:rFonts w:ascii="Segoe UI" w:eastAsia="Times New Roman" w:hAnsi="Segoe UI" w:cs="Segoe UI"/>
          <w:color w:val="212121"/>
        </w:rPr>
        <w:t>gateway</w:t>
      </w:r>
      <w:r w:rsidR="001F426D">
        <w:rPr>
          <w:rFonts w:ascii="Segoe UI" w:eastAsia="Times New Roman" w:hAnsi="Segoe UI" w:cs="Segoe UI"/>
          <w:color w:val="212121"/>
        </w:rPr>
        <w:t>s</w:t>
      </w:r>
      <w:r>
        <w:rPr>
          <w:rFonts w:ascii="Segoe UI" w:eastAsia="Times New Roman" w:hAnsi="Segoe UI" w:cs="Segoe UI"/>
          <w:color w:val="212121"/>
        </w:rPr>
        <w:t xml:space="preserve"> where practical. </w:t>
      </w:r>
    </w:p>
    <w:p w14:paraId="06E460AC" w14:textId="77777777" w:rsidR="00DE7087" w:rsidRPr="00752A8B" w:rsidRDefault="00987408" w:rsidP="00284042">
      <w:pPr>
        <w:pStyle w:val="Heading2"/>
        <w:rPr>
          <w:rFonts w:cs="Segoe UI"/>
          <w:sz w:val="32"/>
          <w:szCs w:val="32"/>
        </w:rPr>
      </w:pPr>
      <w:bookmarkStart w:id="61" w:name="_Toc172665593"/>
      <w:r>
        <w:rPr>
          <w:rFonts w:cs="Segoe UI"/>
          <w:sz w:val="32"/>
          <w:szCs w:val="32"/>
        </w:rPr>
        <w:t xml:space="preserve">Improve engagement between Government and </w:t>
      </w:r>
      <w:r w:rsidR="00594BD2">
        <w:rPr>
          <w:rFonts w:cs="Segoe UI"/>
          <w:sz w:val="32"/>
          <w:szCs w:val="32"/>
        </w:rPr>
        <w:t xml:space="preserve">the </w:t>
      </w:r>
      <w:r w:rsidR="00EE1891">
        <w:rPr>
          <w:rFonts w:cs="Segoe UI"/>
          <w:sz w:val="32"/>
          <w:szCs w:val="32"/>
        </w:rPr>
        <w:t>s</w:t>
      </w:r>
      <w:r>
        <w:rPr>
          <w:rFonts w:cs="Segoe UI"/>
          <w:sz w:val="32"/>
          <w:szCs w:val="32"/>
        </w:rPr>
        <w:t>ector</w:t>
      </w:r>
      <w:bookmarkEnd w:id="61"/>
    </w:p>
    <w:p w14:paraId="06E460AD" w14:textId="77777777" w:rsidR="00FE79EB" w:rsidRDefault="011ACCB5"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622A917">
        <w:rPr>
          <w:rFonts w:ascii="Segoe UI" w:eastAsia="Times New Roman" w:hAnsi="Segoe UI" w:cs="Segoe UI"/>
          <w:color w:val="212121"/>
        </w:rPr>
        <w:t>Government</w:t>
      </w:r>
      <w:r w:rsidR="7E1C2639" w:rsidRPr="0622A917">
        <w:rPr>
          <w:rFonts w:ascii="Segoe UI" w:eastAsia="Times New Roman" w:hAnsi="Segoe UI" w:cs="Segoe UI"/>
          <w:color w:val="212121"/>
        </w:rPr>
        <w:t xml:space="preserve"> </w:t>
      </w:r>
      <w:r w:rsidRPr="0622A917">
        <w:rPr>
          <w:rFonts w:ascii="Segoe UI" w:eastAsia="Times New Roman" w:hAnsi="Segoe UI" w:cs="Segoe UI"/>
          <w:color w:val="212121"/>
        </w:rPr>
        <w:t>does not engage the sector</w:t>
      </w:r>
      <w:r w:rsidR="00C06E4A">
        <w:rPr>
          <w:rFonts w:ascii="Segoe UI" w:eastAsia="Times New Roman" w:hAnsi="Segoe UI" w:cs="Segoe UI"/>
          <w:color w:val="212121"/>
        </w:rPr>
        <w:t xml:space="preserve"> sufficiently</w:t>
      </w:r>
      <w:r w:rsidRPr="0622A917">
        <w:rPr>
          <w:rFonts w:ascii="Segoe UI" w:eastAsia="Times New Roman" w:hAnsi="Segoe UI" w:cs="Segoe UI"/>
          <w:color w:val="212121"/>
        </w:rPr>
        <w:t xml:space="preserve">. </w:t>
      </w:r>
      <w:r w:rsidR="12FEB6C0" w:rsidRPr="0622A917">
        <w:rPr>
          <w:rFonts w:ascii="Segoe UI" w:eastAsia="Times New Roman" w:hAnsi="Segoe UI" w:cs="Segoe UI"/>
          <w:color w:val="212121"/>
        </w:rPr>
        <w:t>B</w:t>
      </w:r>
      <w:r w:rsidR="5E14BB68" w:rsidRPr="0622A917">
        <w:rPr>
          <w:rFonts w:ascii="Segoe UI" w:eastAsia="Times New Roman" w:hAnsi="Segoe UI" w:cs="Segoe UI"/>
          <w:color w:val="212121"/>
        </w:rPr>
        <w:t>rief</w:t>
      </w:r>
      <w:r w:rsidR="54B557B0" w:rsidRPr="0622A917">
        <w:rPr>
          <w:rFonts w:ascii="Segoe UI" w:eastAsia="Times New Roman" w:hAnsi="Segoe UI" w:cs="Segoe UI"/>
          <w:color w:val="212121"/>
        </w:rPr>
        <w:t xml:space="preserve">ing </w:t>
      </w:r>
      <w:r w:rsidR="5E14BB68" w:rsidRPr="0622A917">
        <w:rPr>
          <w:rFonts w:ascii="Segoe UI" w:eastAsia="Times New Roman" w:hAnsi="Segoe UI" w:cs="Segoe UI"/>
          <w:color w:val="212121"/>
        </w:rPr>
        <w:t xml:space="preserve">on the issues occupying its attention </w:t>
      </w:r>
      <w:r w:rsidR="43D47759" w:rsidRPr="0622A917">
        <w:rPr>
          <w:rFonts w:ascii="Segoe UI" w:eastAsia="Times New Roman" w:hAnsi="Segoe UI" w:cs="Segoe UI"/>
          <w:color w:val="212121"/>
        </w:rPr>
        <w:t xml:space="preserve">is limited, </w:t>
      </w:r>
      <w:r w:rsidR="70E49EFE" w:rsidRPr="0622A917">
        <w:rPr>
          <w:rFonts w:ascii="Segoe UI" w:eastAsia="Times New Roman" w:hAnsi="Segoe UI" w:cs="Segoe UI"/>
          <w:color w:val="212121"/>
        </w:rPr>
        <w:t xml:space="preserve">and often </w:t>
      </w:r>
      <w:r w:rsidR="43D47759" w:rsidRPr="0622A917">
        <w:rPr>
          <w:rFonts w:ascii="Segoe UI" w:eastAsia="Times New Roman" w:hAnsi="Segoe UI" w:cs="Segoe UI"/>
          <w:color w:val="212121"/>
        </w:rPr>
        <w:t xml:space="preserve">after policy </w:t>
      </w:r>
      <w:r w:rsidR="0015653A">
        <w:rPr>
          <w:rFonts w:ascii="Segoe UI" w:eastAsia="Times New Roman" w:hAnsi="Segoe UI" w:cs="Segoe UI"/>
          <w:color w:val="212121"/>
        </w:rPr>
        <w:t>is</w:t>
      </w:r>
      <w:r w:rsidR="43D47759" w:rsidRPr="0622A917">
        <w:rPr>
          <w:rFonts w:ascii="Segoe UI" w:eastAsia="Times New Roman" w:hAnsi="Segoe UI" w:cs="Segoe UI"/>
          <w:color w:val="212121"/>
        </w:rPr>
        <w:t xml:space="preserve"> agreed. </w:t>
      </w:r>
      <w:r w:rsidR="0015653A">
        <w:rPr>
          <w:rFonts w:ascii="Segoe UI" w:eastAsia="Times New Roman" w:hAnsi="Segoe UI" w:cs="Segoe UI"/>
          <w:color w:val="212121"/>
        </w:rPr>
        <w:t>Stakeholders regularly raised t</w:t>
      </w:r>
      <w:r w:rsidR="4716AC5D" w:rsidRPr="0622A917">
        <w:rPr>
          <w:rFonts w:ascii="Segoe UI" w:eastAsia="Times New Roman" w:hAnsi="Segoe UI" w:cs="Segoe UI"/>
          <w:color w:val="212121"/>
        </w:rPr>
        <w:t xml:space="preserve">he high-turnover of government </w:t>
      </w:r>
      <w:r w:rsidR="43A7BEFB" w:rsidRPr="087460D4">
        <w:rPr>
          <w:rFonts w:ascii="Segoe UI" w:eastAsia="Times New Roman" w:hAnsi="Segoe UI" w:cs="Segoe UI"/>
          <w:color w:val="212121"/>
        </w:rPr>
        <w:t xml:space="preserve">staff </w:t>
      </w:r>
      <w:r w:rsidR="4716AC5D" w:rsidRPr="0622A917">
        <w:rPr>
          <w:rFonts w:ascii="Segoe UI" w:eastAsia="Times New Roman" w:hAnsi="Segoe UI" w:cs="Segoe UI"/>
          <w:color w:val="212121"/>
        </w:rPr>
        <w:t xml:space="preserve">as a major inhibitor </w:t>
      </w:r>
      <w:r w:rsidR="00F1519E">
        <w:rPr>
          <w:rFonts w:ascii="Segoe UI" w:eastAsia="Times New Roman" w:hAnsi="Segoe UI" w:cs="Segoe UI"/>
          <w:color w:val="212121"/>
        </w:rPr>
        <w:t xml:space="preserve">to effective </w:t>
      </w:r>
      <w:r w:rsidR="4716AC5D" w:rsidRPr="0622A917">
        <w:rPr>
          <w:rFonts w:ascii="Segoe UI" w:eastAsia="Times New Roman" w:hAnsi="Segoe UI" w:cs="Segoe UI"/>
          <w:color w:val="212121"/>
        </w:rPr>
        <w:t xml:space="preserve">engagement. Just as </w:t>
      </w:r>
      <w:r w:rsidR="7F3FA8E3" w:rsidRPr="0622A917">
        <w:rPr>
          <w:rFonts w:ascii="Segoe UI" w:eastAsia="Times New Roman" w:hAnsi="Segoe UI" w:cs="Segoe UI"/>
          <w:color w:val="212121"/>
        </w:rPr>
        <w:t>relationships</w:t>
      </w:r>
      <w:r w:rsidR="4716AC5D" w:rsidRPr="0622A917">
        <w:rPr>
          <w:rFonts w:ascii="Segoe UI" w:eastAsia="Times New Roman" w:hAnsi="Segoe UI" w:cs="Segoe UI"/>
          <w:color w:val="212121"/>
        </w:rPr>
        <w:t xml:space="preserve"> are bu</w:t>
      </w:r>
      <w:r w:rsidR="255D1E83" w:rsidRPr="0622A917">
        <w:rPr>
          <w:rFonts w:ascii="Segoe UI" w:eastAsia="Times New Roman" w:hAnsi="Segoe UI" w:cs="Segoe UI"/>
          <w:color w:val="212121"/>
        </w:rPr>
        <w:t>ilt</w:t>
      </w:r>
      <w:r w:rsidR="4174A657" w:rsidRPr="0622A917">
        <w:rPr>
          <w:rFonts w:ascii="Segoe UI" w:eastAsia="Times New Roman" w:hAnsi="Segoe UI" w:cs="Segoe UI"/>
          <w:color w:val="212121"/>
        </w:rPr>
        <w:t xml:space="preserve">, government </w:t>
      </w:r>
      <w:r w:rsidR="255D1E83" w:rsidRPr="0622A917">
        <w:rPr>
          <w:rFonts w:ascii="Segoe UI" w:eastAsia="Times New Roman" w:hAnsi="Segoe UI" w:cs="Segoe UI"/>
          <w:color w:val="212121"/>
        </w:rPr>
        <w:t>personnel change roles and a new relationship must be formed.</w:t>
      </w:r>
      <w:r w:rsidR="00300DB5">
        <w:rPr>
          <w:rFonts w:ascii="Segoe UI" w:eastAsia="Times New Roman" w:hAnsi="Segoe UI" w:cs="Segoe UI"/>
          <w:color w:val="212121"/>
        </w:rPr>
        <w:t xml:space="preserve"> </w:t>
      </w:r>
    </w:p>
    <w:p w14:paraId="06E460AE" w14:textId="77777777" w:rsidR="3A70F47A" w:rsidRDefault="00300DB5"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242671B9">
        <w:rPr>
          <w:rFonts w:ascii="Segoe UI" w:eastAsia="Times New Roman" w:hAnsi="Segoe UI" w:cs="Segoe UI"/>
          <w:color w:val="212121"/>
        </w:rPr>
        <w:t>Government should convene a community of interest with influential</w:t>
      </w:r>
      <w:r>
        <w:rPr>
          <w:rFonts w:ascii="Segoe UI" w:eastAsia="Times New Roman" w:hAnsi="Segoe UI" w:cs="Segoe UI"/>
          <w:color w:val="212121"/>
        </w:rPr>
        <w:t>, security-cleared</w:t>
      </w:r>
      <w:r w:rsidRPr="242671B9">
        <w:rPr>
          <w:rFonts w:ascii="Segoe UI" w:eastAsia="Times New Roman" w:hAnsi="Segoe UI" w:cs="Segoe UI"/>
          <w:color w:val="212121"/>
        </w:rPr>
        <w:t xml:space="preserve"> figures from the sector to brief on government </w:t>
      </w:r>
      <w:r w:rsidR="004835D9">
        <w:rPr>
          <w:rFonts w:ascii="Segoe UI" w:eastAsia="Times New Roman" w:hAnsi="Segoe UI" w:cs="Segoe UI"/>
          <w:color w:val="212121"/>
        </w:rPr>
        <w:t>priorities</w:t>
      </w:r>
      <w:r w:rsidRPr="242671B9">
        <w:rPr>
          <w:rFonts w:ascii="Segoe UI" w:eastAsia="Times New Roman" w:hAnsi="Segoe UI" w:cs="Segoe UI"/>
          <w:color w:val="212121"/>
        </w:rPr>
        <w:t xml:space="preserve"> and upcoming challenges.</w:t>
      </w:r>
      <w:r w:rsidR="00FE79EB">
        <w:rPr>
          <w:rFonts w:ascii="Segoe UI" w:eastAsia="Times New Roman" w:hAnsi="Segoe UI" w:cs="Segoe UI"/>
          <w:color w:val="212121"/>
        </w:rPr>
        <w:t xml:space="preserve"> </w:t>
      </w:r>
      <w:r w:rsidR="00594BD2">
        <w:rPr>
          <w:rFonts w:ascii="Segoe UI" w:eastAsia="Times New Roman" w:hAnsi="Segoe UI" w:cs="Segoe UI"/>
          <w:color w:val="212121"/>
        </w:rPr>
        <w:t xml:space="preserve">Currently, </w:t>
      </w:r>
      <w:r>
        <w:rPr>
          <w:rFonts w:ascii="Segoe UI" w:eastAsia="Times New Roman" w:hAnsi="Segoe UI" w:cs="Segoe UI"/>
          <w:color w:val="212121"/>
        </w:rPr>
        <w:t xml:space="preserve">those </w:t>
      </w:r>
      <w:r w:rsidR="00FE79EB">
        <w:rPr>
          <w:rFonts w:ascii="Segoe UI" w:eastAsia="Times New Roman" w:hAnsi="Segoe UI" w:cs="Segoe UI"/>
          <w:color w:val="212121"/>
        </w:rPr>
        <w:t>in the sector</w:t>
      </w:r>
      <w:r>
        <w:rPr>
          <w:rFonts w:ascii="Segoe UI" w:eastAsia="Times New Roman" w:hAnsi="Segoe UI" w:cs="Segoe UI"/>
          <w:color w:val="212121"/>
        </w:rPr>
        <w:t xml:space="preserve"> </w:t>
      </w:r>
      <w:r w:rsidR="0015653A">
        <w:rPr>
          <w:rFonts w:ascii="Segoe UI" w:eastAsia="Times New Roman" w:hAnsi="Segoe UI" w:cs="Segoe UI"/>
          <w:color w:val="212121"/>
        </w:rPr>
        <w:t xml:space="preserve">with </w:t>
      </w:r>
      <w:r w:rsidR="00682323">
        <w:rPr>
          <w:rFonts w:ascii="Segoe UI" w:eastAsia="Times New Roman" w:hAnsi="Segoe UI" w:cs="Segoe UI"/>
          <w:color w:val="212121"/>
        </w:rPr>
        <w:t>security-clear</w:t>
      </w:r>
      <w:r>
        <w:rPr>
          <w:rFonts w:ascii="Segoe UI" w:eastAsia="Times New Roman" w:hAnsi="Segoe UI" w:cs="Segoe UI"/>
          <w:color w:val="212121"/>
        </w:rPr>
        <w:t xml:space="preserve">ances </w:t>
      </w:r>
      <w:r w:rsidR="00594BD2">
        <w:rPr>
          <w:rFonts w:ascii="Segoe UI" w:eastAsia="Times New Roman" w:hAnsi="Segoe UI" w:cs="Segoe UI"/>
          <w:color w:val="212121"/>
        </w:rPr>
        <w:t>are</w:t>
      </w:r>
      <w:r>
        <w:rPr>
          <w:rFonts w:ascii="Segoe UI" w:eastAsia="Times New Roman" w:hAnsi="Segoe UI" w:cs="Segoe UI"/>
          <w:color w:val="212121"/>
        </w:rPr>
        <w:t xml:space="preserve"> rarely engaged </w:t>
      </w:r>
      <w:r w:rsidR="00682323">
        <w:rPr>
          <w:rFonts w:ascii="Segoe UI" w:eastAsia="Times New Roman" w:hAnsi="Segoe UI" w:cs="Segoe UI"/>
          <w:color w:val="212121"/>
        </w:rPr>
        <w:t>by Government</w:t>
      </w:r>
      <w:r w:rsidR="001F426D">
        <w:rPr>
          <w:rFonts w:ascii="Segoe UI" w:eastAsia="Times New Roman" w:hAnsi="Segoe UI" w:cs="Segoe UI"/>
          <w:color w:val="212121"/>
        </w:rPr>
        <w:t xml:space="preserve"> on classified matters</w:t>
      </w:r>
      <w:r w:rsidR="00682323">
        <w:rPr>
          <w:rFonts w:ascii="Segoe UI" w:eastAsia="Times New Roman" w:hAnsi="Segoe UI" w:cs="Segoe UI"/>
          <w:color w:val="212121"/>
        </w:rPr>
        <w:t xml:space="preserve">. </w:t>
      </w:r>
      <w:r>
        <w:rPr>
          <w:rFonts w:ascii="Segoe UI" w:eastAsia="Times New Roman" w:hAnsi="Segoe UI" w:cs="Segoe UI"/>
          <w:color w:val="212121"/>
        </w:rPr>
        <w:t xml:space="preserve">Many </w:t>
      </w:r>
      <w:r w:rsidR="001D2321">
        <w:rPr>
          <w:rFonts w:ascii="Segoe UI" w:eastAsia="Times New Roman" w:hAnsi="Segoe UI" w:cs="Segoe UI"/>
          <w:color w:val="212121"/>
        </w:rPr>
        <w:t>of the</w:t>
      </w:r>
      <w:r w:rsidR="00674F41">
        <w:rPr>
          <w:rFonts w:ascii="Segoe UI" w:eastAsia="Times New Roman" w:hAnsi="Segoe UI" w:cs="Segoe UI"/>
          <w:color w:val="212121"/>
        </w:rPr>
        <w:t>se</w:t>
      </w:r>
      <w:r w:rsidR="001D2321">
        <w:rPr>
          <w:rFonts w:ascii="Segoe UI" w:eastAsia="Times New Roman" w:hAnsi="Segoe UI" w:cs="Segoe UI"/>
          <w:color w:val="212121"/>
        </w:rPr>
        <w:t xml:space="preserve"> clearances, however, are for researchers doing technical research. </w:t>
      </w:r>
      <w:r w:rsidR="00F4789B">
        <w:rPr>
          <w:rFonts w:ascii="Segoe UI" w:eastAsia="Times New Roman" w:hAnsi="Segoe UI" w:cs="Segoe UI"/>
          <w:color w:val="212121"/>
        </w:rPr>
        <w:t>More</w:t>
      </w:r>
      <w:r w:rsidR="00674F41">
        <w:rPr>
          <w:rFonts w:ascii="Segoe UI" w:eastAsia="Times New Roman" w:hAnsi="Segoe UI" w:cs="Segoe UI"/>
          <w:color w:val="212121"/>
        </w:rPr>
        <w:t xml:space="preserve"> security clearance</w:t>
      </w:r>
      <w:r w:rsidR="00F4789B">
        <w:rPr>
          <w:rFonts w:ascii="Segoe UI" w:eastAsia="Times New Roman" w:hAnsi="Segoe UI" w:cs="Segoe UI"/>
          <w:color w:val="212121"/>
        </w:rPr>
        <w:t>s are needed</w:t>
      </w:r>
      <w:r w:rsidR="00674F41">
        <w:rPr>
          <w:rFonts w:ascii="Segoe UI" w:eastAsia="Times New Roman" w:hAnsi="Segoe UI" w:cs="Segoe UI"/>
          <w:color w:val="212121"/>
        </w:rPr>
        <w:t xml:space="preserve"> for researchers with social science </w:t>
      </w:r>
      <w:r w:rsidR="00C06E4A">
        <w:rPr>
          <w:rFonts w:ascii="Segoe UI" w:eastAsia="Times New Roman" w:hAnsi="Segoe UI" w:cs="Segoe UI"/>
          <w:color w:val="212121"/>
        </w:rPr>
        <w:t xml:space="preserve">and strategic studies </w:t>
      </w:r>
      <w:r w:rsidR="00674F41">
        <w:rPr>
          <w:rFonts w:ascii="Segoe UI" w:eastAsia="Times New Roman" w:hAnsi="Segoe UI" w:cs="Segoe UI"/>
          <w:color w:val="212121"/>
        </w:rPr>
        <w:t xml:space="preserve">expertise </w:t>
      </w:r>
      <w:r>
        <w:rPr>
          <w:rFonts w:ascii="Segoe UI" w:eastAsia="Times New Roman" w:hAnsi="Segoe UI" w:cs="Segoe UI"/>
          <w:color w:val="212121"/>
        </w:rPr>
        <w:t xml:space="preserve">to </w:t>
      </w:r>
      <w:r w:rsidR="00674F41">
        <w:rPr>
          <w:rFonts w:ascii="Segoe UI" w:eastAsia="Times New Roman" w:hAnsi="Segoe UI" w:cs="Segoe UI"/>
          <w:color w:val="212121"/>
        </w:rPr>
        <w:t xml:space="preserve">support policy development. </w:t>
      </w:r>
    </w:p>
    <w:p w14:paraId="06E460AF" w14:textId="77777777" w:rsidR="00C06E4A" w:rsidRPr="00963625" w:rsidRDefault="008040B2"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65F64F0B">
        <w:rPr>
          <w:rFonts w:ascii="Segoe UI" w:eastAsia="Times New Roman" w:hAnsi="Segoe UI" w:cs="Segoe UI"/>
          <w:color w:val="212121"/>
        </w:rPr>
        <w:t xml:space="preserve">Secondments and exchanges </w:t>
      </w:r>
      <w:r w:rsidR="002C6FE3" w:rsidRPr="65F64F0B">
        <w:rPr>
          <w:rFonts w:ascii="Segoe UI" w:eastAsia="Times New Roman" w:hAnsi="Segoe UI" w:cs="Segoe UI"/>
          <w:color w:val="212121"/>
        </w:rPr>
        <w:t xml:space="preserve">between the sector and </w:t>
      </w:r>
      <w:r w:rsidR="008B3A47">
        <w:rPr>
          <w:rFonts w:ascii="Segoe UI" w:eastAsia="Times New Roman" w:hAnsi="Segoe UI" w:cs="Segoe UI"/>
          <w:color w:val="212121"/>
        </w:rPr>
        <w:t>G</w:t>
      </w:r>
      <w:r w:rsidR="008B3A47" w:rsidRPr="65F64F0B">
        <w:rPr>
          <w:rFonts w:ascii="Segoe UI" w:eastAsia="Times New Roman" w:hAnsi="Segoe UI" w:cs="Segoe UI"/>
          <w:color w:val="212121"/>
        </w:rPr>
        <w:t xml:space="preserve">overnment </w:t>
      </w:r>
      <w:r w:rsidR="00300DB5" w:rsidRPr="65F64F0B">
        <w:rPr>
          <w:rFonts w:ascii="Segoe UI" w:eastAsia="Times New Roman" w:hAnsi="Segoe UI" w:cs="Segoe UI"/>
          <w:color w:val="212121"/>
        </w:rPr>
        <w:t xml:space="preserve">are uncommon and </w:t>
      </w:r>
      <w:r w:rsidR="006F5A3B" w:rsidRPr="65F64F0B">
        <w:rPr>
          <w:rFonts w:ascii="Segoe UI" w:eastAsia="Times New Roman" w:hAnsi="Segoe UI" w:cs="Segoe UI"/>
          <w:color w:val="212121"/>
        </w:rPr>
        <w:t xml:space="preserve">should </w:t>
      </w:r>
      <w:r w:rsidR="002C6FE3" w:rsidRPr="65F64F0B">
        <w:rPr>
          <w:rFonts w:ascii="Segoe UI" w:eastAsia="Times New Roman" w:hAnsi="Segoe UI" w:cs="Segoe UI"/>
          <w:color w:val="212121"/>
        </w:rPr>
        <w:t>increase</w:t>
      </w:r>
      <w:r w:rsidR="006F5A3B" w:rsidRPr="65F64F0B">
        <w:rPr>
          <w:rFonts w:ascii="Segoe UI" w:eastAsia="Times New Roman" w:hAnsi="Segoe UI" w:cs="Segoe UI"/>
          <w:color w:val="212121"/>
        </w:rPr>
        <w:t xml:space="preserve">. </w:t>
      </w:r>
      <w:r w:rsidR="00C06E4A">
        <w:rPr>
          <w:rFonts w:ascii="Segoe UI" w:eastAsia="Times New Roman" w:hAnsi="Segoe UI" w:cs="Segoe UI"/>
          <w:color w:val="212121"/>
        </w:rPr>
        <w:t xml:space="preserve">When they do occur, </w:t>
      </w:r>
      <w:r w:rsidR="00107DD3" w:rsidRPr="65F64F0B">
        <w:rPr>
          <w:rFonts w:ascii="Segoe UI" w:eastAsia="Times New Roman" w:hAnsi="Segoe UI" w:cs="Segoe UI"/>
          <w:color w:val="212121"/>
        </w:rPr>
        <w:t xml:space="preserve">these arrangements </w:t>
      </w:r>
      <w:r w:rsidR="002C6FE3" w:rsidRPr="65F64F0B">
        <w:rPr>
          <w:rFonts w:ascii="Segoe UI" w:eastAsia="Times New Roman" w:hAnsi="Segoe UI" w:cs="Segoe UI"/>
          <w:color w:val="212121"/>
        </w:rPr>
        <w:t xml:space="preserve">often </w:t>
      </w:r>
      <w:r w:rsidR="00A97876" w:rsidRPr="65F64F0B">
        <w:rPr>
          <w:rFonts w:ascii="Segoe UI" w:eastAsia="Times New Roman" w:hAnsi="Segoe UI" w:cs="Segoe UI"/>
          <w:color w:val="212121"/>
        </w:rPr>
        <w:t>involve obligations to the home agency</w:t>
      </w:r>
      <w:r w:rsidR="002C6FE3" w:rsidRPr="65F64F0B">
        <w:rPr>
          <w:rFonts w:ascii="Segoe UI" w:eastAsia="Times New Roman" w:hAnsi="Segoe UI" w:cs="Segoe UI"/>
          <w:color w:val="212121"/>
        </w:rPr>
        <w:t xml:space="preserve"> that limit the researcher</w:t>
      </w:r>
      <w:r w:rsidR="006D1756" w:rsidRPr="65F64F0B">
        <w:rPr>
          <w:rFonts w:ascii="Segoe UI" w:eastAsia="Times New Roman" w:hAnsi="Segoe UI" w:cs="Segoe UI"/>
          <w:color w:val="212121"/>
        </w:rPr>
        <w:t>’s</w:t>
      </w:r>
      <w:r w:rsidR="002C6FE3" w:rsidRPr="65F64F0B">
        <w:rPr>
          <w:rFonts w:ascii="Segoe UI" w:eastAsia="Times New Roman" w:hAnsi="Segoe UI" w:cs="Segoe UI"/>
          <w:color w:val="212121"/>
        </w:rPr>
        <w:t xml:space="preserve"> ability to provide analysis or critique</w:t>
      </w:r>
      <w:r w:rsidR="00594BD2">
        <w:rPr>
          <w:rFonts w:ascii="Segoe UI" w:eastAsia="Times New Roman" w:hAnsi="Segoe UI" w:cs="Segoe UI"/>
          <w:color w:val="212121"/>
        </w:rPr>
        <w:t xml:space="preserve"> </w:t>
      </w:r>
      <w:r w:rsidR="002C6FE3" w:rsidRPr="00963625">
        <w:rPr>
          <w:rFonts w:ascii="Segoe UI" w:eastAsia="Times New Roman" w:hAnsi="Segoe UI" w:cs="Segoe UI"/>
          <w:color w:val="212121"/>
        </w:rPr>
        <w:t>government policy</w:t>
      </w:r>
      <w:r w:rsidR="001056BA" w:rsidRPr="00963625">
        <w:rPr>
          <w:rFonts w:ascii="Segoe UI" w:eastAsia="Times New Roman" w:hAnsi="Segoe UI" w:cs="Segoe UI"/>
          <w:color w:val="212121"/>
        </w:rPr>
        <w:t>,</w:t>
      </w:r>
      <w:r w:rsidR="002C6FE3" w:rsidRPr="00963625">
        <w:rPr>
          <w:rFonts w:ascii="Segoe UI" w:eastAsia="Times New Roman" w:hAnsi="Segoe UI" w:cs="Segoe UI"/>
          <w:color w:val="212121"/>
        </w:rPr>
        <w:t xml:space="preserve"> </w:t>
      </w:r>
      <w:r w:rsidR="001056BA" w:rsidRPr="00963625">
        <w:rPr>
          <w:rFonts w:ascii="Segoe UI" w:eastAsia="Times New Roman" w:hAnsi="Segoe UI" w:cs="Segoe UI"/>
          <w:color w:val="212121"/>
        </w:rPr>
        <w:t xml:space="preserve">seemingly </w:t>
      </w:r>
      <w:r w:rsidR="002C6FE3" w:rsidRPr="00963625">
        <w:rPr>
          <w:rFonts w:ascii="Segoe UI" w:eastAsia="Times New Roman" w:hAnsi="Segoe UI" w:cs="Segoe UI"/>
          <w:color w:val="212121"/>
        </w:rPr>
        <w:t>due to perceptions this would impact an agenc</w:t>
      </w:r>
      <w:r w:rsidR="00F4789B" w:rsidRPr="00963625">
        <w:rPr>
          <w:rFonts w:ascii="Segoe UI" w:eastAsia="Times New Roman" w:hAnsi="Segoe UI" w:cs="Segoe UI"/>
          <w:color w:val="212121"/>
        </w:rPr>
        <w:t>y’s</w:t>
      </w:r>
      <w:r w:rsidR="002C6FE3" w:rsidRPr="00963625">
        <w:rPr>
          <w:rFonts w:ascii="Segoe UI" w:eastAsia="Times New Roman" w:hAnsi="Segoe UI" w:cs="Segoe UI"/>
          <w:color w:val="212121"/>
        </w:rPr>
        <w:t xml:space="preserve"> reputation</w:t>
      </w:r>
      <w:r w:rsidR="00C06E4A" w:rsidRPr="00963625">
        <w:rPr>
          <w:rFonts w:ascii="Segoe UI" w:eastAsia="Times New Roman" w:hAnsi="Segoe UI" w:cs="Segoe UI"/>
          <w:color w:val="212121"/>
        </w:rPr>
        <w:t xml:space="preserve"> or that the work of the secondee may be seen as representing the views of the home agency</w:t>
      </w:r>
      <w:r w:rsidR="006F5A3B" w:rsidRPr="00963625">
        <w:rPr>
          <w:rFonts w:ascii="Segoe UI" w:eastAsia="Times New Roman" w:hAnsi="Segoe UI" w:cs="Segoe UI"/>
          <w:color w:val="212121"/>
        </w:rPr>
        <w:t xml:space="preserve">. </w:t>
      </w:r>
    </w:p>
    <w:p w14:paraId="06E460B0" w14:textId="77777777" w:rsidR="00C06E4A" w:rsidRPr="00963625" w:rsidRDefault="00C06E4A"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 xml:space="preserve">Agencies </w:t>
      </w:r>
      <w:r w:rsidR="002C6FE3" w:rsidRPr="00963625">
        <w:rPr>
          <w:rFonts w:ascii="Segoe UI" w:eastAsia="Times New Roman" w:hAnsi="Segoe UI" w:cs="Segoe UI"/>
          <w:color w:val="212121"/>
        </w:rPr>
        <w:t xml:space="preserve">should not be </w:t>
      </w:r>
      <w:r w:rsidR="00585446" w:rsidRPr="00963625">
        <w:rPr>
          <w:rFonts w:ascii="Segoe UI" w:eastAsia="Times New Roman" w:hAnsi="Segoe UI" w:cs="Segoe UI"/>
          <w:color w:val="212121"/>
        </w:rPr>
        <w:t xml:space="preserve">so </w:t>
      </w:r>
      <w:r w:rsidR="00594BD2" w:rsidRPr="00963625">
        <w:rPr>
          <w:rFonts w:ascii="Segoe UI" w:eastAsia="Times New Roman" w:hAnsi="Segoe UI" w:cs="Segoe UI"/>
          <w:color w:val="212121"/>
        </w:rPr>
        <w:t>risk averse</w:t>
      </w:r>
      <w:r w:rsidR="002C6FE3" w:rsidRPr="00963625">
        <w:rPr>
          <w:rFonts w:ascii="Segoe UI" w:eastAsia="Times New Roman" w:hAnsi="Segoe UI" w:cs="Segoe UI"/>
          <w:color w:val="212121"/>
        </w:rPr>
        <w:t xml:space="preserve">. Secondees should be able to apply a caveat that findings do not represent the views of </w:t>
      </w:r>
      <w:r w:rsidR="00D53632" w:rsidRPr="00963625">
        <w:rPr>
          <w:rFonts w:ascii="Segoe UI" w:eastAsia="Times New Roman" w:hAnsi="Segoe UI" w:cs="Segoe UI"/>
          <w:color w:val="212121"/>
        </w:rPr>
        <w:t>Government</w:t>
      </w:r>
      <w:r w:rsidR="002C6FE3" w:rsidRPr="00963625">
        <w:rPr>
          <w:rFonts w:ascii="Segoe UI" w:eastAsia="Times New Roman" w:hAnsi="Segoe UI" w:cs="Segoe UI"/>
          <w:color w:val="212121"/>
        </w:rPr>
        <w:t xml:space="preserve">, a </w:t>
      </w:r>
      <w:r w:rsidR="00300DB5" w:rsidRPr="00963625">
        <w:rPr>
          <w:rFonts w:ascii="Segoe UI" w:eastAsia="Times New Roman" w:hAnsi="Segoe UI" w:cs="Segoe UI"/>
          <w:color w:val="212121"/>
        </w:rPr>
        <w:t xml:space="preserve">common </w:t>
      </w:r>
      <w:r w:rsidR="002C6FE3" w:rsidRPr="00963625">
        <w:rPr>
          <w:rFonts w:ascii="Segoe UI" w:eastAsia="Times New Roman" w:hAnsi="Segoe UI" w:cs="Segoe UI"/>
          <w:color w:val="212121"/>
        </w:rPr>
        <w:t xml:space="preserve">practice in places like the US. </w:t>
      </w:r>
      <w:r w:rsidR="00ED06E2" w:rsidRPr="00963625">
        <w:rPr>
          <w:rFonts w:ascii="Segoe UI" w:eastAsia="Times New Roman" w:hAnsi="Segoe UI" w:cs="Segoe UI"/>
          <w:color w:val="212121"/>
        </w:rPr>
        <w:t xml:space="preserve">Government </w:t>
      </w:r>
      <w:r w:rsidR="002C6FE3" w:rsidRPr="00963625">
        <w:rPr>
          <w:rFonts w:ascii="Segoe UI" w:eastAsia="Times New Roman" w:hAnsi="Segoe UI" w:cs="Segoe UI"/>
          <w:color w:val="212121"/>
        </w:rPr>
        <w:t xml:space="preserve">should </w:t>
      </w:r>
      <w:r w:rsidR="001F426D" w:rsidRPr="00963625">
        <w:rPr>
          <w:rFonts w:ascii="Segoe UI" w:eastAsia="Times New Roman" w:hAnsi="Segoe UI" w:cs="Segoe UI"/>
          <w:color w:val="212121"/>
        </w:rPr>
        <w:t xml:space="preserve">also </w:t>
      </w:r>
      <w:r w:rsidRPr="00963625">
        <w:rPr>
          <w:rFonts w:ascii="Segoe UI" w:eastAsia="Times New Roman" w:hAnsi="Segoe UI" w:cs="Segoe UI"/>
          <w:color w:val="212121"/>
        </w:rPr>
        <w:t>ensure they send</w:t>
      </w:r>
      <w:r w:rsidR="002C6FE3" w:rsidRPr="00963625">
        <w:rPr>
          <w:rFonts w:ascii="Segoe UI" w:eastAsia="Times New Roman" w:hAnsi="Segoe UI" w:cs="Segoe UI"/>
          <w:color w:val="212121"/>
        </w:rPr>
        <w:t xml:space="preserve"> </w:t>
      </w:r>
      <w:r w:rsidR="00ED06E2" w:rsidRPr="00963625">
        <w:rPr>
          <w:rFonts w:ascii="Segoe UI" w:eastAsia="Times New Roman" w:hAnsi="Segoe UI" w:cs="Segoe UI"/>
          <w:color w:val="212121"/>
        </w:rPr>
        <w:t>high-achieving individuals</w:t>
      </w:r>
      <w:r w:rsidR="00300DB5" w:rsidRPr="00963625">
        <w:rPr>
          <w:rFonts w:ascii="Segoe UI" w:eastAsia="Times New Roman" w:hAnsi="Segoe UI" w:cs="Segoe UI"/>
          <w:color w:val="212121"/>
        </w:rPr>
        <w:t xml:space="preserve"> </w:t>
      </w:r>
      <w:r w:rsidRPr="00963625">
        <w:rPr>
          <w:rFonts w:ascii="Segoe UI" w:eastAsia="Times New Roman" w:hAnsi="Segoe UI" w:cs="Segoe UI"/>
          <w:color w:val="212121"/>
        </w:rPr>
        <w:t xml:space="preserve">as secondees </w:t>
      </w:r>
      <w:r w:rsidR="00300DB5" w:rsidRPr="00963625">
        <w:rPr>
          <w:rFonts w:ascii="Segoe UI" w:eastAsia="Times New Roman" w:hAnsi="Segoe UI" w:cs="Segoe UI"/>
          <w:color w:val="212121"/>
        </w:rPr>
        <w:t xml:space="preserve">and </w:t>
      </w:r>
      <w:r w:rsidRPr="00963625">
        <w:rPr>
          <w:rFonts w:ascii="Segoe UI" w:eastAsia="Times New Roman" w:hAnsi="Segoe UI" w:cs="Segoe UI"/>
          <w:color w:val="212121"/>
        </w:rPr>
        <w:t xml:space="preserve">thereby shift the perception of secondments as career limiting. </w:t>
      </w:r>
    </w:p>
    <w:p w14:paraId="06E460B1" w14:textId="77777777" w:rsidR="008040B2" w:rsidRPr="00963625" w:rsidRDefault="00C06E4A"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 xml:space="preserve">Australia does not have the structures or political culture that sees frequent movement </w:t>
      </w:r>
      <w:r w:rsidR="3F1D3AC9" w:rsidRPr="00963625">
        <w:rPr>
          <w:rFonts w:ascii="Segoe UI" w:eastAsia="Times New Roman" w:hAnsi="Segoe UI" w:cs="Segoe UI"/>
          <w:color w:val="212121"/>
        </w:rPr>
        <w:t xml:space="preserve">between think tanks and the political class. </w:t>
      </w:r>
      <w:r w:rsidR="00234EDC" w:rsidRPr="00963625">
        <w:rPr>
          <w:rFonts w:ascii="Segoe UI" w:eastAsia="Times New Roman" w:hAnsi="Segoe UI" w:cs="Segoe UI"/>
          <w:color w:val="212121"/>
        </w:rPr>
        <w:t xml:space="preserve">But that does not mean that the doors should be shut. Political staffers, for example, should be encouraged to </w:t>
      </w:r>
      <w:r w:rsidR="000B100F">
        <w:rPr>
          <w:rFonts w:ascii="Segoe UI" w:eastAsia="Times New Roman" w:hAnsi="Segoe UI" w:cs="Segoe UI"/>
          <w:color w:val="212121"/>
        </w:rPr>
        <w:t xml:space="preserve">work in </w:t>
      </w:r>
      <w:r w:rsidR="00234EDC" w:rsidRPr="00963625">
        <w:rPr>
          <w:rFonts w:ascii="Segoe UI" w:eastAsia="Times New Roman" w:hAnsi="Segoe UI" w:cs="Segoe UI"/>
          <w:color w:val="212121"/>
        </w:rPr>
        <w:t xml:space="preserve">a think tank provided they bring to the position an evidence-based approach to policy issues. Australia should not replicate the US system where think tanks are politically aligned, but nor should the presence of political staffers in a think tank be excluded if their work is consistent with the objective of expert non-ideological analysis. </w:t>
      </w:r>
    </w:p>
    <w:p w14:paraId="06E460B2" w14:textId="77777777" w:rsidR="00D77645" w:rsidRDefault="00D77645" w:rsidP="00D77645">
      <w:pPr>
        <w:pStyle w:val="BOXHeading3"/>
        <w:spacing w:after="80"/>
      </w:pPr>
      <w:r>
        <w:t xml:space="preserve">Recommendation </w:t>
      </w:r>
      <w:r w:rsidR="00017D9C">
        <w:t>8</w:t>
      </w:r>
    </w:p>
    <w:p w14:paraId="06E460B3" w14:textId="77777777" w:rsidR="00D77645" w:rsidRDefault="00D77645" w:rsidP="00D77645">
      <w:pPr>
        <w:pStyle w:val="BOXText"/>
        <w:spacing w:after="80"/>
        <w:rPr>
          <w:rFonts w:ascii="Segoe UI" w:eastAsia="Times New Roman" w:hAnsi="Segoe UI" w:cs="Segoe UI"/>
          <w:color w:val="212121"/>
        </w:rPr>
      </w:pPr>
      <w:r w:rsidRPr="38B76E81">
        <w:rPr>
          <w:rFonts w:ascii="Segoe UI" w:eastAsia="Times New Roman" w:hAnsi="Segoe UI" w:cs="Segoe UI"/>
          <w:color w:val="212121"/>
        </w:rPr>
        <w:t xml:space="preserve">To facilitate deeper interaction between Government and the sector, Government should sponsor security clearances for key figures across a diverse range of organisations where sponsorship is not </w:t>
      </w:r>
      <w:r w:rsidR="001F426D" w:rsidRPr="38B76E81">
        <w:rPr>
          <w:rFonts w:ascii="Segoe UI" w:eastAsia="Times New Roman" w:hAnsi="Segoe UI" w:cs="Segoe UI"/>
          <w:color w:val="212121"/>
        </w:rPr>
        <w:t xml:space="preserve">otherwise </w:t>
      </w:r>
      <w:r w:rsidRPr="38B76E81">
        <w:rPr>
          <w:rFonts w:ascii="Segoe UI" w:eastAsia="Times New Roman" w:hAnsi="Segoe UI" w:cs="Segoe UI"/>
          <w:color w:val="212121"/>
        </w:rPr>
        <w:t>possible.</w:t>
      </w:r>
    </w:p>
    <w:p w14:paraId="06E460B4" w14:textId="77777777" w:rsidR="00D77645" w:rsidRDefault="00D77645" w:rsidP="009210B7">
      <w:pPr>
        <w:pStyle w:val="BOXHeading3"/>
        <w:spacing w:before="120" w:after="80"/>
      </w:pPr>
      <w:r>
        <w:t xml:space="preserve">Recommendation </w:t>
      </w:r>
      <w:r w:rsidR="00017D9C">
        <w:t>9</w:t>
      </w:r>
    </w:p>
    <w:p w14:paraId="06E460B5" w14:textId="77777777" w:rsidR="246AC582" w:rsidRDefault="246AC582" w:rsidP="335D2FDC">
      <w:pPr>
        <w:pStyle w:val="BOXText"/>
      </w:pPr>
      <w:r>
        <w:t>Government should increase secondments and two-way exchanges with organisations, prioritising high-achieving individuals. Government secondees should protect confidential information but not be otherwise constrained by their home agency on their research outputs.</w:t>
      </w:r>
    </w:p>
    <w:p w14:paraId="06E460B6" w14:textId="77777777" w:rsidR="00DE7087" w:rsidRPr="00752A8B" w:rsidRDefault="00987408" w:rsidP="242671B9">
      <w:pPr>
        <w:pStyle w:val="Heading2"/>
        <w:spacing w:line="259" w:lineRule="auto"/>
        <w:rPr>
          <w:rFonts w:cs="Segoe UI"/>
          <w:sz w:val="32"/>
          <w:szCs w:val="32"/>
        </w:rPr>
      </w:pPr>
      <w:bookmarkStart w:id="62" w:name="_Toc172665594"/>
      <w:r>
        <w:rPr>
          <w:rFonts w:cs="Segoe UI"/>
          <w:sz w:val="32"/>
          <w:szCs w:val="32"/>
        </w:rPr>
        <w:lastRenderedPageBreak/>
        <w:t>Seek contestability earlier and more often</w:t>
      </w:r>
      <w:bookmarkEnd w:id="62"/>
    </w:p>
    <w:p w14:paraId="06E460B7" w14:textId="77777777" w:rsidR="007A1C01" w:rsidRDefault="009F01FB" w:rsidP="00936832">
      <w:pPr>
        <w:pStyle w:val="ListParagraph"/>
        <w:numPr>
          <w:ilvl w:val="0"/>
          <w:numId w:val="22"/>
        </w:numPr>
        <w:spacing w:line="259" w:lineRule="auto"/>
        <w:ind w:left="0" w:firstLine="0"/>
        <w:contextualSpacing w:val="0"/>
        <w:rPr>
          <w:rFonts w:ascii="Segoe UI" w:eastAsia="Times New Roman" w:hAnsi="Segoe UI" w:cs="Segoe UI"/>
          <w:color w:val="212121"/>
        </w:rPr>
      </w:pPr>
      <w:r w:rsidRPr="38B76E81">
        <w:rPr>
          <w:rFonts w:ascii="Segoe UI" w:eastAsia="Times New Roman" w:hAnsi="Segoe UI" w:cs="Segoe UI"/>
          <w:color w:val="212121"/>
        </w:rPr>
        <w:t>Australian policy making tends to allow only a limited space for contestability from external sources. In theory</w:t>
      </w:r>
      <w:r w:rsidR="000B100F">
        <w:rPr>
          <w:rFonts w:ascii="Segoe UI" w:eastAsia="Times New Roman" w:hAnsi="Segoe UI" w:cs="Segoe UI"/>
          <w:color w:val="212121"/>
        </w:rPr>
        <w:t>,</w:t>
      </w:r>
      <w:r w:rsidRPr="38B76E81">
        <w:rPr>
          <w:rFonts w:ascii="Segoe UI" w:eastAsia="Times New Roman" w:hAnsi="Segoe UI" w:cs="Segoe UI"/>
          <w:color w:val="212121"/>
        </w:rPr>
        <w:t xml:space="preserve"> Governments favour policy contestability but for the most part where this occurs it is an internal exercise and</w:t>
      </w:r>
      <w:r w:rsidR="00A32DB7" w:rsidRPr="38B76E81">
        <w:rPr>
          <w:rFonts w:ascii="Segoe UI" w:eastAsia="Times New Roman" w:hAnsi="Segoe UI" w:cs="Segoe UI"/>
          <w:color w:val="212121"/>
        </w:rPr>
        <w:t>,</w:t>
      </w:r>
      <w:r w:rsidRPr="38B76E81">
        <w:rPr>
          <w:rFonts w:ascii="Segoe UI" w:eastAsia="Times New Roman" w:hAnsi="Segoe UI" w:cs="Segoe UI"/>
          <w:color w:val="212121"/>
        </w:rPr>
        <w:t xml:space="preserve"> to the </w:t>
      </w:r>
      <w:r w:rsidR="00A32DB7" w:rsidRPr="38B76E81">
        <w:rPr>
          <w:rFonts w:ascii="Segoe UI" w:eastAsia="Times New Roman" w:hAnsi="Segoe UI" w:cs="Segoe UI"/>
          <w:color w:val="212121"/>
        </w:rPr>
        <w:t xml:space="preserve">extent </w:t>
      </w:r>
      <w:r w:rsidRPr="38B76E81">
        <w:rPr>
          <w:rFonts w:ascii="Segoe UI" w:eastAsia="Times New Roman" w:hAnsi="Segoe UI" w:cs="Segoe UI"/>
          <w:color w:val="212121"/>
        </w:rPr>
        <w:t xml:space="preserve">that external contestability </w:t>
      </w:r>
      <w:r w:rsidR="004F55D5">
        <w:rPr>
          <w:rFonts w:ascii="Segoe UI" w:eastAsia="Times New Roman" w:hAnsi="Segoe UI" w:cs="Segoe UI"/>
          <w:color w:val="212121"/>
        </w:rPr>
        <w:t>occurs</w:t>
      </w:r>
      <w:r w:rsidR="00A32DB7" w:rsidRPr="38B76E81">
        <w:rPr>
          <w:rFonts w:ascii="Segoe UI" w:eastAsia="Times New Roman" w:hAnsi="Segoe UI" w:cs="Segoe UI"/>
          <w:color w:val="212121"/>
        </w:rPr>
        <w:t>,</w:t>
      </w:r>
      <w:r w:rsidRPr="38B76E81">
        <w:rPr>
          <w:rFonts w:ascii="Segoe UI" w:eastAsia="Times New Roman" w:hAnsi="Segoe UI" w:cs="Segoe UI"/>
          <w:color w:val="212121"/>
        </w:rPr>
        <w:t xml:space="preserve"> it tends to be after policy has been made.</w:t>
      </w:r>
      <w:r w:rsidR="00DB3391" w:rsidRPr="38B76E81">
        <w:rPr>
          <w:rFonts w:ascii="Segoe UI" w:eastAsia="Times New Roman" w:hAnsi="Segoe UI" w:cs="Segoe UI"/>
          <w:color w:val="212121"/>
        </w:rPr>
        <w:t xml:space="preserve"> </w:t>
      </w:r>
      <w:r w:rsidR="26181A63" w:rsidRPr="38B76E81">
        <w:rPr>
          <w:rFonts w:ascii="Segoe UI" w:eastAsia="Times New Roman" w:hAnsi="Segoe UI" w:cs="Segoe UI"/>
          <w:color w:val="212121"/>
        </w:rPr>
        <w:t xml:space="preserve">This </w:t>
      </w:r>
      <w:r w:rsidR="752C99F2" w:rsidRPr="38B76E81">
        <w:rPr>
          <w:rFonts w:ascii="Segoe UI" w:eastAsia="Times New Roman" w:hAnsi="Segoe UI" w:cs="Segoe UI"/>
          <w:color w:val="212121"/>
        </w:rPr>
        <w:t>undermines</w:t>
      </w:r>
      <w:r w:rsidR="34A9E9D4" w:rsidRPr="38B76E81">
        <w:rPr>
          <w:rFonts w:ascii="Segoe UI" w:eastAsia="Times New Roman" w:hAnsi="Segoe UI" w:cs="Segoe UI"/>
          <w:color w:val="212121"/>
        </w:rPr>
        <w:t xml:space="preserve"> the sector’s ability to provide alternative </w:t>
      </w:r>
      <w:r w:rsidR="007A1C01" w:rsidRPr="38B76E81">
        <w:rPr>
          <w:rFonts w:ascii="Segoe UI" w:eastAsia="Times New Roman" w:hAnsi="Segoe UI" w:cs="Segoe UI"/>
          <w:color w:val="212121"/>
        </w:rPr>
        <w:t>analysis</w:t>
      </w:r>
      <w:r w:rsidR="34A9E9D4" w:rsidRPr="38B76E81">
        <w:rPr>
          <w:rFonts w:ascii="Segoe UI" w:eastAsia="Times New Roman" w:hAnsi="Segoe UI" w:cs="Segoe UI"/>
          <w:color w:val="212121"/>
        </w:rPr>
        <w:t xml:space="preserve"> or identify gaps in policy thinking, limiting it to an advocacy, educational</w:t>
      </w:r>
      <w:r w:rsidR="008B3A47" w:rsidRPr="38B76E81">
        <w:rPr>
          <w:rFonts w:ascii="Segoe UI" w:eastAsia="Times New Roman" w:hAnsi="Segoe UI" w:cs="Segoe UI"/>
          <w:color w:val="212121"/>
        </w:rPr>
        <w:t>,</w:t>
      </w:r>
      <w:r w:rsidR="34A9E9D4" w:rsidRPr="38B76E81">
        <w:rPr>
          <w:rFonts w:ascii="Segoe UI" w:eastAsia="Times New Roman" w:hAnsi="Segoe UI" w:cs="Segoe UI"/>
          <w:color w:val="212121"/>
        </w:rPr>
        <w:t xml:space="preserve"> or critiquing role.</w:t>
      </w:r>
    </w:p>
    <w:p w14:paraId="06E460B8" w14:textId="77777777" w:rsidR="00914935" w:rsidRDefault="00914935"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The real value of contestability is that it can improve policy by explaining where a policy is not working or where its analytical foundations are either weak or wrong. Good policy making rests on a contest of ideas and the testing of assumptions.</w:t>
      </w:r>
    </w:p>
    <w:p w14:paraId="06E460B9" w14:textId="77777777" w:rsidR="004D4035" w:rsidRDefault="00914935"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 xml:space="preserve">There is also a global trend for governments of all </w:t>
      </w:r>
      <w:r w:rsidR="007A1C01">
        <w:rPr>
          <w:rFonts w:ascii="Segoe UI" w:eastAsia="Times New Roman" w:hAnsi="Segoe UI" w:cs="Segoe UI"/>
          <w:color w:val="212121"/>
        </w:rPr>
        <w:t xml:space="preserve">persuasions to exercise greater control of the policy narrative. This may be understandable from a political </w:t>
      </w:r>
      <w:r w:rsidR="009239A7">
        <w:rPr>
          <w:rFonts w:ascii="Segoe UI" w:eastAsia="Times New Roman" w:hAnsi="Segoe UI" w:cs="Segoe UI"/>
          <w:color w:val="212121"/>
        </w:rPr>
        <w:t>perspective,</w:t>
      </w:r>
      <w:r w:rsidR="007A1C01">
        <w:rPr>
          <w:rFonts w:ascii="Segoe UI" w:eastAsia="Times New Roman" w:hAnsi="Segoe UI" w:cs="Segoe UI"/>
          <w:color w:val="212121"/>
        </w:rPr>
        <w:t xml:space="preserve"> but it risks discouraging both internal contestability and external </w:t>
      </w:r>
      <w:r w:rsidR="004D4035">
        <w:rPr>
          <w:rFonts w:ascii="Segoe UI" w:eastAsia="Times New Roman" w:hAnsi="Segoe UI" w:cs="Segoe UI"/>
          <w:color w:val="212121"/>
        </w:rPr>
        <w:t>critiques</w:t>
      </w:r>
      <w:r w:rsidR="007A1C01">
        <w:rPr>
          <w:rFonts w:ascii="Segoe UI" w:eastAsia="Times New Roman" w:hAnsi="Segoe UI" w:cs="Segoe UI"/>
          <w:color w:val="212121"/>
        </w:rPr>
        <w:t>.</w:t>
      </w:r>
      <w:r w:rsidR="004D4035">
        <w:rPr>
          <w:rFonts w:ascii="Segoe UI" w:eastAsia="Times New Roman" w:hAnsi="Segoe UI" w:cs="Segoe UI"/>
          <w:color w:val="212121"/>
        </w:rPr>
        <w:t xml:space="preserve"> An overly controlled policy narrative tends to be dismissive of different approaches.</w:t>
      </w:r>
    </w:p>
    <w:p w14:paraId="06E460BA" w14:textId="77777777" w:rsidR="00855A16" w:rsidRPr="00752A8B" w:rsidRDefault="004D4035"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 xml:space="preserve">Policy making cannot of </w:t>
      </w:r>
      <w:r w:rsidR="009210B7">
        <w:rPr>
          <w:rFonts w:ascii="Segoe UI" w:eastAsia="Times New Roman" w:hAnsi="Segoe UI" w:cs="Segoe UI"/>
          <w:color w:val="212121"/>
        </w:rPr>
        <w:t xml:space="preserve">course be an endless debate. </w:t>
      </w:r>
      <w:r>
        <w:rPr>
          <w:rFonts w:ascii="Segoe UI" w:eastAsia="Times New Roman" w:hAnsi="Segoe UI" w:cs="Segoe UI"/>
          <w:color w:val="212121"/>
        </w:rPr>
        <w:t>But unless different perspectives are rigorously sifted and weighed up</w:t>
      </w:r>
      <w:r w:rsidR="008F7582">
        <w:rPr>
          <w:rFonts w:ascii="Segoe UI" w:eastAsia="Times New Roman" w:hAnsi="Segoe UI" w:cs="Segoe UI"/>
          <w:color w:val="212121"/>
        </w:rPr>
        <w:t>,</w:t>
      </w:r>
      <w:r>
        <w:rPr>
          <w:rFonts w:ascii="Segoe UI" w:eastAsia="Times New Roman" w:hAnsi="Segoe UI" w:cs="Segoe UI"/>
          <w:color w:val="212121"/>
        </w:rPr>
        <w:t xml:space="preserve"> policy conclusions</w:t>
      </w:r>
      <w:r w:rsidR="009210B7">
        <w:rPr>
          <w:rFonts w:ascii="Segoe UI" w:eastAsia="Times New Roman" w:hAnsi="Segoe UI" w:cs="Segoe UI"/>
          <w:color w:val="212121"/>
        </w:rPr>
        <w:t xml:space="preserve"> are more likely to be flawed. </w:t>
      </w:r>
      <w:r w:rsidR="007A1C01" w:rsidRPr="142214B8">
        <w:rPr>
          <w:rFonts w:ascii="Segoe UI" w:eastAsia="Times New Roman" w:hAnsi="Segoe UI" w:cs="Segoe UI"/>
          <w:color w:val="212121"/>
        </w:rPr>
        <w:t>Contestability</w:t>
      </w:r>
      <w:r w:rsidR="007A1C01">
        <w:rPr>
          <w:rFonts w:ascii="Segoe UI" w:eastAsia="Times New Roman" w:hAnsi="Segoe UI" w:cs="Segoe UI"/>
          <w:color w:val="212121"/>
        </w:rPr>
        <w:t xml:space="preserve"> is a critical component of a liberal democracy. Governments must accept the sector will present some uncomfortable and at times </w:t>
      </w:r>
      <w:r>
        <w:rPr>
          <w:rFonts w:ascii="Segoe UI" w:eastAsia="Times New Roman" w:hAnsi="Segoe UI" w:cs="Segoe UI"/>
          <w:color w:val="212121"/>
        </w:rPr>
        <w:t xml:space="preserve">even </w:t>
      </w:r>
      <w:r w:rsidR="007A1C01">
        <w:rPr>
          <w:rFonts w:ascii="Segoe UI" w:eastAsia="Times New Roman" w:hAnsi="Segoe UI" w:cs="Segoe UI"/>
          <w:color w:val="212121"/>
        </w:rPr>
        <w:t xml:space="preserve">unhelpful contributions, </w:t>
      </w:r>
      <w:r>
        <w:rPr>
          <w:rFonts w:ascii="Segoe UI" w:eastAsia="Times New Roman" w:hAnsi="Segoe UI" w:cs="Segoe UI"/>
          <w:color w:val="212121"/>
        </w:rPr>
        <w:t xml:space="preserve">but </w:t>
      </w:r>
      <w:r w:rsidR="007A1C01">
        <w:rPr>
          <w:rFonts w:ascii="Segoe UI" w:eastAsia="Times New Roman" w:hAnsi="Segoe UI" w:cs="Segoe UI"/>
          <w:color w:val="212121"/>
        </w:rPr>
        <w:t xml:space="preserve">debate is </w:t>
      </w:r>
      <w:r>
        <w:rPr>
          <w:rFonts w:ascii="Segoe UI" w:eastAsia="Times New Roman" w:hAnsi="Segoe UI" w:cs="Segoe UI"/>
          <w:color w:val="212121"/>
        </w:rPr>
        <w:t xml:space="preserve">both healthy and </w:t>
      </w:r>
      <w:r w:rsidR="007A1C01">
        <w:rPr>
          <w:rFonts w:ascii="Segoe UI" w:eastAsia="Times New Roman" w:hAnsi="Segoe UI" w:cs="Segoe UI"/>
          <w:color w:val="212121"/>
        </w:rPr>
        <w:t>necessary.</w:t>
      </w:r>
      <w:r w:rsidR="34A9E9D4" w:rsidRPr="5705605F">
        <w:rPr>
          <w:rFonts w:ascii="Segoe UI" w:eastAsia="Times New Roman" w:hAnsi="Segoe UI" w:cs="Segoe UI"/>
          <w:color w:val="212121"/>
        </w:rPr>
        <w:t xml:space="preserve"> </w:t>
      </w:r>
    </w:p>
    <w:p w14:paraId="06E460BB" w14:textId="77777777" w:rsidR="001F426D" w:rsidRDefault="001F426D"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Generally, ministers appear to have a larger appetite for policy contestability than officials who, in the strategic policy space, tend to the view that external analysis runs along narrow rails and suffers from not being across the full spectrum of informa</w:t>
      </w:r>
      <w:r w:rsidR="009210B7">
        <w:rPr>
          <w:rFonts w:ascii="Segoe UI" w:eastAsia="Times New Roman" w:hAnsi="Segoe UI" w:cs="Segoe UI"/>
          <w:color w:val="212121"/>
        </w:rPr>
        <w:t xml:space="preserve">tion, especially intelligence. </w:t>
      </w:r>
      <w:r>
        <w:rPr>
          <w:rFonts w:ascii="Segoe UI" w:eastAsia="Times New Roman" w:hAnsi="Segoe UI" w:cs="Segoe UI"/>
          <w:color w:val="212121"/>
        </w:rPr>
        <w:t>This view is reinforced by a perception that external analysis tends to be light on what should be done and heavy on opinion.</w:t>
      </w:r>
    </w:p>
    <w:p w14:paraId="06E460BC" w14:textId="77777777" w:rsidR="004D4035" w:rsidRPr="00963625" w:rsidRDefault="00855A16"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Government should involve the sector in policy development much earlier and more often</w:t>
      </w:r>
      <w:r w:rsidR="70A5917A" w:rsidRPr="00963625">
        <w:rPr>
          <w:rFonts w:ascii="Segoe UI" w:eastAsia="Times New Roman" w:hAnsi="Segoe UI" w:cs="Segoe UI"/>
          <w:color w:val="212121"/>
        </w:rPr>
        <w:t>.</w:t>
      </w:r>
      <w:r w:rsidRPr="00963625">
        <w:rPr>
          <w:rFonts w:ascii="Segoe UI" w:eastAsia="Times New Roman" w:hAnsi="Segoe UI" w:cs="Segoe UI"/>
          <w:color w:val="212121"/>
        </w:rPr>
        <w:t xml:space="preserve"> The sector can be a useful sounding board for testing current thinking on a given issue. </w:t>
      </w:r>
      <w:r w:rsidR="004D4035" w:rsidRPr="00963625">
        <w:rPr>
          <w:rFonts w:ascii="Segoe UI" w:eastAsia="Times New Roman" w:hAnsi="Segoe UI" w:cs="Segoe UI"/>
          <w:color w:val="212121"/>
        </w:rPr>
        <w:t xml:space="preserve">In some </w:t>
      </w:r>
      <w:r w:rsidR="009239A7" w:rsidRPr="00963625">
        <w:rPr>
          <w:rFonts w:ascii="Segoe UI" w:eastAsia="Times New Roman" w:hAnsi="Segoe UI" w:cs="Segoe UI"/>
          <w:color w:val="212121"/>
        </w:rPr>
        <w:t>cases,</w:t>
      </w:r>
      <w:r w:rsidR="004D4035" w:rsidRPr="00963625">
        <w:rPr>
          <w:rFonts w:ascii="Segoe UI" w:eastAsia="Times New Roman" w:hAnsi="Segoe UI" w:cs="Segoe UI"/>
          <w:color w:val="212121"/>
        </w:rPr>
        <w:t xml:space="preserve"> this is best conducted in private </w:t>
      </w:r>
      <w:r w:rsidR="00474231" w:rsidRPr="00963625">
        <w:rPr>
          <w:rFonts w:ascii="Segoe UI" w:eastAsia="Times New Roman" w:hAnsi="Segoe UI" w:cs="Segoe UI"/>
          <w:color w:val="212121"/>
        </w:rPr>
        <w:t xml:space="preserve">and on the condition of confidentiality, </w:t>
      </w:r>
      <w:r w:rsidR="004D4035" w:rsidRPr="00963625">
        <w:rPr>
          <w:rFonts w:ascii="Segoe UI" w:eastAsia="Times New Roman" w:hAnsi="Segoe UI" w:cs="Segoe UI"/>
          <w:color w:val="212121"/>
        </w:rPr>
        <w:t>but there is also value in an open public debate about policy options.</w:t>
      </w:r>
      <w:r w:rsidR="009210B7" w:rsidRPr="00963625">
        <w:rPr>
          <w:rFonts w:ascii="Segoe UI" w:eastAsia="Times New Roman" w:hAnsi="Segoe UI" w:cs="Segoe UI"/>
          <w:color w:val="212121"/>
        </w:rPr>
        <w:t xml:space="preserve"> </w:t>
      </w:r>
    </w:p>
    <w:p w14:paraId="06E460BD" w14:textId="77777777" w:rsidR="00FE79EB" w:rsidRPr="00963625" w:rsidRDefault="004D4035"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Indeed, f</w:t>
      </w:r>
      <w:r w:rsidR="2961060F" w:rsidRPr="00963625">
        <w:rPr>
          <w:rFonts w:ascii="Segoe UI" w:eastAsia="Times New Roman" w:hAnsi="Segoe UI" w:cs="Segoe UI"/>
          <w:color w:val="212121"/>
        </w:rPr>
        <w:t xml:space="preserve">or major policy decisions, </w:t>
      </w:r>
      <w:r w:rsidR="00855A16" w:rsidRPr="00963625">
        <w:rPr>
          <w:rFonts w:ascii="Segoe UI" w:eastAsia="Times New Roman" w:hAnsi="Segoe UI" w:cs="Segoe UI"/>
          <w:color w:val="212121"/>
        </w:rPr>
        <w:t xml:space="preserve">Government should </w:t>
      </w:r>
      <w:r w:rsidRPr="00963625">
        <w:rPr>
          <w:rFonts w:ascii="Segoe UI" w:eastAsia="Times New Roman" w:hAnsi="Segoe UI" w:cs="Segoe UI"/>
          <w:color w:val="212121"/>
        </w:rPr>
        <w:t>actively seek out</w:t>
      </w:r>
      <w:r w:rsidR="00474231" w:rsidRPr="00963625">
        <w:rPr>
          <w:rFonts w:ascii="Segoe UI" w:eastAsia="Times New Roman" w:hAnsi="Segoe UI" w:cs="Segoe UI"/>
          <w:color w:val="212121"/>
        </w:rPr>
        <w:t xml:space="preserve"> </w:t>
      </w:r>
      <w:r w:rsidR="2961060F" w:rsidRPr="00963625">
        <w:rPr>
          <w:rFonts w:ascii="Segoe UI" w:eastAsia="Times New Roman" w:hAnsi="Segoe UI" w:cs="Segoe UI"/>
          <w:color w:val="212121"/>
        </w:rPr>
        <w:t>alternative policy approaches</w:t>
      </w:r>
      <w:r w:rsidR="00474231" w:rsidRPr="00963625">
        <w:rPr>
          <w:rFonts w:ascii="Segoe UI" w:eastAsia="Times New Roman" w:hAnsi="Segoe UI" w:cs="Segoe UI"/>
          <w:color w:val="212121"/>
        </w:rPr>
        <w:t>.</w:t>
      </w:r>
      <w:r w:rsidR="009210B7" w:rsidRPr="00963625">
        <w:rPr>
          <w:rFonts w:ascii="Segoe UI" w:eastAsia="Times New Roman" w:hAnsi="Segoe UI" w:cs="Segoe UI"/>
          <w:color w:val="212121"/>
        </w:rPr>
        <w:t xml:space="preserve"> </w:t>
      </w:r>
      <w:r w:rsidR="70A5917A" w:rsidRPr="00963625">
        <w:rPr>
          <w:rFonts w:ascii="Segoe UI" w:eastAsia="Times New Roman" w:hAnsi="Segoe UI" w:cs="Segoe UI"/>
          <w:color w:val="212121"/>
        </w:rPr>
        <w:t xml:space="preserve">Government </w:t>
      </w:r>
      <w:r w:rsidR="3E5361FD" w:rsidRPr="00963625">
        <w:rPr>
          <w:rFonts w:ascii="Segoe UI" w:eastAsia="Times New Roman" w:hAnsi="Segoe UI" w:cs="Segoe UI"/>
          <w:color w:val="212121"/>
        </w:rPr>
        <w:t xml:space="preserve">could also </w:t>
      </w:r>
      <w:r w:rsidR="70A5917A" w:rsidRPr="00963625">
        <w:rPr>
          <w:rFonts w:ascii="Segoe UI" w:eastAsia="Times New Roman" w:hAnsi="Segoe UI" w:cs="Segoe UI"/>
          <w:color w:val="212121"/>
        </w:rPr>
        <w:t>commission</w:t>
      </w:r>
      <w:r w:rsidR="00855A16" w:rsidRPr="00963625">
        <w:rPr>
          <w:rFonts w:ascii="Segoe UI" w:eastAsia="Times New Roman" w:hAnsi="Segoe UI" w:cs="Segoe UI"/>
          <w:color w:val="212121"/>
        </w:rPr>
        <w:t xml:space="preserve"> multiple researchers and organisations to produce papers on a </w:t>
      </w:r>
      <w:r w:rsidR="22F312A0" w:rsidRPr="00963625">
        <w:rPr>
          <w:rFonts w:ascii="Segoe UI" w:eastAsia="Times New Roman" w:hAnsi="Segoe UI" w:cs="Segoe UI"/>
          <w:color w:val="212121"/>
        </w:rPr>
        <w:t xml:space="preserve">particular </w:t>
      </w:r>
      <w:r w:rsidR="70A5917A" w:rsidRPr="00963625">
        <w:rPr>
          <w:rFonts w:ascii="Segoe UI" w:eastAsia="Times New Roman" w:hAnsi="Segoe UI" w:cs="Segoe UI"/>
          <w:color w:val="212121"/>
        </w:rPr>
        <w:t>topic</w:t>
      </w:r>
      <w:r w:rsidR="0D9BF948" w:rsidRPr="00963625">
        <w:rPr>
          <w:rFonts w:ascii="Segoe UI" w:eastAsia="Times New Roman" w:hAnsi="Segoe UI" w:cs="Segoe UI"/>
          <w:color w:val="212121"/>
        </w:rPr>
        <w:t xml:space="preserve">, which would provide </w:t>
      </w:r>
      <w:r w:rsidR="00005F27" w:rsidRPr="00963625">
        <w:rPr>
          <w:rFonts w:ascii="Segoe UI" w:eastAsia="Times New Roman" w:hAnsi="Segoe UI" w:cs="Segoe UI"/>
          <w:color w:val="212121"/>
        </w:rPr>
        <w:t xml:space="preserve">alternative </w:t>
      </w:r>
      <w:r w:rsidR="0D9BF948" w:rsidRPr="00963625">
        <w:rPr>
          <w:rFonts w:ascii="Segoe UI" w:eastAsia="Times New Roman" w:hAnsi="Segoe UI" w:cs="Segoe UI"/>
          <w:color w:val="212121"/>
        </w:rPr>
        <w:t xml:space="preserve">perspectives </w:t>
      </w:r>
      <w:r w:rsidR="00005F27" w:rsidRPr="00963625">
        <w:rPr>
          <w:rFonts w:ascii="Segoe UI" w:eastAsia="Times New Roman" w:hAnsi="Segoe UI" w:cs="Segoe UI"/>
          <w:color w:val="212121"/>
        </w:rPr>
        <w:t xml:space="preserve">and </w:t>
      </w:r>
      <w:r w:rsidR="0D9BF948" w:rsidRPr="00963625">
        <w:rPr>
          <w:rFonts w:ascii="Segoe UI" w:eastAsia="Times New Roman" w:hAnsi="Segoe UI" w:cs="Segoe UI"/>
          <w:color w:val="212121"/>
        </w:rPr>
        <w:t>highlight</w:t>
      </w:r>
      <w:r w:rsidR="00855A16" w:rsidRPr="00963625">
        <w:rPr>
          <w:rFonts w:ascii="Segoe UI" w:eastAsia="Times New Roman" w:hAnsi="Segoe UI" w:cs="Segoe UI"/>
          <w:color w:val="212121"/>
        </w:rPr>
        <w:t xml:space="preserve"> areas </w:t>
      </w:r>
      <w:r w:rsidR="0D9BF948" w:rsidRPr="00963625">
        <w:rPr>
          <w:rFonts w:ascii="Segoe UI" w:eastAsia="Times New Roman" w:hAnsi="Segoe UI" w:cs="Segoe UI"/>
          <w:color w:val="212121"/>
        </w:rPr>
        <w:t>of commonality</w:t>
      </w:r>
      <w:r w:rsidR="70A5917A" w:rsidRPr="00963625">
        <w:rPr>
          <w:rFonts w:ascii="Segoe UI" w:eastAsia="Times New Roman" w:hAnsi="Segoe UI" w:cs="Segoe UI"/>
          <w:color w:val="212121"/>
        </w:rPr>
        <w:t>.</w:t>
      </w:r>
      <w:r w:rsidR="00FE79EB" w:rsidRPr="00963625">
        <w:rPr>
          <w:rFonts w:ascii="Segoe UI" w:eastAsia="Times New Roman" w:hAnsi="Segoe UI" w:cs="Segoe UI"/>
          <w:color w:val="212121"/>
        </w:rPr>
        <w:t xml:space="preserve"> </w:t>
      </w:r>
      <w:r w:rsidR="00855A16" w:rsidRPr="00963625">
        <w:rPr>
          <w:rFonts w:ascii="Segoe UI" w:eastAsia="Times New Roman" w:hAnsi="Segoe UI" w:cs="Segoe UI"/>
          <w:color w:val="212121"/>
        </w:rPr>
        <w:t xml:space="preserve">By scrutinising Government’s ideas and injecting their own ideas into the process, the sector can limit groupthink, enhance innovation, and help Government arrive at better policy solutions. </w:t>
      </w:r>
    </w:p>
    <w:p w14:paraId="06E460BE" w14:textId="77777777" w:rsidR="00855A16" w:rsidRPr="00963625" w:rsidRDefault="4A9C0D42"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 xml:space="preserve">Where researchers are brought ‘into the tent’ on </w:t>
      </w:r>
      <w:r w:rsidR="00474231" w:rsidRPr="00963625">
        <w:rPr>
          <w:rFonts w:ascii="Segoe UI" w:eastAsia="Times New Roman" w:hAnsi="Segoe UI" w:cs="Segoe UI"/>
          <w:color w:val="212121"/>
        </w:rPr>
        <w:t xml:space="preserve">more sensitive issues, it </w:t>
      </w:r>
      <w:r w:rsidR="00FE79EB" w:rsidRPr="00963625">
        <w:rPr>
          <w:rFonts w:ascii="Segoe UI" w:eastAsia="Times New Roman" w:hAnsi="Segoe UI" w:cs="Segoe UI"/>
          <w:color w:val="212121"/>
        </w:rPr>
        <w:t>sh</w:t>
      </w:r>
      <w:r w:rsidR="00474231" w:rsidRPr="00963625">
        <w:rPr>
          <w:rFonts w:ascii="Segoe UI" w:eastAsia="Times New Roman" w:hAnsi="Segoe UI" w:cs="Segoe UI"/>
          <w:color w:val="212121"/>
        </w:rPr>
        <w:t>ould be on the basis that a public airing of confidential discussions would quickly lead to their exclusion from further such discussions.</w:t>
      </w:r>
      <w:r w:rsidR="009210B7" w:rsidRPr="00963625">
        <w:rPr>
          <w:rFonts w:ascii="Segoe UI" w:eastAsia="Times New Roman" w:hAnsi="Segoe UI" w:cs="Segoe UI"/>
          <w:color w:val="212121"/>
        </w:rPr>
        <w:t xml:space="preserve"> </w:t>
      </w:r>
      <w:r w:rsidR="00474231" w:rsidRPr="00963625">
        <w:rPr>
          <w:rFonts w:ascii="Segoe UI" w:eastAsia="Times New Roman" w:hAnsi="Segoe UI" w:cs="Segoe UI"/>
          <w:color w:val="212121"/>
        </w:rPr>
        <w:t>Respecting the ground rules of confidentiality is consistent with principles of independence and academic freedom.</w:t>
      </w:r>
      <w:r w:rsidR="009210B7" w:rsidRPr="00963625">
        <w:rPr>
          <w:rFonts w:ascii="Segoe UI" w:eastAsia="Times New Roman" w:hAnsi="Segoe UI" w:cs="Segoe UI"/>
          <w:color w:val="212121"/>
        </w:rPr>
        <w:t xml:space="preserve"> </w:t>
      </w:r>
      <w:r w:rsidR="5B2B733F" w:rsidRPr="00963625">
        <w:rPr>
          <w:rFonts w:ascii="Segoe UI" w:eastAsia="Times New Roman" w:hAnsi="Segoe UI" w:cs="Segoe UI"/>
          <w:color w:val="212121"/>
        </w:rPr>
        <w:t xml:space="preserve">This would </w:t>
      </w:r>
      <w:r w:rsidR="0015653A" w:rsidRPr="00963625">
        <w:rPr>
          <w:rFonts w:ascii="Segoe UI" w:eastAsia="Times New Roman" w:hAnsi="Segoe UI" w:cs="Segoe UI"/>
          <w:color w:val="212121"/>
        </w:rPr>
        <w:t xml:space="preserve">instil more trust with Government about the sector’s ability to handle sensitive information appropriately. </w:t>
      </w:r>
    </w:p>
    <w:p w14:paraId="06E460BF" w14:textId="77777777" w:rsidR="00DE7087" w:rsidRPr="00752A8B" w:rsidRDefault="00987408" w:rsidP="00284042">
      <w:pPr>
        <w:pStyle w:val="Heading2"/>
        <w:rPr>
          <w:rFonts w:cs="Segoe UI"/>
          <w:sz w:val="32"/>
          <w:szCs w:val="32"/>
        </w:rPr>
      </w:pPr>
      <w:bookmarkStart w:id="63" w:name="_Toc170307488"/>
      <w:bookmarkStart w:id="64" w:name="_Toc170383165"/>
      <w:bookmarkStart w:id="65" w:name="_Toc170980547"/>
      <w:bookmarkStart w:id="66" w:name="_Toc171004261"/>
      <w:bookmarkStart w:id="67" w:name="_Toc171074983"/>
      <w:bookmarkStart w:id="68" w:name="_Toc172665595"/>
      <w:r>
        <w:rPr>
          <w:rFonts w:cs="Segoe UI"/>
          <w:sz w:val="32"/>
          <w:szCs w:val="32"/>
        </w:rPr>
        <w:lastRenderedPageBreak/>
        <w:t>I</w:t>
      </w:r>
      <w:r w:rsidR="00A34B4A" w:rsidRPr="00752A8B">
        <w:rPr>
          <w:rFonts w:cs="Segoe UI"/>
          <w:sz w:val="32"/>
          <w:szCs w:val="32"/>
        </w:rPr>
        <w:t>ncrease c</w:t>
      </w:r>
      <w:r w:rsidR="00DE7087" w:rsidRPr="00752A8B">
        <w:rPr>
          <w:rFonts w:cs="Segoe UI"/>
          <w:sz w:val="32"/>
          <w:szCs w:val="32"/>
        </w:rPr>
        <w:t>ollaboration and multi-disciplinary analysis</w:t>
      </w:r>
      <w:bookmarkEnd w:id="63"/>
      <w:bookmarkEnd w:id="64"/>
      <w:bookmarkEnd w:id="65"/>
      <w:bookmarkEnd w:id="66"/>
      <w:bookmarkEnd w:id="67"/>
      <w:bookmarkEnd w:id="68"/>
    </w:p>
    <w:p w14:paraId="06E460C0" w14:textId="77777777" w:rsidR="004073B2" w:rsidRDefault="001F426D"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 xml:space="preserve">In the design of its grants programs, Government should better target </w:t>
      </w:r>
      <w:r w:rsidRPr="4F0C80AB">
        <w:rPr>
          <w:rFonts w:ascii="Segoe UI" w:eastAsia="Times New Roman" w:hAnsi="Segoe UI" w:cs="Segoe UI"/>
          <w:color w:val="212121"/>
        </w:rPr>
        <w:t>Commonwealth funding to encourage multi-disciplinary</w:t>
      </w:r>
      <w:r>
        <w:rPr>
          <w:rFonts w:ascii="Segoe UI" w:eastAsia="Times New Roman" w:hAnsi="Segoe UI" w:cs="Segoe UI"/>
          <w:color w:val="212121"/>
        </w:rPr>
        <w:t xml:space="preserve"> solutions. </w:t>
      </w:r>
      <w:r w:rsidR="21987F4D" w:rsidRPr="28164FC7">
        <w:rPr>
          <w:rFonts w:ascii="Segoe UI" w:eastAsia="Times New Roman" w:hAnsi="Segoe UI" w:cs="Segoe UI"/>
          <w:color w:val="212121"/>
        </w:rPr>
        <w:t xml:space="preserve">National security </w:t>
      </w:r>
      <w:r w:rsidR="76A2BF66" w:rsidRPr="28164FC7">
        <w:rPr>
          <w:rFonts w:ascii="Segoe UI" w:eastAsia="Times New Roman" w:hAnsi="Segoe UI" w:cs="Segoe UI"/>
          <w:color w:val="212121"/>
        </w:rPr>
        <w:t>p</w:t>
      </w:r>
      <w:r w:rsidR="634E7C40" w:rsidRPr="28164FC7">
        <w:rPr>
          <w:rFonts w:ascii="Segoe UI" w:eastAsia="Times New Roman" w:hAnsi="Segoe UI" w:cs="Segoe UI"/>
          <w:color w:val="212121"/>
        </w:rPr>
        <w:t>olicy</w:t>
      </w:r>
      <w:r w:rsidR="634E7C40" w:rsidRPr="4F0C80AB">
        <w:rPr>
          <w:rFonts w:ascii="Segoe UI" w:eastAsia="Times New Roman" w:hAnsi="Segoe UI" w:cs="Segoe UI"/>
          <w:color w:val="212121"/>
        </w:rPr>
        <w:t xml:space="preserve"> issues </w:t>
      </w:r>
      <w:r w:rsidR="00005F27">
        <w:rPr>
          <w:rFonts w:ascii="Segoe UI" w:eastAsia="Times New Roman" w:hAnsi="Segoe UI" w:cs="Segoe UI"/>
          <w:color w:val="212121"/>
        </w:rPr>
        <w:t xml:space="preserve">are increasingly complex and </w:t>
      </w:r>
      <w:r w:rsidR="2287AAB6" w:rsidRPr="28164FC7">
        <w:rPr>
          <w:rFonts w:ascii="Segoe UI" w:eastAsia="Times New Roman" w:hAnsi="Segoe UI" w:cs="Segoe UI"/>
          <w:color w:val="212121"/>
        </w:rPr>
        <w:t xml:space="preserve">involve a nexus </w:t>
      </w:r>
      <w:r>
        <w:rPr>
          <w:rFonts w:ascii="Segoe UI" w:eastAsia="Times New Roman" w:hAnsi="Segoe UI" w:cs="Segoe UI"/>
          <w:color w:val="212121"/>
        </w:rPr>
        <w:t>among</w:t>
      </w:r>
      <w:r w:rsidRPr="28164FC7">
        <w:rPr>
          <w:rFonts w:ascii="Segoe UI" w:eastAsia="Times New Roman" w:hAnsi="Segoe UI" w:cs="Segoe UI"/>
          <w:color w:val="212121"/>
        </w:rPr>
        <w:t xml:space="preserve"> </w:t>
      </w:r>
      <w:r w:rsidR="2287AAB6" w:rsidRPr="28164FC7">
        <w:rPr>
          <w:rFonts w:ascii="Segoe UI" w:eastAsia="Times New Roman" w:hAnsi="Segoe UI" w:cs="Segoe UI"/>
          <w:color w:val="212121"/>
        </w:rPr>
        <w:t>strategic, technological,</w:t>
      </w:r>
      <w:r w:rsidR="00131FAA">
        <w:rPr>
          <w:rFonts w:ascii="Segoe UI" w:eastAsia="Times New Roman" w:hAnsi="Segoe UI" w:cs="Segoe UI"/>
          <w:color w:val="212121"/>
        </w:rPr>
        <w:t xml:space="preserve"> </w:t>
      </w:r>
      <w:r w:rsidR="2287AAB6" w:rsidRPr="28164FC7">
        <w:rPr>
          <w:rFonts w:ascii="Segoe UI" w:eastAsia="Times New Roman" w:hAnsi="Segoe UI" w:cs="Segoe UI"/>
          <w:color w:val="212121"/>
        </w:rPr>
        <w:t>economic</w:t>
      </w:r>
      <w:r w:rsidR="009239A7">
        <w:rPr>
          <w:rFonts w:ascii="Segoe UI" w:eastAsia="Times New Roman" w:hAnsi="Segoe UI" w:cs="Segoe UI"/>
          <w:color w:val="212121"/>
        </w:rPr>
        <w:t>, political, social</w:t>
      </w:r>
      <w:r w:rsidR="2287AAB6" w:rsidRPr="28164FC7">
        <w:rPr>
          <w:rFonts w:ascii="Segoe UI" w:eastAsia="Times New Roman" w:hAnsi="Segoe UI" w:cs="Segoe UI"/>
          <w:color w:val="212121"/>
        </w:rPr>
        <w:t xml:space="preserve"> and other issues.</w:t>
      </w:r>
      <w:r w:rsidR="00005F27" w:rsidRPr="28164FC7">
        <w:rPr>
          <w:rFonts w:ascii="Segoe UI" w:eastAsia="Times New Roman" w:hAnsi="Segoe UI" w:cs="Segoe UI"/>
          <w:color w:val="212121"/>
        </w:rPr>
        <w:t xml:space="preserve"> </w:t>
      </w:r>
      <w:r w:rsidR="00220CF8" w:rsidRPr="4F0C80AB">
        <w:rPr>
          <w:rFonts w:ascii="Segoe UI" w:eastAsia="Times New Roman" w:hAnsi="Segoe UI" w:cs="Segoe UI"/>
          <w:color w:val="212121"/>
        </w:rPr>
        <w:t xml:space="preserve">Government’s siloed structure can inhibit or stifle multi-disciplinary views, </w:t>
      </w:r>
      <w:r w:rsidR="00220CF8">
        <w:rPr>
          <w:rFonts w:ascii="Segoe UI" w:eastAsia="Times New Roman" w:hAnsi="Segoe UI" w:cs="Segoe UI"/>
          <w:color w:val="212121"/>
        </w:rPr>
        <w:t xml:space="preserve">whereas </w:t>
      </w:r>
      <w:r w:rsidR="00220CF8" w:rsidRPr="4F0C80AB">
        <w:rPr>
          <w:rFonts w:ascii="Segoe UI" w:eastAsia="Times New Roman" w:hAnsi="Segoe UI" w:cs="Segoe UI"/>
          <w:color w:val="212121"/>
        </w:rPr>
        <w:t xml:space="preserve">the sector </w:t>
      </w:r>
      <w:r w:rsidR="00220CF8">
        <w:rPr>
          <w:rFonts w:ascii="Segoe UI" w:eastAsia="Times New Roman" w:hAnsi="Segoe UI" w:cs="Segoe UI"/>
          <w:color w:val="212121"/>
        </w:rPr>
        <w:t xml:space="preserve">can </w:t>
      </w:r>
      <w:r w:rsidR="009239A7">
        <w:rPr>
          <w:rFonts w:ascii="Segoe UI" w:eastAsia="Times New Roman" w:hAnsi="Segoe UI" w:cs="Segoe UI"/>
          <w:color w:val="212121"/>
        </w:rPr>
        <w:t xml:space="preserve">sometimes be better equipped to </w:t>
      </w:r>
      <w:r w:rsidR="00220CF8" w:rsidRPr="4F0C80AB">
        <w:rPr>
          <w:rFonts w:ascii="Segoe UI" w:eastAsia="Times New Roman" w:hAnsi="Segoe UI" w:cs="Segoe UI"/>
          <w:color w:val="212121"/>
        </w:rPr>
        <w:t xml:space="preserve">draw together </w:t>
      </w:r>
      <w:r w:rsidR="00220CF8">
        <w:rPr>
          <w:rFonts w:ascii="Segoe UI" w:eastAsia="Times New Roman" w:hAnsi="Segoe UI" w:cs="Segoe UI"/>
          <w:color w:val="212121"/>
        </w:rPr>
        <w:t>disparate</w:t>
      </w:r>
      <w:r w:rsidR="00220CF8" w:rsidRPr="4F0C80AB">
        <w:rPr>
          <w:rFonts w:ascii="Segoe UI" w:eastAsia="Times New Roman" w:hAnsi="Segoe UI" w:cs="Segoe UI"/>
          <w:color w:val="212121"/>
        </w:rPr>
        <w:t xml:space="preserve"> views </w:t>
      </w:r>
      <w:r w:rsidR="009239A7">
        <w:rPr>
          <w:rFonts w:ascii="Segoe UI" w:eastAsia="Times New Roman" w:hAnsi="Segoe UI" w:cs="Segoe UI"/>
          <w:color w:val="212121"/>
        </w:rPr>
        <w:t xml:space="preserve">and disciplines </w:t>
      </w:r>
      <w:r w:rsidR="00220CF8" w:rsidRPr="4F0C80AB">
        <w:rPr>
          <w:rFonts w:ascii="Segoe UI" w:eastAsia="Times New Roman" w:hAnsi="Segoe UI" w:cs="Segoe UI"/>
          <w:color w:val="212121"/>
        </w:rPr>
        <w:t xml:space="preserve">into coherent analysis. </w:t>
      </w:r>
    </w:p>
    <w:p w14:paraId="06E460C1" w14:textId="77777777" w:rsidR="00DE7087" w:rsidRPr="00752A8B" w:rsidRDefault="77F57A37"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4F0C80AB">
        <w:rPr>
          <w:rFonts w:ascii="Segoe UI" w:eastAsia="Times New Roman" w:hAnsi="Segoe UI" w:cs="Segoe UI"/>
          <w:color w:val="212121"/>
        </w:rPr>
        <w:t xml:space="preserve">To </w:t>
      </w:r>
      <w:r w:rsidR="00005F27">
        <w:rPr>
          <w:rFonts w:ascii="Segoe UI" w:eastAsia="Times New Roman" w:hAnsi="Segoe UI" w:cs="Segoe UI"/>
          <w:color w:val="212121"/>
        </w:rPr>
        <w:t xml:space="preserve">address </w:t>
      </w:r>
      <w:r w:rsidRPr="4F0C80AB">
        <w:rPr>
          <w:rFonts w:ascii="Segoe UI" w:eastAsia="Times New Roman" w:hAnsi="Segoe UI" w:cs="Segoe UI"/>
          <w:color w:val="212121"/>
        </w:rPr>
        <w:t xml:space="preserve">this, funding </w:t>
      </w:r>
      <w:r w:rsidR="009239A7">
        <w:rPr>
          <w:rFonts w:ascii="Segoe UI" w:eastAsia="Times New Roman" w:hAnsi="Segoe UI" w:cs="Segoe UI"/>
          <w:color w:val="212121"/>
        </w:rPr>
        <w:t xml:space="preserve">may </w:t>
      </w:r>
      <w:r w:rsidRPr="4F0C80AB">
        <w:rPr>
          <w:rFonts w:ascii="Segoe UI" w:eastAsia="Times New Roman" w:hAnsi="Segoe UI" w:cs="Segoe UI"/>
          <w:color w:val="212121"/>
        </w:rPr>
        <w:t xml:space="preserve">need to be larger to </w:t>
      </w:r>
      <w:r w:rsidR="009239A7">
        <w:rPr>
          <w:rFonts w:ascii="Segoe UI" w:eastAsia="Times New Roman" w:hAnsi="Segoe UI" w:cs="Segoe UI"/>
          <w:color w:val="212121"/>
        </w:rPr>
        <w:t>allow for</w:t>
      </w:r>
      <w:r w:rsidR="724AF85A" w:rsidRPr="4F0C80AB">
        <w:rPr>
          <w:rFonts w:ascii="Segoe UI" w:eastAsia="Times New Roman" w:hAnsi="Segoe UI" w:cs="Segoe UI"/>
          <w:color w:val="212121"/>
        </w:rPr>
        <w:t xml:space="preserve"> </w:t>
      </w:r>
      <w:r w:rsidRPr="4F0C80AB">
        <w:rPr>
          <w:rFonts w:ascii="Segoe UI" w:eastAsia="Times New Roman" w:hAnsi="Segoe UI" w:cs="Segoe UI"/>
          <w:color w:val="212121"/>
        </w:rPr>
        <w:t>a</w:t>
      </w:r>
      <w:r w:rsidR="724AF85A" w:rsidRPr="4F0C80AB">
        <w:rPr>
          <w:rFonts w:ascii="Segoe UI" w:eastAsia="Times New Roman" w:hAnsi="Segoe UI" w:cs="Segoe UI"/>
          <w:color w:val="212121"/>
        </w:rPr>
        <w:t xml:space="preserve"> </w:t>
      </w:r>
      <w:r w:rsidRPr="4F0C80AB">
        <w:rPr>
          <w:rFonts w:ascii="Segoe UI" w:eastAsia="Times New Roman" w:hAnsi="Segoe UI" w:cs="Segoe UI"/>
          <w:color w:val="212121"/>
        </w:rPr>
        <w:t>cross</w:t>
      </w:r>
      <w:r w:rsidR="724AF85A" w:rsidRPr="4F0C80AB">
        <w:rPr>
          <w:rFonts w:ascii="Segoe UI" w:eastAsia="Times New Roman" w:hAnsi="Segoe UI" w:cs="Segoe UI"/>
          <w:color w:val="212121"/>
        </w:rPr>
        <w:t xml:space="preserve">-section of </w:t>
      </w:r>
      <w:r w:rsidRPr="4F0C80AB">
        <w:rPr>
          <w:rFonts w:ascii="Segoe UI" w:eastAsia="Times New Roman" w:hAnsi="Segoe UI" w:cs="Segoe UI"/>
          <w:color w:val="212121"/>
        </w:rPr>
        <w:t xml:space="preserve">disciplinary experts, and </w:t>
      </w:r>
      <w:r w:rsidR="009239A7">
        <w:rPr>
          <w:rFonts w:ascii="Segoe UI" w:eastAsia="Times New Roman" w:hAnsi="Segoe UI" w:cs="Segoe UI"/>
          <w:color w:val="212121"/>
        </w:rPr>
        <w:t xml:space="preserve">run </w:t>
      </w:r>
      <w:r w:rsidR="724AF85A" w:rsidRPr="4F0C80AB">
        <w:rPr>
          <w:rFonts w:ascii="Segoe UI" w:eastAsia="Times New Roman" w:hAnsi="Segoe UI" w:cs="Segoe UI"/>
          <w:color w:val="212121"/>
        </w:rPr>
        <w:t xml:space="preserve">longer to enable their </w:t>
      </w:r>
      <w:r w:rsidR="634E7C40" w:rsidRPr="4F0C80AB">
        <w:rPr>
          <w:rFonts w:ascii="Segoe UI" w:eastAsia="Times New Roman" w:hAnsi="Segoe UI" w:cs="Segoe UI"/>
          <w:color w:val="212121"/>
        </w:rPr>
        <w:t xml:space="preserve">effective </w:t>
      </w:r>
      <w:r w:rsidR="724AF85A" w:rsidRPr="4F0C80AB">
        <w:rPr>
          <w:rFonts w:ascii="Segoe UI" w:eastAsia="Times New Roman" w:hAnsi="Segoe UI" w:cs="Segoe UI"/>
          <w:color w:val="212121"/>
        </w:rPr>
        <w:t xml:space="preserve">collaboration. This approach would be particularly beneficial </w:t>
      </w:r>
      <w:r w:rsidR="634E7C40" w:rsidRPr="4F0C80AB">
        <w:rPr>
          <w:rFonts w:ascii="Segoe UI" w:eastAsia="Times New Roman" w:hAnsi="Segoe UI" w:cs="Segoe UI"/>
          <w:color w:val="212121"/>
        </w:rPr>
        <w:t xml:space="preserve">in the </w:t>
      </w:r>
      <w:r w:rsidR="36E9CEC3" w:rsidRPr="4F0C80AB">
        <w:rPr>
          <w:rFonts w:ascii="Segoe UI" w:eastAsia="Times New Roman" w:hAnsi="Segoe UI" w:cs="Segoe UI"/>
          <w:color w:val="212121"/>
        </w:rPr>
        <w:t>preliminary</w:t>
      </w:r>
      <w:r w:rsidR="634E7C40" w:rsidRPr="4F0C80AB">
        <w:rPr>
          <w:rFonts w:ascii="Segoe UI" w:eastAsia="Times New Roman" w:hAnsi="Segoe UI" w:cs="Segoe UI"/>
          <w:color w:val="212121"/>
        </w:rPr>
        <w:t xml:space="preserve"> stages of major policy development that involves multiple departments</w:t>
      </w:r>
      <w:r w:rsidR="00D53632">
        <w:rPr>
          <w:rFonts w:ascii="Segoe UI" w:eastAsia="Times New Roman" w:hAnsi="Segoe UI" w:cs="Segoe UI"/>
          <w:color w:val="212121"/>
        </w:rPr>
        <w:t xml:space="preserve"> and agencies</w:t>
      </w:r>
      <w:r w:rsidR="634E7C40" w:rsidRPr="4F0C80AB">
        <w:rPr>
          <w:rFonts w:ascii="Segoe UI" w:eastAsia="Times New Roman" w:hAnsi="Segoe UI" w:cs="Segoe UI"/>
          <w:color w:val="212121"/>
        </w:rPr>
        <w:t xml:space="preserve"> with </w:t>
      </w:r>
      <w:r w:rsidR="009239A7">
        <w:rPr>
          <w:rFonts w:ascii="Segoe UI" w:eastAsia="Times New Roman" w:hAnsi="Segoe UI" w:cs="Segoe UI"/>
          <w:color w:val="212121"/>
        </w:rPr>
        <w:t>different</w:t>
      </w:r>
      <w:r w:rsidR="634E7C40" w:rsidRPr="4F0C80AB">
        <w:rPr>
          <w:rFonts w:ascii="Segoe UI" w:eastAsia="Times New Roman" w:hAnsi="Segoe UI" w:cs="Segoe UI"/>
          <w:color w:val="212121"/>
        </w:rPr>
        <w:t xml:space="preserve"> priorities and views.</w:t>
      </w:r>
      <w:r w:rsidR="7F963D8F" w:rsidRPr="4F0C80AB">
        <w:rPr>
          <w:rFonts w:ascii="Segoe UI" w:eastAsia="Times New Roman" w:hAnsi="Segoe UI" w:cs="Segoe UI"/>
          <w:color w:val="212121"/>
        </w:rPr>
        <w:t xml:space="preserve"> </w:t>
      </w:r>
      <w:r w:rsidR="009239A7">
        <w:rPr>
          <w:rFonts w:ascii="Segoe UI" w:eastAsia="Times New Roman" w:hAnsi="Segoe UI" w:cs="Segoe UI"/>
          <w:color w:val="212121"/>
        </w:rPr>
        <w:t>T</w:t>
      </w:r>
      <w:r w:rsidR="7F963D8F" w:rsidRPr="4F0C80AB">
        <w:rPr>
          <w:rFonts w:ascii="Segoe UI" w:eastAsia="Times New Roman" w:hAnsi="Segoe UI" w:cs="Segoe UI"/>
          <w:color w:val="212121"/>
        </w:rPr>
        <w:t xml:space="preserve">he best way to achieve this is for </w:t>
      </w:r>
      <w:r w:rsidR="00D53632">
        <w:rPr>
          <w:rFonts w:ascii="Segoe UI" w:eastAsia="Times New Roman" w:hAnsi="Segoe UI" w:cs="Segoe UI"/>
          <w:color w:val="212121"/>
        </w:rPr>
        <w:t>Government</w:t>
      </w:r>
      <w:r w:rsidR="00D53632" w:rsidRPr="4F0C80AB">
        <w:rPr>
          <w:rFonts w:ascii="Segoe UI" w:eastAsia="Times New Roman" w:hAnsi="Segoe UI" w:cs="Segoe UI"/>
          <w:color w:val="212121"/>
        </w:rPr>
        <w:t xml:space="preserve"> </w:t>
      </w:r>
      <w:r w:rsidR="7F963D8F" w:rsidRPr="4F0C80AB">
        <w:rPr>
          <w:rFonts w:ascii="Segoe UI" w:eastAsia="Times New Roman" w:hAnsi="Segoe UI" w:cs="Segoe UI"/>
          <w:color w:val="212121"/>
        </w:rPr>
        <w:t>to commission an activity that clearly identifies multi</w:t>
      </w:r>
      <w:r w:rsidR="67FB49E1" w:rsidRPr="4F0C80AB">
        <w:rPr>
          <w:rFonts w:ascii="Segoe UI" w:eastAsia="Times New Roman" w:hAnsi="Segoe UI" w:cs="Segoe UI"/>
          <w:color w:val="212121"/>
        </w:rPr>
        <w:t xml:space="preserve">-disciplinary requirements, but then allow the necessary collaboration and engagement to </w:t>
      </w:r>
      <w:r w:rsidR="2B519BA9" w:rsidRPr="4F0C80AB">
        <w:rPr>
          <w:rFonts w:ascii="Segoe UI" w:eastAsia="Times New Roman" w:hAnsi="Segoe UI" w:cs="Segoe UI"/>
          <w:color w:val="212121"/>
        </w:rPr>
        <w:t>occur organically</w:t>
      </w:r>
      <w:r w:rsidR="00005F27">
        <w:rPr>
          <w:rFonts w:ascii="Segoe UI" w:eastAsia="Times New Roman" w:hAnsi="Segoe UI" w:cs="Segoe UI"/>
          <w:color w:val="212121"/>
        </w:rPr>
        <w:t xml:space="preserve">. </w:t>
      </w:r>
      <w:r w:rsidR="746E75A3" w:rsidRPr="4F0C80AB">
        <w:rPr>
          <w:rFonts w:ascii="Segoe UI" w:eastAsia="Times New Roman" w:hAnsi="Segoe UI" w:cs="Segoe UI"/>
          <w:color w:val="212121"/>
        </w:rPr>
        <w:t>Government should not be in the business of di</w:t>
      </w:r>
      <w:r w:rsidR="00594BD2">
        <w:rPr>
          <w:rFonts w:ascii="Segoe UI" w:eastAsia="Times New Roman" w:hAnsi="Segoe UI" w:cs="Segoe UI"/>
          <w:color w:val="212121"/>
        </w:rPr>
        <w:t>recting</w:t>
      </w:r>
      <w:r w:rsidR="746E75A3" w:rsidRPr="4F0C80AB">
        <w:rPr>
          <w:rFonts w:ascii="Segoe UI" w:eastAsia="Times New Roman" w:hAnsi="Segoe UI" w:cs="Segoe UI"/>
          <w:color w:val="212121"/>
        </w:rPr>
        <w:t xml:space="preserve"> specific organisations or individuals to collaborate. </w:t>
      </w:r>
    </w:p>
    <w:p w14:paraId="06E460C2" w14:textId="77777777" w:rsidR="00372997" w:rsidRPr="00752A8B" w:rsidRDefault="00987408" w:rsidP="00284042">
      <w:pPr>
        <w:pStyle w:val="Heading2"/>
        <w:rPr>
          <w:rFonts w:cs="Segoe UI"/>
          <w:sz w:val="32"/>
          <w:szCs w:val="32"/>
        </w:rPr>
      </w:pPr>
      <w:bookmarkStart w:id="69" w:name="_Toc170307489"/>
      <w:bookmarkStart w:id="70" w:name="_Toc170383166"/>
      <w:bookmarkStart w:id="71" w:name="_Toc170980548"/>
      <w:bookmarkStart w:id="72" w:name="_Toc171004262"/>
      <w:bookmarkStart w:id="73" w:name="_Toc171074984"/>
      <w:bookmarkStart w:id="74" w:name="_Toc172665596"/>
      <w:r>
        <w:rPr>
          <w:rFonts w:cs="Segoe UI"/>
          <w:sz w:val="32"/>
          <w:szCs w:val="32"/>
        </w:rPr>
        <w:t>Introduce g</w:t>
      </w:r>
      <w:r w:rsidR="00372997" w:rsidRPr="00752A8B">
        <w:rPr>
          <w:rFonts w:cs="Segoe UI"/>
          <w:sz w:val="32"/>
          <w:szCs w:val="32"/>
        </w:rPr>
        <w:t>reater transparency</w:t>
      </w:r>
      <w:bookmarkEnd w:id="69"/>
      <w:bookmarkEnd w:id="70"/>
      <w:bookmarkEnd w:id="71"/>
      <w:bookmarkEnd w:id="72"/>
      <w:bookmarkEnd w:id="73"/>
      <w:bookmarkEnd w:id="74"/>
    </w:p>
    <w:p w14:paraId="06E460C3" w14:textId="77777777" w:rsidR="0097739A" w:rsidRDefault="009239A7"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If we are to avoid a repeat of sweetheart deals, we need more transparen</w:t>
      </w:r>
      <w:r w:rsidR="00A912D4">
        <w:rPr>
          <w:rFonts w:ascii="Segoe UI" w:eastAsia="Times New Roman" w:hAnsi="Segoe UI" w:cs="Segoe UI"/>
          <w:color w:val="212121"/>
        </w:rPr>
        <w:t>c</w:t>
      </w:r>
      <w:r>
        <w:rPr>
          <w:rFonts w:ascii="Segoe UI" w:eastAsia="Times New Roman" w:hAnsi="Segoe UI" w:cs="Segoe UI"/>
          <w:color w:val="212121"/>
        </w:rPr>
        <w:t>y in funding arrangements. My recommendation on setting strategic priorities will help. But even more important is Government ensuring that</w:t>
      </w:r>
      <w:r w:rsidR="00A57C46">
        <w:rPr>
          <w:rFonts w:ascii="Segoe UI" w:eastAsia="Times New Roman" w:hAnsi="Segoe UI" w:cs="Segoe UI"/>
          <w:color w:val="212121"/>
        </w:rPr>
        <w:t xml:space="preserve"> </w:t>
      </w:r>
      <w:r w:rsidR="00A0059E">
        <w:rPr>
          <w:rFonts w:ascii="Segoe UI" w:eastAsia="Times New Roman" w:hAnsi="Segoe UI" w:cs="Segoe UI"/>
          <w:color w:val="212121"/>
        </w:rPr>
        <w:t xml:space="preserve">more </w:t>
      </w:r>
      <w:r w:rsidR="00A57C46">
        <w:rPr>
          <w:rFonts w:ascii="Segoe UI" w:eastAsia="Times New Roman" w:hAnsi="Segoe UI" w:cs="Segoe UI"/>
          <w:color w:val="212121"/>
        </w:rPr>
        <w:t xml:space="preserve">funding agreements </w:t>
      </w:r>
      <w:r w:rsidR="00A0059E">
        <w:rPr>
          <w:rFonts w:ascii="Segoe UI" w:eastAsia="Times New Roman" w:hAnsi="Segoe UI" w:cs="Segoe UI"/>
          <w:color w:val="212121"/>
        </w:rPr>
        <w:t xml:space="preserve">are </w:t>
      </w:r>
      <w:r w:rsidR="00A57C46">
        <w:rPr>
          <w:rFonts w:ascii="Segoe UI" w:eastAsia="Times New Roman" w:hAnsi="Segoe UI" w:cs="Segoe UI"/>
          <w:color w:val="212121"/>
        </w:rPr>
        <w:t xml:space="preserve">competitive, including </w:t>
      </w:r>
      <w:r w:rsidR="09F1FFDE" w:rsidRPr="4F6C37B2">
        <w:rPr>
          <w:rFonts w:ascii="Segoe UI" w:eastAsia="Times New Roman" w:hAnsi="Segoe UI" w:cs="Segoe UI"/>
          <w:color w:val="212121"/>
        </w:rPr>
        <w:t xml:space="preserve">for </w:t>
      </w:r>
      <w:r w:rsidR="00A57C46">
        <w:rPr>
          <w:rFonts w:ascii="Segoe UI" w:eastAsia="Times New Roman" w:hAnsi="Segoe UI" w:cs="Segoe UI"/>
          <w:color w:val="212121"/>
        </w:rPr>
        <w:t>operating fund</w:t>
      </w:r>
      <w:r>
        <w:rPr>
          <w:rFonts w:ascii="Segoe UI" w:eastAsia="Times New Roman" w:hAnsi="Segoe UI" w:cs="Segoe UI"/>
          <w:color w:val="212121"/>
        </w:rPr>
        <w:t>s</w:t>
      </w:r>
      <w:r w:rsidR="73F41F05" w:rsidRPr="4F6C37B2">
        <w:rPr>
          <w:rFonts w:ascii="Segoe UI" w:eastAsia="Times New Roman" w:hAnsi="Segoe UI" w:cs="Segoe UI"/>
          <w:color w:val="212121"/>
        </w:rPr>
        <w:t xml:space="preserve">, </w:t>
      </w:r>
      <w:r>
        <w:rPr>
          <w:rFonts w:ascii="Segoe UI" w:eastAsia="Times New Roman" w:hAnsi="Segoe UI" w:cs="Segoe UI"/>
          <w:color w:val="212121"/>
        </w:rPr>
        <w:t xml:space="preserve">thereby </w:t>
      </w:r>
      <w:r w:rsidR="00F4789B">
        <w:rPr>
          <w:rFonts w:ascii="Segoe UI" w:eastAsia="Times New Roman" w:hAnsi="Segoe UI" w:cs="Segoe UI"/>
          <w:color w:val="212121"/>
        </w:rPr>
        <w:t>ensuring</w:t>
      </w:r>
      <w:r w:rsidR="00A57C46">
        <w:rPr>
          <w:rFonts w:ascii="Segoe UI" w:eastAsia="Times New Roman" w:hAnsi="Segoe UI" w:cs="Segoe UI"/>
          <w:color w:val="212121"/>
        </w:rPr>
        <w:t xml:space="preserve"> funding </w:t>
      </w:r>
      <w:r w:rsidR="2811C38B" w:rsidRPr="4F6C37B2">
        <w:rPr>
          <w:rFonts w:ascii="Segoe UI" w:eastAsia="Times New Roman" w:hAnsi="Segoe UI" w:cs="Segoe UI"/>
          <w:color w:val="212121"/>
        </w:rPr>
        <w:t xml:space="preserve">decisions are </w:t>
      </w:r>
      <w:r w:rsidR="00DC209A">
        <w:rPr>
          <w:rFonts w:ascii="Segoe UI" w:eastAsia="Times New Roman" w:hAnsi="Segoe UI" w:cs="Segoe UI"/>
          <w:color w:val="212121"/>
        </w:rPr>
        <w:t>merit</w:t>
      </w:r>
      <w:r w:rsidR="00133CAD">
        <w:rPr>
          <w:rFonts w:ascii="Segoe UI" w:eastAsia="Times New Roman" w:hAnsi="Segoe UI" w:cs="Segoe UI"/>
          <w:color w:val="212121"/>
        </w:rPr>
        <w:t>-</w:t>
      </w:r>
      <w:r w:rsidR="2811C38B" w:rsidRPr="4F6C37B2">
        <w:rPr>
          <w:rFonts w:ascii="Segoe UI" w:eastAsia="Times New Roman" w:hAnsi="Segoe UI" w:cs="Segoe UI"/>
          <w:color w:val="212121"/>
        </w:rPr>
        <w:t>based</w:t>
      </w:r>
      <w:r w:rsidR="00DC209A">
        <w:rPr>
          <w:rFonts w:ascii="Segoe UI" w:eastAsia="Times New Roman" w:hAnsi="Segoe UI" w:cs="Segoe UI"/>
          <w:color w:val="212121"/>
        </w:rPr>
        <w:t xml:space="preserve">. </w:t>
      </w:r>
      <w:r w:rsidR="002A268C">
        <w:rPr>
          <w:rFonts w:ascii="Segoe UI" w:eastAsia="Times New Roman" w:hAnsi="Segoe UI" w:cs="Segoe UI"/>
          <w:color w:val="212121"/>
        </w:rPr>
        <w:t xml:space="preserve">These principles underpin my recommendations on a </w:t>
      </w:r>
      <w:r w:rsidR="0052215F">
        <w:rPr>
          <w:rFonts w:ascii="Segoe UI" w:eastAsia="Times New Roman" w:hAnsi="Segoe UI" w:cs="Segoe UI"/>
          <w:color w:val="212121"/>
        </w:rPr>
        <w:t>five-year</w:t>
      </w:r>
      <w:r w:rsidR="002A268C">
        <w:rPr>
          <w:rFonts w:ascii="Segoe UI" w:eastAsia="Times New Roman" w:hAnsi="Segoe UI" w:cs="Segoe UI"/>
          <w:color w:val="212121"/>
        </w:rPr>
        <w:t xml:space="preserve"> funding cycle for operating funding and on providing more funding certainty. </w:t>
      </w:r>
    </w:p>
    <w:p w14:paraId="06E460C4" w14:textId="77777777" w:rsidR="0097739A" w:rsidRPr="00752A8B" w:rsidRDefault="3C1C8EDF"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174C71FE">
        <w:rPr>
          <w:rFonts w:ascii="Segoe UI" w:eastAsia="Times New Roman" w:hAnsi="Segoe UI" w:cs="Segoe UI"/>
          <w:color w:val="212121"/>
        </w:rPr>
        <w:t xml:space="preserve">Government </w:t>
      </w:r>
      <w:r w:rsidR="00A0059E">
        <w:rPr>
          <w:rFonts w:ascii="Segoe UI" w:eastAsia="Times New Roman" w:hAnsi="Segoe UI" w:cs="Segoe UI"/>
          <w:color w:val="212121"/>
        </w:rPr>
        <w:t xml:space="preserve">also </w:t>
      </w:r>
      <w:r w:rsidR="00F4789B">
        <w:rPr>
          <w:rFonts w:ascii="Segoe UI" w:eastAsia="Times New Roman" w:hAnsi="Segoe UI" w:cs="Segoe UI"/>
          <w:color w:val="212121"/>
        </w:rPr>
        <w:t>needs to</w:t>
      </w:r>
      <w:r w:rsidRPr="174C71FE">
        <w:rPr>
          <w:rFonts w:ascii="Segoe UI" w:eastAsia="Times New Roman" w:hAnsi="Segoe UI" w:cs="Segoe UI"/>
          <w:color w:val="212121"/>
        </w:rPr>
        <w:t xml:space="preserve"> be more transparent about its funding decisions. During consultations, stakeholders commonly observed Government does not provide useful feedback </w:t>
      </w:r>
      <w:r w:rsidR="00220CF8">
        <w:rPr>
          <w:rFonts w:ascii="Segoe UI" w:eastAsia="Times New Roman" w:hAnsi="Segoe UI" w:cs="Segoe UI"/>
          <w:color w:val="212121"/>
        </w:rPr>
        <w:t>outlining the reasoning behind its decision-making, both for successful and unsuccessful applicants.</w:t>
      </w:r>
      <w:r w:rsidRPr="174C71FE">
        <w:rPr>
          <w:rFonts w:ascii="Segoe UI" w:eastAsia="Times New Roman" w:hAnsi="Segoe UI" w:cs="Segoe UI"/>
          <w:color w:val="212121"/>
        </w:rPr>
        <w:t xml:space="preserve"> This makes it difficult for the sector to understand exactly what Government is looking for and calibrate their </w:t>
      </w:r>
      <w:r w:rsidR="001056BA">
        <w:rPr>
          <w:rFonts w:ascii="Segoe UI" w:eastAsia="Times New Roman" w:hAnsi="Segoe UI" w:cs="Segoe UI"/>
          <w:color w:val="212121"/>
        </w:rPr>
        <w:t>proposals</w:t>
      </w:r>
      <w:r w:rsidR="3CA00E5B" w:rsidRPr="174C71FE">
        <w:rPr>
          <w:rFonts w:ascii="Segoe UI" w:eastAsia="Times New Roman" w:hAnsi="Segoe UI" w:cs="Segoe UI"/>
          <w:color w:val="212121"/>
        </w:rPr>
        <w:t xml:space="preserve"> </w:t>
      </w:r>
      <w:r w:rsidRPr="174C71FE">
        <w:rPr>
          <w:rFonts w:ascii="Segoe UI" w:eastAsia="Times New Roman" w:hAnsi="Segoe UI" w:cs="Segoe UI"/>
          <w:color w:val="212121"/>
        </w:rPr>
        <w:t xml:space="preserve">accordingly. </w:t>
      </w:r>
      <w:r w:rsidR="40FBD732" w:rsidRPr="174C71FE">
        <w:rPr>
          <w:rFonts w:ascii="Segoe UI" w:eastAsia="Times New Roman" w:hAnsi="Segoe UI" w:cs="Segoe UI"/>
          <w:color w:val="212121"/>
        </w:rPr>
        <w:t>O</w:t>
      </w:r>
      <w:r w:rsidR="0187739D" w:rsidRPr="174C71FE">
        <w:rPr>
          <w:rFonts w:ascii="Segoe UI" w:eastAsia="Times New Roman" w:hAnsi="Segoe UI" w:cs="Segoe UI"/>
          <w:color w:val="212121"/>
        </w:rPr>
        <w:t xml:space="preserve">fficials involved in commissioning strategic policy work </w:t>
      </w:r>
      <w:r w:rsidR="3A9B3F44" w:rsidRPr="174C71FE">
        <w:rPr>
          <w:rFonts w:ascii="Segoe UI" w:eastAsia="Times New Roman" w:hAnsi="Segoe UI" w:cs="Segoe UI"/>
          <w:color w:val="212121"/>
        </w:rPr>
        <w:t xml:space="preserve">should </w:t>
      </w:r>
      <w:r w:rsidR="0187739D" w:rsidRPr="174C71FE">
        <w:rPr>
          <w:rFonts w:ascii="Segoe UI" w:eastAsia="Times New Roman" w:hAnsi="Segoe UI" w:cs="Segoe UI"/>
          <w:color w:val="212121"/>
        </w:rPr>
        <w:t>provide feedback specific to an individual</w:t>
      </w:r>
      <w:r w:rsidR="286CFB5F" w:rsidRPr="174C71FE">
        <w:rPr>
          <w:rFonts w:ascii="Segoe UI" w:eastAsia="Times New Roman" w:hAnsi="Segoe UI" w:cs="Segoe UI"/>
          <w:color w:val="212121"/>
        </w:rPr>
        <w:t xml:space="preserve"> </w:t>
      </w:r>
      <w:r w:rsidR="0187739D" w:rsidRPr="174C71FE">
        <w:rPr>
          <w:rFonts w:ascii="Segoe UI" w:eastAsia="Times New Roman" w:hAnsi="Segoe UI" w:cs="Segoe UI"/>
          <w:color w:val="212121"/>
        </w:rPr>
        <w:t>application</w:t>
      </w:r>
      <w:r w:rsidR="00E346D0">
        <w:rPr>
          <w:rFonts w:ascii="Segoe UI" w:eastAsia="Times New Roman" w:hAnsi="Segoe UI" w:cs="Segoe UI"/>
          <w:color w:val="212121"/>
        </w:rPr>
        <w:t xml:space="preserve">, an </w:t>
      </w:r>
      <w:r w:rsidR="00133CAD">
        <w:rPr>
          <w:rFonts w:ascii="Segoe UI" w:eastAsia="Times New Roman" w:hAnsi="Segoe UI" w:cs="Segoe UI"/>
          <w:color w:val="212121"/>
        </w:rPr>
        <w:t xml:space="preserve">additional burden </w:t>
      </w:r>
      <w:r w:rsidR="00E346D0">
        <w:rPr>
          <w:rFonts w:ascii="Segoe UI" w:eastAsia="Times New Roman" w:hAnsi="Segoe UI" w:cs="Segoe UI"/>
          <w:color w:val="212121"/>
        </w:rPr>
        <w:t xml:space="preserve">that </w:t>
      </w:r>
      <w:r w:rsidR="00133CAD">
        <w:rPr>
          <w:rFonts w:ascii="Segoe UI" w:eastAsia="Times New Roman" w:hAnsi="Segoe UI" w:cs="Segoe UI"/>
          <w:color w:val="212121"/>
        </w:rPr>
        <w:t xml:space="preserve">should be </w:t>
      </w:r>
      <w:r w:rsidR="62C3847F" w:rsidRPr="7C84A1FD">
        <w:rPr>
          <w:rFonts w:ascii="Segoe UI" w:eastAsia="Times New Roman" w:hAnsi="Segoe UI" w:cs="Segoe UI"/>
          <w:color w:val="212121"/>
        </w:rPr>
        <w:t>offset</w:t>
      </w:r>
      <w:r w:rsidR="00133CAD">
        <w:rPr>
          <w:rFonts w:ascii="Segoe UI" w:eastAsia="Times New Roman" w:hAnsi="Segoe UI" w:cs="Segoe UI"/>
          <w:color w:val="212121"/>
        </w:rPr>
        <w:t xml:space="preserve"> </w:t>
      </w:r>
      <w:r w:rsidR="22DEE72B" w:rsidRPr="51CCDD1A">
        <w:rPr>
          <w:rFonts w:ascii="Segoe UI" w:eastAsia="Times New Roman" w:hAnsi="Segoe UI" w:cs="Segoe UI"/>
          <w:color w:val="212121"/>
        </w:rPr>
        <w:t xml:space="preserve">by </w:t>
      </w:r>
      <w:r w:rsidR="00133CAD">
        <w:rPr>
          <w:rFonts w:ascii="Segoe UI" w:eastAsia="Times New Roman" w:hAnsi="Segoe UI" w:cs="Segoe UI"/>
          <w:color w:val="212121"/>
        </w:rPr>
        <w:t xml:space="preserve">improved quality </w:t>
      </w:r>
      <w:r w:rsidR="00C93D57">
        <w:rPr>
          <w:rFonts w:ascii="Segoe UI" w:eastAsia="Times New Roman" w:hAnsi="Segoe UI" w:cs="Segoe UI"/>
          <w:color w:val="212121"/>
        </w:rPr>
        <w:t xml:space="preserve">in </w:t>
      </w:r>
      <w:r w:rsidR="00133CAD">
        <w:rPr>
          <w:rFonts w:ascii="Segoe UI" w:eastAsia="Times New Roman" w:hAnsi="Segoe UI" w:cs="Segoe UI"/>
          <w:color w:val="212121"/>
        </w:rPr>
        <w:t xml:space="preserve">applications. </w:t>
      </w:r>
    </w:p>
    <w:p w14:paraId="06E460C5" w14:textId="77777777" w:rsidR="00DB55E9" w:rsidRPr="00752A8B" w:rsidRDefault="00701F9A" w:rsidP="00DB55E9">
      <w:pPr>
        <w:pStyle w:val="Heading2"/>
        <w:rPr>
          <w:rFonts w:cs="Segoe UI"/>
          <w:sz w:val="32"/>
          <w:szCs w:val="32"/>
        </w:rPr>
      </w:pPr>
      <w:bookmarkStart w:id="75" w:name="_Toc172665597"/>
      <w:bookmarkStart w:id="76" w:name="_Toc170307491"/>
      <w:bookmarkStart w:id="77" w:name="_Toc170383168"/>
      <w:r>
        <w:rPr>
          <w:rFonts w:cs="Segoe UI"/>
          <w:sz w:val="32"/>
          <w:szCs w:val="32"/>
        </w:rPr>
        <w:t>Streamline and standardise</w:t>
      </w:r>
      <w:r w:rsidR="00687B9D">
        <w:rPr>
          <w:rFonts w:cs="Segoe UI"/>
          <w:sz w:val="32"/>
          <w:szCs w:val="32"/>
        </w:rPr>
        <w:t xml:space="preserve"> evaluation</w:t>
      </w:r>
      <w:bookmarkEnd w:id="75"/>
    </w:p>
    <w:p w14:paraId="06E460C6" w14:textId="77777777" w:rsidR="00A0059E" w:rsidRDefault="003D38DD"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Government should calibrate evaluation</w:t>
      </w:r>
      <w:r w:rsidR="3287821A" w:rsidRPr="5B844A55">
        <w:rPr>
          <w:rFonts w:ascii="Segoe UI" w:eastAsia="Times New Roman" w:hAnsi="Segoe UI" w:cs="Segoe UI"/>
          <w:color w:val="212121"/>
        </w:rPr>
        <w:t xml:space="preserve"> and </w:t>
      </w:r>
      <w:r w:rsidR="63B38A30" w:rsidRPr="5B844A55">
        <w:rPr>
          <w:rFonts w:ascii="Segoe UI" w:eastAsia="Times New Roman" w:hAnsi="Segoe UI" w:cs="Segoe UI"/>
          <w:color w:val="212121"/>
        </w:rPr>
        <w:t>r</w:t>
      </w:r>
      <w:r w:rsidR="24AE9001" w:rsidRPr="5B844A55">
        <w:rPr>
          <w:rFonts w:ascii="Segoe UI" w:eastAsia="Times New Roman" w:hAnsi="Segoe UI" w:cs="Segoe UI"/>
          <w:color w:val="212121"/>
        </w:rPr>
        <w:t>eporting obligations to the activity</w:t>
      </w:r>
      <w:r>
        <w:rPr>
          <w:rFonts w:ascii="Segoe UI" w:eastAsia="Times New Roman" w:hAnsi="Segoe UI" w:cs="Segoe UI"/>
          <w:color w:val="212121"/>
        </w:rPr>
        <w:t>’s</w:t>
      </w:r>
      <w:r w:rsidR="24AE9001" w:rsidRPr="5B844A55">
        <w:rPr>
          <w:rFonts w:ascii="Segoe UI" w:eastAsia="Times New Roman" w:hAnsi="Segoe UI" w:cs="Segoe UI"/>
          <w:color w:val="212121"/>
        </w:rPr>
        <w:t xml:space="preserve"> complexity and funding quantum. Reporting is important for assurance and a </w:t>
      </w:r>
      <w:r w:rsidR="24AE9001" w:rsidRPr="000B100F">
        <w:rPr>
          <w:rFonts w:ascii="Segoe UI" w:eastAsia="Times New Roman" w:hAnsi="Segoe UI" w:cs="Segoe UI"/>
          <w:i/>
          <w:color w:val="212121"/>
        </w:rPr>
        <w:t xml:space="preserve">Public Governance, Performance and Accountability </w:t>
      </w:r>
      <w:r w:rsidR="00A8335D" w:rsidRPr="000B100F">
        <w:rPr>
          <w:rFonts w:ascii="Segoe UI" w:eastAsia="Times New Roman" w:hAnsi="Segoe UI" w:cs="Segoe UI"/>
          <w:i/>
          <w:color w:val="212121"/>
        </w:rPr>
        <w:t xml:space="preserve">Act </w:t>
      </w:r>
      <w:r w:rsidR="000B100F" w:rsidRPr="000B100F">
        <w:rPr>
          <w:rFonts w:ascii="Segoe UI" w:eastAsia="Times New Roman" w:hAnsi="Segoe UI" w:cs="Segoe UI"/>
          <w:i/>
          <w:color w:val="212121"/>
        </w:rPr>
        <w:t>2013</w:t>
      </w:r>
      <w:r w:rsidR="000B100F">
        <w:rPr>
          <w:rFonts w:ascii="Segoe UI" w:eastAsia="Times New Roman" w:hAnsi="Segoe UI" w:cs="Segoe UI"/>
          <w:color w:val="212121"/>
        </w:rPr>
        <w:t xml:space="preserve"> </w:t>
      </w:r>
      <w:r w:rsidR="24AE9001" w:rsidRPr="5B844A55">
        <w:rPr>
          <w:rFonts w:ascii="Segoe UI" w:eastAsia="Times New Roman" w:hAnsi="Segoe UI" w:cs="Segoe UI"/>
          <w:color w:val="212121"/>
        </w:rPr>
        <w:t xml:space="preserve">requirement. </w:t>
      </w:r>
      <w:r w:rsidR="006F1D21">
        <w:rPr>
          <w:rFonts w:ascii="Segoe UI" w:eastAsia="Times New Roman" w:hAnsi="Segoe UI" w:cs="Segoe UI"/>
          <w:color w:val="212121"/>
        </w:rPr>
        <w:t>But</w:t>
      </w:r>
      <w:r w:rsidR="24AE9001" w:rsidRPr="5B844A55">
        <w:rPr>
          <w:rFonts w:ascii="Segoe UI" w:eastAsia="Times New Roman" w:hAnsi="Segoe UI" w:cs="Segoe UI"/>
          <w:color w:val="212121"/>
        </w:rPr>
        <w:t xml:space="preserve"> evaluation reports can be overly burdensome, tend to measure outputs rather than outcome</w:t>
      </w:r>
      <w:r w:rsidR="00022F7F">
        <w:rPr>
          <w:rFonts w:ascii="Segoe UI" w:eastAsia="Times New Roman" w:hAnsi="Segoe UI" w:cs="Segoe UI"/>
          <w:color w:val="212121"/>
        </w:rPr>
        <w:t>s, and provide little value to g</w:t>
      </w:r>
      <w:r w:rsidR="24AE9001" w:rsidRPr="5B844A55">
        <w:rPr>
          <w:rFonts w:ascii="Segoe UI" w:eastAsia="Times New Roman" w:hAnsi="Segoe UI" w:cs="Segoe UI"/>
          <w:color w:val="212121"/>
        </w:rPr>
        <w:t>overnment officials.</w:t>
      </w:r>
    </w:p>
    <w:p w14:paraId="06E460C7" w14:textId="77777777" w:rsidR="00193524" w:rsidRDefault="00DB55E9"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144DD567">
        <w:rPr>
          <w:rFonts w:ascii="Segoe UI" w:eastAsia="Times New Roman" w:hAnsi="Segoe UI" w:cs="Segoe UI"/>
          <w:color w:val="212121"/>
        </w:rPr>
        <w:t xml:space="preserve">Government and the sector would </w:t>
      </w:r>
      <w:r>
        <w:rPr>
          <w:rFonts w:ascii="Segoe UI" w:eastAsia="Times New Roman" w:hAnsi="Segoe UI" w:cs="Segoe UI"/>
          <w:color w:val="212121"/>
        </w:rPr>
        <w:t>gain</w:t>
      </w:r>
      <w:r w:rsidRPr="144DD567">
        <w:rPr>
          <w:rFonts w:ascii="Segoe UI" w:eastAsia="Times New Roman" w:hAnsi="Segoe UI" w:cs="Segoe UI"/>
          <w:color w:val="212121"/>
        </w:rPr>
        <w:t xml:space="preserve"> more value from focus</w:t>
      </w:r>
      <w:r w:rsidR="00193524">
        <w:rPr>
          <w:rFonts w:ascii="Segoe UI" w:eastAsia="Times New Roman" w:hAnsi="Segoe UI" w:cs="Segoe UI"/>
          <w:color w:val="212121"/>
        </w:rPr>
        <w:t>ing</w:t>
      </w:r>
      <w:r w:rsidRPr="144DD567">
        <w:rPr>
          <w:rFonts w:ascii="Segoe UI" w:eastAsia="Times New Roman" w:hAnsi="Segoe UI" w:cs="Segoe UI"/>
          <w:color w:val="212121"/>
        </w:rPr>
        <w:t xml:space="preserve"> on research outcomes, rather than outputs. </w:t>
      </w:r>
      <w:r w:rsidR="003D38DD">
        <w:rPr>
          <w:rFonts w:ascii="Segoe UI" w:eastAsia="Times New Roman" w:hAnsi="Segoe UI" w:cs="Segoe UI"/>
          <w:color w:val="212121"/>
        </w:rPr>
        <w:t>B</w:t>
      </w:r>
      <w:r w:rsidR="003D38DD" w:rsidRPr="144DD567">
        <w:rPr>
          <w:rFonts w:ascii="Segoe UI" w:eastAsia="Times New Roman" w:hAnsi="Segoe UI" w:cs="Segoe UI"/>
          <w:color w:val="212121"/>
        </w:rPr>
        <w:t xml:space="preserve">ringing </w:t>
      </w:r>
      <w:r w:rsidRPr="144DD567">
        <w:rPr>
          <w:rFonts w:ascii="Segoe UI" w:eastAsia="Times New Roman" w:hAnsi="Segoe UI" w:cs="Segoe UI"/>
          <w:color w:val="212121"/>
        </w:rPr>
        <w:t>together the researcher and relevant line areas from the sponsoring department</w:t>
      </w:r>
      <w:r w:rsidR="00A0059E">
        <w:rPr>
          <w:rFonts w:ascii="Segoe UI" w:eastAsia="Times New Roman" w:hAnsi="Segoe UI" w:cs="Segoe UI"/>
          <w:color w:val="212121"/>
        </w:rPr>
        <w:t xml:space="preserve"> or </w:t>
      </w:r>
      <w:r w:rsidRPr="144DD567">
        <w:rPr>
          <w:rFonts w:ascii="Segoe UI" w:eastAsia="Times New Roman" w:hAnsi="Segoe UI" w:cs="Segoe UI"/>
          <w:color w:val="212121"/>
        </w:rPr>
        <w:t>agency to discuss the research findings</w:t>
      </w:r>
      <w:r w:rsidR="003D38DD">
        <w:rPr>
          <w:rFonts w:ascii="Segoe UI" w:eastAsia="Times New Roman" w:hAnsi="Segoe UI" w:cs="Segoe UI"/>
          <w:color w:val="212121"/>
        </w:rPr>
        <w:t xml:space="preserve"> </w:t>
      </w:r>
      <w:r w:rsidR="00A0059E">
        <w:rPr>
          <w:rFonts w:ascii="Segoe UI" w:eastAsia="Times New Roman" w:hAnsi="Segoe UI" w:cs="Segoe UI"/>
          <w:color w:val="212121"/>
        </w:rPr>
        <w:t xml:space="preserve">would help </w:t>
      </w:r>
      <w:r w:rsidR="003D38DD">
        <w:rPr>
          <w:rFonts w:ascii="Segoe UI" w:eastAsia="Times New Roman" w:hAnsi="Segoe UI" w:cs="Segoe UI"/>
          <w:color w:val="212121"/>
        </w:rPr>
        <w:t>achieve this</w:t>
      </w:r>
      <w:r w:rsidRPr="144DD567">
        <w:rPr>
          <w:rFonts w:ascii="Segoe UI" w:eastAsia="Times New Roman" w:hAnsi="Segoe UI" w:cs="Segoe UI"/>
          <w:color w:val="212121"/>
        </w:rPr>
        <w:t xml:space="preserve">, with the quality of discussion acting as a metric for the project’s evaluation. </w:t>
      </w:r>
      <w:r w:rsidR="001F426D">
        <w:rPr>
          <w:rFonts w:ascii="Segoe UI" w:eastAsia="Times New Roman" w:hAnsi="Segoe UI" w:cs="Segoe UI"/>
          <w:color w:val="212121"/>
        </w:rPr>
        <w:t>These discussions should be recorded for auditing purposes, while adhering to the principles of minimum burden and proportionality.</w:t>
      </w:r>
    </w:p>
    <w:p w14:paraId="06E460C8" w14:textId="77777777" w:rsidR="00DB55E9" w:rsidRPr="00752A8B" w:rsidRDefault="00DB55E9"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752A8B">
        <w:rPr>
          <w:rFonts w:ascii="Segoe UI" w:eastAsia="Times New Roman" w:hAnsi="Segoe UI" w:cs="Segoe UI"/>
          <w:color w:val="212121"/>
        </w:rPr>
        <w:lastRenderedPageBreak/>
        <w:t>Government should also establish a standardised approach for evaluating organisations receiving operating fund</w:t>
      </w:r>
      <w:r w:rsidR="00A0059E">
        <w:rPr>
          <w:rFonts w:ascii="Segoe UI" w:eastAsia="Times New Roman" w:hAnsi="Segoe UI" w:cs="Segoe UI"/>
          <w:color w:val="212121"/>
        </w:rPr>
        <w:t>s</w:t>
      </w:r>
      <w:r w:rsidRPr="00752A8B">
        <w:rPr>
          <w:rFonts w:ascii="Segoe UI" w:eastAsia="Times New Roman" w:hAnsi="Segoe UI" w:cs="Segoe UI"/>
          <w:color w:val="212121"/>
        </w:rPr>
        <w:t xml:space="preserve"> from the Commonwealth. </w:t>
      </w:r>
      <w:r w:rsidRPr="00752A8B" w:rsidDel="0015653A">
        <w:rPr>
          <w:rFonts w:ascii="Segoe UI" w:eastAsia="Times New Roman" w:hAnsi="Segoe UI" w:cs="Segoe UI"/>
          <w:color w:val="212121"/>
        </w:rPr>
        <w:t>The</w:t>
      </w:r>
      <w:r w:rsidRPr="00752A8B">
        <w:rPr>
          <w:rFonts w:ascii="Segoe UI" w:eastAsia="Times New Roman" w:hAnsi="Segoe UI" w:cs="Segoe UI"/>
          <w:color w:val="212121"/>
        </w:rPr>
        <w:t xml:space="preserve"> USSC and USAC have </w:t>
      </w:r>
      <w:r w:rsidRPr="00752A8B" w:rsidDel="00DC33F4">
        <w:rPr>
          <w:rFonts w:ascii="Segoe UI" w:eastAsia="Times New Roman" w:hAnsi="Segoe UI" w:cs="Segoe UI"/>
          <w:color w:val="212121"/>
        </w:rPr>
        <w:t xml:space="preserve">been evaluated </w:t>
      </w:r>
      <w:r w:rsidRPr="00752A8B">
        <w:rPr>
          <w:rFonts w:ascii="Segoe UI" w:eastAsia="Times New Roman" w:hAnsi="Segoe UI" w:cs="Segoe UI"/>
          <w:color w:val="212121"/>
        </w:rPr>
        <w:t xml:space="preserve">on four separate occasions, most </w:t>
      </w:r>
      <w:r w:rsidR="00465933">
        <w:rPr>
          <w:rFonts w:ascii="Segoe UI" w:eastAsia="Times New Roman" w:hAnsi="Segoe UI" w:cs="Segoe UI"/>
          <w:color w:val="212121"/>
        </w:rPr>
        <w:t xml:space="preserve">recently </w:t>
      </w:r>
      <w:r w:rsidRPr="00752A8B">
        <w:rPr>
          <w:rFonts w:ascii="Segoe UI" w:eastAsia="Times New Roman" w:hAnsi="Segoe UI" w:cs="Segoe UI"/>
          <w:color w:val="212121"/>
        </w:rPr>
        <w:t>in 2022, while ASPI has not undergone evaluation since 2007. In my view</w:t>
      </w:r>
      <w:r w:rsidR="00485838">
        <w:rPr>
          <w:rFonts w:ascii="Segoe UI" w:eastAsia="Times New Roman" w:hAnsi="Segoe UI" w:cs="Segoe UI"/>
          <w:color w:val="212121"/>
        </w:rPr>
        <w:t>,</w:t>
      </w:r>
      <w:r w:rsidRPr="00752A8B">
        <w:rPr>
          <w:rFonts w:ascii="Segoe UI" w:eastAsia="Times New Roman" w:hAnsi="Segoe UI" w:cs="Segoe UI"/>
          <w:color w:val="212121"/>
        </w:rPr>
        <w:t xml:space="preserve"> there is clear improvement in the performance of organisations that have undergone major reviews, with the NSC and USSC exemplifying where changes in strategy and resulting successes are directly </w:t>
      </w:r>
      <w:r w:rsidR="005D1497">
        <w:rPr>
          <w:rFonts w:ascii="Segoe UI" w:eastAsia="Times New Roman" w:hAnsi="Segoe UI" w:cs="Segoe UI"/>
          <w:color w:val="212121"/>
        </w:rPr>
        <w:t>attributable</w:t>
      </w:r>
      <w:r w:rsidRPr="00752A8B">
        <w:rPr>
          <w:rFonts w:ascii="Segoe UI" w:eastAsia="Times New Roman" w:hAnsi="Segoe UI" w:cs="Segoe UI"/>
          <w:color w:val="212121"/>
        </w:rPr>
        <w:t xml:space="preserve"> to review recommendations.</w:t>
      </w:r>
    </w:p>
    <w:p w14:paraId="06E460C9" w14:textId="77777777" w:rsidR="00DE7087" w:rsidRPr="00752A8B" w:rsidRDefault="00701F9A" w:rsidP="00884DF7">
      <w:pPr>
        <w:pStyle w:val="Heading2"/>
        <w:rPr>
          <w:rFonts w:cs="Segoe UI"/>
          <w:sz w:val="32"/>
          <w:szCs w:val="32"/>
        </w:rPr>
      </w:pPr>
      <w:bookmarkStart w:id="78" w:name="_Toc172665598"/>
      <w:bookmarkEnd w:id="76"/>
      <w:bookmarkEnd w:id="77"/>
      <w:r>
        <w:rPr>
          <w:rFonts w:cs="Segoe UI"/>
          <w:sz w:val="32"/>
          <w:szCs w:val="32"/>
        </w:rPr>
        <w:t>Strengthen governance arrangements</w:t>
      </w:r>
      <w:bookmarkEnd w:id="78"/>
      <w:r>
        <w:rPr>
          <w:rFonts w:cs="Segoe UI"/>
          <w:sz w:val="32"/>
          <w:szCs w:val="32"/>
        </w:rPr>
        <w:t xml:space="preserve"> </w:t>
      </w:r>
    </w:p>
    <w:p w14:paraId="06E460CA" w14:textId="77777777" w:rsidR="00D45263" w:rsidRDefault="0C0E7F00"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752A8B">
        <w:rPr>
          <w:rFonts w:ascii="Segoe UI" w:eastAsia="Times New Roman" w:hAnsi="Segoe UI" w:cs="Segoe UI"/>
          <w:color w:val="212121"/>
        </w:rPr>
        <w:t xml:space="preserve">Leading </w:t>
      </w:r>
      <w:r w:rsidR="00A0059E">
        <w:rPr>
          <w:rFonts w:ascii="Segoe UI" w:eastAsia="Times New Roman" w:hAnsi="Segoe UI" w:cs="Segoe UI"/>
          <w:color w:val="212121"/>
        </w:rPr>
        <w:t xml:space="preserve">and governing </w:t>
      </w:r>
      <w:r w:rsidRPr="00752A8B">
        <w:rPr>
          <w:rFonts w:ascii="Segoe UI" w:eastAsia="Times New Roman" w:hAnsi="Segoe UI" w:cs="Segoe UI"/>
          <w:color w:val="212121"/>
        </w:rPr>
        <w:t xml:space="preserve">a think tank requires a </w:t>
      </w:r>
      <w:r w:rsidR="62ADD886" w:rsidRPr="00752A8B">
        <w:rPr>
          <w:rFonts w:ascii="Segoe UI" w:eastAsia="Times New Roman" w:hAnsi="Segoe UI" w:cs="Segoe UI"/>
          <w:color w:val="212121"/>
        </w:rPr>
        <w:t>diverse mix of skills</w:t>
      </w:r>
      <w:r w:rsidRPr="00752A8B">
        <w:rPr>
          <w:rFonts w:ascii="Segoe UI" w:eastAsia="Times New Roman" w:hAnsi="Segoe UI" w:cs="Segoe UI"/>
          <w:color w:val="212121"/>
        </w:rPr>
        <w:t xml:space="preserve">. </w:t>
      </w:r>
      <w:r w:rsidR="00C93D57">
        <w:rPr>
          <w:rFonts w:ascii="Segoe UI" w:eastAsia="Times New Roman" w:hAnsi="Segoe UI" w:cs="Segoe UI"/>
          <w:color w:val="212121"/>
        </w:rPr>
        <w:t xml:space="preserve">It </w:t>
      </w:r>
      <w:r w:rsidR="00A0059E">
        <w:rPr>
          <w:rFonts w:ascii="Segoe UI" w:eastAsia="Times New Roman" w:hAnsi="Segoe UI" w:cs="Segoe UI"/>
          <w:color w:val="212121"/>
        </w:rPr>
        <w:t>requires leaders and systems which are effective in</w:t>
      </w:r>
      <w:r w:rsidR="00D45263">
        <w:rPr>
          <w:rFonts w:ascii="Segoe UI" w:eastAsia="Times New Roman" w:hAnsi="Segoe UI" w:cs="Segoe UI"/>
          <w:color w:val="212121"/>
        </w:rPr>
        <w:t>:</w:t>
      </w:r>
    </w:p>
    <w:p w14:paraId="06E460CB" w14:textId="77777777" w:rsidR="00D45263" w:rsidRDefault="0C0E7F00" w:rsidP="00C7202C">
      <w:pPr>
        <w:pStyle w:val="ListParagraph"/>
        <w:numPr>
          <w:ilvl w:val="0"/>
          <w:numId w:val="16"/>
        </w:numPr>
        <w:spacing w:line="259" w:lineRule="auto"/>
        <w:rPr>
          <w:rFonts w:ascii="Segoe UI" w:eastAsia="Times New Roman" w:hAnsi="Segoe UI" w:cs="Segoe UI"/>
          <w:color w:val="212121"/>
        </w:rPr>
      </w:pPr>
      <w:r w:rsidRPr="00D45263">
        <w:rPr>
          <w:rFonts w:ascii="Segoe UI" w:eastAsia="Times New Roman" w:hAnsi="Segoe UI" w:cs="Segoe UI"/>
          <w:color w:val="212121"/>
        </w:rPr>
        <w:t>securing financial support from external sources including government</w:t>
      </w:r>
      <w:r w:rsidR="00D53632">
        <w:rPr>
          <w:rFonts w:ascii="Segoe UI" w:eastAsia="Times New Roman" w:hAnsi="Segoe UI" w:cs="Segoe UI"/>
          <w:color w:val="212121"/>
        </w:rPr>
        <w:t>(s)</w:t>
      </w:r>
      <w:r w:rsidRPr="00D45263">
        <w:rPr>
          <w:rFonts w:ascii="Segoe UI" w:eastAsia="Times New Roman" w:hAnsi="Segoe UI" w:cs="Segoe UI"/>
          <w:color w:val="212121"/>
        </w:rPr>
        <w:t>, corporate sponsors, and philanthropic donors</w:t>
      </w:r>
      <w:r w:rsidR="00C93D57">
        <w:rPr>
          <w:rFonts w:ascii="Segoe UI" w:eastAsia="Times New Roman" w:hAnsi="Segoe UI" w:cs="Segoe UI"/>
          <w:color w:val="212121"/>
        </w:rPr>
        <w:t>;</w:t>
      </w:r>
    </w:p>
    <w:p w14:paraId="06E460CC" w14:textId="77777777" w:rsidR="00D45263" w:rsidRDefault="00D45263" w:rsidP="00C7202C">
      <w:pPr>
        <w:pStyle w:val="ListParagraph"/>
        <w:numPr>
          <w:ilvl w:val="0"/>
          <w:numId w:val="16"/>
        </w:numPr>
        <w:spacing w:line="259" w:lineRule="auto"/>
        <w:rPr>
          <w:rFonts w:ascii="Segoe UI" w:eastAsia="Times New Roman" w:hAnsi="Segoe UI" w:cs="Segoe UI"/>
          <w:color w:val="212121"/>
        </w:rPr>
      </w:pPr>
      <w:r>
        <w:rPr>
          <w:rFonts w:ascii="Segoe UI" w:eastAsia="Times New Roman" w:hAnsi="Segoe UI" w:cs="Segoe UI"/>
          <w:color w:val="212121"/>
        </w:rPr>
        <w:t>be</w:t>
      </w:r>
      <w:r w:rsidR="00A0059E">
        <w:rPr>
          <w:rFonts w:ascii="Segoe UI" w:eastAsia="Times New Roman" w:hAnsi="Segoe UI" w:cs="Segoe UI"/>
          <w:color w:val="212121"/>
        </w:rPr>
        <w:t>ing</w:t>
      </w:r>
      <w:r>
        <w:rPr>
          <w:rFonts w:ascii="Segoe UI" w:eastAsia="Times New Roman" w:hAnsi="Segoe UI" w:cs="Segoe UI"/>
          <w:color w:val="212121"/>
        </w:rPr>
        <w:t xml:space="preserve"> custodians of </w:t>
      </w:r>
      <w:r w:rsidR="0C0E7F00" w:rsidRPr="00D45263">
        <w:rPr>
          <w:rFonts w:ascii="Segoe UI" w:eastAsia="Times New Roman" w:hAnsi="Segoe UI" w:cs="Segoe UI"/>
          <w:color w:val="212121"/>
        </w:rPr>
        <w:t xml:space="preserve">an organisation’s reputation, </w:t>
      </w:r>
      <w:r>
        <w:rPr>
          <w:rFonts w:ascii="Segoe UI" w:eastAsia="Times New Roman" w:hAnsi="Segoe UI" w:cs="Segoe UI"/>
          <w:color w:val="212121"/>
        </w:rPr>
        <w:t>which can</w:t>
      </w:r>
      <w:r w:rsidR="00A0059E">
        <w:rPr>
          <w:rFonts w:ascii="Segoe UI" w:eastAsia="Times New Roman" w:hAnsi="Segoe UI" w:cs="Segoe UI"/>
          <w:color w:val="212121"/>
        </w:rPr>
        <w:t xml:space="preserve"> </w:t>
      </w:r>
      <w:r>
        <w:rPr>
          <w:rFonts w:ascii="Segoe UI" w:eastAsia="Times New Roman" w:hAnsi="Segoe UI" w:cs="Segoe UI"/>
          <w:color w:val="212121"/>
        </w:rPr>
        <w:t xml:space="preserve">make or break </w:t>
      </w:r>
      <w:r w:rsidR="001E2F8D">
        <w:rPr>
          <w:rFonts w:ascii="Segoe UI" w:eastAsia="Times New Roman" w:hAnsi="Segoe UI" w:cs="Segoe UI"/>
          <w:color w:val="212121"/>
        </w:rPr>
        <w:t>the organisation’s viability</w:t>
      </w:r>
      <w:r w:rsidR="00DB3391">
        <w:rPr>
          <w:rFonts w:ascii="Segoe UI" w:eastAsia="Times New Roman" w:hAnsi="Segoe UI" w:cs="Segoe UI"/>
          <w:color w:val="212121"/>
        </w:rPr>
        <w:t>;</w:t>
      </w:r>
      <w:r w:rsidR="001E2F8D">
        <w:rPr>
          <w:rFonts w:ascii="Segoe UI" w:eastAsia="Times New Roman" w:hAnsi="Segoe UI" w:cs="Segoe UI"/>
          <w:color w:val="212121"/>
        </w:rPr>
        <w:t xml:space="preserve"> </w:t>
      </w:r>
      <w:r>
        <w:rPr>
          <w:rFonts w:ascii="Segoe UI" w:eastAsia="Times New Roman" w:hAnsi="Segoe UI" w:cs="Segoe UI"/>
          <w:color w:val="212121"/>
        </w:rPr>
        <w:t>and</w:t>
      </w:r>
    </w:p>
    <w:p w14:paraId="06E460CD" w14:textId="77777777" w:rsidR="004073B2" w:rsidRDefault="00E576AB" w:rsidP="00C7202C">
      <w:pPr>
        <w:pStyle w:val="ListParagraph"/>
        <w:numPr>
          <w:ilvl w:val="0"/>
          <w:numId w:val="16"/>
        </w:numPr>
        <w:spacing w:line="259" w:lineRule="auto"/>
        <w:ind w:left="714" w:hanging="357"/>
        <w:contextualSpacing w:val="0"/>
        <w:rPr>
          <w:rFonts w:ascii="Segoe UI" w:eastAsia="Times New Roman" w:hAnsi="Segoe UI" w:cs="Segoe UI"/>
          <w:color w:val="212121"/>
        </w:rPr>
      </w:pPr>
      <w:r>
        <w:rPr>
          <w:rFonts w:ascii="Segoe UI" w:eastAsia="Times New Roman" w:hAnsi="Segoe UI" w:cs="Segoe UI"/>
          <w:color w:val="212121"/>
        </w:rPr>
        <w:t xml:space="preserve">driving </w:t>
      </w:r>
      <w:r w:rsidR="79082DAA" w:rsidRPr="00D45263">
        <w:rPr>
          <w:rFonts w:ascii="Segoe UI" w:eastAsia="Times New Roman" w:hAnsi="Segoe UI" w:cs="Segoe UI"/>
          <w:color w:val="212121"/>
        </w:rPr>
        <w:t xml:space="preserve">a culture of </w:t>
      </w:r>
      <w:r w:rsidR="0A5A537B" w:rsidRPr="00D45263">
        <w:rPr>
          <w:rFonts w:ascii="Segoe UI" w:eastAsia="Times New Roman" w:hAnsi="Segoe UI" w:cs="Segoe UI"/>
          <w:color w:val="212121"/>
        </w:rPr>
        <w:t>rigorous research</w:t>
      </w:r>
      <w:r w:rsidR="79082DAA" w:rsidRPr="00D45263">
        <w:rPr>
          <w:rFonts w:ascii="Segoe UI" w:eastAsia="Times New Roman" w:hAnsi="Segoe UI" w:cs="Segoe UI"/>
          <w:color w:val="212121"/>
        </w:rPr>
        <w:t>, policy relevan</w:t>
      </w:r>
      <w:r w:rsidR="4585EC51" w:rsidRPr="00D45263">
        <w:rPr>
          <w:rFonts w:ascii="Segoe UI" w:eastAsia="Times New Roman" w:hAnsi="Segoe UI" w:cs="Segoe UI"/>
          <w:color w:val="212121"/>
        </w:rPr>
        <w:t>ce</w:t>
      </w:r>
      <w:r w:rsidR="79082DAA" w:rsidRPr="00D45263">
        <w:rPr>
          <w:rFonts w:ascii="Segoe UI" w:eastAsia="Times New Roman" w:hAnsi="Segoe UI" w:cs="Segoe UI"/>
          <w:color w:val="212121"/>
        </w:rPr>
        <w:t xml:space="preserve"> and in</w:t>
      </w:r>
      <w:r w:rsidR="48D8FC98" w:rsidRPr="00D45263">
        <w:rPr>
          <w:rFonts w:ascii="Segoe UI" w:eastAsia="Times New Roman" w:hAnsi="Segoe UI" w:cs="Segoe UI"/>
          <w:color w:val="212121"/>
        </w:rPr>
        <w:t>dependence</w:t>
      </w:r>
      <w:r w:rsidR="00133CAD">
        <w:rPr>
          <w:rFonts w:ascii="Segoe UI" w:eastAsia="Times New Roman" w:hAnsi="Segoe UI" w:cs="Segoe UI"/>
          <w:color w:val="212121"/>
        </w:rPr>
        <w:t xml:space="preserve">, </w:t>
      </w:r>
      <w:r w:rsidR="00B670A2">
        <w:rPr>
          <w:rFonts w:ascii="Segoe UI" w:eastAsia="Times New Roman" w:hAnsi="Segoe UI" w:cs="Segoe UI"/>
          <w:color w:val="212121"/>
        </w:rPr>
        <w:t>using</w:t>
      </w:r>
      <w:r w:rsidR="48D8FC98" w:rsidRPr="00D45263">
        <w:rPr>
          <w:rFonts w:ascii="Segoe UI" w:eastAsia="Times New Roman" w:hAnsi="Segoe UI" w:cs="Segoe UI"/>
          <w:color w:val="212121"/>
        </w:rPr>
        <w:t xml:space="preserve"> strong </w:t>
      </w:r>
      <w:r w:rsidR="1C7FE790" w:rsidRPr="00D45263">
        <w:rPr>
          <w:rFonts w:ascii="Segoe UI" w:eastAsia="Times New Roman" w:hAnsi="Segoe UI" w:cs="Segoe UI"/>
          <w:color w:val="212121"/>
        </w:rPr>
        <w:t>knowledge of academic principles, strategic policy</w:t>
      </w:r>
      <w:r w:rsidR="09E7FB3B" w:rsidRPr="00D45263">
        <w:rPr>
          <w:rFonts w:ascii="Segoe UI" w:eastAsia="Times New Roman" w:hAnsi="Segoe UI" w:cs="Segoe UI"/>
          <w:color w:val="212121"/>
        </w:rPr>
        <w:t>,</w:t>
      </w:r>
      <w:r w:rsidR="1C7FE790" w:rsidRPr="00D45263">
        <w:rPr>
          <w:rFonts w:ascii="Segoe UI" w:eastAsia="Times New Roman" w:hAnsi="Segoe UI" w:cs="Segoe UI"/>
          <w:color w:val="212121"/>
        </w:rPr>
        <w:t xml:space="preserve"> and </w:t>
      </w:r>
      <w:r w:rsidR="01585E01" w:rsidRPr="00D45263">
        <w:rPr>
          <w:rFonts w:ascii="Segoe UI" w:eastAsia="Times New Roman" w:hAnsi="Segoe UI" w:cs="Segoe UI"/>
          <w:color w:val="212121"/>
        </w:rPr>
        <w:t>current affairs.</w:t>
      </w:r>
      <w:r w:rsidR="1C7FE790" w:rsidRPr="00D45263">
        <w:rPr>
          <w:rFonts w:ascii="Segoe UI" w:eastAsia="Times New Roman" w:hAnsi="Segoe UI" w:cs="Segoe UI"/>
          <w:color w:val="212121"/>
        </w:rPr>
        <w:t xml:space="preserve"> </w:t>
      </w:r>
    </w:p>
    <w:p w14:paraId="06E460CE" w14:textId="77777777" w:rsidR="00305A19" w:rsidRDefault="00303D80"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The CEO of a think tank sets its tone and is the face of its public reputation. The most successful think tanks are led by CEOs who demonstrate good judgement, who base their interventions in the public square on evidence</w:t>
      </w:r>
      <w:r w:rsidR="008F7582">
        <w:rPr>
          <w:rFonts w:ascii="Segoe UI" w:eastAsia="Times New Roman" w:hAnsi="Segoe UI" w:cs="Segoe UI"/>
          <w:color w:val="212121"/>
        </w:rPr>
        <w:t>-</w:t>
      </w:r>
      <w:r>
        <w:rPr>
          <w:rFonts w:ascii="Segoe UI" w:eastAsia="Times New Roman" w:hAnsi="Segoe UI" w:cs="Segoe UI"/>
          <w:color w:val="212121"/>
        </w:rPr>
        <w:t xml:space="preserve">based reports produced by their organisations </w:t>
      </w:r>
      <w:r w:rsidR="00305A19">
        <w:rPr>
          <w:rFonts w:ascii="Segoe UI" w:eastAsia="Times New Roman" w:hAnsi="Segoe UI" w:cs="Segoe UI"/>
          <w:color w:val="212121"/>
        </w:rPr>
        <w:t>and who are adept at building relationships inside and outside of government.</w:t>
      </w:r>
    </w:p>
    <w:p w14:paraId="06E460CF" w14:textId="77777777" w:rsidR="00FE79EB" w:rsidRPr="00752A8B" w:rsidRDefault="00FE79EB"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752A8B">
        <w:rPr>
          <w:rFonts w:ascii="Segoe UI" w:eastAsia="Times New Roman" w:hAnsi="Segoe UI" w:cs="Segoe UI"/>
          <w:color w:val="212121"/>
        </w:rPr>
        <w:t xml:space="preserve">Identifying the sector’s future leaders will </w:t>
      </w:r>
      <w:r>
        <w:rPr>
          <w:rFonts w:ascii="Segoe UI" w:eastAsia="Times New Roman" w:hAnsi="Segoe UI" w:cs="Segoe UI"/>
          <w:color w:val="212121"/>
        </w:rPr>
        <w:t xml:space="preserve">also </w:t>
      </w:r>
      <w:r w:rsidRPr="00752A8B">
        <w:rPr>
          <w:rFonts w:ascii="Segoe UI" w:eastAsia="Times New Roman" w:hAnsi="Segoe UI" w:cs="Segoe UI"/>
          <w:color w:val="212121"/>
        </w:rPr>
        <w:t>become more</w:t>
      </w:r>
      <w:r>
        <w:rPr>
          <w:rFonts w:ascii="Segoe UI" w:eastAsia="Times New Roman" w:hAnsi="Segoe UI" w:cs="Segoe UI"/>
          <w:color w:val="212121"/>
        </w:rPr>
        <w:t xml:space="preserve"> important and requires strategic planning</w:t>
      </w:r>
      <w:r w:rsidRPr="00752A8B">
        <w:rPr>
          <w:rFonts w:ascii="Segoe UI" w:eastAsia="Times New Roman" w:hAnsi="Segoe UI" w:cs="Segoe UI"/>
          <w:color w:val="212121"/>
        </w:rPr>
        <w:t xml:space="preserve">. Many organisations </w:t>
      </w:r>
      <w:r>
        <w:rPr>
          <w:rFonts w:ascii="Segoe UI" w:eastAsia="Times New Roman" w:hAnsi="Segoe UI" w:cs="Segoe UI"/>
          <w:color w:val="212121"/>
        </w:rPr>
        <w:t xml:space="preserve">in the sector have </w:t>
      </w:r>
      <w:r w:rsidRPr="00752A8B">
        <w:rPr>
          <w:rFonts w:ascii="Segoe UI" w:eastAsia="Times New Roman" w:hAnsi="Segoe UI" w:cs="Segoe UI"/>
          <w:color w:val="212121"/>
        </w:rPr>
        <w:t xml:space="preserve">long-serving leaders </w:t>
      </w:r>
      <w:r>
        <w:rPr>
          <w:rFonts w:ascii="Segoe UI" w:eastAsia="Times New Roman" w:hAnsi="Segoe UI" w:cs="Segoe UI"/>
          <w:color w:val="212121"/>
        </w:rPr>
        <w:t xml:space="preserve">that are </w:t>
      </w:r>
      <w:r w:rsidRPr="00752A8B">
        <w:rPr>
          <w:rFonts w:ascii="Segoe UI" w:eastAsia="Times New Roman" w:hAnsi="Segoe UI" w:cs="Segoe UI"/>
          <w:color w:val="212121"/>
        </w:rPr>
        <w:t xml:space="preserve">well-known and respected </w:t>
      </w:r>
      <w:r>
        <w:rPr>
          <w:rFonts w:ascii="Segoe UI" w:eastAsia="Times New Roman" w:hAnsi="Segoe UI" w:cs="Segoe UI"/>
          <w:color w:val="212121"/>
        </w:rPr>
        <w:t xml:space="preserve">within the </w:t>
      </w:r>
      <w:r w:rsidRPr="00752A8B">
        <w:rPr>
          <w:rFonts w:ascii="Segoe UI" w:eastAsia="Times New Roman" w:hAnsi="Segoe UI" w:cs="Segoe UI"/>
          <w:color w:val="212121"/>
        </w:rPr>
        <w:t xml:space="preserve">national security community. </w:t>
      </w:r>
      <w:r>
        <w:rPr>
          <w:rFonts w:ascii="Segoe UI" w:eastAsia="Times New Roman" w:hAnsi="Segoe UI" w:cs="Segoe UI"/>
          <w:color w:val="212121"/>
        </w:rPr>
        <w:t xml:space="preserve">But all organisations benefit from renewal and that needs to be carefully planned and managed. </w:t>
      </w:r>
    </w:p>
    <w:p w14:paraId="06E460D0" w14:textId="77777777" w:rsidR="001E2F8D" w:rsidRDefault="00305A19"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 xml:space="preserve">Good governance is also at the heart of a think tank’s success. </w:t>
      </w:r>
      <w:r w:rsidR="32C21EAF" w:rsidRPr="00752A8B">
        <w:rPr>
          <w:rFonts w:ascii="Segoe UI" w:eastAsia="Times New Roman" w:hAnsi="Segoe UI" w:cs="Segoe UI"/>
          <w:color w:val="212121"/>
        </w:rPr>
        <w:t>Organisations</w:t>
      </w:r>
      <w:r w:rsidR="1C35F84C" w:rsidRPr="00752A8B">
        <w:rPr>
          <w:rFonts w:ascii="Segoe UI" w:eastAsia="Times New Roman" w:hAnsi="Segoe UI" w:cs="Segoe UI"/>
          <w:color w:val="212121"/>
        </w:rPr>
        <w:t xml:space="preserve"> should </w:t>
      </w:r>
      <w:r w:rsidR="4BD7A39E" w:rsidRPr="00752A8B">
        <w:rPr>
          <w:rFonts w:ascii="Segoe UI" w:eastAsia="Times New Roman" w:hAnsi="Segoe UI" w:cs="Segoe UI"/>
          <w:color w:val="212121"/>
        </w:rPr>
        <w:t>develop</w:t>
      </w:r>
      <w:r w:rsidR="1C35F84C" w:rsidRPr="00752A8B">
        <w:rPr>
          <w:rFonts w:ascii="Segoe UI" w:eastAsia="Times New Roman" w:hAnsi="Segoe UI" w:cs="Segoe UI"/>
          <w:color w:val="212121"/>
        </w:rPr>
        <w:t xml:space="preserve"> and maintain a </w:t>
      </w:r>
      <w:r w:rsidR="28ED697E" w:rsidRPr="00752A8B">
        <w:rPr>
          <w:rFonts w:ascii="Segoe UI" w:eastAsia="Times New Roman" w:hAnsi="Segoe UI" w:cs="Segoe UI"/>
          <w:color w:val="212121"/>
        </w:rPr>
        <w:t xml:space="preserve">Board </w:t>
      </w:r>
      <w:r w:rsidR="1C35F84C" w:rsidRPr="00752A8B">
        <w:rPr>
          <w:rFonts w:ascii="Segoe UI" w:eastAsia="Times New Roman" w:hAnsi="Segoe UI" w:cs="Segoe UI"/>
          <w:color w:val="212121"/>
        </w:rPr>
        <w:t xml:space="preserve">skills </w:t>
      </w:r>
      <w:r w:rsidR="5155A105" w:rsidRPr="00752A8B">
        <w:rPr>
          <w:rFonts w:ascii="Segoe UI" w:eastAsia="Times New Roman" w:hAnsi="Segoe UI" w:cs="Segoe UI"/>
          <w:color w:val="212121"/>
        </w:rPr>
        <w:t>matrix</w:t>
      </w:r>
      <w:r w:rsidR="00DB55E9">
        <w:rPr>
          <w:rFonts w:ascii="Segoe UI" w:eastAsia="Times New Roman" w:hAnsi="Segoe UI" w:cs="Segoe UI"/>
          <w:color w:val="212121"/>
        </w:rPr>
        <w:t>,</w:t>
      </w:r>
      <w:r w:rsidR="1C35F84C" w:rsidRPr="00752A8B">
        <w:rPr>
          <w:rFonts w:ascii="Segoe UI" w:eastAsia="Times New Roman" w:hAnsi="Segoe UI" w:cs="Segoe UI"/>
          <w:color w:val="212121"/>
        </w:rPr>
        <w:t xml:space="preserve"> </w:t>
      </w:r>
      <w:r w:rsidR="752EBF2F" w:rsidRPr="00752A8B">
        <w:rPr>
          <w:rFonts w:ascii="Segoe UI" w:eastAsia="Times New Roman" w:hAnsi="Segoe UI" w:cs="Segoe UI"/>
          <w:color w:val="212121"/>
        </w:rPr>
        <w:t>h</w:t>
      </w:r>
      <w:r w:rsidR="1C35F84C" w:rsidRPr="00752A8B">
        <w:rPr>
          <w:rFonts w:ascii="Segoe UI" w:eastAsia="Times New Roman" w:hAnsi="Segoe UI" w:cs="Segoe UI"/>
          <w:color w:val="212121"/>
        </w:rPr>
        <w:t>a</w:t>
      </w:r>
      <w:r w:rsidR="752EBF2F" w:rsidRPr="00752A8B">
        <w:rPr>
          <w:rFonts w:ascii="Segoe UI" w:eastAsia="Times New Roman" w:hAnsi="Segoe UI" w:cs="Segoe UI"/>
          <w:color w:val="212121"/>
        </w:rPr>
        <w:t>ve set term limits</w:t>
      </w:r>
      <w:r w:rsidR="008B3A47">
        <w:rPr>
          <w:rFonts w:ascii="Segoe UI" w:eastAsia="Times New Roman" w:hAnsi="Segoe UI" w:cs="Segoe UI"/>
          <w:color w:val="212121"/>
        </w:rPr>
        <w:t>,</w:t>
      </w:r>
      <w:r w:rsidR="752EBF2F" w:rsidRPr="00752A8B">
        <w:rPr>
          <w:rFonts w:ascii="Segoe UI" w:eastAsia="Times New Roman" w:hAnsi="Segoe UI" w:cs="Segoe UI"/>
          <w:color w:val="212121"/>
        </w:rPr>
        <w:t xml:space="preserve"> </w:t>
      </w:r>
      <w:r w:rsidR="00384F9A">
        <w:rPr>
          <w:rFonts w:ascii="Segoe UI" w:eastAsia="Times New Roman" w:hAnsi="Segoe UI" w:cs="Segoe UI"/>
          <w:color w:val="212121"/>
        </w:rPr>
        <w:t>and make</w:t>
      </w:r>
      <w:r w:rsidR="00384F9A" w:rsidRPr="00752A8B">
        <w:rPr>
          <w:rFonts w:ascii="Segoe UI" w:eastAsia="Times New Roman" w:hAnsi="Segoe UI" w:cs="Segoe UI"/>
          <w:color w:val="212121"/>
        </w:rPr>
        <w:t xml:space="preserve"> </w:t>
      </w:r>
      <w:r w:rsidR="00C93D57">
        <w:rPr>
          <w:rFonts w:ascii="Segoe UI" w:eastAsia="Times New Roman" w:hAnsi="Segoe UI" w:cs="Segoe UI"/>
          <w:color w:val="212121"/>
        </w:rPr>
        <w:t xml:space="preserve">Board </w:t>
      </w:r>
      <w:r w:rsidR="1C35F84C" w:rsidRPr="00752A8B">
        <w:rPr>
          <w:rFonts w:ascii="Segoe UI" w:eastAsia="Times New Roman" w:hAnsi="Segoe UI" w:cs="Segoe UI"/>
          <w:color w:val="212121"/>
        </w:rPr>
        <w:t xml:space="preserve">appointments </w:t>
      </w:r>
      <w:r w:rsidR="001F426D">
        <w:rPr>
          <w:rFonts w:ascii="Segoe UI" w:eastAsia="Times New Roman" w:hAnsi="Segoe UI" w:cs="Segoe UI"/>
          <w:color w:val="212121"/>
        </w:rPr>
        <w:t>that</w:t>
      </w:r>
      <w:r w:rsidR="001F426D" w:rsidRPr="00752A8B">
        <w:rPr>
          <w:rFonts w:ascii="Segoe UI" w:eastAsia="Times New Roman" w:hAnsi="Segoe UI" w:cs="Segoe UI"/>
          <w:color w:val="212121"/>
        </w:rPr>
        <w:t xml:space="preserve"> </w:t>
      </w:r>
      <w:r w:rsidR="29C06958" w:rsidRPr="00752A8B">
        <w:rPr>
          <w:rFonts w:ascii="Segoe UI" w:eastAsia="Times New Roman" w:hAnsi="Segoe UI" w:cs="Segoe UI"/>
          <w:color w:val="212121"/>
        </w:rPr>
        <w:t>ensure diverse</w:t>
      </w:r>
      <w:r w:rsidR="1C35F84C" w:rsidRPr="00752A8B">
        <w:rPr>
          <w:rFonts w:ascii="Segoe UI" w:eastAsia="Times New Roman" w:hAnsi="Segoe UI" w:cs="Segoe UI"/>
          <w:color w:val="212121"/>
        </w:rPr>
        <w:t xml:space="preserve"> skill</w:t>
      </w:r>
      <w:r w:rsidR="00C93D57">
        <w:rPr>
          <w:rFonts w:ascii="Segoe UI" w:eastAsia="Times New Roman" w:hAnsi="Segoe UI" w:cs="Segoe UI"/>
          <w:color w:val="212121"/>
        </w:rPr>
        <w:t>s</w:t>
      </w:r>
      <w:r w:rsidR="1C35F84C" w:rsidRPr="00752A8B">
        <w:rPr>
          <w:rFonts w:ascii="Segoe UI" w:eastAsia="Times New Roman" w:hAnsi="Segoe UI" w:cs="Segoe UI"/>
          <w:color w:val="212121"/>
        </w:rPr>
        <w:t xml:space="preserve"> and experiences. </w:t>
      </w:r>
    </w:p>
    <w:p w14:paraId="06E460D1" w14:textId="77777777" w:rsidR="001E2F8D" w:rsidRDefault="00D45263"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M</w:t>
      </w:r>
      <w:r w:rsidR="6D0E0AA3" w:rsidRPr="2C3B9D34">
        <w:rPr>
          <w:rFonts w:ascii="Segoe UI" w:eastAsia="Times New Roman" w:hAnsi="Segoe UI" w:cs="Segoe UI"/>
          <w:color w:val="212121"/>
        </w:rPr>
        <w:t>aint</w:t>
      </w:r>
      <w:r w:rsidR="7F18ADDF" w:rsidRPr="2C3B9D34">
        <w:rPr>
          <w:rFonts w:ascii="Segoe UI" w:eastAsia="Times New Roman" w:hAnsi="Segoe UI" w:cs="Segoe UI"/>
          <w:color w:val="212121"/>
        </w:rPr>
        <w:t>ain</w:t>
      </w:r>
      <w:r w:rsidR="6D0E0AA3" w:rsidRPr="2C3B9D34">
        <w:rPr>
          <w:rFonts w:ascii="Segoe UI" w:eastAsia="Times New Roman" w:hAnsi="Segoe UI" w:cs="Segoe UI"/>
          <w:color w:val="212121"/>
        </w:rPr>
        <w:t>ing</w:t>
      </w:r>
      <w:r w:rsidR="3CD3BB72" w:rsidRPr="2C3B9D34">
        <w:rPr>
          <w:rFonts w:ascii="Segoe UI" w:eastAsia="Times New Roman" w:hAnsi="Segoe UI" w:cs="Segoe UI"/>
          <w:color w:val="212121"/>
        </w:rPr>
        <w:t xml:space="preserve"> independence and </w:t>
      </w:r>
      <w:r w:rsidR="7D27E8A8" w:rsidRPr="2C3B9D34">
        <w:rPr>
          <w:rFonts w:ascii="Segoe UI" w:eastAsia="Times New Roman" w:hAnsi="Segoe UI" w:cs="Segoe UI"/>
          <w:color w:val="212121"/>
        </w:rPr>
        <w:t>apolitical</w:t>
      </w:r>
      <w:r w:rsidR="3CD3BB72" w:rsidRPr="2C3B9D34">
        <w:rPr>
          <w:rFonts w:ascii="Segoe UI" w:eastAsia="Times New Roman" w:hAnsi="Segoe UI" w:cs="Segoe UI"/>
          <w:color w:val="212121"/>
        </w:rPr>
        <w:t xml:space="preserve"> </w:t>
      </w:r>
      <w:r w:rsidR="565B0F47" w:rsidRPr="2C3B9D34">
        <w:rPr>
          <w:rFonts w:ascii="Segoe UI" w:eastAsia="Times New Roman" w:hAnsi="Segoe UI" w:cs="Segoe UI"/>
          <w:color w:val="212121"/>
        </w:rPr>
        <w:t xml:space="preserve">perspectives </w:t>
      </w:r>
      <w:r w:rsidR="004F55D5">
        <w:rPr>
          <w:rFonts w:ascii="Segoe UI" w:eastAsia="Times New Roman" w:hAnsi="Segoe UI" w:cs="Segoe UI"/>
          <w:color w:val="212121"/>
        </w:rPr>
        <w:t>are</w:t>
      </w:r>
      <w:r w:rsidR="004F55D5" w:rsidRPr="2C3B9D34">
        <w:rPr>
          <w:rFonts w:ascii="Segoe UI" w:eastAsia="Times New Roman" w:hAnsi="Segoe UI" w:cs="Segoe UI"/>
          <w:color w:val="212121"/>
        </w:rPr>
        <w:t xml:space="preserve"> </w:t>
      </w:r>
      <w:r w:rsidR="565B0F47" w:rsidRPr="2C3B9D34">
        <w:rPr>
          <w:rFonts w:ascii="Segoe UI" w:eastAsia="Times New Roman" w:hAnsi="Segoe UI" w:cs="Segoe UI"/>
          <w:color w:val="212121"/>
        </w:rPr>
        <w:t xml:space="preserve">critical to </w:t>
      </w:r>
      <w:r w:rsidR="001E2F8D">
        <w:rPr>
          <w:rFonts w:ascii="Segoe UI" w:eastAsia="Times New Roman" w:hAnsi="Segoe UI" w:cs="Segoe UI"/>
          <w:color w:val="212121"/>
        </w:rPr>
        <w:t xml:space="preserve">the sector’s work and this rests ultimately with the governing board. Clear guidelines </w:t>
      </w:r>
      <w:r w:rsidR="001F426D">
        <w:rPr>
          <w:rFonts w:ascii="Segoe UI" w:eastAsia="Times New Roman" w:hAnsi="Segoe UI" w:cs="Segoe UI"/>
          <w:color w:val="212121"/>
        </w:rPr>
        <w:t>on the transparency and appropriateness of</w:t>
      </w:r>
      <w:r w:rsidR="001E2F8D">
        <w:rPr>
          <w:rFonts w:ascii="Segoe UI" w:eastAsia="Times New Roman" w:hAnsi="Segoe UI" w:cs="Segoe UI"/>
          <w:color w:val="212121"/>
        </w:rPr>
        <w:t xml:space="preserve"> external funding, faithful adherence to the principle that a funder can have no influence on research conclusions, </w:t>
      </w:r>
      <w:r w:rsidR="004C3BD1">
        <w:rPr>
          <w:rFonts w:ascii="Segoe UI" w:eastAsia="Times New Roman" w:hAnsi="Segoe UI" w:cs="Segoe UI"/>
          <w:color w:val="212121"/>
        </w:rPr>
        <w:t xml:space="preserve">and </w:t>
      </w:r>
      <w:r w:rsidR="001E2F8D">
        <w:rPr>
          <w:rFonts w:ascii="Segoe UI" w:eastAsia="Times New Roman" w:hAnsi="Segoe UI" w:cs="Segoe UI"/>
          <w:color w:val="212121"/>
        </w:rPr>
        <w:t xml:space="preserve">a sensitivity to how the identity and business interests of funders sits with the subject matter of reports are all vital aspects of good governance. </w:t>
      </w:r>
      <w:r w:rsidR="004F55D5">
        <w:rPr>
          <w:rFonts w:ascii="Segoe UI" w:eastAsia="Times New Roman" w:hAnsi="Segoe UI" w:cs="Segoe UI"/>
          <w:color w:val="212121"/>
        </w:rPr>
        <w:t xml:space="preserve">Governing bodies should also be sensitive to the aggregate impact of external funding on perceptions of their independence. </w:t>
      </w:r>
      <w:r w:rsidR="001E2F8D">
        <w:rPr>
          <w:rFonts w:ascii="Segoe UI" w:eastAsia="Times New Roman" w:hAnsi="Segoe UI" w:cs="Segoe UI"/>
          <w:color w:val="212121"/>
        </w:rPr>
        <w:t>University</w:t>
      </w:r>
      <w:r w:rsidR="007D701B">
        <w:rPr>
          <w:rFonts w:ascii="Segoe UI" w:eastAsia="Times New Roman" w:hAnsi="Segoe UI" w:cs="Segoe UI"/>
          <w:color w:val="212121"/>
        </w:rPr>
        <w:t>-</w:t>
      </w:r>
      <w:r w:rsidR="001E2F8D">
        <w:rPr>
          <w:rFonts w:ascii="Segoe UI" w:eastAsia="Times New Roman" w:hAnsi="Segoe UI" w:cs="Segoe UI"/>
          <w:color w:val="212121"/>
        </w:rPr>
        <w:t>based think tanks generally have well developed policies in these areas honed by years of experience on how to manage corporate and philanthropic funding. The track record of free-standing think tanks is more mixed.</w:t>
      </w:r>
    </w:p>
    <w:p w14:paraId="06E460D2" w14:textId="77777777" w:rsidR="00465933" w:rsidRDefault="00E1672C"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 xml:space="preserve">Even with substantial funding from </w:t>
      </w:r>
      <w:r w:rsidR="00A46288">
        <w:rPr>
          <w:rFonts w:ascii="Segoe UI" w:eastAsia="Times New Roman" w:hAnsi="Segoe UI" w:cs="Segoe UI"/>
          <w:color w:val="212121"/>
        </w:rPr>
        <w:t xml:space="preserve">Government, </w:t>
      </w:r>
      <w:r>
        <w:rPr>
          <w:rFonts w:ascii="Segoe UI" w:eastAsia="Times New Roman" w:hAnsi="Segoe UI" w:cs="Segoe UI"/>
          <w:color w:val="212121"/>
        </w:rPr>
        <w:t>think tanks will inevitably look to secure additional funding from corporate and philanthropic sources.</w:t>
      </w:r>
      <w:r w:rsidR="009210B7">
        <w:rPr>
          <w:rFonts w:ascii="Segoe UI" w:eastAsia="Times New Roman" w:hAnsi="Segoe UI" w:cs="Segoe UI"/>
          <w:color w:val="212121"/>
        </w:rPr>
        <w:t xml:space="preserve"> </w:t>
      </w:r>
      <w:r>
        <w:rPr>
          <w:rFonts w:ascii="Segoe UI" w:eastAsia="Times New Roman" w:hAnsi="Segoe UI" w:cs="Segoe UI"/>
          <w:color w:val="212121"/>
        </w:rPr>
        <w:t>That is entirely appropriate if there are stringent guidelines around how those funds are used.</w:t>
      </w:r>
      <w:r w:rsidR="009210B7">
        <w:rPr>
          <w:rFonts w:ascii="Segoe UI" w:eastAsia="Times New Roman" w:hAnsi="Segoe UI" w:cs="Segoe UI"/>
          <w:color w:val="212121"/>
        </w:rPr>
        <w:t xml:space="preserve"> </w:t>
      </w:r>
      <w:r>
        <w:rPr>
          <w:rFonts w:ascii="Segoe UI" w:eastAsia="Times New Roman" w:hAnsi="Segoe UI" w:cs="Segoe UI"/>
          <w:color w:val="212121"/>
        </w:rPr>
        <w:t>The same applies to funding from foreign governments where an extra measure of caution is wise.</w:t>
      </w:r>
      <w:r w:rsidR="009210B7">
        <w:rPr>
          <w:rFonts w:ascii="Segoe UI" w:eastAsia="Times New Roman" w:hAnsi="Segoe UI" w:cs="Segoe UI"/>
          <w:color w:val="212121"/>
        </w:rPr>
        <w:t xml:space="preserve"> </w:t>
      </w:r>
      <w:r>
        <w:rPr>
          <w:rFonts w:ascii="Segoe UI" w:eastAsia="Times New Roman" w:hAnsi="Segoe UI" w:cs="Segoe UI"/>
          <w:color w:val="212121"/>
        </w:rPr>
        <w:t>A blanket ban on foreign government funding is not recommended but think tanks need to be completely transparent about this and able to explain how it is consistent with their external funding guidelines.</w:t>
      </w:r>
    </w:p>
    <w:p w14:paraId="06E460D3" w14:textId="77777777" w:rsidR="1C929676" w:rsidRPr="00963625" w:rsidRDefault="1C929676"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lastRenderedPageBreak/>
        <w:t xml:space="preserve">Commonwealth operating funding should be contingent on </w:t>
      </w:r>
      <w:r w:rsidR="00E1672C" w:rsidRPr="00963625">
        <w:rPr>
          <w:rFonts w:ascii="Segoe UI" w:eastAsia="Times New Roman" w:hAnsi="Segoe UI" w:cs="Segoe UI"/>
          <w:color w:val="212121"/>
        </w:rPr>
        <w:t xml:space="preserve">stringent </w:t>
      </w:r>
      <w:r w:rsidR="001F426D" w:rsidRPr="00963625">
        <w:rPr>
          <w:rFonts w:ascii="Segoe UI" w:eastAsia="Times New Roman" w:hAnsi="Segoe UI" w:cs="Segoe UI"/>
          <w:color w:val="212121"/>
        </w:rPr>
        <w:t xml:space="preserve">and transparent </w:t>
      </w:r>
      <w:r w:rsidR="00E1672C" w:rsidRPr="00963625">
        <w:rPr>
          <w:rFonts w:ascii="Segoe UI" w:eastAsia="Times New Roman" w:hAnsi="Segoe UI" w:cs="Segoe UI"/>
          <w:color w:val="212121"/>
        </w:rPr>
        <w:t>external funding</w:t>
      </w:r>
      <w:r w:rsidRPr="00963625">
        <w:rPr>
          <w:rFonts w:ascii="Segoe UI" w:eastAsia="Times New Roman" w:hAnsi="Segoe UI" w:cs="Segoe UI"/>
          <w:color w:val="212121"/>
        </w:rPr>
        <w:t xml:space="preserve"> policies being in place and effectively implemented, with this </w:t>
      </w:r>
      <w:r w:rsidR="00E1672C" w:rsidRPr="00963625">
        <w:rPr>
          <w:rFonts w:ascii="Segoe UI" w:eastAsia="Times New Roman" w:hAnsi="Segoe UI" w:cs="Segoe UI"/>
          <w:color w:val="212121"/>
        </w:rPr>
        <w:t xml:space="preserve">also </w:t>
      </w:r>
      <w:r w:rsidR="00D53632" w:rsidRPr="00963625">
        <w:rPr>
          <w:rFonts w:ascii="Segoe UI" w:eastAsia="Times New Roman" w:hAnsi="Segoe UI" w:cs="Segoe UI"/>
          <w:color w:val="212121"/>
        </w:rPr>
        <w:t xml:space="preserve">being </w:t>
      </w:r>
      <w:r w:rsidRPr="00963625">
        <w:rPr>
          <w:rFonts w:ascii="Segoe UI" w:eastAsia="Times New Roman" w:hAnsi="Segoe UI" w:cs="Segoe UI"/>
          <w:color w:val="212121"/>
        </w:rPr>
        <w:t xml:space="preserve">a key area for </w:t>
      </w:r>
      <w:r w:rsidR="00D45263" w:rsidRPr="00963625">
        <w:rPr>
          <w:rFonts w:ascii="Segoe UI" w:eastAsia="Times New Roman" w:hAnsi="Segoe UI" w:cs="Segoe UI"/>
          <w:color w:val="212121"/>
        </w:rPr>
        <w:t>assessment</w:t>
      </w:r>
      <w:r w:rsidRPr="00963625">
        <w:rPr>
          <w:rFonts w:ascii="Segoe UI" w:eastAsia="Times New Roman" w:hAnsi="Segoe UI" w:cs="Segoe UI"/>
          <w:color w:val="212121"/>
        </w:rPr>
        <w:t xml:space="preserve"> during external reviews.</w:t>
      </w:r>
    </w:p>
    <w:p w14:paraId="06E460D4" w14:textId="77777777" w:rsidR="00FD6B2D" w:rsidRDefault="09740230"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752A8B">
        <w:rPr>
          <w:rFonts w:ascii="Segoe UI" w:eastAsia="Times New Roman" w:hAnsi="Segoe UI" w:cs="Segoe UI"/>
          <w:color w:val="212121"/>
        </w:rPr>
        <w:t xml:space="preserve">My last governance observation relates to </w:t>
      </w:r>
      <w:r w:rsidR="27BF19C1" w:rsidRPr="00752A8B">
        <w:rPr>
          <w:rFonts w:ascii="Segoe UI" w:eastAsia="Times New Roman" w:hAnsi="Segoe UI" w:cs="Segoe UI"/>
          <w:color w:val="212121"/>
        </w:rPr>
        <w:t>Commonwealth</w:t>
      </w:r>
      <w:r w:rsidRPr="00752A8B">
        <w:rPr>
          <w:rFonts w:ascii="Segoe UI" w:eastAsia="Times New Roman" w:hAnsi="Segoe UI" w:cs="Segoe UI"/>
          <w:color w:val="212121"/>
        </w:rPr>
        <w:t xml:space="preserve"> involvement on organisations’ Boards. </w:t>
      </w:r>
      <w:r w:rsidR="38E4E00F" w:rsidRPr="00752A8B">
        <w:rPr>
          <w:rFonts w:ascii="Segoe UI" w:eastAsia="Times New Roman" w:hAnsi="Segoe UI" w:cs="Segoe UI"/>
          <w:color w:val="212121"/>
        </w:rPr>
        <w:t xml:space="preserve">I consider </w:t>
      </w:r>
      <w:r w:rsidR="003403F6">
        <w:rPr>
          <w:rFonts w:ascii="Segoe UI" w:eastAsia="Times New Roman" w:hAnsi="Segoe UI" w:cs="Segoe UI"/>
          <w:color w:val="212121"/>
        </w:rPr>
        <w:t xml:space="preserve">organisations receiving operating funding from the Commonwealth should invite Commonwealth representation on their boards in an observer capacity. </w:t>
      </w:r>
      <w:r w:rsidR="001056BA">
        <w:rPr>
          <w:rFonts w:ascii="Segoe UI" w:eastAsia="Times New Roman" w:hAnsi="Segoe UI" w:cs="Segoe UI"/>
          <w:color w:val="212121"/>
        </w:rPr>
        <w:t xml:space="preserve">This </w:t>
      </w:r>
      <w:r w:rsidR="003403F6">
        <w:rPr>
          <w:rFonts w:ascii="Segoe UI" w:eastAsia="Times New Roman" w:hAnsi="Segoe UI" w:cs="Segoe UI"/>
          <w:color w:val="212121"/>
        </w:rPr>
        <w:t xml:space="preserve">would preclude Government involvement in the organisation’s decision-making but provide another touchpoint through which Government could communicate its priorities, </w:t>
      </w:r>
      <w:r w:rsidR="001056BA">
        <w:rPr>
          <w:rFonts w:ascii="Segoe UI" w:eastAsia="Times New Roman" w:hAnsi="Segoe UI" w:cs="Segoe UI"/>
          <w:color w:val="212121"/>
        </w:rPr>
        <w:t xml:space="preserve">and </w:t>
      </w:r>
      <w:r w:rsidR="003403F6">
        <w:rPr>
          <w:rFonts w:ascii="Segoe UI" w:eastAsia="Times New Roman" w:hAnsi="Segoe UI" w:cs="Segoe UI"/>
          <w:color w:val="212121"/>
        </w:rPr>
        <w:t>provid</w:t>
      </w:r>
      <w:r w:rsidR="00392D63">
        <w:rPr>
          <w:rFonts w:ascii="Segoe UI" w:eastAsia="Times New Roman" w:hAnsi="Segoe UI" w:cs="Segoe UI"/>
          <w:color w:val="212121"/>
        </w:rPr>
        <w:t xml:space="preserve">e visibility </w:t>
      </w:r>
      <w:r w:rsidR="00A46288">
        <w:rPr>
          <w:rFonts w:ascii="Segoe UI" w:eastAsia="Times New Roman" w:hAnsi="Segoe UI" w:cs="Segoe UI"/>
          <w:color w:val="212121"/>
        </w:rPr>
        <w:t xml:space="preserve">of </w:t>
      </w:r>
      <w:r w:rsidR="001056BA">
        <w:rPr>
          <w:rFonts w:ascii="Segoe UI" w:eastAsia="Times New Roman" w:hAnsi="Segoe UI" w:cs="Segoe UI"/>
          <w:color w:val="212121"/>
        </w:rPr>
        <w:t xml:space="preserve">an </w:t>
      </w:r>
      <w:r w:rsidR="00392D63">
        <w:rPr>
          <w:rFonts w:ascii="Segoe UI" w:eastAsia="Times New Roman" w:hAnsi="Segoe UI" w:cs="Segoe UI"/>
          <w:color w:val="212121"/>
        </w:rPr>
        <w:t>organisations</w:t>
      </w:r>
      <w:r w:rsidR="001056BA">
        <w:rPr>
          <w:rFonts w:ascii="Segoe UI" w:eastAsia="Times New Roman" w:hAnsi="Segoe UI" w:cs="Segoe UI"/>
          <w:color w:val="212121"/>
        </w:rPr>
        <w:t>’</w:t>
      </w:r>
      <w:r w:rsidR="00392D63">
        <w:rPr>
          <w:rFonts w:ascii="Segoe UI" w:eastAsia="Times New Roman" w:hAnsi="Segoe UI" w:cs="Segoe UI"/>
          <w:color w:val="212121"/>
        </w:rPr>
        <w:t xml:space="preserve"> use </w:t>
      </w:r>
      <w:r w:rsidR="001056BA">
        <w:rPr>
          <w:rFonts w:ascii="Segoe UI" w:eastAsia="Times New Roman" w:hAnsi="Segoe UI" w:cs="Segoe UI"/>
          <w:color w:val="212121"/>
        </w:rPr>
        <w:t xml:space="preserve">of </w:t>
      </w:r>
      <w:r w:rsidR="00392D63">
        <w:rPr>
          <w:rFonts w:ascii="Segoe UI" w:eastAsia="Times New Roman" w:hAnsi="Segoe UI" w:cs="Segoe UI"/>
          <w:color w:val="212121"/>
        </w:rPr>
        <w:t>Commonwealth funds</w:t>
      </w:r>
      <w:r w:rsidR="003403F6">
        <w:rPr>
          <w:rFonts w:ascii="Segoe UI" w:eastAsia="Times New Roman" w:hAnsi="Segoe UI" w:cs="Segoe UI"/>
          <w:color w:val="212121"/>
        </w:rPr>
        <w:t xml:space="preserve">. </w:t>
      </w:r>
      <w:r w:rsidR="004C3BD1">
        <w:rPr>
          <w:rFonts w:ascii="Segoe UI" w:eastAsia="Times New Roman" w:hAnsi="Segoe UI" w:cs="Segoe UI"/>
          <w:color w:val="212121"/>
        </w:rPr>
        <w:t>In</w:t>
      </w:r>
      <w:r w:rsidR="21CCC597" w:rsidRPr="00752A8B">
        <w:rPr>
          <w:rFonts w:ascii="Segoe UI" w:eastAsia="Times New Roman" w:hAnsi="Segoe UI" w:cs="Segoe UI"/>
          <w:color w:val="212121"/>
        </w:rPr>
        <w:t xml:space="preserve"> my consultations</w:t>
      </w:r>
      <w:r w:rsidR="00193524">
        <w:rPr>
          <w:rFonts w:ascii="Segoe UI" w:eastAsia="Times New Roman" w:hAnsi="Segoe UI" w:cs="Segoe UI"/>
          <w:color w:val="212121"/>
        </w:rPr>
        <w:t>,</w:t>
      </w:r>
      <w:r w:rsidR="21CCC597" w:rsidRPr="00752A8B">
        <w:rPr>
          <w:rFonts w:ascii="Segoe UI" w:eastAsia="Times New Roman" w:hAnsi="Segoe UI" w:cs="Segoe UI"/>
          <w:color w:val="212121"/>
        </w:rPr>
        <w:t xml:space="preserve"> </w:t>
      </w:r>
      <w:r w:rsidR="00FE79EB">
        <w:rPr>
          <w:rFonts w:ascii="Segoe UI" w:eastAsia="Times New Roman" w:hAnsi="Segoe UI" w:cs="Segoe UI"/>
          <w:color w:val="212121"/>
        </w:rPr>
        <w:t>most</w:t>
      </w:r>
      <w:r w:rsidR="21CCC597" w:rsidRPr="00752A8B">
        <w:rPr>
          <w:rFonts w:ascii="Segoe UI" w:eastAsia="Times New Roman" w:hAnsi="Segoe UI" w:cs="Segoe UI"/>
          <w:color w:val="212121"/>
        </w:rPr>
        <w:t xml:space="preserve"> organisations with Government </w:t>
      </w:r>
      <w:r w:rsidR="00FE79EB">
        <w:rPr>
          <w:rFonts w:ascii="Segoe UI" w:eastAsia="Times New Roman" w:hAnsi="Segoe UI" w:cs="Segoe UI"/>
          <w:color w:val="212121"/>
        </w:rPr>
        <w:t xml:space="preserve">observer </w:t>
      </w:r>
      <w:r w:rsidR="21CCC597" w:rsidRPr="00752A8B">
        <w:rPr>
          <w:rFonts w:ascii="Segoe UI" w:eastAsia="Times New Roman" w:hAnsi="Segoe UI" w:cs="Segoe UI"/>
          <w:color w:val="212121"/>
        </w:rPr>
        <w:t xml:space="preserve">representation </w:t>
      </w:r>
      <w:r w:rsidR="00FE79EB">
        <w:rPr>
          <w:rFonts w:ascii="Segoe UI" w:eastAsia="Times New Roman" w:hAnsi="Segoe UI" w:cs="Segoe UI"/>
          <w:color w:val="212121"/>
        </w:rPr>
        <w:t xml:space="preserve">(for example the NSC, USSC and USAC) </w:t>
      </w:r>
      <w:r w:rsidR="21CCC597" w:rsidRPr="00752A8B">
        <w:rPr>
          <w:rFonts w:ascii="Segoe UI" w:eastAsia="Times New Roman" w:hAnsi="Segoe UI" w:cs="Segoe UI"/>
          <w:color w:val="212121"/>
        </w:rPr>
        <w:t xml:space="preserve">considered this arrangement to be beneficial. </w:t>
      </w:r>
      <w:r w:rsidR="00EB668A" w:rsidRPr="00752A8B">
        <w:rPr>
          <w:rFonts w:ascii="Segoe UI" w:eastAsia="Times New Roman" w:hAnsi="Segoe UI" w:cs="Segoe UI"/>
          <w:color w:val="212121"/>
        </w:rPr>
        <w:t>Current</w:t>
      </w:r>
      <w:r w:rsidR="00622D3B" w:rsidRPr="00752A8B">
        <w:rPr>
          <w:rFonts w:ascii="Segoe UI" w:eastAsia="Times New Roman" w:hAnsi="Segoe UI" w:cs="Segoe UI"/>
          <w:color w:val="212121"/>
        </w:rPr>
        <w:t xml:space="preserve"> representatives on these boards are usually </w:t>
      </w:r>
      <w:r w:rsidR="001056BA">
        <w:rPr>
          <w:rFonts w:ascii="Segoe UI" w:eastAsia="Times New Roman" w:hAnsi="Segoe UI" w:cs="Segoe UI"/>
          <w:color w:val="212121"/>
        </w:rPr>
        <w:t>S</w:t>
      </w:r>
      <w:r w:rsidR="00622D3B" w:rsidRPr="00752A8B">
        <w:rPr>
          <w:rFonts w:ascii="Segoe UI" w:eastAsia="Times New Roman" w:hAnsi="Segoe UI" w:cs="Segoe UI"/>
          <w:color w:val="212121"/>
        </w:rPr>
        <w:t>ecretary-level</w:t>
      </w:r>
      <w:r w:rsidR="2043EE06" w:rsidRPr="00752A8B">
        <w:rPr>
          <w:rFonts w:ascii="Segoe UI" w:eastAsia="Times New Roman" w:hAnsi="Segoe UI" w:cs="Segoe UI"/>
          <w:color w:val="212121"/>
        </w:rPr>
        <w:t xml:space="preserve">, which is not necessary </w:t>
      </w:r>
      <w:r w:rsidR="004C3BD1">
        <w:rPr>
          <w:rFonts w:ascii="Segoe UI" w:eastAsia="Times New Roman" w:hAnsi="Segoe UI" w:cs="Segoe UI"/>
          <w:color w:val="212121"/>
        </w:rPr>
        <w:t xml:space="preserve">and may not be </w:t>
      </w:r>
      <w:r w:rsidR="2043EE06" w:rsidRPr="00752A8B">
        <w:rPr>
          <w:rFonts w:ascii="Segoe UI" w:eastAsia="Times New Roman" w:hAnsi="Segoe UI" w:cs="Segoe UI"/>
          <w:color w:val="212121"/>
        </w:rPr>
        <w:t>pr</w:t>
      </w:r>
      <w:r w:rsidR="004C3BD1">
        <w:rPr>
          <w:rFonts w:ascii="Segoe UI" w:eastAsia="Times New Roman" w:hAnsi="Segoe UI" w:cs="Segoe UI"/>
          <w:color w:val="212121"/>
        </w:rPr>
        <w:t>actical</w:t>
      </w:r>
      <w:r w:rsidR="2043EE06" w:rsidRPr="00752A8B">
        <w:rPr>
          <w:rFonts w:ascii="Segoe UI" w:eastAsia="Times New Roman" w:hAnsi="Segoe UI" w:cs="Segoe UI"/>
          <w:color w:val="212121"/>
        </w:rPr>
        <w:t xml:space="preserve"> in all instances</w:t>
      </w:r>
      <w:r w:rsidR="2B81A775" w:rsidRPr="00752A8B">
        <w:rPr>
          <w:rFonts w:ascii="Segoe UI" w:eastAsia="Times New Roman" w:hAnsi="Segoe UI" w:cs="Segoe UI"/>
          <w:color w:val="212121"/>
        </w:rPr>
        <w:t>.</w:t>
      </w:r>
      <w:r w:rsidR="278BC669" w:rsidRPr="00752A8B">
        <w:rPr>
          <w:rFonts w:ascii="Segoe UI" w:eastAsia="Times New Roman" w:hAnsi="Segoe UI" w:cs="Segoe UI"/>
          <w:color w:val="212121"/>
        </w:rPr>
        <w:t xml:space="preserve"> </w:t>
      </w:r>
      <w:r w:rsidR="00622D3B" w:rsidRPr="00752A8B">
        <w:rPr>
          <w:rFonts w:ascii="Segoe UI" w:eastAsia="Times New Roman" w:hAnsi="Segoe UI" w:cs="Segoe UI"/>
          <w:color w:val="212121"/>
        </w:rPr>
        <w:t xml:space="preserve">Commonwealth representation </w:t>
      </w:r>
      <w:r w:rsidR="004C3BD1">
        <w:rPr>
          <w:rFonts w:ascii="Segoe UI" w:eastAsia="Times New Roman" w:hAnsi="Segoe UI" w:cs="Segoe UI"/>
          <w:color w:val="212121"/>
        </w:rPr>
        <w:t xml:space="preserve">at </w:t>
      </w:r>
      <w:r w:rsidR="40F422D0" w:rsidRPr="00752A8B">
        <w:rPr>
          <w:rFonts w:ascii="Segoe UI" w:eastAsia="Times New Roman" w:hAnsi="Segoe UI" w:cs="Segoe UI"/>
          <w:color w:val="212121"/>
        </w:rPr>
        <w:t>the Senior Executive Service</w:t>
      </w:r>
      <w:r w:rsidR="004C3BD1">
        <w:rPr>
          <w:rFonts w:ascii="Segoe UI" w:eastAsia="Times New Roman" w:hAnsi="Segoe UI" w:cs="Segoe UI"/>
          <w:color w:val="212121"/>
        </w:rPr>
        <w:t xml:space="preserve"> level is sufficient</w:t>
      </w:r>
      <w:r w:rsidR="4710CC69" w:rsidRPr="00752A8B">
        <w:rPr>
          <w:rFonts w:ascii="Segoe UI" w:eastAsia="Times New Roman" w:hAnsi="Segoe UI" w:cs="Segoe UI"/>
          <w:color w:val="212121"/>
        </w:rPr>
        <w:t xml:space="preserve">. </w:t>
      </w:r>
    </w:p>
    <w:p w14:paraId="06E460D5" w14:textId="77777777" w:rsidR="00017D9C" w:rsidRDefault="00017D9C" w:rsidP="009210B7">
      <w:pPr>
        <w:pStyle w:val="BOXHeading3"/>
        <w:spacing w:after="80"/>
      </w:pPr>
      <w:r w:rsidRPr="009210B7">
        <w:t xml:space="preserve">Recommendation 10 </w:t>
      </w:r>
    </w:p>
    <w:p w14:paraId="06E460D6" w14:textId="77777777" w:rsidR="00017D9C" w:rsidRPr="009210B7" w:rsidRDefault="00017D9C" w:rsidP="009210B7">
      <w:pPr>
        <w:pStyle w:val="BOXText"/>
        <w:spacing w:after="80"/>
        <w:rPr>
          <w:rFonts w:ascii="Segoe UI" w:eastAsia="Times New Roman" w:hAnsi="Segoe UI" w:cs="Segoe UI"/>
          <w:color w:val="212121"/>
        </w:rPr>
      </w:pPr>
      <w:r w:rsidRPr="00017D9C">
        <w:rPr>
          <w:rFonts w:ascii="Segoe UI" w:eastAsia="Times New Roman" w:hAnsi="Segoe UI" w:cs="Segoe UI"/>
          <w:color w:val="212121"/>
        </w:rPr>
        <w:t>Organisations should implement best-practice governance, including a skills matrix for Board positions, policies governing the transparency and appropriateness of corporate</w:t>
      </w:r>
      <w:r w:rsidR="00FE79EB">
        <w:rPr>
          <w:rFonts w:ascii="Segoe UI" w:eastAsia="Times New Roman" w:hAnsi="Segoe UI" w:cs="Segoe UI"/>
          <w:color w:val="212121"/>
        </w:rPr>
        <w:t>, philanthropic</w:t>
      </w:r>
      <w:r w:rsidRPr="00017D9C">
        <w:rPr>
          <w:rFonts w:ascii="Segoe UI" w:eastAsia="Times New Roman" w:hAnsi="Segoe UI" w:cs="Segoe UI"/>
          <w:color w:val="212121"/>
        </w:rPr>
        <w:t xml:space="preserve"> and foreign funding, and providing Government observer status on Boards where the Commonwealth provides operating funding. These should be a precondition of Commonwealth </w:t>
      </w:r>
      <w:r w:rsidR="00B808C5">
        <w:rPr>
          <w:rFonts w:ascii="Segoe UI" w:eastAsia="Times New Roman" w:hAnsi="Segoe UI" w:cs="Segoe UI"/>
          <w:color w:val="212121"/>
        </w:rPr>
        <w:t xml:space="preserve">operating </w:t>
      </w:r>
      <w:r w:rsidRPr="00017D9C">
        <w:rPr>
          <w:rFonts w:ascii="Segoe UI" w:eastAsia="Times New Roman" w:hAnsi="Segoe UI" w:cs="Segoe UI"/>
          <w:color w:val="212121"/>
        </w:rPr>
        <w:t>funding</w:t>
      </w:r>
      <w:r w:rsidR="004F55D5">
        <w:rPr>
          <w:rFonts w:ascii="Segoe UI" w:eastAsia="Times New Roman" w:hAnsi="Segoe UI" w:cs="Segoe UI"/>
          <w:color w:val="212121"/>
        </w:rPr>
        <w:t>, but not fee-for-service funding</w:t>
      </w:r>
      <w:r w:rsidRPr="00017D9C">
        <w:rPr>
          <w:rFonts w:ascii="Segoe UI" w:eastAsia="Times New Roman" w:hAnsi="Segoe UI" w:cs="Segoe UI"/>
          <w:color w:val="212121"/>
        </w:rPr>
        <w:t xml:space="preserve">. </w:t>
      </w:r>
    </w:p>
    <w:p w14:paraId="06E460D7" w14:textId="77777777" w:rsidR="00C7202C" w:rsidRDefault="00C7202C" w:rsidP="003B4232">
      <w:bookmarkStart w:id="79" w:name="_Toc170307493"/>
      <w:bookmarkStart w:id="80" w:name="_Toc170383170"/>
      <w:bookmarkStart w:id="81" w:name="_Toc170980551"/>
      <w:bookmarkStart w:id="82" w:name="_Toc171004265"/>
      <w:bookmarkStart w:id="83" w:name="_Toc171074987"/>
      <w:r>
        <w:br w:type="page"/>
      </w:r>
      <w:bookmarkStart w:id="84" w:name="_GoBack"/>
      <w:bookmarkEnd w:id="84"/>
    </w:p>
    <w:p w14:paraId="06E460D8" w14:textId="77777777" w:rsidR="00C906D3" w:rsidRPr="00752A8B" w:rsidRDefault="00222531" w:rsidP="69C3BF8E">
      <w:pPr>
        <w:pStyle w:val="Heading1"/>
        <w:rPr>
          <w:rFonts w:cs="Segoe UI"/>
          <w:b w:val="0"/>
          <w:bCs/>
          <w:sz w:val="40"/>
        </w:rPr>
      </w:pPr>
      <w:bookmarkStart w:id="85" w:name="_Toc172665599"/>
      <w:r>
        <w:lastRenderedPageBreak/>
        <w:t>Chapter T</w:t>
      </w:r>
      <w:r w:rsidR="00E576AB">
        <w:t>wo</w:t>
      </w:r>
      <w:r w:rsidR="7428C214" w:rsidRPr="00C3265D">
        <w:t xml:space="preserve">: </w:t>
      </w:r>
      <w:r w:rsidR="00F4789B">
        <w:t xml:space="preserve">Performance </w:t>
      </w:r>
      <w:bookmarkEnd w:id="79"/>
      <w:bookmarkEnd w:id="80"/>
      <w:bookmarkEnd w:id="81"/>
      <w:bookmarkEnd w:id="82"/>
      <w:r w:rsidR="00EE1891">
        <w:t>E</w:t>
      </w:r>
      <w:r w:rsidR="00F4789B">
        <w:t>valuation</w:t>
      </w:r>
      <w:bookmarkEnd w:id="83"/>
      <w:bookmarkEnd w:id="85"/>
    </w:p>
    <w:p w14:paraId="06E460D9" w14:textId="77777777" w:rsidR="00712097" w:rsidRDefault="3BA232E8"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752A8B">
        <w:rPr>
          <w:rFonts w:ascii="Segoe UI" w:eastAsia="Times New Roman" w:hAnsi="Segoe UI" w:cs="Segoe UI"/>
          <w:color w:val="212121"/>
        </w:rPr>
        <w:t xml:space="preserve">The sector’s performance </w:t>
      </w:r>
      <w:r w:rsidR="004C3BD1">
        <w:rPr>
          <w:rFonts w:ascii="Segoe UI" w:eastAsia="Times New Roman" w:hAnsi="Segoe UI" w:cs="Segoe UI"/>
          <w:color w:val="212121"/>
        </w:rPr>
        <w:t xml:space="preserve">is </w:t>
      </w:r>
      <w:r w:rsidRPr="00752A8B">
        <w:rPr>
          <w:rFonts w:ascii="Segoe UI" w:eastAsia="Times New Roman" w:hAnsi="Segoe UI" w:cs="Segoe UI"/>
          <w:color w:val="212121"/>
        </w:rPr>
        <w:t>mixed</w:t>
      </w:r>
      <w:r w:rsidR="5D34485F" w:rsidRPr="00752A8B">
        <w:rPr>
          <w:rFonts w:ascii="Segoe UI" w:eastAsia="Times New Roman" w:hAnsi="Segoe UI" w:cs="Segoe UI"/>
          <w:color w:val="212121"/>
        </w:rPr>
        <w:t xml:space="preserve">. </w:t>
      </w:r>
      <w:r w:rsidR="00193524">
        <w:rPr>
          <w:rFonts w:ascii="Segoe UI" w:eastAsia="Times New Roman" w:hAnsi="Segoe UI" w:cs="Segoe UI"/>
          <w:color w:val="212121"/>
        </w:rPr>
        <w:t>S</w:t>
      </w:r>
      <w:r w:rsidR="27957963" w:rsidRPr="00752A8B">
        <w:rPr>
          <w:rFonts w:ascii="Segoe UI" w:eastAsia="Times New Roman" w:hAnsi="Segoe UI" w:cs="Segoe UI"/>
          <w:color w:val="212121"/>
        </w:rPr>
        <w:t>takeholder</w:t>
      </w:r>
      <w:r w:rsidR="00F4789B">
        <w:rPr>
          <w:rFonts w:ascii="Segoe UI" w:eastAsia="Times New Roman" w:hAnsi="Segoe UI" w:cs="Segoe UI"/>
          <w:color w:val="212121"/>
        </w:rPr>
        <w:t>s</w:t>
      </w:r>
      <w:r w:rsidR="00193524">
        <w:rPr>
          <w:rFonts w:ascii="Segoe UI" w:eastAsia="Times New Roman" w:hAnsi="Segoe UI" w:cs="Segoe UI"/>
          <w:color w:val="212121"/>
        </w:rPr>
        <w:t xml:space="preserve"> </w:t>
      </w:r>
      <w:r w:rsidR="27957963" w:rsidRPr="00752A8B">
        <w:rPr>
          <w:rFonts w:ascii="Segoe UI" w:eastAsia="Times New Roman" w:hAnsi="Segoe UI" w:cs="Segoe UI"/>
          <w:color w:val="212121"/>
        </w:rPr>
        <w:t xml:space="preserve">largely </w:t>
      </w:r>
      <w:r w:rsidR="00392D63">
        <w:rPr>
          <w:rFonts w:ascii="Segoe UI" w:eastAsia="Times New Roman" w:hAnsi="Segoe UI" w:cs="Segoe UI"/>
          <w:color w:val="212121"/>
        </w:rPr>
        <w:t xml:space="preserve">agreed </w:t>
      </w:r>
      <w:r w:rsidR="00F4789B">
        <w:rPr>
          <w:rFonts w:ascii="Segoe UI" w:eastAsia="Times New Roman" w:hAnsi="Segoe UI" w:cs="Segoe UI"/>
          <w:color w:val="212121"/>
        </w:rPr>
        <w:t>on</w:t>
      </w:r>
      <w:r w:rsidR="00131FAA">
        <w:rPr>
          <w:rFonts w:ascii="Segoe UI" w:eastAsia="Times New Roman" w:hAnsi="Segoe UI" w:cs="Segoe UI"/>
          <w:color w:val="212121"/>
        </w:rPr>
        <w:t xml:space="preserve"> the</w:t>
      </w:r>
      <w:r w:rsidR="27957963" w:rsidRPr="00752A8B">
        <w:rPr>
          <w:rFonts w:ascii="Segoe UI" w:eastAsia="Times New Roman" w:hAnsi="Segoe UI" w:cs="Segoe UI"/>
          <w:color w:val="212121"/>
        </w:rPr>
        <w:t xml:space="preserve"> important role the sector </w:t>
      </w:r>
      <w:r w:rsidR="00DB3391">
        <w:rPr>
          <w:rFonts w:ascii="Segoe UI" w:eastAsia="Times New Roman" w:hAnsi="Segoe UI" w:cs="Segoe UI"/>
          <w:color w:val="212121"/>
        </w:rPr>
        <w:t xml:space="preserve">could </w:t>
      </w:r>
      <w:r w:rsidR="60F2B6C8" w:rsidRPr="1CD1CBCC">
        <w:rPr>
          <w:rFonts w:ascii="Segoe UI" w:eastAsia="Times New Roman" w:hAnsi="Segoe UI" w:cs="Segoe UI"/>
          <w:color w:val="212121"/>
        </w:rPr>
        <w:t>play</w:t>
      </w:r>
      <w:r w:rsidR="27957963" w:rsidRPr="00752A8B">
        <w:rPr>
          <w:rFonts w:ascii="Segoe UI" w:eastAsia="Times New Roman" w:hAnsi="Segoe UI" w:cs="Segoe UI"/>
          <w:color w:val="212121"/>
        </w:rPr>
        <w:t xml:space="preserve"> but varied greatly on </w:t>
      </w:r>
      <w:r w:rsidR="74F9BA0A" w:rsidRPr="00752A8B">
        <w:rPr>
          <w:rFonts w:ascii="Segoe UI" w:eastAsia="Times New Roman" w:hAnsi="Segoe UI" w:cs="Segoe UI"/>
          <w:color w:val="212121"/>
        </w:rPr>
        <w:t>whether</w:t>
      </w:r>
      <w:r w:rsidR="27957963" w:rsidRPr="00752A8B">
        <w:rPr>
          <w:rFonts w:ascii="Segoe UI" w:eastAsia="Times New Roman" w:hAnsi="Segoe UI" w:cs="Segoe UI"/>
          <w:color w:val="212121"/>
        </w:rPr>
        <w:t xml:space="preserve"> or not</w:t>
      </w:r>
      <w:r w:rsidR="00392D63">
        <w:rPr>
          <w:rFonts w:ascii="Segoe UI" w:eastAsia="Times New Roman" w:hAnsi="Segoe UI" w:cs="Segoe UI"/>
          <w:color w:val="212121"/>
        </w:rPr>
        <w:t xml:space="preserve"> the sector was fulfilling its intended purpose</w:t>
      </w:r>
      <w:r w:rsidR="60A4A6A2" w:rsidRPr="00752A8B">
        <w:rPr>
          <w:rFonts w:ascii="Segoe UI" w:eastAsia="Times New Roman" w:hAnsi="Segoe UI" w:cs="Segoe UI"/>
          <w:color w:val="212121"/>
        </w:rPr>
        <w:t xml:space="preserve">. </w:t>
      </w:r>
    </w:p>
    <w:p w14:paraId="06E460DA" w14:textId="77777777" w:rsidR="004C3BD1" w:rsidRDefault="3DD65676"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752A8B">
        <w:rPr>
          <w:rFonts w:ascii="Segoe UI" w:eastAsia="Times New Roman" w:hAnsi="Segoe UI" w:cs="Segoe UI"/>
          <w:color w:val="212121"/>
        </w:rPr>
        <w:t xml:space="preserve">The sector’s </w:t>
      </w:r>
      <w:r w:rsidR="000B100F">
        <w:rPr>
          <w:rFonts w:ascii="Segoe UI" w:eastAsia="Times New Roman" w:hAnsi="Segoe UI" w:cs="Segoe UI"/>
          <w:color w:val="212121"/>
        </w:rPr>
        <w:t>events are</w:t>
      </w:r>
      <w:r w:rsidR="004C3BD1">
        <w:rPr>
          <w:rFonts w:ascii="Segoe UI" w:eastAsia="Times New Roman" w:hAnsi="Segoe UI" w:cs="Segoe UI"/>
          <w:color w:val="212121"/>
        </w:rPr>
        <w:t xml:space="preserve"> generally well regarded</w:t>
      </w:r>
      <w:r w:rsidR="00F60BF6">
        <w:rPr>
          <w:rFonts w:ascii="Segoe UI" w:eastAsia="Times New Roman" w:hAnsi="Segoe UI" w:cs="Segoe UI"/>
          <w:color w:val="212121"/>
        </w:rPr>
        <w:t xml:space="preserve">. Stakeholders </w:t>
      </w:r>
      <w:r w:rsidR="00347560">
        <w:rPr>
          <w:rFonts w:ascii="Segoe UI" w:eastAsia="Times New Roman" w:hAnsi="Segoe UI" w:cs="Segoe UI"/>
          <w:color w:val="212121"/>
        </w:rPr>
        <w:t xml:space="preserve">considered </w:t>
      </w:r>
      <w:r w:rsidR="004C3BD1">
        <w:rPr>
          <w:rFonts w:ascii="Segoe UI" w:eastAsia="Times New Roman" w:hAnsi="Segoe UI" w:cs="Segoe UI"/>
          <w:color w:val="212121"/>
        </w:rPr>
        <w:t xml:space="preserve">these </w:t>
      </w:r>
      <w:r w:rsidR="00F60BF6">
        <w:rPr>
          <w:rFonts w:ascii="Segoe UI" w:eastAsia="Times New Roman" w:hAnsi="Segoe UI" w:cs="Segoe UI"/>
          <w:color w:val="212121"/>
        </w:rPr>
        <w:t>events useful</w:t>
      </w:r>
      <w:r w:rsidR="00347560">
        <w:rPr>
          <w:rFonts w:ascii="Segoe UI" w:eastAsia="Times New Roman" w:hAnsi="Segoe UI" w:cs="Segoe UI"/>
          <w:color w:val="212121"/>
        </w:rPr>
        <w:t xml:space="preserve"> for providing a</w:t>
      </w:r>
      <w:r w:rsidR="00F60BF6">
        <w:rPr>
          <w:rFonts w:ascii="Segoe UI" w:eastAsia="Times New Roman" w:hAnsi="Segoe UI" w:cs="Segoe UI"/>
          <w:color w:val="212121"/>
        </w:rPr>
        <w:t xml:space="preserve"> platform for public ventilation of defence and</w:t>
      </w:r>
      <w:r w:rsidR="000B100F">
        <w:rPr>
          <w:rFonts w:ascii="Segoe UI" w:eastAsia="Times New Roman" w:hAnsi="Segoe UI" w:cs="Segoe UI"/>
          <w:color w:val="212121"/>
        </w:rPr>
        <w:t xml:space="preserve"> national</w:t>
      </w:r>
      <w:r w:rsidR="00F60BF6">
        <w:rPr>
          <w:rFonts w:ascii="Segoe UI" w:eastAsia="Times New Roman" w:hAnsi="Segoe UI" w:cs="Segoe UI"/>
          <w:color w:val="212121"/>
        </w:rPr>
        <w:t xml:space="preserve"> security issues.</w:t>
      </w:r>
      <w:r w:rsidR="00347560">
        <w:rPr>
          <w:rFonts w:ascii="Segoe UI" w:eastAsia="Times New Roman" w:hAnsi="Segoe UI" w:cs="Segoe UI"/>
          <w:color w:val="212121"/>
        </w:rPr>
        <w:t xml:space="preserve"> </w:t>
      </w:r>
    </w:p>
    <w:p w14:paraId="06E460DB" w14:textId="77777777" w:rsidR="00F60BF6" w:rsidRDefault="00F60BF6"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Similarly, stakeholders</w:t>
      </w:r>
      <w:r w:rsidR="008F3F57">
        <w:rPr>
          <w:rFonts w:ascii="Segoe UI" w:eastAsia="Times New Roman" w:hAnsi="Segoe UI" w:cs="Segoe UI"/>
          <w:color w:val="212121"/>
        </w:rPr>
        <w:t xml:space="preserve"> were positive about the sector’s professional development offerings. </w:t>
      </w:r>
      <w:r w:rsidR="004C3BD1">
        <w:rPr>
          <w:rFonts w:ascii="Segoe UI" w:eastAsia="Times New Roman" w:hAnsi="Segoe UI" w:cs="Segoe UI"/>
          <w:color w:val="212121"/>
        </w:rPr>
        <w:t>S</w:t>
      </w:r>
      <w:r w:rsidR="002C3572">
        <w:rPr>
          <w:rFonts w:ascii="Segoe UI" w:eastAsia="Times New Roman" w:hAnsi="Segoe UI" w:cs="Segoe UI"/>
          <w:color w:val="212121"/>
        </w:rPr>
        <w:t>ome considered current offerings to be too expensive and suggested other providers could provide the service more competitively. In my view</w:t>
      </w:r>
      <w:r>
        <w:rPr>
          <w:rFonts w:ascii="Segoe UI" w:eastAsia="Times New Roman" w:hAnsi="Segoe UI" w:cs="Segoe UI"/>
          <w:color w:val="212121"/>
        </w:rPr>
        <w:t xml:space="preserve">, these </w:t>
      </w:r>
      <w:r w:rsidR="00D40FD9">
        <w:rPr>
          <w:rFonts w:ascii="Segoe UI" w:eastAsia="Times New Roman" w:hAnsi="Segoe UI" w:cs="Segoe UI"/>
          <w:color w:val="212121"/>
        </w:rPr>
        <w:t>activities have been</w:t>
      </w:r>
      <w:r>
        <w:rPr>
          <w:rFonts w:ascii="Segoe UI" w:eastAsia="Times New Roman" w:hAnsi="Segoe UI" w:cs="Segoe UI"/>
          <w:color w:val="212121"/>
        </w:rPr>
        <w:t xml:space="preserve"> crucial to building a</w:t>
      </w:r>
      <w:r w:rsidR="00D40FD9">
        <w:rPr>
          <w:rFonts w:ascii="Segoe UI" w:eastAsia="Times New Roman" w:hAnsi="Segoe UI" w:cs="Segoe UI"/>
          <w:color w:val="212121"/>
        </w:rPr>
        <w:t xml:space="preserve"> larger</w:t>
      </w:r>
      <w:r>
        <w:rPr>
          <w:rFonts w:ascii="Segoe UI" w:eastAsia="Times New Roman" w:hAnsi="Segoe UI" w:cs="Segoe UI"/>
          <w:color w:val="212121"/>
        </w:rPr>
        <w:t xml:space="preserve"> cohort of policymakers capable of thi</w:t>
      </w:r>
      <w:r w:rsidR="002C3572">
        <w:rPr>
          <w:rFonts w:ascii="Segoe UI" w:eastAsia="Times New Roman" w:hAnsi="Segoe UI" w:cs="Segoe UI"/>
          <w:color w:val="212121"/>
        </w:rPr>
        <w:t>nking and acting strategically</w:t>
      </w:r>
      <w:r w:rsidR="00F4789B">
        <w:rPr>
          <w:rFonts w:ascii="Segoe UI" w:eastAsia="Times New Roman" w:hAnsi="Segoe UI" w:cs="Segoe UI"/>
          <w:color w:val="212121"/>
        </w:rPr>
        <w:t>, and t</w:t>
      </w:r>
      <w:r w:rsidR="002C3572">
        <w:rPr>
          <w:rFonts w:ascii="Segoe UI" w:eastAsia="Times New Roman" w:hAnsi="Segoe UI" w:cs="Segoe UI"/>
          <w:color w:val="212121"/>
        </w:rPr>
        <w:t xml:space="preserve">he sector’s professional development offerings </w:t>
      </w:r>
      <w:r w:rsidR="5AC40255" w:rsidRPr="5645508E">
        <w:rPr>
          <w:rFonts w:ascii="Segoe UI" w:eastAsia="Times New Roman" w:hAnsi="Segoe UI" w:cs="Segoe UI"/>
          <w:color w:val="212121"/>
        </w:rPr>
        <w:t xml:space="preserve">are </w:t>
      </w:r>
      <w:r w:rsidR="002C3572">
        <w:rPr>
          <w:rFonts w:ascii="Segoe UI" w:eastAsia="Times New Roman" w:hAnsi="Segoe UI" w:cs="Segoe UI"/>
          <w:color w:val="212121"/>
        </w:rPr>
        <w:t>commensurate with international equivalents.</w:t>
      </w:r>
      <w:r w:rsidR="009210B7">
        <w:rPr>
          <w:rFonts w:ascii="Segoe UI" w:eastAsia="Times New Roman" w:hAnsi="Segoe UI" w:cs="Segoe UI"/>
          <w:color w:val="212121"/>
        </w:rPr>
        <w:t xml:space="preserve"> </w:t>
      </w:r>
    </w:p>
    <w:p w14:paraId="06E460DC" w14:textId="77777777" w:rsidR="004C3BD1" w:rsidRDefault="00392D63"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 xml:space="preserve">The </w:t>
      </w:r>
      <w:r w:rsidR="00D40FD9">
        <w:rPr>
          <w:rFonts w:ascii="Segoe UI" w:eastAsia="Times New Roman" w:hAnsi="Segoe UI" w:cs="Segoe UI"/>
          <w:color w:val="212121"/>
        </w:rPr>
        <w:t>sector’s research</w:t>
      </w:r>
      <w:r>
        <w:rPr>
          <w:rFonts w:ascii="Segoe UI" w:eastAsia="Times New Roman" w:hAnsi="Segoe UI" w:cs="Segoe UI"/>
          <w:color w:val="212121"/>
        </w:rPr>
        <w:t>, in contrast,</w:t>
      </w:r>
      <w:r w:rsidR="00564395">
        <w:rPr>
          <w:rFonts w:ascii="Segoe UI" w:eastAsia="Times New Roman" w:hAnsi="Segoe UI" w:cs="Segoe UI"/>
          <w:color w:val="212121"/>
        </w:rPr>
        <w:t xml:space="preserve"> </w:t>
      </w:r>
      <w:r w:rsidR="00564395" w:rsidRPr="00752A8B">
        <w:rPr>
          <w:rFonts w:ascii="Segoe UI" w:eastAsia="Times New Roman" w:hAnsi="Segoe UI" w:cs="Segoe UI"/>
          <w:color w:val="212121"/>
        </w:rPr>
        <w:t>is not always delivering what Government and the public needs</w:t>
      </w:r>
      <w:r w:rsidR="00131FAA">
        <w:rPr>
          <w:rFonts w:ascii="Segoe UI" w:eastAsia="Times New Roman" w:hAnsi="Segoe UI" w:cs="Segoe UI"/>
          <w:color w:val="212121"/>
        </w:rPr>
        <w:t>, despite this category receiving the most Commonwealth f</w:t>
      </w:r>
      <w:r w:rsidR="001F426D">
        <w:rPr>
          <w:rFonts w:ascii="Segoe UI" w:eastAsia="Times New Roman" w:hAnsi="Segoe UI" w:cs="Segoe UI"/>
          <w:color w:val="212121"/>
        </w:rPr>
        <w:t>u</w:t>
      </w:r>
      <w:r w:rsidR="00131FAA">
        <w:rPr>
          <w:rFonts w:ascii="Segoe UI" w:eastAsia="Times New Roman" w:hAnsi="Segoe UI" w:cs="Segoe UI"/>
          <w:color w:val="212121"/>
        </w:rPr>
        <w:t>nding</w:t>
      </w:r>
      <w:r w:rsidR="00564395" w:rsidRPr="00752A8B">
        <w:rPr>
          <w:rFonts w:ascii="Segoe UI" w:eastAsia="Times New Roman" w:hAnsi="Segoe UI" w:cs="Segoe UI"/>
          <w:color w:val="212121"/>
        </w:rPr>
        <w:t>. The quality of outputs is inconsistent and</w:t>
      </w:r>
      <w:r>
        <w:rPr>
          <w:rFonts w:ascii="Segoe UI" w:eastAsia="Times New Roman" w:hAnsi="Segoe UI" w:cs="Segoe UI"/>
          <w:color w:val="212121"/>
        </w:rPr>
        <w:t xml:space="preserve"> the sector</w:t>
      </w:r>
      <w:r w:rsidR="00564395" w:rsidRPr="00752A8B">
        <w:rPr>
          <w:rFonts w:ascii="Segoe UI" w:eastAsia="Times New Roman" w:hAnsi="Segoe UI" w:cs="Segoe UI"/>
          <w:color w:val="212121"/>
        </w:rPr>
        <w:t xml:space="preserve"> could </w:t>
      </w:r>
      <w:r>
        <w:rPr>
          <w:rFonts w:ascii="Segoe UI" w:eastAsia="Times New Roman" w:hAnsi="Segoe UI" w:cs="Segoe UI"/>
          <w:color w:val="212121"/>
        </w:rPr>
        <w:t>focus more</w:t>
      </w:r>
      <w:r w:rsidR="00564395" w:rsidRPr="00752A8B">
        <w:rPr>
          <w:rFonts w:ascii="Segoe UI" w:eastAsia="Times New Roman" w:hAnsi="Segoe UI" w:cs="Segoe UI"/>
          <w:color w:val="212121"/>
        </w:rPr>
        <w:t xml:space="preserve"> on current Government challenges.</w:t>
      </w:r>
      <w:r w:rsidR="00564395" w:rsidRPr="00752A8B" w:rsidDel="000A38FE">
        <w:rPr>
          <w:rFonts w:ascii="Segoe UI" w:eastAsia="Times New Roman" w:hAnsi="Segoe UI" w:cs="Segoe UI"/>
          <w:color w:val="212121"/>
        </w:rPr>
        <w:t xml:space="preserve"> </w:t>
      </w:r>
      <w:r w:rsidR="00DB55E9">
        <w:rPr>
          <w:rFonts w:ascii="Segoe UI" w:eastAsia="Times New Roman" w:hAnsi="Segoe UI" w:cs="Segoe UI"/>
          <w:color w:val="212121"/>
        </w:rPr>
        <w:t>Some stakeholders</w:t>
      </w:r>
      <w:r w:rsidR="004C3BD1">
        <w:rPr>
          <w:rFonts w:ascii="Segoe UI" w:eastAsia="Times New Roman" w:hAnsi="Segoe UI" w:cs="Segoe UI"/>
          <w:color w:val="212121"/>
        </w:rPr>
        <w:t xml:space="preserve"> observed that</w:t>
      </w:r>
      <w:r w:rsidR="00DB55E9">
        <w:rPr>
          <w:rFonts w:ascii="Segoe UI" w:eastAsia="Times New Roman" w:hAnsi="Segoe UI" w:cs="Segoe UI"/>
          <w:color w:val="212121"/>
        </w:rPr>
        <w:t xml:space="preserve"> they knew where an organisation would land on any given issue before even reading the research.</w:t>
      </w:r>
    </w:p>
    <w:p w14:paraId="06E460DD" w14:textId="77777777" w:rsidR="00D40FD9" w:rsidRDefault="00564395"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T</w:t>
      </w:r>
      <w:r w:rsidR="00C85FA1">
        <w:rPr>
          <w:rFonts w:ascii="Segoe UI" w:eastAsia="Times New Roman" w:hAnsi="Segoe UI" w:cs="Segoe UI"/>
          <w:color w:val="212121"/>
        </w:rPr>
        <w:t xml:space="preserve">here </w:t>
      </w:r>
      <w:r>
        <w:rPr>
          <w:rFonts w:ascii="Segoe UI" w:eastAsia="Times New Roman" w:hAnsi="Segoe UI" w:cs="Segoe UI"/>
          <w:color w:val="212121"/>
        </w:rPr>
        <w:t xml:space="preserve">are certainly many </w:t>
      </w:r>
      <w:r w:rsidR="14CA7AE9" w:rsidRPr="6763AD37">
        <w:rPr>
          <w:rFonts w:ascii="Segoe UI" w:eastAsia="Times New Roman" w:hAnsi="Segoe UI" w:cs="Segoe UI"/>
          <w:color w:val="212121"/>
        </w:rPr>
        <w:t>hard-</w:t>
      </w:r>
      <w:r>
        <w:rPr>
          <w:rFonts w:ascii="Segoe UI" w:eastAsia="Times New Roman" w:hAnsi="Segoe UI" w:cs="Segoe UI"/>
          <w:color w:val="212121"/>
        </w:rPr>
        <w:t xml:space="preserve">working researchers </w:t>
      </w:r>
      <w:r w:rsidR="00DB55E9">
        <w:rPr>
          <w:rFonts w:ascii="Segoe UI" w:eastAsia="Times New Roman" w:hAnsi="Segoe UI" w:cs="Segoe UI"/>
          <w:color w:val="212121"/>
        </w:rPr>
        <w:t xml:space="preserve">across the </w:t>
      </w:r>
      <w:r w:rsidR="00C85FA1">
        <w:rPr>
          <w:rFonts w:ascii="Segoe UI" w:eastAsia="Times New Roman" w:hAnsi="Segoe UI" w:cs="Segoe UI"/>
          <w:color w:val="212121"/>
        </w:rPr>
        <w:t xml:space="preserve">sector producing high-quality, </w:t>
      </w:r>
      <w:r>
        <w:rPr>
          <w:rFonts w:ascii="Segoe UI" w:eastAsia="Times New Roman" w:hAnsi="Segoe UI" w:cs="Segoe UI"/>
          <w:color w:val="212121"/>
        </w:rPr>
        <w:t xml:space="preserve">data-driven and </w:t>
      </w:r>
      <w:r w:rsidR="00C85FA1">
        <w:rPr>
          <w:rFonts w:ascii="Segoe UI" w:eastAsia="Times New Roman" w:hAnsi="Segoe UI" w:cs="Segoe UI"/>
          <w:color w:val="212121"/>
        </w:rPr>
        <w:t xml:space="preserve">policy-relevant research. </w:t>
      </w:r>
      <w:r w:rsidR="00C70BE3">
        <w:rPr>
          <w:rFonts w:ascii="Segoe UI" w:eastAsia="Times New Roman" w:hAnsi="Segoe UI" w:cs="Segoe UI"/>
          <w:color w:val="212121"/>
        </w:rPr>
        <w:t xml:space="preserve">However this capability is far too concentrated within a select </w:t>
      </w:r>
      <w:r w:rsidR="004A7EC3">
        <w:rPr>
          <w:rFonts w:ascii="Segoe UI" w:eastAsia="Times New Roman" w:hAnsi="Segoe UI" w:cs="Segoe UI"/>
          <w:color w:val="212121"/>
        </w:rPr>
        <w:t>few</w:t>
      </w:r>
      <w:r w:rsidR="00C70BE3">
        <w:rPr>
          <w:rFonts w:ascii="Segoe UI" w:eastAsia="Times New Roman" w:hAnsi="Segoe UI" w:cs="Segoe UI"/>
          <w:color w:val="212121"/>
        </w:rPr>
        <w:t xml:space="preserve">. </w:t>
      </w:r>
      <w:r>
        <w:rPr>
          <w:rFonts w:ascii="Segoe UI" w:eastAsia="Times New Roman" w:hAnsi="Segoe UI" w:cs="Segoe UI"/>
          <w:color w:val="212121"/>
        </w:rPr>
        <w:t xml:space="preserve">The overall quality in the sector needs to rise, </w:t>
      </w:r>
      <w:r w:rsidR="004C3BD1">
        <w:rPr>
          <w:rFonts w:ascii="Segoe UI" w:eastAsia="Times New Roman" w:hAnsi="Segoe UI" w:cs="Segoe UI"/>
          <w:color w:val="212121"/>
        </w:rPr>
        <w:t xml:space="preserve">and </w:t>
      </w:r>
      <w:r>
        <w:rPr>
          <w:rFonts w:ascii="Segoe UI" w:eastAsia="Times New Roman" w:hAnsi="Segoe UI" w:cs="Segoe UI"/>
          <w:color w:val="212121"/>
        </w:rPr>
        <w:t xml:space="preserve">increasing the expertise and research quality should be a focus of organisations in the near term. </w:t>
      </w:r>
      <w:r w:rsidR="00F4789B">
        <w:rPr>
          <w:rFonts w:ascii="Segoe UI" w:eastAsia="Times New Roman" w:hAnsi="Segoe UI" w:cs="Segoe UI"/>
          <w:color w:val="212121"/>
        </w:rPr>
        <w:t>The sector would benefit from more focus on delivering creative solutions to national security dilemmas and less on critiqu</w:t>
      </w:r>
      <w:r w:rsidR="00684989">
        <w:rPr>
          <w:rFonts w:ascii="Segoe UI" w:eastAsia="Times New Roman" w:hAnsi="Segoe UI" w:cs="Segoe UI"/>
          <w:color w:val="212121"/>
        </w:rPr>
        <w:t>ing</w:t>
      </w:r>
      <w:r w:rsidR="00F4789B">
        <w:rPr>
          <w:rFonts w:ascii="Segoe UI" w:eastAsia="Times New Roman" w:hAnsi="Segoe UI" w:cs="Segoe UI"/>
          <w:color w:val="212121"/>
        </w:rPr>
        <w:t xml:space="preserve"> current policies. That is not the say that the latter is not valuable, just that the current balance is skewed.</w:t>
      </w:r>
      <w:r w:rsidR="009210B7">
        <w:rPr>
          <w:rFonts w:ascii="Segoe UI" w:eastAsia="Times New Roman" w:hAnsi="Segoe UI" w:cs="Segoe UI"/>
          <w:color w:val="212121"/>
        </w:rPr>
        <w:t xml:space="preserve"> </w:t>
      </w:r>
      <w:r w:rsidR="006F20BC">
        <w:rPr>
          <w:rFonts w:ascii="Segoe UI" w:eastAsia="Times New Roman" w:hAnsi="Segoe UI" w:cs="Segoe UI"/>
          <w:color w:val="212121"/>
        </w:rPr>
        <w:t>The sector should think of itself more as problem solvers, and less as admirers of the problem.</w:t>
      </w:r>
    </w:p>
    <w:p w14:paraId="06E460DE" w14:textId="77777777" w:rsidR="00A34B4A" w:rsidRPr="00752A8B" w:rsidRDefault="00F3673F"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Noting the long tail of the sector, I do not consider it helpful to provide a detailed report card on individual grant recipients. Instead, t</w:t>
      </w:r>
      <w:r w:rsidR="4E10A755" w:rsidRPr="00752A8B">
        <w:rPr>
          <w:rFonts w:ascii="Segoe UI" w:eastAsia="Times New Roman" w:hAnsi="Segoe UI" w:cs="Segoe UI"/>
          <w:color w:val="212121"/>
        </w:rPr>
        <w:t xml:space="preserve">he </w:t>
      </w:r>
      <w:r w:rsidR="004A7EDC">
        <w:rPr>
          <w:rFonts w:ascii="Segoe UI" w:eastAsia="Times New Roman" w:hAnsi="Segoe UI" w:cs="Segoe UI"/>
          <w:color w:val="212121"/>
        </w:rPr>
        <w:t>f</w:t>
      </w:r>
      <w:r w:rsidR="4E10A755" w:rsidRPr="00752A8B">
        <w:rPr>
          <w:rFonts w:ascii="Segoe UI" w:eastAsia="Times New Roman" w:hAnsi="Segoe UI" w:cs="Segoe UI"/>
          <w:color w:val="212121"/>
        </w:rPr>
        <w:t xml:space="preserve">ollowing </w:t>
      </w:r>
      <w:r w:rsidR="00564395">
        <w:rPr>
          <w:rFonts w:ascii="Segoe UI" w:eastAsia="Times New Roman" w:hAnsi="Segoe UI" w:cs="Segoe UI"/>
          <w:color w:val="212121"/>
        </w:rPr>
        <w:t xml:space="preserve">provides </w:t>
      </w:r>
      <w:r w:rsidR="001F426D">
        <w:rPr>
          <w:rFonts w:ascii="Segoe UI" w:eastAsia="Times New Roman" w:hAnsi="Segoe UI" w:cs="Segoe UI"/>
          <w:color w:val="212121"/>
        </w:rPr>
        <w:t xml:space="preserve">high-level </w:t>
      </w:r>
      <w:r w:rsidR="4E10A755" w:rsidRPr="00752A8B">
        <w:rPr>
          <w:rFonts w:ascii="Segoe UI" w:eastAsia="Times New Roman" w:hAnsi="Segoe UI" w:cs="Segoe UI"/>
          <w:color w:val="212121"/>
        </w:rPr>
        <w:t xml:space="preserve">observations on the performance and effectiveness of </w:t>
      </w:r>
      <w:r w:rsidR="00564395">
        <w:rPr>
          <w:rFonts w:ascii="Segoe UI" w:eastAsia="Times New Roman" w:hAnsi="Segoe UI" w:cs="Segoe UI"/>
          <w:color w:val="212121"/>
        </w:rPr>
        <w:t>organisations</w:t>
      </w:r>
      <w:r w:rsidR="4E10A755" w:rsidRPr="00752A8B">
        <w:rPr>
          <w:rFonts w:ascii="Segoe UI" w:eastAsia="Times New Roman" w:hAnsi="Segoe UI" w:cs="Segoe UI"/>
          <w:color w:val="212121"/>
        </w:rPr>
        <w:t xml:space="preserve"> that received over $5 million in Government funding from 1 January 2019 to 31 December 2023</w:t>
      </w:r>
      <w:r w:rsidR="00E576AB">
        <w:rPr>
          <w:rFonts w:ascii="Segoe UI" w:eastAsia="Times New Roman" w:hAnsi="Segoe UI" w:cs="Segoe UI"/>
          <w:color w:val="212121"/>
        </w:rPr>
        <w:t>.</w:t>
      </w:r>
    </w:p>
    <w:p w14:paraId="06E460DF" w14:textId="77777777" w:rsidR="00DE7087" w:rsidRPr="00752A8B" w:rsidRDefault="6157778E" w:rsidP="4DA29580">
      <w:pPr>
        <w:pStyle w:val="Heading2"/>
        <w:rPr>
          <w:rFonts w:cs="Segoe UI"/>
          <w:sz w:val="32"/>
          <w:szCs w:val="32"/>
        </w:rPr>
      </w:pPr>
      <w:bookmarkStart w:id="86" w:name="_Toc170307494"/>
      <w:bookmarkStart w:id="87" w:name="_Toc170383171"/>
      <w:bookmarkStart w:id="88" w:name="_Toc170980552"/>
      <w:bookmarkStart w:id="89" w:name="_Toc171004266"/>
      <w:bookmarkStart w:id="90" w:name="_Toc171074988"/>
      <w:bookmarkStart w:id="91" w:name="_Toc172665600"/>
      <w:r w:rsidRPr="00752A8B">
        <w:rPr>
          <w:rFonts w:cs="Segoe UI"/>
          <w:sz w:val="32"/>
          <w:szCs w:val="32"/>
        </w:rPr>
        <w:t xml:space="preserve">The </w:t>
      </w:r>
      <w:r w:rsidR="3C828BE7" w:rsidRPr="00752A8B">
        <w:rPr>
          <w:rFonts w:cs="Segoe UI"/>
          <w:sz w:val="32"/>
          <w:szCs w:val="32"/>
        </w:rPr>
        <w:t>Australian</w:t>
      </w:r>
      <w:r w:rsidRPr="00752A8B">
        <w:rPr>
          <w:rFonts w:cs="Segoe UI"/>
          <w:sz w:val="32"/>
          <w:szCs w:val="32"/>
        </w:rPr>
        <w:t xml:space="preserve"> National University (</w:t>
      </w:r>
      <w:r w:rsidR="00DE7087" w:rsidRPr="00752A8B">
        <w:rPr>
          <w:rFonts w:cs="Segoe UI"/>
          <w:sz w:val="32"/>
          <w:szCs w:val="32"/>
        </w:rPr>
        <w:t>ANU</w:t>
      </w:r>
      <w:r w:rsidR="607D9B7A" w:rsidRPr="00752A8B">
        <w:rPr>
          <w:rFonts w:cs="Segoe UI"/>
          <w:sz w:val="32"/>
          <w:szCs w:val="32"/>
        </w:rPr>
        <w:t>)</w:t>
      </w:r>
      <w:bookmarkEnd w:id="86"/>
      <w:bookmarkEnd w:id="87"/>
      <w:bookmarkEnd w:id="88"/>
      <w:bookmarkEnd w:id="89"/>
      <w:bookmarkEnd w:id="90"/>
      <w:bookmarkEnd w:id="91"/>
    </w:p>
    <w:p w14:paraId="06E460E0" w14:textId="77777777" w:rsidR="006F20BC" w:rsidRDefault="006F20BC"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T</w:t>
      </w:r>
      <w:r w:rsidR="42D778F9" w:rsidRPr="00752A8B">
        <w:rPr>
          <w:rFonts w:ascii="Segoe UI" w:eastAsia="Times New Roman" w:hAnsi="Segoe UI" w:cs="Segoe UI"/>
          <w:color w:val="212121"/>
        </w:rPr>
        <w:t>he Australian National University (ANU)</w:t>
      </w:r>
      <w:r>
        <w:rPr>
          <w:rFonts w:ascii="Segoe UI" w:eastAsia="Times New Roman" w:hAnsi="Segoe UI" w:cs="Segoe UI"/>
          <w:color w:val="212121"/>
        </w:rPr>
        <w:t xml:space="preserve"> is </w:t>
      </w:r>
      <w:r w:rsidR="42D778F9" w:rsidRPr="00752A8B">
        <w:rPr>
          <w:rFonts w:ascii="Segoe UI" w:eastAsia="Times New Roman" w:hAnsi="Segoe UI" w:cs="Segoe UI"/>
          <w:color w:val="212121"/>
        </w:rPr>
        <w:t xml:space="preserve">the largest </w:t>
      </w:r>
      <w:r w:rsidR="004F55D5">
        <w:rPr>
          <w:rFonts w:ascii="Segoe UI" w:eastAsia="Times New Roman" w:hAnsi="Segoe UI" w:cs="Segoe UI"/>
          <w:color w:val="212121"/>
        </w:rPr>
        <w:t xml:space="preserve">aggregate </w:t>
      </w:r>
      <w:r w:rsidR="42D778F9" w:rsidRPr="00752A8B">
        <w:rPr>
          <w:rFonts w:ascii="Segoe UI" w:eastAsia="Times New Roman" w:hAnsi="Segoe UI" w:cs="Segoe UI"/>
          <w:color w:val="212121"/>
        </w:rPr>
        <w:t>recipient of Commonwealth funds within the Review</w:t>
      </w:r>
      <w:r w:rsidR="00684989">
        <w:rPr>
          <w:rFonts w:ascii="Segoe UI" w:eastAsia="Times New Roman" w:hAnsi="Segoe UI" w:cs="Segoe UI"/>
          <w:color w:val="212121"/>
        </w:rPr>
        <w:t xml:space="preserve"> </w:t>
      </w:r>
      <w:r w:rsidR="42D778F9" w:rsidRPr="00752A8B">
        <w:rPr>
          <w:rFonts w:ascii="Segoe UI" w:eastAsia="Times New Roman" w:hAnsi="Segoe UI" w:cs="Segoe UI"/>
          <w:color w:val="212121"/>
        </w:rPr>
        <w:t xml:space="preserve">timeframe. </w:t>
      </w:r>
      <w:r>
        <w:rPr>
          <w:rFonts w:ascii="Segoe UI" w:eastAsia="Times New Roman" w:hAnsi="Segoe UI" w:cs="Segoe UI"/>
          <w:color w:val="212121"/>
        </w:rPr>
        <w:t>The level of funding to units within the ANU varies significantly.</w:t>
      </w:r>
    </w:p>
    <w:p w14:paraId="06E460E1" w14:textId="77777777" w:rsidR="006F20BC" w:rsidRDefault="006F20BC"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Smaller recipients include t</w:t>
      </w:r>
      <w:r w:rsidR="00C776F8">
        <w:rPr>
          <w:rFonts w:ascii="Segoe UI" w:eastAsia="Times New Roman" w:hAnsi="Segoe UI" w:cs="Segoe UI"/>
          <w:color w:val="212121"/>
        </w:rPr>
        <w:t xml:space="preserve">he Australian Member Committee of the Council for Security Cooperation in the Asia Pacific (AusCSCAP), hosted by the </w:t>
      </w:r>
      <w:r w:rsidR="00A46288">
        <w:rPr>
          <w:rFonts w:ascii="Segoe UI" w:eastAsia="Times New Roman" w:hAnsi="Segoe UI" w:cs="Segoe UI"/>
          <w:color w:val="212121"/>
        </w:rPr>
        <w:t xml:space="preserve">Strategic </w:t>
      </w:r>
      <w:r>
        <w:rPr>
          <w:rFonts w:ascii="Segoe UI" w:eastAsia="Times New Roman" w:hAnsi="Segoe UI" w:cs="Segoe UI"/>
          <w:color w:val="212121"/>
        </w:rPr>
        <w:t>and Defence Studies Centre (</w:t>
      </w:r>
      <w:r w:rsidR="00C776F8">
        <w:rPr>
          <w:rFonts w:ascii="Segoe UI" w:eastAsia="Times New Roman" w:hAnsi="Segoe UI" w:cs="Segoe UI"/>
          <w:color w:val="212121"/>
        </w:rPr>
        <w:t>SDSC</w:t>
      </w:r>
      <w:r>
        <w:rPr>
          <w:rFonts w:ascii="Segoe UI" w:eastAsia="Times New Roman" w:hAnsi="Segoe UI" w:cs="Segoe UI"/>
          <w:color w:val="212121"/>
        </w:rPr>
        <w:t>)</w:t>
      </w:r>
      <w:r w:rsidR="00932B44">
        <w:rPr>
          <w:rFonts w:ascii="Segoe UI" w:eastAsia="Times New Roman" w:hAnsi="Segoe UI" w:cs="Segoe UI"/>
          <w:color w:val="212121"/>
        </w:rPr>
        <w:t xml:space="preserve">. It is responsible for representing Australian interests in </w:t>
      </w:r>
      <w:r w:rsidR="00A72CCF">
        <w:rPr>
          <w:rFonts w:ascii="Segoe UI" w:eastAsia="Times New Roman" w:hAnsi="Segoe UI" w:cs="Segoe UI"/>
          <w:color w:val="212121"/>
        </w:rPr>
        <w:t xml:space="preserve">South and </w:t>
      </w:r>
      <w:r w:rsidR="00E277AB">
        <w:rPr>
          <w:rFonts w:ascii="Segoe UI" w:eastAsia="Times New Roman" w:hAnsi="Segoe UI" w:cs="Segoe UI"/>
          <w:color w:val="212121"/>
        </w:rPr>
        <w:t>South East Asia’s</w:t>
      </w:r>
      <w:r w:rsidR="00932B44">
        <w:rPr>
          <w:rFonts w:ascii="Segoe UI" w:eastAsia="Times New Roman" w:hAnsi="Segoe UI" w:cs="Segoe UI"/>
          <w:color w:val="212121"/>
        </w:rPr>
        <w:t xml:space="preserve"> Track 1.5 </w:t>
      </w:r>
      <w:r w:rsidR="00AD2037">
        <w:rPr>
          <w:rFonts w:ascii="Segoe UI" w:eastAsia="Times New Roman" w:hAnsi="Segoe UI" w:cs="Segoe UI"/>
          <w:color w:val="212121"/>
        </w:rPr>
        <w:t xml:space="preserve">(a combination of government and non-government representatives) </w:t>
      </w:r>
      <w:r w:rsidR="00932B44">
        <w:rPr>
          <w:rFonts w:ascii="Segoe UI" w:eastAsia="Times New Roman" w:hAnsi="Segoe UI" w:cs="Segoe UI"/>
          <w:color w:val="212121"/>
        </w:rPr>
        <w:t xml:space="preserve">and Track 2 </w:t>
      </w:r>
      <w:r w:rsidR="00AD2037">
        <w:rPr>
          <w:rFonts w:ascii="Segoe UI" w:eastAsia="Times New Roman" w:hAnsi="Segoe UI" w:cs="Segoe UI"/>
          <w:color w:val="212121"/>
        </w:rPr>
        <w:t xml:space="preserve">(exclusively non-government) </w:t>
      </w:r>
      <w:r w:rsidR="00932B44">
        <w:rPr>
          <w:rFonts w:ascii="Segoe UI" w:eastAsia="Times New Roman" w:hAnsi="Segoe UI" w:cs="Segoe UI"/>
          <w:color w:val="212121"/>
        </w:rPr>
        <w:t>initiatives aimed at enhancing regional security.</w:t>
      </w:r>
    </w:p>
    <w:p w14:paraId="06E460E2" w14:textId="77777777" w:rsidR="00AD2037" w:rsidRDefault="006F20BC"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T</w:t>
      </w:r>
      <w:r w:rsidR="00932B44">
        <w:rPr>
          <w:rFonts w:ascii="Segoe UI" w:eastAsia="Times New Roman" w:hAnsi="Segoe UI" w:cs="Segoe UI"/>
          <w:color w:val="212121"/>
        </w:rPr>
        <w:t xml:space="preserve">he already modest funding this organisation receives has </w:t>
      </w:r>
      <w:r w:rsidR="005C30FE">
        <w:rPr>
          <w:rFonts w:ascii="Segoe UI" w:eastAsia="Times New Roman" w:hAnsi="Segoe UI" w:cs="Segoe UI"/>
          <w:color w:val="212121"/>
        </w:rPr>
        <w:t xml:space="preserve">eroded </w:t>
      </w:r>
      <w:r w:rsidR="00932B44">
        <w:rPr>
          <w:rFonts w:ascii="Segoe UI" w:eastAsia="Times New Roman" w:hAnsi="Segoe UI" w:cs="Segoe UI"/>
          <w:color w:val="212121"/>
        </w:rPr>
        <w:t xml:space="preserve">in recent years. </w:t>
      </w:r>
      <w:r w:rsidR="00D46C33">
        <w:rPr>
          <w:rFonts w:ascii="Segoe UI" w:eastAsia="Times New Roman" w:hAnsi="Segoe UI" w:cs="Segoe UI"/>
          <w:color w:val="212121"/>
        </w:rPr>
        <w:t>This suggests</w:t>
      </w:r>
      <w:r>
        <w:rPr>
          <w:rFonts w:ascii="Segoe UI" w:eastAsia="Times New Roman" w:hAnsi="Segoe UI" w:cs="Segoe UI"/>
          <w:color w:val="212121"/>
        </w:rPr>
        <w:t xml:space="preserve"> the </w:t>
      </w:r>
      <w:r w:rsidR="00932B44">
        <w:rPr>
          <w:rFonts w:ascii="Segoe UI" w:eastAsia="Times New Roman" w:hAnsi="Segoe UI" w:cs="Segoe UI"/>
          <w:color w:val="212121"/>
        </w:rPr>
        <w:t xml:space="preserve">Government does not see </w:t>
      </w:r>
      <w:r w:rsidR="00AD2037">
        <w:rPr>
          <w:rFonts w:ascii="Segoe UI" w:eastAsia="Times New Roman" w:hAnsi="Segoe UI" w:cs="Segoe UI"/>
          <w:color w:val="212121"/>
        </w:rPr>
        <w:t xml:space="preserve">great </w:t>
      </w:r>
      <w:r w:rsidR="00932B44">
        <w:rPr>
          <w:rFonts w:ascii="Segoe UI" w:eastAsia="Times New Roman" w:hAnsi="Segoe UI" w:cs="Segoe UI"/>
          <w:color w:val="212121"/>
        </w:rPr>
        <w:t xml:space="preserve">value in Track 1.5 and Track 2 </w:t>
      </w:r>
      <w:r w:rsidR="00D46C33">
        <w:rPr>
          <w:rFonts w:ascii="Segoe UI" w:eastAsia="Times New Roman" w:hAnsi="Segoe UI" w:cs="Segoe UI"/>
          <w:color w:val="212121"/>
        </w:rPr>
        <w:t xml:space="preserve">diplomacy. </w:t>
      </w:r>
      <w:r w:rsidR="00684989">
        <w:rPr>
          <w:rFonts w:ascii="Segoe UI" w:eastAsia="Times New Roman" w:hAnsi="Segoe UI" w:cs="Segoe UI"/>
          <w:color w:val="212121"/>
        </w:rPr>
        <w:t xml:space="preserve">This is </w:t>
      </w:r>
      <w:r>
        <w:rPr>
          <w:rFonts w:ascii="Segoe UI" w:eastAsia="Times New Roman" w:hAnsi="Segoe UI" w:cs="Segoe UI"/>
          <w:color w:val="212121"/>
        </w:rPr>
        <w:t xml:space="preserve">unfortunate since both tracks can make an important contribution to policy development </w:t>
      </w:r>
      <w:r w:rsidR="00E3576A">
        <w:rPr>
          <w:rFonts w:ascii="Segoe UI" w:eastAsia="Times New Roman" w:hAnsi="Segoe UI" w:cs="Segoe UI"/>
          <w:color w:val="212121"/>
        </w:rPr>
        <w:t>by</w:t>
      </w:r>
      <w:r>
        <w:rPr>
          <w:rFonts w:ascii="Segoe UI" w:eastAsia="Times New Roman" w:hAnsi="Segoe UI" w:cs="Segoe UI"/>
          <w:color w:val="212121"/>
        </w:rPr>
        <w:t xml:space="preserve"> </w:t>
      </w:r>
      <w:r>
        <w:rPr>
          <w:rFonts w:ascii="Segoe UI" w:eastAsia="Times New Roman" w:hAnsi="Segoe UI" w:cs="Segoe UI"/>
          <w:color w:val="212121"/>
        </w:rPr>
        <w:lastRenderedPageBreak/>
        <w:t>test</w:t>
      </w:r>
      <w:r w:rsidR="00E3576A">
        <w:rPr>
          <w:rFonts w:ascii="Segoe UI" w:eastAsia="Times New Roman" w:hAnsi="Segoe UI" w:cs="Segoe UI"/>
          <w:color w:val="212121"/>
        </w:rPr>
        <w:t>ing</w:t>
      </w:r>
      <w:r>
        <w:rPr>
          <w:rFonts w:ascii="Segoe UI" w:eastAsia="Times New Roman" w:hAnsi="Segoe UI" w:cs="Segoe UI"/>
          <w:color w:val="212121"/>
        </w:rPr>
        <w:t xml:space="preserve"> policy positions, float</w:t>
      </w:r>
      <w:r w:rsidR="00E3576A">
        <w:rPr>
          <w:rFonts w:ascii="Segoe UI" w:eastAsia="Times New Roman" w:hAnsi="Segoe UI" w:cs="Segoe UI"/>
          <w:color w:val="212121"/>
        </w:rPr>
        <w:t>ing</w:t>
      </w:r>
      <w:r>
        <w:rPr>
          <w:rFonts w:ascii="Segoe UI" w:eastAsia="Times New Roman" w:hAnsi="Segoe UI" w:cs="Segoe UI"/>
          <w:color w:val="212121"/>
        </w:rPr>
        <w:t xml:space="preserve"> new policy ideas and gaug</w:t>
      </w:r>
      <w:r w:rsidR="00E3576A">
        <w:rPr>
          <w:rFonts w:ascii="Segoe UI" w:eastAsia="Times New Roman" w:hAnsi="Segoe UI" w:cs="Segoe UI"/>
          <w:color w:val="212121"/>
        </w:rPr>
        <w:t>ing</w:t>
      </w:r>
      <w:r>
        <w:rPr>
          <w:rFonts w:ascii="Segoe UI" w:eastAsia="Times New Roman" w:hAnsi="Segoe UI" w:cs="Segoe UI"/>
          <w:color w:val="212121"/>
        </w:rPr>
        <w:t xml:space="preserve"> the appetite for policy change and renewal</w:t>
      </w:r>
      <w:r w:rsidR="00AD2037">
        <w:rPr>
          <w:rFonts w:ascii="Segoe UI" w:eastAsia="Times New Roman" w:hAnsi="Segoe UI" w:cs="Segoe UI"/>
          <w:color w:val="212121"/>
        </w:rPr>
        <w:t>.</w:t>
      </w:r>
      <w:r w:rsidR="00E3576A">
        <w:rPr>
          <w:rFonts w:ascii="Segoe UI" w:eastAsia="Times New Roman" w:hAnsi="Segoe UI" w:cs="Segoe UI"/>
          <w:color w:val="212121"/>
        </w:rPr>
        <w:t xml:space="preserve"> </w:t>
      </w:r>
      <w:r w:rsidR="00A46288">
        <w:rPr>
          <w:rFonts w:ascii="Segoe UI" w:eastAsia="Times New Roman" w:hAnsi="Segoe UI" w:cs="Segoe UI"/>
          <w:color w:val="212121"/>
        </w:rPr>
        <w:t xml:space="preserve">Government </w:t>
      </w:r>
      <w:r w:rsidR="00E3576A">
        <w:rPr>
          <w:rFonts w:ascii="Segoe UI" w:eastAsia="Times New Roman" w:hAnsi="Segoe UI" w:cs="Segoe UI"/>
          <w:color w:val="212121"/>
        </w:rPr>
        <w:t xml:space="preserve">should engage </w:t>
      </w:r>
      <w:r w:rsidR="00AD2037">
        <w:rPr>
          <w:rFonts w:ascii="Segoe UI" w:eastAsia="Times New Roman" w:hAnsi="Segoe UI" w:cs="Segoe UI"/>
          <w:color w:val="212121"/>
        </w:rPr>
        <w:t xml:space="preserve">Australian think tanks to ensure that both have a clear understanding of where policy is settled and where there may be room for </w:t>
      </w:r>
      <w:r w:rsidR="00E3576A">
        <w:rPr>
          <w:rFonts w:ascii="Segoe UI" w:eastAsia="Times New Roman" w:hAnsi="Segoe UI" w:cs="Segoe UI"/>
          <w:color w:val="212121"/>
        </w:rPr>
        <w:t xml:space="preserve">dialogues to support policy </w:t>
      </w:r>
      <w:r w:rsidR="00AD2037">
        <w:rPr>
          <w:rFonts w:ascii="Segoe UI" w:eastAsia="Times New Roman" w:hAnsi="Segoe UI" w:cs="Segoe UI"/>
          <w:color w:val="212121"/>
        </w:rPr>
        <w:t>adjustment.</w:t>
      </w:r>
    </w:p>
    <w:p w14:paraId="06E460E3" w14:textId="77777777" w:rsidR="00D46C33" w:rsidRPr="00752A8B" w:rsidRDefault="00D46C33" w:rsidP="7174261E">
      <w:pPr>
        <w:pStyle w:val="ListParagraph"/>
        <w:numPr>
          <w:ilvl w:val="0"/>
          <w:numId w:val="22"/>
        </w:numPr>
        <w:spacing w:line="259" w:lineRule="auto"/>
        <w:ind w:left="0" w:firstLine="0"/>
        <w:rPr>
          <w:rFonts w:ascii="Segoe UI" w:eastAsia="Times New Roman" w:hAnsi="Segoe UI" w:cs="Segoe UI"/>
          <w:color w:val="212121"/>
        </w:rPr>
      </w:pPr>
      <w:r w:rsidRPr="7174261E">
        <w:rPr>
          <w:rFonts w:ascii="Segoe UI" w:eastAsia="Times New Roman" w:hAnsi="Segoe UI" w:cs="Segoe UI"/>
          <w:color w:val="212121"/>
        </w:rPr>
        <w:t xml:space="preserve">The </w:t>
      </w:r>
      <w:r w:rsidR="00AD2037" w:rsidRPr="7174261E">
        <w:rPr>
          <w:rFonts w:ascii="Segoe UI" w:eastAsia="Times New Roman" w:hAnsi="Segoe UI" w:cs="Segoe UI"/>
          <w:color w:val="212121"/>
        </w:rPr>
        <w:t xml:space="preserve">Australian Signals Directorate </w:t>
      </w:r>
      <w:r w:rsidR="00A46288" w:rsidRPr="7174261E">
        <w:rPr>
          <w:rFonts w:ascii="Segoe UI" w:eastAsia="Times New Roman" w:hAnsi="Segoe UI" w:cs="Segoe UI"/>
          <w:color w:val="212121"/>
        </w:rPr>
        <w:t>(</w:t>
      </w:r>
      <w:r w:rsidRPr="7174261E">
        <w:rPr>
          <w:rFonts w:ascii="Segoe UI" w:eastAsia="Times New Roman" w:hAnsi="Segoe UI" w:cs="Segoe UI"/>
          <w:color w:val="212121"/>
        </w:rPr>
        <w:t>ASD</w:t>
      </w:r>
      <w:r w:rsidR="00A46288" w:rsidRPr="7174261E">
        <w:rPr>
          <w:rFonts w:ascii="Segoe UI" w:eastAsia="Times New Roman" w:hAnsi="Segoe UI" w:cs="Segoe UI"/>
          <w:color w:val="212121"/>
        </w:rPr>
        <w:t>)</w:t>
      </w:r>
      <w:r w:rsidRPr="7174261E">
        <w:rPr>
          <w:rFonts w:ascii="Segoe UI" w:eastAsia="Times New Roman" w:hAnsi="Segoe UI" w:cs="Segoe UI"/>
          <w:color w:val="212121"/>
        </w:rPr>
        <w:t xml:space="preserve">-ANU Co-Lab </w:t>
      </w:r>
      <w:r w:rsidR="00902BFE" w:rsidRPr="7174261E">
        <w:rPr>
          <w:rFonts w:ascii="Segoe UI" w:eastAsia="Times New Roman" w:hAnsi="Segoe UI" w:cs="Segoe UI"/>
          <w:color w:val="212121"/>
        </w:rPr>
        <w:t xml:space="preserve">is </w:t>
      </w:r>
      <w:r w:rsidR="00C64FF2" w:rsidRPr="7174261E">
        <w:rPr>
          <w:rFonts w:ascii="Segoe UI" w:eastAsia="Times New Roman" w:hAnsi="Segoe UI" w:cs="Segoe UI"/>
          <w:color w:val="212121"/>
        </w:rPr>
        <w:t xml:space="preserve">a </w:t>
      </w:r>
      <w:r w:rsidR="00902BFE" w:rsidRPr="7174261E">
        <w:rPr>
          <w:rFonts w:ascii="Segoe UI" w:eastAsia="Times New Roman" w:hAnsi="Segoe UI" w:cs="Segoe UI"/>
          <w:color w:val="212121"/>
        </w:rPr>
        <w:t>novel partnership aimed at accelerating the transfer of knowledge and expertise through collaboration. It</w:t>
      </w:r>
      <w:r w:rsidR="00D63518" w:rsidRPr="7174261E">
        <w:rPr>
          <w:rFonts w:ascii="Segoe UI" w:eastAsia="Times New Roman" w:hAnsi="Segoe UI" w:cs="Segoe UI"/>
          <w:color w:val="212121"/>
        </w:rPr>
        <w:t>s work</w:t>
      </w:r>
      <w:r w:rsidR="00902BFE" w:rsidRPr="7174261E">
        <w:rPr>
          <w:rFonts w:ascii="Segoe UI" w:eastAsia="Times New Roman" w:hAnsi="Segoe UI" w:cs="Segoe UI"/>
          <w:color w:val="212121"/>
        </w:rPr>
        <w:t xml:space="preserve"> i</w:t>
      </w:r>
      <w:r w:rsidR="00D63518" w:rsidRPr="7174261E">
        <w:rPr>
          <w:rFonts w:ascii="Segoe UI" w:eastAsia="Times New Roman" w:hAnsi="Segoe UI" w:cs="Segoe UI"/>
          <w:color w:val="212121"/>
        </w:rPr>
        <w:t>s multi-disciplinary cover</w:t>
      </w:r>
      <w:r w:rsidR="18BCB599" w:rsidRPr="7174261E">
        <w:rPr>
          <w:rFonts w:ascii="Segoe UI" w:eastAsia="Times New Roman" w:hAnsi="Segoe UI" w:cs="Segoe UI"/>
          <w:color w:val="212121"/>
        </w:rPr>
        <w:t>ing</w:t>
      </w:r>
      <w:r w:rsidR="00D63518" w:rsidRPr="7174261E">
        <w:rPr>
          <w:rFonts w:ascii="Segoe UI" w:eastAsia="Times New Roman" w:hAnsi="Segoe UI" w:cs="Segoe UI"/>
          <w:color w:val="212121"/>
        </w:rPr>
        <w:t xml:space="preserve"> areas such as </w:t>
      </w:r>
      <w:r w:rsidR="00902BFE" w:rsidRPr="7174261E">
        <w:rPr>
          <w:rFonts w:ascii="Segoe UI" w:eastAsia="Times New Roman" w:hAnsi="Segoe UI" w:cs="Segoe UI"/>
          <w:color w:val="212121"/>
        </w:rPr>
        <w:t>cryptography, computational linguistics, secure communications, cyber security, psychology</w:t>
      </w:r>
      <w:r w:rsidR="008B3A47" w:rsidRPr="7174261E">
        <w:rPr>
          <w:rFonts w:ascii="Segoe UI" w:eastAsia="Times New Roman" w:hAnsi="Segoe UI" w:cs="Segoe UI"/>
          <w:color w:val="212121"/>
        </w:rPr>
        <w:t>,</w:t>
      </w:r>
      <w:r w:rsidR="00902BFE" w:rsidRPr="7174261E">
        <w:rPr>
          <w:rFonts w:ascii="Segoe UI" w:eastAsia="Times New Roman" w:hAnsi="Segoe UI" w:cs="Segoe UI"/>
          <w:color w:val="212121"/>
        </w:rPr>
        <w:t xml:space="preserve"> and vulnerability research. </w:t>
      </w:r>
      <w:r w:rsidR="00D63518" w:rsidRPr="7174261E">
        <w:rPr>
          <w:rFonts w:ascii="Segoe UI" w:eastAsia="Times New Roman" w:hAnsi="Segoe UI" w:cs="Segoe UI"/>
          <w:color w:val="212121"/>
        </w:rPr>
        <w:t xml:space="preserve">Co-location builds familiarity between Government and the </w:t>
      </w:r>
      <w:r w:rsidR="00AD2037" w:rsidRPr="7174261E">
        <w:rPr>
          <w:rFonts w:ascii="Segoe UI" w:eastAsia="Times New Roman" w:hAnsi="Segoe UI" w:cs="Segoe UI"/>
          <w:color w:val="212121"/>
        </w:rPr>
        <w:t>sector and</w:t>
      </w:r>
      <w:r w:rsidR="50F0B905" w:rsidRPr="7174261E">
        <w:rPr>
          <w:rFonts w:ascii="Segoe UI" w:eastAsia="Times New Roman" w:hAnsi="Segoe UI" w:cs="Segoe UI"/>
          <w:color w:val="212121"/>
        </w:rPr>
        <w:t xml:space="preserve"> </w:t>
      </w:r>
      <w:r w:rsidR="00D63518" w:rsidRPr="7174261E">
        <w:rPr>
          <w:rFonts w:ascii="Segoe UI" w:eastAsia="Times New Roman" w:hAnsi="Segoe UI" w:cs="Segoe UI"/>
          <w:color w:val="212121"/>
        </w:rPr>
        <w:t>offers the opportunity for ASD staff to identify talented students</w:t>
      </w:r>
      <w:r w:rsidR="000A8C20" w:rsidRPr="7174261E">
        <w:rPr>
          <w:rFonts w:ascii="Segoe UI" w:eastAsia="Times New Roman" w:hAnsi="Segoe UI" w:cs="Segoe UI"/>
          <w:color w:val="212121"/>
        </w:rPr>
        <w:t xml:space="preserve"> </w:t>
      </w:r>
      <w:r w:rsidR="00AD2037" w:rsidRPr="7174261E">
        <w:rPr>
          <w:rFonts w:ascii="Segoe UI" w:eastAsia="Times New Roman" w:hAnsi="Segoe UI" w:cs="Segoe UI"/>
          <w:color w:val="212121"/>
        </w:rPr>
        <w:t xml:space="preserve">thereby </w:t>
      </w:r>
      <w:r w:rsidR="000A8C20" w:rsidRPr="7174261E">
        <w:rPr>
          <w:rFonts w:ascii="Segoe UI" w:eastAsia="Times New Roman" w:hAnsi="Segoe UI" w:cs="Segoe UI"/>
          <w:color w:val="212121"/>
        </w:rPr>
        <w:t xml:space="preserve">creating </w:t>
      </w:r>
      <w:r w:rsidR="00D63518" w:rsidRPr="7174261E">
        <w:rPr>
          <w:rFonts w:ascii="Segoe UI" w:eastAsia="Times New Roman" w:hAnsi="Segoe UI" w:cs="Segoe UI"/>
          <w:color w:val="212121"/>
        </w:rPr>
        <w:t xml:space="preserve">a recruitment pipeline for the national intelligence community. </w:t>
      </w:r>
      <w:r w:rsidR="00AD2037" w:rsidRPr="7174261E">
        <w:rPr>
          <w:rFonts w:ascii="Segoe UI" w:eastAsia="Times New Roman" w:hAnsi="Segoe UI" w:cs="Segoe UI"/>
          <w:color w:val="212121"/>
        </w:rPr>
        <w:t xml:space="preserve">This </w:t>
      </w:r>
      <w:r w:rsidR="00684989" w:rsidRPr="7174261E">
        <w:rPr>
          <w:rFonts w:ascii="Segoe UI" w:eastAsia="Times New Roman" w:hAnsi="Segoe UI" w:cs="Segoe UI"/>
          <w:color w:val="212121"/>
        </w:rPr>
        <w:t>is a model that is working well for both parties and could be emulated across the national security community.</w:t>
      </w:r>
    </w:p>
    <w:p w14:paraId="06E460E4" w14:textId="77777777" w:rsidR="484DC919" w:rsidRPr="00AF520C" w:rsidRDefault="3797A6C7" w:rsidP="38B76E81">
      <w:pPr>
        <w:pStyle w:val="Heading3"/>
        <w:rPr>
          <w:rFonts w:cstheme="minorBidi"/>
        </w:rPr>
      </w:pPr>
      <w:bookmarkStart w:id="92" w:name="_Toc170307495"/>
      <w:r w:rsidRPr="00AF520C">
        <w:rPr>
          <w:rFonts w:cstheme="minorBidi"/>
        </w:rPr>
        <w:t xml:space="preserve">The </w:t>
      </w:r>
      <w:r w:rsidR="37C6A099" w:rsidRPr="00AF520C">
        <w:rPr>
          <w:rFonts w:cstheme="minorBidi"/>
        </w:rPr>
        <w:t xml:space="preserve">Strategic </w:t>
      </w:r>
      <w:r w:rsidR="008B3A47" w:rsidRPr="00AF520C">
        <w:rPr>
          <w:rFonts w:cstheme="minorBidi"/>
        </w:rPr>
        <w:t xml:space="preserve">and </w:t>
      </w:r>
      <w:r w:rsidR="37C6A099" w:rsidRPr="00AF520C">
        <w:rPr>
          <w:rFonts w:cstheme="minorBidi"/>
        </w:rPr>
        <w:t>Defence Studies Centre</w:t>
      </w:r>
      <w:r w:rsidR="762040C7" w:rsidRPr="00AF520C">
        <w:rPr>
          <w:rFonts w:cstheme="minorBidi"/>
        </w:rPr>
        <w:t xml:space="preserve"> (SDSC)</w:t>
      </w:r>
      <w:bookmarkEnd w:id="92"/>
    </w:p>
    <w:p w14:paraId="06E460E5" w14:textId="77777777" w:rsidR="00FD65DA" w:rsidRPr="00752A8B" w:rsidRDefault="00915F01"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 xml:space="preserve">Established in 1966, </w:t>
      </w:r>
      <w:r w:rsidR="0EB26EFD" w:rsidRPr="38352959">
        <w:rPr>
          <w:rFonts w:ascii="Segoe UI" w:eastAsia="Times New Roman" w:hAnsi="Segoe UI" w:cs="Segoe UI"/>
          <w:color w:val="212121"/>
        </w:rPr>
        <w:t>t</w:t>
      </w:r>
      <w:r w:rsidR="24AA752A" w:rsidRPr="38352959">
        <w:rPr>
          <w:rFonts w:ascii="Segoe UI" w:eastAsia="Times New Roman" w:hAnsi="Segoe UI" w:cs="Segoe UI"/>
          <w:color w:val="212121"/>
        </w:rPr>
        <w:t xml:space="preserve">he </w:t>
      </w:r>
      <w:r w:rsidR="00841186" w:rsidRPr="00752A8B">
        <w:rPr>
          <w:rFonts w:ascii="Segoe UI" w:eastAsia="Times New Roman" w:hAnsi="Segoe UI" w:cs="Segoe UI"/>
          <w:color w:val="212121"/>
        </w:rPr>
        <w:t>S</w:t>
      </w:r>
      <w:r w:rsidR="488C6BCA" w:rsidRPr="00752A8B">
        <w:rPr>
          <w:rFonts w:ascii="Segoe UI" w:eastAsia="Times New Roman" w:hAnsi="Segoe UI" w:cs="Segoe UI"/>
          <w:color w:val="212121"/>
        </w:rPr>
        <w:t>DSC</w:t>
      </w:r>
      <w:r w:rsidR="00841186" w:rsidRPr="00752A8B">
        <w:rPr>
          <w:rFonts w:ascii="Segoe UI" w:eastAsia="Times New Roman" w:hAnsi="Segoe UI" w:cs="Segoe UI"/>
          <w:color w:val="212121"/>
        </w:rPr>
        <w:t xml:space="preserve"> </w:t>
      </w:r>
      <w:r w:rsidRPr="38352959">
        <w:rPr>
          <w:rFonts w:ascii="Segoe UI" w:eastAsia="Times New Roman" w:hAnsi="Segoe UI" w:cs="Segoe UI"/>
          <w:color w:val="212121"/>
        </w:rPr>
        <w:t>undertak</w:t>
      </w:r>
      <w:r w:rsidR="007E05CE">
        <w:rPr>
          <w:rFonts w:ascii="Segoe UI" w:eastAsia="Times New Roman" w:hAnsi="Segoe UI" w:cs="Segoe UI"/>
          <w:color w:val="212121"/>
        </w:rPr>
        <w:t>es</w:t>
      </w:r>
      <w:r w:rsidRPr="38352959">
        <w:rPr>
          <w:rFonts w:ascii="Segoe UI" w:eastAsia="Times New Roman" w:hAnsi="Segoe UI" w:cs="Segoe UI"/>
          <w:color w:val="212121"/>
        </w:rPr>
        <w:t xml:space="preserve"> </w:t>
      </w:r>
      <w:r w:rsidR="6BF18564" w:rsidRPr="00752A8B">
        <w:rPr>
          <w:rFonts w:ascii="Segoe UI" w:eastAsia="Times New Roman" w:hAnsi="Segoe UI" w:cs="Segoe UI"/>
          <w:color w:val="212121"/>
        </w:rPr>
        <w:t>research</w:t>
      </w:r>
      <w:r w:rsidR="00841186" w:rsidRPr="00752A8B">
        <w:rPr>
          <w:rFonts w:ascii="Segoe UI" w:eastAsia="Times New Roman" w:hAnsi="Segoe UI" w:cs="Segoe UI"/>
          <w:color w:val="212121"/>
        </w:rPr>
        <w:t xml:space="preserve"> and teaching </w:t>
      </w:r>
      <w:r w:rsidR="00684989">
        <w:rPr>
          <w:rFonts w:ascii="Segoe UI" w:eastAsia="Times New Roman" w:hAnsi="Segoe UI" w:cs="Segoe UI"/>
          <w:color w:val="212121"/>
        </w:rPr>
        <w:t xml:space="preserve">on </w:t>
      </w:r>
      <w:r w:rsidR="00841186" w:rsidRPr="00752A8B">
        <w:rPr>
          <w:rFonts w:ascii="Segoe UI" w:eastAsia="Times New Roman" w:hAnsi="Segoe UI" w:cs="Segoe UI"/>
          <w:color w:val="212121"/>
        </w:rPr>
        <w:t>Australia</w:t>
      </w:r>
      <w:r w:rsidR="00684989">
        <w:rPr>
          <w:rFonts w:ascii="Segoe UI" w:eastAsia="Times New Roman" w:hAnsi="Segoe UI" w:cs="Segoe UI"/>
          <w:color w:val="212121"/>
        </w:rPr>
        <w:t>’s</w:t>
      </w:r>
      <w:r w:rsidR="00841186" w:rsidRPr="00752A8B">
        <w:rPr>
          <w:rFonts w:ascii="Segoe UI" w:eastAsia="Times New Roman" w:hAnsi="Segoe UI" w:cs="Segoe UI"/>
          <w:color w:val="212121"/>
        </w:rPr>
        <w:t xml:space="preserve"> defence and strategic policy. </w:t>
      </w:r>
      <w:r w:rsidR="00A47CE3" w:rsidRPr="00752A8B">
        <w:rPr>
          <w:rFonts w:ascii="Segoe UI" w:eastAsia="Times New Roman" w:hAnsi="Segoe UI" w:cs="Segoe UI"/>
          <w:color w:val="212121"/>
        </w:rPr>
        <w:t xml:space="preserve">The SDSC has made a significant contribution to building cohorts of strategic analysts, educating both undergraduate and postgraduate students as well as providing professional development services for the </w:t>
      </w:r>
      <w:r w:rsidR="00F17657">
        <w:rPr>
          <w:rFonts w:ascii="Segoe UI" w:eastAsia="Times New Roman" w:hAnsi="Segoe UI" w:cs="Segoe UI"/>
          <w:color w:val="212121"/>
        </w:rPr>
        <w:t>APS</w:t>
      </w:r>
      <w:r w:rsidR="00A47CE3" w:rsidRPr="00752A8B">
        <w:rPr>
          <w:rFonts w:ascii="Segoe UI" w:eastAsia="Times New Roman" w:hAnsi="Segoe UI" w:cs="Segoe UI"/>
          <w:color w:val="212121"/>
        </w:rPr>
        <w:t xml:space="preserve">. Scholars from the SDSC have also made important contributions to building public understanding, </w:t>
      </w:r>
      <w:r w:rsidR="00684989">
        <w:rPr>
          <w:rFonts w:ascii="Segoe UI" w:eastAsia="Times New Roman" w:hAnsi="Segoe UI" w:cs="Segoe UI"/>
          <w:color w:val="212121"/>
        </w:rPr>
        <w:t>on</w:t>
      </w:r>
      <w:r w:rsidR="000342FE" w:rsidRPr="00752A8B">
        <w:rPr>
          <w:rFonts w:ascii="Segoe UI" w:eastAsia="Times New Roman" w:hAnsi="Segoe UI" w:cs="Segoe UI"/>
          <w:color w:val="212121"/>
        </w:rPr>
        <w:t xml:space="preserve"> topics such as the US alliance, </w:t>
      </w:r>
      <w:r w:rsidR="00FD65DA" w:rsidRPr="00752A8B">
        <w:rPr>
          <w:rFonts w:ascii="Segoe UI" w:eastAsia="Times New Roman" w:hAnsi="Segoe UI" w:cs="Segoe UI"/>
          <w:color w:val="212121"/>
        </w:rPr>
        <w:t xml:space="preserve">deterrence, </w:t>
      </w:r>
      <w:r w:rsidR="000342FE" w:rsidRPr="00752A8B">
        <w:rPr>
          <w:rFonts w:ascii="Segoe UI" w:eastAsia="Times New Roman" w:hAnsi="Segoe UI" w:cs="Segoe UI"/>
          <w:color w:val="212121"/>
        </w:rPr>
        <w:t xml:space="preserve">and self-reliance, as well as </w:t>
      </w:r>
      <w:r w:rsidR="276A8EDC" w:rsidRPr="00752A8B">
        <w:rPr>
          <w:rFonts w:ascii="Segoe UI" w:eastAsia="Times New Roman" w:hAnsi="Segoe UI" w:cs="Segoe UI"/>
          <w:color w:val="212121"/>
        </w:rPr>
        <w:t>conducting</w:t>
      </w:r>
      <w:r w:rsidR="000342FE" w:rsidRPr="00752A8B">
        <w:rPr>
          <w:rFonts w:ascii="Segoe UI" w:eastAsia="Times New Roman" w:hAnsi="Segoe UI" w:cs="Segoe UI"/>
          <w:color w:val="212121"/>
        </w:rPr>
        <w:t xml:space="preserve"> Official History projects commissioned by </w:t>
      </w:r>
      <w:r w:rsidR="003A6937">
        <w:rPr>
          <w:rFonts w:ascii="Segoe UI" w:eastAsia="Times New Roman" w:hAnsi="Segoe UI" w:cs="Segoe UI"/>
          <w:color w:val="212121"/>
        </w:rPr>
        <w:t>the Government</w:t>
      </w:r>
      <w:r w:rsidR="000342FE" w:rsidRPr="00752A8B">
        <w:rPr>
          <w:rFonts w:ascii="Segoe UI" w:eastAsia="Times New Roman" w:hAnsi="Segoe UI" w:cs="Segoe UI"/>
          <w:color w:val="212121"/>
        </w:rPr>
        <w:t xml:space="preserve">. </w:t>
      </w:r>
      <w:r w:rsidR="452C6B15" w:rsidRPr="00752A8B">
        <w:rPr>
          <w:rFonts w:ascii="Segoe UI" w:eastAsia="Times New Roman" w:hAnsi="Segoe UI" w:cs="Segoe UI"/>
          <w:color w:val="212121"/>
        </w:rPr>
        <w:t xml:space="preserve">The relationship between the SDSC and the </w:t>
      </w:r>
      <w:r w:rsidR="004A7EC3">
        <w:rPr>
          <w:rFonts w:ascii="Segoe UI" w:eastAsia="Times New Roman" w:hAnsi="Segoe UI" w:cs="Segoe UI"/>
          <w:color w:val="212121"/>
        </w:rPr>
        <w:t>NSC</w:t>
      </w:r>
      <w:r w:rsidR="452C6B15" w:rsidRPr="00752A8B">
        <w:rPr>
          <w:rFonts w:ascii="Segoe UI" w:eastAsia="Times New Roman" w:hAnsi="Segoe UI" w:cs="Segoe UI"/>
          <w:color w:val="212121"/>
        </w:rPr>
        <w:t xml:space="preserve"> appears strong</w:t>
      </w:r>
      <w:r w:rsidR="00C64FF2">
        <w:rPr>
          <w:rFonts w:ascii="Segoe UI" w:eastAsia="Times New Roman" w:hAnsi="Segoe UI" w:cs="Segoe UI"/>
          <w:color w:val="212121"/>
        </w:rPr>
        <w:t xml:space="preserve"> and collaborative</w:t>
      </w:r>
      <w:r w:rsidR="452C6B15" w:rsidRPr="00752A8B">
        <w:rPr>
          <w:rFonts w:ascii="Segoe UI" w:eastAsia="Times New Roman" w:hAnsi="Segoe UI" w:cs="Segoe UI"/>
          <w:color w:val="212121"/>
        </w:rPr>
        <w:t xml:space="preserve">, and this is of benefit to both organisations. </w:t>
      </w:r>
    </w:p>
    <w:p w14:paraId="06E460E6" w14:textId="77777777" w:rsidR="624FC037" w:rsidRPr="00752A8B" w:rsidRDefault="624FC037" w:rsidP="7174261E">
      <w:pPr>
        <w:pStyle w:val="ListParagraph"/>
        <w:numPr>
          <w:ilvl w:val="0"/>
          <w:numId w:val="22"/>
        </w:numPr>
        <w:spacing w:line="259" w:lineRule="auto"/>
        <w:ind w:left="0" w:firstLine="0"/>
        <w:rPr>
          <w:rFonts w:ascii="Segoe UI" w:eastAsia="Times New Roman" w:hAnsi="Segoe UI" w:cs="Segoe UI"/>
          <w:color w:val="212121"/>
        </w:rPr>
      </w:pPr>
      <w:r w:rsidRPr="7174261E">
        <w:rPr>
          <w:rFonts w:ascii="Segoe UI" w:eastAsia="Times New Roman" w:hAnsi="Segoe UI" w:cs="Segoe UI"/>
          <w:color w:val="212121"/>
        </w:rPr>
        <w:t xml:space="preserve">The </w:t>
      </w:r>
      <w:r w:rsidR="00AD2037" w:rsidRPr="7174261E">
        <w:rPr>
          <w:rFonts w:ascii="Segoe UI" w:eastAsia="Times New Roman" w:hAnsi="Segoe UI" w:cs="Segoe UI"/>
          <w:color w:val="212121"/>
        </w:rPr>
        <w:t xml:space="preserve">SDSC however is less influential than in its </w:t>
      </w:r>
      <w:r w:rsidR="00F24189" w:rsidRPr="7174261E">
        <w:rPr>
          <w:rFonts w:ascii="Segoe UI" w:eastAsia="Times New Roman" w:hAnsi="Segoe UI" w:cs="Segoe UI"/>
          <w:color w:val="212121"/>
        </w:rPr>
        <w:t>heyday</w:t>
      </w:r>
      <w:r w:rsidR="00F17657" w:rsidRPr="7174261E">
        <w:rPr>
          <w:rFonts w:ascii="Segoe UI" w:eastAsia="Times New Roman" w:hAnsi="Segoe UI" w:cs="Segoe UI"/>
          <w:color w:val="212121"/>
        </w:rPr>
        <w:t>,</w:t>
      </w:r>
      <w:r w:rsidR="00F24189" w:rsidRPr="7174261E">
        <w:rPr>
          <w:rFonts w:ascii="Segoe UI" w:eastAsia="Times New Roman" w:hAnsi="Segoe UI" w:cs="Segoe UI"/>
          <w:color w:val="212121"/>
        </w:rPr>
        <w:t xml:space="preserve"> when its influence in defence circles and on strategic policy was underpinned by researchers with a global reputation.</w:t>
      </w:r>
      <w:r w:rsidR="009210B7" w:rsidRPr="7174261E">
        <w:rPr>
          <w:rFonts w:ascii="Segoe UI" w:eastAsia="Times New Roman" w:hAnsi="Segoe UI" w:cs="Segoe UI"/>
          <w:color w:val="212121"/>
        </w:rPr>
        <w:t xml:space="preserve"> </w:t>
      </w:r>
      <w:r w:rsidR="00F24189" w:rsidRPr="7174261E">
        <w:rPr>
          <w:rFonts w:ascii="Segoe UI" w:eastAsia="Times New Roman" w:hAnsi="Segoe UI" w:cs="Segoe UI"/>
          <w:color w:val="212121"/>
        </w:rPr>
        <w:t>It is seeking to rebuild its standing following the loss of key people with strong links into the policy community.</w:t>
      </w:r>
      <w:r w:rsidR="009210B7" w:rsidRPr="7174261E">
        <w:rPr>
          <w:rFonts w:ascii="Segoe UI" w:eastAsia="Times New Roman" w:hAnsi="Segoe UI" w:cs="Segoe UI"/>
          <w:color w:val="212121"/>
        </w:rPr>
        <w:t xml:space="preserve"> </w:t>
      </w:r>
      <w:r w:rsidR="7675FD70" w:rsidRPr="7174261E">
        <w:rPr>
          <w:rFonts w:ascii="Segoe UI" w:eastAsia="Times New Roman" w:hAnsi="Segoe UI" w:cs="Segoe UI"/>
          <w:color w:val="212121"/>
        </w:rPr>
        <w:t xml:space="preserve">The recent appointment of </w:t>
      </w:r>
      <w:r w:rsidR="008B3A47" w:rsidRPr="7174261E">
        <w:rPr>
          <w:rFonts w:ascii="Segoe UI" w:eastAsia="Times New Roman" w:hAnsi="Segoe UI" w:cs="Segoe UI"/>
          <w:color w:val="212121"/>
        </w:rPr>
        <w:t xml:space="preserve">Professor </w:t>
      </w:r>
      <w:r w:rsidR="1BFAC385" w:rsidRPr="7174261E">
        <w:rPr>
          <w:rFonts w:ascii="Segoe UI" w:eastAsia="Times New Roman" w:hAnsi="Segoe UI" w:cs="Segoe UI"/>
          <w:color w:val="212121"/>
        </w:rPr>
        <w:t>Brendan Taylor will provide stability</w:t>
      </w:r>
      <w:r w:rsidR="1F144DAF" w:rsidRPr="7174261E">
        <w:rPr>
          <w:rFonts w:ascii="Segoe UI" w:eastAsia="Times New Roman" w:hAnsi="Segoe UI" w:cs="Segoe UI"/>
          <w:color w:val="212121"/>
        </w:rPr>
        <w:t xml:space="preserve">, </w:t>
      </w:r>
      <w:r w:rsidR="001056BA" w:rsidRPr="7174261E">
        <w:rPr>
          <w:rFonts w:ascii="Segoe UI" w:eastAsia="Times New Roman" w:hAnsi="Segoe UI" w:cs="Segoe UI"/>
          <w:color w:val="212121"/>
        </w:rPr>
        <w:t xml:space="preserve">however </w:t>
      </w:r>
      <w:r w:rsidR="00623D82" w:rsidRPr="7174261E">
        <w:rPr>
          <w:rFonts w:ascii="Segoe UI" w:eastAsia="Times New Roman" w:hAnsi="Segoe UI" w:cs="Segoe UI"/>
          <w:color w:val="212121"/>
        </w:rPr>
        <w:t>the</w:t>
      </w:r>
      <w:r w:rsidR="1F144DAF" w:rsidRPr="7174261E">
        <w:rPr>
          <w:rFonts w:ascii="Segoe UI" w:eastAsia="Times New Roman" w:hAnsi="Segoe UI" w:cs="Segoe UI"/>
          <w:color w:val="212121"/>
        </w:rPr>
        <w:t xml:space="preserve"> </w:t>
      </w:r>
      <w:r w:rsidR="00623D82" w:rsidRPr="7174261E">
        <w:rPr>
          <w:rFonts w:ascii="Segoe UI" w:eastAsia="Times New Roman" w:hAnsi="Segoe UI" w:cs="Segoe UI"/>
          <w:color w:val="212121"/>
        </w:rPr>
        <w:t>SDSC should</w:t>
      </w:r>
      <w:r w:rsidR="00A72CCF" w:rsidRPr="7174261E">
        <w:rPr>
          <w:rFonts w:ascii="Segoe UI" w:eastAsia="Times New Roman" w:hAnsi="Segoe UI" w:cs="Segoe UI"/>
          <w:color w:val="212121"/>
        </w:rPr>
        <w:t xml:space="preserve"> further</w:t>
      </w:r>
      <w:r w:rsidR="1F144DAF" w:rsidRPr="7174261E">
        <w:rPr>
          <w:rFonts w:ascii="Segoe UI" w:eastAsia="Times New Roman" w:hAnsi="Segoe UI" w:cs="Segoe UI"/>
          <w:color w:val="212121"/>
        </w:rPr>
        <w:t xml:space="preserve"> </w:t>
      </w:r>
      <w:r w:rsidR="00623D82" w:rsidRPr="7174261E">
        <w:rPr>
          <w:rFonts w:ascii="Segoe UI" w:eastAsia="Times New Roman" w:hAnsi="Segoe UI" w:cs="Segoe UI"/>
          <w:color w:val="212121"/>
        </w:rPr>
        <w:t xml:space="preserve">enhance </w:t>
      </w:r>
      <w:r w:rsidR="00A72CCF" w:rsidRPr="7174261E">
        <w:rPr>
          <w:rFonts w:ascii="Segoe UI" w:eastAsia="Times New Roman" w:hAnsi="Segoe UI" w:cs="Segoe UI"/>
          <w:color w:val="212121"/>
        </w:rPr>
        <w:t xml:space="preserve">its </w:t>
      </w:r>
      <w:r w:rsidR="565B02B8" w:rsidRPr="7174261E">
        <w:rPr>
          <w:rFonts w:ascii="Segoe UI" w:eastAsia="Times New Roman" w:hAnsi="Segoe UI" w:cs="Segoe UI"/>
          <w:color w:val="212121"/>
        </w:rPr>
        <w:t>research depth.</w:t>
      </w:r>
    </w:p>
    <w:p w14:paraId="06E460E7" w14:textId="77777777" w:rsidR="626A8994" w:rsidRPr="00AF520C" w:rsidRDefault="6918C2BA" w:rsidP="30F73621">
      <w:pPr>
        <w:pStyle w:val="Heading3"/>
        <w:rPr>
          <w:rFonts w:cstheme="minorBidi"/>
        </w:rPr>
      </w:pPr>
      <w:bookmarkStart w:id="93" w:name="_Toc170307496"/>
      <w:r w:rsidRPr="00AF520C">
        <w:rPr>
          <w:rFonts w:cstheme="minorBidi"/>
        </w:rPr>
        <w:t xml:space="preserve">The </w:t>
      </w:r>
      <w:r w:rsidR="626A8994" w:rsidRPr="00AF520C">
        <w:rPr>
          <w:rFonts w:cstheme="minorBidi"/>
        </w:rPr>
        <w:t>National Security College</w:t>
      </w:r>
      <w:r w:rsidR="7EB83336" w:rsidRPr="00AF520C">
        <w:rPr>
          <w:rFonts w:cstheme="minorBidi"/>
        </w:rPr>
        <w:t xml:space="preserve"> (NSC)</w:t>
      </w:r>
      <w:bookmarkEnd w:id="93"/>
    </w:p>
    <w:p w14:paraId="06E460E8" w14:textId="77777777" w:rsidR="00F24189" w:rsidRDefault="00684989"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752A8B">
        <w:rPr>
          <w:rFonts w:ascii="Segoe UI" w:eastAsia="Times New Roman" w:hAnsi="Segoe UI" w:cs="Segoe UI"/>
          <w:color w:val="212121"/>
        </w:rPr>
        <w:t xml:space="preserve">The NSC’s professional development for the national security community is a significant activity, with agencies </w:t>
      </w:r>
      <w:r>
        <w:rPr>
          <w:rFonts w:ascii="Segoe UI" w:eastAsia="Times New Roman" w:hAnsi="Segoe UI" w:cs="Segoe UI"/>
          <w:color w:val="212121"/>
        </w:rPr>
        <w:t xml:space="preserve">collectively </w:t>
      </w:r>
      <w:r w:rsidRPr="00752A8B">
        <w:rPr>
          <w:rFonts w:ascii="Segoe UI" w:eastAsia="Times New Roman" w:hAnsi="Segoe UI" w:cs="Segoe UI"/>
          <w:color w:val="212121"/>
        </w:rPr>
        <w:t xml:space="preserve">funding between $1,757,000 and $2,350,000 per annum through a </w:t>
      </w:r>
      <w:r w:rsidR="00F24189">
        <w:rPr>
          <w:rFonts w:ascii="Segoe UI" w:eastAsia="Times New Roman" w:hAnsi="Segoe UI" w:cs="Segoe UI"/>
          <w:color w:val="212121"/>
        </w:rPr>
        <w:t xml:space="preserve">co-contribution arrangement known as </w:t>
      </w:r>
      <w:r w:rsidRPr="00752A8B">
        <w:rPr>
          <w:rFonts w:ascii="Segoe UI" w:eastAsia="Times New Roman" w:hAnsi="Segoe UI" w:cs="Segoe UI"/>
          <w:color w:val="212121"/>
        </w:rPr>
        <w:t xml:space="preserve">the Participating Agencies Contribution contract. This </w:t>
      </w:r>
      <w:r w:rsidR="00F24189">
        <w:rPr>
          <w:rFonts w:ascii="Segoe UI" w:eastAsia="Times New Roman" w:hAnsi="Segoe UI" w:cs="Segoe UI"/>
          <w:color w:val="212121"/>
        </w:rPr>
        <w:t xml:space="preserve">professional development role </w:t>
      </w:r>
      <w:r w:rsidRPr="00752A8B">
        <w:rPr>
          <w:rFonts w:ascii="Segoe UI" w:eastAsia="Times New Roman" w:hAnsi="Segoe UI" w:cs="Segoe UI"/>
          <w:color w:val="212121"/>
        </w:rPr>
        <w:t>was</w:t>
      </w:r>
      <w:r w:rsidR="00F24189">
        <w:rPr>
          <w:rFonts w:ascii="Segoe UI" w:eastAsia="Times New Roman" w:hAnsi="Segoe UI" w:cs="Segoe UI"/>
          <w:color w:val="212121"/>
        </w:rPr>
        <w:t xml:space="preserve"> a foundational objective of </w:t>
      </w:r>
      <w:r w:rsidRPr="00752A8B">
        <w:rPr>
          <w:rFonts w:ascii="Segoe UI" w:eastAsia="Times New Roman" w:hAnsi="Segoe UI" w:cs="Segoe UI"/>
          <w:color w:val="212121"/>
        </w:rPr>
        <w:t xml:space="preserve">the NSC and it remains an important service to the </w:t>
      </w:r>
      <w:r w:rsidR="00F24189">
        <w:rPr>
          <w:rFonts w:ascii="Segoe UI" w:eastAsia="Times New Roman" w:hAnsi="Segoe UI" w:cs="Segoe UI"/>
          <w:color w:val="212121"/>
        </w:rPr>
        <w:t xml:space="preserve">policy </w:t>
      </w:r>
      <w:r w:rsidRPr="00752A8B">
        <w:rPr>
          <w:rFonts w:ascii="Segoe UI" w:eastAsia="Times New Roman" w:hAnsi="Segoe UI" w:cs="Segoe UI"/>
          <w:color w:val="212121"/>
        </w:rPr>
        <w:t>community.</w:t>
      </w:r>
    </w:p>
    <w:p w14:paraId="06E460E9" w14:textId="77777777" w:rsidR="00684989" w:rsidRPr="00752A8B" w:rsidRDefault="00684989"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From my consultations it was</w:t>
      </w:r>
      <w:r w:rsidR="00F24189">
        <w:rPr>
          <w:rFonts w:ascii="Segoe UI" w:eastAsia="Times New Roman" w:hAnsi="Segoe UI" w:cs="Segoe UI"/>
          <w:color w:val="212121"/>
        </w:rPr>
        <w:t xml:space="preserve"> clear that</w:t>
      </w:r>
      <w:r>
        <w:rPr>
          <w:rFonts w:ascii="Segoe UI" w:eastAsia="Times New Roman" w:hAnsi="Segoe UI" w:cs="Segoe UI"/>
          <w:color w:val="212121"/>
        </w:rPr>
        <w:t xml:space="preserve"> </w:t>
      </w:r>
      <w:r w:rsidRPr="22F73527">
        <w:rPr>
          <w:rFonts w:ascii="Segoe UI" w:eastAsia="Times New Roman" w:hAnsi="Segoe UI" w:cs="Segoe UI"/>
          <w:color w:val="212121"/>
        </w:rPr>
        <w:t>agencies</w:t>
      </w:r>
      <w:r w:rsidRPr="00752A8B">
        <w:rPr>
          <w:rFonts w:ascii="Segoe UI" w:eastAsia="Times New Roman" w:hAnsi="Segoe UI" w:cs="Segoe UI"/>
          <w:color w:val="212121"/>
        </w:rPr>
        <w:t xml:space="preserve"> valued the experience and relationships the courses offered, and in particular, the smaller</w:t>
      </w:r>
      <w:r w:rsidR="00F24189">
        <w:rPr>
          <w:rFonts w:ascii="Segoe UI" w:eastAsia="Times New Roman" w:hAnsi="Segoe UI" w:cs="Segoe UI"/>
          <w:color w:val="212121"/>
        </w:rPr>
        <w:t xml:space="preserve"> more operational </w:t>
      </w:r>
      <w:r w:rsidRPr="00752A8B">
        <w:rPr>
          <w:rFonts w:ascii="Segoe UI" w:eastAsia="Times New Roman" w:hAnsi="Segoe UI" w:cs="Segoe UI"/>
          <w:color w:val="212121"/>
        </w:rPr>
        <w:t xml:space="preserve">agencies valued the broader perspective and understanding the courses </w:t>
      </w:r>
      <w:r w:rsidRPr="22F73527">
        <w:rPr>
          <w:rFonts w:ascii="Segoe UI" w:eastAsia="Times New Roman" w:hAnsi="Segoe UI" w:cs="Segoe UI"/>
          <w:color w:val="212121"/>
        </w:rPr>
        <w:t xml:space="preserve">provided </w:t>
      </w:r>
      <w:r w:rsidRPr="00752A8B">
        <w:rPr>
          <w:rFonts w:ascii="Segoe UI" w:eastAsia="Times New Roman" w:hAnsi="Segoe UI" w:cs="Segoe UI"/>
          <w:color w:val="212121"/>
        </w:rPr>
        <w:t xml:space="preserve">their staff. </w:t>
      </w:r>
      <w:r w:rsidR="00F24189">
        <w:rPr>
          <w:rFonts w:ascii="Segoe UI" w:eastAsia="Times New Roman" w:hAnsi="Segoe UI" w:cs="Segoe UI"/>
          <w:color w:val="212121"/>
        </w:rPr>
        <w:t>T</w:t>
      </w:r>
      <w:r w:rsidRPr="00752A8B">
        <w:rPr>
          <w:rFonts w:ascii="Segoe UI" w:eastAsia="Times New Roman" w:hAnsi="Segoe UI" w:cs="Segoe UI"/>
          <w:color w:val="212121"/>
        </w:rPr>
        <w:t xml:space="preserve">hese activities remain </w:t>
      </w:r>
      <w:r w:rsidR="00F24189">
        <w:rPr>
          <w:rFonts w:ascii="Segoe UI" w:eastAsia="Times New Roman" w:hAnsi="Segoe UI" w:cs="Segoe UI"/>
          <w:color w:val="212121"/>
        </w:rPr>
        <w:t xml:space="preserve">effective and </w:t>
      </w:r>
      <w:r w:rsidRPr="00752A8B">
        <w:rPr>
          <w:rFonts w:ascii="Segoe UI" w:eastAsia="Times New Roman" w:hAnsi="Segoe UI" w:cs="Segoe UI"/>
          <w:color w:val="212121"/>
        </w:rPr>
        <w:t>fit for purpose</w:t>
      </w:r>
      <w:r w:rsidR="00F17657">
        <w:rPr>
          <w:rFonts w:ascii="Segoe UI" w:eastAsia="Times New Roman" w:hAnsi="Segoe UI" w:cs="Segoe UI"/>
          <w:color w:val="212121"/>
        </w:rPr>
        <w:t>,</w:t>
      </w:r>
      <w:r w:rsidR="00CB2493">
        <w:rPr>
          <w:rFonts w:ascii="Segoe UI" w:eastAsia="Times New Roman" w:hAnsi="Segoe UI" w:cs="Segoe UI"/>
          <w:color w:val="212121"/>
        </w:rPr>
        <w:t xml:space="preserve"> and the recent expansion to include states and territories, parliamentarians and the private sector is a positive development.</w:t>
      </w:r>
    </w:p>
    <w:p w14:paraId="06E460EA" w14:textId="77777777" w:rsidR="55A2CF81" w:rsidRPr="00752A8B" w:rsidRDefault="001B77D5"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752A8B">
        <w:rPr>
          <w:rFonts w:ascii="Segoe UI" w:eastAsia="Times New Roman" w:hAnsi="Segoe UI" w:cs="Segoe UI"/>
          <w:color w:val="212121"/>
        </w:rPr>
        <w:t>Since its establishment</w:t>
      </w:r>
      <w:r w:rsidR="00684989">
        <w:rPr>
          <w:rFonts w:ascii="Segoe UI" w:eastAsia="Times New Roman" w:hAnsi="Segoe UI" w:cs="Segoe UI"/>
          <w:color w:val="212121"/>
        </w:rPr>
        <w:t xml:space="preserve"> in 2010</w:t>
      </w:r>
      <w:r w:rsidRPr="00752A8B">
        <w:rPr>
          <w:rFonts w:ascii="Segoe UI" w:eastAsia="Times New Roman" w:hAnsi="Segoe UI" w:cs="Segoe UI"/>
          <w:color w:val="212121"/>
        </w:rPr>
        <w:t xml:space="preserve">, the NSC has </w:t>
      </w:r>
      <w:r w:rsidR="005C30FE">
        <w:rPr>
          <w:rFonts w:ascii="Segoe UI" w:eastAsia="Times New Roman" w:hAnsi="Segoe UI" w:cs="Segoe UI"/>
          <w:color w:val="212121"/>
        </w:rPr>
        <w:t>undergone three evaluations</w:t>
      </w:r>
      <w:r w:rsidR="00E3576A">
        <w:rPr>
          <w:rFonts w:ascii="Segoe UI" w:eastAsia="Times New Roman" w:hAnsi="Segoe UI" w:cs="Segoe UI"/>
          <w:color w:val="212121"/>
        </w:rPr>
        <w:t xml:space="preserve">, most recently </w:t>
      </w:r>
      <w:r w:rsidR="005C30FE">
        <w:rPr>
          <w:rFonts w:ascii="Segoe UI" w:eastAsia="Times New Roman" w:hAnsi="Segoe UI" w:cs="Segoe UI"/>
          <w:color w:val="212121"/>
        </w:rPr>
        <w:t xml:space="preserve">by Nous Group in October 2020. </w:t>
      </w:r>
      <w:r w:rsidR="00F24189">
        <w:rPr>
          <w:rFonts w:ascii="Segoe UI" w:eastAsia="Times New Roman" w:hAnsi="Segoe UI" w:cs="Segoe UI"/>
          <w:color w:val="212121"/>
        </w:rPr>
        <w:t>T</w:t>
      </w:r>
      <w:r w:rsidR="00CB2493" w:rsidRPr="00752A8B">
        <w:rPr>
          <w:rFonts w:ascii="Segoe UI" w:eastAsia="Times New Roman" w:hAnsi="Segoe UI" w:cs="Segoe UI"/>
          <w:color w:val="212121"/>
        </w:rPr>
        <w:t xml:space="preserve">he Nous Review reforms, despite still in their infancy, </w:t>
      </w:r>
      <w:r w:rsidR="00CB2493" w:rsidRPr="18ADC2B8">
        <w:rPr>
          <w:rFonts w:ascii="Segoe UI" w:eastAsia="Times New Roman" w:hAnsi="Segoe UI" w:cs="Segoe UI"/>
          <w:color w:val="212121"/>
        </w:rPr>
        <w:t xml:space="preserve">are </w:t>
      </w:r>
      <w:r w:rsidR="00CB2493" w:rsidRPr="00752A8B">
        <w:rPr>
          <w:rFonts w:ascii="Segoe UI" w:eastAsia="Times New Roman" w:hAnsi="Segoe UI" w:cs="Segoe UI"/>
          <w:color w:val="212121"/>
        </w:rPr>
        <w:t>moving the NSC in the right direction.</w:t>
      </w:r>
      <w:r w:rsidR="55A2CF81" w:rsidRPr="00752A8B">
        <w:rPr>
          <w:rFonts w:ascii="Segoe UI" w:eastAsia="Times New Roman" w:hAnsi="Segoe UI" w:cs="Segoe UI"/>
          <w:color w:val="212121"/>
        </w:rPr>
        <w:t xml:space="preserve"> </w:t>
      </w:r>
      <w:r w:rsidR="00F24189">
        <w:rPr>
          <w:rFonts w:ascii="Segoe UI" w:eastAsia="Times New Roman" w:hAnsi="Segoe UI" w:cs="Segoe UI"/>
          <w:color w:val="212121"/>
        </w:rPr>
        <w:t xml:space="preserve">It is already a high performing </w:t>
      </w:r>
      <w:r w:rsidR="00662D68">
        <w:rPr>
          <w:rFonts w:ascii="Segoe UI" w:eastAsia="Times New Roman" w:hAnsi="Segoe UI" w:cs="Segoe UI"/>
          <w:color w:val="212121"/>
        </w:rPr>
        <w:t>organisation,</w:t>
      </w:r>
      <w:r w:rsidR="00F24189">
        <w:rPr>
          <w:rFonts w:ascii="Segoe UI" w:eastAsia="Times New Roman" w:hAnsi="Segoe UI" w:cs="Segoe UI"/>
          <w:color w:val="212121"/>
        </w:rPr>
        <w:t xml:space="preserve"> </w:t>
      </w:r>
      <w:r w:rsidR="00662D68">
        <w:rPr>
          <w:rFonts w:ascii="Segoe UI" w:eastAsia="Times New Roman" w:hAnsi="Segoe UI" w:cs="Segoe UI"/>
          <w:color w:val="212121"/>
        </w:rPr>
        <w:t xml:space="preserve">and its leadership recognises that it would benefit from further strengthening </w:t>
      </w:r>
      <w:r w:rsidR="00684989">
        <w:rPr>
          <w:rFonts w:ascii="Segoe UI" w:eastAsia="Times New Roman" w:hAnsi="Segoe UI" w:cs="Segoe UI"/>
          <w:color w:val="212121"/>
        </w:rPr>
        <w:t>its research outputs</w:t>
      </w:r>
      <w:r w:rsidR="00662D68">
        <w:rPr>
          <w:rFonts w:ascii="Segoe UI" w:eastAsia="Times New Roman" w:hAnsi="Segoe UI" w:cs="Segoe UI"/>
          <w:color w:val="212121"/>
        </w:rPr>
        <w:t xml:space="preserve">. The NSC’s balanced </w:t>
      </w:r>
      <w:r w:rsidR="00684989">
        <w:rPr>
          <w:rFonts w:ascii="Segoe UI" w:eastAsia="Times New Roman" w:hAnsi="Segoe UI" w:cs="Segoe UI"/>
          <w:color w:val="212121"/>
        </w:rPr>
        <w:t xml:space="preserve">and </w:t>
      </w:r>
      <w:r w:rsidR="00662D68">
        <w:rPr>
          <w:rFonts w:ascii="Segoe UI" w:eastAsia="Times New Roman" w:hAnsi="Segoe UI" w:cs="Segoe UI"/>
          <w:color w:val="212121"/>
        </w:rPr>
        <w:t xml:space="preserve">informed contributions to public debate of strategic policy issues is particularly </w:t>
      </w:r>
      <w:r w:rsidR="00662D68">
        <w:rPr>
          <w:rFonts w:ascii="Segoe UI" w:eastAsia="Times New Roman" w:hAnsi="Segoe UI" w:cs="Segoe UI"/>
          <w:color w:val="212121"/>
        </w:rPr>
        <w:lastRenderedPageBreak/>
        <w:t xml:space="preserve">welcome. </w:t>
      </w:r>
      <w:r w:rsidR="00E3576A" w:rsidRPr="00752A8B">
        <w:rPr>
          <w:rFonts w:ascii="Segoe UI" w:eastAsia="Times New Roman" w:hAnsi="Segoe UI" w:cs="Segoe UI"/>
          <w:color w:val="212121"/>
        </w:rPr>
        <w:t xml:space="preserve">Having a secure funding base </w:t>
      </w:r>
      <w:r w:rsidR="00E3576A">
        <w:rPr>
          <w:rFonts w:ascii="Segoe UI" w:eastAsia="Times New Roman" w:hAnsi="Segoe UI" w:cs="Segoe UI"/>
          <w:color w:val="212121"/>
        </w:rPr>
        <w:t>from</w:t>
      </w:r>
      <w:r w:rsidR="00E3576A" w:rsidRPr="00752A8B">
        <w:rPr>
          <w:rFonts w:ascii="Segoe UI" w:eastAsia="Times New Roman" w:hAnsi="Segoe UI" w:cs="Segoe UI"/>
          <w:color w:val="212121"/>
        </w:rPr>
        <w:t xml:space="preserve"> the contract with </w:t>
      </w:r>
      <w:r w:rsidR="00E3576A">
        <w:rPr>
          <w:rFonts w:ascii="Segoe UI" w:eastAsia="Times New Roman" w:hAnsi="Segoe UI" w:cs="Segoe UI"/>
          <w:color w:val="212121"/>
        </w:rPr>
        <w:t>PM&amp;C</w:t>
      </w:r>
      <w:r w:rsidR="00E3576A" w:rsidRPr="00752A8B">
        <w:rPr>
          <w:rFonts w:ascii="Segoe UI" w:eastAsia="Times New Roman" w:hAnsi="Segoe UI" w:cs="Segoe UI"/>
          <w:color w:val="212121"/>
        </w:rPr>
        <w:t xml:space="preserve"> has enabled a stronger focus on delivering outcomes and is consistent with my findings that funding certainty is necessary for organisations in the sector. </w:t>
      </w:r>
      <w:r w:rsidR="00E3576A">
        <w:rPr>
          <w:rFonts w:ascii="Segoe UI" w:eastAsia="Times New Roman" w:hAnsi="Segoe UI" w:cs="Segoe UI"/>
          <w:color w:val="212121"/>
        </w:rPr>
        <w:t>Stakeholders were uniformly supportive of the NSC and its leadership</w:t>
      </w:r>
      <w:r w:rsidR="00E3576A" w:rsidRPr="00752A8B">
        <w:rPr>
          <w:rFonts w:ascii="Segoe UI" w:eastAsia="Times New Roman" w:hAnsi="Segoe UI" w:cs="Segoe UI"/>
          <w:color w:val="212121"/>
        </w:rPr>
        <w:t>.</w:t>
      </w:r>
    </w:p>
    <w:p w14:paraId="06E460EB" w14:textId="77777777" w:rsidR="00DE7087" w:rsidRPr="00752A8B" w:rsidRDefault="5DA664B4" w:rsidP="2590E703">
      <w:pPr>
        <w:pStyle w:val="Heading2"/>
        <w:rPr>
          <w:rFonts w:cs="Segoe UI"/>
          <w:sz w:val="32"/>
          <w:szCs w:val="32"/>
        </w:rPr>
      </w:pPr>
      <w:bookmarkStart w:id="94" w:name="_Toc170307497"/>
      <w:bookmarkStart w:id="95" w:name="_Toc170383172"/>
      <w:bookmarkStart w:id="96" w:name="_Toc170980553"/>
      <w:bookmarkStart w:id="97" w:name="_Toc171004267"/>
      <w:bookmarkStart w:id="98" w:name="_Toc171074989"/>
      <w:bookmarkStart w:id="99" w:name="_Toc172665601"/>
      <w:r w:rsidRPr="00752A8B">
        <w:rPr>
          <w:rFonts w:cs="Segoe UI"/>
          <w:sz w:val="32"/>
          <w:szCs w:val="32"/>
        </w:rPr>
        <w:t>The Australian Strategic Policy Institute (</w:t>
      </w:r>
      <w:r w:rsidR="00DE7087" w:rsidRPr="00752A8B">
        <w:rPr>
          <w:rFonts w:cs="Segoe UI"/>
          <w:sz w:val="32"/>
          <w:szCs w:val="32"/>
        </w:rPr>
        <w:t>ASPI</w:t>
      </w:r>
      <w:r w:rsidR="69A4051F" w:rsidRPr="00752A8B">
        <w:rPr>
          <w:rFonts w:cs="Segoe UI"/>
          <w:sz w:val="32"/>
          <w:szCs w:val="32"/>
        </w:rPr>
        <w:t>)</w:t>
      </w:r>
      <w:bookmarkEnd w:id="94"/>
      <w:bookmarkEnd w:id="95"/>
      <w:bookmarkEnd w:id="96"/>
      <w:bookmarkEnd w:id="97"/>
      <w:bookmarkEnd w:id="98"/>
      <w:bookmarkEnd w:id="99"/>
    </w:p>
    <w:p w14:paraId="06E460EC" w14:textId="77777777" w:rsidR="00DF1973" w:rsidRPr="00963625" w:rsidRDefault="00DF1973"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Of all the institutions I reviewed</w:t>
      </w:r>
      <w:r w:rsidR="007E71D3">
        <w:rPr>
          <w:rFonts w:ascii="Segoe UI" w:eastAsia="Times New Roman" w:hAnsi="Segoe UI" w:cs="Segoe UI"/>
          <w:color w:val="212121"/>
        </w:rPr>
        <w:t>,</w:t>
      </w:r>
      <w:r w:rsidRPr="00963625">
        <w:rPr>
          <w:rFonts w:ascii="Segoe UI" w:eastAsia="Times New Roman" w:hAnsi="Segoe UI" w:cs="Segoe UI"/>
          <w:color w:val="212121"/>
        </w:rPr>
        <w:t xml:space="preserve"> ASPI attracted the most comments, positive and negative. For that reason,</w:t>
      </w:r>
      <w:r w:rsidRPr="00963625" w:rsidDel="00915F01">
        <w:rPr>
          <w:rFonts w:ascii="Segoe UI" w:eastAsia="Times New Roman" w:hAnsi="Segoe UI" w:cs="Segoe UI"/>
          <w:color w:val="212121"/>
        </w:rPr>
        <w:t xml:space="preserve"> </w:t>
      </w:r>
      <w:r w:rsidR="00F17657" w:rsidRPr="00963625">
        <w:rPr>
          <w:rFonts w:ascii="Segoe UI" w:eastAsia="Times New Roman" w:hAnsi="Segoe UI" w:cs="Segoe UI"/>
          <w:color w:val="212121"/>
        </w:rPr>
        <w:t xml:space="preserve">the </w:t>
      </w:r>
      <w:r w:rsidRPr="00963625">
        <w:rPr>
          <w:rFonts w:ascii="Segoe UI" w:eastAsia="Times New Roman" w:hAnsi="Segoe UI" w:cs="Segoe UI"/>
          <w:color w:val="212121"/>
        </w:rPr>
        <w:t>Review goes into more detail on ASPI’s performance</w:t>
      </w:r>
      <w:r w:rsidR="00A72CCF" w:rsidRPr="00963625">
        <w:rPr>
          <w:rFonts w:ascii="Segoe UI" w:eastAsia="Times New Roman" w:hAnsi="Segoe UI" w:cs="Segoe UI"/>
          <w:color w:val="212121"/>
        </w:rPr>
        <w:t xml:space="preserve"> </w:t>
      </w:r>
      <w:r w:rsidRPr="00963625">
        <w:rPr>
          <w:rFonts w:ascii="Segoe UI" w:eastAsia="Times New Roman" w:hAnsi="Segoe UI" w:cs="Segoe UI"/>
          <w:color w:val="212121"/>
        </w:rPr>
        <w:t>than it does in relation to other organisations</w:t>
      </w:r>
      <w:r w:rsidR="00623D82" w:rsidRPr="00963625">
        <w:rPr>
          <w:rFonts w:ascii="Segoe UI" w:eastAsia="Times New Roman" w:hAnsi="Segoe UI" w:cs="Segoe UI"/>
          <w:color w:val="212121"/>
        </w:rPr>
        <w:t xml:space="preserve">. I also </w:t>
      </w:r>
      <w:r w:rsidRPr="00963625">
        <w:rPr>
          <w:rFonts w:ascii="Segoe UI" w:eastAsia="Times New Roman" w:hAnsi="Segoe UI" w:cs="Segoe UI"/>
          <w:color w:val="212121"/>
        </w:rPr>
        <w:t>includ</w:t>
      </w:r>
      <w:r w:rsidR="00623D82" w:rsidRPr="00963625">
        <w:rPr>
          <w:rFonts w:ascii="Segoe UI" w:eastAsia="Times New Roman" w:hAnsi="Segoe UI" w:cs="Segoe UI"/>
          <w:color w:val="212121"/>
        </w:rPr>
        <w:t>e</w:t>
      </w:r>
      <w:r w:rsidRPr="00963625">
        <w:rPr>
          <w:rFonts w:ascii="Segoe UI" w:eastAsia="Times New Roman" w:hAnsi="Segoe UI" w:cs="Segoe UI"/>
          <w:color w:val="212121"/>
        </w:rPr>
        <w:t xml:space="preserve"> more detailed recommendations on ASPI’s governance since, unlike other think tanks, ASPI is constituted as a Commonwealth Company and its governance is entirely within </w:t>
      </w:r>
      <w:r w:rsidR="00F17657" w:rsidRPr="00963625">
        <w:rPr>
          <w:rFonts w:ascii="Segoe UI" w:eastAsia="Times New Roman" w:hAnsi="Segoe UI" w:cs="Segoe UI"/>
          <w:color w:val="212121"/>
        </w:rPr>
        <w:t xml:space="preserve">Government’s </w:t>
      </w:r>
      <w:r w:rsidRPr="00963625">
        <w:rPr>
          <w:rFonts w:ascii="Segoe UI" w:eastAsia="Times New Roman" w:hAnsi="Segoe UI" w:cs="Segoe UI"/>
          <w:color w:val="212121"/>
        </w:rPr>
        <w:t>control.</w:t>
      </w:r>
    </w:p>
    <w:p w14:paraId="06E460ED" w14:textId="77777777" w:rsidR="00DF1973" w:rsidRPr="00963625" w:rsidRDefault="00DF1973"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The written submissions, many of which may well have been made with ASPI’s encouragement, were very positive. During my consultations however a more nuanced picture emerged.</w:t>
      </w:r>
    </w:p>
    <w:p w14:paraId="06E460EE" w14:textId="77777777" w:rsidR="00DF1973" w:rsidRPr="00963625" w:rsidRDefault="00DF1973" w:rsidP="008773F8">
      <w:pPr>
        <w:pStyle w:val="ListParagraph"/>
        <w:numPr>
          <w:ilvl w:val="0"/>
          <w:numId w:val="22"/>
        </w:numPr>
        <w:spacing w:line="259" w:lineRule="auto"/>
        <w:ind w:left="0" w:firstLine="0"/>
        <w:contextualSpacing w:val="0"/>
        <w:rPr>
          <w:rFonts w:ascii="Segoe UI" w:eastAsia="Times New Roman" w:hAnsi="Segoe UI" w:cs="Segoe UI"/>
          <w:color w:val="212121"/>
        </w:rPr>
      </w:pPr>
      <w:r w:rsidRPr="7174261E">
        <w:rPr>
          <w:rFonts w:ascii="Segoe UI" w:eastAsia="Times New Roman" w:hAnsi="Segoe UI" w:cs="Segoe UI"/>
          <w:color w:val="212121"/>
        </w:rPr>
        <w:t>There is no doubt that since its establishment in 2001</w:t>
      </w:r>
      <w:r w:rsidR="007E71D3">
        <w:rPr>
          <w:rFonts w:ascii="Segoe UI" w:eastAsia="Times New Roman" w:hAnsi="Segoe UI" w:cs="Segoe UI"/>
          <w:color w:val="212121"/>
        </w:rPr>
        <w:t>,</w:t>
      </w:r>
      <w:r w:rsidRPr="7174261E">
        <w:rPr>
          <w:rFonts w:ascii="Segoe UI" w:eastAsia="Times New Roman" w:hAnsi="Segoe UI" w:cs="Segoe UI"/>
          <w:color w:val="212121"/>
        </w:rPr>
        <w:t xml:space="preserve"> ASPI has produced some </w:t>
      </w:r>
      <w:r w:rsidR="6C31D7E9" w:rsidRPr="7174261E">
        <w:rPr>
          <w:rFonts w:ascii="Segoe UI" w:eastAsia="Times New Roman" w:hAnsi="Segoe UI" w:cs="Segoe UI"/>
          <w:color w:val="212121"/>
        </w:rPr>
        <w:t>ground</w:t>
      </w:r>
      <w:r w:rsidR="00241A52" w:rsidRPr="7174261E">
        <w:rPr>
          <w:rFonts w:ascii="Segoe UI" w:eastAsia="Times New Roman" w:hAnsi="Segoe UI" w:cs="Segoe UI"/>
          <w:color w:val="212121"/>
        </w:rPr>
        <w:t>-</w:t>
      </w:r>
      <w:r w:rsidR="6C31D7E9" w:rsidRPr="7174261E">
        <w:rPr>
          <w:rFonts w:ascii="Segoe UI" w:eastAsia="Times New Roman" w:hAnsi="Segoe UI" w:cs="Segoe UI"/>
          <w:color w:val="212121"/>
        </w:rPr>
        <w:t>breaking</w:t>
      </w:r>
      <w:r w:rsidRPr="7174261E">
        <w:rPr>
          <w:rFonts w:ascii="Segoe UI" w:eastAsia="Times New Roman" w:hAnsi="Segoe UI" w:cs="Segoe UI"/>
          <w:color w:val="212121"/>
        </w:rPr>
        <w:t xml:space="preserve"> analysis. Its report on Solomon Islands </w:t>
      </w:r>
      <w:r w:rsidR="00662D68" w:rsidRPr="7174261E">
        <w:rPr>
          <w:rFonts w:ascii="Segoe UI" w:eastAsia="Times New Roman" w:hAnsi="Segoe UI" w:cs="Segoe UI"/>
          <w:color w:val="212121"/>
        </w:rPr>
        <w:t xml:space="preserve">in </w:t>
      </w:r>
      <w:r w:rsidR="003066E9" w:rsidRPr="7174261E">
        <w:rPr>
          <w:rFonts w:ascii="Segoe UI" w:eastAsia="Times New Roman" w:hAnsi="Segoe UI" w:cs="Segoe UI"/>
          <w:color w:val="212121"/>
        </w:rPr>
        <w:t xml:space="preserve">June 2003 </w:t>
      </w:r>
      <w:r w:rsidRPr="7174261E">
        <w:rPr>
          <w:rFonts w:ascii="Segoe UI" w:eastAsia="Times New Roman" w:hAnsi="Segoe UI" w:cs="Segoe UI"/>
          <w:color w:val="212121"/>
        </w:rPr>
        <w:t xml:space="preserve">is widely recognised as the intellectual precursor to what became the Regional Assistance Mission to Solomon Islands (RAMSI). For many years, ASPI’s analysis of the </w:t>
      </w:r>
      <w:r w:rsidR="007E71D3">
        <w:rPr>
          <w:rFonts w:ascii="Segoe UI" w:eastAsia="Times New Roman" w:hAnsi="Segoe UI" w:cs="Segoe UI"/>
          <w:color w:val="212121"/>
        </w:rPr>
        <w:t>D</w:t>
      </w:r>
      <w:r w:rsidRPr="7174261E">
        <w:rPr>
          <w:rFonts w:ascii="Segoe UI" w:eastAsia="Times New Roman" w:hAnsi="Segoe UI" w:cs="Segoe UI"/>
          <w:color w:val="212121"/>
        </w:rPr>
        <w:t xml:space="preserve">efence budget was one of the few sources of detailed analysis of defence spending outside </w:t>
      </w:r>
      <w:r w:rsidR="003066E9" w:rsidRPr="7174261E">
        <w:rPr>
          <w:rFonts w:ascii="Segoe UI" w:eastAsia="Times New Roman" w:hAnsi="Segoe UI" w:cs="Segoe UI"/>
          <w:color w:val="212121"/>
        </w:rPr>
        <w:t>Government</w:t>
      </w:r>
      <w:r w:rsidRPr="7174261E">
        <w:rPr>
          <w:rFonts w:ascii="Segoe UI" w:eastAsia="Times New Roman" w:hAnsi="Segoe UI" w:cs="Segoe UI"/>
          <w:color w:val="212121"/>
        </w:rPr>
        <w:t xml:space="preserve">. More controversially, ASPI’s work on Uyghurs in China rightly attracted international attention and was a </w:t>
      </w:r>
      <w:r w:rsidR="14699039" w:rsidRPr="7174261E">
        <w:rPr>
          <w:rFonts w:ascii="Segoe UI" w:eastAsia="Times New Roman" w:hAnsi="Segoe UI" w:cs="Segoe UI"/>
          <w:color w:val="212121"/>
        </w:rPr>
        <w:t>textbook</w:t>
      </w:r>
      <w:r w:rsidRPr="7174261E">
        <w:rPr>
          <w:rFonts w:ascii="Segoe UI" w:eastAsia="Times New Roman" w:hAnsi="Segoe UI" w:cs="Segoe UI"/>
          <w:color w:val="212121"/>
        </w:rPr>
        <w:t xml:space="preserve"> example of the sophisticated use of open sources to shed light on an otherwise opaque issue. Similarly, ASPI’s work on cyber security and foreign interference </w:t>
      </w:r>
      <w:r w:rsidR="00915F01" w:rsidRPr="7174261E">
        <w:rPr>
          <w:rFonts w:ascii="Segoe UI" w:eastAsia="Times New Roman" w:hAnsi="Segoe UI" w:cs="Segoe UI"/>
          <w:color w:val="212121"/>
        </w:rPr>
        <w:t xml:space="preserve">has </w:t>
      </w:r>
      <w:r w:rsidRPr="7174261E">
        <w:rPr>
          <w:rFonts w:ascii="Segoe UI" w:eastAsia="Times New Roman" w:hAnsi="Segoe UI" w:cs="Segoe UI"/>
          <w:color w:val="212121"/>
        </w:rPr>
        <w:t>been influential</w:t>
      </w:r>
      <w:r w:rsidR="00A506FD">
        <w:rPr>
          <w:rFonts w:ascii="Segoe UI" w:eastAsia="Times New Roman" w:hAnsi="Segoe UI" w:cs="Segoe UI"/>
          <w:color w:val="212121"/>
        </w:rPr>
        <w:t xml:space="preserve"> and on the latter</w:t>
      </w:r>
      <w:r w:rsidR="00A72CCF" w:rsidRPr="7174261E">
        <w:rPr>
          <w:rFonts w:ascii="Segoe UI" w:eastAsia="Times New Roman" w:hAnsi="Segoe UI" w:cs="Segoe UI"/>
          <w:color w:val="212121"/>
        </w:rPr>
        <w:t>, while controversial, was</w:t>
      </w:r>
      <w:r w:rsidR="00662D68" w:rsidRPr="7174261E">
        <w:rPr>
          <w:rFonts w:ascii="Segoe UI" w:eastAsia="Times New Roman" w:hAnsi="Segoe UI" w:cs="Segoe UI"/>
          <w:color w:val="212121"/>
        </w:rPr>
        <w:t xml:space="preserve"> ground breaking</w:t>
      </w:r>
      <w:r w:rsidR="00A72CCF" w:rsidRPr="7174261E">
        <w:rPr>
          <w:rFonts w:ascii="Segoe UI" w:eastAsia="Times New Roman" w:hAnsi="Segoe UI" w:cs="Segoe UI"/>
          <w:color w:val="212121"/>
        </w:rPr>
        <w:t>.</w:t>
      </w:r>
    </w:p>
    <w:p w14:paraId="06E460EF" w14:textId="77777777" w:rsidR="00DF1973" w:rsidRPr="00963625" w:rsidRDefault="00E3576A"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S</w:t>
      </w:r>
      <w:r w:rsidR="6DBC3990" w:rsidRPr="00963625">
        <w:rPr>
          <w:rFonts w:ascii="Segoe UI" w:eastAsia="Times New Roman" w:hAnsi="Segoe UI" w:cs="Segoe UI"/>
          <w:color w:val="212121"/>
        </w:rPr>
        <w:t xml:space="preserve">ome of these reports attracted criticism for being overly ideological, </w:t>
      </w:r>
      <w:r w:rsidRPr="00963625">
        <w:rPr>
          <w:rFonts w:ascii="Segoe UI" w:eastAsia="Times New Roman" w:hAnsi="Segoe UI" w:cs="Segoe UI"/>
          <w:color w:val="212121"/>
        </w:rPr>
        <w:t xml:space="preserve">but </w:t>
      </w:r>
      <w:r w:rsidR="6DBC3990" w:rsidRPr="00963625">
        <w:rPr>
          <w:rFonts w:ascii="Segoe UI" w:eastAsia="Times New Roman" w:hAnsi="Segoe UI" w:cs="Segoe UI"/>
          <w:color w:val="212121"/>
        </w:rPr>
        <w:t xml:space="preserve">the main criticism of ASPI </w:t>
      </w:r>
      <w:r w:rsidR="00662D68" w:rsidRPr="00963625">
        <w:rPr>
          <w:rFonts w:ascii="Segoe UI" w:eastAsia="Times New Roman" w:hAnsi="Segoe UI" w:cs="Segoe UI"/>
          <w:color w:val="212121"/>
        </w:rPr>
        <w:t xml:space="preserve">put to me </w:t>
      </w:r>
      <w:r w:rsidR="6DBC3990" w:rsidRPr="00963625">
        <w:rPr>
          <w:rFonts w:ascii="Segoe UI" w:eastAsia="Times New Roman" w:hAnsi="Segoe UI" w:cs="Segoe UI"/>
          <w:color w:val="212121"/>
        </w:rPr>
        <w:t xml:space="preserve">related to what I would characterise as ‘op-ed overreach’ by its previous Executive Director. The point here is not </w:t>
      </w:r>
      <w:r w:rsidR="00A72CCF" w:rsidRPr="00963625">
        <w:rPr>
          <w:rFonts w:ascii="Segoe UI" w:eastAsia="Times New Roman" w:hAnsi="Segoe UI" w:cs="Segoe UI"/>
          <w:color w:val="212121"/>
        </w:rPr>
        <w:t xml:space="preserve">his right </w:t>
      </w:r>
      <w:r w:rsidR="6DBC3990" w:rsidRPr="00963625">
        <w:rPr>
          <w:rFonts w:ascii="Segoe UI" w:eastAsia="Times New Roman" w:hAnsi="Segoe UI" w:cs="Segoe UI"/>
          <w:color w:val="212121"/>
        </w:rPr>
        <w:t>to c</w:t>
      </w:r>
      <w:r w:rsidR="0E020ED9" w:rsidRPr="00963625">
        <w:rPr>
          <w:rFonts w:ascii="Segoe UI" w:eastAsia="Times New Roman" w:hAnsi="Segoe UI" w:cs="Segoe UI"/>
          <w:color w:val="212121"/>
        </w:rPr>
        <w:t>riti</w:t>
      </w:r>
      <w:r w:rsidR="00662D68" w:rsidRPr="00963625">
        <w:rPr>
          <w:rFonts w:ascii="Segoe UI" w:eastAsia="Times New Roman" w:hAnsi="Segoe UI" w:cs="Segoe UI"/>
          <w:color w:val="212121"/>
        </w:rPr>
        <w:t>cise</w:t>
      </w:r>
      <w:r w:rsidR="0E020ED9" w:rsidRPr="00963625">
        <w:rPr>
          <w:rFonts w:ascii="Segoe UI" w:eastAsia="Times New Roman" w:hAnsi="Segoe UI" w:cs="Segoe UI"/>
          <w:color w:val="212121"/>
        </w:rPr>
        <w:t xml:space="preserve"> </w:t>
      </w:r>
      <w:r w:rsidR="6DBC3990" w:rsidRPr="00963625">
        <w:rPr>
          <w:rFonts w:ascii="Segoe UI" w:eastAsia="Times New Roman" w:hAnsi="Segoe UI" w:cs="Segoe UI"/>
          <w:color w:val="212121"/>
        </w:rPr>
        <w:t>or to offer opinions but that in many cases the op-eds were based on personal opinions rather than deep ASPI research and</w:t>
      </w:r>
      <w:r w:rsidR="00915F01" w:rsidRPr="00963625">
        <w:rPr>
          <w:rFonts w:ascii="Segoe UI" w:eastAsia="Times New Roman" w:hAnsi="Segoe UI" w:cs="Segoe UI"/>
          <w:color w:val="212121"/>
        </w:rPr>
        <w:t>,</w:t>
      </w:r>
      <w:r w:rsidR="6DBC3990" w:rsidRPr="00963625">
        <w:rPr>
          <w:rFonts w:ascii="Segoe UI" w:eastAsia="Times New Roman" w:hAnsi="Segoe UI" w:cs="Segoe UI"/>
          <w:color w:val="212121"/>
        </w:rPr>
        <w:t xml:space="preserve"> in too many instances</w:t>
      </w:r>
      <w:r w:rsidR="00915F01" w:rsidRPr="00963625">
        <w:rPr>
          <w:rFonts w:ascii="Segoe UI" w:eastAsia="Times New Roman" w:hAnsi="Segoe UI" w:cs="Segoe UI"/>
          <w:color w:val="212121"/>
        </w:rPr>
        <w:t>,</w:t>
      </w:r>
      <w:r w:rsidR="6DBC3990" w:rsidRPr="00963625">
        <w:rPr>
          <w:rFonts w:ascii="Segoe UI" w:eastAsia="Times New Roman" w:hAnsi="Segoe UI" w:cs="Segoe UI"/>
          <w:color w:val="212121"/>
        </w:rPr>
        <w:t xml:space="preserve"> it veered into partisan commentary and even personal criticism.</w:t>
      </w:r>
    </w:p>
    <w:p w14:paraId="06E460F0" w14:textId="77777777" w:rsidR="00DF1973" w:rsidRPr="00963625" w:rsidRDefault="6DBC3990"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Good judgement is what marks an effective head of a think tank. The cumulative effect of the Executive Director’s op</w:t>
      </w:r>
      <w:r w:rsidR="5443142B" w:rsidRPr="00963625">
        <w:rPr>
          <w:rFonts w:ascii="Segoe UI" w:eastAsia="Times New Roman" w:hAnsi="Segoe UI" w:cs="Segoe UI"/>
          <w:color w:val="212121"/>
        </w:rPr>
        <w:t>-</w:t>
      </w:r>
      <w:r w:rsidRPr="00963625">
        <w:rPr>
          <w:rFonts w:ascii="Segoe UI" w:eastAsia="Times New Roman" w:hAnsi="Segoe UI" w:cs="Segoe UI"/>
          <w:color w:val="212121"/>
        </w:rPr>
        <w:t>ed overreach was ultimately to the detriment of ASPI’s reputation as a think tank set up to provide research</w:t>
      </w:r>
      <w:r w:rsidR="00131FAA" w:rsidRPr="00963625">
        <w:rPr>
          <w:rFonts w:ascii="Segoe UI" w:eastAsia="Times New Roman" w:hAnsi="Segoe UI" w:cs="Segoe UI"/>
          <w:color w:val="212121"/>
        </w:rPr>
        <w:t>-</w:t>
      </w:r>
      <w:r w:rsidRPr="00963625">
        <w:rPr>
          <w:rFonts w:ascii="Segoe UI" w:eastAsia="Times New Roman" w:hAnsi="Segoe UI" w:cs="Segoe UI"/>
          <w:color w:val="212121"/>
        </w:rPr>
        <w:t>based and non-partisan analysis of policy. ASPI was never meant to have an institutional view, as distinct from the individual conclusions of its various researchers. But few could argue that the public perception</w:t>
      </w:r>
      <w:r w:rsidR="00A72CCF" w:rsidRPr="00963625">
        <w:rPr>
          <w:rFonts w:ascii="Segoe UI" w:eastAsia="Times New Roman" w:hAnsi="Segoe UI" w:cs="Segoe UI"/>
          <w:color w:val="212121"/>
        </w:rPr>
        <w:t>, right or wrong,</w:t>
      </w:r>
      <w:r w:rsidRPr="00963625">
        <w:rPr>
          <w:rFonts w:ascii="Segoe UI" w:eastAsia="Times New Roman" w:hAnsi="Segoe UI" w:cs="Segoe UI"/>
          <w:color w:val="212121"/>
        </w:rPr>
        <w:t xml:space="preserve"> was that this foundational principle was not </w:t>
      </w:r>
      <w:r w:rsidR="00A72CCF" w:rsidRPr="00963625">
        <w:rPr>
          <w:rFonts w:ascii="Segoe UI" w:eastAsia="Times New Roman" w:hAnsi="Segoe UI" w:cs="Segoe UI"/>
          <w:color w:val="212121"/>
        </w:rPr>
        <w:t xml:space="preserve">consistently </w:t>
      </w:r>
      <w:r w:rsidRPr="00963625">
        <w:rPr>
          <w:rFonts w:ascii="Segoe UI" w:eastAsia="Times New Roman" w:hAnsi="Segoe UI" w:cs="Segoe UI"/>
          <w:color w:val="212121"/>
        </w:rPr>
        <w:t>upheld by its previous Executive Director.</w:t>
      </w:r>
    </w:p>
    <w:p w14:paraId="06E460F1" w14:textId="77777777" w:rsidR="00DF1973" w:rsidRPr="00963625" w:rsidRDefault="00DF1973"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 xml:space="preserve">This was as much a failure of governance as it was overreach by an individual. The ASPI Council should not seek to vet the research conclusions of ASPI reports but it should have recognised that op-ed overreach, especially where it was not based on research conclusions, was doing damage to ASPI’s reputation and taken steps to bring ASPI back into line with its non-partisan charter. </w:t>
      </w:r>
    </w:p>
    <w:p w14:paraId="06E460F2" w14:textId="77777777" w:rsidR="00DF1973" w:rsidRPr="00963625" w:rsidRDefault="00DF1973"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 xml:space="preserve">This suggests that there is room to improve the governance structure of ASPI to ensure that it remains genuinely independent and non-partisan. Leaving all appointments to the ASPI Council to the Minister for Defence, as is currently the case, is not the best way of achieving this. </w:t>
      </w:r>
    </w:p>
    <w:p w14:paraId="06E460F3" w14:textId="77777777" w:rsidR="00662D68" w:rsidRPr="00963625" w:rsidRDefault="00DF1973"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lastRenderedPageBreak/>
        <w:t xml:space="preserve">ASPI </w:t>
      </w:r>
      <w:r w:rsidR="00E3576A" w:rsidRPr="00963625">
        <w:rPr>
          <w:rFonts w:ascii="Segoe UI" w:eastAsia="Times New Roman" w:hAnsi="Segoe UI" w:cs="Segoe UI"/>
          <w:color w:val="212121"/>
        </w:rPr>
        <w:t xml:space="preserve">should </w:t>
      </w:r>
      <w:r w:rsidRPr="00963625">
        <w:rPr>
          <w:rFonts w:ascii="Segoe UI" w:eastAsia="Times New Roman" w:hAnsi="Segoe UI" w:cs="Segoe UI"/>
          <w:color w:val="212121"/>
        </w:rPr>
        <w:t xml:space="preserve">transition to a governance arrangement where the Minister for Defence appoints the </w:t>
      </w:r>
      <w:r w:rsidR="07043131" w:rsidRPr="00963625">
        <w:rPr>
          <w:rFonts w:ascii="Segoe UI" w:eastAsia="Times New Roman" w:hAnsi="Segoe UI" w:cs="Segoe UI"/>
          <w:color w:val="212121"/>
        </w:rPr>
        <w:t>C</w:t>
      </w:r>
      <w:r w:rsidRPr="00963625">
        <w:rPr>
          <w:rFonts w:ascii="Segoe UI" w:eastAsia="Times New Roman" w:hAnsi="Segoe UI" w:cs="Segoe UI"/>
          <w:color w:val="212121"/>
        </w:rPr>
        <w:t>hair and t</w:t>
      </w:r>
      <w:r w:rsidR="00662D68" w:rsidRPr="00963625">
        <w:rPr>
          <w:rFonts w:ascii="Segoe UI" w:eastAsia="Times New Roman" w:hAnsi="Segoe UI" w:cs="Segoe UI"/>
          <w:color w:val="212121"/>
        </w:rPr>
        <w:t>wo</w:t>
      </w:r>
      <w:r w:rsidRPr="00963625">
        <w:rPr>
          <w:rFonts w:ascii="Segoe UI" w:eastAsia="Times New Roman" w:hAnsi="Segoe UI" w:cs="Segoe UI"/>
          <w:color w:val="212121"/>
        </w:rPr>
        <w:t xml:space="preserve"> other members of Council, and the Leader of the Opposition appoints t</w:t>
      </w:r>
      <w:r w:rsidR="00662D68" w:rsidRPr="00963625">
        <w:rPr>
          <w:rFonts w:ascii="Segoe UI" w:eastAsia="Times New Roman" w:hAnsi="Segoe UI" w:cs="Segoe UI"/>
          <w:color w:val="212121"/>
        </w:rPr>
        <w:t>wo</w:t>
      </w:r>
      <w:r w:rsidRPr="00963625">
        <w:rPr>
          <w:rFonts w:ascii="Segoe UI" w:eastAsia="Times New Roman" w:hAnsi="Segoe UI" w:cs="Segoe UI"/>
          <w:color w:val="212121"/>
        </w:rPr>
        <w:t xml:space="preserve"> members. It should then be open to the Council itself to appoint up to three additional members, taking into account a skills matrix which is standard good governance practice</w:t>
      </w:r>
      <w:r w:rsidR="2462F1E3" w:rsidRPr="00963625">
        <w:rPr>
          <w:rFonts w:ascii="Segoe UI" w:eastAsia="Times New Roman" w:hAnsi="Segoe UI" w:cs="Segoe UI"/>
          <w:color w:val="212121"/>
        </w:rPr>
        <w:t>.</w:t>
      </w:r>
    </w:p>
    <w:p w14:paraId="06E460F4" w14:textId="77777777" w:rsidR="00DF1973" w:rsidRPr="00963625" w:rsidRDefault="00DF1973"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This would help ensure that there were some non-political perspectives on Council as well as providing an opportunity for those with experience in research and analysis to sit on Council.</w:t>
      </w:r>
      <w:r w:rsidR="00DB6E0C" w:rsidRPr="00963625">
        <w:rPr>
          <w:rFonts w:ascii="Segoe UI" w:eastAsia="Times New Roman" w:hAnsi="Segoe UI" w:cs="Segoe UI"/>
          <w:color w:val="212121"/>
        </w:rPr>
        <w:t xml:space="preserve"> </w:t>
      </w:r>
      <w:r w:rsidRPr="00963625">
        <w:rPr>
          <w:rFonts w:ascii="Segoe UI" w:eastAsia="Times New Roman" w:hAnsi="Segoe UI" w:cs="Segoe UI"/>
          <w:color w:val="212121"/>
        </w:rPr>
        <w:t>I</w:t>
      </w:r>
      <w:r w:rsidR="00DB6E0C" w:rsidRPr="00963625">
        <w:rPr>
          <w:rFonts w:ascii="Segoe UI" w:eastAsia="Times New Roman" w:hAnsi="Segoe UI" w:cs="Segoe UI"/>
          <w:color w:val="212121"/>
        </w:rPr>
        <w:t> </w:t>
      </w:r>
      <w:r w:rsidRPr="00963625">
        <w:rPr>
          <w:rFonts w:ascii="Segoe UI" w:eastAsia="Times New Roman" w:hAnsi="Segoe UI" w:cs="Segoe UI"/>
          <w:color w:val="212121"/>
        </w:rPr>
        <w:t>also recommend that in order to strengthen the independent and non-partisan character of ASPI, the authority to appoint the Executive Director should rest with the ASPI Council and not the Minister for Defence.</w:t>
      </w:r>
      <w:r w:rsidR="009210B7" w:rsidRPr="00963625">
        <w:rPr>
          <w:rFonts w:ascii="Segoe UI" w:eastAsia="Times New Roman" w:hAnsi="Segoe UI" w:cs="Segoe UI"/>
          <w:color w:val="212121"/>
        </w:rPr>
        <w:t xml:space="preserve"> </w:t>
      </w:r>
    </w:p>
    <w:p w14:paraId="06E460F5" w14:textId="77777777" w:rsidR="00662D68" w:rsidRPr="00963625" w:rsidRDefault="00DF1973" w:rsidP="008773F8">
      <w:pPr>
        <w:pStyle w:val="ListParagraph"/>
        <w:numPr>
          <w:ilvl w:val="0"/>
          <w:numId w:val="22"/>
        </w:numPr>
        <w:spacing w:line="259" w:lineRule="auto"/>
        <w:ind w:left="0" w:firstLine="0"/>
        <w:contextualSpacing w:val="0"/>
        <w:rPr>
          <w:rFonts w:ascii="Segoe UI" w:eastAsia="Times New Roman" w:hAnsi="Segoe UI" w:cs="Segoe UI"/>
          <w:color w:val="212121"/>
        </w:rPr>
      </w:pPr>
      <w:r w:rsidRPr="7174261E">
        <w:rPr>
          <w:rFonts w:ascii="Segoe UI" w:eastAsia="Times New Roman" w:hAnsi="Segoe UI" w:cs="Segoe UI"/>
          <w:color w:val="212121"/>
        </w:rPr>
        <w:t>In reviewing ASPI’s governance, I have also examined its status as a Commonwealth Company</w:t>
      </w:r>
      <w:r w:rsidR="6193CF5F" w:rsidRPr="7174261E">
        <w:rPr>
          <w:rFonts w:ascii="Segoe UI" w:eastAsia="Times New Roman" w:hAnsi="Segoe UI" w:cs="Segoe UI"/>
          <w:color w:val="212121"/>
        </w:rPr>
        <w:t xml:space="preserve">. </w:t>
      </w:r>
      <w:r w:rsidRPr="7174261E">
        <w:rPr>
          <w:rFonts w:ascii="Segoe UI" w:eastAsia="Times New Roman" w:hAnsi="Segoe UI" w:cs="Segoe UI"/>
          <w:color w:val="212121"/>
        </w:rPr>
        <w:t xml:space="preserve">I </w:t>
      </w:r>
      <w:r w:rsidR="008B3A47" w:rsidRPr="7174261E">
        <w:rPr>
          <w:rFonts w:ascii="Segoe UI" w:eastAsia="Times New Roman" w:hAnsi="Segoe UI" w:cs="Segoe UI"/>
          <w:color w:val="212121"/>
        </w:rPr>
        <w:t xml:space="preserve">acknowledge </w:t>
      </w:r>
      <w:r w:rsidRPr="7174261E">
        <w:rPr>
          <w:rFonts w:ascii="Segoe UI" w:eastAsia="Times New Roman" w:hAnsi="Segoe UI" w:cs="Segoe UI"/>
          <w:color w:val="212121"/>
        </w:rPr>
        <w:t xml:space="preserve">that this status, which was recommended by the </w:t>
      </w:r>
      <w:r w:rsidR="00E7043D" w:rsidRPr="7174261E">
        <w:rPr>
          <w:rFonts w:ascii="Segoe UI" w:eastAsia="Times New Roman" w:hAnsi="Segoe UI" w:cs="Segoe UI"/>
          <w:color w:val="212121"/>
        </w:rPr>
        <w:t>Australian Government Solicitor</w:t>
      </w:r>
      <w:r w:rsidRPr="7174261E">
        <w:rPr>
          <w:rFonts w:ascii="Segoe UI" w:eastAsia="Times New Roman" w:hAnsi="Segoe UI" w:cs="Segoe UI"/>
          <w:color w:val="212121"/>
        </w:rPr>
        <w:t xml:space="preserve"> at the time ASPI was established, imposes some additional audit and other administrative burdens on ASPI. But that should not in itself be a reason to change ASPI’s status and I see no other compelling reason to do so.</w:t>
      </w:r>
      <w:r w:rsidR="00DB6E0C" w:rsidRPr="7174261E">
        <w:rPr>
          <w:rFonts w:ascii="Segoe UI" w:eastAsia="Times New Roman" w:hAnsi="Segoe UI" w:cs="Segoe UI"/>
          <w:color w:val="212121"/>
        </w:rPr>
        <w:t xml:space="preserve"> </w:t>
      </w:r>
      <w:r w:rsidR="004F55D5">
        <w:rPr>
          <w:rFonts w:ascii="Segoe UI" w:eastAsia="Times New Roman" w:hAnsi="Segoe UI" w:cs="Segoe UI"/>
          <w:color w:val="212121"/>
        </w:rPr>
        <w:t>Nor should ASPI’s status as a Commonwealth Company exempt it from having to compete with others in the open tender process recommended in this review.</w:t>
      </w:r>
    </w:p>
    <w:p w14:paraId="06E460F6" w14:textId="77777777" w:rsidR="00662D68" w:rsidRPr="00963625" w:rsidRDefault="00DF1973"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I accept however that up to now ASPI’s status as a Commonwealth Company has been seen as a barrier to it receiving DGR</w:t>
      </w:r>
      <w:r w:rsidR="00B94068" w:rsidRPr="00963625">
        <w:rPr>
          <w:rFonts w:ascii="Segoe UI" w:eastAsia="Times New Roman" w:hAnsi="Segoe UI" w:cs="Segoe UI"/>
          <w:color w:val="212121"/>
        </w:rPr>
        <w:t xml:space="preserve"> </w:t>
      </w:r>
      <w:r w:rsidRPr="00963625">
        <w:rPr>
          <w:rFonts w:ascii="Segoe UI" w:eastAsia="Times New Roman" w:hAnsi="Segoe UI" w:cs="Segoe UI"/>
          <w:color w:val="212121"/>
        </w:rPr>
        <w:t>status</w:t>
      </w:r>
      <w:r w:rsidR="5E80F826" w:rsidRPr="00963625">
        <w:rPr>
          <w:rFonts w:ascii="Segoe UI" w:eastAsia="Times New Roman" w:hAnsi="Segoe UI" w:cs="Segoe UI"/>
          <w:color w:val="212121"/>
        </w:rPr>
        <w:t xml:space="preserve">. </w:t>
      </w:r>
      <w:r w:rsidRPr="00963625">
        <w:rPr>
          <w:rFonts w:ascii="Segoe UI" w:eastAsia="Times New Roman" w:hAnsi="Segoe UI" w:cs="Segoe UI"/>
          <w:color w:val="212121"/>
        </w:rPr>
        <w:t>This should be rectified, and I recommend that DGR status, which is common for other think tanks, should be extended to ASPI to assist its fundraising efforts.</w:t>
      </w:r>
      <w:r w:rsidR="724BC052" w:rsidRPr="00963625">
        <w:rPr>
          <w:rFonts w:ascii="Segoe UI" w:eastAsia="Times New Roman" w:hAnsi="Segoe UI" w:cs="Segoe UI"/>
          <w:color w:val="212121"/>
        </w:rPr>
        <w:t xml:space="preserve"> </w:t>
      </w:r>
    </w:p>
    <w:p w14:paraId="06E460F7" w14:textId="77777777" w:rsidR="00DF1973" w:rsidRPr="00963625" w:rsidRDefault="00DF1973"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If this recommendation is accepted, ASPI should be required to clear with the Minister for Defence a set of guidelines to govern its tax-deductible fundraising so that there can be no perception that its Commonwealth Company status confers on potential donors any special privileges or access</w:t>
      </w:r>
      <w:r w:rsidR="00A72CCF" w:rsidRPr="00963625">
        <w:rPr>
          <w:rFonts w:ascii="Segoe UI" w:eastAsia="Times New Roman" w:hAnsi="Segoe UI" w:cs="Segoe UI"/>
          <w:color w:val="212121"/>
        </w:rPr>
        <w:t xml:space="preserve"> to Government</w:t>
      </w:r>
      <w:r w:rsidRPr="00963625">
        <w:rPr>
          <w:rFonts w:ascii="Segoe UI" w:eastAsia="Times New Roman" w:hAnsi="Segoe UI" w:cs="Segoe UI"/>
          <w:color w:val="212121"/>
        </w:rPr>
        <w:t>.</w:t>
      </w:r>
    </w:p>
    <w:p w14:paraId="06E460F8" w14:textId="77777777" w:rsidR="00B70151" w:rsidRDefault="00B70151" w:rsidP="00B70151">
      <w:pPr>
        <w:pStyle w:val="BOXHeading3"/>
        <w:spacing w:after="80"/>
      </w:pPr>
      <w:r>
        <w:t xml:space="preserve">Recommendation </w:t>
      </w:r>
      <w:r w:rsidR="00017D9C">
        <w:t>11</w:t>
      </w:r>
    </w:p>
    <w:p w14:paraId="06E460F9" w14:textId="77777777" w:rsidR="00B70151" w:rsidRDefault="00B70151" w:rsidP="00B70151">
      <w:pPr>
        <w:pStyle w:val="BOXText"/>
        <w:spacing w:after="80"/>
        <w:rPr>
          <w:rFonts w:ascii="Segoe UI" w:eastAsia="Times New Roman" w:hAnsi="Segoe UI" w:cs="Segoe UI"/>
          <w:color w:val="212121"/>
        </w:rPr>
      </w:pPr>
      <w:r w:rsidRPr="00B506A8">
        <w:rPr>
          <w:rFonts w:ascii="Segoe UI" w:eastAsia="Times New Roman" w:hAnsi="Segoe UI" w:cs="Segoe UI"/>
          <w:color w:val="212121"/>
        </w:rPr>
        <w:t xml:space="preserve">Government should re-constitute ASPI’s Council with up to eight members, comprising a chair and two members appointed by the Minister for Defence, two members appointed by the Leader of the Opposition, and up to three members appointed by the Council itself based on a skills matrix. The Council should have the authority to </w:t>
      </w:r>
      <w:r>
        <w:rPr>
          <w:rFonts w:ascii="Segoe UI" w:eastAsia="Times New Roman" w:hAnsi="Segoe UI" w:cs="Segoe UI"/>
          <w:color w:val="212121"/>
        </w:rPr>
        <w:t>appoint the Executive Director.</w:t>
      </w:r>
    </w:p>
    <w:p w14:paraId="06E460FA" w14:textId="77777777" w:rsidR="00B70151" w:rsidRDefault="00B70151" w:rsidP="009210B7">
      <w:pPr>
        <w:pStyle w:val="BOXHeading3"/>
        <w:spacing w:before="120" w:after="80"/>
      </w:pPr>
      <w:r>
        <w:t xml:space="preserve">Recommendation </w:t>
      </w:r>
      <w:r w:rsidR="00017D9C">
        <w:t>12</w:t>
      </w:r>
    </w:p>
    <w:p w14:paraId="06E460FB" w14:textId="77777777" w:rsidR="00B70151" w:rsidRPr="00B506A8" w:rsidRDefault="5A10FAF1" w:rsidP="00B70151">
      <w:pPr>
        <w:pStyle w:val="BOXText"/>
        <w:spacing w:after="80"/>
      </w:pPr>
      <w:r>
        <w:t>Subject to a formal application being received from ASPI</w:t>
      </w:r>
      <w:r w:rsidR="00533BCC">
        <w:t>,</w:t>
      </w:r>
      <w:r>
        <w:t xml:space="preserve"> and meeting relevant requirements, the Government should support Deductible Gift Recipient status for ASPI, either as an approved research institute or, if necessary, through a specific listing in the tax law. This should be subject to ASPI’s Council developing guidelines, cleared by the Minister for Defence, that ensure potential donors understand that ASPI’s Commonwealth Company status does not confer any special privileges or access to Government.</w:t>
      </w:r>
    </w:p>
    <w:p w14:paraId="06E460FC" w14:textId="77777777" w:rsidR="00B70151" w:rsidRPr="00AF520C" w:rsidRDefault="00B70151" w:rsidP="009210B7">
      <w:pPr>
        <w:pStyle w:val="Heading3"/>
        <w:rPr>
          <w:rFonts w:cstheme="minorBidi"/>
        </w:rPr>
      </w:pPr>
      <w:r w:rsidRPr="00AF520C">
        <w:rPr>
          <w:rFonts w:cstheme="minorBidi"/>
        </w:rPr>
        <w:t>ASPI’s Washington Office</w:t>
      </w:r>
    </w:p>
    <w:p w14:paraId="06E460FD" w14:textId="77777777" w:rsidR="00AE04FD" w:rsidRPr="00963625" w:rsidRDefault="00DF1973"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In</w:t>
      </w:r>
      <w:r w:rsidR="00E7043D" w:rsidRPr="00963625">
        <w:rPr>
          <w:rFonts w:ascii="Segoe UI" w:eastAsia="Times New Roman" w:hAnsi="Segoe UI" w:cs="Segoe UI"/>
          <w:color w:val="212121"/>
        </w:rPr>
        <w:t xml:space="preserve"> </w:t>
      </w:r>
      <w:r w:rsidR="00344065" w:rsidRPr="00963625">
        <w:rPr>
          <w:rFonts w:ascii="Segoe UI" w:eastAsia="Times New Roman" w:hAnsi="Segoe UI" w:cs="Segoe UI"/>
          <w:color w:val="212121"/>
        </w:rPr>
        <w:t>May 2021, Defence</w:t>
      </w:r>
      <w:r w:rsidR="00AE04FD" w:rsidRPr="00963625">
        <w:rPr>
          <w:rFonts w:ascii="Segoe UI" w:eastAsia="Times New Roman" w:hAnsi="Segoe UI" w:cs="Segoe UI"/>
          <w:color w:val="212121"/>
        </w:rPr>
        <w:t xml:space="preserve"> </w:t>
      </w:r>
      <w:r w:rsidR="00344065" w:rsidRPr="00963625">
        <w:rPr>
          <w:rFonts w:ascii="Segoe UI" w:eastAsia="Times New Roman" w:hAnsi="Segoe UI" w:cs="Segoe UI"/>
          <w:color w:val="212121"/>
        </w:rPr>
        <w:t>varied its grant with ASPI to provide an additional $5</w:t>
      </w:r>
      <w:r w:rsidR="00DB6E0C" w:rsidRPr="00963625">
        <w:rPr>
          <w:rFonts w:ascii="Segoe UI" w:eastAsia="Times New Roman" w:hAnsi="Segoe UI" w:cs="Segoe UI"/>
          <w:color w:val="212121"/>
        </w:rPr>
        <w:t> </w:t>
      </w:r>
      <w:r w:rsidR="00344065" w:rsidRPr="00963625">
        <w:rPr>
          <w:rFonts w:ascii="Segoe UI" w:eastAsia="Times New Roman" w:hAnsi="Segoe UI" w:cs="Segoe UI"/>
          <w:color w:val="212121"/>
        </w:rPr>
        <w:t>million to open an ASPI office in Washington.</w:t>
      </w:r>
    </w:p>
    <w:p w14:paraId="06E460FE" w14:textId="77777777" w:rsidR="00DF1973" w:rsidRPr="00963625" w:rsidRDefault="00DF1973"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In my view, the case for a government funded office in Washington is not persuasive</w:t>
      </w:r>
      <w:r w:rsidR="02020D9C" w:rsidRPr="00963625">
        <w:rPr>
          <w:rFonts w:ascii="Segoe UI" w:eastAsia="Times New Roman" w:hAnsi="Segoe UI" w:cs="Segoe UI"/>
          <w:color w:val="212121"/>
        </w:rPr>
        <w:t xml:space="preserve">. </w:t>
      </w:r>
      <w:r w:rsidRPr="00963625">
        <w:rPr>
          <w:rFonts w:ascii="Segoe UI" w:eastAsia="Times New Roman" w:hAnsi="Segoe UI" w:cs="Segoe UI"/>
          <w:color w:val="212121"/>
        </w:rPr>
        <w:t xml:space="preserve">The claim that it is necessary to give visiting ministers and senior officials an Australian venue to make speeches and hold roundtables ignores the reality that for decades ministers and officials have had </w:t>
      </w:r>
      <w:r w:rsidRPr="00963625">
        <w:rPr>
          <w:rFonts w:ascii="Segoe UI" w:eastAsia="Times New Roman" w:hAnsi="Segoe UI" w:cs="Segoe UI"/>
          <w:color w:val="212121"/>
        </w:rPr>
        <w:lastRenderedPageBreak/>
        <w:t>no difficulty finding a prestigious American think tank to host such occasions and that t</w:t>
      </w:r>
      <w:r w:rsidR="00A72CCF" w:rsidRPr="00963625">
        <w:rPr>
          <w:rFonts w:ascii="Segoe UI" w:eastAsia="Times New Roman" w:hAnsi="Segoe UI" w:cs="Segoe UI"/>
          <w:color w:val="212121"/>
        </w:rPr>
        <w:t>his</w:t>
      </w:r>
      <w:r w:rsidRPr="00963625">
        <w:rPr>
          <w:rFonts w:ascii="Segoe UI" w:eastAsia="Times New Roman" w:hAnsi="Segoe UI" w:cs="Segoe UI"/>
          <w:color w:val="212121"/>
        </w:rPr>
        <w:t xml:space="preserve"> worked perfectly well.</w:t>
      </w:r>
    </w:p>
    <w:p w14:paraId="06E460FF" w14:textId="77777777" w:rsidR="00DF1973" w:rsidRPr="00963625" w:rsidRDefault="00DF1973"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Of more concern is the function which has been formally ascribed to the ASPI Washington office to influence US policy debates</w:t>
      </w:r>
      <w:r w:rsidR="5A3D1A69" w:rsidRPr="00963625">
        <w:rPr>
          <w:rFonts w:ascii="Segoe UI" w:eastAsia="Times New Roman" w:hAnsi="Segoe UI" w:cs="Segoe UI"/>
          <w:color w:val="212121"/>
        </w:rPr>
        <w:t xml:space="preserve">. </w:t>
      </w:r>
      <w:r w:rsidRPr="00963625">
        <w:rPr>
          <w:rFonts w:ascii="Segoe UI" w:eastAsia="Times New Roman" w:hAnsi="Segoe UI" w:cs="Segoe UI"/>
          <w:color w:val="212121"/>
        </w:rPr>
        <w:t xml:space="preserve">This is tricky territory. The task of influencing a foreign government’s policy in Australia’s interests is best done through a single voice representing the full authority of the Australian </w:t>
      </w:r>
      <w:r w:rsidR="00634836" w:rsidRPr="00963625">
        <w:rPr>
          <w:rFonts w:ascii="Segoe UI" w:eastAsia="Times New Roman" w:hAnsi="Segoe UI" w:cs="Segoe UI"/>
          <w:color w:val="212121"/>
        </w:rPr>
        <w:t>G</w:t>
      </w:r>
      <w:r w:rsidRPr="00963625">
        <w:rPr>
          <w:rFonts w:ascii="Segoe UI" w:eastAsia="Times New Roman" w:hAnsi="Segoe UI" w:cs="Segoe UI"/>
          <w:color w:val="212121"/>
        </w:rPr>
        <w:t xml:space="preserve">overnment. It could reasonably be asked on what issues does the ASPI Washington office seek to influence US policy debates and, more importantly, what policy line does ASPI bring to such efforts. Influencing US policy should be left to the Australian </w:t>
      </w:r>
      <w:r w:rsidR="00A72CCF" w:rsidRPr="00963625">
        <w:rPr>
          <w:rFonts w:ascii="Segoe UI" w:eastAsia="Times New Roman" w:hAnsi="Segoe UI" w:cs="Segoe UI"/>
          <w:color w:val="212121"/>
        </w:rPr>
        <w:t xml:space="preserve">Government and especially the </w:t>
      </w:r>
      <w:r w:rsidRPr="00963625">
        <w:rPr>
          <w:rFonts w:ascii="Segoe UI" w:eastAsia="Times New Roman" w:hAnsi="Segoe UI" w:cs="Segoe UI"/>
          <w:color w:val="212121"/>
        </w:rPr>
        <w:t>Embassy in Washington</w:t>
      </w:r>
      <w:r w:rsidR="00A72CCF" w:rsidRPr="00963625">
        <w:rPr>
          <w:rFonts w:ascii="Segoe UI" w:eastAsia="Times New Roman" w:hAnsi="Segoe UI" w:cs="Segoe UI"/>
          <w:color w:val="212121"/>
        </w:rPr>
        <w:t>.</w:t>
      </w:r>
      <w:r w:rsidR="009210B7" w:rsidRPr="00963625">
        <w:rPr>
          <w:rFonts w:ascii="Segoe UI" w:eastAsia="Times New Roman" w:hAnsi="Segoe UI" w:cs="Segoe UI"/>
          <w:color w:val="212121"/>
        </w:rPr>
        <w:t xml:space="preserve"> </w:t>
      </w:r>
      <w:r w:rsidR="00A72CCF" w:rsidRPr="00963625">
        <w:rPr>
          <w:rFonts w:ascii="Segoe UI" w:eastAsia="Times New Roman" w:hAnsi="Segoe UI" w:cs="Segoe UI"/>
          <w:color w:val="212121"/>
        </w:rPr>
        <w:t>H</w:t>
      </w:r>
      <w:r w:rsidRPr="00963625">
        <w:rPr>
          <w:rFonts w:ascii="Segoe UI" w:eastAsia="Times New Roman" w:hAnsi="Segoe UI" w:cs="Segoe UI"/>
          <w:color w:val="212121"/>
        </w:rPr>
        <w:t xml:space="preserve">aving ASPI freelance in this area only muddies the waters. </w:t>
      </w:r>
    </w:p>
    <w:p w14:paraId="06E46100" w14:textId="77777777" w:rsidR="00DF1973" w:rsidRPr="00963625" w:rsidRDefault="00DF1973"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 xml:space="preserve">I recommend that when the current funding agreement for the ASPI Washington office ceases in July 2025, it not be renewed. If ASPI wishes to retain a Washington office, funded through its corporate and philanthropic outreach, </w:t>
      </w:r>
      <w:r w:rsidR="00634836" w:rsidRPr="00963625">
        <w:rPr>
          <w:rFonts w:ascii="Segoe UI" w:eastAsia="Times New Roman" w:hAnsi="Segoe UI" w:cs="Segoe UI"/>
          <w:color w:val="212121"/>
        </w:rPr>
        <w:t xml:space="preserve">Government </w:t>
      </w:r>
      <w:r w:rsidRPr="00963625">
        <w:rPr>
          <w:rFonts w:ascii="Segoe UI" w:eastAsia="Times New Roman" w:hAnsi="Segoe UI" w:cs="Segoe UI"/>
          <w:color w:val="212121"/>
        </w:rPr>
        <w:t xml:space="preserve">should make clear to ASPI that it has no mandate from Government to seek to influence US policy debates and nor should it use its status as a Commonwealth Company to convey the impression that it somehow reflects the views of the Australian </w:t>
      </w:r>
      <w:r w:rsidR="6B49332F" w:rsidRPr="00963625">
        <w:rPr>
          <w:rFonts w:ascii="Segoe UI" w:eastAsia="Times New Roman" w:hAnsi="Segoe UI" w:cs="Segoe UI"/>
          <w:color w:val="212121"/>
        </w:rPr>
        <w:t>G</w:t>
      </w:r>
      <w:r w:rsidRPr="00963625">
        <w:rPr>
          <w:rFonts w:ascii="Segoe UI" w:eastAsia="Times New Roman" w:hAnsi="Segoe UI" w:cs="Segoe UI"/>
          <w:color w:val="212121"/>
        </w:rPr>
        <w:t>overnment.</w:t>
      </w:r>
    </w:p>
    <w:p w14:paraId="06E46101" w14:textId="77777777" w:rsidR="00AE04FD" w:rsidRPr="00963625" w:rsidRDefault="00DF1973"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With the exception of ending funding for the ASPI Washington office, I make no other recommendations on ASPI funding. The idea, which some in the media have canvassed, that this Review may withdraw funding from ASPI because it has been critical of government policy or is seen as anti-China</w:t>
      </w:r>
      <w:r w:rsidR="007E71D3">
        <w:rPr>
          <w:rFonts w:ascii="Segoe UI" w:eastAsia="Times New Roman" w:hAnsi="Segoe UI" w:cs="Segoe UI"/>
          <w:color w:val="212121"/>
        </w:rPr>
        <w:t>,</w:t>
      </w:r>
      <w:r w:rsidRPr="00963625">
        <w:rPr>
          <w:rFonts w:ascii="Segoe UI" w:eastAsia="Times New Roman" w:hAnsi="Segoe UI" w:cs="Segoe UI"/>
          <w:color w:val="212121"/>
        </w:rPr>
        <w:t xml:space="preserve"> is not one I hold. </w:t>
      </w:r>
    </w:p>
    <w:p w14:paraId="06E46102" w14:textId="77777777" w:rsidR="00DF1973" w:rsidRPr="00963625" w:rsidRDefault="00FE79EB" w:rsidP="689C626E">
      <w:pPr>
        <w:pStyle w:val="ListParagraph"/>
        <w:numPr>
          <w:ilvl w:val="0"/>
          <w:numId w:val="22"/>
        </w:numPr>
        <w:spacing w:line="259" w:lineRule="auto"/>
        <w:ind w:left="0" w:firstLine="0"/>
        <w:rPr>
          <w:rFonts w:ascii="Segoe UI" w:eastAsia="Times New Roman" w:hAnsi="Segoe UI" w:cs="Segoe UI"/>
          <w:color w:val="212121"/>
        </w:rPr>
      </w:pPr>
      <w:r w:rsidRPr="689C626E">
        <w:rPr>
          <w:rFonts w:ascii="Segoe UI" w:eastAsia="Times New Roman" w:hAnsi="Segoe UI" w:cs="Segoe UI"/>
          <w:color w:val="212121"/>
        </w:rPr>
        <w:t>Regarding</w:t>
      </w:r>
      <w:r w:rsidR="2402FDDA" w:rsidRPr="689C626E">
        <w:rPr>
          <w:rFonts w:ascii="Segoe UI" w:eastAsia="Times New Roman" w:hAnsi="Segoe UI" w:cs="Segoe UI"/>
          <w:color w:val="212121"/>
        </w:rPr>
        <w:t xml:space="preserve"> ASPI’s </w:t>
      </w:r>
      <w:r w:rsidR="00AE04FD" w:rsidRPr="689C626E">
        <w:rPr>
          <w:rFonts w:ascii="Segoe UI" w:eastAsia="Times New Roman" w:hAnsi="Segoe UI" w:cs="Segoe UI"/>
          <w:color w:val="212121"/>
        </w:rPr>
        <w:t xml:space="preserve">past </w:t>
      </w:r>
      <w:r w:rsidR="2402FDDA" w:rsidRPr="689C626E">
        <w:rPr>
          <w:rFonts w:ascii="Segoe UI" w:eastAsia="Times New Roman" w:hAnsi="Segoe UI" w:cs="Segoe UI"/>
          <w:color w:val="212121"/>
        </w:rPr>
        <w:t>op</w:t>
      </w:r>
      <w:r w:rsidR="7D10C27E" w:rsidRPr="689C626E">
        <w:rPr>
          <w:rFonts w:ascii="Segoe UI" w:eastAsia="Times New Roman" w:hAnsi="Segoe UI" w:cs="Segoe UI"/>
          <w:color w:val="212121"/>
        </w:rPr>
        <w:t>-</w:t>
      </w:r>
      <w:r w:rsidR="2402FDDA" w:rsidRPr="689C626E">
        <w:rPr>
          <w:rFonts w:ascii="Segoe UI" w:eastAsia="Times New Roman" w:hAnsi="Segoe UI" w:cs="Segoe UI"/>
          <w:color w:val="212121"/>
        </w:rPr>
        <w:t>ed overreach</w:t>
      </w:r>
      <w:r w:rsidRPr="689C626E">
        <w:rPr>
          <w:rFonts w:ascii="Segoe UI" w:eastAsia="Times New Roman" w:hAnsi="Segoe UI" w:cs="Segoe UI"/>
          <w:color w:val="212121"/>
        </w:rPr>
        <w:t>, t</w:t>
      </w:r>
      <w:r w:rsidR="2402FDDA" w:rsidRPr="689C626E">
        <w:rPr>
          <w:rFonts w:ascii="Segoe UI" w:eastAsia="Times New Roman" w:hAnsi="Segoe UI" w:cs="Segoe UI"/>
          <w:color w:val="212121"/>
        </w:rPr>
        <w:t xml:space="preserve">he current Executive Director and Council </w:t>
      </w:r>
      <w:r w:rsidR="32949080" w:rsidRPr="689C626E">
        <w:rPr>
          <w:rFonts w:ascii="Segoe UI" w:eastAsia="Times New Roman" w:hAnsi="Segoe UI" w:cs="Segoe UI"/>
          <w:color w:val="212121"/>
        </w:rPr>
        <w:t>C</w:t>
      </w:r>
      <w:r w:rsidR="2402FDDA" w:rsidRPr="689C626E">
        <w:rPr>
          <w:rFonts w:ascii="Segoe UI" w:eastAsia="Times New Roman" w:hAnsi="Segoe UI" w:cs="Segoe UI"/>
          <w:color w:val="212121"/>
        </w:rPr>
        <w:t xml:space="preserve">hair are working to recalibrate ASPI’s approach. But past overreach is not a sufficient reason to cut ASPI’s funding. Indeed, the idea that a think tank should be shut down because the </w:t>
      </w:r>
      <w:r w:rsidR="613F5A24" w:rsidRPr="689C626E">
        <w:rPr>
          <w:rFonts w:ascii="Segoe UI" w:eastAsia="Times New Roman" w:hAnsi="Segoe UI" w:cs="Segoe UI"/>
          <w:color w:val="212121"/>
        </w:rPr>
        <w:t>G</w:t>
      </w:r>
      <w:r w:rsidR="2402FDDA" w:rsidRPr="689C626E">
        <w:rPr>
          <w:rFonts w:ascii="Segoe UI" w:eastAsia="Times New Roman" w:hAnsi="Segoe UI" w:cs="Segoe UI"/>
          <w:color w:val="212121"/>
        </w:rPr>
        <w:t xml:space="preserve">overnment does not like its analysis or the opinions of its Executive Director is a dangerous one and contrary to the </w:t>
      </w:r>
      <w:r w:rsidR="004F55D5">
        <w:rPr>
          <w:rFonts w:ascii="Segoe UI" w:eastAsia="Times New Roman" w:hAnsi="Segoe UI" w:cs="Segoe UI"/>
          <w:color w:val="212121"/>
        </w:rPr>
        <w:t>value</w:t>
      </w:r>
      <w:r w:rsidR="004F55D5" w:rsidRPr="689C626E">
        <w:rPr>
          <w:rFonts w:ascii="Segoe UI" w:eastAsia="Times New Roman" w:hAnsi="Segoe UI" w:cs="Segoe UI"/>
          <w:color w:val="212121"/>
        </w:rPr>
        <w:t xml:space="preserve"> </w:t>
      </w:r>
      <w:r w:rsidR="2402FDDA" w:rsidRPr="689C626E">
        <w:rPr>
          <w:rFonts w:ascii="Segoe UI" w:eastAsia="Times New Roman" w:hAnsi="Segoe UI" w:cs="Segoe UI"/>
          <w:color w:val="212121"/>
        </w:rPr>
        <w:t>of policy contestability in a liberal democracy. That is why the decision of the previous government to cease funding the China Matters think tank was so regrettable.</w:t>
      </w:r>
    </w:p>
    <w:p w14:paraId="06E46103" w14:textId="77777777" w:rsidR="00B506A8" w:rsidRDefault="00B506A8" w:rsidP="00B506A8">
      <w:pPr>
        <w:pStyle w:val="BOXHeading3"/>
        <w:spacing w:after="80"/>
      </w:pPr>
      <w:r>
        <w:t>Recommendation 1</w:t>
      </w:r>
      <w:r w:rsidR="00017D9C">
        <w:t>3</w:t>
      </w:r>
    </w:p>
    <w:p w14:paraId="06E46104" w14:textId="77777777" w:rsidR="00B506A8" w:rsidRPr="00B506A8" w:rsidRDefault="00B506A8" w:rsidP="00B506A8">
      <w:pPr>
        <w:pStyle w:val="BOXText"/>
        <w:rPr>
          <w:rFonts w:ascii="Segoe UI" w:eastAsia="Times New Roman" w:hAnsi="Segoe UI" w:cs="Segoe UI"/>
          <w:color w:val="212121"/>
        </w:rPr>
      </w:pPr>
      <w:r w:rsidRPr="00B506A8">
        <w:rPr>
          <w:rFonts w:ascii="Segoe UI" w:eastAsia="Times New Roman" w:hAnsi="Segoe UI" w:cs="Segoe UI"/>
          <w:color w:val="212121"/>
        </w:rPr>
        <w:t>Government should cease funding for ASPI’s Washington D.C. Office once existing contracts conclude at the end of the 2024</w:t>
      </w:r>
      <w:r w:rsidR="007959C0">
        <w:rPr>
          <w:rFonts w:ascii="Segoe UI" w:eastAsia="Times New Roman" w:hAnsi="Segoe UI" w:cs="Segoe UI"/>
          <w:color w:val="212121"/>
        </w:rPr>
        <w:t>-</w:t>
      </w:r>
      <w:r w:rsidRPr="00B506A8">
        <w:rPr>
          <w:rFonts w:ascii="Segoe UI" w:eastAsia="Times New Roman" w:hAnsi="Segoe UI" w:cs="Segoe UI"/>
          <w:color w:val="212121"/>
        </w:rPr>
        <w:t>25 financial year. </w:t>
      </w:r>
    </w:p>
    <w:p w14:paraId="06E46105" w14:textId="77777777" w:rsidR="00DE7087" w:rsidRPr="00752A8B" w:rsidRDefault="23E97CE9" w:rsidP="5C4F58BD">
      <w:pPr>
        <w:pStyle w:val="Heading2"/>
        <w:rPr>
          <w:rFonts w:cs="Segoe UI"/>
          <w:sz w:val="32"/>
          <w:szCs w:val="32"/>
        </w:rPr>
      </w:pPr>
      <w:bookmarkStart w:id="100" w:name="_Toc170980554"/>
      <w:bookmarkStart w:id="101" w:name="_Toc171004268"/>
      <w:bookmarkStart w:id="102" w:name="_Toc171074990"/>
      <w:bookmarkStart w:id="103" w:name="_Toc172665602"/>
      <w:r w:rsidRPr="00752A8B">
        <w:rPr>
          <w:rFonts w:cs="Segoe UI"/>
          <w:sz w:val="32"/>
          <w:szCs w:val="32"/>
        </w:rPr>
        <w:t xml:space="preserve">The American </w:t>
      </w:r>
      <w:r w:rsidR="00A03A28" w:rsidRPr="00752A8B">
        <w:rPr>
          <w:rFonts w:cs="Segoe UI"/>
          <w:sz w:val="32"/>
          <w:szCs w:val="32"/>
        </w:rPr>
        <w:t xml:space="preserve">Australian </w:t>
      </w:r>
      <w:r w:rsidRPr="00752A8B">
        <w:rPr>
          <w:rFonts w:cs="Segoe UI"/>
          <w:sz w:val="32"/>
          <w:szCs w:val="32"/>
        </w:rPr>
        <w:t>Association (</w:t>
      </w:r>
      <w:r w:rsidR="3DAB4D1E" w:rsidRPr="00752A8B">
        <w:rPr>
          <w:rFonts w:cs="Segoe UI"/>
          <w:sz w:val="32"/>
          <w:szCs w:val="32"/>
        </w:rPr>
        <w:t>AAA</w:t>
      </w:r>
      <w:r w:rsidR="25EB0CD8" w:rsidRPr="00752A8B">
        <w:rPr>
          <w:rFonts w:cs="Segoe UI"/>
          <w:sz w:val="32"/>
          <w:szCs w:val="32"/>
        </w:rPr>
        <w:t>)</w:t>
      </w:r>
      <w:bookmarkEnd w:id="100"/>
      <w:bookmarkEnd w:id="101"/>
      <w:bookmarkEnd w:id="102"/>
      <w:bookmarkEnd w:id="103"/>
    </w:p>
    <w:p w14:paraId="06E46106" w14:textId="77777777" w:rsidR="00D8431D" w:rsidRDefault="466DD177"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752A8B">
        <w:rPr>
          <w:rFonts w:ascii="Segoe UI" w:eastAsia="Times New Roman" w:hAnsi="Segoe UI" w:cs="Segoe UI"/>
          <w:color w:val="212121"/>
        </w:rPr>
        <w:t xml:space="preserve">The </w:t>
      </w:r>
      <w:r w:rsidR="00671EB7">
        <w:rPr>
          <w:rFonts w:ascii="Segoe UI" w:eastAsia="Times New Roman" w:hAnsi="Segoe UI" w:cs="Segoe UI"/>
          <w:color w:val="212121"/>
        </w:rPr>
        <w:t>American Australian Association (</w:t>
      </w:r>
      <w:r w:rsidRPr="00752A8B">
        <w:rPr>
          <w:rFonts w:ascii="Segoe UI" w:eastAsia="Times New Roman" w:hAnsi="Segoe UI" w:cs="Segoe UI"/>
          <w:color w:val="212121"/>
        </w:rPr>
        <w:t>AAA</w:t>
      </w:r>
      <w:r w:rsidR="00671EB7">
        <w:rPr>
          <w:rFonts w:ascii="Segoe UI" w:eastAsia="Times New Roman" w:hAnsi="Segoe UI" w:cs="Segoe UI"/>
          <w:color w:val="212121"/>
        </w:rPr>
        <w:t>)</w:t>
      </w:r>
      <w:r w:rsidRPr="00752A8B">
        <w:rPr>
          <w:rFonts w:ascii="Segoe UI" w:eastAsia="Times New Roman" w:hAnsi="Segoe UI" w:cs="Segoe UI"/>
          <w:color w:val="212121"/>
        </w:rPr>
        <w:t xml:space="preserve"> is a privately funded not-for-profit organisation dedicated to strengthening ties between Austra</w:t>
      </w:r>
      <w:r w:rsidR="2FB3163D" w:rsidRPr="00752A8B">
        <w:rPr>
          <w:rFonts w:ascii="Segoe UI" w:eastAsia="Times New Roman" w:hAnsi="Segoe UI" w:cs="Segoe UI"/>
          <w:color w:val="212121"/>
        </w:rPr>
        <w:t>lia and the US.</w:t>
      </w:r>
      <w:r w:rsidR="5C183E1A" w:rsidRPr="00752A8B">
        <w:rPr>
          <w:rFonts w:ascii="Segoe UI" w:eastAsia="Times New Roman" w:hAnsi="Segoe UI" w:cs="Segoe UI"/>
          <w:color w:val="212121"/>
        </w:rPr>
        <w:t xml:space="preserve"> </w:t>
      </w:r>
      <w:r w:rsidR="00EB0E27">
        <w:rPr>
          <w:rFonts w:ascii="Segoe UI" w:eastAsia="Times New Roman" w:hAnsi="Segoe UI" w:cs="Segoe UI"/>
          <w:color w:val="212121"/>
        </w:rPr>
        <w:t>F</w:t>
      </w:r>
      <w:r w:rsidR="5C183E1A" w:rsidRPr="00752A8B">
        <w:rPr>
          <w:rFonts w:ascii="Segoe UI" w:eastAsia="Times New Roman" w:hAnsi="Segoe UI" w:cs="Segoe UI"/>
          <w:color w:val="212121"/>
        </w:rPr>
        <w:t>irst established in New York in 1948</w:t>
      </w:r>
      <w:r w:rsidR="3F2B1492" w:rsidRPr="00752A8B">
        <w:rPr>
          <w:rFonts w:ascii="Segoe UI" w:eastAsia="Times New Roman" w:hAnsi="Segoe UI" w:cs="Segoe UI"/>
          <w:color w:val="212121"/>
        </w:rPr>
        <w:t xml:space="preserve">, </w:t>
      </w:r>
      <w:r w:rsidR="5C183E1A" w:rsidRPr="00752A8B">
        <w:rPr>
          <w:rFonts w:ascii="Segoe UI" w:eastAsia="Times New Roman" w:hAnsi="Segoe UI" w:cs="Segoe UI"/>
          <w:color w:val="212121"/>
        </w:rPr>
        <w:t>its Australian office opened in 2006.</w:t>
      </w:r>
      <w:r w:rsidR="2FB3163D" w:rsidRPr="00752A8B">
        <w:rPr>
          <w:rFonts w:ascii="Segoe UI" w:eastAsia="Times New Roman" w:hAnsi="Segoe UI" w:cs="Segoe UI"/>
          <w:color w:val="212121"/>
        </w:rPr>
        <w:t xml:space="preserve"> </w:t>
      </w:r>
      <w:r w:rsidR="0DDD9698" w:rsidRPr="00752A8B">
        <w:rPr>
          <w:rFonts w:ascii="Segoe UI" w:eastAsia="Times New Roman" w:hAnsi="Segoe UI" w:cs="Segoe UI"/>
          <w:color w:val="212121"/>
        </w:rPr>
        <w:t xml:space="preserve">The AAA </w:t>
      </w:r>
      <w:r w:rsidR="1F8BC6D1" w:rsidRPr="00752A8B">
        <w:rPr>
          <w:rFonts w:ascii="Segoe UI" w:eastAsia="Times New Roman" w:hAnsi="Segoe UI" w:cs="Segoe UI"/>
          <w:color w:val="212121"/>
        </w:rPr>
        <w:t xml:space="preserve">administers </w:t>
      </w:r>
      <w:r w:rsidR="0DDD9698" w:rsidRPr="00752A8B">
        <w:rPr>
          <w:rFonts w:ascii="Segoe UI" w:eastAsia="Times New Roman" w:hAnsi="Segoe UI" w:cs="Segoe UI"/>
          <w:color w:val="212121"/>
        </w:rPr>
        <w:t xml:space="preserve">the </w:t>
      </w:r>
      <w:r w:rsidR="535F678A" w:rsidRPr="00752A8B">
        <w:rPr>
          <w:rFonts w:ascii="Segoe UI" w:eastAsia="Times New Roman" w:hAnsi="Segoe UI" w:cs="Segoe UI"/>
          <w:color w:val="212121"/>
        </w:rPr>
        <w:t xml:space="preserve">Commonwealth’s </w:t>
      </w:r>
      <w:r w:rsidR="0DDD9698" w:rsidRPr="00752A8B">
        <w:rPr>
          <w:rFonts w:ascii="Segoe UI" w:eastAsia="Times New Roman" w:hAnsi="Segoe UI" w:cs="Segoe UI"/>
          <w:color w:val="212121"/>
        </w:rPr>
        <w:t xml:space="preserve">grant </w:t>
      </w:r>
      <w:r w:rsidR="6C3D8A32" w:rsidRPr="00752A8B">
        <w:rPr>
          <w:rFonts w:ascii="Segoe UI" w:eastAsia="Times New Roman" w:hAnsi="Segoe UI" w:cs="Segoe UI"/>
          <w:color w:val="212121"/>
        </w:rPr>
        <w:t xml:space="preserve">on behalf of </w:t>
      </w:r>
      <w:r w:rsidR="6008FCDD" w:rsidRPr="00752A8B">
        <w:rPr>
          <w:rFonts w:ascii="Segoe UI" w:eastAsia="Times New Roman" w:hAnsi="Segoe UI" w:cs="Segoe UI"/>
          <w:color w:val="212121"/>
        </w:rPr>
        <w:t>the USSC and USAC</w:t>
      </w:r>
      <w:r w:rsidR="1F8BC6D1" w:rsidRPr="00752A8B">
        <w:rPr>
          <w:rFonts w:ascii="Segoe UI" w:eastAsia="Times New Roman" w:hAnsi="Segoe UI" w:cs="Segoe UI"/>
          <w:color w:val="212121"/>
        </w:rPr>
        <w:t xml:space="preserve">, </w:t>
      </w:r>
      <w:r w:rsidR="003066E9" w:rsidRPr="00752A8B">
        <w:rPr>
          <w:rFonts w:ascii="Segoe UI" w:eastAsia="Times New Roman" w:hAnsi="Segoe UI" w:cs="Segoe UI"/>
          <w:color w:val="212121"/>
        </w:rPr>
        <w:t>provid</w:t>
      </w:r>
      <w:r w:rsidR="003066E9">
        <w:rPr>
          <w:rFonts w:ascii="Segoe UI" w:eastAsia="Times New Roman" w:hAnsi="Segoe UI" w:cs="Segoe UI"/>
          <w:color w:val="212121"/>
        </w:rPr>
        <w:t>es</w:t>
      </w:r>
      <w:r w:rsidR="003066E9" w:rsidRPr="00752A8B">
        <w:rPr>
          <w:rFonts w:ascii="Segoe UI" w:eastAsia="Times New Roman" w:hAnsi="Segoe UI" w:cs="Segoe UI"/>
          <w:color w:val="212121"/>
        </w:rPr>
        <w:t xml:space="preserve"> </w:t>
      </w:r>
      <w:r w:rsidR="0DDD9698" w:rsidRPr="00752A8B">
        <w:rPr>
          <w:rFonts w:ascii="Segoe UI" w:eastAsia="Times New Roman" w:hAnsi="Segoe UI" w:cs="Segoe UI"/>
          <w:color w:val="212121"/>
        </w:rPr>
        <w:t xml:space="preserve">financial </w:t>
      </w:r>
      <w:r w:rsidR="1F8BC6D1" w:rsidRPr="00752A8B">
        <w:rPr>
          <w:rFonts w:ascii="Segoe UI" w:eastAsia="Times New Roman" w:hAnsi="Segoe UI" w:cs="Segoe UI"/>
          <w:color w:val="212121"/>
        </w:rPr>
        <w:t>contributions</w:t>
      </w:r>
      <w:r w:rsidR="0DDD9698" w:rsidRPr="00752A8B">
        <w:rPr>
          <w:rFonts w:ascii="Segoe UI" w:eastAsia="Times New Roman" w:hAnsi="Segoe UI" w:cs="Segoe UI"/>
          <w:color w:val="212121"/>
        </w:rPr>
        <w:t xml:space="preserve"> to each centre, fund</w:t>
      </w:r>
      <w:r w:rsidR="00F31689">
        <w:rPr>
          <w:rFonts w:ascii="Segoe UI" w:eastAsia="Times New Roman" w:hAnsi="Segoe UI" w:cs="Segoe UI"/>
          <w:color w:val="212121"/>
        </w:rPr>
        <w:t>s</w:t>
      </w:r>
      <w:r w:rsidR="08524003" w:rsidRPr="00752A8B">
        <w:rPr>
          <w:rFonts w:ascii="Segoe UI" w:eastAsia="Times New Roman" w:hAnsi="Segoe UI" w:cs="Segoe UI"/>
          <w:color w:val="212121"/>
        </w:rPr>
        <w:t xml:space="preserve"> </w:t>
      </w:r>
      <w:r w:rsidR="0DDD9698" w:rsidRPr="00752A8B">
        <w:rPr>
          <w:rFonts w:ascii="Segoe UI" w:eastAsia="Times New Roman" w:hAnsi="Segoe UI" w:cs="Segoe UI"/>
          <w:color w:val="212121"/>
        </w:rPr>
        <w:t>a scholarship at the USSC, and help</w:t>
      </w:r>
      <w:r w:rsidR="00F31689">
        <w:rPr>
          <w:rFonts w:ascii="Segoe UI" w:eastAsia="Times New Roman" w:hAnsi="Segoe UI" w:cs="Segoe UI"/>
          <w:color w:val="212121"/>
        </w:rPr>
        <w:t>s</w:t>
      </w:r>
      <w:r w:rsidR="54819B54" w:rsidRPr="00752A8B">
        <w:rPr>
          <w:rFonts w:ascii="Segoe UI" w:eastAsia="Times New Roman" w:hAnsi="Segoe UI" w:cs="Segoe UI"/>
          <w:color w:val="212121"/>
        </w:rPr>
        <w:t xml:space="preserve"> </w:t>
      </w:r>
      <w:r w:rsidR="0DDD9698" w:rsidRPr="00752A8B">
        <w:rPr>
          <w:rFonts w:ascii="Segoe UI" w:eastAsia="Times New Roman" w:hAnsi="Segoe UI" w:cs="Segoe UI"/>
          <w:color w:val="212121"/>
        </w:rPr>
        <w:t>to secure co-investments from state governments and industry partners.</w:t>
      </w:r>
    </w:p>
    <w:p w14:paraId="06E46107" w14:textId="77777777" w:rsidR="00915F01" w:rsidRDefault="00D8431D"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T</w:t>
      </w:r>
      <w:r w:rsidR="29974117" w:rsidRPr="00752A8B">
        <w:rPr>
          <w:rFonts w:ascii="Segoe UI" w:eastAsia="Times New Roman" w:hAnsi="Segoe UI" w:cs="Segoe UI"/>
          <w:color w:val="212121"/>
        </w:rPr>
        <w:t xml:space="preserve">he most beneficial role the AAA plays is its </w:t>
      </w:r>
      <w:r w:rsidR="0DDD9698" w:rsidRPr="00752A8B">
        <w:rPr>
          <w:rFonts w:ascii="Segoe UI" w:eastAsia="Times New Roman" w:hAnsi="Segoe UI" w:cs="Segoe UI"/>
          <w:color w:val="212121"/>
        </w:rPr>
        <w:t xml:space="preserve">governance </w:t>
      </w:r>
      <w:r w:rsidR="30A21017" w:rsidRPr="00752A8B">
        <w:rPr>
          <w:rFonts w:ascii="Segoe UI" w:eastAsia="Times New Roman" w:hAnsi="Segoe UI" w:cs="Segoe UI"/>
          <w:color w:val="212121"/>
        </w:rPr>
        <w:t xml:space="preserve">role </w:t>
      </w:r>
      <w:r w:rsidR="35D11A4E" w:rsidRPr="00752A8B">
        <w:rPr>
          <w:rFonts w:ascii="Segoe UI" w:eastAsia="Times New Roman" w:hAnsi="Segoe UI" w:cs="Segoe UI"/>
          <w:color w:val="212121"/>
        </w:rPr>
        <w:t xml:space="preserve">on </w:t>
      </w:r>
      <w:r w:rsidR="0DDD9698" w:rsidRPr="00752A8B">
        <w:rPr>
          <w:rFonts w:ascii="Segoe UI" w:eastAsia="Times New Roman" w:hAnsi="Segoe UI" w:cs="Segoe UI"/>
          <w:color w:val="212121"/>
        </w:rPr>
        <w:t>the USS</w:t>
      </w:r>
      <w:r w:rsidR="2FB3163D" w:rsidRPr="00752A8B">
        <w:rPr>
          <w:rFonts w:ascii="Segoe UI" w:eastAsia="Times New Roman" w:hAnsi="Segoe UI" w:cs="Segoe UI"/>
          <w:color w:val="212121"/>
        </w:rPr>
        <w:t>C and USAC</w:t>
      </w:r>
      <w:r w:rsidR="1F8BC6D1" w:rsidRPr="00752A8B">
        <w:rPr>
          <w:rFonts w:ascii="Segoe UI" w:eastAsia="Times New Roman" w:hAnsi="Segoe UI" w:cs="Segoe UI"/>
          <w:color w:val="212121"/>
        </w:rPr>
        <w:t xml:space="preserve"> boards </w:t>
      </w:r>
      <w:r w:rsidR="16A9E7A4" w:rsidRPr="00752A8B">
        <w:rPr>
          <w:rFonts w:ascii="Segoe UI" w:eastAsia="Times New Roman" w:hAnsi="Segoe UI" w:cs="Segoe UI"/>
          <w:color w:val="212121"/>
        </w:rPr>
        <w:t>alongside the host universities.</w:t>
      </w:r>
      <w:r w:rsidR="005A01ED" w:rsidRPr="00752A8B">
        <w:rPr>
          <w:rFonts w:ascii="Segoe UI" w:eastAsia="Times New Roman" w:hAnsi="Segoe UI" w:cs="Segoe UI"/>
          <w:color w:val="212121"/>
        </w:rPr>
        <w:t xml:space="preserve"> </w:t>
      </w:r>
      <w:r w:rsidR="00CB2493">
        <w:rPr>
          <w:rFonts w:ascii="Segoe UI" w:eastAsia="Times New Roman" w:hAnsi="Segoe UI" w:cs="Segoe UI"/>
          <w:color w:val="212121"/>
        </w:rPr>
        <w:t>T</w:t>
      </w:r>
      <w:r w:rsidR="005A01ED" w:rsidRPr="00752A8B">
        <w:rPr>
          <w:rFonts w:ascii="Segoe UI" w:eastAsia="Times New Roman" w:hAnsi="Segoe UI" w:cs="Segoe UI"/>
          <w:color w:val="212121"/>
        </w:rPr>
        <w:t>he AAA has been proactive in seeking independent, external evaluations of its own performance as well as the USSC and USAC’s performance</w:t>
      </w:r>
      <w:r w:rsidR="3536A9BF" w:rsidRPr="00752A8B">
        <w:rPr>
          <w:rFonts w:ascii="Segoe UI" w:eastAsia="Times New Roman" w:hAnsi="Segoe UI" w:cs="Segoe UI"/>
          <w:color w:val="212121"/>
        </w:rPr>
        <w:t xml:space="preserve">, with </w:t>
      </w:r>
      <w:r w:rsidR="2FC6BB27" w:rsidRPr="00752A8B">
        <w:rPr>
          <w:rFonts w:ascii="Segoe UI" w:eastAsia="Times New Roman" w:hAnsi="Segoe UI" w:cs="Segoe UI"/>
          <w:color w:val="212121"/>
        </w:rPr>
        <w:t xml:space="preserve">regular </w:t>
      </w:r>
      <w:r w:rsidR="005A01ED" w:rsidRPr="00752A8B">
        <w:rPr>
          <w:rFonts w:ascii="Segoe UI" w:eastAsia="Times New Roman" w:hAnsi="Segoe UI" w:cs="Segoe UI"/>
          <w:color w:val="212121"/>
        </w:rPr>
        <w:t>independent</w:t>
      </w:r>
      <w:r w:rsidR="1FCFFABC" w:rsidRPr="00752A8B">
        <w:rPr>
          <w:rFonts w:ascii="Segoe UI" w:eastAsia="Times New Roman" w:hAnsi="Segoe UI" w:cs="Segoe UI"/>
          <w:color w:val="212121"/>
        </w:rPr>
        <w:t xml:space="preserve"> </w:t>
      </w:r>
      <w:r w:rsidR="005A01ED" w:rsidRPr="00752A8B">
        <w:rPr>
          <w:rFonts w:ascii="Segoe UI" w:eastAsia="Times New Roman" w:hAnsi="Segoe UI" w:cs="Segoe UI"/>
          <w:color w:val="212121"/>
        </w:rPr>
        <w:t>evaluat</w:t>
      </w:r>
      <w:r w:rsidR="0759086D" w:rsidRPr="00752A8B">
        <w:rPr>
          <w:rFonts w:ascii="Segoe UI" w:eastAsia="Times New Roman" w:hAnsi="Segoe UI" w:cs="Segoe UI"/>
          <w:color w:val="212121"/>
        </w:rPr>
        <w:t>ions</w:t>
      </w:r>
      <w:r w:rsidR="5894E84F" w:rsidRPr="00752A8B">
        <w:rPr>
          <w:rFonts w:ascii="Segoe UI" w:eastAsia="Times New Roman" w:hAnsi="Segoe UI" w:cs="Segoe UI"/>
          <w:color w:val="212121"/>
        </w:rPr>
        <w:t>,</w:t>
      </w:r>
      <w:r w:rsidR="0759086D" w:rsidRPr="00752A8B">
        <w:rPr>
          <w:rFonts w:ascii="Segoe UI" w:eastAsia="Times New Roman" w:hAnsi="Segoe UI" w:cs="Segoe UI"/>
          <w:color w:val="212121"/>
        </w:rPr>
        <w:t xml:space="preserve"> </w:t>
      </w:r>
      <w:r w:rsidR="00274CA6" w:rsidRPr="00752A8B">
        <w:rPr>
          <w:rFonts w:ascii="Segoe UI" w:eastAsia="Times New Roman" w:hAnsi="Segoe UI" w:cs="Segoe UI"/>
          <w:color w:val="212121"/>
        </w:rPr>
        <w:t>most recent</w:t>
      </w:r>
      <w:r w:rsidR="5BCCA715" w:rsidRPr="00752A8B">
        <w:rPr>
          <w:rFonts w:ascii="Segoe UI" w:eastAsia="Times New Roman" w:hAnsi="Segoe UI" w:cs="Segoe UI"/>
          <w:color w:val="212121"/>
        </w:rPr>
        <w:t xml:space="preserve">ly </w:t>
      </w:r>
      <w:r w:rsidR="00274CA6" w:rsidRPr="00752A8B">
        <w:rPr>
          <w:rFonts w:ascii="Segoe UI" w:eastAsia="Times New Roman" w:hAnsi="Segoe UI" w:cs="Segoe UI"/>
          <w:color w:val="212121"/>
        </w:rPr>
        <w:t xml:space="preserve">in 2022. </w:t>
      </w:r>
    </w:p>
    <w:p w14:paraId="06E46108" w14:textId="77777777" w:rsidR="00D8431D" w:rsidRDefault="7B772A2B"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752A8B">
        <w:rPr>
          <w:rFonts w:ascii="Segoe UI" w:eastAsia="Times New Roman" w:hAnsi="Segoe UI" w:cs="Segoe UI"/>
          <w:color w:val="212121"/>
        </w:rPr>
        <w:t>I</w:t>
      </w:r>
      <w:r w:rsidR="00274CA6" w:rsidRPr="00752A8B">
        <w:rPr>
          <w:rFonts w:ascii="Segoe UI" w:eastAsia="Times New Roman" w:hAnsi="Segoe UI" w:cs="Segoe UI"/>
          <w:color w:val="212121"/>
        </w:rPr>
        <w:t>t is</w:t>
      </w:r>
      <w:r w:rsidR="00D94D71" w:rsidRPr="00752A8B">
        <w:rPr>
          <w:rFonts w:ascii="Segoe UI" w:eastAsia="Times New Roman" w:hAnsi="Segoe UI" w:cs="Segoe UI"/>
          <w:color w:val="212121"/>
        </w:rPr>
        <w:t xml:space="preserve"> unusual for organisations to receive their operating funding from the Commonwealth through an intermediary. </w:t>
      </w:r>
      <w:r w:rsidR="005A01ED" w:rsidRPr="00752A8B">
        <w:rPr>
          <w:rFonts w:ascii="Segoe UI" w:eastAsia="Times New Roman" w:hAnsi="Segoe UI" w:cs="Segoe UI"/>
          <w:color w:val="212121"/>
        </w:rPr>
        <w:t xml:space="preserve">The 2020 evaluation by Allan Gyngell and Dr Martin Parkinson considered </w:t>
      </w:r>
      <w:r w:rsidR="005A01ED" w:rsidRPr="00752A8B">
        <w:rPr>
          <w:rFonts w:ascii="Segoe UI" w:eastAsia="Times New Roman" w:hAnsi="Segoe UI" w:cs="Segoe UI"/>
          <w:color w:val="212121"/>
        </w:rPr>
        <w:lastRenderedPageBreak/>
        <w:t xml:space="preserve">whether </w:t>
      </w:r>
      <w:r w:rsidR="00EB0E27">
        <w:rPr>
          <w:rFonts w:ascii="Segoe UI" w:eastAsia="Times New Roman" w:hAnsi="Segoe UI" w:cs="Segoe UI"/>
          <w:color w:val="212121"/>
        </w:rPr>
        <w:t xml:space="preserve">Government should instead provide </w:t>
      </w:r>
      <w:r w:rsidR="005A01ED" w:rsidRPr="00752A8B">
        <w:rPr>
          <w:rFonts w:ascii="Segoe UI" w:eastAsia="Times New Roman" w:hAnsi="Segoe UI" w:cs="Segoe UI"/>
          <w:color w:val="212121"/>
        </w:rPr>
        <w:t>funding directly to the Centres</w:t>
      </w:r>
      <w:r w:rsidR="00274CA6" w:rsidRPr="00752A8B">
        <w:rPr>
          <w:rFonts w:ascii="Segoe UI" w:eastAsia="Times New Roman" w:hAnsi="Segoe UI" w:cs="Segoe UI"/>
          <w:color w:val="212121"/>
        </w:rPr>
        <w:t>. They</w:t>
      </w:r>
      <w:r w:rsidR="005A01ED" w:rsidRPr="00752A8B">
        <w:rPr>
          <w:rFonts w:ascii="Segoe UI" w:eastAsia="Times New Roman" w:hAnsi="Segoe UI" w:cs="Segoe UI"/>
          <w:color w:val="212121"/>
        </w:rPr>
        <w:t xml:space="preserve"> concluded</w:t>
      </w:r>
      <w:r w:rsidR="00EB0E27">
        <w:rPr>
          <w:rFonts w:ascii="Segoe UI" w:eastAsia="Times New Roman" w:hAnsi="Segoe UI" w:cs="Segoe UI"/>
          <w:color w:val="212121"/>
        </w:rPr>
        <w:t xml:space="preserve"> Government should maintain</w:t>
      </w:r>
      <w:r w:rsidR="005A01ED" w:rsidRPr="00752A8B">
        <w:rPr>
          <w:rFonts w:ascii="Segoe UI" w:eastAsia="Times New Roman" w:hAnsi="Segoe UI" w:cs="Segoe UI"/>
          <w:color w:val="212121"/>
        </w:rPr>
        <w:t xml:space="preserve"> the current arrangement </w:t>
      </w:r>
      <w:r w:rsidR="00274CA6" w:rsidRPr="00752A8B">
        <w:rPr>
          <w:rFonts w:ascii="Segoe UI" w:eastAsia="Times New Roman" w:hAnsi="Segoe UI" w:cs="Segoe UI"/>
          <w:color w:val="212121"/>
        </w:rPr>
        <w:t xml:space="preserve">because of </w:t>
      </w:r>
      <w:r w:rsidR="00877EFC" w:rsidRPr="00752A8B">
        <w:rPr>
          <w:rFonts w:ascii="Segoe UI" w:eastAsia="Times New Roman" w:hAnsi="Segoe UI" w:cs="Segoe UI"/>
          <w:color w:val="212121"/>
        </w:rPr>
        <w:t xml:space="preserve">the AAA’s ability to bring together stakeholders with a vested interest in the success of the two Centres and reach into the US Government. </w:t>
      </w:r>
      <w:r w:rsidR="3244BDB3" w:rsidRPr="00752A8B">
        <w:rPr>
          <w:rFonts w:ascii="Segoe UI" w:eastAsia="Times New Roman" w:hAnsi="Segoe UI" w:cs="Segoe UI"/>
          <w:color w:val="212121"/>
        </w:rPr>
        <w:t xml:space="preserve">I considered this closely and ultimately came to the same conclusion. </w:t>
      </w:r>
    </w:p>
    <w:p w14:paraId="06E46109" w14:textId="77777777" w:rsidR="00877EFC" w:rsidRPr="00752A8B" w:rsidRDefault="00C35E2B"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C35E2B">
        <w:rPr>
          <w:rFonts w:ascii="Segoe UI" w:eastAsia="Times New Roman" w:hAnsi="Segoe UI" w:cs="Segoe UI"/>
          <w:color w:val="212121"/>
        </w:rPr>
        <w:t>However</w:t>
      </w:r>
      <w:r>
        <w:rPr>
          <w:rFonts w:ascii="Segoe UI" w:eastAsia="Times New Roman" w:hAnsi="Segoe UI" w:cs="Segoe UI"/>
          <w:color w:val="212121"/>
        </w:rPr>
        <w:t>,</w:t>
      </w:r>
      <w:r w:rsidRPr="00C35E2B">
        <w:rPr>
          <w:rFonts w:ascii="Segoe UI" w:eastAsia="Times New Roman" w:hAnsi="Segoe UI" w:cs="Segoe UI"/>
          <w:color w:val="212121"/>
        </w:rPr>
        <w:t xml:space="preserve"> funding records indicate allocations from the AAA to both centres are often phased with an eye on investment returns to the AAA being maximised. As a matter of good practice</w:t>
      </w:r>
      <w:r>
        <w:rPr>
          <w:rFonts w:ascii="Segoe UI" w:eastAsia="Times New Roman" w:hAnsi="Segoe UI" w:cs="Segoe UI"/>
          <w:color w:val="212121"/>
        </w:rPr>
        <w:t>,</w:t>
      </w:r>
      <w:r w:rsidRPr="00C35E2B">
        <w:rPr>
          <w:rFonts w:ascii="Segoe UI" w:eastAsia="Times New Roman" w:hAnsi="Segoe UI" w:cs="Segoe UI"/>
          <w:color w:val="212121"/>
        </w:rPr>
        <w:t xml:space="preserve"> Government funding for the USSC </w:t>
      </w:r>
      <w:r w:rsidR="00D15C85">
        <w:rPr>
          <w:rFonts w:ascii="Segoe UI" w:eastAsia="Times New Roman" w:hAnsi="Segoe UI" w:cs="Segoe UI"/>
          <w:color w:val="212121"/>
        </w:rPr>
        <w:t xml:space="preserve">and USAC </w:t>
      </w:r>
      <w:r w:rsidRPr="00C35E2B">
        <w:rPr>
          <w:rFonts w:ascii="Segoe UI" w:eastAsia="Times New Roman" w:hAnsi="Segoe UI" w:cs="Segoe UI"/>
          <w:color w:val="212121"/>
        </w:rPr>
        <w:t xml:space="preserve">should be promptly passed on in full by the AAA. </w:t>
      </w:r>
    </w:p>
    <w:p w14:paraId="06E4610A" w14:textId="77777777" w:rsidR="00274CA6" w:rsidRPr="00AF520C" w:rsidRDefault="15D53986" w:rsidP="008A4AF9">
      <w:pPr>
        <w:pStyle w:val="Heading3"/>
        <w:spacing w:before="80" w:after="80"/>
        <w:rPr>
          <w:rFonts w:ascii="Segoe UI" w:eastAsia="Times New Roman" w:hAnsi="Segoe UI" w:cs="Segoe UI"/>
        </w:rPr>
      </w:pPr>
      <w:bookmarkStart w:id="104" w:name="_Toc170307500"/>
      <w:r w:rsidRPr="00AF520C">
        <w:rPr>
          <w:rFonts w:cstheme="minorBidi"/>
        </w:rPr>
        <w:t>The United States Studies Centre</w:t>
      </w:r>
      <w:r w:rsidR="4E97036A" w:rsidRPr="00AF520C">
        <w:rPr>
          <w:rFonts w:cstheme="minorBidi"/>
        </w:rPr>
        <w:t xml:space="preserve"> (USSC)</w:t>
      </w:r>
      <w:bookmarkEnd w:id="104"/>
    </w:p>
    <w:p w14:paraId="06E4610B" w14:textId="77777777" w:rsidR="005444AE" w:rsidRDefault="005444AE"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The</w:t>
      </w:r>
      <w:r w:rsidR="00CC6960">
        <w:rPr>
          <w:rFonts w:ascii="Segoe UI" w:eastAsia="Times New Roman" w:hAnsi="Segoe UI" w:cs="Segoe UI"/>
          <w:color w:val="212121"/>
        </w:rPr>
        <w:t xml:space="preserve"> </w:t>
      </w:r>
      <w:r>
        <w:rPr>
          <w:rFonts w:ascii="Segoe UI" w:eastAsia="Times New Roman" w:hAnsi="Segoe UI" w:cs="Segoe UI"/>
          <w:color w:val="212121"/>
        </w:rPr>
        <w:t xml:space="preserve">USSC is a university-based think tank located at the University of Sydney dedicated to studying the US and its relationship with Australia. </w:t>
      </w:r>
      <w:r w:rsidR="004F7054">
        <w:rPr>
          <w:rFonts w:ascii="Segoe UI" w:eastAsia="Times New Roman" w:hAnsi="Segoe UI" w:cs="Segoe UI"/>
          <w:color w:val="212121"/>
        </w:rPr>
        <w:t>It describes itself as a</w:t>
      </w:r>
      <w:r w:rsidR="00541961">
        <w:rPr>
          <w:rFonts w:ascii="Segoe UI" w:eastAsia="Times New Roman" w:hAnsi="Segoe UI" w:cs="Segoe UI"/>
          <w:color w:val="212121"/>
        </w:rPr>
        <w:t xml:space="preserve"> solutions-oriented think tank, and this approach is evident in its recent work on breaking barriers to industrial cooperation between Australia and the US, encouraging private financing, and building social licence on AUKUS. </w:t>
      </w:r>
    </w:p>
    <w:p w14:paraId="06E4610C" w14:textId="77777777" w:rsidR="00013884" w:rsidRDefault="005444AE"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Overall, the USSC is operating well and has made</w:t>
      </w:r>
      <w:r w:rsidR="00D8431D" w:rsidRPr="00963625">
        <w:rPr>
          <w:rFonts w:ascii="Segoe UI" w:eastAsia="Times New Roman" w:hAnsi="Segoe UI" w:cs="Segoe UI"/>
          <w:color w:val="212121"/>
        </w:rPr>
        <w:t xml:space="preserve"> many </w:t>
      </w:r>
      <w:r w:rsidRPr="00963625">
        <w:rPr>
          <w:rFonts w:ascii="Segoe UI" w:eastAsia="Times New Roman" w:hAnsi="Segoe UI" w:cs="Segoe UI"/>
          <w:color w:val="212121"/>
        </w:rPr>
        <w:t xml:space="preserve">changes following successive reviews. There is now </w:t>
      </w:r>
      <w:r w:rsidRPr="00752A8B">
        <w:rPr>
          <w:rFonts w:ascii="Segoe UI" w:eastAsia="Times New Roman" w:hAnsi="Segoe UI" w:cs="Segoe UI"/>
          <w:color w:val="212121"/>
        </w:rPr>
        <w:t xml:space="preserve">greater integration of the research and academic communities and </w:t>
      </w:r>
      <w:r w:rsidR="00D8431D">
        <w:rPr>
          <w:rFonts w:ascii="Segoe UI" w:eastAsia="Times New Roman" w:hAnsi="Segoe UI" w:cs="Segoe UI"/>
          <w:color w:val="212121"/>
        </w:rPr>
        <w:t xml:space="preserve">more </w:t>
      </w:r>
      <w:r w:rsidRPr="00752A8B">
        <w:rPr>
          <w:rFonts w:ascii="Segoe UI" w:eastAsia="Times New Roman" w:hAnsi="Segoe UI" w:cs="Segoe UI"/>
          <w:color w:val="212121"/>
        </w:rPr>
        <w:t>funding diversity</w:t>
      </w:r>
      <w:r>
        <w:rPr>
          <w:rFonts w:ascii="Segoe UI" w:eastAsia="Times New Roman" w:hAnsi="Segoe UI" w:cs="Segoe UI"/>
          <w:color w:val="212121"/>
        </w:rPr>
        <w:t>.</w:t>
      </w:r>
      <w:r w:rsidR="00013884">
        <w:rPr>
          <w:rFonts w:ascii="Segoe UI" w:eastAsia="Times New Roman" w:hAnsi="Segoe UI" w:cs="Segoe UI"/>
          <w:color w:val="212121"/>
        </w:rPr>
        <w:t xml:space="preserve"> </w:t>
      </w:r>
      <w:r w:rsidR="3375EC91" w:rsidRPr="00752A8B">
        <w:rPr>
          <w:rFonts w:ascii="Segoe UI" w:eastAsia="Times New Roman" w:hAnsi="Segoe UI" w:cs="Segoe UI"/>
          <w:color w:val="212121"/>
        </w:rPr>
        <w:t>The USSC’s academic program is fully subscribed and provides revenue that supports the USSC’s research</w:t>
      </w:r>
      <w:r w:rsidR="4F20407B" w:rsidRPr="00752A8B">
        <w:rPr>
          <w:rFonts w:ascii="Segoe UI" w:eastAsia="Times New Roman" w:hAnsi="Segoe UI" w:cs="Segoe UI"/>
          <w:color w:val="212121"/>
        </w:rPr>
        <w:t xml:space="preserve"> and </w:t>
      </w:r>
      <w:r w:rsidR="3375EC91" w:rsidRPr="00752A8B">
        <w:rPr>
          <w:rFonts w:ascii="Segoe UI" w:eastAsia="Times New Roman" w:hAnsi="Segoe UI" w:cs="Segoe UI"/>
          <w:color w:val="212121"/>
        </w:rPr>
        <w:t xml:space="preserve">outreach activities and reduces </w:t>
      </w:r>
      <w:r w:rsidR="79E273A8" w:rsidRPr="00752A8B">
        <w:rPr>
          <w:rFonts w:ascii="Segoe UI" w:eastAsia="Times New Roman" w:hAnsi="Segoe UI" w:cs="Segoe UI"/>
          <w:color w:val="212121"/>
        </w:rPr>
        <w:t xml:space="preserve">reliance on Commonwealth funding. </w:t>
      </w:r>
    </w:p>
    <w:p w14:paraId="06E4610D" w14:textId="77777777" w:rsidR="091D6F01" w:rsidRPr="005444AE" w:rsidRDefault="3BCCAEBA" w:rsidP="0AF34A68">
      <w:pPr>
        <w:pStyle w:val="ListParagraph"/>
        <w:numPr>
          <w:ilvl w:val="0"/>
          <w:numId w:val="22"/>
        </w:numPr>
        <w:spacing w:line="259" w:lineRule="auto"/>
        <w:ind w:left="0" w:firstLine="0"/>
        <w:rPr>
          <w:rFonts w:ascii="Segoe UI" w:eastAsia="Times New Roman" w:hAnsi="Segoe UI" w:cs="Segoe UI"/>
          <w:color w:val="212121"/>
        </w:rPr>
      </w:pPr>
      <w:r w:rsidRPr="0AF34A68">
        <w:rPr>
          <w:rFonts w:ascii="Segoe UI" w:eastAsia="Times New Roman" w:hAnsi="Segoe UI" w:cs="Segoe UI"/>
          <w:color w:val="212121"/>
        </w:rPr>
        <w:t>W</w:t>
      </w:r>
      <w:r w:rsidR="735CF5C3" w:rsidRPr="0AF34A68">
        <w:rPr>
          <w:rFonts w:ascii="Segoe UI" w:eastAsia="Times New Roman" w:hAnsi="Segoe UI" w:cs="Segoe UI"/>
          <w:color w:val="212121"/>
        </w:rPr>
        <w:t xml:space="preserve">hile </w:t>
      </w:r>
      <w:r w:rsidR="778522BD" w:rsidRPr="0AF34A68">
        <w:rPr>
          <w:rFonts w:ascii="Segoe UI" w:eastAsia="Times New Roman" w:hAnsi="Segoe UI" w:cs="Segoe UI"/>
          <w:color w:val="212121"/>
        </w:rPr>
        <w:t>these</w:t>
      </w:r>
      <w:r w:rsidR="4F20407B" w:rsidRPr="0AF34A68">
        <w:rPr>
          <w:rFonts w:ascii="Segoe UI" w:eastAsia="Times New Roman" w:hAnsi="Segoe UI" w:cs="Segoe UI"/>
          <w:color w:val="212121"/>
        </w:rPr>
        <w:t xml:space="preserve"> efforts </w:t>
      </w:r>
      <w:r w:rsidR="0C9BDA8A" w:rsidRPr="0AF34A68">
        <w:rPr>
          <w:rFonts w:ascii="Segoe UI" w:eastAsia="Times New Roman" w:hAnsi="Segoe UI" w:cs="Segoe UI"/>
          <w:color w:val="212121"/>
        </w:rPr>
        <w:t xml:space="preserve">are welcome, </w:t>
      </w:r>
      <w:r w:rsidR="735CF5C3" w:rsidRPr="0AF34A68">
        <w:rPr>
          <w:rFonts w:ascii="Segoe UI" w:eastAsia="Times New Roman" w:hAnsi="Segoe UI" w:cs="Segoe UI"/>
          <w:color w:val="212121"/>
        </w:rPr>
        <w:t xml:space="preserve">Commonwealth funding </w:t>
      </w:r>
      <w:r w:rsidR="7F612CC5" w:rsidRPr="0AF34A68">
        <w:rPr>
          <w:rFonts w:ascii="Segoe UI" w:eastAsia="Times New Roman" w:hAnsi="Segoe UI" w:cs="Segoe UI"/>
          <w:color w:val="212121"/>
        </w:rPr>
        <w:t>remains</w:t>
      </w:r>
      <w:r w:rsidR="4F20407B" w:rsidRPr="0AF34A68">
        <w:rPr>
          <w:rFonts w:ascii="Segoe UI" w:eastAsia="Times New Roman" w:hAnsi="Segoe UI" w:cs="Segoe UI"/>
          <w:color w:val="212121"/>
        </w:rPr>
        <w:t xml:space="preserve"> critical to the USSC’s effective operation and </w:t>
      </w:r>
      <w:r w:rsidR="735CF5C3" w:rsidRPr="0AF34A68">
        <w:rPr>
          <w:rFonts w:ascii="Segoe UI" w:eastAsia="Times New Roman" w:hAnsi="Segoe UI" w:cs="Segoe UI"/>
          <w:color w:val="212121"/>
        </w:rPr>
        <w:t>allow</w:t>
      </w:r>
      <w:r w:rsidR="62AA89C5" w:rsidRPr="0AF34A68">
        <w:rPr>
          <w:rFonts w:ascii="Segoe UI" w:eastAsia="Times New Roman" w:hAnsi="Segoe UI" w:cs="Segoe UI"/>
          <w:color w:val="212121"/>
        </w:rPr>
        <w:t xml:space="preserve">s </w:t>
      </w:r>
      <w:r w:rsidR="735CF5C3" w:rsidRPr="0AF34A68">
        <w:rPr>
          <w:rFonts w:ascii="Segoe UI" w:eastAsia="Times New Roman" w:hAnsi="Segoe UI" w:cs="Segoe UI"/>
          <w:color w:val="212121"/>
        </w:rPr>
        <w:t>it</w:t>
      </w:r>
      <w:r w:rsidR="4F20407B" w:rsidRPr="0AF34A68">
        <w:rPr>
          <w:rFonts w:ascii="Segoe UI" w:eastAsia="Times New Roman" w:hAnsi="Segoe UI" w:cs="Segoe UI"/>
          <w:color w:val="212121"/>
        </w:rPr>
        <w:t xml:space="preserve"> to pursue emerging activities and to be responsive to Government needs (</w:t>
      </w:r>
      <w:r w:rsidR="35D09CE9" w:rsidRPr="0AF34A68">
        <w:rPr>
          <w:rFonts w:ascii="Segoe UI" w:eastAsia="Times New Roman" w:hAnsi="Segoe UI" w:cs="Segoe UI"/>
          <w:color w:val="212121"/>
        </w:rPr>
        <w:t>such as recent</w:t>
      </w:r>
      <w:r w:rsidR="4F20407B" w:rsidRPr="0AF34A68">
        <w:rPr>
          <w:rFonts w:ascii="Segoe UI" w:eastAsia="Times New Roman" w:hAnsi="Segoe UI" w:cs="Segoe UI"/>
          <w:color w:val="212121"/>
        </w:rPr>
        <w:t xml:space="preserve"> work for Defence on private finan</w:t>
      </w:r>
      <w:r w:rsidR="005444AE" w:rsidRPr="0AF34A68">
        <w:rPr>
          <w:rFonts w:ascii="Segoe UI" w:eastAsia="Times New Roman" w:hAnsi="Segoe UI" w:cs="Segoe UI"/>
          <w:color w:val="212121"/>
        </w:rPr>
        <w:t xml:space="preserve">cing). It </w:t>
      </w:r>
      <w:r w:rsidR="4F20407B" w:rsidRPr="0AF34A68">
        <w:rPr>
          <w:rFonts w:ascii="Segoe UI" w:eastAsia="Times New Roman" w:hAnsi="Segoe UI" w:cs="Segoe UI"/>
          <w:color w:val="212121"/>
        </w:rPr>
        <w:t>ha</w:t>
      </w:r>
      <w:r w:rsidR="432AC1E3" w:rsidRPr="0AF34A68">
        <w:rPr>
          <w:rFonts w:ascii="Segoe UI" w:eastAsia="Times New Roman" w:hAnsi="Segoe UI" w:cs="Segoe UI"/>
          <w:color w:val="212121"/>
        </w:rPr>
        <w:t>s</w:t>
      </w:r>
      <w:r w:rsidR="00151718" w:rsidRPr="0AF34A68">
        <w:rPr>
          <w:rFonts w:ascii="Segoe UI" w:eastAsia="Times New Roman" w:hAnsi="Segoe UI" w:cs="Segoe UI"/>
          <w:color w:val="212121"/>
        </w:rPr>
        <w:t xml:space="preserve"> pivoted</w:t>
      </w:r>
      <w:r w:rsidR="00752A8B" w:rsidRPr="0AF34A68">
        <w:rPr>
          <w:rFonts w:ascii="Segoe UI" w:eastAsia="Times New Roman" w:hAnsi="Segoe UI" w:cs="Segoe UI"/>
          <w:color w:val="212121"/>
        </w:rPr>
        <w:t xml:space="preserve"> away from cultural studies</w:t>
      </w:r>
      <w:r w:rsidR="00151718" w:rsidRPr="0AF34A68">
        <w:rPr>
          <w:rFonts w:ascii="Segoe UI" w:eastAsia="Times New Roman" w:hAnsi="Segoe UI" w:cs="Segoe UI"/>
          <w:color w:val="212121"/>
        </w:rPr>
        <w:t xml:space="preserve"> to focus on policy-relevant research, </w:t>
      </w:r>
      <w:r w:rsidR="004F7054" w:rsidRPr="0AF34A68">
        <w:rPr>
          <w:rFonts w:ascii="Segoe UI" w:eastAsia="Times New Roman" w:hAnsi="Segoe UI" w:cs="Segoe UI"/>
          <w:color w:val="212121"/>
        </w:rPr>
        <w:t xml:space="preserve">developed </w:t>
      </w:r>
      <w:r w:rsidR="4F20407B" w:rsidRPr="0AF34A68">
        <w:rPr>
          <w:rFonts w:ascii="Segoe UI" w:eastAsia="Times New Roman" w:hAnsi="Segoe UI" w:cs="Segoe UI"/>
          <w:color w:val="212121"/>
        </w:rPr>
        <w:t>a strong data drive</w:t>
      </w:r>
      <w:r w:rsidR="004F7054" w:rsidRPr="0AF34A68">
        <w:rPr>
          <w:rFonts w:ascii="Segoe UI" w:eastAsia="Times New Roman" w:hAnsi="Segoe UI" w:cs="Segoe UI"/>
          <w:color w:val="212121"/>
        </w:rPr>
        <w:t xml:space="preserve">n approach to performance and </w:t>
      </w:r>
      <w:r w:rsidR="4F20407B" w:rsidRPr="0AF34A68">
        <w:rPr>
          <w:rFonts w:ascii="Segoe UI" w:eastAsia="Times New Roman" w:hAnsi="Segoe UI" w:cs="Segoe UI"/>
          <w:color w:val="212121"/>
        </w:rPr>
        <w:t>improved relationships with the University of Sydney as well as between its academic and research areas. Prof</w:t>
      </w:r>
      <w:r w:rsidR="4E986304" w:rsidRPr="0AF34A68">
        <w:rPr>
          <w:rFonts w:ascii="Segoe UI" w:eastAsia="Times New Roman" w:hAnsi="Segoe UI" w:cs="Segoe UI"/>
          <w:color w:val="212121"/>
        </w:rPr>
        <w:t>essor</w:t>
      </w:r>
      <w:r w:rsidR="4F20407B" w:rsidRPr="0AF34A68">
        <w:rPr>
          <w:rFonts w:ascii="Segoe UI" w:eastAsia="Times New Roman" w:hAnsi="Segoe UI" w:cs="Segoe UI"/>
          <w:color w:val="212121"/>
        </w:rPr>
        <w:t xml:space="preserve"> Mike Green</w:t>
      </w:r>
      <w:r w:rsidR="00D8431D" w:rsidRPr="0AF34A68">
        <w:rPr>
          <w:rFonts w:ascii="Segoe UI" w:eastAsia="Times New Roman" w:hAnsi="Segoe UI" w:cs="Segoe UI"/>
          <w:color w:val="212121"/>
        </w:rPr>
        <w:t xml:space="preserve"> has proven to be </w:t>
      </w:r>
      <w:r w:rsidR="4F20407B" w:rsidRPr="0AF34A68">
        <w:rPr>
          <w:rFonts w:ascii="Segoe UI" w:eastAsia="Times New Roman" w:hAnsi="Segoe UI" w:cs="Segoe UI"/>
          <w:color w:val="212121"/>
        </w:rPr>
        <w:t>a significant driver of the USSC revival</w:t>
      </w:r>
      <w:r w:rsidR="003326F1">
        <w:rPr>
          <w:rFonts w:ascii="Segoe UI" w:eastAsia="Times New Roman" w:hAnsi="Segoe UI" w:cs="Segoe UI"/>
          <w:color w:val="212121"/>
        </w:rPr>
        <w:t xml:space="preserve">, </w:t>
      </w:r>
      <w:r w:rsidR="4F20407B" w:rsidRPr="0AF34A68">
        <w:rPr>
          <w:rFonts w:ascii="Segoe UI" w:eastAsia="Times New Roman" w:hAnsi="Segoe UI" w:cs="Segoe UI"/>
          <w:color w:val="212121"/>
        </w:rPr>
        <w:t xml:space="preserve">ensuring </w:t>
      </w:r>
      <w:r w:rsidR="3CE939DF" w:rsidRPr="0AF34A68">
        <w:rPr>
          <w:rFonts w:ascii="Segoe UI" w:eastAsia="Times New Roman" w:hAnsi="Segoe UI" w:cs="Segoe UI"/>
          <w:color w:val="212121"/>
        </w:rPr>
        <w:t>an</w:t>
      </w:r>
      <w:r w:rsidR="4F20407B" w:rsidRPr="0AF34A68">
        <w:rPr>
          <w:rFonts w:ascii="Segoe UI" w:eastAsia="Times New Roman" w:hAnsi="Segoe UI" w:cs="Segoe UI"/>
          <w:color w:val="212121"/>
        </w:rPr>
        <w:t xml:space="preserve"> appropriate </w:t>
      </w:r>
      <w:r w:rsidR="15413B24" w:rsidRPr="0AF34A68">
        <w:rPr>
          <w:rFonts w:ascii="Segoe UI" w:eastAsia="Times New Roman" w:hAnsi="Segoe UI" w:cs="Segoe UI"/>
          <w:color w:val="212121"/>
        </w:rPr>
        <w:t>plan</w:t>
      </w:r>
      <w:r w:rsidR="4F20407B" w:rsidRPr="0AF34A68">
        <w:rPr>
          <w:rFonts w:ascii="Segoe UI" w:eastAsia="Times New Roman" w:hAnsi="Segoe UI" w:cs="Segoe UI"/>
          <w:color w:val="212121"/>
        </w:rPr>
        <w:t xml:space="preserve"> for </w:t>
      </w:r>
      <w:r w:rsidR="00D8431D" w:rsidRPr="0AF34A68">
        <w:rPr>
          <w:rFonts w:ascii="Segoe UI" w:eastAsia="Times New Roman" w:hAnsi="Segoe UI" w:cs="Segoe UI"/>
          <w:color w:val="212121"/>
        </w:rPr>
        <w:t xml:space="preserve">eventual </w:t>
      </w:r>
      <w:r w:rsidR="4F20407B" w:rsidRPr="0AF34A68">
        <w:rPr>
          <w:rFonts w:ascii="Segoe UI" w:eastAsia="Times New Roman" w:hAnsi="Segoe UI" w:cs="Segoe UI"/>
          <w:color w:val="212121"/>
        </w:rPr>
        <w:t>succession</w:t>
      </w:r>
      <w:r w:rsidR="00D8431D" w:rsidRPr="0AF34A68">
        <w:rPr>
          <w:rFonts w:ascii="Segoe UI" w:eastAsia="Times New Roman" w:hAnsi="Segoe UI" w:cs="Segoe UI"/>
          <w:color w:val="212121"/>
        </w:rPr>
        <w:t xml:space="preserve"> remains </w:t>
      </w:r>
      <w:r w:rsidR="4F20407B" w:rsidRPr="0AF34A68">
        <w:rPr>
          <w:rFonts w:ascii="Segoe UI" w:eastAsia="Times New Roman" w:hAnsi="Segoe UI" w:cs="Segoe UI"/>
          <w:color w:val="212121"/>
        </w:rPr>
        <w:t>important.</w:t>
      </w:r>
      <w:r w:rsidR="009210B7" w:rsidRPr="0AF34A68">
        <w:rPr>
          <w:rFonts w:ascii="Segoe UI" w:eastAsia="Times New Roman" w:hAnsi="Segoe UI" w:cs="Segoe UI"/>
          <w:color w:val="212121"/>
        </w:rPr>
        <w:t xml:space="preserve"> </w:t>
      </w:r>
    </w:p>
    <w:p w14:paraId="06E4610E" w14:textId="77777777" w:rsidR="091D6F01" w:rsidRPr="00AF520C" w:rsidRDefault="15D53986" w:rsidP="008A4AF9">
      <w:pPr>
        <w:pStyle w:val="Heading3"/>
        <w:spacing w:before="80" w:after="80"/>
        <w:rPr>
          <w:rFonts w:eastAsia="Times New Roman"/>
          <w:lang w:val="it-IT"/>
        </w:rPr>
      </w:pPr>
      <w:bookmarkStart w:id="105" w:name="_Toc170307501"/>
      <w:r w:rsidRPr="00AF520C">
        <w:rPr>
          <w:rFonts w:eastAsia="Times New Roman"/>
          <w:lang w:val="it-IT"/>
        </w:rPr>
        <w:t>The Perth USAsia Centre</w:t>
      </w:r>
      <w:r w:rsidR="0DAB5592" w:rsidRPr="00AF520C">
        <w:rPr>
          <w:rFonts w:eastAsia="Times New Roman"/>
          <w:lang w:val="it-IT"/>
        </w:rPr>
        <w:t xml:space="preserve"> (USAC)</w:t>
      </w:r>
      <w:bookmarkEnd w:id="105"/>
    </w:p>
    <w:p w14:paraId="06E4610F" w14:textId="77777777" w:rsidR="00D8431D" w:rsidRDefault="003413AD"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 xml:space="preserve">USAC is a Perth-based think tank focussed on </w:t>
      </w:r>
      <w:r w:rsidR="00D8431D">
        <w:rPr>
          <w:rFonts w:ascii="Segoe UI" w:eastAsia="Times New Roman" w:hAnsi="Segoe UI" w:cs="Segoe UI"/>
          <w:color w:val="212121"/>
        </w:rPr>
        <w:t>raising the level of</w:t>
      </w:r>
      <w:r w:rsidRPr="00752A8B">
        <w:rPr>
          <w:rFonts w:ascii="Segoe UI" w:eastAsia="Times New Roman" w:hAnsi="Segoe UI" w:cs="Segoe UI"/>
          <w:color w:val="212121"/>
        </w:rPr>
        <w:t xml:space="preserve"> understanding in the </w:t>
      </w:r>
      <w:r w:rsidR="00131FAA">
        <w:rPr>
          <w:rFonts w:ascii="Segoe UI" w:eastAsia="Times New Roman" w:hAnsi="Segoe UI" w:cs="Segoe UI"/>
          <w:color w:val="212121"/>
        </w:rPr>
        <w:t xml:space="preserve">Western Australia </w:t>
      </w:r>
      <w:r w:rsidRPr="00752A8B">
        <w:rPr>
          <w:rFonts w:ascii="Segoe UI" w:eastAsia="Times New Roman" w:hAnsi="Segoe UI" w:cs="Segoe UI"/>
          <w:color w:val="212121"/>
        </w:rPr>
        <w:t>community and industry, support</w:t>
      </w:r>
      <w:r>
        <w:rPr>
          <w:rFonts w:ascii="Segoe UI" w:eastAsia="Times New Roman" w:hAnsi="Segoe UI" w:cs="Segoe UI"/>
          <w:color w:val="212121"/>
        </w:rPr>
        <w:t>ing</w:t>
      </w:r>
      <w:r w:rsidRPr="00752A8B">
        <w:rPr>
          <w:rFonts w:ascii="Segoe UI" w:eastAsia="Times New Roman" w:hAnsi="Segoe UI" w:cs="Segoe UI"/>
          <w:color w:val="212121"/>
        </w:rPr>
        <w:t xml:space="preserve"> the state government’s defence portfolio, and feed</w:t>
      </w:r>
      <w:r w:rsidR="00634836">
        <w:rPr>
          <w:rFonts w:ascii="Segoe UI" w:eastAsia="Times New Roman" w:hAnsi="Segoe UI" w:cs="Segoe UI"/>
          <w:color w:val="212121"/>
        </w:rPr>
        <w:t>ing</w:t>
      </w:r>
      <w:r w:rsidRPr="00752A8B">
        <w:rPr>
          <w:rFonts w:ascii="Segoe UI" w:eastAsia="Times New Roman" w:hAnsi="Segoe UI" w:cs="Segoe UI"/>
          <w:color w:val="212121"/>
        </w:rPr>
        <w:t xml:space="preserve"> WA perspectives back into the </w:t>
      </w:r>
      <w:r w:rsidR="00310328">
        <w:rPr>
          <w:rFonts w:ascii="Segoe UI" w:eastAsia="Times New Roman" w:hAnsi="Segoe UI" w:cs="Segoe UI"/>
          <w:color w:val="212121"/>
        </w:rPr>
        <w:t>policy discourse</w:t>
      </w:r>
      <w:r w:rsidRPr="00752A8B">
        <w:rPr>
          <w:rFonts w:ascii="Segoe UI" w:eastAsia="Times New Roman" w:hAnsi="Segoe UI" w:cs="Segoe UI"/>
          <w:color w:val="212121"/>
        </w:rPr>
        <w:t xml:space="preserve">. </w:t>
      </w:r>
      <w:r w:rsidR="257930F9" w:rsidRPr="0AA78A69">
        <w:rPr>
          <w:rFonts w:ascii="Segoe UI" w:eastAsia="Times New Roman" w:hAnsi="Segoe UI" w:cs="Segoe UI"/>
          <w:color w:val="212121"/>
        </w:rPr>
        <w:t>It</w:t>
      </w:r>
      <w:r w:rsidR="008F6C49">
        <w:rPr>
          <w:rFonts w:ascii="Segoe UI" w:eastAsia="Times New Roman" w:hAnsi="Segoe UI" w:cs="Segoe UI"/>
          <w:color w:val="212121"/>
        </w:rPr>
        <w:t xml:space="preserve"> has carved out </w:t>
      </w:r>
      <w:r w:rsidR="00310328">
        <w:rPr>
          <w:rFonts w:ascii="Segoe UI" w:eastAsia="Times New Roman" w:hAnsi="Segoe UI" w:cs="Segoe UI"/>
          <w:color w:val="212121"/>
        </w:rPr>
        <w:t>a</w:t>
      </w:r>
      <w:r w:rsidR="008F6C49">
        <w:rPr>
          <w:rFonts w:ascii="Segoe UI" w:eastAsia="Times New Roman" w:hAnsi="Segoe UI" w:cs="Segoe UI"/>
          <w:color w:val="212121"/>
        </w:rPr>
        <w:t xml:space="preserve"> niche by focusing on</w:t>
      </w:r>
      <w:r w:rsidRPr="00752A8B">
        <w:rPr>
          <w:rFonts w:ascii="Segoe UI" w:eastAsia="Times New Roman" w:hAnsi="Segoe UI" w:cs="Segoe UI"/>
          <w:color w:val="212121"/>
        </w:rPr>
        <w:t xml:space="preserve"> ‘translational research’ that </w:t>
      </w:r>
      <w:r w:rsidR="00D8431D">
        <w:rPr>
          <w:rFonts w:ascii="Segoe UI" w:eastAsia="Times New Roman" w:hAnsi="Segoe UI" w:cs="Segoe UI"/>
          <w:color w:val="212121"/>
        </w:rPr>
        <w:t>enhances</w:t>
      </w:r>
      <w:r w:rsidRPr="00752A8B">
        <w:rPr>
          <w:rFonts w:ascii="Segoe UI" w:eastAsia="Times New Roman" w:hAnsi="Segoe UI" w:cs="Segoe UI"/>
          <w:color w:val="212121"/>
        </w:rPr>
        <w:t xml:space="preserve"> public understanding of defence and strategic issues. </w:t>
      </w:r>
      <w:r w:rsidR="00310328">
        <w:rPr>
          <w:rFonts w:ascii="Segoe UI" w:eastAsia="Times New Roman" w:hAnsi="Segoe UI" w:cs="Segoe UI"/>
          <w:color w:val="212121"/>
        </w:rPr>
        <w:t>Both its Insights and Explainer products are testament to this function.</w:t>
      </w:r>
      <w:r w:rsidR="00310328" w:rsidRPr="0AA78A69">
        <w:rPr>
          <w:rFonts w:ascii="Segoe UI" w:eastAsia="Times New Roman" w:hAnsi="Segoe UI" w:cs="Segoe UI"/>
          <w:color w:val="212121"/>
        </w:rPr>
        <w:t xml:space="preserve"> </w:t>
      </w:r>
    </w:p>
    <w:p w14:paraId="06E46110" w14:textId="77777777" w:rsidR="003413AD" w:rsidRDefault="00B70151"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 xml:space="preserve">It is without a doubt that USAC has made improvements since 2017, including strengthening its capacity to conduct research by hiring a Research Director. </w:t>
      </w:r>
      <w:r w:rsidR="00310328">
        <w:rPr>
          <w:rFonts w:ascii="Segoe UI" w:eastAsia="Times New Roman" w:hAnsi="Segoe UI" w:cs="Segoe UI"/>
          <w:color w:val="212121"/>
        </w:rPr>
        <w:t>However, its pursuit of translational research should not mean dispensing with deep, analytical research</w:t>
      </w:r>
      <w:r w:rsidR="00D8431D">
        <w:rPr>
          <w:rFonts w:ascii="Segoe UI" w:eastAsia="Times New Roman" w:hAnsi="Segoe UI" w:cs="Segoe UI"/>
          <w:color w:val="212121"/>
        </w:rPr>
        <w:t xml:space="preserve"> and</w:t>
      </w:r>
      <w:r w:rsidR="00E24DCF">
        <w:rPr>
          <w:rFonts w:ascii="Segoe UI" w:eastAsia="Times New Roman" w:hAnsi="Segoe UI" w:cs="Segoe UI"/>
          <w:color w:val="212121"/>
        </w:rPr>
        <w:t>,</w:t>
      </w:r>
      <w:r w:rsidR="00D8431D">
        <w:rPr>
          <w:rFonts w:ascii="Segoe UI" w:eastAsia="Times New Roman" w:hAnsi="Segoe UI" w:cs="Segoe UI"/>
          <w:color w:val="212121"/>
        </w:rPr>
        <w:t xml:space="preserve"> as previous reviews have concluded</w:t>
      </w:r>
      <w:r w:rsidR="00E24DCF">
        <w:rPr>
          <w:rFonts w:ascii="Segoe UI" w:eastAsia="Times New Roman" w:hAnsi="Segoe UI" w:cs="Segoe UI"/>
          <w:color w:val="212121"/>
        </w:rPr>
        <w:t>,</w:t>
      </w:r>
      <w:r w:rsidR="00D8431D">
        <w:rPr>
          <w:rFonts w:ascii="Segoe UI" w:eastAsia="Times New Roman" w:hAnsi="Segoe UI" w:cs="Segoe UI"/>
          <w:color w:val="212121"/>
        </w:rPr>
        <w:t xml:space="preserve"> its capacity in this area should be strengthened</w:t>
      </w:r>
      <w:r w:rsidR="00310328">
        <w:rPr>
          <w:rFonts w:ascii="Segoe UI" w:eastAsia="Times New Roman" w:hAnsi="Segoe UI" w:cs="Segoe UI"/>
          <w:color w:val="212121"/>
        </w:rPr>
        <w:t>. Past research, such as on critical minerals, played a key role in informing policy development, and this</w:t>
      </w:r>
      <w:r w:rsidR="00A72CCF">
        <w:rPr>
          <w:rFonts w:ascii="Segoe UI" w:eastAsia="Times New Roman" w:hAnsi="Segoe UI" w:cs="Segoe UI"/>
          <w:color w:val="212121"/>
        </w:rPr>
        <w:t xml:space="preserve"> type of policy relevant research based analysis</w:t>
      </w:r>
      <w:r w:rsidR="00310328">
        <w:rPr>
          <w:rFonts w:ascii="Segoe UI" w:eastAsia="Times New Roman" w:hAnsi="Segoe UI" w:cs="Segoe UI"/>
          <w:color w:val="212121"/>
        </w:rPr>
        <w:t xml:space="preserve"> should </w:t>
      </w:r>
      <w:r w:rsidR="00A72CCF">
        <w:rPr>
          <w:rFonts w:ascii="Segoe UI" w:eastAsia="Times New Roman" w:hAnsi="Segoe UI" w:cs="Segoe UI"/>
          <w:color w:val="212121"/>
        </w:rPr>
        <w:t>be a stronger feature of the Centre’s work.</w:t>
      </w:r>
      <w:r w:rsidR="00310328">
        <w:rPr>
          <w:rFonts w:ascii="Segoe UI" w:eastAsia="Times New Roman" w:hAnsi="Segoe UI" w:cs="Segoe UI"/>
          <w:color w:val="212121"/>
        </w:rPr>
        <w:t xml:space="preserve"> </w:t>
      </w:r>
    </w:p>
    <w:p w14:paraId="06E46111" w14:textId="77777777" w:rsidR="003413AD" w:rsidRDefault="00D8431D"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 xml:space="preserve">The external reviews of USAC, including my own </w:t>
      </w:r>
      <w:r w:rsidR="00D35B04">
        <w:rPr>
          <w:rFonts w:ascii="Segoe UI" w:eastAsia="Times New Roman" w:hAnsi="Segoe UI" w:cs="Segoe UI"/>
          <w:color w:val="212121"/>
        </w:rPr>
        <w:t xml:space="preserve">in 2017, found effective leadership had been key to the organisation’s success but noted the organisation should begin succession planning. </w:t>
      </w:r>
      <w:r w:rsidR="00B70151">
        <w:rPr>
          <w:rFonts w:ascii="Segoe UI" w:eastAsia="Times New Roman" w:hAnsi="Segoe UI" w:cs="Segoe UI"/>
          <w:color w:val="212121"/>
        </w:rPr>
        <w:t>This remains</w:t>
      </w:r>
      <w:r>
        <w:rPr>
          <w:rFonts w:ascii="Segoe UI" w:eastAsia="Times New Roman" w:hAnsi="Segoe UI" w:cs="Segoe UI"/>
          <w:color w:val="212121"/>
        </w:rPr>
        <w:t xml:space="preserve"> prudent bearing in mind that </w:t>
      </w:r>
      <w:r w:rsidR="00E905A4">
        <w:rPr>
          <w:rFonts w:ascii="Segoe UI" w:eastAsia="Times New Roman" w:hAnsi="Segoe UI" w:cs="Segoe UI"/>
          <w:color w:val="212121"/>
        </w:rPr>
        <w:t>Professor Gordon Flake</w:t>
      </w:r>
      <w:r>
        <w:rPr>
          <w:rFonts w:ascii="Segoe UI" w:eastAsia="Times New Roman" w:hAnsi="Segoe UI" w:cs="Segoe UI"/>
          <w:color w:val="212121"/>
        </w:rPr>
        <w:t>, who continues to provide strong leadership</w:t>
      </w:r>
      <w:r w:rsidR="00013884">
        <w:rPr>
          <w:rFonts w:ascii="Segoe UI" w:eastAsia="Times New Roman" w:hAnsi="Segoe UI" w:cs="Segoe UI"/>
          <w:color w:val="212121"/>
        </w:rPr>
        <w:t>,</w:t>
      </w:r>
      <w:r w:rsidR="00E905A4">
        <w:rPr>
          <w:rFonts w:ascii="Segoe UI" w:eastAsia="Times New Roman" w:hAnsi="Segoe UI" w:cs="Segoe UI"/>
          <w:color w:val="212121"/>
        </w:rPr>
        <w:t xml:space="preserve"> has been in the CEO position for over a decade. </w:t>
      </w:r>
    </w:p>
    <w:p w14:paraId="06E46112" w14:textId="77777777" w:rsidR="000B100F" w:rsidRPr="00752A8B" w:rsidRDefault="000B100F" w:rsidP="000B100F">
      <w:pPr>
        <w:pStyle w:val="Heading2"/>
        <w:rPr>
          <w:rFonts w:cs="Segoe UI"/>
          <w:sz w:val="32"/>
          <w:szCs w:val="32"/>
        </w:rPr>
      </w:pPr>
      <w:bookmarkStart w:id="106" w:name="_Toc170307502"/>
      <w:bookmarkStart w:id="107" w:name="_Toc170383175"/>
      <w:bookmarkStart w:id="108" w:name="_Toc170980556"/>
      <w:bookmarkStart w:id="109" w:name="_Toc171004270"/>
      <w:bookmarkStart w:id="110" w:name="_Toc171074992"/>
      <w:bookmarkStart w:id="111" w:name="_Toc172665603"/>
      <w:bookmarkStart w:id="112" w:name="_Toc170980555"/>
      <w:bookmarkStart w:id="113" w:name="_Toc171004269"/>
      <w:bookmarkStart w:id="114" w:name="_Toc171074991"/>
      <w:r w:rsidRPr="00752A8B">
        <w:rPr>
          <w:rFonts w:cs="Segoe UI"/>
          <w:sz w:val="32"/>
          <w:szCs w:val="32"/>
        </w:rPr>
        <w:lastRenderedPageBreak/>
        <w:t>RAND Australia</w:t>
      </w:r>
      <w:bookmarkEnd w:id="106"/>
      <w:bookmarkEnd w:id="107"/>
      <w:bookmarkEnd w:id="108"/>
      <w:bookmarkEnd w:id="109"/>
      <w:bookmarkEnd w:id="110"/>
      <w:bookmarkEnd w:id="111"/>
    </w:p>
    <w:p w14:paraId="06E46113" w14:textId="77777777" w:rsidR="000B100F" w:rsidRPr="00963625" w:rsidRDefault="000B100F" w:rsidP="000B100F">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RAND Australia is an ASIC-registered company wholly owned by RAND in the US, which remains one of the world’s most influential think tanks focused on defence and strategic issues. Despite its reputation, RAND Australia has been operating at a financial loss. Building on an initial investment to establish RAND Australia, RAND continues to invest in building the Australian entity to develop solutions to public policy challenges. A long-term goal for the Australian entity is to reach the ability to break even and remain viable, noting its global parent remains committed to its support. This highlights just how challenging the business model is for think tanks operating in Australia.</w:t>
      </w:r>
    </w:p>
    <w:p w14:paraId="06E46114" w14:textId="77777777" w:rsidR="000B100F" w:rsidRPr="00963625" w:rsidRDefault="000B100F" w:rsidP="000B100F">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 xml:space="preserve">RAND Australia fills a niche in the sector with expertise in specific areas where Australian expertise is shallow. During my consultations, stakeholders recalled how much Government relied on RAND Australia’s technical expertise. Most work has been in the Defence portfolio through fee-for-service activities via a Deed of Standing Offer. RAND Australia provided inputs into the </w:t>
      </w:r>
      <w:r w:rsidR="007E71D3">
        <w:rPr>
          <w:rFonts w:ascii="Segoe UI" w:eastAsia="Times New Roman" w:hAnsi="Segoe UI" w:cs="Segoe UI"/>
          <w:color w:val="212121"/>
        </w:rPr>
        <w:t>Independent Analysis into Navy’s Surface</w:t>
      </w:r>
      <w:r w:rsidRPr="00963625">
        <w:rPr>
          <w:rFonts w:ascii="Segoe UI" w:eastAsia="Times New Roman" w:hAnsi="Segoe UI" w:cs="Segoe UI"/>
          <w:color w:val="212121"/>
        </w:rPr>
        <w:t xml:space="preserve"> Combatant </w:t>
      </w:r>
      <w:r w:rsidR="007E71D3">
        <w:rPr>
          <w:rFonts w:ascii="Segoe UI" w:eastAsia="Times New Roman" w:hAnsi="Segoe UI" w:cs="Segoe UI"/>
          <w:color w:val="212121"/>
        </w:rPr>
        <w:t>Fleet</w:t>
      </w:r>
      <w:r w:rsidRPr="00963625">
        <w:rPr>
          <w:rFonts w:ascii="Segoe UI" w:eastAsia="Times New Roman" w:hAnsi="Segoe UI" w:cs="Segoe UI"/>
          <w:color w:val="212121"/>
        </w:rPr>
        <w:t xml:space="preserve"> and the development of a strategic mobilisation concept. Notably, Government was able to leverage RAND Australia’s expertise on these major bodies of work because almost all researchers hold security clearances. </w:t>
      </w:r>
    </w:p>
    <w:p w14:paraId="06E46115" w14:textId="77777777" w:rsidR="000B100F" w:rsidRPr="00963625" w:rsidRDefault="000B100F" w:rsidP="000B100F">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RAND’s US-based operations boast technical expertise as well as three social and economic policy research divisions, enabling RAND Australia to leverage vast networks of multi-disciplinary expertise when required. Its academic rigour, such as subjecting all evidence-based research to double-blind peer review, is also noteworthy and something that should be emulated in other organisations. Guardrails such as this are important for limiting the potential for any kinds of bias to inform conclusions.</w:t>
      </w:r>
    </w:p>
    <w:p w14:paraId="06E46116" w14:textId="77777777" w:rsidR="00DE7087" w:rsidRPr="00752A8B" w:rsidRDefault="3A1F66C0" w:rsidP="095C89A8">
      <w:pPr>
        <w:pStyle w:val="Heading2"/>
        <w:rPr>
          <w:rFonts w:cs="Segoe UI"/>
          <w:sz w:val="32"/>
          <w:szCs w:val="32"/>
        </w:rPr>
      </w:pPr>
      <w:bookmarkStart w:id="115" w:name="_Toc172665604"/>
      <w:r w:rsidRPr="095C89A8">
        <w:rPr>
          <w:rFonts w:cs="Segoe UI"/>
          <w:sz w:val="32"/>
          <w:szCs w:val="32"/>
        </w:rPr>
        <w:t>The Lowy Institute (Lowy)</w:t>
      </w:r>
      <w:bookmarkEnd w:id="112"/>
      <w:bookmarkEnd w:id="113"/>
      <w:bookmarkEnd w:id="114"/>
      <w:bookmarkEnd w:id="115"/>
    </w:p>
    <w:p w14:paraId="06E46117" w14:textId="77777777" w:rsidR="00D8431D" w:rsidRDefault="3A1F66C0"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95C89A8">
        <w:rPr>
          <w:rFonts w:ascii="Segoe UI" w:eastAsia="Times New Roman" w:hAnsi="Segoe UI" w:cs="Segoe UI"/>
          <w:color w:val="212121"/>
        </w:rPr>
        <w:t>Lowy is a</w:t>
      </w:r>
      <w:r w:rsidR="00D33E38">
        <w:rPr>
          <w:rFonts w:ascii="Segoe UI" w:eastAsia="Times New Roman" w:hAnsi="Segoe UI" w:cs="Segoe UI"/>
          <w:color w:val="212121"/>
        </w:rPr>
        <w:t xml:space="preserve"> free-standing </w:t>
      </w:r>
      <w:r w:rsidRPr="095C89A8">
        <w:rPr>
          <w:rFonts w:ascii="Segoe UI" w:eastAsia="Times New Roman" w:hAnsi="Segoe UI" w:cs="Segoe UI"/>
          <w:color w:val="212121"/>
        </w:rPr>
        <w:t xml:space="preserve">think tank located in Sydney established </w:t>
      </w:r>
      <w:r w:rsidR="00684989">
        <w:rPr>
          <w:rFonts w:ascii="Segoe UI" w:eastAsia="Times New Roman" w:hAnsi="Segoe UI" w:cs="Segoe UI"/>
          <w:color w:val="212121"/>
        </w:rPr>
        <w:t xml:space="preserve">in 2003 </w:t>
      </w:r>
      <w:r w:rsidR="11A1E4F3" w:rsidRPr="57BFD5CF">
        <w:rPr>
          <w:rFonts w:ascii="Segoe UI" w:eastAsia="Times New Roman" w:hAnsi="Segoe UI" w:cs="Segoe UI"/>
          <w:color w:val="212121"/>
        </w:rPr>
        <w:t>with</w:t>
      </w:r>
      <w:r w:rsidRPr="095C89A8">
        <w:rPr>
          <w:rFonts w:ascii="Segoe UI" w:eastAsia="Times New Roman" w:hAnsi="Segoe UI" w:cs="Segoe UI"/>
          <w:color w:val="212121"/>
        </w:rPr>
        <w:t xml:space="preserve"> philanthropic support from the Lowy </w:t>
      </w:r>
      <w:r w:rsidR="00D8431D">
        <w:rPr>
          <w:rFonts w:ascii="Segoe UI" w:eastAsia="Times New Roman" w:hAnsi="Segoe UI" w:cs="Segoe UI"/>
          <w:color w:val="212121"/>
        </w:rPr>
        <w:t>f</w:t>
      </w:r>
      <w:r w:rsidRPr="095C89A8">
        <w:rPr>
          <w:rFonts w:ascii="Segoe UI" w:eastAsia="Times New Roman" w:hAnsi="Segoe UI" w:cs="Segoe UI"/>
          <w:color w:val="212121"/>
        </w:rPr>
        <w:t xml:space="preserve">amily. Despite this financial </w:t>
      </w:r>
      <w:r w:rsidR="73356BE2" w:rsidRPr="57BFD5CF">
        <w:rPr>
          <w:rFonts w:ascii="Segoe UI" w:eastAsia="Times New Roman" w:hAnsi="Segoe UI" w:cs="Segoe UI"/>
          <w:color w:val="212121"/>
        </w:rPr>
        <w:t>base</w:t>
      </w:r>
      <w:r w:rsidRPr="095C89A8">
        <w:rPr>
          <w:rFonts w:ascii="Segoe UI" w:eastAsia="Times New Roman" w:hAnsi="Segoe UI" w:cs="Segoe UI"/>
          <w:color w:val="212121"/>
        </w:rPr>
        <w:t xml:space="preserve">, </w:t>
      </w:r>
      <w:r w:rsidR="00B70151">
        <w:rPr>
          <w:rFonts w:ascii="Segoe UI" w:eastAsia="Times New Roman" w:hAnsi="Segoe UI" w:cs="Segoe UI"/>
          <w:color w:val="212121"/>
        </w:rPr>
        <w:t>as previously outlined</w:t>
      </w:r>
      <w:r w:rsidR="009468AE">
        <w:rPr>
          <w:rFonts w:ascii="Segoe UI" w:eastAsia="Times New Roman" w:hAnsi="Segoe UI" w:cs="Segoe UI"/>
          <w:color w:val="212121"/>
        </w:rPr>
        <w:t>,</w:t>
      </w:r>
      <w:r w:rsidR="00B70151">
        <w:rPr>
          <w:rFonts w:ascii="Segoe UI" w:eastAsia="Times New Roman" w:hAnsi="Segoe UI" w:cs="Segoe UI"/>
          <w:color w:val="212121"/>
        </w:rPr>
        <w:t xml:space="preserve"> </w:t>
      </w:r>
      <w:r w:rsidRPr="095C89A8">
        <w:rPr>
          <w:rFonts w:ascii="Segoe UI" w:eastAsia="Times New Roman" w:hAnsi="Segoe UI" w:cs="Segoe UI"/>
          <w:color w:val="212121"/>
        </w:rPr>
        <w:t xml:space="preserve">Lowy receives over half of its funding from government sources. Contrary to other major organisations in the sector </w:t>
      </w:r>
      <w:r w:rsidR="004F55D5">
        <w:rPr>
          <w:rFonts w:ascii="Segoe UI" w:eastAsia="Times New Roman" w:hAnsi="Segoe UI" w:cs="Segoe UI"/>
          <w:color w:val="212121"/>
        </w:rPr>
        <w:t>however</w:t>
      </w:r>
      <w:r w:rsidRPr="095C89A8">
        <w:rPr>
          <w:rFonts w:ascii="Segoe UI" w:eastAsia="Times New Roman" w:hAnsi="Segoe UI" w:cs="Segoe UI"/>
          <w:color w:val="212121"/>
        </w:rPr>
        <w:t xml:space="preserve">, this funding </w:t>
      </w:r>
      <w:r w:rsidR="004F55D5">
        <w:rPr>
          <w:rFonts w:ascii="Segoe UI" w:eastAsia="Times New Roman" w:hAnsi="Segoe UI" w:cs="Segoe UI"/>
          <w:color w:val="212121"/>
        </w:rPr>
        <w:t xml:space="preserve">is </w:t>
      </w:r>
      <w:r w:rsidR="00B70151">
        <w:rPr>
          <w:rFonts w:ascii="Segoe UI" w:eastAsia="Times New Roman" w:hAnsi="Segoe UI" w:cs="Segoe UI"/>
          <w:color w:val="212121"/>
        </w:rPr>
        <w:t xml:space="preserve">through bespoke </w:t>
      </w:r>
      <w:r w:rsidRPr="095C89A8">
        <w:rPr>
          <w:rFonts w:ascii="Segoe UI" w:eastAsia="Times New Roman" w:hAnsi="Segoe UI" w:cs="Segoe UI"/>
          <w:color w:val="212121"/>
        </w:rPr>
        <w:t xml:space="preserve">fee-for-service </w:t>
      </w:r>
      <w:r w:rsidR="00B70151">
        <w:rPr>
          <w:rFonts w:ascii="Segoe UI" w:eastAsia="Times New Roman" w:hAnsi="Segoe UI" w:cs="Segoe UI"/>
          <w:color w:val="212121"/>
        </w:rPr>
        <w:t xml:space="preserve">arrangements </w:t>
      </w:r>
      <w:r w:rsidRPr="095C89A8">
        <w:rPr>
          <w:rFonts w:ascii="Segoe UI" w:eastAsia="Times New Roman" w:hAnsi="Segoe UI" w:cs="Segoe UI"/>
          <w:color w:val="212121"/>
        </w:rPr>
        <w:t xml:space="preserve">rather than operating </w:t>
      </w:r>
      <w:r w:rsidR="004F55D5">
        <w:rPr>
          <w:rFonts w:ascii="Segoe UI" w:eastAsia="Times New Roman" w:hAnsi="Segoe UI" w:cs="Segoe UI"/>
          <w:color w:val="212121"/>
        </w:rPr>
        <w:t>funding</w:t>
      </w:r>
      <w:r w:rsidRPr="095C89A8">
        <w:rPr>
          <w:rFonts w:ascii="Segoe UI" w:eastAsia="Times New Roman" w:hAnsi="Segoe UI" w:cs="Segoe UI"/>
          <w:color w:val="212121"/>
        </w:rPr>
        <w:t xml:space="preserve">. </w:t>
      </w:r>
    </w:p>
    <w:p w14:paraId="06E46118" w14:textId="77777777" w:rsidR="00DE7087" w:rsidRPr="00752A8B" w:rsidRDefault="00131FAA"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M</w:t>
      </w:r>
      <w:r w:rsidR="3A1F66C0" w:rsidRPr="095C89A8">
        <w:rPr>
          <w:rFonts w:ascii="Segoe UI" w:eastAsia="Times New Roman" w:hAnsi="Segoe UI" w:cs="Segoe UI"/>
          <w:color w:val="212121"/>
        </w:rPr>
        <w:t>ajor products like the Lowy Institute Poll, the Pacific and Southeast Asia Aid Maps, and the Global Diplomacy Index and Asia Power Index</w:t>
      </w:r>
      <w:r>
        <w:rPr>
          <w:rFonts w:ascii="Segoe UI" w:eastAsia="Times New Roman" w:hAnsi="Segoe UI" w:cs="Segoe UI"/>
          <w:color w:val="212121"/>
        </w:rPr>
        <w:t xml:space="preserve"> are</w:t>
      </w:r>
      <w:r w:rsidR="3A1F66C0" w:rsidRPr="095C89A8">
        <w:rPr>
          <w:rFonts w:ascii="Segoe UI" w:eastAsia="Times New Roman" w:hAnsi="Segoe UI" w:cs="Segoe UI"/>
          <w:color w:val="212121"/>
        </w:rPr>
        <w:t xml:space="preserve"> </w:t>
      </w:r>
      <w:r w:rsidR="00D8431D">
        <w:rPr>
          <w:rFonts w:ascii="Segoe UI" w:eastAsia="Times New Roman" w:hAnsi="Segoe UI" w:cs="Segoe UI"/>
          <w:color w:val="212121"/>
        </w:rPr>
        <w:t xml:space="preserve">good </w:t>
      </w:r>
      <w:r w:rsidR="3A1F66C0" w:rsidRPr="095C89A8">
        <w:rPr>
          <w:rFonts w:ascii="Segoe UI" w:eastAsia="Times New Roman" w:hAnsi="Segoe UI" w:cs="Segoe UI"/>
          <w:color w:val="212121"/>
        </w:rPr>
        <w:t>examples of</w:t>
      </w:r>
      <w:r w:rsidR="00D8431D">
        <w:rPr>
          <w:rFonts w:ascii="Segoe UI" w:eastAsia="Times New Roman" w:hAnsi="Segoe UI" w:cs="Segoe UI"/>
          <w:color w:val="212121"/>
        </w:rPr>
        <w:t xml:space="preserve"> effective </w:t>
      </w:r>
      <w:r w:rsidR="3A1F66C0" w:rsidRPr="095C89A8">
        <w:rPr>
          <w:rFonts w:ascii="Segoe UI" w:eastAsia="Times New Roman" w:hAnsi="Segoe UI" w:cs="Segoe UI"/>
          <w:color w:val="212121"/>
        </w:rPr>
        <w:t xml:space="preserve">fact-based research and analysis that a well-resourced think tank can deliver. Lowy’s focus on international affairs fills a prominent place in the national security discourse and it makes an important contribution to the public policy debate. Lowy has also become a regular host for lectures by prominent Australian and international </w:t>
      </w:r>
      <w:r w:rsidR="00D8431D">
        <w:rPr>
          <w:rFonts w:ascii="Segoe UI" w:eastAsia="Times New Roman" w:hAnsi="Segoe UI" w:cs="Segoe UI"/>
          <w:color w:val="212121"/>
        </w:rPr>
        <w:t>figures</w:t>
      </w:r>
      <w:r w:rsidR="3A1F66C0" w:rsidRPr="095C89A8">
        <w:rPr>
          <w:rFonts w:ascii="Segoe UI" w:eastAsia="Times New Roman" w:hAnsi="Segoe UI" w:cs="Segoe UI"/>
          <w:color w:val="212121"/>
        </w:rPr>
        <w:t xml:space="preserve"> and strategic policy experts</w:t>
      </w:r>
      <w:r w:rsidR="00CC6960">
        <w:rPr>
          <w:rFonts w:ascii="Segoe UI" w:eastAsia="Times New Roman" w:hAnsi="Segoe UI" w:cs="Segoe UI"/>
          <w:color w:val="212121"/>
        </w:rPr>
        <w:t>.</w:t>
      </w:r>
      <w:r w:rsidR="3A1F66C0" w:rsidRPr="095C89A8">
        <w:rPr>
          <w:rFonts w:ascii="Segoe UI" w:eastAsia="Times New Roman" w:hAnsi="Segoe UI" w:cs="Segoe UI"/>
          <w:color w:val="212121"/>
        </w:rPr>
        <w:t xml:space="preserve"> </w:t>
      </w:r>
    </w:p>
    <w:p w14:paraId="06E46119" w14:textId="77777777" w:rsidR="00DE7087" w:rsidRPr="00752A8B" w:rsidRDefault="3A1F66C0" w:rsidP="0AF34A68">
      <w:pPr>
        <w:pStyle w:val="ListParagraph"/>
        <w:numPr>
          <w:ilvl w:val="0"/>
          <w:numId w:val="22"/>
        </w:numPr>
        <w:spacing w:line="259" w:lineRule="auto"/>
        <w:ind w:left="0" w:firstLine="0"/>
        <w:rPr>
          <w:rFonts w:ascii="Segoe UI" w:eastAsia="Times New Roman" w:hAnsi="Segoe UI" w:cs="Segoe UI"/>
          <w:color w:val="212121"/>
        </w:rPr>
      </w:pPr>
      <w:r w:rsidRPr="0AF34A68">
        <w:rPr>
          <w:rFonts w:ascii="Segoe UI" w:eastAsia="Times New Roman" w:hAnsi="Segoe UI" w:cs="Segoe UI"/>
          <w:color w:val="212121"/>
        </w:rPr>
        <w:t xml:space="preserve">Lowy’s governance structure </w:t>
      </w:r>
      <w:r w:rsidR="00D8431D" w:rsidRPr="0AF34A68">
        <w:rPr>
          <w:rFonts w:ascii="Segoe UI" w:eastAsia="Times New Roman" w:hAnsi="Segoe UI" w:cs="Segoe UI"/>
          <w:color w:val="212121"/>
        </w:rPr>
        <w:t xml:space="preserve">is a matter for its board. </w:t>
      </w:r>
      <w:r w:rsidRPr="0AF34A68">
        <w:rPr>
          <w:rFonts w:ascii="Segoe UI" w:eastAsia="Times New Roman" w:hAnsi="Segoe UI" w:cs="Segoe UI"/>
          <w:color w:val="212121"/>
        </w:rPr>
        <w:t xml:space="preserve">But the principles and challenges within the sector are equally relevant to Lowy and should guide Government's funding decisions. Government should not displace Lowy’s strong philanthropic foundation, </w:t>
      </w:r>
      <w:r w:rsidR="00D8431D" w:rsidRPr="0AF34A68">
        <w:rPr>
          <w:rFonts w:ascii="Segoe UI" w:eastAsia="Times New Roman" w:hAnsi="Segoe UI" w:cs="Segoe UI"/>
          <w:color w:val="212121"/>
        </w:rPr>
        <w:t xml:space="preserve">nor should it disadvantage Lowy </w:t>
      </w:r>
      <w:r w:rsidR="00EF104D" w:rsidRPr="0AF34A68">
        <w:rPr>
          <w:rFonts w:ascii="Segoe UI" w:eastAsia="Times New Roman" w:hAnsi="Segoe UI" w:cs="Segoe UI"/>
          <w:color w:val="212121"/>
        </w:rPr>
        <w:t xml:space="preserve">from receiving </w:t>
      </w:r>
      <w:r w:rsidR="00B70151" w:rsidRPr="0AF34A68">
        <w:rPr>
          <w:rFonts w:ascii="Segoe UI" w:eastAsia="Times New Roman" w:hAnsi="Segoe UI" w:cs="Segoe UI"/>
          <w:color w:val="212121"/>
        </w:rPr>
        <w:t xml:space="preserve">operating or </w:t>
      </w:r>
      <w:r w:rsidR="009468AE" w:rsidRPr="0AF34A68">
        <w:rPr>
          <w:rFonts w:ascii="Segoe UI" w:eastAsia="Times New Roman" w:hAnsi="Segoe UI" w:cs="Segoe UI"/>
          <w:color w:val="212121"/>
        </w:rPr>
        <w:t xml:space="preserve">fee-for-service </w:t>
      </w:r>
      <w:r w:rsidR="00B70151" w:rsidRPr="0AF34A68">
        <w:rPr>
          <w:rFonts w:ascii="Segoe UI" w:eastAsia="Times New Roman" w:hAnsi="Segoe UI" w:cs="Segoe UI"/>
          <w:color w:val="212121"/>
        </w:rPr>
        <w:t xml:space="preserve">funding </w:t>
      </w:r>
      <w:r w:rsidR="00D8431D" w:rsidRPr="0AF34A68">
        <w:rPr>
          <w:rFonts w:ascii="Segoe UI" w:eastAsia="Times New Roman" w:hAnsi="Segoe UI" w:cs="Segoe UI"/>
          <w:color w:val="212121"/>
        </w:rPr>
        <w:t xml:space="preserve">by assuming it is already well provided for by the Lowy family and corporate support. </w:t>
      </w:r>
    </w:p>
    <w:p w14:paraId="06E4611A" w14:textId="77777777" w:rsidR="00DE7087" w:rsidRPr="00752A8B" w:rsidRDefault="157668D7" w:rsidP="5C4F58BD">
      <w:pPr>
        <w:pStyle w:val="Heading2"/>
        <w:rPr>
          <w:rFonts w:cs="Segoe UI"/>
          <w:sz w:val="32"/>
          <w:szCs w:val="32"/>
        </w:rPr>
      </w:pPr>
      <w:bookmarkStart w:id="116" w:name="_Toc170307503"/>
      <w:bookmarkStart w:id="117" w:name="_Toc170383176"/>
      <w:bookmarkStart w:id="118" w:name="_Toc170980557"/>
      <w:bookmarkStart w:id="119" w:name="_Toc171004271"/>
      <w:bookmarkStart w:id="120" w:name="_Toc171074993"/>
      <w:bookmarkStart w:id="121" w:name="_Toc172665605"/>
      <w:r w:rsidRPr="7ED9FE55">
        <w:rPr>
          <w:rFonts w:cs="Segoe UI"/>
          <w:sz w:val="32"/>
          <w:szCs w:val="32"/>
        </w:rPr>
        <w:lastRenderedPageBreak/>
        <w:t>The</w:t>
      </w:r>
      <w:r w:rsidRPr="00752A8B" w:rsidDel="00DB4F00">
        <w:rPr>
          <w:rFonts w:cs="Segoe UI"/>
          <w:sz w:val="32"/>
          <w:szCs w:val="32"/>
        </w:rPr>
        <w:t xml:space="preserve"> </w:t>
      </w:r>
      <w:r w:rsidRPr="00752A8B">
        <w:rPr>
          <w:rFonts w:cs="Segoe UI"/>
          <w:sz w:val="32"/>
          <w:szCs w:val="32"/>
        </w:rPr>
        <w:t>Australian</w:t>
      </w:r>
      <w:r w:rsidR="00DB4F00">
        <w:rPr>
          <w:rFonts w:cs="Segoe UI"/>
          <w:sz w:val="32"/>
          <w:szCs w:val="32"/>
        </w:rPr>
        <w:t xml:space="preserve"> American</w:t>
      </w:r>
      <w:r w:rsidRPr="00752A8B">
        <w:rPr>
          <w:rFonts w:cs="Segoe UI"/>
          <w:sz w:val="32"/>
          <w:szCs w:val="32"/>
        </w:rPr>
        <w:t xml:space="preserve"> Leadership Dialogue (</w:t>
      </w:r>
      <w:r w:rsidR="00DE7087" w:rsidRPr="00752A8B">
        <w:rPr>
          <w:rFonts w:cs="Segoe UI"/>
          <w:sz w:val="32"/>
          <w:szCs w:val="32"/>
        </w:rPr>
        <w:t>AALD</w:t>
      </w:r>
      <w:r w:rsidR="321A24F0" w:rsidRPr="00752A8B">
        <w:rPr>
          <w:rFonts w:cs="Segoe UI"/>
          <w:sz w:val="32"/>
          <w:szCs w:val="32"/>
        </w:rPr>
        <w:t>)</w:t>
      </w:r>
      <w:bookmarkEnd w:id="116"/>
      <w:bookmarkEnd w:id="117"/>
      <w:bookmarkEnd w:id="118"/>
      <w:bookmarkEnd w:id="119"/>
      <w:bookmarkEnd w:id="120"/>
      <w:bookmarkEnd w:id="121"/>
    </w:p>
    <w:p w14:paraId="06E4611B" w14:textId="77777777" w:rsidR="00DB6E0C" w:rsidRPr="00963625" w:rsidRDefault="2A9A70FB"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 xml:space="preserve">Established in </w:t>
      </w:r>
      <w:r w:rsidR="00301376" w:rsidRPr="00963625">
        <w:rPr>
          <w:rFonts w:ascii="Segoe UI" w:eastAsia="Times New Roman" w:hAnsi="Segoe UI" w:cs="Segoe UI"/>
          <w:color w:val="212121"/>
        </w:rPr>
        <w:t>1992</w:t>
      </w:r>
      <w:r w:rsidRPr="00963625">
        <w:rPr>
          <w:rFonts w:ascii="Segoe UI" w:eastAsia="Times New Roman" w:hAnsi="Segoe UI" w:cs="Segoe UI"/>
          <w:color w:val="212121"/>
        </w:rPr>
        <w:t xml:space="preserve">, </w:t>
      </w:r>
      <w:r w:rsidR="00D8431D" w:rsidRPr="00963625">
        <w:rPr>
          <w:rFonts w:ascii="Segoe UI" w:eastAsia="Times New Roman" w:hAnsi="Segoe UI" w:cs="Segoe UI"/>
          <w:color w:val="212121"/>
        </w:rPr>
        <w:t xml:space="preserve">the AALD </w:t>
      </w:r>
      <w:r w:rsidR="14B96D3D" w:rsidRPr="00963625">
        <w:rPr>
          <w:rFonts w:ascii="Segoe UI" w:eastAsia="Times New Roman" w:hAnsi="Segoe UI" w:cs="Segoe UI"/>
          <w:color w:val="212121"/>
        </w:rPr>
        <w:t>w</w:t>
      </w:r>
      <w:r w:rsidRPr="00963625">
        <w:rPr>
          <w:rFonts w:ascii="Segoe UI" w:eastAsia="Times New Roman" w:hAnsi="Segoe UI" w:cs="Segoe UI"/>
          <w:color w:val="212121"/>
        </w:rPr>
        <w:t xml:space="preserve">as </w:t>
      </w:r>
      <w:r w:rsidR="360553D3" w:rsidRPr="00963625">
        <w:rPr>
          <w:rFonts w:ascii="Segoe UI" w:eastAsia="Times New Roman" w:hAnsi="Segoe UI" w:cs="Segoe UI"/>
          <w:color w:val="212121"/>
        </w:rPr>
        <w:t xml:space="preserve">self-funded </w:t>
      </w:r>
      <w:r w:rsidR="3489C28F" w:rsidRPr="00963625">
        <w:rPr>
          <w:rFonts w:ascii="Segoe UI" w:eastAsia="Times New Roman" w:hAnsi="Segoe UI" w:cs="Segoe UI"/>
          <w:color w:val="212121"/>
        </w:rPr>
        <w:t>for the first 30 years of its operations</w:t>
      </w:r>
      <w:r w:rsidR="00301376" w:rsidRPr="00963625">
        <w:rPr>
          <w:rFonts w:ascii="Segoe UI" w:eastAsia="Times New Roman" w:hAnsi="Segoe UI" w:cs="Segoe UI"/>
          <w:color w:val="212121"/>
        </w:rPr>
        <w:t>. However</w:t>
      </w:r>
      <w:r w:rsidR="007E71D3">
        <w:rPr>
          <w:rFonts w:ascii="Segoe UI" w:eastAsia="Times New Roman" w:hAnsi="Segoe UI" w:cs="Segoe UI"/>
          <w:color w:val="212121"/>
        </w:rPr>
        <w:t>,</w:t>
      </w:r>
      <w:r w:rsidR="00301376" w:rsidRPr="00963625">
        <w:rPr>
          <w:rFonts w:ascii="Segoe UI" w:eastAsia="Times New Roman" w:hAnsi="Segoe UI" w:cs="Segoe UI"/>
          <w:color w:val="212121"/>
        </w:rPr>
        <w:t xml:space="preserve"> in January 2022, the AALD wrote to Government requesting $25 million </w:t>
      </w:r>
      <w:r w:rsidR="0067326C" w:rsidRPr="00963625">
        <w:rPr>
          <w:rFonts w:ascii="Segoe UI" w:eastAsia="Times New Roman" w:hAnsi="Segoe UI" w:cs="Segoe UI"/>
          <w:color w:val="212121"/>
        </w:rPr>
        <w:t xml:space="preserve">in Commonwealth funding </w:t>
      </w:r>
      <w:r w:rsidR="00301376" w:rsidRPr="00963625">
        <w:rPr>
          <w:rFonts w:ascii="Segoe UI" w:eastAsia="Times New Roman" w:hAnsi="Segoe UI" w:cs="Segoe UI"/>
          <w:color w:val="212121"/>
        </w:rPr>
        <w:t xml:space="preserve">for an endowment fund. </w:t>
      </w:r>
      <w:r w:rsidR="002140A2" w:rsidRPr="00963625">
        <w:rPr>
          <w:rFonts w:ascii="Segoe UI" w:eastAsia="Times New Roman" w:hAnsi="Segoe UI" w:cs="Segoe UI"/>
          <w:color w:val="212121"/>
        </w:rPr>
        <w:t>Subsequently, in</w:t>
      </w:r>
      <w:r w:rsidR="3489C28F" w:rsidRPr="00963625">
        <w:rPr>
          <w:rFonts w:ascii="Segoe UI" w:eastAsia="Times New Roman" w:hAnsi="Segoe UI" w:cs="Segoe UI"/>
          <w:color w:val="212121"/>
        </w:rPr>
        <w:t xml:space="preserve"> April 2022</w:t>
      </w:r>
      <w:r w:rsidR="002140A2" w:rsidRPr="00963625">
        <w:rPr>
          <w:rFonts w:ascii="Segoe UI" w:eastAsia="Times New Roman" w:hAnsi="Segoe UI" w:cs="Segoe UI"/>
          <w:color w:val="212121"/>
        </w:rPr>
        <w:t xml:space="preserve">, </w:t>
      </w:r>
      <w:r w:rsidR="47F645DC" w:rsidRPr="00963625">
        <w:rPr>
          <w:rFonts w:ascii="Segoe UI" w:eastAsia="Times New Roman" w:hAnsi="Segoe UI" w:cs="Segoe UI"/>
          <w:color w:val="212121"/>
        </w:rPr>
        <w:t>Defence</w:t>
      </w:r>
      <w:r w:rsidR="002140A2" w:rsidRPr="00963625">
        <w:rPr>
          <w:rFonts w:ascii="Segoe UI" w:eastAsia="Times New Roman" w:hAnsi="Segoe UI" w:cs="Segoe UI"/>
          <w:color w:val="212121"/>
        </w:rPr>
        <w:t xml:space="preserve"> executed a non-competitive grant with the AALD, providing</w:t>
      </w:r>
      <w:r w:rsidR="3489C28F" w:rsidRPr="00963625">
        <w:rPr>
          <w:rFonts w:ascii="Segoe UI" w:eastAsia="Times New Roman" w:hAnsi="Segoe UI" w:cs="Segoe UI"/>
          <w:color w:val="212121"/>
        </w:rPr>
        <w:t xml:space="preserve"> $8 million over five years to </w:t>
      </w:r>
      <w:r w:rsidR="002140A2" w:rsidRPr="00963625">
        <w:rPr>
          <w:rFonts w:ascii="Segoe UI" w:eastAsia="Times New Roman" w:hAnsi="Segoe UI" w:cs="Segoe UI"/>
          <w:color w:val="212121"/>
        </w:rPr>
        <w:t>deliver a series of Track 1.5 dialogues.</w:t>
      </w:r>
      <w:r w:rsidR="1B8B468D" w:rsidRPr="00963625">
        <w:rPr>
          <w:rFonts w:ascii="Segoe UI" w:eastAsia="Times New Roman" w:hAnsi="Segoe UI" w:cs="Segoe UI"/>
          <w:color w:val="212121"/>
        </w:rPr>
        <w:t xml:space="preserve"> </w:t>
      </w:r>
    </w:p>
    <w:p w14:paraId="06E4611C" w14:textId="77777777" w:rsidR="00D8431D" w:rsidRPr="00963625" w:rsidRDefault="3CC369E7"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 xml:space="preserve">The sudden </w:t>
      </w:r>
      <w:r w:rsidR="5C1339C0" w:rsidRPr="00963625">
        <w:rPr>
          <w:rFonts w:ascii="Segoe UI" w:eastAsia="Times New Roman" w:hAnsi="Segoe UI" w:cs="Segoe UI"/>
          <w:color w:val="212121"/>
        </w:rPr>
        <w:t>need</w:t>
      </w:r>
      <w:r w:rsidRPr="00963625">
        <w:rPr>
          <w:rFonts w:ascii="Segoe UI" w:eastAsia="Times New Roman" w:hAnsi="Segoe UI" w:cs="Segoe UI"/>
          <w:color w:val="212121"/>
        </w:rPr>
        <w:t xml:space="preserve"> </w:t>
      </w:r>
      <w:r w:rsidR="0E84033F" w:rsidRPr="00963625">
        <w:rPr>
          <w:rFonts w:ascii="Segoe UI" w:eastAsia="Times New Roman" w:hAnsi="Segoe UI" w:cs="Segoe UI"/>
          <w:color w:val="212121"/>
        </w:rPr>
        <w:t>fo</w:t>
      </w:r>
      <w:r w:rsidR="00301376" w:rsidRPr="00963625">
        <w:rPr>
          <w:rFonts w:ascii="Segoe UI" w:eastAsia="Times New Roman" w:hAnsi="Segoe UI" w:cs="Segoe UI"/>
          <w:color w:val="212121"/>
        </w:rPr>
        <w:t>r</w:t>
      </w:r>
      <w:r w:rsidR="0E84033F" w:rsidRPr="00963625">
        <w:rPr>
          <w:rFonts w:ascii="Segoe UI" w:eastAsia="Times New Roman" w:hAnsi="Segoe UI" w:cs="Segoe UI"/>
          <w:color w:val="212121"/>
        </w:rPr>
        <w:t xml:space="preserve"> </w:t>
      </w:r>
      <w:r w:rsidRPr="00963625">
        <w:rPr>
          <w:rFonts w:ascii="Segoe UI" w:eastAsia="Times New Roman" w:hAnsi="Segoe UI" w:cs="Segoe UI"/>
          <w:color w:val="212121"/>
        </w:rPr>
        <w:t xml:space="preserve">Government </w:t>
      </w:r>
      <w:r w:rsidR="77C27667" w:rsidRPr="00963625">
        <w:rPr>
          <w:rFonts w:ascii="Segoe UI" w:eastAsia="Times New Roman" w:hAnsi="Segoe UI" w:cs="Segoe UI"/>
          <w:color w:val="212121"/>
        </w:rPr>
        <w:t>funding</w:t>
      </w:r>
      <w:r w:rsidRPr="00963625">
        <w:rPr>
          <w:rFonts w:ascii="Segoe UI" w:eastAsia="Times New Roman" w:hAnsi="Segoe UI" w:cs="Segoe UI"/>
          <w:color w:val="212121"/>
        </w:rPr>
        <w:t xml:space="preserve"> </w:t>
      </w:r>
      <w:r w:rsidR="002140A2" w:rsidRPr="00963625">
        <w:rPr>
          <w:rFonts w:ascii="Segoe UI" w:eastAsia="Times New Roman" w:hAnsi="Segoe UI" w:cs="Segoe UI"/>
          <w:color w:val="212121"/>
        </w:rPr>
        <w:t>to support an endowment</w:t>
      </w:r>
      <w:r w:rsidRPr="00963625">
        <w:rPr>
          <w:rFonts w:ascii="Segoe UI" w:eastAsia="Times New Roman" w:hAnsi="Segoe UI" w:cs="Segoe UI"/>
          <w:color w:val="212121"/>
        </w:rPr>
        <w:t xml:space="preserve"> </w:t>
      </w:r>
      <w:r w:rsidR="00D8431D" w:rsidRPr="00963625">
        <w:rPr>
          <w:rFonts w:ascii="Segoe UI" w:eastAsia="Times New Roman" w:hAnsi="Segoe UI" w:cs="Segoe UI"/>
          <w:color w:val="212121"/>
        </w:rPr>
        <w:t xml:space="preserve">appears to reflect a reduction in </w:t>
      </w:r>
      <w:r w:rsidRPr="00963625">
        <w:rPr>
          <w:rFonts w:ascii="Segoe UI" w:eastAsia="Times New Roman" w:hAnsi="Segoe UI" w:cs="Segoe UI"/>
          <w:color w:val="212121"/>
        </w:rPr>
        <w:t xml:space="preserve">the </w:t>
      </w:r>
      <w:r w:rsidR="19C8C101" w:rsidRPr="00963625">
        <w:rPr>
          <w:rFonts w:ascii="Segoe UI" w:eastAsia="Times New Roman" w:hAnsi="Segoe UI" w:cs="Segoe UI"/>
          <w:color w:val="212121"/>
        </w:rPr>
        <w:t>business</w:t>
      </w:r>
      <w:r w:rsidRPr="00963625">
        <w:rPr>
          <w:rFonts w:ascii="Segoe UI" w:eastAsia="Times New Roman" w:hAnsi="Segoe UI" w:cs="Segoe UI"/>
          <w:color w:val="212121"/>
        </w:rPr>
        <w:t xml:space="preserve"> and </w:t>
      </w:r>
      <w:r w:rsidR="0A6AD2EB" w:rsidRPr="00963625">
        <w:rPr>
          <w:rFonts w:ascii="Segoe UI" w:eastAsia="Times New Roman" w:hAnsi="Segoe UI" w:cs="Segoe UI"/>
          <w:color w:val="212121"/>
        </w:rPr>
        <w:t>philanthropic</w:t>
      </w:r>
      <w:r w:rsidRPr="00963625">
        <w:rPr>
          <w:rFonts w:ascii="Segoe UI" w:eastAsia="Times New Roman" w:hAnsi="Segoe UI" w:cs="Segoe UI"/>
          <w:color w:val="212121"/>
        </w:rPr>
        <w:t xml:space="preserve"> funding that had </w:t>
      </w:r>
      <w:r w:rsidR="00D8431D" w:rsidRPr="00963625">
        <w:rPr>
          <w:rFonts w:ascii="Segoe UI" w:eastAsia="Times New Roman" w:hAnsi="Segoe UI" w:cs="Segoe UI"/>
          <w:color w:val="212121"/>
        </w:rPr>
        <w:t xml:space="preserve">previously </w:t>
      </w:r>
      <w:r w:rsidR="404D75A5" w:rsidRPr="00963625">
        <w:rPr>
          <w:rFonts w:ascii="Segoe UI" w:eastAsia="Times New Roman" w:hAnsi="Segoe UI" w:cs="Segoe UI"/>
          <w:color w:val="212121"/>
        </w:rPr>
        <w:t xml:space="preserve">underpinned the AALD’s operations. </w:t>
      </w:r>
      <w:r w:rsidR="007E71D3">
        <w:rPr>
          <w:rFonts w:ascii="Segoe UI" w:eastAsia="Times New Roman" w:hAnsi="Segoe UI" w:cs="Segoe UI"/>
          <w:color w:val="212121"/>
        </w:rPr>
        <w:t xml:space="preserve">The </w:t>
      </w:r>
      <w:r w:rsidR="66FCC3DE" w:rsidRPr="00963625">
        <w:rPr>
          <w:rFonts w:ascii="Segoe UI" w:eastAsia="Times New Roman" w:hAnsi="Segoe UI" w:cs="Segoe UI"/>
          <w:color w:val="212121"/>
        </w:rPr>
        <w:t>COVID</w:t>
      </w:r>
      <w:r w:rsidR="007E71D3">
        <w:rPr>
          <w:rFonts w:ascii="Segoe UI" w:eastAsia="Times New Roman" w:hAnsi="Segoe UI" w:cs="Segoe UI"/>
          <w:color w:val="212121"/>
        </w:rPr>
        <w:t>-19 pandemic</w:t>
      </w:r>
      <w:r w:rsidR="66FCC3DE" w:rsidRPr="00963625">
        <w:rPr>
          <w:rFonts w:ascii="Segoe UI" w:eastAsia="Times New Roman" w:hAnsi="Segoe UI" w:cs="Segoe UI"/>
          <w:color w:val="212121"/>
        </w:rPr>
        <w:t xml:space="preserve"> was a </w:t>
      </w:r>
      <w:r w:rsidR="17DFC058" w:rsidRPr="00963625">
        <w:rPr>
          <w:rFonts w:ascii="Segoe UI" w:eastAsia="Times New Roman" w:hAnsi="Segoe UI" w:cs="Segoe UI"/>
          <w:color w:val="212121"/>
        </w:rPr>
        <w:t xml:space="preserve">likely </w:t>
      </w:r>
      <w:r w:rsidR="66FCC3DE" w:rsidRPr="00963625">
        <w:rPr>
          <w:rFonts w:ascii="Segoe UI" w:eastAsia="Times New Roman" w:hAnsi="Segoe UI" w:cs="Segoe UI"/>
          <w:color w:val="212121"/>
        </w:rPr>
        <w:t>factor, although perceptions that the AALD</w:t>
      </w:r>
      <w:r w:rsidR="00D8431D" w:rsidRPr="00963625">
        <w:rPr>
          <w:rFonts w:ascii="Segoe UI" w:eastAsia="Times New Roman" w:hAnsi="Segoe UI" w:cs="Segoe UI"/>
          <w:color w:val="212121"/>
        </w:rPr>
        <w:t xml:space="preserve"> needed to refresh its approach and the participants in its flagship dialogues may also have been a factor.</w:t>
      </w:r>
      <w:r w:rsidR="009210B7" w:rsidRPr="00963625">
        <w:rPr>
          <w:rFonts w:ascii="Segoe UI" w:eastAsia="Times New Roman" w:hAnsi="Segoe UI" w:cs="Segoe UI"/>
          <w:color w:val="212121"/>
        </w:rPr>
        <w:t xml:space="preserve"> </w:t>
      </w:r>
    </w:p>
    <w:p w14:paraId="06E4611D" w14:textId="77777777" w:rsidR="66DEAEC9" w:rsidRPr="00963625" w:rsidRDefault="3E673219"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Regardless</w:t>
      </w:r>
      <w:r w:rsidR="56B66C8F" w:rsidRPr="00963625">
        <w:rPr>
          <w:rFonts w:ascii="Segoe UI" w:eastAsia="Times New Roman" w:hAnsi="Segoe UI" w:cs="Segoe UI"/>
          <w:color w:val="212121"/>
        </w:rPr>
        <w:t xml:space="preserve"> of the </w:t>
      </w:r>
      <w:r w:rsidR="50BEAD0D" w:rsidRPr="00963625">
        <w:rPr>
          <w:rFonts w:ascii="Segoe UI" w:eastAsia="Times New Roman" w:hAnsi="Segoe UI" w:cs="Segoe UI"/>
          <w:color w:val="212121"/>
        </w:rPr>
        <w:t>reasons</w:t>
      </w:r>
      <w:r w:rsidR="56B66C8F" w:rsidRPr="00963625">
        <w:rPr>
          <w:rFonts w:ascii="Segoe UI" w:eastAsia="Times New Roman" w:hAnsi="Segoe UI" w:cs="Segoe UI"/>
          <w:color w:val="212121"/>
        </w:rPr>
        <w:t xml:space="preserve"> </w:t>
      </w:r>
      <w:r w:rsidR="5186E788" w:rsidRPr="00963625">
        <w:rPr>
          <w:rFonts w:ascii="Segoe UI" w:eastAsia="Times New Roman" w:hAnsi="Segoe UI" w:cs="Segoe UI"/>
          <w:color w:val="212121"/>
        </w:rPr>
        <w:t>behind</w:t>
      </w:r>
      <w:r w:rsidR="56B66C8F" w:rsidRPr="00963625">
        <w:rPr>
          <w:rFonts w:ascii="Segoe UI" w:eastAsia="Times New Roman" w:hAnsi="Segoe UI" w:cs="Segoe UI"/>
          <w:color w:val="212121"/>
        </w:rPr>
        <w:t xml:space="preserve"> the funding </w:t>
      </w:r>
      <w:r w:rsidR="009A0FFC" w:rsidRPr="00963625">
        <w:rPr>
          <w:rFonts w:ascii="Segoe UI" w:eastAsia="Times New Roman" w:hAnsi="Segoe UI" w:cs="Segoe UI"/>
          <w:color w:val="212121"/>
        </w:rPr>
        <w:t>challenges</w:t>
      </w:r>
      <w:r w:rsidR="002140A2" w:rsidRPr="00963625">
        <w:rPr>
          <w:rFonts w:ascii="Segoe UI" w:eastAsia="Times New Roman" w:hAnsi="Segoe UI" w:cs="Segoe UI"/>
          <w:color w:val="212121"/>
        </w:rPr>
        <w:t>,</w:t>
      </w:r>
      <w:r w:rsidR="56B66C8F" w:rsidRPr="00963625">
        <w:rPr>
          <w:rFonts w:ascii="Segoe UI" w:eastAsia="Times New Roman" w:hAnsi="Segoe UI" w:cs="Segoe UI"/>
          <w:color w:val="212121"/>
        </w:rPr>
        <w:t xml:space="preserve"> t</w:t>
      </w:r>
      <w:r w:rsidR="2F7FFD1B" w:rsidRPr="00963625">
        <w:rPr>
          <w:rFonts w:ascii="Segoe UI" w:eastAsia="Times New Roman" w:hAnsi="Segoe UI" w:cs="Segoe UI"/>
          <w:color w:val="212121"/>
        </w:rPr>
        <w:t xml:space="preserve">he business case for </w:t>
      </w:r>
      <w:r w:rsidR="7136A17E" w:rsidRPr="00963625">
        <w:rPr>
          <w:rFonts w:ascii="Segoe UI" w:eastAsia="Times New Roman" w:hAnsi="Segoe UI" w:cs="Segoe UI"/>
          <w:color w:val="212121"/>
        </w:rPr>
        <w:t xml:space="preserve">such a significant </w:t>
      </w:r>
      <w:r w:rsidR="2F7FFD1B" w:rsidRPr="00963625">
        <w:rPr>
          <w:rFonts w:ascii="Segoe UI" w:eastAsia="Times New Roman" w:hAnsi="Segoe UI" w:cs="Segoe UI"/>
          <w:color w:val="212121"/>
        </w:rPr>
        <w:t xml:space="preserve">funding </w:t>
      </w:r>
      <w:r w:rsidR="71E6F7F7" w:rsidRPr="00963625">
        <w:rPr>
          <w:rFonts w:ascii="Segoe UI" w:eastAsia="Times New Roman" w:hAnsi="Segoe UI" w:cs="Segoe UI"/>
          <w:color w:val="212121"/>
        </w:rPr>
        <w:t xml:space="preserve">injection </w:t>
      </w:r>
      <w:r w:rsidR="009A0FFC" w:rsidRPr="00963625">
        <w:rPr>
          <w:rFonts w:ascii="Segoe UI" w:eastAsia="Times New Roman" w:hAnsi="Segoe UI" w:cs="Segoe UI"/>
          <w:color w:val="212121"/>
        </w:rPr>
        <w:t xml:space="preserve">from the Commonwealth </w:t>
      </w:r>
      <w:r w:rsidR="2F7FFD1B" w:rsidRPr="00963625">
        <w:rPr>
          <w:rFonts w:ascii="Segoe UI" w:eastAsia="Times New Roman" w:hAnsi="Segoe UI" w:cs="Segoe UI"/>
          <w:color w:val="212121"/>
        </w:rPr>
        <w:t>was not</w:t>
      </w:r>
      <w:r w:rsidR="00D8431D" w:rsidRPr="00963625">
        <w:rPr>
          <w:rFonts w:ascii="Segoe UI" w:eastAsia="Times New Roman" w:hAnsi="Segoe UI" w:cs="Segoe UI"/>
          <w:color w:val="212121"/>
        </w:rPr>
        <w:t xml:space="preserve"> clear</w:t>
      </w:r>
      <w:r w:rsidR="2EC1E9B3" w:rsidRPr="00963625">
        <w:rPr>
          <w:rFonts w:ascii="Segoe UI" w:eastAsia="Times New Roman" w:hAnsi="Segoe UI" w:cs="Segoe UI"/>
          <w:color w:val="212121"/>
        </w:rPr>
        <w:t>, and its timing, immediately before the last election, raise</w:t>
      </w:r>
      <w:r w:rsidR="059C3302" w:rsidRPr="00963625">
        <w:rPr>
          <w:rFonts w:ascii="Segoe UI" w:eastAsia="Times New Roman" w:hAnsi="Segoe UI" w:cs="Segoe UI"/>
          <w:color w:val="212121"/>
        </w:rPr>
        <w:t>s</w:t>
      </w:r>
      <w:r w:rsidR="2EC1E9B3" w:rsidRPr="00963625">
        <w:rPr>
          <w:rFonts w:ascii="Segoe UI" w:eastAsia="Times New Roman" w:hAnsi="Segoe UI" w:cs="Segoe UI"/>
          <w:color w:val="212121"/>
        </w:rPr>
        <w:t xml:space="preserve"> questions about</w:t>
      </w:r>
      <w:r w:rsidR="00D8431D" w:rsidRPr="00963625">
        <w:rPr>
          <w:rFonts w:ascii="Segoe UI" w:eastAsia="Times New Roman" w:hAnsi="Segoe UI" w:cs="Segoe UI"/>
          <w:color w:val="212121"/>
        </w:rPr>
        <w:t xml:space="preserve"> its transparency</w:t>
      </w:r>
      <w:r w:rsidR="278DF300" w:rsidRPr="00963625">
        <w:rPr>
          <w:rFonts w:ascii="Segoe UI" w:eastAsia="Times New Roman" w:hAnsi="Segoe UI" w:cs="Segoe UI"/>
          <w:color w:val="212121"/>
        </w:rPr>
        <w:t xml:space="preserve">. </w:t>
      </w:r>
      <w:r w:rsidR="00D8431D" w:rsidRPr="00963625">
        <w:rPr>
          <w:rFonts w:ascii="Segoe UI" w:eastAsia="Times New Roman" w:hAnsi="Segoe UI" w:cs="Segoe UI"/>
          <w:color w:val="212121"/>
        </w:rPr>
        <w:t>Some of the arguments in support of the funding decision, such as a role for the AALD in addressing the war against Ukraine, w</w:t>
      </w:r>
      <w:r w:rsidR="00A72CCF" w:rsidRPr="00963625">
        <w:rPr>
          <w:rFonts w:ascii="Segoe UI" w:eastAsia="Times New Roman" w:hAnsi="Segoe UI" w:cs="Segoe UI"/>
          <w:color w:val="212121"/>
        </w:rPr>
        <w:t>ere</w:t>
      </w:r>
      <w:r w:rsidR="00D8431D" w:rsidRPr="00963625">
        <w:rPr>
          <w:rFonts w:ascii="Segoe UI" w:eastAsia="Times New Roman" w:hAnsi="Segoe UI" w:cs="Segoe UI"/>
          <w:color w:val="212121"/>
        </w:rPr>
        <w:t xml:space="preserve"> hardly compelling.</w:t>
      </w:r>
      <w:r w:rsidR="009210B7" w:rsidRPr="00963625">
        <w:rPr>
          <w:rFonts w:ascii="Segoe UI" w:eastAsia="Times New Roman" w:hAnsi="Segoe UI" w:cs="Segoe UI"/>
          <w:color w:val="212121"/>
        </w:rPr>
        <w:t xml:space="preserve"> </w:t>
      </w:r>
    </w:p>
    <w:p w14:paraId="06E4611E" w14:textId="77777777" w:rsidR="000777A8" w:rsidRPr="00963625" w:rsidRDefault="2589E0D1"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 xml:space="preserve">The AALD </w:t>
      </w:r>
      <w:r w:rsidR="0067326C" w:rsidRPr="00963625">
        <w:rPr>
          <w:rFonts w:ascii="Segoe UI" w:eastAsia="Times New Roman" w:hAnsi="Segoe UI" w:cs="Segoe UI"/>
          <w:color w:val="212121"/>
        </w:rPr>
        <w:t>delivers</w:t>
      </w:r>
      <w:r w:rsidRPr="00963625">
        <w:rPr>
          <w:rFonts w:ascii="Segoe UI" w:eastAsia="Times New Roman" w:hAnsi="Segoe UI" w:cs="Segoe UI"/>
          <w:color w:val="212121"/>
        </w:rPr>
        <w:t xml:space="preserve"> four dialogues</w:t>
      </w:r>
      <w:r w:rsidR="000463A4" w:rsidRPr="00963625">
        <w:rPr>
          <w:rFonts w:ascii="Segoe UI" w:eastAsia="Times New Roman" w:hAnsi="Segoe UI" w:cs="Segoe UI"/>
          <w:color w:val="212121"/>
        </w:rPr>
        <w:t>. T</w:t>
      </w:r>
      <w:r w:rsidRPr="00963625">
        <w:rPr>
          <w:rFonts w:ascii="Segoe UI" w:eastAsia="Times New Roman" w:hAnsi="Segoe UI" w:cs="Segoe UI"/>
          <w:color w:val="212121"/>
        </w:rPr>
        <w:t>he primary AALD Forum</w:t>
      </w:r>
      <w:r w:rsidR="7441D103" w:rsidRPr="00963625">
        <w:rPr>
          <w:rFonts w:ascii="Segoe UI" w:eastAsia="Times New Roman" w:hAnsi="Segoe UI" w:cs="Segoe UI"/>
          <w:color w:val="212121"/>
        </w:rPr>
        <w:t xml:space="preserve"> alternates between </w:t>
      </w:r>
      <w:r w:rsidR="611C8AE2" w:rsidRPr="00963625">
        <w:rPr>
          <w:rFonts w:ascii="Segoe UI" w:eastAsia="Times New Roman" w:hAnsi="Segoe UI" w:cs="Segoe UI"/>
          <w:color w:val="212121"/>
        </w:rPr>
        <w:t>W</w:t>
      </w:r>
      <w:r w:rsidR="7441D103" w:rsidRPr="00963625">
        <w:rPr>
          <w:rFonts w:ascii="Segoe UI" w:eastAsia="Times New Roman" w:hAnsi="Segoe UI" w:cs="Segoe UI"/>
          <w:color w:val="212121"/>
        </w:rPr>
        <w:t xml:space="preserve">ashington DC and Australia and is the premier forum for delegates. Agendas and speakers are organised by the AALD and </w:t>
      </w:r>
      <w:r w:rsidR="745A2679" w:rsidRPr="00963625">
        <w:rPr>
          <w:rFonts w:ascii="Segoe UI" w:eastAsia="Times New Roman" w:hAnsi="Segoe UI" w:cs="Segoe UI"/>
          <w:color w:val="212121"/>
        </w:rPr>
        <w:t xml:space="preserve">topics </w:t>
      </w:r>
      <w:r w:rsidR="00E905A4" w:rsidRPr="00963625">
        <w:rPr>
          <w:rFonts w:ascii="Segoe UI" w:eastAsia="Times New Roman" w:hAnsi="Segoe UI" w:cs="Segoe UI"/>
          <w:color w:val="212121"/>
        </w:rPr>
        <w:t xml:space="preserve">are broad, ranging from AUKUS to </w:t>
      </w:r>
      <w:r w:rsidR="003413AD" w:rsidRPr="00963625">
        <w:rPr>
          <w:rFonts w:ascii="Segoe UI" w:eastAsia="Times New Roman" w:hAnsi="Segoe UI" w:cs="Segoe UI"/>
          <w:color w:val="212121"/>
        </w:rPr>
        <w:t>cyber security and technology</w:t>
      </w:r>
      <w:r w:rsidR="38FAF684" w:rsidRPr="00963625">
        <w:rPr>
          <w:rFonts w:ascii="Segoe UI" w:eastAsia="Times New Roman" w:hAnsi="Segoe UI" w:cs="Segoe UI"/>
          <w:color w:val="212121"/>
        </w:rPr>
        <w:t>.</w:t>
      </w:r>
      <w:r w:rsidR="73E6B017" w:rsidRPr="00963625">
        <w:rPr>
          <w:rFonts w:ascii="Segoe UI" w:eastAsia="Times New Roman" w:hAnsi="Segoe UI" w:cs="Segoe UI"/>
          <w:color w:val="212121"/>
        </w:rPr>
        <w:t xml:space="preserve"> </w:t>
      </w:r>
      <w:r w:rsidR="52735C17" w:rsidRPr="00963625">
        <w:rPr>
          <w:rFonts w:ascii="Segoe UI" w:eastAsia="Times New Roman" w:hAnsi="Segoe UI" w:cs="Segoe UI"/>
          <w:color w:val="212121"/>
        </w:rPr>
        <w:t xml:space="preserve">There is also the Honolulu </w:t>
      </w:r>
      <w:r w:rsidR="2A093FB2" w:rsidRPr="00963625">
        <w:rPr>
          <w:rFonts w:ascii="Segoe UI" w:eastAsia="Times New Roman" w:hAnsi="Segoe UI" w:cs="Segoe UI"/>
          <w:color w:val="212121"/>
        </w:rPr>
        <w:t>Leadership</w:t>
      </w:r>
      <w:r w:rsidR="52735C17" w:rsidRPr="00963625">
        <w:rPr>
          <w:rFonts w:ascii="Segoe UI" w:eastAsia="Times New Roman" w:hAnsi="Segoe UI" w:cs="Segoe UI"/>
          <w:color w:val="212121"/>
        </w:rPr>
        <w:t xml:space="preserve"> Dialogue, which reinforces the importance of INDOPACOM </w:t>
      </w:r>
      <w:r w:rsidR="013A0557" w:rsidRPr="00963625">
        <w:rPr>
          <w:rFonts w:ascii="Segoe UI" w:eastAsia="Times New Roman" w:hAnsi="Segoe UI" w:cs="Segoe UI"/>
          <w:color w:val="212121"/>
        </w:rPr>
        <w:t xml:space="preserve">in </w:t>
      </w:r>
      <w:r w:rsidR="52735C17" w:rsidRPr="00963625">
        <w:rPr>
          <w:rFonts w:ascii="Segoe UI" w:eastAsia="Times New Roman" w:hAnsi="Segoe UI" w:cs="Segoe UI"/>
          <w:color w:val="212121"/>
        </w:rPr>
        <w:t xml:space="preserve">the Alliance, the West Coast Leadership Dialogue, which focusses </w:t>
      </w:r>
      <w:r w:rsidR="027587AC" w:rsidRPr="00963625">
        <w:rPr>
          <w:rFonts w:ascii="Segoe UI" w:eastAsia="Times New Roman" w:hAnsi="Segoe UI" w:cs="Segoe UI"/>
          <w:color w:val="212121"/>
        </w:rPr>
        <w:t xml:space="preserve">on innovation, science and technology </w:t>
      </w:r>
      <w:r w:rsidR="53A81808" w:rsidRPr="00963625">
        <w:rPr>
          <w:rFonts w:ascii="Segoe UI" w:eastAsia="Times New Roman" w:hAnsi="Segoe UI" w:cs="Segoe UI"/>
          <w:color w:val="212121"/>
        </w:rPr>
        <w:t>with</w:t>
      </w:r>
      <w:r w:rsidR="027587AC" w:rsidRPr="00963625">
        <w:rPr>
          <w:rFonts w:ascii="Segoe UI" w:eastAsia="Times New Roman" w:hAnsi="Segoe UI" w:cs="Segoe UI"/>
          <w:color w:val="212121"/>
        </w:rPr>
        <w:t xml:space="preserve"> links to </w:t>
      </w:r>
      <w:r w:rsidR="15BBAFA6" w:rsidRPr="00963625">
        <w:rPr>
          <w:rFonts w:ascii="Segoe UI" w:eastAsia="Times New Roman" w:hAnsi="Segoe UI" w:cs="Segoe UI"/>
          <w:color w:val="212121"/>
        </w:rPr>
        <w:t>Silicone</w:t>
      </w:r>
      <w:r w:rsidR="027587AC" w:rsidRPr="00963625">
        <w:rPr>
          <w:rFonts w:ascii="Segoe UI" w:eastAsia="Times New Roman" w:hAnsi="Segoe UI" w:cs="Segoe UI"/>
          <w:color w:val="212121"/>
        </w:rPr>
        <w:t xml:space="preserve"> Valley and </w:t>
      </w:r>
      <w:r w:rsidR="05C2D9DA" w:rsidRPr="00963625">
        <w:rPr>
          <w:rFonts w:ascii="Segoe UI" w:eastAsia="Times New Roman" w:hAnsi="Segoe UI" w:cs="Segoe UI"/>
          <w:color w:val="212121"/>
        </w:rPr>
        <w:t xml:space="preserve">Stamford </w:t>
      </w:r>
      <w:r w:rsidR="3F0EFEE6" w:rsidRPr="00963625">
        <w:rPr>
          <w:rFonts w:ascii="Segoe UI" w:eastAsia="Times New Roman" w:hAnsi="Segoe UI" w:cs="Segoe UI"/>
          <w:color w:val="212121"/>
        </w:rPr>
        <w:t>University</w:t>
      </w:r>
      <w:r w:rsidR="027587AC" w:rsidRPr="00963625">
        <w:rPr>
          <w:rFonts w:ascii="Segoe UI" w:eastAsia="Times New Roman" w:hAnsi="Segoe UI" w:cs="Segoe UI"/>
          <w:color w:val="212121"/>
        </w:rPr>
        <w:t xml:space="preserve">, and the Youth Leadership Dialogue for delegates </w:t>
      </w:r>
      <w:r w:rsidR="542F06A5" w:rsidRPr="00963625">
        <w:rPr>
          <w:rFonts w:ascii="Segoe UI" w:eastAsia="Times New Roman" w:hAnsi="Segoe UI" w:cs="Segoe UI"/>
          <w:color w:val="212121"/>
        </w:rPr>
        <w:t xml:space="preserve">27-37 </w:t>
      </w:r>
      <w:r w:rsidR="027587AC" w:rsidRPr="00963625">
        <w:rPr>
          <w:rFonts w:ascii="Segoe UI" w:eastAsia="Times New Roman" w:hAnsi="Segoe UI" w:cs="Segoe UI"/>
          <w:color w:val="212121"/>
        </w:rPr>
        <w:t xml:space="preserve">years </w:t>
      </w:r>
      <w:r w:rsidR="65DF64D0" w:rsidRPr="00963625">
        <w:rPr>
          <w:rFonts w:ascii="Segoe UI" w:eastAsia="Times New Roman" w:hAnsi="Segoe UI" w:cs="Segoe UI"/>
          <w:color w:val="212121"/>
        </w:rPr>
        <w:t>old</w:t>
      </w:r>
      <w:r w:rsidR="027587AC" w:rsidRPr="00963625">
        <w:rPr>
          <w:rFonts w:ascii="Segoe UI" w:eastAsia="Times New Roman" w:hAnsi="Segoe UI" w:cs="Segoe UI"/>
          <w:color w:val="212121"/>
        </w:rPr>
        <w:t xml:space="preserve">. </w:t>
      </w:r>
    </w:p>
    <w:p w14:paraId="06E4611F" w14:textId="77777777" w:rsidR="00D8431D" w:rsidRPr="00963625" w:rsidRDefault="027587AC" w:rsidP="07DC1194">
      <w:pPr>
        <w:pStyle w:val="ListParagraph"/>
        <w:numPr>
          <w:ilvl w:val="0"/>
          <w:numId w:val="22"/>
        </w:numPr>
        <w:spacing w:line="259" w:lineRule="auto"/>
        <w:ind w:left="0" w:firstLine="0"/>
        <w:contextualSpacing w:val="0"/>
        <w:rPr>
          <w:rFonts w:ascii="Segoe UI" w:eastAsia="Times New Roman" w:hAnsi="Segoe UI" w:cs="Segoe UI"/>
          <w:color w:val="212121"/>
        </w:rPr>
      </w:pPr>
      <w:r w:rsidRPr="07DC1194">
        <w:rPr>
          <w:rFonts w:ascii="Segoe UI" w:eastAsia="Times New Roman" w:hAnsi="Segoe UI" w:cs="Segoe UI"/>
          <w:color w:val="212121"/>
        </w:rPr>
        <w:t xml:space="preserve">All AALD events </w:t>
      </w:r>
      <w:r w:rsidR="59743A87" w:rsidRPr="07DC1194">
        <w:rPr>
          <w:rFonts w:ascii="Segoe UI" w:eastAsia="Times New Roman" w:hAnsi="Segoe UI" w:cs="Segoe UI"/>
          <w:color w:val="212121"/>
        </w:rPr>
        <w:t>are completely off the record</w:t>
      </w:r>
      <w:r w:rsidRPr="07DC1194">
        <w:rPr>
          <w:rFonts w:ascii="Segoe UI" w:eastAsia="Times New Roman" w:hAnsi="Segoe UI" w:cs="Segoe UI"/>
          <w:color w:val="212121"/>
        </w:rPr>
        <w:t xml:space="preserve"> </w:t>
      </w:r>
      <w:r w:rsidR="2589E0D1" w:rsidRPr="07DC1194">
        <w:rPr>
          <w:rFonts w:ascii="Segoe UI" w:eastAsia="Times New Roman" w:hAnsi="Segoe UI" w:cs="Segoe UI"/>
          <w:color w:val="212121"/>
        </w:rPr>
        <w:t xml:space="preserve">and the process to determine attendees and </w:t>
      </w:r>
      <w:r w:rsidR="2CD492B5" w:rsidRPr="07DC1194">
        <w:rPr>
          <w:rFonts w:ascii="Segoe UI" w:eastAsia="Times New Roman" w:hAnsi="Segoe UI" w:cs="Segoe UI"/>
          <w:color w:val="212121"/>
        </w:rPr>
        <w:t xml:space="preserve">speakers is opaque. </w:t>
      </w:r>
      <w:r w:rsidR="523C50DC" w:rsidRPr="07DC1194">
        <w:rPr>
          <w:rFonts w:ascii="Segoe UI" w:eastAsia="Times New Roman" w:hAnsi="Segoe UI" w:cs="Segoe UI"/>
          <w:color w:val="212121"/>
        </w:rPr>
        <w:t>The AALD provides post</w:t>
      </w:r>
      <w:r w:rsidR="0067326C" w:rsidRPr="07DC1194">
        <w:rPr>
          <w:rFonts w:ascii="Segoe UI" w:eastAsia="Times New Roman" w:hAnsi="Segoe UI" w:cs="Segoe UI"/>
          <w:color w:val="212121"/>
        </w:rPr>
        <w:t>-</w:t>
      </w:r>
      <w:r w:rsidR="523C50DC" w:rsidRPr="07DC1194">
        <w:rPr>
          <w:rFonts w:ascii="Segoe UI" w:eastAsia="Times New Roman" w:hAnsi="Segoe UI" w:cs="Segoe UI"/>
          <w:color w:val="212121"/>
        </w:rPr>
        <w:t xml:space="preserve">activity reports to Defence </w:t>
      </w:r>
      <w:r w:rsidR="0067326C" w:rsidRPr="07DC1194">
        <w:rPr>
          <w:rFonts w:ascii="Segoe UI" w:eastAsia="Times New Roman" w:hAnsi="Segoe UI" w:cs="Segoe UI"/>
          <w:color w:val="212121"/>
        </w:rPr>
        <w:t xml:space="preserve">following each dialogue, </w:t>
      </w:r>
      <w:r w:rsidR="007E71D3">
        <w:rPr>
          <w:rFonts w:ascii="Segoe UI" w:eastAsia="Times New Roman" w:hAnsi="Segoe UI" w:cs="Segoe UI"/>
          <w:color w:val="212121"/>
        </w:rPr>
        <w:t>but</w:t>
      </w:r>
      <w:r w:rsidR="0067326C" w:rsidRPr="07DC1194">
        <w:rPr>
          <w:rFonts w:ascii="Segoe UI" w:eastAsia="Times New Roman" w:hAnsi="Segoe UI" w:cs="Segoe UI"/>
          <w:color w:val="212121"/>
        </w:rPr>
        <w:t xml:space="preserve"> these reports do not contain any policy recommendations for Government to consider. O</w:t>
      </w:r>
      <w:r w:rsidR="523C50DC" w:rsidRPr="07DC1194">
        <w:rPr>
          <w:rFonts w:ascii="Segoe UI" w:eastAsia="Times New Roman" w:hAnsi="Segoe UI" w:cs="Segoe UI"/>
          <w:color w:val="212121"/>
        </w:rPr>
        <w:t>ther than the relationships built du</w:t>
      </w:r>
      <w:r w:rsidR="48369426" w:rsidRPr="07DC1194">
        <w:rPr>
          <w:rFonts w:ascii="Segoe UI" w:eastAsia="Times New Roman" w:hAnsi="Segoe UI" w:cs="Segoe UI"/>
          <w:color w:val="212121"/>
        </w:rPr>
        <w:t>r</w:t>
      </w:r>
      <w:r w:rsidR="523C50DC" w:rsidRPr="07DC1194">
        <w:rPr>
          <w:rFonts w:ascii="Segoe UI" w:eastAsia="Times New Roman" w:hAnsi="Segoe UI" w:cs="Segoe UI"/>
          <w:color w:val="212121"/>
        </w:rPr>
        <w:t xml:space="preserve">ing the </w:t>
      </w:r>
      <w:r w:rsidR="466BF7E1" w:rsidRPr="07DC1194">
        <w:rPr>
          <w:rFonts w:ascii="Segoe UI" w:eastAsia="Times New Roman" w:hAnsi="Segoe UI" w:cs="Segoe UI"/>
          <w:color w:val="212121"/>
        </w:rPr>
        <w:t>dialogues</w:t>
      </w:r>
      <w:r w:rsidR="523C50DC" w:rsidRPr="07DC1194">
        <w:rPr>
          <w:rFonts w:ascii="Segoe UI" w:eastAsia="Times New Roman" w:hAnsi="Segoe UI" w:cs="Segoe UI"/>
          <w:color w:val="212121"/>
        </w:rPr>
        <w:t xml:space="preserve">, </w:t>
      </w:r>
      <w:r w:rsidR="61639BC2" w:rsidRPr="07DC1194">
        <w:rPr>
          <w:rFonts w:ascii="Segoe UI" w:eastAsia="Times New Roman" w:hAnsi="Segoe UI" w:cs="Segoe UI"/>
          <w:color w:val="212121"/>
        </w:rPr>
        <w:t xml:space="preserve">which </w:t>
      </w:r>
      <w:r w:rsidR="523C50DC" w:rsidRPr="07DC1194">
        <w:rPr>
          <w:rFonts w:ascii="Segoe UI" w:eastAsia="Times New Roman" w:hAnsi="Segoe UI" w:cs="Segoe UI"/>
          <w:color w:val="212121"/>
        </w:rPr>
        <w:t xml:space="preserve">have and will continue to benefit </w:t>
      </w:r>
      <w:r w:rsidR="75D337ED" w:rsidRPr="07DC1194">
        <w:rPr>
          <w:rFonts w:ascii="Segoe UI" w:eastAsia="Times New Roman" w:hAnsi="Segoe UI" w:cs="Segoe UI"/>
          <w:color w:val="212121"/>
        </w:rPr>
        <w:t xml:space="preserve">Australia’s engagement </w:t>
      </w:r>
      <w:r w:rsidR="4642F81B" w:rsidRPr="07DC1194">
        <w:rPr>
          <w:rFonts w:ascii="Segoe UI" w:eastAsia="Times New Roman" w:hAnsi="Segoe UI" w:cs="Segoe UI"/>
          <w:color w:val="212121"/>
        </w:rPr>
        <w:t>with</w:t>
      </w:r>
      <w:r w:rsidR="75D337ED" w:rsidRPr="07DC1194">
        <w:rPr>
          <w:rFonts w:ascii="Segoe UI" w:eastAsia="Times New Roman" w:hAnsi="Segoe UI" w:cs="Segoe UI"/>
          <w:color w:val="212121"/>
        </w:rPr>
        <w:t xml:space="preserve"> </w:t>
      </w:r>
      <w:r w:rsidR="76A2E7C9" w:rsidRPr="07DC1194">
        <w:rPr>
          <w:rFonts w:ascii="Segoe UI" w:eastAsia="Times New Roman" w:hAnsi="Segoe UI" w:cs="Segoe UI"/>
          <w:color w:val="212121"/>
        </w:rPr>
        <w:t>the</w:t>
      </w:r>
      <w:r w:rsidR="75D337ED" w:rsidRPr="07DC1194">
        <w:rPr>
          <w:rFonts w:ascii="Segoe UI" w:eastAsia="Times New Roman" w:hAnsi="Segoe UI" w:cs="Segoe UI"/>
          <w:color w:val="212121"/>
        </w:rPr>
        <w:t xml:space="preserve"> United State</w:t>
      </w:r>
      <w:r w:rsidR="5F68A4A5" w:rsidRPr="07DC1194">
        <w:rPr>
          <w:rFonts w:ascii="Segoe UI" w:eastAsia="Times New Roman" w:hAnsi="Segoe UI" w:cs="Segoe UI"/>
          <w:color w:val="212121"/>
        </w:rPr>
        <w:t>s</w:t>
      </w:r>
      <w:r w:rsidR="75D337ED" w:rsidRPr="07DC1194">
        <w:rPr>
          <w:rFonts w:ascii="Segoe UI" w:eastAsia="Times New Roman" w:hAnsi="Segoe UI" w:cs="Segoe UI"/>
          <w:color w:val="212121"/>
        </w:rPr>
        <w:t xml:space="preserve"> for decades to come, the</w:t>
      </w:r>
      <w:r w:rsidR="00D8431D" w:rsidRPr="07DC1194">
        <w:rPr>
          <w:rFonts w:ascii="Segoe UI" w:eastAsia="Times New Roman" w:hAnsi="Segoe UI" w:cs="Segoe UI"/>
          <w:color w:val="212121"/>
        </w:rPr>
        <w:t xml:space="preserve"> </w:t>
      </w:r>
      <w:r w:rsidR="75D337ED" w:rsidRPr="07DC1194">
        <w:rPr>
          <w:rFonts w:ascii="Segoe UI" w:eastAsia="Times New Roman" w:hAnsi="Segoe UI" w:cs="Segoe UI"/>
          <w:color w:val="212121"/>
        </w:rPr>
        <w:t>policy benefit</w:t>
      </w:r>
      <w:r w:rsidR="00D8431D" w:rsidRPr="07DC1194">
        <w:rPr>
          <w:rFonts w:ascii="Segoe UI" w:eastAsia="Times New Roman" w:hAnsi="Segoe UI" w:cs="Segoe UI"/>
          <w:color w:val="212121"/>
        </w:rPr>
        <w:t>s</w:t>
      </w:r>
      <w:r w:rsidR="75D337ED" w:rsidRPr="07DC1194">
        <w:rPr>
          <w:rFonts w:ascii="Segoe UI" w:eastAsia="Times New Roman" w:hAnsi="Segoe UI" w:cs="Segoe UI"/>
          <w:color w:val="212121"/>
        </w:rPr>
        <w:t xml:space="preserve"> gained</w:t>
      </w:r>
      <w:r w:rsidR="0067326C" w:rsidRPr="07DC1194">
        <w:rPr>
          <w:rFonts w:ascii="Segoe UI" w:eastAsia="Times New Roman" w:hAnsi="Segoe UI" w:cs="Segoe UI"/>
          <w:color w:val="212121"/>
        </w:rPr>
        <w:t xml:space="preserve"> from the Commonwealth’s significant investment in the AALD</w:t>
      </w:r>
      <w:r w:rsidR="00D8431D" w:rsidRPr="07DC1194">
        <w:rPr>
          <w:rFonts w:ascii="Segoe UI" w:eastAsia="Times New Roman" w:hAnsi="Segoe UI" w:cs="Segoe UI"/>
          <w:color w:val="212121"/>
        </w:rPr>
        <w:t xml:space="preserve"> need to be made clearer.</w:t>
      </w:r>
    </w:p>
    <w:p w14:paraId="06E46120" w14:textId="77777777" w:rsidR="66DEAEC9" w:rsidRPr="00963625" w:rsidRDefault="00D8431D"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One step which would help give the AALD a sharper policy focus would be for the Commonwealth Government to have observer status on the AALD board for as long as it receives substantial government funding.</w:t>
      </w:r>
      <w:r w:rsidR="75D337ED" w:rsidRPr="00963625">
        <w:rPr>
          <w:rFonts w:ascii="Segoe UI" w:eastAsia="Times New Roman" w:hAnsi="Segoe UI" w:cs="Segoe UI"/>
          <w:color w:val="212121"/>
        </w:rPr>
        <w:t xml:space="preserve"> </w:t>
      </w:r>
    </w:p>
    <w:p w14:paraId="06E46121" w14:textId="77777777" w:rsidR="00D8431D" w:rsidRPr="00963625" w:rsidRDefault="3300AD5E"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 xml:space="preserve">Those consulted who attended events, from both sides of </w:t>
      </w:r>
      <w:r w:rsidR="00DB6E0C" w:rsidRPr="00963625">
        <w:rPr>
          <w:rFonts w:ascii="Segoe UI" w:eastAsia="Times New Roman" w:hAnsi="Segoe UI" w:cs="Segoe UI"/>
          <w:color w:val="212121"/>
        </w:rPr>
        <w:t>politics</w:t>
      </w:r>
      <w:r w:rsidRPr="00963625">
        <w:rPr>
          <w:rFonts w:ascii="Segoe UI" w:eastAsia="Times New Roman" w:hAnsi="Segoe UI" w:cs="Segoe UI"/>
          <w:color w:val="212121"/>
        </w:rPr>
        <w:t>, found the</w:t>
      </w:r>
      <w:r w:rsidR="1BA78BDD" w:rsidRPr="00963625">
        <w:rPr>
          <w:rFonts w:ascii="Segoe UI" w:eastAsia="Times New Roman" w:hAnsi="Segoe UI" w:cs="Segoe UI"/>
          <w:color w:val="212121"/>
        </w:rPr>
        <w:t xml:space="preserve">m </w:t>
      </w:r>
      <w:r w:rsidRPr="00963625">
        <w:rPr>
          <w:rFonts w:ascii="Segoe UI" w:eastAsia="Times New Roman" w:hAnsi="Segoe UI" w:cs="Segoe UI"/>
          <w:color w:val="212121"/>
        </w:rPr>
        <w:t xml:space="preserve">valuable. </w:t>
      </w:r>
      <w:r w:rsidR="00D8431D" w:rsidRPr="00963625">
        <w:rPr>
          <w:rFonts w:ascii="Segoe UI" w:eastAsia="Times New Roman" w:hAnsi="Segoe UI" w:cs="Segoe UI"/>
          <w:color w:val="212121"/>
        </w:rPr>
        <w:t>There is no shortage of positive testimonials from past attendees.</w:t>
      </w:r>
      <w:r w:rsidR="009210B7" w:rsidRPr="00963625">
        <w:rPr>
          <w:rFonts w:ascii="Segoe UI" w:eastAsia="Times New Roman" w:hAnsi="Segoe UI" w:cs="Segoe UI"/>
          <w:color w:val="212121"/>
        </w:rPr>
        <w:t xml:space="preserve"> </w:t>
      </w:r>
      <w:r w:rsidR="00D8431D" w:rsidRPr="00963625">
        <w:rPr>
          <w:rFonts w:ascii="Segoe UI" w:eastAsia="Times New Roman" w:hAnsi="Segoe UI" w:cs="Segoe UI"/>
          <w:color w:val="212121"/>
        </w:rPr>
        <w:t xml:space="preserve">That said, my consultations also pointed to the need </w:t>
      </w:r>
      <w:r w:rsidR="03D2885B" w:rsidRPr="00963625">
        <w:rPr>
          <w:rFonts w:ascii="Segoe UI" w:eastAsia="Times New Roman" w:hAnsi="Segoe UI" w:cs="Segoe UI"/>
          <w:color w:val="212121"/>
        </w:rPr>
        <w:t xml:space="preserve">to increase the diversity of participants and </w:t>
      </w:r>
      <w:r w:rsidR="5C929960" w:rsidRPr="00963625">
        <w:rPr>
          <w:rFonts w:ascii="Segoe UI" w:eastAsia="Times New Roman" w:hAnsi="Segoe UI" w:cs="Segoe UI"/>
          <w:color w:val="212121"/>
        </w:rPr>
        <w:t>refresh attendee</w:t>
      </w:r>
      <w:r w:rsidR="00D8431D" w:rsidRPr="00963625">
        <w:rPr>
          <w:rFonts w:ascii="Segoe UI" w:eastAsia="Times New Roman" w:hAnsi="Segoe UI" w:cs="Segoe UI"/>
          <w:color w:val="212121"/>
        </w:rPr>
        <w:t xml:space="preserve"> lists</w:t>
      </w:r>
      <w:r w:rsidR="5C929960" w:rsidRPr="00963625">
        <w:rPr>
          <w:rFonts w:ascii="Segoe UI" w:eastAsia="Times New Roman" w:hAnsi="Segoe UI" w:cs="Segoe UI"/>
          <w:color w:val="212121"/>
        </w:rPr>
        <w:t xml:space="preserve">. </w:t>
      </w:r>
      <w:r w:rsidR="00D8431D" w:rsidRPr="00963625">
        <w:rPr>
          <w:rFonts w:ascii="Segoe UI" w:eastAsia="Times New Roman" w:hAnsi="Segoe UI" w:cs="Segoe UI"/>
          <w:color w:val="212121"/>
        </w:rPr>
        <w:t xml:space="preserve">Some thought attendance was </w:t>
      </w:r>
      <w:r w:rsidR="5C929960" w:rsidRPr="00963625">
        <w:rPr>
          <w:rFonts w:ascii="Segoe UI" w:eastAsia="Times New Roman" w:hAnsi="Segoe UI" w:cs="Segoe UI"/>
          <w:color w:val="212121"/>
        </w:rPr>
        <w:t xml:space="preserve">difficult to </w:t>
      </w:r>
      <w:r w:rsidR="28EC202D" w:rsidRPr="00963625">
        <w:rPr>
          <w:rFonts w:ascii="Segoe UI" w:eastAsia="Times New Roman" w:hAnsi="Segoe UI" w:cs="Segoe UI"/>
          <w:color w:val="212121"/>
        </w:rPr>
        <w:t>break into.</w:t>
      </w:r>
    </w:p>
    <w:p w14:paraId="06E46122" w14:textId="77777777" w:rsidR="007C5737" w:rsidRPr="00963625" w:rsidRDefault="007E71D3"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Taking gender as an example, t</w:t>
      </w:r>
      <w:r w:rsidR="001D1051" w:rsidRPr="00963625">
        <w:rPr>
          <w:rFonts w:ascii="Segoe UI" w:eastAsia="Times New Roman" w:hAnsi="Segoe UI" w:cs="Segoe UI"/>
          <w:color w:val="212121"/>
        </w:rPr>
        <w:t>he AALD’s flagship event – the AALD Forum</w:t>
      </w:r>
      <w:r w:rsidR="000F5D25" w:rsidRPr="00963625">
        <w:rPr>
          <w:rFonts w:ascii="Segoe UI" w:eastAsia="Times New Roman" w:hAnsi="Segoe UI" w:cs="Segoe UI"/>
          <w:color w:val="212121"/>
        </w:rPr>
        <w:t xml:space="preserve"> </w:t>
      </w:r>
      <w:r w:rsidR="001D1051" w:rsidRPr="00963625">
        <w:rPr>
          <w:rFonts w:ascii="Segoe UI" w:eastAsia="Times New Roman" w:hAnsi="Segoe UI" w:cs="Segoe UI"/>
          <w:color w:val="212121"/>
        </w:rPr>
        <w:t>– had around 40 per cent female representation overall</w:t>
      </w:r>
      <w:r w:rsidR="007C5737" w:rsidRPr="00963625">
        <w:rPr>
          <w:rFonts w:ascii="Segoe UI" w:eastAsia="Times New Roman" w:hAnsi="Segoe UI" w:cs="Segoe UI"/>
          <w:color w:val="212121"/>
        </w:rPr>
        <w:t xml:space="preserve"> in 2023</w:t>
      </w:r>
      <w:r w:rsidR="008E2F4C" w:rsidRPr="00963625">
        <w:rPr>
          <w:rFonts w:ascii="Segoe UI" w:eastAsia="Times New Roman" w:hAnsi="Segoe UI" w:cs="Segoe UI"/>
          <w:color w:val="212121"/>
        </w:rPr>
        <w:t xml:space="preserve">. However, this number drops down to around 30 per cent when Youth Leadership Dialogue </w:t>
      </w:r>
      <w:r w:rsidR="00B16464" w:rsidRPr="00963625">
        <w:rPr>
          <w:rFonts w:ascii="Segoe UI" w:eastAsia="Times New Roman" w:hAnsi="Segoe UI" w:cs="Segoe UI"/>
          <w:color w:val="212121"/>
        </w:rPr>
        <w:t xml:space="preserve">delegates </w:t>
      </w:r>
      <w:r w:rsidR="008E2F4C" w:rsidRPr="00963625">
        <w:rPr>
          <w:rFonts w:ascii="Segoe UI" w:eastAsia="Times New Roman" w:hAnsi="Segoe UI" w:cs="Segoe UI"/>
          <w:color w:val="212121"/>
        </w:rPr>
        <w:t>are excluded</w:t>
      </w:r>
      <w:r w:rsidR="001D1051" w:rsidRPr="00963625">
        <w:rPr>
          <w:rFonts w:ascii="Segoe UI" w:eastAsia="Times New Roman" w:hAnsi="Segoe UI" w:cs="Segoe UI"/>
          <w:color w:val="212121"/>
        </w:rPr>
        <w:t xml:space="preserve">. </w:t>
      </w:r>
      <w:r w:rsidR="008E2F4C" w:rsidRPr="00963625">
        <w:rPr>
          <w:rFonts w:ascii="Segoe UI" w:eastAsia="Times New Roman" w:hAnsi="Segoe UI" w:cs="Segoe UI"/>
          <w:color w:val="212121"/>
        </w:rPr>
        <w:t>Likewise</w:t>
      </w:r>
      <w:r w:rsidR="007C5737" w:rsidRPr="00963625">
        <w:rPr>
          <w:rFonts w:ascii="Segoe UI" w:eastAsia="Times New Roman" w:hAnsi="Segoe UI" w:cs="Segoe UI"/>
          <w:color w:val="212121"/>
        </w:rPr>
        <w:t>, female delegates only comprised 19</w:t>
      </w:r>
      <w:r w:rsidR="00134A39" w:rsidRPr="00963625">
        <w:rPr>
          <w:rFonts w:ascii="Segoe UI" w:eastAsia="Times New Roman" w:hAnsi="Segoe UI" w:cs="Segoe UI"/>
          <w:color w:val="212121"/>
        </w:rPr>
        <w:t> </w:t>
      </w:r>
      <w:r w:rsidR="007C5737" w:rsidRPr="00963625">
        <w:rPr>
          <w:rFonts w:ascii="Segoe UI" w:eastAsia="Times New Roman" w:hAnsi="Segoe UI" w:cs="Segoe UI"/>
          <w:color w:val="212121"/>
        </w:rPr>
        <w:t>per cent and 23</w:t>
      </w:r>
      <w:r w:rsidR="00B16464" w:rsidRPr="00963625">
        <w:rPr>
          <w:rFonts w:ascii="Segoe UI" w:eastAsia="Times New Roman" w:hAnsi="Segoe UI" w:cs="Segoe UI"/>
          <w:color w:val="212121"/>
        </w:rPr>
        <w:t> </w:t>
      </w:r>
      <w:r w:rsidR="007C5737" w:rsidRPr="00963625">
        <w:rPr>
          <w:rFonts w:ascii="Segoe UI" w:eastAsia="Times New Roman" w:hAnsi="Segoe UI" w:cs="Segoe UI"/>
          <w:color w:val="212121"/>
        </w:rPr>
        <w:t xml:space="preserve">per cent of delegates at the AALD’s Honolulu Dialogue and West Coast Leadership Dialogue in 2023. </w:t>
      </w:r>
      <w:r w:rsidR="00D8431D" w:rsidRPr="00963625">
        <w:rPr>
          <w:rFonts w:ascii="Segoe UI" w:eastAsia="Times New Roman" w:hAnsi="Segoe UI" w:cs="Segoe UI"/>
          <w:color w:val="212121"/>
        </w:rPr>
        <w:t>This imbalance no doubt partly reflects the character of the pool of potential attendees. T</w:t>
      </w:r>
      <w:r w:rsidR="007C5737" w:rsidRPr="00963625">
        <w:rPr>
          <w:rFonts w:ascii="Segoe UI" w:eastAsia="Times New Roman" w:hAnsi="Segoe UI" w:cs="Segoe UI"/>
          <w:color w:val="212121"/>
        </w:rPr>
        <w:t xml:space="preserve">he AALD should be credited for </w:t>
      </w:r>
      <w:r w:rsidR="009E7DAF" w:rsidRPr="00963625">
        <w:rPr>
          <w:rFonts w:ascii="Segoe UI" w:eastAsia="Times New Roman" w:hAnsi="Segoe UI" w:cs="Segoe UI"/>
          <w:color w:val="212121"/>
        </w:rPr>
        <w:t xml:space="preserve">the </w:t>
      </w:r>
      <w:r w:rsidR="368AC103" w:rsidRPr="00963625">
        <w:rPr>
          <w:rFonts w:ascii="Segoe UI" w:eastAsia="Times New Roman" w:hAnsi="Segoe UI" w:cs="Segoe UI"/>
          <w:color w:val="212121"/>
        </w:rPr>
        <w:t xml:space="preserve">diversity it has achieved in the </w:t>
      </w:r>
      <w:r w:rsidR="368AC103" w:rsidRPr="00963625">
        <w:rPr>
          <w:rFonts w:ascii="Segoe UI" w:eastAsia="Times New Roman" w:hAnsi="Segoe UI" w:cs="Segoe UI"/>
          <w:color w:val="212121"/>
        </w:rPr>
        <w:lastRenderedPageBreak/>
        <w:t xml:space="preserve">Youth Leadership Dialogue, but </w:t>
      </w:r>
      <w:r w:rsidR="00F834BF" w:rsidRPr="00963625">
        <w:rPr>
          <w:rFonts w:ascii="Segoe UI" w:eastAsia="Times New Roman" w:hAnsi="Segoe UI" w:cs="Segoe UI"/>
          <w:color w:val="212121"/>
        </w:rPr>
        <w:t>more</w:t>
      </w:r>
      <w:r w:rsidR="00D8431D" w:rsidRPr="00963625">
        <w:rPr>
          <w:rFonts w:ascii="Segoe UI" w:eastAsia="Times New Roman" w:hAnsi="Segoe UI" w:cs="Segoe UI"/>
          <w:color w:val="212121"/>
        </w:rPr>
        <w:t xml:space="preserve"> effort is needed to replicate this diversity </w:t>
      </w:r>
      <w:r w:rsidR="368AC103" w:rsidRPr="00963625">
        <w:rPr>
          <w:rFonts w:ascii="Segoe UI" w:eastAsia="Times New Roman" w:hAnsi="Segoe UI" w:cs="Segoe UI"/>
          <w:color w:val="212121"/>
        </w:rPr>
        <w:t xml:space="preserve">across its </w:t>
      </w:r>
      <w:r w:rsidR="009E7DAF" w:rsidRPr="00963625">
        <w:rPr>
          <w:rFonts w:ascii="Segoe UI" w:eastAsia="Times New Roman" w:hAnsi="Segoe UI" w:cs="Segoe UI"/>
          <w:color w:val="212121"/>
        </w:rPr>
        <w:t xml:space="preserve">other </w:t>
      </w:r>
      <w:r w:rsidR="368AC103" w:rsidRPr="00963625">
        <w:rPr>
          <w:rFonts w:ascii="Segoe UI" w:eastAsia="Times New Roman" w:hAnsi="Segoe UI" w:cs="Segoe UI"/>
          <w:color w:val="212121"/>
        </w:rPr>
        <w:t>programs.</w:t>
      </w:r>
    </w:p>
    <w:p w14:paraId="06E46123" w14:textId="77777777" w:rsidR="00D8431D" w:rsidRPr="00963625" w:rsidRDefault="00D8431D"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 xml:space="preserve">The underlying model of the AALD as a creative initiative in private diplomacy </w:t>
      </w:r>
      <w:r w:rsidR="00A72CCF" w:rsidRPr="00963625">
        <w:rPr>
          <w:rFonts w:ascii="Segoe UI" w:eastAsia="Times New Roman" w:hAnsi="Segoe UI" w:cs="Segoe UI"/>
          <w:color w:val="212121"/>
        </w:rPr>
        <w:t xml:space="preserve">was ground breaking and </w:t>
      </w:r>
      <w:r w:rsidRPr="00963625">
        <w:rPr>
          <w:rFonts w:ascii="Segoe UI" w:eastAsia="Times New Roman" w:hAnsi="Segoe UI" w:cs="Segoe UI"/>
          <w:color w:val="212121"/>
        </w:rPr>
        <w:t>is to be commended.</w:t>
      </w:r>
      <w:r w:rsidR="009210B7" w:rsidRPr="00963625">
        <w:rPr>
          <w:rFonts w:ascii="Segoe UI" w:eastAsia="Times New Roman" w:hAnsi="Segoe UI" w:cs="Segoe UI"/>
          <w:color w:val="212121"/>
        </w:rPr>
        <w:t xml:space="preserve"> </w:t>
      </w:r>
      <w:r w:rsidRPr="00963625">
        <w:rPr>
          <w:rFonts w:ascii="Segoe UI" w:eastAsia="Times New Roman" w:hAnsi="Segoe UI" w:cs="Segoe UI"/>
          <w:color w:val="212121"/>
        </w:rPr>
        <w:t>Attempts to replicate it in other bilateral relationships have had limited success.</w:t>
      </w:r>
      <w:r w:rsidR="009210B7" w:rsidRPr="00963625">
        <w:rPr>
          <w:rFonts w:ascii="Segoe UI" w:eastAsia="Times New Roman" w:hAnsi="Segoe UI" w:cs="Segoe UI"/>
          <w:color w:val="212121"/>
        </w:rPr>
        <w:t xml:space="preserve"> </w:t>
      </w:r>
      <w:r w:rsidRPr="00963625">
        <w:rPr>
          <w:rFonts w:ascii="Segoe UI" w:eastAsia="Times New Roman" w:hAnsi="Segoe UI" w:cs="Segoe UI"/>
          <w:color w:val="212121"/>
        </w:rPr>
        <w:t xml:space="preserve">Deepening personal networks, </w:t>
      </w:r>
      <w:r w:rsidR="5FF41F6D" w:rsidRPr="00963625">
        <w:rPr>
          <w:rFonts w:ascii="Segoe UI" w:eastAsia="Times New Roman" w:hAnsi="Segoe UI" w:cs="Segoe UI"/>
          <w:color w:val="212121"/>
        </w:rPr>
        <w:t>debates and discussion</w:t>
      </w:r>
      <w:r w:rsidR="1933FFE3" w:rsidRPr="00963625">
        <w:rPr>
          <w:rFonts w:ascii="Segoe UI" w:eastAsia="Times New Roman" w:hAnsi="Segoe UI" w:cs="Segoe UI"/>
          <w:color w:val="212121"/>
        </w:rPr>
        <w:t xml:space="preserve"> </w:t>
      </w:r>
      <w:r w:rsidR="009A0FFC" w:rsidRPr="00963625">
        <w:rPr>
          <w:rFonts w:ascii="Segoe UI" w:eastAsia="Times New Roman" w:hAnsi="Segoe UI" w:cs="Segoe UI"/>
          <w:color w:val="212121"/>
        </w:rPr>
        <w:t xml:space="preserve">with our key ally </w:t>
      </w:r>
      <w:r w:rsidR="5FF41F6D" w:rsidRPr="00963625">
        <w:rPr>
          <w:rFonts w:ascii="Segoe UI" w:eastAsia="Times New Roman" w:hAnsi="Segoe UI" w:cs="Segoe UI"/>
          <w:color w:val="212121"/>
        </w:rPr>
        <w:t xml:space="preserve">can only be positive </w:t>
      </w:r>
      <w:r w:rsidR="2B142D3B" w:rsidRPr="00963625">
        <w:rPr>
          <w:rFonts w:ascii="Segoe UI" w:eastAsia="Times New Roman" w:hAnsi="Segoe UI" w:cs="Segoe UI"/>
          <w:color w:val="212121"/>
        </w:rPr>
        <w:t xml:space="preserve">for our </w:t>
      </w:r>
      <w:r w:rsidR="009A0FFC" w:rsidRPr="00963625">
        <w:rPr>
          <w:rFonts w:ascii="Segoe UI" w:eastAsia="Times New Roman" w:hAnsi="Segoe UI" w:cs="Segoe UI"/>
          <w:color w:val="212121"/>
        </w:rPr>
        <w:t>national security.</w:t>
      </w:r>
    </w:p>
    <w:p w14:paraId="06E46124" w14:textId="77777777" w:rsidR="5EE7C16B" w:rsidRPr="00963625" w:rsidRDefault="00D8431D"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It is nevertheless curious that an initiative which for over thirty years has been rightly portrayed as a unique exercise in private diplomacy should now find itself dependent on Government funding.</w:t>
      </w:r>
      <w:r w:rsidR="009210B7" w:rsidRPr="00963625">
        <w:rPr>
          <w:rFonts w:ascii="Segoe UI" w:eastAsia="Times New Roman" w:hAnsi="Segoe UI" w:cs="Segoe UI"/>
          <w:color w:val="212121"/>
        </w:rPr>
        <w:t xml:space="preserve"> </w:t>
      </w:r>
      <w:r w:rsidRPr="00963625">
        <w:rPr>
          <w:rFonts w:ascii="Segoe UI" w:eastAsia="Times New Roman" w:hAnsi="Segoe UI" w:cs="Segoe UI"/>
          <w:color w:val="212121"/>
        </w:rPr>
        <w:t>At the very least any continuation of public funding should be contingent on a matching contribution from the US Government and on stronger support from the private sector.</w:t>
      </w:r>
      <w:r w:rsidR="009210B7" w:rsidRPr="00963625">
        <w:rPr>
          <w:rFonts w:ascii="Segoe UI" w:eastAsia="Times New Roman" w:hAnsi="Segoe UI" w:cs="Segoe UI"/>
          <w:color w:val="212121"/>
        </w:rPr>
        <w:t xml:space="preserve"> </w:t>
      </w:r>
      <w:r w:rsidR="2B142D3B" w:rsidRPr="00963625">
        <w:rPr>
          <w:rFonts w:ascii="Segoe UI" w:eastAsia="Times New Roman" w:hAnsi="Segoe UI" w:cs="Segoe UI"/>
          <w:color w:val="212121"/>
        </w:rPr>
        <w:t xml:space="preserve"> </w:t>
      </w:r>
      <w:r w:rsidR="5E49D0A8" w:rsidRPr="00963625">
        <w:rPr>
          <w:rFonts w:ascii="Segoe UI" w:eastAsia="Times New Roman" w:hAnsi="Segoe UI" w:cs="Segoe UI"/>
          <w:color w:val="212121"/>
        </w:rPr>
        <w:t xml:space="preserve">This will </w:t>
      </w:r>
      <w:r w:rsidR="104DCE44" w:rsidRPr="00963625">
        <w:rPr>
          <w:rFonts w:ascii="Segoe UI" w:eastAsia="Times New Roman" w:hAnsi="Segoe UI" w:cs="Segoe UI"/>
          <w:color w:val="212121"/>
        </w:rPr>
        <w:t>help</w:t>
      </w:r>
      <w:r w:rsidR="5E49D0A8" w:rsidRPr="00963625">
        <w:rPr>
          <w:rFonts w:ascii="Segoe UI" w:eastAsia="Times New Roman" w:hAnsi="Segoe UI" w:cs="Segoe UI"/>
          <w:color w:val="212121"/>
        </w:rPr>
        <w:t xml:space="preserve"> ensure the </w:t>
      </w:r>
      <w:r w:rsidR="141B980D" w:rsidRPr="00963625">
        <w:rPr>
          <w:rFonts w:ascii="Segoe UI" w:eastAsia="Times New Roman" w:hAnsi="Segoe UI" w:cs="Segoe UI"/>
          <w:color w:val="212121"/>
        </w:rPr>
        <w:t>AALD remains a</w:t>
      </w:r>
      <w:r w:rsidRPr="00963625">
        <w:rPr>
          <w:rFonts w:ascii="Segoe UI" w:eastAsia="Times New Roman" w:hAnsi="Segoe UI" w:cs="Segoe UI"/>
          <w:color w:val="212121"/>
        </w:rPr>
        <w:t xml:space="preserve">n effective </w:t>
      </w:r>
      <w:r w:rsidR="141B980D" w:rsidRPr="00963625">
        <w:rPr>
          <w:rFonts w:ascii="Segoe UI" w:eastAsia="Times New Roman" w:hAnsi="Segoe UI" w:cs="Segoe UI"/>
          <w:color w:val="212121"/>
        </w:rPr>
        <w:t xml:space="preserve">forum in both countries, with delegates representing </w:t>
      </w:r>
      <w:r w:rsidR="7ACD4C17" w:rsidRPr="00963625">
        <w:rPr>
          <w:rFonts w:ascii="Segoe UI" w:eastAsia="Times New Roman" w:hAnsi="Segoe UI" w:cs="Segoe UI"/>
          <w:color w:val="212121"/>
        </w:rPr>
        <w:t xml:space="preserve">a cross-section of influential </w:t>
      </w:r>
      <w:r w:rsidR="141B980D" w:rsidRPr="00963625">
        <w:rPr>
          <w:rFonts w:ascii="Segoe UI" w:eastAsia="Times New Roman" w:hAnsi="Segoe UI" w:cs="Segoe UI"/>
          <w:color w:val="212121"/>
        </w:rPr>
        <w:t>government, business, and academi</w:t>
      </w:r>
      <w:r w:rsidR="4BF45F2B" w:rsidRPr="00963625">
        <w:rPr>
          <w:rFonts w:ascii="Segoe UI" w:eastAsia="Times New Roman" w:hAnsi="Segoe UI" w:cs="Segoe UI"/>
          <w:color w:val="212121"/>
        </w:rPr>
        <w:t>c leaders, current and emerging</w:t>
      </w:r>
      <w:r w:rsidR="141B980D" w:rsidRPr="00963625">
        <w:rPr>
          <w:rFonts w:ascii="Segoe UI" w:eastAsia="Times New Roman" w:hAnsi="Segoe UI" w:cs="Segoe UI"/>
          <w:color w:val="212121"/>
        </w:rPr>
        <w:t>.</w:t>
      </w:r>
    </w:p>
    <w:p w14:paraId="06E46125" w14:textId="77777777" w:rsidR="00B506A8" w:rsidRDefault="00B506A8" w:rsidP="00B506A8">
      <w:pPr>
        <w:pStyle w:val="BOXHeading3"/>
        <w:spacing w:after="80"/>
      </w:pPr>
      <w:r>
        <w:t>Recommendation 1</w:t>
      </w:r>
      <w:r w:rsidR="00017D9C">
        <w:t>4</w:t>
      </w:r>
    </w:p>
    <w:p w14:paraId="06E46126" w14:textId="77777777" w:rsidR="00B506A8" w:rsidRDefault="00B506A8" w:rsidP="00B506A8">
      <w:pPr>
        <w:pStyle w:val="BOXText"/>
        <w:spacing w:after="80"/>
        <w:rPr>
          <w:rFonts w:ascii="Segoe UI" w:eastAsia="Times New Roman" w:hAnsi="Segoe UI" w:cs="Segoe UI"/>
          <w:color w:val="212121"/>
        </w:rPr>
      </w:pPr>
      <w:r w:rsidRPr="004117D3">
        <w:rPr>
          <w:rFonts w:ascii="Segoe UI" w:eastAsia="Times New Roman" w:hAnsi="Segoe UI" w:cs="Segoe UI"/>
          <w:color w:val="212121"/>
        </w:rPr>
        <w:t>At the conclusion of the existing grant to the AALD in 2027</w:t>
      </w:r>
      <w:r w:rsidR="007959C0">
        <w:rPr>
          <w:rFonts w:ascii="Segoe UI" w:eastAsia="Times New Roman" w:hAnsi="Segoe UI" w:cs="Segoe UI"/>
          <w:color w:val="212121"/>
        </w:rPr>
        <w:t>-</w:t>
      </w:r>
      <w:r w:rsidR="005F430C">
        <w:rPr>
          <w:rFonts w:ascii="Segoe UI" w:eastAsia="Times New Roman" w:hAnsi="Segoe UI" w:cs="Segoe UI"/>
          <w:color w:val="212121"/>
        </w:rPr>
        <w:t>28</w:t>
      </w:r>
      <w:r w:rsidRPr="004117D3">
        <w:rPr>
          <w:rFonts w:ascii="Segoe UI" w:eastAsia="Times New Roman" w:hAnsi="Segoe UI" w:cs="Segoe UI"/>
          <w:color w:val="212121"/>
        </w:rPr>
        <w:t>, the Government</w:t>
      </w:r>
      <w:r>
        <w:rPr>
          <w:rFonts w:ascii="Segoe UI" w:eastAsia="Times New Roman" w:hAnsi="Segoe UI" w:cs="Segoe UI"/>
          <w:color w:val="212121"/>
        </w:rPr>
        <w:t xml:space="preserve"> should</w:t>
      </w:r>
      <w:r w:rsidRPr="004117D3">
        <w:rPr>
          <w:rFonts w:ascii="Segoe UI" w:eastAsia="Times New Roman" w:hAnsi="Segoe UI" w:cs="Segoe UI"/>
          <w:color w:val="212121"/>
        </w:rPr>
        <w:t xml:space="preserve"> review its funding and make any further funding contingent on a </w:t>
      </w:r>
      <w:r>
        <w:rPr>
          <w:rFonts w:ascii="Segoe UI" w:eastAsia="Times New Roman" w:hAnsi="Segoe UI" w:cs="Segoe UI"/>
          <w:color w:val="212121"/>
        </w:rPr>
        <w:t xml:space="preserve">matching </w:t>
      </w:r>
      <w:r w:rsidRPr="004117D3">
        <w:rPr>
          <w:rFonts w:ascii="Segoe UI" w:eastAsia="Times New Roman" w:hAnsi="Segoe UI" w:cs="Segoe UI"/>
          <w:color w:val="212121"/>
        </w:rPr>
        <w:t>co-contribution from the US Government a</w:t>
      </w:r>
      <w:r>
        <w:rPr>
          <w:rFonts w:ascii="Segoe UI" w:eastAsia="Times New Roman" w:hAnsi="Segoe UI" w:cs="Segoe UI"/>
          <w:color w:val="212121"/>
        </w:rPr>
        <w:t xml:space="preserve">s well </w:t>
      </w:r>
      <w:r w:rsidRPr="004117D3">
        <w:rPr>
          <w:rFonts w:ascii="Segoe UI" w:eastAsia="Times New Roman" w:hAnsi="Segoe UI" w:cs="Segoe UI"/>
          <w:color w:val="212121"/>
        </w:rPr>
        <w:t>a</w:t>
      </w:r>
      <w:r>
        <w:rPr>
          <w:rFonts w:ascii="Segoe UI" w:eastAsia="Times New Roman" w:hAnsi="Segoe UI" w:cs="Segoe UI"/>
          <w:color w:val="212121"/>
        </w:rPr>
        <w:t>s</w:t>
      </w:r>
      <w:r w:rsidRPr="004117D3">
        <w:rPr>
          <w:rFonts w:ascii="Segoe UI" w:eastAsia="Times New Roman" w:hAnsi="Segoe UI" w:cs="Segoe UI"/>
          <w:color w:val="212121"/>
        </w:rPr>
        <w:t xml:space="preserve"> </w:t>
      </w:r>
      <w:r>
        <w:rPr>
          <w:rFonts w:ascii="Segoe UI" w:eastAsia="Times New Roman" w:hAnsi="Segoe UI" w:cs="Segoe UI"/>
          <w:color w:val="212121"/>
        </w:rPr>
        <w:t xml:space="preserve">a </w:t>
      </w:r>
      <w:r w:rsidRPr="004117D3">
        <w:rPr>
          <w:rFonts w:ascii="Segoe UI" w:eastAsia="Times New Roman" w:hAnsi="Segoe UI" w:cs="Segoe UI"/>
          <w:color w:val="212121"/>
        </w:rPr>
        <w:t>substantial contribution from the private sector.</w:t>
      </w:r>
    </w:p>
    <w:p w14:paraId="06E46127" w14:textId="77777777" w:rsidR="00C7202C" w:rsidRDefault="00C7202C">
      <w:pPr>
        <w:spacing w:after="200" w:line="288" w:lineRule="auto"/>
        <w:rPr>
          <w:rFonts w:asciiTheme="majorHAnsi" w:eastAsiaTheme="majorEastAsia" w:hAnsiTheme="majorHAnsi" w:cstheme="majorBidi"/>
          <w:b/>
          <w:color w:val="092B57" w:themeColor="accent1"/>
          <w:sz w:val="48"/>
          <w:szCs w:val="40"/>
        </w:rPr>
      </w:pPr>
      <w:bookmarkStart w:id="122" w:name="_Toc170307518"/>
      <w:bookmarkStart w:id="123" w:name="_Toc170383182"/>
      <w:bookmarkStart w:id="124" w:name="_Toc170980563"/>
      <w:bookmarkStart w:id="125" w:name="_Toc171004277"/>
      <w:bookmarkStart w:id="126" w:name="_Toc171074999"/>
      <w:r>
        <w:br w:type="page"/>
      </w:r>
    </w:p>
    <w:p w14:paraId="06E46128" w14:textId="77777777" w:rsidR="00C906D3" w:rsidRPr="00752A8B" w:rsidRDefault="00DB26D4" w:rsidP="69C3BF8E">
      <w:pPr>
        <w:pStyle w:val="Heading1"/>
        <w:rPr>
          <w:rFonts w:cs="Segoe UI"/>
          <w:b w:val="0"/>
          <w:bCs/>
          <w:sz w:val="40"/>
        </w:rPr>
      </w:pPr>
      <w:bookmarkStart w:id="127" w:name="_Toc172665606"/>
      <w:r>
        <w:lastRenderedPageBreak/>
        <w:t xml:space="preserve">Chapter </w:t>
      </w:r>
      <w:r w:rsidR="001544C5">
        <w:t>Three</w:t>
      </w:r>
      <w:r w:rsidR="7EAA5CEF" w:rsidRPr="00B94CDD">
        <w:t xml:space="preserve">: </w:t>
      </w:r>
      <w:r w:rsidR="7A3A04CC" w:rsidRPr="00B94CDD">
        <w:t xml:space="preserve">Options </w:t>
      </w:r>
      <w:r w:rsidR="6628A851" w:rsidRPr="00B94CDD">
        <w:t xml:space="preserve">to </w:t>
      </w:r>
      <w:r w:rsidR="00EE1891">
        <w:t>B</w:t>
      </w:r>
      <w:r w:rsidR="6628A851" w:rsidRPr="00B94CDD">
        <w:t xml:space="preserve">uild the </w:t>
      </w:r>
      <w:r w:rsidR="00EE1891">
        <w:t>S</w:t>
      </w:r>
      <w:r w:rsidR="6628A851" w:rsidRPr="00B94CDD">
        <w:t>ector</w:t>
      </w:r>
      <w:bookmarkEnd w:id="122"/>
      <w:bookmarkEnd w:id="123"/>
      <w:bookmarkEnd w:id="124"/>
      <w:bookmarkEnd w:id="125"/>
      <w:bookmarkEnd w:id="126"/>
      <w:bookmarkEnd w:id="127"/>
      <w:r w:rsidR="7A3A04CC" w:rsidRPr="00B94CDD">
        <w:t xml:space="preserve"> </w:t>
      </w:r>
    </w:p>
    <w:p w14:paraId="06E46129" w14:textId="77777777" w:rsidR="00C906D3" w:rsidRPr="00752A8B" w:rsidRDefault="175C295C" w:rsidP="00C906D3">
      <w:pPr>
        <w:pStyle w:val="Heading2"/>
        <w:rPr>
          <w:rFonts w:cs="Segoe UI"/>
          <w:sz w:val="32"/>
          <w:szCs w:val="32"/>
        </w:rPr>
      </w:pPr>
      <w:bookmarkStart w:id="128" w:name="_Toc170307519"/>
      <w:bookmarkStart w:id="129" w:name="_Toc170383183"/>
      <w:bookmarkStart w:id="130" w:name="_Toc170980564"/>
      <w:bookmarkStart w:id="131" w:name="_Toc171004278"/>
      <w:bookmarkStart w:id="132" w:name="_Toc171075000"/>
      <w:bookmarkStart w:id="133" w:name="_Toc172665607"/>
      <w:r w:rsidRPr="0D1B1735">
        <w:rPr>
          <w:rFonts w:cs="Segoe UI"/>
          <w:sz w:val="32"/>
          <w:szCs w:val="32"/>
        </w:rPr>
        <w:t xml:space="preserve">The </w:t>
      </w:r>
      <w:r w:rsidR="00914935">
        <w:rPr>
          <w:rFonts w:cs="Segoe UI"/>
          <w:sz w:val="32"/>
          <w:szCs w:val="32"/>
        </w:rPr>
        <w:t>social licence challenge</w:t>
      </w:r>
      <w:bookmarkEnd w:id="128"/>
      <w:bookmarkEnd w:id="129"/>
      <w:bookmarkEnd w:id="130"/>
      <w:bookmarkEnd w:id="131"/>
      <w:bookmarkEnd w:id="132"/>
      <w:bookmarkEnd w:id="133"/>
    </w:p>
    <w:p w14:paraId="06E4612A" w14:textId="77777777" w:rsidR="00914935" w:rsidRDefault="00914935"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This Review does not recommend an urgent increase in funding to the sector</w:t>
      </w:r>
      <w:r w:rsidR="007E71D3">
        <w:rPr>
          <w:rFonts w:ascii="Segoe UI" w:eastAsia="Times New Roman" w:hAnsi="Segoe UI" w:cs="Segoe UI"/>
          <w:color w:val="212121"/>
        </w:rPr>
        <w:t>, b</w:t>
      </w:r>
      <w:r>
        <w:rPr>
          <w:rFonts w:ascii="Segoe UI" w:eastAsia="Times New Roman" w:hAnsi="Segoe UI" w:cs="Segoe UI"/>
          <w:color w:val="212121"/>
        </w:rPr>
        <w:t xml:space="preserve">ut I have set out options for increased funding should this or future </w:t>
      </w:r>
      <w:r w:rsidR="00731D82">
        <w:rPr>
          <w:rFonts w:ascii="Segoe UI" w:eastAsia="Times New Roman" w:hAnsi="Segoe UI" w:cs="Segoe UI"/>
          <w:color w:val="212121"/>
        </w:rPr>
        <w:t>g</w:t>
      </w:r>
      <w:r>
        <w:rPr>
          <w:rFonts w:ascii="Segoe UI" w:eastAsia="Times New Roman" w:hAnsi="Segoe UI" w:cs="Segoe UI"/>
          <w:color w:val="212121"/>
        </w:rPr>
        <w:t>overnments wish to go down this path in the medium to long term.</w:t>
      </w:r>
      <w:r w:rsidR="009210B7">
        <w:rPr>
          <w:rFonts w:ascii="Segoe UI" w:eastAsia="Times New Roman" w:hAnsi="Segoe UI" w:cs="Segoe UI"/>
          <w:color w:val="212121"/>
        </w:rPr>
        <w:t xml:space="preserve"> </w:t>
      </w:r>
      <w:r>
        <w:rPr>
          <w:rFonts w:ascii="Segoe UI" w:eastAsia="Times New Roman" w:hAnsi="Segoe UI" w:cs="Segoe UI"/>
          <w:color w:val="212121"/>
        </w:rPr>
        <w:t>These options are relatively modest.</w:t>
      </w:r>
      <w:r w:rsidR="009210B7">
        <w:rPr>
          <w:rFonts w:ascii="Segoe UI" w:eastAsia="Times New Roman" w:hAnsi="Segoe UI" w:cs="Segoe UI"/>
          <w:color w:val="212121"/>
        </w:rPr>
        <w:t xml:space="preserve"> </w:t>
      </w:r>
      <w:r>
        <w:rPr>
          <w:rFonts w:ascii="Segoe UI" w:eastAsia="Times New Roman" w:hAnsi="Segoe UI" w:cs="Segoe UI"/>
          <w:color w:val="212121"/>
        </w:rPr>
        <w:t>They would take funding to the sector from the current $</w:t>
      </w:r>
      <w:r w:rsidR="001260ED">
        <w:rPr>
          <w:rFonts w:ascii="Segoe UI" w:eastAsia="Times New Roman" w:hAnsi="Segoe UI" w:cs="Segoe UI"/>
          <w:color w:val="212121"/>
        </w:rPr>
        <w:t>4</w:t>
      </w:r>
      <w:r>
        <w:rPr>
          <w:rFonts w:ascii="Segoe UI" w:eastAsia="Times New Roman" w:hAnsi="Segoe UI" w:cs="Segoe UI"/>
          <w:color w:val="212121"/>
        </w:rPr>
        <w:t>0 million per annum to $</w:t>
      </w:r>
      <w:r w:rsidR="001260ED">
        <w:rPr>
          <w:rFonts w:ascii="Segoe UI" w:eastAsia="Times New Roman" w:hAnsi="Segoe UI" w:cs="Segoe UI"/>
          <w:color w:val="212121"/>
        </w:rPr>
        <w:t>5</w:t>
      </w:r>
      <w:r>
        <w:rPr>
          <w:rFonts w:ascii="Segoe UI" w:eastAsia="Times New Roman" w:hAnsi="Segoe UI" w:cs="Segoe UI"/>
          <w:color w:val="212121"/>
        </w:rPr>
        <w:t>0 million.</w:t>
      </w:r>
    </w:p>
    <w:p w14:paraId="06E4612B" w14:textId="77777777" w:rsidR="00914935" w:rsidRDefault="00914935"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Pr>
          <w:rFonts w:ascii="Segoe UI" w:eastAsia="Times New Roman" w:hAnsi="Segoe UI" w:cs="Segoe UI"/>
          <w:color w:val="212121"/>
        </w:rPr>
        <w:t>The strongest arguments in favour of considering a bigger investment in the sector relate to current expertise gaps and</w:t>
      </w:r>
      <w:r w:rsidR="00473055">
        <w:rPr>
          <w:rFonts w:ascii="Segoe UI" w:eastAsia="Times New Roman" w:hAnsi="Segoe UI" w:cs="Segoe UI"/>
          <w:color w:val="212121"/>
        </w:rPr>
        <w:t>,</w:t>
      </w:r>
      <w:r>
        <w:rPr>
          <w:rFonts w:ascii="Segoe UI" w:eastAsia="Times New Roman" w:hAnsi="Segoe UI" w:cs="Segoe UI"/>
          <w:color w:val="212121"/>
        </w:rPr>
        <w:t xml:space="preserve"> perhaps more important, how to build and then hold a social licence for greater expenditure on defence and national security.</w:t>
      </w:r>
    </w:p>
    <w:p w14:paraId="06E4612C" w14:textId="77777777" w:rsidR="00914935" w:rsidRPr="00963625" w:rsidRDefault="00914935"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A recent poll conducted by Lowy is quite telling in this regard. It found support for an increase in defence spending dropped by ten points to 41 per cent in 2023 compared to when Lowy last asked the question in 2022</w:t>
      </w:r>
      <w:r w:rsidR="00B16464" w:rsidRPr="007E71D3">
        <w:rPr>
          <w:rFonts w:eastAsia="Times New Roman"/>
          <w:color w:val="212121"/>
          <w:vertAlign w:val="superscript"/>
        </w:rPr>
        <w:footnoteReference w:id="8"/>
      </w:r>
      <w:r w:rsidR="007E71D3">
        <w:rPr>
          <w:rFonts w:ascii="Segoe UI" w:eastAsia="Times New Roman" w:hAnsi="Segoe UI" w:cs="Segoe UI"/>
          <w:color w:val="212121"/>
        </w:rPr>
        <w:t>, despite</w:t>
      </w:r>
      <w:r w:rsidRPr="00963625">
        <w:rPr>
          <w:rFonts w:ascii="Segoe UI" w:eastAsia="Times New Roman" w:hAnsi="Segoe UI" w:cs="Segoe UI"/>
          <w:color w:val="212121"/>
        </w:rPr>
        <w:t xml:space="preserve"> Australia fac</w:t>
      </w:r>
      <w:r w:rsidR="007E71D3">
        <w:rPr>
          <w:rFonts w:ascii="Segoe UI" w:eastAsia="Times New Roman" w:hAnsi="Segoe UI" w:cs="Segoe UI"/>
          <w:color w:val="212121"/>
        </w:rPr>
        <w:t>ing</w:t>
      </w:r>
      <w:r w:rsidRPr="00963625">
        <w:rPr>
          <w:rFonts w:ascii="Segoe UI" w:eastAsia="Times New Roman" w:hAnsi="Segoe UI" w:cs="Segoe UI"/>
          <w:color w:val="212121"/>
        </w:rPr>
        <w:t xml:space="preserve"> its most uncertain strategic outlook since the </w:t>
      </w:r>
      <w:r w:rsidR="001544C5" w:rsidRPr="00963625">
        <w:rPr>
          <w:rFonts w:ascii="Segoe UI" w:eastAsia="Times New Roman" w:hAnsi="Segoe UI" w:cs="Segoe UI"/>
          <w:color w:val="212121"/>
        </w:rPr>
        <w:t>Second World War</w:t>
      </w:r>
      <w:r w:rsidRPr="00963625">
        <w:rPr>
          <w:rFonts w:ascii="Segoe UI" w:eastAsia="Times New Roman" w:hAnsi="Segoe UI" w:cs="Segoe UI"/>
          <w:color w:val="212121"/>
        </w:rPr>
        <w:t>.</w:t>
      </w:r>
    </w:p>
    <w:p w14:paraId="06E4612D" w14:textId="77777777" w:rsidR="7E5910DA" w:rsidRDefault="00914935"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Think tanks can help build social licence by contributing an independent voice on the rising strategic and security challenges facing Australia.</w:t>
      </w:r>
      <w:r w:rsidR="009210B7" w:rsidRPr="00963625">
        <w:rPr>
          <w:rFonts w:ascii="Segoe UI" w:eastAsia="Times New Roman" w:hAnsi="Segoe UI" w:cs="Segoe UI"/>
          <w:color w:val="212121"/>
        </w:rPr>
        <w:t xml:space="preserve"> </w:t>
      </w:r>
      <w:r w:rsidR="7E5910DA" w:rsidRPr="465CA31F">
        <w:rPr>
          <w:rFonts w:ascii="Segoe UI" w:eastAsia="Times New Roman" w:hAnsi="Segoe UI" w:cs="Segoe UI"/>
          <w:color w:val="212121"/>
        </w:rPr>
        <w:t xml:space="preserve">The sector’s critical role will only become more important as governments wrestle with raising public spending on defence and national security when other calls on the budget will also intensify. A sustainable consensus on national security expenditure demands a deeper understanding in the community about the security challenges facing Australia. Maintaining a relatively modest investment in think tanks and commissioned strategic policy analysis can help facilitate </w:t>
      </w:r>
      <w:r w:rsidRPr="465CA31F">
        <w:rPr>
          <w:rFonts w:ascii="Segoe UI" w:eastAsia="Times New Roman" w:hAnsi="Segoe UI" w:cs="Segoe UI"/>
          <w:color w:val="212121"/>
        </w:rPr>
        <w:t>this</w:t>
      </w:r>
      <w:r w:rsidR="7E5910DA" w:rsidRPr="465CA31F">
        <w:rPr>
          <w:rFonts w:ascii="Segoe UI" w:eastAsia="Times New Roman" w:hAnsi="Segoe UI" w:cs="Segoe UI"/>
          <w:color w:val="212121"/>
        </w:rPr>
        <w:t>.</w:t>
      </w:r>
    </w:p>
    <w:p w14:paraId="06E4612E" w14:textId="77777777" w:rsidR="003C1F3F" w:rsidRPr="00963625" w:rsidRDefault="00F851CF"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A bigger, more capable sector would also strengthen Australia’s policy credentials</w:t>
      </w:r>
      <w:r w:rsidR="003C1F3F" w:rsidRPr="00963625">
        <w:rPr>
          <w:rFonts w:ascii="Segoe UI" w:eastAsia="Times New Roman" w:hAnsi="Segoe UI" w:cs="Segoe UI"/>
          <w:color w:val="212121"/>
        </w:rPr>
        <w:t xml:space="preserve"> on the international stage. Given Australia’s national security </w:t>
      </w:r>
      <w:r w:rsidR="00002B58" w:rsidRPr="00963625">
        <w:rPr>
          <w:rFonts w:ascii="Segoe UI" w:eastAsia="Times New Roman" w:hAnsi="Segoe UI" w:cs="Segoe UI"/>
          <w:color w:val="212121"/>
        </w:rPr>
        <w:t xml:space="preserve">will </w:t>
      </w:r>
      <w:r w:rsidR="003C1F3F" w:rsidRPr="00963625">
        <w:rPr>
          <w:rFonts w:ascii="Segoe UI" w:eastAsia="Times New Roman" w:hAnsi="Segoe UI" w:cs="Segoe UI"/>
          <w:color w:val="212121"/>
        </w:rPr>
        <w:t xml:space="preserve">increasingly be shaped by the actions of others, </w:t>
      </w:r>
      <w:r w:rsidR="003B2FDF" w:rsidRPr="00963625">
        <w:rPr>
          <w:rFonts w:ascii="Segoe UI" w:eastAsia="Times New Roman" w:hAnsi="Segoe UI" w:cs="Segoe UI"/>
          <w:color w:val="212121"/>
        </w:rPr>
        <w:t xml:space="preserve">greater credibility in the eyes of our partners would </w:t>
      </w:r>
      <w:r w:rsidR="00841966" w:rsidRPr="00963625">
        <w:rPr>
          <w:rFonts w:ascii="Segoe UI" w:eastAsia="Times New Roman" w:hAnsi="Segoe UI" w:cs="Segoe UI"/>
          <w:color w:val="212121"/>
        </w:rPr>
        <w:t>boost</w:t>
      </w:r>
      <w:r w:rsidR="003B2FDF" w:rsidRPr="00963625">
        <w:rPr>
          <w:rFonts w:ascii="Segoe UI" w:eastAsia="Times New Roman" w:hAnsi="Segoe UI" w:cs="Segoe UI"/>
          <w:color w:val="212121"/>
        </w:rPr>
        <w:t xml:space="preserve"> Australia’s international</w:t>
      </w:r>
      <w:r w:rsidR="00542AF2" w:rsidRPr="00963625">
        <w:rPr>
          <w:rFonts w:ascii="Segoe UI" w:eastAsia="Times New Roman" w:hAnsi="Segoe UI" w:cs="Segoe UI"/>
          <w:color w:val="212121"/>
        </w:rPr>
        <w:t xml:space="preserve"> engagement</w:t>
      </w:r>
      <w:r w:rsidR="003B2FDF" w:rsidRPr="00963625">
        <w:rPr>
          <w:rFonts w:ascii="Segoe UI" w:eastAsia="Times New Roman" w:hAnsi="Segoe UI" w:cs="Segoe UI"/>
          <w:color w:val="212121"/>
        </w:rPr>
        <w:t xml:space="preserve"> efforts. </w:t>
      </w:r>
    </w:p>
    <w:p w14:paraId="06E4612F" w14:textId="77777777" w:rsidR="00EE2958" w:rsidRPr="00752A8B" w:rsidRDefault="00EE2958" w:rsidP="00EE2958">
      <w:pPr>
        <w:pStyle w:val="Heading2"/>
        <w:rPr>
          <w:rFonts w:cs="Segoe UI"/>
          <w:sz w:val="32"/>
          <w:szCs w:val="32"/>
        </w:rPr>
      </w:pPr>
      <w:bookmarkStart w:id="134" w:name="_Toc170307520"/>
      <w:bookmarkStart w:id="135" w:name="_Toc170383184"/>
      <w:bookmarkStart w:id="136" w:name="_Toc170980565"/>
      <w:bookmarkStart w:id="137" w:name="_Toc171004279"/>
      <w:bookmarkStart w:id="138" w:name="_Toc171075001"/>
      <w:bookmarkStart w:id="139" w:name="_Toc172665608"/>
      <w:r w:rsidRPr="00752A8B">
        <w:rPr>
          <w:rFonts w:cs="Segoe UI"/>
          <w:sz w:val="32"/>
          <w:szCs w:val="32"/>
        </w:rPr>
        <w:t xml:space="preserve">What does </w:t>
      </w:r>
      <w:r w:rsidR="00E0A38B" w:rsidRPr="00752A8B">
        <w:rPr>
          <w:rFonts w:cs="Segoe UI"/>
          <w:sz w:val="32"/>
          <w:szCs w:val="32"/>
        </w:rPr>
        <w:t>good</w:t>
      </w:r>
      <w:r w:rsidR="0090718B" w:rsidRPr="00752A8B">
        <w:rPr>
          <w:rFonts w:cs="Segoe UI"/>
          <w:sz w:val="32"/>
          <w:szCs w:val="32"/>
        </w:rPr>
        <w:t xml:space="preserve"> </w:t>
      </w:r>
      <w:r w:rsidRPr="00752A8B">
        <w:rPr>
          <w:rFonts w:cs="Segoe UI"/>
          <w:sz w:val="32"/>
          <w:szCs w:val="32"/>
        </w:rPr>
        <w:t>look like</w:t>
      </w:r>
      <w:r w:rsidR="00914935">
        <w:rPr>
          <w:rFonts w:cs="Segoe UI"/>
          <w:sz w:val="32"/>
          <w:szCs w:val="32"/>
        </w:rPr>
        <w:t xml:space="preserve"> in the long term</w:t>
      </w:r>
      <w:r w:rsidRPr="00752A8B">
        <w:rPr>
          <w:rFonts w:cs="Segoe UI"/>
          <w:sz w:val="32"/>
          <w:szCs w:val="32"/>
        </w:rPr>
        <w:t>?</w:t>
      </w:r>
      <w:bookmarkEnd w:id="134"/>
      <w:bookmarkEnd w:id="135"/>
      <w:bookmarkEnd w:id="136"/>
      <w:bookmarkEnd w:id="137"/>
      <w:bookmarkEnd w:id="138"/>
      <w:bookmarkEnd w:id="139"/>
    </w:p>
    <w:p w14:paraId="06E46130" w14:textId="77777777" w:rsidR="00914935" w:rsidRPr="00963625" w:rsidRDefault="522D3F6A"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 xml:space="preserve">During </w:t>
      </w:r>
      <w:r w:rsidR="1613FDAD" w:rsidRPr="00963625">
        <w:rPr>
          <w:rFonts w:ascii="Segoe UI" w:eastAsia="Times New Roman" w:hAnsi="Segoe UI" w:cs="Segoe UI"/>
          <w:color w:val="212121"/>
        </w:rPr>
        <w:t>my consultations</w:t>
      </w:r>
      <w:r w:rsidR="00126583" w:rsidRPr="00963625">
        <w:rPr>
          <w:rFonts w:ascii="Segoe UI" w:eastAsia="Times New Roman" w:hAnsi="Segoe UI" w:cs="Segoe UI"/>
          <w:color w:val="212121"/>
        </w:rPr>
        <w:t>,</w:t>
      </w:r>
      <w:r w:rsidR="1613FDAD" w:rsidRPr="00963625">
        <w:rPr>
          <w:rFonts w:ascii="Segoe UI" w:eastAsia="Times New Roman" w:hAnsi="Segoe UI" w:cs="Segoe UI"/>
          <w:color w:val="212121"/>
        </w:rPr>
        <w:t xml:space="preserve"> </w:t>
      </w:r>
      <w:r w:rsidR="07BC0E0F" w:rsidRPr="00963625">
        <w:rPr>
          <w:rFonts w:ascii="Segoe UI" w:eastAsia="Times New Roman" w:hAnsi="Segoe UI" w:cs="Segoe UI"/>
          <w:color w:val="212121"/>
        </w:rPr>
        <w:t xml:space="preserve">determining </w:t>
      </w:r>
      <w:r w:rsidR="1613FDAD" w:rsidRPr="00963625">
        <w:rPr>
          <w:rFonts w:ascii="Segoe UI" w:eastAsia="Times New Roman" w:hAnsi="Segoe UI" w:cs="Segoe UI"/>
          <w:color w:val="212121"/>
        </w:rPr>
        <w:t xml:space="preserve">the </w:t>
      </w:r>
      <w:r w:rsidR="6ACB6F20" w:rsidRPr="00963625">
        <w:rPr>
          <w:rFonts w:ascii="Segoe UI" w:eastAsia="Times New Roman" w:hAnsi="Segoe UI" w:cs="Segoe UI"/>
          <w:color w:val="212121"/>
        </w:rPr>
        <w:t>long-term</w:t>
      </w:r>
      <w:r w:rsidR="007E71D3">
        <w:rPr>
          <w:rFonts w:ascii="Segoe UI" w:eastAsia="Times New Roman" w:hAnsi="Segoe UI" w:cs="Segoe UI"/>
          <w:color w:val="212121"/>
        </w:rPr>
        <w:t>,</w:t>
      </w:r>
      <w:r w:rsidR="6ACB6F20" w:rsidRPr="00963625">
        <w:rPr>
          <w:rFonts w:ascii="Segoe UI" w:eastAsia="Times New Roman" w:hAnsi="Segoe UI" w:cs="Segoe UI"/>
          <w:color w:val="212121"/>
        </w:rPr>
        <w:t xml:space="preserve"> </w:t>
      </w:r>
      <w:r w:rsidR="1613FDAD" w:rsidRPr="00963625">
        <w:rPr>
          <w:rFonts w:ascii="Segoe UI" w:eastAsia="Times New Roman" w:hAnsi="Segoe UI" w:cs="Segoe UI"/>
          <w:color w:val="212121"/>
        </w:rPr>
        <w:t xml:space="preserve">optimal make-up of the sector was a consistent </w:t>
      </w:r>
      <w:r w:rsidR="00914935" w:rsidRPr="00963625">
        <w:rPr>
          <w:rFonts w:ascii="Segoe UI" w:eastAsia="Times New Roman" w:hAnsi="Segoe UI" w:cs="Segoe UI"/>
          <w:color w:val="212121"/>
        </w:rPr>
        <w:t>theme</w:t>
      </w:r>
      <w:r w:rsidR="1613FDAD" w:rsidRPr="00963625">
        <w:rPr>
          <w:rFonts w:ascii="Segoe UI" w:eastAsia="Times New Roman" w:hAnsi="Segoe UI" w:cs="Segoe UI"/>
          <w:color w:val="212121"/>
        </w:rPr>
        <w:t>. The p</w:t>
      </w:r>
      <w:r w:rsidR="3375CBA9" w:rsidRPr="00963625">
        <w:rPr>
          <w:rFonts w:ascii="Segoe UI" w:eastAsia="Times New Roman" w:hAnsi="Segoe UI" w:cs="Segoe UI"/>
          <w:color w:val="212121"/>
        </w:rPr>
        <w:t>red</w:t>
      </w:r>
      <w:r w:rsidR="2F7CC666" w:rsidRPr="00963625">
        <w:rPr>
          <w:rFonts w:ascii="Segoe UI" w:eastAsia="Times New Roman" w:hAnsi="Segoe UI" w:cs="Segoe UI"/>
          <w:color w:val="212121"/>
        </w:rPr>
        <w:t>ominant</w:t>
      </w:r>
      <w:r w:rsidR="3375CBA9" w:rsidRPr="00963625">
        <w:rPr>
          <w:rFonts w:ascii="Segoe UI" w:eastAsia="Times New Roman" w:hAnsi="Segoe UI" w:cs="Segoe UI"/>
          <w:color w:val="212121"/>
        </w:rPr>
        <w:t xml:space="preserve"> view</w:t>
      </w:r>
      <w:r w:rsidR="58EA8282" w:rsidRPr="00963625">
        <w:rPr>
          <w:rFonts w:ascii="Segoe UI" w:eastAsia="Times New Roman" w:hAnsi="Segoe UI" w:cs="Segoe UI"/>
          <w:color w:val="212121"/>
        </w:rPr>
        <w:t xml:space="preserve">, and one that </w:t>
      </w:r>
      <w:r w:rsidR="002533A8" w:rsidRPr="00963625">
        <w:rPr>
          <w:rFonts w:ascii="Segoe UI" w:eastAsia="Times New Roman" w:hAnsi="Segoe UI" w:cs="Segoe UI"/>
          <w:color w:val="212121"/>
        </w:rPr>
        <w:t>I</w:t>
      </w:r>
      <w:r w:rsidR="58EA8282" w:rsidRPr="00963625">
        <w:rPr>
          <w:rFonts w:ascii="Segoe UI" w:eastAsia="Times New Roman" w:hAnsi="Segoe UI" w:cs="Segoe UI"/>
          <w:color w:val="212121"/>
        </w:rPr>
        <w:t xml:space="preserve"> share,</w:t>
      </w:r>
      <w:r w:rsidR="3375CBA9" w:rsidRPr="00963625">
        <w:rPr>
          <w:rFonts w:ascii="Segoe UI" w:eastAsia="Times New Roman" w:hAnsi="Segoe UI" w:cs="Segoe UI"/>
          <w:color w:val="212121"/>
        </w:rPr>
        <w:t xml:space="preserve"> </w:t>
      </w:r>
      <w:r w:rsidR="34EE052E" w:rsidRPr="00963625">
        <w:rPr>
          <w:rFonts w:ascii="Segoe UI" w:eastAsia="Times New Roman" w:hAnsi="Segoe UI" w:cs="Segoe UI"/>
          <w:color w:val="212121"/>
        </w:rPr>
        <w:t>w</w:t>
      </w:r>
      <w:r w:rsidR="38285049" w:rsidRPr="00963625">
        <w:rPr>
          <w:rFonts w:ascii="Segoe UI" w:eastAsia="Times New Roman" w:hAnsi="Segoe UI" w:cs="Segoe UI"/>
          <w:color w:val="212121"/>
        </w:rPr>
        <w:t xml:space="preserve">as </w:t>
      </w:r>
      <w:r w:rsidR="3375CBA9" w:rsidRPr="00963625">
        <w:rPr>
          <w:rFonts w:ascii="Segoe UI" w:eastAsia="Times New Roman" w:hAnsi="Segoe UI" w:cs="Segoe UI"/>
          <w:color w:val="212121"/>
        </w:rPr>
        <w:t xml:space="preserve">that Australia’s sector is </w:t>
      </w:r>
      <w:r w:rsidR="00914935" w:rsidRPr="00963625">
        <w:rPr>
          <w:rFonts w:ascii="Segoe UI" w:eastAsia="Times New Roman" w:hAnsi="Segoe UI" w:cs="Segoe UI"/>
          <w:color w:val="212121"/>
        </w:rPr>
        <w:t xml:space="preserve">relatively </w:t>
      </w:r>
      <w:r w:rsidR="3375CBA9" w:rsidRPr="00963625">
        <w:rPr>
          <w:rFonts w:ascii="Segoe UI" w:eastAsia="Times New Roman" w:hAnsi="Segoe UI" w:cs="Segoe UI"/>
          <w:color w:val="212121"/>
        </w:rPr>
        <w:t xml:space="preserve">small and has not yet reached critical mass. </w:t>
      </w:r>
      <w:r w:rsidR="3095507D" w:rsidRPr="00963625">
        <w:rPr>
          <w:rFonts w:ascii="Segoe UI" w:eastAsia="Times New Roman" w:hAnsi="Segoe UI" w:cs="Segoe UI"/>
          <w:color w:val="212121"/>
        </w:rPr>
        <w:t>While g</w:t>
      </w:r>
      <w:r w:rsidR="3375CBA9" w:rsidRPr="00963625">
        <w:rPr>
          <w:rFonts w:ascii="Segoe UI" w:eastAsia="Times New Roman" w:hAnsi="Segoe UI" w:cs="Segoe UI"/>
          <w:color w:val="212121"/>
        </w:rPr>
        <w:t xml:space="preserve">rowth is </w:t>
      </w:r>
      <w:r w:rsidR="6AC4EE2D" w:rsidRPr="00963625">
        <w:rPr>
          <w:rFonts w:ascii="Segoe UI" w:eastAsia="Times New Roman" w:hAnsi="Segoe UI" w:cs="Segoe UI"/>
          <w:color w:val="212121"/>
        </w:rPr>
        <w:t>required,</w:t>
      </w:r>
      <w:r w:rsidR="3375CBA9" w:rsidRPr="00963625">
        <w:rPr>
          <w:rFonts w:ascii="Segoe UI" w:eastAsia="Times New Roman" w:hAnsi="Segoe UI" w:cs="Segoe UI"/>
          <w:color w:val="212121"/>
        </w:rPr>
        <w:t xml:space="preserve"> we must be </w:t>
      </w:r>
      <w:r w:rsidR="7E1C2FF4" w:rsidRPr="00963625">
        <w:rPr>
          <w:rFonts w:ascii="Segoe UI" w:eastAsia="Times New Roman" w:hAnsi="Segoe UI" w:cs="Segoe UI"/>
          <w:color w:val="212121"/>
        </w:rPr>
        <w:t xml:space="preserve">pragmatic that </w:t>
      </w:r>
      <w:r w:rsidR="0A985C51" w:rsidRPr="00963625">
        <w:rPr>
          <w:rFonts w:ascii="Segoe UI" w:eastAsia="Times New Roman" w:hAnsi="Segoe UI" w:cs="Segoe UI"/>
          <w:color w:val="212121"/>
        </w:rPr>
        <w:t xml:space="preserve">the </w:t>
      </w:r>
      <w:r w:rsidR="7C8BF417" w:rsidRPr="00963625">
        <w:rPr>
          <w:rFonts w:ascii="Segoe UI" w:eastAsia="Times New Roman" w:hAnsi="Segoe UI" w:cs="Segoe UI"/>
          <w:color w:val="212121"/>
        </w:rPr>
        <w:t>Australia</w:t>
      </w:r>
      <w:r w:rsidR="183920C6" w:rsidRPr="00963625">
        <w:rPr>
          <w:rFonts w:ascii="Segoe UI" w:eastAsia="Times New Roman" w:hAnsi="Segoe UI" w:cs="Segoe UI"/>
          <w:color w:val="212121"/>
        </w:rPr>
        <w:t>n sector</w:t>
      </w:r>
      <w:r w:rsidR="7E1C2FF4" w:rsidRPr="00963625">
        <w:rPr>
          <w:rFonts w:ascii="Segoe UI" w:eastAsia="Times New Roman" w:hAnsi="Segoe UI" w:cs="Segoe UI"/>
          <w:color w:val="212121"/>
        </w:rPr>
        <w:t xml:space="preserve"> will remain </w:t>
      </w:r>
      <w:r w:rsidR="40D90C85" w:rsidRPr="00963625">
        <w:rPr>
          <w:rFonts w:ascii="Segoe UI" w:eastAsia="Times New Roman" w:hAnsi="Segoe UI" w:cs="Segoe UI"/>
          <w:color w:val="212121"/>
        </w:rPr>
        <w:t>limited</w:t>
      </w:r>
      <w:r w:rsidR="7E1C2FF4" w:rsidRPr="00963625">
        <w:rPr>
          <w:rFonts w:ascii="Segoe UI" w:eastAsia="Times New Roman" w:hAnsi="Segoe UI" w:cs="Segoe UI"/>
          <w:color w:val="212121"/>
        </w:rPr>
        <w:t xml:space="preserve"> </w:t>
      </w:r>
      <w:r w:rsidR="6E390B1F" w:rsidRPr="00963625">
        <w:rPr>
          <w:rFonts w:ascii="Segoe UI" w:eastAsia="Times New Roman" w:hAnsi="Segoe UI" w:cs="Segoe UI"/>
          <w:color w:val="212121"/>
        </w:rPr>
        <w:t xml:space="preserve">given our </w:t>
      </w:r>
      <w:r w:rsidR="007E71D3">
        <w:rPr>
          <w:rFonts w:ascii="Segoe UI" w:eastAsia="Times New Roman" w:hAnsi="Segoe UI" w:cs="Segoe UI"/>
          <w:color w:val="212121"/>
        </w:rPr>
        <w:t>population</w:t>
      </w:r>
      <w:r w:rsidR="18E987F8" w:rsidRPr="00963625">
        <w:rPr>
          <w:rFonts w:ascii="Segoe UI" w:eastAsia="Times New Roman" w:hAnsi="Segoe UI" w:cs="Segoe UI"/>
          <w:color w:val="212121"/>
        </w:rPr>
        <w:t>,</w:t>
      </w:r>
      <w:r w:rsidR="5378CD2C" w:rsidRPr="00963625">
        <w:rPr>
          <w:rFonts w:ascii="Segoe UI" w:eastAsia="Times New Roman" w:hAnsi="Segoe UI" w:cs="Segoe UI"/>
          <w:color w:val="212121"/>
        </w:rPr>
        <w:t xml:space="preserve"> and it </w:t>
      </w:r>
      <w:r w:rsidR="00F90EE5" w:rsidRPr="00963625">
        <w:rPr>
          <w:rFonts w:ascii="Segoe UI" w:eastAsia="Times New Roman" w:hAnsi="Segoe UI" w:cs="Segoe UI"/>
          <w:color w:val="212121"/>
        </w:rPr>
        <w:t>will</w:t>
      </w:r>
      <w:r w:rsidR="5378CD2C" w:rsidRPr="00963625">
        <w:rPr>
          <w:rFonts w:ascii="Segoe UI" w:eastAsia="Times New Roman" w:hAnsi="Segoe UI" w:cs="Segoe UI"/>
          <w:color w:val="212121"/>
        </w:rPr>
        <w:t xml:space="preserve"> take years</w:t>
      </w:r>
      <w:r w:rsidR="007E71D3">
        <w:rPr>
          <w:rFonts w:ascii="Segoe UI" w:eastAsia="Times New Roman" w:hAnsi="Segoe UI" w:cs="Segoe UI"/>
          <w:color w:val="212121"/>
        </w:rPr>
        <w:t>,</w:t>
      </w:r>
      <w:r w:rsidR="5378CD2C" w:rsidRPr="00963625">
        <w:rPr>
          <w:rFonts w:ascii="Segoe UI" w:eastAsia="Times New Roman" w:hAnsi="Segoe UI" w:cs="Segoe UI"/>
          <w:color w:val="212121"/>
        </w:rPr>
        <w:t xml:space="preserve"> or even decades</w:t>
      </w:r>
      <w:r w:rsidR="007E71D3">
        <w:rPr>
          <w:rFonts w:ascii="Segoe UI" w:eastAsia="Times New Roman" w:hAnsi="Segoe UI" w:cs="Segoe UI"/>
          <w:color w:val="212121"/>
        </w:rPr>
        <w:t>,</w:t>
      </w:r>
      <w:r w:rsidR="5378CD2C" w:rsidRPr="00963625">
        <w:rPr>
          <w:rFonts w:ascii="Segoe UI" w:eastAsia="Times New Roman" w:hAnsi="Segoe UI" w:cs="Segoe UI"/>
          <w:color w:val="212121"/>
        </w:rPr>
        <w:t xml:space="preserve"> to </w:t>
      </w:r>
      <w:r w:rsidR="2D2A8643" w:rsidRPr="00963625">
        <w:rPr>
          <w:rFonts w:ascii="Segoe UI" w:eastAsia="Times New Roman" w:hAnsi="Segoe UI" w:cs="Segoe UI"/>
          <w:color w:val="212121"/>
        </w:rPr>
        <w:t xml:space="preserve">build </w:t>
      </w:r>
      <w:r w:rsidR="2F1A90FA" w:rsidRPr="00963625">
        <w:rPr>
          <w:rFonts w:ascii="Segoe UI" w:eastAsia="Times New Roman" w:hAnsi="Segoe UI" w:cs="Segoe UI"/>
          <w:color w:val="212121"/>
        </w:rPr>
        <w:t>t</w:t>
      </w:r>
      <w:r w:rsidR="6DACE488" w:rsidRPr="00963625">
        <w:rPr>
          <w:rFonts w:ascii="Segoe UI" w:eastAsia="Times New Roman" w:hAnsi="Segoe UI" w:cs="Segoe UI"/>
          <w:color w:val="212121"/>
        </w:rPr>
        <w:t>o</w:t>
      </w:r>
      <w:r w:rsidR="5378CD2C" w:rsidRPr="00963625">
        <w:rPr>
          <w:rFonts w:ascii="Segoe UI" w:eastAsia="Times New Roman" w:hAnsi="Segoe UI" w:cs="Segoe UI"/>
          <w:color w:val="212121"/>
        </w:rPr>
        <w:t xml:space="preserve"> optimal </w:t>
      </w:r>
      <w:r w:rsidR="448B939F" w:rsidRPr="00963625">
        <w:rPr>
          <w:rFonts w:ascii="Segoe UI" w:eastAsia="Times New Roman" w:hAnsi="Segoe UI" w:cs="Segoe UI"/>
          <w:color w:val="212121"/>
        </w:rPr>
        <w:t>levels</w:t>
      </w:r>
      <w:r w:rsidR="09DFA308" w:rsidRPr="00963625">
        <w:rPr>
          <w:rFonts w:ascii="Segoe UI" w:eastAsia="Times New Roman" w:hAnsi="Segoe UI" w:cs="Segoe UI"/>
          <w:color w:val="212121"/>
        </w:rPr>
        <w:t>.</w:t>
      </w:r>
    </w:p>
    <w:p w14:paraId="06E46131" w14:textId="77777777" w:rsidR="00B94D1E" w:rsidRPr="00963625" w:rsidRDefault="57192171"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 xml:space="preserve">In </w:t>
      </w:r>
      <w:r w:rsidR="47549438" w:rsidRPr="00963625">
        <w:rPr>
          <w:rFonts w:ascii="Segoe UI" w:eastAsia="Times New Roman" w:hAnsi="Segoe UI" w:cs="Segoe UI"/>
          <w:color w:val="212121"/>
        </w:rPr>
        <w:t>my view</w:t>
      </w:r>
      <w:r w:rsidR="00126583" w:rsidRPr="00963625">
        <w:rPr>
          <w:rFonts w:ascii="Segoe UI" w:eastAsia="Times New Roman" w:hAnsi="Segoe UI" w:cs="Segoe UI"/>
          <w:color w:val="212121"/>
        </w:rPr>
        <w:t>,</w:t>
      </w:r>
      <w:r w:rsidR="47549438" w:rsidRPr="00963625">
        <w:rPr>
          <w:rFonts w:ascii="Segoe UI" w:eastAsia="Times New Roman" w:hAnsi="Segoe UI" w:cs="Segoe UI"/>
          <w:color w:val="212121"/>
        </w:rPr>
        <w:t xml:space="preserve"> t</w:t>
      </w:r>
      <w:r w:rsidR="664E11DD" w:rsidRPr="00963625">
        <w:rPr>
          <w:rFonts w:ascii="Segoe UI" w:eastAsia="Times New Roman" w:hAnsi="Segoe UI" w:cs="Segoe UI"/>
          <w:color w:val="212121"/>
        </w:rPr>
        <w:t>he</w:t>
      </w:r>
      <w:r w:rsidR="00B94D1E" w:rsidRPr="00963625">
        <w:rPr>
          <w:rFonts w:ascii="Segoe UI" w:eastAsia="Times New Roman" w:hAnsi="Segoe UI" w:cs="Segoe UI"/>
          <w:color w:val="212121"/>
        </w:rPr>
        <w:t xml:space="preserve"> sector requires both greater depth in expertise, and </w:t>
      </w:r>
      <w:r w:rsidR="00B16464" w:rsidRPr="00963625">
        <w:rPr>
          <w:rFonts w:ascii="Segoe UI" w:eastAsia="Times New Roman" w:hAnsi="Segoe UI" w:cs="Segoe UI"/>
          <w:color w:val="212121"/>
        </w:rPr>
        <w:t xml:space="preserve">especially </w:t>
      </w:r>
      <w:r w:rsidR="00B94D1E" w:rsidRPr="00963625">
        <w:rPr>
          <w:rFonts w:ascii="Segoe UI" w:eastAsia="Times New Roman" w:hAnsi="Segoe UI" w:cs="Segoe UI"/>
          <w:color w:val="212121"/>
        </w:rPr>
        <w:t>greater breadth in geographic and topical coverage.</w:t>
      </w:r>
      <w:r w:rsidR="237FF4E1" w:rsidRPr="00963625">
        <w:rPr>
          <w:rFonts w:ascii="Segoe UI" w:eastAsia="Times New Roman" w:hAnsi="Segoe UI" w:cs="Segoe UI"/>
          <w:color w:val="212121"/>
        </w:rPr>
        <w:t xml:space="preserve"> </w:t>
      </w:r>
      <w:r w:rsidR="000E48D6" w:rsidRPr="00963625">
        <w:rPr>
          <w:rFonts w:ascii="Segoe UI" w:eastAsia="Times New Roman" w:hAnsi="Segoe UI" w:cs="Segoe UI"/>
          <w:color w:val="212121"/>
        </w:rPr>
        <w:t>A</w:t>
      </w:r>
      <w:r w:rsidR="237FF4E1" w:rsidRPr="00963625">
        <w:rPr>
          <w:rFonts w:ascii="Segoe UI" w:eastAsia="Times New Roman" w:hAnsi="Segoe UI" w:cs="Segoe UI"/>
          <w:color w:val="212121"/>
        </w:rPr>
        <w:t xml:space="preserve">round </w:t>
      </w:r>
      <w:r w:rsidR="000463A4" w:rsidRPr="00963625">
        <w:rPr>
          <w:rFonts w:ascii="Segoe UI" w:eastAsia="Times New Roman" w:hAnsi="Segoe UI" w:cs="Segoe UI"/>
          <w:color w:val="212121"/>
        </w:rPr>
        <w:t>2</w:t>
      </w:r>
      <w:r w:rsidR="7CA71760" w:rsidRPr="00963625">
        <w:rPr>
          <w:rFonts w:ascii="Segoe UI" w:eastAsia="Times New Roman" w:hAnsi="Segoe UI" w:cs="Segoe UI"/>
          <w:color w:val="212121"/>
        </w:rPr>
        <w:t>0-</w:t>
      </w:r>
      <w:r w:rsidR="00B16464" w:rsidRPr="00963625">
        <w:rPr>
          <w:rFonts w:ascii="Segoe UI" w:eastAsia="Times New Roman" w:hAnsi="Segoe UI" w:cs="Segoe UI"/>
          <w:color w:val="212121"/>
        </w:rPr>
        <w:t>3</w:t>
      </w:r>
      <w:r w:rsidR="237FF4E1" w:rsidRPr="00963625">
        <w:rPr>
          <w:rFonts w:ascii="Segoe UI" w:eastAsia="Times New Roman" w:hAnsi="Segoe UI" w:cs="Segoe UI"/>
          <w:color w:val="212121"/>
        </w:rPr>
        <w:t xml:space="preserve">0 per cent </w:t>
      </w:r>
      <w:r w:rsidR="000E48D6" w:rsidRPr="00963625">
        <w:rPr>
          <w:rFonts w:ascii="Segoe UI" w:eastAsia="Times New Roman" w:hAnsi="Segoe UI" w:cs="Segoe UI"/>
          <w:color w:val="212121"/>
        </w:rPr>
        <w:t xml:space="preserve">growth </w:t>
      </w:r>
      <w:r w:rsidR="000463A4" w:rsidRPr="00963625">
        <w:rPr>
          <w:rFonts w:ascii="Segoe UI" w:eastAsia="Times New Roman" w:hAnsi="Segoe UI" w:cs="Segoe UI"/>
          <w:color w:val="212121"/>
        </w:rPr>
        <w:t>over time</w:t>
      </w:r>
      <w:r w:rsidR="000E48D6" w:rsidRPr="00963625">
        <w:rPr>
          <w:rFonts w:ascii="Segoe UI" w:eastAsia="Times New Roman" w:hAnsi="Segoe UI" w:cs="Segoe UI"/>
          <w:color w:val="212121"/>
        </w:rPr>
        <w:t xml:space="preserve"> </w:t>
      </w:r>
      <w:r w:rsidR="237FF4E1" w:rsidRPr="00963625">
        <w:rPr>
          <w:rFonts w:ascii="Segoe UI" w:eastAsia="Times New Roman" w:hAnsi="Segoe UI" w:cs="Segoe UI"/>
          <w:color w:val="212121"/>
        </w:rPr>
        <w:t>would creat</w:t>
      </w:r>
      <w:r w:rsidR="2FB718CC" w:rsidRPr="00963625">
        <w:rPr>
          <w:rFonts w:ascii="Segoe UI" w:eastAsia="Times New Roman" w:hAnsi="Segoe UI" w:cs="Segoe UI"/>
          <w:color w:val="212121"/>
        </w:rPr>
        <w:t xml:space="preserve">e a </w:t>
      </w:r>
      <w:r w:rsidR="001F2032" w:rsidRPr="00963625">
        <w:rPr>
          <w:rFonts w:ascii="Segoe UI" w:eastAsia="Times New Roman" w:hAnsi="Segoe UI" w:cs="Segoe UI"/>
          <w:color w:val="212121"/>
        </w:rPr>
        <w:t>more effective</w:t>
      </w:r>
      <w:r w:rsidR="4E660563" w:rsidRPr="00963625">
        <w:rPr>
          <w:rFonts w:ascii="Segoe UI" w:eastAsia="Times New Roman" w:hAnsi="Segoe UI" w:cs="Segoe UI"/>
          <w:color w:val="212121"/>
        </w:rPr>
        <w:t xml:space="preserve"> and diverse sector</w:t>
      </w:r>
      <w:r w:rsidR="000E48D6" w:rsidRPr="00963625">
        <w:rPr>
          <w:rFonts w:ascii="Segoe UI" w:eastAsia="Times New Roman" w:hAnsi="Segoe UI" w:cs="Segoe UI"/>
          <w:color w:val="212121"/>
        </w:rPr>
        <w:t>, better</w:t>
      </w:r>
      <w:r w:rsidR="4E660563" w:rsidRPr="00963625">
        <w:rPr>
          <w:rFonts w:ascii="Segoe UI" w:eastAsia="Times New Roman" w:hAnsi="Segoe UI" w:cs="Segoe UI"/>
          <w:color w:val="212121"/>
        </w:rPr>
        <w:t xml:space="preserve"> serving </w:t>
      </w:r>
      <w:r w:rsidR="1EF71E43" w:rsidRPr="00963625">
        <w:rPr>
          <w:rFonts w:ascii="Segoe UI" w:eastAsia="Times New Roman" w:hAnsi="Segoe UI" w:cs="Segoe UI"/>
          <w:color w:val="212121"/>
        </w:rPr>
        <w:t>government</w:t>
      </w:r>
      <w:r w:rsidR="4E660563" w:rsidRPr="00963625">
        <w:rPr>
          <w:rFonts w:ascii="Segoe UI" w:eastAsia="Times New Roman" w:hAnsi="Segoe UI" w:cs="Segoe UI"/>
          <w:color w:val="212121"/>
        </w:rPr>
        <w:t xml:space="preserve"> and community expectations and o</w:t>
      </w:r>
      <w:r w:rsidR="269B3099" w:rsidRPr="00963625">
        <w:rPr>
          <w:rFonts w:ascii="Segoe UI" w:eastAsia="Times New Roman" w:hAnsi="Segoe UI" w:cs="Segoe UI"/>
          <w:color w:val="212121"/>
        </w:rPr>
        <w:t xml:space="preserve">ur national </w:t>
      </w:r>
      <w:r w:rsidR="4E660563" w:rsidRPr="00963625">
        <w:rPr>
          <w:rFonts w:ascii="Segoe UI" w:eastAsia="Times New Roman" w:hAnsi="Segoe UI" w:cs="Segoe UI"/>
          <w:color w:val="212121"/>
        </w:rPr>
        <w:t>interests</w:t>
      </w:r>
      <w:r w:rsidR="49581B92" w:rsidRPr="00963625">
        <w:rPr>
          <w:rFonts w:ascii="Segoe UI" w:eastAsia="Times New Roman" w:hAnsi="Segoe UI" w:cs="Segoe UI"/>
          <w:color w:val="212121"/>
        </w:rPr>
        <w:t>.</w:t>
      </w:r>
    </w:p>
    <w:p w14:paraId="06E46132" w14:textId="77777777" w:rsidR="00914935" w:rsidRPr="00963625" w:rsidRDefault="00914935"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 xml:space="preserve">The sector is dominated by </w:t>
      </w:r>
      <w:r w:rsidR="00830846">
        <w:rPr>
          <w:rFonts w:ascii="Segoe UI" w:eastAsia="Times New Roman" w:hAnsi="Segoe UI" w:cs="Segoe UI"/>
          <w:color w:val="212121"/>
        </w:rPr>
        <w:t xml:space="preserve">institutions located in </w:t>
      </w:r>
      <w:r w:rsidRPr="00963625">
        <w:rPr>
          <w:rFonts w:ascii="Segoe UI" w:eastAsia="Times New Roman" w:hAnsi="Segoe UI" w:cs="Segoe UI"/>
          <w:color w:val="212121"/>
        </w:rPr>
        <w:t>Sydney, Canberra and to a lesser extent Melbourne.</w:t>
      </w:r>
      <w:r w:rsidR="009210B7" w:rsidRPr="00963625">
        <w:rPr>
          <w:rFonts w:ascii="Segoe UI" w:eastAsia="Times New Roman" w:hAnsi="Segoe UI" w:cs="Segoe UI"/>
          <w:color w:val="212121"/>
        </w:rPr>
        <w:t xml:space="preserve"> </w:t>
      </w:r>
      <w:r w:rsidRPr="00963625">
        <w:rPr>
          <w:rFonts w:ascii="Segoe UI" w:eastAsia="Times New Roman" w:hAnsi="Segoe UI" w:cs="Segoe UI"/>
          <w:color w:val="212121"/>
        </w:rPr>
        <w:t>A broad national debate needs to be more evenly spread across Australian states.</w:t>
      </w:r>
      <w:r w:rsidR="009210B7" w:rsidRPr="00963625">
        <w:rPr>
          <w:rFonts w:ascii="Segoe UI" w:eastAsia="Times New Roman" w:hAnsi="Segoe UI" w:cs="Segoe UI"/>
          <w:color w:val="212121"/>
        </w:rPr>
        <w:t xml:space="preserve"> </w:t>
      </w:r>
      <w:r w:rsidR="004A7EC3" w:rsidRPr="00963625">
        <w:rPr>
          <w:rFonts w:ascii="Segoe UI" w:eastAsia="Times New Roman" w:hAnsi="Segoe UI" w:cs="Segoe UI"/>
          <w:color w:val="212121"/>
        </w:rPr>
        <w:lastRenderedPageBreak/>
        <w:t>USAC</w:t>
      </w:r>
      <w:r w:rsidR="6D02436B" w:rsidRPr="00963625">
        <w:rPr>
          <w:rFonts w:ascii="Segoe UI" w:eastAsia="Times New Roman" w:hAnsi="Segoe UI" w:cs="Segoe UI"/>
          <w:color w:val="212121"/>
        </w:rPr>
        <w:t xml:space="preserve"> </w:t>
      </w:r>
      <w:r w:rsidR="15C53F15" w:rsidRPr="00963625">
        <w:rPr>
          <w:rFonts w:ascii="Segoe UI" w:eastAsia="Times New Roman" w:hAnsi="Segoe UI" w:cs="Segoe UI"/>
          <w:color w:val="212121"/>
        </w:rPr>
        <w:t>demonstrates</w:t>
      </w:r>
      <w:r w:rsidR="6D02436B" w:rsidRPr="00963625">
        <w:rPr>
          <w:rFonts w:ascii="Segoe UI" w:eastAsia="Times New Roman" w:hAnsi="Segoe UI" w:cs="Segoe UI"/>
          <w:color w:val="212121"/>
        </w:rPr>
        <w:t xml:space="preserve"> </w:t>
      </w:r>
      <w:r w:rsidR="000E48D6" w:rsidRPr="00963625">
        <w:rPr>
          <w:rFonts w:ascii="Segoe UI" w:eastAsia="Times New Roman" w:hAnsi="Segoe UI" w:cs="Segoe UI"/>
          <w:color w:val="212121"/>
        </w:rPr>
        <w:t>that</w:t>
      </w:r>
      <w:r w:rsidR="6D02436B" w:rsidRPr="00963625">
        <w:rPr>
          <w:rFonts w:ascii="Segoe UI" w:eastAsia="Times New Roman" w:hAnsi="Segoe UI" w:cs="Segoe UI"/>
          <w:color w:val="212121"/>
        </w:rPr>
        <w:t xml:space="preserve"> having a think tank located in a region can </w:t>
      </w:r>
      <w:r w:rsidR="4EBD5A89" w:rsidRPr="00963625">
        <w:rPr>
          <w:rFonts w:ascii="Segoe UI" w:eastAsia="Times New Roman" w:hAnsi="Segoe UI" w:cs="Segoe UI"/>
          <w:color w:val="212121"/>
        </w:rPr>
        <w:t>bring a different perspective and reach to public policy debate</w:t>
      </w:r>
      <w:r w:rsidR="00F834BF" w:rsidRPr="00963625">
        <w:rPr>
          <w:rFonts w:ascii="Segoe UI" w:eastAsia="Times New Roman" w:hAnsi="Segoe UI" w:cs="Segoe UI"/>
          <w:color w:val="212121"/>
        </w:rPr>
        <w:t>s</w:t>
      </w:r>
      <w:r w:rsidR="4EBD5A89" w:rsidRPr="00963625">
        <w:rPr>
          <w:rFonts w:ascii="Segoe UI" w:eastAsia="Times New Roman" w:hAnsi="Segoe UI" w:cs="Segoe UI"/>
          <w:color w:val="212121"/>
        </w:rPr>
        <w:t>.</w:t>
      </w:r>
    </w:p>
    <w:p w14:paraId="06E46133" w14:textId="77777777" w:rsidR="000463A4" w:rsidRPr="00963625" w:rsidRDefault="00914935"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 xml:space="preserve">It is also the case that </w:t>
      </w:r>
      <w:r w:rsidR="4EBD5A89" w:rsidRPr="00963625">
        <w:rPr>
          <w:rFonts w:ascii="Segoe UI" w:eastAsia="Times New Roman" w:hAnsi="Segoe UI" w:cs="Segoe UI"/>
          <w:color w:val="212121"/>
        </w:rPr>
        <w:t xml:space="preserve">state and </w:t>
      </w:r>
      <w:r w:rsidR="62B86778" w:rsidRPr="00963625">
        <w:rPr>
          <w:rFonts w:ascii="Segoe UI" w:eastAsia="Times New Roman" w:hAnsi="Segoe UI" w:cs="Segoe UI"/>
          <w:color w:val="212121"/>
        </w:rPr>
        <w:t>territory</w:t>
      </w:r>
      <w:r w:rsidR="4EBD5A89" w:rsidRPr="00963625">
        <w:rPr>
          <w:rFonts w:ascii="Segoe UI" w:eastAsia="Times New Roman" w:hAnsi="Segoe UI" w:cs="Segoe UI"/>
          <w:color w:val="212121"/>
        </w:rPr>
        <w:t xml:space="preserve"> </w:t>
      </w:r>
      <w:r w:rsidR="1465291A" w:rsidRPr="00963625">
        <w:rPr>
          <w:rFonts w:ascii="Segoe UI" w:eastAsia="Times New Roman" w:hAnsi="Segoe UI" w:cs="Segoe UI"/>
          <w:color w:val="212121"/>
        </w:rPr>
        <w:t>government</w:t>
      </w:r>
      <w:r w:rsidR="1A5F226F" w:rsidRPr="00963625">
        <w:rPr>
          <w:rFonts w:ascii="Segoe UI" w:eastAsia="Times New Roman" w:hAnsi="Segoe UI" w:cs="Segoe UI"/>
          <w:color w:val="212121"/>
        </w:rPr>
        <w:t>s</w:t>
      </w:r>
      <w:r w:rsidR="4EBD5A89" w:rsidRPr="00963625">
        <w:rPr>
          <w:rFonts w:ascii="Segoe UI" w:eastAsia="Times New Roman" w:hAnsi="Segoe UI" w:cs="Segoe UI"/>
          <w:color w:val="212121"/>
        </w:rPr>
        <w:t xml:space="preserve"> will have a</w:t>
      </w:r>
      <w:r w:rsidR="3DD765B2" w:rsidRPr="00963625">
        <w:rPr>
          <w:rFonts w:ascii="Segoe UI" w:eastAsia="Times New Roman" w:hAnsi="Segoe UI" w:cs="Segoe UI"/>
          <w:color w:val="212121"/>
        </w:rPr>
        <w:t xml:space="preserve">n increasing role to play in </w:t>
      </w:r>
      <w:r w:rsidR="22C541CC" w:rsidRPr="00963625">
        <w:rPr>
          <w:rFonts w:ascii="Segoe UI" w:eastAsia="Times New Roman" w:hAnsi="Segoe UI" w:cs="Segoe UI"/>
          <w:color w:val="212121"/>
        </w:rPr>
        <w:t>national</w:t>
      </w:r>
      <w:r w:rsidR="5E382E33" w:rsidRPr="00963625">
        <w:rPr>
          <w:rFonts w:ascii="Segoe UI" w:eastAsia="Times New Roman" w:hAnsi="Segoe UI" w:cs="Segoe UI"/>
          <w:color w:val="212121"/>
        </w:rPr>
        <w:t xml:space="preserve"> security </w:t>
      </w:r>
      <w:r w:rsidRPr="00963625">
        <w:rPr>
          <w:rFonts w:ascii="Segoe UI" w:eastAsia="Times New Roman" w:hAnsi="Segoe UI" w:cs="Segoe UI"/>
          <w:color w:val="212121"/>
        </w:rPr>
        <w:t xml:space="preserve">and </w:t>
      </w:r>
      <w:r w:rsidR="5E382E33" w:rsidRPr="00963625">
        <w:rPr>
          <w:rFonts w:ascii="Segoe UI" w:eastAsia="Times New Roman" w:hAnsi="Segoe UI" w:cs="Segoe UI"/>
          <w:color w:val="212121"/>
        </w:rPr>
        <w:t>strategic policy issues</w:t>
      </w:r>
      <w:r w:rsidR="001F2032" w:rsidRPr="00963625">
        <w:rPr>
          <w:rFonts w:ascii="Segoe UI" w:eastAsia="Times New Roman" w:hAnsi="Segoe UI" w:cs="Segoe UI"/>
          <w:color w:val="212121"/>
        </w:rPr>
        <w:t xml:space="preserve">, </w:t>
      </w:r>
      <w:r w:rsidRPr="00963625">
        <w:rPr>
          <w:rFonts w:ascii="Segoe UI" w:eastAsia="Times New Roman" w:hAnsi="Segoe UI" w:cs="Segoe UI"/>
          <w:color w:val="212121"/>
        </w:rPr>
        <w:t xml:space="preserve">especially </w:t>
      </w:r>
      <w:r w:rsidR="155C6F83" w:rsidRPr="00963625">
        <w:rPr>
          <w:rFonts w:ascii="Segoe UI" w:eastAsia="Times New Roman" w:hAnsi="Segoe UI" w:cs="Segoe UI"/>
          <w:color w:val="212121"/>
        </w:rPr>
        <w:t>Defence</w:t>
      </w:r>
      <w:r w:rsidR="0CEE11B3" w:rsidRPr="00963625">
        <w:rPr>
          <w:rFonts w:ascii="Segoe UI" w:eastAsia="Times New Roman" w:hAnsi="Segoe UI" w:cs="Segoe UI"/>
          <w:color w:val="212121"/>
        </w:rPr>
        <w:t>,</w:t>
      </w:r>
      <w:r w:rsidR="155C6F83" w:rsidRPr="00963625">
        <w:rPr>
          <w:rFonts w:ascii="Segoe UI" w:eastAsia="Times New Roman" w:hAnsi="Segoe UI" w:cs="Segoe UI"/>
          <w:color w:val="212121"/>
        </w:rPr>
        <w:t xml:space="preserve"> critical infrastructure</w:t>
      </w:r>
      <w:r w:rsidR="5AB5833B" w:rsidRPr="00963625">
        <w:rPr>
          <w:rFonts w:ascii="Segoe UI" w:eastAsia="Times New Roman" w:hAnsi="Segoe UI" w:cs="Segoe UI"/>
          <w:color w:val="212121"/>
        </w:rPr>
        <w:t>,</w:t>
      </w:r>
      <w:r w:rsidR="155C6F83" w:rsidRPr="00963625">
        <w:rPr>
          <w:rFonts w:ascii="Segoe UI" w:eastAsia="Times New Roman" w:hAnsi="Segoe UI" w:cs="Segoe UI"/>
          <w:color w:val="212121"/>
        </w:rPr>
        <w:t xml:space="preserve"> countering foreign interference and cyber security. The view that national security is purely the </w:t>
      </w:r>
      <w:r w:rsidR="5F0D8DB9" w:rsidRPr="00963625">
        <w:rPr>
          <w:rFonts w:ascii="Segoe UI" w:eastAsia="Times New Roman" w:hAnsi="Segoe UI" w:cs="Segoe UI"/>
          <w:color w:val="212121"/>
        </w:rPr>
        <w:t xml:space="preserve">remit of the federal </w:t>
      </w:r>
      <w:r w:rsidR="1527B9AE" w:rsidRPr="00963625">
        <w:rPr>
          <w:rFonts w:ascii="Segoe UI" w:eastAsia="Times New Roman" w:hAnsi="Segoe UI" w:cs="Segoe UI"/>
          <w:color w:val="212121"/>
        </w:rPr>
        <w:t>government</w:t>
      </w:r>
      <w:r w:rsidR="5F0D8DB9" w:rsidRPr="00963625">
        <w:rPr>
          <w:rFonts w:ascii="Segoe UI" w:eastAsia="Times New Roman" w:hAnsi="Segoe UI" w:cs="Segoe UI"/>
          <w:color w:val="212121"/>
        </w:rPr>
        <w:t xml:space="preserve"> </w:t>
      </w:r>
      <w:r w:rsidR="3F98E5E1" w:rsidRPr="00963625">
        <w:rPr>
          <w:rFonts w:ascii="Segoe UI" w:eastAsia="Times New Roman" w:hAnsi="Segoe UI" w:cs="Segoe UI"/>
          <w:color w:val="212121"/>
        </w:rPr>
        <w:t xml:space="preserve">no longer </w:t>
      </w:r>
      <w:r w:rsidR="35D4C9FD" w:rsidRPr="00963625">
        <w:rPr>
          <w:rFonts w:ascii="Segoe UI" w:eastAsia="Times New Roman" w:hAnsi="Segoe UI" w:cs="Segoe UI"/>
          <w:color w:val="212121"/>
        </w:rPr>
        <w:t>holds and</w:t>
      </w:r>
      <w:r w:rsidR="3F98E5E1" w:rsidRPr="00963625">
        <w:rPr>
          <w:rFonts w:ascii="Segoe UI" w:eastAsia="Times New Roman" w:hAnsi="Segoe UI" w:cs="Segoe UI"/>
          <w:color w:val="212121"/>
        </w:rPr>
        <w:t xml:space="preserve"> think tanks can help ensure the relationships and understanding </w:t>
      </w:r>
      <w:r w:rsidRPr="00963625">
        <w:rPr>
          <w:rFonts w:ascii="Segoe UI" w:eastAsia="Times New Roman" w:hAnsi="Segoe UI" w:cs="Segoe UI"/>
          <w:color w:val="212121"/>
        </w:rPr>
        <w:t xml:space="preserve">among </w:t>
      </w:r>
      <w:r w:rsidR="3F98E5E1" w:rsidRPr="00963625">
        <w:rPr>
          <w:rFonts w:ascii="Segoe UI" w:eastAsia="Times New Roman" w:hAnsi="Segoe UI" w:cs="Segoe UI"/>
          <w:color w:val="212121"/>
        </w:rPr>
        <w:t>state</w:t>
      </w:r>
      <w:r w:rsidRPr="00963625">
        <w:rPr>
          <w:rFonts w:ascii="Segoe UI" w:eastAsia="Times New Roman" w:hAnsi="Segoe UI" w:cs="Segoe UI"/>
          <w:color w:val="212121"/>
        </w:rPr>
        <w:t xml:space="preserve">, territory and </w:t>
      </w:r>
      <w:r w:rsidR="3F98E5E1" w:rsidRPr="00963625">
        <w:rPr>
          <w:rFonts w:ascii="Segoe UI" w:eastAsia="Times New Roman" w:hAnsi="Segoe UI" w:cs="Segoe UI"/>
          <w:color w:val="212121"/>
        </w:rPr>
        <w:t>federal governments is more effective.</w:t>
      </w:r>
      <w:r w:rsidR="0F04E25F" w:rsidRPr="00963625">
        <w:rPr>
          <w:rFonts w:ascii="Segoe UI" w:eastAsia="Times New Roman" w:hAnsi="Segoe UI" w:cs="Segoe UI"/>
          <w:color w:val="212121"/>
        </w:rPr>
        <w:t xml:space="preserve"> </w:t>
      </w:r>
    </w:p>
    <w:p w14:paraId="06E46134" w14:textId="77777777" w:rsidR="00B94D1E" w:rsidRPr="00963625" w:rsidRDefault="00B94D1E"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 xml:space="preserve">Adelaide and Brisbane would be logical places for new </w:t>
      </w:r>
      <w:r w:rsidR="6DFC1C24" w:rsidRPr="00963625">
        <w:rPr>
          <w:rFonts w:ascii="Segoe UI" w:eastAsia="Times New Roman" w:hAnsi="Segoe UI" w:cs="Segoe UI"/>
          <w:color w:val="212121"/>
        </w:rPr>
        <w:t xml:space="preserve">or improved </w:t>
      </w:r>
      <w:r w:rsidRPr="00963625">
        <w:rPr>
          <w:rFonts w:ascii="Segoe UI" w:eastAsia="Times New Roman" w:hAnsi="Segoe UI" w:cs="Segoe UI"/>
          <w:color w:val="212121"/>
        </w:rPr>
        <w:t>think tanks</w:t>
      </w:r>
      <w:r w:rsidR="000E48D6" w:rsidRPr="00963625">
        <w:rPr>
          <w:rFonts w:ascii="Segoe UI" w:eastAsia="Times New Roman" w:hAnsi="Segoe UI" w:cs="Segoe UI"/>
          <w:color w:val="212121"/>
        </w:rPr>
        <w:t xml:space="preserve"> and </w:t>
      </w:r>
      <w:r w:rsidRPr="00963625">
        <w:rPr>
          <w:rFonts w:ascii="Segoe UI" w:eastAsia="Times New Roman" w:hAnsi="Segoe UI" w:cs="Segoe UI"/>
          <w:color w:val="212121"/>
        </w:rPr>
        <w:t xml:space="preserve">Melbourne’s capability </w:t>
      </w:r>
      <w:r w:rsidR="15420BC5" w:rsidRPr="00963625">
        <w:rPr>
          <w:rFonts w:ascii="Segoe UI" w:eastAsia="Times New Roman" w:hAnsi="Segoe UI" w:cs="Segoe UI"/>
          <w:color w:val="212121"/>
        </w:rPr>
        <w:t xml:space="preserve">could be </w:t>
      </w:r>
      <w:r w:rsidRPr="00963625">
        <w:rPr>
          <w:rFonts w:ascii="Segoe UI" w:eastAsia="Times New Roman" w:hAnsi="Segoe UI" w:cs="Segoe UI"/>
          <w:color w:val="212121"/>
        </w:rPr>
        <w:t>bolstered</w:t>
      </w:r>
      <w:r w:rsidR="105C01B9" w:rsidRPr="00963625">
        <w:rPr>
          <w:rFonts w:ascii="Segoe UI" w:eastAsia="Times New Roman" w:hAnsi="Segoe UI" w:cs="Segoe UI"/>
          <w:color w:val="212121"/>
        </w:rPr>
        <w:t xml:space="preserve"> given it</w:t>
      </w:r>
      <w:r w:rsidR="000E48D6" w:rsidRPr="00963625">
        <w:rPr>
          <w:rFonts w:ascii="Segoe UI" w:eastAsia="Times New Roman" w:hAnsi="Segoe UI" w:cs="Segoe UI"/>
          <w:color w:val="212121"/>
        </w:rPr>
        <w:t xml:space="preserve"> currently has a</w:t>
      </w:r>
      <w:r w:rsidR="105C01B9" w:rsidRPr="00963625">
        <w:rPr>
          <w:rFonts w:ascii="Segoe UI" w:eastAsia="Times New Roman" w:hAnsi="Segoe UI" w:cs="Segoe UI"/>
          <w:color w:val="212121"/>
        </w:rPr>
        <w:t xml:space="preserve"> relatively small national security policy footprint</w:t>
      </w:r>
      <w:r w:rsidRPr="00963625">
        <w:rPr>
          <w:rFonts w:ascii="Segoe UI" w:eastAsia="Times New Roman" w:hAnsi="Segoe UI" w:cs="Segoe UI"/>
          <w:color w:val="212121"/>
        </w:rPr>
        <w:t xml:space="preserve">. </w:t>
      </w:r>
    </w:p>
    <w:p w14:paraId="06E46135" w14:textId="77777777" w:rsidR="00914935" w:rsidRPr="00963625" w:rsidRDefault="00914935"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 xml:space="preserve">Our current </w:t>
      </w:r>
      <w:r w:rsidR="611AA9BC" w:rsidRPr="00963625">
        <w:rPr>
          <w:rFonts w:ascii="Segoe UI" w:eastAsia="Times New Roman" w:hAnsi="Segoe UI" w:cs="Segoe UI"/>
          <w:color w:val="212121"/>
        </w:rPr>
        <w:t xml:space="preserve">policy discourse </w:t>
      </w:r>
      <w:r w:rsidRPr="00963625">
        <w:rPr>
          <w:rFonts w:ascii="Segoe UI" w:eastAsia="Times New Roman" w:hAnsi="Segoe UI" w:cs="Segoe UI"/>
          <w:color w:val="212121"/>
        </w:rPr>
        <w:t>tends to be quite narrow.</w:t>
      </w:r>
      <w:r w:rsidR="009210B7" w:rsidRPr="00963625">
        <w:rPr>
          <w:rFonts w:ascii="Segoe UI" w:eastAsia="Times New Roman" w:hAnsi="Segoe UI" w:cs="Segoe UI"/>
          <w:color w:val="212121"/>
        </w:rPr>
        <w:t xml:space="preserve"> </w:t>
      </w:r>
      <w:r w:rsidR="22D7216A" w:rsidRPr="00963625">
        <w:rPr>
          <w:rFonts w:ascii="Segoe UI" w:eastAsia="Times New Roman" w:hAnsi="Segoe UI" w:cs="Segoe UI"/>
          <w:color w:val="212121"/>
        </w:rPr>
        <w:t xml:space="preserve">Defence capability and geo-strategic issues are, rightly, </w:t>
      </w:r>
      <w:r w:rsidRPr="00963625">
        <w:rPr>
          <w:rFonts w:ascii="Segoe UI" w:eastAsia="Times New Roman" w:hAnsi="Segoe UI" w:cs="Segoe UI"/>
          <w:color w:val="212121"/>
        </w:rPr>
        <w:t xml:space="preserve">reasonably </w:t>
      </w:r>
      <w:r w:rsidR="22D7216A" w:rsidRPr="00963625">
        <w:rPr>
          <w:rFonts w:ascii="Segoe UI" w:eastAsia="Times New Roman" w:hAnsi="Segoe UI" w:cs="Segoe UI"/>
          <w:color w:val="212121"/>
        </w:rPr>
        <w:t>well represented in current dis</w:t>
      </w:r>
      <w:r w:rsidRPr="00963625">
        <w:rPr>
          <w:rFonts w:ascii="Segoe UI" w:eastAsia="Times New Roman" w:hAnsi="Segoe UI" w:cs="Segoe UI"/>
          <w:color w:val="212121"/>
        </w:rPr>
        <w:t>cussions</w:t>
      </w:r>
      <w:r w:rsidR="22D7216A" w:rsidRPr="00963625">
        <w:rPr>
          <w:rFonts w:ascii="Segoe UI" w:eastAsia="Times New Roman" w:hAnsi="Segoe UI" w:cs="Segoe UI"/>
          <w:color w:val="212121"/>
        </w:rPr>
        <w:t xml:space="preserve">. </w:t>
      </w:r>
      <w:r w:rsidR="150CBD8E" w:rsidRPr="00963625">
        <w:rPr>
          <w:rFonts w:ascii="Segoe UI" w:eastAsia="Times New Roman" w:hAnsi="Segoe UI" w:cs="Segoe UI"/>
          <w:color w:val="212121"/>
        </w:rPr>
        <w:t xml:space="preserve">In other areas however debate is either largely </w:t>
      </w:r>
      <w:r w:rsidR="2C83CDFB" w:rsidRPr="00963625">
        <w:rPr>
          <w:rFonts w:ascii="Segoe UI" w:eastAsia="Times New Roman" w:hAnsi="Segoe UI" w:cs="Segoe UI"/>
          <w:color w:val="212121"/>
        </w:rPr>
        <w:t>absent</w:t>
      </w:r>
      <w:r w:rsidR="150CBD8E" w:rsidRPr="00963625">
        <w:rPr>
          <w:rFonts w:ascii="Segoe UI" w:eastAsia="Times New Roman" w:hAnsi="Segoe UI" w:cs="Segoe UI"/>
          <w:color w:val="212121"/>
        </w:rPr>
        <w:t xml:space="preserve"> or is conducted by so few analysts that </w:t>
      </w:r>
      <w:r w:rsidRPr="00963625">
        <w:rPr>
          <w:rFonts w:ascii="Segoe UI" w:eastAsia="Times New Roman" w:hAnsi="Segoe UI" w:cs="Segoe UI"/>
          <w:color w:val="212121"/>
        </w:rPr>
        <w:t xml:space="preserve">it </w:t>
      </w:r>
      <w:r w:rsidR="150CBD8E" w:rsidRPr="00963625">
        <w:rPr>
          <w:rFonts w:ascii="Segoe UI" w:eastAsia="Times New Roman" w:hAnsi="Segoe UI" w:cs="Segoe UI"/>
          <w:color w:val="212121"/>
        </w:rPr>
        <w:t xml:space="preserve">lacks </w:t>
      </w:r>
      <w:r w:rsidRPr="00963625">
        <w:rPr>
          <w:rFonts w:ascii="Segoe UI" w:eastAsia="Times New Roman" w:hAnsi="Segoe UI" w:cs="Segoe UI"/>
          <w:color w:val="212121"/>
        </w:rPr>
        <w:t xml:space="preserve">depth and </w:t>
      </w:r>
      <w:r w:rsidR="150CBD8E" w:rsidRPr="00963625">
        <w:rPr>
          <w:rFonts w:ascii="Segoe UI" w:eastAsia="Times New Roman" w:hAnsi="Segoe UI" w:cs="Segoe UI"/>
          <w:color w:val="212121"/>
        </w:rPr>
        <w:t xml:space="preserve">diversity. </w:t>
      </w:r>
    </w:p>
    <w:p w14:paraId="06E46136" w14:textId="77777777" w:rsidR="00AD7008" w:rsidRPr="00963625" w:rsidRDefault="44EF9D08" w:rsidP="00002621">
      <w:pPr>
        <w:pStyle w:val="ListParagraph"/>
        <w:numPr>
          <w:ilvl w:val="0"/>
          <w:numId w:val="22"/>
        </w:numPr>
        <w:spacing w:line="259" w:lineRule="auto"/>
        <w:ind w:left="0" w:firstLine="0"/>
        <w:contextualSpacing w:val="0"/>
        <w:rPr>
          <w:rFonts w:ascii="Segoe UI" w:eastAsia="Times New Roman" w:hAnsi="Segoe UI" w:cs="Segoe UI"/>
          <w:color w:val="212121"/>
        </w:rPr>
      </w:pPr>
      <w:r w:rsidRPr="770AD924">
        <w:rPr>
          <w:rFonts w:ascii="Segoe UI" w:eastAsia="Times New Roman" w:hAnsi="Segoe UI" w:cs="Segoe UI"/>
          <w:color w:val="212121"/>
        </w:rPr>
        <w:t xml:space="preserve">For a think tank to have appropriate heft to contribute to debates it would likely require </w:t>
      </w:r>
      <w:r w:rsidR="00EF104D" w:rsidRPr="770AD924">
        <w:rPr>
          <w:rFonts w:ascii="Segoe UI" w:eastAsia="Times New Roman" w:hAnsi="Segoe UI" w:cs="Segoe UI"/>
          <w:color w:val="212121"/>
        </w:rPr>
        <w:t xml:space="preserve">more </w:t>
      </w:r>
      <w:r w:rsidRPr="770AD924">
        <w:rPr>
          <w:rFonts w:ascii="Segoe UI" w:eastAsia="Times New Roman" w:hAnsi="Segoe UI" w:cs="Segoe UI"/>
          <w:color w:val="212121"/>
        </w:rPr>
        <w:t>personnel,</w:t>
      </w:r>
      <w:r w:rsidR="00EF104D" w:rsidRPr="770AD924">
        <w:rPr>
          <w:rFonts w:ascii="Segoe UI" w:eastAsia="Times New Roman" w:hAnsi="Segoe UI" w:cs="Segoe UI"/>
          <w:color w:val="212121"/>
        </w:rPr>
        <w:t xml:space="preserve"> </w:t>
      </w:r>
      <w:r w:rsidRPr="770AD924">
        <w:rPr>
          <w:rFonts w:ascii="Segoe UI" w:eastAsia="Times New Roman" w:hAnsi="Segoe UI" w:cs="Segoe UI"/>
          <w:color w:val="212121"/>
        </w:rPr>
        <w:t xml:space="preserve">most are operating </w:t>
      </w:r>
      <w:r w:rsidR="00EF104D" w:rsidRPr="770AD924">
        <w:rPr>
          <w:rFonts w:ascii="Segoe UI" w:eastAsia="Times New Roman" w:hAnsi="Segoe UI" w:cs="Segoe UI"/>
          <w:color w:val="212121"/>
        </w:rPr>
        <w:t xml:space="preserve">with less than </w:t>
      </w:r>
      <w:r w:rsidRPr="770AD924">
        <w:rPr>
          <w:rFonts w:ascii="Segoe UI" w:eastAsia="Times New Roman" w:hAnsi="Segoe UI" w:cs="Segoe UI"/>
          <w:color w:val="212121"/>
        </w:rPr>
        <w:t xml:space="preserve">10. </w:t>
      </w:r>
      <w:r w:rsidR="007C1DAE" w:rsidRPr="770AD924">
        <w:rPr>
          <w:rFonts w:ascii="Segoe UI" w:eastAsia="Times New Roman" w:hAnsi="Segoe UI" w:cs="Segoe UI"/>
          <w:color w:val="212121"/>
        </w:rPr>
        <w:t xml:space="preserve">We need more voices </w:t>
      </w:r>
      <w:r w:rsidR="00882219" w:rsidRPr="770AD924">
        <w:rPr>
          <w:rFonts w:ascii="Segoe UI" w:eastAsia="Times New Roman" w:hAnsi="Segoe UI" w:cs="Segoe UI"/>
          <w:color w:val="212121"/>
        </w:rPr>
        <w:t xml:space="preserve">from </w:t>
      </w:r>
      <w:r w:rsidR="17CB072E" w:rsidRPr="770AD924">
        <w:rPr>
          <w:rFonts w:ascii="Segoe UI" w:eastAsia="Times New Roman" w:hAnsi="Segoe UI" w:cs="Segoe UI"/>
          <w:color w:val="212121"/>
        </w:rPr>
        <w:t xml:space="preserve">across the </w:t>
      </w:r>
      <w:r w:rsidR="649C7F22" w:rsidRPr="770AD924">
        <w:rPr>
          <w:rFonts w:ascii="Segoe UI" w:eastAsia="Times New Roman" w:hAnsi="Segoe UI" w:cs="Segoe UI"/>
          <w:color w:val="212121"/>
        </w:rPr>
        <w:t>landscape</w:t>
      </w:r>
      <w:r w:rsidR="382F6387" w:rsidRPr="770AD924">
        <w:rPr>
          <w:rFonts w:ascii="Segoe UI" w:eastAsia="Times New Roman" w:hAnsi="Segoe UI" w:cs="Segoe UI"/>
          <w:color w:val="212121"/>
        </w:rPr>
        <w:t xml:space="preserve">, </w:t>
      </w:r>
      <w:r w:rsidR="5CC3BCF0" w:rsidRPr="770AD924">
        <w:rPr>
          <w:rFonts w:ascii="Segoe UI" w:eastAsia="Times New Roman" w:hAnsi="Segoe UI" w:cs="Segoe UI"/>
          <w:color w:val="212121"/>
        </w:rPr>
        <w:t>and</w:t>
      </w:r>
      <w:r w:rsidR="4DEA56D6" w:rsidRPr="770AD924">
        <w:rPr>
          <w:rFonts w:ascii="Segoe UI" w:eastAsia="Times New Roman" w:hAnsi="Segoe UI" w:cs="Segoe UI"/>
          <w:color w:val="212121"/>
        </w:rPr>
        <w:t xml:space="preserve"> </w:t>
      </w:r>
      <w:r w:rsidR="382F6387" w:rsidRPr="770AD924">
        <w:rPr>
          <w:rFonts w:ascii="Segoe UI" w:eastAsia="Times New Roman" w:hAnsi="Segoe UI" w:cs="Segoe UI"/>
          <w:color w:val="212121"/>
        </w:rPr>
        <w:t>the</w:t>
      </w:r>
      <w:r w:rsidR="00692138" w:rsidRPr="770AD924">
        <w:rPr>
          <w:rFonts w:ascii="Segoe UI" w:eastAsia="Times New Roman" w:hAnsi="Segoe UI" w:cs="Segoe UI"/>
          <w:color w:val="212121"/>
        </w:rPr>
        <w:t xml:space="preserve"> entire sector, big and small organisations, could be </w:t>
      </w:r>
      <w:r w:rsidR="382F6387" w:rsidRPr="770AD924">
        <w:rPr>
          <w:rFonts w:ascii="Segoe UI" w:eastAsia="Times New Roman" w:hAnsi="Segoe UI" w:cs="Segoe UI"/>
          <w:color w:val="212121"/>
        </w:rPr>
        <w:t>bolster</w:t>
      </w:r>
      <w:r w:rsidR="00692138" w:rsidRPr="770AD924">
        <w:rPr>
          <w:rFonts w:ascii="Segoe UI" w:eastAsia="Times New Roman" w:hAnsi="Segoe UI" w:cs="Segoe UI"/>
          <w:color w:val="212121"/>
        </w:rPr>
        <w:t>ed</w:t>
      </w:r>
      <w:r w:rsidR="382F6387" w:rsidRPr="770AD924">
        <w:rPr>
          <w:rFonts w:ascii="Segoe UI" w:eastAsia="Times New Roman" w:hAnsi="Segoe UI" w:cs="Segoe UI"/>
          <w:color w:val="212121"/>
        </w:rPr>
        <w:t xml:space="preserve">. </w:t>
      </w:r>
    </w:p>
    <w:p w14:paraId="06E46137" w14:textId="77777777" w:rsidR="00B94D1E" w:rsidRPr="00963625" w:rsidRDefault="000777A8"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E</w:t>
      </w:r>
      <w:r w:rsidR="22D7216A" w:rsidRPr="00963625">
        <w:rPr>
          <w:rFonts w:ascii="Segoe UI" w:eastAsia="Times New Roman" w:hAnsi="Segoe UI" w:cs="Segoe UI"/>
          <w:color w:val="212121"/>
        </w:rPr>
        <w:t>conomic</w:t>
      </w:r>
      <w:r w:rsidRPr="00963625">
        <w:rPr>
          <w:rFonts w:ascii="Segoe UI" w:eastAsia="Times New Roman" w:hAnsi="Segoe UI" w:cs="Segoe UI"/>
          <w:color w:val="212121"/>
        </w:rPr>
        <w:t xml:space="preserve"> </w:t>
      </w:r>
      <w:r w:rsidR="22D7216A" w:rsidRPr="00963625">
        <w:rPr>
          <w:rFonts w:ascii="Segoe UI" w:eastAsia="Times New Roman" w:hAnsi="Segoe UI" w:cs="Segoe UI"/>
          <w:color w:val="212121"/>
        </w:rPr>
        <w:t>s</w:t>
      </w:r>
      <w:r w:rsidRPr="00963625">
        <w:rPr>
          <w:rFonts w:ascii="Segoe UI" w:eastAsia="Times New Roman" w:hAnsi="Segoe UI" w:cs="Segoe UI"/>
          <w:color w:val="212121"/>
        </w:rPr>
        <w:t>ecurity</w:t>
      </w:r>
      <w:r w:rsidR="22D7216A" w:rsidRPr="00963625">
        <w:rPr>
          <w:rFonts w:ascii="Segoe UI" w:eastAsia="Times New Roman" w:hAnsi="Segoe UI" w:cs="Segoe UI"/>
          <w:color w:val="212121"/>
        </w:rPr>
        <w:t xml:space="preserve"> </w:t>
      </w:r>
      <w:r w:rsidR="00AD7008" w:rsidRPr="00963625">
        <w:rPr>
          <w:rFonts w:ascii="Segoe UI" w:eastAsia="Times New Roman" w:hAnsi="Segoe UI" w:cs="Segoe UI"/>
          <w:color w:val="212121"/>
        </w:rPr>
        <w:t>also</w:t>
      </w:r>
      <w:r w:rsidR="22D7216A" w:rsidRPr="00963625">
        <w:rPr>
          <w:rFonts w:ascii="Segoe UI" w:eastAsia="Times New Roman" w:hAnsi="Segoe UI" w:cs="Segoe UI"/>
          <w:color w:val="212121"/>
        </w:rPr>
        <w:t xml:space="preserve"> </w:t>
      </w:r>
      <w:r w:rsidR="3BF871D6" w:rsidRPr="00963625">
        <w:rPr>
          <w:rFonts w:ascii="Segoe UI" w:eastAsia="Times New Roman" w:hAnsi="Segoe UI" w:cs="Segoe UI"/>
          <w:color w:val="212121"/>
        </w:rPr>
        <w:t xml:space="preserve">came up </w:t>
      </w:r>
      <w:r w:rsidR="6B97B7BF" w:rsidRPr="00963625">
        <w:rPr>
          <w:rFonts w:ascii="Segoe UI" w:eastAsia="Times New Roman" w:hAnsi="Segoe UI" w:cs="Segoe UI"/>
          <w:color w:val="212121"/>
        </w:rPr>
        <w:t>regularly</w:t>
      </w:r>
      <w:r w:rsidR="3BF871D6" w:rsidRPr="00963625">
        <w:rPr>
          <w:rFonts w:ascii="Segoe UI" w:eastAsia="Times New Roman" w:hAnsi="Segoe UI" w:cs="Segoe UI"/>
          <w:color w:val="212121"/>
        </w:rPr>
        <w:t xml:space="preserve"> in my consultations and is a clear gap in the current system. </w:t>
      </w:r>
      <w:r w:rsidR="5A02A180" w:rsidRPr="00963625">
        <w:rPr>
          <w:rFonts w:ascii="Segoe UI" w:eastAsia="Times New Roman" w:hAnsi="Segoe UI" w:cs="Segoe UI"/>
          <w:color w:val="212121"/>
        </w:rPr>
        <w:t>The fusion of economic and na</w:t>
      </w:r>
      <w:r w:rsidR="58718261" w:rsidRPr="00963625">
        <w:rPr>
          <w:rFonts w:ascii="Segoe UI" w:eastAsia="Times New Roman" w:hAnsi="Segoe UI" w:cs="Segoe UI"/>
          <w:color w:val="212121"/>
        </w:rPr>
        <w:t>ti</w:t>
      </w:r>
      <w:r w:rsidR="5A02A180" w:rsidRPr="00963625">
        <w:rPr>
          <w:rFonts w:ascii="Segoe UI" w:eastAsia="Times New Roman" w:hAnsi="Segoe UI" w:cs="Segoe UI"/>
          <w:color w:val="212121"/>
        </w:rPr>
        <w:t xml:space="preserve">onal security issues will grow in the coming years and the ability for </w:t>
      </w:r>
      <w:r w:rsidR="00473055" w:rsidRPr="00963625">
        <w:rPr>
          <w:rFonts w:ascii="Segoe UI" w:eastAsia="Times New Roman" w:hAnsi="Segoe UI" w:cs="Segoe UI"/>
          <w:color w:val="212121"/>
        </w:rPr>
        <w:t xml:space="preserve">Government </w:t>
      </w:r>
      <w:r w:rsidR="5A02A180" w:rsidRPr="00963625">
        <w:rPr>
          <w:rFonts w:ascii="Segoe UI" w:eastAsia="Times New Roman" w:hAnsi="Segoe UI" w:cs="Segoe UI"/>
          <w:color w:val="212121"/>
        </w:rPr>
        <w:t xml:space="preserve">to gain multi-disciplinary perspectives on </w:t>
      </w:r>
      <w:r w:rsidR="6FFF2145" w:rsidRPr="00963625">
        <w:rPr>
          <w:rFonts w:ascii="Segoe UI" w:eastAsia="Times New Roman" w:hAnsi="Segoe UI" w:cs="Segoe UI"/>
          <w:color w:val="212121"/>
        </w:rPr>
        <w:t>these</w:t>
      </w:r>
      <w:r w:rsidR="5A02A180" w:rsidRPr="00963625">
        <w:rPr>
          <w:rFonts w:ascii="Segoe UI" w:eastAsia="Times New Roman" w:hAnsi="Segoe UI" w:cs="Segoe UI"/>
          <w:color w:val="212121"/>
        </w:rPr>
        <w:t xml:space="preserve"> challenges will be critical. A think tank modelled </w:t>
      </w:r>
      <w:r w:rsidR="571FD0F8" w:rsidRPr="00963625">
        <w:rPr>
          <w:rFonts w:ascii="Segoe UI" w:eastAsia="Times New Roman" w:hAnsi="Segoe UI" w:cs="Segoe UI"/>
          <w:color w:val="212121"/>
        </w:rPr>
        <w:t>on</w:t>
      </w:r>
      <w:r w:rsidR="5798E313" w:rsidRPr="00963625">
        <w:rPr>
          <w:rFonts w:ascii="Segoe UI" w:eastAsia="Times New Roman" w:hAnsi="Segoe UI" w:cs="Segoe UI"/>
          <w:color w:val="212121"/>
        </w:rPr>
        <w:t xml:space="preserve"> </w:t>
      </w:r>
      <w:r w:rsidR="5A02A180" w:rsidRPr="00963625">
        <w:rPr>
          <w:rFonts w:ascii="Segoe UI" w:eastAsia="Times New Roman" w:hAnsi="Segoe UI" w:cs="Segoe UI"/>
          <w:color w:val="212121"/>
        </w:rPr>
        <w:t>the Peters</w:t>
      </w:r>
      <w:r w:rsidR="214E6613" w:rsidRPr="00963625">
        <w:rPr>
          <w:rFonts w:ascii="Segoe UI" w:eastAsia="Times New Roman" w:hAnsi="Segoe UI" w:cs="Segoe UI"/>
          <w:color w:val="212121"/>
        </w:rPr>
        <w:t xml:space="preserve">on Institute for </w:t>
      </w:r>
      <w:r w:rsidR="747B13CC" w:rsidRPr="00963625">
        <w:rPr>
          <w:rFonts w:ascii="Segoe UI" w:eastAsia="Times New Roman" w:hAnsi="Segoe UI" w:cs="Segoe UI"/>
          <w:color w:val="212121"/>
        </w:rPr>
        <w:t>International</w:t>
      </w:r>
      <w:r w:rsidR="214E6613" w:rsidRPr="00963625">
        <w:rPr>
          <w:rFonts w:ascii="Segoe UI" w:eastAsia="Times New Roman" w:hAnsi="Segoe UI" w:cs="Segoe UI"/>
          <w:color w:val="212121"/>
        </w:rPr>
        <w:t xml:space="preserve"> Economics</w:t>
      </w:r>
      <w:r w:rsidR="00830846" w:rsidRPr="00830846">
        <w:rPr>
          <w:rStyle w:val="FootnoteReference"/>
          <w:rFonts w:ascii="Segoe UI" w:eastAsia="Times New Roman" w:hAnsi="Segoe UI" w:cs="Segoe UI"/>
          <w:color w:val="212121"/>
          <w:vertAlign w:val="superscript"/>
        </w:rPr>
        <w:footnoteReference w:id="9"/>
      </w:r>
      <w:r w:rsidR="214E6613" w:rsidRPr="00963625">
        <w:rPr>
          <w:rFonts w:ascii="Segoe UI" w:eastAsia="Times New Roman" w:hAnsi="Segoe UI" w:cs="Segoe UI"/>
          <w:color w:val="212121"/>
        </w:rPr>
        <w:t xml:space="preserve"> </w:t>
      </w:r>
      <w:r w:rsidR="543677F6" w:rsidRPr="00963625">
        <w:rPr>
          <w:rFonts w:ascii="Segoe UI" w:eastAsia="Times New Roman" w:hAnsi="Segoe UI" w:cs="Segoe UI"/>
          <w:color w:val="212121"/>
        </w:rPr>
        <w:t xml:space="preserve">would provide great benefit to Australian policy making. </w:t>
      </w:r>
    </w:p>
    <w:p w14:paraId="06E46138" w14:textId="77777777" w:rsidR="00914935" w:rsidRPr="00963625" w:rsidRDefault="00914935"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T</w:t>
      </w:r>
      <w:r w:rsidR="4C9B2151" w:rsidRPr="00963625">
        <w:rPr>
          <w:rFonts w:ascii="Segoe UI" w:eastAsia="Times New Roman" w:hAnsi="Segoe UI" w:cs="Segoe UI"/>
          <w:color w:val="212121"/>
        </w:rPr>
        <w:t xml:space="preserve">he sector is under-servicing some of Australia's major international partnerships. </w:t>
      </w:r>
      <w:r w:rsidR="0C097277" w:rsidRPr="00963625">
        <w:rPr>
          <w:rFonts w:ascii="Segoe UI" w:eastAsia="Times New Roman" w:hAnsi="Segoe UI" w:cs="Segoe UI"/>
          <w:color w:val="212121"/>
        </w:rPr>
        <w:t xml:space="preserve">Experts on the </w:t>
      </w:r>
      <w:r w:rsidR="4C9B2151" w:rsidRPr="00963625">
        <w:rPr>
          <w:rFonts w:ascii="Segoe UI" w:eastAsia="Times New Roman" w:hAnsi="Segoe UI" w:cs="Segoe UI"/>
          <w:color w:val="212121"/>
        </w:rPr>
        <w:t xml:space="preserve">US Alliance </w:t>
      </w:r>
      <w:r w:rsidR="3FDB292D" w:rsidRPr="00963625">
        <w:rPr>
          <w:rFonts w:ascii="Segoe UI" w:eastAsia="Times New Roman" w:hAnsi="Segoe UI" w:cs="Segoe UI"/>
          <w:color w:val="212121"/>
        </w:rPr>
        <w:t>are</w:t>
      </w:r>
      <w:r w:rsidR="4C9B2151" w:rsidRPr="00963625">
        <w:rPr>
          <w:rFonts w:ascii="Segoe UI" w:eastAsia="Times New Roman" w:hAnsi="Segoe UI" w:cs="Segoe UI"/>
          <w:color w:val="212121"/>
        </w:rPr>
        <w:t xml:space="preserve">, rightly, well represented </w:t>
      </w:r>
      <w:r w:rsidR="5215DC2C" w:rsidRPr="00963625">
        <w:rPr>
          <w:rFonts w:ascii="Segoe UI" w:eastAsia="Times New Roman" w:hAnsi="Segoe UI" w:cs="Segoe UI"/>
          <w:color w:val="212121"/>
        </w:rPr>
        <w:t>across the</w:t>
      </w:r>
      <w:r w:rsidR="00692138" w:rsidRPr="00963625">
        <w:rPr>
          <w:rFonts w:ascii="Segoe UI" w:eastAsia="Times New Roman" w:hAnsi="Segoe UI" w:cs="Segoe UI"/>
          <w:color w:val="212121"/>
        </w:rPr>
        <w:t xml:space="preserve"> sector</w:t>
      </w:r>
      <w:r w:rsidR="5215DC2C" w:rsidRPr="00963625">
        <w:rPr>
          <w:rFonts w:ascii="Segoe UI" w:eastAsia="Times New Roman" w:hAnsi="Segoe UI" w:cs="Segoe UI"/>
          <w:color w:val="212121"/>
        </w:rPr>
        <w:t xml:space="preserve">. </w:t>
      </w:r>
      <w:r w:rsidR="0CF85480" w:rsidRPr="00963625">
        <w:rPr>
          <w:rFonts w:ascii="Segoe UI" w:eastAsia="Times New Roman" w:hAnsi="Segoe UI" w:cs="Segoe UI"/>
          <w:color w:val="212121"/>
        </w:rPr>
        <w:t xml:space="preserve">This should continue. But we require a more informed and prominent debate across our major relationships, </w:t>
      </w:r>
      <w:r w:rsidR="04B664F6" w:rsidRPr="00963625">
        <w:rPr>
          <w:rFonts w:ascii="Segoe UI" w:eastAsia="Times New Roman" w:hAnsi="Segoe UI" w:cs="Segoe UI"/>
          <w:color w:val="212121"/>
        </w:rPr>
        <w:t xml:space="preserve">China, </w:t>
      </w:r>
      <w:r w:rsidR="43550E95" w:rsidRPr="00963625">
        <w:rPr>
          <w:rFonts w:ascii="Segoe UI" w:eastAsia="Times New Roman" w:hAnsi="Segoe UI" w:cs="Segoe UI"/>
          <w:color w:val="212121"/>
        </w:rPr>
        <w:t xml:space="preserve">India, </w:t>
      </w:r>
      <w:r w:rsidR="74B657B3" w:rsidRPr="00963625">
        <w:rPr>
          <w:rFonts w:ascii="Segoe UI" w:eastAsia="Times New Roman" w:hAnsi="Segoe UI" w:cs="Segoe UI"/>
          <w:color w:val="212121"/>
        </w:rPr>
        <w:t>Japan,</w:t>
      </w:r>
      <w:r w:rsidR="68429D2F" w:rsidRPr="00963625">
        <w:rPr>
          <w:rFonts w:ascii="Segoe UI" w:eastAsia="Times New Roman" w:hAnsi="Segoe UI" w:cs="Segoe UI"/>
          <w:color w:val="212121"/>
        </w:rPr>
        <w:t xml:space="preserve"> </w:t>
      </w:r>
      <w:r w:rsidR="0CF85480" w:rsidRPr="00963625">
        <w:rPr>
          <w:rFonts w:ascii="Segoe UI" w:eastAsia="Times New Roman" w:hAnsi="Segoe UI" w:cs="Segoe UI"/>
          <w:color w:val="212121"/>
        </w:rPr>
        <w:t>Korea</w:t>
      </w:r>
      <w:r w:rsidR="00465933" w:rsidRPr="00963625">
        <w:rPr>
          <w:rFonts w:ascii="Segoe UI" w:eastAsia="Times New Roman" w:hAnsi="Segoe UI" w:cs="Segoe UI"/>
          <w:color w:val="212121"/>
        </w:rPr>
        <w:t xml:space="preserve"> and ASEAN nations, particularly Indonesia</w:t>
      </w:r>
      <w:r w:rsidR="7C17448C" w:rsidRPr="00963625">
        <w:rPr>
          <w:rFonts w:ascii="Segoe UI" w:eastAsia="Times New Roman" w:hAnsi="Segoe UI" w:cs="Segoe UI"/>
          <w:color w:val="212121"/>
        </w:rPr>
        <w:t xml:space="preserve">. </w:t>
      </w:r>
      <w:r w:rsidR="00AD7008" w:rsidRPr="00963625">
        <w:rPr>
          <w:rFonts w:ascii="Segoe UI" w:eastAsia="Times New Roman" w:hAnsi="Segoe UI" w:cs="Segoe UI"/>
          <w:color w:val="212121"/>
        </w:rPr>
        <w:t xml:space="preserve">Our </w:t>
      </w:r>
      <w:r w:rsidRPr="00963625">
        <w:rPr>
          <w:rFonts w:ascii="Segoe UI" w:eastAsia="Times New Roman" w:hAnsi="Segoe UI" w:cs="Segoe UI"/>
          <w:color w:val="212121"/>
        </w:rPr>
        <w:t>P</w:t>
      </w:r>
      <w:r w:rsidR="00AD7008" w:rsidRPr="00963625">
        <w:rPr>
          <w:rFonts w:ascii="Segoe UI" w:eastAsia="Times New Roman" w:hAnsi="Segoe UI" w:cs="Segoe UI"/>
          <w:color w:val="212121"/>
        </w:rPr>
        <w:t xml:space="preserve">acific knowledge </w:t>
      </w:r>
      <w:r w:rsidRPr="00963625">
        <w:rPr>
          <w:rFonts w:ascii="Segoe UI" w:eastAsia="Times New Roman" w:hAnsi="Segoe UI" w:cs="Segoe UI"/>
          <w:color w:val="212121"/>
        </w:rPr>
        <w:t>has improved greatly in recent years but is still short of what we need as the major power in the South Pacific region.</w:t>
      </w:r>
    </w:p>
    <w:p w14:paraId="06E46139" w14:textId="77777777" w:rsidR="00AD7008" w:rsidRPr="00963625" w:rsidRDefault="00914935"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Part of the challenge is the scattered nature of much of our country and regional expertise.</w:t>
      </w:r>
      <w:r w:rsidR="009210B7" w:rsidRPr="00963625">
        <w:rPr>
          <w:rFonts w:ascii="Segoe UI" w:eastAsia="Times New Roman" w:hAnsi="Segoe UI" w:cs="Segoe UI"/>
          <w:color w:val="212121"/>
        </w:rPr>
        <w:t xml:space="preserve"> </w:t>
      </w:r>
      <w:r w:rsidRPr="00963625">
        <w:rPr>
          <w:rFonts w:ascii="Segoe UI" w:eastAsia="Times New Roman" w:hAnsi="Segoe UI" w:cs="Segoe UI"/>
          <w:color w:val="212121"/>
        </w:rPr>
        <w:t>If you add up all the areas across our universities working on some aspect of China, Japan, India, and Indonesia, for example, the list is not short.</w:t>
      </w:r>
      <w:r w:rsidR="009210B7" w:rsidRPr="00963625">
        <w:rPr>
          <w:rFonts w:ascii="Segoe UI" w:eastAsia="Times New Roman" w:hAnsi="Segoe UI" w:cs="Segoe UI"/>
          <w:color w:val="212121"/>
        </w:rPr>
        <w:t xml:space="preserve"> </w:t>
      </w:r>
      <w:r w:rsidRPr="00963625">
        <w:rPr>
          <w:rFonts w:ascii="Segoe UI" w:eastAsia="Times New Roman" w:hAnsi="Segoe UI" w:cs="Segoe UI"/>
          <w:color w:val="212121"/>
        </w:rPr>
        <w:t>But universities struggle to bring together even their internal expertise, let alone consolidating expertise across the sector.</w:t>
      </w:r>
      <w:r w:rsidR="009210B7" w:rsidRPr="00963625">
        <w:rPr>
          <w:rFonts w:ascii="Segoe UI" w:eastAsia="Times New Roman" w:hAnsi="Segoe UI" w:cs="Segoe UI"/>
          <w:color w:val="212121"/>
        </w:rPr>
        <w:t xml:space="preserve"> </w:t>
      </w:r>
      <w:r w:rsidRPr="00963625">
        <w:rPr>
          <w:rFonts w:ascii="Segoe UI" w:eastAsia="Times New Roman" w:hAnsi="Segoe UI" w:cs="Segoe UI"/>
          <w:color w:val="212121"/>
        </w:rPr>
        <w:t>The result is that these</w:t>
      </w:r>
      <w:r w:rsidR="009210B7" w:rsidRPr="00963625">
        <w:rPr>
          <w:rFonts w:ascii="Segoe UI" w:eastAsia="Times New Roman" w:hAnsi="Segoe UI" w:cs="Segoe UI"/>
          <w:color w:val="212121"/>
        </w:rPr>
        <w:t xml:space="preserve"> </w:t>
      </w:r>
      <w:r w:rsidRPr="00963625">
        <w:rPr>
          <w:rFonts w:ascii="Segoe UI" w:eastAsia="Times New Roman" w:hAnsi="Segoe UI" w:cs="Segoe UI"/>
          <w:color w:val="212121"/>
        </w:rPr>
        <w:t xml:space="preserve">pockets of expertise </w:t>
      </w:r>
      <w:r w:rsidR="00CF747B" w:rsidRPr="00963625">
        <w:rPr>
          <w:rFonts w:ascii="Segoe UI" w:eastAsia="Times New Roman" w:hAnsi="Segoe UI" w:cs="Segoe UI"/>
          <w:color w:val="212121"/>
        </w:rPr>
        <w:t>do not ha</w:t>
      </w:r>
      <w:r w:rsidR="00D6780A" w:rsidRPr="00963625">
        <w:rPr>
          <w:rFonts w:ascii="Segoe UI" w:eastAsia="Times New Roman" w:hAnsi="Segoe UI" w:cs="Segoe UI"/>
          <w:color w:val="212121"/>
        </w:rPr>
        <w:t xml:space="preserve">ve sufficient </w:t>
      </w:r>
      <w:r w:rsidR="001260ED" w:rsidRPr="00963625">
        <w:rPr>
          <w:rFonts w:ascii="Segoe UI" w:eastAsia="Times New Roman" w:hAnsi="Segoe UI" w:cs="Segoe UI"/>
          <w:color w:val="212121"/>
        </w:rPr>
        <w:t xml:space="preserve">weight </w:t>
      </w:r>
      <w:r w:rsidR="00D6780A" w:rsidRPr="00963625">
        <w:rPr>
          <w:rFonts w:ascii="Segoe UI" w:eastAsia="Times New Roman" w:hAnsi="Segoe UI" w:cs="Segoe UI"/>
          <w:color w:val="212121"/>
        </w:rPr>
        <w:t>to influence debates</w:t>
      </w:r>
      <w:r w:rsidRPr="00963625">
        <w:rPr>
          <w:rFonts w:ascii="Segoe UI" w:eastAsia="Times New Roman" w:hAnsi="Segoe UI" w:cs="Segoe UI"/>
          <w:color w:val="212121"/>
        </w:rPr>
        <w:t xml:space="preserve"> or help shape policy</w:t>
      </w:r>
      <w:r w:rsidR="00D6780A" w:rsidRPr="00963625">
        <w:rPr>
          <w:rFonts w:ascii="Segoe UI" w:eastAsia="Times New Roman" w:hAnsi="Segoe UI" w:cs="Segoe UI"/>
          <w:color w:val="212121"/>
        </w:rPr>
        <w:t xml:space="preserve">. </w:t>
      </w:r>
    </w:p>
    <w:p w14:paraId="06E4613A" w14:textId="77777777" w:rsidR="00AD7008" w:rsidRPr="00963625" w:rsidRDefault="00692138"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 xml:space="preserve">Australia’s </w:t>
      </w:r>
      <w:r w:rsidR="00914935" w:rsidRPr="00963625">
        <w:rPr>
          <w:rFonts w:ascii="Segoe UI" w:eastAsia="Times New Roman" w:hAnsi="Segoe UI" w:cs="Segoe UI"/>
          <w:color w:val="212121"/>
        </w:rPr>
        <w:t xml:space="preserve">falling </w:t>
      </w:r>
      <w:r w:rsidRPr="00963625">
        <w:rPr>
          <w:rFonts w:ascii="Segoe UI" w:eastAsia="Times New Roman" w:hAnsi="Segoe UI" w:cs="Segoe UI"/>
          <w:color w:val="212121"/>
        </w:rPr>
        <w:t xml:space="preserve">China expertise is a systemic failure. </w:t>
      </w:r>
      <w:r w:rsidR="00914935" w:rsidRPr="00963625">
        <w:rPr>
          <w:rFonts w:ascii="Segoe UI" w:eastAsia="Times New Roman" w:hAnsi="Segoe UI" w:cs="Segoe UI"/>
          <w:color w:val="212121"/>
        </w:rPr>
        <w:t>Across our 40 universities we produce no more than five graduates in any one year with an Honours degree in Chinese studies with language.</w:t>
      </w:r>
      <w:r w:rsidR="009210B7" w:rsidRPr="00963625">
        <w:rPr>
          <w:rFonts w:ascii="Segoe UI" w:eastAsia="Times New Roman" w:hAnsi="Segoe UI" w:cs="Segoe UI"/>
          <w:color w:val="212121"/>
        </w:rPr>
        <w:t xml:space="preserve"> </w:t>
      </w:r>
      <w:r w:rsidR="00914935" w:rsidRPr="00963625">
        <w:rPr>
          <w:rFonts w:ascii="Segoe UI" w:eastAsia="Times New Roman" w:hAnsi="Segoe UI" w:cs="Segoe UI"/>
          <w:color w:val="212121"/>
        </w:rPr>
        <w:t>Yet, a</w:t>
      </w:r>
      <w:r w:rsidR="00465933" w:rsidRPr="00963625">
        <w:rPr>
          <w:rFonts w:ascii="Segoe UI" w:eastAsia="Times New Roman" w:hAnsi="Segoe UI" w:cs="Segoe UI"/>
          <w:color w:val="212121"/>
        </w:rPr>
        <w:t>long with</w:t>
      </w:r>
      <w:r w:rsidRPr="00963625">
        <w:rPr>
          <w:rFonts w:ascii="Segoe UI" w:eastAsia="Times New Roman" w:hAnsi="Segoe UI" w:cs="Segoe UI"/>
          <w:color w:val="212121"/>
        </w:rPr>
        <w:t xml:space="preserve"> the US, China will be the country that most </w:t>
      </w:r>
      <w:r w:rsidR="00465933" w:rsidRPr="00963625">
        <w:rPr>
          <w:rFonts w:ascii="Segoe UI" w:eastAsia="Times New Roman" w:hAnsi="Segoe UI" w:cs="Segoe UI"/>
          <w:color w:val="212121"/>
        </w:rPr>
        <w:t>influences</w:t>
      </w:r>
      <w:r w:rsidRPr="00963625">
        <w:rPr>
          <w:rFonts w:ascii="Segoe UI" w:eastAsia="Times New Roman" w:hAnsi="Segoe UI" w:cs="Segoe UI"/>
          <w:color w:val="212121"/>
        </w:rPr>
        <w:t xml:space="preserve"> the world order and Australia’s place in it. </w:t>
      </w:r>
      <w:r w:rsidR="00914935" w:rsidRPr="00963625">
        <w:rPr>
          <w:rFonts w:ascii="Segoe UI" w:eastAsia="Times New Roman" w:hAnsi="Segoe UI" w:cs="Segoe UI"/>
          <w:color w:val="212121"/>
        </w:rPr>
        <w:t>The more difficult China becomes the more important it is that we understand it.</w:t>
      </w:r>
      <w:r w:rsidR="009210B7" w:rsidRPr="00963625">
        <w:rPr>
          <w:rFonts w:ascii="Segoe UI" w:eastAsia="Times New Roman" w:hAnsi="Segoe UI" w:cs="Segoe UI"/>
          <w:color w:val="212121"/>
        </w:rPr>
        <w:t xml:space="preserve"> </w:t>
      </w:r>
      <w:r w:rsidRPr="00963625">
        <w:rPr>
          <w:rFonts w:ascii="Segoe UI" w:eastAsia="Times New Roman" w:hAnsi="Segoe UI" w:cs="Segoe UI"/>
          <w:color w:val="212121"/>
        </w:rPr>
        <w:t xml:space="preserve">We must have greater depth and multi-disciplinary </w:t>
      </w:r>
      <w:r w:rsidR="00031C38" w:rsidRPr="00963625">
        <w:rPr>
          <w:rFonts w:ascii="Segoe UI" w:eastAsia="Times New Roman" w:hAnsi="Segoe UI" w:cs="Segoe UI"/>
          <w:color w:val="212121"/>
        </w:rPr>
        <w:t xml:space="preserve">experts on </w:t>
      </w:r>
      <w:r w:rsidRPr="00963625">
        <w:rPr>
          <w:rFonts w:ascii="Segoe UI" w:eastAsia="Times New Roman" w:hAnsi="Segoe UI" w:cs="Segoe UI"/>
          <w:color w:val="212121"/>
        </w:rPr>
        <w:t xml:space="preserve">China to inform the most consequential decisions </w:t>
      </w:r>
      <w:r w:rsidR="00DE4907" w:rsidRPr="00963625">
        <w:rPr>
          <w:rFonts w:ascii="Segoe UI" w:eastAsia="Times New Roman" w:hAnsi="Segoe UI" w:cs="Segoe UI"/>
          <w:color w:val="212121"/>
        </w:rPr>
        <w:t xml:space="preserve">Government </w:t>
      </w:r>
      <w:r w:rsidRPr="00963625">
        <w:rPr>
          <w:rFonts w:ascii="Segoe UI" w:eastAsia="Times New Roman" w:hAnsi="Segoe UI" w:cs="Segoe UI"/>
          <w:color w:val="212121"/>
        </w:rPr>
        <w:t xml:space="preserve">will make on Australia’s security and prosperity in the coming decades. </w:t>
      </w:r>
    </w:p>
    <w:p w14:paraId="06E4613B" w14:textId="77777777" w:rsidR="00B94D1E" w:rsidRPr="00963625" w:rsidRDefault="7C17448C"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The Australia</w:t>
      </w:r>
      <w:r w:rsidR="00F00F3E" w:rsidRPr="00963625">
        <w:rPr>
          <w:rFonts w:ascii="Segoe UI" w:eastAsia="Times New Roman" w:hAnsi="Segoe UI" w:cs="Segoe UI"/>
          <w:color w:val="212121"/>
        </w:rPr>
        <w:t xml:space="preserve"> </w:t>
      </w:r>
      <w:r w:rsidRPr="00963625">
        <w:rPr>
          <w:rFonts w:ascii="Segoe UI" w:eastAsia="Times New Roman" w:hAnsi="Segoe UI" w:cs="Segoe UI"/>
          <w:color w:val="212121"/>
        </w:rPr>
        <w:t xml:space="preserve">India Institute is building its capability on </w:t>
      </w:r>
      <w:r w:rsidR="146106C0" w:rsidRPr="00963625">
        <w:rPr>
          <w:rFonts w:ascii="Segoe UI" w:eastAsia="Times New Roman" w:hAnsi="Segoe UI" w:cs="Segoe UI"/>
          <w:color w:val="212121"/>
        </w:rPr>
        <w:t>national</w:t>
      </w:r>
      <w:r w:rsidRPr="00963625">
        <w:rPr>
          <w:rFonts w:ascii="Segoe UI" w:eastAsia="Times New Roman" w:hAnsi="Segoe UI" w:cs="Segoe UI"/>
          <w:color w:val="212121"/>
        </w:rPr>
        <w:t xml:space="preserve"> security issues, and the </w:t>
      </w:r>
      <w:r w:rsidR="5FD0B6F7" w:rsidRPr="00963625">
        <w:rPr>
          <w:rFonts w:ascii="Segoe UI" w:eastAsia="Times New Roman" w:hAnsi="Segoe UI" w:cs="Segoe UI"/>
          <w:color w:val="212121"/>
        </w:rPr>
        <w:t>recent</w:t>
      </w:r>
      <w:r w:rsidRPr="00963625">
        <w:rPr>
          <w:rFonts w:ascii="Segoe UI" w:eastAsia="Times New Roman" w:hAnsi="Segoe UI" w:cs="Segoe UI"/>
          <w:color w:val="212121"/>
        </w:rPr>
        <w:t xml:space="preserve"> f</w:t>
      </w:r>
      <w:r w:rsidR="6A1FA9B0" w:rsidRPr="00963625">
        <w:rPr>
          <w:rFonts w:ascii="Segoe UI" w:eastAsia="Times New Roman" w:hAnsi="Segoe UI" w:cs="Segoe UI"/>
          <w:color w:val="212121"/>
        </w:rPr>
        <w:t>u</w:t>
      </w:r>
      <w:r w:rsidRPr="00963625">
        <w:rPr>
          <w:rFonts w:ascii="Segoe UI" w:eastAsia="Times New Roman" w:hAnsi="Segoe UI" w:cs="Segoe UI"/>
          <w:color w:val="212121"/>
        </w:rPr>
        <w:t>nding f</w:t>
      </w:r>
      <w:r w:rsidR="4AE44FCA" w:rsidRPr="00963625">
        <w:rPr>
          <w:rFonts w:ascii="Segoe UI" w:eastAsia="Times New Roman" w:hAnsi="Segoe UI" w:cs="Segoe UI"/>
          <w:color w:val="212121"/>
        </w:rPr>
        <w:t>rom</w:t>
      </w:r>
      <w:r w:rsidR="1E04EF8E" w:rsidRPr="00963625">
        <w:rPr>
          <w:rFonts w:ascii="Segoe UI" w:eastAsia="Times New Roman" w:hAnsi="Segoe UI" w:cs="Segoe UI"/>
          <w:color w:val="212121"/>
        </w:rPr>
        <w:t xml:space="preserve"> </w:t>
      </w:r>
      <w:r w:rsidRPr="00963625">
        <w:rPr>
          <w:rFonts w:ascii="Segoe UI" w:eastAsia="Times New Roman" w:hAnsi="Segoe UI" w:cs="Segoe UI"/>
          <w:color w:val="212121"/>
        </w:rPr>
        <w:t xml:space="preserve">Defence is a positive </w:t>
      </w:r>
      <w:r w:rsidR="2BBA256A" w:rsidRPr="00963625">
        <w:rPr>
          <w:rFonts w:ascii="Segoe UI" w:eastAsia="Times New Roman" w:hAnsi="Segoe UI" w:cs="Segoe UI"/>
          <w:color w:val="212121"/>
        </w:rPr>
        <w:t>development</w:t>
      </w:r>
      <w:r w:rsidR="7D94375D" w:rsidRPr="00963625">
        <w:rPr>
          <w:rFonts w:ascii="Segoe UI" w:eastAsia="Times New Roman" w:hAnsi="Segoe UI" w:cs="Segoe UI"/>
          <w:color w:val="212121"/>
        </w:rPr>
        <w:t xml:space="preserve"> that should </w:t>
      </w:r>
      <w:r w:rsidR="00882219" w:rsidRPr="00963625">
        <w:rPr>
          <w:rFonts w:ascii="Segoe UI" w:eastAsia="Times New Roman" w:hAnsi="Segoe UI" w:cs="Segoe UI"/>
          <w:color w:val="212121"/>
        </w:rPr>
        <w:t>continue</w:t>
      </w:r>
      <w:r w:rsidR="7D94375D" w:rsidRPr="00963625">
        <w:rPr>
          <w:rFonts w:ascii="Segoe UI" w:eastAsia="Times New Roman" w:hAnsi="Segoe UI" w:cs="Segoe UI"/>
          <w:color w:val="212121"/>
        </w:rPr>
        <w:t xml:space="preserve">. </w:t>
      </w:r>
      <w:r w:rsidR="36C40E3E" w:rsidRPr="00963625">
        <w:rPr>
          <w:rFonts w:ascii="Segoe UI" w:eastAsia="Times New Roman" w:hAnsi="Segoe UI" w:cs="Segoe UI"/>
          <w:color w:val="212121"/>
        </w:rPr>
        <w:t xml:space="preserve">Replicating this </w:t>
      </w:r>
      <w:r w:rsidR="36C40E3E" w:rsidRPr="00963625">
        <w:rPr>
          <w:rFonts w:ascii="Segoe UI" w:eastAsia="Times New Roman" w:hAnsi="Segoe UI" w:cs="Segoe UI"/>
          <w:color w:val="212121"/>
        </w:rPr>
        <w:lastRenderedPageBreak/>
        <w:t xml:space="preserve">approach for Indonesia, </w:t>
      </w:r>
      <w:r w:rsidR="5E5E24A9" w:rsidRPr="00963625">
        <w:rPr>
          <w:rFonts w:ascii="Segoe UI" w:eastAsia="Times New Roman" w:hAnsi="Segoe UI" w:cs="Segoe UI"/>
          <w:color w:val="212121"/>
        </w:rPr>
        <w:t>Japan,</w:t>
      </w:r>
      <w:r w:rsidR="36C40E3E" w:rsidRPr="00963625">
        <w:rPr>
          <w:rFonts w:ascii="Segoe UI" w:eastAsia="Times New Roman" w:hAnsi="Segoe UI" w:cs="Segoe UI"/>
          <w:color w:val="212121"/>
        </w:rPr>
        <w:t xml:space="preserve"> and Korea, including establish</w:t>
      </w:r>
      <w:r w:rsidR="3FA73F8B" w:rsidRPr="00963625">
        <w:rPr>
          <w:rFonts w:ascii="Segoe UI" w:eastAsia="Times New Roman" w:hAnsi="Segoe UI" w:cs="Segoe UI"/>
          <w:color w:val="212121"/>
        </w:rPr>
        <w:t xml:space="preserve">ing strong </w:t>
      </w:r>
      <w:r w:rsidR="001B3231" w:rsidRPr="00963625">
        <w:rPr>
          <w:rFonts w:ascii="Segoe UI" w:eastAsia="Times New Roman" w:hAnsi="Segoe UI" w:cs="Segoe UI"/>
          <w:color w:val="212121"/>
        </w:rPr>
        <w:t xml:space="preserve">Track </w:t>
      </w:r>
      <w:r w:rsidR="36C40E3E" w:rsidRPr="00963625">
        <w:rPr>
          <w:rFonts w:ascii="Segoe UI" w:eastAsia="Times New Roman" w:hAnsi="Segoe UI" w:cs="Segoe UI"/>
          <w:color w:val="212121"/>
        </w:rPr>
        <w:t xml:space="preserve">1.5 dialogues, </w:t>
      </w:r>
      <w:r w:rsidR="7CAC3084" w:rsidRPr="00963625">
        <w:rPr>
          <w:rFonts w:ascii="Segoe UI" w:eastAsia="Times New Roman" w:hAnsi="Segoe UI" w:cs="Segoe UI"/>
          <w:color w:val="212121"/>
        </w:rPr>
        <w:t>would be beneficial</w:t>
      </w:r>
      <w:r w:rsidR="4C1A3590" w:rsidRPr="00963625">
        <w:rPr>
          <w:rFonts w:ascii="Segoe UI" w:eastAsia="Times New Roman" w:hAnsi="Segoe UI" w:cs="Segoe UI"/>
          <w:color w:val="212121"/>
        </w:rPr>
        <w:t xml:space="preserve">. This could be through </w:t>
      </w:r>
      <w:r w:rsidR="5D9D9B29" w:rsidRPr="00963625">
        <w:rPr>
          <w:rFonts w:ascii="Segoe UI" w:eastAsia="Times New Roman" w:hAnsi="Segoe UI" w:cs="Segoe UI"/>
          <w:color w:val="212121"/>
        </w:rPr>
        <w:t>increased funding to existing institutes</w:t>
      </w:r>
      <w:r w:rsidR="49711127" w:rsidRPr="00963625">
        <w:rPr>
          <w:rFonts w:ascii="Segoe UI" w:eastAsia="Times New Roman" w:hAnsi="Segoe UI" w:cs="Segoe UI"/>
          <w:color w:val="212121"/>
        </w:rPr>
        <w:t xml:space="preserve">, </w:t>
      </w:r>
      <w:r w:rsidR="00914935" w:rsidRPr="00963625">
        <w:rPr>
          <w:rFonts w:ascii="Segoe UI" w:eastAsia="Times New Roman" w:hAnsi="Segoe UI" w:cs="Segoe UI"/>
          <w:color w:val="212121"/>
        </w:rPr>
        <w:t>establishing</w:t>
      </w:r>
      <w:r w:rsidR="5D9D9B29" w:rsidRPr="00963625">
        <w:rPr>
          <w:rFonts w:ascii="Segoe UI" w:eastAsia="Times New Roman" w:hAnsi="Segoe UI" w:cs="Segoe UI"/>
          <w:color w:val="212121"/>
        </w:rPr>
        <w:t xml:space="preserve"> bespo</w:t>
      </w:r>
      <w:r w:rsidR="6E3B8D0D" w:rsidRPr="00963625">
        <w:rPr>
          <w:rFonts w:ascii="Segoe UI" w:eastAsia="Times New Roman" w:hAnsi="Segoe UI" w:cs="Segoe UI"/>
          <w:color w:val="212121"/>
        </w:rPr>
        <w:t>k</w:t>
      </w:r>
      <w:r w:rsidR="5D9D9B29" w:rsidRPr="00963625">
        <w:rPr>
          <w:rFonts w:ascii="Segoe UI" w:eastAsia="Times New Roman" w:hAnsi="Segoe UI" w:cs="Segoe UI"/>
          <w:color w:val="212121"/>
        </w:rPr>
        <w:t>e new institutions</w:t>
      </w:r>
      <w:r w:rsidR="30CBC3F5" w:rsidRPr="00963625">
        <w:rPr>
          <w:rFonts w:ascii="Segoe UI" w:eastAsia="Times New Roman" w:hAnsi="Segoe UI" w:cs="Segoe UI"/>
          <w:color w:val="212121"/>
        </w:rPr>
        <w:t xml:space="preserve"> or a combination of both</w:t>
      </w:r>
      <w:r w:rsidR="2539B54B" w:rsidRPr="00963625">
        <w:rPr>
          <w:rFonts w:ascii="Segoe UI" w:eastAsia="Times New Roman" w:hAnsi="Segoe UI" w:cs="Segoe UI"/>
          <w:color w:val="212121"/>
        </w:rPr>
        <w:t>.</w:t>
      </w:r>
    </w:p>
    <w:p w14:paraId="06E4613C" w14:textId="77777777" w:rsidR="00CF747B" w:rsidRPr="00963625" w:rsidRDefault="00CF747B"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 xml:space="preserve">Government </w:t>
      </w:r>
      <w:r w:rsidR="000777A8" w:rsidRPr="00963625">
        <w:rPr>
          <w:rFonts w:ascii="Segoe UI" w:eastAsia="Times New Roman" w:hAnsi="Segoe UI" w:cs="Segoe UI"/>
          <w:color w:val="212121"/>
        </w:rPr>
        <w:t xml:space="preserve">could also </w:t>
      </w:r>
      <w:r w:rsidRPr="00963625">
        <w:rPr>
          <w:rFonts w:ascii="Segoe UI" w:eastAsia="Times New Roman" w:hAnsi="Segoe UI" w:cs="Segoe UI"/>
          <w:color w:val="212121"/>
        </w:rPr>
        <w:t xml:space="preserve">undertake a capability mapping exercise to inform future decisions to grow the sector. Mapping the breadth and depth of the sector’s research capabilities will reveal where current capability is </w:t>
      </w:r>
      <w:r w:rsidR="00CB2493" w:rsidRPr="00963625">
        <w:rPr>
          <w:rFonts w:ascii="Segoe UI" w:eastAsia="Times New Roman" w:hAnsi="Segoe UI" w:cs="Segoe UI"/>
          <w:color w:val="212121"/>
        </w:rPr>
        <w:t xml:space="preserve">strong, where it is </w:t>
      </w:r>
      <w:r w:rsidRPr="00963625">
        <w:rPr>
          <w:rFonts w:ascii="Segoe UI" w:eastAsia="Times New Roman" w:hAnsi="Segoe UI" w:cs="Segoe UI"/>
          <w:color w:val="212121"/>
        </w:rPr>
        <w:t>shallow</w:t>
      </w:r>
      <w:r w:rsidR="00CB2493" w:rsidRPr="00963625">
        <w:rPr>
          <w:rFonts w:ascii="Segoe UI" w:eastAsia="Times New Roman" w:hAnsi="Segoe UI" w:cs="Segoe UI"/>
          <w:color w:val="212121"/>
        </w:rPr>
        <w:t>,</w:t>
      </w:r>
      <w:r w:rsidRPr="00963625">
        <w:rPr>
          <w:rFonts w:ascii="Segoe UI" w:eastAsia="Times New Roman" w:hAnsi="Segoe UI" w:cs="Segoe UI"/>
          <w:color w:val="212121"/>
        </w:rPr>
        <w:t xml:space="preserve"> and help inform where Government should target future investments. </w:t>
      </w:r>
    </w:p>
    <w:p w14:paraId="06E4613D" w14:textId="77777777" w:rsidR="00D6780A" w:rsidRPr="00963625" w:rsidRDefault="00914935"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These are capability challenges which will be with us for some time.</w:t>
      </w:r>
      <w:r w:rsidR="009210B7" w:rsidRPr="00963625">
        <w:rPr>
          <w:rFonts w:ascii="Segoe UI" w:eastAsia="Times New Roman" w:hAnsi="Segoe UI" w:cs="Segoe UI"/>
          <w:color w:val="212121"/>
        </w:rPr>
        <w:t xml:space="preserve"> </w:t>
      </w:r>
      <w:r w:rsidRPr="00963625">
        <w:rPr>
          <w:rFonts w:ascii="Segoe UI" w:eastAsia="Times New Roman" w:hAnsi="Segoe UI" w:cs="Segoe UI"/>
          <w:color w:val="212121"/>
        </w:rPr>
        <w:t>There are no quick pathways for Australia to acquire the deep expertise we will need to navigate our way in an increasingly multi-polar world.</w:t>
      </w:r>
      <w:r w:rsidR="009210B7" w:rsidRPr="00963625">
        <w:rPr>
          <w:rFonts w:ascii="Segoe UI" w:eastAsia="Times New Roman" w:hAnsi="Segoe UI" w:cs="Segoe UI"/>
          <w:color w:val="212121"/>
        </w:rPr>
        <w:t xml:space="preserve"> </w:t>
      </w:r>
    </w:p>
    <w:p w14:paraId="06E4613E" w14:textId="77777777" w:rsidR="51D78472" w:rsidRDefault="51D78472" w:rsidP="426A933F">
      <w:pPr>
        <w:pStyle w:val="Heading2"/>
        <w:rPr>
          <w:rFonts w:cs="Segoe UI"/>
          <w:sz w:val="32"/>
          <w:szCs w:val="32"/>
        </w:rPr>
      </w:pPr>
      <w:bookmarkStart w:id="140" w:name="_Toc170980566"/>
      <w:bookmarkStart w:id="141" w:name="_Toc171004280"/>
      <w:bookmarkStart w:id="142" w:name="_Toc171075002"/>
      <w:bookmarkStart w:id="143" w:name="_Toc172665609"/>
      <w:r w:rsidRPr="426A933F">
        <w:rPr>
          <w:rFonts w:cs="Segoe UI"/>
          <w:sz w:val="32"/>
          <w:szCs w:val="32"/>
        </w:rPr>
        <w:t>Potential options for increased funding</w:t>
      </w:r>
      <w:bookmarkEnd w:id="140"/>
      <w:bookmarkEnd w:id="141"/>
      <w:bookmarkEnd w:id="142"/>
      <w:bookmarkEnd w:id="143"/>
    </w:p>
    <w:p w14:paraId="06E4613F" w14:textId="77777777" w:rsidR="00001A3D" w:rsidRPr="00963625" w:rsidRDefault="00914935" w:rsidP="770AD924">
      <w:pPr>
        <w:pStyle w:val="ListParagraph"/>
        <w:numPr>
          <w:ilvl w:val="0"/>
          <w:numId w:val="22"/>
        </w:numPr>
        <w:spacing w:line="259" w:lineRule="auto"/>
        <w:ind w:left="0" w:firstLine="0"/>
        <w:rPr>
          <w:rFonts w:ascii="Segoe UI" w:eastAsia="Times New Roman" w:hAnsi="Segoe UI" w:cs="Segoe UI"/>
          <w:color w:val="212121"/>
        </w:rPr>
      </w:pPr>
      <w:r w:rsidRPr="770AD924">
        <w:rPr>
          <w:rFonts w:ascii="Segoe UI" w:eastAsia="Times New Roman" w:hAnsi="Segoe UI" w:cs="Segoe UI"/>
          <w:color w:val="212121"/>
        </w:rPr>
        <w:t xml:space="preserve">The Review sets out </w:t>
      </w:r>
      <w:r w:rsidR="00EC79FB" w:rsidRPr="770AD924">
        <w:rPr>
          <w:rFonts w:ascii="Segoe UI" w:eastAsia="Times New Roman" w:hAnsi="Segoe UI" w:cs="Segoe UI"/>
          <w:color w:val="212121"/>
        </w:rPr>
        <w:t xml:space="preserve">three </w:t>
      </w:r>
      <w:r w:rsidRPr="770AD924">
        <w:rPr>
          <w:rFonts w:ascii="Segoe UI" w:eastAsia="Times New Roman" w:hAnsi="Segoe UI" w:cs="Segoe UI"/>
          <w:color w:val="212121"/>
        </w:rPr>
        <w:t>options</w:t>
      </w:r>
      <w:r w:rsidR="00EC79FB" w:rsidRPr="770AD924">
        <w:rPr>
          <w:rFonts w:ascii="Segoe UI" w:eastAsia="Times New Roman" w:hAnsi="Segoe UI" w:cs="Segoe UI"/>
          <w:color w:val="212121"/>
        </w:rPr>
        <w:t xml:space="preserve"> for Government to grow the sector</w:t>
      </w:r>
      <w:r w:rsidRPr="770AD924">
        <w:rPr>
          <w:rFonts w:ascii="Segoe UI" w:eastAsia="Times New Roman" w:hAnsi="Segoe UI" w:cs="Segoe UI"/>
          <w:color w:val="212121"/>
        </w:rPr>
        <w:t xml:space="preserve"> in the long term</w:t>
      </w:r>
      <w:r w:rsidR="00EF104D" w:rsidRPr="770AD924">
        <w:rPr>
          <w:rFonts w:ascii="Segoe UI" w:eastAsia="Times New Roman" w:hAnsi="Segoe UI" w:cs="Segoe UI"/>
          <w:color w:val="212121"/>
        </w:rPr>
        <w:t>, with two options taking annual expenditure from $40 million to $50 million</w:t>
      </w:r>
      <w:r w:rsidR="00EC79FB" w:rsidRPr="770AD924">
        <w:rPr>
          <w:rFonts w:ascii="Segoe UI" w:eastAsia="Times New Roman" w:hAnsi="Segoe UI" w:cs="Segoe UI"/>
          <w:color w:val="212121"/>
        </w:rPr>
        <w:t xml:space="preserve">. </w:t>
      </w:r>
      <w:r w:rsidR="009B32C1" w:rsidRPr="770AD924">
        <w:rPr>
          <w:rFonts w:ascii="Segoe UI" w:eastAsia="Times New Roman" w:hAnsi="Segoe UI" w:cs="Segoe UI"/>
          <w:color w:val="212121"/>
        </w:rPr>
        <w:t>Each requires</w:t>
      </w:r>
      <w:r w:rsidR="00F834BF" w:rsidRPr="770AD924">
        <w:rPr>
          <w:rFonts w:ascii="Segoe UI" w:eastAsia="Times New Roman" w:hAnsi="Segoe UI" w:cs="Segoe UI"/>
          <w:color w:val="212121"/>
        </w:rPr>
        <w:t xml:space="preserve"> more</w:t>
      </w:r>
      <w:r w:rsidR="009B32C1" w:rsidRPr="770AD924">
        <w:rPr>
          <w:rFonts w:ascii="Segoe UI" w:eastAsia="Times New Roman" w:hAnsi="Segoe UI" w:cs="Segoe UI"/>
          <w:color w:val="212121"/>
        </w:rPr>
        <w:t xml:space="preserve"> investment from Government but offers different avenues from which to draw funds</w:t>
      </w:r>
      <w:r w:rsidR="00F70131" w:rsidRPr="770AD924">
        <w:rPr>
          <w:rFonts w:ascii="Segoe UI" w:eastAsia="Times New Roman" w:hAnsi="Segoe UI" w:cs="Segoe UI"/>
          <w:color w:val="212121"/>
        </w:rPr>
        <w:t>.</w:t>
      </w:r>
      <w:r w:rsidR="009F6D75" w:rsidRPr="770AD924">
        <w:rPr>
          <w:rFonts w:ascii="Segoe UI" w:eastAsia="Times New Roman" w:hAnsi="Segoe UI" w:cs="Segoe UI"/>
          <w:color w:val="212121"/>
        </w:rPr>
        <w:t xml:space="preserve"> Additional Commonwealth resourcing should be managed through the SCNS process for providing operating funding to the sector.</w:t>
      </w:r>
      <w:r w:rsidR="001544C5" w:rsidRPr="770AD924">
        <w:rPr>
          <w:rFonts w:ascii="Segoe UI" w:eastAsia="Times New Roman" w:hAnsi="Segoe UI" w:cs="Segoe UI"/>
          <w:color w:val="212121"/>
        </w:rPr>
        <w:t xml:space="preserve"> </w:t>
      </w:r>
    </w:p>
    <w:p w14:paraId="06E46140" w14:textId="77777777" w:rsidR="00EE2958" w:rsidRPr="00AD7008" w:rsidRDefault="00EE2958" w:rsidP="25E9C90A">
      <w:pPr>
        <w:pStyle w:val="Heading3"/>
      </w:pPr>
      <w:bookmarkStart w:id="144" w:name="_Toc170307521"/>
      <w:bookmarkStart w:id="145" w:name="_Toc170383185"/>
      <w:r>
        <w:t xml:space="preserve">Option 1: New </w:t>
      </w:r>
      <w:r w:rsidR="00C7202C">
        <w:t>P</w:t>
      </w:r>
      <w:r>
        <w:t xml:space="preserve">olicy </w:t>
      </w:r>
      <w:r w:rsidR="00C7202C">
        <w:t>P</w:t>
      </w:r>
      <w:r>
        <w:t>roposal (NPP)</w:t>
      </w:r>
      <w:bookmarkEnd w:id="144"/>
      <w:bookmarkEnd w:id="145"/>
      <w:r>
        <w:t> </w:t>
      </w:r>
    </w:p>
    <w:p w14:paraId="06E46141" w14:textId="77777777" w:rsidR="00EE2958" w:rsidRPr="00963625" w:rsidRDefault="00EE2958"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 xml:space="preserve">PM&amp;C could submit a </w:t>
      </w:r>
      <w:r w:rsidR="00671EB7" w:rsidRPr="00963625">
        <w:rPr>
          <w:rFonts w:ascii="Segoe UI" w:eastAsia="Times New Roman" w:hAnsi="Segoe UI" w:cs="Segoe UI"/>
          <w:color w:val="212121"/>
        </w:rPr>
        <w:t>New Policy Proposal (</w:t>
      </w:r>
      <w:r w:rsidRPr="00963625">
        <w:rPr>
          <w:rFonts w:ascii="Segoe UI" w:eastAsia="Times New Roman" w:hAnsi="Segoe UI" w:cs="Segoe UI"/>
          <w:color w:val="212121"/>
        </w:rPr>
        <w:t>NPP</w:t>
      </w:r>
      <w:r w:rsidR="00671EB7" w:rsidRPr="00963625">
        <w:rPr>
          <w:rFonts w:ascii="Segoe UI" w:eastAsia="Times New Roman" w:hAnsi="Segoe UI" w:cs="Segoe UI"/>
          <w:color w:val="212121"/>
        </w:rPr>
        <w:t>)</w:t>
      </w:r>
      <w:r w:rsidRPr="00963625">
        <w:rPr>
          <w:rFonts w:ascii="Segoe UI" w:eastAsia="Times New Roman" w:hAnsi="Segoe UI" w:cs="Segoe UI"/>
          <w:color w:val="212121"/>
        </w:rPr>
        <w:t xml:space="preserve"> seeking an additional $10 million per annum ongoing in departmental funding to centrally administer funding to the sector based on SCNS decisions.</w:t>
      </w:r>
      <w:r w:rsidR="009210B7" w:rsidRPr="00963625">
        <w:rPr>
          <w:rFonts w:ascii="Segoe UI" w:eastAsia="Times New Roman" w:hAnsi="Segoe UI" w:cs="Segoe UI"/>
          <w:color w:val="212121"/>
        </w:rPr>
        <w:t xml:space="preserve"> </w:t>
      </w:r>
    </w:p>
    <w:p w14:paraId="06E46142" w14:textId="77777777" w:rsidR="00EE2958" w:rsidRPr="00752A8B" w:rsidRDefault="00EE2958" w:rsidP="00C7202C">
      <w:pPr>
        <w:pStyle w:val="ListParagraph"/>
        <w:numPr>
          <w:ilvl w:val="0"/>
          <w:numId w:val="12"/>
        </w:numPr>
        <w:spacing w:line="259" w:lineRule="auto"/>
        <w:rPr>
          <w:rFonts w:ascii="Segoe UI" w:eastAsia="Segoe UI" w:hAnsi="Segoe UI" w:cs="Segoe UI"/>
        </w:rPr>
      </w:pPr>
      <w:r w:rsidRPr="00474B98">
        <w:rPr>
          <w:rFonts w:ascii="Segoe UI" w:eastAsia="Times New Roman" w:hAnsi="Segoe UI" w:cs="Segoe UI"/>
          <w:b/>
        </w:rPr>
        <w:t>Pros:</w:t>
      </w:r>
      <w:r w:rsidRPr="00752A8B">
        <w:rPr>
          <w:rFonts w:ascii="Segoe UI" w:eastAsia="Times New Roman" w:hAnsi="Segoe UI" w:cs="Segoe UI"/>
        </w:rPr>
        <w:t xml:space="preserve"> It would provide funding certainty without needing to draw funds from existing portfolio budgets.</w:t>
      </w:r>
      <w:r w:rsidR="009210B7">
        <w:rPr>
          <w:rFonts w:ascii="Segoe UI" w:eastAsia="Times New Roman" w:hAnsi="Segoe UI" w:cs="Segoe UI"/>
        </w:rPr>
        <w:t xml:space="preserve"> </w:t>
      </w:r>
    </w:p>
    <w:p w14:paraId="06E46143" w14:textId="77777777" w:rsidR="00EE2958" w:rsidRPr="00752A8B" w:rsidRDefault="00EE2958" w:rsidP="00C7202C">
      <w:pPr>
        <w:pStyle w:val="ListParagraph"/>
        <w:numPr>
          <w:ilvl w:val="0"/>
          <w:numId w:val="12"/>
        </w:numPr>
        <w:spacing w:line="259" w:lineRule="auto"/>
        <w:rPr>
          <w:rFonts w:ascii="Segoe UI" w:eastAsia="Segoe UI" w:hAnsi="Segoe UI" w:cs="Segoe UI"/>
        </w:rPr>
      </w:pPr>
      <w:r w:rsidRPr="00474B98">
        <w:rPr>
          <w:rFonts w:ascii="Segoe UI" w:eastAsia="Times New Roman" w:hAnsi="Segoe UI" w:cs="Segoe UI"/>
          <w:b/>
        </w:rPr>
        <w:t>Cons:</w:t>
      </w:r>
      <w:r w:rsidRPr="00752A8B">
        <w:rPr>
          <w:rFonts w:ascii="Segoe UI" w:eastAsia="Times New Roman" w:hAnsi="Segoe UI" w:cs="Segoe UI"/>
        </w:rPr>
        <w:t xml:space="preserve"> It would rely on new money from Government, create a systemic spend in the Budget, and increase the burden on PM&amp;C to administer the funding. </w:t>
      </w:r>
    </w:p>
    <w:p w14:paraId="06E46144" w14:textId="77777777" w:rsidR="00EE2958" w:rsidRPr="00752A8B" w:rsidRDefault="00EE2958" w:rsidP="25E9C90A">
      <w:pPr>
        <w:pStyle w:val="Heading3"/>
        <w:rPr>
          <w:rFonts w:ascii="Segoe UI" w:hAnsi="Segoe UI" w:cs="Segoe UI"/>
          <w:sz w:val="32"/>
          <w:szCs w:val="32"/>
        </w:rPr>
      </w:pPr>
      <w:bookmarkStart w:id="146" w:name="_Toc170307522"/>
      <w:bookmarkStart w:id="147" w:name="_Toc170383186"/>
      <w:r>
        <w:t>Option 2: Co-contributions from existing budgets</w:t>
      </w:r>
      <w:bookmarkEnd w:id="146"/>
      <w:bookmarkEnd w:id="147"/>
      <w:r>
        <w:t> </w:t>
      </w:r>
    </w:p>
    <w:p w14:paraId="06E46145" w14:textId="77777777" w:rsidR="00EE2958" w:rsidRPr="00963625" w:rsidRDefault="00EE2958"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 xml:space="preserve">Government could replicate the process used for the NSC’s Participating Agencies Contribution contract, whereby departments and agencies provide a contribution to the </w:t>
      </w:r>
      <w:r w:rsidR="00914935" w:rsidRPr="00963625">
        <w:rPr>
          <w:rFonts w:ascii="Segoe UI" w:eastAsia="Times New Roman" w:hAnsi="Segoe UI" w:cs="Segoe UI"/>
          <w:color w:val="212121"/>
        </w:rPr>
        <w:t>additiona</w:t>
      </w:r>
      <w:r w:rsidRPr="00963625">
        <w:rPr>
          <w:rFonts w:ascii="Segoe UI" w:eastAsia="Times New Roman" w:hAnsi="Segoe UI" w:cs="Segoe UI"/>
          <w:color w:val="212121"/>
        </w:rPr>
        <w:t>l funding required based on their relative size and the benefits they receive.</w:t>
      </w:r>
      <w:r w:rsidR="009210B7" w:rsidRPr="00963625">
        <w:rPr>
          <w:rFonts w:ascii="Segoe UI" w:eastAsia="Times New Roman" w:hAnsi="Segoe UI" w:cs="Segoe UI"/>
          <w:color w:val="212121"/>
        </w:rPr>
        <w:t xml:space="preserve"> </w:t>
      </w:r>
    </w:p>
    <w:p w14:paraId="06E46146" w14:textId="77777777" w:rsidR="00EE2958" w:rsidRPr="00752A8B" w:rsidRDefault="00EE2958" w:rsidP="00C7202C">
      <w:pPr>
        <w:pStyle w:val="ListParagraph"/>
        <w:numPr>
          <w:ilvl w:val="0"/>
          <w:numId w:val="13"/>
        </w:numPr>
        <w:spacing w:line="259" w:lineRule="auto"/>
        <w:rPr>
          <w:rFonts w:ascii="Segoe UI" w:eastAsia="Segoe UI" w:hAnsi="Segoe UI" w:cs="Segoe UI"/>
        </w:rPr>
      </w:pPr>
      <w:r w:rsidRPr="00474B98">
        <w:rPr>
          <w:rFonts w:ascii="Segoe UI" w:eastAsia="Times New Roman" w:hAnsi="Segoe UI" w:cs="Segoe UI"/>
          <w:b/>
        </w:rPr>
        <w:t>Pros:</w:t>
      </w:r>
      <w:r w:rsidRPr="00752A8B">
        <w:rPr>
          <w:rFonts w:ascii="Segoe UI" w:eastAsia="Times New Roman" w:hAnsi="Segoe UI" w:cs="Segoe UI"/>
        </w:rPr>
        <w:t xml:space="preserve"> It would be Budget neutral for Government, with departments and agencies funding from existing allocations.</w:t>
      </w:r>
      <w:r w:rsidR="009210B7">
        <w:rPr>
          <w:rFonts w:ascii="Segoe UI" w:eastAsia="Times New Roman" w:hAnsi="Segoe UI" w:cs="Segoe UI"/>
        </w:rPr>
        <w:t xml:space="preserve"> </w:t>
      </w:r>
    </w:p>
    <w:p w14:paraId="06E46147" w14:textId="77777777" w:rsidR="00EE2958" w:rsidRPr="00752A8B" w:rsidRDefault="00EE2958" w:rsidP="00C7202C">
      <w:pPr>
        <w:pStyle w:val="ListParagraph"/>
        <w:numPr>
          <w:ilvl w:val="0"/>
          <w:numId w:val="13"/>
        </w:numPr>
        <w:spacing w:line="259" w:lineRule="auto"/>
        <w:rPr>
          <w:rFonts w:ascii="Segoe UI" w:eastAsia="Segoe UI" w:hAnsi="Segoe UI" w:cs="Segoe UI"/>
        </w:rPr>
      </w:pPr>
      <w:r w:rsidRPr="00474B98">
        <w:rPr>
          <w:rFonts w:ascii="Segoe UI" w:eastAsia="Times New Roman" w:hAnsi="Segoe UI" w:cs="Segoe UI"/>
          <w:b/>
        </w:rPr>
        <w:t>Cons:</w:t>
      </w:r>
      <w:r w:rsidRPr="00752A8B">
        <w:rPr>
          <w:rFonts w:ascii="Segoe UI" w:eastAsia="Times New Roman" w:hAnsi="Segoe UI" w:cs="Segoe UI"/>
        </w:rPr>
        <w:t xml:space="preserve"> It would create additional pressure on already tight </w:t>
      </w:r>
      <w:r w:rsidR="00914935">
        <w:rPr>
          <w:rFonts w:ascii="Segoe UI" w:eastAsia="Times New Roman" w:hAnsi="Segoe UI" w:cs="Segoe UI"/>
        </w:rPr>
        <w:t>b</w:t>
      </w:r>
      <w:r w:rsidRPr="00752A8B">
        <w:rPr>
          <w:rFonts w:ascii="Segoe UI" w:eastAsia="Times New Roman" w:hAnsi="Segoe UI" w:cs="Segoe UI"/>
        </w:rPr>
        <w:t>udgets, and would reduce departmental and agency autonomy. It would also add administrative burden. </w:t>
      </w:r>
    </w:p>
    <w:p w14:paraId="06E46148" w14:textId="77777777" w:rsidR="00456232" w:rsidRPr="00752A8B" w:rsidRDefault="00456232" w:rsidP="25E9C90A">
      <w:pPr>
        <w:pStyle w:val="Heading3"/>
        <w:rPr>
          <w:rFonts w:ascii="Segoe UI" w:hAnsi="Segoe UI" w:cs="Segoe UI"/>
          <w:sz w:val="32"/>
          <w:szCs w:val="32"/>
        </w:rPr>
      </w:pPr>
      <w:bookmarkStart w:id="148" w:name="_Toc170307523"/>
      <w:bookmarkStart w:id="149" w:name="_Toc170383187"/>
      <w:r>
        <w:t xml:space="preserve">Option 3: </w:t>
      </w:r>
      <w:r w:rsidR="2B5D4548">
        <w:t>E</w:t>
      </w:r>
      <w:r>
        <w:t>ndowments</w:t>
      </w:r>
      <w:bookmarkEnd w:id="148"/>
      <w:bookmarkEnd w:id="149"/>
      <w:r>
        <w:t> </w:t>
      </w:r>
    </w:p>
    <w:p w14:paraId="06E46149" w14:textId="77777777" w:rsidR="00456232" w:rsidRPr="00963625" w:rsidRDefault="00456232" w:rsidP="00C7202C">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t xml:space="preserve">Government could </w:t>
      </w:r>
      <w:r w:rsidR="00914935" w:rsidRPr="00963625">
        <w:rPr>
          <w:rFonts w:ascii="Segoe UI" w:eastAsia="Times New Roman" w:hAnsi="Segoe UI" w:cs="Segoe UI"/>
          <w:color w:val="212121"/>
        </w:rPr>
        <w:t xml:space="preserve">boost funding to </w:t>
      </w:r>
      <w:r w:rsidRPr="00963625">
        <w:rPr>
          <w:rFonts w:ascii="Segoe UI" w:eastAsia="Times New Roman" w:hAnsi="Segoe UI" w:cs="Segoe UI"/>
          <w:color w:val="212121"/>
        </w:rPr>
        <w:t>the sector by establishing endowments. For example, the Grattan Institute was established with a $35 million endowment from the Australian and Victorian Governments</w:t>
      </w:r>
      <w:r w:rsidR="00AD7008" w:rsidRPr="00963625">
        <w:rPr>
          <w:rFonts w:ascii="Segoe UI" w:eastAsia="Times New Roman" w:hAnsi="Segoe UI" w:cs="Segoe UI"/>
          <w:color w:val="212121"/>
        </w:rPr>
        <w:t>,</w:t>
      </w:r>
      <w:r w:rsidRPr="00963625">
        <w:rPr>
          <w:rFonts w:ascii="Segoe UI" w:eastAsia="Times New Roman" w:hAnsi="Segoe UI" w:cs="Segoe UI"/>
          <w:color w:val="212121"/>
        </w:rPr>
        <w:t xml:space="preserve"> </w:t>
      </w:r>
      <w:r w:rsidR="2748570A" w:rsidRPr="00963625">
        <w:rPr>
          <w:rFonts w:ascii="Segoe UI" w:eastAsia="Times New Roman" w:hAnsi="Segoe UI" w:cs="Segoe UI"/>
          <w:color w:val="212121"/>
        </w:rPr>
        <w:t xml:space="preserve">with </w:t>
      </w:r>
      <w:r w:rsidR="000E68AC" w:rsidRPr="00963625">
        <w:rPr>
          <w:rFonts w:ascii="Segoe UI" w:eastAsia="Times New Roman" w:hAnsi="Segoe UI" w:cs="Segoe UI"/>
          <w:color w:val="212121"/>
        </w:rPr>
        <w:t>minor corporate</w:t>
      </w:r>
      <w:r w:rsidR="2748570A" w:rsidRPr="00963625">
        <w:rPr>
          <w:rFonts w:ascii="Segoe UI" w:eastAsia="Times New Roman" w:hAnsi="Segoe UI" w:cs="Segoe UI"/>
          <w:color w:val="212121"/>
        </w:rPr>
        <w:t xml:space="preserve"> sector support</w:t>
      </w:r>
      <w:r w:rsidR="00AD7008" w:rsidRPr="00963625">
        <w:rPr>
          <w:rFonts w:ascii="Segoe UI" w:eastAsia="Times New Roman" w:hAnsi="Segoe UI" w:cs="Segoe UI"/>
          <w:color w:val="212121"/>
        </w:rPr>
        <w:t>,</w:t>
      </w:r>
      <w:r w:rsidR="2748570A" w:rsidRPr="00963625">
        <w:rPr>
          <w:rFonts w:ascii="Segoe UI" w:eastAsia="Times New Roman" w:hAnsi="Segoe UI" w:cs="Segoe UI"/>
          <w:color w:val="212121"/>
        </w:rPr>
        <w:t xml:space="preserve"> </w:t>
      </w:r>
      <w:r w:rsidRPr="00963625">
        <w:rPr>
          <w:rFonts w:ascii="Segoe UI" w:eastAsia="Times New Roman" w:hAnsi="Segoe UI" w:cs="Segoe UI"/>
          <w:color w:val="212121"/>
        </w:rPr>
        <w:t>and now operates completely independently from Government.</w:t>
      </w:r>
      <w:r w:rsidR="009210B7" w:rsidRPr="00963625">
        <w:rPr>
          <w:rFonts w:ascii="Segoe UI" w:eastAsia="Times New Roman" w:hAnsi="Segoe UI" w:cs="Segoe UI"/>
          <w:color w:val="212121"/>
        </w:rPr>
        <w:t xml:space="preserve"> </w:t>
      </w:r>
    </w:p>
    <w:p w14:paraId="06E4614A" w14:textId="77777777" w:rsidR="00331E60" w:rsidRPr="00963625" w:rsidRDefault="15CBC07B" w:rsidP="00002621">
      <w:pPr>
        <w:pStyle w:val="ListParagraph"/>
        <w:numPr>
          <w:ilvl w:val="0"/>
          <w:numId w:val="22"/>
        </w:numPr>
        <w:spacing w:line="259" w:lineRule="auto"/>
        <w:ind w:left="0" w:firstLine="0"/>
        <w:contextualSpacing w:val="0"/>
        <w:rPr>
          <w:rFonts w:ascii="Segoe UI" w:eastAsia="Times New Roman" w:hAnsi="Segoe UI" w:cs="Segoe UI"/>
          <w:color w:val="212121"/>
        </w:rPr>
      </w:pPr>
      <w:r w:rsidRPr="00963625">
        <w:rPr>
          <w:rFonts w:ascii="Segoe UI" w:eastAsia="Times New Roman" w:hAnsi="Segoe UI" w:cs="Segoe UI"/>
          <w:color w:val="212121"/>
        </w:rPr>
        <w:lastRenderedPageBreak/>
        <w:t xml:space="preserve">An upfront investment of $40 million </w:t>
      </w:r>
      <w:r w:rsidR="1AAEAD20" w:rsidRPr="00963625">
        <w:rPr>
          <w:rFonts w:ascii="Segoe UI" w:eastAsia="Times New Roman" w:hAnsi="Segoe UI" w:cs="Segoe UI"/>
          <w:color w:val="212121"/>
        </w:rPr>
        <w:t>w</w:t>
      </w:r>
      <w:r w:rsidRPr="00963625">
        <w:rPr>
          <w:rFonts w:ascii="Segoe UI" w:eastAsia="Times New Roman" w:hAnsi="Segoe UI" w:cs="Segoe UI"/>
          <w:color w:val="212121"/>
        </w:rPr>
        <w:t xml:space="preserve">ould establish an endowment capable of providing </w:t>
      </w:r>
      <w:r w:rsidR="1E11E613" w:rsidRPr="00963625">
        <w:rPr>
          <w:rFonts w:ascii="Segoe UI" w:eastAsia="Times New Roman" w:hAnsi="Segoe UI" w:cs="Segoe UI"/>
          <w:color w:val="212121"/>
        </w:rPr>
        <w:t xml:space="preserve">a total of </w:t>
      </w:r>
      <w:r w:rsidRPr="00963625">
        <w:rPr>
          <w:rFonts w:ascii="Segoe UI" w:eastAsia="Times New Roman" w:hAnsi="Segoe UI" w:cs="Segoe UI"/>
          <w:color w:val="212121"/>
        </w:rPr>
        <w:t xml:space="preserve">approximately $3 million annually in operating </w:t>
      </w:r>
      <w:r w:rsidR="2865F5CD" w:rsidRPr="00963625">
        <w:rPr>
          <w:rFonts w:ascii="Segoe UI" w:eastAsia="Times New Roman" w:hAnsi="Segoe UI" w:cs="Segoe UI"/>
          <w:color w:val="212121"/>
        </w:rPr>
        <w:t xml:space="preserve">and grant </w:t>
      </w:r>
      <w:r w:rsidRPr="00963625">
        <w:rPr>
          <w:rFonts w:ascii="Segoe UI" w:eastAsia="Times New Roman" w:hAnsi="Segoe UI" w:cs="Segoe UI"/>
          <w:color w:val="212121"/>
        </w:rPr>
        <w:t>funding to</w:t>
      </w:r>
      <w:r w:rsidR="2865F5CD" w:rsidRPr="00963625">
        <w:rPr>
          <w:rFonts w:ascii="Segoe UI" w:eastAsia="Times New Roman" w:hAnsi="Segoe UI" w:cs="Segoe UI"/>
          <w:color w:val="212121"/>
        </w:rPr>
        <w:t xml:space="preserve"> the sector</w:t>
      </w:r>
      <w:r w:rsidR="24BD3C11" w:rsidRPr="00963625">
        <w:rPr>
          <w:rFonts w:ascii="Segoe UI" w:eastAsia="Times New Roman" w:hAnsi="Segoe UI" w:cs="Segoe UI"/>
          <w:color w:val="212121"/>
        </w:rPr>
        <w:t>, to either bolster existing organisations or create new ones</w:t>
      </w:r>
      <w:r w:rsidR="04D42094" w:rsidRPr="00963625">
        <w:rPr>
          <w:rFonts w:ascii="Segoe UI" w:eastAsia="Times New Roman" w:hAnsi="Segoe UI" w:cs="Segoe UI"/>
          <w:color w:val="212121"/>
        </w:rPr>
        <w:t>.</w:t>
      </w:r>
      <w:r w:rsidR="00456232" w:rsidRPr="060AB874">
        <w:rPr>
          <w:rFonts w:eastAsia="Times New Roman"/>
          <w:color w:val="212121"/>
          <w:vertAlign w:val="superscript"/>
        </w:rPr>
        <w:footnoteReference w:id="10"/>
      </w:r>
      <w:r w:rsidR="04D42094" w:rsidRPr="00963625">
        <w:rPr>
          <w:rFonts w:ascii="Segoe UI" w:eastAsia="Times New Roman" w:hAnsi="Segoe UI" w:cs="Segoe UI"/>
          <w:color w:val="212121"/>
        </w:rPr>
        <w:t xml:space="preserve"> </w:t>
      </w:r>
      <w:r w:rsidRPr="00963625">
        <w:rPr>
          <w:rFonts w:ascii="Segoe UI" w:eastAsia="Times New Roman" w:hAnsi="Segoe UI" w:cs="Segoe UI"/>
          <w:color w:val="212121"/>
        </w:rPr>
        <w:t xml:space="preserve">Government could look to further reduce the </w:t>
      </w:r>
      <w:r w:rsidR="2D46CB0C" w:rsidRPr="00963625">
        <w:rPr>
          <w:rFonts w:ascii="Segoe UI" w:eastAsia="Times New Roman" w:hAnsi="Segoe UI" w:cs="Segoe UI"/>
          <w:color w:val="212121"/>
        </w:rPr>
        <w:t>fiscal</w:t>
      </w:r>
      <w:r w:rsidR="52101949" w:rsidRPr="00963625">
        <w:rPr>
          <w:rFonts w:ascii="Segoe UI" w:eastAsia="Times New Roman" w:hAnsi="Segoe UI" w:cs="Segoe UI"/>
          <w:color w:val="212121"/>
        </w:rPr>
        <w:t xml:space="preserve"> impact</w:t>
      </w:r>
      <w:r w:rsidRPr="00963625">
        <w:rPr>
          <w:rFonts w:ascii="Segoe UI" w:eastAsia="Times New Roman" w:hAnsi="Segoe UI" w:cs="Segoe UI"/>
          <w:color w:val="212121"/>
        </w:rPr>
        <w:t xml:space="preserve"> by entering a cost sharing arrangement</w:t>
      </w:r>
      <w:r w:rsidR="52101949" w:rsidRPr="00963625">
        <w:rPr>
          <w:rFonts w:ascii="Segoe UI" w:eastAsia="Times New Roman" w:hAnsi="Segoe UI" w:cs="Segoe UI"/>
          <w:color w:val="212121"/>
        </w:rPr>
        <w:t xml:space="preserve">: </w:t>
      </w:r>
    </w:p>
    <w:p w14:paraId="06E4614B" w14:textId="77777777" w:rsidR="00331E60" w:rsidRPr="00752A8B" w:rsidRDefault="00331E60" w:rsidP="00C7202C">
      <w:pPr>
        <w:pStyle w:val="ListParagraph"/>
        <w:numPr>
          <w:ilvl w:val="0"/>
          <w:numId w:val="14"/>
        </w:numPr>
        <w:spacing w:line="259" w:lineRule="auto"/>
        <w:rPr>
          <w:rFonts w:ascii="Segoe UI" w:eastAsia="Segoe UI" w:hAnsi="Segoe UI" w:cs="Segoe UI"/>
        </w:rPr>
      </w:pPr>
      <w:r w:rsidRPr="00752A8B">
        <w:rPr>
          <w:rFonts w:ascii="Segoe UI" w:eastAsia="Segoe UI" w:hAnsi="Segoe UI" w:cs="Segoe UI"/>
        </w:rPr>
        <w:t>50 per cent Commonwealth Government funding</w:t>
      </w:r>
    </w:p>
    <w:p w14:paraId="06E4614C" w14:textId="77777777" w:rsidR="00331E60" w:rsidRPr="00752A8B" w:rsidRDefault="00331E60" w:rsidP="00C7202C">
      <w:pPr>
        <w:pStyle w:val="ListParagraph"/>
        <w:numPr>
          <w:ilvl w:val="0"/>
          <w:numId w:val="14"/>
        </w:numPr>
        <w:spacing w:line="259" w:lineRule="auto"/>
        <w:rPr>
          <w:rFonts w:ascii="Segoe UI" w:eastAsia="Segoe UI" w:hAnsi="Segoe UI" w:cs="Segoe UI"/>
        </w:rPr>
      </w:pPr>
      <w:r w:rsidRPr="00752A8B">
        <w:rPr>
          <w:rFonts w:ascii="Segoe UI" w:eastAsia="Segoe UI" w:hAnsi="Segoe UI" w:cs="Segoe UI"/>
        </w:rPr>
        <w:t xml:space="preserve">25 per cent </w:t>
      </w:r>
      <w:r w:rsidR="00456232" w:rsidRPr="00752A8B">
        <w:rPr>
          <w:rFonts w:ascii="Segoe UI" w:eastAsia="Segoe UI" w:hAnsi="Segoe UI" w:cs="Segoe UI"/>
        </w:rPr>
        <w:t xml:space="preserve">state/territory government </w:t>
      </w:r>
      <w:r w:rsidRPr="00752A8B">
        <w:rPr>
          <w:rFonts w:ascii="Segoe UI" w:eastAsia="Segoe UI" w:hAnsi="Segoe UI" w:cs="Segoe UI"/>
        </w:rPr>
        <w:t xml:space="preserve">funding; </w:t>
      </w:r>
      <w:r w:rsidR="00456232" w:rsidRPr="00752A8B">
        <w:rPr>
          <w:rFonts w:ascii="Segoe UI" w:eastAsia="Segoe UI" w:hAnsi="Segoe UI" w:cs="Segoe UI"/>
        </w:rPr>
        <w:t xml:space="preserve">and </w:t>
      </w:r>
    </w:p>
    <w:p w14:paraId="06E4614D" w14:textId="77777777" w:rsidR="00456232" w:rsidRPr="00752A8B" w:rsidRDefault="058A4905" w:rsidP="00002621">
      <w:pPr>
        <w:pStyle w:val="ListParagraph"/>
        <w:numPr>
          <w:ilvl w:val="0"/>
          <w:numId w:val="14"/>
        </w:numPr>
        <w:spacing w:line="259" w:lineRule="auto"/>
        <w:ind w:left="782" w:hanging="357"/>
        <w:contextualSpacing w:val="0"/>
        <w:rPr>
          <w:rFonts w:ascii="Segoe UI" w:eastAsia="Segoe UI" w:hAnsi="Segoe UI" w:cs="Segoe UI"/>
        </w:rPr>
      </w:pPr>
      <w:r w:rsidRPr="00752A8B">
        <w:rPr>
          <w:rFonts w:ascii="Segoe UI" w:eastAsia="Segoe UI" w:hAnsi="Segoe UI" w:cs="Segoe UI"/>
        </w:rPr>
        <w:t xml:space="preserve">25 per cent </w:t>
      </w:r>
      <w:r w:rsidR="59892646" w:rsidRPr="00752A8B">
        <w:rPr>
          <w:rFonts w:ascii="Segoe UI" w:eastAsia="Segoe UI" w:hAnsi="Segoe UI" w:cs="Segoe UI"/>
        </w:rPr>
        <w:t>university</w:t>
      </w:r>
      <w:r w:rsidR="00914935">
        <w:rPr>
          <w:rFonts w:ascii="Segoe UI" w:eastAsia="Segoe UI" w:hAnsi="Segoe UI" w:cs="Segoe UI"/>
        </w:rPr>
        <w:t xml:space="preserve">, corporate </w:t>
      </w:r>
      <w:r w:rsidR="355E5C3D" w:rsidRPr="00752A8B">
        <w:rPr>
          <w:rFonts w:ascii="Segoe UI" w:eastAsia="Segoe UI" w:hAnsi="Segoe UI" w:cs="Segoe UI"/>
        </w:rPr>
        <w:t xml:space="preserve">or other host </w:t>
      </w:r>
      <w:r w:rsidRPr="00752A8B">
        <w:rPr>
          <w:rFonts w:ascii="Segoe UI" w:eastAsia="Segoe UI" w:hAnsi="Segoe UI" w:cs="Segoe UI"/>
        </w:rPr>
        <w:t>funding.</w:t>
      </w:r>
    </w:p>
    <w:p w14:paraId="06E4614E" w14:textId="77777777" w:rsidR="29EE1E2B" w:rsidRPr="00956D77" w:rsidRDefault="00956D77" w:rsidP="00956D77">
      <w:pPr>
        <w:pStyle w:val="ListParagraph"/>
        <w:numPr>
          <w:ilvl w:val="0"/>
          <w:numId w:val="22"/>
        </w:numPr>
        <w:spacing w:line="259" w:lineRule="auto"/>
        <w:ind w:left="0" w:firstLine="0"/>
        <w:contextualSpacing w:val="0"/>
        <w:rPr>
          <w:rFonts w:ascii="Segoe UI" w:eastAsia="Times New Roman" w:hAnsi="Segoe UI" w:cs="Segoe UI"/>
          <w:color w:val="212121"/>
        </w:rPr>
      </w:pPr>
      <w:r w:rsidRPr="00956D77">
        <w:rPr>
          <w:rFonts w:ascii="Segoe UI" w:eastAsia="Times New Roman" w:hAnsi="Segoe UI" w:cs="Segoe UI"/>
          <w:color w:val="212121"/>
        </w:rPr>
        <w:t>SCNS would determine the organisation(s) to receive an endowment. The endowment should be subject to an agreed constitution/charter for the organisation with strong governance and oversight arrangements, as well as an investment strategy and principles. This would help mitigate risk in the government's investment, noting the ability to influence the organisation following the initial payment would be limited.</w:t>
      </w:r>
    </w:p>
    <w:p w14:paraId="06E4614F" w14:textId="77777777" w:rsidR="00331E60" w:rsidRPr="00474B98" w:rsidRDefault="00331E60" w:rsidP="00C7202C">
      <w:pPr>
        <w:pStyle w:val="ListParagraph"/>
        <w:numPr>
          <w:ilvl w:val="0"/>
          <w:numId w:val="13"/>
        </w:numPr>
        <w:spacing w:line="259" w:lineRule="auto"/>
        <w:rPr>
          <w:rFonts w:ascii="Segoe UI" w:eastAsia="Times New Roman" w:hAnsi="Segoe UI" w:cs="Segoe UI"/>
          <w:b/>
        </w:rPr>
      </w:pPr>
      <w:r w:rsidRPr="00474B98">
        <w:rPr>
          <w:rFonts w:ascii="Segoe UI" w:eastAsia="Times New Roman" w:hAnsi="Segoe UI" w:cs="Segoe UI"/>
          <w:b/>
        </w:rPr>
        <w:t xml:space="preserve">Pros: </w:t>
      </w:r>
      <w:r w:rsidRPr="00474B98">
        <w:rPr>
          <w:rFonts w:ascii="Segoe UI" w:eastAsia="Times New Roman" w:hAnsi="Segoe UI" w:cs="Segoe UI"/>
        </w:rPr>
        <w:t xml:space="preserve">Provides long-term funding certainty and any cost sharing arrangement would reduce </w:t>
      </w:r>
      <w:r w:rsidR="00914935" w:rsidRPr="00474B98">
        <w:rPr>
          <w:rFonts w:ascii="Segoe UI" w:eastAsia="Times New Roman" w:hAnsi="Segoe UI" w:cs="Segoe UI"/>
        </w:rPr>
        <w:t xml:space="preserve">the </w:t>
      </w:r>
      <w:r w:rsidRPr="00474B98">
        <w:rPr>
          <w:rFonts w:ascii="Segoe UI" w:eastAsia="Times New Roman" w:hAnsi="Segoe UI" w:cs="Segoe UI"/>
        </w:rPr>
        <w:t>Government’s funding contribution. </w:t>
      </w:r>
    </w:p>
    <w:p w14:paraId="06E46150" w14:textId="77777777" w:rsidR="00456232" w:rsidRPr="00474B98" w:rsidRDefault="00331E60" w:rsidP="00C7202C">
      <w:pPr>
        <w:pStyle w:val="ListParagraph"/>
        <w:numPr>
          <w:ilvl w:val="0"/>
          <w:numId w:val="13"/>
        </w:numPr>
        <w:spacing w:line="259" w:lineRule="auto"/>
        <w:rPr>
          <w:rFonts w:ascii="Segoe UI" w:eastAsia="Times New Roman" w:hAnsi="Segoe UI" w:cs="Segoe UI"/>
          <w:b/>
        </w:rPr>
      </w:pPr>
      <w:r w:rsidRPr="00474B98">
        <w:rPr>
          <w:rFonts w:ascii="Segoe UI" w:eastAsia="Times New Roman" w:hAnsi="Segoe UI" w:cs="Segoe UI"/>
          <w:b/>
        </w:rPr>
        <w:t>Cons:</w:t>
      </w:r>
      <w:r w:rsidR="00456232" w:rsidRPr="00474B98">
        <w:rPr>
          <w:rFonts w:ascii="Segoe UI" w:eastAsia="Times New Roman" w:hAnsi="Segoe UI" w:cs="Segoe UI"/>
          <w:b/>
        </w:rPr>
        <w:t xml:space="preserve"> </w:t>
      </w:r>
      <w:r w:rsidRPr="00474B98">
        <w:rPr>
          <w:rFonts w:ascii="Segoe UI" w:eastAsia="Times New Roman" w:hAnsi="Segoe UI" w:cs="Segoe UI"/>
        </w:rPr>
        <w:t>R</w:t>
      </w:r>
      <w:r w:rsidR="00456232" w:rsidRPr="00474B98">
        <w:rPr>
          <w:rFonts w:ascii="Segoe UI" w:eastAsia="Times New Roman" w:hAnsi="Segoe UI" w:cs="Segoe UI"/>
        </w:rPr>
        <w:t>equire</w:t>
      </w:r>
      <w:r w:rsidRPr="00474B98">
        <w:rPr>
          <w:rFonts w:ascii="Segoe UI" w:eastAsia="Times New Roman" w:hAnsi="Segoe UI" w:cs="Segoe UI"/>
        </w:rPr>
        <w:t>s</w:t>
      </w:r>
      <w:r w:rsidR="00456232" w:rsidRPr="00474B98">
        <w:rPr>
          <w:rFonts w:ascii="Segoe UI" w:eastAsia="Times New Roman" w:hAnsi="Segoe UI" w:cs="Segoe UI"/>
        </w:rPr>
        <w:t xml:space="preserve"> a significant initial outlay and the return on investment would be contingent on external factors such as market conditions.</w:t>
      </w:r>
      <w:r w:rsidR="009210B7">
        <w:rPr>
          <w:rFonts w:ascii="Segoe UI" w:eastAsia="Times New Roman" w:hAnsi="Segoe UI" w:cs="Segoe UI"/>
        </w:rPr>
        <w:t xml:space="preserve"> </w:t>
      </w:r>
    </w:p>
    <w:p w14:paraId="06E46151" w14:textId="77777777" w:rsidR="00211C54" w:rsidRPr="00752A8B" w:rsidRDefault="00C906D3" w:rsidP="400730AC">
      <w:pPr>
        <w:pStyle w:val="Heading1"/>
        <w:rPr>
          <w:rFonts w:cs="Segoe UI"/>
          <w:b w:val="0"/>
          <w:bCs/>
          <w:sz w:val="40"/>
        </w:rPr>
      </w:pPr>
      <w:bookmarkStart w:id="150" w:name="_Toc170307524"/>
      <w:bookmarkStart w:id="151" w:name="_Toc170383188"/>
      <w:bookmarkStart w:id="152" w:name="_Toc170980567"/>
      <w:bookmarkStart w:id="153" w:name="_Toc171004281"/>
      <w:bookmarkStart w:id="154" w:name="_Toc171075003"/>
      <w:bookmarkStart w:id="155" w:name="_Toc172665610"/>
      <w:r w:rsidRPr="00A94975">
        <w:t>Attachment</w:t>
      </w:r>
      <w:r w:rsidR="00DE7087" w:rsidRPr="0078311C">
        <w:t>s</w:t>
      </w:r>
      <w:bookmarkEnd w:id="150"/>
      <w:bookmarkEnd w:id="151"/>
      <w:bookmarkEnd w:id="152"/>
      <w:bookmarkEnd w:id="153"/>
      <w:bookmarkEnd w:id="154"/>
      <w:bookmarkEnd w:id="155"/>
    </w:p>
    <w:p w14:paraId="06E46152" w14:textId="77777777" w:rsidR="0096396F" w:rsidRDefault="0096396F" w:rsidP="00C7202C">
      <w:pPr>
        <w:pStyle w:val="ListParagraph"/>
        <w:numPr>
          <w:ilvl w:val="0"/>
          <w:numId w:val="10"/>
        </w:numPr>
        <w:spacing w:line="259" w:lineRule="auto"/>
        <w:rPr>
          <w:rFonts w:ascii="Segoe UI" w:hAnsi="Segoe UI" w:cs="Segoe UI"/>
        </w:rPr>
      </w:pPr>
      <w:r>
        <w:rPr>
          <w:rFonts w:ascii="Segoe UI" w:hAnsi="Segoe UI" w:cs="Segoe UI"/>
        </w:rPr>
        <w:t>A principles-based framework</w:t>
      </w:r>
    </w:p>
    <w:p w14:paraId="06E46153" w14:textId="77777777" w:rsidR="70438644" w:rsidRDefault="70438644" w:rsidP="00C7202C">
      <w:pPr>
        <w:pStyle w:val="ListParagraph"/>
        <w:numPr>
          <w:ilvl w:val="0"/>
          <w:numId w:val="10"/>
        </w:numPr>
        <w:spacing w:line="259" w:lineRule="auto"/>
        <w:rPr>
          <w:rFonts w:ascii="Segoe UI" w:hAnsi="Segoe UI" w:cs="Segoe UI"/>
        </w:rPr>
      </w:pPr>
      <w:r w:rsidRPr="52ADF365">
        <w:rPr>
          <w:rFonts w:ascii="Segoe UI" w:hAnsi="Segoe UI" w:cs="Segoe UI"/>
        </w:rPr>
        <w:t>Review Terms of Reference</w:t>
      </w:r>
    </w:p>
    <w:p w14:paraId="06E46154" w14:textId="77777777" w:rsidR="00DE7087" w:rsidRPr="00752A8B" w:rsidRDefault="00DE7087" w:rsidP="00C7202C">
      <w:pPr>
        <w:pStyle w:val="ListParagraph"/>
        <w:numPr>
          <w:ilvl w:val="0"/>
          <w:numId w:val="10"/>
        </w:numPr>
        <w:spacing w:line="259" w:lineRule="auto"/>
        <w:rPr>
          <w:rFonts w:ascii="Segoe UI" w:hAnsi="Segoe UI" w:cs="Segoe UI"/>
        </w:rPr>
      </w:pPr>
      <w:r w:rsidRPr="00752A8B">
        <w:rPr>
          <w:rFonts w:ascii="Segoe UI" w:hAnsi="Segoe UI" w:cs="Segoe UI"/>
        </w:rPr>
        <w:t>How the Review was conducted</w:t>
      </w:r>
    </w:p>
    <w:p w14:paraId="06E46155" w14:textId="77777777" w:rsidR="00DE7087" w:rsidRPr="00752A8B" w:rsidRDefault="00DE7087" w:rsidP="00C7202C">
      <w:pPr>
        <w:pStyle w:val="ListParagraph"/>
        <w:numPr>
          <w:ilvl w:val="0"/>
          <w:numId w:val="10"/>
        </w:numPr>
        <w:spacing w:line="259" w:lineRule="auto"/>
        <w:rPr>
          <w:rFonts w:ascii="Segoe UI" w:hAnsi="Segoe UI" w:cs="Segoe UI"/>
        </w:rPr>
      </w:pPr>
      <w:r w:rsidRPr="00752A8B">
        <w:rPr>
          <w:rFonts w:ascii="Segoe UI" w:hAnsi="Segoe UI" w:cs="Segoe UI"/>
        </w:rPr>
        <w:t>Insights from data collected</w:t>
      </w:r>
    </w:p>
    <w:p w14:paraId="06E46156" w14:textId="77777777" w:rsidR="00DE7087" w:rsidRDefault="00DE7087" w:rsidP="00C7202C">
      <w:pPr>
        <w:pStyle w:val="ListParagraph"/>
        <w:numPr>
          <w:ilvl w:val="0"/>
          <w:numId w:val="10"/>
        </w:numPr>
        <w:spacing w:line="259" w:lineRule="auto"/>
        <w:rPr>
          <w:rFonts w:ascii="Segoe UI" w:hAnsi="Segoe UI" w:cs="Segoe UI"/>
        </w:rPr>
      </w:pPr>
      <w:r w:rsidRPr="00752A8B">
        <w:rPr>
          <w:rFonts w:ascii="Segoe UI" w:hAnsi="Segoe UI" w:cs="Segoe UI"/>
        </w:rPr>
        <w:t>Declaration of interests</w:t>
      </w:r>
    </w:p>
    <w:p w14:paraId="06E46157" w14:textId="77777777" w:rsidR="000056AA" w:rsidRDefault="000056AA">
      <w:pPr>
        <w:spacing w:after="200" w:line="288" w:lineRule="auto"/>
      </w:pPr>
    </w:p>
    <w:p w14:paraId="06E46158" w14:textId="77777777" w:rsidR="00C30D4B" w:rsidRDefault="00C30D4B" w:rsidP="0096396F">
      <w:pPr>
        <w:pStyle w:val="Heading2"/>
        <w:spacing w:after="200" w:line="259" w:lineRule="auto"/>
        <w:sectPr w:rsidR="00C30D4B" w:rsidSect="00F34A6C">
          <w:headerReference w:type="default" r:id="rId17"/>
          <w:footerReference w:type="default" r:id="rId18"/>
          <w:pgSz w:w="11906" w:h="16838"/>
          <w:pgMar w:top="993" w:right="1134" w:bottom="993" w:left="1134" w:header="426" w:footer="439" w:gutter="0"/>
          <w:pgNumType w:start="1"/>
          <w:cols w:space="708"/>
          <w:docGrid w:linePitch="360"/>
        </w:sectPr>
      </w:pPr>
      <w:bookmarkStart w:id="156" w:name="_Toc170980568"/>
      <w:bookmarkStart w:id="157" w:name="_Toc171004282"/>
      <w:bookmarkStart w:id="158" w:name="_Toc171075004"/>
    </w:p>
    <w:p w14:paraId="06E46159" w14:textId="77777777" w:rsidR="0096396F" w:rsidRDefault="0096396F" w:rsidP="0096396F">
      <w:pPr>
        <w:pStyle w:val="Heading2"/>
        <w:spacing w:after="200" w:line="259" w:lineRule="auto"/>
      </w:pPr>
      <w:bookmarkStart w:id="159" w:name="_Toc172665611"/>
      <w:r w:rsidRPr="000E416D">
        <w:lastRenderedPageBreak/>
        <w:t xml:space="preserve">Attachment </w:t>
      </w:r>
      <w:r>
        <w:t>A</w:t>
      </w:r>
      <w:r w:rsidRPr="000E416D">
        <w:t xml:space="preserve">: </w:t>
      </w:r>
      <w:r>
        <w:t>A principles-based framework</w:t>
      </w:r>
      <w:bookmarkEnd w:id="159"/>
    </w:p>
    <w:p w14:paraId="06E4615A" w14:textId="77777777" w:rsidR="0096396F" w:rsidRDefault="0096396F" w:rsidP="00C7202C">
      <w:pPr>
        <w:pStyle w:val="ListParagraph"/>
        <w:numPr>
          <w:ilvl w:val="0"/>
          <w:numId w:val="31"/>
        </w:numPr>
        <w:spacing w:line="259" w:lineRule="auto"/>
        <w:ind w:left="0" w:firstLine="0"/>
        <w:contextualSpacing w:val="0"/>
        <w:rPr>
          <w:rFonts w:ascii="Segoe UI" w:eastAsia="Times New Roman" w:hAnsi="Segoe UI" w:cs="Segoe UI"/>
          <w:color w:val="212121"/>
        </w:rPr>
      </w:pPr>
      <w:r w:rsidRPr="00C7202C">
        <w:rPr>
          <w:rFonts w:ascii="Segoe UI" w:eastAsia="Times New Roman" w:hAnsi="Segoe UI" w:cs="Segoe UI"/>
          <w:color w:val="212121"/>
        </w:rPr>
        <w:t>A principles-based framework should accompany a more rigorous and strategically directed approach to commissioned strategic policy work. The principles set out below are designed to ensure greater consistency in how Government engages the sector and provide better value for money for the Government, while maintaining an effective sector into the future.</w:t>
      </w:r>
      <w:r w:rsidR="009210B7" w:rsidRPr="00C7202C">
        <w:rPr>
          <w:rFonts w:ascii="Segoe UI" w:eastAsia="Times New Roman" w:hAnsi="Segoe UI" w:cs="Segoe UI"/>
          <w:color w:val="212121"/>
        </w:rPr>
        <w:t xml:space="preserve"> </w:t>
      </w:r>
    </w:p>
    <w:p w14:paraId="06E4615B" w14:textId="77777777" w:rsidR="00654821" w:rsidRPr="00A735D6" w:rsidRDefault="00654821" w:rsidP="00654821">
      <w:pPr>
        <w:pStyle w:val="BOXHeading3"/>
        <w:ind w:left="0"/>
        <w:rPr>
          <w:rFonts w:ascii="Segoe UI" w:hAnsi="Segoe UI" w:cs="Segoe UI"/>
          <w:sz w:val="22"/>
          <w:szCs w:val="22"/>
        </w:rPr>
      </w:pPr>
      <w:r w:rsidRPr="00A735D6">
        <w:rPr>
          <w:rFonts w:ascii="Segoe UI" w:hAnsi="Segoe UI" w:cs="Segoe UI"/>
          <w:sz w:val="22"/>
          <w:szCs w:val="22"/>
        </w:rPr>
        <w:t xml:space="preserve">Principle 1: Minimal burden </w:t>
      </w:r>
    </w:p>
    <w:p w14:paraId="06E4615C" w14:textId="77777777" w:rsidR="00654821" w:rsidRPr="00A735D6" w:rsidRDefault="00654821" w:rsidP="0053248D">
      <w:pPr>
        <w:pStyle w:val="BOXHeading3"/>
        <w:numPr>
          <w:ilvl w:val="1"/>
          <w:numId w:val="37"/>
        </w:numPr>
        <w:ind w:left="567" w:hanging="567"/>
        <w:outlineLvl w:val="9"/>
        <w:rPr>
          <w:rFonts w:ascii="Segoe UI" w:hAnsi="Segoe UI" w:cs="Segoe UI"/>
          <w:b w:val="0"/>
          <w:sz w:val="22"/>
          <w:szCs w:val="22"/>
        </w:rPr>
      </w:pPr>
      <w:r w:rsidRPr="00A735D6">
        <w:rPr>
          <w:rFonts w:ascii="Segoe UI" w:hAnsi="Segoe UI" w:cs="Segoe UI"/>
          <w:b w:val="0"/>
          <w:sz w:val="22"/>
          <w:szCs w:val="22"/>
        </w:rPr>
        <w:t xml:space="preserve">All activities should be commissioned and administered through the least burdensome process necessary, commensurate with the level of funding. </w:t>
      </w:r>
    </w:p>
    <w:p w14:paraId="06E4615D" w14:textId="77777777" w:rsidR="00A735D6" w:rsidRPr="00A735D6" w:rsidRDefault="67AAA837" w:rsidP="00A735D6">
      <w:pPr>
        <w:pStyle w:val="BOXHeading3"/>
        <w:ind w:left="0"/>
        <w:rPr>
          <w:rFonts w:ascii="Segoe UI" w:hAnsi="Segoe UI" w:cs="Segoe UI"/>
          <w:sz w:val="22"/>
          <w:szCs w:val="22"/>
        </w:rPr>
      </w:pPr>
      <w:r w:rsidRPr="2711AD65">
        <w:rPr>
          <w:rFonts w:ascii="Segoe UI" w:hAnsi="Segoe UI" w:cs="Segoe UI"/>
          <w:sz w:val="22"/>
          <w:szCs w:val="22"/>
        </w:rPr>
        <w:t xml:space="preserve">Principle 2: </w:t>
      </w:r>
      <w:r w:rsidR="4CA06E91" w:rsidRPr="2711AD65">
        <w:rPr>
          <w:rFonts w:ascii="Segoe UI" w:hAnsi="Segoe UI" w:cs="Segoe UI"/>
          <w:sz w:val="22"/>
          <w:szCs w:val="22"/>
        </w:rPr>
        <w:t xml:space="preserve">Funding </w:t>
      </w:r>
      <w:r w:rsidRPr="2711AD65">
        <w:rPr>
          <w:rFonts w:ascii="Segoe UI" w:hAnsi="Segoe UI" w:cs="Segoe UI"/>
          <w:sz w:val="22"/>
          <w:szCs w:val="22"/>
        </w:rPr>
        <w:t xml:space="preserve">certainty </w:t>
      </w:r>
    </w:p>
    <w:p w14:paraId="06E4615E" w14:textId="77777777" w:rsidR="00A735D6" w:rsidRPr="00A735D6" w:rsidRDefault="00A735D6" w:rsidP="0053248D">
      <w:pPr>
        <w:pStyle w:val="BOXHeading3"/>
        <w:ind w:left="567" w:hanging="567"/>
        <w:outlineLvl w:val="9"/>
        <w:rPr>
          <w:rFonts w:ascii="Segoe UI" w:hAnsi="Segoe UI" w:cs="Segoe UI"/>
          <w:b w:val="0"/>
          <w:sz w:val="22"/>
          <w:szCs w:val="22"/>
        </w:rPr>
      </w:pPr>
      <w:r w:rsidRPr="00A735D6">
        <w:rPr>
          <w:rFonts w:ascii="Segoe UI" w:hAnsi="Segoe UI" w:cs="Segoe UI"/>
          <w:b w:val="0"/>
          <w:sz w:val="22"/>
          <w:szCs w:val="22"/>
        </w:rPr>
        <w:t>2.1</w:t>
      </w:r>
      <w:r w:rsidRPr="00A735D6">
        <w:rPr>
          <w:rFonts w:ascii="Segoe UI" w:hAnsi="Segoe UI" w:cs="Segoe UI"/>
          <w:b w:val="0"/>
          <w:sz w:val="22"/>
          <w:szCs w:val="22"/>
        </w:rPr>
        <w:tab/>
        <w:t xml:space="preserve">Commonwealth funding for the sector should include larger, longer-term arrangements to enable organisations to develop deeper expertise, deliver strategic research, secure leases and facilities, and attract and retain quality staff. This may mean fewer but better funded recipients than currently. </w:t>
      </w:r>
    </w:p>
    <w:p w14:paraId="06E4615F" w14:textId="77777777" w:rsidR="00A735D6" w:rsidRPr="00A735D6" w:rsidRDefault="00A735D6" w:rsidP="0053248D">
      <w:pPr>
        <w:pStyle w:val="BOXHeading3"/>
        <w:ind w:left="567" w:hanging="567"/>
        <w:outlineLvl w:val="9"/>
        <w:rPr>
          <w:rFonts w:ascii="Segoe UI" w:hAnsi="Segoe UI" w:cs="Segoe UI"/>
          <w:b w:val="0"/>
          <w:sz w:val="22"/>
          <w:szCs w:val="22"/>
        </w:rPr>
      </w:pPr>
      <w:r w:rsidRPr="5E09E196">
        <w:rPr>
          <w:rFonts w:ascii="Segoe UI" w:hAnsi="Segoe UI" w:cs="Segoe UI"/>
          <w:b w:val="0"/>
          <w:sz w:val="22"/>
          <w:szCs w:val="22"/>
        </w:rPr>
        <w:t>2.2</w:t>
      </w:r>
      <w:r>
        <w:tab/>
      </w:r>
      <w:r w:rsidRPr="5E09E196">
        <w:rPr>
          <w:rFonts w:ascii="Segoe UI" w:hAnsi="Segoe UI" w:cs="Segoe UI"/>
          <w:b w:val="0"/>
          <w:sz w:val="22"/>
          <w:szCs w:val="22"/>
        </w:rPr>
        <w:t xml:space="preserve">The majority of operating funding an organisation receives from the Commonwealth should support activities against the SCNS strategic priorities, with organisations retaining some autonomy to explore new and emerging issues. </w:t>
      </w:r>
    </w:p>
    <w:p w14:paraId="06E46160" w14:textId="77777777" w:rsidR="00A735D6" w:rsidRPr="00A735D6" w:rsidRDefault="00A735D6" w:rsidP="00A735D6">
      <w:pPr>
        <w:pStyle w:val="BOXHeading3"/>
        <w:ind w:left="0"/>
        <w:rPr>
          <w:rFonts w:ascii="Segoe UI" w:hAnsi="Segoe UI" w:cs="Segoe UI"/>
          <w:sz w:val="22"/>
          <w:szCs w:val="22"/>
        </w:rPr>
      </w:pPr>
      <w:r w:rsidRPr="00A735D6">
        <w:rPr>
          <w:rFonts w:ascii="Segoe UI" w:hAnsi="Segoe UI" w:cs="Segoe UI"/>
          <w:sz w:val="22"/>
          <w:szCs w:val="22"/>
        </w:rPr>
        <w:t xml:space="preserve">Principle 3: Co-design and collaboration </w:t>
      </w:r>
    </w:p>
    <w:p w14:paraId="06E46161" w14:textId="77777777" w:rsidR="00A735D6" w:rsidRPr="00A735D6" w:rsidRDefault="00A735D6" w:rsidP="0053248D">
      <w:pPr>
        <w:pStyle w:val="BOXHeading3"/>
        <w:numPr>
          <w:ilvl w:val="1"/>
          <w:numId w:val="39"/>
        </w:numPr>
        <w:ind w:left="567" w:hanging="567"/>
        <w:outlineLvl w:val="9"/>
        <w:rPr>
          <w:rFonts w:ascii="Segoe UI" w:hAnsi="Segoe UI" w:cs="Segoe UI"/>
          <w:b w:val="0"/>
          <w:sz w:val="22"/>
          <w:szCs w:val="22"/>
        </w:rPr>
      </w:pPr>
      <w:r w:rsidRPr="00A735D6">
        <w:rPr>
          <w:rFonts w:ascii="Segoe UI" w:hAnsi="Segoe UI" w:cs="Segoe UI"/>
          <w:b w:val="0"/>
          <w:sz w:val="22"/>
          <w:szCs w:val="22"/>
        </w:rPr>
        <w:t xml:space="preserve">Initial proposals for strategic policy work should involve short pitches from applicants, enabling Government to shortlist as efficiently as possible. Shortlisted proposals should then be fine-tuned through a co-design process between the funding recipient and government experts to drive policy relevance in accordance with agreed priorities. </w:t>
      </w:r>
    </w:p>
    <w:p w14:paraId="06E46162" w14:textId="77777777" w:rsidR="00A735D6" w:rsidRPr="00A735D6" w:rsidRDefault="00A735D6" w:rsidP="0053248D">
      <w:pPr>
        <w:pStyle w:val="BOXHeading3"/>
        <w:numPr>
          <w:ilvl w:val="1"/>
          <w:numId w:val="39"/>
        </w:numPr>
        <w:ind w:left="567" w:hanging="567"/>
        <w:outlineLvl w:val="9"/>
        <w:rPr>
          <w:rFonts w:ascii="Segoe UI" w:hAnsi="Segoe UI" w:cs="Segoe UI"/>
          <w:b w:val="0"/>
          <w:sz w:val="22"/>
          <w:szCs w:val="22"/>
        </w:rPr>
      </w:pPr>
      <w:r w:rsidRPr="00A735D6">
        <w:rPr>
          <w:rFonts w:ascii="Segoe UI" w:hAnsi="Segoe UI" w:cs="Segoe UI"/>
          <w:b w:val="0"/>
          <w:sz w:val="22"/>
          <w:szCs w:val="22"/>
        </w:rPr>
        <w:t xml:space="preserve">Government should brief the sector on the SCNS annual strategic priorities. </w:t>
      </w:r>
    </w:p>
    <w:p w14:paraId="06E46163" w14:textId="77777777" w:rsidR="00A735D6" w:rsidRPr="00A735D6" w:rsidRDefault="00A735D6" w:rsidP="0053248D">
      <w:pPr>
        <w:pStyle w:val="BOXHeading3"/>
        <w:numPr>
          <w:ilvl w:val="1"/>
          <w:numId w:val="39"/>
        </w:numPr>
        <w:ind w:left="567" w:hanging="567"/>
        <w:outlineLvl w:val="9"/>
        <w:rPr>
          <w:rFonts w:ascii="Segoe UI" w:hAnsi="Segoe UI" w:cs="Segoe UI"/>
          <w:b w:val="0"/>
          <w:sz w:val="22"/>
          <w:szCs w:val="22"/>
        </w:rPr>
      </w:pPr>
      <w:r w:rsidRPr="00A735D6">
        <w:rPr>
          <w:rFonts w:ascii="Segoe UI" w:hAnsi="Segoe UI" w:cs="Segoe UI"/>
          <w:b w:val="0"/>
          <w:sz w:val="22"/>
          <w:szCs w:val="22"/>
        </w:rPr>
        <w:t xml:space="preserve">Government should be more directive in assigning specific tasks for the sector to deliver in collaboration with Government, such as priorities for Track 1.5 dialogues. </w:t>
      </w:r>
    </w:p>
    <w:p w14:paraId="06E46164" w14:textId="77777777" w:rsidR="00A735D6" w:rsidRPr="00A735D6" w:rsidRDefault="00A735D6" w:rsidP="00A735D6">
      <w:pPr>
        <w:pStyle w:val="BOXHeading3"/>
        <w:ind w:left="0"/>
        <w:rPr>
          <w:rFonts w:ascii="Segoe UI" w:hAnsi="Segoe UI" w:cs="Segoe UI"/>
          <w:sz w:val="22"/>
          <w:szCs w:val="22"/>
        </w:rPr>
      </w:pPr>
      <w:r w:rsidRPr="00A735D6">
        <w:rPr>
          <w:rFonts w:ascii="Segoe UI" w:hAnsi="Segoe UI" w:cs="Segoe UI"/>
          <w:sz w:val="22"/>
          <w:szCs w:val="22"/>
        </w:rPr>
        <w:t xml:space="preserve">Principle 4: Contestability and collaboration </w:t>
      </w:r>
    </w:p>
    <w:p w14:paraId="06E46165" w14:textId="77777777" w:rsidR="00A735D6" w:rsidRPr="00A735D6" w:rsidRDefault="00A735D6" w:rsidP="0053248D">
      <w:pPr>
        <w:pStyle w:val="BOXHeading3"/>
        <w:ind w:left="567" w:hanging="567"/>
        <w:outlineLvl w:val="9"/>
        <w:rPr>
          <w:rFonts w:ascii="Segoe UI" w:hAnsi="Segoe UI" w:cs="Segoe UI"/>
          <w:b w:val="0"/>
          <w:sz w:val="22"/>
          <w:szCs w:val="22"/>
        </w:rPr>
      </w:pPr>
      <w:r w:rsidRPr="00A735D6">
        <w:rPr>
          <w:rFonts w:ascii="Segoe UI" w:hAnsi="Segoe UI" w:cs="Segoe UI"/>
          <w:b w:val="0"/>
          <w:sz w:val="22"/>
          <w:szCs w:val="22"/>
        </w:rPr>
        <w:t>4.1</w:t>
      </w:r>
      <w:r w:rsidRPr="00A735D6">
        <w:rPr>
          <w:rFonts w:ascii="Segoe UI" w:hAnsi="Segoe UI" w:cs="Segoe UI"/>
          <w:b w:val="0"/>
          <w:sz w:val="22"/>
          <w:szCs w:val="22"/>
        </w:rPr>
        <w:tab/>
        <w:t xml:space="preserve">Government should actively fund the sector to critically review identified government policy with the focus being on alternate policy options for Government to consider. </w:t>
      </w:r>
    </w:p>
    <w:p w14:paraId="06E46166" w14:textId="77777777" w:rsidR="00A735D6" w:rsidRPr="00A735D6" w:rsidRDefault="00A735D6" w:rsidP="0053248D">
      <w:pPr>
        <w:pStyle w:val="BOXHeading3"/>
        <w:ind w:left="567" w:hanging="567"/>
        <w:outlineLvl w:val="9"/>
        <w:rPr>
          <w:rFonts w:ascii="Segoe UI" w:hAnsi="Segoe UI" w:cs="Segoe UI"/>
          <w:b w:val="0"/>
          <w:sz w:val="22"/>
          <w:szCs w:val="22"/>
        </w:rPr>
      </w:pPr>
      <w:r w:rsidRPr="00A735D6">
        <w:rPr>
          <w:rFonts w:ascii="Segoe UI" w:hAnsi="Segoe UI" w:cs="Segoe UI"/>
          <w:b w:val="0"/>
          <w:sz w:val="22"/>
          <w:szCs w:val="22"/>
        </w:rPr>
        <w:t>4.2</w:t>
      </w:r>
      <w:r w:rsidRPr="00A735D6">
        <w:rPr>
          <w:rFonts w:ascii="Segoe UI" w:hAnsi="Segoe UI" w:cs="Segoe UI"/>
          <w:b w:val="0"/>
          <w:sz w:val="22"/>
          <w:szCs w:val="22"/>
        </w:rPr>
        <w:tab/>
        <w:t xml:space="preserve">Contestability should occur earlier in the policy development cycle wherever possible, to encourage diversity and to identify and rectify policy gaps. </w:t>
      </w:r>
    </w:p>
    <w:p w14:paraId="06E46167" w14:textId="77777777" w:rsidR="00A735D6" w:rsidRPr="00A735D6" w:rsidRDefault="00A735D6" w:rsidP="0053248D">
      <w:pPr>
        <w:pStyle w:val="BOXHeading3"/>
        <w:ind w:left="567" w:hanging="567"/>
        <w:outlineLvl w:val="9"/>
        <w:rPr>
          <w:rFonts w:ascii="Segoe UI" w:hAnsi="Segoe UI" w:cs="Segoe UI"/>
          <w:b w:val="0"/>
          <w:sz w:val="22"/>
          <w:szCs w:val="22"/>
        </w:rPr>
      </w:pPr>
      <w:r w:rsidRPr="00A735D6">
        <w:rPr>
          <w:rFonts w:ascii="Segoe UI" w:hAnsi="Segoe UI" w:cs="Segoe UI"/>
          <w:b w:val="0"/>
          <w:sz w:val="22"/>
          <w:szCs w:val="22"/>
        </w:rPr>
        <w:t>4.3</w:t>
      </w:r>
      <w:r w:rsidRPr="00A735D6">
        <w:rPr>
          <w:rFonts w:ascii="Segoe UI" w:hAnsi="Segoe UI" w:cs="Segoe UI"/>
          <w:b w:val="0"/>
          <w:sz w:val="22"/>
          <w:szCs w:val="22"/>
        </w:rPr>
        <w:tab/>
        <w:t xml:space="preserve">For major policies, several </w:t>
      </w:r>
      <w:r w:rsidR="007959C0">
        <w:rPr>
          <w:rFonts w:ascii="Segoe UI" w:hAnsi="Segoe UI" w:cs="Segoe UI"/>
          <w:b w:val="0"/>
          <w:sz w:val="22"/>
          <w:szCs w:val="22"/>
        </w:rPr>
        <w:t>think tanks or</w:t>
      </w:r>
      <w:r w:rsidRPr="00A735D6">
        <w:rPr>
          <w:rFonts w:ascii="Segoe UI" w:hAnsi="Segoe UI" w:cs="Segoe UI"/>
          <w:b w:val="0"/>
          <w:sz w:val="22"/>
          <w:szCs w:val="22"/>
        </w:rPr>
        <w:t xml:space="preserve"> academic</w:t>
      </w:r>
      <w:r w:rsidR="007959C0">
        <w:rPr>
          <w:rFonts w:ascii="Segoe UI" w:hAnsi="Segoe UI" w:cs="Segoe UI"/>
          <w:b w:val="0"/>
          <w:sz w:val="22"/>
          <w:szCs w:val="22"/>
        </w:rPr>
        <w:t xml:space="preserve"> institutions</w:t>
      </w:r>
      <w:r w:rsidRPr="00A735D6">
        <w:rPr>
          <w:rFonts w:ascii="Segoe UI" w:hAnsi="Segoe UI" w:cs="Segoe UI"/>
          <w:b w:val="0"/>
          <w:sz w:val="22"/>
          <w:szCs w:val="22"/>
        </w:rPr>
        <w:t xml:space="preserve"> should be engaged on the same topic to provide a suite of perspectives and options. </w:t>
      </w:r>
    </w:p>
    <w:p w14:paraId="06E46168" w14:textId="77777777" w:rsidR="00E70221" w:rsidRDefault="00A735D6" w:rsidP="0053248D">
      <w:pPr>
        <w:pStyle w:val="BOXHeading3"/>
        <w:ind w:left="567" w:hanging="567"/>
        <w:outlineLvl w:val="9"/>
        <w:rPr>
          <w:rFonts w:ascii="Segoe UI" w:hAnsi="Segoe UI" w:cs="Segoe UI"/>
          <w:b w:val="0"/>
          <w:sz w:val="22"/>
          <w:szCs w:val="22"/>
        </w:rPr>
      </w:pPr>
      <w:r w:rsidRPr="00A735D6">
        <w:rPr>
          <w:rFonts w:ascii="Segoe UI" w:hAnsi="Segoe UI" w:cs="Segoe UI"/>
          <w:b w:val="0"/>
          <w:sz w:val="22"/>
          <w:szCs w:val="22"/>
        </w:rPr>
        <w:t>4.4</w:t>
      </w:r>
      <w:r w:rsidRPr="00A735D6">
        <w:rPr>
          <w:rFonts w:ascii="Segoe UI" w:hAnsi="Segoe UI" w:cs="Segoe UI"/>
          <w:b w:val="0"/>
          <w:sz w:val="22"/>
          <w:szCs w:val="22"/>
        </w:rPr>
        <w:tab/>
        <w:t>Sufficient funding and timeframes should be allocated to research on major policy issues, to incentivise multi-disciplinary perspectives and encourage collaboration across institutes and individuals.</w:t>
      </w:r>
      <w:r w:rsidR="00E70221">
        <w:rPr>
          <w:rFonts w:ascii="Segoe UI" w:hAnsi="Segoe UI" w:cs="Segoe UI"/>
          <w:b w:val="0"/>
          <w:sz w:val="22"/>
          <w:szCs w:val="22"/>
        </w:rPr>
        <w:br w:type="page"/>
      </w:r>
    </w:p>
    <w:p w14:paraId="06E46169" w14:textId="77777777" w:rsidR="00A735D6" w:rsidRPr="00A735D6" w:rsidRDefault="00A735D6" w:rsidP="00A735D6">
      <w:pPr>
        <w:pStyle w:val="BOXHeading3"/>
        <w:ind w:left="0"/>
        <w:rPr>
          <w:rFonts w:ascii="Segoe UI" w:hAnsi="Segoe UI" w:cs="Segoe UI"/>
          <w:sz w:val="22"/>
          <w:szCs w:val="22"/>
        </w:rPr>
      </w:pPr>
      <w:r w:rsidRPr="00A735D6">
        <w:rPr>
          <w:rFonts w:ascii="Segoe UI" w:hAnsi="Segoe UI" w:cs="Segoe UI"/>
          <w:sz w:val="22"/>
          <w:szCs w:val="22"/>
        </w:rPr>
        <w:lastRenderedPageBreak/>
        <w:t xml:space="preserve">Principle 5: Transparency </w:t>
      </w:r>
    </w:p>
    <w:p w14:paraId="06E4616A" w14:textId="77777777" w:rsidR="00A735D6" w:rsidRPr="00A735D6" w:rsidRDefault="00A735D6" w:rsidP="0053248D">
      <w:pPr>
        <w:pStyle w:val="BOXHeading3"/>
        <w:ind w:left="567" w:hanging="567"/>
        <w:outlineLvl w:val="9"/>
        <w:rPr>
          <w:rFonts w:ascii="Segoe UI" w:hAnsi="Segoe UI" w:cs="Segoe UI"/>
          <w:b w:val="0"/>
          <w:sz w:val="22"/>
          <w:szCs w:val="22"/>
        </w:rPr>
      </w:pPr>
      <w:r w:rsidRPr="00A735D6">
        <w:rPr>
          <w:rFonts w:ascii="Segoe UI" w:hAnsi="Segoe UI" w:cs="Segoe UI"/>
          <w:b w:val="0"/>
          <w:sz w:val="22"/>
          <w:szCs w:val="22"/>
        </w:rPr>
        <w:t>5.1</w:t>
      </w:r>
      <w:r w:rsidRPr="00A735D6">
        <w:rPr>
          <w:rFonts w:ascii="Segoe UI" w:hAnsi="Segoe UI" w:cs="Segoe UI"/>
          <w:b w:val="0"/>
          <w:sz w:val="22"/>
          <w:szCs w:val="22"/>
        </w:rPr>
        <w:tab/>
        <w:t xml:space="preserve">Departments and agencies should prioritise open and competitive grant and tender processes for commissioning strategic policy work. </w:t>
      </w:r>
    </w:p>
    <w:p w14:paraId="06E4616B" w14:textId="77777777" w:rsidR="00A735D6" w:rsidRPr="00A735D6" w:rsidRDefault="00A735D6" w:rsidP="0053248D">
      <w:pPr>
        <w:pStyle w:val="BOXHeading3"/>
        <w:ind w:left="567" w:hanging="567"/>
        <w:outlineLvl w:val="9"/>
        <w:rPr>
          <w:rFonts w:ascii="Segoe UI" w:hAnsi="Segoe UI" w:cs="Segoe UI"/>
          <w:b w:val="0"/>
          <w:sz w:val="22"/>
          <w:szCs w:val="22"/>
        </w:rPr>
      </w:pPr>
      <w:r w:rsidRPr="00A735D6">
        <w:rPr>
          <w:rFonts w:ascii="Segoe UI" w:hAnsi="Segoe UI" w:cs="Segoe UI"/>
          <w:b w:val="0"/>
          <w:sz w:val="22"/>
          <w:szCs w:val="22"/>
        </w:rPr>
        <w:t>5.2</w:t>
      </w:r>
      <w:r w:rsidRPr="00A735D6">
        <w:rPr>
          <w:rFonts w:ascii="Segoe UI" w:hAnsi="Segoe UI" w:cs="Segoe UI"/>
          <w:b w:val="0"/>
          <w:sz w:val="22"/>
          <w:szCs w:val="22"/>
        </w:rPr>
        <w:tab/>
        <w:t xml:space="preserve">Grant rounds should occur at regular intervals to allow the sector to plan proposals. </w:t>
      </w:r>
    </w:p>
    <w:p w14:paraId="06E4616C" w14:textId="77777777" w:rsidR="00A735D6" w:rsidRPr="00A735D6" w:rsidRDefault="00A735D6" w:rsidP="00A735D6">
      <w:pPr>
        <w:pStyle w:val="BOXHeading3"/>
        <w:ind w:left="0"/>
        <w:rPr>
          <w:rFonts w:ascii="Segoe UI" w:hAnsi="Segoe UI" w:cs="Segoe UI"/>
          <w:sz w:val="22"/>
          <w:szCs w:val="22"/>
        </w:rPr>
      </w:pPr>
      <w:r w:rsidRPr="00A735D6">
        <w:rPr>
          <w:rFonts w:ascii="Segoe UI" w:hAnsi="Segoe UI" w:cs="Segoe UI"/>
          <w:sz w:val="22"/>
          <w:szCs w:val="22"/>
        </w:rPr>
        <w:t xml:space="preserve">Principle 6: Review and evaluation </w:t>
      </w:r>
    </w:p>
    <w:p w14:paraId="06E4616D" w14:textId="77777777" w:rsidR="00A735D6" w:rsidRPr="00A735D6" w:rsidRDefault="00A735D6" w:rsidP="0053248D">
      <w:pPr>
        <w:pStyle w:val="BOXHeading3"/>
        <w:ind w:left="567" w:hanging="567"/>
        <w:outlineLvl w:val="9"/>
        <w:rPr>
          <w:rFonts w:ascii="Segoe UI" w:hAnsi="Segoe UI" w:cs="Segoe UI"/>
          <w:b w:val="0"/>
          <w:sz w:val="22"/>
          <w:szCs w:val="22"/>
        </w:rPr>
      </w:pPr>
      <w:r w:rsidRPr="00A735D6">
        <w:rPr>
          <w:rFonts w:ascii="Segoe UI" w:hAnsi="Segoe UI" w:cs="Segoe UI"/>
          <w:b w:val="0"/>
          <w:sz w:val="22"/>
          <w:szCs w:val="22"/>
        </w:rPr>
        <w:t>6.1</w:t>
      </w:r>
      <w:r w:rsidRPr="00A735D6">
        <w:rPr>
          <w:rFonts w:ascii="Segoe UI" w:hAnsi="Segoe UI" w:cs="Segoe UI"/>
          <w:b w:val="0"/>
          <w:sz w:val="22"/>
          <w:szCs w:val="22"/>
        </w:rPr>
        <w:tab/>
        <w:t xml:space="preserve">Evaluations should be commensurate with the funding amount. Evaluation of smaller agreements should be streamlined, with written reporting on deliverables replaced by engagement between the commissioning department or agency and the funding recipient to discuss findings and final reports. </w:t>
      </w:r>
    </w:p>
    <w:p w14:paraId="06E4616E" w14:textId="77777777" w:rsidR="00A735D6" w:rsidRPr="00A735D6" w:rsidRDefault="00A735D6" w:rsidP="0053248D">
      <w:pPr>
        <w:pStyle w:val="BOXHeading3"/>
        <w:ind w:left="567" w:hanging="567"/>
        <w:outlineLvl w:val="9"/>
        <w:rPr>
          <w:rFonts w:ascii="Segoe UI" w:hAnsi="Segoe UI" w:cs="Segoe UI"/>
          <w:b w:val="0"/>
          <w:sz w:val="22"/>
          <w:szCs w:val="22"/>
        </w:rPr>
      </w:pPr>
      <w:r w:rsidRPr="00A735D6">
        <w:rPr>
          <w:rFonts w:ascii="Segoe UI" w:hAnsi="Segoe UI" w:cs="Segoe UI"/>
          <w:b w:val="0"/>
          <w:sz w:val="22"/>
          <w:szCs w:val="22"/>
        </w:rPr>
        <w:t>6.2</w:t>
      </w:r>
      <w:r w:rsidRPr="00A735D6">
        <w:rPr>
          <w:rFonts w:ascii="Segoe UI" w:hAnsi="Segoe UI" w:cs="Segoe UI"/>
          <w:b w:val="0"/>
          <w:sz w:val="22"/>
          <w:szCs w:val="22"/>
        </w:rPr>
        <w:tab/>
        <w:t xml:space="preserve">Organisations receiving operating funds from Government should undergo regular evaluation led by the funding department. If operating funding is provided on a five-year cycle, then the review should occur in the third year. </w:t>
      </w:r>
    </w:p>
    <w:p w14:paraId="06E4616F" w14:textId="77777777" w:rsidR="00A735D6" w:rsidRPr="00A735D6" w:rsidRDefault="00A735D6" w:rsidP="00A735D6">
      <w:pPr>
        <w:pStyle w:val="BOXHeading3"/>
        <w:ind w:left="0"/>
        <w:rPr>
          <w:rFonts w:ascii="Segoe UI" w:hAnsi="Segoe UI" w:cs="Segoe UI"/>
          <w:sz w:val="22"/>
          <w:szCs w:val="22"/>
        </w:rPr>
      </w:pPr>
      <w:r w:rsidRPr="00A735D6">
        <w:rPr>
          <w:rFonts w:ascii="Segoe UI" w:hAnsi="Segoe UI" w:cs="Segoe UI"/>
          <w:sz w:val="22"/>
          <w:szCs w:val="22"/>
        </w:rPr>
        <w:t xml:space="preserve">Principle 7: Governance </w:t>
      </w:r>
    </w:p>
    <w:p w14:paraId="06E46170" w14:textId="77777777" w:rsidR="00A735D6" w:rsidRPr="00A735D6" w:rsidRDefault="00A735D6" w:rsidP="0053248D">
      <w:pPr>
        <w:pStyle w:val="BOXHeading3"/>
        <w:ind w:left="567" w:hanging="567"/>
        <w:outlineLvl w:val="9"/>
        <w:rPr>
          <w:rFonts w:ascii="Segoe UI" w:hAnsi="Segoe UI" w:cs="Segoe UI"/>
          <w:b w:val="0"/>
          <w:sz w:val="22"/>
          <w:szCs w:val="22"/>
        </w:rPr>
      </w:pPr>
      <w:r w:rsidRPr="00A735D6">
        <w:rPr>
          <w:rFonts w:ascii="Segoe UI" w:hAnsi="Segoe UI" w:cs="Segoe UI"/>
          <w:b w:val="0"/>
          <w:sz w:val="22"/>
          <w:szCs w:val="22"/>
        </w:rPr>
        <w:t>7.1</w:t>
      </w:r>
      <w:r w:rsidRPr="00A735D6">
        <w:rPr>
          <w:rFonts w:ascii="Segoe UI" w:hAnsi="Segoe UI" w:cs="Segoe UI"/>
          <w:b w:val="0"/>
          <w:sz w:val="22"/>
          <w:szCs w:val="22"/>
        </w:rPr>
        <w:tab/>
        <w:t xml:space="preserve">Organisations receiving a significant proportion of Commonwealth funding should invite a government representative to sit as an observer on their governing body. </w:t>
      </w:r>
    </w:p>
    <w:p w14:paraId="06E46171" w14:textId="77777777" w:rsidR="00A735D6" w:rsidRPr="00A735D6" w:rsidRDefault="00A735D6" w:rsidP="0053248D">
      <w:pPr>
        <w:pStyle w:val="BOXHeading3"/>
        <w:ind w:left="567" w:hanging="567"/>
        <w:outlineLvl w:val="9"/>
        <w:rPr>
          <w:rFonts w:ascii="Segoe UI" w:hAnsi="Segoe UI" w:cs="Segoe UI"/>
          <w:b w:val="0"/>
          <w:sz w:val="22"/>
          <w:szCs w:val="22"/>
        </w:rPr>
      </w:pPr>
      <w:r w:rsidRPr="00A735D6">
        <w:rPr>
          <w:rFonts w:ascii="Segoe UI" w:hAnsi="Segoe UI" w:cs="Segoe UI"/>
          <w:b w:val="0"/>
          <w:sz w:val="22"/>
          <w:szCs w:val="22"/>
        </w:rPr>
        <w:t>7.2</w:t>
      </w:r>
      <w:r w:rsidRPr="00A735D6">
        <w:rPr>
          <w:rFonts w:ascii="Segoe UI" w:hAnsi="Segoe UI" w:cs="Segoe UI"/>
          <w:b w:val="0"/>
          <w:sz w:val="22"/>
          <w:szCs w:val="22"/>
        </w:rPr>
        <w:tab/>
        <w:t>Organisations should have robust and transparent policies in place to determine the appropriateness of funding from the corporate sector, philanthropy and foreign governments, in order to preserve research independence and avoid perceived conflicts of interests. This should be a precondition of Government funding.</w:t>
      </w:r>
    </w:p>
    <w:p w14:paraId="06E46172" w14:textId="77777777" w:rsidR="00A735D6" w:rsidRPr="00A735D6" w:rsidRDefault="00A735D6" w:rsidP="0053248D">
      <w:pPr>
        <w:pStyle w:val="BOXHeading3"/>
        <w:ind w:left="567" w:hanging="567"/>
        <w:outlineLvl w:val="9"/>
        <w:rPr>
          <w:rFonts w:ascii="Segoe UI" w:hAnsi="Segoe UI" w:cs="Segoe UI"/>
          <w:b w:val="0"/>
          <w:sz w:val="22"/>
          <w:szCs w:val="22"/>
        </w:rPr>
      </w:pPr>
      <w:r w:rsidRPr="00A735D6">
        <w:rPr>
          <w:rFonts w:ascii="Segoe UI" w:hAnsi="Segoe UI" w:cs="Segoe UI"/>
          <w:b w:val="0"/>
          <w:sz w:val="22"/>
          <w:szCs w:val="22"/>
        </w:rPr>
        <w:t>7.3</w:t>
      </w:r>
      <w:r w:rsidRPr="00A735D6">
        <w:rPr>
          <w:rFonts w:ascii="Segoe UI" w:hAnsi="Segoe UI" w:cs="Segoe UI"/>
          <w:b w:val="0"/>
          <w:sz w:val="22"/>
          <w:szCs w:val="22"/>
        </w:rPr>
        <w:tab/>
        <w:t>Organisations should maintain a Board skills matrix and make Board appointments to ensure diversity in knowledge and experience.</w:t>
      </w:r>
    </w:p>
    <w:p w14:paraId="06E46173" w14:textId="77777777" w:rsidR="0096396F" w:rsidRPr="00830846" w:rsidRDefault="0096396F" w:rsidP="0096396F">
      <w:pPr>
        <w:pStyle w:val="Heading3"/>
        <w:spacing w:before="80" w:after="80"/>
        <w:rPr>
          <w:rFonts w:eastAsia="Times New Roman"/>
        </w:rPr>
      </w:pPr>
      <w:r w:rsidRPr="00830846">
        <w:rPr>
          <w:rFonts w:eastAsia="Times New Roman"/>
        </w:rPr>
        <w:t>Proposed funding model</w:t>
      </w:r>
      <w:r w:rsidR="005840FE" w:rsidRPr="00830846">
        <w:rPr>
          <w:rFonts w:eastAsia="Times New Roman"/>
        </w:rPr>
        <w:t>s</w:t>
      </w:r>
      <w:r w:rsidRPr="00830846">
        <w:rPr>
          <w:rFonts w:eastAsia="Times New Roman"/>
        </w:rPr>
        <w:t xml:space="preserve"> for the sector</w:t>
      </w:r>
    </w:p>
    <w:p w14:paraId="06E46174" w14:textId="77777777" w:rsidR="0096396F" w:rsidRDefault="0096396F" w:rsidP="00002621">
      <w:pPr>
        <w:pStyle w:val="ListParagraph"/>
        <w:numPr>
          <w:ilvl w:val="0"/>
          <w:numId w:val="37"/>
        </w:numPr>
        <w:spacing w:line="259" w:lineRule="auto"/>
        <w:ind w:left="0" w:firstLine="0"/>
        <w:rPr>
          <w:rFonts w:ascii="Segoe UI" w:eastAsia="Segoe UI" w:hAnsi="Segoe UI" w:cs="Segoe UI"/>
        </w:rPr>
      </w:pPr>
      <w:r w:rsidRPr="002D4A76">
        <w:rPr>
          <w:rFonts w:ascii="Segoe UI" w:eastAsia="Segoe UI" w:hAnsi="Segoe UI" w:cs="Segoe UI"/>
        </w:rPr>
        <w:t xml:space="preserve">For the provision of operating funds, Government </w:t>
      </w:r>
      <w:r w:rsidR="005840FE" w:rsidRPr="002D4A76">
        <w:rPr>
          <w:rFonts w:ascii="Segoe UI" w:eastAsia="Segoe UI" w:hAnsi="Segoe UI" w:cs="Segoe UI"/>
        </w:rPr>
        <w:t>sh</w:t>
      </w:r>
      <w:r w:rsidRPr="002D4A76">
        <w:rPr>
          <w:rFonts w:ascii="Segoe UI" w:eastAsia="Segoe UI" w:hAnsi="Segoe UI" w:cs="Segoe UI"/>
        </w:rPr>
        <w:t xml:space="preserve">ould centralise decision-making on setting strategic priorities and allocations. Organisations receiving operating funding </w:t>
      </w:r>
      <w:r w:rsidR="005840FE" w:rsidRPr="002D4A76">
        <w:rPr>
          <w:rFonts w:ascii="Segoe UI" w:eastAsia="Segoe UI" w:hAnsi="Segoe UI" w:cs="Segoe UI"/>
        </w:rPr>
        <w:t>sh</w:t>
      </w:r>
      <w:r w:rsidRPr="002D4A76">
        <w:rPr>
          <w:rFonts w:ascii="Segoe UI" w:eastAsia="Segoe UI" w:hAnsi="Segoe UI" w:cs="Segoe UI"/>
        </w:rPr>
        <w:t>ould be required to commit the majority of funds to research priorities set by SCNS. The performance of rec</w:t>
      </w:r>
      <w:r w:rsidR="00C30D4B">
        <w:rPr>
          <w:rFonts w:ascii="Segoe UI" w:eastAsia="Segoe UI" w:hAnsi="Segoe UI" w:cs="Segoe UI"/>
        </w:rPr>
        <w:t>ipient</w:t>
      </w:r>
      <w:r w:rsidRPr="002D4A76">
        <w:rPr>
          <w:rFonts w:ascii="Segoe UI" w:eastAsia="Segoe UI" w:hAnsi="Segoe UI" w:cs="Segoe UI"/>
        </w:rPr>
        <w:t xml:space="preserve"> organisations, including their skills base, would be kept under review by SCNS based on evaluations done by the funding department. Operating funding should become contestable through an open tender process, increasing competition and </w:t>
      </w:r>
      <w:r w:rsidR="003934D0">
        <w:rPr>
          <w:rFonts w:ascii="Segoe UI" w:eastAsia="Segoe UI" w:hAnsi="Segoe UI" w:cs="Segoe UI"/>
        </w:rPr>
        <w:t xml:space="preserve">reducing </w:t>
      </w:r>
      <w:r w:rsidRPr="002D4A76">
        <w:rPr>
          <w:rFonts w:ascii="Segoe UI" w:eastAsia="Segoe UI" w:hAnsi="Segoe UI" w:cs="Segoe UI"/>
        </w:rPr>
        <w:t>the potential for ‘incumbency complacency’.</w:t>
      </w:r>
      <w:r w:rsidR="00362C52">
        <w:rPr>
          <w:rFonts w:ascii="Segoe UI" w:eastAsia="Segoe UI" w:hAnsi="Segoe UI" w:cs="Segoe UI"/>
        </w:rPr>
        <w:t xml:space="preserve"> As establishing this model will take some time, </w:t>
      </w:r>
      <w:r w:rsidR="00EB2E5A">
        <w:rPr>
          <w:rFonts w:ascii="Segoe UI" w:eastAsia="Segoe UI" w:hAnsi="Segoe UI" w:cs="Segoe UI"/>
        </w:rPr>
        <w:t xml:space="preserve">a transition period from the existing arrangements until the first five cycle </w:t>
      </w:r>
      <w:r w:rsidR="008C0377">
        <w:rPr>
          <w:rFonts w:ascii="Segoe UI" w:eastAsia="Segoe UI" w:hAnsi="Segoe UI" w:cs="Segoe UI"/>
        </w:rPr>
        <w:t>in 2027-28 would</w:t>
      </w:r>
      <w:r w:rsidR="00EB2E5A">
        <w:rPr>
          <w:rFonts w:ascii="Segoe UI" w:eastAsia="Segoe UI" w:hAnsi="Segoe UI" w:cs="Segoe UI"/>
        </w:rPr>
        <w:t xml:space="preserve"> be required.</w:t>
      </w:r>
    </w:p>
    <w:p w14:paraId="06E46175" w14:textId="77777777" w:rsidR="00362C52" w:rsidRPr="008A6C91" w:rsidRDefault="00362C52" w:rsidP="00362C52">
      <w:pPr>
        <w:pStyle w:val="Heading4"/>
      </w:pPr>
      <w:r>
        <w:lastRenderedPageBreak/>
        <w:t>Model 1: Proposed transition arrangements</w:t>
      </w:r>
    </w:p>
    <w:p w14:paraId="06E46176" w14:textId="77777777" w:rsidR="00362C52" w:rsidRPr="002D4A76" w:rsidRDefault="006201D0" w:rsidP="003804C2">
      <w:pPr>
        <w:pStyle w:val="ListParagraph"/>
        <w:spacing w:line="259" w:lineRule="auto"/>
        <w:ind w:left="0"/>
        <w:jc w:val="center"/>
        <w:rPr>
          <w:rFonts w:ascii="Segoe UI" w:eastAsia="Segoe UI" w:hAnsi="Segoe UI" w:cs="Segoe UI"/>
        </w:rPr>
      </w:pPr>
      <w:r>
        <w:rPr>
          <w:noProof/>
          <w:lang w:eastAsia="en-AU"/>
        </w:rPr>
        <w:drawing>
          <wp:inline distT="0" distB="0" distL="0" distR="0" wp14:anchorId="06E46282" wp14:editId="06E46283">
            <wp:extent cx="3974093" cy="1527524"/>
            <wp:effectExtent l="0" t="0" r="7620" b="0"/>
            <wp:docPr id="1" name="Picture 1" descr="Financial year 2024-25, SCNS considers the Varghese Review. Agrees to Review's findings, including two years of operating funding to NSC, ASPI, USSC, and USAC. Financial year 2025-26, Government conducts open tender process for first five year cycle of operating funding, beginning 2027-28 finanical year, to 2031-32 financial year. Financial year 2026-27, open tender results announced. Organisations have one year to adjust operations to funding decis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74093" cy="1527524"/>
                    </a:xfrm>
                    <a:prstGeom prst="rect">
                      <a:avLst/>
                    </a:prstGeom>
                  </pic:spPr>
                </pic:pic>
              </a:graphicData>
            </a:graphic>
          </wp:inline>
        </w:drawing>
      </w:r>
    </w:p>
    <w:p w14:paraId="06E46177" w14:textId="77777777" w:rsidR="005840FE" w:rsidRPr="008A6C91" w:rsidRDefault="00C7202C" w:rsidP="005840FE">
      <w:pPr>
        <w:pStyle w:val="Heading4"/>
      </w:pPr>
      <w:r>
        <w:t>Model</w:t>
      </w:r>
      <w:r w:rsidR="005840FE">
        <w:t xml:space="preserve"> </w:t>
      </w:r>
      <w:r w:rsidR="00362C52">
        <w:t>2</w:t>
      </w:r>
      <w:r w:rsidR="005840FE">
        <w:t xml:space="preserve">: </w:t>
      </w:r>
      <w:r w:rsidR="00362C52">
        <w:t>Proposed f</w:t>
      </w:r>
      <w:r w:rsidR="0052215F">
        <w:t>ive-year</w:t>
      </w:r>
      <w:r w:rsidR="005840FE">
        <w:t xml:space="preserve"> funding cycle for operating funding to select organisations in the sector</w:t>
      </w:r>
    </w:p>
    <w:p w14:paraId="06E46178" w14:textId="77777777" w:rsidR="0096396F" w:rsidRDefault="006201D0" w:rsidP="003804C2">
      <w:pPr>
        <w:spacing w:before="160"/>
        <w:jc w:val="center"/>
      </w:pPr>
      <w:r>
        <w:rPr>
          <w:noProof/>
          <w:lang w:eastAsia="en-AU"/>
        </w:rPr>
        <w:drawing>
          <wp:inline distT="0" distB="0" distL="0" distR="0" wp14:anchorId="06E46284" wp14:editId="06E46285">
            <wp:extent cx="6120130" cy="1490345"/>
            <wp:effectExtent l="0" t="0" r="0" b="0"/>
            <wp:docPr id="7" name="Picture 7" descr="Financial year 2027-28, first five-year cycle of operating funding commences. Financial year 2028-29, year two of operating funding. Financial year 2029-30, evaluations conducted by funding department or departments informs open tender process. Financial year 2030-31, open tender process for second five-year cycle, for financial year 2032-23, to financial year 2036-37. Financial year 2031-31, open tender results announced. Organisations have one financial year to adjust operations to funding decisions. Process repea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130" cy="1490345"/>
                    </a:xfrm>
                    <a:prstGeom prst="rect">
                      <a:avLst/>
                    </a:prstGeom>
                  </pic:spPr>
                </pic:pic>
              </a:graphicData>
            </a:graphic>
          </wp:inline>
        </w:drawing>
      </w:r>
    </w:p>
    <w:p w14:paraId="06E46179" w14:textId="77777777" w:rsidR="0096396F" w:rsidRDefault="0CE50348" w:rsidP="00002621">
      <w:pPr>
        <w:pStyle w:val="ListParagraph"/>
        <w:numPr>
          <w:ilvl w:val="0"/>
          <w:numId w:val="37"/>
        </w:numPr>
        <w:spacing w:line="259" w:lineRule="auto"/>
        <w:ind w:left="0" w:firstLine="0"/>
        <w:rPr>
          <w:rFonts w:ascii="Segoe UI" w:eastAsia="Segoe UI" w:hAnsi="Segoe UI" w:cs="Segoe UI"/>
        </w:rPr>
      </w:pPr>
      <w:r w:rsidRPr="44DAC2EB">
        <w:rPr>
          <w:rFonts w:ascii="Segoe UI" w:eastAsia="Segoe UI" w:hAnsi="Segoe UI" w:cs="Segoe UI"/>
        </w:rPr>
        <w:t xml:space="preserve">For fee-for-service </w:t>
      </w:r>
      <w:r w:rsidR="3CDBD1BE" w:rsidRPr="44DAC2EB">
        <w:rPr>
          <w:rFonts w:ascii="Segoe UI" w:eastAsia="Segoe UI" w:hAnsi="Segoe UI" w:cs="Segoe UI"/>
        </w:rPr>
        <w:t>activities</w:t>
      </w:r>
      <w:r w:rsidRPr="44DAC2EB">
        <w:rPr>
          <w:rFonts w:ascii="Segoe UI" w:eastAsia="Segoe UI" w:hAnsi="Segoe UI" w:cs="Segoe UI"/>
        </w:rPr>
        <w:t xml:space="preserve">, Commonwealth departments and agencies would retain the ability to commission strategic policy work through </w:t>
      </w:r>
      <w:r w:rsidR="3CDBD1BE" w:rsidRPr="44DAC2EB">
        <w:rPr>
          <w:rFonts w:ascii="Segoe UI" w:eastAsia="Segoe UI" w:hAnsi="Segoe UI" w:cs="Segoe UI"/>
        </w:rPr>
        <w:t xml:space="preserve">existing </w:t>
      </w:r>
      <w:r w:rsidRPr="44DAC2EB">
        <w:rPr>
          <w:rFonts w:ascii="Segoe UI" w:eastAsia="Segoe UI" w:hAnsi="Segoe UI" w:cs="Segoe UI"/>
        </w:rPr>
        <w:t>grant</w:t>
      </w:r>
      <w:r w:rsidR="3CDBD1BE" w:rsidRPr="44DAC2EB">
        <w:rPr>
          <w:rFonts w:ascii="Segoe UI" w:eastAsia="Segoe UI" w:hAnsi="Segoe UI" w:cs="Segoe UI"/>
        </w:rPr>
        <w:t xml:space="preserve"> and procurements processes</w:t>
      </w:r>
      <w:r w:rsidR="71C1E329" w:rsidRPr="44DAC2EB">
        <w:rPr>
          <w:rFonts w:ascii="Segoe UI" w:eastAsia="Segoe UI" w:hAnsi="Segoe UI" w:cs="Segoe UI"/>
        </w:rPr>
        <w:t xml:space="preserve"> so long as they are consistent with the principles</w:t>
      </w:r>
      <w:r w:rsidR="6159E6F0" w:rsidRPr="44DAC2EB">
        <w:rPr>
          <w:rFonts w:ascii="Segoe UI" w:eastAsia="Segoe UI" w:hAnsi="Segoe UI" w:cs="Segoe UI"/>
        </w:rPr>
        <w:t xml:space="preserve"> at </w:t>
      </w:r>
      <w:r w:rsidR="6159E6F0" w:rsidRPr="44DAC2EB">
        <w:rPr>
          <w:rFonts w:ascii="Segoe UI" w:eastAsia="Segoe UI" w:hAnsi="Segoe UI" w:cs="Segoe UI"/>
          <w:b/>
          <w:bCs/>
        </w:rPr>
        <w:t>Attachment A</w:t>
      </w:r>
      <w:r w:rsidRPr="44DAC2EB">
        <w:rPr>
          <w:rFonts w:ascii="Segoe UI" w:eastAsia="Segoe UI" w:hAnsi="Segoe UI" w:cs="Segoe UI"/>
        </w:rPr>
        <w:t xml:space="preserve">. The key change under this model however is </w:t>
      </w:r>
      <w:r w:rsidR="3CDBD1BE" w:rsidRPr="44DAC2EB">
        <w:rPr>
          <w:rFonts w:ascii="Segoe UI" w:eastAsia="Segoe UI" w:hAnsi="Segoe UI" w:cs="Segoe UI"/>
        </w:rPr>
        <w:t xml:space="preserve">that </w:t>
      </w:r>
      <w:r w:rsidRPr="44DAC2EB">
        <w:rPr>
          <w:rFonts w:ascii="Segoe UI" w:eastAsia="Segoe UI" w:hAnsi="Segoe UI" w:cs="Segoe UI"/>
        </w:rPr>
        <w:t xml:space="preserve">departments and agencies would be required to provide details </w:t>
      </w:r>
      <w:r w:rsidR="3CDBD1BE" w:rsidRPr="44DAC2EB">
        <w:rPr>
          <w:rFonts w:ascii="Segoe UI" w:eastAsia="Segoe UI" w:hAnsi="Segoe UI" w:cs="Segoe UI"/>
        </w:rPr>
        <w:t>of their funded activities</w:t>
      </w:r>
      <w:r w:rsidRPr="44DAC2EB">
        <w:rPr>
          <w:rFonts w:ascii="Segoe UI" w:eastAsia="Segoe UI" w:hAnsi="Segoe UI" w:cs="Segoe UI"/>
        </w:rPr>
        <w:t xml:space="preserve"> to PM&amp;C at least once a year for inclusion in a database that tracks all strategic policy work commissioned by the Commonwealth. </w:t>
      </w:r>
      <w:r w:rsidR="3CDBD1BE" w:rsidRPr="44DAC2EB">
        <w:rPr>
          <w:rFonts w:ascii="Segoe UI" w:eastAsia="Segoe UI" w:hAnsi="Segoe UI" w:cs="Segoe UI"/>
        </w:rPr>
        <w:t>This database should include the name of the recipient organisations, details of the project team, level and duration of funding, funding agency, purpose of funding and evaluation outcomes.</w:t>
      </w:r>
    </w:p>
    <w:p w14:paraId="06E4617A" w14:textId="77777777" w:rsidR="005840FE" w:rsidRPr="005840FE" w:rsidRDefault="00C7202C" w:rsidP="005840FE">
      <w:pPr>
        <w:pStyle w:val="Heading4"/>
      </w:pPr>
      <w:r>
        <w:t>Model</w:t>
      </w:r>
      <w:r w:rsidR="2677143A">
        <w:t xml:space="preserve"> </w:t>
      </w:r>
      <w:r w:rsidR="00362C52">
        <w:t>3</w:t>
      </w:r>
      <w:r w:rsidR="2677143A">
        <w:t xml:space="preserve">: </w:t>
      </w:r>
      <w:r w:rsidR="00362C52">
        <w:t>Proposed d</w:t>
      </w:r>
      <w:r w:rsidR="2677143A">
        <w:t>ecentralised model for fee-for-service activities</w:t>
      </w:r>
    </w:p>
    <w:p w14:paraId="06E4617B" w14:textId="77777777" w:rsidR="001C4179" w:rsidRDefault="006201D0" w:rsidP="003804C2">
      <w:pPr>
        <w:spacing w:before="160"/>
        <w:jc w:val="center"/>
      </w:pPr>
      <w:r>
        <w:rPr>
          <w:noProof/>
          <w:lang w:eastAsia="en-AU"/>
        </w:rPr>
        <w:drawing>
          <wp:inline distT="0" distB="0" distL="0" distR="0" wp14:anchorId="06E46286" wp14:editId="06E46287">
            <wp:extent cx="4116907" cy="1465137"/>
            <wp:effectExtent l="0" t="0" r="0" b="1905"/>
            <wp:docPr id="2" name="Picture 2" descr="Departments and agencies commission strategic policy work as required within existing budget allocation, using the Principles Framework. Then, departments and agencies send relevant information to PM&amp;C. Then, PM&amp;C collates and shares information with SCNS member agenc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50636" cy="1477141"/>
                    </a:xfrm>
                    <a:prstGeom prst="rect">
                      <a:avLst/>
                    </a:prstGeom>
                  </pic:spPr>
                </pic:pic>
              </a:graphicData>
            </a:graphic>
          </wp:inline>
        </w:drawing>
      </w:r>
    </w:p>
    <w:p w14:paraId="06E4617C" w14:textId="77777777" w:rsidR="00EB2E5A" w:rsidRDefault="00EB2E5A" w:rsidP="481342E2">
      <w:pPr>
        <w:spacing w:before="160"/>
      </w:pPr>
    </w:p>
    <w:p w14:paraId="06E4617D" w14:textId="77777777" w:rsidR="00C30D4B" w:rsidRDefault="00C30D4B" w:rsidP="000056AA">
      <w:pPr>
        <w:pStyle w:val="Heading2"/>
        <w:rPr>
          <w:rFonts w:cs="Segoe UI"/>
        </w:rPr>
        <w:sectPr w:rsidR="00C30D4B" w:rsidSect="00362C52">
          <w:pgSz w:w="11906" w:h="16838"/>
          <w:pgMar w:top="993" w:right="1134" w:bottom="993" w:left="1134" w:header="426" w:footer="439" w:gutter="0"/>
          <w:cols w:space="708"/>
          <w:docGrid w:linePitch="360"/>
        </w:sectPr>
      </w:pPr>
    </w:p>
    <w:p w14:paraId="06E4617E" w14:textId="77777777" w:rsidR="000056AA" w:rsidRPr="000E416D" w:rsidRDefault="000056AA" w:rsidP="000056AA">
      <w:pPr>
        <w:pStyle w:val="Heading2"/>
        <w:rPr>
          <w:rFonts w:cs="Segoe UI"/>
        </w:rPr>
      </w:pPr>
      <w:bookmarkStart w:id="160" w:name="_Toc172665612"/>
      <w:r w:rsidRPr="000E416D">
        <w:rPr>
          <w:rFonts w:cs="Segoe UI"/>
        </w:rPr>
        <w:lastRenderedPageBreak/>
        <w:t xml:space="preserve">Attachment </w:t>
      </w:r>
      <w:r w:rsidR="0096396F">
        <w:rPr>
          <w:rFonts w:cs="Segoe UI"/>
        </w:rPr>
        <w:t>B</w:t>
      </w:r>
      <w:r w:rsidRPr="000E416D">
        <w:rPr>
          <w:rFonts w:cs="Segoe UI"/>
        </w:rPr>
        <w:t>: Review Terms of Reference</w:t>
      </w:r>
      <w:bookmarkEnd w:id="156"/>
      <w:bookmarkEnd w:id="157"/>
      <w:bookmarkEnd w:id="158"/>
      <w:bookmarkEnd w:id="160"/>
    </w:p>
    <w:p w14:paraId="06E4617F" w14:textId="77777777" w:rsidR="000E416D" w:rsidRPr="000E416D" w:rsidRDefault="000E416D" w:rsidP="00C07429">
      <w:pPr>
        <w:pStyle w:val="Heading3"/>
        <w:spacing w:before="0" w:after="0"/>
        <w:rPr>
          <w:rFonts w:ascii="Segoe UI" w:hAnsi="Segoe UI" w:cs="Segoe UI"/>
        </w:rPr>
      </w:pPr>
      <w:bookmarkStart w:id="161" w:name="_Toc96326909"/>
      <w:bookmarkEnd w:id="161"/>
      <w:r w:rsidRPr="00830846">
        <w:t>Context</w:t>
      </w:r>
    </w:p>
    <w:p w14:paraId="06E46180" w14:textId="77777777" w:rsidR="000E416D" w:rsidRPr="009C66AC" w:rsidRDefault="000E416D" w:rsidP="00C7202C">
      <w:pPr>
        <w:numPr>
          <w:ilvl w:val="0"/>
          <w:numId w:val="18"/>
        </w:numPr>
        <w:shd w:val="clear" w:color="auto" w:fill="FFFFFF"/>
        <w:tabs>
          <w:tab w:val="clear" w:pos="720"/>
        </w:tabs>
        <w:spacing w:before="100" w:beforeAutospacing="1" w:after="80" w:line="240" w:lineRule="auto"/>
        <w:ind w:left="0" w:firstLine="0"/>
        <w:rPr>
          <w:rFonts w:ascii="Segoe UI" w:eastAsia="Times New Roman" w:hAnsi="Segoe UI" w:cs="Segoe UI"/>
          <w:szCs w:val="22"/>
          <w:lang w:eastAsia="en-AU"/>
        </w:rPr>
      </w:pPr>
      <w:r w:rsidRPr="009C66AC">
        <w:rPr>
          <w:rFonts w:ascii="Segoe UI" w:eastAsia="Times New Roman" w:hAnsi="Segoe UI" w:cs="Segoe UI"/>
          <w:szCs w:val="22"/>
          <w:lang w:eastAsia="en-AU"/>
        </w:rPr>
        <w:t>Various Commonwealth agencies within Australia’s national security community fund activities through third-party organisations to inform public debate, provide expert input to policy processes, and/or strengthen partnerships relevant to Australia’s strategic circumstances.</w:t>
      </w:r>
    </w:p>
    <w:p w14:paraId="06E46181" w14:textId="77777777" w:rsidR="000E416D" w:rsidRPr="009C66AC" w:rsidRDefault="000E416D" w:rsidP="00C7202C">
      <w:pPr>
        <w:numPr>
          <w:ilvl w:val="0"/>
          <w:numId w:val="18"/>
        </w:numPr>
        <w:shd w:val="clear" w:color="auto" w:fill="FFFFFF"/>
        <w:tabs>
          <w:tab w:val="clear" w:pos="720"/>
        </w:tabs>
        <w:spacing w:before="100" w:beforeAutospacing="1" w:after="80" w:line="240" w:lineRule="auto"/>
        <w:ind w:left="0" w:firstLine="0"/>
        <w:rPr>
          <w:rFonts w:ascii="Segoe UI" w:eastAsia="Times New Roman" w:hAnsi="Segoe UI" w:cs="Segoe UI"/>
          <w:szCs w:val="22"/>
          <w:lang w:eastAsia="en-AU"/>
        </w:rPr>
      </w:pPr>
      <w:r w:rsidRPr="009C66AC">
        <w:rPr>
          <w:rFonts w:ascii="Segoe UI" w:eastAsia="Times New Roman" w:hAnsi="Segoe UI" w:cs="Segoe UI"/>
          <w:szCs w:val="22"/>
          <w:lang w:eastAsia="en-AU"/>
        </w:rPr>
        <w:t>Typically, these activities include publication of policy-relevant research, conduct of policy-relevant and research-based events such as conferences, dialogues and workshops and delivery of learning and development opportunities tailored to the national security community’s requirements.</w:t>
      </w:r>
    </w:p>
    <w:p w14:paraId="06E46182" w14:textId="77777777" w:rsidR="000E416D" w:rsidRPr="009C66AC" w:rsidRDefault="000E416D" w:rsidP="00C7202C">
      <w:pPr>
        <w:numPr>
          <w:ilvl w:val="0"/>
          <w:numId w:val="32"/>
        </w:numPr>
        <w:shd w:val="clear" w:color="auto" w:fill="FFFFFF"/>
        <w:spacing w:before="100" w:beforeAutospacing="1" w:after="80" w:line="240" w:lineRule="auto"/>
        <w:rPr>
          <w:rFonts w:ascii="Segoe UI" w:eastAsia="Times New Roman" w:hAnsi="Segoe UI" w:cs="Segoe UI"/>
          <w:szCs w:val="22"/>
          <w:lang w:eastAsia="en-AU"/>
        </w:rPr>
      </w:pPr>
      <w:r w:rsidRPr="009C66AC">
        <w:rPr>
          <w:rFonts w:ascii="Segoe UI" w:eastAsia="Times New Roman" w:hAnsi="Segoe UI" w:cs="Segoe UI"/>
          <w:szCs w:val="22"/>
          <w:lang w:eastAsia="en-AU"/>
        </w:rPr>
        <w:t>The types of third-party organisations engaged by the Commonwealth to deliver these activities include think tanks and universities based in Australia and overseas. Although Commonwealth agencies have often funded these engagements using competitive or non-competitive grants, they have also used a variety of other mechanisms, including scholarships, procurements, and secondments.</w:t>
      </w:r>
    </w:p>
    <w:p w14:paraId="06E46183" w14:textId="77777777" w:rsidR="000E416D" w:rsidRPr="00830846" w:rsidRDefault="000E416D" w:rsidP="000E416D">
      <w:pPr>
        <w:pStyle w:val="Heading3"/>
      </w:pPr>
      <w:r w:rsidRPr="00830846">
        <w:t>Scope</w:t>
      </w:r>
    </w:p>
    <w:p w14:paraId="06E46184" w14:textId="77777777" w:rsidR="000E416D" w:rsidRPr="009C66AC" w:rsidRDefault="000E416D" w:rsidP="00C7202C">
      <w:pPr>
        <w:numPr>
          <w:ilvl w:val="0"/>
          <w:numId w:val="18"/>
        </w:numPr>
        <w:shd w:val="clear" w:color="auto" w:fill="FFFFFF"/>
        <w:tabs>
          <w:tab w:val="clear" w:pos="720"/>
        </w:tabs>
        <w:spacing w:before="100" w:beforeAutospacing="1" w:after="80" w:line="240" w:lineRule="auto"/>
        <w:ind w:left="0" w:firstLine="0"/>
        <w:rPr>
          <w:rFonts w:ascii="Segoe UI" w:eastAsia="Times New Roman" w:hAnsi="Segoe UI" w:cs="Segoe UI"/>
          <w:szCs w:val="22"/>
          <w:lang w:eastAsia="en-AU"/>
        </w:rPr>
      </w:pPr>
      <w:r w:rsidRPr="009C66AC">
        <w:rPr>
          <w:rFonts w:ascii="Segoe UI" w:eastAsia="Times New Roman" w:hAnsi="Segoe UI" w:cs="Segoe UI"/>
          <w:szCs w:val="22"/>
          <w:lang w:eastAsia="en-AU"/>
        </w:rPr>
        <w:t>The Independent Review of Commonwealth funding for strategic policy work will assess funding of third-party organisations by Commonwealth agencies within Australia’s national security community aimed at informing public debate, providing expert input to policy processes, and/or strengthening partnerships relevant to Australia’s strategic circumstances.</w:t>
      </w:r>
    </w:p>
    <w:p w14:paraId="06E46185" w14:textId="77777777" w:rsidR="000E416D" w:rsidRPr="009C66AC" w:rsidRDefault="000E416D" w:rsidP="00C7202C">
      <w:pPr>
        <w:numPr>
          <w:ilvl w:val="0"/>
          <w:numId w:val="18"/>
        </w:numPr>
        <w:shd w:val="clear" w:color="auto" w:fill="FFFFFF"/>
        <w:tabs>
          <w:tab w:val="clear" w:pos="720"/>
        </w:tabs>
        <w:spacing w:before="100" w:beforeAutospacing="1" w:after="80" w:line="240" w:lineRule="auto"/>
        <w:ind w:left="0" w:firstLine="0"/>
        <w:rPr>
          <w:rFonts w:ascii="Segoe UI" w:eastAsia="Times New Roman" w:hAnsi="Segoe UI" w:cs="Segoe UI"/>
          <w:szCs w:val="22"/>
          <w:lang w:eastAsia="en-AU"/>
        </w:rPr>
      </w:pPr>
      <w:r w:rsidRPr="009C66AC">
        <w:rPr>
          <w:rFonts w:ascii="Segoe UI" w:eastAsia="Times New Roman" w:hAnsi="Segoe UI" w:cs="Segoe UI"/>
          <w:szCs w:val="22"/>
          <w:lang w:eastAsia="en-AU"/>
        </w:rPr>
        <w:t>The review will consider activities undertaken by agencies represented at the Secretaries’ Committee on National Security as well as other agencies, as these activities relate to national security outcomes.</w:t>
      </w:r>
    </w:p>
    <w:p w14:paraId="06E46186" w14:textId="77777777" w:rsidR="000E416D" w:rsidRPr="009C66AC" w:rsidRDefault="000E416D" w:rsidP="00C7202C">
      <w:pPr>
        <w:numPr>
          <w:ilvl w:val="0"/>
          <w:numId w:val="18"/>
        </w:numPr>
        <w:shd w:val="clear" w:color="auto" w:fill="FFFFFF"/>
        <w:tabs>
          <w:tab w:val="clear" w:pos="720"/>
        </w:tabs>
        <w:spacing w:before="100" w:beforeAutospacing="1" w:after="80" w:line="240" w:lineRule="auto"/>
        <w:ind w:left="0" w:firstLine="0"/>
        <w:rPr>
          <w:rFonts w:ascii="Segoe UI" w:eastAsia="Times New Roman" w:hAnsi="Segoe UI" w:cs="Segoe UI"/>
          <w:szCs w:val="22"/>
          <w:lang w:eastAsia="en-AU"/>
        </w:rPr>
      </w:pPr>
      <w:r w:rsidRPr="009C66AC">
        <w:rPr>
          <w:rFonts w:ascii="Segoe UI" w:eastAsia="Times New Roman" w:hAnsi="Segoe UI" w:cs="Segoe UI"/>
          <w:szCs w:val="22"/>
          <w:lang w:eastAsia="en-AU"/>
        </w:rPr>
        <w:t>Noting the distinct responsibilities different agencies have within Australia’s national security community (including, for example, defence, home affairs, foreign and intelligence policy), the review will make recommendations to assist agencies conducting relevant activities while achieving value-for-money, administrative efficiency, and appropriate levels of governance, accountability, probity and transparency.</w:t>
      </w:r>
    </w:p>
    <w:p w14:paraId="06E46187" w14:textId="77777777" w:rsidR="000E416D" w:rsidRPr="009C66AC" w:rsidRDefault="000E416D" w:rsidP="00C7202C">
      <w:pPr>
        <w:numPr>
          <w:ilvl w:val="0"/>
          <w:numId w:val="18"/>
        </w:numPr>
        <w:shd w:val="clear" w:color="auto" w:fill="FFFFFF"/>
        <w:tabs>
          <w:tab w:val="clear" w:pos="720"/>
        </w:tabs>
        <w:spacing w:before="100" w:beforeAutospacing="1" w:after="80" w:line="240" w:lineRule="auto"/>
        <w:ind w:left="0" w:firstLine="0"/>
        <w:rPr>
          <w:rFonts w:ascii="Segoe UI" w:eastAsia="Times New Roman" w:hAnsi="Segoe UI" w:cs="Segoe UI"/>
          <w:szCs w:val="22"/>
          <w:lang w:eastAsia="en-AU"/>
        </w:rPr>
      </w:pPr>
      <w:r w:rsidRPr="009C66AC">
        <w:rPr>
          <w:rFonts w:ascii="Segoe UI" w:eastAsia="Times New Roman" w:hAnsi="Segoe UI" w:cs="Segoe UI"/>
          <w:szCs w:val="22"/>
          <w:lang w:eastAsia="en-AU"/>
        </w:rPr>
        <w:t>In making these recommendations, the review should consider the Commonwealth Grant Rules and Guidelines, the Public Governance, Performance and Accountability Act 2013 and associated Rule, Commonwealth Procurement Rules and relevant estimates memoranda.</w:t>
      </w:r>
    </w:p>
    <w:p w14:paraId="06E46188" w14:textId="77777777" w:rsidR="000E416D" w:rsidRPr="00830846" w:rsidRDefault="000E416D" w:rsidP="000E416D">
      <w:pPr>
        <w:pStyle w:val="Heading3"/>
      </w:pPr>
      <w:r w:rsidRPr="00830846">
        <w:t>Relevant timeframes</w:t>
      </w:r>
    </w:p>
    <w:p w14:paraId="06E46189" w14:textId="77777777" w:rsidR="000E416D" w:rsidRPr="009C66AC" w:rsidRDefault="000E416D" w:rsidP="00C7202C">
      <w:pPr>
        <w:numPr>
          <w:ilvl w:val="0"/>
          <w:numId w:val="18"/>
        </w:numPr>
        <w:shd w:val="clear" w:color="auto" w:fill="FFFFFF"/>
        <w:tabs>
          <w:tab w:val="clear" w:pos="720"/>
        </w:tabs>
        <w:spacing w:before="100" w:beforeAutospacing="1" w:after="80" w:line="240" w:lineRule="auto"/>
        <w:ind w:left="0" w:firstLine="0"/>
        <w:rPr>
          <w:rFonts w:ascii="Segoe UI" w:eastAsia="Times New Roman" w:hAnsi="Segoe UI" w:cs="Segoe UI"/>
          <w:szCs w:val="22"/>
          <w:lang w:eastAsia="en-AU"/>
        </w:rPr>
      </w:pPr>
      <w:r w:rsidRPr="009C66AC">
        <w:rPr>
          <w:rFonts w:ascii="Segoe UI" w:eastAsia="Times New Roman" w:hAnsi="Segoe UI" w:cs="Segoe UI"/>
          <w:szCs w:val="22"/>
          <w:lang w:eastAsia="en-AU"/>
        </w:rPr>
        <w:t>The review should focus its assessment of current performance to no more than a five-year historical time frame. The review may take into account, as required, the original decision-making on key funding arrangements.</w:t>
      </w:r>
    </w:p>
    <w:p w14:paraId="06E4618A" w14:textId="77777777" w:rsidR="000E416D" w:rsidRPr="009C66AC" w:rsidRDefault="000E416D" w:rsidP="00C7202C">
      <w:pPr>
        <w:numPr>
          <w:ilvl w:val="0"/>
          <w:numId w:val="18"/>
        </w:numPr>
        <w:shd w:val="clear" w:color="auto" w:fill="FFFFFF"/>
        <w:tabs>
          <w:tab w:val="clear" w:pos="720"/>
        </w:tabs>
        <w:spacing w:before="100" w:beforeAutospacing="1" w:after="80" w:line="240" w:lineRule="auto"/>
        <w:ind w:left="0" w:firstLine="0"/>
        <w:rPr>
          <w:rFonts w:ascii="Segoe UI" w:eastAsia="Times New Roman" w:hAnsi="Segoe UI" w:cs="Segoe UI"/>
          <w:szCs w:val="22"/>
          <w:lang w:eastAsia="en-AU"/>
        </w:rPr>
      </w:pPr>
      <w:r w:rsidRPr="009C66AC">
        <w:rPr>
          <w:rFonts w:ascii="Segoe UI" w:eastAsia="Times New Roman" w:hAnsi="Segoe UI" w:cs="Segoe UI"/>
          <w:szCs w:val="22"/>
          <w:lang w:eastAsia="en-AU"/>
        </w:rPr>
        <w:t>The review may also consider other historical information relevant to its terms of reference, including, for example, past reviews of relevance or legacy governance and funding models.</w:t>
      </w:r>
    </w:p>
    <w:p w14:paraId="06E4618B" w14:textId="77777777" w:rsidR="000E416D" w:rsidRPr="00830846" w:rsidRDefault="000E416D" w:rsidP="000E416D">
      <w:pPr>
        <w:pStyle w:val="Heading3"/>
      </w:pPr>
      <w:r w:rsidRPr="00830846">
        <w:t>Core outputs</w:t>
      </w:r>
    </w:p>
    <w:p w14:paraId="06E4618C" w14:textId="77777777" w:rsidR="000E416D" w:rsidRPr="009C66AC" w:rsidRDefault="000E416D" w:rsidP="00C7202C">
      <w:pPr>
        <w:numPr>
          <w:ilvl w:val="0"/>
          <w:numId w:val="18"/>
        </w:numPr>
        <w:shd w:val="clear" w:color="auto" w:fill="FFFFFF"/>
        <w:tabs>
          <w:tab w:val="clear" w:pos="720"/>
        </w:tabs>
        <w:spacing w:before="100" w:beforeAutospacing="1" w:after="80" w:line="240" w:lineRule="auto"/>
        <w:ind w:left="0" w:firstLine="0"/>
        <w:rPr>
          <w:rFonts w:ascii="Segoe UI" w:eastAsia="Times New Roman" w:hAnsi="Segoe UI" w:cs="Segoe UI"/>
          <w:szCs w:val="22"/>
          <w:lang w:eastAsia="en-AU"/>
        </w:rPr>
      </w:pPr>
      <w:r w:rsidRPr="009C66AC">
        <w:rPr>
          <w:rFonts w:ascii="Segoe UI" w:eastAsia="Times New Roman" w:hAnsi="Segoe UI" w:cs="Segoe UI"/>
          <w:szCs w:val="22"/>
          <w:lang w:eastAsia="en-AU"/>
        </w:rPr>
        <w:t>The review should provide at a minimum the following outputs:</w:t>
      </w:r>
    </w:p>
    <w:p w14:paraId="06E4618D" w14:textId="77777777" w:rsidR="000E416D" w:rsidRPr="009C66AC" w:rsidRDefault="000E416D" w:rsidP="00C7202C">
      <w:pPr>
        <w:numPr>
          <w:ilvl w:val="0"/>
          <w:numId w:val="33"/>
        </w:numPr>
        <w:shd w:val="clear" w:color="auto" w:fill="FFFFFF"/>
        <w:spacing w:before="100" w:beforeAutospacing="1" w:after="80" w:line="240" w:lineRule="auto"/>
        <w:rPr>
          <w:rFonts w:ascii="Segoe UI" w:eastAsia="Times New Roman" w:hAnsi="Segoe UI" w:cs="Segoe UI"/>
          <w:szCs w:val="22"/>
          <w:lang w:eastAsia="en-AU"/>
        </w:rPr>
      </w:pPr>
      <w:r w:rsidRPr="009C66AC">
        <w:rPr>
          <w:rFonts w:ascii="Segoe UI" w:eastAsia="Times New Roman" w:hAnsi="Segoe UI" w:cs="Segoe UI"/>
          <w:szCs w:val="22"/>
          <w:lang w:eastAsia="en-AU"/>
        </w:rPr>
        <w:lastRenderedPageBreak/>
        <w:t>A stocktake of relevant activities by each Commonwealth agency and each third-party organisation detailing, for example, the activity’s objectives, funding model, governance, administration arrangements, and evaluation arrangements.</w:t>
      </w:r>
    </w:p>
    <w:p w14:paraId="06E4618E" w14:textId="77777777" w:rsidR="000E416D" w:rsidRPr="009C66AC" w:rsidRDefault="000E416D" w:rsidP="00C7202C">
      <w:pPr>
        <w:numPr>
          <w:ilvl w:val="0"/>
          <w:numId w:val="33"/>
        </w:numPr>
        <w:shd w:val="clear" w:color="auto" w:fill="FFFFFF"/>
        <w:spacing w:before="100" w:beforeAutospacing="1" w:after="80" w:line="240" w:lineRule="auto"/>
        <w:rPr>
          <w:rFonts w:ascii="Segoe UI" w:eastAsia="Times New Roman" w:hAnsi="Segoe UI" w:cs="Segoe UI"/>
          <w:szCs w:val="22"/>
          <w:lang w:eastAsia="en-AU"/>
        </w:rPr>
      </w:pPr>
      <w:r w:rsidRPr="009C66AC">
        <w:rPr>
          <w:rFonts w:ascii="Segoe UI" w:eastAsia="Times New Roman" w:hAnsi="Segoe UI" w:cs="Segoe UI"/>
          <w:szCs w:val="22"/>
          <w:lang w:eastAsia="en-AU"/>
        </w:rPr>
        <w:t>A performance evaluation of these activities drawing on relevant qualitative and quantitative metrics, including but not limited to: impact, value-for-money, administrative efficiency and governance, accountability, probity and transparency.</w:t>
      </w:r>
    </w:p>
    <w:p w14:paraId="06E4618F" w14:textId="77777777" w:rsidR="000E416D" w:rsidRPr="009C66AC" w:rsidRDefault="000E416D" w:rsidP="00C7202C">
      <w:pPr>
        <w:numPr>
          <w:ilvl w:val="0"/>
          <w:numId w:val="33"/>
        </w:numPr>
        <w:shd w:val="clear" w:color="auto" w:fill="FFFFFF"/>
        <w:spacing w:before="100" w:beforeAutospacing="1" w:after="80" w:line="240" w:lineRule="auto"/>
        <w:rPr>
          <w:rFonts w:ascii="Segoe UI" w:eastAsia="Times New Roman" w:hAnsi="Segoe UI" w:cs="Segoe UI"/>
          <w:szCs w:val="22"/>
          <w:lang w:eastAsia="en-AU"/>
        </w:rPr>
      </w:pPr>
      <w:r w:rsidRPr="009C66AC">
        <w:rPr>
          <w:rFonts w:ascii="Segoe UI" w:eastAsia="Times New Roman" w:hAnsi="Segoe UI" w:cs="Segoe UI"/>
          <w:szCs w:val="22"/>
          <w:lang w:eastAsia="en-AU"/>
        </w:rPr>
        <w:t>A series of recommendations to improve the conduct and outcomes of relevant activities with regards to individual national security agency objectives.</w:t>
      </w:r>
    </w:p>
    <w:p w14:paraId="06E46190" w14:textId="77777777" w:rsidR="000E416D" w:rsidRPr="00830846" w:rsidRDefault="000E416D" w:rsidP="000E416D">
      <w:pPr>
        <w:pStyle w:val="Heading3"/>
      </w:pPr>
      <w:r w:rsidRPr="00830846">
        <w:t>Timeframes</w:t>
      </w:r>
    </w:p>
    <w:p w14:paraId="06E46191" w14:textId="77777777" w:rsidR="000E416D" w:rsidRPr="009C66AC" w:rsidRDefault="000E416D" w:rsidP="00C7202C">
      <w:pPr>
        <w:numPr>
          <w:ilvl w:val="0"/>
          <w:numId w:val="18"/>
        </w:numPr>
        <w:shd w:val="clear" w:color="auto" w:fill="FFFFFF"/>
        <w:tabs>
          <w:tab w:val="clear" w:pos="720"/>
        </w:tabs>
        <w:spacing w:before="100" w:beforeAutospacing="1" w:after="80" w:line="240" w:lineRule="auto"/>
        <w:ind w:left="0" w:firstLine="0"/>
        <w:rPr>
          <w:rFonts w:ascii="Segoe UI" w:eastAsia="Times New Roman" w:hAnsi="Segoe UI" w:cs="Segoe UI"/>
          <w:szCs w:val="22"/>
          <w:lang w:eastAsia="en-AU"/>
        </w:rPr>
      </w:pPr>
      <w:r w:rsidRPr="009C66AC">
        <w:rPr>
          <w:rFonts w:ascii="Segoe UI" w:eastAsia="Times New Roman" w:hAnsi="Segoe UI" w:cs="Segoe UI"/>
          <w:szCs w:val="22"/>
          <w:lang w:eastAsia="en-AU"/>
        </w:rPr>
        <w:t>At the completion of the review, the final report will be presented to the Secretary of the Department of the Prime Minister and Cabinet and the Secretaries Committee on National Security, for subsequent consideration by Cabinet or one of its committees.</w:t>
      </w:r>
    </w:p>
    <w:p w14:paraId="06E46192" w14:textId="77777777" w:rsidR="000E416D" w:rsidRPr="009C66AC" w:rsidRDefault="000E416D" w:rsidP="00C7202C">
      <w:pPr>
        <w:numPr>
          <w:ilvl w:val="0"/>
          <w:numId w:val="34"/>
        </w:numPr>
        <w:shd w:val="clear" w:color="auto" w:fill="FFFFFF"/>
        <w:spacing w:before="100" w:beforeAutospacing="1" w:after="80" w:line="240" w:lineRule="auto"/>
        <w:rPr>
          <w:rFonts w:ascii="Segoe UI" w:eastAsia="Times New Roman" w:hAnsi="Segoe UI" w:cs="Segoe UI"/>
          <w:szCs w:val="22"/>
          <w:lang w:eastAsia="en-AU"/>
        </w:rPr>
      </w:pPr>
      <w:r w:rsidRPr="009C66AC">
        <w:rPr>
          <w:rFonts w:ascii="Segoe UI" w:eastAsia="Times New Roman" w:hAnsi="Segoe UI" w:cs="Segoe UI"/>
          <w:szCs w:val="22"/>
          <w:lang w:eastAsia="en-AU"/>
        </w:rPr>
        <w:t>The review should commence in Quarter 1 2024, with the final review dates to be negotiated with the review’s independent external lead.</w:t>
      </w:r>
    </w:p>
    <w:p w14:paraId="06E46193" w14:textId="77777777" w:rsidR="000E416D" w:rsidRPr="009C66AC" w:rsidRDefault="000E416D" w:rsidP="00C7202C">
      <w:pPr>
        <w:numPr>
          <w:ilvl w:val="0"/>
          <w:numId w:val="34"/>
        </w:numPr>
        <w:shd w:val="clear" w:color="auto" w:fill="FFFFFF"/>
        <w:spacing w:before="100" w:beforeAutospacing="1" w:after="80" w:line="240" w:lineRule="auto"/>
        <w:rPr>
          <w:rFonts w:ascii="Segoe UI" w:eastAsia="Times New Roman" w:hAnsi="Segoe UI" w:cs="Segoe UI"/>
          <w:szCs w:val="22"/>
          <w:lang w:eastAsia="en-AU"/>
        </w:rPr>
      </w:pPr>
      <w:r w:rsidRPr="009C66AC">
        <w:rPr>
          <w:rFonts w:ascii="Segoe UI" w:eastAsia="Times New Roman" w:hAnsi="Segoe UI" w:cs="Segoe UI"/>
          <w:szCs w:val="22"/>
          <w:lang w:eastAsia="en-AU"/>
        </w:rPr>
        <w:t>The review’s independent external lead will develop a phased project plan to deliver the review in line with the above target dates.</w:t>
      </w:r>
    </w:p>
    <w:p w14:paraId="06E46194" w14:textId="77777777" w:rsidR="000E416D" w:rsidRPr="009C66AC" w:rsidRDefault="000E416D" w:rsidP="00C7202C">
      <w:pPr>
        <w:numPr>
          <w:ilvl w:val="0"/>
          <w:numId w:val="34"/>
        </w:numPr>
        <w:shd w:val="clear" w:color="auto" w:fill="FFFFFF"/>
        <w:spacing w:before="100" w:beforeAutospacing="1" w:after="80" w:line="240" w:lineRule="auto"/>
        <w:rPr>
          <w:rFonts w:ascii="Segoe UI" w:eastAsia="Times New Roman" w:hAnsi="Segoe UI" w:cs="Segoe UI"/>
          <w:szCs w:val="22"/>
          <w:lang w:eastAsia="en-AU"/>
        </w:rPr>
      </w:pPr>
      <w:r w:rsidRPr="009C66AC">
        <w:rPr>
          <w:rFonts w:ascii="Segoe UI" w:eastAsia="Times New Roman" w:hAnsi="Segoe UI" w:cs="Segoe UI"/>
          <w:szCs w:val="22"/>
          <w:lang w:eastAsia="en-AU"/>
        </w:rPr>
        <w:t>The independent external lead should aim to update the Secretary of the Department of the Prime Minister and Cabinet at the completion of the stocktake; and then as agreed.</w:t>
      </w:r>
    </w:p>
    <w:p w14:paraId="06E46195" w14:textId="77777777" w:rsidR="000056AA" w:rsidRPr="009C66AC" w:rsidRDefault="000056AA">
      <w:pPr>
        <w:spacing w:after="200" w:line="288" w:lineRule="auto"/>
        <w:rPr>
          <w:rFonts w:ascii="Segoe UI" w:hAnsi="Segoe UI" w:cs="Segoe UI"/>
        </w:rPr>
      </w:pPr>
      <w:r w:rsidRPr="009C66AC">
        <w:rPr>
          <w:rFonts w:ascii="Segoe UI" w:hAnsi="Segoe UI" w:cs="Segoe UI"/>
        </w:rPr>
        <w:br w:type="page"/>
      </w:r>
    </w:p>
    <w:p w14:paraId="06E46196" w14:textId="77777777" w:rsidR="000056AA" w:rsidRPr="000E416D" w:rsidRDefault="000056AA" w:rsidP="00761CDC">
      <w:pPr>
        <w:pStyle w:val="Heading2"/>
      </w:pPr>
      <w:bookmarkStart w:id="162" w:name="_Toc170980569"/>
      <w:bookmarkStart w:id="163" w:name="_Toc171004283"/>
      <w:bookmarkStart w:id="164" w:name="_Toc171075005"/>
      <w:bookmarkStart w:id="165" w:name="_Toc172665613"/>
      <w:r w:rsidRPr="000E416D">
        <w:lastRenderedPageBreak/>
        <w:t xml:space="preserve">Attachment </w:t>
      </w:r>
      <w:r w:rsidR="0096396F">
        <w:t>C</w:t>
      </w:r>
      <w:r w:rsidRPr="000E416D">
        <w:t>: How the Review was conducted</w:t>
      </w:r>
      <w:bookmarkEnd w:id="162"/>
      <w:bookmarkEnd w:id="163"/>
      <w:bookmarkEnd w:id="164"/>
      <w:bookmarkEnd w:id="165"/>
    </w:p>
    <w:p w14:paraId="06E46197" w14:textId="77777777" w:rsidR="00D33E38" w:rsidRPr="00830846" w:rsidRDefault="00D33E38" w:rsidP="00761CDC">
      <w:pPr>
        <w:pStyle w:val="Heading3"/>
      </w:pPr>
      <w:r w:rsidRPr="00830846">
        <w:t xml:space="preserve">Secretariat </w:t>
      </w:r>
    </w:p>
    <w:p w14:paraId="06E46198" w14:textId="77777777" w:rsidR="00D33E38" w:rsidRPr="00C7202C" w:rsidRDefault="00D33E38" w:rsidP="00C7202C">
      <w:pPr>
        <w:numPr>
          <w:ilvl w:val="0"/>
          <w:numId w:val="35"/>
        </w:numPr>
        <w:shd w:val="clear" w:color="auto" w:fill="FFFFFF"/>
        <w:tabs>
          <w:tab w:val="clear" w:pos="720"/>
        </w:tabs>
        <w:spacing w:before="100" w:beforeAutospacing="1" w:after="80" w:line="240" w:lineRule="auto"/>
        <w:ind w:left="0" w:firstLine="0"/>
        <w:rPr>
          <w:rFonts w:ascii="Segoe UI" w:eastAsia="Times New Roman" w:hAnsi="Segoe UI" w:cs="Segoe UI"/>
          <w:szCs w:val="22"/>
          <w:lang w:eastAsia="en-AU"/>
        </w:rPr>
      </w:pPr>
      <w:r w:rsidRPr="00C7202C">
        <w:rPr>
          <w:rFonts w:ascii="Segoe UI" w:eastAsia="Times New Roman" w:hAnsi="Segoe UI" w:cs="Segoe UI"/>
          <w:szCs w:val="22"/>
          <w:lang w:eastAsia="en-AU"/>
        </w:rPr>
        <w:t xml:space="preserve">I had assistance from a secretariat based at the Department of the Prime Minister and Cabinet (PM&amp;C). The secretariat </w:t>
      </w:r>
      <w:r w:rsidR="001260ED" w:rsidRPr="00C7202C">
        <w:rPr>
          <w:rFonts w:ascii="Segoe UI" w:eastAsia="Times New Roman" w:hAnsi="Segoe UI" w:cs="Segoe UI"/>
          <w:szCs w:val="22"/>
          <w:lang w:eastAsia="en-AU"/>
        </w:rPr>
        <w:t>comprised</w:t>
      </w:r>
      <w:r w:rsidRPr="00C7202C">
        <w:rPr>
          <w:rFonts w:ascii="Segoe UI" w:eastAsia="Times New Roman" w:hAnsi="Segoe UI" w:cs="Segoe UI"/>
          <w:szCs w:val="22"/>
          <w:lang w:eastAsia="en-AU"/>
        </w:rPr>
        <w:t xml:space="preserve">: </w:t>
      </w:r>
    </w:p>
    <w:p w14:paraId="06E46199" w14:textId="77777777" w:rsidR="00D33E38" w:rsidRDefault="00D33E38" w:rsidP="00002621">
      <w:pPr>
        <w:pStyle w:val="BulletedList-Level1"/>
        <w:ind w:left="851" w:hanging="284"/>
        <w:rPr>
          <w:rFonts w:ascii="Segoe UI" w:hAnsi="Segoe UI" w:cs="Segoe UI"/>
        </w:rPr>
      </w:pPr>
      <w:r>
        <w:rPr>
          <w:rFonts w:ascii="Segoe UI" w:hAnsi="Segoe UI" w:cs="Segoe UI"/>
        </w:rPr>
        <w:t>Colin McKenna, Secretariat</w:t>
      </w:r>
    </w:p>
    <w:p w14:paraId="06E4619A" w14:textId="77777777" w:rsidR="00D33E38" w:rsidRDefault="00D33E38" w:rsidP="00002621">
      <w:pPr>
        <w:pStyle w:val="BulletedList-Level1"/>
        <w:ind w:left="851" w:hanging="284"/>
        <w:rPr>
          <w:rFonts w:ascii="Segoe UI" w:hAnsi="Segoe UI" w:cs="Segoe UI"/>
        </w:rPr>
      </w:pPr>
      <w:r>
        <w:rPr>
          <w:rFonts w:ascii="Segoe UI" w:hAnsi="Segoe UI" w:cs="Segoe UI"/>
        </w:rPr>
        <w:t>Dafydd Jones, Deputy Secretariat</w:t>
      </w:r>
    </w:p>
    <w:p w14:paraId="06E4619B" w14:textId="77777777" w:rsidR="00D33E38" w:rsidRDefault="00D33E38" w:rsidP="00002621">
      <w:pPr>
        <w:pStyle w:val="BulletedList-Level1"/>
        <w:ind w:left="851" w:hanging="284"/>
        <w:rPr>
          <w:rFonts w:ascii="Segoe UI" w:hAnsi="Segoe UI" w:cs="Segoe UI"/>
        </w:rPr>
      </w:pPr>
      <w:r>
        <w:rPr>
          <w:rFonts w:ascii="Segoe UI" w:hAnsi="Segoe UI" w:cs="Segoe UI"/>
        </w:rPr>
        <w:t>Tas Frilingos, Chief of Staff</w:t>
      </w:r>
    </w:p>
    <w:p w14:paraId="06E4619C" w14:textId="77777777" w:rsidR="00D33E38" w:rsidRPr="00D33E38" w:rsidRDefault="00D33E38" w:rsidP="00002621">
      <w:pPr>
        <w:pStyle w:val="BulletedList-Level1"/>
        <w:ind w:left="851" w:hanging="284"/>
        <w:rPr>
          <w:rFonts w:ascii="Segoe UI" w:hAnsi="Segoe UI" w:cs="Segoe UI"/>
        </w:rPr>
      </w:pPr>
      <w:r>
        <w:rPr>
          <w:rFonts w:ascii="Segoe UI" w:hAnsi="Segoe UI" w:cs="Segoe UI"/>
        </w:rPr>
        <w:t>Riadh Al Daqqa, Senior Policy Officer</w:t>
      </w:r>
    </w:p>
    <w:p w14:paraId="06E4619D" w14:textId="77777777" w:rsidR="000E416D" w:rsidRPr="00830846" w:rsidRDefault="000E416D" w:rsidP="00761CDC">
      <w:pPr>
        <w:pStyle w:val="Heading3"/>
      </w:pPr>
      <w:r w:rsidRPr="00830846">
        <w:t>Stocktake</w:t>
      </w:r>
    </w:p>
    <w:p w14:paraId="06E4619E" w14:textId="77777777" w:rsidR="007C3E8F" w:rsidRPr="00C7202C" w:rsidRDefault="00D33E38" w:rsidP="00C7202C">
      <w:pPr>
        <w:numPr>
          <w:ilvl w:val="0"/>
          <w:numId w:val="35"/>
        </w:numPr>
        <w:shd w:val="clear" w:color="auto" w:fill="FFFFFF"/>
        <w:tabs>
          <w:tab w:val="clear" w:pos="720"/>
        </w:tabs>
        <w:spacing w:before="100" w:beforeAutospacing="1" w:after="80" w:line="240" w:lineRule="auto"/>
        <w:ind w:left="0" w:firstLine="0"/>
        <w:rPr>
          <w:rFonts w:ascii="Segoe UI" w:eastAsia="Times New Roman" w:hAnsi="Segoe UI" w:cs="Segoe UI"/>
          <w:szCs w:val="22"/>
          <w:lang w:eastAsia="en-AU"/>
        </w:rPr>
      </w:pPr>
      <w:r w:rsidRPr="00C7202C">
        <w:rPr>
          <w:rFonts w:ascii="Segoe UI" w:eastAsia="Times New Roman" w:hAnsi="Segoe UI" w:cs="Segoe UI"/>
          <w:szCs w:val="22"/>
          <w:lang w:eastAsia="en-AU"/>
        </w:rPr>
        <w:t>The secretariat</w:t>
      </w:r>
      <w:r w:rsidR="007C3E8F" w:rsidRPr="00C7202C">
        <w:rPr>
          <w:rFonts w:ascii="Segoe UI" w:eastAsia="Times New Roman" w:hAnsi="Segoe UI" w:cs="Segoe UI"/>
          <w:szCs w:val="22"/>
          <w:lang w:eastAsia="en-AU"/>
        </w:rPr>
        <w:t xml:space="preserve"> coordinated input from Commonwealth agencies and organisations from the sector. With my guidance, the </w:t>
      </w:r>
      <w:r w:rsidRPr="00C7202C">
        <w:rPr>
          <w:rFonts w:ascii="Segoe UI" w:eastAsia="Times New Roman" w:hAnsi="Segoe UI" w:cs="Segoe UI"/>
          <w:szCs w:val="22"/>
          <w:lang w:eastAsia="en-AU"/>
        </w:rPr>
        <w:t xml:space="preserve">secretariat </w:t>
      </w:r>
      <w:r w:rsidR="007C3E8F" w:rsidRPr="00C7202C">
        <w:rPr>
          <w:rFonts w:ascii="Segoe UI" w:eastAsia="Times New Roman" w:hAnsi="Segoe UI" w:cs="Segoe UI"/>
          <w:szCs w:val="22"/>
          <w:lang w:eastAsia="en-AU"/>
        </w:rPr>
        <w:t>reviewed each activity to determine it</w:t>
      </w:r>
      <w:r w:rsidR="001260ED" w:rsidRPr="00C7202C">
        <w:rPr>
          <w:rFonts w:ascii="Segoe UI" w:eastAsia="Times New Roman" w:hAnsi="Segoe UI" w:cs="Segoe UI"/>
          <w:szCs w:val="22"/>
          <w:lang w:eastAsia="en-AU"/>
        </w:rPr>
        <w:t>s</w:t>
      </w:r>
      <w:r w:rsidR="007C3E8F" w:rsidRPr="00C7202C">
        <w:rPr>
          <w:rFonts w:ascii="Segoe UI" w:eastAsia="Times New Roman" w:hAnsi="Segoe UI" w:cs="Segoe UI"/>
          <w:szCs w:val="22"/>
          <w:lang w:eastAsia="en-AU"/>
        </w:rPr>
        <w:t xml:space="preserve"> fit with the Review’s scope. The stocktake then informed my consultation program and findings. </w:t>
      </w:r>
    </w:p>
    <w:p w14:paraId="06E4619F" w14:textId="77777777" w:rsidR="000E416D" w:rsidRPr="00830846" w:rsidRDefault="000E416D" w:rsidP="000E416D">
      <w:pPr>
        <w:pStyle w:val="Heading3"/>
      </w:pPr>
      <w:r w:rsidRPr="00830846">
        <w:t>Consultations</w:t>
      </w:r>
    </w:p>
    <w:p w14:paraId="06E461A0" w14:textId="77777777" w:rsidR="000E416D" w:rsidRPr="00C7202C" w:rsidRDefault="000E416D" w:rsidP="00C7202C">
      <w:pPr>
        <w:numPr>
          <w:ilvl w:val="0"/>
          <w:numId w:val="35"/>
        </w:numPr>
        <w:shd w:val="clear" w:color="auto" w:fill="FFFFFF"/>
        <w:tabs>
          <w:tab w:val="clear" w:pos="720"/>
        </w:tabs>
        <w:spacing w:before="100" w:beforeAutospacing="1" w:after="80" w:line="240" w:lineRule="auto"/>
        <w:ind w:left="0" w:firstLine="0"/>
        <w:rPr>
          <w:rFonts w:ascii="Segoe UI" w:eastAsia="Times New Roman" w:hAnsi="Segoe UI" w:cs="Segoe UI"/>
          <w:szCs w:val="22"/>
          <w:lang w:eastAsia="en-AU"/>
        </w:rPr>
      </w:pPr>
      <w:r w:rsidRPr="00C7202C">
        <w:rPr>
          <w:rFonts w:ascii="Segoe UI" w:eastAsia="Times New Roman" w:hAnsi="Segoe UI" w:cs="Segoe UI"/>
          <w:szCs w:val="22"/>
          <w:lang w:eastAsia="en-AU"/>
        </w:rPr>
        <w:t xml:space="preserve">I undertook consultations with stakeholders from the sector, the public service, Government and Opposition. I sought to meet with organisations that received $1 million in Commonwealth funding over the review timeframe, all SCNS agency heads, </w:t>
      </w:r>
      <w:r w:rsidR="001260ED" w:rsidRPr="00C7202C">
        <w:rPr>
          <w:rFonts w:ascii="Segoe UI" w:eastAsia="Times New Roman" w:hAnsi="Segoe UI" w:cs="Segoe UI"/>
          <w:szCs w:val="22"/>
          <w:lang w:eastAsia="en-AU"/>
        </w:rPr>
        <w:t xml:space="preserve">the Prime Minister and </w:t>
      </w:r>
      <w:r w:rsidRPr="00C7202C">
        <w:rPr>
          <w:rFonts w:ascii="Segoe UI" w:eastAsia="Times New Roman" w:hAnsi="Segoe UI" w:cs="Segoe UI"/>
          <w:szCs w:val="22"/>
          <w:lang w:eastAsia="en-AU"/>
        </w:rPr>
        <w:t>relevant ministers and shadow ministers, as well as prominent current and former members of the sector. See below the list organisations I consulted with directly, listed in alphabetical order:</w:t>
      </w:r>
    </w:p>
    <w:p w14:paraId="06E461A1"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 xml:space="preserve">American Australian Association </w:t>
      </w:r>
    </w:p>
    <w:p w14:paraId="06E461A2"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Asia Society Australia</w:t>
      </w:r>
    </w:p>
    <w:p w14:paraId="06E461A3"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 xml:space="preserve">Asia-Pacific Development, Diplomacy &amp; Defence Dialogue </w:t>
      </w:r>
    </w:p>
    <w:p w14:paraId="06E461A4"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 xml:space="preserve">Australia India Institute </w:t>
      </w:r>
    </w:p>
    <w:p w14:paraId="06E461A5"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 xml:space="preserve">Australian American Leadership Dialogue </w:t>
      </w:r>
    </w:p>
    <w:p w14:paraId="06E461A6"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 xml:space="preserve">Australian Federal Police </w:t>
      </w:r>
    </w:p>
    <w:p w14:paraId="06E461A7"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 xml:space="preserve">Australian Institute of International Affairs </w:t>
      </w:r>
    </w:p>
    <w:p w14:paraId="06E461A8"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 xml:space="preserve">Australian Member Committee of the Council for the Security Co-operation in the Asia-Pacific </w:t>
      </w:r>
    </w:p>
    <w:p w14:paraId="06E461A9"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 xml:space="preserve">Australian National University </w:t>
      </w:r>
    </w:p>
    <w:p w14:paraId="06E461AA"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 xml:space="preserve">Australian Public Service Commission </w:t>
      </w:r>
    </w:p>
    <w:p w14:paraId="06E461AB"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 xml:space="preserve">Australian Secret Intelligence Service </w:t>
      </w:r>
    </w:p>
    <w:p w14:paraId="06E461AC"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 xml:space="preserve">Australian Security Intelligence Organisation </w:t>
      </w:r>
    </w:p>
    <w:p w14:paraId="06E461AD"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 xml:space="preserve">Australian Signals Directorate </w:t>
      </w:r>
    </w:p>
    <w:p w14:paraId="06E461AE"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Australian Strategic Policy Institute</w:t>
      </w:r>
    </w:p>
    <w:p w14:paraId="06E461AF"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Deakin University</w:t>
      </w:r>
    </w:p>
    <w:p w14:paraId="06E461B0"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 xml:space="preserve">Defence and Security Institute </w:t>
      </w:r>
    </w:p>
    <w:p w14:paraId="06E461B1"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color w:val="000000" w:themeColor="text1"/>
        </w:rPr>
        <w:t>Department of Climate Change, Energy, the Environment and Water</w:t>
      </w:r>
    </w:p>
    <w:p w14:paraId="06E461B2"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 xml:space="preserve">Department of Defence </w:t>
      </w:r>
    </w:p>
    <w:p w14:paraId="06E461B3"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Department of Finance</w:t>
      </w:r>
    </w:p>
    <w:p w14:paraId="06E461B4"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Department of Foreign Affairs and Trade</w:t>
      </w:r>
    </w:p>
    <w:p w14:paraId="06E461B5"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Department of Home Affairs</w:t>
      </w:r>
    </w:p>
    <w:p w14:paraId="06E461B6"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lastRenderedPageBreak/>
        <w:t>Department of the Prime Minister and Cabinet</w:t>
      </w:r>
    </w:p>
    <w:p w14:paraId="06E461B7"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 xml:space="preserve">Griffith University </w:t>
      </w:r>
    </w:p>
    <w:p w14:paraId="06E461B8"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La Trobe University</w:t>
      </w:r>
    </w:p>
    <w:p w14:paraId="06E461B9"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Macquarie University</w:t>
      </w:r>
    </w:p>
    <w:p w14:paraId="06E461BA"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Monash University</w:t>
      </w:r>
    </w:p>
    <w:p w14:paraId="06E461BB"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 xml:space="preserve">National Security College </w:t>
      </w:r>
    </w:p>
    <w:p w14:paraId="06E461BC"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 xml:space="preserve">Office of National Intelligence </w:t>
      </w:r>
    </w:p>
    <w:p w14:paraId="06E461BD"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 xml:space="preserve">Perth USAsia Centre </w:t>
      </w:r>
    </w:p>
    <w:p w14:paraId="06E461BE"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RAND Australia</w:t>
      </w:r>
    </w:p>
    <w:p w14:paraId="06E461BF"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Royal Melbourne Institute of Technology University</w:t>
      </w:r>
    </w:p>
    <w:p w14:paraId="06E461C0"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 xml:space="preserve">Strategic </w:t>
      </w:r>
      <w:r w:rsidR="00013D7A">
        <w:rPr>
          <w:rFonts w:ascii="Segoe UI" w:hAnsi="Segoe UI" w:cs="Segoe UI"/>
        </w:rPr>
        <w:t>and</w:t>
      </w:r>
      <w:r w:rsidR="009C66AC">
        <w:rPr>
          <w:rFonts w:ascii="Segoe UI" w:hAnsi="Segoe UI" w:cs="Segoe UI"/>
        </w:rPr>
        <w:t xml:space="preserve"> </w:t>
      </w:r>
      <w:r w:rsidRPr="66947E7E">
        <w:rPr>
          <w:rFonts w:ascii="Segoe UI" w:hAnsi="Segoe UI" w:cs="Segoe UI"/>
        </w:rPr>
        <w:t xml:space="preserve">Defence Studies Centre </w:t>
      </w:r>
    </w:p>
    <w:p w14:paraId="06E461C1"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 xml:space="preserve">Strategic Analysis Australia </w:t>
      </w:r>
    </w:p>
    <w:p w14:paraId="06E461C2"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The Lowy Institute</w:t>
      </w:r>
    </w:p>
    <w:p w14:paraId="06E461C3"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The Treasury</w:t>
      </w:r>
    </w:p>
    <w:p w14:paraId="06E461C4"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United States Studies Centre</w:t>
      </w:r>
    </w:p>
    <w:p w14:paraId="06E461C5"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University of Adelaide</w:t>
      </w:r>
    </w:p>
    <w:p w14:paraId="06E461C6"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University of Melbourne</w:t>
      </w:r>
    </w:p>
    <w:p w14:paraId="06E461C7"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University of New South Wales</w:t>
      </w:r>
    </w:p>
    <w:p w14:paraId="06E461C8"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University of Sydney</w:t>
      </w:r>
    </w:p>
    <w:p w14:paraId="06E461C9" w14:textId="77777777" w:rsidR="000E416D" w:rsidRPr="000E416D" w:rsidRDefault="000E416D" w:rsidP="00002621">
      <w:pPr>
        <w:pStyle w:val="BulletedList-Level1"/>
        <w:ind w:left="851" w:hanging="284"/>
        <w:rPr>
          <w:rFonts w:ascii="Segoe UI" w:hAnsi="Segoe UI" w:cs="Segoe UI"/>
          <w:b/>
        </w:rPr>
      </w:pPr>
      <w:r w:rsidRPr="66947E7E">
        <w:rPr>
          <w:rFonts w:ascii="Segoe UI" w:hAnsi="Segoe UI" w:cs="Segoe UI"/>
        </w:rPr>
        <w:t xml:space="preserve">University of Technology Sydney </w:t>
      </w:r>
    </w:p>
    <w:p w14:paraId="06E461CA"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University of Western Australia</w:t>
      </w:r>
    </w:p>
    <w:p w14:paraId="06E461CB" w14:textId="77777777" w:rsidR="000E416D" w:rsidRPr="000E416D" w:rsidRDefault="000E416D" w:rsidP="00002621">
      <w:pPr>
        <w:pStyle w:val="BulletedList-Level1"/>
        <w:ind w:left="851" w:hanging="284"/>
        <w:rPr>
          <w:rFonts w:ascii="Segoe UI" w:hAnsi="Segoe UI" w:cs="Segoe UI"/>
        </w:rPr>
      </w:pPr>
      <w:r w:rsidRPr="66947E7E">
        <w:rPr>
          <w:rFonts w:ascii="Segoe UI" w:hAnsi="Segoe UI" w:cs="Segoe UI"/>
        </w:rPr>
        <w:t>University of Wollongong</w:t>
      </w:r>
    </w:p>
    <w:p w14:paraId="06E461CC" w14:textId="77777777" w:rsidR="001D6418" w:rsidRDefault="003B47A8" w:rsidP="00C7202C">
      <w:pPr>
        <w:numPr>
          <w:ilvl w:val="0"/>
          <w:numId w:val="35"/>
        </w:numPr>
        <w:shd w:val="clear" w:color="auto" w:fill="FFFFFF"/>
        <w:tabs>
          <w:tab w:val="clear" w:pos="720"/>
        </w:tabs>
        <w:spacing w:before="100" w:beforeAutospacing="1" w:after="80" w:line="240" w:lineRule="auto"/>
        <w:ind w:left="0" w:firstLine="0"/>
        <w:rPr>
          <w:rFonts w:ascii="Segoe UI" w:eastAsia="Times New Roman" w:hAnsi="Segoe UI" w:cs="Segoe UI"/>
          <w:szCs w:val="22"/>
          <w:lang w:eastAsia="en-AU"/>
        </w:rPr>
      </w:pPr>
      <w:r>
        <w:rPr>
          <w:rFonts w:ascii="Segoe UI" w:eastAsia="Times New Roman" w:hAnsi="Segoe UI" w:cs="Segoe UI"/>
          <w:szCs w:val="22"/>
          <w:lang w:eastAsia="en-AU"/>
        </w:rPr>
        <w:t>See below the list of i</w:t>
      </w:r>
      <w:r w:rsidR="001D6418">
        <w:rPr>
          <w:rFonts w:ascii="Segoe UI" w:eastAsia="Times New Roman" w:hAnsi="Segoe UI" w:cs="Segoe UI"/>
          <w:szCs w:val="22"/>
          <w:lang w:eastAsia="en-AU"/>
        </w:rPr>
        <w:t>ndividuals I consulted directly with, listed in alphabetical order:</w:t>
      </w:r>
    </w:p>
    <w:p w14:paraId="06E461CD" w14:textId="77777777" w:rsidR="001D6418" w:rsidRPr="000E416D" w:rsidRDefault="001D6418" w:rsidP="001D6418">
      <w:pPr>
        <w:pStyle w:val="BulletedList-Level1"/>
        <w:ind w:left="851" w:hanging="284"/>
        <w:rPr>
          <w:rFonts w:ascii="Segoe UI" w:hAnsi="Segoe UI" w:cs="Segoe UI"/>
        </w:rPr>
      </w:pPr>
      <w:r w:rsidRPr="66947E7E">
        <w:rPr>
          <w:rFonts w:ascii="Segoe UI" w:hAnsi="Segoe UI" w:cs="Segoe UI"/>
        </w:rPr>
        <w:t>Albanese</w:t>
      </w:r>
      <w:r>
        <w:rPr>
          <w:rFonts w:ascii="Segoe UI" w:hAnsi="Segoe UI" w:cs="Segoe UI"/>
        </w:rPr>
        <w:t>,</w:t>
      </w:r>
      <w:r w:rsidRPr="66947E7E">
        <w:rPr>
          <w:rFonts w:ascii="Segoe UI" w:hAnsi="Segoe UI" w:cs="Segoe UI"/>
        </w:rPr>
        <w:t xml:space="preserve"> The Hon Anthony MP, Prime Minister of Australia</w:t>
      </w:r>
    </w:p>
    <w:p w14:paraId="06E461CE" w14:textId="77777777" w:rsidR="001D6418" w:rsidRPr="000E416D" w:rsidRDefault="001D6418" w:rsidP="001D6418">
      <w:pPr>
        <w:pStyle w:val="BulletedList-Level1"/>
        <w:ind w:left="851" w:hanging="284"/>
        <w:rPr>
          <w:rFonts w:ascii="Segoe UI" w:hAnsi="Segoe UI" w:cs="Segoe UI"/>
        </w:rPr>
      </w:pPr>
      <w:r w:rsidRPr="00003916">
        <w:rPr>
          <w:rFonts w:ascii="Segoe UI" w:hAnsi="Segoe UI" w:cs="Segoe UI"/>
        </w:rPr>
        <w:t>Birmingham</w:t>
      </w:r>
      <w:r>
        <w:rPr>
          <w:rFonts w:ascii="Segoe UI" w:hAnsi="Segoe UI" w:cs="Segoe UI"/>
        </w:rPr>
        <w:t>,</w:t>
      </w:r>
      <w:r w:rsidRPr="00003916">
        <w:rPr>
          <w:rFonts w:ascii="Segoe UI" w:hAnsi="Segoe UI" w:cs="Segoe UI"/>
        </w:rPr>
        <w:t xml:space="preserve"> Senator the Hon Simon, Shadow Minister for Foreign Affairs</w:t>
      </w:r>
    </w:p>
    <w:p w14:paraId="06E461CF" w14:textId="77777777" w:rsidR="001D6418" w:rsidRPr="000E416D" w:rsidRDefault="001D6418" w:rsidP="001D6418">
      <w:pPr>
        <w:pStyle w:val="BulletedList-Level1"/>
        <w:ind w:left="851" w:hanging="284"/>
        <w:rPr>
          <w:rFonts w:ascii="Segoe UI" w:hAnsi="Segoe UI" w:cs="Segoe UI"/>
        </w:rPr>
      </w:pPr>
      <w:r w:rsidRPr="66947E7E">
        <w:rPr>
          <w:rFonts w:ascii="Segoe UI" w:hAnsi="Segoe UI" w:cs="Segoe UI"/>
        </w:rPr>
        <w:t>Beazley</w:t>
      </w:r>
      <w:r>
        <w:rPr>
          <w:rFonts w:ascii="Segoe UI" w:hAnsi="Segoe UI" w:cs="Segoe UI"/>
        </w:rPr>
        <w:t>,</w:t>
      </w:r>
      <w:r w:rsidRPr="66947E7E">
        <w:rPr>
          <w:rFonts w:ascii="Segoe UI" w:hAnsi="Segoe UI" w:cs="Segoe UI"/>
        </w:rPr>
        <w:t xml:space="preserve"> The Hon Kim AC, Chair of the Board of the Perth USAsia Centre</w:t>
      </w:r>
    </w:p>
    <w:p w14:paraId="06E461D0" w14:textId="77777777" w:rsidR="001D6418" w:rsidRPr="000E416D" w:rsidRDefault="001D6418" w:rsidP="001D6418">
      <w:pPr>
        <w:pStyle w:val="BulletedList-Level1"/>
        <w:ind w:left="851" w:hanging="284"/>
        <w:rPr>
          <w:rFonts w:ascii="Segoe UI" w:hAnsi="Segoe UI" w:cs="Segoe UI"/>
        </w:rPr>
      </w:pPr>
      <w:r w:rsidRPr="66947E7E">
        <w:rPr>
          <w:rFonts w:ascii="Segoe UI" w:hAnsi="Segoe UI" w:cs="Segoe UI"/>
        </w:rPr>
        <w:t>Dean</w:t>
      </w:r>
      <w:r>
        <w:rPr>
          <w:rFonts w:ascii="Segoe UI" w:hAnsi="Segoe UI" w:cs="Segoe UI"/>
        </w:rPr>
        <w:t>,</w:t>
      </w:r>
      <w:r w:rsidRPr="66947E7E">
        <w:rPr>
          <w:rFonts w:ascii="Segoe UI" w:hAnsi="Segoe UI" w:cs="Segoe UI"/>
        </w:rPr>
        <w:t xml:space="preserve"> Professor Peter </w:t>
      </w:r>
    </w:p>
    <w:p w14:paraId="06E461D1" w14:textId="77777777" w:rsidR="001D6418" w:rsidRPr="000E416D" w:rsidRDefault="001D6418" w:rsidP="001D6418">
      <w:pPr>
        <w:pStyle w:val="BulletedList-Level1"/>
        <w:ind w:left="851" w:hanging="284"/>
        <w:rPr>
          <w:rFonts w:ascii="Segoe UI" w:hAnsi="Segoe UI" w:cs="Segoe UI"/>
        </w:rPr>
      </w:pPr>
      <w:r w:rsidRPr="66947E7E">
        <w:rPr>
          <w:rFonts w:ascii="Segoe UI" w:hAnsi="Segoe UI" w:cs="Segoe UI"/>
        </w:rPr>
        <w:t>Dutton</w:t>
      </w:r>
      <w:r>
        <w:rPr>
          <w:rFonts w:ascii="Segoe UI" w:hAnsi="Segoe UI" w:cs="Segoe UI"/>
        </w:rPr>
        <w:t>,</w:t>
      </w:r>
      <w:r w:rsidRPr="66947E7E">
        <w:rPr>
          <w:rFonts w:ascii="Segoe UI" w:hAnsi="Segoe UI" w:cs="Segoe UI"/>
        </w:rPr>
        <w:t xml:space="preserve"> The Hon Peter MP, Leader of the Opposition</w:t>
      </w:r>
    </w:p>
    <w:p w14:paraId="06E461D2" w14:textId="77777777" w:rsidR="001D6418" w:rsidRPr="000E416D" w:rsidRDefault="001D6418" w:rsidP="001D6418">
      <w:pPr>
        <w:pStyle w:val="BulletedList-Level1"/>
        <w:ind w:left="851" w:hanging="284"/>
        <w:rPr>
          <w:rFonts w:ascii="Segoe UI" w:hAnsi="Segoe UI" w:cs="Segoe UI"/>
        </w:rPr>
      </w:pPr>
      <w:r w:rsidRPr="66947E7E">
        <w:rPr>
          <w:rFonts w:ascii="Segoe UI" w:hAnsi="Segoe UI" w:cs="Segoe UI"/>
        </w:rPr>
        <w:t>Falk</w:t>
      </w:r>
      <w:r>
        <w:rPr>
          <w:rFonts w:ascii="Segoe UI" w:hAnsi="Segoe UI" w:cs="Segoe UI"/>
        </w:rPr>
        <w:t>,</w:t>
      </w:r>
      <w:r w:rsidRPr="66947E7E">
        <w:rPr>
          <w:rFonts w:ascii="Segoe UI" w:hAnsi="Segoe UI" w:cs="Segoe UI"/>
        </w:rPr>
        <w:t xml:space="preserve"> Ms Rachael </w:t>
      </w:r>
    </w:p>
    <w:p w14:paraId="06E461D3" w14:textId="77777777" w:rsidR="001D6418" w:rsidRPr="000E416D" w:rsidRDefault="001D6418" w:rsidP="001D6418">
      <w:pPr>
        <w:pStyle w:val="BulletedList-Level1"/>
        <w:ind w:left="851" w:hanging="284"/>
        <w:rPr>
          <w:rFonts w:ascii="Segoe UI" w:hAnsi="Segoe UI" w:cs="Segoe UI"/>
        </w:rPr>
      </w:pPr>
      <w:r w:rsidRPr="66947E7E">
        <w:rPr>
          <w:rFonts w:ascii="Segoe UI" w:hAnsi="Segoe UI" w:cs="Segoe UI"/>
        </w:rPr>
        <w:t>Gillespie</w:t>
      </w:r>
      <w:r>
        <w:rPr>
          <w:rFonts w:ascii="Segoe UI" w:hAnsi="Segoe UI" w:cs="Segoe UI"/>
        </w:rPr>
        <w:t>,</w:t>
      </w:r>
      <w:r w:rsidRPr="66947E7E">
        <w:rPr>
          <w:rFonts w:ascii="Segoe UI" w:hAnsi="Segoe UI" w:cs="Segoe UI"/>
        </w:rPr>
        <w:t xml:space="preserve"> Lieutenant General Kenneth AC, DSC, CSM (Retd)</w:t>
      </w:r>
    </w:p>
    <w:p w14:paraId="06E461D4" w14:textId="77777777" w:rsidR="001D6418" w:rsidRPr="000E416D" w:rsidRDefault="001D6418" w:rsidP="001D6418">
      <w:pPr>
        <w:pStyle w:val="BulletedList-Level1"/>
        <w:ind w:left="851" w:hanging="284"/>
        <w:rPr>
          <w:rFonts w:ascii="Segoe UI" w:hAnsi="Segoe UI" w:cs="Segoe UI"/>
        </w:rPr>
      </w:pPr>
      <w:r w:rsidRPr="1D25DB97">
        <w:rPr>
          <w:rFonts w:ascii="Segoe UI" w:hAnsi="Segoe UI" w:cs="Segoe UI"/>
        </w:rPr>
        <w:t>Hastie</w:t>
      </w:r>
      <w:r>
        <w:rPr>
          <w:rFonts w:ascii="Segoe UI" w:hAnsi="Segoe UI" w:cs="Segoe UI"/>
        </w:rPr>
        <w:t>,</w:t>
      </w:r>
      <w:r w:rsidRPr="1D25DB97">
        <w:rPr>
          <w:rFonts w:ascii="Segoe UI" w:hAnsi="Segoe UI" w:cs="Segoe UI"/>
        </w:rPr>
        <w:t xml:space="preserve"> The Hon Andrew MP, Shadow Minister for Defence</w:t>
      </w:r>
    </w:p>
    <w:p w14:paraId="06E461D5" w14:textId="77777777" w:rsidR="001D6418" w:rsidRPr="001C11A5" w:rsidRDefault="003B47A8" w:rsidP="001D6418">
      <w:pPr>
        <w:pStyle w:val="BulletedList-Level1"/>
        <w:ind w:left="851" w:hanging="284"/>
        <w:rPr>
          <w:rFonts w:ascii="Segoe UI" w:hAnsi="Segoe UI" w:cs="Segoe UI"/>
        </w:rPr>
      </w:pPr>
      <w:r w:rsidRPr="001C11A5">
        <w:rPr>
          <w:rFonts w:ascii="Segoe UI" w:hAnsi="Segoe UI" w:cs="Segoe UI"/>
        </w:rPr>
        <w:t>Hellyer</w:t>
      </w:r>
      <w:r>
        <w:rPr>
          <w:rFonts w:ascii="Segoe UI" w:hAnsi="Segoe UI" w:cs="Segoe UI"/>
        </w:rPr>
        <w:t>,</w:t>
      </w:r>
      <w:r w:rsidRPr="001C11A5">
        <w:rPr>
          <w:rFonts w:ascii="Segoe UI" w:hAnsi="Segoe UI" w:cs="Segoe UI"/>
        </w:rPr>
        <w:t xml:space="preserve"> </w:t>
      </w:r>
      <w:r w:rsidR="001D6418" w:rsidRPr="001C11A5">
        <w:rPr>
          <w:rFonts w:ascii="Segoe UI" w:hAnsi="Segoe UI" w:cs="Segoe UI"/>
        </w:rPr>
        <w:t xml:space="preserve">Dr Marcus </w:t>
      </w:r>
    </w:p>
    <w:p w14:paraId="06E461D6" w14:textId="77777777" w:rsidR="001D6418" w:rsidRPr="000E416D" w:rsidRDefault="003B47A8" w:rsidP="001D6418">
      <w:pPr>
        <w:pStyle w:val="BulletedList-Level1"/>
        <w:ind w:left="851" w:hanging="284"/>
        <w:rPr>
          <w:rFonts w:ascii="Segoe UI" w:hAnsi="Segoe UI" w:cs="Segoe UI"/>
        </w:rPr>
      </w:pPr>
      <w:r w:rsidRPr="001D6418">
        <w:rPr>
          <w:rFonts w:ascii="Segoe UI" w:hAnsi="Segoe UI" w:cs="Segoe UI"/>
        </w:rPr>
        <w:t>Houston</w:t>
      </w:r>
      <w:r>
        <w:rPr>
          <w:rFonts w:ascii="Segoe UI" w:hAnsi="Segoe UI" w:cs="Segoe UI"/>
        </w:rPr>
        <w:t>,</w:t>
      </w:r>
      <w:r w:rsidRPr="66947E7E">
        <w:rPr>
          <w:rFonts w:ascii="Segoe UI" w:hAnsi="Segoe UI" w:cs="Segoe UI"/>
        </w:rPr>
        <w:t xml:space="preserve"> </w:t>
      </w:r>
      <w:r w:rsidR="001D6418" w:rsidRPr="66947E7E">
        <w:rPr>
          <w:rFonts w:ascii="Segoe UI" w:hAnsi="Segoe UI" w:cs="Segoe UI"/>
        </w:rPr>
        <w:t>ACM</w:t>
      </w:r>
      <w:r w:rsidR="001D6418" w:rsidRPr="001D6418">
        <w:rPr>
          <w:rFonts w:ascii="Segoe UI" w:hAnsi="Segoe UI" w:cs="Segoe UI"/>
        </w:rPr>
        <w:t xml:space="preserve"> Sir Angus, AK, AFC</w:t>
      </w:r>
      <w:r w:rsidR="001D6418" w:rsidRPr="66947E7E">
        <w:rPr>
          <w:rFonts w:ascii="Segoe UI" w:hAnsi="Segoe UI" w:cs="Segoe UI"/>
        </w:rPr>
        <w:t xml:space="preserve"> (Retd)</w:t>
      </w:r>
    </w:p>
    <w:p w14:paraId="06E461D7" w14:textId="77777777" w:rsidR="001D6418" w:rsidRPr="000E416D" w:rsidRDefault="003B47A8" w:rsidP="001D6418">
      <w:pPr>
        <w:pStyle w:val="BulletedList-Level1"/>
        <w:ind w:left="851" w:hanging="284"/>
        <w:rPr>
          <w:rFonts w:ascii="Segoe UI" w:hAnsi="Segoe UI" w:cs="Segoe UI"/>
        </w:rPr>
      </w:pPr>
      <w:r w:rsidRPr="66947E7E">
        <w:rPr>
          <w:rFonts w:ascii="Segoe UI" w:hAnsi="Segoe UI" w:cs="Segoe UI"/>
        </w:rPr>
        <w:t>Khalil</w:t>
      </w:r>
      <w:r>
        <w:rPr>
          <w:rFonts w:ascii="Segoe UI" w:hAnsi="Segoe UI" w:cs="Segoe UI"/>
        </w:rPr>
        <w:t>,</w:t>
      </w:r>
      <w:r w:rsidRPr="66947E7E">
        <w:rPr>
          <w:rFonts w:ascii="Segoe UI" w:hAnsi="Segoe UI" w:cs="Segoe UI"/>
        </w:rPr>
        <w:t xml:space="preserve"> </w:t>
      </w:r>
      <w:r w:rsidR="001D6418" w:rsidRPr="66947E7E">
        <w:rPr>
          <w:rFonts w:ascii="Segoe UI" w:hAnsi="Segoe UI" w:cs="Segoe UI"/>
        </w:rPr>
        <w:t>Mr Peter MP, Chair of Parliamentary Joint Committee on Intelligence and Security</w:t>
      </w:r>
    </w:p>
    <w:p w14:paraId="06E461D8" w14:textId="77777777" w:rsidR="00013D7A" w:rsidRDefault="00013D7A" w:rsidP="001D6418">
      <w:pPr>
        <w:pStyle w:val="BulletedList-Level1"/>
        <w:ind w:left="851" w:hanging="284"/>
        <w:rPr>
          <w:rFonts w:ascii="Segoe UI" w:hAnsi="Segoe UI" w:cs="Segoe UI"/>
        </w:rPr>
      </w:pPr>
      <w:r>
        <w:rPr>
          <w:rFonts w:ascii="Segoe UI" w:hAnsi="Segoe UI" w:cs="Segoe UI"/>
        </w:rPr>
        <w:t>Lee, Dr John</w:t>
      </w:r>
    </w:p>
    <w:p w14:paraId="06E461D9" w14:textId="77777777" w:rsidR="001D6418" w:rsidRPr="000E416D" w:rsidRDefault="003B47A8" w:rsidP="001D6418">
      <w:pPr>
        <w:pStyle w:val="BulletedList-Level1"/>
        <w:ind w:left="851" w:hanging="284"/>
        <w:rPr>
          <w:rFonts w:ascii="Segoe UI" w:hAnsi="Segoe UI" w:cs="Segoe UI"/>
        </w:rPr>
      </w:pPr>
      <w:r w:rsidRPr="66947E7E">
        <w:rPr>
          <w:rFonts w:ascii="Segoe UI" w:hAnsi="Segoe UI" w:cs="Segoe UI"/>
        </w:rPr>
        <w:t>L’Estrange</w:t>
      </w:r>
      <w:r>
        <w:rPr>
          <w:rFonts w:ascii="Segoe UI" w:hAnsi="Segoe UI" w:cs="Segoe UI"/>
        </w:rPr>
        <w:t>,</w:t>
      </w:r>
      <w:r w:rsidRPr="66947E7E">
        <w:rPr>
          <w:rFonts w:ascii="Segoe UI" w:hAnsi="Segoe UI" w:cs="Segoe UI"/>
        </w:rPr>
        <w:t xml:space="preserve"> </w:t>
      </w:r>
      <w:r w:rsidR="001D6418" w:rsidRPr="66947E7E">
        <w:rPr>
          <w:rFonts w:ascii="Segoe UI" w:hAnsi="Segoe UI" w:cs="Segoe UI"/>
        </w:rPr>
        <w:t>Professor Michael AO</w:t>
      </w:r>
    </w:p>
    <w:p w14:paraId="06E461DA" w14:textId="77777777" w:rsidR="001D6418" w:rsidRPr="000E416D" w:rsidRDefault="003B47A8" w:rsidP="001D6418">
      <w:pPr>
        <w:pStyle w:val="BulletedList-Level1"/>
        <w:ind w:left="851" w:hanging="284"/>
        <w:rPr>
          <w:rFonts w:ascii="Segoe UI" w:hAnsi="Segoe UI" w:cs="Segoe UI"/>
        </w:rPr>
      </w:pPr>
      <w:r w:rsidRPr="66947E7E">
        <w:rPr>
          <w:rFonts w:ascii="Segoe UI" w:hAnsi="Segoe UI" w:cs="Segoe UI"/>
        </w:rPr>
        <w:t>Lewis</w:t>
      </w:r>
      <w:r>
        <w:rPr>
          <w:rFonts w:ascii="Segoe UI" w:hAnsi="Segoe UI" w:cs="Segoe UI"/>
        </w:rPr>
        <w:t>,</w:t>
      </w:r>
      <w:r w:rsidRPr="66947E7E">
        <w:rPr>
          <w:rFonts w:ascii="Segoe UI" w:hAnsi="Segoe UI" w:cs="Segoe UI"/>
        </w:rPr>
        <w:t xml:space="preserve"> </w:t>
      </w:r>
      <w:r w:rsidR="001D6418" w:rsidRPr="66947E7E">
        <w:rPr>
          <w:rFonts w:ascii="Segoe UI" w:hAnsi="Segoe UI" w:cs="Segoe UI"/>
        </w:rPr>
        <w:t>Major General Duncan AO, DSC, CSC (Retd)</w:t>
      </w:r>
    </w:p>
    <w:p w14:paraId="06E461DB" w14:textId="77777777" w:rsidR="001D6418" w:rsidRPr="000E416D" w:rsidRDefault="003B47A8" w:rsidP="001D6418">
      <w:pPr>
        <w:pStyle w:val="BulletedList-Level1"/>
        <w:ind w:left="851" w:hanging="284"/>
        <w:rPr>
          <w:rFonts w:ascii="Segoe UI" w:hAnsi="Segoe UI" w:cs="Segoe UI"/>
        </w:rPr>
      </w:pPr>
      <w:r w:rsidRPr="66947E7E">
        <w:rPr>
          <w:rFonts w:ascii="Segoe UI" w:hAnsi="Segoe UI" w:cs="Segoe UI"/>
        </w:rPr>
        <w:t>Marles</w:t>
      </w:r>
      <w:r>
        <w:rPr>
          <w:rFonts w:ascii="Segoe UI" w:hAnsi="Segoe UI" w:cs="Segoe UI"/>
        </w:rPr>
        <w:t>,</w:t>
      </w:r>
      <w:r w:rsidRPr="66947E7E">
        <w:rPr>
          <w:rFonts w:ascii="Segoe UI" w:hAnsi="Segoe UI" w:cs="Segoe UI"/>
        </w:rPr>
        <w:t xml:space="preserve"> </w:t>
      </w:r>
      <w:r w:rsidR="001D6418" w:rsidRPr="66947E7E">
        <w:rPr>
          <w:rFonts w:ascii="Segoe UI" w:hAnsi="Segoe UI" w:cs="Segoe UI"/>
        </w:rPr>
        <w:t>The Hon Richard MP, Deputy Prime Minister of Australia</w:t>
      </w:r>
    </w:p>
    <w:p w14:paraId="06E461DC" w14:textId="77777777" w:rsidR="001D6418" w:rsidRPr="000E416D" w:rsidRDefault="003B47A8" w:rsidP="001D6418">
      <w:pPr>
        <w:pStyle w:val="BulletedList-Level1"/>
        <w:ind w:left="851" w:hanging="284"/>
        <w:rPr>
          <w:rFonts w:ascii="Segoe UI" w:hAnsi="Segoe UI" w:cs="Segoe UI"/>
        </w:rPr>
      </w:pPr>
      <w:r w:rsidRPr="66947E7E">
        <w:rPr>
          <w:rFonts w:ascii="Segoe UI" w:hAnsi="Segoe UI" w:cs="Segoe UI"/>
        </w:rPr>
        <w:t>Maude</w:t>
      </w:r>
      <w:r>
        <w:rPr>
          <w:rFonts w:ascii="Segoe UI" w:hAnsi="Segoe UI" w:cs="Segoe UI"/>
        </w:rPr>
        <w:t>,</w:t>
      </w:r>
      <w:r w:rsidRPr="66947E7E">
        <w:rPr>
          <w:rFonts w:ascii="Segoe UI" w:hAnsi="Segoe UI" w:cs="Segoe UI"/>
        </w:rPr>
        <w:t xml:space="preserve"> </w:t>
      </w:r>
      <w:r w:rsidR="001D6418" w:rsidRPr="66947E7E">
        <w:rPr>
          <w:rFonts w:ascii="Segoe UI" w:hAnsi="Segoe UI" w:cs="Segoe UI"/>
        </w:rPr>
        <w:t xml:space="preserve">Mr Richard </w:t>
      </w:r>
    </w:p>
    <w:p w14:paraId="06E461DD" w14:textId="77777777" w:rsidR="001D6418" w:rsidRPr="000E416D" w:rsidRDefault="003B47A8" w:rsidP="001D6418">
      <w:pPr>
        <w:pStyle w:val="BulletedList-Level1"/>
        <w:ind w:left="851" w:hanging="284"/>
        <w:rPr>
          <w:rFonts w:ascii="Segoe UI" w:hAnsi="Segoe UI" w:cs="Segoe UI"/>
        </w:rPr>
      </w:pPr>
      <w:r w:rsidRPr="66947E7E">
        <w:rPr>
          <w:rFonts w:ascii="Segoe UI" w:hAnsi="Segoe UI" w:cs="Segoe UI"/>
        </w:rPr>
        <w:t>McCann</w:t>
      </w:r>
      <w:r>
        <w:rPr>
          <w:rFonts w:ascii="Segoe UI" w:hAnsi="Segoe UI" w:cs="Segoe UI"/>
        </w:rPr>
        <w:t>,</w:t>
      </w:r>
      <w:r w:rsidRPr="66947E7E">
        <w:rPr>
          <w:rFonts w:ascii="Segoe UI" w:hAnsi="Segoe UI" w:cs="Segoe UI"/>
        </w:rPr>
        <w:t xml:space="preserve"> </w:t>
      </w:r>
      <w:r w:rsidR="001D6418" w:rsidRPr="66947E7E">
        <w:rPr>
          <w:rFonts w:ascii="Segoe UI" w:hAnsi="Segoe UI" w:cs="Segoe UI"/>
        </w:rPr>
        <w:t>Mr Kevin AO</w:t>
      </w:r>
    </w:p>
    <w:p w14:paraId="06E461DE" w14:textId="77777777" w:rsidR="001D6418" w:rsidRPr="000E416D" w:rsidRDefault="003B47A8" w:rsidP="001D6418">
      <w:pPr>
        <w:pStyle w:val="BulletedList-Level1"/>
        <w:ind w:left="851" w:hanging="284"/>
        <w:rPr>
          <w:rFonts w:ascii="Segoe UI" w:hAnsi="Segoe UI" w:cs="Segoe UI"/>
        </w:rPr>
      </w:pPr>
      <w:r w:rsidRPr="66947E7E">
        <w:rPr>
          <w:rFonts w:ascii="Segoe UI" w:hAnsi="Segoe UI" w:cs="Segoe UI"/>
        </w:rPr>
        <w:t>O’Neil</w:t>
      </w:r>
      <w:r>
        <w:rPr>
          <w:rFonts w:ascii="Segoe UI" w:hAnsi="Segoe UI" w:cs="Segoe UI"/>
        </w:rPr>
        <w:t>,</w:t>
      </w:r>
      <w:r w:rsidRPr="66947E7E">
        <w:rPr>
          <w:rFonts w:ascii="Segoe UI" w:hAnsi="Segoe UI" w:cs="Segoe UI"/>
        </w:rPr>
        <w:t xml:space="preserve"> </w:t>
      </w:r>
      <w:r w:rsidR="001D6418" w:rsidRPr="66947E7E">
        <w:rPr>
          <w:rFonts w:ascii="Segoe UI" w:hAnsi="Segoe UI" w:cs="Segoe UI"/>
        </w:rPr>
        <w:t>The Hon Clare MP, Minister for Home Affairs and Cyber Security</w:t>
      </w:r>
    </w:p>
    <w:p w14:paraId="06E461DF" w14:textId="77777777" w:rsidR="001D6418" w:rsidRPr="000E416D" w:rsidRDefault="003B47A8" w:rsidP="001D6418">
      <w:pPr>
        <w:pStyle w:val="BulletedList-Level1"/>
        <w:ind w:left="851" w:hanging="284"/>
        <w:rPr>
          <w:rFonts w:ascii="Segoe UI" w:hAnsi="Segoe UI" w:cs="Segoe UI"/>
        </w:rPr>
      </w:pPr>
      <w:r w:rsidRPr="66947E7E">
        <w:rPr>
          <w:rFonts w:ascii="Segoe UI" w:hAnsi="Segoe UI" w:cs="Segoe UI"/>
        </w:rPr>
        <w:t>Paterson</w:t>
      </w:r>
      <w:r>
        <w:rPr>
          <w:rFonts w:ascii="Segoe UI" w:hAnsi="Segoe UI" w:cs="Segoe UI"/>
        </w:rPr>
        <w:t>,</w:t>
      </w:r>
      <w:r w:rsidRPr="66947E7E">
        <w:rPr>
          <w:rFonts w:ascii="Segoe UI" w:hAnsi="Segoe UI" w:cs="Segoe UI"/>
        </w:rPr>
        <w:t xml:space="preserve"> </w:t>
      </w:r>
      <w:r w:rsidR="001D6418" w:rsidRPr="66947E7E">
        <w:rPr>
          <w:rFonts w:ascii="Segoe UI" w:hAnsi="Segoe UI" w:cs="Segoe UI"/>
        </w:rPr>
        <w:t>Senator James, Shadow Minister for Home Affairs and Cyber Security</w:t>
      </w:r>
    </w:p>
    <w:p w14:paraId="06E461E0" w14:textId="77777777" w:rsidR="001D6418" w:rsidRPr="000E416D" w:rsidRDefault="003B47A8" w:rsidP="001D6418">
      <w:pPr>
        <w:pStyle w:val="BulletedList-Level1"/>
        <w:ind w:left="851" w:hanging="284"/>
        <w:rPr>
          <w:rFonts w:ascii="Segoe UI" w:hAnsi="Segoe UI" w:cs="Segoe UI"/>
        </w:rPr>
      </w:pPr>
      <w:r w:rsidRPr="66947E7E">
        <w:rPr>
          <w:rFonts w:ascii="Segoe UI" w:hAnsi="Segoe UI" w:cs="Segoe UI"/>
        </w:rPr>
        <w:t>Richardson</w:t>
      </w:r>
      <w:r>
        <w:rPr>
          <w:rFonts w:ascii="Segoe UI" w:hAnsi="Segoe UI" w:cs="Segoe UI"/>
        </w:rPr>
        <w:t>,</w:t>
      </w:r>
      <w:r w:rsidRPr="66947E7E">
        <w:rPr>
          <w:rFonts w:ascii="Segoe UI" w:hAnsi="Segoe UI" w:cs="Segoe UI"/>
        </w:rPr>
        <w:t xml:space="preserve"> </w:t>
      </w:r>
      <w:r w:rsidR="001D6418" w:rsidRPr="66947E7E">
        <w:rPr>
          <w:rFonts w:ascii="Segoe UI" w:hAnsi="Segoe UI" w:cs="Segoe UI"/>
        </w:rPr>
        <w:t>Mr Dennis AC</w:t>
      </w:r>
    </w:p>
    <w:p w14:paraId="06E461E1" w14:textId="77777777" w:rsidR="001D6418" w:rsidRPr="000E416D" w:rsidRDefault="003B47A8" w:rsidP="001D6418">
      <w:pPr>
        <w:pStyle w:val="BulletedList-Level1"/>
        <w:ind w:left="851" w:hanging="284"/>
        <w:rPr>
          <w:rFonts w:ascii="Segoe UI" w:hAnsi="Segoe UI" w:cs="Segoe UI"/>
        </w:rPr>
      </w:pPr>
      <w:r w:rsidRPr="66947E7E">
        <w:rPr>
          <w:rFonts w:ascii="Segoe UI" w:hAnsi="Segoe UI" w:cs="Segoe UI"/>
        </w:rPr>
        <w:t>Rudd</w:t>
      </w:r>
      <w:r>
        <w:rPr>
          <w:rFonts w:ascii="Segoe UI" w:hAnsi="Segoe UI" w:cs="Segoe UI"/>
        </w:rPr>
        <w:t>,</w:t>
      </w:r>
      <w:r w:rsidRPr="66947E7E">
        <w:rPr>
          <w:rFonts w:ascii="Segoe UI" w:hAnsi="Segoe UI" w:cs="Segoe UI"/>
        </w:rPr>
        <w:t xml:space="preserve"> </w:t>
      </w:r>
      <w:r w:rsidR="001D6418" w:rsidRPr="66947E7E">
        <w:rPr>
          <w:rFonts w:ascii="Segoe UI" w:hAnsi="Segoe UI" w:cs="Segoe UI"/>
        </w:rPr>
        <w:t>The Hon Kevin AC, Ambassador of Australia to the United States</w:t>
      </w:r>
    </w:p>
    <w:p w14:paraId="06E461E2" w14:textId="77777777" w:rsidR="001D6418" w:rsidRPr="000E416D" w:rsidRDefault="003B47A8" w:rsidP="001D6418">
      <w:pPr>
        <w:pStyle w:val="BulletedList-Level1"/>
        <w:ind w:left="851" w:hanging="284"/>
        <w:rPr>
          <w:rFonts w:ascii="Segoe UI" w:hAnsi="Segoe UI" w:cs="Segoe UI"/>
        </w:rPr>
      </w:pPr>
      <w:r w:rsidRPr="66947E7E">
        <w:rPr>
          <w:rFonts w:ascii="Segoe UI" w:hAnsi="Segoe UI" w:cs="Segoe UI"/>
        </w:rPr>
        <w:t>Stoltz</w:t>
      </w:r>
      <w:r>
        <w:rPr>
          <w:rFonts w:ascii="Segoe UI" w:hAnsi="Segoe UI" w:cs="Segoe UI"/>
        </w:rPr>
        <w:t>,</w:t>
      </w:r>
      <w:r w:rsidRPr="66947E7E">
        <w:rPr>
          <w:rFonts w:ascii="Segoe UI" w:hAnsi="Segoe UI" w:cs="Segoe UI"/>
        </w:rPr>
        <w:t xml:space="preserve"> </w:t>
      </w:r>
      <w:r w:rsidR="001D6418" w:rsidRPr="66947E7E">
        <w:rPr>
          <w:rFonts w:ascii="Segoe UI" w:hAnsi="Segoe UI" w:cs="Segoe UI"/>
        </w:rPr>
        <w:t xml:space="preserve">Dr William </w:t>
      </w:r>
    </w:p>
    <w:p w14:paraId="06E461E3" w14:textId="77777777" w:rsidR="001D6418" w:rsidRPr="000E416D" w:rsidRDefault="003B47A8" w:rsidP="001D6418">
      <w:pPr>
        <w:pStyle w:val="BulletedList-Level1"/>
        <w:ind w:left="851" w:hanging="284"/>
        <w:rPr>
          <w:rFonts w:ascii="Segoe UI" w:hAnsi="Segoe UI" w:cs="Segoe UI"/>
        </w:rPr>
      </w:pPr>
      <w:r w:rsidRPr="66947E7E">
        <w:rPr>
          <w:rFonts w:ascii="Segoe UI" w:hAnsi="Segoe UI" w:cs="Segoe UI"/>
        </w:rPr>
        <w:lastRenderedPageBreak/>
        <w:t>Wesley</w:t>
      </w:r>
      <w:r>
        <w:rPr>
          <w:rFonts w:ascii="Segoe UI" w:hAnsi="Segoe UI" w:cs="Segoe UI"/>
        </w:rPr>
        <w:t>,</w:t>
      </w:r>
      <w:r w:rsidRPr="66947E7E">
        <w:rPr>
          <w:rFonts w:ascii="Segoe UI" w:hAnsi="Segoe UI" w:cs="Segoe UI"/>
        </w:rPr>
        <w:t xml:space="preserve"> </w:t>
      </w:r>
      <w:r w:rsidR="001D6418" w:rsidRPr="66947E7E">
        <w:rPr>
          <w:rFonts w:ascii="Segoe UI" w:hAnsi="Segoe UI" w:cs="Segoe UI"/>
        </w:rPr>
        <w:t xml:space="preserve">Professor Michael </w:t>
      </w:r>
    </w:p>
    <w:p w14:paraId="06E461E4" w14:textId="77777777" w:rsidR="00013D7A" w:rsidRDefault="00013D7A" w:rsidP="001D6418">
      <w:pPr>
        <w:pStyle w:val="BulletedList-Level1"/>
        <w:ind w:left="851" w:hanging="284"/>
        <w:rPr>
          <w:rFonts w:ascii="Segoe UI" w:hAnsi="Segoe UI" w:cs="Segoe UI"/>
        </w:rPr>
      </w:pPr>
      <w:r>
        <w:rPr>
          <w:rFonts w:ascii="Segoe UI" w:hAnsi="Segoe UI" w:cs="Segoe UI"/>
        </w:rPr>
        <w:t>West, Dr Levi</w:t>
      </w:r>
    </w:p>
    <w:p w14:paraId="06E461E5" w14:textId="77777777" w:rsidR="001D6418" w:rsidRPr="000E416D" w:rsidRDefault="003B47A8" w:rsidP="001D6418">
      <w:pPr>
        <w:pStyle w:val="BulletedList-Level1"/>
        <w:ind w:left="851" w:hanging="284"/>
        <w:rPr>
          <w:rFonts w:ascii="Segoe UI" w:hAnsi="Segoe UI" w:cs="Segoe UI"/>
        </w:rPr>
      </w:pPr>
      <w:r w:rsidRPr="66947E7E">
        <w:rPr>
          <w:rFonts w:ascii="Segoe UI" w:hAnsi="Segoe UI" w:cs="Segoe UI"/>
        </w:rPr>
        <w:t>White</w:t>
      </w:r>
      <w:r>
        <w:rPr>
          <w:rFonts w:ascii="Segoe UI" w:hAnsi="Segoe UI" w:cs="Segoe UI"/>
        </w:rPr>
        <w:t>,</w:t>
      </w:r>
      <w:r w:rsidRPr="66947E7E">
        <w:rPr>
          <w:rFonts w:ascii="Segoe UI" w:hAnsi="Segoe UI" w:cs="Segoe UI"/>
        </w:rPr>
        <w:t xml:space="preserve"> </w:t>
      </w:r>
      <w:r w:rsidR="001D6418" w:rsidRPr="66947E7E">
        <w:rPr>
          <w:rFonts w:ascii="Segoe UI" w:hAnsi="Segoe UI" w:cs="Segoe UI"/>
        </w:rPr>
        <w:t>Professor Hugh AO</w:t>
      </w:r>
    </w:p>
    <w:p w14:paraId="06E461E6" w14:textId="77777777" w:rsidR="001D6418" w:rsidRPr="00C07429" w:rsidRDefault="003B47A8" w:rsidP="001D6418">
      <w:pPr>
        <w:pStyle w:val="BulletedList-Level1"/>
        <w:ind w:left="851" w:hanging="284"/>
        <w:rPr>
          <w:rFonts w:ascii="Segoe UI" w:hAnsi="Segoe UI" w:cs="Segoe UI"/>
        </w:rPr>
      </w:pPr>
      <w:r w:rsidRPr="00C07429">
        <w:rPr>
          <w:rFonts w:ascii="Segoe UI" w:hAnsi="Segoe UI" w:cs="Segoe UI"/>
        </w:rPr>
        <w:t>Wong</w:t>
      </w:r>
      <w:r>
        <w:rPr>
          <w:rFonts w:ascii="Segoe UI" w:hAnsi="Segoe UI" w:cs="Segoe UI"/>
        </w:rPr>
        <w:t>,</w:t>
      </w:r>
      <w:r w:rsidRPr="00C07429">
        <w:rPr>
          <w:rFonts w:ascii="Segoe UI" w:hAnsi="Segoe UI" w:cs="Segoe UI"/>
        </w:rPr>
        <w:t xml:space="preserve"> </w:t>
      </w:r>
      <w:r w:rsidR="001D6418" w:rsidRPr="00C07429">
        <w:rPr>
          <w:rFonts w:ascii="Segoe UI" w:hAnsi="Segoe UI" w:cs="Segoe UI"/>
        </w:rPr>
        <w:t>Senator the Hon Penny, Minister for Foreign Affairs</w:t>
      </w:r>
    </w:p>
    <w:p w14:paraId="06E461E7" w14:textId="77777777" w:rsidR="000E416D" w:rsidRPr="00C7202C" w:rsidRDefault="000E416D" w:rsidP="00C7202C">
      <w:pPr>
        <w:numPr>
          <w:ilvl w:val="0"/>
          <w:numId w:val="35"/>
        </w:numPr>
        <w:shd w:val="clear" w:color="auto" w:fill="FFFFFF"/>
        <w:tabs>
          <w:tab w:val="clear" w:pos="720"/>
        </w:tabs>
        <w:spacing w:before="100" w:beforeAutospacing="1" w:after="80" w:line="240" w:lineRule="auto"/>
        <w:ind w:left="0" w:firstLine="0"/>
        <w:rPr>
          <w:rFonts w:ascii="Segoe UI" w:eastAsia="Times New Roman" w:hAnsi="Segoe UI" w:cs="Segoe UI"/>
          <w:szCs w:val="22"/>
          <w:lang w:eastAsia="en-AU"/>
        </w:rPr>
      </w:pPr>
      <w:r w:rsidRPr="00C7202C">
        <w:rPr>
          <w:rFonts w:ascii="Segoe UI" w:eastAsia="Times New Roman" w:hAnsi="Segoe UI" w:cs="Segoe UI"/>
          <w:szCs w:val="22"/>
          <w:lang w:eastAsia="en-AU"/>
        </w:rPr>
        <w:t>The</w:t>
      </w:r>
      <w:r w:rsidRPr="00C7202C" w:rsidDel="00885861">
        <w:rPr>
          <w:rFonts w:ascii="Segoe UI" w:eastAsia="Times New Roman" w:hAnsi="Segoe UI" w:cs="Segoe UI"/>
          <w:szCs w:val="22"/>
          <w:lang w:eastAsia="en-AU"/>
        </w:rPr>
        <w:t xml:space="preserve"> </w:t>
      </w:r>
      <w:r w:rsidR="00885861" w:rsidRPr="00C7202C">
        <w:rPr>
          <w:rFonts w:ascii="Segoe UI" w:eastAsia="Times New Roman" w:hAnsi="Segoe UI" w:cs="Segoe UI"/>
          <w:szCs w:val="22"/>
          <w:lang w:eastAsia="en-AU"/>
        </w:rPr>
        <w:t xml:space="preserve">secretariat </w:t>
      </w:r>
      <w:r w:rsidRPr="00C7202C">
        <w:rPr>
          <w:rFonts w:ascii="Segoe UI" w:eastAsia="Times New Roman" w:hAnsi="Segoe UI" w:cs="Segoe UI"/>
          <w:szCs w:val="22"/>
          <w:lang w:eastAsia="en-AU"/>
        </w:rPr>
        <w:t>also conducted supplementary consultations with the following individuals and organisations, listed in alphabetical order:</w:t>
      </w:r>
    </w:p>
    <w:p w14:paraId="06E461E8" w14:textId="77777777" w:rsidR="000E416D" w:rsidRPr="000E416D" w:rsidRDefault="000E416D" w:rsidP="00002621">
      <w:pPr>
        <w:pStyle w:val="BulletedList-Level1"/>
        <w:ind w:left="851" w:hanging="284"/>
        <w:rPr>
          <w:rFonts w:ascii="Segoe UI" w:hAnsi="Segoe UI" w:cs="Segoe UI"/>
        </w:rPr>
      </w:pPr>
      <w:r w:rsidRPr="000E416D">
        <w:rPr>
          <w:rFonts w:ascii="Segoe UI" w:hAnsi="Segoe UI" w:cs="Segoe UI"/>
        </w:rPr>
        <w:t>Australian Civil-Military Centre</w:t>
      </w:r>
    </w:p>
    <w:p w14:paraId="06E461E9" w14:textId="77777777" w:rsidR="000E416D" w:rsidRPr="000E416D" w:rsidRDefault="000E416D" w:rsidP="00002621">
      <w:pPr>
        <w:pStyle w:val="BulletedList-Level1"/>
        <w:ind w:left="851" w:hanging="284"/>
        <w:rPr>
          <w:rFonts w:ascii="Segoe UI" w:hAnsi="Segoe UI" w:cs="Segoe UI"/>
        </w:rPr>
      </w:pPr>
      <w:r w:rsidRPr="000E416D">
        <w:rPr>
          <w:rFonts w:ascii="Segoe UI" w:hAnsi="Segoe UI" w:cs="Segoe UI"/>
        </w:rPr>
        <w:t xml:space="preserve">Development Intelligence </w:t>
      </w:r>
      <w:r w:rsidR="002478E0">
        <w:rPr>
          <w:rFonts w:ascii="Segoe UI" w:hAnsi="Segoe UI" w:cs="Segoe UI"/>
        </w:rPr>
        <w:t>L</w:t>
      </w:r>
      <w:r w:rsidRPr="000E416D">
        <w:rPr>
          <w:rFonts w:ascii="Segoe UI" w:hAnsi="Segoe UI" w:cs="Segoe UI"/>
        </w:rPr>
        <w:t>ab</w:t>
      </w:r>
    </w:p>
    <w:p w14:paraId="06E461EA" w14:textId="77777777" w:rsidR="000E416D" w:rsidRPr="00CC6960" w:rsidRDefault="000E416D" w:rsidP="00002621">
      <w:pPr>
        <w:pStyle w:val="BulletedList-Level1"/>
        <w:ind w:left="851" w:hanging="284"/>
        <w:rPr>
          <w:rFonts w:ascii="Segoe UI" w:hAnsi="Segoe UI" w:cs="Segoe UI"/>
        </w:rPr>
      </w:pPr>
      <w:r w:rsidRPr="00CC6960">
        <w:rPr>
          <w:rFonts w:ascii="Segoe UI" w:hAnsi="Segoe UI" w:cs="Segoe UI"/>
        </w:rPr>
        <w:t>Foundation for Australian Studies in China</w:t>
      </w:r>
    </w:p>
    <w:p w14:paraId="06E461EB" w14:textId="77777777" w:rsidR="000E416D" w:rsidRPr="000E416D" w:rsidRDefault="000E416D" w:rsidP="00002621">
      <w:pPr>
        <w:pStyle w:val="BulletedList-Level1"/>
        <w:ind w:left="851" w:hanging="284"/>
        <w:rPr>
          <w:rFonts w:ascii="Segoe UI" w:hAnsi="Segoe UI" w:cs="Segoe UI"/>
        </w:rPr>
      </w:pPr>
      <w:r w:rsidRPr="000E416D">
        <w:rPr>
          <w:rFonts w:ascii="Segoe UI" w:hAnsi="Segoe UI" w:cs="Segoe UI"/>
        </w:rPr>
        <w:t>Grattan Institute</w:t>
      </w:r>
    </w:p>
    <w:p w14:paraId="06E461EC" w14:textId="77777777" w:rsidR="000E416D" w:rsidRPr="000E416D" w:rsidRDefault="000E416D" w:rsidP="00002621">
      <w:pPr>
        <w:pStyle w:val="BulletedList-Level1"/>
        <w:ind w:left="851" w:hanging="284"/>
        <w:rPr>
          <w:rFonts w:ascii="Segoe UI" w:hAnsi="Segoe UI" w:cs="Segoe UI"/>
        </w:rPr>
      </w:pPr>
      <w:r w:rsidRPr="000E416D">
        <w:rPr>
          <w:rFonts w:ascii="Segoe UI" w:hAnsi="Segoe UI" w:cs="Segoe UI"/>
        </w:rPr>
        <w:t>Institute for Economics and Peace</w:t>
      </w:r>
    </w:p>
    <w:p w14:paraId="06E461ED" w14:textId="77777777" w:rsidR="000E416D" w:rsidRPr="000E416D" w:rsidRDefault="000E416D" w:rsidP="00002621">
      <w:pPr>
        <w:pStyle w:val="BulletedList-Level1"/>
        <w:ind w:left="851" w:hanging="284"/>
        <w:rPr>
          <w:rFonts w:ascii="Segoe UI" w:hAnsi="Segoe UI" w:cs="Segoe UI"/>
        </w:rPr>
      </w:pPr>
      <w:r w:rsidRPr="000E416D">
        <w:rPr>
          <w:rFonts w:ascii="Segoe UI" w:hAnsi="Segoe UI" w:cs="Segoe UI"/>
        </w:rPr>
        <w:t xml:space="preserve">Institute </w:t>
      </w:r>
      <w:r w:rsidR="009C66AC">
        <w:rPr>
          <w:rFonts w:ascii="Segoe UI" w:hAnsi="Segoe UI" w:cs="Segoe UI"/>
        </w:rPr>
        <w:t>for</w:t>
      </w:r>
      <w:r w:rsidR="009C66AC" w:rsidRPr="000E416D">
        <w:rPr>
          <w:rFonts w:ascii="Segoe UI" w:hAnsi="Segoe UI" w:cs="Segoe UI"/>
        </w:rPr>
        <w:t xml:space="preserve"> </w:t>
      </w:r>
      <w:r w:rsidRPr="000E416D">
        <w:rPr>
          <w:rFonts w:ascii="Segoe UI" w:hAnsi="Segoe UI" w:cs="Segoe UI"/>
        </w:rPr>
        <w:t>Regional Security</w:t>
      </w:r>
    </w:p>
    <w:p w14:paraId="06E461EE" w14:textId="77777777" w:rsidR="000E416D" w:rsidRPr="000E416D" w:rsidRDefault="003B47A8" w:rsidP="00002621">
      <w:pPr>
        <w:pStyle w:val="BulletedList-Level1"/>
        <w:ind w:left="851" w:hanging="284"/>
        <w:rPr>
          <w:rFonts w:ascii="Segoe UI" w:hAnsi="Segoe UI" w:cs="Segoe UI"/>
        </w:rPr>
      </w:pPr>
      <w:r w:rsidRPr="000E416D">
        <w:rPr>
          <w:rFonts w:ascii="Segoe UI" w:hAnsi="Segoe UI" w:cs="Segoe UI"/>
        </w:rPr>
        <w:t>McKinnon</w:t>
      </w:r>
      <w:r>
        <w:rPr>
          <w:rFonts w:ascii="Segoe UI" w:hAnsi="Segoe UI" w:cs="Segoe UI"/>
        </w:rPr>
        <w:t>,</w:t>
      </w:r>
      <w:r w:rsidRPr="000E416D">
        <w:rPr>
          <w:rFonts w:ascii="Segoe UI" w:hAnsi="Segoe UI" w:cs="Segoe UI"/>
        </w:rPr>
        <w:t xml:space="preserve"> </w:t>
      </w:r>
      <w:r w:rsidR="000E416D" w:rsidRPr="000E416D">
        <w:rPr>
          <w:rFonts w:ascii="Segoe UI" w:hAnsi="Segoe UI" w:cs="Segoe UI"/>
        </w:rPr>
        <w:t xml:space="preserve">Mr Robert </w:t>
      </w:r>
    </w:p>
    <w:p w14:paraId="06E461EF" w14:textId="77777777" w:rsidR="000E416D" w:rsidRPr="000E416D" w:rsidRDefault="000E416D" w:rsidP="00002621">
      <w:pPr>
        <w:pStyle w:val="BulletedList-Level1"/>
        <w:ind w:left="851" w:hanging="284"/>
        <w:rPr>
          <w:rFonts w:ascii="Segoe UI" w:hAnsi="Segoe UI" w:cs="Segoe UI"/>
        </w:rPr>
      </w:pPr>
      <w:r w:rsidRPr="000E416D">
        <w:rPr>
          <w:rFonts w:ascii="Segoe UI" w:hAnsi="Segoe UI" w:cs="Segoe UI"/>
        </w:rPr>
        <w:t>Sir Roland Wilson Foundation</w:t>
      </w:r>
    </w:p>
    <w:p w14:paraId="06E461F0" w14:textId="77777777" w:rsidR="000E416D" w:rsidRPr="00830846" w:rsidRDefault="000E416D" w:rsidP="000E416D">
      <w:pPr>
        <w:pStyle w:val="Heading3"/>
      </w:pPr>
      <w:r w:rsidRPr="00830846">
        <w:t>Submissions</w:t>
      </w:r>
    </w:p>
    <w:p w14:paraId="06E461F1" w14:textId="77777777" w:rsidR="000E416D" w:rsidRPr="00C7202C" w:rsidRDefault="000E416D" w:rsidP="00C7202C">
      <w:pPr>
        <w:numPr>
          <w:ilvl w:val="0"/>
          <w:numId w:val="35"/>
        </w:numPr>
        <w:shd w:val="clear" w:color="auto" w:fill="FFFFFF"/>
        <w:tabs>
          <w:tab w:val="clear" w:pos="720"/>
        </w:tabs>
        <w:spacing w:before="100" w:beforeAutospacing="1" w:after="80" w:line="240" w:lineRule="auto"/>
        <w:ind w:left="0" w:firstLine="0"/>
        <w:rPr>
          <w:rFonts w:ascii="Segoe UI" w:eastAsia="Times New Roman" w:hAnsi="Segoe UI" w:cs="Segoe UI"/>
          <w:szCs w:val="22"/>
          <w:lang w:eastAsia="en-AU"/>
        </w:rPr>
      </w:pPr>
      <w:r w:rsidRPr="00C7202C">
        <w:rPr>
          <w:rFonts w:ascii="Segoe UI" w:eastAsia="Times New Roman" w:hAnsi="Segoe UI" w:cs="Segoe UI"/>
          <w:szCs w:val="22"/>
          <w:lang w:eastAsia="en-AU"/>
        </w:rPr>
        <w:t xml:space="preserve">I sought written submissions on matters included in the Review’s </w:t>
      </w:r>
      <w:r w:rsidR="00C07429" w:rsidRPr="00C7202C">
        <w:rPr>
          <w:rFonts w:ascii="Segoe UI" w:eastAsia="Times New Roman" w:hAnsi="Segoe UI" w:cs="Segoe UI"/>
          <w:szCs w:val="22"/>
          <w:lang w:eastAsia="en-AU"/>
        </w:rPr>
        <w:t>T</w:t>
      </w:r>
      <w:r w:rsidRPr="00C7202C">
        <w:rPr>
          <w:rFonts w:ascii="Segoe UI" w:eastAsia="Times New Roman" w:hAnsi="Segoe UI" w:cs="Segoe UI"/>
          <w:szCs w:val="22"/>
          <w:lang w:eastAsia="en-AU"/>
        </w:rPr>
        <w:t xml:space="preserve">erms of </w:t>
      </w:r>
      <w:r w:rsidR="00C07429" w:rsidRPr="00C7202C">
        <w:rPr>
          <w:rFonts w:ascii="Segoe UI" w:eastAsia="Times New Roman" w:hAnsi="Segoe UI" w:cs="Segoe UI"/>
          <w:szCs w:val="22"/>
          <w:lang w:eastAsia="en-AU"/>
        </w:rPr>
        <w:t>R</w:t>
      </w:r>
      <w:r w:rsidRPr="00C7202C">
        <w:rPr>
          <w:rFonts w:ascii="Segoe UI" w:eastAsia="Times New Roman" w:hAnsi="Segoe UI" w:cs="Segoe UI"/>
          <w:szCs w:val="22"/>
          <w:lang w:eastAsia="en-AU"/>
        </w:rPr>
        <w:t>eference. The</w:t>
      </w:r>
      <w:r w:rsidRPr="00C7202C" w:rsidDel="00885861">
        <w:rPr>
          <w:rFonts w:ascii="Segoe UI" w:eastAsia="Times New Roman" w:hAnsi="Segoe UI" w:cs="Segoe UI"/>
          <w:szCs w:val="22"/>
          <w:lang w:eastAsia="en-AU"/>
        </w:rPr>
        <w:t xml:space="preserve"> </w:t>
      </w:r>
      <w:r w:rsidR="00885861" w:rsidRPr="00C7202C">
        <w:rPr>
          <w:rFonts w:ascii="Segoe UI" w:eastAsia="Times New Roman" w:hAnsi="Segoe UI" w:cs="Segoe UI"/>
          <w:szCs w:val="22"/>
          <w:lang w:eastAsia="en-AU"/>
        </w:rPr>
        <w:t xml:space="preserve">secretariat’s </w:t>
      </w:r>
      <w:r w:rsidRPr="00C7202C">
        <w:rPr>
          <w:rFonts w:ascii="Segoe UI" w:eastAsia="Times New Roman" w:hAnsi="Segoe UI" w:cs="Segoe UI"/>
          <w:szCs w:val="22"/>
          <w:lang w:eastAsia="en-AU"/>
        </w:rPr>
        <w:t>email address and PO Box were listed publicly on the PM&amp;C website. Stakeholders interested in providing a submission were requested to complete a privacy notice consent form, in line with PM&amp;C’s privacy policy</w:t>
      </w:r>
      <w:r w:rsidR="00A92B63" w:rsidRPr="00C7202C">
        <w:rPr>
          <w:rFonts w:ascii="Segoe UI" w:eastAsia="Times New Roman" w:hAnsi="Segoe UI" w:cs="Segoe UI"/>
          <w:szCs w:val="22"/>
          <w:lang w:eastAsia="en-AU"/>
        </w:rPr>
        <w:t xml:space="preserve">, and </w:t>
      </w:r>
      <w:r w:rsidR="00297BDC" w:rsidRPr="00C7202C">
        <w:rPr>
          <w:rFonts w:ascii="Segoe UI" w:eastAsia="Times New Roman" w:hAnsi="Segoe UI" w:cs="Segoe UI"/>
          <w:szCs w:val="22"/>
          <w:lang w:eastAsia="en-AU"/>
        </w:rPr>
        <w:t>informed</w:t>
      </w:r>
      <w:r w:rsidR="00A92B63" w:rsidRPr="00C7202C">
        <w:rPr>
          <w:rFonts w:ascii="Segoe UI" w:eastAsia="Times New Roman" w:hAnsi="Segoe UI" w:cs="Segoe UI"/>
          <w:szCs w:val="22"/>
          <w:lang w:eastAsia="en-AU"/>
        </w:rPr>
        <w:t xml:space="preserve"> that submissions would be treated in confidence.</w:t>
      </w:r>
      <w:r w:rsidRPr="00C7202C">
        <w:rPr>
          <w:rFonts w:ascii="Segoe UI" w:eastAsia="Times New Roman" w:hAnsi="Segoe UI" w:cs="Segoe UI"/>
          <w:szCs w:val="22"/>
          <w:lang w:eastAsia="en-AU"/>
        </w:rPr>
        <w:t xml:space="preserve"> See below the submissions I received, which are listed in alphabetical order:</w:t>
      </w:r>
    </w:p>
    <w:p w14:paraId="06E461F2" w14:textId="77777777" w:rsidR="000E416D" w:rsidRPr="000E416D" w:rsidRDefault="000E416D" w:rsidP="00002621">
      <w:pPr>
        <w:pStyle w:val="BulletedList-Level1"/>
        <w:ind w:left="851" w:hanging="284"/>
        <w:rPr>
          <w:rFonts w:ascii="Segoe UI" w:hAnsi="Segoe UI" w:cs="Segoe UI"/>
        </w:rPr>
      </w:pPr>
      <w:r w:rsidRPr="000E416D">
        <w:rPr>
          <w:rStyle w:val="normaltextrun"/>
          <w:rFonts w:ascii="Segoe UI" w:hAnsi="Segoe UI" w:cs="Segoe UI"/>
        </w:rPr>
        <w:t>American Australian Association</w:t>
      </w:r>
      <w:r w:rsidR="009210B7">
        <w:rPr>
          <w:rStyle w:val="normaltextrun"/>
          <w:rFonts w:ascii="Segoe UI" w:hAnsi="Segoe UI" w:cs="Segoe UI"/>
        </w:rPr>
        <w:t xml:space="preserve"> </w:t>
      </w:r>
    </w:p>
    <w:p w14:paraId="06E461F3" w14:textId="77777777" w:rsidR="000E416D" w:rsidRPr="000E416D" w:rsidRDefault="000E416D" w:rsidP="00002621">
      <w:pPr>
        <w:pStyle w:val="BulletedList-Level1"/>
        <w:ind w:left="851" w:hanging="284"/>
        <w:rPr>
          <w:rFonts w:ascii="Segoe UI" w:hAnsi="Segoe UI" w:cs="Segoe UI"/>
        </w:rPr>
      </w:pPr>
      <w:r w:rsidRPr="000E416D">
        <w:rPr>
          <w:rStyle w:val="normaltextrun"/>
          <w:rFonts w:ascii="Segoe UI" w:hAnsi="Segoe UI" w:cs="Segoe UI"/>
        </w:rPr>
        <w:t>Anonymous submission</w:t>
      </w:r>
      <w:r w:rsidRPr="000E416D">
        <w:rPr>
          <w:rStyle w:val="eop"/>
          <w:rFonts w:ascii="Segoe UI" w:hAnsi="Segoe UI" w:cs="Segoe UI"/>
        </w:rPr>
        <w:t> </w:t>
      </w:r>
    </w:p>
    <w:p w14:paraId="06E461F4" w14:textId="77777777" w:rsidR="003B47A8" w:rsidRPr="000E416D" w:rsidRDefault="003B47A8" w:rsidP="003B47A8">
      <w:pPr>
        <w:pStyle w:val="BulletedList-Level1"/>
        <w:ind w:left="851" w:hanging="284"/>
        <w:rPr>
          <w:rStyle w:val="eop"/>
          <w:rFonts w:ascii="Segoe UI" w:hAnsi="Segoe UI" w:cs="Segoe UI"/>
        </w:rPr>
      </w:pPr>
      <w:r w:rsidRPr="000E416D">
        <w:rPr>
          <w:rStyle w:val="normaltextrun"/>
          <w:rFonts w:ascii="Segoe UI" w:hAnsi="Segoe UI" w:cs="Segoe UI"/>
        </w:rPr>
        <w:t>Austin</w:t>
      </w:r>
      <w:r>
        <w:rPr>
          <w:rStyle w:val="normaltextrun"/>
          <w:rFonts w:ascii="Segoe UI" w:hAnsi="Segoe UI" w:cs="Segoe UI"/>
        </w:rPr>
        <w:t>,</w:t>
      </w:r>
      <w:r w:rsidRPr="000E416D">
        <w:rPr>
          <w:rStyle w:val="normaltextrun"/>
          <w:rFonts w:ascii="Segoe UI" w:hAnsi="Segoe UI" w:cs="Segoe UI"/>
        </w:rPr>
        <w:t xml:space="preserve"> Professor Greg </w:t>
      </w:r>
    </w:p>
    <w:p w14:paraId="06E461F5" w14:textId="77777777" w:rsidR="000E416D" w:rsidRPr="000E416D" w:rsidRDefault="000E416D" w:rsidP="003B47A8">
      <w:pPr>
        <w:pStyle w:val="BulletedList-Level1"/>
        <w:ind w:left="851" w:hanging="284"/>
        <w:rPr>
          <w:rFonts w:ascii="Segoe UI" w:hAnsi="Segoe UI" w:cs="Segoe UI"/>
        </w:rPr>
      </w:pPr>
      <w:r w:rsidRPr="000E416D">
        <w:rPr>
          <w:rStyle w:val="normaltextrun"/>
          <w:rFonts w:ascii="Segoe UI" w:hAnsi="Segoe UI" w:cs="Segoe UI"/>
        </w:rPr>
        <w:t>Australian Member Committee of the Council for the Security Co-operation in the Asia Pacific</w:t>
      </w:r>
      <w:r w:rsidR="009210B7">
        <w:rPr>
          <w:rStyle w:val="normaltextrun"/>
          <w:rFonts w:ascii="Segoe UI" w:hAnsi="Segoe UI" w:cs="Segoe UI"/>
        </w:rPr>
        <w:t xml:space="preserve"> </w:t>
      </w:r>
    </w:p>
    <w:p w14:paraId="06E461F6" w14:textId="77777777" w:rsidR="000E416D" w:rsidRPr="000E416D" w:rsidRDefault="000E416D" w:rsidP="00002621">
      <w:pPr>
        <w:pStyle w:val="BulletedList-Level1"/>
        <w:ind w:left="851" w:hanging="284"/>
        <w:rPr>
          <w:rFonts w:ascii="Segoe UI" w:hAnsi="Segoe UI" w:cs="Segoe UI"/>
        </w:rPr>
      </w:pPr>
      <w:r w:rsidRPr="000E416D">
        <w:rPr>
          <w:rStyle w:val="normaltextrun"/>
          <w:rFonts w:ascii="Segoe UI" w:hAnsi="Segoe UI" w:cs="Segoe UI"/>
        </w:rPr>
        <w:t>Australian Strategic Policy Institute</w:t>
      </w:r>
      <w:r w:rsidR="009210B7">
        <w:rPr>
          <w:rStyle w:val="normaltextrun"/>
          <w:rFonts w:ascii="Segoe UI" w:hAnsi="Segoe UI" w:cs="Segoe UI"/>
        </w:rPr>
        <w:t xml:space="preserve"> </w:t>
      </w:r>
    </w:p>
    <w:p w14:paraId="06E461F7" w14:textId="77777777" w:rsidR="003B47A8" w:rsidRPr="000E416D" w:rsidRDefault="003B47A8" w:rsidP="003B47A8">
      <w:pPr>
        <w:pStyle w:val="BulletedList-Level1"/>
        <w:ind w:left="851" w:hanging="284"/>
        <w:rPr>
          <w:rFonts w:ascii="Segoe UI" w:hAnsi="Segoe UI" w:cs="Segoe UI"/>
        </w:rPr>
      </w:pPr>
      <w:r w:rsidRPr="000E416D">
        <w:rPr>
          <w:rStyle w:val="normaltextrun"/>
          <w:rFonts w:ascii="Segoe UI" w:hAnsi="Segoe UI" w:cs="Segoe UI"/>
        </w:rPr>
        <w:t>Buchanan</w:t>
      </w:r>
      <w:r>
        <w:rPr>
          <w:rStyle w:val="normaltextrun"/>
          <w:rFonts w:ascii="Segoe UI" w:hAnsi="Segoe UI" w:cs="Segoe UI"/>
        </w:rPr>
        <w:t>,</w:t>
      </w:r>
      <w:r w:rsidRPr="000E416D">
        <w:rPr>
          <w:rStyle w:val="normaltextrun"/>
          <w:rFonts w:ascii="Segoe UI" w:hAnsi="Segoe UI" w:cs="Segoe UI"/>
        </w:rPr>
        <w:t xml:space="preserve"> Dr Elizabeth and Stoltz</w:t>
      </w:r>
      <w:r>
        <w:rPr>
          <w:rStyle w:val="normaltextrun"/>
          <w:rFonts w:ascii="Segoe UI" w:hAnsi="Segoe UI" w:cs="Segoe UI"/>
        </w:rPr>
        <w:t>,</w:t>
      </w:r>
      <w:r w:rsidRPr="000E416D">
        <w:rPr>
          <w:rStyle w:val="normaltextrun"/>
          <w:rFonts w:ascii="Segoe UI" w:hAnsi="Segoe UI" w:cs="Segoe UI"/>
        </w:rPr>
        <w:t xml:space="preserve"> Dr William </w:t>
      </w:r>
    </w:p>
    <w:p w14:paraId="06E461F8" w14:textId="77777777" w:rsidR="003B47A8" w:rsidRPr="000E416D" w:rsidRDefault="003B47A8" w:rsidP="003B47A8">
      <w:pPr>
        <w:pStyle w:val="BulletedList-Level1"/>
        <w:ind w:left="851" w:hanging="284"/>
        <w:rPr>
          <w:rFonts w:ascii="Segoe UI" w:hAnsi="Segoe UI" w:cs="Segoe UI"/>
        </w:rPr>
      </w:pPr>
      <w:r w:rsidRPr="000E416D">
        <w:rPr>
          <w:rStyle w:val="normaltextrun"/>
          <w:rFonts w:ascii="Segoe UI" w:hAnsi="Segoe UI" w:cs="Segoe UI"/>
        </w:rPr>
        <w:t>Carr</w:t>
      </w:r>
      <w:r>
        <w:rPr>
          <w:rStyle w:val="normaltextrun"/>
          <w:rFonts w:ascii="Segoe UI" w:hAnsi="Segoe UI" w:cs="Segoe UI"/>
        </w:rPr>
        <w:t>,</w:t>
      </w:r>
      <w:r w:rsidRPr="000E416D">
        <w:rPr>
          <w:rStyle w:val="normaltextrun"/>
          <w:rFonts w:ascii="Segoe UI" w:hAnsi="Segoe UI" w:cs="Segoe UI"/>
        </w:rPr>
        <w:t xml:space="preserve"> Dr Andrew </w:t>
      </w:r>
    </w:p>
    <w:p w14:paraId="06E461F9" w14:textId="77777777" w:rsidR="000E416D" w:rsidRPr="000E416D" w:rsidRDefault="000E416D" w:rsidP="003B47A8">
      <w:pPr>
        <w:pStyle w:val="BulletedList-Level1"/>
        <w:ind w:left="851" w:hanging="284"/>
        <w:rPr>
          <w:rFonts w:ascii="Segoe UI" w:hAnsi="Segoe UI" w:cs="Segoe UI"/>
        </w:rPr>
      </w:pPr>
      <w:r w:rsidRPr="000E416D">
        <w:rPr>
          <w:rStyle w:val="normaltextrun"/>
          <w:rFonts w:ascii="Segoe UI" w:hAnsi="Segoe UI" w:cs="Segoe UI"/>
        </w:rPr>
        <w:t>Centre for Global Security Research</w:t>
      </w:r>
      <w:r w:rsidRPr="000E416D">
        <w:rPr>
          <w:rStyle w:val="eop"/>
          <w:rFonts w:ascii="Segoe UI" w:hAnsi="Segoe UI" w:cs="Segoe UI"/>
        </w:rPr>
        <w:t> </w:t>
      </w:r>
    </w:p>
    <w:p w14:paraId="06E461FA" w14:textId="77777777" w:rsidR="003B47A8" w:rsidRPr="000E416D" w:rsidRDefault="003B47A8" w:rsidP="003B47A8">
      <w:pPr>
        <w:pStyle w:val="BulletedList-Level1"/>
        <w:ind w:left="851" w:hanging="284"/>
        <w:rPr>
          <w:rStyle w:val="eop"/>
          <w:rFonts w:ascii="Segoe UI" w:hAnsi="Segoe UI" w:cs="Segoe UI"/>
        </w:rPr>
      </w:pPr>
      <w:r w:rsidRPr="000E416D">
        <w:rPr>
          <w:rStyle w:val="normaltextrun"/>
          <w:rFonts w:ascii="Segoe UI" w:hAnsi="Segoe UI" w:cs="Segoe UI"/>
        </w:rPr>
        <w:t>Fitzgerald</w:t>
      </w:r>
      <w:r>
        <w:rPr>
          <w:rStyle w:val="normaltextrun"/>
          <w:rFonts w:ascii="Segoe UI" w:hAnsi="Segoe UI" w:cs="Segoe UI"/>
        </w:rPr>
        <w:t>,</w:t>
      </w:r>
      <w:r w:rsidRPr="000E416D">
        <w:rPr>
          <w:rStyle w:val="normaltextrun"/>
          <w:rFonts w:ascii="Segoe UI" w:hAnsi="Segoe UI" w:cs="Segoe UI"/>
        </w:rPr>
        <w:t xml:space="preserve"> Professor John AM</w:t>
      </w:r>
    </w:p>
    <w:p w14:paraId="06E461FB" w14:textId="77777777" w:rsidR="003B47A8" w:rsidRPr="000E416D" w:rsidRDefault="003B47A8" w:rsidP="003B47A8">
      <w:pPr>
        <w:pStyle w:val="BulletedList-Level1"/>
        <w:ind w:left="851" w:hanging="284"/>
        <w:rPr>
          <w:rFonts w:ascii="Segoe UI" w:hAnsi="Segoe UI" w:cs="Segoe UI"/>
        </w:rPr>
      </w:pPr>
      <w:r w:rsidRPr="000E416D">
        <w:rPr>
          <w:rStyle w:val="normaltextrun"/>
          <w:rFonts w:ascii="Segoe UI" w:hAnsi="Segoe UI" w:cs="Segoe UI"/>
        </w:rPr>
        <w:t>Howard</w:t>
      </w:r>
      <w:r>
        <w:rPr>
          <w:rStyle w:val="normaltextrun"/>
          <w:rFonts w:ascii="Segoe UI" w:hAnsi="Segoe UI" w:cs="Segoe UI"/>
        </w:rPr>
        <w:t>,</w:t>
      </w:r>
      <w:r w:rsidRPr="000E416D">
        <w:rPr>
          <w:rStyle w:val="normaltextrun"/>
          <w:rFonts w:ascii="Segoe UI" w:hAnsi="Segoe UI" w:cs="Segoe UI"/>
        </w:rPr>
        <w:t xml:space="preserve"> The Hon John OM AC</w:t>
      </w:r>
    </w:p>
    <w:p w14:paraId="06E461FC" w14:textId="77777777" w:rsidR="003B47A8" w:rsidRPr="000E416D" w:rsidRDefault="003B47A8" w:rsidP="003B47A8">
      <w:pPr>
        <w:pStyle w:val="BulletedList-Level1"/>
        <w:ind w:left="851" w:hanging="284"/>
        <w:rPr>
          <w:rFonts w:ascii="Segoe UI" w:hAnsi="Segoe UI" w:cs="Segoe UI"/>
        </w:rPr>
      </w:pPr>
      <w:r w:rsidRPr="000E416D">
        <w:rPr>
          <w:rStyle w:val="normaltextrun"/>
          <w:rFonts w:ascii="Segoe UI" w:hAnsi="Segoe UI" w:cs="Segoe UI"/>
        </w:rPr>
        <w:t>Leben</w:t>
      </w:r>
      <w:r>
        <w:rPr>
          <w:rStyle w:val="normaltextrun"/>
          <w:rFonts w:ascii="Segoe UI" w:hAnsi="Segoe UI" w:cs="Segoe UI"/>
        </w:rPr>
        <w:t>,</w:t>
      </w:r>
      <w:r w:rsidRPr="000E416D">
        <w:rPr>
          <w:rStyle w:val="normaltextrun"/>
          <w:rFonts w:ascii="Segoe UI" w:hAnsi="Segoe UI" w:cs="Segoe UI"/>
        </w:rPr>
        <w:t xml:space="preserve"> Mr William </w:t>
      </w:r>
    </w:p>
    <w:p w14:paraId="06E461FD" w14:textId="77777777" w:rsidR="000E416D" w:rsidRPr="000E416D" w:rsidRDefault="000E416D" w:rsidP="003B47A8">
      <w:pPr>
        <w:pStyle w:val="BulletedList-Level1"/>
        <w:ind w:left="851" w:hanging="284"/>
        <w:rPr>
          <w:rFonts w:ascii="Segoe UI" w:hAnsi="Segoe UI" w:cs="Segoe UI"/>
        </w:rPr>
      </w:pPr>
      <w:r w:rsidRPr="000E416D">
        <w:rPr>
          <w:rStyle w:val="normaltextrun"/>
          <w:rFonts w:ascii="Segoe UI" w:hAnsi="Segoe UI" w:cs="Segoe UI"/>
        </w:rPr>
        <w:t>Lowy Institute</w:t>
      </w:r>
      <w:r w:rsidRPr="000E416D">
        <w:rPr>
          <w:rStyle w:val="eop"/>
          <w:rFonts w:ascii="Segoe UI" w:hAnsi="Segoe UI" w:cs="Segoe UI"/>
        </w:rPr>
        <w:t> </w:t>
      </w:r>
    </w:p>
    <w:p w14:paraId="06E461FE" w14:textId="77777777" w:rsidR="003B47A8" w:rsidRPr="000E416D" w:rsidRDefault="003B47A8" w:rsidP="003B47A8">
      <w:pPr>
        <w:pStyle w:val="BulletedList-Level1"/>
        <w:ind w:left="851" w:hanging="284"/>
        <w:rPr>
          <w:rFonts w:ascii="Segoe UI" w:hAnsi="Segoe UI" w:cs="Segoe UI"/>
        </w:rPr>
      </w:pPr>
      <w:r w:rsidRPr="000E416D">
        <w:rPr>
          <w:rStyle w:val="normaltextrun"/>
          <w:rFonts w:ascii="Segoe UI" w:hAnsi="Segoe UI" w:cs="Segoe UI"/>
        </w:rPr>
        <w:t>Paterson</w:t>
      </w:r>
      <w:r>
        <w:rPr>
          <w:rStyle w:val="normaltextrun"/>
          <w:rFonts w:ascii="Segoe UI" w:hAnsi="Segoe UI" w:cs="Segoe UI"/>
        </w:rPr>
        <w:t>,</w:t>
      </w:r>
      <w:r w:rsidRPr="000E416D">
        <w:rPr>
          <w:rStyle w:val="normaltextrun"/>
          <w:rFonts w:ascii="Segoe UI" w:hAnsi="Segoe UI" w:cs="Segoe UI"/>
        </w:rPr>
        <w:t xml:space="preserve"> Senator James, Shadow Minister for Home Affairs and Cyber Security</w:t>
      </w:r>
      <w:r w:rsidRPr="000E416D">
        <w:rPr>
          <w:rStyle w:val="eop"/>
          <w:rFonts w:ascii="Segoe UI" w:hAnsi="Segoe UI" w:cs="Segoe UI"/>
        </w:rPr>
        <w:t> </w:t>
      </w:r>
    </w:p>
    <w:p w14:paraId="06E461FF" w14:textId="77777777" w:rsidR="003B47A8" w:rsidRPr="000E416D" w:rsidRDefault="003B47A8" w:rsidP="003B47A8">
      <w:pPr>
        <w:pStyle w:val="BulletedList-Level1"/>
        <w:ind w:left="851" w:hanging="284"/>
        <w:rPr>
          <w:rFonts w:ascii="Segoe UI" w:hAnsi="Segoe UI" w:cs="Segoe UI"/>
        </w:rPr>
      </w:pPr>
      <w:r w:rsidRPr="000E416D">
        <w:rPr>
          <w:rStyle w:val="normaltextrun"/>
          <w:rFonts w:ascii="Segoe UI" w:hAnsi="Segoe UI" w:cs="Segoe UI"/>
        </w:rPr>
        <w:t>RAND Australia</w:t>
      </w:r>
      <w:r w:rsidRPr="000E416D">
        <w:rPr>
          <w:rStyle w:val="eop"/>
          <w:rFonts w:ascii="Segoe UI" w:hAnsi="Segoe UI" w:cs="Segoe UI"/>
        </w:rPr>
        <w:t> </w:t>
      </w:r>
    </w:p>
    <w:p w14:paraId="06E46200" w14:textId="77777777" w:rsidR="000E416D" w:rsidRPr="000E416D" w:rsidRDefault="000E416D" w:rsidP="00002621">
      <w:pPr>
        <w:pStyle w:val="BulletedList-Level1"/>
        <w:ind w:left="851" w:hanging="284"/>
        <w:rPr>
          <w:rFonts w:ascii="Segoe UI" w:hAnsi="Segoe UI" w:cs="Segoe UI"/>
        </w:rPr>
      </w:pPr>
      <w:r w:rsidRPr="000E416D">
        <w:rPr>
          <w:rStyle w:val="normaltextrun"/>
          <w:rFonts w:ascii="Segoe UI" w:hAnsi="Segoe UI" w:cs="Segoe UI"/>
        </w:rPr>
        <w:t>Select Committee on the Chinese Communist Party, House of Representatives, Congress of the United States</w:t>
      </w:r>
      <w:r w:rsidRPr="000E416D">
        <w:rPr>
          <w:rStyle w:val="eop"/>
          <w:rFonts w:ascii="Segoe UI" w:hAnsi="Segoe UI" w:cs="Segoe UI"/>
        </w:rPr>
        <w:t> </w:t>
      </w:r>
    </w:p>
    <w:p w14:paraId="06E46201" w14:textId="77777777" w:rsidR="003B47A8" w:rsidRPr="000E416D" w:rsidRDefault="003B47A8" w:rsidP="003B47A8">
      <w:pPr>
        <w:pStyle w:val="BulletedList-Level1"/>
        <w:ind w:left="851" w:hanging="284"/>
        <w:rPr>
          <w:rFonts w:ascii="Segoe UI" w:hAnsi="Segoe UI" w:cs="Segoe UI"/>
        </w:rPr>
      </w:pPr>
      <w:r w:rsidRPr="000E416D">
        <w:rPr>
          <w:rStyle w:val="normaltextrun"/>
          <w:rFonts w:ascii="Segoe UI" w:hAnsi="Segoe UI" w:cs="Segoe UI"/>
        </w:rPr>
        <w:t>Sklenka</w:t>
      </w:r>
      <w:r>
        <w:rPr>
          <w:rStyle w:val="normaltextrun"/>
          <w:rFonts w:ascii="Segoe UI" w:hAnsi="Segoe UI" w:cs="Segoe UI"/>
        </w:rPr>
        <w:t>,</w:t>
      </w:r>
      <w:r w:rsidRPr="000E416D">
        <w:rPr>
          <w:rStyle w:val="normaltextrun"/>
          <w:rFonts w:ascii="Segoe UI" w:hAnsi="Segoe UI" w:cs="Segoe UI"/>
        </w:rPr>
        <w:t xml:space="preserve"> Lieutenant General Stephen, Deputy Commander US Indo-Pacific Command</w:t>
      </w:r>
      <w:r w:rsidRPr="000E416D">
        <w:rPr>
          <w:rStyle w:val="eop"/>
          <w:rFonts w:ascii="Segoe UI" w:hAnsi="Segoe UI" w:cs="Segoe UI"/>
        </w:rPr>
        <w:t> </w:t>
      </w:r>
    </w:p>
    <w:p w14:paraId="06E46202" w14:textId="77777777" w:rsidR="003B47A8" w:rsidRPr="000E416D" w:rsidRDefault="003B47A8" w:rsidP="003B47A8">
      <w:pPr>
        <w:pStyle w:val="BulletedList-Level1"/>
        <w:ind w:left="851" w:hanging="284"/>
        <w:rPr>
          <w:rStyle w:val="eop"/>
          <w:rFonts w:ascii="Segoe UI" w:hAnsi="Segoe UI" w:cs="Segoe UI"/>
        </w:rPr>
      </w:pPr>
      <w:r w:rsidRPr="000E416D">
        <w:rPr>
          <w:rStyle w:val="normaltextrun"/>
          <w:rFonts w:ascii="Segoe UI" w:hAnsi="Segoe UI" w:cs="Segoe UI"/>
        </w:rPr>
        <w:t>Stuart</w:t>
      </w:r>
      <w:r>
        <w:rPr>
          <w:rStyle w:val="normaltextrun"/>
          <w:rFonts w:ascii="Segoe UI" w:hAnsi="Segoe UI" w:cs="Segoe UI"/>
        </w:rPr>
        <w:t>,</w:t>
      </w:r>
      <w:r w:rsidRPr="000E416D">
        <w:rPr>
          <w:rStyle w:val="normaltextrun"/>
          <w:rFonts w:ascii="Segoe UI" w:hAnsi="Segoe UI" w:cs="Segoe UI"/>
        </w:rPr>
        <w:t xml:space="preserve"> Mr Nicholas </w:t>
      </w:r>
    </w:p>
    <w:p w14:paraId="06E46203" w14:textId="77777777" w:rsidR="000E416D" w:rsidRPr="000E416D" w:rsidRDefault="000E416D" w:rsidP="003B47A8">
      <w:pPr>
        <w:pStyle w:val="BulletedList-Level1"/>
        <w:ind w:left="851" w:hanging="284"/>
        <w:rPr>
          <w:rFonts w:ascii="Segoe UI" w:hAnsi="Segoe UI" w:cs="Segoe UI"/>
        </w:rPr>
      </w:pPr>
      <w:r w:rsidRPr="000E416D">
        <w:rPr>
          <w:rStyle w:val="normaltextrun"/>
          <w:rFonts w:ascii="Segoe UI" w:hAnsi="Segoe UI" w:cs="Segoe UI"/>
        </w:rPr>
        <w:t>United States Studies Centre</w:t>
      </w:r>
      <w:r w:rsidR="009210B7">
        <w:rPr>
          <w:rStyle w:val="normaltextrun"/>
          <w:rFonts w:ascii="Segoe UI" w:hAnsi="Segoe UI" w:cs="Segoe UI"/>
        </w:rPr>
        <w:t xml:space="preserve"> </w:t>
      </w:r>
    </w:p>
    <w:p w14:paraId="06E46204" w14:textId="77777777" w:rsidR="000E416D" w:rsidRPr="000E416D" w:rsidRDefault="000E416D" w:rsidP="00002621">
      <w:pPr>
        <w:pStyle w:val="BulletedList-Level1"/>
        <w:ind w:left="851" w:hanging="284"/>
        <w:rPr>
          <w:rFonts w:ascii="Segoe UI" w:hAnsi="Segoe UI" w:cs="Segoe UI"/>
        </w:rPr>
      </w:pPr>
      <w:r w:rsidRPr="000E416D">
        <w:rPr>
          <w:rStyle w:val="normaltextrun"/>
          <w:rFonts w:ascii="Segoe UI" w:hAnsi="Segoe UI" w:cs="Segoe UI"/>
        </w:rPr>
        <w:t>University of New South Wales</w:t>
      </w:r>
      <w:r w:rsidRPr="000E416D">
        <w:rPr>
          <w:rStyle w:val="eop"/>
          <w:rFonts w:ascii="Segoe UI" w:hAnsi="Segoe UI" w:cs="Segoe UI"/>
        </w:rPr>
        <w:t> </w:t>
      </w:r>
    </w:p>
    <w:p w14:paraId="06E46205" w14:textId="77777777" w:rsidR="00FF54A5" w:rsidRDefault="000E416D" w:rsidP="00002621">
      <w:pPr>
        <w:pStyle w:val="BulletedList-Level1"/>
        <w:ind w:left="851" w:hanging="284"/>
        <w:rPr>
          <w:rStyle w:val="eop"/>
          <w:rFonts w:ascii="Segoe UI" w:hAnsi="Segoe UI" w:cs="Segoe UI"/>
        </w:rPr>
      </w:pPr>
      <w:r w:rsidRPr="000E416D">
        <w:rPr>
          <w:rStyle w:val="normaltextrun"/>
          <w:rFonts w:ascii="Segoe UI" w:hAnsi="Segoe UI" w:cs="Segoe UI"/>
        </w:rPr>
        <w:t>University of Sydney</w:t>
      </w:r>
      <w:r w:rsidRPr="000E416D">
        <w:rPr>
          <w:rStyle w:val="eop"/>
          <w:rFonts w:ascii="Segoe UI" w:hAnsi="Segoe UI" w:cs="Segoe UI"/>
        </w:rPr>
        <w:t> </w:t>
      </w:r>
    </w:p>
    <w:p w14:paraId="06E46206" w14:textId="77777777" w:rsidR="00A8335D" w:rsidRDefault="00A8335D">
      <w:pPr>
        <w:spacing w:after="200" w:line="288" w:lineRule="auto"/>
        <w:rPr>
          <w:rFonts w:asciiTheme="majorHAnsi" w:eastAsiaTheme="majorEastAsia" w:hAnsiTheme="majorHAnsi" w:cstheme="majorBidi"/>
          <w:color w:val="092B57" w:themeColor="accent1"/>
          <w:sz w:val="36"/>
          <w:szCs w:val="28"/>
        </w:rPr>
      </w:pPr>
      <w:bookmarkStart w:id="166" w:name="_Toc170980570"/>
      <w:bookmarkStart w:id="167" w:name="_Toc171004284"/>
      <w:bookmarkStart w:id="168" w:name="_Toc171075006"/>
      <w:r>
        <w:lastRenderedPageBreak/>
        <w:br w:type="page"/>
      </w:r>
    </w:p>
    <w:p w14:paraId="06E46207" w14:textId="77777777" w:rsidR="000056AA" w:rsidRPr="000E416D" w:rsidRDefault="00D97A24" w:rsidP="2DDEC51E">
      <w:pPr>
        <w:pStyle w:val="Heading2"/>
        <w:spacing w:after="200" w:line="259" w:lineRule="auto"/>
        <w:rPr>
          <w:rFonts w:cs="Segoe UI"/>
        </w:rPr>
      </w:pPr>
      <w:bookmarkStart w:id="169" w:name="_Toc172665614"/>
      <w:r>
        <w:lastRenderedPageBreak/>
        <w:t xml:space="preserve">Attachment D: </w:t>
      </w:r>
      <w:r w:rsidR="000056AA" w:rsidRPr="000E416D">
        <w:t>Insights from data collected</w:t>
      </w:r>
      <w:bookmarkEnd w:id="166"/>
      <w:bookmarkEnd w:id="167"/>
      <w:bookmarkEnd w:id="168"/>
      <w:bookmarkEnd w:id="169"/>
    </w:p>
    <w:p w14:paraId="06E46208" w14:textId="77777777" w:rsidR="00591B0D" w:rsidRPr="00681C7F" w:rsidRDefault="00591B0D" w:rsidP="00591B0D">
      <w:pPr>
        <w:pStyle w:val="Heading3"/>
      </w:pPr>
      <w:bookmarkStart w:id="170" w:name="_Toc164174255"/>
      <w:r w:rsidRPr="00681C7F">
        <w:t>Context</w:t>
      </w:r>
      <w:bookmarkEnd w:id="170"/>
    </w:p>
    <w:p w14:paraId="06E46209" w14:textId="77777777" w:rsidR="00591B0D" w:rsidRPr="00C7202C" w:rsidRDefault="00591B0D" w:rsidP="00C7202C">
      <w:pPr>
        <w:numPr>
          <w:ilvl w:val="0"/>
          <w:numId w:val="36"/>
        </w:numPr>
        <w:shd w:val="clear" w:color="auto" w:fill="FFFFFF"/>
        <w:tabs>
          <w:tab w:val="clear" w:pos="720"/>
        </w:tabs>
        <w:spacing w:before="100" w:beforeAutospacing="1" w:after="80" w:line="240" w:lineRule="auto"/>
        <w:ind w:left="0" w:firstLine="0"/>
        <w:rPr>
          <w:rFonts w:ascii="Segoe UI" w:eastAsia="Times New Roman" w:hAnsi="Segoe UI" w:cs="Segoe UI"/>
          <w:szCs w:val="22"/>
          <w:lang w:eastAsia="en-AU"/>
        </w:rPr>
      </w:pPr>
      <w:r w:rsidRPr="00C7202C">
        <w:rPr>
          <w:rFonts w:ascii="Segoe UI" w:eastAsia="Times New Roman" w:hAnsi="Segoe UI" w:cs="Segoe UI"/>
          <w:szCs w:val="22"/>
          <w:lang w:eastAsia="en-AU"/>
        </w:rPr>
        <w:t>As part of my Review, I conducted a stocktake of all strategic policy work agreements funded by the agencies represented at the Secretaries Committee on National Security (SCNS). The</w:t>
      </w:r>
      <w:r w:rsidRPr="00C7202C" w:rsidDel="002B7A26">
        <w:rPr>
          <w:rFonts w:ascii="Segoe UI" w:eastAsia="Times New Roman" w:hAnsi="Segoe UI" w:cs="Segoe UI"/>
          <w:szCs w:val="22"/>
          <w:lang w:eastAsia="en-AU"/>
        </w:rPr>
        <w:t xml:space="preserve"> </w:t>
      </w:r>
      <w:r w:rsidR="002B7A26" w:rsidRPr="00C7202C">
        <w:rPr>
          <w:rFonts w:ascii="Segoe UI" w:eastAsia="Times New Roman" w:hAnsi="Segoe UI" w:cs="Segoe UI"/>
          <w:szCs w:val="22"/>
          <w:lang w:eastAsia="en-AU"/>
        </w:rPr>
        <w:t xml:space="preserve">stocktake </w:t>
      </w:r>
      <w:r w:rsidRPr="00C7202C">
        <w:rPr>
          <w:rFonts w:ascii="Segoe UI" w:eastAsia="Times New Roman" w:hAnsi="Segoe UI" w:cs="Segoe UI"/>
          <w:szCs w:val="22"/>
          <w:lang w:eastAsia="en-AU"/>
        </w:rPr>
        <w:t>found the Commonwealth spent approximately $19</w:t>
      </w:r>
      <w:r w:rsidR="000741AD" w:rsidRPr="00C7202C">
        <w:rPr>
          <w:rFonts w:ascii="Segoe UI" w:eastAsia="Times New Roman" w:hAnsi="Segoe UI" w:cs="Segoe UI"/>
          <w:szCs w:val="22"/>
          <w:lang w:eastAsia="en-AU"/>
        </w:rPr>
        <w:t>9</w:t>
      </w:r>
      <w:r w:rsidRPr="00C7202C">
        <w:rPr>
          <w:rFonts w:ascii="Segoe UI" w:eastAsia="Times New Roman" w:hAnsi="Segoe UI" w:cs="Segoe UI"/>
          <w:szCs w:val="22"/>
          <w:lang w:eastAsia="en-AU"/>
        </w:rPr>
        <w:t> million across 62</w:t>
      </w:r>
      <w:r w:rsidR="000741AD" w:rsidRPr="00C7202C">
        <w:rPr>
          <w:rFonts w:ascii="Segoe UI" w:eastAsia="Times New Roman" w:hAnsi="Segoe UI" w:cs="Segoe UI"/>
          <w:szCs w:val="22"/>
          <w:lang w:eastAsia="en-AU"/>
        </w:rPr>
        <w:t>2</w:t>
      </w:r>
      <w:r w:rsidRPr="00C7202C">
        <w:rPr>
          <w:rFonts w:ascii="Segoe UI" w:eastAsia="Times New Roman" w:hAnsi="Segoe UI" w:cs="Segoe UI"/>
          <w:szCs w:val="22"/>
          <w:lang w:eastAsia="en-AU"/>
        </w:rPr>
        <w:t xml:space="preserve"> separate agreements between 1 January 2019 and 31 December 2023. A total of 17</w:t>
      </w:r>
      <w:r w:rsidR="00F973A6">
        <w:rPr>
          <w:rFonts w:ascii="Segoe UI" w:eastAsia="Times New Roman" w:hAnsi="Segoe UI" w:cs="Segoe UI"/>
          <w:szCs w:val="22"/>
          <w:lang w:eastAsia="en-AU"/>
        </w:rPr>
        <w:t>5</w:t>
      </w:r>
      <w:r w:rsidRPr="00C7202C">
        <w:rPr>
          <w:rFonts w:ascii="Segoe UI" w:eastAsia="Times New Roman" w:hAnsi="Segoe UI" w:cs="Segoe UI"/>
          <w:szCs w:val="22"/>
          <w:lang w:eastAsia="en-AU"/>
        </w:rPr>
        <w:t xml:space="preserve"> organisations received funding within this timeframe, disbursed by 26 separate departments and agencies, across 15 portfolios.</w:t>
      </w:r>
    </w:p>
    <w:p w14:paraId="06E4620A" w14:textId="77777777" w:rsidR="00591B0D" w:rsidRPr="00681C7F" w:rsidRDefault="00591B0D" w:rsidP="00591B0D">
      <w:pPr>
        <w:pStyle w:val="Heading3"/>
      </w:pPr>
      <w:r w:rsidRPr="00681C7F">
        <w:t>Agreement type</w:t>
      </w:r>
    </w:p>
    <w:p w14:paraId="06E4620B" w14:textId="77777777" w:rsidR="001260ED" w:rsidRPr="00C7202C" w:rsidRDefault="00591B0D" w:rsidP="00C7202C">
      <w:pPr>
        <w:numPr>
          <w:ilvl w:val="0"/>
          <w:numId w:val="36"/>
        </w:numPr>
        <w:shd w:val="clear" w:color="auto" w:fill="FFFFFF"/>
        <w:tabs>
          <w:tab w:val="clear" w:pos="720"/>
        </w:tabs>
        <w:spacing w:before="100" w:beforeAutospacing="1" w:after="80" w:line="240" w:lineRule="auto"/>
        <w:ind w:left="0" w:firstLine="0"/>
        <w:rPr>
          <w:rFonts w:ascii="Segoe UI" w:eastAsia="Times New Roman" w:hAnsi="Segoe UI" w:cs="Segoe UI"/>
          <w:szCs w:val="22"/>
          <w:lang w:eastAsia="en-AU"/>
        </w:rPr>
      </w:pPr>
      <w:r w:rsidRPr="00C7202C">
        <w:rPr>
          <w:rFonts w:ascii="Segoe UI" w:eastAsia="Times New Roman" w:hAnsi="Segoe UI" w:cs="Segoe UI"/>
          <w:szCs w:val="22"/>
          <w:lang w:eastAsia="en-AU"/>
        </w:rPr>
        <w:t xml:space="preserve">The Review </w:t>
      </w:r>
      <w:r w:rsidR="002B7A26" w:rsidRPr="00C7202C">
        <w:rPr>
          <w:rFonts w:ascii="Segoe UI" w:eastAsia="Times New Roman" w:hAnsi="Segoe UI" w:cs="Segoe UI"/>
          <w:szCs w:val="22"/>
          <w:lang w:eastAsia="en-AU"/>
        </w:rPr>
        <w:t xml:space="preserve">grouped agreements into four separate activity types, which </w:t>
      </w:r>
      <w:r w:rsidR="001260ED" w:rsidRPr="00C7202C">
        <w:rPr>
          <w:rFonts w:ascii="Segoe UI" w:eastAsia="Times New Roman" w:hAnsi="Segoe UI" w:cs="Segoe UI"/>
          <w:szCs w:val="22"/>
          <w:lang w:eastAsia="en-AU"/>
        </w:rPr>
        <w:t>covered</w:t>
      </w:r>
      <w:r w:rsidR="002B7A26" w:rsidRPr="00C7202C">
        <w:rPr>
          <w:rFonts w:ascii="Segoe UI" w:eastAsia="Times New Roman" w:hAnsi="Segoe UI" w:cs="Segoe UI"/>
          <w:szCs w:val="22"/>
          <w:lang w:eastAsia="en-AU"/>
        </w:rPr>
        <w:t xml:space="preserve">: research, education and professional development, events, and operating funding. </w:t>
      </w:r>
      <w:r w:rsidRPr="00C7202C">
        <w:rPr>
          <w:rFonts w:ascii="Segoe UI" w:eastAsia="Times New Roman" w:hAnsi="Segoe UI" w:cs="Segoe UI"/>
          <w:szCs w:val="22"/>
          <w:lang w:eastAsia="en-AU"/>
        </w:rPr>
        <w:t>The stocktake data showed that most agreements and funding went to organisations to conduct research</w:t>
      </w:r>
      <w:r w:rsidR="001260ED" w:rsidRPr="00C7202C">
        <w:rPr>
          <w:rFonts w:ascii="Segoe UI" w:eastAsia="Times New Roman" w:hAnsi="Segoe UI" w:cs="Segoe UI"/>
          <w:szCs w:val="22"/>
          <w:lang w:eastAsia="en-AU"/>
        </w:rPr>
        <w:t>. O</w:t>
      </w:r>
      <w:r w:rsidRPr="00C7202C">
        <w:rPr>
          <w:rFonts w:ascii="Segoe UI" w:eastAsia="Times New Roman" w:hAnsi="Segoe UI" w:cs="Segoe UI"/>
          <w:szCs w:val="22"/>
          <w:lang w:eastAsia="en-AU"/>
        </w:rPr>
        <w:t>perating funding</w:t>
      </w:r>
      <w:r w:rsidR="001260ED" w:rsidRPr="00C7202C">
        <w:rPr>
          <w:rFonts w:ascii="Segoe UI" w:eastAsia="Times New Roman" w:hAnsi="Segoe UI" w:cs="Segoe UI"/>
          <w:szCs w:val="22"/>
          <w:lang w:eastAsia="en-AU"/>
        </w:rPr>
        <w:t xml:space="preserve"> was provided for in </w:t>
      </w:r>
      <w:r w:rsidRPr="00C7202C">
        <w:rPr>
          <w:rFonts w:ascii="Segoe UI" w:eastAsia="Times New Roman" w:hAnsi="Segoe UI" w:cs="Segoe UI"/>
          <w:szCs w:val="22"/>
          <w:lang w:eastAsia="en-AU"/>
        </w:rPr>
        <w:t>only 1 per cent of</w:t>
      </w:r>
      <w:r w:rsidR="001260ED" w:rsidRPr="00C7202C">
        <w:rPr>
          <w:rFonts w:ascii="Segoe UI" w:eastAsia="Times New Roman" w:hAnsi="Segoe UI" w:cs="Segoe UI"/>
          <w:szCs w:val="22"/>
          <w:lang w:eastAsia="en-AU"/>
        </w:rPr>
        <w:t xml:space="preserve"> </w:t>
      </w:r>
      <w:r w:rsidRPr="00C7202C">
        <w:rPr>
          <w:rFonts w:ascii="Segoe UI" w:eastAsia="Times New Roman" w:hAnsi="Segoe UI" w:cs="Segoe UI"/>
          <w:szCs w:val="22"/>
          <w:lang w:eastAsia="en-AU"/>
        </w:rPr>
        <w:t>agreements but accounted for 28 per cent of total funding.</w:t>
      </w:r>
      <w:r w:rsidR="001260ED" w:rsidRPr="00C7202C">
        <w:rPr>
          <w:rFonts w:ascii="Segoe UI" w:eastAsia="Times New Roman" w:hAnsi="Segoe UI" w:cs="Segoe UI"/>
          <w:szCs w:val="22"/>
          <w:lang w:eastAsia="en-AU"/>
        </w:rPr>
        <w:t xml:space="preserve"> </w:t>
      </w:r>
    </w:p>
    <w:p w14:paraId="06E4620C" w14:textId="77777777" w:rsidR="00591B0D" w:rsidRDefault="00780BC7" w:rsidP="00E761D0">
      <w:pPr>
        <w:pStyle w:val="Figure"/>
      </w:pPr>
      <w:r>
        <w:t xml:space="preserve">Figure 1: </w:t>
      </w:r>
      <w:r w:rsidR="00591B0D" w:rsidRPr="00A8335D">
        <w:t>Percentage of agreements and funding by agreement type (2019-2023)</w:t>
      </w:r>
    </w:p>
    <w:p w14:paraId="06E4620D" w14:textId="77777777" w:rsidR="00E761D0" w:rsidRDefault="008F326D" w:rsidP="00591B0D">
      <w:pPr>
        <w:pStyle w:val="Figure"/>
        <w:ind w:left="0" w:firstLine="0"/>
        <w:jc w:val="center"/>
      </w:pPr>
      <w:r>
        <w:rPr>
          <w:noProof/>
          <w:lang w:eastAsia="en-AU"/>
        </w:rPr>
        <w:drawing>
          <wp:inline distT="0" distB="0" distL="0" distR="0" wp14:anchorId="06E46288" wp14:editId="06E46289">
            <wp:extent cx="6132830" cy="3371215"/>
            <wp:effectExtent l="0" t="0" r="1270" b="635"/>
            <wp:docPr id="4" name="Picture 4" descr="Per cent of total agreements: 56% research, 28% education/professional development, 15% events, 1% operating funding. &#10;Percent of total funding: 39% research, 24% education/professional development, 9% events, 28% operating fun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32830" cy="3371215"/>
                    </a:xfrm>
                    <a:prstGeom prst="rect">
                      <a:avLst/>
                    </a:prstGeom>
                    <a:noFill/>
                  </pic:spPr>
                </pic:pic>
              </a:graphicData>
            </a:graphic>
          </wp:inline>
        </w:drawing>
      </w:r>
    </w:p>
    <w:p w14:paraId="06E4620E" w14:textId="77777777" w:rsidR="00591B0D" w:rsidRPr="00681C7F" w:rsidRDefault="00591B0D" w:rsidP="00591B0D">
      <w:pPr>
        <w:pStyle w:val="Heading3"/>
      </w:pPr>
      <w:r w:rsidRPr="00681C7F">
        <w:t>Apportionment of funding</w:t>
      </w:r>
    </w:p>
    <w:p w14:paraId="06E4620F" w14:textId="77777777" w:rsidR="00591B0D" w:rsidRPr="00C7202C" w:rsidRDefault="00591B0D" w:rsidP="00C7202C">
      <w:pPr>
        <w:numPr>
          <w:ilvl w:val="0"/>
          <w:numId w:val="36"/>
        </w:numPr>
        <w:shd w:val="clear" w:color="auto" w:fill="FFFFFF"/>
        <w:tabs>
          <w:tab w:val="clear" w:pos="720"/>
        </w:tabs>
        <w:spacing w:before="100" w:beforeAutospacing="1" w:after="80" w:line="240" w:lineRule="auto"/>
        <w:ind w:left="0" w:firstLine="0"/>
        <w:rPr>
          <w:rFonts w:ascii="Segoe UI" w:eastAsia="Times New Roman" w:hAnsi="Segoe UI" w:cs="Segoe UI"/>
          <w:szCs w:val="22"/>
          <w:lang w:eastAsia="en-AU"/>
        </w:rPr>
      </w:pPr>
      <w:r w:rsidRPr="00C7202C">
        <w:rPr>
          <w:rFonts w:ascii="Segoe UI" w:eastAsia="Times New Roman" w:hAnsi="Segoe UI" w:cs="Segoe UI"/>
          <w:szCs w:val="22"/>
          <w:lang w:eastAsia="en-AU"/>
        </w:rPr>
        <w:t xml:space="preserve">Agreements over $1 million made up only 4 per cent of agreements, but around 53 per cent of the total funding, approximately $105 million across five years. There was a long tail of funding </w:t>
      </w:r>
      <w:r w:rsidR="002B7A26" w:rsidRPr="00C7202C">
        <w:rPr>
          <w:rFonts w:ascii="Segoe UI" w:eastAsia="Times New Roman" w:hAnsi="Segoe UI" w:cs="Segoe UI"/>
          <w:szCs w:val="22"/>
          <w:lang w:eastAsia="en-AU"/>
        </w:rPr>
        <w:t xml:space="preserve">of </w:t>
      </w:r>
      <w:r w:rsidRPr="00C7202C">
        <w:rPr>
          <w:rFonts w:ascii="Segoe UI" w:eastAsia="Times New Roman" w:hAnsi="Segoe UI" w:cs="Segoe UI"/>
          <w:szCs w:val="22"/>
          <w:lang w:eastAsia="en-AU"/>
        </w:rPr>
        <w:t xml:space="preserve">agreements below $500,000, which accounted for 92 per cent of agreements but just 39 per cent of the total spend. The mid-range agreements between $500,000 and $1 million, made only a minor contribution in both number and funding amounts, representing just 4 per cent of agreements and </w:t>
      </w:r>
      <w:r w:rsidR="00F51C89" w:rsidRPr="00C7202C">
        <w:rPr>
          <w:rFonts w:ascii="Segoe UI" w:eastAsia="Times New Roman" w:hAnsi="Segoe UI" w:cs="Segoe UI"/>
          <w:szCs w:val="22"/>
          <w:lang w:eastAsia="en-AU"/>
        </w:rPr>
        <w:t>9</w:t>
      </w:r>
      <w:r w:rsidRPr="00C7202C">
        <w:rPr>
          <w:rFonts w:ascii="Segoe UI" w:eastAsia="Times New Roman" w:hAnsi="Segoe UI" w:cs="Segoe UI"/>
          <w:szCs w:val="22"/>
          <w:lang w:eastAsia="en-AU"/>
        </w:rPr>
        <w:t> per cent of total funding.</w:t>
      </w:r>
    </w:p>
    <w:p w14:paraId="06E46210" w14:textId="77777777" w:rsidR="00B4541B" w:rsidRDefault="00B4541B" w:rsidP="00591B0D"/>
    <w:p w14:paraId="06E46211" w14:textId="77777777" w:rsidR="00C232E3" w:rsidRDefault="00780BC7" w:rsidP="00C232E3">
      <w:pPr>
        <w:pStyle w:val="Figure"/>
      </w:pPr>
      <w:r>
        <w:lastRenderedPageBreak/>
        <w:t xml:space="preserve">Figure 2: </w:t>
      </w:r>
      <w:r w:rsidR="00591B0D" w:rsidRPr="00C602D4">
        <w:t>Apportionment of f</w:t>
      </w:r>
      <w:r w:rsidR="00591B0D">
        <w:t xml:space="preserve">unding </w:t>
      </w:r>
      <w:r w:rsidR="00591B0D" w:rsidRPr="00ED337A">
        <w:t>(2019-2023)</w:t>
      </w:r>
    </w:p>
    <w:p w14:paraId="06E46212" w14:textId="77777777" w:rsidR="00591B0D" w:rsidRDefault="007E6B2B" w:rsidP="00F7064F">
      <w:pPr>
        <w:pStyle w:val="Figure"/>
        <w:ind w:left="0" w:firstLine="0"/>
      </w:pPr>
      <w:r>
        <w:rPr>
          <w:noProof/>
          <w:lang w:eastAsia="en-AU"/>
        </w:rPr>
        <w:drawing>
          <wp:inline distT="0" distB="0" distL="0" distR="0" wp14:anchorId="06E4628A" wp14:editId="06E4628B">
            <wp:extent cx="6066155" cy="3279775"/>
            <wp:effectExtent l="0" t="0" r="0" b="0"/>
            <wp:docPr id="6" name="Picture 6" descr="Per cent of total agreements: 92% in the $1-$499,999 category, 4% in the $500,000-$999,999 category, 4% in the $1,000,000 + category. &#10;Per cent of total funding: 39% in the $1-$499,999 category, 8% in the $500,000-$999,999 category, 53% in the $1,000,000 + catego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66155" cy="3279775"/>
                    </a:xfrm>
                    <a:prstGeom prst="rect">
                      <a:avLst/>
                    </a:prstGeom>
                    <a:noFill/>
                  </pic:spPr>
                </pic:pic>
              </a:graphicData>
            </a:graphic>
          </wp:inline>
        </w:drawing>
      </w:r>
    </w:p>
    <w:p w14:paraId="06E46213" w14:textId="77777777" w:rsidR="00591B0D" w:rsidRPr="00681C7F" w:rsidRDefault="00591B0D" w:rsidP="00591B0D">
      <w:pPr>
        <w:pStyle w:val="Heading3"/>
      </w:pPr>
      <w:r w:rsidRPr="00681C7F">
        <w:t xml:space="preserve">Top </w:t>
      </w:r>
      <w:r w:rsidR="00EE1891">
        <w:t>r</w:t>
      </w:r>
      <w:r w:rsidRPr="00681C7F">
        <w:t xml:space="preserve">ecipients of </w:t>
      </w:r>
      <w:r w:rsidR="00EE1891">
        <w:t>f</w:t>
      </w:r>
      <w:r w:rsidRPr="00681C7F">
        <w:t>unding</w:t>
      </w:r>
    </w:p>
    <w:p w14:paraId="06E46214" w14:textId="77777777" w:rsidR="00591B0D" w:rsidRPr="00C7202C" w:rsidRDefault="00591B0D" w:rsidP="00C7202C">
      <w:pPr>
        <w:numPr>
          <w:ilvl w:val="0"/>
          <w:numId w:val="36"/>
        </w:numPr>
        <w:shd w:val="clear" w:color="auto" w:fill="FFFFFF"/>
        <w:tabs>
          <w:tab w:val="clear" w:pos="720"/>
        </w:tabs>
        <w:spacing w:before="100" w:beforeAutospacing="1" w:after="80" w:line="240" w:lineRule="auto"/>
        <w:ind w:left="0" w:firstLine="0"/>
        <w:rPr>
          <w:rFonts w:ascii="Segoe UI" w:eastAsia="Times New Roman" w:hAnsi="Segoe UI" w:cs="Segoe UI"/>
          <w:szCs w:val="22"/>
          <w:lang w:eastAsia="en-AU"/>
        </w:rPr>
      </w:pPr>
      <w:r w:rsidRPr="00C7202C">
        <w:rPr>
          <w:rFonts w:ascii="Segoe UI" w:eastAsia="Times New Roman" w:hAnsi="Segoe UI" w:cs="Segoe UI"/>
          <w:szCs w:val="22"/>
          <w:lang w:eastAsia="en-AU"/>
        </w:rPr>
        <w:t>The table below shows Australian organisations that received above $5 million in funding from 1 January 2019 – 31 December 2023</w:t>
      </w:r>
      <w:r w:rsidR="00B03991" w:rsidRPr="00C7202C">
        <w:rPr>
          <w:rFonts w:ascii="Segoe UI" w:eastAsia="Times New Roman" w:hAnsi="Segoe UI" w:cs="Segoe UI"/>
          <w:szCs w:val="22"/>
          <w:lang w:eastAsia="en-AU"/>
        </w:rPr>
        <w:t>, with s</w:t>
      </w:r>
      <w:r w:rsidRPr="00C7202C">
        <w:rPr>
          <w:rFonts w:ascii="Segoe UI" w:eastAsia="Times New Roman" w:hAnsi="Segoe UI" w:cs="Segoe UI"/>
          <w:szCs w:val="22"/>
          <w:lang w:eastAsia="en-AU"/>
        </w:rPr>
        <w:t xml:space="preserve">ome organisations </w:t>
      </w:r>
      <w:r w:rsidR="00B03991" w:rsidRPr="00C7202C">
        <w:rPr>
          <w:rFonts w:ascii="Segoe UI" w:eastAsia="Times New Roman" w:hAnsi="Segoe UI" w:cs="Segoe UI"/>
          <w:szCs w:val="22"/>
          <w:lang w:eastAsia="en-AU"/>
        </w:rPr>
        <w:t xml:space="preserve">receiving </w:t>
      </w:r>
      <w:r w:rsidRPr="00C7202C">
        <w:rPr>
          <w:rFonts w:ascii="Segoe UI" w:eastAsia="Times New Roman" w:hAnsi="Segoe UI" w:cs="Segoe UI"/>
          <w:szCs w:val="22"/>
          <w:lang w:eastAsia="en-AU"/>
        </w:rPr>
        <w:t xml:space="preserve">their funding indirectly from the Commonwealth. </w:t>
      </w:r>
      <w:r w:rsidR="002F1DD9" w:rsidRPr="00C7202C">
        <w:rPr>
          <w:rFonts w:ascii="Segoe UI" w:eastAsia="Times New Roman" w:hAnsi="Segoe UI" w:cs="Segoe UI"/>
          <w:szCs w:val="22"/>
          <w:lang w:eastAsia="en-AU"/>
        </w:rPr>
        <w:t>These organisations accounted for a total of $</w:t>
      </w:r>
      <w:r w:rsidR="003C7C22">
        <w:rPr>
          <w:rFonts w:ascii="Segoe UI" w:eastAsia="Times New Roman" w:hAnsi="Segoe UI" w:cs="Segoe UI"/>
          <w:szCs w:val="22"/>
          <w:lang w:eastAsia="en-AU"/>
        </w:rPr>
        <w:t>138</w:t>
      </w:r>
      <w:r w:rsidR="002F1DD9" w:rsidRPr="00C7202C">
        <w:rPr>
          <w:rFonts w:ascii="Segoe UI" w:eastAsia="Times New Roman" w:hAnsi="Segoe UI" w:cs="Segoe UI"/>
          <w:szCs w:val="22"/>
          <w:lang w:eastAsia="en-AU"/>
        </w:rPr>
        <w:t xml:space="preserve"> million over five yea</w:t>
      </w:r>
      <w:r w:rsidR="003C7C22">
        <w:rPr>
          <w:rFonts w:ascii="Segoe UI" w:eastAsia="Times New Roman" w:hAnsi="Segoe UI" w:cs="Segoe UI"/>
          <w:szCs w:val="22"/>
          <w:lang w:eastAsia="en-AU"/>
        </w:rPr>
        <w:t>rs ($27.6 million annually), or 69</w:t>
      </w:r>
      <w:r w:rsidR="002F1DD9" w:rsidRPr="00C7202C">
        <w:rPr>
          <w:rFonts w:ascii="Segoe UI" w:eastAsia="Times New Roman" w:hAnsi="Segoe UI" w:cs="Segoe UI"/>
          <w:szCs w:val="22"/>
          <w:lang w:eastAsia="en-AU"/>
        </w:rPr>
        <w:t xml:space="preserve"> per cent of total funding.</w:t>
      </w:r>
    </w:p>
    <w:p w14:paraId="06E46215" w14:textId="77777777" w:rsidR="00591B0D" w:rsidRDefault="00780BC7" w:rsidP="00591B0D">
      <w:pPr>
        <w:pStyle w:val="Figure"/>
      </w:pPr>
      <w:r>
        <w:t xml:space="preserve">Figure 3: </w:t>
      </w:r>
      <w:r w:rsidR="00591B0D">
        <w:t xml:space="preserve">Organisations which received greater than $5 million </w:t>
      </w:r>
      <w:r w:rsidR="00591B0D" w:rsidRPr="00ED337A">
        <w:t>(2019-2023)</w:t>
      </w:r>
    </w:p>
    <w:tbl>
      <w:tblPr>
        <w:tblStyle w:val="Custom1"/>
        <w:tblW w:w="9638" w:type="dxa"/>
        <w:tblLook w:val="04A0" w:firstRow="1" w:lastRow="0" w:firstColumn="1" w:lastColumn="0" w:noHBand="0" w:noVBand="1"/>
      </w:tblPr>
      <w:tblGrid>
        <w:gridCol w:w="3848"/>
        <w:gridCol w:w="2213"/>
        <w:gridCol w:w="1787"/>
        <w:gridCol w:w="1790"/>
      </w:tblGrid>
      <w:tr w:rsidR="00B23EAD" w:rsidRPr="00681C7F" w14:paraId="06E4621A" w14:textId="77777777" w:rsidTr="009263C0">
        <w:trPr>
          <w:cnfStyle w:val="100000000000" w:firstRow="1" w:lastRow="0" w:firstColumn="0" w:lastColumn="0" w:oddVBand="0" w:evenVBand="0" w:oddHBand="0" w:evenHBand="0" w:firstRowFirstColumn="0" w:firstRowLastColumn="0" w:lastRowFirstColumn="0" w:lastRowLastColumn="0"/>
          <w:tblHeader/>
        </w:trPr>
        <w:tc>
          <w:tcPr>
            <w:tcW w:w="3848" w:type="dxa"/>
          </w:tcPr>
          <w:p w14:paraId="06E46216" w14:textId="77777777" w:rsidR="00B23EAD" w:rsidRPr="009263C0" w:rsidRDefault="00B23EAD" w:rsidP="006D359D">
            <w:pPr>
              <w:spacing w:after="0"/>
            </w:pPr>
            <w:r w:rsidRPr="009263C0">
              <w:t>Organisation</w:t>
            </w:r>
          </w:p>
        </w:tc>
        <w:tc>
          <w:tcPr>
            <w:tcW w:w="2213" w:type="dxa"/>
          </w:tcPr>
          <w:p w14:paraId="06E46217" w14:textId="77777777" w:rsidR="00B23EAD" w:rsidRPr="009263C0" w:rsidRDefault="00B23EAD" w:rsidP="00017D9C">
            <w:pPr>
              <w:spacing w:after="0"/>
            </w:pPr>
            <w:r w:rsidRPr="009263C0">
              <w:t xml:space="preserve">Operating Funding </w:t>
            </w:r>
          </w:p>
        </w:tc>
        <w:tc>
          <w:tcPr>
            <w:tcW w:w="1787" w:type="dxa"/>
          </w:tcPr>
          <w:p w14:paraId="06E46218" w14:textId="77777777" w:rsidR="00B23EAD" w:rsidRPr="009263C0" w:rsidRDefault="00B23EAD">
            <w:pPr>
              <w:spacing w:after="0"/>
            </w:pPr>
            <w:r w:rsidRPr="009263C0">
              <w:t>Grant/fee-for-service funding</w:t>
            </w:r>
          </w:p>
        </w:tc>
        <w:tc>
          <w:tcPr>
            <w:tcW w:w="1790" w:type="dxa"/>
          </w:tcPr>
          <w:p w14:paraId="06E46219" w14:textId="77777777" w:rsidR="00B23EAD" w:rsidRPr="009263C0" w:rsidRDefault="00B23EAD">
            <w:pPr>
              <w:spacing w:after="0"/>
            </w:pPr>
            <w:r w:rsidRPr="009263C0">
              <w:t>Total Funding</w:t>
            </w:r>
          </w:p>
        </w:tc>
      </w:tr>
      <w:tr w:rsidR="00B23EAD" w:rsidRPr="00681C7F" w14:paraId="06E46223" w14:textId="77777777" w:rsidTr="009210B7">
        <w:trPr>
          <w:cnfStyle w:val="000000100000" w:firstRow="0" w:lastRow="0" w:firstColumn="0" w:lastColumn="0" w:oddVBand="0" w:evenVBand="0" w:oddHBand="1" w:evenHBand="0" w:firstRowFirstColumn="0" w:firstRowLastColumn="0" w:lastRowFirstColumn="0" w:lastRowLastColumn="0"/>
        </w:trPr>
        <w:tc>
          <w:tcPr>
            <w:tcW w:w="3848" w:type="dxa"/>
          </w:tcPr>
          <w:p w14:paraId="06E4621B" w14:textId="77777777" w:rsidR="00B23EAD" w:rsidRPr="00681C7F" w:rsidRDefault="00B23EAD" w:rsidP="00B23EAD">
            <w:pPr>
              <w:spacing w:after="0"/>
              <w:rPr>
                <w:rFonts w:cstheme="minorHAnsi"/>
              </w:rPr>
            </w:pPr>
            <w:r w:rsidRPr="00681C7F">
              <w:rPr>
                <w:rFonts w:cstheme="minorHAnsi"/>
              </w:rPr>
              <w:t>Australian National University</w:t>
            </w:r>
          </w:p>
          <w:p w14:paraId="06E4621C" w14:textId="77777777" w:rsidR="00B23EAD" w:rsidRPr="00681C7F" w:rsidRDefault="00B23EAD" w:rsidP="00C7202C">
            <w:pPr>
              <w:pStyle w:val="ListParagraph"/>
              <w:numPr>
                <w:ilvl w:val="0"/>
                <w:numId w:val="20"/>
              </w:numPr>
              <w:spacing w:after="0"/>
            </w:pPr>
            <w:r w:rsidRPr="00D111C6">
              <w:rPr>
                <w:sz w:val="18"/>
                <w:szCs w:val="18"/>
              </w:rPr>
              <w:t>National Security College</w:t>
            </w:r>
          </w:p>
        </w:tc>
        <w:tc>
          <w:tcPr>
            <w:tcW w:w="2213" w:type="dxa"/>
          </w:tcPr>
          <w:p w14:paraId="06E4621D" w14:textId="77777777" w:rsidR="00B23EAD" w:rsidRPr="00681C7F" w:rsidRDefault="00B23EAD" w:rsidP="00B23EAD">
            <w:pPr>
              <w:spacing w:after="0"/>
              <w:rPr>
                <w:rFonts w:cstheme="minorHAnsi"/>
              </w:rPr>
            </w:pPr>
            <w:r w:rsidRPr="00681C7F">
              <w:rPr>
                <w:rFonts w:cstheme="minorHAnsi"/>
              </w:rPr>
              <w:t>$</w:t>
            </w:r>
            <w:r w:rsidR="001C11A5">
              <w:rPr>
                <w:rFonts w:cstheme="minorHAnsi"/>
              </w:rPr>
              <w:t>7,305,000</w:t>
            </w:r>
          </w:p>
          <w:p w14:paraId="06E4621E" w14:textId="77777777" w:rsidR="00B23EAD" w:rsidRPr="00681C7F" w:rsidRDefault="00B23EAD" w:rsidP="00C7202C">
            <w:pPr>
              <w:numPr>
                <w:ilvl w:val="0"/>
                <w:numId w:val="19"/>
              </w:numPr>
              <w:spacing w:after="0"/>
              <w:contextualSpacing/>
            </w:pPr>
            <w:r w:rsidRPr="012C170C">
              <w:rPr>
                <w:sz w:val="18"/>
                <w:szCs w:val="18"/>
              </w:rPr>
              <w:t>$</w:t>
            </w:r>
            <w:r w:rsidR="001C11A5">
              <w:rPr>
                <w:sz w:val="18"/>
                <w:szCs w:val="18"/>
              </w:rPr>
              <w:t>7,305,000</w:t>
            </w:r>
          </w:p>
        </w:tc>
        <w:tc>
          <w:tcPr>
            <w:tcW w:w="1787" w:type="dxa"/>
          </w:tcPr>
          <w:p w14:paraId="06E4621F" w14:textId="77777777" w:rsidR="00B23EAD" w:rsidRPr="00681C7F" w:rsidRDefault="00B23EAD" w:rsidP="00B23EAD">
            <w:pPr>
              <w:spacing w:after="0"/>
              <w:rPr>
                <w:rFonts w:cstheme="minorHAnsi"/>
              </w:rPr>
            </w:pPr>
            <w:r w:rsidRPr="00681C7F">
              <w:rPr>
                <w:rFonts w:cstheme="minorHAnsi"/>
              </w:rPr>
              <w:t>$4</w:t>
            </w:r>
            <w:r w:rsidR="001C11A5">
              <w:rPr>
                <w:rFonts w:cstheme="minorHAnsi"/>
              </w:rPr>
              <w:t>1</w:t>
            </w:r>
            <w:r w:rsidRPr="00681C7F">
              <w:rPr>
                <w:rFonts w:cstheme="minorHAnsi"/>
              </w:rPr>
              <w:t>,</w:t>
            </w:r>
            <w:r w:rsidR="001C11A5">
              <w:rPr>
                <w:rFonts w:cstheme="minorHAnsi"/>
              </w:rPr>
              <w:t>4</w:t>
            </w:r>
            <w:r>
              <w:rPr>
                <w:rFonts w:cstheme="minorHAnsi"/>
              </w:rPr>
              <w:t>6</w:t>
            </w:r>
            <w:r w:rsidR="001C11A5">
              <w:rPr>
                <w:rFonts w:cstheme="minorHAnsi"/>
              </w:rPr>
              <w:t>2</w:t>
            </w:r>
            <w:r w:rsidRPr="00681C7F">
              <w:rPr>
                <w:rFonts w:cstheme="minorHAnsi"/>
              </w:rPr>
              <w:t xml:space="preserve">,793 </w:t>
            </w:r>
          </w:p>
          <w:p w14:paraId="06E46220" w14:textId="77777777" w:rsidR="00B23EAD" w:rsidRPr="00681C7F" w:rsidRDefault="00B23EAD" w:rsidP="00C7202C">
            <w:pPr>
              <w:numPr>
                <w:ilvl w:val="0"/>
                <w:numId w:val="19"/>
              </w:numPr>
              <w:spacing w:after="0"/>
              <w:contextualSpacing/>
              <w:rPr>
                <w:rFonts w:cstheme="minorHAnsi"/>
              </w:rPr>
            </w:pPr>
            <w:r w:rsidRPr="012C170C">
              <w:rPr>
                <w:sz w:val="18"/>
                <w:szCs w:val="18"/>
              </w:rPr>
              <w:t>$3</w:t>
            </w:r>
            <w:r w:rsidR="001C11A5">
              <w:rPr>
                <w:sz w:val="18"/>
                <w:szCs w:val="18"/>
              </w:rPr>
              <w:t>0</w:t>
            </w:r>
            <w:r w:rsidRPr="012C170C">
              <w:rPr>
                <w:sz w:val="18"/>
                <w:szCs w:val="18"/>
              </w:rPr>
              <w:t>,</w:t>
            </w:r>
            <w:r w:rsidR="001C11A5">
              <w:rPr>
                <w:sz w:val="18"/>
                <w:szCs w:val="18"/>
              </w:rPr>
              <w:t>728</w:t>
            </w:r>
            <w:r w:rsidRPr="012C170C">
              <w:rPr>
                <w:sz w:val="18"/>
                <w:szCs w:val="18"/>
              </w:rPr>
              <w:t>,385</w:t>
            </w:r>
          </w:p>
        </w:tc>
        <w:tc>
          <w:tcPr>
            <w:tcW w:w="1790" w:type="dxa"/>
          </w:tcPr>
          <w:p w14:paraId="06E46221" w14:textId="77777777" w:rsidR="00B23EAD" w:rsidRPr="00681C7F" w:rsidRDefault="00B23EAD" w:rsidP="00B23EAD">
            <w:pPr>
              <w:spacing w:after="0"/>
              <w:rPr>
                <w:rFonts w:cstheme="minorHAnsi"/>
              </w:rPr>
            </w:pPr>
            <w:r w:rsidRPr="00681C7F">
              <w:rPr>
                <w:rFonts w:cstheme="minorHAnsi"/>
              </w:rPr>
              <w:t>$48,</w:t>
            </w:r>
            <w:r>
              <w:rPr>
                <w:rFonts w:cstheme="minorHAnsi"/>
              </w:rPr>
              <w:t>767</w:t>
            </w:r>
            <w:r w:rsidRPr="00681C7F">
              <w:rPr>
                <w:rFonts w:cstheme="minorHAnsi"/>
              </w:rPr>
              <w:t xml:space="preserve">,793 </w:t>
            </w:r>
          </w:p>
          <w:p w14:paraId="06E46222" w14:textId="77777777" w:rsidR="00B23EAD" w:rsidRDefault="00B23EAD" w:rsidP="00C7202C">
            <w:pPr>
              <w:numPr>
                <w:ilvl w:val="0"/>
                <w:numId w:val="19"/>
              </w:numPr>
              <w:spacing w:after="0"/>
              <w:contextualSpacing/>
              <w:rPr>
                <w:rFonts w:cstheme="minorHAnsi"/>
              </w:rPr>
            </w:pPr>
            <w:r w:rsidRPr="012C170C">
              <w:rPr>
                <w:sz w:val="18"/>
                <w:szCs w:val="18"/>
              </w:rPr>
              <w:t>$38,033,385</w:t>
            </w:r>
          </w:p>
        </w:tc>
      </w:tr>
      <w:tr w:rsidR="00B23EAD" w:rsidRPr="00681C7F" w14:paraId="06E46228" w14:textId="77777777" w:rsidTr="009210B7">
        <w:tc>
          <w:tcPr>
            <w:tcW w:w="3848" w:type="dxa"/>
          </w:tcPr>
          <w:p w14:paraId="06E46224" w14:textId="77777777" w:rsidR="00B23EAD" w:rsidRPr="00681C7F" w:rsidRDefault="00B23EAD" w:rsidP="00B23EAD">
            <w:pPr>
              <w:spacing w:after="0"/>
              <w:rPr>
                <w:rFonts w:cstheme="minorHAnsi"/>
              </w:rPr>
            </w:pPr>
            <w:r w:rsidRPr="00681C7F">
              <w:rPr>
                <w:rFonts w:cstheme="minorHAnsi"/>
              </w:rPr>
              <w:t>Australian Strategic Policy Institute</w:t>
            </w:r>
          </w:p>
        </w:tc>
        <w:tc>
          <w:tcPr>
            <w:tcW w:w="2213" w:type="dxa"/>
          </w:tcPr>
          <w:p w14:paraId="06E46225" w14:textId="77777777" w:rsidR="00B23EAD" w:rsidRPr="00681C7F" w:rsidRDefault="00B23EAD" w:rsidP="001C11A5">
            <w:pPr>
              <w:spacing w:after="0"/>
            </w:pPr>
            <w:r w:rsidRPr="37FCFAE3">
              <w:t>$</w:t>
            </w:r>
            <w:r w:rsidR="001C11A5">
              <w:t>25,000,000</w:t>
            </w:r>
          </w:p>
        </w:tc>
        <w:tc>
          <w:tcPr>
            <w:tcW w:w="1787" w:type="dxa"/>
          </w:tcPr>
          <w:p w14:paraId="06E46226" w14:textId="77777777" w:rsidR="00B23EAD" w:rsidRPr="37FCFAE3" w:rsidRDefault="00B23EAD" w:rsidP="001C11A5">
            <w:pPr>
              <w:spacing w:after="0"/>
            </w:pPr>
            <w:r w:rsidRPr="37FCFAE3">
              <w:t>$</w:t>
            </w:r>
            <w:r w:rsidR="001C11A5">
              <w:t>12</w:t>
            </w:r>
            <w:r w:rsidRPr="37FCFAE3">
              <w:t>,531,610</w:t>
            </w:r>
          </w:p>
        </w:tc>
        <w:tc>
          <w:tcPr>
            <w:tcW w:w="1790" w:type="dxa"/>
          </w:tcPr>
          <w:p w14:paraId="06E46227" w14:textId="77777777" w:rsidR="00B23EAD" w:rsidRDefault="00B23EAD" w:rsidP="00B23EAD">
            <w:pPr>
              <w:spacing w:after="0"/>
            </w:pPr>
            <w:r w:rsidRPr="37FCFAE3">
              <w:t>$37,531,610</w:t>
            </w:r>
          </w:p>
        </w:tc>
      </w:tr>
      <w:tr w:rsidR="00B23EAD" w:rsidRPr="00681C7F" w14:paraId="06E46235" w14:textId="77777777" w:rsidTr="009210B7">
        <w:trPr>
          <w:cnfStyle w:val="000000100000" w:firstRow="0" w:lastRow="0" w:firstColumn="0" w:lastColumn="0" w:oddVBand="0" w:evenVBand="0" w:oddHBand="1" w:evenHBand="0" w:firstRowFirstColumn="0" w:firstRowLastColumn="0" w:lastRowFirstColumn="0" w:lastRowLastColumn="0"/>
        </w:trPr>
        <w:tc>
          <w:tcPr>
            <w:tcW w:w="3848" w:type="dxa"/>
          </w:tcPr>
          <w:p w14:paraId="06E46229" w14:textId="77777777" w:rsidR="00B23EAD" w:rsidRPr="00681C7F" w:rsidRDefault="00B23EAD" w:rsidP="00B23EAD">
            <w:pPr>
              <w:spacing w:after="0"/>
              <w:rPr>
                <w:rFonts w:cstheme="minorHAnsi"/>
              </w:rPr>
            </w:pPr>
            <w:r w:rsidRPr="00681C7F">
              <w:rPr>
                <w:rFonts w:cstheme="minorHAnsi"/>
              </w:rPr>
              <w:t>American Australian Association</w:t>
            </w:r>
          </w:p>
          <w:p w14:paraId="06E4622A" w14:textId="77777777" w:rsidR="00B23EAD" w:rsidRPr="00C07429" w:rsidRDefault="00B23EAD" w:rsidP="00C7202C">
            <w:pPr>
              <w:pStyle w:val="ListParagraph"/>
              <w:numPr>
                <w:ilvl w:val="0"/>
                <w:numId w:val="20"/>
              </w:numPr>
              <w:spacing w:after="0"/>
              <w:rPr>
                <w:sz w:val="18"/>
                <w:szCs w:val="18"/>
              </w:rPr>
            </w:pPr>
            <w:r w:rsidRPr="00C07429">
              <w:rPr>
                <w:sz w:val="18"/>
                <w:szCs w:val="18"/>
              </w:rPr>
              <w:t>United States Studies Centre</w:t>
            </w:r>
          </w:p>
          <w:p w14:paraId="06E4622B" w14:textId="77777777" w:rsidR="00B23EAD" w:rsidRPr="00681C7F" w:rsidRDefault="00B23EAD" w:rsidP="00C7202C">
            <w:pPr>
              <w:pStyle w:val="ListParagraph"/>
              <w:numPr>
                <w:ilvl w:val="0"/>
                <w:numId w:val="20"/>
              </w:numPr>
              <w:spacing w:after="0"/>
              <w:rPr>
                <w:rFonts w:cstheme="minorHAnsi"/>
              </w:rPr>
            </w:pPr>
            <w:r w:rsidRPr="00C07429">
              <w:rPr>
                <w:sz w:val="18"/>
                <w:szCs w:val="18"/>
              </w:rPr>
              <w:t>Perth USAsia Centre</w:t>
            </w:r>
          </w:p>
        </w:tc>
        <w:tc>
          <w:tcPr>
            <w:tcW w:w="2213" w:type="dxa"/>
          </w:tcPr>
          <w:p w14:paraId="06E4622C" w14:textId="77777777" w:rsidR="00B23EAD" w:rsidRPr="00681C7F" w:rsidRDefault="00B23EAD" w:rsidP="00B23EAD">
            <w:pPr>
              <w:spacing w:after="0"/>
            </w:pPr>
            <w:r w:rsidRPr="078A90AB">
              <w:t>$15,250,000</w:t>
            </w:r>
            <w:r w:rsidRPr="009210B7">
              <w:rPr>
                <w:rStyle w:val="FootnoteReference"/>
                <w:vertAlign w:val="superscript"/>
              </w:rPr>
              <w:footnoteReference w:id="11"/>
            </w:r>
          </w:p>
          <w:p w14:paraId="06E4622D" w14:textId="77777777" w:rsidR="00B23EAD" w:rsidRPr="00042337" w:rsidRDefault="00B23EAD" w:rsidP="00C7202C">
            <w:pPr>
              <w:numPr>
                <w:ilvl w:val="0"/>
                <w:numId w:val="19"/>
              </w:numPr>
              <w:spacing w:after="0"/>
              <w:contextualSpacing/>
              <w:rPr>
                <w:sz w:val="18"/>
                <w:szCs w:val="18"/>
              </w:rPr>
            </w:pPr>
            <w:r w:rsidRPr="00042337">
              <w:rPr>
                <w:sz w:val="18"/>
                <w:szCs w:val="18"/>
              </w:rPr>
              <w:t>$</w:t>
            </w:r>
            <w:r w:rsidRPr="00017D9C">
              <w:rPr>
                <w:sz w:val="18"/>
                <w:szCs w:val="18"/>
              </w:rPr>
              <w:t>7,500,000</w:t>
            </w:r>
          </w:p>
          <w:p w14:paraId="06E4622E" w14:textId="77777777" w:rsidR="00B23EAD" w:rsidRPr="00681C7F" w:rsidRDefault="00B23EAD" w:rsidP="00C7202C">
            <w:pPr>
              <w:numPr>
                <w:ilvl w:val="0"/>
                <w:numId w:val="19"/>
              </w:numPr>
              <w:spacing w:after="0"/>
              <w:contextualSpacing/>
              <w:rPr>
                <w:rFonts w:cstheme="minorHAnsi"/>
              </w:rPr>
            </w:pPr>
            <w:r w:rsidRPr="00017D9C">
              <w:rPr>
                <w:sz w:val="18"/>
                <w:szCs w:val="18"/>
              </w:rPr>
              <w:t>$</w:t>
            </w:r>
            <w:r w:rsidRPr="00B23EAD">
              <w:rPr>
                <w:sz w:val="18"/>
                <w:szCs w:val="18"/>
              </w:rPr>
              <w:t>7,500,000</w:t>
            </w:r>
          </w:p>
        </w:tc>
        <w:tc>
          <w:tcPr>
            <w:tcW w:w="1787" w:type="dxa"/>
          </w:tcPr>
          <w:p w14:paraId="06E4622F" w14:textId="77777777" w:rsidR="00B23EAD" w:rsidRPr="00681C7F" w:rsidRDefault="044C5F97" w:rsidP="00B23EAD">
            <w:pPr>
              <w:spacing w:after="0"/>
            </w:pPr>
            <w:r w:rsidRPr="351739A7">
              <w:t>Nil</w:t>
            </w:r>
          </w:p>
          <w:p w14:paraId="06E46230" w14:textId="77777777" w:rsidR="00B23EAD" w:rsidRPr="009210B7" w:rsidRDefault="00B23EAD" w:rsidP="00C7202C">
            <w:pPr>
              <w:numPr>
                <w:ilvl w:val="0"/>
                <w:numId w:val="19"/>
              </w:numPr>
              <w:spacing w:after="0"/>
              <w:contextualSpacing/>
              <w:rPr>
                <w:sz w:val="18"/>
                <w:szCs w:val="18"/>
              </w:rPr>
            </w:pPr>
            <w:r w:rsidRPr="00042337">
              <w:rPr>
                <w:sz w:val="18"/>
                <w:szCs w:val="18"/>
              </w:rPr>
              <w:t>$</w:t>
            </w:r>
            <w:r w:rsidRPr="009210B7">
              <w:rPr>
                <w:sz w:val="18"/>
                <w:szCs w:val="18"/>
              </w:rPr>
              <w:t>1,758,500</w:t>
            </w:r>
          </w:p>
          <w:p w14:paraId="06E46231" w14:textId="77777777" w:rsidR="00B23EAD" w:rsidRPr="009210B7" w:rsidRDefault="00B23EAD" w:rsidP="00C7202C">
            <w:pPr>
              <w:numPr>
                <w:ilvl w:val="0"/>
                <w:numId w:val="19"/>
              </w:numPr>
              <w:spacing w:after="0"/>
              <w:contextualSpacing/>
              <w:rPr>
                <w:sz w:val="18"/>
                <w:szCs w:val="18"/>
              </w:rPr>
            </w:pPr>
            <w:r w:rsidRPr="00042337">
              <w:rPr>
                <w:sz w:val="18"/>
                <w:szCs w:val="18"/>
              </w:rPr>
              <w:t>$</w:t>
            </w:r>
            <w:r w:rsidRPr="009210B7">
              <w:rPr>
                <w:sz w:val="18"/>
                <w:szCs w:val="18"/>
              </w:rPr>
              <w:t>244,137</w:t>
            </w:r>
          </w:p>
        </w:tc>
        <w:tc>
          <w:tcPr>
            <w:tcW w:w="1790" w:type="dxa"/>
          </w:tcPr>
          <w:p w14:paraId="06E46232" w14:textId="77777777" w:rsidR="00B23EAD" w:rsidRPr="00681C7F" w:rsidRDefault="00B23EAD" w:rsidP="00B23EAD">
            <w:pPr>
              <w:spacing w:after="0"/>
              <w:rPr>
                <w:rFonts w:cstheme="minorHAnsi"/>
              </w:rPr>
            </w:pPr>
            <w:r w:rsidRPr="00681C7F">
              <w:rPr>
                <w:rFonts w:cstheme="minorHAnsi"/>
              </w:rPr>
              <w:t>$</w:t>
            </w:r>
            <w:r>
              <w:rPr>
                <w:rFonts w:cstheme="minorHAnsi"/>
              </w:rPr>
              <w:t>15,250,000</w:t>
            </w:r>
          </w:p>
          <w:p w14:paraId="06E46233" w14:textId="77777777" w:rsidR="00B23EAD" w:rsidRDefault="00B23EAD" w:rsidP="00C7202C">
            <w:pPr>
              <w:numPr>
                <w:ilvl w:val="0"/>
                <w:numId w:val="19"/>
              </w:numPr>
              <w:spacing w:after="0"/>
              <w:contextualSpacing/>
              <w:rPr>
                <w:sz w:val="18"/>
                <w:szCs w:val="18"/>
              </w:rPr>
            </w:pPr>
            <w:r w:rsidRPr="00073D03">
              <w:rPr>
                <w:sz w:val="18"/>
                <w:szCs w:val="18"/>
              </w:rPr>
              <w:t>$9,258,500</w:t>
            </w:r>
          </w:p>
          <w:p w14:paraId="06E46234" w14:textId="77777777" w:rsidR="00B23EAD" w:rsidRPr="009210B7" w:rsidRDefault="00B23EAD" w:rsidP="00C7202C">
            <w:pPr>
              <w:numPr>
                <w:ilvl w:val="0"/>
                <w:numId w:val="19"/>
              </w:numPr>
              <w:spacing w:after="0"/>
              <w:contextualSpacing/>
              <w:rPr>
                <w:sz w:val="18"/>
                <w:szCs w:val="18"/>
              </w:rPr>
            </w:pPr>
            <w:r w:rsidRPr="00042337">
              <w:rPr>
                <w:sz w:val="18"/>
                <w:szCs w:val="18"/>
              </w:rPr>
              <w:t>$</w:t>
            </w:r>
            <w:r w:rsidRPr="00017D9C">
              <w:rPr>
                <w:sz w:val="18"/>
                <w:szCs w:val="18"/>
              </w:rPr>
              <w:t>7,744,137</w:t>
            </w:r>
          </w:p>
        </w:tc>
      </w:tr>
      <w:tr w:rsidR="00B23EAD" w:rsidRPr="00681C7F" w14:paraId="06E4623A" w14:textId="77777777" w:rsidTr="009210B7">
        <w:tc>
          <w:tcPr>
            <w:tcW w:w="3848" w:type="dxa"/>
          </w:tcPr>
          <w:p w14:paraId="06E46236" w14:textId="77777777" w:rsidR="00B23EAD" w:rsidRPr="00681C7F" w:rsidRDefault="00B23EAD" w:rsidP="00B23EAD">
            <w:pPr>
              <w:spacing w:after="0"/>
              <w:rPr>
                <w:rFonts w:cstheme="minorHAnsi"/>
              </w:rPr>
            </w:pPr>
            <w:r w:rsidRPr="00681C7F">
              <w:rPr>
                <w:rFonts w:cstheme="minorHAnsi"/>
              </w:rPr>
              <w:t xml:space="preserve">RAND </w:t>
            </w:r>
            <w:r>
              <w:rPr>
                <w:rFonts w:cstheme="minorHAnsi"/>
              </w:rPr>
              <w:t>Australia</w:t>
            </w:r>
          </w:p>
        </w:tc>
        <w:tc>
          <w:tcPr>
            <w:tcW w:w="2213" w:type="dxa"/>
          </w:tcPr>
          <w:p w14:paraId="06E46237" w14:textId="77777777" w:rsidR="00B23EAD" w:rsidRPr="00681C7F" w:rsidRDefault="00B23EAD" w:rsidP="00042337">
            <w:pPr>
              <w:spacing w:after="0"/>
              <w:rPr>
                <w:rFonts w:cstheme="minorHAnsi"/>
              </w:rPr>
            </w:pPr>
            <w:r>
              <w:rPr>
                <w:rFonts w:cstheme="minorHAnsi"/>
              </w:rPr>
              <w:t>Nil</w:t>
            </w:r>
          </w:p>
        </w:tc>
        <w:tc>
          <w:tcPr>
            <w:tcW w:w="1787" w:type="dxa"/>
          </w:tcPr>
          <w:p w14:paraId="06E46238" w14:textId="77777777" w:rsidR="00B23EAD" w:rsidRPr="00681C7F" w:rsidRDefault="00B23EAD" w:rsidP="00B23EAD">
            <w:pPr>
              <w:spacing w:after="0"/>
              <w:rPr>
                <w:rFonts w:cstheme="minorHAnsi"/>
              </w:rPr>
            </w:pPr>
            <w:r w:rsidRPr="00681C7F">
              <w:rPr>
                <w:rFonts w:cstheme="minorHAnsi"/>
              </w:rPr>
              <w:t>$13,115,96</w:t>
            </w:r>
            <w:r>
              <w:rPr>
                <w:rFonts w:cstheme="minorHAnsi"/>
              </w:rPr>
              <w:t>8</w:t>
            </w:r>
          </w:p>
        </w:tc>
        <w:tc>
          <w:tcPr>
            <w:tcW w:w="1790" w:type="dxa"/>
          </w:tcPr>
          <w:p w14:paraId="06E46239" w14:textId="77777777" w:rsidR="00B23EAD" w:rsidRDefault="00B23EAD" w:rsidP="00B23EAD">
            <w:pPr>
              <w:spacing w:after="0"/>
              <w:rPr>
                <w:rFonts w:cstheme="minorHAnsi"/>
              </w:rPr>
            </w:pPr>
            <w:r w:rsidRPr="00681C7F">
              <w:rPr>
                <w:rFonts w:cstheme="minorHAnsi"/>
              </w:rPr>
              <w:t>$13,115,96</w:t>
            </w:r>
            <w:r>
              <w:rPr>
                <w:rFonts w:cstheme="minorHAnsi"/>
              </w:rPr>
              <w:t>8</w:t>
            </w:r>
          </w:p>
        </w:tc>
      </w:tr>
      <w:tr w:rsidR="00B23EAD" w:rsidRPr="00681C7F" w14:paraId="06E4623F" w14:textId="77777777" w:rsidTr="009210B7">
        <w:trPr>
          <w:cnfStyle w:val="000000100000" w:firstRow="0" w:lastRow="0" w:firstColumn="0" w:lastColumn="0" w:oddVBand="0" w:evenVBand="0" w:oddHBand="1" w:evenHBand="0" w:firstRowFirstColumn="0" w:firstRowLastColumn="0" w:lastRowFirstColumn="0" w:lastRowLastColumn="0"/>
        </w:trPr>
        <w:tc>
          <w:tcPr>
            <w:tcW w:w="3848" w:type="dxa"/>
          </w:tcPr>
          <w:p w14:paraId="06E4623B" w14:textId="77777777" w:rsidR="00B23EAD" w:rsidRPr="00681C7F" w:rsidRDefault="00B23EAD" w:rsidP="00B23EAD">
            <w:pPr>
              <w:spacing w:after="0"/>
              <w:rPr>
                <w:rFonts w:cstheme="minorHAnsi"/>
              </w:rPr>
            </w:pPr>
            <w:r w:rsidRPr="00681C7F">
              <w:rPr>
                <w:rFonts w:cstheme="minorHAnsi"/>
              </w:rPr>
              <w:t>Lowy Institute</w:t>
            </w:r>
          </w:p>
        </w:tc>
        <w:tc>
          <w:tcPr>
            <w:tcW w:w="2213" w:type="dxa"/>
          </w:tcPr>
          <w:p w14:paraId="06E4623C" w14:textId="77777777" w:rsidR="00B23EAD" w:rsidRPr="00681C7F" w:rsidRDefault="00B23EAD" w:rsidP="00042337">
            <w:pPr>
              <w:spacing w:after="0"/>
              <w:rPr>
                <w:rFonts w:cstheme="minorHAnsi"/>
              </w:rPr>
            </w:pPr>
            <w:r>
              <w:rPr>
                <w:rFonts w:cstheme="minorHAnsi"/>
              </w:rPr>
              <w:t>Nil</w:t>
            </w:r>
          </w:p>
        </w:tc>
        <w:tc>
          <w:tcPr>
            <w:tcW w:w="1787" w:type="dxa"/>
          </w:tcPr>
          <w:p w14:paraId="06E4623D" w14:textId="77777777" w:rsidR="00B23EAD" w:rsidRPr="00681C7F" w:rsidRDefault="00B23EAD" w:rsidP="00B23EAD">
            <w:pPr>
              <w:spacing w:after="0"/>
              <w:rPr>
                <w:rFonts w:cstheme="minorHAnsi"/>
              </w:rPr>
            </w:pPr>
            <w:r w:rsidRPr="00681C7F">
              <w:rPr>
                <w:rFonts w:cstheme="minorHAnsi"/>
              </w:rPr>
              <w:t>$1</w:t>
            </w:r>
            <w:r>
              <w:rPr>
                <w:rFonts w:cstheme="minorHAnsi"/>
              </w:rPr>
              <w:t>3</w:t>
            </w:r>
            <w:r w:rsidRPr="00681C7F">
              <w:rPr>
                <w:rFonts w:cstheme="minorHAnsi"/>
              </w:rPr>
              <w:t>,</w:t>
            </w:r>
            <w:r>
              <w:rPr>
                <w:rFonts w:cstheme="minorHAnsi"/>
              </w:rPr>
              <w:t>029</w:t>
            </w:r>
            <w:r w:rsidRPr="00681C7F">
              <w:rPr>
                <w:rFonts w:cstheme="minorHAnsi"/>
              </w:rPr>
              <w:t>,</w:t>
            </w:r>
            <w:r>
              <w:rPr>
                <w:rFonts w:cstheme="minorHAnsi"/>
              </w:rPr>
              <w:t>918</w:t>
            </w:r>
          </w:p>
        </w:tc>
        <w:tc>
          <w:tcPr>
            <w:tcW w:w="1790" w:type="dxa"/>
          </w:tcPr>
          <w:p w14:paraId="06E4623E" w14:textId="77777777" w:rsidR="00B23EAD" w:rsidRDefault="00B23EAD" w:rsidP="00B23EAD">
            <w:pPr>
              <w:spacing w:after="0"/>
              <w:rPr>
                <w:rFonts w:cstheme="minorHAnsi"/>
              </w:rPr>
            </w:pPr>
            <w:r w:rsidRPr="00681C7F">
              <w:rPr>
                <w:rFonts w:cstheme="minorHAnsi"/>
              </w:rPr>
              <w:t>$1</w:t>
            </w:r>
            <w:r>
              <w:rPr>
                <w:rFonts w:cstheme="minorHAnsi"/>
              </w:rPr>
              <w:t>3</w:t>
            </w:r>
            <w:r w:rsidRPr="00681C7F">
              <w:rPr>
                <w:rFonts w:cstheme="minorHAnsi"/>
              </w:rPr>
              <w:t>,</w:t>
            </w:r>
            <w:r>
              <w:rPr>
                <w:rFonts w:cstheme="minorHAnsi"/>
              </w:rPr>
              <w:t>029</w:t>
            </w:r>
            <w:r w:rsidRPr="00681C7F">
              <w:rPr>
                <w:rFonts w:cstheme="minorHAnsi"/>
              </w:rPr>
              <w:t>,</w:t>
            </w:r>
            <w:r>
              <w:rPr>
                <w:rFonts w:cstheme="minorHAnsi"/>
              </w:rPr>
              <w:t>918</w:t>
            </w:r>
          </w:p>
        </w:tc>
      </w:tr>
      <w:tr w:rsidR="00B23EAD" w:rsidRPr="00681C7F" w14:paraId="06E46244" w14:textId="77777777" w:rsidTr="009210B7">
        <w:tc>
          <w:tcPr>
            <w:tcW w:w="3848" w:type="dxa"/>
          </w:tcPr>
          <w:p w14:paraId="06E46240" w14:textId="77777777" w:rsidR="00B23EAD" w:rsidRPr="00681C7F" w:rsidRDefault="00B23EAD" w:rsidP="00B23EAD">
            <w:pPr>
              <w:spacing w:after="0"/>
              <w:rPr>
                <w:rFonts w:cstheme="minorHAnsi"/>
              </w:rPr>
            </w:pPr>
            <w:r w:rsidRPr="00681C7F">
              <w:rPr>
                <w:rFonts w:cstheme="minorHAnsi"/>
              </w:rPr>
              <w:t>Australian American Leadership Dialogue</w:t>
            </w:r>
          </w:p>
        </w:tc>
        <w:tc>
          <w:tcPr>
            <w:tcW w:w="2213" w:type="dxa"/>
          </w:tcPr>
          <w:p w14:paraId="06E46241" w14:textId="77777777" w:rsidR="00B23EAD" w:rsidRPr="00681C7F" w:rsidRDefault="00B23EAD" w:rsidP="00B23EAD">
            <w:pPr>
              <w:spacing w:after="0"/>
              <w:rPr>
                <w:rFonts w:cstheme="minorHAnsi"/>
              </w:rPr>
            </w:pPr>
            <w:r w:rsidRPr="00681C7F">
              <w:rPr>
                <w:rFonts w:cstheme="minorHAnsi"/>
              </w:rPr>
              <w:t>$8,000,000</w:t>
            </w:r>
          </w:p>
        </w:tc>
        <w:tc>
          <w:tcPr>
            <w:tcW w:w="1787" w:type="dxa"/>
          </w:tcPr>
          <w:p w14:paraId="06E46242" w14:textId="77777777" w:rsidR="00B23EAD" w:rsidRPr="00681C7F" w:rsidRDefault="00B23EAD" w:rsidP="00042337">
            <w:pPr>
              <w:spacing w:after="0"/>
              <w:rPr>
                <w:rFonts w:cstheme="minorHAnsi"/>
              </w:rPr>
            </w:pPr>
            <w:r>
              <w:rPr>
                <w:rFonts w:cstheme="minorHAnsi"/>
              </w:rPr>
              <w:t>Nil</w:t>
            </w:r>
          </w:p>
        </w:tc>
        <w:tc>
          <w:tcPr>
            <w:tcW w:w="1790" w:type="dxa"/>
          </w:tcPr>
          <w:p w14:paraId="06E46243" w14:textId="77777777" w:rsidR="00B23EAD" w:rsidRDefault="00B23EAD" w:rsidP="00B23EAD">
            <w:pPr>
              <w:spacing w:after="0"/>
              <w:rPr>
                <w:rFonts w:cstheme="minorHAnsi"/>
              </w:rPr>
            </w:pPr>
            <w:r w:rsidRPr="00681C7F">
              <w:rPr>
                <w:rFonts w:cstheme="minorHAnsi"/>
              </w:rPr>
              <w:t>$8,000,000</w:t>
            </w:r>
          </w:p>
        </w:tc>
      </w:tr>
    </w:tbl>
    <w:p w14:paraId="06E46245" w14:textId="77777777" w:rsidR="00591B0D" w:rsidRDefault="00591B0D" w:rsidP="00591B0D">
      <w:pPr>
        <w:pStyle w:val="Heading3"/>
      </w:pPr>
      <w:bookmarkStart w:id="171" w:name="_Toc164174262"/>
      <w:r w:rsidRPr="00681C7F">
        <w:lastRenderedPageBreak/>
        <w:t xml:space="preserve">Funding by </w:t>
      </w:r>
      <w:bookmarkEnd w:id="171"/>
      <w:r w:rsidR="00EE1891">
        <w:t>a</w:t>
      </w:r>
      <w:r w:rsidRPr="00681C7F">
        <w:t>gency</w:t>
      </w:r>
    </w:p>
    <w:p w14:paraId="06E46246" w14:textId="77777777" w:rsidR="00591B0D" w:rsidRPr="00C7202C" w:rsidRDefault="00591B0D" w:rsidP="00C7202C">
      <w:pPr>
        <w:numPr>
          <w:ilvl w:val="0"/>
          <w:numId w:val="36"/>
        </w:numPr>
        <w:shd w:val="clear" w:color="auto" w:fill="FFFFFF"/>
        <w:tabs>
          <w:tab w:val="clear" w:pos="720"/>
        </w:tabs>
        <w:spacing w:before="100" w:beforeAutospacing="1" w:after="80" w:line="240" w:lineRule="auto"/>
        <w:ind w:left="0" w:firstLine="0"/>
        <w:rPr>
          <w:rFonts w:ascii="Segoe UI" w:eastAsia="Times New Roman" w:hAnsi="Segoe UI" w:cs="Segoe UI"/>
          <w:szCs w:val="22"/>
          <w:lang w:eastAsia="en-AU"/>
        </w:rPr>
      </w:pPr>
      <w:r w:rsidRPr="00C7202C">
        <w:rPr>
          <w:rFonts w:ascii="Segoe UI" w:eastAsia="Times New Roman" w:hAnsi="Segoe UI" w:cs="Segoe UI"/>
          <w:szCs w:val="22"/>
          <w:lang w:eastAsia="en-AU"/>
        </w:rPr>
        <w:t xml:space="preserve">According to our data, 50 per cent of the total funding for strategic policy work was disbursed from </w:t>
      </w:r>
      <w:r w:rsidR="005C36BF" w:rsidRPr="00C7202C">
        <w:rPr>
          <w:rFonts w:ascii="Segoe UI" w:eastAsia="Times New Roman" w:hAnsi="Segoe UI" w:cs="Segoe UI"/>
          <w:szCs w:val="22"/>
          <w:lang w:eastAsia="en-AU"/>
        </w:rPr>
        <w:t xml:space="preserve">the Department of </w:t>
      </w:r>
      <w:r w:rsidRPr="00C7202C">
        <w:rPr>
          <w:rFonts w:ascii="Segoe UI" w:eastAsia="Times New Roman" w:hAnsi="Segoe UI" w:cs="Segoe UI"/>
          <w:szCs w:val="22"/>
          <w:lang w:eastAsia="en-AU"/>
        </w:rPr>
        <w:t>Defence, followed by the Department of Foreign Affairs</w:t>
      </w:r>
      <w:r w:rsidR="002B7A26" w:rsidRPr="00C7202C">
        <w:rPr>
          <w:rFonts w:ascii="Segoe UI" w:eastAsia="Times New Roman" w:hAnsi="Segoe UI" w:cs="Segoe UI"/>
          <w:szCs w:val="22"/>
          <w:lang w:eastAsia="en-AU"/>
        </w:rPr>
        <w:t xml:space="preserve"> and Trade</w:t>
      </w:r>
      <w:r w:rsidRPr="00C7202C">
        <w:rPr>
          <w:rFonts w:ascii="Segoe UI" w:eastAsia="Times New Roman" w:hAnsi="Segoe UI" w:cs="Segoe UI"/>
          <w:szCs w:val="22"/>
          <w:lang w:eastAsia="en-AU"/>
        </w:rPr>
        <w:t xml:space="preserve"> at 18 per cent, the Office of National Intelligence at 10 per cent, the Department of Home Affairs at 8 per cent, and the Department of the Prime Minister and Cabinet at 5 per cent. Another 21 agencies provided the remaining </w:t>
      </w:r>
      <w:r w:rsidR="003D3AEE">
        <w:rPr>
          <w:rFonts w:ascii="Segoe UI" w:eastAsia="Times New Roman" w:hAnsi="Segoe UI" w:cs="Segoe UI"/>
          <w:szCs w:val="22"/>
          <w:lang w:eastAsia="en-AU"/>
        </w:rPr>
        <w:t>8</w:t>
      </w:r>
      <w:r w:rsidRPr="003D3AEE">
        <w:rPr>
          <w:rFonts w:ascii="Segoe UI" w:eastAsia="Times New Roman" w:hAnsi="Segoe UI" w:cs="Segoe UI"/>
          <w:szCs w:val="22"/>
          <w:lang w:eastAsia="en-AU"/>
        </w:rPr>
        <w:t xml:space="preserve"> per cent of total funding.</w:t>
      </w:r>
      <w:r w:rsidRPr="00C7202C">
        <w:rPr>
          <w:rFonts w:ascii="Segoe UI" w:eastAsia="Times New Roman" w:hAnsi="Segoe UI" w:cs="Segoe UI"/>
          <w:szCs w:val="22"/>
          <w:lang w:eastAsia="en-AU"/>
        </w:rPr>
        <w:t xml:space="preserve"> The stocktake captured some funding to the sector from agencies whose secretaries do not normally sit on SCNS. These agencies are included due to their contributions to the National Security College through the Participating Agency Contract </w:t>
      </w:r>
      <w:r w:rsidR="00671EB7" w:rsidRPr="00C7202C">
        <w:rPr>
          <w:rFonts w:ascii="Segoe UI" w:eastAsia="Times New Roman" w:hAnsi="Segoe UI" w:cs="Segoe UI"/>
          <w:szCs w:val="22"/>
          <w:lang w:eastAsia="en-AU"/>
        </w:rPr>
        <w:t xml:space="preserve">and other </w:t>
      </w:r>
      <w:r w:rsidR="00A8335D" w:rsidRPr="00C7202C">
        <w:rPr>
          <w:rFonts w:ascii="Segoe UI" w:eastAsia="Times New Roman" w:hAnsi="Segoe UI" w:cs="Segoe UI"/>
          <w:szCs w:val="22"/>
          <w:lang w:eastAsia="en-AU"/>
        </w:rPr>
        <w:t xml:space="preserve">fee for service </w:t>
      </w:r>
      <w:r w:rsidR="00671EB7" w:rsidRPr="00C7202C">
        <w:rPr>
          <w:rFonts w:ascii="Segoe UI" w:eastAsia="Times New Roman" w:hAnsi="Segoe UI" w:cs="Segoe UI"/>
          <w:szCs w:val="22"/>
          <w:lang w:eastAsia="en-AU"/>
        </w:rPr>
        <w:t xml:space="preserve">professional development </w:t>
      </w:r>
      <w:r w:rsidR="00A8335D" w:rsidRPr="00C7202C">
        <w:rPr>
          <w:rFonts w:ascii="Segoe UI" w:eastAsia="Times New Roman" w:hAnsi="Segoe UI" w:cs="Segoe UI"/>
          <w:szCs w:val="22"/>
          <w:lang w:eastAsia="en-AU"/>
        </w:rPr>
        <w:t>activities</w:t>
      </w:r>
      <w:r w:rsidRPr="00C7202C">
        <w:rPr>
          <w:rFonts w:ascii="Segoe UI" w:eastAsia="Times New Roman" w:hAnsi="Segoe UI" w:cs="Segoe UI"/>
          <w:szCs w:val="22"/>
          <w:lang w:eastAsia="en-AU"/>
        </w:rPr>
        <w:t>.</w:t>
      </w:r>
      <w:r w:rsidR="00F832FC" w:rsidRPr="004E28B3">
        <w:rPr>
          <w:rStyle w:val="FootnoteReference"/>
          <w:vertAlign w:val="superscript"/>
        </w:rPr>
        <w:footnoteReference w:id="12"/>
      </w:r>
      <w:r w:rsidR="001260ED" w:rsidRPr="00C7202C">
        <w:rPr>
          <w:rFonts w:ascii="Segoe UI" w:eastAsia="Times New Roman" w:hAnsi="Segoe UI" w:cs="Segoe UI"/>
          <w:szCs w:val="22"/>
          <w:lang w:eastAsia="en-AU"/>
        </w:rPr>
        <w:t xml:space="preserve"> </w:t>
      </w:r>
    </w:p>
    <w:p w14:paraId="06E46247" w14:textId="77777777" w:rsidR="00591B0D" w:rsidRDefault="006D6243" w:rsidP="00591B0D">
      <w:pPr>
        <w:pStyle w:val="Figure"/>
      </w:pPr>
      <w:r>
        <w:t xml:space="preserve">Figure 4: </w:t>
      </w:r>
      <w:r w:rsidR="00591B0D" w:rsidRPr="00681C7F">
        <w:t>Percentage of funding by agency (2019-2023)</w:t>
      </w:r>
      <w:r w:rsidR="00591B0D" w:rsidRPr="0003721D">
        <w:rPr>
          <w:rStyle w:val="FootnoteReference"/>
        </w:rPr>
        <w:t xml:space="preserve"> </w:t>
      </w:r>
    </w:p>
    <w:p w14:paraId="06E46248" w14:textId="77777777" w:rsidR="00591B0D" w:rsidRDefault="003D3AEE" w:rsidP="00133AC0">
      <w:pPr>
        <w:pStyle w:val="Figure"/>
        <w:ind w:left="0" w:firstLine="0"/>
        <w:jc w:val="both"/>
      </w:pPr>
      <w:r>
        <w:rPr>
          <w:noProof/>
          <w:lang w:eastAsia="en-AU"/>
        </w:rPr>
        <w:drawing>
          <wp:inline distT="0" distB="0" distL="0" distR="0" wp14:anchorId="06E4628C" wp14:editId="06E4628D">
            <wp:extent cx="5742930" cy="4316342"/>
            <wp:effectExtent l="0" t="0" r="0" b="0"/>
            <wp:docPr id="5" name="Picture 5" descr="Total funding was $198,951,288. 50% of funding was disbursed by the Department of Defence with $100,177,410. 18% of funding was disbursed by the Department of Foreign Affairs and Trade with $36,173,114. 10% of funding was disbursed by the Office of National Intelligence with $19,114,635. 9% of funding was disbursed by the Department of Home Affairs with $16,738,306. 5% of funding was dispursed by the Department of the Prime Minister and Cabinet with $10,436,549. The remaining 8% of funding was dispursed by other agencies with $18,31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4-392-Varghese-Review-Chart-Transparent final.png"/>
                    <pic:cNvPicPr/>
                  </pic:nvPicPr>
                  <pic:blipFill>
                    <a:blip r:embed="rId24">
                      <a:extLst>
                        <a:ext uri="{28A0092B-C50C-407E-A947-70E740481C1C}">
                          <a14:useLocalDpi xmlns:a14="http://schemas.microsoft.com/office/drawing/2010/main" val="0"/>
                        </a:ext>
                      </a:extLst>
                    </a:blip>
                    <a:stretch>
                      <a:fillRect/>
                    </a:stretch>
                  </pic:blipFill>
                  <pic:spPr>
                    <a:xfrm>
                      <a:off x="0" y="0"/>
                      <a:ext cx="5742930" cy="4316342"/>
                    </a:xfrm>
                    <a:prstGeom prst="rect">
                      <a:avLst/>
                    </a:prstGeom>
                  </pic:spPr>
                </pic:pic>
              </a:graphicData>
            </a:graphic>
          </wp:inline>
        </w:drawing>
      </w:r>
    </w:p>
    <w:p w14:paraId="06E46249" w14:textId="77777777" w:rsidR="0014273F" w:rsidRDefault="0014273F" w:rsidP="0014273F">
      <w:pPr>
        <w:pStyle w:val="Figure"/>
        <w:jc w:val="center"/>
      </w:pPr>
    </w:p>
    <w:p w14:paraId="06E4624A" w14:textId="77777777" w:rsidR="003D3AEE" w:rsidRDefault="003D3AEE" w:rsidP="0014273F">
      <w:pPr>
        <w:pStyle w:val="Figure"/>
        <w:jc w:val="center"/>
      </w:pPr>
    </w:p>
    <w:p w14:paraId="06E4624B" w14:textId="77777777" w:rsidR="00591B0D" w:rsidRDefault="00591B0D" w:rsidP="00591B0D">
      <w:pPr>
        <w:pStyle w:val="Heading3"/>
      </w:pPr>
      <w:r w:rsidRPr="00681C7F">
        <w:lastRenderedPageBreak/>
        <w:t xml:space="preserve">Funding by </w:t>
      </w:r>
      <w:r w:rsidR="00EE1891">
        <w:t>f</w:t>
      </w:r>
      <w:r w:rsidRPr="00681C7F">
        <w:t xml:space="preserve">inancial </w:t>
      </w:r>
      <w:r w:rsidR="00EE1891">
        <w:t>a</w:t>
      </w:r>
      <w:r w:rsidRPr="00681C7F">
        <w:t>rrangement</w:t>
      </w:r>
    </w:p>
    <w:p w14:paraId="06E4624C" w14:textId="77777777" w:rsidR="006A2D71" w:rsidRPr="00C7202C" w:rsidRDefault="002F74AC" w:rsidP="00C7202C">
      <w:pPr>
        <w:numPr>
          <w:ilvl w:val="0"/>
          <w:numId w:val="36"/>
        </w:numPr>
        <w:shd w:val="clear" w:color="auto" w:fill="FFFFFF"/>
        <w:tabs>
          <w:tab w:val="clear" w:pos="720"/>
        </w:tabs>
        <w:spacing w:before="100" w:beforeAutospacing="1" w:after="80" w:line="240" w:lineRule="auto"/>
        <w:ind w:left="0" w:firstLine="0"/>
        <w:rPr>
          <w:rFonts w:ascii="Segoe UI" w:eastAsia="Times New Roman" w:hAnsi="Segoe UI" w:cs="Segoe UI"/>
          <w:szCs w:val="22"/>
          <w:lang w:eastAsia="en-AU"/>
        </w:rPr>
      </w:pPr>
      <w:r w:rsidRPr="00C7202C">
        <w:rPr>
          <w:rFonts w:ascii="Segoe UI" w:eastAsia="Times New Roman" w:hAnsi="Segoe UI" w:cs="Segoe UI"/>
          <w:szCs w:val="22"/>
          <w:lang w:eastAsia="en-AU"/>
        </w:rPr>
        <w:t>Commonwealth funding is primarily directed to organisations via grants (non-competitive and competitive)</w:t>
      </w:r>
      <w:r w:rsidR="00297BDC" w:rsidRPr="00C7202C">
        <w:rPr>
          <w:rFonts w:ascii="Segoe UI" w:eastAsia="Times New Roman" w:hAnsi="Segoe UI" w:cs="Segoe UI"/>
          <w:szCs w:val="22"/>
          <w:lang w:eastAsia="en-AU"/>
        </w:rPr>
        <w:t xml:space="preserve"> and</w:t>
      </w:r>
      <w:r w:rsidRPr="00C7202C">
        <w:rPr>
          <w:rFonts w:ascii="Segoe UI" w:eastAsia="Times New Roman" w:hAnsi="Segoe UI" w:cs="Segoe UI"/>
          <w:szCs w:val="22"/>
          <w:lang w:eastAsia="en-AU"/>
        </w:rPr>
        <w:t xml:space="preserve"> procurements (limited and open tender)</w:t>
      </w:r>
      <w:r w:rsidR="003D3057" w:rsidRPr="00C7202C">
        <w:rPr>
          <w:rFonts w:ascii="Segoe UI" w:eastAsia="Times New Roman" w:hAnsi="Segoe UI" w:cs="Segoe UI"/>
          <w:szCs w:val="22"/>
          <w:lang w:eastAsia="en-AU"/>
        </w:rPr>
        <w:t>.</w:t>
      </w:r>
      <w:r w:rsidRPr="00C7202C">
        <w:rPr>
          <w:rFonts w:ascii="Segoe UI" w:eastAsia="Times New Roman" w:hAnsi="Segoe UI" w:cs="Segoe UI"/>
          <w:szCs w:val="22"/>
          <w:lang w:eastAsia="en-AU"/>
        </w:rPr>
        <w:t xml:space="preserve"> </w:t>
      </w:r>
      <w:r w:rsidR="006A2D71" w:rsidRPr="00C7202C">
        <w:rPr>
          <w:rFonts w:ascii="Segoe UI" w:eastAsia="Times New Roman" w:hAnsi="Segoe UI" w:cs="Segoe UI"/>
          <w:szCs w:val="22"/>
          <w:lang w:eastAsia="en-AU"/>
        </w:rPr>
        <w:t>46 per cent of agreements were limited tender procurements, representing 36 per cent of total funding. Only 10 per cent of agreements were non-competitive grants, but these accounted for 29 per cent total funding, most</w:t>
      </w:r>
      <w:r w:rsidR="00297BDC" w:rsidRPr="00C7202C">
        <w:rPr>
          <w:rFonts w:ascii="Segoe UI" w:eastAsia="Times New Roman" w:hAnsi="Segoe UI" w:cs="Segoe UI"/>
          <w:szCs w:val="22"/>
          <w:lang w:eastAsia="en-AU"/>
        </w:rPr>
        <w:t>ly</w:t>
      </w:r>
      <w:r w:rsidR="00611F66" w:rsidRPr="00C7202C">
        <w:rPr>
          <w:rFonts w:ascii="Segoe UI" w:eastAsia="Times New Roman" w:hAnsi="Segoe UI" w:cs="Segoe UI"/>
          <w:szCs w:val="22"/>
          <w:lang w:eastAsia="en-AU"/>
        </w:rPr>
        <w:t xml:space="preserve"> </w:t>
      </w:r>
      <w:r w:rsidR="006A2D71" w:rsidRPr="00C7202C">
        <w:rPr>
          <w:rFonts w:ascii="Segoe UI" w:eastAsia="Times New Roman" w:hAnsi="Segoe UI" w:cs="Segoe UI"/>
          <w:szCs w:val="22"/>
          <w:lang w:eastAsia="en-AU"/>
        </w:rPr>
        <w:t>for operating funding.</w:t>
      </w:r>
    </w:p>
    <w:p w14:paraId="06E4624D" w14:textId="77777777" w:rsidR="001260ED" w:rsidRPr="00C7202C" w:rsidRDefault="003D3057" w:rsidP="00C7202C">
      <w:pPr>
        <w:numPr>
          <w:ilvl w:val="0"/>
          <w:numId w:val="36"/>
        </w:numPr>
        <w:shd w:val="clear" w:color="auto" w:fill="FFFFFF"/>
        <w:tabs>
          <w:tab w:val="clear" w:pos="720"/>
        </w:tabs>
        <w:spacing w:before="100" w:beforeAutospacing="1" w:after="80" w:line="240" w:lineRule="auto"/>
        <w:ind w:left="0" w:firstLine="0"/>
        <w:rPr>
          <w:rFonts w:ascii="Segoe UI" w:eastAsia="Times New Roman" w:hAnsi="Segoe UI" w:cs="Segoe UI"/>
          <w:szCs w:val="22"/>
          <w:lang w:eastAsia="en-AU"/>
        </w:rPr>
      </w:pPr>
      <w:r w:rsidRPr="00C7202C">
        <w:rPr>
          <w:rFonts w:ascii="Segoe UI" w:eastAsia="Times New Roman" w:hAnsi="Segoe UI" w:cs="Segoe UI"/>
          <w:szCs w:val="22"/>
          <w:lang w:eastAsia="en-AU"/>
        </w:rPr>
        <w:t xml:space="preserve">Stocktake data also shows that </w:t>
      </w:r>
      <w:r w:rsidR="002F74AC" w:rsidRPr="00C7202C">
        <w:rPr>
          <w:rFonts w:ascii="Segoe UI" w:eastAsia="Times New Roman" w:hAnsi="Segoe UI" w:cs="Segoe UI"/>
          <w:szCs w:val="22"/>
          <w:lang w:eastAsia="en-AU"/>
        </w:rPr>
        <w:t xml:space="preserve">other payments </w:t>
      </w:r>
      <w:r w:rsidR="00721138" w:rsidRPr="00C7202C">
        <w:rPr>
          <w:rFonts w:ascii="Segoe UI" w:eastAsia="Times New Roman" w:hAnsi="Segoe UI" w:cs="Segoe UI"/>
          <w:szCs w:val="22"/>
          <w:lang w:eastAsia="en-AU"/>
        </w:rPr>
        <w:t xml:space="preserve">(i.e. </w:t>
      </w:r>
      <w:r w:rsidR="002F74AC" w:rsidRPr="00C7202C">
        <w:rPr>
          <w:rFonts w:ascii="Segoe UI" w:eastAsia="Times New Roman" w:hAnsi="Segoe UI" w:cs="Segoe UI"/>
          <w:szCs w:val="22"/>
          <w:lang w:eastAsia="en-AU"/>
        </w:rPr>
        <w:t>deed of standing offer arrangements and overseas development assistance)</w:t>
      </w:r>
      <w:r w:rsidRPr="00C7202C">
        <w:rPr>
          <w:rFonts w:ascii="Segoe UI" w:eastAsia="Times New Roman" w:hAnsi="Segoe UI" w:cs="Segoe UI"/>
          <w:szCs w:val="22"/>
          <w:lang w:eastAsia="en-AU"/>
        </w:rPr>
        <w:t xml:space="preserve"> were used by departments and agencies</w:t>
      </w:r>
      <w:r w:rsidR="002F74AC" w:rsidRPr="00C7202C">
        <w:rPr>
          <w:rFonts w:ascii="Segoe UI" w:eastAsia="Times New Roman" w:hAnsi="Segoe UI" w:cs="Segoe UI"/>
          <w:szCs w:val="22"/>
          <w:lang w:eastAsia="en-AU"/>
        </w:rPr>
        <w:t xml:space="preserve">. Defence’s Deed of Standing Offer with RAND Australia, worth </w:t>
      </w:r>
      <w:r w:rsidR="00533BCC">
        <w:rPr>
          <w:rFonts w:ascii="Segoe UI" w:eastAsia="Times New Roman" w:hAnsi="Segoe UI" w:cs="Segoe UI"/>
          <w:szCs w:val="22"/>
          <w:lang w:eastAsia="en-AU"/>
        </w:rPr>
        <w:t xml:space="preserve">approximately </w:t>
      </w:r>
      <w:r w:rsidR="002F74AC" w:rsidRPr="00C7202C">
        <w:rPr>
          <w:rFonts w:ascii="Segoe UI" w:eastAsia="Times New Roman" w:hAnsi="Segoe UI" w:cs="Segoe UI"/>
          <w:szCs w:val="22"/>
          <w:lang w:eastAsia="en-AU"/>
        </w:rPr>
        <w:t>$10 million within the Review’s timeframe, accounted for 53% of funding from within the ‘other payment’ category.</w:t>
      </w:r>
    </w:p>
    <w:p w14:paraId="06E4624E" w14:textId="77777777" w:rsidR="00591B0D" w:rsidRDefault="00F161D8" w:rsidP="00591B0D">
      <w:pPr>
        <w:pStyle w:val="Figure"/>
      </w:pPr>
      <w:r>
        <w:t xml:space="preserve">Figure 5: </w:t>
      </w:r>
      <w:r w:rsidR="00591B0D">
        <w:t xml:space="preserve">Percentage of agreements and funding by process </w:t>
      </w:r>
      <w:r w:rsidR="00591B0D" w:rsidRPr="00ED337A">
        <w:t>(2019-2023)</w:t>
      </w:r>
    </w:p>
    <w:p w14:paraId="06E4624F" w14:textId="77777777" w:rsidR="00591B0D" w:rsidRDefault="00F832FC" w:rsidP="00F7064F">
      <w:pPr>
        <w:pStyle w:val="Figure"/>
        <w:ind w:left="0" w:firstLine="0"/>
      </w:pPr>
      <w:r>
        <w:rPr>
          <w:noProof/>
          <w:lang w:eastAsia="en-AU"/>
        </w:rPr>
        <w:drawing>
          <wp:inline distT="0" distB="0" distL="0" distR="0" wp14:anchorId="06E4628E" wp14:editId="06E4628F">
            <wp:extent cx="5700395" cy="3828415"/>
            <wp:effectExtent l="0" t="0" r="0" b="635"/>
            <wp:docPr id="17" name="Picture 17" descr="Per cent of total agreements: 10% non-competitive grants, 30% competitive grants, 46% limited tender, 12% open tender, 2% other payments.&#10;Percent of total funding: 29% non-competitive grants, 20% competitive grants, 36% limited tender, 5% open tender, 10% other pay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00395" cy="3828415"/>
                    </a:xfrm>
                    <a:prstGeom prst="rect">
                      <a:avLst/>
                    </a:prstGeom>
                    <a:noFill/>
                  </pic:spPr>
                </pic:pic>
              </a:graphicData>
            </a:graphic>
          </wp:inline>
        </w:drawing>
      </w:r>
    </w:p>
    <w:p w14:paraId="06E46250" w14:textId="77777777" w:rsidR="00591B0D" w:rsidRPr="001260ED" w:rsidRDefault="00591B0D" w:rsidP="00591B0D">
      <w:pPr>
        <w:pStyle w:val="Heading3"/>
      </w:pPr>
      <w:r>
        <w:t xml:space="preserve">Funding of </w:t>
      </w:r>
      <w:r w:rsidR="00EE1891">
        <w:t>f</w:t>
      </w:r>
      <w:r w:rsidR="002470D9">
        <w:t xml:space="preserve">oreign-based </w:t>
      </w:r>
      <w:r w:rsidR="00EE1891">
        <w:t>o</w:t>
      </w:r>
      <w:r w:rsidR="002470D9">
        <w:t>rganisations</w:t>
      </w:r>
      <w:r>
        <w:t xml:space="preserve"> </w:t>
      </w:r>
    </w:p>
    <w:p w14:paraId="06E46251" w14:textId="77777777" w:rsidR="002F74AC" w:rsidRPr="00C7202C" w:rsidRDefault="002F74AC" w:rsidP="00C7202C">
      <w:pPr>
        <w:numPr>
          <w:ilvl w:val="0"/>
          <w:numId w:val="36"/>
        </w:numPr>
        <w:shd w:val="clear" w:color="auto" w:fill="FFFFFF"/>
        <w:tabs>
          <w:tab w:val="clear" w:pos="720"/>
        </w:tabs>
        <w:spacing w:before="100" w:beforeAutospacing="1" w:after="80" w:line="240" w:lineRule="auto"/>
        <w:ind w:left="0" w:firstLine="0"/>
        <w:rPr>
          <w:rFonts w:ascii="Segoe UI" w:eastAsia="Times New Roman" w:hAnsi="Segoe UI" w:cs="Segoe UI"/>
          <w:szCs w:val="22"/>
          <w:lang w:eastAsia="en-AU"/>
        </w:rPr>
      </w:pPr>
      <w:r w:rsidRPr="00C7202C">
        <w:rPr>
          <w:rFonts w:ascii="Segoe UI" w:eastAsia="Times New Roman" w:hAnsi="Segoe UI" w:cs="Segoe UI"/>
          <w:szCs w:val="22"/>
          <w:lang w:eastAsia="en-AU"/>
        </w:rPr>
        <w:t xml:space="preserve">The data found that only 5 per cent of Commonwealth contracts went to </w:t>
      </w:r>
      <w:r w:rsidR="002470D9" w:rsidRPr="00C7202C">
        <w:rPr>
          <w:rFonts w:ascii="Segoe UI" w:eastAsia="Times New Roman" w:hAnsi="Segoe UI" w:cs="Segoe UI"/>
          <w:szCs w:val="22"/>
          <w:lang w:eastAsia="en-AU"/>
        </w:rPr>
        <w:t xml:space="preserve">foreign-based </w:t>
      </w:r>
      <w:r w:rsidRPr="00C7202C">
        <w:rPr>
          <w:rFonts w:ascii="Segoe UI" w:eastAsia="Times New Roman" w:hAnsi="Segoe UI" w:cs="Segoe UI"/>
          <w:szCs w:val="22"/>
          <w:lang w:eastAsia="en-AU"/>
        </w:rPr>
        <w:t xml:space="preserve">organisations, with a total of 52 contracts over the past five years, totalling $9,136,545 in funding. The Commonwealth funded 40 separate </w:t>
      </w:r>
      <w:r w:rsidR="002470D9" w:rsidRPr="00C7202C">
        <w:rPr>
          <w:rFonts w:ascii="Segoe UI" w:eastAsia="Times New Roman" w:hAnsi="Segoe UI" w:cs="Segoe UI"/>
          <w:szCs w:val="22"/>
          <w:lang w:eastAsia="en-AU"/>
        </w:rPr>
        <w:t xml:space="preserve">foreign-based </w:t>
      </w:r>
      <w:r w:rsidRPr="00C7202C">
        <w:rPr>
          <w:rFonts w:ascii="Segoe UI" w:eastAsia="Times New Roman" w:hAnsi="Segoe UI" w:cs="Segoe UI"/>
          <w:szCs w:val="22"/>
          <w:lang w:eastAsia="en-AU"/>
        </w:rPr>
        <w:t xml:space="preserve">organisations, with only </w:t>
      </w:r>
      <w:r w:rsidR="00297BDC" w:rsidRPr="00C7202C">
        <w:rPr>
          <w:rFonts w:ascii="Segoe UI" w:eastAsia="Times New Roman" w:hAnsi="Segoe UI" w:cs="Segoe UI"/>
          <w:szCs w:val="22"/>
          <w:lang w:eastAsia="en-AU"/>
        </w:rPr>
        <w:t>the International Institute for Strategic Studies</w:t>
      </w:r>
      <w:r w:rsidRPr="00C7202C">
        <w:rPr>
          <w:rFonts w:ascii="Segoe UI" w:eastAsia="Times New Roman" w:hAnsi="Segoe UI" w:cs="Segoe UI"/>
          <w:szCs w:val="22"/>
          <w:lang w:eastAsia="en-AU"/>
        </w:rPr>
        <w:t xml:space="preserve"> receiving greater than $1 million from three separate agreements made over the </w:t>
      </w:r>
      <w:r w:rsidR="0052215F">
        <w:rPr>
          <w:rFonts w:ascii="Segoe UI" w:eastAsia="Times New Roman" w:hAnsi="Segoe UI" w:cs="Segoe UI"/>
          <w:szCs w:val="22"/>
          <w:lang w:eastAsia="en-AU"/>
        </w:rPr>
        <w:t>five year</w:t>
      </w:r>
      <w:r w:rsidRPr="00C7202C">
        <w:rPr>
          <w:rFonts w:ascii="Segoe UI" w:eastAsia="Times New Roman" w:hAnsi="Segoe UI" w:cs="Segoe UI"/>
          <w:szCs w:val="22"/>
          <w:lang w:eastAsia="en-AU"/>
        </w:rPr>
        <w:t xml:space="preserve"> timeframe. Most payments to </w:t>
      </w:r>
      <w:r w:rsidR="002470D9" w:rsidRPr="00C7202C">
        <w:rPr>
          <w:rFonts w:ascii="Segoe UI" w:eastAsia="Times New Roman" w:hAnsi="Segoe UI" w:cs="Segoe UI"/>
          <w:szCs w:val="22"/>
          <w:lang w:eastAsia="en-AU"/>
        </w:rPr>
        <w:t xml:space="preserve">foreign-based </w:t>
      </w:r>
      <w:r w:rsidRPr="00C7202C">
        <w:rPr>
          <w:rFonts w:ascii="Segoe UI" w:eastAsia="Times New Roman" w:hAnsi="Segoe UI" w:cs="Segoe UI"/>
          <w:szCs w:val="22"/>
          <w:lang w:eastAsia="en-AU"/>
        </w:rPr>
        <w:t>organisations were small in scale, with average payments around $228,000.</w:t>
      </w:r>
      <w:r w:rsidR="000912D5" w:rsidRPr="00C7202C">
        <w:rPr>
          <w:rFonts w:ascii="Segoe UI" w:eastAsia="Times New Roman" w:hAnsi="Segoe UI" w:cs="Segoe UI"/>
          <w:szCs w:val="22"/>
          <w:lang w:eastAsia="en-AU"/>
        </w:rPr>
        <w:t xml:space="preserve"> </w:t>
      </w:r>
    </w:p>
    <w:p w14:paraId="06E46252" w14:textId="77777777" w:rsidR="0034303A" w:rsidRDefault="0034303A" w:rsidP="00591B0D">
      <w:pPr>
        <w:pStyle w:val="Figure"/>
      </w:pPr>
    </w:p>
    <w:p w14:paraId="06E46253" w14:textId="77777777" w:rsidR="0034303A" w:rsidRDefault="0034303A" w:rsidP="00591B0D">
      <w:pPr>
        <w:pStyle w:val="Figure"/>
      </w:pPr>
    </w:p>
    <w:p w14:paraId="06E46254" w14:textId="77777777" w:rsidR="0034303A" w:rsidRDefault="0034303A" w:rsidP="00591B0D">
      <w:pPr>
        <w:pStyle w:val="Figure"/>
      </w:pPr>
    </w:p>
    <w:p w14:paraId="06E46255" w14:textId="77777777" w:rsidR="00591B0D" w:rsidRPr="00681C7F" w:rsidRDefault="00F161D8" w:rsidP="00591B0D">
      <w:pPr>
        <w:pStyle w:val="Figure"/>
      </w:pPr>
      <w:r>
        <w:lastRenderedPageBreak/>
        <w:t xml:space="preserve">Figure 6: </w:t>
      </w:r>
      <w:r w:rsidR="00591B0D">
        <w:t>Department/</w:t>
      </w:r>
      <w:r w:rsidR="001B3231">
        <w:t>a</w:t>
      </w:r>
      <w:r w:rsidR="00591B0D">
        <w:t xml:space="preserve">gency funding of </w:t>
      </w:r>
      <w:r w:rsidR="002470D9">
        <w:t xml:space="preserve">foreign-based </w:t>
      </w:r>
      <w:r w:rsidR="00591B0D">
        <w:t>organisations (2019-2023)</w:t>
      </w:r>
    </w:p>
    <w:tbl>
      <w:tblPr>
        <w:tblStyle w:val="Custom1"/>
        <w:tblW w:w="8309" w:type="dxa"/>
        <w:tblLook w:val="04A0" w:firstRow="1" w:lastRow="0" w:firstColumn="1" w:lastColumn="0" w:noHBand="0" w:noVBand="1"/>
      </w:tblPr>
      <w:tblGrid>
        <w:gridCol w:w="5103"/>
        <w:gridCol w:w="1363"/>
        <w:gridCol w:w="1843"/>
      </w:tblGrid>
      <w:tr w:rsidR="00591B0D" w:rsidRPr="0007501E" w14:paraId="06E46259" w14:textId="77777777" w:rsidTr="009263C0">
        <w:trPr>
          <w:cnfStyle w:val="100000000000" w:firstRow="1" w:lastRow="0" w:firstColumn="0" w:lastColumn="0" w:oddVBand="0" w:evenVBand="0" w:oddHBand="0" w:evenHBand="0" w:firstRowFirstColumn="0" w:firstRowLastColumn="0" w:lastRowFirstColumn="0" w:lastRowLastColumn="0"/>
          <w:trHeight w:val="300"/>
          <w:tblHeader/>
        </w:trPr>
        <w:tc>
          <w:tcPr>
            <w:tcW w:w="5103" w:type="dxa"/>
            <w:noWrap/>
            <w:hideMark/>
          </w:tcPr>
          <w:p w14:paraId="06E46256" w14:textId="77777777" w:rsidR="00591B0D" w:rsidRPr="0007501E" w:rsidRDefault="00591B0D" w:rsidP="006D359D">
            <w:pPr>
              <w:rPr>
                <w:rFonts w:eastAsia="Times New Roman"/>
                <w:lang w:eastAsia="en-AU"/>
              </w:rPr>
            </w:pPr>
            <w:r>
              <w:rPr>
                <w:rFonts w:eastAsia="Times New Roman"/>
                <w:lang w:eastAsia="en-AU"/>
              </w:rPr>
              <w:t>Department/Agency</w:t>
            </w:r>
          </w:p>
        </w:tc>
        <w:tc>
          <w:tcPr>
            <w:tcW w:w="1363" w:type="dxa"/>
            <w:noWrap/>
            <w:hideMark/>
          </w:tcPr>
          <w:p w14:paraId="06E46257" w14:textId="77777777" w:rsidR="00591B0D" w:rsidRPr="0007501E" w:rsidRDefault="00591B0D" w:rsidP="006D359D">
            <w:pPr>
              <w:rPr>
                <w:rFonts w:eastAsia="Times New Roman"/>
                <w:lang w:eastAsia="en-AU"/>
              </w:rPr>
            </w:pPr>
            <w:r w:rsidRPr="0007501E">
              <w:rPr>
                <w:rFonts w:eastAsia="Times New Roman"/>
                <w:lang w:eastAsia="en-AU"/>
              </w:rPr>
              <w:t xml:space="preserve">Number of </w:t>
            </w:r>
            <w:r>
              <w:rPr>
                <w:rFonts w:eastAsia="Times New Roman"/>
                <w:lang w:eastAsia="en-AU"/>
              </w:rPr>
              <w:t>Agreements</w:t>
            </w:r>
          </w:p>
        </w:tc>
        <w:tc>
          <w:tcPr>
            <w:tcW w:w="1843" w:type="dxa"/>
            <w:noWrap/>
            <w:hideMark/>
          </w:tcPr>
          <w:p w14:paraId="06E46258" w14:textId="77777777" w:rsidR="00591B0D" w:rsidRPr="0007501E" w:rsidRDefault="00591B0D" w:rsidP="006D359D">
            <w:pPr>
              <w:rPr>
                <w:rFonts w:eastAsia="Times New Roman"/>
                <w:lang w:eastAsia="en-AU"/>
              </w:rPr>
            </w:pPr>
            <w:r w:rsidRPr="0007501E">
              <w:rPr>
                <w:rFonts w:eastAsia="Times New Roman"/>
                <w:lang w:eastAsia="en-AU"/>
              </w:rPr>
              <w:t>Combined Funding</w:t>
            </w:r>
          </w:p>
        </w:tc>
      </w:tr>
      <w:tr w:rsidR="00591B0D" w:rsidRPr="0007501E" w14:paraId="06E4625D" w14:textId="77777777" w:rsidTr="00F832FC">
        <w:trPr>
          <w:cnfStyle w:val="000000100000" w:firstRow="0" w:lastRow="0" w:firstColumn="0" w:lastColumn="0" w:oddVBand="0" w:evenVBand="0" w:oddHBand="1" w:evenHBand="0" w:firstRowFirstColumn="0" w:firstRowLastColumn="0" w:lastRowFirstColumn="0" w:lastRowLastColumn="0"/>
          <w:trHeight w:val="300"/>
        </w:trPr>
        <w:tc>
          <w:tcPr>
            <w:tcW w:w="5103" w:type="dxa"/>
            <w:noWrap/>
            <w:hideMark/>
          </w:tcPr>
          <w:p w14:paraId="06E4625A" w14:textId="77777777" w:rsidR="00591B0D" w:rsidRPr="0007501E" w:rsidRDefault="00591B0D" w:rsidP="006D359D">
            <w:pPr>
              <w:rPr>
                <w:rFonts w:eastAsia="Times New Roman"/>
                <w:lang w:eastAsia="en-AU"/>
              </w:rPr>
            </w:pPr>
            <w:r w:rsidRPr="0007501E">
              <w:rPr>
                <w:rFonts w:eastAsia="Times New Roman"/>
                <w:lang w:eastAsia="en-AU"/>
              </w:rPr>
              <w:t>Defence</w:t>
            </w:r>
          </w:p>
        </w:tc>
        <w:tc>
          <w:tcPr>
            <w:tcW w:w="1363" w:type="dxa"/>
            <w:noWrap/>
            <w:hideMark/>
          </w:tcPr>
          <w:p w14:paraId="06E4625B" w14:textId="77777777" w:rsidR="00591B0D" w:rsidRPr="0007501E" w:rsidRDefault="00591B0D" w:rsidP="006D359D">
            <w:pPr>
              <w:rPr>
                <w:rFonts w:eastAsia="Times New Roman"/>
                <w:lang w:eastAsia="en-AU"/>
              </w:rPr>
            </w:pPr>
            <w:r>
              <w:rPr>
                <w:rFonts w:eastAsia="Times New Roman"/>
                <w:lang w:eastAsia="en-AU"/>
              </w:rPr>
              <w:t>20</w:t>
            </w:r>
          </w:p>
        </w:tc>
        <w:tc>
          <w:tcPr>
            <w:tcW w:w="1843" w:type="dxa"/>
            <w:noWrap/>
            <w:hideMark/>
          </w:tcPr>
          <w:p w14:paraId="06E4625C" w14:textId="77777777" w:rsidR="00591B0D" w:rsidRPr="0007501E" w:rsidRDefault="00591B0D" w:rsidP="006D359D">
            <w:pPr>
              <w:rPr>
                <w:rFonts w:eastAsia="Times New Roman"/>
                <w:lang w:eastAsia="en-AU"/>
              </w:rPr>
            </w:pPr>
            <w:r w:rsidRPr="0007501E">
              <w:rPr>
                <w:rFonts w:eastAsia="Times New Roman"/>
                <w:lang w:eastAsia="en-AU"/>
              </w:rPr>
              <w:t>$</w:t>
            </w:r>
            <w:r>
              <w:rPr>
                <w:rFonts w:eastAsia="Times New Roman"/>
                <w:lang w:eastAsia="en-AU"/>
              </w:rPr>
              <w:t>3,930,886</w:t>
            </w:r>
          </w:p>
        </w:tc>
      </w:tr>
      <w:tr w:rsidR="00591B0D" w:rsidRPr="0007501E" w14:paraId="06E46261" w14:textId="77777777" w:rsidTr="00F832FC">
        <w:trPr>
          <w:trHeight w:val="300"/>
        </w:trPr>
        <w:tc>
          <w:tcPr>
            <w:tcW w:w="5103" w:type="dxa"/>
            <w:noWrap/>
            <w:hideMark/>
          </w:tcPr>
          <w:p w14:paraId="06E4625E" w14:textId="77777777" w:rsidR="00591B0D" w:rsidRPr="0007501E" w:rsidRDefault="00591B0D" w:rsidP="006D359D">
            <w:pPr>
              <w:rPr>
                <w:rFonts w:eastAsia="Times New Roman"/>
                <w:lang w:eastAsia="en-AU"/>
              </w:rPr>
            </w:pPr>
            <w:r>
              <w:rPr>
                <w:rFonts w:eastAsia="Times New Roman"/>
                <w:lang w:eastAsia="en-AU"/>
              </w:rPr>
              <w:t>DFAT</w:t>
            </w:r>
          </w:p>
        </w:tc>
        <w:tc>
          <w:tcPr>
            <w:tcW w:w="1363" w:type="dxa"/>
            <w:noWrap/>
            <w:hideMark/>
          </w:tcPr>
          <w:p w14:paraId="06E4625F" w14:textId="77777777" w:rsidR="00591B0D" w:rsidRPr="0007501E" w:rsidRDefault="00591B0D" w:rsidP="006D359D">
            <w:pPr>
              <w:rPr>
                <w:rFonts w:eastAsia="Times New Roman"/>
                <w:lang w:eastAsia="en-AU"/>
              </w:rPr>
            </w:pPr>
            <w:r>
              <w:rPr>
                <w:rFonts w:eastAsia="Times New Roman"/>
                <w:lang w:eastAsia="en-AU"/>
              </w:rPr>
              <w:t>17</w:t>
            </w:r>
          </w:p>
        </w:tc>
        <w:tc>
          <w:tcPr>
            <w:tcW w:w="1843" w:type="dxa"/>
            <w:noWrap/>
            <w:hideMark/>
          </w:tcPr>
          <w:p w14:paraId="06E46260" w14:textId="77777777" w:rsidR="00591B0D" w:rsidRPr="0007501E" w:rsidRDefault="00591B0D" w:rsidP="006D359D">
            <w:pPr>
              <w:rPr>
                <w:rFonts w:eastAsia="Times New Roman"/>
                <w:lang w:eastAsia="en-AU"/>
              </w:rPr>
            </w:pPr>
            <w:r w:rsidRPr="0007501E">
              <w:rPr>
                <w:rFonts w:eastAsia="Times New Roman"/>
                <w:lang w:eastAsia="en-AU"/>
              </w:rPr>
              <w:t>$</w:t>
            </w:r>
            <w:r>
              <w:rPr>
                <w:rFonts w:eastAsia="Times New Roman"/>
                <w:lang w:eastAsia="en-AU"/>
              </w:rPr>
              <w:t>3,431,645</w:t>
            </w:r>
          </w:p>
        </w:tc>
      </w:tr>
      <w:tr w:rsidR="00591B0D" w:rsidRPr="0007501E" w14:paraId="06E46265" w14:textId="77777777" w:rsidTr="00F832FC">
        <w:trPr>
          <w:cnfStyle w:val="000000100000" w:firstRow="0" w:lastRow="0" w:firstColumn="0" w:lastColumn="0" w:oddVBand="0" w:evenVBand="0" w:oddHBand="1" w:evenHBand="0" w:firstRowFirstColumn="0" w:firstRowLastColumn="0" w:lastRowFirstColumn="0" w:lastRowLastColumn="0"/>
          <w:trHeight w:val="300"/>
        </w:trPr>
        <w:tc>
          <w:tcPr>
            <w:tcW w:w="5103" w:type="dxa"/>
            <w:noWrap/>
            <w:hideMark/>
          </w:tcPr>
          <w:p w14:paraId="06E46262" w14:textId="77777777" w:rsidR="00591B0D" w:rsidRPr="0007501E" w:rsidRDefault="00591B0D" w:rsidP="006D359D">
            <w:pPr>
              <w:rPr>
                <w:rFonts w:eastAsia="Times New Roman"/>
                <w:lang w:eastAsia="en-AU"/>
              </w:rPr>
            </w:pPr>
            <w:r w:rsidRPr="0007501E">
              <w:rPr>
                <w:rFonts w:eastAsia="Times New Roman"/>
                <w:lang w:eastAsia="en-AU"/>
              </w:rPr>
              <w:t>Home Affairs</w:t>
            </w:r>
          </w:p>
        </w:tc>
        <w:tc>
          <w:tcPr>
            <w:tcW w:w="1363" w:type="dxa"/>
            <w:noWrap/>
            <w:hideMark/>
          </w:tcPr>
          <w:p w14:paraId="06E46263" w14:textId="77777777" w:rsidR="00591B0D" w:rsidRPr="0007501E" w:rsidRDefault="00591B0D" w:rsidP="006D359D">
            <w:pPr>
              <w:rPr>
                <w:rFonts w:eastAsia="Times New Roman"/>
                <w:lang w:eastAsia="en-AU"/>
              </w:rPr>
            </w:pPr>
            <w:r>
              <w:rPr>
                <w:rFonts w:eastAsia="Times New Roman"/>
                <w:lang w:eastAsia="en-AU"/>
              </w:rPr>
              <w:t>13</w:t>
            </w:r>
          </w:p>
        </w:tc>
        <w:tc>
          <w:tcPr>
            <w:tcW w:w="1843" w:type="dxa"/>
            <w:noWrap/>
            <w:hideMark/>
          </w:tcPr>
          <w:p w14:paraId="06E46264" w14:textId="77777777" w:rsidR="00591B0D" w:rsidRPr="0007501E" w:rsidRDefault="00591B0D" w:rsidP="006D359D">
            <w:pPr>
              <w:rPr>
                <w:rFonts w:eastAsia="Times New Roman"/>
                <w:lang w:eastAsia="en-AU"/>
              </w:rPr>
            </w:pPr>
            <w:r w:rsidRPr="0007501E">
              <w:rPr>
                <w:rFonts w:eastAsia="Times New Roman"/>
                <w:lang w:eastAsia="en-AU"/>
              </w:rPr>
              <w:t>$</w:t>
            </w:r>
            <w:r>
              <w:rPr>
                <w:rFonts w:eastAsia="Times New Roman"/>
                <w:lang w:eastAsia="en-AU"/>
              </w:rPr>
              <w:t>1,365,377</w:t>
            </w:r>
          </w:p>
        </w:tc>
      </w:tr>
      <w:tr w:rsidR="00591B0D" w:rsidRPr="0007501E" w14:paraId="06E46269" w14:textId="77777777" w:rsidTr="00F832FC">
        <w:trPr>
          <w:trHeight w:val="300"/>
        </w:trPr>
        <w:tc>
          <w:tcPr>
            <w:tcW w:w="5103" w:type="dxa"/>
            <w:noWrap/>
            <w:hideMark/>
          </w:tcPr>
          <w:p w14:paraId="06E46266" w14:textId="77777777" w:rsidR="00591B0D" w:rsidRPr="0007501E" w:rsidRDefault="00591B0D" w:rsidP="006D359D">
            <w:pPr>
              <w:rPr>
                <w:rFonts w:eastAsia="Times New Roman"/>
                <w:lang w:eastAsia="en-AU"/>
              </w:rPr>
            </w:pPr>
            <w:r>
              <w:rPr>
                <w:rFonts w:eastAsia="Times New Roman"/>
                <w:lang w:eastAsia="en-AU"/>
              </w:rPr>
              <w:t>ONI</w:t>
            </w:r>
          </w:p>
        </w:tc>
        <w:tc>
          <w:tcPr>
            <w:tcW w:w="1363" w:type="dxa"/>
            <w:noWrap/>
            <w:hideMark/>
          </w:tcPr>
          <w:p w14:paraId="06E46267" w14:textId="77777777" w:rsidR="00591B0D" w:rsidRPr="0007501E" w:rsidRDefault="00591B0D" w:rsidP="006D359D">
            <w:pPr>
              <w:rPr>
                <w:rFonts w:eastAsia="Times New Roman"/>
                <w:lang w:eastAsia="en-AU"/>
              </w:rPr>
            </w:pPr>
            <w:r>
              <w:rPr>
                <w:rFonts w:eastAsia="Times New Roman"/>
                <w:lang w:eastAsia="en-AU"/>
              </w:rPr>
              <w:t>1</w:t>
            </w:r>
          </w:p>
        </w:tc>
        <w:tc>
          <w:tcPr>
            <w:tcW w:w="1843" w:type="dxa"/>
            <w:noWrap/>
            <w:hideMark/>
          </w:tcPr>
          <w:p w14:paraId="06E46268" w14:textId="77777777" w:rsidR="00591B0D" w:rsidRPr="0007501E" w:rsidRDefault="00591B0D" w:rsidP="006D359D">
            <w:pPr>
              <w:rPr>
                <w:rFonts w:eastAsia="Times New Roman"/>
                <w:lang w:eastAsia="en-AU"/>
              </w:rPr>
            </w:pPr>
            <w:r>
              <w:rPr>
                <w:rFonts w:eastAsia="Times New Roman"/>
                <w:lang w:eastAsia="en-AU"/>
              </w:rPr>
              <w:t>$363,636</w:t>
            </w:r>
          </w:p>
        </w:tc>
      </w:tr>
      <w:tr w:rsidR="00591B0D" w:rsidRPr="0007501E" w14:paraId="06E4626D" w14:textId="77777777" w:rsidTr="00F832FC">
        <w:trPr>
          <w:cnfStyle w:val="000000100000" w:firstRow="0" w:lastRow="0" w:firstColumn="0" w:lastColumn="0" w:oddVBand="0" w:evenVBand="0" w:oddHBand="1" w:evenHBand="0" w:firstRowFirstColumn="0" w:firstRowLastColumn="0" w:lastRowFirstColumn="0" w:lastRowLastColumn="0"/>
          <w:trHeight w:val="300"/>
        </w:trPr>
        <w:tc>
          <w:tcPr>
            <w:tcW w:w="5103" w:type="dxa"/>
            <w:noWrap/>
          </w:tcPr>
          <w:p w14:paraId="06E4626A" w14:textId="77777777" w:rsidR="00591B0D" w:rsidRPr="0007501E" w:rsidRDefault="00591B0D" w:rsidP="006D359D">
            <w:pPr>
              <w:rPr>
                <w:rFonts w:eastAsia="Times New Roman"/>
                <w:lang w:eastAsia="en-AU"/>
              </w:rPr>
            </w:pPr>
            <w:r>
              <w:rPr>
                <w:rFonts w:eastAsia="Times New Roman"/>
                <w:lang w:eastAsia="en-AU"/>
              </w:rPr>
              <w:t>Treasury</w:t>
            </w:r>
          </w:p>
        </w:tc>
        <w:tc>
          <w:tcPr>
            <w:tcW w:w="1363" w:type="dxa"/>
            <w:noWrap/>
          </w:tcPr>
          <w:p w14:paraId="06E4626B" w14:textId="77777777" w:rsidR="00591B0D" w:rsidRPr="0007501E" w:rsidRDefault="00591B0D" w:rsidP="006D359D">
            <w:pPr>
              <w:rPr>
                <w:rFonts w:eastAsia="Times New Roman"/>
                <w:lang w:eastAsia="en-AU"/>
              </w:rPr>
            </w:pPr>
            <w:r>
              <w:rPr>
                <w:rFonts w:eastAsia="Times New Roman"/>
                <w:lang w:eastAsia="en-AU"/>
              </w:rPr>
              <w:t>1</w:t>
            </w:r>
          </w:p>
        </w:tc>
        <w:tc>
          <w:tcPr>
            <w:tcW w:w="1843" w:type="dxa"/>
            <w:noWrap/>
          </w:tcPr>
          <w:p w14:paraId="06E4626C" w14:textId="77777777" w:rsidR="00591B0D" w:rsidRPr="0007501E" w:rsidRDefault="00591B0D" w:rsidP="006D359D">
            <w:pPr>
              <w:rPr>
                <w:rFonts w:eastAsia="Times New Roman"/>
                <w:lang w:eastAsia="en-AU"/>
              </w:rPr>
            </w:pPr>
            <w:r>
              <w:rPr>
                <w:rFonts w:eastAsia="Times New Roman"/>
                <w:lang w:eastAsia="en-AU"/>
              </w:rPr>
              <w:t>$45,000</w:t>
            </w:r>
          </w:p>
        </w:tc>
      </w:tr>
    </w:tbl>
    <w:p w14:paraId="06E4626E" w14:textId="77777777" w:rsidR="00591B0D" w:rsidRPr="00C7202C" w:rsidRDefault="00591B0D" w:rsidP="00C7202C">
      <w:pPr>
        <w:numPr>
          <w:ilvl w:val="0"/>
          <w:numId w:val="36"/>
        </w:numPr>
        <w:shd w:val="clear" w:color="auto" w:fill="FFFFFF"/>
        <w:tabs>
          <w:tab w:val="clear" w:pos="720"/>
        </w:tabs>
        <w:spacing w:before="100" w:beforeAutospacing="1" w:after="80" w:line="240" w:lineRule="auto"/>
        <w:ind w:left="0" w:firstLine="0"/>
        <w:rPr>
          <w:rFonts w:ascii="Segoe UI" w:eastAsia="Times New Roman" w:hAnsi="Segoe UI" w:cs="Segoe UI"/>
          <w:szCs w:val="22"/>
          <w:lang w:eastAsia="en-AU"/>
        </w:rPr>
      </w:pPr>
      <w:r w:rsidRPr="00C7202C">
        <w:rPr>
          <w:rFonts w:ascii="Segoe UI" w:eastAsia="Times New Roman" w:hAnsi="Segoe UI" w:cs="Segoe UI"/>
          <w:szCs w:val="22"/>
          <w:lang w:eastAsia="en-AU"/>
        </w:rPr>
        <w:t xml:space="preserve">Most agreements </w:t>
      </w:r>
      <w:r w:rsidR="002470D9" w:rsidRPr="00C7202C">
        <w:rPr>
          <w:rFonts w:ascii="Segoe UI" w:eastAsia="Times New Roman" w:hAnsi="Segoe UI" w:cs="Segoe UI"/>
          <w:szCs w:val="22"/>
          <w:lang w:eastAsia="en-AU"/>
        </w:rPr>
        <w:t xml:space="preserve">to foreign-based organisations </w:t>
      </w:r>
      <w:r w:rsidRPr="00C7202C">
        <w:rPr>
          <w:rFonts w:ascii="Segoe UI" w:eastAsia="Times New Roman" w:hAnsi="Segoe UI" w:cs="Segoe UI"/>
          <w:szCs w:val="22"/>
          <w:lang w:eastAsia="en-AU"/>
        </w:rPr>
        <w:t xml:space="preserve">were arranged </w:t>
      </w:r>
      <w:r w:rsidR="003D3AEE">
        <w:rPr>
          <w:rFonts w:ascii="Segoe UI" w:eastAsia="Times New Roman" w:hAnsi="Segoe UI" w:cs="Segoe UI"/>
          <w:szCs w:val="22"/>
          <w:lang w:eastAsia="en-AU"/>
        </w:rPr>
        <w:t>through competitive processes (4</w:t>
      </w:r>
      <w:r w:rsidRPr="00C7202C">
        <w:rPr>
          <w:rFonts w:ascii="Segoe UI" w:eastAsia="Times New Roman" w:hAnsi="Segoe UI" w:cs="Segoe UI"/>
          <w:szCs w:val="22"/>
          <w:lang w:eastAsia="en-AU"/>
        </w:rPr>
        <w:t xml:space="preserve">6 per cent), meaning </w:t>
      </w:r>
      <w:r w:rsidR="002470D9" w:rsidRPr="00C7202C">
        <w:rPr>
          <w:rFonts w:ascii="Segoe UI" w:eastAsia="Times New Roman" w:hAnsi="Segoe UI" w:cs="Segoe UI"/>
          <w:szCs w:val="22"/>
          <w:lang w:eastAsia="en-AU"/>
        </w:rPr>
        <w:t xml:space="preserve">they </w:t>
      </w:r>
      <w:r w:rsidRPr="00C7202C">
        <w:rPr>
          <w:rFonts w:ascii="Segoe UI" w:eastAsia="Times New Roman" w:hAnsi="Segoe UI" w:cs="Segoe UI"/>
          <w:szCs w:val="22"/>
          <w:lang w:eastAsia="en-AU"/>
        </w:rPr>
        <w:t xml:space="preserve">were </w:t>
      </w:r>
      <w:r w:rsidR="00002B58" w:rsidRPr="00C7202C">
        <w:rPr>
          <w:rFonts w:ascii="Segoe UI" w:eastAsia="Times New Roman" w:hAnsi="Segoe UI" w:cs="Segoe UI"/>
          <w:szCs w:val="22"/>
          <w:lang w:eastAsia="en-AU"/>
        </w:rPr>
        <w:t xml:space="preserve">mostly </w:t>
      </w:r>
      <w:r w:rsidRPr="00C7202C">
        <w:rPr>
          <w:rFonts w:ascii="Segoe UI" w:eastAsia="Times New Roman" w:hAnsi="Segoe UI" w:cs="Segoe UI"/>
          <w:szCs w:val="22"/>
          <w:lang w:eastAsia="en-AU"/>
        </w:rPr>
        <w:t>awarded funding on merit against the respective grant opportunity guidelines or tender documentation.</w:t>
      </w:r>
    </w:p>
    <w:p w14:paraId="06E4626F" w14:textId="77777777" w:rsidR="00591B0D" w:rsidRDefault="00F161D8" w:rsidP="00591B0D">
      <w:pPr>
        <w:pStyle w:val="Figure"/>
      </w:pPr>
      <w:r>
        <w:t xml:space="preserve">Figure 7: </w:t>
      </w:r>
      <w:r w:rsidR="00591B0D">
        <w:t xml:space="preserve">Split of </w:t>
      </w:r>
      <w:r w:rsidR="001B3231">
        <w:t>f</w:t>
      </w:r>
      <w:r w:rsidR="00591B0D">
        <w:t xml:space="preserve">unding to </w:t>
      </w:r>
      <w:r w:rsidR="001B3231">
        <w:t>foreign-based</w:t>
      </w:r>
      <w:r w:rsidR="00591B0D">
        <w:t xml:space="preserve"> </w:t>
      </w:r>
      <w:r w:rsidR="001B3231">
        <w:t>o</w:t>
      </w:r>
      <w:r w:rsidR="00591B0D">
        <w:t xml:space="preserve">rganisations by </w:t>
      </w:r>
      <w:r w:rsidR="001B3231">
        <w:t>p</w:t>
      </w:r>
      <w:r w:rsidR="00591B0D">
        <w:t xml:space="preserve">rocess </w:t>
      </w:r>
      <w:r w:rsidR="00591B0D" w:rsidRPr="00ED337A">
        <w:t>(2019-2023)</w:t>
      </w:r>
    </w:p>
    <w:p w14:paraId="06E46270" w14:textId="77777777" w:rsidR="00591B0D" w:rsidRDefault="003D3AEE" w:rsidP="00133AC0">
      <w:pPr>
        <w:pStyle w:val="Figure"/>
      </w:pPr>
      <w:r>
        <w:rPr>
          <w:noProof/>
          <w:lang w:eastAsia="en-AU"/>
        </w:rPr>
        <w:drawing>
          <wp:inline distT="0" distB="0" distL="0" distR="0" wp14:anchorId="06E46290" wp14:editId="06E46291">
            <wp:extent cx="5742930" cy="4316342"/>
            <wp:effectExtent l="0" t="0" r="0" b="0"/>
            <wp:docPr id="9" name="Picture 9" descr="Total funding to foreign-based organisations was $9,136,545. 46% of this funding was arranged through competitive grants with $4,205,102. 24% of this funding was arranged through non-competitive grants with $2,216,710. 22% of this funding was arranged through limited tender with $1,963,513. 8% of this funding was arranged through open tender with $751,2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4-392-Varghese-Review-Charts-Transparent-International final.png"/>
                    <pic:cNvPicPr/>
                  </pic:nvPicPr>
                  <pic:blipFill>
                    <a:blip r:embed="rId26">
                      <a:extLst>
                        <a:ext uri="{28A0092B-C50C-407E-A947-70E740481C1C}">
                          <a14:useLocalDpi xmlns:a14="http://schemas.microsoft.com/office/drawing/2010/main" val="0"/>
                        </a:ext>
                      </a:extLst>
                    </a:blip>
                    <a:stretch>
                      <a:fillRect/>
                    </a:stretch>
                  </pic:blipFill>
                  <pic:spPr>
                    <a:xfrm>
                      <a:off x="0" y="0"/>
                      <a:ext cx="5742930" cy="4316342"/>
                    </a:xfrm>
                    <a:prstGeom prst="rect">
                      <a:avLst/>
                    </a:prstGeom>
                  </pic:spPr>
                </pic:pic>
              </a:graphicData>
            </a:graphic>
          </wp:inline>
        </w:drawing>
      </w:r>
    </w:p>
    <w:p w14:paraId="06E46271" w14:textId="77777777" w:rsidR="00591B0D" w:rsidRDefault="00591B0D" w:rsidP="00591B0D">
      <w:pPr>
        <w:spacing w:before="240"/>
      </w:pPr>
    </w:p>
    <w:p w14:paraId="06E46272" w14:textId="77777777" w:rsidR="00F246D4" w:rsidRDefault="00F246D4" w:rsidP="00CB3743">
      <w:pPr>
        <w:sectPr w:rsidR="00F246D4" w:rsidSect="00C30D4B">
          <w:pgSz w:w="11906" w:h="16838"/>
          <w:pgMar w:top="993" w:right="1134" w:bottom="993" w:left="1134" w:header="426" w:footer="439" w:gutter="0"/>
          <w:cols w:space="708"/>
          <w:docGrid w:linePitch="360"/>
        </w:sectPr>
      </w:pPr>
    </w:p>
    <w:p w14:paraId="06E46273" w14:textId="77777777" w:rsidR="000056AA" w:rsidRDefault="000056AA" w:rsidP="00761CDC">
      <w:pPr>
        <w:pStyle w:val="Heading2"/>
      </w:pPr>
      <w:bookmarkStart w:id="172" w:name="_Toc170980572"/>
      <w:bookmarkStart w:id="173" w:name="_Toc171004286"/>
      <w:bookmarkStart w:id="174" w:name="_Toc171075008"/>
      <w:bookmarkStart w:id="175" w:name="_Toc172665615"/>
      <w:r w:rsidRPr="000E416D">
        <w:lastRenderedPageBreak/>
        <w:t>Attachment E: Declaration of interests</w:t>
      </w:r>
      <w:bookmarkEnd w:id="172"/>
      <w:bookmarkEnd w:id="173"/>
      <w:bookmarkEnd w:id="174"/>
      <w:bookmarkEnd w:id="175"/>
    </w:p>
    <w:p w14:paraId="06E46274" w14:textId="77777777" w:rsidR="001260ED" w:rsidRPr="00002621" w:rsidRDefault="001260ED" w:rsidP="00002621">
      <w:pPr>
        <w:shd w:val="clear" w:color="auto" w:fill="FFFFFF"/>
        <w:spacing w:before="100" w:beforeAutospacing="1" w:after="80" w:line="240" w:lineRule="auto"/>
        <w:rPr>
          <w:rFonts w:ascii="Segoe UI" w:eastAsia="Times New Roman" w:hAnsi="Segoe UI" w:cs="Segoe UI"/>
          <w:szCs w:val="22"/>
          <w:lang w:eastAsia="en-AU"/>
        </w:rPr>
      </w:pPr>
      <w:r w:rsidRPr="00002621">
        <w:rPr>
          <w:rFonts w:ascii="Segoe UI" w:eastAsia="Times New Roman" w:hAnsi="Segoe UI" w:cs="Segoe UI"/>
          <w:szCs w:val="22"/>
          <w:lang w:eastAsia="en-AU"/>
        </w:rPr>
        <w:t>Over the course of my career, I have been involved with m</w:t>
      </w:r>
      <w:r w:rsidR="00281536" w:rsidRPr="00002621">
        <w:rPr>
          <w:rFonts w:ascii="Segoe UI" w:eastAsia="Times New Roman" w:hAnsi="Segoe UI" w:cs="Segoe UI"/>
          <w:szCs w:val="22"/>
          <w:lang w:eastAsia="en-AU"/>
        </w:rPr>
        <w:t>ost</w:t>
      </w:r>
      <w:r w:rsidRPr="00002621">
        <w:rPr>
          <w:rFonts w:ascii="Segoe UI" w:eastAsia="Times New Roman" w:hAnsi="Segoe UI" w:cs="Segoe UI"/>
          <w:szCs w:val="22"/>
          <w:lang w:eastAsia="en-AU"/>
        </w:rPr>
        <w:t xml:space="preserve"> of the organisations captured by the Terms of Reference of this Review.</w:t>
      </w:r>
    </w:p>
    <w:p w14:paraId="06E46275" w14:textId="77777777" w:rsidR="001260ED" w:rsidRPr="00002621" w:rsidRDefault="001260ED" w:rsidP="00002621">
      <w:pPr>
        <w:shd w:val="clear" w:color="auto" w:fill="FFFFFF"/>
        <w:spacing w:before="100" w:beforeAutospacing="1" w:after="80" w:line="240" w:lineRule="auto"/>
        <w:rPr>
          <w:rFonts w:ascii="Segoe UI" w:eastAsia="Times New Roman" w:hAnsi="Segoe UI" w:cs="Segoe UI"/>
          <w:szCs w:val="22"/>
          <w:lang w:eastAsia="en-AU"/>
        </w:rPr>
      </w:pPr>
      <w:r w:rsidRPr="00002621">
        <w:rPr>
          <w:rFonts w:ascii="Segoe UI" w:eastAsia="Times New Roman" w:hAnsi="Segoe UI" w:cs="Segoe UI"/>
          <w:szCs w:val="22"/>
          <w:lang w:eastAsia="en-AU"/>
        </w:rPr>
        <w:t>Currently</w:t>
      </w:r>
      <w:r w:rsidR="00281536" w:rsidRPr="00002621">
        <w:rPr>
          <w:rFonts w:ascii="Segoe UI" w:eastAsia="Times New Roman" w:hAnsi="Segoe UI" w:cs="Segoe UI"/>
          <w:szCs w:val="22"/>
          <w:lang w:eastAsia="en-AU"/>
        </w:rPr>
        <w:t>,</w:t>
      </w:r>
      <w:r w:rsidRPr="00002621">
        <w:rPr>
          <w:rFonts w:ascii="Segoe UI" w:eastAsia="Times New Roman" w:hAnsi="Segoe UI" w:cs="Segoe UI"/>
          <w:szCs w:val="22"/>
          <w:lang w:eastAsia="en-AU"/>
        </w:rPr>
        <w:t xml:space="preserve"> I chair the Advisory Council of Asialink which is a minor recipient of strategic policy grants, having received only $</w:t>
      </w:r>
      <w:r w:rsidR="0CA7B40F" w:rsidRPr="00002621">
        <w:rPr>
          <w:rFonts w:ascii="Segoe UI" w:eastAsia="Times New Roman" w:hAnsi="Segoe UI" w:cs="Segoe UI"/>
          <w:szCs w:val="22"/>
          <w:lang w:eastAsia="en-AU"/>
        </w:rPr>
        <w:t>250,695</w:t>
      </w:r>
      <w:r w:rsidR="008315F7" w:rsidRPr="00002621">
        <w:rPr>
          <w:rFonts w:ascii="Segoe UI" w:eastAsia="Times New Roman" w:hAnsi="Segoe UI" w:cs="Segoe UI"/>
          <w:szCs w:val="22"/>
          <w:lang w:eastAsia="en-AU"/>
        </w:rPr>
        <w:t xml:space="preserve"> </w:t>
      </w:r>
      <w:r w:rsidRPr="00002621">
        <w:rPr>
          <w:rFonts w:ascii="Segoe UI" w:eastAsia="Times New Roman" w:hAnsi="Segoe UI" w:cs="Segoe UI"/>
          <w:szCs w:val="22"/>
          <w:lang w:eastAsia="en-AU"/>
        </w:rPr>
        <w:t xml:space="preserve">over the </w:t>
      </w:r>
      <w:r w:rsidR="00281536" w:rsidRPr="00002621">
        <w:rPr>
          <w:rFonts w:ascii="Segoe UI" w:eastAsia="Times New Roman" w:hAnsi="Segoe UI" w:cs="Segoe UI"/>
          <w:szCs w:val="22"/>
          <w:lang w:eastAsia="en-AU"/>
        </w:rPr>
        <w:t>five-year</w:t>
      </w:r>
      <w:r w:rsidRPr="00002621">
        <w:rPr>
          <w:rFonts w:ascii="Segoe UI" w:eastAsia="Times New Roman" w:hAnsi="Segoe UI" w:cs="Segoe UI"/>
          <w:szCs w:val="22"/>
          <w:lang w:eastAsia="en-AU"/>
        </w:rPr>
        <w:t xml:space="preserve"> period of the Review and about which I have made no recommendations or observations.</w:t>
      </w:r>
    </w:p>
    <w:p w14:paraId="06E46276" w14:textId="77777777" w:rsidR="001260ED" w:rsidRPr="00002621" w:rsidRDefault="001260ED" w:rsidP="00002621">
      <w:pPr>
        <w:shd w:val="clear" w:color="auto" w:fill="FFFFFF"/>
        <w:spacing w:before="100" w:beforeAutospacing="1" w:after="80" w:line="240" w:lineRule="auto"/>
        <w:rPr>
          <w:rFonts w:ascii="Segoe UI" w:eastAsia="Times New Roman" w:hAnsi="Segoe UI" w:cs="Segoe UI"/>
          <w:szCs w:val="22"/>
          <w:lang w:eastAsia="en-AU"/>
        </w:rPr>
      </w:pPr>
      <w:r w:rsidRPr="00002621">
        <w:rPr>
          <w:rFonts w:ascii="Segoe UI" w:eastAsia="Times New Roman" w:hAnsi="Segoe UI" w:cs="Segoe UI"/>
          <w:szCs w:val="22"/>
          <w:lang w:eastAsia="en-AU"/>
        </w:rPr>
        <w:t>I am also a Distinguished Fellow of the Australia India Institute and serve on the International Advisory Council of the Asia Society.</w:t>
      </w:r>
    </w:p>
    <w:p w14:paraId="06E46277" w14:textId="77777777" w:rsidR="001260ED" w:rsidRPr="00002621" w:rsidRDefault="001260ED" w:rsidP="00002621">
      <w:pPr>
        <w:shd w:val="clear" w:color="auto" w:fill="FFFFFF"/>
        <w:spacing w:before="100" w:beforeAutospacing="1" w:after="80" w:line="240" w:lineRule="auto"/>
        <w:rPr>
          <w:rFonts w:ascii="Segoe UI" w:eastAsia="Times New Roman" w:hAnsi="Segoe UI" w:cs="Segoe UI"/>
          <w:szCs w:val="22"/>
          <w:lang w:eastAsia="en-AU"/>
        </w:rPr>
      </w:pPr>
      <w:r w:rsidRPr="00002621">
        <w:rPr>
          <w:rFonts w:ascii="Segoe UI" w:eastAsia="Times New Roman" w:hAnsi="Segoe UI" w:cs="Segoe UI"/>
          <w:szCs w:val="22"/>
          <w:lang w:eastAsia="en-AU"/>
        </w:rPr>
        <w:t xml:space="preserve">I was formerly a Distinguished Fellow of the Perth US Asia Centre and </w:t>
      </w:r>
      <w:r w:rsidR="00281536" w:rsidRPr="00002621">
        <w:rPr>
          <w:rFonts w:ascii="Segoe UI" w:eastAsia="Times New Roman" w:hAnsi="Segoe UI" w:cs="Segoe UI"/>
          <w:szCs w:val="22"/>
          <w:lang w:eastAsia="en-AU"/>
        </w:rPr>
        <w:t>prior to this</w:t>
      </w:r>
      <w:r w:rsidR="00013D7A">
        <w:rPr>
          <w:rFonts w:ascii="Segoe UI" w:eastAsia="Times New Roman" w:hAnsi="Segoe UI" w:cs="Segoe UI"/>
          <w:szCs w:val="22"/>
          <w:lang w:eastAsia="en-AU"/>
        </w:rPr>
        <w:t>,</w:t>
      </w:r>
      <w:r w:rsidR="00281536" w:rsidRPr="00002621">
        <w:rPr>
          <w:rFonts w:ascii="Segoe UI" w:eastAsia="Times New Roman" w:hAnsi="Segoe UI" w:cs="Segoe UI"/>
          <w:szCs w:val="22"/>
          <w:lang w:eastAsia="en-AU"/>
        </w:rPr>
        <w:t xml:space="preserve"> </w:t>
      </w:r>
      <w:r w:rsidRPr="00002621">
        <w:rPr>
          <w:rFonts w:ascii="Segoe UI" w:eastAsia="Times New Roman" w:hAnsi="Segoe UI" w:cs="Segoe UI"/>
          <w:szCs w:val="22"/>
          <w:lang w:eastAsia="en-AU"/>
        </w:rPr>
        <w:t>in 2017</w:t>
      </w:r>
      <w:r w:rsidR="00013D7A">
        <w:rPr>
          <w:rFonts w:ascii="Segoe UI" w:eastAsia="Times New Roman" w:hAnsi="Segoe UI" w:cs="Segoe UI"/>
          <w:szCs w:val="22"/>
          <w:lang w:eastAsia="en-AU"/>
        </w:rPr>
        <w:t>,</w:t>
      </w:r>
      <w:r w:rsidRPr="00002621">
        <w:rPr>
          <w:rFonts w:ascii="Segoe UI" w:eastAsia="Times New Roman" w:hAnsi="Segoe UI" w:cs="Segoe UI"/>
          <w:szCs w:val="22"/>
          <w:lang w:eastAsia="en-AU"/>
        </w:rPr>
        <w:t xml:space="preserve"> </w:t>
      </w:r>
      <w:r w:rsidR="00281536" w:rsidRPr="00002621">
        <w:rPr>
          <w:rFonts w:ascii="Segoe UI" w:eastAsia="Times New Roman" w:hAnsi="Segoe UI" w:cs="Segoe UI"/>
          <w:szCs w:val="22"/>
          <w:lang w:eastAsia="en-AU"/>
        </w:rPr>
        <w:t>I</w:t>
      </w:r>
      <w:r w:rsidR="00013D7A">
        <w:rPr>
          <w:rFonts w:ascii="Segoe UI" w:eastAsia="Times New Roman" w:hAnsi="Segoe UI" w:cs="Segoe UI"/>
          <w:szCs w:val="22"/>
          <w:lang w:eastAsia="en-AU"/>
        </w:rPr>
        <w:t> </w:t>
      </w:r>
      <w:r w:rsidRPr="00002621">
        <w:rPr>
          <w:rFonts w:ascii="Segoe UI" w:eastAsia="Times New Roman" w:hAnsi="Segoe UI" w:cs="Segoe UI"/>
          <w:szCs w:val="22"/>
          <w:lang w:eastAsia="en-AU"/>
        </w:rPr>
        <w:t>conducted an independent review, commissioned by the AAA, of the USSC and the USAC.</w:t>
      </w:r>
    </w:p>
    <w:p w14:paraId="06E46278" w14:textId="77777777" w:rsidR="001260ED" w:rsidRPr="00002621" w:rsidRDefault="001260ED" w:rsidP="00002621">
      <w:pPr>
        <w:shd w:val="clear" w:color="auto" w:fill="FFFFFF"/>
        <w:spacing w:before="100" w:beforeAutospacing="1" w:after="80" w:line="240" w:lineRule="auto"/>
        <w:rPr>
          <w:rFonts w:ascii="Segoe UI" w:eastAsia="Times New Roman" w:hAnsi="Segoe UI" w:cs="Segoe UI"/>
          <w:szCs w:val="22"/>
          <w:lang w:eastAsia="en-AU"/>
        </w:rPr>
      </w:pPr>
      <w:r w:rsidRPr="00002621">
        <w:rPr>
          <w:rFonts w:ascii="Segoe UI" w:eastAsia="Times New Roman" w:hAnsi="Segoe UI" w:cs="Segoe UI"/>
          <w:szCs w:val="22"/>
          <w:lang w:eastAsia="en-AU"/>
        </w:rPr>
        <w:t>I have been a member of an advisory group to the National Security College.</w:t>
      </w:r>
    </w:p>
    <w:p w14:paraId="06E46279" w14:textId="77777777" w:rsidR="001260ED" w:rsidRPr="00002621" w:rsidRDefault="001260ED" w:rsidP="00002621">
      <w:pPr>
        <w:shd w:val="clear" w:color="auto" w:fill="FFFFFF"/>
        <w:spacing w:before="100" w:beforeAutospacing="1" w:after="80" w:line="240" w:lineRule="auto"/>
        <w:rPr>
          <w:rFonts w:ascii="Segoe UI" w:eastAsia="Times New Roman" w:hAnsi="Segoe UI" w:cs="Segoe UI"/>
          <w:szCs w:val="22"/>
          <w:lang w:eastAsia="en-AU"/>
        </w:rPr>
      </w:pPr>
      <w:r w:rsidRPr="00002621">
        <w:rPr>
          <w:rFonts w:ascii="Segoe UI" w:eastAsia="Times New Roman" w:hAnsi="Segoe UI" w:cs="Segoe UI"/>
          <w:szCs w:val="22"/>
          <w:lang w:eastAsia="en-AU"/>
        </w:rPr>
        <w:t>I have participated in events, given speeches or written blog articles for the Lowy Institute, ASPI, Asia Society, Asialink, USSC, USAC, the Australia India Institute, the NSC, the Australian Institute of International Affairs and the Strategic</w:t>
      </w:r>
      <w:r w:rsidR="008315F7" w:rsidRPr="00002621">
        <w:rPr>
          <w:rFonts w:ascii="Segoe UI" w:eastAsia="Times New Roman" w:hAnsi="Segoe UI" w:cs="Segoe UI"/>
          <w:szCs w:val="22"/>
          <w:lang w:eastAsia="en-AU"/>
        </w:rPr>
        <w:t xml:space="preserve"> and Defence</w:t>
      </w:r>
      <w:r w:rsidRPr="00002621">
        <w:rPr>
          <w:rFonts w:ascii="Segoe UI" w:eastAsia="Times New Roman" w:hAnsi="Segoe UI" w:cs="Segoe UI"/>
          <w:szCs w:val="22"/>
          <w:lang w:eastAsia="en-AU"/>
        </w:rPr>
        <w:t xml:space="preserve"> Studies Centre.</w:t>
      </w:r>
    </w:p>
    <w:p w14:paraId="06E4627A" w14:textId="77777777" w:rsidR="001260ED" w:rsidRPr="00002621" w:rsidRDefault="001260ED" w:rsidP="00002621">
      <w:pPr>
        <w:shd w:val="clear" w:color="auto" w:fill="FFFFFF"/>
        <w:spacing w:before="100" w:beforeAutospacing="1" w:after="80" w:line="240" w:lineRule="auto"/>
        <w:rPr>
          <w:rFonts w:ascii="Segoe UI" w:eastAsia="Times New Roman" w:hAnsi="Segoe UI" w:cs="Segoe UI"/>
          <w:szCs w:val="22"/>
          <w:lang w:eastAsia="en-AU"/>
        </w:rPr>
      </w:pPr>
      <w:r w:rsidRPr="00002621">
        <w:rPr>
          <w:rFonts w:ascii="Segoe UI" w:eastAsia="Times New Roman" w:hAnsi="Segoe UI" w:cs="Segoe UI"/>
          <w:szCs w:val="22"/>
          <w:lang w:eastAsia="en-AU"/>
        </w:rPr>
        <w:t xml:space="preserve">As Chancellor of The University of Queensland I have had dealings with a wide range of </w:t>
      </w:r>
      <w:r w:rsidR="00281536" w:rsidRPr="00002621">
        <w:rPr>
          <w:rFonts w:ascii="Segoe UI" w:eastAsia="Times New Roman" w:hAnsi="Segoe UI" w:cs="Segoe UI"/>
          <w:szCs w:val="22"/>
          <w:lang w:eastAsia="en-AU"/>
        </w:rPr>
        <w:t>university-based</w:t>
      </w:r>
      <w:r w:rsidRPr="00002621">
        <w:rPr>
          <w:rFonts w:ascii="Segoe UI" w:eastAsia="Times New Roman" w:hAnsi="Segoe UI" w:cs="Segoe UI"/>
          <w:szCs w:val="22"/>
          <w:lang w:eastAsia="en-AU"/>
        </w:rPr>
        <w:t xml:space="preserve"> think tanks and research institutes, including m</w:t>
      </w:r>
      <w:r w:rsidR="00281536" w:rsidRPr="00002621">
        <w:rPr>
          <w:rFonts w:ascii="Segoe UI" w:eastAsia="Times New Roman" w:hAnsi="Segoe UI" w:cs="Segoe UI"/>
          <w:szCs w:val="22"/>
          <w:lang w:eastAsia="en-AU"/>
        </w:rPr>
        <w:t>ost</w:t>
      </w:r>
      <w:r w:rsidRPr="00002621">
        <w:rPr>
          <w:rFonts w:ascii="Segoe UI" w:eastAsia="Times New Roman" w:hAnsi="Segoe UI" w:cs="Segoe UI"/>
          <w:szCs w:val="22"/>
          <w:lang w:eastAsia="en-AU"/>
        </w:rPr>
        <w:t xml:space="preserve"> covered by this Review.</w:t>
      </w:r>
    </w:p>
    <w:p w14:paraId="06E4627B" w14:textId="77777777" w:rsidR="002A268C" w:rsidRPr="00002621" w:rsidRDefault="002A268C" w:rsidP="00002621">
      <w:pPr>
        <w:shd w:val="clear" w:color="auto" w:fill="FFFFFF"/>
        <w:spacing w:before="100" w:beforeAutospacing="1" w:after="80" w:line="240" w:lineRule="auto"/>
        <w:rPr>
          <w:rFonts w:ascii="Segoe UI" w:eastAsia="Times New Roman" w:hAnsi="Segoe UI" w:cs="Segoe UI"/>
          <w:szCs w:val="22"/>
          <w:lang w:eastAsia="en-AU"/>
        </w:rPr>
      </w:pPr>
      <w:r w:rsidRPr="00002621">
        <w:rPr>
          <w:rFonts w:ascii="Segoe UI" w:eastAsia="Times New Roman" w:hAnsi="Segoe UI" w:cs="Segoe UI"/>
          <w:szCs w:val="22"/>
          <w:lang w:eastAsia="en-AU"/>
        </w:rPr>
        <w:t>I sit on the Governing Board of The Rajaratnam School of International Studies in Singapore.</w:t>
      </w:r>
    </w:p>
    <w:p w14:paraId="06E4627C" w14:textId="77777777" w:rsidR="001260ED" w:rsidRPr="00002621" w:rsidRDefault="001260ED" w:rsidP="00002621">
      <w:pPr>
        <w:shd w:val="clear" w:color="auto" w:fill="FFFFFF"/>
        <w:spacing w:before="100" w:beforeAutospacing="1" w:after="80" w:line="240" w:lineRule="auto"/>
        <w:rPr>
          <w:rFonts w:ascii="Segoe UI" w:eastAsia="Times New Roman" w:hAnsi="Segoe UI" w:cs="Segoe UI"/>
          <w:szCs w:val="22"/>
          <w:lang w:eastAsia="en-AU"/>
        </w:rPr>
      </w:pPr>
      <w:r w:rsidRPr="00002621">
        <w:rPr>
          <w:rFonts w:ascii="Segoe UI" w:eastAsia="Times New Roman" w:hAnsi="Segoe UI" w:cs="Segoe UI"/>
          <w:szCs w:val="22"/>
          <w:lang w:eastAsia="en-AU"/>
        </w:rPr>
        <w:t xml:space="preserve">I declared these interests to the Department of </w:t>
      </w:r>
      <w:r w:rsidR="00BD1F79" w:rsidRPr="00002621">
        <w:rPr>
          <w:rFonts w:ascii="Segoe UI" w:eastAsia="Times New Roman" w:hAnsi="Segoe UI" w:cs="Segoe UI"/>
          <w:szCs w:val="22"/>
          <w:lang w:eastAsia="en-AU"/>
        </w:rPr>
        <w:t xml:space="preserve">the </w:t>
      </w:r>
      <w:r w:rsidRPr="00002621">
        <w:rPr>
          <w:rFonts w:ascii="Segoe UI" w:eastAsia="Times New Roman" w:hAnsi="Segoe UI" w:cs="Segoe UI"/>
          <w:szCs w:val="22"/>
          <w:lang w:eastAsia="en-AU"/>
        </w:rPr>
        <w:t>Prime Minister and Cabinet prior to accepting the invitation to conduct this Review</w:t>
      </w:r>
      <w:r w:rsidR="1DEBD755" w:rsidRPr="00002621">
        <w:rPr>
          <w:rFonts w:ascii="Segoe UI" w:eastAsia="Times New Roman" w:hAnsi="Segoe UI" w:cs="Segoe UI"/>
          <w:szCs w:val="22"/>
          <w:lang w:eastAsia="en-AU"/>
        </w:rPr>
        <w:t>, and to the Department of Defence as part of my contract negotiations</w:t>
      </w:r>
      <w:r w:rsidRPr="00002621">
        <w:rPr>
          <w:rFonts w:ascii="Segoe UI" w:eastAsia="Times New Roman" w:hAnsi="Segoe UI" w:cs="Segoe UI"/>
          <w:szCs w:val="22"/>
          <w:lang w:eastAsia="en-AU"/>
        </w:rPr>
        <w:t>.</w:t>
      </w:r>
    </w:p>
    <w:p w14:paraId="06E4627D" w14:textId="77777777" w:rsidR="001260ED" w:rsidRPr="00002621" w:rsidRDefault="00281536" w:rsidP="00002621">
      <w:pPr>
        <w:shd w:val="clear" w:color="auto" w:fill="FFFFFF"/>
        <w:spacing w:before="100" w:beforeAutospacing="1" w:after="80" w:line="240" w:lineRule="auto"/>
        <w:rPr>
          <w:rFonts w:ascii="Segoe UI" w:eastAsia="Times New Roman" w:hAnsi="Segoe UI" w:cs="Segoe UI"/>
          <w:szCs w:val="22"/>
          <w:lang w:eastAsia="en-AU"/>
        </w:rPr>
      </w:pPr>
      <w:r w:rsidRPr="00002621">
        <w:rPr>
          <w:rFonts w:ascii="Segoe UI" w:eastAsia="Times New Roman" w:hAnsi="Segoe UI" w:cs="Segoe UI"/>
          <w:szCs w:val="22"/>
          <w:lang w:eastAsia="en-AU"/>
        </w:rPr>
        <w:t xml:space="preserve">It is for others to judge but </w:t>
      </w:r>
      <w:r w:rsidR="001260ED" w:rsidRPr="00002621">
        <w:rPr>
          <w:rFonts w:ascii="Segoe UI" w:eastAsia="Times New Roman" w:hAnsi="Segoe UI" w:cs="Segoe UI"/>
          <w:szCs w:val="22"/>
          <w:lang w:eastAsia="en-AU"/>
        </w:rPr>
        <w:t>I consider all these connections have been useful in understanding the work of the sector and none have inappropriately influenced my recommendations.</w:t>
      </w:r>
    </w:p>
    <w:sectPr w:rsidR="001260ED" w:rsidRPr="00002621" w:rsidSect="00DC38F2">
      <w:headerReference w:type="default" r:id="rId27"/>
      <w:footerReference w:type="default" r:id="rId28"/>
      <w:pgSz w:w="11906" w:h="16838"/>
      <w:pgMar w:top="993" w:right="1134" w:bottom="993" w:left="1134" w:header="426" w:footer="4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8FCBD" w14:textId="77777777" w:rsidR="004319BA" w:rsidRDefault="004319BA" w:rsidP="00F957C6">
      <w:pPr>
        <w:spacing w:after="0" w:line="240" w:lineRule="auto"/>
      </w:pPr>
      <w:r>
        <w:separator/>
      </w:r>
    </w:p>
  </w:endnote>
  <w:endnote w:type="continuationSeparator" w:id="0">
    <w:p w14:paraId="4AEA6A55" w14:textId="77777777" w:rsidR="004319BA" w:rsidRDefault="004319BA" w:rsidP="00F957C6">
      <w:pPr>
        <w:spacing w:after="0" w:line="240" w:lineRule="auto"/>
      </w:pPr>
      <w:r>
        <w:continuationSeparator/>
      </w:r>
    </w:p>
  </w:endnote>
  <w:endnote w:type="continuationNotice" w:id="1">
    <w:p w14:paraId="3ADE5BCC" w14:textId="77777777" w:rsidR="004319BA" w:rsidRDefault="004319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Semilight">
    <w:panose1 w:val="020B04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170842"/>
      <w:docPartObj>
        <w:docPartGallery w:val="Page Numbers (Bottom of Page)"/>
        <w:docPartUnique/>
      </w:docPartObj>
    </w:sdtPr>
    <w:sdtEndPr>
      <w:rPr>
        <w:noProof/>
      </w:rPr>
    </w:sdtEndPr>
    <w:sdtContent>
      <w:p w14:paraId="06E4629C" w14:textId="4F00CB68" w:rsidR="00815E99" w:rsidRDefault="00815E99">
        <w:pPr>
          <w:pStyle w:val="Footer"/>
          <w:jc w:val="right"/>
        </w:pPr>
        <w:r w:rsidRPr="3B2DF18C">
          <w:fldChar w:fldCharType="begin"/>
        </w:r>
        <w:r>
          <w:instrText xml:space="preserve"> PAGE   \* MERGEFORMAT </w:instrText>
        </w:r>
        <w:r w:rsidRPr="3B2DF18C">
          <w:fldChar w:fldCharType="separate"/>
        </w:r>
        <w:r w:rsidR="003B4232">
          <w:rPr>
            <w:noProof/>
          </w:rPr>
          <w:t>x</w:t>
        </w:r>
        <w:r w:rsidRPr="3B2DF18C">
          <w:rPr>
            <w:noProof/>
          </w:rPr>
          <w:fldChar w:fldCharType="end"/>
        </w:r>
      </w:p>
    </w:sdtContent>
  </w:sdt>
  <w:p w14:paraId="06E4629D" w14:textId="4696B6A0" w:rsidR="00815E99" w:rsidRDefault="00815E99" w:rsidP="00731D82">
    <w:pPr>
      <w:pStyle w:val="Header"/>
      <w:jc w:val="center"/>
      <w:rPr>
        <w:rStyle w:val="CLASSIFICATIONChar"/>
      </w:rPr>
    </w:pPr>
  </w:p>
  <w:p w14:paraId="06E4629E" w14:textId="77777777" w:rsidR="00815E99" w:rsidRPr="00F86700" w:rsidRDefault="00815E99" w:rsidP="00731D82">
    <w:pPr>
      <w:pStyle w:val="Head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462A0" w14:textId="754B4D89" w:rsidR="00815E99" w:rsidRDefault="00815E99" w:rsidP="00464D89">
    <w:pPr>
      <w:pStyle w:val="Header"/>
      <w:jc w:val="center"/>
    </w:pPr>
  </w:p>
  <w:p w14:paraId="06E462A1" w14:textId="77777777" w:rsidR="00815E99" w:rsidRPr="00BB1526" w:rsidRDefault="00815E99" w:rsidP="00BB1526">
    <w:pPr>
      <w:pStyle w:val="Header"/>
      <w:rPr>
        <w:rFonts w:ascii="Segoe UI" w:hAnsi="Segoe UI" w:cs="Segoe UI"/>
        <w:color w:val="6E6E6E"/>
        <w:sz w:val="18"/>
      </w:rPr>
    </w:pPr>
    <w:r w:rsidRPr="00852F35">
      <w:rPr>
        <w:color w:val="6E6E6E"/>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563294"/>
      <w:docPartObj>
        <w:docPartGallery w:val="Page Numbers (Bottom of Page)"/>
        <w:docPartUnique/>
      </w:docPartObj>
    </w:sdtPr>
    <w:sdtEndPr>
      <w:rPr>
        <w:noProof/>
      </w:rPr>
    </w:sdtEndPr>
    <w:sdtContent>
      <w:sdt>
        <w:sdtPr>
          <w:id w:val="-1262377468"/>
          <w:docPartObj>
            <w:docPartGallery w:val="Page Numbers (Bottom of Page)"/>
            <w:docPartUnique/>
          </w:docPartObj>
        </w:sdtPr>
        <w:sdtEndPr>
          <w:rPr>
            <w:noProof/>
          </w:rPr>
        </w:sdtEndPr>
        <w:sdtContent>
          <w:p w14:paraId="06E462A3" w14:textId="39FB9476" w:rsidR="00815E99" w:rsidRDefault="00815E99" w:rsidP="00C30D4B">
            <w:pPr>
              <w:pStyle w:val="Footer"/>
              <w:jc w:val="right"/>
            </w:pPr>
            <w:r w:rsidRPr="3B2DF18C">
              <w:fldChar w:fldCharType="begin"/>
            </w:r>
            <w:r>
              <w:instrText xml:space="preserve"> PAGE   \* MERGEFORMAT </w:instrText>
            </w:r>
            <w:r w:rsidRPr="3B2DF18C">
              <w:fldChar w:fldCharType="separate"/>
            </w:r>
            <w:r w:rsidR="003B4232">
              <w:rPr>
                <w:noProof/>
              </w:rPr>
              <w:t>15</w:t>
            </w:r>
            <w:r w:rsidRPr="3B2DF18C">
              <w:rPr>
                <w:noProof/>
              </w:rPr>
              <w:fldChar w:fldCharType="end"/>
            </w:r>
          </w:p>
        </w:sdtContent>
      </w:sdt>
    </w:sdtContent>
  </w:sdt>
  <w:p w14:paraId="06E462A4" w14:textId="754D3479" w:rsidR="00815E99" w:rsidRPr="00F86700" w:rsidRDefault="00815E99" w:rsidP="00731D82">
    <w:pPr>
      <w:pStyle w:val="Head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453023"/>
      <w:docPartObj>
        <w:docPartGallery w:val="Page Numbers (Bottom of Page)"/>
        <w:docPartUnique/>
      </w:docPartObj>
    </w:sdtPr>
    <w:sdtEndPr>
      <w:rPr>
        <w:noProof/>
      </w:rPr>
    </w:sdtEndPr>
    <w:sdtContent>
      <w:p w14:paraId="06E462A7" w14:textId="51A021EF" w:rsidR="00815E99" w:rsidRDefault="00815E99">
        <w:pPr>
          <w:pStyle w:val="Footer"/>
          <w:jc w:val="right"/>
        </w:pPr>
        <w:r>
          <w:fldChar w:fldCharType="begin"/>
        </w:r>
        <w:r>
          <w:instrText xml:space="preserve"> PAGE   \* MERGEFORMAT </w:instrText>
        </w:r>
        <w:r>
          <w:fldChar w:fldCharType="separate"/>
        </w:r>
        <w:r w:rsidR="003B4232">
          <w:rPr>
            <w:noProof/>
          </w:rPr>
          <w:t>42</w:t>
        </w:r>
        <w:r>
          <w:rPr>
            <w:noProof/>
          </w:rPr>
          <w:fldChar w:fldCharType="end"/>
        </w:r>
      </w:p>
    </w:sdtContent>
  </w:sdt>
  <w:p w14:paraId="06E462A8" w14:textId="77777777" w:rsidR="00815E99" w:rsidRPr="00F86700" w:rsidRDefault="004319BA" w:rsidP="009210B7">
    <w:pPr>
      <w:pStyle w:val="Header"/>
      <w:jc w:val="center"/>
    </w:pPr>
    <w:sdt>
      <w:sdtPr>
        <w:rPr>
          <w:rStyle w:val="CLASSIFICATIONChar"/>
        </w:rPr>
        <w:alias w:val="Classification"/>
        <w:tag w:val="CHOOSE CLASSIFICATION"/>
        <w:id w:val="-908225451"/>
        <w15:color w:val="FF0000"/>
        <w:dropDownList>
          <w:listItem w:displayText="Choose Classification" w:value="1"/>
          <w:listItem w:displayText="Official" w:value="2"/>
          <w:listItem w:displayText="Official: Sensitive" w:value="3"/>
          <w:listItem w:displayText="Protected" w:value="4"/>
          <w:listItem w:displayText="Protected: Cabinet" w:value="Protected: Cabinet"/>
          <w:listItem w:displayText="Secret" w:value="5"/>
          <w:listItem w:displayText="Top Secret and Codeword" w:value="6"/>
        </w:dropDownList>
      </w:sdtPr>
      <w:sdtEndPr>
        <w:rPr>
          <w:rStyle w:val="CLASSIFICATIONChar"/>
        </w:rPr>
      </w:sdtEndPr>
      <w:sdtContent>
        <w:r w:rsidR="00815E99">
          <w:rPr>
            <w:rStyle w:val="CLASSIFICATIONChar"/>
          </w:rPr>
          <w:t>Official</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6AFE7" w14:textId="77777777" w:rsidR="004319BA" w:rsidRDefault="004319BA" w:rsidP="00F957C6">
      <w:pPr>
        <w:spacing w:after="0" w:line="240" w:lineRule="auto"/>
      </w:pPr>
      <w:r>
        <w:separator/>
      </w:r>
    </w:p>
  </w:footnote>
  <w:footnote w:type="continuationSeparator" w:id="0">
    <w:p w14:paraId="767C1C72" w14:textId="77777777" w:rsidR="004319BA" w:rsidRDefault="004319BA" w:rsidP="00F957C6">
      <w:pPr>
        <w:spacing w:after="0" w:line="240" w:lineRule="auto"/>
      </w:pPr>
      <w:r>
        <w:continuationSeparator/>
      </w:r>
    </w:p>
  </w:footnote>
  <w:footnote w:type="continuationNotice" w:id="1">
    <w:p w14:paraId="77E98098" w14:textId="77777777" w:rsidR="004319BA" w:rsidRDefault="004319BA">
      <w:pPr>
        <w:spacing w:after="0" w:line="240" w:lineRule="auto"/>
      </w:pPr>
    </w:p>
  </w:footnote>
  <w:footnote w:id="2">
    <w:p w14:paraId="06E462A9" w14:textId="77777777" w:rsidR="00815E99" w:rsidRPr="007959C0" w:rsidRDefault="00815E99" w:rsidP="6F3BCA96">
      <w:pPr>
        <w:pStyle w:val="FootnoteText"/>
        <w:rPr>
          <w:rFonts w:ascii="Segoe UI" w:hAnsi="Segoe UI" w:cs="Segoe UI"/>
          <w:sz w:val="16"/>
          <w:szCs w:val="16"/>
        </w:rPr>
      </w:pPr>
      <w:r w:rsidRPr="007959C0">
        <w:rPr>
          <w:rStyle w:val="FootnoteReference"/>
          <w:rFonts w:ascii="Segoe UI" w:hAnsi="Segoe UI" w:cs="Segoe UI"/>
          <w:sz w:val="16"/>
          <w:szCs w:val="16"/>
        </w:rPr>
        <w:footnoteRef/>
      </w:r>
      <w:r w:rsidRPr="007959C0">
        <w:rPr>
          <w:rFonts w:ascii="Segoe UI" w:hAnsi="Segoe UI" w:cs="Segoe UI"/>
          <w:sz w:val="16"/>
          <w:szCs w:val="16"/>
        </w:rPr>
        <w:t xml:space="preserve"> Auditor-General Report No.47 (2020-21); Auditor-General Report No.16 (2021-22); Auditor-General Report No.21 (2021-22); and Auditor-General Report No.1 (2022-23)</w:t>
      </w:r>
    </w:p>
  </w:footnote>
  <w:footnote w:id="3">
    <w:p w14:paraId="06E462AA" w14:textId="77777777" w:rsidR="00815E99" w:rsidRPr="007959C0" w:rsidRDefault="00815E99">
      <w:pPr>
        <w:pStyle w:val="FootnoteText"/>
        <w:rPr>
          <w:rFonts w:ascii="Segoe UI" w:hAnsi="Segoe UI" w:cs="Segoe UI"/>
        </w:rPr>
      </w:pPr>
      <w:r w:rsidRPr="007959C0">
        <w:rPr>
          <w:rStyle w:val="FootnoteReference"/>
          <w:rFonts w:ascii="Segoe UI" w:hAnsi="Segoe UI" w:cs="Segoe UI"/>
          <w:sz w:val="16"/>
          <w:szCs w:val="16"/>
        </w:rPr>
        <w:footnoteRef/>
      </w:r>
      <w:r w:rsidRPr="007959C0">
        <w:rPr>
          <w:rFonts w:ascii="Segoe UI" w:hAnsi="Segoe UI" w:cs="Segoe UI"/>
          <w:sz w:val="16"/>
          <w:szCs w:val="16"/>
        </w:rPr>
        <w:t xml:space="preserve"> SCNS agencies include: the Department of the Prime Minister and Cabinet; the Department of Defence; the Department of Foreign Affairs and Trade; the Attorney-General’s Department; the Department of Home Affairs; the Department of Finance; </w:t>
      </w:r>
      <w:r w:rsidRPr="007959C0" w:rsidDel="00DB4F00">
        <w:rPr>
          <w:rFonts w:ascii="Segoe UI" w:hAnsi="Segoe UI" w:cs="Segoe UI"/>
          <w:sz w:val="16"/>
          <w:szCs w:val="16"/>
        </w:rPr>
        <w:t xml:space="preserve">the </w:t>
      </w:r>
      <w:r w:rsidRPr="007959C0">
        <w:rPr>
          <w:rFonts w:ascii="Segoe UI" w:hAnsi="Segoe UI" w:cs="Segoe UI"/>
          <w:sz w:val="16"/>
          <w:szCs w:val="16"/>
        </w:rPr>
        <w:t>Treasury; the Department of Climate Change, Energy, the Environment and Water; the Office of National Intelligence; the Australian Security Intelligence Organisation; the Australian Signals Directorate; the Australian Secret Intelligence Service; and the Australian Federal Police.</w:t>
      </w:r>
    </w:p>
  </w:footnote>
  <w:footnote w:id="4">
    <w:p w14:paraId="06E462AB" w14:textId="77777777" w:rsidR="00815E99" w:rsidRPr="00C46100" w:rsidRDefault="00815E99">
      <w:pPr>
        <w:pStyle w:val="FootnoteText"/>
        <w:rPr>
          <w:rFonts w:ascii="Segoe UI" w:hAnsi="Segoe UI" w:cs="Segoe UI"/>
          <w:sz w:val="16"/>
          <w:szCs w:val="16"/>
        </w:rPr>
      </w:pPr>
      <w:r w:rsidRPr="00C46100">
        <w:rPr>
          <w:rFonts w:ascii="Segoe UI" w:hAnsi="Segoe UI" w:cs="Segoe UI"/>
          <w:sz w:val="16"/>
          <w:szCs w:val="16"/>
        </w:rPr>
        <w:footnoteRef/>
      </w:r>
      <w:r w:rsidRPr="00C46100">
        <w:rPr>
          <w:rFonts w:ascii="Segoe UI" w:hAnsi="Segoe UI" w:cs="Segoe UI"/>
          <w:sz w:val="16"/>
          <w:szCs w:val="16"/>
        </w:rPr>
        <w:t xml:space="preserve"> For the purposes of this Review, specific centres and think tanks within universities (e.g. the National Security College and Strategic and Defence Studies Centre) were considered individual organisations. The American Australian Association provides funding to the United States Studies Centre and the Perth USAsia Centre (page 37 and footnote 10 refer).</w:t>
      </w:r>
    </w:p>
  </w:footnote>
  <w:footnote w:id="5">
    <w:p w14:paraId="06E462AC" w14:textId="77777777" w:rsidR="00815E99" w:rsidRPr="00C46100" w:rsidRDefault="00815E99">
      <w:pPr>
        <w:pStyle w:val="FootnoteText"/>
        <w:rPr>
          <w:rFonts w:ascii="Segoe UI" w:hAnsi="Segoe UI" w:cs="Segoe UI"/>
          <w:sz w:val="16"/>
          <w:szCs w:val="16"/>
        </w:rPr>
      </w:pPr>
      <w:r w:rsidRPr="00C46100">
        <w:rPr>
          <w:rFonts w:ascii="Segoe UI" w:hAnsi="Segoe UI" w:cs="Segoe UI"/>
          <w:sz w:val="16"/>
          <w:szCs w:val="16"/>
        </w:rPr>
        <w:footnoteRef/>
      </w:r>
      <w:r w:rsidRPr="00C46100">
        <w:rPr>
          <w:rFonts w:ascii="Segoe UI" w:hAnsi="Segoe UI" w:cs="Segoe UI"/>
          <w:sz w:val="16"/>
          <w:szCs w:val="16"/>
        </w:rPr>
        <w:t xml:space="preserve"> Agreements were with the Australian Strategic Policy Institute, National Security College, the Australian American Leadership Dialogue, and the American Australian Association.</w:t>
      </w:r>
    </w:p>
  </w:footnote>
  <w:footnote w:id="6">
    <w:p w14:paraId="06E462AD" w14:textId="77777777" w:rsidR="00815E99" w:rsidRPr="00731D82" w:rsidRDefault="00815E99" w:rsidP="00A43712">
      <w:pPr>
        <w:pStyle w:val="FootnoteText"/>
        <w:rPr>
          <w:sz w:val="16"/>
          <w:szCs w:val="16"/>
        </w:rPr>
      </w:pPr>
      <w:r w:rsidRPr="00C46100">
        <w:rPr>
          <w:rFonts w:ascii="Segoe UI" w:hAnsi="Segoe UI" w:cs="Segoe UI"/>
          <w:sz w:val="16"/>
          <w:szCs w:val="16"/>
        </w:rPr>
        <w:footnoteRef/>
      </w:r>
      <w:r w:rsidRPr="00C46100">
        <w:rPr>
          <w:rFonts w:ascii="Segoe UI" w:hAnsi="Segoe UI" w:cs="Segoe UI"/>
          <w:sz w:val="16"/>
          <w:szCs w:val="16"/>
        </w:rPr>
        <w:t xml:space="preserve"> The National Security College, the Australian Strategic Policy Institute, the American Australian Association, the United States Studies Centre, the Perth USAsia Centre, RAND Australia, the Lowy Institute, and the Australian American Leadership Dialogue.</w:t>
      </w:r>
    </w:p>
  </w:footnote>
  <w:footnote w:id="7">
    <w:p w14:paraId="06E462AE" w14:textId="77777777" w:rsidR="00815E99" w:rsidRPr="00E70221" w:rsidRDefault="00815E99" w:rsidP="00D00725">
      <w:pPr>
        <w:pStyle w:val="FootnoteText"/>
        <w:rPr>
          <w:rFonts w:ascii="Segoe UI" w:hAnsi="Segoe UI" w:cs="Segoe UI"/>
          <w:sz w:val="16"/>
          <w:szCs w:val="16"/>
        </w:rPr>
      </w:pPr>
      <w:r w:rsidRPr="00E70221">
        <w:rPr>
          <w:rStyle w:val="FootnoteReference"/>
          <w:rFonts w:ascii="Segoe UI" w:hAnsi="Segoe UI" w:cs="Segoe UI"/>
          <w:sz w:val="16"/>
          <w:szCs w:val="16"/>
        </w:rPr>
        <w:footnoteRef/>
      </w:r>
      <w:r w:rsidRPr="00E70221">
        <w:rPr>
          <w:rFonts w:ascii="Segoe UI" w:hAnsi="Segoe UI" w:cs="Segoe UI"/>
          <w:sz w:val="16"/>
          <w:szCs w:val="16"/>
        </w:rPr>
        <w:t xml:space="preserve"> Figure drawn from Lowy’s 2023 Annual Information Statement to the Australian Charities and Not-for-profits Commission</w:t>
      </w:r>
    </w:p>
  </w:footnote>
  <w:footnote w:id="8">
    <w:p w14:paraId="06E462AF" w14:textId="77777777" w:rsidR="00815E99" w:rsidRPr="007733AA" w:rsidRDefault="00815E99">
      <w:pPr>
        <w:pStyle w:val="FootnoteText"/>
        <w:rPr>
          <w:rFonts w:ascii="Segoe UI" w:hAnsi="Segoe UI" w:cs="Segoe UI"/>
          <w:sz w:val="16"/>
          <w:szCs w:val="16"/>
        </w:rPr>
      </w:pPr>
      <w:r w:rsidRPr="007733AA">
        <w:rPr>
          <w:rStyle w:val="FootnoteReference"/>
          <w:rFonts w:ascii="Segoe UI" w:hAnsi="Segoe UI" w:cs="Segoe UI"/>
          <w:sz w:val="16"/>
          <w:szCs w:val="16"/>
        </w:rPr>
        <w:footnoteRef/>
      </w:r>
      <w:r w:rsidRPr="007733AA">
        <w:rPr>
          <w:rFonts w:ascii="Segoe UI" w:hAnsi="Segoe UI" w:cs="Segoe UI"/>
          <w:sz w:val="16"/>
          <w:szCs w:val="16"/>
        </w:rPr>
        <w:t xml:space="preserve"> </w:t>
      </w:r>
      <w:hyperlink r:id="rId1" w:history="1">
        <w:r w:rsidRPr="007733AA">
          <w:rPr>
            <w:rStyle w:val="Hyperlink"/>
            <w:rFonts w:ascii="Segoe UI" w:hAnsi="Segoe UI" w:cs="Segoe UI"/>
            <w:sz w:val="16"/>
            <w:szCs w:val="16"/>
          </w:rPr>
          <w:t>https://poll.lowyinstitute.org/charts/budget-priorities/</w:t>
        </w:r>
      </w:hyperlink>
    </w:p>
  </w:footnote>
  <w:footnote w:id="9">
    <w:p w14:paraId="06E462B0" w14:textId="77777777" w:rsidR="00815E99" w:rsidRPr="00C46100" w:rsidRDefault="00815E99">
      <w:pPr>
        <w:pStyle w:val="FootnoteText"/>
        <w:rPr>
          <w:rFonts w:ascii="Segoe UI" w:hAnsi="Segoe UI" w:cs="Segoe UI"/>
          <w:sz w:val="16"/>
          <w:szCs w:val="16"/>
        </w:rPr>
      </w:pPr>
      <w:r w:rsidRPr="00C46100">
        <w:rPr>
          <w:rStyle w:val="FootnoteReference"/>
          <w:rFonts w:ascii="Segoe UI" w:hAnsi="Segoe UI" w:cs="Segoe UI"/>
          <w:sz w:val="16"/>
          <w:szCs w:val="16"/>
        </w:rPr>
        <w:footnoteRef/>
      </w:r>
      <w:r w:rsidRPr="00C46100">
        <w:rPr>
          <w:rFonts w:ascii="Segoe UI" w:hAnsi="Segoe UI" w:cs="Segoe UI"/>
          <w:sz w:val="16"/>
          <w:szCs w:val="16"/>
        </w:rPr>
        <w:t xml:space="preserve"> https://www.piie.com/</w:t>
      </w:r>
    </w:p>
  </w:footnote>
  <w:footnote w:id="10">
    <w:p w14:paraId="06E462B1" w14:textId="77777777" w:rsidR="00815E99" w:rsidRPr="008A4B1F" w:rsidRDefault="00815E99">
      <w:pPr>
        <w:pStyle w:val="FootnoteText"/>
        <w:rPr>
          <w:rFonts w:ascii="Segoe UI" w:hAnsi="Segoe UI" w:cs="Segoe UI"/>
        </w:rPr>
      </w:pPr>
      <w:r w:rsidRPr="00027325">
        <w:rPr>
          <w:rStyle w:val="FootnoteReference"/>
          <w:rFonts w:ascii="Segoe UI" w:hAnsi="Segoe UI" w:cs="Segoe UI"/>
          <w:sz w:val="16"/>
          <w:szCs w:val="16"/>
        </w:rPr>
        <w:footnoteRef/>
      </w:r>
      <w:r w:rsidRPr="008A4B1F">
        <w:rPr>
          <w:rFonts w:ascii="Segoe UI" w:hAnsi="Segoe UI" w:cs="Segoe UI"/>
        </w:rPr>
        <w:t xml:space="preserve"> </w:t>
      </w:r>
      <w:r w:rsidRPr="00071733">
        <w:rPr>
          <w:rFonts w:ascii="Segoe UI" w:eastAsia="Times New Roman" w:hAnsi="Segoe UI" w:cs="Segoe UI"/>
          <w:sz w:val="16"/>
          <w:szCs w:val="16"/>
        </w:rPr>
        <w:t>Based on a gross return on investment of C</w:t>
      </w:r>
      <w:r>
        <w:rPr>
          <w:rFonts w:ascii="Segoe UI" w:eastAsia="Times New Roman" w:hAnsi="Segoe UI" w:cs="Segoe UI"/>
          <w:sz w:val="16"/>
          <w:szCs w:val="16"/>
        </w:rPr>
        <w:t>onsumer Price Index</w:t>
      </w:r>
      <w:r w:rsidRPr="00071733">
        <w:rPr>
          <w:rFonts w:ascii="Segoe UI" w:eastAsia="Times New Roman" w:hAnsi="Segoe UI" w:cs="Segoe UI"/>
          <w:sz w:val="16"/>
          <w:szCs w:val="16"/>
        </w:rPr>
        <w:t xml:space="preserve"> plus 5 per cent, the endowment would earn approximately $3.16 million per annum covering operating funding and administrative overheads.</w:t>
      </w:r>
      <w:r>
        <w:rPr>
          <w:rFonts w:ascii="Segoe UI" w:eastAsia="Times New Roman" w:hAnsi="Segoe UI" w:cs="Segoe UI"/>
          <w:sz w:val="16"/>
          <w:szCs w:val="16"/>
        </w:rPr>
        <w:t xml:space="preserve"> </w:t>
      </w:r>
    </w:p>
  </w:footnote>
  <w:footnote w:id="11">
    <w:p w14:paraId="06E462B2" w14:textId="77777777" w:rsidR="00815E99" w:rsidRPr="00E70221" w:rsidRDefault="00815E99" w:rsidP="009210B7">
      <w:pPr>
        <w:pStyle w:val="FootnoteText"/>
        <w:rPr>
          <w:rFonts w:ascii="Segoe UI" w:hAnsi="Segoe UI" w:cs="Segoe UI"/>
          <w:sz w:val="16"/>
          <w:szCs w:val="16"/>
        </w:rPr>
      </w:pPr>
      <w:r w:rsidRPr="00E70221">
        <w:rPr>
          <w:rStyle w:val="FootnoteReference"/>
          <w:rFonts w:ascii="Segoe UI" w:hAnsi="Segoe UI" w:cs="Segoe UI"/>
          <w:sz w:val="16"/>
          <w:szCs w:val="16"/>
        </w:rPr>
        <w:footnoteRef/>
      </w:r>
      <w:r w:rsidRPr="00E70221">
        <w:rPr>
          <w:rFonts w:ascii="Segoe UI" w:hAnsi="Segoe UI" w:cs="Segoe UI"/>
          <w:sz w:val="16"/>
          <w:szCs w:val="16"/>
        </w:rPr>
        <w:t xml:space="preserve"> Funding from the Commonwealth to the AAA is distributed evenly to the USSC and USAC.</w:t>
      </w:r>
    </w:p>
  </w:footnote>
  <w:footnote w:id="12">
    <w:p w14:paraId="06E462B3" w14:textId="77777777" w:rsidR="00815E99" w:rsidRPr="00E70221" w:rsidRDefault="00815E99" w:rsidP="00F832FC">
      <w:pPr>
        <w:pStyle w:val="FootnoteText"/>
        <w:rPr>
          <w:rFonts w:ascii="Segoe UI" w:hAnsi="Segoe UI" w:cs="Segoe UI"/>
        </w:rPr>
      </w:pPr>
      <w:r w:rsidRPr="00E70221">
        <w:rPr>
          <w:rStyle w:val="FootnoteReference"/>
          <w:rFonts w:ascii="Segoe UI" w:hAnsi="Segoe UI" w:cs="Segoe UI"/>
          <w:sz w:val="16"/>
          <w:szCs w:val="16"/>
        </w:rPr>
        <w:footnoteRef/>
      </w:r>
      <w:r w:rsidRPr="00E70221">
        <w:rPr>
          <w:rFonts w:ascii="Segoe UI" w:hAnsi="Segoe UI" w:cs="Segoe UI"/>
          <w:sz w:val="16"/>
          <w:szCs w:val="16"/>
        </w:rPr>
        <w:t xml:space="preserve"> </w:t>
      </w:r>
      <w:r w:rsidRPr="00E70221">
        <w:rPr>
          <w:rFonts w:ascii="Segoe UI" w:hAnsi="Segoe UI" w:cs="Segoe UI"/>
          <w:sz w:val="16"/>
        </w:rPr>
        <w:t>The other agencies included in Figure 3 are (in alphabetical order): Australian Secret Intelligence Service, Australian Signals Directorate, Attorney General’s Department, Australian Federal Police, Australian Security Intelligence Organisation, Australian Institute of Criminology, Department of Finance, Australian Criminal Intelligence Commission, Treasury, Department of Industry, Science and Resources, Department of Agriculture, Fisheries and Forestry, Australian Electoral Commission, Department of Climate Change, Energy, the Environment and Water, Department of Health and Aged Care, Department of Infrastructure, Transport, Regional Development, Communications and the Arts, Department of Education, Inspector-General of Intelligence and Security, Department of Employment and Workplace Relations, Australian Transaction Reports and Analysis Centre, National Indigenous Australians Agency, Australian Competition and Consumer Commission.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46299" w14:textId="1C031DF3" w:rsidR="00815E99" w:rsidRPr="00D10635" w:rsidRDefault="00815E99" w:rsidP="00464D89">
    <w:pPr>
      <w:pStyle w:val="Header"/>
      <w:jc w:val="center"/>
    </w:pPr>
  </w:p>
  <w:p w14:paraId="06E4629A" w14:textId="77777777" w:rsidR="00815E99" w:rsidRDefault="00815E9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462A2" w14:textId="658621D6" w:rsidR="00815E99" w:rsidRDefault="00815E99" w:rsidP="00731D8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462A5" w14:textId="77777777" w:rsidR="00815E99" w:rsidRPr="00D10635" w:rsidRDefault="004319BA" w:rsidP="00464D89">
    <w:pPr>
      <w:pStyle w:val="Header"/>
      <w:jc w:val="center"/>
    </w:pPr>
    <w:sdt>
      <w:sdtPr>
        <w:rPr>
          <w:rStyle w:val="CLASSIFICATIONChar"/>
        </w:rPr>
        <w:alias w:val="Classification"/>
        <w:tag w:val="CHOOSE CLASSIFICATION"/>
        <w:id w:val="-885716349"/>
        <w15:color w:val="FF0000"/>
        <w:dropDownList>
          <w:listItem w:displayText="Choose Classification" w:value="1"/>
          <w:listItem w:displayText="Official" w:value="2"/>
          <w:listItem w:displayText="Official: Sensitive" w:value="3"/>
          <w:listItem w:displayText="Protected" w:value="4"/>
          <w:listItem w:displayText="Protected: Cabinet" w:value="Protected: Cabinet"/>
          <w:listItem w:displayText="Secret" w:value="5"/>
          <w:listItem w:displayText="Top Secret and Codeword" w:value="6"/>
        </w:dropDownList>
      </w:sdtPr>
      <w:sdtEndPr>
        <w:rPr>
          <w:rStyle w:val="CLASSIFICATIONChar"/>
        </w:rPr>
      </w:sdtEndPr>
      <w:sdtContent>
        <w:r w:rsidR="00815E99">
          <w:rPr>
            <w:rStyle w:val="CLASSIFICATIONChar"/>
          </w:rPr>
          <w:t>Official</w:t>
        </w:r>
      </w:sdtContent>
    </w:sdt>
  </w:p>
  <w:p w14:paraId="06E462A6" w14:textId="77777777" w:rsidR="00815E99" w:rsidRDefault="00815E9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690D"/>
    <w:multiLevelType w:val="hybridMultilevel"/>
    <w:tmpl w:val="B65A3420"/>
    <w:lvl w:ilvl="0" w:tplc="4F8ABA56">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11755608"/>
    <w:multiLevelType w:val="multilevel"/>
    <w:tmpl w:val="F38CC2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6" w15:restartNumberingAfterBreak="0">
    <w:nsid w:val="14687BD0"/>
    <w:multiLevelType w:val="multilevel"/>
    <w:tmpl w:val="808C08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7F4645"/>
    <w:multiLevelType w:val="multilevel"/>
    <w:tmpl w:val="808C08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5A69AF"/>
    <w:multiLevelType w:val="multilevel"/>
    <w:tmpl w:val="435A35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EA5B7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21E038CC"/>
    <w:multiLevelType w:val="multilevel"/>
    <w:tmpl w:val="4F8898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FB6A18"/>
    <w:multiLevelType w:val="multilevel"/>
    <w:tmpl w:val="C598FD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854A54"/>
    <w:multiLevelType w:val="hybridMultilevel"/>
    <w:tmpl w:val="EF227060"/>
    <w:lvl w:ilvl="0" w:tplc="F5321122">
      <w:start w:val="1"/>
      <w:numFmt w:val="bullet"/>
      <w:pStyle w:val="BulletedList-Level1"/>
      <w:lvlText w:val=""/>
      <w:lvlJc w:val="left"/>
      <w:pPr>
        <w:ind w:left="993" w:hanging="283"/>
      </w:pPr>
      <w:rPr>
        <w:rFonts w:ascii="Symbol" w:hAnsi="Symbol" w:hint="default"/>
      </w:rPr>
    </w:lvl>
    <w:lvl w:ilvl="1" w:tplc="9B2EC39A">
      <w:start w:val="1"/>
      <w:numFmt w:val="bullet"/>
      <w:lvlText w:val="-"/>
      <w:lvlJc w:val="left"/>
      <w:pPr>
        <w:ind w:left="1277" w:hanging="284"/>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7396D8C6">
      <w:start w:val="1"/>
      <w:numFmt w:val="bullet"/>
      <w:lvlText w:val=""/>
      <w:lvlJc w:val="left"/>
      <w:pPr>
        <w:ind w:left="1560" w:hanging="283"/>
      </w:pPr>
      <w:rPr>
        <w:rFonts w:ascii="Wingdings" w:hAnsi="Wingdings" w:hint="default"/>
      </w:rPr>
    </w:lvl>
    <w:lvl w:ilvl="3" w:tplc="E30E12E0" w:tentative="1">
      <w:start w:val="1"/>
      <w:numFmt w:val="bullet"/>
      <w:lvlText w:val=""/>
      <w:lvlJc w:val="left"/>
      <w:pPr>
        <w:ind w:left="3306" w:hanging="360"/>
      </w:pPr>
      <w:rPr>
        <w:rFonts w:ascii="Symbol" w:hAnsi="Symbol" w:hint="default"/>
      </w:rPr>
    </w:lvl>
    <w:lvl w:ilvl="4" w:tplc="96FCE54E" w:tentative="1">
      <w:start w:val="1"/>
      <w:numFmt w:val="bullet"/>
      <w:lvlText w:val="o"/>
      <w:lvlJc w:val="left"/>
      <w:pPr>
        <w:ind w:left="4026" w:hanging="360"/>
      </w:pPr>
      <w:rPr>
        <w:rFonts w:ascii="Courier New" w:hAnsi="Courier New" w:hint="default"/>
      </w:rPr>
    </w:lvl>
    <w:lvl w:ilvl="5" w:tplc="74B26C00" w:tentative="1">
      <w:start w:val="1"/>
      <w:numFmt w:val="bullet"/>
      <w:lvlText w:val=""/>
      <w:lvlJc w:val="left"/>
      <w:pPr>
        <w:ind w:left="4746" w:hanging="360"/>
      </w:pPr>
      <w:rPr>
        <w:rFonts w:ascii="Wingdings" w:hAnsi="Wingdings" w:hint="default"/>
      </w:rPr>
    </w:lvl>
    <w:lvl w:ilvl="6" w:tplc="C8C2743A" w:tentative="1">
      <w:start w:val="1"/>
      <w:numFmt w:val="bullet"/>
      <w:lvlText w:val=""/>
      <w:lvlJc w:val="left"/>
      <w:pPr>
        <w:ind w:left="5466" w:hanging="360"/>
      </w:pPr>
      <w:rPr>
        <w:rFonts w:ascii="Symbol" w:hAnsi="Symbol" w:hint="default"/>
      </w:rPr>
    </w:lvl>
    <w:lvl w:ilvl="7" w:tplc="5AAAC7B2" w:tentative="1">
      <w:start w:val="1"/>
      <w:numFmt w:val="bullet"/>
      <w:lvlText w:val="o"/>
      <w:lvlJc w:val="left"/>
      <w:pPr>
        <w:ind w:left="6186" w:hanging="360"/>
      </w:pPr>
      <w:rPr>
        <w:rFonts w:ascii="Courier New" w:hAnsi="Courier New" w:hint="default"/>
      </w:rPr>
    </w:lvl>
    <w:lvl w:ilvl="8" w:tplc="8968ED1E" w:tentative="1">
      <w:start w:val="1"/>
      <w:numFmt w:val="bullet"/>
      <w:lvlText w:val=""/>
      <w:lvlJc w:val="left"/>
      <w:pPr>
        <w:ind w:left="6906" w:hanging="360"/>
      </w:pPr>
      <w:rPr>
        <w:rFonts w:ascii="Wingdings" w:hAnsi="Wingdings" w:hint="default"/>
      </w:rPr>
    </w:lvl>
  </w:abstractNum>
  <w:abstractNum w:abstractNumId="14" w15:restartNumberingAfterBreak="0">
    <w:nsid w:val="29BB1ACF"/>
    <w:multiLevelType w:val="multilevel"/>
    <w:tmpl w:val="808C08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0B09A3"/>
    <w:multiLevelType w:val="hybridMultilevel"/>
    <w:tmpl w:val="6158095E"/>
    <w:lvl w:ilvl="0" w:tplc="7226747E">
      <w:numFmt w:val="bullet"/>
      <w:lvlText w:val="-"/>
      <w:lvlJc w:val="left"/>
      <w:pPr>
        <w:ind w:left="720" w:hanging="360"/>
      </w:pPr>
      <w:rPr>
        <w:rFonts w:ascii="Segoe UI Semilight" w:eastAsiaTheme="minorEastAsia" w:hAnsi="Segoe UI Semilight" w:cs="Segoe UI Semi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FC2A29"/>
    <w:multiLevelType w:val="hybridMultilevel"/>
    <w:tmpl w:val="A15AA4F4"/>
    <w:lvl w:ilvl="0" w:tplc="AA7E20B2">
      <w:numFmt w:val="bullet"/>
      <w:lvlText w:val=""/>
      <w:lvlJc w:val="left"/>
      <w:pPr>
        <w:ind w:left="720" w:hanging="360"/>
      </w:pPr>
      <w:rPr>
        <w:rFonts w:ascii="Symbol" w:eastAsia="Times New Roman" w:hAnsi="Symbol"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3C4D57"/>
    <w:multiLevelType w:val="hybridMultilevel"/>
    <w:tmpl w:val="7210291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3A15D7"/>
    <w:multiLevelType w:val="multilevel"/>
    <w:tmpl w:val="FEBE7F8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992427E"/>
    <w:multiLevelType w:val="multilevel"/>
    <w:tmpl w:val="4A645E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6C701D"/>
    <w:multiLevelType w:val="hybridMultilevel"/>
    <w:tmpl w:val="008655A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BBC5DE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6A08A1"/>
    <w:multiLevelType w:val="hybridMultilevel"/>
    <w:tmpl w:val="52389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7E0F8B"/>
    <w:multiLevelType w:val="multilevel"/>
    <w:tmpl w:val="E33061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FE58EC"/>
    <w:multiLevelType w:val="hybridMultilevel"/>
    <w:tmpl w:val="6B0AD5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3834150"/>
    <w:multiLevelType w:val="hybridMultilevel"/>
    <w:tmpl w:val="B5BA32E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6" w15:restartNumberingAfterBreak="0">
    <w:nsid w:val="43A26305"/>
    <w:multiLevelType w:val="hybridMultilevel"/>
    <w:tmpl w:val="FA0A0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8" w15:restartNumberingAfterBreak="0">
    <w:nsid w:val="53373EE6"/>
    <w:multiLevelType w:val="multilevel"/>
    <w:tmpl w:val="07023EA2"/>
    <w:lvl w:ilvl="0">
      <w:start w:val="1"/>
      <w:numFmt w:val="decimal"/>
      <w:lvlText w:val="%1."/>
      <w:lvlJc w:val="left"/>
      <w:pPr>
        <w:ind w:left="360" w:hanging="360"/>
      </w:pPr>
    </w:lvl>
    <w:lvl w:ilvl="1">
      <w:start w:val="1"/>
      <w:numFmt w:val="decimal"/>
      <w:lvlText w:val="3.%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C6A131E"/>
    <w:multiLevelType w:val="multilevel"/>
    <w:tmpl w:val="83AE14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95497A"/>
    <w:multiLevelType w:val="hybridMultilevel"/>
    <w:tmpl w:val="2EF26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6B25DA"/>
    <w:multiLevelType w:val="hybridMultilevel"/>
    <w:tmpl w:val="C060D702"/>
    <w:lvl w:ilvl="0" w:tplc="0C090001">
      <w:start w:val="1"/>
      <w:numFmt w:val="bullet"/>
      <w:lvlText w:val=""/>
      <w:lvlJc w:val="left"/>
      <w:pPr>
        <w:ind w:left="720" w:hanging="360"/>
      </w:pPr>
      <w:rPr>
        <w:rFonts w:ascii="Symbol" w:hAnsi="Symbol" w:hint="default"/>
      </w:rPr>
    </w:lvl>
    <w:lvl w:ilvl="1" w:tplc="B4E2E2EA">
      <w:start w:val="1"/>
      <w:numFmt w:val="lowerLetter"/>
      <w:lvlText w:val="%2."/>
      <w:lvlJc w:val="left"/>
      <w:pPr>
        <w:ind w:left="1440" w:hanging="360"/>
      </w:pPr>
    </w:lvl>
    <w:lvl w:ilvl="2" w:tplc="D3DE7AD6">
      <w:start w:val="1"/>
      <w:numFmt w:val="lowerRoman"/>
      <w:lvlText w:val="%3."/>
      <w:lvlJc w:val="right"/>
      <w:pPr>
        <w:ind w:left="2160" w:hanging="180"/>
      </w:pPr>
    </w:lvl>
    <w:lvl w:ilvl="3" w:tplc="C70A52F0">
      <w:start w:val="1"/>
      <w:numFmt w:val="decimal"/>
      <w:lvlText w:val="%4."/>
      <w:lvlJc w:val="left"/>
      <w:pPr>
        <w:ind w:left="2880" w:hanging="360"/>
      </w:pPr>
    </w:lvl>
    <w:lvl w:ilvl="4" w:tplc="1E16939E">
      <w:start w:val="1"/>
      <w:numFmt w:val="lowerLetter"/>
      <w:lvlText w:val="%5."/>
      <w:lvlJc w:val="left"/>
      <w:pPr>
        <w:ind w:left="3600" w:hanging="360"/>
      </w:pPr>
    </w:lvl>
    <w:lvl w:ilvl="5" w:tplc="816CAA76">
      <w:start w:val="1"/>
      <w:numFmt w:val="lowerRoman"/>
      <w:lvlText w:val="%6."/>
      <w:lvlJc w:val="right"/>
      <w:pPr>
        <w:ind w:left="4320" w:hanging="180"/>
      </w:pPr>
    </w:lvl>
    <w:lvl w:ilvl="6" w:tplc="256C1F6A">
      <w:start w:val="1"/>
      <w:numFmt w:val="decimal"/>
      <w:lvlText w:val="%7."/>
      <w:lvlJc w:val="left"/>
      <w:pPr>
        <w:ind w:left="5040" w:hanging="360"/>
      </w:pPr>
    </w:lvl>
    <w:lvl w:ilvl="7" w:tplc="9F6698AA">
      <w:start w:val="1"/>
      <w:numFmt w:val="lowerLetter"/>
      <w:lvlText w:val="%8."/>
      <w:lvlJc w:val="left"/>
      <w:pPr>
        <w:ind w:left="5760" w:hanging="360"/>
      </w:pPr>
    </w:lvl>
    <w:lvl w:ilvl="8" w:tplc="279040E0">
      <w:start w:val="1"/>
      <w:numFmt w:val="lowerRoman"/>
      <w:lvlText w:val="%9."/>
      <w:lvlJc w:val="right"/>
      <w:pPr>
        <w:ind w:left="6480" w:hanging="180"/>
      </w:pPr>
    </w:lvl>
  </w:abstractNum>
  <w:abstractNum w:abstractNumId="32" w15:restartNumberingAfterBreak="0">
    <w:nsid w:val="658C7B7E"/>
    <w:multiLevelType w:val="hybridMultilevel"/>
    <w:tmpl w:val="9D16C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510214"/>
    <w:multiLevelType w:val="hybridMultilevel"/>
    <w:tmpl w:val="BF629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407ABD"/>
    <w:multiLevelType w:val="multilevel"/>
    <w:tmpl w:val="FB602E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D71712"/>
    <w:multiLevelType w:val="multilevel"/>
    <w:tmpl w:val="83AE14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1755CD"/>
    <w:multiLevelType w:val="multilevel"/>
    <w:tmpl w:val="83AE14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2D5857"/>
    <w:multiLevelType w:val="hybridMultilevel"/>
    <w:tmpl w:val="7EAC013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D03335E"/>
    <w:multiLevelType w:val="hybridMultilevel"/>
    <w:tmpl w:val="646E382C"/>
    <w:lvl w:ilvl="0" w:tplc="D4C63040">
      <w:numFmt w:val="bullet"/>
      <w:lvlText w:val="-"/>
      <w:lvlJc w:val="left"/>
      <w:pPr>
        <w:ind w:left="360" w:hanging="360"/>
      </w:pPr>
      <w:rPr>
        <w:rFonts w:ascii="Segoe UI Semilight" w:eastAsiaTheme="minorEastAsia" w:hAnsi="Segoe UI Semilight" w:cs="Segoe UI Semilight"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5"/>
  </w:num>
  <w:num w:numId="4">
    <w:abstractNumId w:val="13"/>
  </w:num>
  <w:num w:numId="5">
    <w:abstractNumId w:val="39"/>
  </w:num>
  <w:num w:numId="6">
    <w:abstractNumId w:val="27"/>
  </w:num>
  <w:num w:numId="7">
    <w:abstractNumId w:val="5"/>
  </w:num>
  <w:num w:numId="8">
    <w:abstractNumId w:val="10"/>
  </w:num>
  <w:num w:numId="9">
    <w:abstractNumId w:val="3"/>
  </w:num>
  <w:num w:numId="10">
    <w:abstractNumId w:val="17"/>
  </w:num>
  <w:num w:numId="11">
    <w:abstractNumId w:val="4"/>
  </w:num>
  <w:num w:numId="12">
    <w:abstractNumId w:val="32"/>
  </w:num>
  <w:num w:numId="13">
    <w:abstractNumId w:val="30"/>
  </w:num>
  <w:num w:numId="14">
    <w:abstractNumId w:val="25"/>
  </w:num>
  <w:num w:numId="15">
    <w:abstractNumId w:val="16"/>
  </w:num>
  <w:num w:numId="16">
    <w:abstractNumId w:val="22"/>
  </w:num>
  <w:num w:numId="17">
    <w:abstractNumId w:val="31"/>
  </w:num>
  <w:num w:numId="18">
    <w:abstractNumId w:val="36"/>
  </w:num>
  <w:num w:numId="19">
    <w:abstractNumId w:val="40"/>
  </w:num>
  <w:num w:numId="20">
    <w:abstractNumId w:val="15"/>
  </w:num>
  <w:num w:numId="21">
    <w:abstractNumId w:val="33"/>
  </w:num>
  <w:num w:numId="22">
    <w:abstractNumId w:val="20"/>
  </w:num>
  <w:num w:numId="23">
    <w:abstractNumId w:val="38"/>
  </w:num>
  <w:num w:numId="24">
    <w:abstractNumId w:val="11"/>
  </w:num>
  <w:num w:numId="25">
    <w:abstractNumId w:val="34"/>
  </w:num>
  <w:num w:numId="26">
    <w:abstractNumId w:val="19"/>
  </w:num>
  <w:num w:numId="27">
    <w:abstractNumId w:val="8"/>
  </w:num>
  <w:num w:numId="28">
    <w:abstractNumId w:val="12"/>
  </w:num>
  <w:num w:numId="29">
    <w:abstractNumId w:val="23"/>
  </w:num>
  <w:num w:numId="30">
    <w:abstractNumId w:val="0"/>
  </w:num>
  <w:num w:numId="31">
    <w:abstractNumId w:val="24"/>
  </w:num>
  <w:num w:numId="32">
    <w:abstractNumId w:val="14"/>
  </w:num>
  <w:num w:numId="33">
    <w:abstractNumId w:val="6"/>
  </w:num>
  <w:num w:numId="34">
    <w:abstractNumId w:val="7"/>
  </w:num>
  <w:num w:numId="35">
    <w:abstractNumId w:val="37"/>
  </w:num>
  <w:num w:numId="36">
    <w:abstractNumId w:val="29"/>
  </w:num>
  <w:num w:numId="37">
    <w:abstractNumId w:val="21"/>
  </w:num>
  <w:num w:numId="38">
    <w:abstractNumId w:val="9"/>
  </w:num>
  <w:num w:numId="39">
    <w:abstractNumId w:val="28"/>
  </w:num>
  <w:num w:numId="40">
    <w:abstractNumId w:val="26"/>
  </w:num>
  <w:num w:numId="41">
    <w:abstractNumId w:val="18"/>
  </w:num>
  <w:num w:numId="42">
    <w:abstractNumId w:val="13"/>
  </w:num>
  <w:num w:numId="43">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5E5"/>
    <w:rsid w:val="00001012"/>
    <w:rsid w:val="00001A3D"/>
    <w:rsid w:val="00001B72"/>
    <w:rsid w:val="00002621"/>
    <w:rsid w:val="00002B58"/>
    <w:rsid w:val="00003916"/>
    <w:rsid w:val="000056AA"/>
    <w:rsid w:val="00005F27"/>
    <w:rsid w:val="0000D223"/>
    <w:rsid w:val="00010B8A"/>
    <w:rsid w:val="000113EE"/>
    <w:rsid w:val="000115E0"/>
    <w:rsid w:val="000122E0"/>
    <w:rsid w:val="00013884"/>
    <w:rsid w:val="00013D7A"/>
    <w:rsid w:val="00017D9C"/>
    <w:rsid w:val="00021025"/>
    <w:rsid w:val="000223E7"/>
    <w:rsid w:val="00022F7F"/>
    <w:rsid w:val="00027038"/>
    <w:rsid w:val="00027325"/>
    <w:rsid w:val="0003154E"/>
    <w:rsid w:val="00031C38"/>
    <w:rsid w:val="000342FE"/>
    <w:rsid w:val="000344D6"/>
    <w:rsid w:val="00035111"/>
    <w:rsid w:val="00035657"/>
    <w:rsid w:val="0003721D"/>
    <w:rsid w:val="00037513"/>
    <w:rsid w:val="00037698"/>
    <w:rsid w:val="00040C6B"/>
    <w:rsid w:val="00042337"/>
    <w:rsid w:val="0004245E"/>
    <w:rsid w:val="00043A5C"/>
    <w:rsid w:val="00045119"/>
    <w:rsid w:val="0004557E"/>
    <w:rsid w:val="000463A4"/>
    <w:rsid w:val="00046DB0"/>
    <w:rsid w:val="000471E3"/>
    <w:rsid w:val="00050E86"/>
    <w:rsid w:val="00053BEB"/>
    <w:rsid w:val="00055E08"/>
    <w:rsid w:val="00057605"/>
    <w:rsid w:val="000618FC"/>
    <w:rsid w:val="000619C0"/>
    <w:rsid w:val="00061DBF"/>
    <w:rsid w:val="000639D4"/>
    <w:rsid w:val="00063A35"/>
    <w:rsid w:val="00064A2E"/>
    <w:rsid w:val="000661AA"/>
    <w:rsid w:val="0006627F"/>
    <w:rsid w:val="00067455"/>
    <w:rsid w:val="00071733"/>
    <w:rsid w:val="00073D03"/>
    <w:rsid w:val="000741AD"/>
    <w:rsid w:val="00076F74"/>
    <w:rsid w:val="000777A8"/>
    <w:rsid w:val="00077944"/>
    <w:rsid w:val="00081253"/>
    <w:rsid w:val="00083498"/>
    <w:rsid w:val="0008585D"/>
    <w:rsid w:val="00085D3C"/>
    <w:rsid w:val="000866F0"/>
    <w:rsid w:val="00087D42"/>
    <w:rsid w:val="00089681"/>
    <w:rsid w:val="00090FCC"/>
    <w:rsid w:val="000912D5"/>
    <w:rsid w:val="00091951"/>
    <w:rsid w:val="00092038"/>
    <w:rsid w:val="000A0EBA"/>
    <w:rsid w:val="000A1B16"/>
    <w:rsid w:val="000A38FE"/>
    <w:rsid w:val="000A3976"/>
    <w:rsid w:val="000A497E"/>
    <w:rsid w:val="000A8C20"/>
    <w:rsid w:val="000B08F4"/>
    <w:rsid w:val="000B0987"/>
    <w:rsid w:val="000B0C49"/>
    <w:rsid w:val="000B100F"/>
    <w:rsid w:val="000B3417"/>
    <w:rsid w:val="000B46C6"/>
    <w:rsid w:val="000B50B0"/>
    <w:rsid w:val="000B6A28"/>
    <w:rsid w:val="000C05BE"/>
    <w:rsid w:val="000C5682"/>
    <w:rsid w:val="000C7709"/>
    <w:rsid w:val="000D089E"/>
    <w:rsid w:val="000D2D18"/>
    <w:rsid w:val="000D4E9F"/>
    <w:rsid w:val="000D4F22"/>
    <w:rsid w:val="000D4F6E"/>
    <w:rsid w:val="000D749D"/>
    <w:rsid w:val="000E3A20"/>
    <w:rsid w:val="000E3BAB"/>
    <w:rsid w:val="000E416D"/>
    <w:rsid w:val="000E48D6"/>
    <w:rsid w:val="000E58D8"/>
    <w:rsid w:val="000E5999"/>
    <w:rsid w:val="000E68AC"/>
    <w:rsid w:val="000EADB1"/>
    <w:rsid w:val="000F297C"/>
    <w:rsid w:val="000F38D6"/>
    <w:rsid w:val="000F56B0"/>
    <w:rsid w:val="000F5D25"/>
    <w:rsid w:val="00100AAE"/>
    <w:rsid w:val="00100DB8"/>
    <w:rsid w:val="00104379"/>
    <w:rsid w:val="001050E0"/>
    <w:rsid w:val="001056BA"/>
    <w:rsid w:val="00106CDA"/>
    <w:rsid w:val="00107DD3"/>
    <w:rsid w:val="00110F95"/>
    <w:rsid w:val="00112628"/>
    <w:rsid w:val="00112B32"/>
    <w:rsid w:val="00115264"/>
    <w:rsid w:val="00117A77"/>
    <w:rsid w:val="0011F46B"/>
    <w:rsid w:val="001227D7"/>
    <w:rsid w:val="0012488B"/>
    <w:rsid w:val="001260ED"/>
    <w:rsid w:val="0012615D"/>
    <w:rsid w:val="00126583"/>
    <w:rsid w:val="001273F3"/>
    <w:rsid w:val="00130CE5"/>
    <w:rsid w:val="001316B6"/>
    <w:rsid w:val="0013189C"/>
    <w:rsid w:val="00131FAA"/>
    <w:rsid w:val="0013258D"/>
    <w:rsid w:val="0013329C"/>
    <w:rsid w:val="00133AC0"/>
    <w:rsid w:val="00133CAD"/>
    <w:rsid w:val="00134320"/>
    <w:rsid w:val="00134A39"/>
    <w:rsid w:val="0013658B"/>
    <w:rsid w:val="0013723B"/>
    <w:rsid w:val="00141C8A"/>
    <w:rsid w:val="0014273F"/>
    <w:rsid w:val="00146075"/>
    <w:rsid w:val="001478B9"/>
    <w:rsid w:val="00151718"/>
    <w:rsid w:val="00151842"/>
    <w:rsid w:val="001544C5"/>
    <w:rsid w:val="001547E4"/>
    <w:rsid w:val="0015522D"/>
    <w:rsid w:val="0015653A"/>
    <w:rsid w:val="00157CA4"/>
    <w:rsid w:val="00160437"/>
    <w:rsid w:val="00160489"/>
    <w:rsid w:val="001607A9"/>
    <w:rsid w:val="00160A49"/>
    <w:rsid w:val="001611BF"/>
    <w:rsid w:val="0016139C"/>
    <w:rsid w:val="00161D7F"/>
    <w:rsid w:val="00162B2F"/>
    <w:rsid w:val="00163591"/>
    <w:rsid w:val="00164549"/>
    <w:rsid w:val="0016597E"/>
    <w:rsid w:val="001663F0"/>
    <w:rsid w:val="00166C56"/>
    <w:rsid w:val="0017036B"/>
    <w:rsid w:val="0017182C"/>
    <w:rsid w:val="00171885"/>
    <w:rsid w:val="0017436A"/>
    <w:rsid w:val="0017AB42"/>
    <w:rsid w:val="00181142"/>
    <w:rsid w:val="00183141"/>
    <w:rsid w:val="0018346E"/>
    <w:rsid w:val="0018554D"/>
    <w:rsid w:val="00185BD8"/>
    <w:rsid w:val="00186EEB"/>
    <w:rsid w:val="001912A7"/>
    <w:rsid w:val="00192AB3"/>
    <w:rsid w:val="00193524"/>
    <w:rsid w:val="00193B6F"/>
    <w:rsid w:val="001951C0"/>
    <w:rsid w:val="001954B4"/>
    <w:rsid w:val="001A0DAB"/>
    <w:rsid w:val="001A2B8B"/>
    <w:rsid w:val="001A3204"/>
    <w:rsid w:val="001A339A"/>
    <w:rsid w:val="001A3FD2"/>
    <w:rsid w:val="001A7086"/>
    <w:rsid w:val="001B149A"/>
    <w:rsid w:val="001B2078"/>
    <w:rsid w:val="001B254E"/>
    <w:rsid w:val="001B2D56"/>
    <w:rsid w:val="001B3231"/>
    <w:rsid w:val="001B419E"/>
    <w:rsid w:val="001B52B3"/>
    <w:rsid w:val="001B77D5"/>
    <w:rsid w:val="001C067F"/>
    <w:rsid w:val="001C11A5"/>
    <w:rsid w:val="001C2553"/>
    <w:rsid w:val="001C361E"/>
    <w:rsid w:val="001C4179"/>
    <w:rsid w:val="001C7932"/>
    <w:rsid w:val="001D1051"/>
    <w:rsid w:val="001D1FCF"/>
    <w:rsid w:val="001D2321"/>
    <w:rsid w:val="001D36EA"/>
    <w:rsid w:val="001D3B1A"/>
    <w:rsid w:val="001D405E"/>
    <w:rsid w:val="001D47C4"/>
    <w:rsid w:val="001D6418"/>
    <w:rsid w:val="001D7B47"/>
    <w:rsid w:val="001E0946"/>
    <w:rsid w:val="001E0F84"/>
    <w:rsid w:val="001E1F9E"/>
    <w:rsid w:val="001E2C1C"/>
    <w:rsid w:val="001E2F8D"/>
    <w:rsid w:val="001E4BC2"/>
    <w:rsid w:val="001E5293"/>
    <w:rsid w:val="001E6B2C"/>
    <w:rsid w:val="001F2032"/>
    <w:rsid w:val="001F3353"/>
    <w:rsid w:val="001F41E7"/>
    <w:rsid w:val="001F426D"/>
    <w:rsid w:val="001F5722"/>
    <w:rsid w:val="001F62A5"/>
    <w:rsid w:val="001F7B64"/>
    <w:rsid w:val="002005D1"/>
    <w:rsid w:val="0020281C"/>
    <w:rsid w:val="00204A8E"/>
    <w:rsid w:val="00210070"/>
    <w:rsid w:val="002114D1"/>
    <w:rsid w:val="00211C54"/>
    <w:rsid w:val="002120EA"/>
    <w:rsid w:val="00212443"/>
    <w:rsid w:val="002140A2"/>
    <w:rsid w:val="00215598"/>
    <w:rsid w:val="00220CF8"/>
    <w:rsid w:val="00220DDA"/>
    <w:rsid w:val="00222042"/>
    <w:rsid w:val="002224F6"/>
    <w:rsid w:val="00222531"/>
    <w:rsid w:val="00223977"/>
    <w:rsid w:val="002241D6"/>
    <w:rsid w:val="0022597F"/>
    <w:rsid w:val="00227DB5"/>
    <w:rsid w:val="002345D2"/>
    <w:rsid w:val="00234EDC"/>
    <w:rsid w:val="00236733"/>
    <w:rsid w:val="00240DB7"/>
    <w:rsid w:val="00241A52"/>
    <w:rsid w:val="00241CA7"/>
    <w:rsid w:val="002443A6"/>
    <w:rsid w:val="00244ABD"/>
    <w:rsid w:val="002470D9"/>
    <w:rsid w:val="002478E0"/>
    <w:rsid w:val="00247EE6"/>
    <w:rsid w:val="002507DB"/>
    <w:rsid w:val="00250980"/>
    <w:rsid w:val="00250CEB"/>
    <w:rsid w:val="00250DD1"/>
    <w:rsid w:val="002533A8"/>
    <w:rsid w:val="00253D28"/>
    <w:rsid w:val="00254B0E"/>
    <w:rsid w:val="00255678"/>
    <w:rsid w:val="00261C8E"/>
    <w:rsid w:val="00262220"/>
    <w:rsid w:val="00264E31"/>
    <w:rsid w:val="0026555B"/>
    <w:rsid w:val="00265F34"/>
    <w:rsid w:val="00266CCC"/>
    <w:rsid w:val="00271363"/>
    <w:rsid w:val="00271A45"/>
    <w:rsid w:val="00271B00"/>
    <w:rsid w:val="00271F05"/>
    <w:rsid w:val="00273B4F"/>
    <w:rsid w:val="00274CA6"/>
    <w:rsid w:val="00274D42"/>
    <w:rsid w:val="002755BE"/>
    <w:rsid w:val="002756AE"/>
    <w:rsid w:val="00275A57"/>
    <w:rsid w:val="0027693D"/>
    <w:rsid w:val="00276FBB"/>
    <w:rsid w:val="002778D6"/>
    <w:rsid w:val="00280473"/>
    <w:rsid w:val="00281536"/>
    <w:rsid w:val="00281D2F"/>
    <w:rsid w:val="00282E49"/>
    <w:rsid w:val="00282FCB"/>
    <w:rsid w:val="00284042"/>
    <w:rsid w:val="00285B74"/>
    <w:rsid w:val="00285CAF"/>
    <w:rsid w:val="0028709A"/>
    <w:rsid w:val="00290E8E"/>
    <w:rsid w:val="002913F3"/>
    <w:rsid w:val="0029161B"/>
    <w:rsid w:val="002946A4"/>
    <w:rsid w:val="0029490D"/>
    <w:rsid w:val="0029707B"/>
    <w:rsid w:val="00297BDC"/>
    <w:rsid w:val="002A0F0E"/>
    <w:rsid w:val="002A268C"/>
    <w:rsid w:val="002A5978"/>
    <w:rsid w:val="002A7CB1"/>
    <w:rsid w:val="002B080B"/>
    <w:rsid w:val="002B0CB0"/>
    <w:rsid w:val="002B6449"/>
    <w:rsid w:val="002B661A"/>
    <w:rsid w:val="002B7428"/>
    <w:rsid w:val="002B7A26"/>
    <w:rsid w:val="002C157F"/>
    <w:rsid w:val="002C3471"/>
    <w:rsid w:val="002C3572"/>
    <w:rsid w:val="002C52DB"/>
    <w:rsid w:val="002C547F"/>
    <w:rsid w:val="002C6FE3"/>
    <w:rsid w:val="002C754F"/>
    <w:rsid w:val="002C7A05"/>
    <w:rsid w:val="002D298D"/>
    <w:rsid w:val="002D2D81"/>
    <w:rsid w:val="002D46FA"/>
    <w:rsid w:val="002D4A76"/>
    <w:rsid w:val="002D573A"/>
    <w:rsid w:val="002D6B3D"/>
    <w:rsid w:val="002E4F1D"/>
    <w:rsid w:val="002E5916"/>
    <w:rsid w:val="002E69C1"/>
    <w:rsid w:val="002E6A3C"/>
    <w:rsid w:val="002F1DD9"/>
    <w:rsid w:val="002F3D59"/>
    <w:rsid w:val="002F5F6A"/>
    <w:rsid w:val="002F68C6"/>
    <w:rsid w:val="002F74AC"/>
    <w:rsid w:val="002F750A"/>
    <w:rsid w:val="00300DB5"/>
    <w:rsid w:val="00301376"/>
    <w:rsid w:val="00303C55"/>
    <w:rsid w:val="00303D80"/>
    <w:rsid w:val="00303FC0"/>
    <w:rsid w:val="00304491"/>
    <w:rsid w:val="00304DE5"/>
    <w:rsid w:val="003057F2"/>
    <w:rsid w:val="00305A19"/>
    <w:rsid w:val="003066E9"/>
    <w:rsid w:val="00310328"/>
    <w:rsid w:val="0031068C"/>
    <w:rsid w:val="00311C2D"/>
    <w:rsid w:val="00314D75"/>
    <w:rsid w:val="00316F5B"/>
    <w:rsid w:val="00317030"/>
    <w:rsid w:val="0031793F"/>
    <w:rsid w:val="003213FC"/>
    <w:rsid w:val="00322EB2"/>
    <w:rsid w:val="00324F73"/>
    <w:rsid w:val="00327250"/>
    <w:rsid w:val="00331E60"/>
    <w:rsid w:val="003326F1"/>
    <w:rsid w:val="00333A31"/>
    <w:rsid w:val="00333C8F"/>
    <w:rsid w:val="00335835"/>
    <w:rsid w:val="00340134"/>
    <w:rsid w:val="003403F6"/>
    <w:rsid w:val="00340617"/>
    <w:rsid w:val="003413AD"/>
    <w:rsid w:val="00341A09"/>
    <w:rsid w:val="00342199"/>
    <w:rsid w:val="0034303A"/>
    <w:rsid w:val="00344065"/>
    <w:rsid w:val="00345279"/>
    <w:rsid w:val="00347560"/>
    <w:rsid w:val="003479B6"/>
    <w:rsid w:val="003514E1"/>
    <w:rsid w:val="00353E5E"/>
    <w:rsid w:val="00361020"/>
    <w:rsid w:val="0036165E"/>
    <w:rsid w:val="00362C52"/>
    <w:rsid w:val="00362F1D"/>
    <w:rsid w:val="00365001"/>
    <w:rsid w:val="003658EE"/>
    <w:rsid w:val="00366CB1"/>
    <w:rsid w:val="003674F8"/>
    <w:rsid w:val="00372997"/>
    <w:rsid w:val="00374D2A"/>
    <w:rsid w:val="00375A0C"/>
    <w:rsid w:val="00376FE6"/>
    <w:rsid w:val="0038029C"/>
    <w:rsid w:val="00380399"/>
    <w:rsid w:val="003804C2"/>
    <w:rsid w:val="00381B9E"/>
    <w:rsid w:val="0038252E"/>
    <w:rsid w:val="00384A08"/>
    <w:rsid w:val="00384C32"/>
    <w:rsid w:val="00384F9A"/>
    <w:rsid w:val="00385BD5"/>
    <w:rsid w:val="00390873"/>
    <w:rsid w:val="00392D63"/>
    <w:rsid w:val="00392FAB"/>
    <w:rsid w:val="003934D0"/>
    <w:rsid w:val="00394844"/>
    <w:rsid w:val="00395684"/>
    <w:rsid w:val="00397CED"/>
    <w:rsid w:val="00399495"/>
    <w:rsid w:val="003A1251"/>
    <w:rsid w:val="003A2E9C"/>
    <w:rsid w:val="003A32CA"/>
    <w:rsid w:val="003A6937"/>
    <w:rsid w:val="003A6EB3"/>
    <w:rsid w:val="003A72E2"/>
    <w:rsid w:val="003B0650"/>
    <w:rsid w:val="003B095B"/>
    <w:rsid w:val="003B2DAE"/>
    <w:rsid w:val="003B2FDF"/>
    <w:rsid w:val="003B3187"/>
    <w:rsid w:val="003B4232"/>
    <w:rsid w:val="003B47A8"/>
    <w:rsid w:val="003B481F"/>
    <w:rsid w:val="003B4E46"/>
    <w:rsid w:val="003B6973"/>
    <w:rsid w:val="003B7B1D"/>
    <w:rsid w:val="003C0AE2"/>
    <w:rsid w:val="003C181D"/>
    <w:rsid w:val="003C1F3F"/>
    <w:rsid w:val="003C3326"/>
    <w:rsid w:val="003C35F7"/>
    <w:rsid w:val="003C41F2"/>
    <w:rsid w:val="003C7C22"/>
    <w:rsid w:val="003C7CF3"/>
    <w:rsid w:val="003D3057"/>
    <w:rsid w:val="003D38DD"/>
    <w:rsid w:val="003D3AEE"/>
    <w:rsid w:val="003D63DB"/>
    <w:rsid w:val="003D676D"/>
    <w:rsid w:val="003DBE6D"/>
    <w:rsid w:val="003E0A3B"/>
    <w:rsid w:val="003E1581"/>
    <w:rsid w:val="003E4B34"/>
    <w:rsid w:val="003E4DE1"/>
    <w:rsid w:val="003E6FFB"/>
    <w:rsid w:val="003E76EF"/>
    <w:rsid w:val="003E7D19"/>
    <w:rsid w:val="003F0C0D"/>
    <w:rsid w:val="003F147E"/>
    <w:rsid w:val="003F19B4"/>
    <w:rsid w:val="003F1F5F"/>
    <w:rsid w:val="003F23E9"/>
    <w:rsid w:val="003FC5A4"/>
    <w:rsid w:val="003FE66D"/>
    <w:rsid w:val="00401882"/>
    <w:rsid w:val="00403EE1"/>
    <w:rsid w:val="004073B2"/>
    <w:rsid w:val="004117D3"/>
    <w:rsid w:val="00412CA2"/>
    <w:rsid w:val="00412ED7"/>
    <w:rsid w:val="00414636"/>
    <w:rsid w:val="00415B17"/>
    <w:rsid w:val="0041667D"/>
    <w:rsid w:val="00416A55"/>
    <w:rsid w:val="00420025"/>
    <w:rsid w:val="004240F7"/>
    <w:rsid w:val="00424CFC"/>
    <w:rsid w:val="00430373"/>
    <w:rsid w:val="00430570"/>
    <w:rsid w:val="00430B38"/>
    <w:rsid w:val="00430FC0"/>
    <w:rsid w:val="004319BA"/>
    <w:rsid w:val="00432736"/>
    <w:rsid w:val="00432FF8"/>
    <w:rsid w:val="004347A0"/>
    <w:rsid w:val="004351AF"/>
    <w:rsid w:val="00443EF3"/>
    <w:rsid w:val="00443F97"/>
    <w:rsid w:val="00445BE7"/>
    <w:rsid w:val="0044721F"/>
    <w:rsid w:val="00447292"/>
    <w:rsid w:val="00452875"/>
    <w:rsid w:val="00453F7C"/>
    <w:rsid w:val="0045421B"/>
    <w:rsid w:val="00454BC6"/>
    <w:rsid w:val="00454F1B"/>
    <w:rsid w:val="004551AE"/>
    <w:rsid w:val="0045590A"/>
    <w:rsid w:val="00456232"/>
    <w:rsid w:val="00456796"/>
    <w:rsid w:val="00463747"/>
    <w:rsid w:val="00464D89"/>
    <w:rsid w:val="00465933"/>
    <w:rsid w:val="00465B99"/>
    <w:rsid w:val="00466A50"/>
    <w:rsid w:val="00467CDA"/>
    <w:rsid w:val="0047107C"/>
    <w:rsid w:val="0047164D"/>
    <w:rsid w:val="00473055"/>
    <w:rsid w:val="00474231"/>
    <w:rsid w:val="00474242"/>
    <w:rsid w:val="00474B98"/>
    <w:rsid w:val="00474C42"/>
    <w:rsid w:val="00481916"/>
    <w:rsid w:val="00481F51"/>
    <w:rsid w:val="004835D9"/>
    <w:rsid w:val="00483F3E"/>
    <w:rsid w:val="00484017"/>
    <w:rsid w:val="004844C3"/>
    <w:rsid w:val="00485838"/>
    <w:rsid w:val="00485AB4"/>
    <w:rsid w:val="00487311"/>
    <w:rsid w:val="00487F5B"/>
    <w:rsid w:val="00490998"/>
    <w:rsid w:val="00490B90"/>
    <w:rsid w:val="00494CF8"/>
    <w:rsid w:val="00496840"/>
    <w:rsid w:val="00497A5B"/>
    <w:rsid w:val="004A0D7E"/>
    <w:rsid w:val="004A16A2"/>
    <w:rsid w:val="004A1CED"/>
    <w:rsid w:val="004A59EF"/>
    <w:rsid w:val="004A5D8D"/>
    <w:rsid w:val="004A7EC3"/>
    <w:rsid w:val="004A7EDC"/>
    <w:rsid w:val="004A7FB6"/>
    <w:rsid w:val="004B2C90"/>
    <w:rsid w:val="004B3840"/>
    <w:rsid w:val="004B435C"/>
    <w:rsid w:val="004B4D72"/>
    <w:rsid w:val="004B5BBE"/>
    <w:rsid w:val="004B5CA5"/>
    <w:rsid w:val="004B7D89"/>
    <w:rsid w:val="004C0847"/>
    <w:rsid w:val="004C17DE"/>
    <w:rsid w:val="004C3BD1"/>
    <w:rsid w:val="004C3F0C"/>
    <w:rsid w:val="004D281C"/>
    <w:rsid w:val="004D3623"/>
    <w:rsid w:val="004D4035"/>
    <w:rsid w:val="004D44D4"/>
    <w:rsid w:val="004D49E5"/>
    <w:rsid w:val="004E001B"/>
    <w:rsid w:val="004E1A55"/>
    <w:rsid w:val="004E1BE7"/>
    <w:rsid w:val="004E28B3"/>
    <w:rsid w:val="004E6514"/>
    <w:rsid w:val="004E65EF"/>
    <w:rsid w:val="004E67AD"/>
    <w:rsid w:val="004F24E8"/>
    <w:rsid w:val="004F4C4F"/>
    <w:rsid w:val="004F55D5"/>
    <w:rsid w:val="004F5F68"/>
    <w:rsid w:val="004F7054"/>
    <w:rsid w:val="005010F7"/>
    <w:rsid w:val="005029DC"/>
    <w:rsid w:val="00504E66"/>
    <w:rsid w:val="00515B68"/>
    <w:rsid w:val="00517C11"/>
    <w:rsid w:val="0052215F"/>
    <w:rsid w:val="005226B9"/>
    <w:rsid w:val="00523CEF"/>
    <w:rsid w:val="00526266"/>
    <w:rsid w:val="00527E5A"/>
    <w:rsid w:val="0053008D"/>
    <w:rsid w:val="00530AEF"/>
    <w:rsid w:val="00530FEA"/>
    <w:rsid w:val="00531969"/>
    <w:rsid w:val="0053248D"/>
    <w:rsid w:val="00533BCC"/>
    <w:rsid w:val="00534803"/>
    <w:rsid w:val="00535A5D"/>
    <w:rsid w:val="00537188"/>
    <w:rsid w:val="00537E30"/>
    <w:rsid w:val="00541961"/>
    <w:rsid w:val="00542AF2"/>
    <w:rsid w:val="005444AE"/>
    <w:rsid w:val="00547026"/>
    <w:rsid w:val="00551985"/>
    <w:rsid w:val="00551E8C"/>
    <w:rsid w:val="005532A6"/>
    <w:rsid w:val="00554B7C"/>
    <w:rsid w:val="00555CC5"/>
    <w:rsid w:val="0055792D"/>
    <w:rsid w:val="00561FB9"/>
    <w:rsid w:val="00563A87"/>
    <w:rsid w:val="00563DDF"/>
    <w:rsid w:val="00564395"/>
    <w:rsid w:val="00566048"/>
    <w:rsid w:val="00566501"/>
    <w:rsid w:val="00566726"/>
    <w:rsid w:val="0056EB25"/>
    <w:rsid w:val="00571507"/>
    <w:rsid w:val="00571985"/>
    <w:rsid w:val="005737B3"/>
    <w:rsid w:val="005749DF"/>
    <w:rsid w:val="0057703E"/>
    <w:rsid w:val="0057794B"/>
    <w:rsid w:val="0058005D"/>
    <w:rsid w:val="00580A4D"/>
    <w:rsid w:val="00582B3D"/>
    <w:rsid w:val="005840FE"/>
    <w:rsid w:val="00584258"/>
    <w:rsid w:val="00584D80"/>
    <w:rsid w:val="00585446"/>
    <w:rsid w:val="00591288"/>
    <w:rsid w:val="005917FD"/>
    <w:rsid w:val="005918F4"/>
    <w:rsid w:val="00591B0D"/>
    <w:rsid w:val="00591DA4"/>
    <w:rsid w:val="00594BD2"/>
    <w:rsid w:val="0059576C"/>
    <w:rsid w:val="00595AF5"/>
    <w:rsid w:val="005962D6"/>
    <w:rsid w:val="0059677B"/>
    <w:rsid w:val="005A01ED"/>
    <w:rsid w:val="005A1F1F"/>
    <w:rsid w:val="005A42E0"/>
    <w:rsid w:val="005A46C2"/>
    <w:rsid w:val="005A4AA1"/>
    <w:rsid w:val="005B16F4"/>
    <w:rsid w:val="005B2A43"/>
    <w:rsid w:val="005B3358"/>
    <w:rsid w:val="005B3558"/>
    <w:rsid w:val="005B3596"/>
    <w:rsid w:val="005B5C66"/>
    <w:rsid w:val="005B6DBC"/>
    <w:rsid w:val="005B7B30"/>
    <w:rsid w:val="005B7B41"/>
    <w:rsid w:val="005C0D04"/>
    <w:rsid w:val="005C0F15"/>
    <w:rsid w:val="005C17FD"/>
    <w:rsid w:val="005C2345"/>
    <w:rsid w:val="005C30FE"/>
    <w:rsid w:val="005C36BF"/>
    <w:rsid w:val="005C3C13"/>
    <w:rsid w:val="005C4F97"/>
    <w:rsid w:val="005C555F"/>
    <w:rsid w:val="005C59F3"/>
    <w:rsid w:val="005C5A5B"/>
    <w:rsid w:val="005C794E"/>
    <w:rsid w:val="005D1497"/>
    <w:rsid w:val="005D1C78"/>
    <w:rsid w:val="005D4467"/>
    <w:rsid w:val="005D4706"/>
    <w:rsid w:val="005E0041"/>
    <w:rsid w:val="005E05AD"/>
    <w:rsid w:val="005E27F1"/>
    <w:rsid w:val="005E352A"/>
    <w:rsid w:val="005E5378"/>
    <w:rsid w:val="005E5E5B"/>
    <w:rsid w:val="005F159B"/>
    <w:rsid w:val="005F1999"/>
    <w:rsid w:val="005F2FAB"/>
    <w:rsid w:val="005F430C"/>
    <w:rsid w:val="005F4355"/>
    <w:rsid w:val="005F6B3E"/>
    <w:rsid w:val="00600C1A"/>
    <w:rsid w:val="00604186"/>
    <w:rsid w:val="006051D7"/>
    <w:rsid w:val="00610151"/>
    <w:rsid w:val="00610269"/>
    <w:rsid w:val="00611888"/>
    <w:rsid w:val="00611CEE"/>
    <w:rsid w:val="00611F1F"/>
    <w:rsid w:val="00611F66"/>
    <w:rsid w:val="00612BE4"/>
    <w:rsid w:val="00612F91"/>
    <w:rsid w:val="006147EB"/>
    <w:rsid w:val="00614FE6"/>
    <w:rsid w:val="00616F2C"/>
    <w:rsid w:val="006200EB"/>
    <w:rsid w:val="006201D0"/>
    <w:rsid w:val="00621EA3"/>
    <w:rsid w:val="00622D3B"/>
    <w:rsid w:val="00623AEF"/>
    <w:rsid w:val="00623D82"/>
    <w:rsid w:val="00627F0B"/>
    <w:rsid w:val="00634836"/>
    <w:rsid w:val="00635E1A"/>
    <w:rsid w:val="00636496"/>
    <w:rsid w:val="00637089"/>
    <w:rsid w:val="00640234"/>
    <w:rsid w:val="006419E9"/>
    <w:rsid w:val="00642A13"/>
    <w:rsid w:val="006431B0"/>
    <w:rsid w:val="0064343A"/>
    <w:rsid w:val="00644E44"/>
    <w:rsid w:val="0064655F"/>
    <w:rsid w:val="00647128"/>
    <w:rsid w:val="0065164E"/>
    <w:rsid w:val="00651DA5"/>
    <w:rsid w:val="0065424B"/>
    <w:rsid w:val="00654821"/>
    <w:rsid w:val="006549FD"/>
    <w:rsid w:val="0065534D"/>
    <w:rsid w:val="0065604C"/>
    <w:rsid w:val="00657325"/>
    <w:rsid w:val="00657D45"/>
    <w:rsid w:val="0066274E"/>
    <w:rsid w:val="00662D68"/>
    <w:rsid w:val="006635C2"/>
    <w:rsid w:val="00665091"/>
    <w:rsid w:val="0066537B"/>
    <w:rsid w:val="00665FB6"/>
    <w:rsid w:val="006661F4"/>
    <w:rsid w:val="00667D5C"/>
    <w:rsid w:val="00671EB7"/>
    <w:rsid w:val="0067326C"/>
    <w:rsid w:val="00674F41"/>
    <w:rsid w:val="00681C7F"/>
    <w:rsid w:val="00681E32"/>
    <w:rsid w:val="00682323"/>
    <w:rsid w:val="00684989"/>
    <w:rsid w:val="006871EE"/>
    <w:rsid w:val="00687B9D"/>
    <w:rsid w:val="006911F8"/>
    <w:rsid w:val="00691C01"/>
    <w:rsid w:val="006920CA"/>
    <w:rsid w:val="00692138"/>
    <w:rsid w:val="006954C6"/>
    <w:rsid w:val="00695C6E"/>
    <w:rsid w:val="0069635D"/>
    <w:rsid w:val="00696C84"/>
    <w:rsid w:val="0069727F"/>
    <w:rsid w:val="006A008F"/>
    <w:rsid w:val="006A0AD2"/>
    <w:rsid w:val="006A153A"/>
    <w:rsid w:val="006A2534"/>
    <w:rsid w:val="006A2D71"/>
    <w:rsid w:val="006A4226"/>
    <w:rsid w:val="006A5AA6"/>
    <w:rsid w:val="006A69CA"/>
    <w:rsid w:val="006B0C32"/>
    <w:rsid w:val="006B0EA9"/>
    <w:rsid w:val="006B25AC"/>
    <w:rsid w:val="006B2862"/>
    <w:rsid w:val="006B5B50"/>
    <w:rsid w:val="006B5EC3"/>
    <w:rsid w:val="006C02D0"/>
    <w:rsid w:val="006C1952"/>
    <w:rsid w:val="006C2684"/>
    <w:rsid w:val="006C31EB"/>
    <w:rsid w:val="006C3C5D"/>
    <w:rsid w:val="006C47AA"/>
    <w:rsid w:val="006D1756"/>
    <w:rsid w:val="006D2283"/>
    <w:rsid w:val="006D2A7A"/>
    <w:rsid w:val="006D359D"/>
    <w:rsid w:val="006D47BA"/>
    <w:rsid w:val="006D4A53"/>
    <w:rsid w:val="006D4D95"/>
    <w:rsid w:val="006D5B9C"/>
    <w:rsid w:val="006D5CAF"/>
    <w:rsid w:val="006D6243"/>
    <w:rsid w:val="006D6AB8"/>
    <w:rsid w:val="006E170D"/>
    <w:rsid w:val="006E4483"/>
    <w:rsid w:val="006E698B"/>
    <w:rsid w:val="006E7F85"/>
    <w:rsid w:val="006F0181"/>
    <w:rsid w:val="006F074C"/>
    <w:rsid w:val="006F13F6"/>
    <w:rsid w:val="006F1D21"/>
    <w:rsid w:val="006F20BC"/>
    <w:rsid w:val="006F26F5"/>
    <w:rsid w:val="006F3393"/>
    <w:rsid w:val="006F5A3B"/>
    <w:rsid w:val="006F5F7B"/>
    <w:rsid w:val="006F782E"/>
    <w:rsid w:val="0070059D"/>
    <w:rsid w:val="00701F9A"/>
    <w:rsid w:val="00703667"/>
    <w:rsid w:val="00711070"/>
    <w:rsid w:val="00712097"/>
    <w:rsid w:val="0071548B"/>
    <w:rsid w:val="00717901"/>
    <w:rsid w:val="00717E1A"/>
    <w:rsid w:val="007203E4"/>
    <w:rsid w:val="007204A9"/>
    <w:rsid w:val="00721138"/>
    <w:rsid w:val="007215E7"/>
    <w:rsid w:val="007226B7"/>
    <w:rsid w:val="007234E9"/>
    <w:rsid w:val="00725DE1"/>
    <w:rsid w:val="00726434"/>
    <w:rsid w:val="007276F2"/>
    <w:rsid w:val="0072B696"/>
    <w:rsid w:val="00731D82"/>
    <w:rsid w:val="007342B2"/>
    <w:rsid w:val="007353FC"/>
    <w:rsid w:val="00736551"/>
    <w:rsid w:val="0073C041"/>
    <w:rsid w:val="00740A39"/>
    <w:rsid w:val="00746D2B"/>
    <w:rsid w:val="00747C2B"/>
    <w:rsid w:val="00752A8B"/>
    <w:rsid w:val="007568BB"/>
    <w:rsid w:val="00756929"/>
    <w:rsid w:val="00756E0F"/>
    <w:rsid w:val="00761CDC"/>
    <w:rsid w:val="00762B55"/>
    <w:rsid w:val="00767DBB"/>
    <w:rsid w:val="00770744"/>
    <w:rsid w:val="0077160C"/>
    <w:rsid w:val="007733AA"/>
    <w:rsid w:val="00774646"/>
    <w:rsid w:val="00775FDF"/>
    <w:rsid w:val="00780BC7"/>
    <w:rsid w:val="00781695"/>
    <w:rsid w:val="007826DB"/>
    <w:rsid w:val="00782AD3"/>
    <w:rsid w:val="0078311C"/>
    <w:rsid w:val="00785D71"/>
    <w:rsid w:val="00787872"/>
    <w:rsid w:val="00790C93"/>
    <w:rsid w:val="00790F71"/>
    <w:rsid w:val="00791D93"/>
    <w:rsid w:val="00793BE2"/>
    <w:rsid w:val="007959C0"/>
    <w:rsid w:val="007A02A7"/>
    <w:rsid w:val="007A1C01"/>
    <w:rsid w:val="007A1E9A"/>
    <w:rsid w:val="007A267C"/>
    <w:rsid w:val="007A45E1"/>
    <w:rsid w:val="007A7126"/>
    <w:rsid w:val="007A7182"/>
    <w:rsid w:val="007B0C33"/>
    <w:rsid w:val="007B6552"/>
    <w:rsid w:val="007C0567"/>
    <w:rsid w:val="007C0753"/>
    <w:rsid w:val="007C0935"/>
    <w:rsid w:val="007C1DAE"/>
    <w:rsid w:val="007C3E8F"/>
    <w:rsid w:val="007C5737"/>
    <w:rsid w:val="007C6D42"/>
    <w:rsid w:val="007C762B"/>
    <w:rsid w:val="007D30FE"/>
    <w:rsid w:val="007D3219"/>
    <w:rsid w:val="007D3B5B"/>
    <w:rsid w:val="007D4B16"/>
    <w:rsid w:val="007D700F"/>
    <w:rsid w:val="007D701B"/>
    <w:rsid w:val="007D762B"/>
    <w:rsid w:val="007D7B42"/>
    <w:rsid w:val="007E05CE"/>
    <w:rsid w:val="007E6B2B"/>
    <w:rsid w:val="007E71D3"/>
    <w:rsid w:val="007F452C"/>
    <w:rsid w:val="007F4E93"/>
    <w:rsid w:val="007F7BCF"/>
    <w:rsid w:val="00801477"/>
    <w:rsid w:val="00803996"/>
    <w:rsid w:val="008040B2"/>
    <w:rsid w:val="008046D4"/>
    <w:rsid w:val="0080663D"/>
    <w:rsid w:val="008069E9"/>
    <w:rsid w:val="00806D24"/>
    <w:rsid w:val="00807922"/>
    <w:rsid w:val="008112AC"/>
    <w:rsid w:val="00815583"/>
    <w:rsid w:val="00815731"/>
    <w:rsid w:val="00815E99"/>
    <w:rsid w:val="00816C89"/>
    <w:rsid w:val="008210DD"/>
    <w:rsid w:val="00821CD0"/>
    <w:rsid w:val="00822838"/>
    <w:rsid w:val="008260BB"/>
    <w:rsid w:val="00830846"/>
    <w:rsid w:val="00831065"/>
    <w:rsid w:val="008315F7"/>
    <w:rsid w:val="0083168D"/>
    <w:rsid w:val="008319AA"/>
    <w:rsid w:val="00833792"/>
    <w:rsid w:val="00833C63"/>
    <w:rsid w:val="00834160"/>
    <w:rsid w:val="008352D5"/>
    <w:rsid w:val="00836FBD"/>
    <w:rsid w:val="008400A9"/>
    <w:rsid w:val="00841186"/>
    <w:rsid w:val="00841966"/>
    <w:rsid w:val="00843744"/>
    <w:rsid w:val="008450BA"/>
    <w:rsid w:val="0085001D"/>
    <w:rsid w:val="00850708"/>
    <w:rsid w:val="00852EE7"/>
    <w:rsid w:val="00852F35"/>
    <w:rsid w:val="00854D90"/>
    <w:rsid w:val="00855A16"/>
    <w:rsid w:val="00857363"/>
    <w:rsid w:val="0086011F"/>
    <w:rsid w:val="008606BA"/>
    <w:rsid w:val="00863047"/>
    <w:rsid w:val="00867609"/>
    <w:rsid w:val="00870675"/>
    <w:rsid w:val="00871605"/>
    <w:rsid w:val="00872B9B"/>
    <w:rsid w:val="00872D6E"/>
    <w:rsid w:val="008733A9"/>
    <w:rsid w:val="00873C9F"/>
    <w:rsid w:val="00875909"/>
    <w:rsid w:val="008773F8"/>
    <w:rsid w:val="00877EFC"/>
    <w:rsid w:val="00880485"/>
    <w:rsid w:val="00882219"/>
    <w:rsid w:val="008827F0"/>
    <w:rsid w:val="00883248"/>
    <w:rsid w:val="00884499"/>
    <w:rsid w:val="00884DF7"/>
    <w:rsid w:val="0088549D"/>
    <w:rsid w:val="00885861"/>
    <w:rsid w:val="00890E97"/>
    <w:rsid w:val="0089126A"/>
    <w:rsid w:val="00893B21"/>
    <w:rsid w:val="00895504"/>
    <w:rsid w:val="00897A93"/>
    <w:rsid w:val="008A0614"/>
    <w:rsid w:val="008A4AF9"/>
    <w:rsid w:val="008A4B1F"/>
    <w:rsid w:val="008A571C"/>
    <w:rsid w:val="008A5C3F"/>
    <w:rsid w:val="008A67CC"/>
    <w:rsid w:val="008A6C91"/>
    <w:rsid w:val="008A7396"/>
    <w:rsid w:val="008B2291"/>
    <w:rsid w:val="008B2A56"/>
    <w:rsid w:val="008B304E"/>
    <w:rsid w:val="008B3A47"/>
    <w:rsid w:val="008B44F5"/>
    <w:rsid w:val="008B66C1"/>
    <w:rsid w:val="008B7B17"/>
    <w:rsid w:val="008C0377"/>
    <w:rsid w:val="008C0BD3"/>
    <w:rsid w:val="008C1B65"/>
    <w:rsid w:val="008C1D62"/>
    <w:rsid w:val="008C3241"/>
    <w:rsid w:val="008C47A1"/>
    <w:rsid w:val="008C738F"/>
    <w:rsid w:val="008D173E"/>
    <w:rsid w:val="008D3DBA"/>
    <w:rsid w:val="008D3FF9"/>
    <w:rsid w:val="008D6776"/>
    <w:rsid w:val="008D6B9E"/>
    <w:rsid w:val="008E03AE"/>
    <w:rsid w:val="008E082F"/>
    <w:rsid w:val="008E1024"/>
    <w:rsid w:val="008E2ED3"/>
    <w:rsid w:val="008E2F4C"/>
    <w:rsid w:val="008E550A"/>
    <w:rsid w:val="008F06BC"/>
    <w:rsid w:val="008F2CDD"/>
    <w:rsid w:val="008F326D"/>
    <w:rsid w:val="008F3F57"/>
    <w:rsid w:val="008F65ED"/>
    <w:rsid w:val="008F6C49"/>
    <w:rsid w:val="008F74B0"/>
    <w:rsid w:val="008F7582"/>
    <w:rsid w:val="00902218"/>
    <w:rsid w:val="00902BFE"/>
    <w:rsid w:val="0090718B"/>
    <w:rsid w:val="00907726"/>
    <w:rsid w:val="0091025A"/>
    <w:rsid w:val="00910925"/>
    <w:rsid w:val="00912C03"/>
    <w:rsid w:val="00913ED0"/>
    <w:rsid w:val="00914935"/>
    <w:rsid w:val="00915F01"/>
    <w:rsid w:val="0092098A"/>
    <w:rsid w:val="009210B7"/>
    <w:rsid w:val="009239A7"/>
    <w:rsid w:val="009259EB"/>
    <w:rsid w:val="009263C0"/>
    <w:rsid w:val="00926F3B"/>
    <w:rsid w:val="0092710D"/>
    <w:rsid w:val="00927650"/>
    <w:rsid w:val="009277DC"/>
    <w:rsid w:val="009279CF"/>
    <w:rsid w:val="0093056B"/>
    <w:rsid w:val="009319B3"/>
    <w:rsid w:val="00932B44"/>
    <w:rsid w:val="0093419F"/>
    <w:rsid w:val="009348B8"/>
    <w:rsid w:val="00936832"/>
    <w:rsid w:val="00942CB6"/>
    <w:rsid w:val="00942CE9"/>
    <w:rsid w:val="0094421C"/>
    <w:rsid w:val="00945257"/>
    <w:rsid w:val="009468AE"/>
    <w:rsid w:val="00946EEF"/>
    <w:rsid w:val="0094768F"/>
    <w:rsid w:val="00951F13"/>
    <w:rsid w:val="00954FF2"/>
    <w:rsid w:val="00956D77"/>
    <w:rsid w:val="00957E45"/>
    <w:rsid w:val="009615D2"/>
    <w:rsid w:val="00962EE8"/>
    <w:rsid w:val="0096357A"/>
    <w:rsid w:val="00963625"/>
    <w:rsid w:val="009638B6"/>
    <w:rsid w:val="0096396F"/>
    <w:rsid w:val="00965EAF"/>
    <w:rsid w:val="0096613B"/>
    <w:rsid w:val="009668EA"/>
    <w:rsid w:val="00967C04"/>
    <w:rsid w:val="0097186F"/>
    <w:rsid w:val="0097213D"/>
    <w:rsid w:val="00976EE9"/>
    <w:rsid w:val="0097739A"/>
    <w:rsid w:val="00983097"/>
    <w:rsid w:val="00983290"/>
    <w:rsid w:val="00983CBC"/>
    <w:rsid w:val="00984376"/>
    <w:rsid w:val="00985068"/>
    <w:rsid w:val="00987408"/>
    <w:rsid w:val="00992614"/>
    <w:rsid w:val="00992B48"/>
    <w:rsid w:val="009952BB"/>
    <w:rsid w:val="00996B4C"/>
    <w:rsid w:val="009A0FFC"/>
    <w:rsid w:val="009A25C6"/>
    <w:rsid w:val="009A2C5E"/>
    <w:rsid w:val="009A3942"/>
    <w:rsid w:val="009A6501"/>
    <w:rsid w:val="009A6D9C"/>
    <w:rsid w:val="009A6F18"/>
    <w:rsid w:val="009A75CC"/>
    <w:rsid w:val="009B0444"/>
    <w:rsid w:val="009B1986"/>
    <w:rsid w:val="009B1B44"/>
    <w:rsid w:val="009B32C1"/>
    <w:rsid w:val="009B4DAB"/>
    <w:rsid w:val="009B4F4C"/>
    <w:rsid w:val="009B50F1"/>
    <w:rsid w:val="009B6FD7"/>
    <w:rsid w:val="009B7C90"/>
    <w:rsid w:val="009C35FD"/>
    <w:rsid w:val="009C60F6"/>
    <w:rsid w:val="009C64F0"/>
    <w:rsid w:val="009C66AC"/>
    <w:rsid w:val="009C7E34"/>
    <w:rsid w:val="009D258F"/>
    <w:rsid w:val="009D39C4"/>
    <w:rsid w:val="009D4D6C"/>
    <w:rsid w:val="009D79C8"/>
    <w:rsid w:val="009E2828"/>
    <w:rsid w:val="009E2EAE"/>
    <w:rsid w:val="009E4789"/>
    <w:rsid w:val="009E48FC"/>
    <w:rsid w:val="009E5C15"/>
    <w:rsid w:val="009E7C8D"/>
    <w:rsid w:val="009E7DAF"/>
    <w:rsid w:val="009F01FB"/>
    <w:rsid w:val="009F0889"/>
    <w:rsid w:val="009F1400"/>
    <w:rsid w:val="009F66A6"/>
    <w:rsid w:val="009F6A0F"/>
    <w:rsid w:val="009F6D75"/>
    <w:rsid w:val="009F73EE"/>
    <w:rsid w:val="009F7F08"/>
    <w:rsid w:val="00A0059E"/>
    <w:rsid w:val="00A008E6"/>
    <w:rsid w:val="00A03A28"/>
    <w:rsid w:val="00A055BF"/>
    <w:rsid w:val="00A067D2"/>
    <w:rsid w:val="00A076D8"/>
    <w:rsid w:val="00A12C83"/>
    <w:rsid w:val="00A12E38"/>
    <w:rsid w:val="00A152C3"/>
    <w:rsid w:val="00A16B9F"/>
    <w:rsid w:val="00A17E7F"/>
    <w:rsid w:val="00A1B025"/>
    <w:rsid w:val="00A22BB3"/>
    <w:rsid w:val="00A24B0E"/>
    <w:rsid w:val="00A25937"/>
    <w:rsid w:val="00A2BE55"/>
    <w:rsid w:val="00A3088D"/>
    <w:rsid w:val="00A30DE6"/>
    <w:rsid w:val="00A31351"/>
    <w:rsid w:val="00A32196"/>
    <w:rsid w:val="00A32875"/>
    <w:rsid w:val="00A32DB7"/>
    <w:rsid w:val="00A33D6B"/>
    <w:rsid w:val="00A33DB2"/>
    <w:rsid w:val="00A34B4A"/>
    <w:rsid w:val="00A3E9C0"/>
    <w:rsid w:val="00A4032A"/>
    <w:rsid w:val="00A41335"/>
    <w:rsid w:val="00A42152"/>
    <w:rsid w:val="00A4255A"/>
    <w:rsid w:val="00A43712"/>
    <w:rsid w:val="00A441B8"/>
    <w:rsid w:val="00A4459F"/>
    <w:rsid w:val="00A46288"/>
    <w:rsid w:val="00A4630F"/>
    <w:rsid w:val="00A4740F"/>
    <w:rsid w:val="00A476A8"/>
    <w:rsid w:val="00A47CE3"/>
    <w:rsid w:val="00A47D2B"/>
    <w:rsid w:val="00A50113"/>
    <w:rsid w:val="00A506FD"/>
    <w:rsid w:val="00A50763"/>
    <w:rsid w:val="00A52EFD"/>
    <w:rsid w:val="00A55496"/>
    <w:rsid w:val="00A57C46"/>
    <w:rsid w:val="00A62EF3"/>
    <w:rsid w:val="00A650DD"/>
    <w:rsid w:val="00A65D07"/>
    <w:rsid w:val="00A66818"/>
    <w:rsid w:val="00A67141"/>
    <w:rsid w:val="00A6F2EA"/>
    <w:rsid w:val="00A71E92"/>
    <w:rsid w:val="00A72551"/>
    <w:rsid w:val="00A72CCF"/>
    <w:rsid w:val="00A72FFB"/>
    <w:rsid w:val="00A735D6"/>
    <w:rsid w:val="00A746D3"/>
    <w:rsid w:val="00A74C3B"/>
    <w:rsid w:val="00A74D8D"/>
    <w:rsid w:val="00A76A0B"/>
    <w:rsid w:val="00A77B5F"/>
    <w:rsid w:val="00A800C8"/>
    <w:rsid w:val="00A8335D"/>
    <w:rsid w:val="00A84007"/>
    <w:rsid w:val="00A84A5C"/>
    <w:rsid w:val="00A86B0A"/>
    <w:rsid w:val="00A91060"/>
    <w:rsid w:val="00A912D4"/>
    <w:rsid w:val="00A918A7"/>
    <w:rsid w:val="00A91A6A"/>
    <w:rsid w:val="00A926EB"/>
    <w:rsid w:val="00A92B63"/>
    <w:rsid w:val="00A92DC3"/>
    <w:rsid w:val="00A94975"/>
    <w:rsid w:val="00A97876"/>
    <w:rsid w:val="00AA12EC"/>
    <w:rsid w:val="00AA2723"/>
    <w:rsid w:val="00AA4AF4"/>
    <w:rsid w:val="00AA64B4"/>
    <w:rsid w:val="00AA6586"/>
    <w:rsid w:val="00AA6E09"/>
    <w:rsid w:val="00AA705F"/>
    <w:rsid w:val="00AA75EC"/>
    <w:rsid w:val="00AA7786"/>
    <w:rsid w:val="00AA78B5"/>
    <w:rsid w:val="00AB1C7E"/>
    <w:rsid w:val="00AB3917"/>
    <w:rsid w:val="00AB7063"/>
    <w:rsid w:val="00ABAFC7"/>
    <w:rsid w:val="00AC0290"/>
    <w:rsid w:val="00AC2CDC"/>
    <w:rsid w:val="00AC3FCC"/>
    <w:rsid w:val="00AC4EBC"/>
    <w:rsid w:val="00AC5FC3"/>
    <w:rsid w:val="00AD18DF"/>
    <w:rsid w:val="00AD1E63"/>
    <w:rsid w:val="00AD2037"/>
    <w:rsid w:val="00AD569B"/>
    <w:rsid w:val="00AD57F6"/>
    <w:rsid w:val="00AD6235"/>
    <w:rsid w:val="00AD7008"/>
    <w:rsid w:val="00AD7215"/>
    <w:rsid w:val="00AD7805"/>
    <w:rsid w:val="00AD7CFF"/>
    <w:rsid w:val="00AE04FD"/>
    <w:rsid w:val="00AE202F"/>
    <w:rsid w:val="00AE319D"/>
    <w:rsid w:val="00AE369B"/>
    <w:rsid w:val="00AE4649"/>
    <w:rsid w:val="00AF5059"/>
    <w:rsid w:val="00AF520C"/>
    <w:rsid w:val="00AF73F8"/>
    <w:rsid w:val="00B008DA"/>
    <w:rsid w:val="00B00C54"/>
    <w:rsid w:val="00B02B80"/>
    <w:rsid w:val="00B03991"/>
    <w:rsid w:val="00B07AF7"/>
    <w:rsid w:val="00B119D3"/>
    <w:rsid w:val="00B16464"/>
    <w:rsid w:val="00B21496"/>
    <w:rsid w:val="00B2190B"/>
    <w:rsid w:val="00B22BB6"/>
    <w:rsid w:val="00B234D3"/>
    <w:rsid w:val="00B23EAD"/>
    <w:rsid w:val="00B2439F"/>
    <w:rsid w:val="00B25808"/>
    <w:rsid w:val="00B264DD"/>
    <w:rsid w:val="00B314D1"/>
    <w:rsid w:val="00B31B2C"/>
    <w:rsid w:val="00B355CD"/>
    <w:rsid w:val="00B36C5A"/>
    <w:rsid w:val="00B371EB"/>
    <w:rsid w:val="00B428F8"/>
    <w:rsid w:val="00B42C2C"/>
    <w:rsid w:val="00B43187"/>
    <w:rsid w:val="00B4320D"/>
    <w:rsid w:val="00B43C80"/>
    <w:rsid w:val="00B44726"/>
    <w:rsid w:val="00B4541B"/>
    <w:rsid w:val="00B506A8"/>
    <w:rsid w:val="00B53973"/>
    <w:rsid w:val="00B53FC1"/>
    <w:rsid w:val="00B56736"/>
    <w:rsid w:val="00B571A4"/>
    <w:rsid w:val="00B573A1"/>
    <w:rsid w:val="00B60593"/>
    <w:rsid w:val="00B60F61"/>
    <w:rsid w:val="00B61187"/>
    <w:rsid w:val="00B625D8"/>
    <w:rsid w:val="00B62E1E"/>
    <w:rsid w:val="00B63793"/>
    <w:rsid w:val="00B65036"/>
    <w:rsid w:val="00B6596F"/>
    <w:rsid w:val="00B670A2"/>
    <w:rsid w:val="00B70151"/>
    <w:rsid w:val="00B70EDD"/>
    <w:rsid w:val="00B75103"/>
    <w:rsid w:val="00B808C5"/>
    <w:rsid w:val="00B81E1C"/>
    <w:rsid w:val="00B82546"/>
    <w:rsid w:val="00B857E5"/>
    <w:rsid w:val="00B8609C"/>
    <w:rsid w:val="00B90B3D"/>
    <w:rsid w:val="00B91BBD"/>
    <w:rsid w:val="00B9399A"/>
    <w:rsid w:val="00B94068"/>
    <w:rsid w:val="00B94CDD"/>
    <w:rsid w:val="00B94D1E"/>
    <w:rsid w:val="00B95447"/>
    <w:rsid w:val="00BA42D6"/>
    <w:rsid w:val="00BB05C1"/>
    <w:rsid w:val="00BB133A"/>
    <w:rsid w:val="00BB1526"/>
    <w:rsid w:val="00BB29E9"/>
    <w:rsid w:val="00BB2C71"/>
    <w:rsid w:val="00BB4EDA"/>
    <w:rsid w:val="00BB6534"/>
    <w:rsid w:val="00BD171D"/>
    <w:rsid w:val="00BD1E81"/>
    <w:rsid w:val="00BD1F79"/>
    <w:rsid w:val="00BD3895"/>
    <w:rsid w:val="00BD57F5"/>
    <w:rsid w:val="00BD7000"/>
    <w:rsid w:val="00BD79C5"/>
    <w:rsid w:val="00BDDFFF"/>
    <w:rsid w:val="00BE0219"/>
    <w:rsid w:val="00BE2A16"/>
    <w:rsid w:val="00BE330A"/>
    <w:rsid w:val="00BE4467"/>
    <w:rsid w:val="00BE48A4"/>
    <w:rsid w:val="00BE4A44"/>
    <w:rsid w:val="00BE56F0"/>
    <w:rsid w:val="00BE62CB"/>
    <w:rsid w:val="00BF396F"/>
    <w:rsid w:val="00BF4A50"/>
    <w:rsid w:val="00BF52B4"/>
    <w:rsid w:val="00BF6B9C"/>
    <w:rsid w:val="00BF7FAD"/>
    <w:rsid w:val="00C00275"/>
    <w:rsid w:val="00C002E9"/>
    <w:rsid w:val="00C02325"/>
    <w:rsid w:val="00C0406F"/>
    <w:rsid w:val="00C04EA7"/>
    <w:rsid w:val="00C063DD"/>
    <w:rsid w:val="00C06D2D"/>
    <w:rsid w:val="00C06E4A"/>
    <w:rsid w:val="00C07429"/>
    <w:rsid w:val="00C110ED"/>
    <w:rsid w:val="00C12D35"/>
    <w:rsid w:val="00C144BE"/>
    <w:rsid w:val="00C16B25"/>
    <w:rsid w:val="00C204AB"/>
    <w:rsid w:val="00C232E3"/>
    <w:rsid w:val="00C24E05"/>
    <w:rsid w:val="00C30433"/>
    <w:rsid w:val="00C30D4B"/>
    <w:rsid w:val="00C31032"/>
    <w:rsid w:val="00C3137B"/>
    <w:rsid w:val="00C315D9"/>
    <w:rsid w:val="00C32415"/>
    <w:rsid w:val="00C3265D"/>
    <w:rsid w:val="00C3410A"/>
    <w:rsid w:val="00C34D4B"/>
    <w:rsid w:val="00C35E2B"/>
    <w:rsid w:val="00C40CCB"/>
    <w:rsid w:val="00C42B14"/>
    <w:rsid w:val="00C46100"/>
    <w:rsid w:val="00C4716D"/>
    <w:rsid w:val="00C47620"/>
    <w:rsid w:val="00C50346"/>
    <w:rsid w:val="00C51B13"/>
    <w:rsid w:val="00C52EB4"/>
    <w:rsid w:val="00C60D87"/>
    <w:rsid w:val="00C60E77"/>
    <w:rsid w:val="00C62413"/>
    <w:rsid w:val="00C64FF2"/>
    <w:rsid w:val="00C65552"/>
    <w:rsid w:val="00C67175"/>
    <w:rsid w:val="00C7066A"/>
    <w:rsid w:val="00C70947"/>
    <w:rsid w:val="00C70BE3"/>
    <w:rsid w:val="00C7202C"/>
    <w:rsid w:val="00C730B9"/>
    <w:rsid w:val="00C7327F"/>
    <w:rsid w:val="00C74DD2"/>
    <w:rsid w:val="00C776F8"/>
    <w:rsid w:val="00C77A6D"/>
    <w:rsid w:val="00C800B3"/>
    <w:rsid w:val="00C8089C"/>
    <w:rsid w:val="00C85FA1"/>
    <w:rsid w:val="00C906D3"/>
    <w:rsid w:val="00C90770"/>
    <w:rsid w:val="00C91536"/>
    <w:rsid w:val="00C93628"/>
    <w:rsid w:val="00C93D57"/>
    <w:rsid w:val="00C95B24"/>
    <w:rsid w:val="00C95BA5"/>
    <w:rsid w:val="00C95E75"/>
    <w:rsid w:val="00CA335D"/>
    <w:rsid w:val="00CA36CC"/>
    <w:rsid w:val="00CA3871"/>
    <w:rsid w:val="00CA40C4"/>
    <w:rsid w:val="00CA5B67"/>
    <w:rsid w:val="00CB18FA"/>
    <w:rsid w:val="00CB2493"/>
    <w:rsid w:val="00CB3743"/>
    <w:rsid w:val="00CC02EA"/>
    <w:rsid w:val="00CC2132"/>
    <w:rsid w:val="00CC2CAC"/>
    <w:rsid w:val="00CC5776"/>
    <w:rsid w:val="00CC6110"/>
    <w:rsid w:val="00CC6960"/>
    <w:rsid w:val="00CD2FA4"/>
    <w:rsid w:val="00CD4BFE"/>
    <w:rsid w:val="00CD605A"/>
    <w:rsid w:val="00CD650F"/>
    <w:rsid w:val="00CD70C4"/>
    <w:rsid w:val="00CE336F"/>
    <w:rsid w:val="00CE68C0"/>
    <w:rsid w:val="00CE711B"/>
    <w:rsid w:val="00CF13B2"/>
    <w:rsid w:val="00CF2124"/>
    <w:rsid w:val="00CF237E"/>
    <w:rsid w:val="00CF3542"/>
    <w:rsid w:val="00CF4D8E"/>
    <w:rsid w:val="00CF530E"/>
    <w:rsid w:val="00CF7187"/>
    <w:rsid w:val="00CF747B"/>
    <w:rsid w:val="00D00725"/>
    <w:rsid w:val="00D01F48"/>
    <w:rsid w:val="00D03797"/>
    <w:rsid w:val="00D03799"/>
    <w:rsid w:val="00D045FF"/>
    <w:rsid w:val="00D04E61"/>
    <w:rsid w:val="00D101DE"/>
    <w:rsid w:val="00D10635"/>
    <w:rsid w:val="00D10AD9"/>
    <w:rsid w:val="00D111C6"/>
    <w:rsid w:val="00D11629"/>
    <w:rsid w:val="00D116AA"/>
    <w:rsid w:val="00D15397"/>
    <w:rsid w:val="00D158EC"/>
    <w:rsid w:val="00D15BAB"/>
    <w:rsid w:val="00D15C85"/>
    <w:rsid w:val="00D163ED"/>
    <w:rsid w:val="00D20C62"/>
    <w:rsid w:val="00D21B7D"/>
    <w:rsid w:val="00D246D0"/>
    <w:rsid w:val="00D24E36"/>
    <w:rsid w:val="00D26429"/>
    <w:rsid w:val="00D269E5"/>
    <w:rsid w:val="00D278EE"/>
    <w:rsid w:val="00D331C7"/>
    <w:rsid w:val="00D3379E"/>
    <w:rsid w:val="00D33C1F"/>
    <w:rsid w:val="00D33D8F"/>
    <w:rsid w:val="00D33E38"/>
    <w:rsid w:val="00D35B04"/>
    <w:rsid w:val="00D40FD9"/>
    <w:rsid w:val="00D419B1"/>
    <w:rsid w:val="00D44B27"/>
    <w:rsid w:val="00D45263"/>
    <w:rsid w:val="00D46C33"/>
    <w:rsid w:val="00D500C1"/>
    <w:rsid w:val="00D525B8"/>
    <w:rsid w:val="00D53632"/>
    <w:rsid w:val="00D5765E"/>
    <w:rsid w:val="00D60DC5"/>
    <w:rsid w:val="00D63518"/>
    <w:rsid w:val="00D6481D"/>
    <w:rsid w:val="00D65452"/>
    <w:rsid w:val="00D6780A"/>
    <w:rsid w:val="00D7635B"/>
    <w:rsid w:val="00D76657"/>
    <w:rsid w:val="00D7714D"/>
    <w:rsid w:val="00D77645"/>
    <w:rsid w:val="00D77A0B"/>
    <w:rsid w:val="00D78023"/>
    <w:rsid w:val="00D83264"/>
    <w:rsid w:val="00D8431D"/>
    <w:rsid w:val="00D845C6"/>
    <w:rsid w:val="00D903DB"/>
    <w:rsid w:val="00D91534"/>
    <w:rsid w:val="00D92446"/>
    <w:rsid w:val="00D92DB8"/>
    <w:rsid w:val="00D94D71"/>
    <w:rsid w:val="00D9576B"/>
    <w:rsid w:val="00D97A24"/>
    <w:rsid w:val="00D9E6B1"/>
    <w:rsid w:val="00DA18A2"/>
    <w:rsid w:val="00DA261B"/>
    <w:rsid w:val="00DA2EF8"/>
    <w:rsid w:val="00DA3934"/>
    <w:rsid w:val="00DA40F7"/>
    <w:rsid w:val="00DA4EE0"/>
    <w:rsid w:val="00DA6F03"/>
    <w:rsid w:val="00DA7DBB"/>
    <w:rsid w:val="00DB0A1D"/>
    <w:rsid w:val="00DB25C5"/>
    <w:rsid w:val="00DB26D4"/>
    <w:rsid w:val="00DB3391"/>
    <w:rsid w:val="00DB4DA1"/>
    <w:rsid w:val="00DB4F00"/>
    <w:rsid w:val="00DB55E9"/>
    <w:rsid w:val="00DB6D9C"/>
    <w:rsid w:val="00DB6E0C"/>
    <w:rsid w:val="00DB778D"/>
    <w:rsid w:val="00DC0C8A"/>
    <w:rsid w:val="00DC209A"/>
    <w:rsid w:val="00DC33F4"/>
    <w:rsid w:val="00DC38F2"/>
    <w:rsid w:val="00DC4E43"/>
    <w:rsid w:val="00DC64D9"/>
    <w:rsid w:val="00DD1F1F"/>
    <w:rsid w:val="00DD30C6"/>
    <w:rsid w:val="00DD38B7"/>
    <w:rsid w:val="00DE22CE"/>
    <w:rsid w:val="00DE2AB3"/>
    <w:rsid w:val="00DE2E5A"/>
    <w:rsid w:val="00DE4907"/>
    <w:rsid w:val="00DE7087"/>
    <w:rsid w:val="00DE7C89"/>
    <w:rsid w:val="00DF1973"/>
    <w:rsid w:val="00DF2F8D"/>
    <w:rsid w:val="00DF5653"/>
    <w:rsid w:val="00DF6252"/>
    <w:rsid w:val="00DF68A5"/>
    <w:rsid w:val="00E02363"/>
    <w:rsid w:val="00E04439"/>
    <w:rsid w:val="00E05FA4"/>
    <w:rsid w:val="00E0A38B"/>
    <w:rsid w:val="00E11BE1"/>
    <w:rsid w:val="00E11DF4"/>
    <w:rsid w:val="00E1272D"/>
    <w:rsid w:val="00E12C39"/>
    <w:rsid w:val="00E13162"/>
    <w:rsid w:val="00E1672C"/>
    <w:rsid w:val="00E17DA6"/>
    <w:rsid w:val="00E21673"/>
    <w:rsid w:val="00E224F4"/>
    <w:rsid w:val="00E23E2D"/>
    <w:rsid w:val="00E247C0"/>
    <w:rsid w:val="00E247D6"/>
    <w:rsid w:val="00E24DCF"/>
    <w:rsid w:val="00E27256"/>
    <w:rsid w:val="00E2753F"/>
    <w:rsid w:val="00E277AB"/>
    <w:rsid w:val="00E317EC"/>
    <w:rsid w:val="00E33DFD"/>
    <w:rsid w:val="00E346D0"/>
    <w:rsid w:val="00E3576A"/>
    <w:rsid w:val="00E363B0"/>
    <w:rsid w:val="00E37D16"/>
    <w:rsid w:val="00E4269F"/>
    <w:rsid w:val="00E43489"/>
    <w:rsid w:val="00E46BCC"/>
    <w:rsid w:val="00E47283"/>
    <w:rsid w:val="00E542C7"/>
    <w:rsid w:val="00E566AF"/>
    <w:rsid w:val="00E576AB"/>
    <w:rsid w:val="00E61C88"/>
    <w:rsid w:val="00E6478D"/>
    <w:rsid w:val="00E64868"/>
    <w:rsid w:val="00E65FD9"/>
    <w:rsid w:val="00E70221"/>
    <w:rsid w:val="00E7043D"/>
    <w:rsid w:val="00E725EF"/>
    <w:rsid w:val="00E75764"/>
    <w:rsid w:val="00E761D0"/>
    <w:rsid w:val="00E77C9F"/>
    <w:rsid w:val="00E805E9"/>
    <w:rsid w:val="00E81207"/>
    <w:rsid w:val="00E81237"/>
    <w:rsid w:val="00E84F06"/>
    <w:rsid w:val="00E905A4"/>
    <w:rsid w:val="00E92551"/>
    <w:rsid w:val="00E932B7"/>
    <w:rsid w:val="00E9516C"/>
    <w:rsid w:val="00E964A1"/>
    <w:rsid w:val="00E96B13"/>
    <w:rsid w:val="00E97D2A"/>
    <w:rsid w:val="00EA168D"/>
    <w:rsid w:val="00EA51DA"/>
    <w:rsid w:val="00EA51EC"/>
    <w:rsid w:val="00EB0E27"/>
    <w:rsid w:val="00EB1C45"/>
    <w:rsid w:val="00EB238A"/>
    <w:rsid w:val="00EB25DD"/>
    <w:rsid w:val="00EB2E5A"/>
    <w:rsid w:val="00EB3A9F"/>
    <w:rsid w:val="00EB668A"/>
    <w:rsid w:val="00EB7188"/>
    <w:rsid w:val="00EB71C0"/>
    <w:rsid w:val="00EB7317"/>
    <w:rsid w:val="00EC0D4F"/>
    <w:rsid w:val="00EC10C7"/>
    <w:rsid w:val="00EC3640"/>
    <w:rsid w:val="00EC390D"/>
    <w:rsid w:val="00EC5525"/>
    <w:rsid w:val="00EC6110"/>
    <w:rsid w:val="00EC79FB"/>
    <w:rsid w:val="00ED0697"/>
    <w:rsid w:val="00ED06E2"/>
    <w:rsid w:val="00ED1F3F"/>
    <w:rsid w:val="00ED24CA"/>
    <w:rsid w:val="00ED5CFD"/>
    <w:rsid w:val="00ED6899"/>
    <w:rsid w:val="00ED7E42"/>
    <w:rsid w:val="00EE0185"/>
    <w:rsid w:val="00EE1891"/>
    <w:rsid w:val="00EE2958"/>
    <w:rsid w:val="00EE3E01"/>
    <w:rsid w:val="00EE4C51"/>
    <w:rsid w:val="00EE4ED5"/>
    <w:rsid w:val="00EE5321"/>
    <w:rsid w:val="00EF104D"/>
    <w:rsid w:val="00EF4034"/>
    <w:rsid w:val="00F00F3E"/>
    <w:rsid w:val="00F02592"/>
    <w:rsid w:val="00F03073"/>
    <w:rsid w:val="00F05FAA"/>
    <w:rsid w:val="00F0707A"/>
    <w:rsid w:val="00F07542"/>
    <w:rsid w:val="00F0775A"/>
    <w:rsid w:val="00F07B28"/>
    <w:rsid w:val="00F138F7"/>
    <w:rsid w:val="00F1435A"/>
    <w:rsid w:val="00F150F5"/>
    <w:rsid w:val="00F1519E"/>
    <w:rsid w:val="00F161D8"/>
    <w:rsid w:val="00F1728E"/>
    <w:rsid w:val="00F17657"/>
    <w:rsid w:val="00F20623"/>
    <w:rsid w:val="00F23E5F"/>
    <w:rsid w:val="00F24189"/>
    <w:rsid w:val="00F246D4"/>
    <w:rsid w:val="00F25A27"/>
    <w:rsid w:val="00F300B6"/>
    <w:rsid w:val="00F31689"/>
    <w:rsid w:val="00F32257"/>
    <w:rsid w:val="00F34A6C"/>
    <w:rsid w:val="00F3585C"/>
    <w:rsid w:val="00F35EF7"/>
    <w:rsid w:val="00F3673F"/>
    <w:rsid w:val="00F4270F"/>
    <w:rsid w:val="00F43D5D"/>
    <w:rsid w:val="00F4411D"/>
    <w:rsid w:val="00F4464D"/>
    <w:rsid w:val="00F447E9"/>
    <w:rsid w:val="00F45C8D"/>
    <w:rsid w:val="00F461E9"/>
    <w:rsid w:val="00F4789B"/>
    <w:rsid w:val="00F47CFB"/>
    <w:rsid w:val="00F51C89"/>
    <w:rsid w:val="00F54C4B"/>
    <w:rsid w:val="00F574DD"/>
    <w:rsid w:val="00F60BF6"/>
    <w:rsid w:val="00F630E3"/>
    <w:rsid w:val="00F64CB7"/>
    <w:rsid w:val="00F66078"/>
    <w:rsid w:val="00F67FC5"/>
    <w:rsid w:val="00F70131"/>
    <w:rsid w:val="00F7064F"/>
    <w:rsid w:val="00F729D5"/>
    <w:rsid w:val="00F7315D"/>
    <w:rsid w:val="00F73242"/>
    <w:rsid w:val="00F73A8D"/>
    <w:rsid w:val="00F73DC9"/>
    <w:rsid w:val="00F76731"/>
    <w:rsid w:val="00F77168"/>
    <w:rsid w:val="00F77298"/>
    <w:rsid w:val="00F77B67"/>
    <w:rsid w:val="00F77B94"/>
    <w:rsid w:val="00F815B8"/>
    <w:rsid w:val="00F832FC"/>
    <w:rsid w:val="00F834BF"/>
    <w:rsid w:val="00F83849"/>
    <w:rsid w:val="00F83ADB"/>
    <w:rsid w:val="00F845C8"/>
    <w:rsid w:val="00F851CF"/>
    <w:rsid w:val="00F85B4B"/>
    <w:rsid w:val="00F86700"/>
    <w:rsid w:val="00F87586"/>
    <w:rsid w:val="00F87960"/>
    <w:rsid w:val="00F90EE5"/>
    <w:rsid w:val="00F941BB"/>
    <w:rsid w:val="00F957C6"/>
    <w:rsid w:val="00F95901"/>
    <w:rsid w:val="00F973A6"/>
    <w:rsid w:val="00FA03A6"/>
    <w:rsid w:val="00FB10FF"/>
    <w:rsid w:val="00FB19B0"/>
    <w:rsid w:val="00FB3B4B"/>
    <w:rsid w:val="00FB57F7"/>
    <w:rsid w:val="00FC09E7"/>
    <w:rsid w:val="00FC2461"/>
    <w:rsid w:val="00FC4B83"/>
    <w:rsid w:val="00FD20A5"/>
    <w:rsid w:val="00FD29B5"/>
    <w:rsid w:val="00FD2C22"/>
    <w:rsid w:val="00FD326E"/>
    <w:rsid w:val="00FD5DE3"/>
    <w:rsid w:val="00FD65DA"/>
    <w:rsid w:val="00FD6B2D"/>
    <w:rsid w:val="00FE2C7F"/>
    <w:rsid w:val="00FE35E5"/>
    <w:rsid w:val="00FE5AFF"/>
    <w:rsid w:val="00FE79EB"/>
    <w:rsid w:val="00FF0C6F"/>
    <w:rsid w:val="00FF365A"/>
    <w:rsid w:val="00FF3A2C"/>
    <w:rsid w:val="00FF48EF"/>
    <w:rsid w:val="00FF54A5"/>
    <w:rsid w:val="00FF5BBB"/>
    <w:rsid w:val="00FF61E7"/>
    <w:rsid w:val="00FF7281"/>
    <w:rsid w:val="00FF7492"/>
    <w:rsid w:val="00FF75BA"/>
    <w:rsid w:val="00FF7650"/>
    <w:rsid w:val="010E2734"/>
    <w:rsid w:val="011ACCB5"/>
    <w:rsid w:val="01205F4E"/>
    <w:rsid w:val="01293D3D"/>
    <w:rsid w:val="012C170C"/>
    <w:rsid w:val="013A0557"/>
    <w:rsid w:val="014027B2"/>
    <w:rsid w:val="0156F19C"/>
    <w:rsid w:val="01585E01"/>
    <w:rsid w:val="0174D320"/>
    <w:rsid w:val="017CDF34"/>
    <w:rsid w:val="01844DD4"/>
    <w:rsid w:val="01862B1D"/>
    <w:rsid w:val="0187739D"/>
    <w:rsid w:val="01890CDB"/>
    <w:rsid w:val="0189B26A"/>
    <w:rsid w:val="01B29360"/>
    <w:rsid w:val="01CFECAD"/>
    <w:rsid w:val="01D0E490"/>
    <w:rsid w:val="01D5CC0D"/>
    <w:rsid w:val="01DC5BAA"/>
    <w:rsid w:val="01EF5E69"/>
    <w:rsid w:val="01EFEC29"/>
    <w:rsid w:val="01FAEF75"/>
    <w:rsid w:val="02020D9C"/>
    <w:rsid w:val="0207DF7B"/>
    <w:rsid w:val="020F9496"/>
    <w:rsid w:val="02120D08"/>
    <w:rsid w:val="021E7013"/>
    <w:rsid w:val="023959AB"/>
    <w:rsid w:val="023AD670"/>
    <w:rsid w:val="02428A70"/>
    <w:rsid w:val="0259CCDE"/>
    <w:rsid w:val="025D1205"/>
    <w:rsid w:val="02681D90"/>
    <w:rsid w:val="02706506"/>
    <w:rsid w:val="027587AC"/>
    <w:rsid w:val="0275DD6A"/>
    <w:rsid w:val="027EF053"/>
    <w:rsid w:val="028B9E91"/>
    <w:rsid w:val="028ECDEF"/>
    <w:rsid w:val="0293578A"/>
    <w:rsid w:val="02AA41BC"/>
    <w:rsid w:val="02B14C47"/>
    <w:rsid w:val="02D98E2D"/>
    <w:rsid w:val="02DE67CA"/>
    <w:rsid w:val="02E02A48"/>
    <w:rsid w:val="02E411C5"/>
    <w:rsid w:val="02F5AEC2"/>
    <w:rsid w:val="02F5C89F"/>
    <w:rsid w:val="02F88A59"/>
    <w:rsid w:val="030B68CB"/>
    <w:rsid w:val="030EC679"/>
    <w:rsid w:val="03293ED5"/>
    <w:rsid w:val="033AC6FB"/>
    <w:rsid w:val="033C0761"/>
    <w:rsid w:val="033D44FF"/>
    <w:rsid w:val="0342A681"/>
    <w:rsid w:val="0354FBAA"/>
    <w:rsid w:val="03556BEB"/>
    <w:rsid w:val="0356D304"/>
    <w:rsid w:val="03587EA4"/>
    <w:rsid w:val="0362963C"/>
    <w:rsid w:val="036C742D"/>
    <w:rsid w:val="0371EC3F"/>
    <w:rsid w:val="0372D3D3"/>
    <w:rsid w:val="03921731"/>
    <w:rsid w:val="039FBB95"/>
    <w:rsid w:val="03A63D8D"/>
    <w:rsid w:val="03B59B8A"/>
    <w:rsid w:val="03B7F6CA"/>
    <w:rsid w:val="03BE2404"/>
    <w:rsid w:val="03BF4FB1"/>
    <w:rsid w:val="03D2885B"/>
    <w:rsid w:val="03D9AF28"/>
    <w:rsid w:val="03E1248E"/>
    <w:rsid w:val="03E53ED3"/>
    <w:rsid w:val="03EE61E2"/>
    <w:rsid w:val="03F1EF7F"/>
    <w:rsid w:val="04028654"/>
    <w:rsid w:val="0409A4ED"/>
    <w:rsid w:val="04107A2F"/>
    <w:rsid w:val="0413C25D"/>
    <w:rsid w:val="0414C7E8"/>
    <w:rsid w:val="041696F8"/>
    <w:rsid w:val="04174F3E"/>
    <w:rsid w:val="04208B1B"/>
    <w:rsid w:val="0438727A"/>
    <w:rsid w:val="043E4A94"/>
    <w:rsid w:val="04412061"/>
    <w:rsid w:val="04488E59"/>
    <w:rsid w:val="044C5F97"/>
    <w:rsid w:val="0458A158"/>
    <w:rsid w:val="046032BA"/>
    <w:rsid w:val="04648F35"/>
    <w:rsid w:val="046C5E0B"/>
    <w:rsid w:val="046DCE4C"/>
    <w:rsid w:val="047823F2"/>
    <w:rsid w:val="0498C722"/>
    <w:rsid w:val="049A7632"/>
    <w:rsid w:val="04A80860"/>
    <w:rsid w:val="04B036A6"/>
    <w:rsid w:val="04B664F6"/>
    <w:rsid w:val="04C1EE85"/>
    <w:rsid w:val="04CC1BAF"/>
    <w:rsid w:val="04D42094"/>
    <w:rsid w:val="04DDD85B"/>
    <w:rsid w:val="04E08E3C"/>
    <w:rsid w:val="04F25C07"/>
    <w:rsid w:val="04F34013"/>
    <w:rsid w:val="04F97CF2"/>
    <w:rsid w:val="0500401F"/>
    <w:rsid w:val="0501DFE9"/>
    <w:rsid w:val="05107908"/>
    <w:rsid w:val="05180384"/>
    <w:rsid w:val="051F879D"/>
    <w:rsid w:val="05243244"/>
    <w:rsid w:val="0524B9F7"/>
    <w:rsid w:val="05396771"/>
    <w:rsid w:val="053D6482"/>
    <w:rsid w:val="054B884F"/>
    <w:rsid w:val="05604EE7"/>
    <w:rsid w:val="05616B85"/>
    <w:rsid w:val="05641B09"/>
    <w:rsid w:val="056660E1"/>
    <w:rsid w:val="05733E28"/>
    <w:rsid w:val="057BB814"/>
    <w:rsid w:val="05841441"/>
    <w:rsid w:val="0584956F"/>
    <w:rsid w:val="05857BA5"/>
    <w:rsid w:val="058630EA"/>
    <w:rsid w:val="05899E06"/>
    <w:rsid w:val="058A4905"/>
    <w:rsid w:val="0599F438"/>
    <w:rsid w:val="059A11FE"/>
    <w:rsid w:val="059C3302"/>
    <w:rsid w:val="059DB8DD"/>
    <w:rsid w:val="05BD7A96"/>
    <w:rsid w:val="05C10836"/>
    <w:rsid w:val="05C14E60"/>
    <w:rsid w:val="05C2D9DA"/>
    <w:rsid w:val="05C567EA"/>
    <w:rsid w:val="05C574B7"/>
    <w:rsid w:val="05CFC2E5"/>
    <w:rsid w:val="05D5F8C1"/>
    <w:rsid w:val="05DBD431"/>
    <w:rsid w:val="05E73B9B"/>
    <w:rsid w:val="05EE4295"/>
    <w:rsid w:val="05F916CE"/>
    <w:rsid w:val="05FC8CE7"/>
    <w:rsid w:val="05FCDEAB"/>
    <w:rsid w:val="060AB874"/>
    <w:rsid w:val="06216AF8"/>
    <w:rsid w:val="0621F627"/>
    <w:rsid w:val="0622A917"/>
    <w:rsid w:val="06243703"/>
    <w:rsid w:val="06244FAF"/>
    <w:rsid w:val="06354C70"/>
    <w:rsid w:val="0636CA1D"/>
    <w:rsid w:val="06463E78"/>
    <w:rsid w:val="065F278E"/>
    <w:rsid w:val="06651AEE"/>
    <w:rsid w:val="0666F5EF"/>
    <w:rsid w:val="066992CB"/>
    <w:rsid w:val="0672A813"/>
    <w:rsid w:val="067464E5"/>
    <w:rsid w:val="069B2F94"/>
    <w:rsid w:val="06A38498"/>
    <w:rsid w:val="06A44962"/>
    <w:rsid w:val="06A590CE"/>
    <w:rsid w:val="06ABA4C8"/>
    <w:rsid w:val="06AC718B"/>
    <w:rsid w:val="06B5C631"/>
    <w:rsid w:val="06BB9BCD"/>
    <w:rsid w:val="06CBCDF2"/>
    <w:rsid w:val="06CFED52"/>
    <w:rsid w:val="06D86D1A"/>
    <w:rsid w:val="06DB4A3D"/>
    <w:rsid w:val="06EC26A3"/>
    <w:rsid w:val="06EFD489"/>
    <w:rsid w:val="06FD2EE0"/>
    <w:rsid w:val="07034563"/>
    <w:rsid w:val="07043131"/>
    <w:rsid w:val="070503D7"/>
    <w:rsid w:val="070EFF89"/>
    <w:rsid w:val="0717287D"/>
    <w:rsid w:val="072090F0"/>
    <w:rsid w:val="07236A84"/>
    <w:rsid w:val="072E14FB"/>
    <w:rsid w:val="0741A67B"/>
    <w:rsid w:val="0747525E"/>
    <w:rsid w:val="074F0998"/>
    <w:rsid w:val="07551A2F"/>
    <w:rsid w:val="0759086D"/>
    <w:rsid w:val="07600CDD"/>
    <w:rsid w:val="0771BA36"/>
    <w:rsid w:val="07764468"/>
    <w:rsid w:val="07779C55"/>
    <w:rsid w:val="07872B7F"/>
    <w:rsid w:val="078A0AE2"/>
    <w:rsid w:val="078A90AB"/>
    <w:rsid w:val="078BF3A5"/>
    <w:rsid w:val="078CB6B2"/>
    <w:rsid w:val="078E4489"/>
    <w:rsid w:val="079E10F1"/>
    <w:rsid w:val="07A0242D"/>
    <w:rsid w:val="07A0F283"/>
    <w:rsid w:val="07A23EF7"/>
    <w:rsid w:val="07A35D4B"/>
    <w:rsid w:val="07AC0F99"/>
    <w:rsid w:val="07B1B2C6"/>
    <w:rsid w:val="07B3C75F"/>
    <w:rsid w:val="07BC0E0F"/>
    <w:rsid w:val="07C0F03C"/>
    <w:rsid w:val="07CE8848"/>
    <w:rsid w:val="07D41DF9"/>
    <w:rsid w:val="07DC1194"/>
    <w:rsid w:val="07DD22E4"/>
    <w:rsid w:val="07DD81C0"/>
    <w:rsid w:val="07F332AD"/>
    <w:rsid w:val="07F5573D"/>
    <w:rsid w:val="07FF78D4"/>
    <w:rsid w:val="08045864"/>
    <w:rsid w:val="080F4BAE"/>
    <w:rsid w:val="08104134"/>
    <w:rsid w:val="081334E7"/>
    <w:rsid w:val="081AC7FD"/>
    <w:rsid w:val="0834056B"/>
    <w:rsid w:val="0837518D"/>
    <w:rsid w:val="08390857"/>
    <w:rsid w:val="083D553F"/>
    <w:rsid w:val="08434E8E"/>
    <w:rsid w:val="0846AAE8"/>
    <w:rsid w:val="0848AE11"/>
    <w:rsid w:val="0848FA1B"/>
    <w:rsid w:val="0850BD34"/>
    <w:rsid w:val="0852107C"/>
    <w:rsid w:val="08524003"/>
    <w:rsid w:val="086F5BD3"/>
    <w:rsid w:val="087270E3"/>
    <w:rsid w:val="087460D4"/>
    <w:rsid w:val="0888B2BC"/>
    <w:rsid w:val="088AD20A"/>
    <w:rsid w:val="08906A31"/>
    <w:rsid w:val="08922457"/>
    <w:rsid w:val="0897F0E6"/>
    <w:rsid w:val="089D7934"/>
    <w:rsid w:val="089E24A0"/>
    <w:rsid w:val="08B29619"/>
    <w:rsid w:val="08C3F937"/>
    <w:rsid w:val="08C51C09"/>
    <w:rsid w:val="08C538FF"/>
    <w:rsid w:val="08CF5F1B"/>
    <w:rsid w:val="08D50575"/>
    <w:rsid w:val="08D67018"/>
    <w:rsid w:val="08D7E534"/>
    <w:rsid w:val="08D915BF"/>
    <w:rsid w:val="08DB21A8"/>
    <w:rsid w:val="08F3787C"/>
    <w:rsid w:val="090715C2"/>
    <w:rsid w:val="0913B6FD"/>
    <w:rsid w:val="09177487"/>
    <w:rsid w:val="091D6F01"/>
    <w:rsid w:val="09204AF4"/>
    <w:rsid w:val="09261BE9"/>
    <w:rsid w:val="0928B147"/>
    <w:rsid w:val="0930E8BB"/>
    <w:rsid w:val="0950BEDA"/>
    <w:rsid w:val="09540F15"/>
    <w:rsid w:val="095AB084"/>
    <w:rsid w:val="095C89A8"/>
    <w:rsid w:val="095D4101"/>
    <w:rsid w:val="09657586"/>
    <w:rsid w:val="09740230"/>
    <w:rsid w:val="09864435"/>
    <w:rsid w:val="098888D8"/>
    <w:rsid w:val="0998CEDB"/>
    <w:rsid w:val="09A168C9"/>
    <w:rsid w:val="09AC2A40"/>
    <w:rsid w:val="09AE6A68"/>
    <w:rsid w:val="09B20449"/>
    <w:rsid w:val="09BD4E63"/>
    <w:rsid w:val="09CBA293"/>
    <w:rsid w:val="09DE4DF1"/>
    <w:rsid w:val="09DFA308"/>
    <w:rsid w:val="09E7B3A4"/>
    <w:rsid w:val="09E7FB3B"/>
    <w:rsid w:val="09E9E613"/>
    <w:rsid w:val="09ED3C93"/>
    <w:rsid w:val="09F16F41"/>
    <w:rsid w:val="09F1FFDE"/>
    <w:rsid w:val="09F327F2"/>
    <w:rsid w:val="09FBB1EA"/>
    <w:rsid w:val="0A14692D"/>
    <w:rsid w:val="0A168DE7"/>
    <w:rsid w:val="0A19B8B2"/>
    <w:rsid w:val="0A1F6ED2"/>
    <w:rsid w:val="0A26A311"/>
    <w:rsid w:val="0A27E6D4"/>
    <w:rsid w:val="0A41A681"/>
    <w:rsid w:val="0A4517EB"/>
    <w:rsid w:val="0A53758C"/>
    <w:rsid w:val="0A541668"/>
    <w:rsid w:val="0A584E02"/>
    <w:rsid w:val="0A58A969"/>
    <w:rsid w:val="0A5A537B"/>
    <w:rsid w:val="0A63D3E4"/>
    <w:rsid w:val="0A6AD2EB"/>
    <w:rsid w:val="0A7CEFE2"/>
    <w:rsid w:val="0A85B6F6"/>
    <w:rsid w:val="0A87F32F"/>
    <w:rsid w:val="0A8B01A7"/>
    <w:rsid w:val="0A8F0ADE"/>
    <w:rsid w:val="0A9271BE"/>
    <w:rsid w:val="0A94D71F"/>
    <w:rsid w:val="0A985C51"/>
    <w:rsid w:val="0A9B7A57"/>
    <w:rsid w:val="0A9C8405"/>
    <w:rsid w:val="0AA78A69"/>
    <w:rsid w:val="0AADC230"/>
    <w:rsid w:val="0ABCCEB7"/>
    <w:rsid w:val="0AC41C7C"/>
    <w:rsid w:val="0AC4A94A"/>
    <w:rsid w:val="0AC65ED8"/>
    <w:rsid w:val="0ACB651B"/>
    <w:rsid w:val="0AD14B72"/>
    <w:rsid w:val="0ADB7866"/>
    <w:rsid w:val="0AF0A47D"/>
    <w:rsid w:val="0AF347EE"/>
    <w:rsid w:val="0AF34A68"/>
    <w:rsid w:val="0AF65684"/>
    <w:rsid w:val="0AFBC0EB"/>
    <w:rsid w:val="0B0260F3"/>
    <w:rsid w:val="0B0CC4C0"/>
    <w:rsid w:val="0B118063"/>
    <w:rsid w:val="0B12C54A"/>
    <w:rsid w:val="0B17086F"/>
    <w:rsid w:val="0B19766C"/>
    <w:rsid w:val="0B1EB3D6"/>
    <w:rsid w:val="0B2AC71B"/>
    <w:rsid w:val="0B2FD02E"/>
    <w:rsid w:val="0B386716"/>
    <w:rsid w:val="0B43D0C7"/>
    <w:rsid w:val="0B4A226E"/>
    <w:rsid w:val="0B4E16F0"/>
    <w:rsid w:val="0B4FBCE1"/>
    <w:rsid w:val="0B511D9D"/>
    <w:rsid w:val="0B56777B"/>
    <w:rsid w:val="0B805C3E"/>
    <w:rsid w:val="0B891CFC"/>
    <w:rsid w:val="0B8DE942"/>
    <w:rsid w:val="0B931082"/>
    <w:rsid w:val="0B94247D"/>
    <w:rsid w:val="0B94775B"/>
    <w:rsid w:val="0B9A87A1"/>
    <w:rsid w:val="0BA09A2D"/>
    <w:rsid w:val="0BB379F6"/>
    <w:rsid w:val="0BB78CF3"/>
    <w:rsid w:val="0BBCAF97"/>
    <w:rsid w:val="0BC33FAB"/>
    <w:rsid w:val="0BD81568"/>
    <w:rsid w:val="0BD91F4E"/>
    <w:rsid w:val="0BDB53D2"/>
    <w:rsid w:val="0BE1AB8A"/>
    <w:rsid w:val="0BE52BD2"/>
    <w:rsid w:val="0BF0494A"/>
    <w:rsid w:val="0BF04D21"/>
    <w:rsid w:val="0BF0C219"/>
    <w:rsid w:val="0BF17957"/>
    <w:rsid w:val="0BF4F7EB"/>
    <w:rsid w:val="0C0030C0"/>
    <w:rsid w:val="0C097277"/>
    <w:rsid w:val="0C0D3F3A"/>
    <w:rsid w:val="0C0E7F00"/>
    <w:rsid w:val="0C1463BC"/>
    <w:rsid w:val="0C18308E"/>
    <w:rsid w:val="0C1E7EF1"/>
    <w:rsid w:val="0C253EC7"/>
    <w:rsid w:val="0C30E293"/>
    <w:rsid w:val="0C4414C7"/>
    <w:rsid w:val="0C5BFB83"/>
    <w:rsid w:val="0C5DDBD0"/>
    <w:rsid w:val="0C5E6454"/>
    <w:rsid w:val="0C65D25C"/>
    <w:rsid w:val="0C65E149"/>
    <w:rsid w:val="0C697BB9"/>
    <w:rsid w:val="0C716332"/>
    <w:rsid w:val="0C8CAEB4"/>
    <w:rsid w:val="0C9BDA8A"/>
    <w:rsid w:val="0CA60C39"/>
    <w:rsid w:val="0CA7B40F"/>
    <w:rsid w:val="0CD1963E"/>
    <w:rsid w:val="0CDA081E"/>
    <w:rsid w:val="0CDC10FA"/>
    <w:rsid w:val="0CDCE61B"/>
    <w:rsid w:val="0CDEE16C"/>
    <w:rsid w:val="0CE50348"/>
    <w:rsid w:val="0CE8353F"/>
    <w:rsid w:val="0CEE11B3"/>
    <w:rsid w:val="0CF85480"/>
    <w:rsid w:val="0D04F3E7"/>
    <w:rsid w:val="0D0A5330"/>
    <w:rsid w:val="0D192A5D"/>
    <w:rsid w:val="0D1B1735"/>
    <w:rsid w:val="0D1E9851"/>
    <w:rsid w:val="0D1FF85A"/>
    <w:rsid w:val="0D2FB721"/>
    <w:rsid w:val="0D3342E3"/>
    <w:rsid w:val="0D3EE569"/>
    <w:rsid w:val="0D43AA15"/>
    <w:rsid w:val="0D4456B4"/>
    <w:rsid w:val="0D45D80A"/>
    <w:rsid w:val="0D4DEB83"/>
    <w:rsid w:val="0D529DC9"/>
    <w:rsid w:val="0D5AD0ED"/>
    <w:rsid w:val="0D6BEA24"/>
    <w:rsid w:val="0D6FF53A"/>
    <w:rsid w:val="0D787723"/>
    <w:rsid w:val="0D7B8687"/>
    <w:rsid w:val="0D82417C"/>
    <w:rsid w:val="0D846A83"/>
    <w:rsid w:val="0D89F7BF"/>
    <w:rsid w:val="0D8C9CC3"/>
    <w:rsid w:val="0D8FF1B4"/>
    <w:rsid w:val="0D9A7EFE"/>
    <w:rsid w:val="0D9BF948"/>
    <w:rsid w:val="0DA06160"/>
    <w:rsid w:val="0DA5F0AA"/>
    <w:rsid w:val="0DAB5592"/>
    <w:rsid w:val="0DAEB450"/>
    <w:rsid w:val="0DB8FC77"/>
    <w:rsid w:val="0DBADD04"/>
    <w:rsid w:val="0DCC6207"/>
    <w:rsid w:val="0DCE8219"/>
    <w:rsid w:val="0DD726D1"/>
    <w:rsid w:val="0DD900F7"/>
    <w:rsid w:val="0DDD9698"/>
    <w:rsid w:val="0DF76545"/>
    <w:rsid w:val="0DFBB56F"/>
    <w:rsid w:val="0E020ED9"/>
    <w:rsid w:val="0E022F41"/>
    <w:rsid w:val="0E0C5D08"/>
    <w:rsid w:val="0E0F0987"/>
    <w:rsid w:val="0E27A187"/>
    <w:rsid w:val="0E2933A6"/>
    <w:rsid w:val="0E43C5D9"/>
    <w:rsid w:val="0E49E9CC"/>
    <w:rsid w:val="0E4D88EE"/>
    <w:rsid w:val="0E4E495B"/>
    <w:rsid w:val="0E4E8198"/>
    <w:rsid w:val="0E52E83D"/>
    <w:rsid w:val="0E55430C"/>
    <w:rsid w:val="0E5DF3E5"/>
    <w:rsid w:val="0E631652"/>
    <w:rsid w:val="0E69F58D"/>
    <w:rsid w:val="0E7BF156"/>
    <w:rsid w:val="0E84033F"/>
    <w:rsid w:val="0E8AE97A"/>
    <w:rsid w:val="0E924ED0"/>
    <w:rsid w:val="0E925022"/>
    <w:rsid w:val="0E99D011"/>
    <w:rsid w:val="0EA641CC"/>
    <w:rsid w:val="0EAB7A64"/>
    <w:rsid w:val="0EACA0FA"/>
    <w:rsid w:val="0EAD65FF"/>
    <w:rsid w:val="0EB0E08F"/>
    <w:rsid w:val="0EB20580"/>
    <w:rsid w:val="0EB26EFD"/>
    <w:rsid w:val="0EC0455C"/>
    <w:rsid w:val="0EC4C243"/>
    <w:rsid w:val="0EC77839"/>
    <w:rsid w:val="0ED0FB68"/>
    <w:rsid w:val="0ED1A37F"/>
    <w:rsid w:val="0EF15E40"/>
    <w:rsid w:val="0EF26952"/>
    <w:rsid w:val="0EFC7A62"/>
    <w:rsid w:val="0EFD1895"/>
    <w:rsid w:val="0F023B04"/>
    <w:rsid w:val="0F04E25F"/>
    <w:rsid w:val="0F16CEB1"/>
    <w:rsid w:val="0F2ADD4E"/>
    <w:rsid w:val="0F306297"/>
    <w:rsid w:val="0F33E5AB"/>
    <w:rsid w:val="0F3FCDAF"/>
    <w:rsid w:val="0F48303B"/>
    <w:rsid w:val="0F4F3A07"/>
    <w:rsid w:val="0F597C13"/>
    <w:rsid w:val="0F5AE08A"/>
    <w:rsid w:val="0F61B764"/>
    <w:rsid w:val="0F69F09B"/>
    <w:rsid w:val="0F6A66EF"/>
    <w:rsid w:val="0F7CDEE5"/>
    <w:rsid w:val="0F920F84"/>
    <w:rsid w:val="0F971B87"/>
    <w:rsid w:val="0FA40654"/>
    <w:rsid w:val="0FABA0FA"/>
    <w:rsid w:val="0FAC8C3C"/>
    <w:rsid w:val="0FB0D650"/>
    <w:rsid w:val="0FC54430"/>
    <w:rsid w:val="0FD972E2"/>
    <w:rsid w:val="0FE4DAB3"/>
    <w:rsid w:val="0FE5AF26"/>
    <w:rsid w:val="0FE719C1"/>
    <w:rsid w:val="0FF19558"/>
    <w:rsid w:val="0FF391D9"/>
    <w:rsid w:val="0FFEF778"/>
    <w:rsid w:val="100669D9"/>
    <w:rsid w:val="100F11D9"/>
    <w:rsid w:val="10272712"/>
    <w:rsid w:val="102E493F"/>
    <w:rsid w:val="103026E9"/>
    <w:rsid w:val="103539E1"/>
    <w:rsid w:val="103E2742"/>
    <w:rsid w:val="1042313F"/>
    <w:rsid w:val="10432A6A"/>
    <w:rsid w:val="104DCE44"/>
    <w:rsid w:val="104F9C1E"/>
    <w:rsid w:val="105225B8"/>
    <w:rsid w:val="105C01B9"/>
    <w:rsid w:val="1072D632"/>
    <w:rsid w:val="107BD639"/>
    <w:rsid w:val="107BE933"/>
    <w:rsid w:val="1081B61C"/>
    <w:rsid w:val="1086E9E3"/>
    <w:rsid w:val="108955E5"/>
    <w:rsid w:val="108C6029"/>
    <w:rsid w:val="108D66FD"/>
    <w:rsid w:val="1097760B"/>
    <w:rsid w:val="10B0A7AC"/>
    <w:rsid w:val="10B54C54"/>
    <w:rsid w:val="10B8617F"/>
    <w:rsid w:val="10BD1EFF"/>
    <w:rsid w:val="10C4F77F"/>
    <w:rsid w:val="10C96B32"/>
    <w:rsid w:val="10D2FA5C"/>
    <w:rsid w:val="10D6EA8F"/>
    <w:rsid w:val="10EC7249"/>
    <w:rsid w:val="10ED1FB0"/>
    <w:rsid w:val="10F766B5"/>
    <w:rsid w:val="10FE17B5"/>
    <w:rsid w:val="110273CB"/>
    <w:rsid w:val="110AEA95"/>
    <w:rsid w:val="11170DB9"/>
    <w:rsid w:val="11171DB6"/>
    <w:rsid w:val="1118C79D"/>
    <w:rsid w:val="111924B2"/>
    <w:rsid w:val="111952A7"/>
    <w:rsid w:val="11237918"/>
    <w:rsid w:val="11294BBC"/>
    <w:rsid w:val="1137E19D"/>
    <w:rsid w:val="11405D4C"/>
    <w:rsid w:val="11464EE1"/>
    <w:rsid w:val="1148F007"/>
    <w:rsid w:val="114C3268"/>
    <w:rsid w:val="1152E643"/>
    <w:rsid w:val="115337F1"/>
    <w:rsid w:val="1162178B"/>
    <w:rsid w:val="1163E5C0"/>
    <w:rsid w:val="1166D456"/>
    <w:rsid w:val="117F5B7E"/>
    <w:rsid w:val="1181D95A"/>
    <w:rsid w:val="119E3B38"/>
    <w:rsid w:val="11A1E4F3"/>
    <w:rsid w:val="11A28C48"/>
    <w:rsid w:val="11B7B053"/>
    <w:rsid w:val="11BAF1B7"/>
    <w:rsid w:val="11CFD544"/>
    <w:rsid w:val="11E2B0AB"/>
    <w:rsid w:val="11ECF4CD"/>
    <w:rsid w:val="11EE5D9B"/>
    <w:rsid w:val="11F000AF"/>
    <w:rsid w:val="11F50067"/>
    <w:rsid w:val="11FB3C2C"/>
    <w:rsid w:val="11FFE997"/>
    <w:rsid w:val="120CFB94"/>
    <w:rsid w:val="12101D33"/>
    <w:rsid w:val="1217A1AE"/>
    <w:rsid w:val="1217FCE3"/>
    <w:rsid w:val="12195D3D"/>
    <w:rsid w:val="1224C11D"/>
    <w:rsid w:val="122B05A0"/>
    <w:rsid w:val="12303A63"/>
    <w:rsid w:val="12350D69"/>
    <w:rsid w:val="123916C4"/>
    <w:rsid w:val="123CCAAD"/>
    <w:rsid w:val="124F849F"/>
    <w:rsid w:val="12680F7F"/>
    <w:rsid w:val="12697A0D"/>
    <w:rsid w:val="12795CDD"/>
    <w:rsid w:val="128A2852"/>
    <w:rsid w:val="1294A0FA"/>
    <w:rsid w:val="1294BF82"/>
    <w:rsid w:val="129E86F1"/>
    <w:rsid w:val="12AEA9A2"/>
    <w:rsid w:val="12C04249"/>
    <w:rsid w:val="12C35AA7"/>
    <w:rsid w:val="12C92762"/>
    <w:rsid w:val="12D3FAA1"/>
    <w:rsid w:val="12D4B158"/>
    <w:rsid w:val="12D62141"/>
    <w:rsid w:val="12E33FB5"/>
    <w:rsid w:val="12E55100"/>
    <w:rsid w:val="12EDE1E3"/>
    <w:rsid w:val="12FEB6C0"/>
    <w:rsid w:val="1306970B"/>
    <w:rsid w:val="1306B8CD"/>
    <w:rsid w:val="130D2ABF"/>
    <w:rsid w:val="1314C7AA"/>
    <w:rsid w:val="1315DBEA"/>
    <w:rsid w:val="13199E13"/>
    <w:rsid w:val="1321B79C"/>
    <w:rsid w:val="1331553C"/>
    <w:rsid w:val="133DEFC7"/>
    <w:rsid w:val="1342B1B1"/>
    <w:rsid w:val="134AD7C8"/>
    <w:rsid w:val="134EE802"/>
    <w:rsid w:val="1354280C"/>
    <w:rsid w:val="136E449E"/>
    <w:rsid w:val="137DC596"/>
    <w:rsid w:val="1399CC12"/>
    <w:rsid w:val="139A35A9"/>
    <w:rsid w:val="13A1436C"/>
    <w:rsid w:val="13A37A84"/>
    <w:rsid w:val="13AF266A"/>
    <w:rsid w:val="13BEABF6"/>
    <w:rsid w:val="13CCA2FE"/>
    <w:rsid w:val="13CF0BAF"/>
    <w:rsid w:val="13CFFFD0"/>
    <w:rsid w:val="13D4DD09"/>
    <w:rsid w:val="13D965C0"/>
    <w:rsid w:val="13DC2F17"/>
    <w:rsid w:val="13EB5A83"/>
    <w:rsid w:val="13FB93DA"/>
    <w:rsid w:val="1402F856"/>
    <w:rsid w:val="14035769"/>
    <w:rsid w:val="14087688"/>
    <w:rsid w:val="141B980D"/>
    <w:rsid w:val="1421108E"/>
    <w:rsid w:val="1421D930"/>
    <w:rsid w:val="142214B8"/>
    <w:rsid w:val="14240D57"/>
    <w:rsid w:val="142CD81E"/>
    <w:rsid w:val="1430AE08"/>
    <w:rsid w:val="143F80BD"/>
    <w:rsid w:val="144C5719"/>
    <w:rsid w:val="144DD567"/>
    <w:rsid w:val="145693C4"/>
    <w:rsid w:val="1458B9C5"/>
    <w:rsid w:val="1460E359"/>
    <w:rsid w:val="146106C0"/>
    <w:rsid w:val="1465291A"/>
    <w:rsid w:val="1467BA13"/>
    <w:rsid w:val="14699039"/>
    <w:rsid w:val="14804563"/>
    <w:rsid w:val="14864634"/>
    <w:rsid w:val="148F7AFF"/>
    <w:rsid w:val="14909E7B"/>
    <w:rsid w:val="14980F6A"/>
    <w:rsid w:val="149A0085"/>
    <w:rsid w:val="149B3B96"/>
    <w:rsid w:val="149C2807"/>
    <w:rsid w:val="14A5FD96"/>
    <w:rsid w:val="14B13F65"/>
    <w:rsid w:val="14B2BA4B"/>
    <w:rsid w:val="14B7A64F"/>
    <w:rsid w:val="14B96D3D"/>
    <w:rsid w:val="14BF1B53"/>
    <w:rsid w:val="14C3A2A5"/>
    <w:rsid w:val="14CA7AE9"/>
    <w:rsid w:val="14CEDB23"/>
    <w:rsid w:val="14D31AFB"/>
    <w:rsid w:val="14D35B7D"/>
    <w:rsid w:val="14D99258"/>
    <w:rsid w:val="14E0975F"/>
    <w:rsid w:val="14E2D785"/>
    <w:rsid w:val="1507C735"/>
    <w:rsid w:val="150CBD8E"/>
    <w:rsid w:val="152112F1"/>
    <w:rsid w:val="1527B9AE"/>
    <w:rsid w:val="15386853"/>
    <w:rsid w:val="15413B24"/>
    <w:rsid w:val="15420BC5"/>
    <w:rsid w:val="1557F6C0"/>
    <w:rsid w:val="155C6F83"/>
    <w:rsid w:val="156D377B"/>
    <w:rsid w:val="157668D7"/>
    <w:rsid w:val="15773339"/>
    <w:rsid w:val="15906AAD"/>
    <w:rsid w:val="1591E3A9"/>
    <w:rsid w:val="159609FC"/>
    <w:rsid w:val="1596CCEC"/>
    <w:rsid w:val="15A2A534"/>
    <w:rsid w:val="15B0A6A0"/>
    <w:rsid w:val="15B435D8"/>
    <w:rsid w:val="15BBAFA6"/>
    <w:rsid w:val="15C53F15"/>
    <w:rsid w:val="15CBC07B"/>
    <w:rsid w:val="15CEC069"/>
    <w:rsid w:val="15D53986"/>
    <w:rsid w:val="15DDE4E9"/>
    <w:rsid w:val="15E2E8FE"/>
    <w:rsid w:val="15E4B2EF"/>
    <w:rsid w:val="15E8F6DC"/>
    <w:rsid w:val="15EFD663"/>
    <w:rsid w:val="15F84AA8"/>
    <w:rsid w:val="160B861B"/>
    <w:rsid w:val="1613FDAD"/>
    <w:rsid w:val="1616E3E3"/>
    <w:rsid w:val="16217E11"/>
    <w:rsid w:val="1633B5D1"/>
    <w:rsid w:val="163E6CBC"/>
    <w:rsid w:val="1648AAFB"/>
    <w:rsid w:val="164E0BF1"/>
    <w:rsid w:val="166D94D3"/>
    <w:rsid w:val="16772D39"/>
    <w:rsid w:val="169AB4FE"/>
    <w:rsid w:val="16A9E7A4"/>
    <w:rsid w:val="16BF0818"/>
    <w:rsid w:val="16D49C17"/>
    <w:rsid w:val="16E1EBE5"/>
    <w:rsid w:val="16E62168"/>
    <w:rsid w:val="16EAA072"/>
    <w:rsid w:val="16EC9DFD"/>
    <w:rsid w:val="16F68FCB"/>
    <w:rsid w:val="170E6B54"/>
    <w:rsid w:val="170F35BA"/>
    <w:rsid w:val="171753C7"/>
    <w:rsid w:val="171928B6"/>
    <w:rsid w:val="17199154"/>
    <w:rsid w:val="171E5D67"/>
    <w:rsid w:val="172DCDD4"/>
    <w:rsid w:val="17315A7B"/>
    <w:rsid w:val="1735F9B7"/>
    <w:rsid w:val="173636A8"/>
    <w:rsid w:val="1738A371"/>
    <w:rsid w:val="173AB8AF"/>
    <w:rsid w:val="174C3A28"/>
    <w:rsid w:val="174C71FE"/>
    <w:rsid w:val="174E3E90"/>
    <w:rsid w:val="175A7954"/>
    <w:rsid w:val="175C295C"/>
    <w:rsid w:val="17617EC0"/>
    <w:rsid w:val="1763B450"/>
    <w:rsid w:val="17757EC2"/>
    <w:rsid w:val="1775BC65"/>
    <w:rsid w:val="177A4D61"/>
    <w:rsid w:val="1793F673"/>
    <w:rsid w:val="179536DB"/>
    <w:rsid w:val="179B7595"/>
    <w:rsid w:val="17A40BD7"/>
    <w:rsid w:val="17B2F374"/>
    <w:rsid w:val="17B94B39"/>
    <w:rsid w:val="17C1AE5C"/>
    <w:rsid w:val="17C7ED2C"/>
    <w:rsid w:val="17CB072E"/>
    <w:rsid w:val="17D1C384"/>
    <w:rsid w:val="17D6EAF9"/>
    <w:rsid w:val="17DFC058"/>
    <w:rsid w:val="17E7BE7B"/>
    <w:rsid w:val="17EC5681"/>
    <w:rsid w:val="17FA4F1E"/>
    <w:rsid w:val="1803359A"/>
    <w:rsid w:val="180890B4"/>
    <w:rsid w:val="180E09EF"/>
    <w:rsid w:val="1812E042"/>
    <w:rsid w:val="1813D9BB"/>
    <w:rsid w:val="18143B5F"/>
    <w:rsid w:val="181DC5F8"/>
    <w:rsid w:val="182AA4C0"/>
    <w:rsid w:val="183176F8"/>
    <w:rsid w:val="183920C6"/>
    <w:rsid w:val="183F53A6"/>
    <w:rsid w:val="1848A9BE"/>
    <w:rsid w:val="184BB35E"/>
    <w:rsid w:val="185418E8"/>
    <w:rsid w:val="185EE919"/>
    <w:rsid w:val="186F86AB"/>
    <w:rsid w:val="1873E5CC"/>
    <w:rsid w:val="18847F5B"/>
    <w:rsid w:val="189042F7"/>
    <w:rsid w:val="1897F1AB"/>
    <w:rsid w:val="189FC015"/>
    <w:rsid w:val="18A22924"/>
    <w:rsid w:val="18AD63D4"/>
    <w:rsid w:val="18ADC2B8"/>
    <w:rsid w:val="18B4E62B"/>
    <w:rsid w:val="18B7DF35"/>
    <w:rsid w:val="18BCB599"/>
    <w:rsid w:val="18BD6413"/>
    <w:rsid w:val="18C4F701"/>
    <w:rsid w:val="18C87C80"/>
    <w:rsid w:val="18CB6EAF"/>
    <w:rsid w:val="18CD3596"/>
    <w:rsid w:val="18D79E4C"/>
    <w:rsid w:val="18DC4C70"/>
    <w:rsid w:val="18E987F8"/>
    <w:rsid w:val="18EFF6C2"/>
    <w:rsid w:val="18F0B238"/>
    <w:rsid w:val="18F32736"/>
    <w:rsid w:val="19032B17"/>
    <w:rsid w:val="1908721A"/>
    <w:rsid w:val="190E013A"/>
    <w:rsid w:val="191BE54B"/>
    <w:rsid w:val="191C81E3"/>
    <w:rsid w:val="19231CA9"/>
    <w:rsid w:val="1930B6BD"/>
    <w:rsid w:val="1933FFE3"/>
    <w:rsid w:val="1937CF07"/>
    <w:rsid w:val="19423FD2"/>
    <w:rsid w:val="19439D4A"/>
    <w:rsid w:val="1944CC02"/>
    <w:rsid w:val="1951D126"/>
    <w:rsid w:val="196A055E"/>
    <w:rsid w:val="199F7E2D"/>
    <w:rsid w:val="19A22B2D"/>
    <w:rsid w:val="19A2B7D7"/>
    <w:rsid w:val="19A49C3F"/>
    <w:rsid w:val="19B9C9B8"/>
    <w:rsid w:val="19BEE8FC"/>
    <w:rsid w:val="19C29854"/>
    <w:rsid w:val="19C8C101"/>
    <w:rsid w:val="19DBE028"/>
    <w:rsid w:val="19DFDCE3"/>
    <w:rsid w:val="19E7D885"/>
    <w:rsid w:val="19ED7592"/>
    <w:rsid w:val="19F18831"/>
    <w:rsid w:val="19F747E9"/>
    <w:rsid w:val="19FB837B"/>
    <w:rsid w:val="19FD9809"/>
    <w:rsid w:val="1A12DB36"/>
    <w:rsid w:val="1A137DD5"/>
    <w:rsid w:val="1A1A62A5"/>
    <w:rsid w:val="1A1AD598"/>
    <w:rsid w:val="1A22E5C9"/>
    <w:rsid w:val="1A2DF29A"/>
    <w:rsid w:val="1A370EBC"/>
    <w:rsid w:val="1A3E3460"/>
    <w:rsid w:val="1A3FF613"/>
    <w:rsid w:val="1A456E41"/>
    <w:rsid w:val="1A4C343C"/>
    <w:rsid w:val="1A585A91"/>
    <w:rsid w:val="1A5EC0AF"/>
    <w:rsid w:val="1A5F226F"/>
    <w:rsid w:val="1A649F51"/>
    <w:rsid w:val="1A665E2B"/>
    <w:rsid w:val="1A6A58D3"/>
    <w:rsid w:val="1A6C9755"/>
    <w:rsid w:val="1A6E8349"/>
    <w:rsid w:val="1A712ECF"/>
    <w:rsid w:val="1A78353F"/>
    <w:rsid w:val="1A7B099D"/>
    <w:rsid w:val="1A7F78BC"/>
    <w:rsid w:val="1A902EE2"/>
    <w:rsid w:val="1A9408C1"/>
    <w:rsid w:val="1A9F1FAC"/>
    <w:rsid w:val="1AA6B458"/>
    <w:rsid w:val="1AAA9F32"/>
    <w:rsid w:val="1AAEAD20"/>
    <w:rsid w:val="1AAEC985"/>
    <w:rsid w:val="1ABFDF99"/>
    <w:rsid w:val="1ACC3B7B"/>
    <w:rsid w:val="1ADC362C"/>
    <w:rsid w:val="1AE950BE"/>
    <w:rsid w:val="1AEB5E0E"/>
    <w:rsid w:val="1AF80474"/>
    <w:rsid w:val="1AFF0B4A"/>
    <w:rsid w:val="1B000FC6"/>
    <w:rsid w:val="1B0397A3"/>
    <w:rsid w:val="1B07A2BC"/>
    <w:rsid w:val="1B37A438"/>
    <w:rsid w:val="1B421BE8"/>
    <w:rsid w:val="1B791B5F"/>
    <w:rsid w:val="1B824328"/>
    <w:rsid w:val="1B8B468D"/>
    <w:rsid w:val="1B8E4D55"/>
    <w:rsid w:val="1B910255"/>
    <w:rsid w:val="1B9DE789"/>
    <w:rsid w:val="1B9F64CE"/>
    <w:rsid w:val="1BA4A879"/>
    <w:rsid w:val="1BA78BDD"/>
    <w:rsid w:val="1BB37941"/>
    <w:rsid w:val="1BB499C2"/>
    <w:rsid w:val="1BB98B12"/>
    <w:rsid w:val="1BBD5B90"/>
    <w:rsid w:val="1BC52C2E"/>
    <w:rsid w:val="1BD70001"/>
    <w:rsid w:val="1BE8A167"/>
    <w:rsid w:val="1BFAC385"/>
    <w:rsid w:val="1C0A0926"/>
    <w:rsid w:val="1C0D2EDB"/>
    <w:rsid w:val="1C154DA7"/>
    <w:rsid w:val="1C1890B6"/>
    <w:rsid w:val="1C1D23EE"/>
    <w:rsid w:val="1C214391"/>
    <w:rsid w:val="1C2D197B"/>
    <w:rsid w:val="1C304611"/>
    <w:rsid w:val="1C34C8B9"/>
    <w:rsid w:val="1C353E5C"/>
    <w:rsid w:val="1C35F84C"/>
    <w:rsid w:val="1C3BF7D6"/>
    <w:rsid w:val="1C41CD47"/>
    <w:rsid w:val="1C46A1FF"/>
    <w:rsid w:val="1C48B063"/>
    <w:rsid w:val="1C50053B"/>
    <w:rsid w:val="1C54BA3E"/>
    <w:rsid w:val="1C5D906A"/>
    <w:rsid w:val="1C640D9A"/>
    <w:rsid w:val="1C659639"/>
    <w:rsid w:val="1C79A4C0"/>
    <w:rsid w:val="1C7C2E1B"/>
    <w:rsid w:val="1C7DD9B8"/>
    <w:rsid w:val="1C7EBE9C"/>
    <w:rsid w:val="1C7FE790"/>
    <w:rsid w:val="1C8714CA"/>
    <w:rsid w:val="1C87AA44"/>
    <w:rsid w:val="1C8B00DB"/>
    <w:rsid w:val="1C929676"/>
    <w:rsid w:val="1C93BA0B"/>
    <w:rsid w:val="1CB5038D"/>
    <w:rsid w:val="1CC70513"/>
    <w:rsid w:val="1CCE4C51"/>
    <w:rsid w:val="1CD0339C"/>
    <w:rsid w:val="1CD1CBCC"/>
    <w:rsid w:val="1CDFBA5C"/>
    <w:rsid w:val="1CFAD857"/>
    <w:rsid w:val="1D06DEC1"/>
    <w:rsid w:val="1D078D48"/>
    <w:rsid w:val="1D24B52D"/>
    <w:rsid w:val="1D25DB97"/>
    <w:rsid w:val="1D2BDA9D"/>
    <w:rsid w:val="1D379516"/>
    <w:rsid w:val="1D42EC72"/>
    <w:rsid w:val="1D578A25"/>
    <w:rsid w:val="1D69B4C6"/>
    <w:rsid w:val="1D7FFF1F"/>
    <w:rsid w:val="1D8D6845"/>
    <w:rsid w:val="1D9D1FE2"/>
    <w:rsid w:val="1DA49801"/>
    <w:rsid w:val="1DA825CC"/>
    <w:rsid w:val="1DB8E855"/>
    <w:rsid w:val="1DC51FB5"/>
    <w:rsid w:val="1DD8A11A"/>
    <w:rsid w:val="1DD914D1"/>
    <w:rsid w:val="1DDDD2DC"/>
    <w:rsid w:val="1DEBD755"/>
    <w:rsid w:val="1DF49E46"/>
    <w:rsid w:val="1DF8EBA6"/>
    <w:rsid w:val="1DFF751B"/>
    <w:rsid w:val="1E04CB82"/>
    <w:rsid w:val="1E04EF8E"/>
    <w:rsid w:val="1E051E27"/>
    <w:rsid w:val="1E11E613"/>
    <w:rsid w:val="1E13D7AF"/>
    <w:rsid w:val="1E13E567"/>
    <w:rsid w:val="1E2D588B"/>
    <w:rsid w:val="1E369A1E"/>
    <w:rsid w:val="1E3E56AE"/>
    <w:rsid w:val="1E531BB0"/>
    <w:rsid w:val="1E7D82A3"/>
    <w:rsid w:val="1E85EEC0"/>
    <w:rsid w:val="1E94E595"/>
    <w:rsid w:val="1E9B6BFA"/>
    <w:rsid w:val="1E9BF2CF"/>
    <w:rsid w:val="1E9E7963"/>
    <w:rsid w:val="1EA0F9DF"/>
    <w:rsid w:val="1EAA7D33"/>
    <w:rsid w:val="1EAD5430"/>
    <w:rsid w:val="1EB67A8F"/>
    <w:rsid w:val="1EC8E15A"/>
    <w:rsid w:val="1EE40810"/>
    <w:rsid w:val="1EEC7376"/>
    <w:rsid w:val="1EF71E43"/>
    <w:rsid w:val="1EF86984"/>
    <w:rsid w:val="1EF8F65E"/>
    <w:rsid w:val="1EFC10A3"/>
    <w:rsid w:val="1F1351E4"/>
    <w:rsid w:val="1F144DAF"/>
    <w:rsid w:val="1F15688B"/>
    <w:rsid w:val="1F4C7D74"/>
    <w:rsid w:val="1F5CD498"/>
    <w:rsid w:val="1F5D3678"/>
    <w:rsid w:val="1F610F83"/>
    <w:rsid w:val="1F728EC4"/>
    <w:rsid w:val="1F7343B8"/>
    <w:rsid w:val="1F7B34C6"/>
    <w:rsid w:val="1F87125D"/>
    <w:rsid w:val="1F8BC6D1"/>
    <w:rsid w:val="1F913A93"/>
    <w:rsid w:val="1F9506BA"/>
    <w:rsid w:val="1F9906E2"/>
    <w:rsid w:val="1F9AA3A4"/>
    <w:rsid w:val="1F9E493A"/>
    <w:rsid w:val="1FA2BFC8"/>
    <w:rsid w:val="1FA6095C"/>
    <w:rsid w:val="1FAB9FB0"/>
    <w:rsid w:val="1FB37ED3"/>
    <w:rsid w:val="1FB5B428"/>
    <w:rsid w:val="1FC946AC"/>
    <w:rsid w:val="1FCFFABC"/>
    <w:rsid w:val="1FD91511"/>
    <w:rsid w:val="1FDFF644"/>
    <w:rsid w:val="1FE8529A"/>
    <w:rsid w:val="20046087"/>
    <w:rsid w:val="200C1120"/>
    <w:rsid w:val="20151792"/>
    <w:rsid w:val="20245F47"/>
    <w:rsid w:val="2024CCBB"/>
    <w:rsid w:val="202822E3"/>
    <w:rsid w:val="2031DC0A"/>
    <w:rsid w:val="2032411E"/>
    <w:rsid w:val="2038C381"/>
    <w:rsid w:val="2043EE06"/>
    <w:rsid w:val="205E891E"/>
    <w:rsid w:val="2068EC40"/>
    <w:rsid w:val="20706211"/>
    <w:rsid w:val="2070D8EB"/>
    <w:rsid w:val="207B3479"/>
    <w:rsid w:val="207E460F"/>
    <w:rsid w:val="209640F6"/>
    <w:rsid w:val="20A63F62"/>
    <w:rsid w:val="20ABC576"/>
    <w:rsid w:val="20AC5381"/>
    <w:rsid w:val="20AF2795"/>
    <w:rsid w:val="20BD02C6"/>
    <w:rsid w:val="20C4121B"/>
    <w:rsid w:val="20C53184"/>
    <w:rsid w:val="20C53A1C"/>
    <w:rsid w:val="20CA8A93"/>
    <w:rsid w:val="20DAF83B"/>
    <w:rsid w:val="20E37DC7"/>
    <w:rsid w:val="20E71986"/>
    <w:rsid w:val="20EA83CD"/>
    <w:rsid w:val="20ED93F2"/>
    <w:rsid w:val="20EE5C80"/>
    <w:rsid w:val="20FD249C"/>
    <w:rsid w:val="21008D53"/>
    <w:rsid w:val="21019BCC"/>
    <w:rsid w:val="210D065D"/>
    <w:rsid w:val="2115417B"/>
    <w:rsid w:val="2116C886"/>
    <w:rsid w:val="2118247C"/>
    <w:rsid w:val="211B641B"/>
    <w:rsid w:val="211DDA34"/>
    <w:rsid w:val="211E1511"/>
    <w:rsid w:val="2135F22A"/>
    <w:rsid w:val="21389328"/>
    <w:rsid w:val="214723EC"/>
    <w:rsid w:val="214DEE66"/>
    <w:rsid w:val="214E6613"/>
    <w:rsid w:val="21556A15"/>
    <w:rsid w:val="2156E6D9"/>
    <w:rsid w:val="21570B06"/>
    <w:rsid w:val="215D6254"/>
    <w:rsid w:val="2160E40F"/>
    <w:rsid w:val="2161FA5B"/>
    <w:rsid w:val="216B46A4"/>
    <w:rsid w:val="216CA909"/>
    <w:rsid w:val="217D0955"/>
    <w:rsid w:val="2184611D"/>
    <w:rsid w:val="218FDF42"/>
    <w:rsid w:val="21987F4D"/>
    <w:rsid w:val="21B83760"/>
    <w:rsid w:val="21BC7BB5"/>
    <w:rsid w:val="21CCC597"/>
    <w:rsid w:val="21E51685"/>
    <w:rsid w:val="21EC95D4"/>
    <w:rsid w:val="21EE0819"/>
    <w:rsid w:val="21F5C5A7"/>
    <w:rsid w:val="2201345F"/>
    <w:rsid w:val="2208E948"/>
    <w:rsid w:val="2218E24D"/>
    <w:rsid w:val="221A1431"/>
    <w:rsid w:val="22234555"/>
    <w:rsid w:val="22253AAD"/>
    <w:rsid w:val="222947FA"/>
    <w:rsid w:val="222A467E"/>
    <w:rsid w:val="223CDA9B"/>
    <w:rsid w:val="22406609"/>
    <w:rsid w:val="22455F02"/>
    <w:rsid w:val="2246310E"/>
    <w:rsid w:val="224EB110"/>
    <w:rsid w:val="225171C1"/>
    <w:rsid w:val="2258FB8D"/>
    <w:rsid w:val="2270DA8B"/>
    <w:rsid w:val="2287AAB6"/>
    <w:rsid w:val="228CA2CA"/>
    <w:rsid w:val="22901ECA"/>
    <w:rsid w:val="22904548"/>
    <w:rsid w:val="2292E8C8"/>
    <w:rsid w:val="22964D59"/>
    <w:rsid w:val="2297EE0E"/>
    <w:rsid w:val="22A55087"/>
    <w:rsid w:val="22B6AC7E"/>
    <w:rsid w:val="22BBEF84"/>
    <w:rsid w:val="22C4DE41"/>
    <w:rsid w:val="22C541CC"/>
    <w:rsid w:val="22CC0E5E"/>
    <w:rsid w:val="22CD0CCD"/>
    <w:rsid w:val="22CD4543"/>
    <w:rsid w:val="22CF491F"/>
    <w:rsid w:val="22D0E1BD"/>
    <w:rsid w:val="22D7216A"/>
    <w:rsid w:val="22DDFD6B"/>
    <w:rsid w:val="22DEE72B"/>
    <w:rsid w:val="22E2BFB1"/>
    <w:rsid w:val="22EB5A0A"/>
    <w:rsid w:val="22F312A0"/>
    <w:rsid w:val="22F73527"/>
    <w:rsid w:val="2306C078"/>
    <w:rsid w:val="2308E2EE"/>
    <w:rsid w:val="230964EE"/>
    <w:rsid w:val="231560B6"/>
    <w:rsid w:val="231F0E99"/>
    <w:rsid w:val="232398B9"/>
    <w:rsid w:val="2324A3BE"/>
    <w:rsid w:val="2324F0C2"/>
    <w:rsid w:val="23280D03"/>
    <w:rsid w:val="23506F7B"/>
    <w:rsid w:val="2354743E"/>
    <w:rsid w:val="2354E8D9"/>
    <w:rsid w:val="235581C8"/>
    <w:rsid w:val="235D80DA"/>
    <w:rsid w:val="2363DF04"/>
    <w:rsid w:val="2364A81F"/>
    <w:rsid w:val="23656A9B"/>
    <w:rsid w:val="23681945"/>
    <w:rsid w:val="236DF0A1"/>
    <w:rsid w:val="237436E9"/>
    <w:rsid w:val="237B0622"/>
    <w:rsid w:val="237FF4E1"/>
    <w:rsid w:val="2380531D"/>
    <w:rsid w:val="2380C917"/>
    <w:rsid w:val="23847EC8"/>
    <w:rsid w:val="239758E9"/>
    <w:rsid w:val="23A67824"/>
    <w:rsid w:val="23AE8649"/>
    <w:rsid w:val="23B26C23"/>
    <w:rsid w:val="23B72147"/>
    <w:rsid w:val="23BF38C6"/>
    <w:rsid w:val="23D705D3"/>
    <w:rsid w:val="23DBBC47"/>
    <w:rsid w:val="23DD7B56"/>
    <w:rsid w:val="23E6B8B6"/>
    <w:rsid w:val="23E97CE9"/>
    <w:rsid w:val="23EF1BB0"/>
    <w:rsid w:val="23FB7E14"/>
    <w:rsid w:val="2402FDDA"/>
    <w:rsid w:val="240A8F96"/>
    <w:rsid w:val="24209776"/>
    <w:rsid w:val="242671B9"/>
    <w:rsid w:val="2430CBE9"/>
    <w:rsid w:val="243372B0"/>
    <w:rsid w:val="243A0893"/>
    <w:rsid w:val="243B88F4"/>
    <w:rsid w:val="243ED29F"/>
    <w:rsid w:val="24419C30"/>
    <w:rsid w:val="244FCDCE"/>
    <w:rsid w:val="2453F5FF"/>
    <w:rsid w:val="24561D36"/>
    <w:rsid w:val="245BF188"/>
    <w:rsid w:val="2462F1E3"/>
    <w:rsid w:val="246AC582"/>
    <w:rsid w:val="24730808"/>
    <w:rsid w:val="247ABDAC"/>
    <w:rsid w:val="248038B4"/>
    <w:rsid w:val="248156FA"/>
    <w:rsid w:val="248223B0"/>
    <w:rsid w:val="248B0B87"/>
    <w:rsid w:val="24AA752A"/>
    <w:rsid w:val="24ABA6B5"/>
    <w:rsid w:val="24AE9001"/>
    <w:rsid w:val="24B549C9"/>
    <w:rsid w:val="24B775FA"/>
    <w:rsid w:val="24B7F292"/>
    <w:rsid w:val="24BD3C11"/>
    <w:rsid w:val="24C3A6A9"/>
    <w:rsid w:val="24C986DA"/>
    <w:rsid w:val="24D506DE"/>
    <w:rsid w:val="24D86A37"/>
    <w:rsid w:val="24FE068E"/>
    <w:rsid w:val="2503F308"/>
    <w:rsid w:val="25081ADB"/>
    <w:rsid w:val="250A7E7D"/>
    <w:rsid w:val="250B06D6"/>
    <w:rsid w:val="251586AC"/>
    <w:rsid w:val="25180DDB"/>
    <w:rsid w:val="25199A36"/>
    <w:rsid w:val="25251426"/>
    <w:rsid w:val="2539B54B"/>
    <w:rsid w:val="253E665E"/>
    <w:rsid w:val="25432C68"/>
    <w:rsid w:val="254B1777"/>
    <w:rsid w:val="255985A7"/>
    <w:rsid w:val="2559FC53"/>
    <w:rsid w:val="255D1E83"/>
    <w:rsid w:val="25603A83"/>
    <w:rsid w:val="256E32CB"/>
    <w:rsid w:val="25700DCD"/>
    <w:rsid w:val="257428DB"/>
    <w:rsid w:val="257930F9"/>
    <w:rsid w:val="257993C8"/>
    <w:rsid w:val="2580BBF0"/>
    <w:rsid w:val="25859AA0"/>
    <w:rsid w:val="2589E0D1"/>
    <w:rsid w:val="258A285F"/>
    <w:rsid w:val="25904FB1"/>
    <w:rsid w:val="2590E703"/>
    <w:rsid w:val="25AA784C"/>
    <w:rsid w:val="25AF7654"/>
    <w:rsid w:val="25B22F38"/>
    <w:rsid w:val="25B7E5E9"/>
    <w:rsid w:val="25C17773"/>
    <w:rsid w:val="25C555C0"/>
    <w:rsid w:val="25CF756D"/>
    <w:rsid w:val="25D10792"/>
    <w:rsid w:val="25D1AEE8"/>
    <w:rsid w:val="25E13A07"/>
    <w:rsid w:val="25E9C90A"/>
    <w:rsid w:val="25EAFD44"/>
    <w:rsid w:val="25EB0CD8"/>
    <w:rsid w:val="25FFF838"/>
    <w:rsid w:val="260970CF"/>
    <w:rsid w:val="26181A63"/>
    <w:rsid w:val="261AF22E"/>
    <w:rsid w:val="261C13FA"/>
    <w:rsid w:val="261F8044"/>
    <w:rsid w:val="2622374C"/>
    <w:rsid w:val="262831AA"/>
    <w:rsid w:val="262B2EAD"/>
    <w:rsid w:val="26316C38"/>
    <w:rsid w:val="2635F57F"/>
    <w:rsid w:val="263E98AD"/>
    <w:rsid w:val="26417908"/>
    <w:rsid w:val="2647DA69"/>
    <w:rsid w:val="26485BA6"/>
    <w:rsid w:val="264B22C3"/>
    <w:rsid w:val="264E3715"/>
    <w:rsid w:val="26503407"/>
    <w:rsid w:val="2650E3EC"/>
    <w:rsid w:val="26533ED8"/>
    <w:rsid w:val="2654A6A9"/>
    <w:rsid w:val="2669EB6E"/>
    <w:rsid w:val="2677143A"/>
    <w:rsid w:val="26911B4A"/>
    <w:rsid w:val="269B3099"/>
    <w:rsid w:val="26AF234D"/>
    <w:rsid w:val="26BB04D9"/>
    <w:rsid w:val="26D61F76"/>
    <w:rsid w:val="26EA5468"/>
    <w:rsid w:val="26F504B7"/>
    <w:rsid w:val="26F81A37"/>
    <w:rsid w:val="270CCB01"/>
    <w:rsid w:val="2711AD65"/>
    <w:rsid w:val="2712C481"/>
    <w:rsid w:val="27153C2D"/>
    <w:rsid w:val="2717C8A6"/>
    <w:rsid w:val="271CFD98"/>
    <w:rsid w:val="2724E32D"/>
    <w:rsid w:val="272785FB"/>
    <w:rsid w:val="27282127"/>
    <w:rsid w:val="272E00F1"/>
    <w:rsid w:val="272FF7E8"/>
    <w:rsid w:val="2737957E"/>
    <w:rsid w:val="2748570A"/>
    <w:rsid w:val="274C95BB"/>
    <w:rsid w:val="275458E1"/>
    <w:rsid w:val="276690A7"/>
    <w:rsid w:val="276A8EDC"/>
    <w:rsid w:val="276E235E"/>
    <w:rsid w:val="277B9F24"/>
    <w:rsid w:val="277D44A8"/>
    <w:rsid w:val="278BC669"/>
    <w:rsid w:val="278C3FE2"/>
    <w:rsid w:val="278DF300"/>
    <w:rsid w:val="27923C6E"/>
    <w:rsid w:val="27928AE9"/>
    <w:rsid w:val="27957963"/>
    <w:rsid w:val="27BF19C1"/>
    <w:rsid w:val="27C1407F"/>
    <w:rsid w:val="27C5655D"/>
    <w:rsid w:val="27C8A071"/>
    <w:rsid w:val="27CEBAAF"/>
    <w:rsid w:val="27CF2127"/>
    <w:rsid w:val="27D5FE3B"/>
    <w:rsid w:val="27DA3B71"/>
    <w:rsid w:val="27DED338"/>
    <w:rsid w:val="27EF345C"/>
    <w:rsid w:val="27F9E0B4"/>
    <w:rsid w:val="28069129"/>
    <w:rsid w:val="2811C38B"/>
    <w:rsid w:val="281649A7"/>
    <w:rsid w:val="28164FC7"/>
    <w:rsid w:val="28190251"/>
    <w:rsid w:val="28275972"/>
    <w:rsid w:val="2828AF4D"/>
    <w:rsid w:val="2829B94A"/>
    <w:rsid w:val="282E034E"/>
    <w:rsid w:val="284357D1"/>
    <w:rsid w:val="284592A0"/>
    <w:rsid w:val="28468A08"/>
    <w:rsid w:val="284AFE8A"/>
    <w:rsid w:val="284DD2E9"/>
    <w:rsid w:val="2852E3BE"/>
    <w:rsid w:val="285560FC"/>
    <w:rsid w:val="285E0179"/>
    <w:rsid w:val="285E7702"/>
    <w:rsid w:val="286000F4"/>
    <w:rsid w:val="2865F5CD"/>
    <w:rsid w:val="2869DBAD"/>
    <w:rsid w:val="286CFB5F"/>
    <w:rsid w:val="28810BD4"/>
    <w:rsid w:val="2884ED26"/>
    <w:rsid w:val="2892EC25"/>
    <w:rsid w:val="2895DB94"/>
    <w:rsid w:val="2897CA09"/>
    <w:rsid w:val="289E5F3D"/>
    <w:rsid w:val="289E6B91"/>
    <w:rsid w:val="28B3E2DC"/>
    <w:rsid w:val="28BE149A"/>
    <w:rsid w:val="28C77968"/>
    <w:rsid w:val="28CEFA51"/>
    <w:rsid w:val="28D4F594"/>
    <w:rsid w:val="28D7C908"/>
    <w:rsid w:val="28EC202D"/>
    <w:rsid w:val="28ED697E"/>
    <w:rsid w:val="28EF8E14"/>
    <w:rsid w:val="28F58873"/>
    <w:rsid w:val="29028EF6"/>
    <w:rsid w:val="290C3793"/>
    <w:rsid w:val="2916BB37"/>
    <w:rsid w:val="291AAE4A"/>
    <w:rsid w:val="291B3512"/>
    <w:rsid w:val="2926601E"/>
    <w:rsid w:val="292FA958"/>
    <w:rsid w:val="29407406"/>
    <w:rsid w:val="2944644B"/>
    <w:rsid w:val="294CDCE8"/>
    <w:rsid w:val="29512011"/>
    <w:rsid w:val="295FB102"/>
    <w:rsid w:val="295FDC80"/>
    <w:rsid w:val="2961060F"/>
    <w:rsid w:val="2963C703"/>
    <w:rsid w:val="2969CF41"/>
    <w:rsid w:val="29749700"/>
    <w:rsid w:val="29853D42"/>
    <w:rsid w:val="298B4F96"/>
    <w:rsid w:val="298ED403"/>
    <w:rsid w:val="2990E828"/>
    <w:rsid w:val="29974117"/>
    <w:rsid w:val="299E850E"/>
    <w:rsid w:val="29B5D94D"/>
    <w:rsid w:val="29B8B25C"/>
    <w:rsid w:val="29C06958"/>
    <w:rsid w:val="29C7D3CA"/>
    <w:rsid w:val="29DD0EE6"/>
    <w:rsid w:val="29DDA61B"/>
    <w:rsid w:val="29E1C05F"/>
    <w:rsid w:val="29EE1E2B"/>
    <w:rsid w:val="29F4B618"/>
    <w:rsid w:val="29FD7657"/>
    <w:rsid w:val="2A042AEF"/>
    <w:rsid w:val="2A093FB2"/>
    <w:rsid w:val="2A1485D2"/>
    <w:rsid w:val="2A149D2C"/>
    <w:rsid w:val="2A161689"/>
    <w:rsid w:val="2A1C2833"/>
    <w:rsid w:val="2A22C857"/>
    <w:rsid w:val="2A23F4DF"/>
    <w:rsid w:val="2A2B6EBB"/>
    <w:rsid w:val="2A2DF5B2"/>
    <w:rsid w:val="2A2F08E8"/>
    <w:rsid w:val="2A400EFC"/>
    <w:rsid w:val="2A446FB8"/>
    <w:rsid w:val="2A4F34A7"/>
    <w:rsid w:val="2A524DA7"/>
    <w:rsid w:val="2A527462"/>
    <w:rsid w:val="2A58AD4E"/>
    <w:rsid w:val="2A5CB7BE"/>
    <w:rsid w:val="2A7586D0"/>
    <w:rsid w:val="2A86FFB9"/>
    <w:rsid w:val="2A8D8D6A"/>
    <w:rsid w:val="2A9384EC"/>
    <w:rsid w:val="2A93EC2F"/>
    <w:rsid w:val="2A9A70FB"/>
    <w:rsid w:val="2AADCC6A"/>
    <w:rsid w:val="2AAF5A61"/>
    <w:rsid w:val="2ABB6132"/>
    <w:rsid w:val="2AC386FC"/>
    <w:rsid w:val="2AC3ECA8"/>
    <w:rsid w:val="2AD29735"/>
    <w:rsid w:val="2AD38A6B"/>
    <w:rsid w:val="2ADBF001"/>
    <w:rsid w:val="2ADC0E3B"/>
    <w:rsid w:val="2AE2F180"/>
    <w:rsid w:val="2AE480C8"/>
    <w:rsid w:val="2AEF70CB"/>
    <w:rsid w:val="2AF2036D"/>
    <w:rsid w:val="2B0EB1AF"/>
    <w:rsid w:val="2B142D3B"/>
    <w:rsid w:val="2B1860A3"/>
    <w:rsid w:val="2B1FE30F"/>
    <w:rsid w:val="2B276B0D"/>
    <w:rsid w:val="2B2E6DBD"/>
    <w:rsid w:val="2B46254C"/>
    <w:rsid w:val="2B519BA9"/>
    <w:rsid w:val="2B556671"/>
    <w:rsid w:val="2B55C29A"/>
    <w:rsid w:val="2B5D4548"/>
    <w:rsid w:val="2B6CE460"/>
    <w:rsid w:val="2B81A775"/>
    <w:rsid w:val="2B81FBC7"/>
    <w:rsid w:val="2B92330F"/>
    <w:rsid w:val="2BA61CAD"/>
    <w:rsid w:val="2BA6D7F6"/>
    <w:rsid w:val="2BB4F05A"/>
    <w:rsid w:val="2BBA00CB"/>
    <w:rsid w:val="2BBA256A"/>
    <w:rsid w:val="2BC1515D"/>
    <w:rsid w:val="2BCFB326"/>
    <w:rsid w:val="2BE1B178"/>
    <w:rsid w:val="2BE7EA48"/>
    <w:rsid w:val="2BF87FCA"/>
    <w:rsid w:val="2BFC99FC"/>
    <w:rsid w:val="2BFD1733"/>
    <w:rsid w:val="2C0282B4"/>
    <w:rsid w:val="2C10BA1A"/>
    <w:rsid w:val="2C124D11"/>
    <w:rsid w:val="2C130E84"/>
    <w:rsid w:val="2C152C8B"/>
    <w:rsid w:val="2C2E29A9"/>
    <w:rsid w:val="2C301928"/>
    <w:rsid w:val="2C3640DE"/>
    <w:rsid w:val="2C3B9D34"/>
    <w:rsid w:val="2C4B9F2D"/>
    <w:rsid w:val="2C59DA49"/>
    <w:rsid w:val="2C6A4E82"/>
    <w:rsid w:val="2C6A6DF3"/>
    <w:rsid w:val="2C6F6A38"/>
    <w:rsid w:val="2C720A46"/>
    <w:rsid w:val="2C7DF2C6"/>
    <w:rsid w:val="2C8218F0"/>
    <w:rsid w:val="2C83CDFB"/>
    <w:rsid w:val="2C932A83"/>
    <w:rsid w:val="2C9CBB90"/>
    <w:rsid w:val="2CA87110"/>
    <w:rsid w:val="2CB62F6E"/>
    <w:rsid w:val="2CC81E60"/>
    <w:rsid w:val="2CC84F25"/>
    <w:rsid w:val="2CC94237"/>
    <w:rsid w:val="2CCD275B"/>
    <w:rsid w:val="2CD0382B"/>
    <w:rsid w:val="2CD492B5"/>
    <w:rsid w:val="2CD74809"/>
    <w:rsid w:val="2CD824F8"/>
    <w:rsid w:val="2CEA2DEE"/>
    <w:rsid w:val="2CECEAFE"/>
    <w:rsid w:val="2CF05F91"/>
    <w:rsid w:val="2CFC8C08"/>
    <w:rsid w:val="2D150A24"/>
    <w:rsid w:val="2D2A8643"/>
    <w:rsid w:val="2D2BAD7B"/>
    <w:rsid w:val="2D2D5BCE"/>
    <w:rsid w:val="2D31BD7B"/>
    <w:rsid w:val="2D3B5566"/>
    <w:rsid w:val="2D46CB0C"/>
    <w:rsid w:val="2D54A667"/>
    <w:rsid w:val="2D758422"/>
    <w:rsid w:val="2D76059D"/>
    <w:rsid w:val="2D764FA1"/>
    <w:rsid w:val="2D7ABE4F"/>
    <w:rsid w:val="2D7D7F63"/>
    <w:rsid w:val="2D82F399"/>
    <w:rsid w:val="2D844CD0"/>
    <w:rsid w:val="2D9C8871"/>
    <w:rsid w:val="2DA40F8E"/>
    <w:rsid w:val="2DA41550"/>
    <w:rsid w:val="2DAAD0E3"/>
    <w:rsid w:val="2DB2A043"/>
    <w:rsid w:val="2DC79F7B"/>
    <w:rsid w:val="2DC9AE6A"/>
    <w:rsid w:val="2DCBF983"/>
    <w:rsid w:val="2DD2578A"/>
    <w:rsid w:val="2DDEC51E"/>
    <w:rsid w:val="2DE137F1"/>
    <w:rsid w:val="2DF96029"/>
    <w:rsid w:val="2E062645"/>
    <w:rsid w:val="2E112F9F"/>
    <w:rsid w:val="2E11A207"/>
    <w:rsid w:val="2E1A51F1"/>
    <w:rsid w:val="2E1A84EC"/>
    <w:rsid w:val="2E1CF3AD"/>
    <w:rsid w:val="2E1DC57E"/>
    <w:rsid w:val="2E29C141"/>
    <w:rsid w:val="2E3810DC"/>
    <w:rsid w:val="2E38D1F5"/>
    <w:rsid w:val="2E5D09A9"/>
    <w:rsid w:val="2E5DBB56"/>
    <w:rsid w:val="2E69AEB5"/>
    <w:rsid w:val="2E762576"/>
    <w:rsid w:val="2E77705A"/>
    <w:rsid w:val="2E851EF6"/>
    <w:rsid w:val="2E8BFB16"/>
    <w:rsid w:val="2EA437EF"/>
    <w:rsid w:val="2EACA2B3"/>
    <w:rsid w:val="2EAD8F17"/>
    <w:rsid w:val="2EAE6270"/>
    <w:rsid w:val="2EB0F52E"/>
    <w:rsid w:val="2EB34A7C"/>
    <w:rsid w:val="2EB7B588"/>
    <w:rsid w:val="2EB8DAC2"/>
    <w:rsid w:val="2EC045F1"/>
    <w:rsid w:val="2EC1E9B3"/>
    <w:rsid w:val="2ECAF7D1"/>
    <w:rsid w:val="2ECCE530"/>
    <w:rsid w:val="2ED67FC8"/>
    <w:rsid w:val="2EDE7E21"/>
    <w:rsid w:val="2EECE4CD"/>
    <w:rsid w:val="2EF5A663"/>
    <w:rsid w:val="2EF85E60"/>
    <w:rsid w:val="2F00779F"/>
    <w:rsid w:val="2F0788F9"/>
    <w:rsid w:val="2F0BAE30"/>
    <w:rsid w:val="2F0CB3ED"/>
    <w:rsid w:val="2F11EECE"/>
    <w:rsid w:val="2F1A90FA"/>
    <w:rsid w:val="2F40D781"/>
    <w:rsid w:val="2F469892"/>
    <w:rsid w:val="2F4BB734"/>
    <w:rsid w:val="2F4C4CD7"/>
    <w:rsid w:val="2F553C9E"/>
    <w:rsid w:val="2F65321F"/>
    <w:rsid w:val="2F6A8D0B"/>
    <w:rsid w:val="2F736C0F"/>
    <w:rsid w:val="2F73E525"/>
    <w:rsid w:val="2F7CC666"/>
    <w:rsid w:val="2F7FFD1B"/>
    <w:rsid w:val="2F803EE8"/>
    <w:rsid w:val="2F8CBCED"/>
    <w:rsid w:val="2F927104"/>
    <w:rsid w:val="2F97D90B"/>
    <w:rsid w:val="2F9B70A5"/>
    <w:rsid w:val="2F9B9B90"/>
    <w:rsid w:val="2F9D0B82"/>
    <w:rsid w:val="2F9E3F1F"/>
    <w:rsid w:val="2FB3163D"/>
    <w:rsid w:val="2FB718CC"/>
    <w:rsid w:val="2FC6BB27"/>
    <w:rsid w:val="2FD29503"/>
    <w:rsid w:val="2FD99D25"/>
    <w:rsid w:val="2FDED108"/>
    <w:rsid w:val="2FE7D5AD"/>
    <w:rsid w:val="2FF89AB3"/>
    <w:rsid w:val="2FFB2FC0"/>
    <w:rsid w:val="2FFD7AC6"/>
    <w:rsid w:val="30056FD3"/>
    <w:rsid w:val="3011D904"/>
    <w:rsid w:val="3020EA7D"/>
    <w:rsid w:val="30287AD1"/>
    <w:rsid w:val="305BCC62"/>
    <w:rsid w:val="3061EB4C"/>
    <w:rsid w:val="30673236"/>
    <w:rsid w:val="30694C55"/>
    <w:rsid w:val="3074931F"/>
    <w:rsid w:val="30809BD6"/>
    <w:rsid w:val="308E42E0"/>
    <w:rsid w:val="3091B2FB"/>
    <w:rsid w:val="3095507D"/>
    <w:rsid w:val="309EC899"/>
    <w:rsid w:val="30A21017"/>
    <w:rsid w:val="30B34D55"/>
    <w:rsid w:val="30BD8365"/>
    <w:rsid w:val="30BDB3AA"/>
    <w:rsid w:val="30C80AB8"/>
    <w:rsid w:val="30CBC3F5"/>
    <w:rsid w:val="30E8736A"/>
    <w:rsid w:val="30F73621"/>
    <w:rsid w:val="30FDD8DC"/>
    <w:rsid w:val="31007C47"/>
    <w:rsid w:val="310570A4"/>
    <w:rsid w:val="3108A90D"/>
    <w:rsid w:val="310DEE62"/>
    <w:rsid w:val="311182B9"/>
    <w:rsid w:val="31193066"/>
    <w:rsid w:val="3120C503"/>
    <w:rsid w:val="312816C0"/>
    <w:rsid w:val="312BBF9F"/>
    <w:rsid w:val="3139AEE1"/>
    <w:rsid w:val="313AF9B0"/>
    <w:rsid w:val="313C7FD0"/>
    <w:rsid w:val="31469175"/>
    <w:rsid w:val="31477398"/>
    <w:rsid w:val="31532728"/>
    <w:rsid w:val="315B6555"/>
    <w:rsid w:val="315C5D2E"/>
    <w:rsid w:val="316BA198"/>
    <w:rsid w:val="316F00E9"/>
    <w:rsid w:val="31791935"/>
    <w:rsid w:val="317A65F7"/>
    <w:rsid w:val="3181085F"/>
    <w:rsid w:val="3182889E"/>
    <w:rsid w:val="31848BD4"/>
    <w:rsid w:val="3186DCE6"/>
    <w:rsid w:val="318D07C6"/>
    <w:rsid w:val="318EA393"/>
    <w:rsid w:val="31963647"/>
    <w:rsid w:val="319E1B5A"/>
    <w:rsid w:val="31A15F33"/>
    <w:rsid w:val="31B6F13B"/>
    <w:rsid w:val="31B7FD29"/>
    <w:rsid w:val="31B9261A"/>
    <w:rsid w:val="31BF8280"/>
    <w:rsid w:val="31CC806C"/>
    <w:rsid w:val="31CC96D2"/>
    <w:rsid w:val="31D82A4C"/>
    <w:rsid w:val="31E38A40"/>
    <w:rsid w:val="31E49AC4"/>
    <w:rsid w:val="31EA75D6"/>
    <w:rsid w:val="31EF9CB2"/>
    <w:rsid w:val="31F124D0"/>
    <w:rsid w:val="31FFAB27"/>
    <w:rsid w:val="32000A75"/>
    <w:rsid w:val="320C7B77"/>
    <w:rsid w:val="3215338A"/>
    <w:rsid w:val="32168EB3"/>
    <w:rsid w:val="321A24F0"/>
    <w:rsid w:val="321B926A"/>
    <w:rsid w:val="321EDD1C"/>
    <w:rsid w:val="322CE155"/>
    <w:rsid w:val="3238E69E"/>
    <w:rsid w:val="32425046"/>
    <w:rsid w:val="324417FF"/>
    <w:rsid w:val="3244BDB3"/>
    <w:rsid w:val="32471E25"/>
    <w:rsid w:val="324F5B9C"/>
    <w:rsid w:val="32511C12"/>
    <w:rsid w:val="325742A3"/>
    <w:rsid w:val="328259D1"/>
    <w:rsid w:val="3283B4B3"/>
    <w:rsid w:val="3287821A"/>
    <w:rsid w:val="32915179"/>
    <w:rsid w:val="32949080"/>
    <w:rsid w:val="32A66D21"/>
    <w:rsid w:val="32A754F2"/>
    <w:rsid w:val="32A94E5E"/>
    <w:rsid w:val="32ABAE63"/>
    <w:rsid w:val="32B1979D"/>
    <w:rsid w:val="32BF8201"/>
    <w:rsid w:val="32C164CC"/>
    <w:rsid w:val="32C21EAF"/>
    <w:rsid w:val="32C239AA"/>
    <w:rsid w:val="32C558D6"/>
    <w:rsid w:val="32C583A0"/>
    <w:rsid w:val="32C626FD"/>
    <w:rsid w:val="32C6EA61"/>
    <w:rsid w:val="32CE27E1"/>
    <w:rsid w:val="32D211B4"/>
    <w:rsid w:val="32D4AA77"/>
    <w:rsid w:val="32D629E0"/>
    <w:rsid w:val="32D9B6C1"/>
    <w:rsid w:val="32E7778D"/>
    <w:rsid w:val="32EC3EAE"/>
    <w:rsid w:val="32EFE307"/>
    <w:rsid w:val="32FE9E41"/>
    <w:rsid w:val="3300AD5E"/>
    <w:rsid w:val="3304ABFE"/>
    <w:rsid w:val="3307B5CA"/>
    <w:rsid w:val="330C4DE9"/>
    <w:rsid w:val="3310DC2C"/>
    <w:rsid w:val="3316CCEA"/>
    <w:rsid w:val="3318CAA4"/>
    <w:rsid w:val="33234B04"/>
    <w:rsid w:val="3325FF79"/>
    <w:rsid w:val="33348DA4"/>
    <w:rsid w:val="33375CBF"/>
    <w:rsid w:val="3351E0AF"/>
    <w:rsid w:val="335884CB"/>
    <w:rsid w:val="33592379"/>
    <w:rsid w:val="335D2FDC"/>
    <w:rsid w:val="33641B88"/>
    <w:rsid w:val="3375CBA9"/>
    <w:rsid w:val="3375EC91"/>
    <w:rsid w:val="337BF729"/>
    <w:rsid w:val="33970F11"/>
    <w:rsid w:val="3397886D"/>
    <w:rsid w:val="33981A4B"/>
    <w:rsid w:val="33A64D00"/>
    <w:rsid w:val="33A96B68"/>
    <w:rsid w:val="33B5E1E1"/>
    <w:rsid w:val="33BFE817"/>
    <w:rsid w:val="33E4F537"/>
    <w:rsid w:val="33EE41D4"/>
    <w:rsid w:val="3404DCFA"/>
    <w:rsid w:val="340BE796"/>
    <w:rsid w:val="34129F9B"/>
    <w:rsid w:val="3415BA47"/>
    <w:rsid w:val="3417050E"/>
    <w:rsid w:val="342A7CE5"/>
    <w:rsid w:val="3430D19F"/>
    <w:rsid w:val="3437626B"/>
    <w:rsid w:val="343DC1DD"/>
    <w:rsid w:val="343EBA57"/>
    <w:rsid w:val="344191CF"/>
    <w:rsid w:val="34567C82"/>
    <w:rsid w:val="34670BAE"/>
    <w:rsid w:val="346852A9"/>
    <w:rsid w:val="346E3DFD"/>
    <w:rsid w:val="34738D80"/>
    <w:rsid w:val="347C51F0"/>
    <w:rsid w:val="34846CAB"/>
    <w:rsid w:val="34849433"/>
    <w:rsid w:val="3484FEF4"/>
    <w:rsid w:val="3486A214"/>
    <w:rsid w:val="3489C28F"/>
    <w:rsid w:val="34920B38"/>
    <w:rsid w:val="3492426A"/>
    <w:rsid w:val="3493B07D"/>
    <w:rsid w:val="3493E266"/>
    <w:rsid w:val="34A3E50C"/>
    <w:rsid w:val="34A9E9D4"/>
    <w:rsid w:val="34AB668A"/>
    <w:rsid w:val="34ACC324"/>
    <w:rsid w:val="34B7ADA9"/>
    <w:rsid w:val="34C8EE34"/>
    <w:rsid w:val="34D586D7"/>
    <w:rsid w:val="34DA3B34"/>
    <w:rsid w:val="34DF3ED1"/>
    <w:rsid w:val="34DF5667"/>
    <w:rsid w:val="34E162E0"/>
    <w:rsid w:val="34ECD52E"/>
    <w:rsid w:val="34EE052E"/>
    <w:rsid w:val="34F17ABA"/>
    <w:rsid w:val="34F88F58"/>
    <w:rsid w:val="35103BBD"/>
    <w:rsid w:val="3514C3EF"/>
    <w:rsid w:val="35162A91"/>
    <w:rsid w:val="351739A7"/>
    <w:rsid w:val="351C482A"/>
    <w:rsid w:val="351D2F40"/>
    <w:rsid w:val="35297DD3"/>
    <w:rsid w:val="3532789C"/>
    <w:rsid w:val="3536A9BF"/>
    <w:rsid w:val="353D53B0"/>
    <w:rsid w:val="354DA8E2"/>
    <w:rsid w:val="354ED44C"/>
    <w:rsid w:val="3550B998"/>
    <w:rsid w:val="355E5C3D"/>
    <w:rsid w:val="3564EEFA"/>
    <w:rsid w:val="356D8E08"/>
    <w:rsid w:val="3582F997"/>
    <w:rsid w:val="358EC4EF"/>
    <w:rsid w:val="35904D61"/>
    <w:rsid w:val="35959BC6"/>
    <w:rsid w:val="35987492"/>
    <w:rsid w:val="35A5F8F8"/>
    <w:rsid w:val="35ABAD78"/>
    <w:rsid w:val="35B24CAC"/>
    <w:rsid w:val="35B87C60"/>
    <w:rsid w:val="35BE0C04"/>
    <w:rsid w:val="35C54B1A"/>
    <w:rsid w:val="35CDB134"/>
    <w:rsid w:val="35CFEA9F"/>
    <w:rsid w:val="35D09CE9"/>
    <w:rsid w:val="35D11A4E"/>
    <w:rsid w:val="35D31DEB"/>
    <w:rsid w:val="35D4C9FD"/>
    <w:rsid w:val="35D524DC"/>
    <w:rsid w:val="35D665DB"/>
    <w:rsid w:val="35E2CD54"/>
    <w:rsid w:val="35EC2CB3"/>
    <w:rsid w:val="35F8EE5F"/>
    <w:rsid w:val="360553D3"/>
    <w:rsid w:val="3607A982"/>
    <w:rsid w:val="36175A02"/>
    <w:rsid w:val="36192BC2"/>
    <w:rsid w:val="361D6716"/>
    <w:rsid w:val="361FEDF0"/>
    <w:rsid w:val="36203A43"/>
    <w:rsid w:val="362C2E86"/>
    <w:rsid w:val="362E15DF"/>
    <w:rsid w:val="363145C8"/>
    <w:rsid w:val="36315D99"/>
    <w:rsid w:val="3633AAFD"/>
    <w:rsid w:val="363E88F6"/>
    <w:rsid w:val="36430395"/>
    <w:rsid w:val="365288DD"/>
    <w:rsid w:val="365B0E54"/>
    <w:rsid w:val="365C50C9"/>
    <w:rsid w:val="365D1F2D"/>
    <w:rsid w:val="3661CBAE"/>
    <w:rsid w:val="3667D9DA"/>
    <w:rsid w:val="366D06EC"/>
    <w:rsid w:val="36814963"/>
    <w:rsid w:val="3685DAE6"/>
    <w:rsid w:val="3686F121"/>
    <w:rsid w:val="368AC103"/>
    <w:rsid w:val="368B517A"/>
    <w:rsid w:val="36988D7F"/>
    <w:rsid w:val="369D9A75"/>
    <w:rsid w:val="36A7CECB"/>
    <w:rsid w:val="36AB11A5"/>
    <w:rsid w:val="36BCE939"/>
    <w:rsid w:val="36BF0105"/>
    <w:rsid w:val="36C40E3E"/>
    <w:rsid w:val="36CD8DDE"/>
    <w:rsid w:val="36D46B87"/>
    <w:rsid w:val="36DB7799"/>
    <w:rsid w:val="36DEEF56"/>
    <w:rsid w:val="36E9CEC3"/>
    <w:rsid w:val="36FA5B6E"/>
    <w:rsid w:val="3704D237"/>
    <w:rsid w:val="37068207"/>
    <w:rsid w:val="371137C7"/>
    <w:rsid w:val="37148A3B"/>
    <w:rsid w:val="3716B122"/>
    <w:rsid w:val="371ECADE"/>
    <w:rsid w:val="372B209B"/>
    <w:rsid w:val="372FAEC0"/>
    <w:rsid w:val="373A09BA"/>
    <w:rsid w:val="37418AE0"/>
    <w:rsid w:val="374667A6"/>
    <w:rsid w:val="37590596"/>
    <w:rsid w:val="375B8CC4"/>
    <w:rsid w:val="3764BC14"/>
    <w:rsid w:val="37665057"/>
    <w:rsid w:val="377A66F0"/>
    <w:rsid w:val="37807C0E"/>
    <w:rsid w:val="37812DC6"/>
    <w:rsid w:val="378825D8"/>
    <w:rsid w:val="3789ADA2"/>
    <w:rsid w:val="37915E85"/>
    <w:rsid w:val="3797A6C7"/>
    <w:rsid w:val="379E2A0F"/>
    <w:rsid w:val="37C6A099"/>
    <w:rsid w:val="37DA1E49"/>
    <w:rsid w:val="37E24D08"/>
    <w:rsid w:val="37E64C88"/>
    <w:rsid w:val="37F0681E"/>
    <w:rsid w:val="37F27092"/>
    <w:rsid w:val="37F2D73E"/>
    <w:rsid w:val="37FB23AD"/>
    <w:rsid w:val="37FCC310"/>
    <w:rsid w:val="37FCF4B6"/>
    <w:rsid w:val="37FCFAE3"/>
    <w:rsid w:val="37FD69C6"/>
    <w:rsid w:val="3808F760"/>
    <w:rsid w:val="38097063"/>
    <w:rsid w:val="380DEBB3"/>
    <w:rsid w:val="38285049"/>
    <w:rsid w:val="3828EA81"/>
    <w:rsid w:val="382F6387"/>
    <w:rsid w:val="382F881A"/>
    <w:rsid w:val="382FE914"/>
    <w:rsid w:val="3830BED0"/>
    <w:rsid w:val="3831F567"/>
    <w:rsid w:val="38334F2E"/>
    <w:rsid w:val="38352959"/>
    <w:rsid w:val="383EB593"/>
    <w:rsid w:val="384A6143"/>
    <w:rsid w:val="3850F8E4"/>
    <w:rsid w:val="386B765F"/>
    <w:rsid w:val="386EAC06"/>
    <w:rsid w:val="387968D2"/>
    <w:rsid w:val="388698EB"/>
    <w:rsid w:val="389612F4"/>
    <w:rsid w:val="38A65768"/>
    <w:rsid w:val="38A9864B"/>
    <w:rsid w:val="38AB93D7"/>
    <w:rsid w:val="38B76E81"/>
    <w:rsid w:val="38C6CD6A"/>
    <w:rsid w:val="38C8E1B4"/>
    <w:rsid w:val="38D34493"/>
    <w:rsid w:val="38D8BF53"/>
    <w:rsid w:val="38DA4885"/>
    <w:rsid w:val="38DC0F4D"/>
    <w:rsid w:val="38E4AA76"/>
    <w:rsid w:val="38E4E00F"/>
    <w:rsid w:val="38E5333D"/>
    <w:rsid w:val="38E5B864"/>
    <w:rsid w:val="38F78738"/>
    <w:rsid w:val="38F89117"/>
    <w:rsid w:val="38FAF684"/>
    <w:rsid w:val="38FCFC1F"/>
    <w:rsid w:val="390C575E"/>
    <w:rsid w:val="390D947E"/>
    <w:rsid w:val="391CD0FC"/>
    <w:rsid w:val="391F15BB"/>
    <w:rsid w:val="3924C761"/>
    <w:rsid w:val="392B42D4"/>
    <w:rsid w:val="3943F45D"/>
    <w:rsid w:val="3945748E"/>
    <w:rsid w:val="39554447"/>
    <w:rsid w:val="3956F960"/>
    <w:rsid w:val="395E447C"/>
    <w:rsid w:val="395F3799"/>
    <w:rsid w:val="396C9041"/>
    <w:rsid w:val="3970AE65"/>
    <w:rsid w:val="397A4627"/>
    <w:rsid w:val="397ED7B5"/>
    <w:rsid w:val="39820268"/>
    <w:rsid w:val="3992CCC2"/>
    <w:rsid w:val="39B206F2"/>
    <w:rsid w:val="39C6EEF3"/>
    <w:rsid w:val="39C963F9"/>
    <w:rsid w:val="39D29F89"/>
    <w:rsid w:val="39DE1184"/>
    <w:rsid w:val="39E2BB6B"/>
    <w:rsid w:val="39E91E8C"/>
    <w:rsid w:val="39E9F8B6"/>
    <w:rsid w:val="39EC5A76"/>
    <w:rsid w:val="39F1C024"/>
    <w:rsid w:val="3A00FDB4"/>
    <w:rsid w:val="3A1345ED"/>
    <w:rsid w:val="3A19F201"/>
    <w:rsid w:val="3A1D431C"/>
    <w:rsid w:val="3A1F66C0"/>
    <w:rsid w:val="3A242BCE"/>
    <w:rsid w:val="3A362FCF"/>
    <w:rsid w:val="3A3EA2E0"/>
    <w:rsid w:val="3A49F47A"/>
    <w:rsid w:val="3A542BD5"/>
    <w:rsid w:val="3A5C7A81"/>
    <w:rsid w:val="3A5EA4BF"/>
    <w:rsid w:val="3A649B61"/>
    <w:rsid w:val="3A6AA434"/>
    <w:rsid w:val="3A70F47A"/>
    <w:rsid w:val="3A785191"/>
    <w:rsid w:val="3A791E08"/>
    <w:rsid w:val="3A795FCD"/>
    <w:rsid w:val="3A7B9802"/>
    <w:rsid w:val="3A89E978"/>
    <w:rsid w:val="3A8F5050"/>
    <w:rsid w:val="3A9B3F44"/>
    <w:rsid w:val="3AAEFB8B"/>
    <w:rsid w:val="3AB1710B"/>
    <w:rsid w:val="3AC4AA11"/>
    <w:rsid w:val="3AC78C13"/>
    <w:rsid w:val="3ACC1679"/>
    <w:rsid w:val="3AD07EEB"/>
    <w:rsid w:val="3AD55477"/>
    <w:rsid w:val="3ADD1DCE"/>
    <w:rsid w:val="3AE42A1B"/>
    <w:rsid w:val="3AE60138"/>
    <w:rsid w:val="3AE94DAF"/>
    <w:rsid w:val="3AF4C45F"/>
    <w:rsid w:val="3AFF59A7"/>
    <w:rsid w:val="3AFFA64C"/>
    <w:rsid w:val="3B073F45"/>
    <w:rsid w:val="3B0E48AD"/>
    <w:rsid w:val="3B14B1C0"/>
    <w:rsid w:val="3B2B8083"/>
    <w:rsid w:val="3B2DF18C"/>
    <w:rsid w:val="3B2E4DC9"/>
    <w:rsid w:val="3B30B53E"/>
    <w:rsid w:val="3B39EB6F"/>
    <w:rsid w:val="3B43643E"/>
    <w:rsid w:val="3B488F3B"/>
    <w:rsid w:val="3B4B4C5D"/>
    <w:rsid w:val="3B5D046C"/>
    <w:rsid w:val="3B60A3DA"/>
    <w:rsid w:val="3B6C5A43"/>
    <w:rsid w:val="3B72030D"/>
    <w:rsid w:val="3B97C8B3"/>
    <w:rsid w:val="3B9BB873"/>
    <w:rsid w:val="3BA232E8"/>
    <w:rsid w:val="3BAC5C02"/>
    <w:rsid w:val="3BBD578B"/>
    <w:rsid w:val="3BC89BBD"/>
    <w:rsid w:val="3BCCAEBA"/>
    <w:rsid w:val="3BCE6386"/>
    <w:rsid w:val="3BD0C358"/>
    <w:rsid w:val="3BD5FAE3"/>
    <w:rsid w:val="3BD6E707"/>
    <w:rsid w:val="3BE73AC6"/>
    <w:rsid w:val="3BF66BA3"/>
    <w:rsid w:val="3BF871D6"/>
    <w:rsid w:val="3BFAEA7C"/>
    <w:rsid w:val="3C08D0D7"/>
    <w:rsid w:val="3C144A1E"/>
    <w:rsid w:val="3C1C8EDF"/>
    <w:rsid w:val="3C250DBC"/>
    <w:rsid w:val="3C2D42F2"/>
    <w:rsid w:val="3C30BBAC"/>
    <w:rsid w:val="3C3ABA60"/>
    <w:rsid w:val="3C48DE02"/>
    <w:rsid w:val="3C49823B"/>
    <w:rsid w:val="3C548614"/>
    <w:rsid w:val="3C605507"/>
    <w:rsid w:val="3C630370"/>
    <w:rsid w:val="3C6CB085"/>
    <w:rsid w:val="3C6E0A51"/>
    <w:rsid w:val="3C70338F"/>
    <w:rsid w:val="3C7A0126"/>
    <w:rsid w:val="3C7EF450"/>
    <w:rsid w:val="3C81AB15"/>
    <w:rsid w:val="3C828BE7"/>
    <w:rsid w:val="3C8B1795"/>
    <w:rsid w:val="3C8B7327"/>
    <w:rsid w:val="3C961751"/>
    <w:rsid w:val="3C9960C3"/>
    <w:rsid w:val="3CA00E5B"/>
    <w:rsid w:val="3CA3DACC"/>
    <w:rsid w:val="3CC369E7"/>
    <w:rsid w:val="3CD3BB72"/>
    <w:rsid w:val="3CD52983"/>
    <w:rsid w:val="3CD8A604"/>
    <w:rsid w:val="3CDBD1BE"/>
    <w:rsid w:val="3CE939DF"/>
    <w:rsid w:val="3CEE803C"/>
    <w:rsid w:val="3CFBC4B2"/>
    <w:rsid w:val="3CFF5D03"/>
    <w:rsid w:val="3D0EF971"/>
    <w:rsid w:val="3D123F0F"/>
    <w:rsid w:val="3D18906D"/>
    <w:rsid w:val="3D1C4941"/>
    <w:rsid w:val="3D1C98CA"/>
    <w:rsid w:val="3D1E7E5B"/>
    <w:rsid w:val="3D298DE0"/>
    <w:rsid w:val="3D30EA5F"/>
    <w:rsid w:val="3D382A5E"/>
    <w:rsid w:val="3D3A4C55"/>
    <w:rsid w:val="3D484793"/>
    <w:rsid w:val="3D518AE4"/>
    <w:rsid w:val="3D534CE0"/>
    <w:rsid w:val="3D5526B3"/>
    <w:rsid w:val="3D787E9E"/>
    <w:rsid w:val="3D7DD511"/>
    <w:rsid w:val="3D8138AF"/>
    <w:rsid w:val="3D845540"/>
    <w:rsid w:val="3DA7FA8C"/>
    <w:rsid w:val="3DAA5FE4"/>
    <w:rsid w:val="3DAB4D1E"/>
    <w:rsid w:val="3DAC77CC"/>
    <w:rsid w:val="3DAC97DD"/>
    <w:rsid w:val="3DB0EE44"/>
    <w:rsid w:val="3DB5ACC4"/>
    <w:rsid w:val="3DC5D416"/>
    <w:rsid w:val="3DC7ACBC"/>
    <w:rsid w:val="3DCFE27B"/>
    <w:rsid w:val="3DD65676"/>
    <w:rsid w:val="3DD765B2"/>
    <w:rsid w:val="3DE9A677"/>
    <w:rsid w:val="3DEB98A8"/>
    <w:rsid w:val="3DF7F2D2"/>
    <w:rsid w:val="3DF8DF3D"/>
    <w:rsid w:val="3E1F8A54"/>
    <w:rsid w:val="3E21CA51"/>
    <w:rsid w:val="3E253FFE"/>
    <w:rsid w:val="3E32779F"/>
    <w:rsid w:val="3E3AC295"/>
    <w:rsid w:val="3E3CAB0A"/>
    <w:rsid w:val="3E4ADC52"/>
    <w:rsid w:val="3E4F2CF2"/>
    <w:rsid w:val="3E5361FD"/>
    <w:rsid w:val="3E58BD2E"/>
    <w:rsid w:val="3E5A9DF5"/>
    <w:rsid w:val="3E5C4A33"/>
    <w:rsid w:val="3E6241E9"/>
    <w:rsid w:val="3E62BE38"/>
    <w:rsid w:val="3E6723F4"/>
    <w:rsid w:val="3E673219"/>
    <w:rsid w:val="3E6C17AC"/>
    <w:rsid w:val="3E76FC52"/>
    <w:rsid w:val="3E77384F"/>
    <w:rsid w:val="3E86DB4C"/>
    <w:rsid w:val="3E88820C"/>
    <w:rsid w:val="3E947656"/>
    <w:rsid w:val="3E9C8383"/>
    <w:rsid w:val="3E9EE8CD"/>
    <w:rsid w:val="3EA56A78"/>
    <w:rsid w:val="3EB55165"/>
    <w:rsid w:val="3EBB7C11"/>
    <w:rsid w:val="3ECDE473"/>
    <w:rsid w:val="3ED3B873"/>
    <w:rsid w:val="3EE050AD"/>
    <w:rsid w:val="3EE1D3CF"/>
    <w:rsid w:val="3EE98A9C"/>
    <w:rsid w:val="3EE9F1AE"/>
    <w:rsid w:val="3EFF3093"/>
    <w:rsid w:val="3F01EBBB"/>
    <w:rsid w:val="3F083CB1"/>
    <w:rsid w:val="3F0AA8A9"/>
    <w:rsid w:val="3F0EFEE6"/>
    <w:rsid w:val="3F1757D6"/>
    <w:rsid w:val="3F18B929"/>
    <w:rsid w:val="3F1AC720"/>
    <w:rsid w:val="3F1D3AC9"/>
    <w:rsid w:val="3F2B1492"/>
    <w:rsid w:val="3F336D19"/>
    <w:rsid w:val="3F3499D2"/>
    <w:rsid w:val="3F4671AD"/>
    <w:rsid w:val="3F4B7CE3"/>
    <w:rsid w:val="3F4C00F3"/>
    <w:rsid w:val="3F54F458"/>
    <w:rsid w:val="3F5D2187"/>
    <w:rsid w:val="3F602605"/>
    <w:rsid w:val="3F606671"/>
    <w:rsid w:val="3F64DBF8"/>
    <w:rsid w:val="3F7753DA"/>
    <w:rsid w:val="3F7E8F58"/>
    <w:rsid w:val="3F7FBFA9"/>
    <w:rsid w:val="3F85DF99"/>
    <w:rsid w:val="3F8621EE"/>
    <w:rsid w:val="3F8FC3EB"/>
    <w:rsid w:val="3F948110"/>
    <w:rsid w:val="3F95DE98"/>
    <w:rsid w:val="3F96B2A3"/>
    <w:rsid w:val="3F98E5E1"/>
    <w:rsid w:val="3FA73F8B"/>
    <w:rsid w:val="3FB2CD57"/>
    <w:rsid w:val="3FD02CBD"/>
    <w:rsid w:val="3FD51169"/>
    <w:rsid w:val="3FDB292D"/>
    <w:rsid w:val="3FDF66DB"/>
    <w:rsid w:val="3FF52A7D"/>
    <w:rsid w:val="40057BD5"/>
    <w:rsid w:val="4005998C"/>
    <w:rsid w:val="400730AC"/>
    <w:rsid w:val="401B03D3"/>
    <w:rsid w:val="40237341"/>
    <w:rsid w:val="4026110A"/>
    <w:rsid w:val="4030C690"/>
    <w:rsid w:val="4047EBFE"/>
    <w:rsid w:val="404D75A5"/>
    <w:rsid w:val="405ED02E"/>
    <w:rsid w:val="40669980"/>
    <w:rsid w:val="40799374"/>
    <w:rsid w:val="4080F6D7"/>
    <w:rsid w:val="4094DA02"/>
    <w:rsid w:val="40A544A8"/>
    <w:rsid w:val="40A6FB1D"/>
    <w:rsid w:val="40B404DA"/>
    <w:rsid w:val="40B60F43"/>
    <w:rsid w:val="40BD153B"/>
    <w:rsid w:val="40C673F9"/>
    <w:rsid w:val="40C8109E"/>
    <w:rsid w:val="40C8668A"/>
    <w:rsid w:val="40CBF192"/>
    <w:rsid w:val="40D093A2"/>
    <w:rsid w:val="40D90C85"/>
    <w:rsid w:val="40DB6CC1"/>
    <w:rsid w:val="40E088E4"/>
    <w:rsid w:val="40E2D130"/>
    <w:rsid w:val="40E78FFB"/>
    <w:rsid w:val="40EEBA22"/>
    <w:rsid w:val="40F24329"/>
    <w:rsid w:val="40F422D0"/>
    <w:rsid w:val="40FBD732"/>
    <w:rsid w:val="40FFFFB5"/>
    <w:rsid w:val="41173B1E"/>
    <w:rsid w:val="41173C4B"/>
    <w:rsid w:val="41204046"/>
    <w:rsid w:val="4124966A"/>
    <w:rsid w:val="413BEFF2"/>
    <w:rsid w:val="41427DE6"/>
    <w:rsid w:val="4143356D"/>
    <w:rsid w:val="41463006"/>
    <w:rsid w:val="41477C72"/>
    <w:rsid w:val="414F78AB"/>
    <w:rsid w:val="415BBC29"/>
    <w:rsid w:val="41617367"/>
    <w:rsid w:val="41670898"/>
    <w:rsid w:val="4168D0D0"/>
    <w:rsid w:val="416AFF7F"/>
    <w:rsid w:val="4174A657"/>
    <w:rsid w:val="4178557E"/>
    <w:rsid w:val="4181930E"/>
    <w:rsid w:val="419014D6"/>
    <w:rsid w:val="41939B5F"/>
    <w:rsid w:val="4194448F"/>
    <w:rsid w:val="419DD4B5"/>
    <w:rsid w:val="41A2FF63"/>
    <w:rsid w:val="41AA55FF"/>
    <w:rsid w:val="41B8D222"/>
    <w:rsid w:val="41BA0C26"/>
    <w:rsid w:val="41BAB6C1"/>
    <w:rsid w:val="41BEA0DC"/>
    <w:rsid w:val="41CC7D7A"/>
    <w:rsid w:val="41D10E4C"/>
    <w:rsid w:val="41D118C2"/>
    <w:rsid w:val="41D189FD"/>
    <w:rsid w:val="41FE6603"/>
    <w:rsid w:val="4201620D"/>
    <w:rsid w:val="42038777"/>
    <w:rsid w:val="42049C45"/>
    <w:rsid w:val="420967C5"/>
    <w:rsid w:val="420C43B2"/>
    <w:rsid w:val="420FF1E1"/>
    <w:rsid w:val="42116B04"/>
    <w:rsid w:val="421585C6"/>
    <w:rsid w:val="4217DDAB"/>
    <w:rsid w:val="423B7D77"/>
    <w:rsid w:val="424D90DC"/>
    <w:rsid w:val="4250200F"/>
    <w:rsid w:val="42512B83"/>
    <w:rsid w:val="4254171F"/>
    <w:rsid w:val="425B505C"/>
    <w:rsid w:val="425CB5CA"/>
    <w:rsid w:val="426A933F"/>
    <w:rsid w:val="426C2180"/>
    <w:rsid w:val="42832630"/>
    <w:rsid w:val="428CED92"/>
    <w:rsid w:val="429B2577"/>
    <w:rsid w:val="42A6F200"/>
    <w:rsid w:val="42AA15A7"/>
    <w:rsid w:val="42ADB3D5"/>
    <w:rsid w:val="42AF620C"/>
    <w:rsid w:val="42B8715E"/>
    <w:rsid w:val="42B89A69"/>
    <w:rsid w:val="42BB4560"/>
    <w:rsid w:val="42C31681"/>
    <w:rsid w:val="42C45F8B"/>
    <w:rsid w:val="42C4BED2"/>
    <w:rsid w:val="42C66A04"/>
    <w:rsid w:val="42C968CF"/>
    <w:rsid w:val="42CCFFEA"/>
    <w:rsid w:val="42D20F12"/>
    <w:rsid w:val="42D778F9"/>
    <w:rsid w:val="42D91E3F"/>
    <w:rsid w:val="42DD60AA"/>
    <w:rsid w:val="42DE8E89"/>
    <w:rsid w:val="42E27D4D"/>
    <w:rsid w:val="42EC3E94"/>
    <w:rsid w:val="42F69ECE"/>
    <w:rsid w:val="42FBAE18"/>
    <w:rsid w:val="42FC1C6C"/>
    <w:rsid w:val="430E3550"/>
    <w:rsid w:val="4312A4DD"/>
    <w:rsid w:val="431F9708"/>
    <w:rsid w:val="4323E732"/>
    <w:rsid w:val="432AC1E3"/>
    <w:rsid w:val="4341D7EE"/>
    <w:rsid w:val="434968F9"/>
    <w:rsid w:val="434B4BB9"/>
    <w:rsid w:val="43550E95"/>
    <w:rsid w:val="43555807"/>
    <w:rsid w:val="43634A1B"/>
    <w:rsid w:val="43790BF1"/>
    <w:rsid w:val="437F4C06"/>
    <w:rsid w:val="43819F44"/>
    <w:rsid w:val="438D8FD2"/>
    <w:rsid w:val="439D4400"/>
    <w:rsid w:val="43A094B3"/>
    <w:rsid w:val="43A5F1F0"/>
    <w:rsid w:val="43A7BEFB"/>
    <w:rsid w:val="43AE0DFA"/>
    <w:rsid w:val="43B489A1"/>
    <w:rsid w:val="43BA56B3"/>
    <w:rsid w:val="43BF0878"/>
    <w:rsid w:val="43C98205"/>
    <w:rsid w:val="43D47759"/>
    <w:rsid w:val="43DD748A"/>
    <w:rsid w:val="43DD7DBC"/>
    <w:rsid w:val="43E2BD9F"/>
    <w:rsid w:val="4414B068"/>
    <w:rsid w:val="4414CD20"/>
    <w:rsid w:val="4422F2D8"/>
    <w:rsid w:val="442393A6"/>
    <w:rsid w:val="4428A603"/>
    <w:rsid w:val="444CFD66"/>
    <w:rsid w:val="444D5BB8"/>
    <w:rsid w:val="445E009F"/>
    <w:rsid w:val="445FD5CA"/>
    <w:rsid w:val="4467A611"/>
    <w:rsid w:val="4471E5F6"/>
    <w:rsid w:val="447561B7"/>
    <w:rsid w:val="448B939F"/>
    <w:rsid w:val="448E4F9A"/>
    <w:rsid w:val="44939D61"/>
    <w:rsid w:val="449FA96C"/>
    <w:rsid w:val="44B4FF25"/>
    <w:rsid w:val="44C35E1D"/>
    <w:rsid w:val="44C40E29"/>
    <w:rsid w:val="44CBFC83"/>
    <w:rsid w:val="44D2D7E6"/>
    <w:rsid w:val="44D2EC3F"/>
    <w:rsid w:val="44DAC2EB"/>
    <w:rsid w:val="44EF9D08"/>
    <w:rsid w:val="4501E47C"/>
    <w:rsid w:val="450BAEB2"/>
    <w:rsid w:val="452C6B15"/>
    <w:rsid w:val="452E4E54"/>
    <w:rsid w:val="45395EF6"/>
    <w:rsid w:val="453FFCDF"/>
    <w:rsid w:val="45487207"/>
    <w:rsid w:val="4563A694"/>
    <w:rsid w:val="457AD444"/>
    <w:rsid w:val="4585EC51"/>
    <w:rsid w:val="45890733"/>
    <w:rsid w:val="459D0378"/>
    <w:rsid w:val="459F0D56"/>
    <w:rsid w:val="45BB7B77"/>
    <w:rsid w:val="45C1CBF6"/>
    <w:rsid w:val="45CAAEDB"/>
    <w:rsid w:val="45D4D4CA"/>
    <w:rsid w:val="45DEBF4C"/>
    <w:rsid w:val="45E5E6D6"/>
    <w:rsid w:val="45FDAA5E"/>
    <w:rsid w:val="46040A4A"/>
    <w:rsid w:val="461E90BF"/>
    <w:rsid w:val="46234E1A"/>
    <w:rsid w:val="46262787"/>
    <w:rsid w:val="46376D3A"/>
    <w:rsid w:val="463DCF74"/>
    <w:rsid w:val="463DFCD3"/>
    <w:rsid w:val="46421100"/>
    <w:rsid w:val="4642F81B"/>
    <w:rsid w:val="46505C50"/>
    <w:rsid w:val="4652912E"/>
    <w:rsid w:val="465740F3"/>
    <w:rsid w:val="465CA31F"/>
    <w:rsid w:val="466BF7E1"/>
    <w:rsid w:val="466DD177"/>
    <w:rsid w:val="466F1C7C"/>
    <w:rsid w:val="467E9F3D"/>
    <w:rsid w:val="467F6F6C"/>
    <w:rsid w:val="4697DAC5"/>
    <w:rsid w:val="469EBF4D"/>
    <w:rsid w:val="46A30F4F"/>
    <w:rsid w:val="46AA082E"/>
    <w:rsid w:val="46B4AE50"/>
    <w:rsid w:val="46B8D21E"/>
    <w:rsid w:val="46CD2D78"/>
    <w:rsid w:val="46D080DC"/>
    <w:rsid w:val="46F107EB"/>
    <w:rsid w:val="4710CC69"/>
    <w:rsid w:val="471444C7"/>
    <w:rsid w:val="4716AC5D"/>
    <w:rsid w:val="471A71C1"/>
    <w:rsid w:val="4720E648"/>
    <w:rsid w:val="472227F0"/>
    <w:rsid w:val="472C519A"/>
    <w:rsid w:val="472FB24F"/>
    <w:rsid w:val="472FEB91"/>
    <w:rsid w:val="4733BA2D"/>
    <w:rsid w:val="473EFE46"/>
    <w:rsid w:val="473FA014"/>
    <w:rsid w:val="474EEE90"/>
    <w:rsid w:val="47528E54"/>
    <w:rsid w:val="47549438"/>
    <w:rsid w:val="4757CD59"/>
    <w:rsid w:val="47580452"/>
    <w:rsid w:val="475C2756"/>
    <w:rsid w:val="4776084D"/>
    <w:rsid w:val="47850EE2"/>
    <w:rsid w:val="47857BB9"/>
    <w:rsid w:val="47864EFB"/>
    <w:rsid w:val="47870BD3"/>
    <w:rsid w:val="4789EA5D"/>
    <w:rsid w:val="478AC38C"/>
    <w:rsid w:val="4792AFB8"/>
    <w:rsid w:val="479A9D4E"/>
    <w:rsid w:val="47B5E7C7"/>
    <w:rsid w:val="47BC2F0C"/>
    <w:rsid w:val="47C0A6BC"/>
    <w:rsid w:val="47C5FC24"/>
    <w:rsid w:val="47C8AEE6"/>
    <w:rsid w:val="47D4B9A9"/>
    <w:rsid w:val="47D7E506"/>
    <w:rsid w:val="47DC6943"/>
    <w:rsid w:val="47E9AE6D"/>
    <w:rsid w:val="47F39358"/>
    <w:rsid w:val="47F645DC"/>
    <w:rsid w:val="4813293A"/>
    <w:rsid w:val="481342E2"/>
    <w:rsid w:val="4817F065"/>
    <w:rsid w:val="48209273"/>
    <w:rsid w:val="482F64AD"/>
    <w:rsid w:val="483651B5"/>
    <w:rsid w:val="48369426"/>
    <w:rsid w:val="483BECF4"/>
    <w:rsid w:val="48404902"/>
    <w:rsid w:val="48480C71"/>
    <w:rsid w:val="484AA0FA"/>
    <w:rsid w:val="484CC43E"/>
    <w:rsid w:val="484DC919"/>
    <w:rsid w:val="484F1010"/>
    <w:rsid w:val="48530C8F"/>
    <w:rsid w:val="48539547"/>
    <w:rsid w:val="485680C0"/>
    <w:rsid w:val="48588853"/>
    <w:rsid w:val="4864BA3C"/>
    <w:rsid w:val="487A46D5"/>
    <w:rsid w:val="4886D51B"/>
    <w:rsid w:val="488AC1FA"/>
    <w:rsid w:val="488C6BCA"/>
    <w:rsid w:val="489179F1"/>
    <w:rsid w:val="4897561C"/>
    <w:rsid w:val="489BBA07"/>
    <w:rsid w:val="48A7CEA0"/>
    <w:rsid w:val="48AA5E02"/>
    <w:rsid w:val="48AE5939"/>
    <w:rsid w:val="48B6029F"/>
    <w:rsid w:val="48C66006"/>
    <w:rsid w:val="48CC33BD"/>
    <w:rsid w:val="48D638FA"/>
    <w:rsid w:val="48D6D4B9"/>
    <w:rsid w:val="48D8FC98"/>
    <w:rsid w:val="48E7E9DE"/>
    <w:rsid w:val="48EC475E"/>
    <w:rsid w:val="48ED1944"/>
    <w:rsid w:val="48F8A73D"/>
    <w:rsid w:val="49001E6A"/>
    <w:rsid w:val="4905D3F5"/>
    <w:rsid w:val="490A3ED6"/>
    <w:rsid w:val="490B31FC"/>
    <w:rsid w:val="4915E00F"/>
    <w:rsid w:val="491F2F45"/>
    <w:rsid w:val="4926881D"/>
    <w:rsid w:val="492D86EB"/>
    <w:rsid w:val="4951D7B3"/>
    <w:rsid w:val="49581B92"/>
    <w:rsid w:val="49711127"/>
    <w:rsid w:val="498C425E"/>
    <w:rsid w:val="4993FBF6"/>
    <w:rsid w:val="4996DAAF"/>
    <w:rsid w:val="49978240"/>
    <w:rsid w:val="49983036"/>
    <w:rsid w:val="499B75CC"/>
    <w:rsid w:val="499C849B"/>
    <w:rsid w:val="499E0740"/>
    <w:rsid w:val="499FD240"/>
    <w:rsid w:val="49A5CBDC"/>
    <w:rsid w:val="49C48234"/>
    <w:rsid w:val="49C48FD8"/>
    <w:rsid w:val="49C88AA8"/>
    <w:rsid w:val="49CEE917"/>
    <w:rsid w:val="49D15BCE"/>
    <w:rsid w:val="49DAD552"/>
    <w:rsid w:val="49DF673D"/>
    <w:rsid w:val="49F192F9"/>
    <w:rsid w:val="49F7995A"/>
    <w:rsid w:val="4A039C7D"/>
    <w:rsid w:val="4A0A854E"/>
    <w:rsid w:val="4A19E8E9"/>
    <w:rsid w:val="4A3FEE8E"/>
    <w:rsid w:val="4A446178"/>
    <w:rsid w:val="4A49281B"/>
    <w:rsid w:val="4A4BCC10"/>
    <w:rsid w:val="4A4D74B0"/>
    <w:rsid w:val="4A607F38"/>
    <w:rsid w:val="4A62FE1B"/>
    <w:rsid w:val="4A6E461A"/>
    <w:rsid w:val="4A7CFF56"/>
    <w:rsid w:val="4A95368C"/>
    <w:rsid w:val="4A9B88B5"/>
    <w:rsid w:val="4A9BBF27"/>
    <w:rsid w:val="4A9C0D42"/>
    <w:rsid w:val="4AA0F6EA"/>
    <w:rsid w:val="4AB1AB8C"/>
    <w:rsid w:val="4AB61073"/>
    <w:rsid w:val="4ABE2843"/>
    <w:rsid w:val="4AC92B24"/>
    <w:rsid w:val="4ACEA4AF"/>
    <w:rsid w:val="4ACF67A9"/>
    <w:rsid w:val="4ADF7E03"/>
    <w:rsid w:val="4AE0487B"/>
    <w:rsid w:val="4AE44FCA"/>
    <w:rsid w:val="4AE85F31"/>
    <w:rsid w:val="4AE9539F"/>
    <w:rsid w:val="4AEFB968"/>
    <w:rsid w:val="4AF18151"/>
    <w:rsid w:val="4AF87D73"/>
    <w:rsid w:val="4AFBB140"/>
    <w:rsid w:val="4B07F70C"/>
    <w:rsid w:val="4B233E37"/>
    <w:rsid w:val="4B37B3A1"/>
    <w:rsid w:val="4B3E6893"/>
    <w:rsid w:val="4B3EDF38"/>
    <w:rsid w:val="4B416674"/>
    <w:rsid w:val="4B426A11"/>
    <w:rsid w:val="4B46D9F0"/>
    <w:rsid w:val="4B54B388"/>
    <w:rsid w:val="4B6CC4E5"/>
    <w:rsid w:val="4B84D7BA"/>
    <w:rsid w:val="4B8ED496"/>
    <w:rsid w:val="4B9EC658"/>
    <w:rsid w:val="4BA34591"/>
    <w:rsid w:val="4BA37488"/>
    <w:rsid w:val="4BA62A5B"/>
    <w:rsid w:val="4BB07C3F"/>
    <w:rsid w:val="4BBCCA9B"/>
    <w:rsid w:val="4BC099B7"/>
    <w:rsid w:val="4BC70A02"/>
    <w:rsid w:val="4BD370FD"/>
    <w:rsid w:val="4BD7A39E"/>
    <w:rsid w:val="4BEAC732"/>
    <w:rsid w:val="4BEBD55C"/>
    <w:rsid w:val="4BF1A478"/>
    <w:rsid w:val="4BF2D879"/>
    <w:rsid w:val="4BF45F2B"/>
    <w:rsid w:val="4BFC339F"/>
    <w:rsid w:val="4C0B1820"/>
    <w:rsid w:val="4C0F930D"/>
    <w:rsid w:val="4C164C26"/>
    <w:rsid w:val="4C1A3590"/>
    <w:rsid w:val="4C2C5522"/>
    <w:rsid w:val="4C44F3A2"/>
    <w:rsid w:val="4C4C623C"/>
    <w:rsid w:val="4C4C6771"/>
    <w:rsid w:val="4C50E9BE"/>
    <w:rsid w:val="4C58AA88"/>
    <w:rsid w:val="4C5BFAFA"/>
    <w:rsid w:val="4C6D21E8"/>
    <w:rsid w:val="4C70277E"/>
    <w:rsid w:val="4C848551"/>
    <w:rsid w:val="4C8576BE"/>
    <w:rsid w:val="4C8A3312"/>
    <w:rsid w:val="4C9B2151"/>
    <w:rsid w:val="4CA06E91"/>
    <w:rsid w:val="4CAE3046"/>
    <w:rsid w:val="4CAE70E5"/>
    <w:rsid w:val="4CC3F191"/>
    <w:rsid w:val="4CC44A88"/>
    <w:rsid w:val="4CD5875C"/>
    <w:rsid w:val="4CD6C572"/>
    <w:rsid w:val="4CE1F165"/>
    <w:rsid w:val="4CEFA247"/>
    <w:rsid w:val="4CFA11B0"/>
    <w:rsid w:val="4CFCEFBB"/>
    <w:rsid w:val="4D060FC0"/>
    <w:rsid w:val="4D0BBF20"/>
    <w:rsid w:val="4D0C8582"/>
    <w:rsid w:val="4D174AAD"/>
    <w:rsid w:val="4D1C6219"/>
    <w:rsid w:val="4D35B387"/>
    <w:rsid w:val="4D42ADFD"/>
    <w:rsid w:val="4D43793A"/>
    <w:rsid w:val="4D4FCEE7"/>
    <w:rsid w:val="4D5CF349"/>
    <w:rsid w:val="4D5F485C"/>
    <w:rsid w:val="4D605E98"/>
    <w:rsid w:val="4D6468DD"/>
    <w:rsid w:val="4D668A19"/>
    <w:rsid w:val="4D697B5E"/>
    <w:rsid w:val="4D8AA72B"/>
    <w:rsid w:val="4D8D8FFB"/>
    <w:rsid w:val="4D904D96"/>
    <w:rsid w:val="4D922027"/>
    <w:rsid w:val="4D99CE7C"/>
    <w:rsid w:val="4DA29580"/>
    <w:rsid w:val="4DA75419"/>
    <w:rsid w:val="4DC64761"/>
    <w:rsid w:val="4DD28A17"/>
    <w:rsid w:val="4DD2FC0C"/>
    <w:rsid w:val="4DE1ADC4"/>
    <w:rsid w:val="4DEA56D6"/>
    <w:rsid w:val="4DEE7422"/>
    <w:rsid w:val="4DF33CA4"/>
    <w:rsid w:val="4DFE647B"/>
    <w:rsid w:val="4E005B43"/>
    <w:rsid w:val="4E03DAD7"/>
    <w:rsid w:val="4E10A755"/>
    <w:rsid w:val="4E21F77C"/>
    <w:rsid w:val="4E240D6E"/>
    <w:rsid w:val="4E250ACD"/>
    <w:rsid w:val="4E2C9344"/>
    <w:rsid w:val="4E30CD19"/>
    <w:rsid w:val="4E331350"/>
    <w:rsid w:val="4E421319"/>
    <w:rsid w:val="4E42E220"/>
    <w:rsid w:val="4E598BDE"/>
    <w:rsid w:val="4E60E4D6"/>
    <w:rsid w:val="4E660563"/>
    <w:rsid w:val="4E6AD649"/>
    <w:rsid w:val="4E6DC55C"/>
    <w:rsid w:val="4E75C114"/>
    <w:rsid w:val="4E784189"/>
    <w:rsid w:val="4E85328A"/>
    <w:rsid w:val="4E907C42"/>
    <w:rsid w:val="4E94F2A9"/>
    <w:rsid w:val="4E97036A"/>
    <w:rsid w:val="4E9764A2"/>
    <w:rsid w:val="4E986304"/>
    <w:rsid w:val="4E9A19A4"/>
    <w:rsid w:val="4EA5267E"/>
    <w:rsid w:val="4EA8A73B"/>
    <w:rsid w:val="4EB6DDBF"/>
    <w:rsid w:val="4EBD5A89"/>
    <w:rsid w:val="4EC11687"/>
    <w:rsid w:val="4EC1266E"/>
    <w:rsid w:val="4EC79D36"/>
    <w:rsid w:val="4EDA18A7"/>
    <w:rsid w:val="4EDB40C1"/>
    <w:rsid w:val="4EFC00F4"/>
    <w:rsid w:val="4F023E5B"/>
    <w:rsid w:val="4F05A017"/>
    <w:rsid w:val="4F0C1F92"/>
    <w:rsid w:val="4F0C80AB"/>
    <w:rsid w:val="4F10518B"/>
    <w:rsid w:val="4F1DCE8B"/>
    <w:rsid w:val="4F20407B"/>
    <w:rsid w:val="4F298915"/>
    <w:rsid w:val="4F35488F"/>
    <w:rsid w:val="4F37B3F8"/>
    <w:rsid w:val="4F37E537"/>
    <w:rsid w:val="4F4672F1"/>
    <w:rsid w:val="4F475EF4"/>
    <w:rsid w:val="4F56B6CB"/>
    <w:rsid w:val="4F59D7DA"/>
    <w:rsid w:val="4F69BEA6"/>
    <w:rsid w:val="4F6C37B2"/>
    <w:rsid w:val="4F764FBD"/>
    <w:rsid w:val="4F7859D8"/>
    <w:rsid w:val="4F7FFEE6"/>
    <w:rsid w:val="4F8822A1"/>
    <w:rsid w:val="4F88245E"/>
    <w:rsid w:val="4F8AE2F8"/>
    <w:rsid w:val="4F8EFF95"/>
    <w:rsid w:val="4F8F6586"/>
    <w:rsid w:val="4F904C7D"/>
    <w:rsid w:val="4F9590A1"/>
    <w:rsid w:val="4F9C4651"/>
    <w:rsid w:val="4FB1BA47"/>
    <w:rsid w:val="4FBBD22C"/>
    <w:rsid w:val="4FC0CA18"/>
    <w:rsid w:val="4FC6B4D4"/>
    <w:rsid w:val="4FD2606C"/>
    <w:rsid w:val="4FE89021"/>
    <w:rsid w:val="500E97C6"/>
    <w:rsid w:val="50103B4D"/>
    <w:rsid w:val="5013DB28"/>
    <w:rsid w:val="501CCFB9"/>
    <w:rsid w:val="501DCC3F"/>
    <w:rsid w:val="502ADD3A"/>
    <w:rsid w:val="502BE284"/>
    <w:rsid w:val="5033D0B3"/>
    <w:rsid w:val="504158B4"/>
    <w:rsid w:val="504A8F76"/>
    <w:rsid w:val="506699DF"/>
    <w:rsid w:val="5066C5F0"/>
    <w:rsid w:val="50812A69"/>
    <w:rsid w:val="509138EF"/>
    <w:rsid w:val="5091C4E8"/>
    <w:rsid w:val="50A023A8"/>
    <w:rsid w:val="50A14F7D"/>
    <w:rsid w:val="50B0B7AE"/>
    <w:rsid w:val="50B7ABA2"/>
    <w:rsid w:val="50BC4DC9"/>
    <w:rsid w:val="50BEAD0D"/>
    <w:rsid w:val="50C9CF4E"/>
    <w:rsid w:val="50DA6346"/>
    <w:rsid w:val="50E26C57"/>
    <w:rsid w:val="50F0B905"/>
    <w:rsid w:val="50FB9A2B"/>
    <w:rsid w:val="50FCCED1"/>
    <w:rsid w:val="5107ED64"/>
    <w:rsid w:val="5116EB12"/>
    <w:rsid w:val="511796C7"/>
    <w:rsid w:val="511C1441"/>
    <w:rsid w:val="512B6E60"/>
    <w:rsid w:val="512BB6F2"/>
    <w:rsid w:val="51308FDB"/>
    <w:rsid w:val="5130DBEF"/>
    <w:rsid w:val="5139A001"/>
    <w:rsid w:val="513CDD49"/>
    <w:rsid w:val="5143DD3B"/>
    <w:rsid w:val="51553FFA"/>
    <w:rsid w:val="5155A105"/>
    <w:rsid w:val="51706FDB"/>
    <w:rsid w:val="5172A0ED"/>
    <w:rsid w:val="517AF479"/>
    <w:rsid w:val="51859CE4"/>
    <w:rsid w:val="5186E788"/>
    <w:rsid w:val="518BA595"/>
    <w:rsid w:val="518CDAB2"/>
    <w:rsid w:val="51910F56"/>
    <w:rsid w:val="5196EBD8"/>
    <w:rsid w:val="51A91334"/>
    <w:rsid w:val="51AF70C8"/>
    <w:rsid w:val="51B7D223"/>
    <w:rsid w:val="51B881AD"/>
    <w:rsid w:val="51C8BDC6"/>
    <w:rsid w:val="51CCDD1A"/>
    <w:rsid w:val="51D3672C"/>
    <w:rsid w:val="51D78472"/>
    <w:rsid w:val="51DF3D2D"/>
    <w:rsid w:val="51E1D86F"/>
    <w:rsid w:val="5201A0F8"/>
    <w:rsid w:val="52101949"/>
    <w:rsid w:val="5215DC2C"/>
    <w:rsid w:val="52187E32"/>
    <w:rsid w:val="52268939"/>
    <w:rsid w:val="522D3F6A"/>
    <w:rsid w:val="52337E34"/>
    <w:rsid w:val="52364926"/>
    <w:rsid w:val="523A1AD2"/>
    <w:rsid w:val="523AFF3D"/>
    <w:rsid w:val="523C50DC"/>
    <w:rsid w:val="5244872A"/>
    <w:rsid w:val="524561DA"/>
    <w:rsid w:val="5254CF88"/>
    <w:rsid w:val="5258D277"/>
    <w:rsid w:val="525EC9A2"/>
    <w:rsid w:val="5269169A"/>
    <w:rsid w:val="52735C17"/>
    <w:rsid w:val="528EE4B8"/>
    <w:rsid w:val="52907D97"/>
    <w:rsid w:val="52A7624C"/>
    <w:rsid w:val="52ADF365"/>
    <w:rsid w:val="52C26624"/>
    <w:rsid w:val="52C51705"/>
    <w:rsid w:val="52CCF117"/>
    <w:rsid w:val="52CE1DB8"/>
    <w:rsid w:val="52CFEBE3"/>
    <w:rsid w:val="52DBD479"/>
    <w:rsid w:val="52E41303"/>
    <w:rsid w:val="52E79587"/>
    <w:rsid w:val="52F28D80"/>
    <w:rsid w:val="52F3A3AA"/>
    <w:rsid w:val="52F474E4"/>
    <w:rsid w:val="530A7E5D"/>
    <w:rsid w:val="530DC8E5"/>
    <w:rsid w:val="53136E90"/>
    <w:rsid w:val="5314F978"/>
    <w:rsid w:val="531827A5"/>
    <w:rsid w:val="531A9B9F"/>
    <w:rsid w:val="532001D0"/>
    <w:rsid w:val="5320A7B5"/>
    <w:rsid w:val="53217B20"/>
    <w:rsid w:val="53250BB7"/>
    <w:rsid w:val="5326A1F3"/>
    <w:rsid w:val="532C4365"/>
    <w:rsid w:val="532FFF66"/>
    <w:rsid w:val="5334C4D7"/>
    <w:rsid w:val="53370BE6"/>
    <w:rsid w:val="53485653"/>
    <w:rsid w:val="5352377B"/>
    <w:rsid w:val="5353C699"/>
    <w:rsid w:val="535F678A"/>
    <w:rsid w:val="53611723"/>
    <w:rsid w:val="5361EA9D"/>
    <w:rsid w:val="5367D0CA"/>
    <w:rsid w:val="5378CD2C"/>
    <w:rsid w:val="537CDE2B"/>
    <w:rsid w:val="5381BE2D"/>
    <w:rsid w:val="53893E09"/>
    <w:rsid w:val="538E6A7F"/>
    <w:rsid w:val="5399073B"/>
    <w:rsid w:val="539FFD9B"/>
    <w:rsid w:val="53A490CF"/>
    <w:rsid w:val="53A642F5"/>
    <w:rsid w:val="53A81808"/>
    <w:rsid w:val="53B1F850"/>
    <w:rsid w:val="53BBBC70"/>
    <w:rsid w:val="53CE4FB5"/>
    <w:rsid w:val="53DFCD0A"/>
    <w:rsid w:val="53E2ECE0"/>
    <w:rsid w:val="53F2850B"/>
    <w:rsid w:val="54125F0E"/>
    <w:rsid w:val="541474E3"/>
    <w:rsid w:val="542B1460"/>
    <w:rsid w:val="542F06A5"/>
    <w:rsid w:val="543677F6"/>
    <w:rsid w:val="543F8D8B"/>
    <w:rsid w:val="5441238F"/>
    <w:rsid w:val="5441E980"/>
    <w:rsid w:val="5442B1CA"/>
    <w:rsid w:val="5443142B"/>
    <w:rsid w:val="5452F70F"/>
    <w:rsid w:val="5456C308"/>
    <w:rsid w:val="546982EC"/>
    <w:rsid w:val="546A936B"/>
    <w:rsid w:val="546D88BE"/>
    <w:rsid w:val="5473B968"/>
    <w:rsid w:val="5474E268"/>
    <w:rsid w:val="54819B54"/>
    <w:rsid w:val="54860D73"/>
    <w:rsid w:val="5490254C"/>
    <w:rsid w:val="5491E6D4"/>
    <w:rsid w:val="54932A1F"/>
    <w:rsid w:val="5496D534"/>
    <w:rsid w:val="54A64FE9"/>
    <w:rsid w:val="54AE8CAA"/>
    <w:rsid w:val="54B557B0"/>
    <w:rsid w:val="54B804F6"/>
    <w:rsid w:val="54BD755F"/>
    <w:rsid w:val="54C7383A"/>
    <w:rsid w:val="54C7E347"/>
    <w:rsid w:val="54CB0B82"/>
    <w:rsid w:val="54CDC6EF"/>
    <w:rsid w:val="54D87284"/>
    <w:rsid w:val="54E4C234"/>
    <w:rsid w:val="54EF5E00"/>
    <w:rsid w:val="54F10A45"/>
    <w:rsid w:val="54F11DCF"/>
    <w:rsid w:val="54F4C915"/>
    <w:rsid w:val="5500338A"/>
    <w:rsid w:val="550197B6"/>
    <w:rsid w:val="55124A44"/>
    <w:rsid w:val="551B9D6F"/>
    <w:rsid w:val="551D4EC3"/>
    <w:rsid w:val="551F7BE5"/>
    <w:rsid w:val="5529D29A"/>
    <w:rsid w:val="552BF905"/>
    <w:rsid w:val="552D50E5"/>
    <w:rsid w:val="552F1F57"/>
    <w:rsid w:val="5535E1DE"/>
    <w:rsid w:val="553DD875"/>
    <w:rsid w:val="553EED57"/>
    <w:rsid w:val="553F813E"/>
    <w:rsid w:val="554C9404"/>
    <w:rsid w:val="5559FE02"/>
    <w:rsid w:val="555BA691"/>
    <w:rsid w:val="55638945"/>
    <w:rsid w:val="556BFA5D"/>
    <w:rsid w:val="558829B3"/>
    <w:rsid w:val="5595A14A"/>
    <w:rsid w:val="559692CC"/>
    <w:rsid w:val="55A2CF81"/>
    <w:rsid w:val="55A61CB8"/>
    <w:rsid w:val="55A7F6F9"/>
    <w:rsid w:val="55ACE107"/>
    <w:rsid w:val="55AEC16C"/>
    <w:rsid w:val="55B18254"/>
    <w:rsid w:val="55B4A8AE"/>
    <w:rsid w:val="55B78C02"/>
    <w:rsid w:val="55BBECFE"/>
    <w:rsid w:val="55C08045"/>
    <w:rsid w:val="55C94C23"/>
    <w:rsid w:val="55E56BF4"/>
    <w:rsid w:val="55F415D2"/>
    <w:rsid w:val="55FD4219"/>
    <w:rsid w:val="560572F4"/>
    <w:rsid w:val="56150327"/>
    <w:rsid w:val="561A55D7"/>
    <w:rsid w:val="562154E3"/>
    <w:rsid w:val="56261C7A"/>
    <w:rsid w:val="562CBECF"/>
    <w:rsid w:val="5645508E"/>
    <w:rsid w:val="565B02B8"/>
    <w:rsid w:val="565B0F47"/>
    <w:rsid w:val="566E661A"/>
    <w:rsid w:val="5671CD64"/>
    <w:rsid w:val="5688334B"/>
    <w:rsid w:val="568E7DFB"/>
    <w:rsid w:val="569857EE"/>
    <w:rsid w:val="569898A4"/>
    <w:rsid w:val="56A7C6F3"/>
    <w:rsid w:val="56AA1C19"/>
    <w:rsid w:val="56AAE077"/>
    <w:rsid w:val="56B4BC7F"/>
    <w:rsid w:val="56B66C8F"/>
    <w:rsid w:val="56BDC193"/>
    <w:rsid w:val="56C0F082"/>
    <w:rsid w:val="56C55D7D"/>
    <w:rsid w:val="56CF1FFB"/>
    <w:rsid w:val="56D47ADB"/>
    <w:rsid w:val="56F5F471"/>
    <w:rsid w:val="56FCDF54"/>
    <w:rsid w:val="5705605F"/>
    <w:rsid w:val="570896B8"/>
    <w:rsid w:val="57192171"/>
    <w:rsid w:val="571986C6"/>
    <w:rsid w:val="571FD0F8"/>
    <w:rsid w:val="57250193"/>
    <w:rsid w:val="57261F32"/>
    <w:rsid w:val="572A7656"/>
    <w:rsid w:val="572F79D0"/>
    <w:rsid w:val="57375DB2"/>
    <w:rsid w:val="573DE6F9"/>
    <w:rsid w:val="575694AC"/>
    <w:rsid w:val="575B1B37"/>
    <w:rsid w:val="57684C07"/>
    <w:rsid w:val="576D7A1B"/>
    <w:rsid w:val="57765B93"/>
    <w:rsid w:val="577FD61E"/>
    <w:rsid w:val="578101DC"/>
    <w:rsid w:val="57892940"/>
    <w:rsid w:val="5789EE29"/>
    <w:rsid w:val="578B711C"/>
    <w:rsid w:val="578E3377"/>
    <w:rsid w:val="578EA74A"/>
    <w:rsid w:val="5798E313"/>
    <w:rsid w:val="57992D27"/>
    <w:rsid w:val="579A70C6"/>
    <w:rsid w:val="579C3C83"/>
    <w:rsid w:val="57A3A4CF"/>
    <w:rsid w:val="57A81D78"/>
    <w:rsid w:val="57B0DCDD"/>
    <w:rsid w:val="57B1CA4A"/>
    <w:rsid w:val="57B41D26"/>
    <w:rsid w:val="57BFD5CF"/>
    <w:rsid w:val="57C26220"/>
    <w:rsid w:val="57CB78AF"/>
    <w:rsid w:val="57CE04E5"/>
    <w:rsid w:val="57DBB3A1"/>
    <w:rsid w:val="57DD3811"/>
    <w:rsid w:val="57DDBBF5"/>
    <w:rsid w:val="57E696FD"/>
    <w:rsid w:val="57EB3122"/>
    <w:rsid w:val="57ECFAAB"/>
    <w:rsid w:val="58192804"/>
    <w:rsid w:val="58286039"/>
    <w:rsid w:val="583F0D2F"/>
    <w:rsid w:val="584945C9"/>
    <w:rsid w:val="585157B7"/>
    <w:rsid w:val="58588161"/>
    <w:rsid w:val="58718261"/>
    <w:rsid w:val="587FBF13"/>
    <w:rsid w:val="58825B3E"/>
    <w:rsid w:val="588C28A8"/>
    <w:rsid w:val="5894E84F"/>
    <w:rsid w:val="58982E1C"/>
    <w:rsid w:val="589D77C1"/>
    <w:rsid w:val="58A63A7B"/>
    <w:rsid w:val="58AC0384"/>
    <w:rsid w:val="58BE9355"/>
    <w:rsid w:val="58CD2E70"/>
    <w:rsid w:val="58D1A700"/>
    <w:rsid w:val="58EA8282"/>
    <w:rsid w:val="59032B7B"/>
    <w:rsid w:val="5911DAB5"/>
    <w:rsid w:val="5912D6A2"/>
    <w:rsid w:val="59130474"/>
    <w:rsid w:val="592A0B8D"/>
    <w:rsid w:val="59385E79"/>
    <w:rsid w:val="593E0E77"/>
    <w:rsid w:val="5944179B"/>
    <w:rsid w:val="5952BE84"/>
    <w:rsid w:val="59531827"/>
    <w:rsid w:val="595713E4"/>
    <w:rsid w:val="59593A2D"/>
    <w:rsid w:val="595D9B57"/>
    <w:rsid w:val="59743A87"/>
    <w:rsid w:val="5979744A"/>
    <w:rsid w:val="59826C41"/>
    <w:rsid w:val="5985FD22"/>
    <w:rsid w:val="59892646"/>
    <w:rsid w:val="5998DC01"/>
    <w:rsid w:val="59A92264"/>
    <w:rsid w:val="59AAE79D"/>
    <w:rsid w:val="59B87E3F"/>
    <w:rsid w:val="59D9ED73"/>
    <w:rsid w:val="59E6697D"/>
    <w:rsid w:val="59EDF61D"/>
    <w:rsid w:val="59EE8F7A"/>
    <w:rsid w:val="59F6F049"/>
    <w:rsid w:val="5A02A180"/>
    <w:rsid w:val="5A0320E2"/>
    <w:rsid w:val="5A0C0242"/>
    <w:rsid w:val="5A10FAF1"/>
    <w:rsid w:val="5A1616A6"/>
    <w:rsid w:val="5A2367D2"/>
    <w:rsid w:val="5A2F8311"/>
    <w:rsid w:val="5A322A9C"/>
    <w:rsid w:val="5A3D1A69"/>
    <w:rsid w:val="5A3E5964"/>
    <w:rsid w:val="5A4230A2"/>
    <w:rsid w:val="5A75A9E4"/>
    <w:rsid w:val="5A78BFCA"/>
    <w:rsid w:val="5A810AC2"/>
    <w:rsid w:val="5A898C2E"/>
    <w:rsid w:val="5A8E948C"/>
    <w:rsid w:val="5A8E9A66"/>
    <w:rsid w:val="5A9052C7"/>
    <w:rsid w:val="5A96F0E9"/>
    <w:rsid w:val="5A9B9353"/>
    <w:rsid w:val="5AA6A5D8"/>
    <w:rsid w:val="5AB295B8"/>
    <w:rsid w:val="5AB5833B"/>
    <w:rsid w:val="5AC20153"/>
    <w:rsid w:val="5AC351F1"/>
    <w:rsid w:val="5AC3F6E4"/>
    <w:rsid w:val="5AC40255"/>
    <w:rsid w:val="5AC580C8"/>
    <w:rsid w:val="5ACA1FBA"/>
    <w:rsid w:val="5ACCEB49"/>
    <w:rsid w:val="5AF28946"/>
    <w:rsid w:val="5AF2CA20"/>
    <w:rsid w:val="5AF5CB53"/>
    <w:rsid w:val="5AF977AB"/>
    <w:rsid w:val="5B101AFB"/>
    <w:rsid w:val="5B1C00D3"/>
    <w:rsid w:val="5B1C7E0F"/>
    <w:rsid w:val="5B24A898"/>
    <w:rsid w:val="5B2B733F"/>
    <w:rsid w:val="5B30C6CB"/>
    <w:rsid w:val="5B348BE8"/>
    <w:rsid w:val="5B44D3E0"/>
    <w:rsid w:val="5B4A40C6"/>
    <w:rsid w:val="5B4E213C"/>
    <w:rsid w:val="5B5F87E9"/>
    <w:rsid w:val="5B629EB2"/>
    <w:rsid w:val="5B6393FC"/>
    <w:rsid w:val="5B6BF328"/>
    <w:rsid w:val="5B747267"/>
    <w:rsid w:val="5B7F36AF"/>
    <w:rsid w:val="5B81EAD9"/>
    <w:rsid w:val="5B844A55"/>
    <w:rsid w:val="5B995336"/>
    <w:rsid w:val="5B9CCEB4"/>
    <w:rsid w:val="5BA727D3"/>
    <w:rsid w:val="5BA8C3F2"/>
    <w:rsid w:val="5BAE661D"/>
    <w:rsid w:val="5BB0D5E1"/>
    <w:rsid w:val="5BB45FAF"/>
    <w:rsid w:val="5BB79722"/>
    <w:rsid w:val="5BBAE48C"/>
    <w:rsid w:val="5BC50EF1"/>
    <w:rsid w:val="5BCCA715"/>
    <w:rsid w:val="5BE353BF"/>
    <w:rsid w:val="5BE40B5F"/>
    <w:rsid w:val="5BE97B41"/>
    <w:rsid w:val="5BEDDEBE"/>
    <w:rsid w:val="5BF29F45"/>
    <w:rsid w:val="5BFC3625"/>
    <w:rsid w:val="5C0291B2"/>
    <w:rsid w:val="5C06CBA5"/>
    <w:rsid w:val="5C0EEF6F"/>
    <w:rsid w:val="5C0FBFCF"/>
    <w:rsid w:val="5C1339C0"/>
    <w:rsid w:val="5C148E0B"/>
    <w:rsid w:val="5C162F5E"/>
    <w:rsid w:val="5C183E1A"/>
    <w:rsid w:val="5C33012E"/>
    <w:rsid w:val="5C35BFA7"/>
    <w:rsid w:val="5C47A88F"/>
    <w:rsid w:val="5C4A8E5C"/>
    <w:rsid w:val="5C4DF744"/>
    <w:rsid w:val="5C4F58BD"/>
    <w:rsid w:val="5C545B7B"/>
    <w:rsid w:val="5C64227F"/>
    <w:rsid w:val="5C648748"/>
    <w:rsid w:val="5C6493F9"/>
    <w:rsid w:val="5C705C04"/>
    <w:rsid w:val="5C7A0110"/>
    <w:rsid w:val="5C7B46DE"/>
    <w:rsid w:val="5C7B6220"/>
    <w:rsid w:val="5C7C0895"/>
    <w:rsid w:val="5C7FF758"/>
    <w:rsid w:val="5C826A3F"/>
    <w:rsid w:val="5C8FFB58"/>
    <w:rsid w:val="5C929960"/>
    <w:rsid w:val="5C957DC9"/>
    <w:rsid w:val="5C9ACDAF"/>
    <w:rsid w:val="5C9C8831"/>
    <w:rsid w:val="5CACDE9D"/>
    <w:rsid w:val="5CB1FA2B"/>
    <w:rsid w:val="5CC2237A"/>
    <w:rsid w:val="5CC3BCF0"/>
    <w:rsid w:val="5CC9B51B"/>
    <w:rsid w:val="5CCB8EB1"/>
    <w:rsid w:val="5CD0AC21"/>
    <w:rsid w:val="5CDA0933"/>
    <w:rsid w:val="5CDE20BC"/>
    <w:rsid w:val="5CDEA2B4"/>
    <w:rsid w:val="5CEBEFD7"/>
    <w:rsid w:val="5D0FB85D"/>
    <w:rsid w:val="5D2B05E3"/>
    <w:rsid w:val="5D34485F"/>
    <w:rsid w:val="5D3CED36"/>
    <w:rsid w:val="5D3D0CFC"/>
    <w:rsid w:val="5D4E726C"/>
    <w:rsid w:val="5D5431B2"/>
    <w:rsid w:val="5D59404B"/>
    <w:rsid w:val="5D59F31F"/>
    <w:rsid w:val="5D5E2AD3"/>
    <w:rsid w:val="5D64256A"/>
    <w:rsid w:val="5D785B5A"/>
    <w:rsid w:val="5D7993A8"/>
    <w:rsid w:val="5D79EB2C"/>
    <w:rsid w:val="5D8F7DB1"/>
    <w:rsid w:val="5D98ED21"/>
    <w:rsid w:val="5D9D9B29"/>
    <w:rsid w:val="5DA5630E"/>
    <w:rsid w:val="5DA664B4"/>
    <w:rsid w:val="5DA7792C"/>
    <w:rsid w:val="5DB29308"/>
    <w:rsid w:val="5DC565A2"/>
    <w:rsid w:val="5DC9D282"/>
    <w:rsid w:val="5DD4419F"/>
    <w:rsid w:val="5DD8AB8F"/>
    <w:rsid w:val="5DDCE2CA"/>
    <w:rsid w:val="5DEFBF54"/>
    <w:rsid w:val="5DF6A486"/>
    <w:rsid w:val="5DF706CF"/>
    <w:rsid w:val="5E09E196"/>
    <w:rsid w:val="5E0C6BBA"/>
    <w:rsid w:val="5E11AB4E"/>
    <w:rsid w:val="5E14BB68"/>
    <w:rsid w:val="5E1E312A"/>
    <w:rsid w:val="5E20C2CF"/>
    <w:rsid w:val="5E261D66"/>
    <w:rsid w:val="5E295C95"/>
    <w:rsid w:val="5E2B430C"/>
    <w:rsid w:val="5E382E33"/>
    <w:rsid w:val="5E3BD90A"/>
    <w:rsid w:val="5E42C676"/>
    <w:rsid w:val="5E49D0A8"/>
    <w:rsid w:val="5E4A5EF3"/>
    <w:rsid w:val="5E4B91BF"/>
    <w:rsid w:val="5E4DCA7D"/>
    <w:rsid w:val="5E4F1E31"/>
    <w:rsid w:val="5E516C0F"/>
    <w:rsid w:val="5E57C328"/>
    <w:rsid w:val="5E5A06BD"/>
    <w:rsid w:val="5E5E24A9"/>
    <w:rsid w:val="5E5F0483"/>
    <w:rsid w:val="5E60E376"/>
    <w:rsid w:val="5E622B04"/>
    <w:rsid w:val="5E7C6F2C"/>
    <w:rsid w:val="5E80F826"/>
    <w:rsid w:val="5E84D7BD"/>
    <w:rsid w:val="5E88917E"/>
    <w:rsid w:val="5E978F76"/>
    <w:rsid w:val="5E9A27D9"/>
    <w:rsid w:val="5E9FDF40"/>
    <w:rsid w:val="5EA8699F"/>
    <w:rsid w:val="5EB1E956"/>
    <w:rsid w:val="5EB8B17B"/>
    <w:rsid w:val="5EC14098"/>
    <w:rsid w:val="5ED78059"/>
    <w:rsid w:val="5EE133F3"/>
    <w:rsid w:val="5EE65218"/>
    <w:rsid w:val="5EE6F8B8"/>
    <w:rsid w:val="5EE7C16B"/>
    <w:rsid w:val="5F0365DF"/>
    <w:rsid w:val="5F06FC17"/>
    <w:rsid w:val="5F0AB012"/>
    <w:rsid w:val="5F0D8DB9"/>
    <w:rsid w:val="5F175F12"/>
    <w:rsid w:val="5F214AB6"/>
    <w:rsid w:val="5F2FA0E7"/>
    <w:rsid w:val="5F33C084"/>
    <w:rsid w:val="5F3B54D4"/>
    <w:rsid w:val="5F43F2D6"/>
    <w:rsid w:val="5F619430"/>
    <w:rsid w:val="5F68A4A5"/>
    <w:rsid w:val="5F6EFE26"/>
    <w:rsid w:val="5F74EF0D"/>
    <w:rsid w:val="5F76222A"/>
    <w:rsid w:val="5F7708FC"/>
    <w:rsid w:val="5F78C979"/>
    <w:rsid w:val="5F95C50D"/>
    <w:rsid w:val="5F9CE002"/>
    <w:rsid w:val="5F9DABA4"/>
    <w:rsid w:val="5F9E34DA"/>
    <w:rsid w:val="5FAD770E"/>
    <w:rsid w:val="5FB2E54A"/>
    <w:rsid w:val="5FCB87C0"/>
    <w:rsid w:val="5FD0B6F7"/>
    <w:rsid w:val="5FD95341"/>
    <w:rsid w:val="5FD98A9D"/>
    <w:rsid w:val="5FE54A53"/>
    <w:rsid w:val="5FE81B04"/>
    <w:rsid w:val="5FF100AD"/>
    <w:rsid w:val="5FF41F6D"/>
    <w:rsid w:val="6008FCDD"/>
    <w:rsid w:val="600BCB9F"/>
    <w:rsid w:val="60177130"/>
    <w:rsid w:val="6018A155"/>
    <w:rsid w:val="601AF4C0"/>
    <w:rsid w:val="601D9A97"/>
    <w:rsid w:val="602F068E"/>
    <w:rsid w:val="6039EB4B"/>
    <w:rsid w:val="603BF803"/>
    <w:rsid w:val="603FDFE7"/>
    <w:rsid w:val="605A165E"/>
    <w:rsid w:val="60613148"/>
    <w:rsid w:val="60667BE3"/>
    <w:rsid w:val="606C4621"/>
    <w:rsid w:val="606D2310"/>
    <w:rsid w:val="607436DE"/>
    <w:rsid w:val="607D5697"/>
    <w:rsid w:val="607D9B7A"/>
    <w:rsid w:val="608EEF92"/>
    <w:rsid w:val="6091BB3F"/>
    <w:rsid w:val="6093F97A"/>
    <w:rsid w:val="609B6055"/>
    <w:rsid w:val="60A18024"/>
    <w:rsid w:val="60A4A6A2"/>
    <w:rsid w:val="60AB824C"/>
    <w:rsid w:val="60B43C1F"/>
    <w:rsid w:val="60BA5250"/>
    <w:rsid w:val="60C9E075"/>
    <w:rsid w:val="60CE2255"/>
    <w:rsid w:val="60D8A71E"/>
    <w:rsid w:val="60DC85D2"/>
    <w:rsid w:val="60E70478"/>
    <w:rsid w:val="60F2B6C8"/>
    <w:rsid w:val="610B104B"/>
    <w:rsid w:val="610BBA36"/>
    <w:rsid w:val="611AA9BC"/>
    <w:rsid w:val="611C8AE2"/>
    <w:rsid w:val="61219D07"/>
    <w:rsid w:val="613F0B95"/>
    <w:rsid w:val="613F5A24"/>
    <w:rsid w:val="614D7B76"/>
    <w:rsid w:val="61549AAD"/>
    <w:rsid w:val="6154AA58"/>
    <w:rsid w:val="6155E634"/>
    <w:rsid w:val="6157778E"/>
    <w:rsid w:val="6159E6F0"/>
    <w:rsid w:val="615B4955"/>
    <w:rsid w:val="615C6D43"/>
    <w:rsid w:val="61639BC2"/>
    <w:rsid w:val="61671C2C"/>
    <w:rsid w:val="6169B5AD"/>
    <w:rsid w:val="616B51AA"/>
    <w:rsid w:val="616B69A1"/>
    <w:rsid w:val="616E2931"/>
    <w:rsid w:val="61711C5D"/>
    <w:rsid w:val="617203B5"/>
    <w:rsid w:val="6172A04A"/>
    <w:rsid w:val="6176DE68"/>
    <w:rsid w:val="61772591"/>
    <w:rsid w:val="6178883B"/>
    <w:rsid w:val="617A10CD"/>
    <w:rsid w:val="617EC847"/>
    <w:rsid w:val="61840523"/>
    <w:rsid w:val="6186D3C4"/>
    <w:rsid w:val="618D020D"/>
    <w:rsid w:val="6193CF5F"/>
    <w:rsid w:val="6199B16E"/>
    <w:rsid w:val="61A04D8D"/>
    <w:rsid w:val="61B3872C"/>
    <w:rsid w:val="61B3ECB9"/>
    <w:rsid w:val="61B85952"/>
    <w:rsid w:val="61B9693E"/>
    <w:rsid w:val="61C505CD"/>
    <w:rsid w:val="61C68531"/>
    <w:rsid w:val="61C76EC5"/>
    <w:rsid w:val="61D7CB54"/>
    <w:rsid w:val="61E3B6B2"/>
    <w:rsid w:val="61E552C1"/>
    <w:rsid w:val="61E6D947"/>
    <w:rsid w:val="61F1AA4D"/>
    <w:rsid w:val="61F381DE"/>
    <w:rsid w:val="61FB2357"/>
    <w:rsid w:val="6205E7CF"/>
    <w:rsid w:val="620DF6A2"/>
    <w:rsid w:val="6213DC44"/>
    <w:rsid w:val="62159890"/>
    <w:rsid w:val="6225F033"/>
    <w:rsid w:val="6226702A"/>
    <w:rsid w:val="622C184F"/>
    <w:rsid w:val="622C68E4"/>
    <w:rsid w:val="6233EBC7"/>
    <w:rsid w:val="624DDC4D"/>
    <w:rsid w:val="624FC037"/>
    <w:rsid w:val="62514548"/>
    <w:rsid w:val="626178DC"/>
    <w:rsid w:val="626A8994"/>
    <w:rsid w:val="62746133"/>
    <w:rsid w:val="6274C8F7"/>
    <w:rsid w:val="6275F85C"/>
    <w:rsid w:val="62791BBC"/>
    <w:rsid w:val="627F97D5"/>
    <w:rsid w:val="62819B82"/>
    <w:rsid w:val="6289CBEA"/>
    <w:rsid w:val="62939E1D"/>
    <w:rsid w:val="62A38761"/>
    <w:rsid w:val="62AA89C5"/>
    <w:rsid w:val="62ADD886"/>
    <w:rsid w:val="62AE92F7"/>
    <w:rsid w:val="62B24478"/>
    <w:rsid w:val="62B86778"/>
    <w:rsid w:val="62C3847F"/>
    <w:rsid w:val="62D11046"/>
    <w:rsid w:val="62DC38B6"/>
    <w:rsid w:val="62E281C7"/>
    <w:rsid w:val="62E28E75"/>
    <w:rsid w:val="62E65B0D"/>
    <w:rsid w:val="62E77EAD"/>
    <w:rsid w:val="62EB19F0"/>
    <w:rsid w:val="62EF278B"/>
    <w:rsid w:val="62F9ED9B"/>
    <w:rsid w:val="630096F7"/>
    <w:rsid w:val="6301E51B"/>
    <w:rsid w:val="63090C52"/>
    <w:rsid w:val="63218757"/>
    <w:rsid w:val="6324F380"/>
    <w:rsid w:val="6326D812"/>
    <w:rsid w:val="6335B09E"/>
    <w:rsid w:val="633C7FAD"/>
    <w:rsid w:val="634238B6"/>
    <w:rsid w:val="634E7C40"/>
    <w:rsid w:val="635A3AC8"/>
    <w:rsid w:val="6368EAFF"/>
    <w:rsid w:val="636971BD"/>
    <w:rsid w:val="6387379F"/>
    <w:rsid w:val="638CD022"/>
    <w:rsid w:val="63979681"/>
    <w:rsid w:val="639DAC18"/>
    <w:rsid w:val="63A35B57"/>
    <w:rsid w:val="63B38A30"/>
    <w:rsid w:val="63B9C74C"/>
    <w:rsid w:val="63C6540B"/>
    <w:rsid w:val="63C759BE"/>
    <w:rsid w:val="63C86C9A"/>
    <w:rsid w:val="63CD7C62"/>
    <w:rsid w:val="63CF6538"/>
    <w:rsid w:val="63DE9319"/>
    <w:rsid w:val="63DF4575"/>
    <w:rsid w:val="63E071FD"/>
    <w:rsid w:val="63E704D2"/>
    <w:rsid w:val="63EE8CCE"/>
    <w:rsid w:val="63F3BDB7"/>
    <w:rsid w:val="63FB4ABE"/>
    <w:rsid w:val="63FD4793"/>
    <w:rsid w:val="64027CC6"/>
    <w:rsid w:val="64037A38"/>
    <w:rsid w:val="6405B0D4"/>
    <w:rsid w:val="6419B2A8"/>
    <w:rsid w:val="641D0DB0"/>
    <w:rsid w:val="641FD8EA"/>
    <w:rsid w:val="64274540"/>
    <w:rsid w:val="6428822A"/>
    <w:rsid w:val="64375123"/>
    <w:rsid w:val="643AFD22"/>
    <w:rsid w:val="643EFD5E"/>
    <w:rsid w:val="6442325E"/>
    <w:rsid w:val="64451F70"/>
    <w:rsid w:val="64479B96"/>
    <w:rsid w:val="6448713B"/>
    <w:rsid w:val="64499869"/>
    <w:rsid w:val="6456D898"/>
    <w:rsid w:val="64573420"/>
    <w:rsid w:val="64672D82"/>
    <w:rsid w:val="646F8BD2"/>
    <w:rsid w:val="6481F7D0"/>
    <w:rsid w:val="648664A6"/>
    <w:rsid w:val="648F82AF"/>
    <w:rsid w:val="64901A68"/>
    <w:rsid w:val="64911084"/>
    <w:rsid w:val="649C7F22"/>
    <w:rsid w:val="649E7154"/>
    <w:rsid w:val="64A43947"/>
    <w:rsid w:val="64A8842A"/>
    <w:rsid w:val="64B37247"/>
    <w:rsid w:val="64C89E79"/>
    <w:rsid w:val="64C9FD33"/>
    <w:rsid w:val="64D453D0"/>
    <w:rsid w:val="64D5FADE"/>
    <w:rsid w:val="64E2A842"/>
    <w:rsid w:val="64F5261E"/>
    <w:rsid w:val="64F97CCA"/>
    <w:rsid w:val="6506A8A4"/>
    <w:rsid w:val="65098410"/>
    <w:rsid w:val="650C3594"/>
    <w:rsid w:val="65138558"/>
    <w:rsid w:val="65148C77"/>
    <w:rsid w:val="651D2C14"/>
    <w:rsid w:val="65213F17"/>
    <w:rsid w:val="6526E215"/>
    <w:rsid w:val="6529DE47"/>
    <w:rsid w:val="652CB097"/>
    <w:rsid w:val="6530379E"/>
    <w:rsid w:val="653D1B5D"/>
    <w:rsid w:val="65446C99"/>
    <w:rsid w:val="654B700C"/>
    <w:rsid w:val="654BCA50"/>
    <w:rsid w:val="654E218A"/>
    <w:rsid w:val="65584FD9"/>
    <w:rsid w:val="6558F97E"/>
    <w:rsid w:val="6566D430"/>
    <w:rsid w:val="656750C6"/>
    <w:rsid w:val="6567B6A2"/>
    <w:rsid w:val="65799B35"/>
    <w:rsid w:val="6579FF9B"/>
    <w:rsid w:val="657C6C2F"/>
    <w:rsid w:val="657EE34F"/>
    <w:rsid w:val="658468F0"/>
    <w:rsid w:val="6584BCDD"/>
    <w:rsid w:val="65957E22"/>
    <w:rsid w:val="659F9F63"/>
    <w:rsid w:val="65AAB0E4"/>
    <w:rsid w:val="65DF64D0"/>
    <w:rsid w:val="65E0DB8E"/>
    <w:rsid w:val="65F4C9DE"/>
    <w:rsid w:val="65F64F0B"/>
    <w:rsid w:val="65FD8B62"/>
    <w:rsid w:val="660EAE77"/>
    <w:rsid w:val="66101AF4"/>
    <w:rsid w:val="661299BF"/>
    <w:rsid w:val="6615543A"/>
    <w:rsid w:val="661C81E0"/>
    <w:rsid w:val="66231A85"/>
    <w:rsid w:val="66255F68"/>
    <w:rsid w:val="6628A851"/>
    <w:rsid w:val="662CA582"/>
    <w:rsid w:val="663BC253"/>
    <w:rsid w:val="664B7CE3"/>
    <w:rsid w:val="664E11DD"/>
    <w:rsid w:val="665F477E"/>
    <w:rsid w:val="667F705C"/>
    <w:rsid w:val="66902D80"/>
    <w:rsid w:val="66947E7E"/>
    <w:rsid w:val="6696C085"/>
    <w:rsid w:val="66A5A4F6"/>
    <w:rsid w:val="66AB813D"/>
    <w:rsid w:val="66AC911E"/>
    <w:rsid w:val="66AF9103"/>
    <w:rsid w:val="66B57AFE"/>
    <w:rsid w:val="66C7D708"/>
    <w:rsid w:val="66CC81C5"/>
    <w:rsid w:val="66DCDAAB"/>
    <w:rsid w:val="66DEAEC9"/>
    <w:rsid w:val="66F848EF"/>
    <w:rsid w:val="66FCC3DE"/>
    <w:rsid w:val="67005E15"/>
    <w:rsid w:val="67050354"/>
    <w:rsid w:val="67194377"/>
    <w:rsid w:val="672E8968"/>
    <w:rsid w:val="673455B2"/>
    <w:rsid w:val="67415106"/>
    <w:rsid w:val="6741EED6"/>
    <w:rsid w:val="6752DB71"/>
    <w:rsid w:val="67541879"/>
    <w:rsid w:val="675C962A"/>
    <w:rsid w:val="67607A8B"/>
    <w:rsid w:val="6763AD37"/>
    <w:rsid w:val="67742DDE"/>
    <w:rsid w:val="6778C63C"/>
    <w:rsid w:val="677EC9B0"/>
    <w:rsid w:val="677F19DC"/>
    <w:rsid w:val="677FF2AB"/>
    <w:rsid w:val="6783808B"/>
    <w:rsid w:val="67897F6A"/>
    <w:rsid w:val="67999EA8"/>
    <w:rsid w:val="679DA538"/>
    <w:rsid w:val="67A32614"/>
    <w:rsid w:val="67A475BC"/>
    <w:rsid w:val="67AAA837"/>
    <w:rsid w:val="67BB4AA4"/>
    <w:rsid w:val="67C9B9D6"/>
    <w:rsid w:val="67DB574D"/>
    <w:rsid w:val="67E19BC3"/>
    <w:rsid w:val="67FB49E1"/>
    <w:rsid w:val="6803B26F"/>
    <w:rsid w:val="6804BDE7"/>
    <w:rsid w:val="680B0268"/>
    <w:rsid w:val="68106060"/>
    <w:rsid w:val="682202B5"/>
    <w:rsid w:val="682F90E2"/>
    <w:rsid w:val="683571AD"/>
    <w:rsid w:val="6838C824"/>
    <w:rsid w:val="68429D2F"/>
    <w:rsid w:val="6843D3D8"/>
    <w:rsid w:val="6849B003"/>
    <w:rsid w:val="686D8490"/>
    <w:rsid w:val="686E3E11"/>
    <w:rsid w:val="68862EE9"/>
    <w:rsid w:val="688B258E"/>
    <w:rsid w:val="688D5628"/>
    <w:rsid w:val="688DAEE4"/>
    <w:rsid w:val="688E5467"/>
    <w:rsid w:val="68931CE6"/>
    <w:rsid w:val="689C626E"/>
    <w:rsid w:val="68A8B2DF"/>
    <w:rsid w:val="68BFF0D5"/>
    <w:rsid w:val="68D1304E"/>
    <w:rsid w:val="68D85B4B"/>
    <w:rsid w:val="68E92243"/>
    <w:rsid w:val="68E9E92E"/>
    <w:rsid w:val="68EA5FE2"/>
    <w:rsid w:val="68F5DF4E"/>
    <w:rsid w:val="68FA502F"/>
    <w:rsid w:val="6907090F"/>
    <w:rsid w:val="69096D28"/>
    <w:rsid w:val="690C427E"/>
    <w:rsid w:val="690F50DF"/>
    <w:rsid w:val="690FD6DC"/>
    <w:rsid w:val="69140EF8"/>
    <w:rsid w:val="6915B52D"/>
    <w:rsid w:val="6918C2BA"/>
    <w:rsid w:val="691BFCB1"/>
    <w:rsid w:val="691DFBCB"/>
    <w:rsid w:val="692062ED"/>
    <w:rsid w:val="6928F76F"/>
    <w:rsid w:val="692F9699"/>
    <w:rsid w:val="693156B3"/>
    <w:rsid w:val="6936D183"/>
    <w:rsid w:val="694A7FF7"/>
    <w:rsid w:val="694BEEAB"/>
    <w:rsid w:val="69503A3A"/>
    <w:rsid w:val="69520FFC"/>
    <w:rsid w:val="6959F694"/>
    <w:rsid w:val="695BA5C2"/>
    <w:rsid w:val="6966B2C4"/>
    <w:rsid w:val="696E4DCB"/>
    <w:rsid w:val="6971CE5B"/>
    <w:rsid w:val="6972FE06"/>
    <w:rsid w:val="6978CF4D"/>
    <w:rsid w:val="697AADF5"/>
    <w:rsid w:val="69805E15"/>
    <w:rsid w:val="698C0231"/>
    <w:rsid w:val="698DBEB2"/>
    <w:rsid w:val="6991B5C5"/>
    <w:rsid w:val="69A2DFCB"/>
    <w:rsid w:val="69A4051F"/>
    <w:rsid w:val="69A632B0"/>
    <w:rsid w:val="69C3BF8E"/>
    <w:rsid w:val="69D6FB22"/>
    <w:rsid w:val="69E47C6B"/>
    <w:rsid w:val="69F2EF1D"/>
    <w:rsid w:val="69F998AD"/>
    <w:rsid w:val="69FD451B"/>
    <w:rsid w:val="69FE8417"/>
    <w:rsid w:val="6A0997C4"/>
    <w:rsid w:val="6A127892"/>
    <w:rsid w:val="6A1FA9B0"/>
    <w:rsid w:val="6A231CF9"/>
    <w:rsid w:val="6A28236D"/>
    <w:rsid w:val="6A29F16A"/>
    <w:rsid w:val="6A2F857B"/>
    <w:rsid w:val="6A2F9B85"/>
    <w:rsid w:val="6A384987"/>
    <w:rsid w:val="6A46484F"/>
    <w:rsid w:val="6A4A8E3A"/>
    <w:rsid w:val="6A52B214"/>
    <w:rsid w:val="6A56C0BE"/>
    <w:rsid w:val="6A5B9881"/>
    <w:rsid w:val="6A5BBF88"/>
    <w:rsid w:val="6A672739"/>
    <w:rsid w:val="6A67B2E1"/>
    <w:rsid w:val="6A6B76D1"/>
    <w:rsid w:val="6A70A8F9"/>
    <w:rsid w:val="6A774599"/>
    <w:rsid w:val="6A84723C"/>
    <w:rsid w:val="6A89BD3E"/>
    <w:rsid w:val="6A8C6962"/>
    <w:rsid w:val="6A902EBE"/>
    <w:rsid w:val="6A91C3B5"/>
    <w:rsid w:val="6A947ADA"/>
    <w:rsid w:val="6A94FB5E"/>
    <w:rsid w:val="6A9662B3"/>
    <w:rsid w:val="6A99AB1E"/>
    <w:rsid w:val="6AA1ABA7"/>
    <w:rsid w:val="6AA3DAC1"/>
    <w:rsid w:val="6AA6D6B0"/>
    <w:rsid w:val="6AA8B541"/>
    <w:rsid w:val="6ABDB9B8"/>
    <w:rsid w:val="6AC4EE2D"/>
    <w:rsid w:val="6ACB6F20"/>
    <w:rsid w:val="6ACC8173"/>
    <w:rsid w:val="6ACF53CE"/>
    <w:rsid w:val="6ADE3BDF"/>
    <w:rsid w:val="6AE88D2F"/>
    <w:rsid w:val="6AECB1A6"/>
    <w:rsid w:val="6AEF2815"/>
    <w:rsid w:val="6AF44C9C"/>
    <w:rsid w:val="6B0323A8"/>
    <w:rsid w:val="6B246125"/>
    <w:rsid w:val="6B2DB93D"/>
    <w:rsid w:val="6B3A357F"/>
    <w:rsid w:val="6B3BBA34"/>
    <w:rsid w:val="6B3CC981"/>
    <w:rsid w:val="6B49332F"/>
    <w:rsid w:val="6B522C81"/>
    <w:rsid w:val="6B5AC0A0"/>
    <w:rsid w:val="6B5AE2ED"/>
    <w:rsid w:val="6B5F62F3"/>
    <w:rsid w:val="6B65A8BF"/>
    <w:rsid w:val="6B7858EF"/>
    <w:rsid w:val="6B7E0E6D"/>
    <w:rsid w:val="6B7F5308"/>
    <w:rsid w:val="6B89E876"/>
    <w:rsid w:val="6B97B7BF"/>
    <w:rsid w:val="6B9F76A0"/>
    <w:rsid w:val="6BA882BC"/>
    <w:rsid w:val="6BAEE82B"/>
    <w:rsid w:val="6BB26CF4"/>
    <w:rsid w:val="6BB573B7"/>
    <w:rsid w:val="6BB77CBF"/>
    <w:rsid w:val="6BB90926"/>
    <w:rsid w:val="6BBAD65B"/>
    <w:rsid w:val="6BC099C5"/>
    <w:rsid w:val="6BC94C6D"/>
    <w:rsid w:val="6BD5E75A"/>
    <w:rsid w:val="6BD8FF47"/>
    <w:rsid w:val="6BDAC34C"/>
    <w:rsid w:val="6BDD2D9B"/>
    <w:rsid w:val="6BE46FB6"/>
    <w:rsid w:val="6BF08047"/>
    <w:rsid w:val="6BF1482B"/>
    <w:rsid w:val="6BF18564"/>
    <w:rsid w:val="6BF594BB"/>
    <w:rsid w:val="6BFCD0C8"/>
    <w:rsid w:val="6C01F9D6"/>
    <w:rsid w:val="6C0F5DA1"/>
    <w:rsid w:val="6C21CA9D"/>
    <w:rsid w:val="6C21F46C"/>
    <w:rsid w:val="6C2AB78B"/>
    <w:rsid w:val="6C2FBA37"/>
    <w:rsid w:val="6C31D7E9"/>
    <w:rsid w:val="6C3C0EF9"/>
    <w:rsid w:val="6C3D8A32"/>
    <w:rsid w:val="6C432B13"/>
    <w:rsid w:val="6C50A9F6"/>
    <w:rsid w:val="6C5290F0"/>
    <w:rsid w:val="6C5461C9"/>
    <w:rsid w:val="6C5A71E3"/>
    <w:rsid w:val="6C5DA223"/>
    <w:rsid w:val="6C6713D5"/>
    <w:rsid w:val="6C73A38A"/>
    <w:rsid w:val="6C76740A"/>
    <w:rsid w:val="6C7ED982"/>
    <w:rsid w:val="6C7F5318"/>
    <w:rsid w:val="6C8E62A2"/>
    <w:rsid w:val="6C951E21"/>
    <w:rsid w:val="6C9AB28B"/>
    <w:rsid w:val="6C9BBC0E"/>
    <w:rsid w:val="6CA72737"/>
    <w:rsid w:val="6CA7C82E"/>
    <w:rsid w:val="6CAA5DBF"/>
    <w:rsid w:val="6CB922AE"/>
    <w:rsid w:val="6CC2245F"/>
    <w:rsid w:val="6CCD6517"/>
    <w:rsid w:val="6CD1B461"/>
    <w:rsid w:val="6CD2AFA2"/>
    <w:rsid w:val="6CDD2821"/>
    <w:rsid w:val="6CFD380C"/>
    <w:rsid w:val="6D02388C"/>
    <w:rsid w:val="6D02436B"/>
    <w:rsid w:val="6D026A3E"/>
    <w:rsid w:val="6D03AE97"/>
    <w:rsid w:val="6D094772"/>
    <w:rsid w:val="6D0C1CFF"/>
    <w:rsid w:val="6D0E0AA3"/>
    <w:rsid w:val="6D0E39CD"/>
    <w:rsid w:val="6D15F639"/>
    <w:rsid w:val="6D2079F9"/>
    <w:rsid w:val="6D22BA5F"/>
    <w:rsid w:val="6D270E3D"/>
    <w:rsid w:val="6D297D6F"/>
    <w:rsid w:val="6D300DBA"/>
    <w:rsid w:val="6D3DEA67"/>
    <w:rsid w:val="6D4E591F"/>
    <w:rsid w:val="6D4EEDA7"/>
    <w:rsid w:val="6D84FB75"/>
    <w:rsid w:val="6D957E7F"/>
    <w:rsid w:val="6DAC766E"/>
    <w:rsid w:val="6DACE488"/>
    <w:rsid w:val="6DB0980F"/>
    <w:rsid w:val="6DB1F150"/>
    <w:rsid w:val="6DB49238"/>
    <w:rsid w:val="6DBC3990"/>
    <w:rsid w:val="6DD17363"/>
    <w:rsid w:val="6DDA6119"/>
    <w:rsid w:val="6DE0DEAF"/>
    <w:rsid w:val="6DE2EEFD"/>
    <w:rsid w:val="6DE5D061"/>
    <w:rsid w:val="6DF01873"/>
    <w:rsid w:val="6DF55244"/>
    <w:rsid w:val="6DF583AF"/>
    <w:rsid w:val="6DF84C32"/>
    <w:rsid w:val="6DFC1C24"/>
    <w:rsid w:val="6DFF0D16"/>
    <w:rsid w:val="6E000360"/>
    <w:rsid w:val="6E155DBD"/>
    <w:rsid w:val="6E1A60E3"/>
    <w:rsid w:val="6E255C9A"/>
    <w:rsid w:val="6E2BEFB2"/>
    <w:rsid w:val="6E377048"/>
    <w:rsid w:val="6E390B1F"/>
    <w:rsid w:val="6E3B8D0D"/>
    <w:rsid w:val="6E4BACDD"/>
    <w:rsid w:val="6E5B35D1"/>
    <w:rsid w:val="6E5E1D47"/>
    <w:rsid w:val="6E641BD4"/>
    <w:rsid w:val="6E64A79D"/>
    <w:rsid w:val="6E652778"/>
    <w:rsid w:val="6E65B575"/>
    <w:rsid w:val="6E668935"/>
    <w:rsid w:val="6E77BF48"/>
    <w:rsid w:val="6E789ED7"/>
    <w:rsid w:val="6E84CBE4"/>
    <w:rsid w:val="6E96D7C7"/>
    <w:rsid w:val="6E9B4361"/>
    <w:rsid w:val="6E9B716B"/>
    <w:rsid w:val="6EAA3731"/>
    <w:rsid w:val="6EAAAAEB"/>
    <w:rsid w:val="6EAC00A7"/>
    <w:rsid w:val="6EAD96DB"/>
    <w:rsid w:val="6EB6D62C"/>
    <w:rsid w:val="6EC5515A"/>
    <w:rsid w:val="6EC5D2CB"/>
    <w:rsid w:val="6ED891E0"/>
    <w:rsid w:val="6EDDC6A6"/>
    <w:rsid w:val="6EEE1F34"/>
    <w:rsid w:val="6EEF6AF4"/>
    <w:rsid w:val="6EEFB49A"/>
    <w:rsid w:val="6EF81492"/>
    <w:rsid w:val="6EFBDFBB"/>
    <w:rsid w:val="6F0C52A5"/>
    <w:rsid w:val="6F189AE9"/>
    <w:rsid w:val="6F1BCFCB"/>
    <w:rsid w:val="6F2141BC"/>
    <w:rsid w:val="6F266A8A"/>
    <w:rsid w:val="6F29A899"/>
    <w:rsid w:val="6F2F592C"/>
    <w:rsid w:val="6F3BCA96"/>
    <w:rsid w:val="6F57D952"/>
    <w:rsid w:val="6F6EAB99"/>
    <w:rsid w:val="6F716788"/>
    <w:rsid w:val="6F7476ED"/>
    <w:rsid w:val="6F75CFCD"/>
    <w:rsid w:val="6F781E64"/>
    <w:rsid w:val="6F83C9AC"/>
    <w:rsid w:val="6F8756AC"/>
    <w:rsid w:val="6F88FDE4"/>
    <w:rsid w:val="6F93E61E"/>
    <w:rsid w:val="6F971BB2"/>
    <w:rsid w:val="6F9C8CB8"/>
    <w:rsid w:val="6F9CDC45"/>
    <w:rsid w:val="6FAC8370"/>
    <w:rsid w:val="6FB87034"/>
    <w:rsid w:val="6FC2795F"/>
    <w:rsid w:val="6FCD3CF6"/>
    <w:rsid w:val="6FE72F07"/>
    <w:rsid w:val="6FEAF201"/>
    <w:rsid w:val="6FEC1DE2"/>
    <w:rsid w:val="6FEC5D13"/>
    <w:rsid w:val="6FEFDA32"/>
    <w:rsid w:val="6FF1A1BC"/>
    <w:rsid w:val="6FF89BF1"/>
    <w:rsid w:val="6FFF2145"/>
    <w:rsid w:val="70045AF5"/>
    <w:rsid w:val="700675A4"/>
    <w:rsid w:val="700C5B51"/>
    <w:rsid w:val="701DA2B8"/>
    <w:rsid w:val="701F0DF5"/>
    <w:rsid w:val="7041B044"/>
    <w:rsid w:val="70438644"/>
    <w:rsid w:val="705FEC07"/>
    <w:rsid w:val="7067080E"/>
    <w:rsid w:val="70715472"/>
    <w:rsid w:val="707C8CBB"/>
    <w:rsid w:val="707DC748"/>
    <w:rsid w:val="7080667A"/>
    <w:rsid w:val="7087A94E"/>
    <w:rsid w:val="7091FD6D"/>
    <w:rsid w:val="7097E7D9"/>
    <w:rsid w:val="70A39A3B"/>
    <w:rsid w:val="70A5917A"/>
    <w:rsid w:val="70AD9F8B"/>
    <w:rsid w:val="70C70F4A"/>
    <w:rsid w:val="70D81F3A"/>
    <w:rsid w:val="70E49EFE"/>
    <w:rsid w:val="70E58986"/>
    <w:rsid w:val="70E7E30C"/>
    <w:rsid w:val="70F0F67B"/>
    <w:rsid w:val="70FE328E"/>
    <w:rsid w:val="7105719A"/>
    <w:rsid w:val="710839D7"/>
    <w:rsid w:val="710DBD36"/>
    <w:rsid w:val="71105644"/>
    <w:rsid w:val="7110D748"/>
    <w:rsid w:val="7114149A"/>
    <w:rsid w:val="711557D1"/>
    <w:rsid w:val="7123BAA3"/>
    <w:rsid w:val="7136A17E"/>
    <w:rsid w:val="714C996D"/>
    <w:rsid w:val="714CAD43"/>
    <w:rsid w:val="715E2D85"/>
    <w:rsid w:val="7162484B"/>
    <w:rsid w:val="71664B0C"/>
    <w:rsid w:val="7174261E"/>
    <w:rsid w:val="71907996"/>
    <w:rsid w:val="7197AFD7"/>
    <w:rsid w:val="7197F4AD"/>
    <w:rsid w:val="719DB298"/>
    <w:rsid w:val="719F6740"/>
    <w:rsid w:val="71A0FD91"/>
    <w:rsid w:val="71A11526"/>
    <w:rsid w:val="71A15482"/>
    <w:rsid w:val="71A20709"/>
    <w:rsid w:val="71AD9827"/>
    <w:rsid w:val="71B63C34"/>
    <w:rsid w:val="71B8C484"/>
    <w:rsid w:val="71BA4740"/>
    <w:rsid w:val="71C1E329"/>
    <w:rsid w:val="71C48532"/>
    <w:rsid w:val="71D24FF9"/>
    <w:rsid w:val="71DA4F53"/>
    <w:rsid w:val="71DC220B"/>
    <w:rsid w:val="71E1CB69"/>
    <w:rsid w:val="71E2CF44"/>
    <w:rsid w:val="71E6F7F7"/>
    <w:rsid w:val="71E81CE6"/>
    <w:rsid w:val="71F685F0"/>
    <w:rsid w:val="71F7DB6B"/>
    <w:rsid w:val="720A0517"/>
    <w:rsid w:val="7210C6C2"/>
    <w:rsid w:val="7225BF79"/>
    <w:rsid w:val="7228D157"/>
    <w:rsid w:val="723B3D7F"/>
    <w:rsid w:val="724015E2"/>
    <w:rsid w:val="72468F34"/>
    <w:rsid w:val="7247C1F0"/>
    <w:rsid w:val="724AF85A"/>
    <w:rsid w:val="724BC052"/>
    <w:rsid w:val="724C93B8"/>
    <w:rsid w:val="724DFF86"/>
    <w:rsid w:val="7256085C"/>
    <w:rsid w:val="7266F597"/>
    <w:rsid w:val="726C4F92"/>
    <w:rsid w:val="72881E2E"/>
    <w:rsid w:val="7289B4A1"/>
    <w:rsid w:val="72A66FA9"/>
    <w:rsid w:val="72B01192"/>
    <w:rsid w:val="72CA2BBF"/>
    <w:rsid w:val="72CE88A8"/>
    <w:rsid w:val="72CFA391"/>
    <w:rsid w:val="72D11541"/>
    <w:rsid w:val="72D34621"/>
    <w:rsid w:val="72D6FEBA"/>
    <w:rsid w:val="72EA3B7D"/>
    <w:rsid w:val="72EF0579"/>
    <w:rsid w:val="72F344BB"/>
    <w:rsid w:val="7302A403"/>
    <w:rsid w:val="730F7367"/>
    <w:rsid w:val="731D5AA1"/>
    <w:rsid w:val="731E8678"/>
    <w:rsid w:val="731F6DAB"/>
    <w:rsid w:val="73264B5A"/>
    <w:rsid w:val="73356BE2"/>
    <w:rsid w:val="7340B25C"/>
    <w:rsid w:val="734801E6"/>
    <w:rsid w:val="734F1431"/>
    <w:rsid w:val="735A536E"/>
    <w:rsid w:val="735CF5C3"/>
    <w:rsid w:val="73607B46"/>
    <w:rsid w:val="7367F5C4"/>
    <w:rsid w:val="736CD92E"/>
    <w:rsid w:val="737A55EE"/>
    <w:rsid w:val="737F90C1"/>
    <w:rsid w:val="73870442"/>
    <w:rsid w:val="738761A3"/>
    <w:rsid w:val="738A12E6"/>
    <w:rsid w:val="738E4616"/>
    <w:rsid w:val="738FFD68"/>
    <w:rsid w:val="739180C4"/>
    <w:rsid w:val="73934CCB"/>
    <w:rsid w:val="7394D040"/>
    <w:rsid w:val="7398A3CE"/>
    <w:rsid w:val="739AEDFF"/>
    <w:rsid w:val="73AE0959"/>
    <w:rsid w:val="73C2BB86"/>
    <w:rsid w:val="73CFDB49"/>
    <w:rsid w:val="73D0D82B"/>
    <w:rsid w:val="73D10F3E"/>
    <w:rsid w:val="73E0A38D"/>
    <w:rsid w:val="73E518E2"/>
    <w:rsid w:val="73E5E836"/>
    <w:rsid w:val="73E6B017"/>
    <w:rsid w:val="73E995E2"/>
    <w:rsid w:val="73EA010F"/>
    <w:rsid w:val="73EA9F22"/>
    <w:rsid w:val="73F41F05"/>
    <w:rsid w:val="73FC0E76"/>
    <w:rsid w:val="73FF9BDB"/>
    <w:rsid w:val="740E4290"/>
    <w:rsid w:val="742784A3"/>
    <w:rsid w:val="7428C214"/>
    <w:rsid w:val="742A7D88"/>
    <w:rsid w:val="7434C44E"/>
    <w:rsid w:val="7441D103"/>
    <w:rsid w:val="74535675"/>
    <w:rsid w:val="7459DECA"/>
    <w:rsid w:val="745A2679"/>
    <w:rsid w:val="745EBA4A"/>
    <w:rsid w:val="74644653"/>
    <w:rsid w:val="746DF5E0"/>
    <w:rsid w:val="746E75A3"/>
    <w:rsid w:val="747B13CC"/>
    <w:rsid w:val="74827306"/>
    <w:rsid w:val="74856C68"/>
    <w:rsid w:val="748F4F02"/>
    <w:rsid w:val="748FEEC4"/>
    <w:rsid w:val="74917C20"/>
    <w:rsid w:val="74979388"/>
    <w:rsid w:val="74A07F02"/>
    <w:rsid w:val="74A3B64B"/>
    <w:rsid w:val="74A6DC3F"/>
    <w:rsid w:val="74AC88F5"/>
    <w:rsid w:val="74AF71AC"/>
    <w:rsid w:val="74AFEA89"/>
    <w:rsid w:val="74B657B3"/>
    <w:rsid w:val="74C12C7E"/>
    <w:rsid w:val="74C7F342"/>
    <w:rsid w:val="74CA822B"/>
    <w:rsid w:val="74CBBB92"/>
    <w:rsid w:val="74CD980B"/>
    <w:rsid w:val="74D31107"/>
    <w:rsid w:val="74E24031"/>
    <w:rsid w:val="74E451B8"/>
    <w:rsid w:val="74ECA6D7"/>
    <w:rsid w:val="74F9BA0A"/>
    <w:rsid w:val="7502F7BC"/>
    <w:rsid w:val="7505AF47"/>
    <w:rsid w:val="750B6516"/>
    <w:rsid w:val="751F483E"/>
    <w:rsid w:val="752C99F2"/>
    <w:rsid w:val="752EBF2F"/>
    <w:rsid w:val="7530F831"/>
    <w:rsid w:val="753F7080"/>
    <w:rsid w:val="75404575"/>
    <w:rsid w:val="7541D005"/>
    <w:rsid w:val="7545E5F3"/>
    <w:rsid w:val="754617F5"/>
    <w:rsid w:val="755603EC"/>
    <w:rsid w:val="755A0839"/>
    <w:rsid w:val="755DAA1E"/>
    <w:rsid w:val="7566A9CF"/>
    <w:rsid w:val="756E2999"/>
    <w:rsid w:val="7573E1D8"/>
    <w:rsid w:val="7575100F"/>
    <w:rsid w:val="7595618E"/>
    <w:rsid w:val="75961A78"/>
    <w:rsid w:val="759FB648"/>
    <w:rsid w:val="75A6B9E1"/>
    <w:rsid w:val="75A85FD1"/>
    <w:rsid w:val="75B3E502"/>
    <w:rsid w:val="75B6D3A6"/>
    <w:rsid w:val="75B6D3C4"/>
    <w:rsid w:val="75BA6DCC"/>
    <w:rsid w:val="75D337ED"/>
    <w:rsid w:val="75DFA51C"/>
    <w:rsid w:val="75E14B5A"/>
    <w:rsid w:val="75E43E0D"/>
    <w:rsid w:val="75E71512"/>
    <w:rsid w:val="75EBCA1C"/>
    <w:rsid w:val="7602E7C9"/>
    <w:rsid w:val="7606A272"/>
    <w:rsid w:val="760FEE37"/>
    <w:rsid w:val="7612415C"/>
    <w:rsid w:val="761BE286"/>
    <w:rsid w:val="762040C7"/>
    <w:rsid w:val="76228914"/>
    <w:rsid w:val="762A7979"/>
    <w:rsid w:val="76403C26"/>
    <w:rsid w:val="76509237"/>
    <w:rsid w:val="7651E1FA"/>
    <w:rsid w:val="7661C32C"/>
    <w:rsid w:val="767049C6"/>
    <w:rsid w:val="7675FD70"/>
    <w:rsid w:val="76764063"/>
    <w:rsid w:val="7679B27A"/>
    <w:rsid w:val="767E1FF1"/>
    <w:rsid w:val="76935508"/>
    <w:rsid w:val="76979599"/>
    <w:rsid w:val="76A2BF66"/>
    <w:rsid w:val="76A2E7C9"/>
    <w:rsid w:val="76A3363C"/>
    <w:rsid w:val="76A40DAF"/>
    <w:rsid w:val="76A464D1"/>
    <w:rsid w:val="76AB1CAC"/>
    <w:rsid w:val="76BB21F5"/>
    <w:rsid w:val="76BFE587"/>
    <w:rsid w:val="76D00999"/>
    <w:rsid w:val="76E1CDE2"/>
    <w:rsid w:val="76F674D8"/>
    <w:rsid w:val="7708F3F4"/>
    <w:rsid w:val="77097D5C"/>
    <w:rsid w:val="770AD924"/>
    <w:rsid w:val="770D8F18"/>
    <w:rsid w:val="770ED49F"/>
    <w:rsid w:val="770FE4E7"/>
    <w:rsid w:val="771379CC"/>
    <w:rsid w:val="7719DB36"/>
    <w:rsid w:val="77352F41"/>
    <w:rsid w:val="774DFBE5"/>
    <w:rsid w:val="7751FD0E"/>
    <w:rsid w:val="77542064"/>
    <w:rsid w:val="775941AB"/>
    <w:rsid w:val="7764EC24"/>
    <w:rsid w:val="776CF941"/>
    <w:rsid w:val="776DA0EE"/>
    <w:rsid w:val="776E8A75"/>
    <w:rsid w:val="77738231"/>
    <w:rsid w:val="777E1D55"/>
    <w:rsid w:val="778453CE"/>
    <w:rsid w:val="778522BD"/>
    <w:rsid w:val="778C282F"/>
    <w:rsid w:val="77968CD2"/>
    <w:rsid w:val="77A71D00"/>
    <w:rsid w:val="77BF41A5"/>
    <w:rsid w:val="77C0FD77"/>
    <w:rsid w:val="77C27667"/>
    <w:rsid w:val="77D7D157"/>
    <w:rsid w:val="77DBA235"/>
    <w:rsid w:val="77E040CB"/>
    <w:rsid w:val="77F57A37"/>
    <w:rsid w:val="77F64DA2"/>
    <w:rsid w:val="77FA0046"/>
    <w:rsid w:val="77FCED83"/>
    <w:rsid w:val="77FF3687"/>
    <w:rsid w:val="7801955F"/>
    <w:rsid w:val="78060D4F"/>
    <w:rsid w:val="781626F9"/>
    <w:rsid w:val="7826431B"/>
    <w:rsid w:val="7826CEE3"/>
    <w:rsid w:val="7827112C"/>
    <w:rsid w:val="7829E1DD"/>
    <w:rsid w:val="782A6185"/>
    <w:rsid w:val="7830D265"/>
    <w:rsid w:val="78479EDF"/>
    <w:rsid w:val="7847EA2A"/>
    <w:rsid w:val="785D1840"/>
    <w:rsid w:val="78629278"/>
    <w:rsid w:val="78635892"/>
    <w:rsid w:val="78664952"/>
    <w:rsid w:val="786C66B0"/>
    <w:rsid w:val="78718422"/>
    <w:rsid w:val="7874D217"/>
    <w:rsid w:val="78769CE3"/>
    <w:rsid w:val="7877B287"/>
    <w:rsid w:val="7894332F"/>
    <w:rsid w:val="7896C1F9"/>
    <w:rsid w:val="789EAC06"/>
    <w:rsid w:val="78CAA4BB"/>
    <w:rsid w:val="78D8A45A"/>
    <w:rsid w:val="78D8FDF4"/>
    <w:rsid w:val="78D9E296"/>
    <w:rsid w:val="78E3D84F"/>
    <w:rsid w:val="78F798CE"/>
    <w:rsid w:val="7906D0A4"/>
    <w:rsid w:val="79072731"/>
    <w:rsid w:val="79082DAA"/>
    <w:rsid w:val="79163C33"/>
    <w:rsid w:val="7916B693"/>
    <w:rsid w:val="7917742B"/>
    <w:rsid w:val="79195072"/>
    <w:rsid w:val="7919BFF6"/>
    <w:rsid w:val="791A2D82"/>
    <w:rsid w:val="791D18B3"/>
    <w:rsid w:val="792980AC"/>
    <w:rsid w:val="792CB460"/>
    <w:rsid w:val="79310C19"/>
    <w:rsid w:val="79416A1A"/>
    <w:rsid w:val="794846F2"/>
    <w:rsid w:val="795170F5"/>
    <w:rsid w:val="7952EB6B"/>
    <w:rsid w:val="795BD8C7"/>
    <w:rsid w:val="7968B03E"/>
    <w:rsid w:val="796E7467"/>
    <w:rsid w:val="7970DCB1"/>
    <w:rsid w:val="7976C22C"/>
    <w:rsid w:val="79828993"/>
    <w:rsid w:val="798A14BB"/>
    <w:rsid w:val="79969F31"/>
    <w:rsid w:val="7998E521"/>
    <w:rsid w:val="79B49611"/>
    <w:rsid w:val="79BA8846"/>
    <w:rsid w:val="79BEBCD5"/>
    <w:rsid w:val="79E273A8"/>
    <w:rsid w:val="79F133D1"/>
    <w:rsid w:val="79F28659"/>
    <w:rsid w:val="79F6A139"/>
    <w:rsid w:val="79FB5D3D"/>
    <w:rsid w:val="7A0DB730"/>
    <w:rsid w:val="7A143DA4"/>
    <w:rsid w:val="7A1657C2"/>
    <w:rsid w:val="7A1D763C"/>
    <w:rsid w:val="7A213870"/>
    <w:rsid w:val="7A213BDB"/>
    <w:rsid w:val="7A27F60B"/>
    <w:rsid w:val="7A315900"/>
    <w:rsid w:val="7A36CA11"/>
    <w:rsid w:val="7A36EB4E"/>
    <w:rsid w:val="7A3A04CC"/>
    <w:rsid w:val="7A3C5AB1"/>
    <w:rsid w:val="7A442F91"/>
    <w:rsid w:val="7A51ABEF"/>
    <w:rsid w:val="7A5BD306"/>
    <w:rsid w:val="7A5DF671"/>
    <w:rsid w:val="7A6321F8"/>
    <w:rsid w:val="7A6C2916"/>
    <w:rsid w:val="7A78938A"/>
    <w:rsid w:val="7A9753CE"/>
    <w:rsid w:val="7AA53C1E"/>
    <w:rsid w:val="7AA5F5B8"/>
    <w:rsid w:val="7AA7B99E"/>
    <w:rsid w:val="7AA7D4E1"/>
    <w:rsid w:val="7AAE4656"/>
    <w:rsid w:val="7AB1FD69"/>
    <w:rsid w:val="7ABD30C3"/>
    <w:rsid w:val="7ACBE83C"/>
    <w:rsid w:val="7ACD4C17"/>
    <w:rsid w:val="7ADE42BB"/>
    <w:rsid w:val="7ADEB674"/>
    <w:rsid w:val="7AE7BA70"/>
    <w:rsid w:val="7AFBA49E"/>
    <w:rsid w:val="7B0070D6"/>
    <w:rsid w:val="7B02BEA4"/>
    <w:rsid w:val="7B08EB12"/>
    <w:rsid w:val="7B102DBE"/>
    <w:rsid w:val="7B10669E"/>
    <w:rsid w:val="7B1AD27B"/>
    <w:rsid w:val="7B226725"/>
    <w:rsid w:val="7B255857"/>
    <w:rsid w:val="7B271C6C"/>
    <w:rsid w:val="7B35464D"/>
    <w:rsid w:val="7B3CE62F"/>
    <w:rsid w:val="7B3DF553"/>
    <w:rsid w:val="7B56F682"/>
    <w:rsid w:val="7B582A02"/>
    <w:rsid w:val="7B6F25E8"/>
    <w:rsid w:val="7B772A2B"/>
    <w:rsid w:val="7B7A4EEE"/>
    <w:rsid w:val="7B8D537D"/>
    <w:rsid w:val="7B9A3C66"/>
    <w:rsid w:val="7B9E1843"/>
    <w:rsid w:val="7BB3BC09"/>
    <w:rsid w:val="7BBCF879"/>
    <w:rsid w:val="7BBD7E2F"/>
    <w:rsid w:val="7BCA0111"/>
    <w:rsid w:val="7BCFCE78"/>
    <w:rsid w:val="7BD027A4"/>
    <w:rsid w:val="7BD0863D"/>
    <w:rsid w:val="7BD25793"/>
    <w:rsid w:val="7BD4F068"/>
    <w:rsid w:val="7BEF3876"/>
    <w:rsid w:val="7BF2D87E"/>
    <w:rsid w:val="7BF5EE2E"/>
    <w:rsid w:val="7BFD1E9B"/>
    <w:rsid w:val="7C057F88"/>
    <w:rsid w:val="7C064FE6"/>
    <w:rsid w:val="7C0872BA"/>
    <w:rsid w:val="7C0A0AA9"/>
    <w:rsid w:val="7C0AE605"/>
    <w:rsid w:val="7C0DDE7B"/>
    <w:rsid w:val="7C14B6AF"/>
    <w:rsid w:val="7C17448C"/>
    <w:rsid w:val="7C1BE268"/>
    <w:rsid w:val="7C277AAE"/>
    <w:rsid w:val="7C2D3234"/>
    <w:rsid w:val="7C2FFE09"/>
    <w:rsid w:val="7C34CFB3"/>
    <w:rsid w:val="7C3BF6A4"/>
    <w:rsid w:val="7C40737B"/>
    <w:rsid w:val="7C465F2E"/>
    <w:rsid w:val="7C511947"/>
    <w:rsid w:val="7C5559AA"/>
    <w:rsid w:val="7C5C099B"/>
    <w:rsid w:val="7C6A40F6"/>
    <w:rsid w:val="7C736871"/>
    <w:rsid w:val="7C7640C4"/>
    <w:rsid w:val="7C7BE8F5"/>
    <w:rsid w:val="7C84A1FD"/>
    <w:rsid w:val="7C84C439"/>
    <w:rsid w:val="7C8BF417"/>
    <w:rsid w:val="7C9E4633"/>
    <w:rsid w:val="7CA19366"/>
    <w:rsid w:val="7CA71760"/>
    <w:rsid w:val="7CA861A5"/>
    <w:rsid w:val="7CAC3084"/>
    <w:rsid w:val="7CAD367B"/>
    <w:rsid w:val="7CBA13A7"/>
    <w:rsid w:val="7CBADA7B"/>
    <w:rsid w:val="7CD958EA"/>
    <w:rsid w:val="7CDAB02A"/>
    <w:rsid w:val="7CEA150F"/>
    <w:rsid w:val="7CEFC3CF"/>
    <w:rsid w:val="7D0B4721"/>
    <w:rsid w:val="7D0E98DD"/>
    <w:rsid w:val="7D10C27E"/>
    <w:rsid w:val="7D12FE35"/>
    <w:rsid w:val="7D1C0119"/>
    <w:rsid w:val="7D27E8A8"/>
    <w:rsid w:val="7D2A593C"/>
    <w:rsid w:val="7D2B34AE"/>
    <w:rsid w:val="7D35975B"/>
    <w:rsid w:val="7D42A611"/>
    <w:rsid w:val="7D481A20"/>
    <w:rsid w:val="7D508C2A"/>
    <w:rsid w:val="7D5D8AEB"/>
    <w:rsid w:val="7D686D9C"/>
    <w:rsid w:val="7D884052"/>
    <w:rsid w:val="7D94375D"/>
    <w:rsid w:val="7D95CEB4"/>
    <w:rsid w:val="7D97ECDE"/>
    <w:rsid w:val="7DAD3C4F"/>
    <w:rsid w:val="7DB502C3"/>
    <w:rsid w:val="7DC5BC02"/>
    <w:rsid w:val="7DDF640E"/>
    <w:rsid w:val="7DE55CB8"/>
    <w:rsid w:val="7DEA1A3E"/>
    <w:rsid w:val="7DEFCD97"/>
    <w:rsid w:val="7DF13677"/>
    <w:rsid w:val="7DF21E79"/>
    <w:rsid w:val="7DF225FD"/>
    <w:rsid w:val="7DF4F506"/>
    <w:rsid w:val="7DFA99C6"/>
    <w:rsid w:val="7DFD281F"/>
    <w:rsid w:val="7DFE9DA0"/>
    <w:rsid w:val="7E053944"/>
    <w:rsid w:val="7E062D91"/>
    <w:rsid w:val="7E11C483"/>
    <w:rsid w:val="7E1400C8"/>
    <w:rsid w:val="7E1C2639"/>
    <w:rsid w:val="7E1C2FF4"/>
    <w:rsid w:val="7E2CF8E8"/>
    <w:rsid w:val="7E30C632"/>
    <w:rsid w:val="7E380014"/>
    <w:rsid w:val="7E3CCB22"/>
    <w:rsid w:val="7E4FB290"/>
    <w:rsid w:val="7E5910DA"/>
    <w:rsid w:val="7E5A2523"/>
    <w:rsid w:val="7E5B55B4"/>
    <w:rsid w:val="7E60D62A"/>
    <w:rsid w:val="7E66C8D5"/>
    <w:rsid w:val="7E7DD1E8"/>
    <w:rsid w:val="7E8586E4"/>
    <w:rsid w:val="7E9798A1"/>
    <w:rsid w:val="7E9C8427"/>
    <w:rsid w:val="7EA37910"/>
    <w:rsid w:val="7EA46207"/>
    <w:rsid w:val="7EAA5CEF"/>
    <w:rsid w:val="7EB04E24"/>
    <w:rsid w:val="7EB47645"/>
    <w:rsid w:val="7EB83336"/>
    <w:rsid w:val="7EC5FC5D"/>
    <w:rsid w:val="7ECB21DD"/>
    <w:rsid w:val="7ED9FE55"/>
    <w:rsid w:val="7EEB6867"/>
    <w:rsid w:val="7F0420B9"/>
    <w:rsid w:val="7F04A32F"/>
    <w:rsid w:val="7F0555F7"/>
    <w:rsid w:val="7F064135"/>
    <w:rsid w:val="7F0692D1"/>
    <w:rsid w:val="7F069481"/>
    <w:rsid w:val="7F0855B5"/>
    <w:rsid w:val="7F0DD9FE"/>
    <w:rsid w:val="7F18ADDF"/>
    <w:rsid w:val="7F1F0DD3"/>
    <w:rsid w:val="7F289893"/>
    <w:rsid w:val="7F3E3C23"/>
    <w:rsid w:val="7F3FA8E3"/>
    <w:rsid w:val="7F453C84"/>
    <w:rsid w:val="7F5035E9"/>
    <w:rsid w:val="7F5B6138"/>
    <w:rsid w:val="7F5D0325"/>
    <w:rsid w:val="7F5F384B"/>
    <w:rsid w:val="7F612CC5"/>
    <w:rsid w:val="7F65146B"/>
    <w:rsid w:val="7F69A4C6"/>
    <w:rsid w:val="7F6B7E01"/>
    <w:rsid w:val="7F6C2229"/>
    <w:rsid w:val="7F6F776B"/>
    <w:rsid w:val="7F76C648"/>
    <w:rsid w:val="7F843B1E"/>
    <w:rsid w:val="7F86C239"/>
    <w:rsid w:val="7F89FC75"/>
    <w:rsid w:val="7F8E12B2"/>
    <w:rsid w:val="7F8E91DB"/>
    <w:rsid w:val="7F8EF98D"/>
    <w:rsid w:val="7F963D8F"/>
    <w:rsid w:val="7F97547D"/>
    <w:rsid w:val="7F9AC198"/>
    <w:rsid w:val="7F9DA4F3"/>
    <w:rsid w:val="7F9ED54A"/>
    <w:rsid w:val="7F9EE1F9"/>
    <w:rsid w:val="7FAB50C7"/>
    <w:rsid w:val="7FAB656E"/>
    <w:rsid w:val="7FAF3080"/>
    <w:rsid w:val="7FC22463"/>
    <w:rsid w:val="7FC3647F"/>
    <w:rsid w:val="7FCA4F28"/>
    <w:rsid w:val="7FCCE763"/>
    <w:rsid w:val="7FD7D288"/>
    <w:rsid w:val="7FD92707"/>
    <w:rsid w:val="7FDBB970"/>
    <w:rsid w:val="7FDDD038"/>
    <w:rsid w:val="7FECC629"/>
    <w:rsid w:val="7FF0100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45FBA"/>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D6"/>
    <w:pPr>
      <w:spacing w:after="160" w:line="264" w:lineRule="auto"/>
    </w:pPr>
    <w:rPr>
      <w:sz w:val="22"/>
    </w:rPr>
  </w:style>
  <w:style w:type="paragraph" w:styleId="Heading1">
    <w:name w:val="heading 1"/>
    <w:basedOn w:val="Normal"/>
    <w:next w:val="Normal"/>
    <w:link w:val="Heading1Char"/>
    <w:uiPriority w:val="2"/>
    <w:qFormat/>
    <w:rsid w:val="00AA4AF4"/>
    <w:pPr>
      <w:keepNext/>
      <w:keepLines/>
      <w:spacing w:before="360" w:line="240" w:lineRule="auto"/>
      <w:outlineLvl w:val="0"/>
    </w:pPr>
    <w:rPr>
      <w:rFonts w:ascii="Segoe UI" w:eastAsiaTheme="majorEastAsia" w:hAnsi="Segoe UI" w:cstheme="majorBidi"/>
      <w:b/>
      <w:color w:val="092B57" w:themeColor="accent1"/>
      <w:sz w:val="48"/>
      <w:szCs w:val="40"/>
    </w:rPr>
  </w:style>
  <w:style w:type="paragraph" w:styleId="Heading2">
    <w:name w:val="heading 2"/>
    <w:basedOn w:val="Normal"/>
    <w:next w:val="Normal"/>
    <w:link w:val="Heading2Char"/>
    <w:uiPriority w:val="2"/>
    <w:qFormat/>
    <w:rsid w:val="00830846"/>
    <w:pPr>
      <w:keepNext/>
      <w:keepLines/>
      <w:spacing w:before="240" w:line="240" w:lineRule="auto"/>
      <w:outlineLvl w:val="1"/>
    </w:pPr>
    <w:rPr>
      <w:rFonts w:ascii="Segoe UI" w:eastAsiaTheme="majorEastAsia" w:hAnsi="Segoe UI" w:cstheme="majorBidi"/>
      <w:color w:val="092B57" w:themeColor="accent1"/>
      <w:sz w:val="36"/>
      <w:szCs w:val="28"/>
    </w:rPr>
  </w:style>
  <w:style w:type="paragraph" w:styleId="Heading3">
    <w:name w:val="heading 3"/>
    <w:basedOn w:val="Heading4"/>
    <w:next w:val="Normal"/>
    <w:link w:val="Heading3Char"/>
    <w:uiPriority w:val="2"/>
    <w:qFormat/>
    <w:rsid w:val="006147EB"/>
    <w:pPr>
      <w:outlineLvl w:val="2"/>
    </w:pPr>
    <w:rPr>
      <w:color w:val="092B57" w:themeColor="accent1"/>
      <w:sz w:val="24"/>
      <w:szCs w:val="24"/>
    </w:rPr>
  </w:style>
  <w:style w:type="paragraph" w:styleId="Heading4">
    <w:name w:val="heading 4"/>
    <w:basedOn w:val="Normal"/>
    <w:next w:val="Normal"/>
    <w:link w:val="Heading4Char"/>
    <w:uiPriority w:val="2"/>
    <w:qFormat/>
    <w:rsid w:val="006147EB"/>
    <w:pPr>
      <w:keepNext/>
      <w:keepLines/>
      <w:spacing w:before="240"/>
      <w:outlineLvl w:val="3"/>
    </w:pPr>
    <w:rPr>
      <w:rFonts w:eastAsiaTheme="majorEastAsia" w:cstheme="minorHAnsi"/>
      <w:b/>
      <w:color w:val="3266AB"/>
      <w:szCs w:val="22"/>
    </w:rPr>
  </w:style>
  <w:style w:type="paragraph" w:styleId="Heading5">
    <w:name w:val="heading 5"/>
    <w:basedOn w:val="Normal"/>
    <w:next w:val="Normal"/>
    <w:link w:val="Heading5Char"/>
    <w:uiPriority w:val="2"/>
    <w:unhideWhenUsed/>
    <w:rsid w:val="00857363"/>
    <w:pPr>
      <w:keepNext/>
      <w:keepLines/>
      <w:spacing w:before="240"/>
      <w:outlineLvl w:val="4"/>
    </w:pPr>
    <w:rPr>
      <w:rFonts w:eastAsiaTheme="majorEastAsia" w:cstheme="majorBid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A4AF4"/>
    <w:rPr>
      <w:rFonts w:ascii="Segoe UI" w:eastAsiaTheme="majorEastAsia" w:hAnsi="Segoe UI" w:cstheme="majorBidi"/>
      <w:b/>
      <w:color w:val="092B57"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830846"/>
    <w:rPr>
      <w:rFonts w:ascii="Segoe UI" w:eastAsiaTheme="majorEastAsia" w:hAnsi="Segoe UI" w:cstheme="majorBidi"/>
      <w:color w:val="092B57"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092B57" w:themeColor="accent1"/>
      <w:sz w:val="24"/>
      <w:szCs w:val="24"/>
    </w:rPr>
  </w:style>
  <w:style w:type="character" w:customStyle="1" w:styleId="Heading4Char">
    <w:name w:val="Heading 4 Char"/>
    <w:basedOn w:val="DefaultParagraphFont"/>
    <w:link w:val="Heading4"/>
    <w:uiPriority w:val="2"/>
    <w:rsid w:val="006147EB"/>
    <w:rPr>
      <w:rFonts w:eastAsiaTheme="majorEastAsia" w:cstheme="minorHAnsi"/>
      <w:b/>
      <w:color w:val="3266AB"/>
      <w:sz w:val="22"/>
      <w:szCs w:val="22"/>
    </w:rPr>
  </w:style>
  <w:style w:type="character" w:customStyle="1" w:styleId="Heading5Char">
    <w:name w:val="Heading 5 Char"/>
    <w:basedOn w:val="DefaultParagraphFont"/>
    <w:link w:val="Heading5"/>
    <w:uiPriority w:val="2"/>
    <w:rsid w:val="00857363"/>
    <w:rPr>
      <w:rFonts w:eastAsiaTheme="majorEastAsia" w:cstheme="majorBid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857363"/>
    <w:pPr>
      <w:spacing w:before="240"/>
      <w:ind w:left="720" w:right="720"/>
    </w:pPr>
    <w:rPr>
      <w:i/>
      <w:iCs/>
      <w:color w:val="3266AB"/>
    </w:rPr>
  </w:style>
  <w:style w:type="character" w:customStyle="1" w:styleId="QuoteChar">
    <w:name w:val="Quote Char"/>
    <w:basedOn w:val="DefaultParagraphFont"/>
    <w:link w:val="Quote"/>
    <w:uiPriority w:val="16"/>
    <w:rsid w:val="00857363"/>
    <w:rPr>
      <w:i/>
      <w:iCs/>
      <w:color w:val="3266AB"/>
      <w:sz w:val="22"/>
    </w:rPr>
  </w:style>
  <w:style w:type="paragraph" w:styleId="IntenseQuote">
    <w:name w:val="Intense Quote"/>
    <w:basedOn w:val="Normal"/>
    <w:next w:val="Normal"/>
    <w:link w:val="IntenseQuoteChar"/>
    <w:uiPriority w:val="17"/>
    <w:qFormat/>
    <w:rsid w:val="00857363"/>
    <w:pPr>
      <w:spacing w:before="120"/>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857363"/>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qFormat/>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F86700"/>
    <w:pPr>
      <w:jc w:val="center"/>
    </w:pPr>
    <w:rPr>
      <w:rFonts w:ascii="Segoe UI" w:hAnsi="Segoe UI"/>
      <w:caps/>
      <w:color w:val="C00000"/>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F86700"/>
    <w:rPr>
      <w:rFonts w:ascii="Segoe UI" w:hAnsi="Segoe UI"/>
      <w:caps/>
      <w:color w:val="C00000"/>
      <w:sz w:val="18"/>
    </w:rPr>
  </w:style>
  <w:style w:type="paragraph" w:customStyle="1" w:styleId="BOXText">
    <w:name w:val="BOX Text"/>
    <w:basedOn w:val="Normal"/>
    <w:uiPriority w:val="4"/>
    <w:qFormat/>
    <w:rsid w:val="006147EB"/>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1D75E7" w:themeColor="accent1" w:themeTint="99"/>
        <w:left w:val="single" w:sz="4" w:space="0" w:color="1D75E7" w:themeColor="accent1" w:themeTint="99"/>
        <w:bottom w:val="single" w:sz="4" w:space="0" w:color="1D75E7" w:themeColor="accent1" w:themeTint="99"/>
        <w:right w:val="single" w:sz="4" w:space="0" w:color="1D75E7" w:themeColor="accent1" w:themeTint="99"/>
        <w:insideH w:val="single" w:sz="4" w:space="0" w:color="1D75E7" w:themeColor="accent1" w:themeTint="99"/>
      </w:tblBorders>
    </w:tblPr>
    <w:tblStylePr w:type="firstRow">
      <w:rPr>
        <w:b/>
        <w:bCs/>
        <w:color w:val="FFFFFF" w:themeColor="background1"/>
      </w:rPr>
      <w:tblPr/>
      <w:tcPr>
        <w:tcBorders>
          <w:top w:val="single" w:sz="4" w:space="0" w:color="092B57" w:themeColor="accent1"/>
          <w:left w:val="single" w:sz="4" w:space="0" w:color="092B57" w:themeColor="accent1"/>
          <w:bottom w:val="single" w:sz="4" w:space="0" w:color="092B57" w:themeColor="accent1"/>
          <w:right w:val="single" w:sz="4" w:space="0" w:color="092B57" w:themeColor="accent1"/>
          <w:insideH w:val="nil"/>
        </w:tcBorders>
        <w:shd w:val="clear" w:color="auto" w:fill="092B57" w:themeFill="accent1"/>
      </w:tcPr>
    </w:tblStylePr>
    <w:tblStylePr w:type="lastRow">
      <w:rPr>
        <w:b/>
        <w:bCs/>
      </w:rPr>
      <w:tblPr/>
      <w:tcPr>
        <w:tcBorders>
          <w:top w:val="double" w:sz="4" w:space="0" w:color="1D75E7" w:themeColor="accent1" w:themeTint="99"/>
        </w:tcBorders>
      </w:tcPr>
    </w:tblStylePr>
    <w:tblStylePr w:type="firstCol">
      <w:rPr>
        <w:b/>
        <w:bCs/>
      </w:rPr>
    </w:tblStylePr>
    <w:tblStylePr w:type="lastCol">
      <w:rPr>
        <w:b/>
        <w:bCs/>
      </w:rPr>
    </w:tblStylePr>
    <w:tblStylePr w:type="band1Vert">
      <w:tblPr/>
      <w:tcPr>
        <w:shd w:val="clear" w:color="auto" w:fill="B3D1F7" w:themeFill="accent1" w:themeFillTint="33"/>
      </w:tcPr>
    </w:tblStylePr>
    <w:tblStylePr w:type="band1Horz">
      <w:tblPr/>
      <w:tcPr>
        <w:shd w:val="clear" w:color="auto" w:fill="B3D1F7" w:themeFill="accent1" w:themeFillTint="33"/>
      </w:tcPr>
    </w:tblStylePr>
  </w:style>
  <w:style w:type="paragraph" w:customStyle="1" w:styleId="Figure">
    <w:name w:val="Figure"/>
    <w:basedOn w:val="Normal"/>
    <w:uiPriority w:val="2"/>
    <w:qFormat/>
    <w:rsid w:val="006147EB"/>
    <w:pPr>
      <w:spacing w:before="240"/>
      <w:ind w:left="567" w:hanging="567"/>
    </w:pPr>
    <w:rPr>
      <w:rFonts w:ascii="Segoe UI" w:hAnsi="Segoe UI" w:cs="Segoe UI"/>
      <w:color w:val="3266AB"/>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2"/>
      </w:numPr>
      <w:ind w:left="206" w:hanging="206"/>
    </w:pPr>
  </w:style>
  <w:style w:type="paragraph" w:customStyle="1" w:styleId="TBLNumberedList">
    <w:name w:val="TBL Numbered List"/>
    <w:basedOn w:val="TBLText"/>
    <w:uiPriority w:val="10"/>
    <w:qFormat/>
    <w:rsid w:val="00E05FA4"/>
    <w:pPr>
      <w:numPr>
        <w:numId w:val="3"/>
      </w:numPr>
      <w:ind w:left="270" w:hanging="270"/>
    </w:pPr>
  </w:style>
  <w:style w:type="paragraph" w:customStyle="1" w:styleId="BOXHeading3">
    <w:name w:val="BOX Heading 3"/>
    <w:basedOn w:val="BOXHeading2"/>
    <w:next w:val="BOXText"/>
    <w:uiPriority w:val="6"/>
    <w:qFormat/>
    <w:rsid w:val="00857363"/>
    <w:pPr>
      <w:outlineLvl w:val="2"/>
    </w:pPr>
    <w:rPr>
      <w:rFonts w:asciiTheme="minorHAnsi" w:hAnsiTheme="minorHAnsi" w:cstheme="minorHAnsi"/>
      <w:b/>
      <w:sz w:val="24"/>
      <w:szCs w:val="26"/>
    </w:rPr>
  </w:style>
  <w:style w:type="paragraph" w:styleId="ListParagraph">
    <w:name w:val="List Paragraph"/>
    <w:basedOn w:val="Normal"/>
    <w:uiPriority w:val="34"/>
    <w:unhideWhenUsed/>
    <w:qFormat/>
    <w:rsid w:val="005917FD"/>
    <w:pPr>
      <w:ind w:left="720"/>
      <w:contextualSpacing/>
    </w:pPr>
  </w:style>
  <w:style w:type="paragraph" w:customStyle="1" w:styleId="BulletedList-Level1">
    <w:name w:val="Bulleted List - Level 1"/>
    <w:basedOn w:val="ListParagraph"/>
    <w:uiPriority w:val="1"/>
    <w:qFormat/>
    <w:rsid w:val="00BD171D"/>
    <w:pPr>
      <w:numPr>
        <w:numId w:val="4"/>
      </w:numPr>
    </w:pPr>
  </w:style>
  <w:style w:type="paragraph" w:customStyle="1" w:styleId="BulletedList-Level2">
    <w:name w:val="Bulleted List - Level 2"/>
    <w:basedOn w:val="BulletedList-Level1"/>
    <w:uiPriority w:val="1"/>
    <w:qFormat/>
    <w:rsid w:val="00BD171D"/>
    <w:pPr>
      <w:numPr>
        <w:numId w:val="8"/>
      </w:numPr>
    </w:pPr>
  </w:style>
  <w:style w:type="paragraph" w:customStyle="1" w:styleId="BulletedList-Level3">
    <w:name w:val="Bulleted List - Level 3"/>
    <w:basedOn w:val="ListParagraph"/>
    <w:uiPriority w:val="1"/>
    <w:qFormat/>
    <w:rsid w:val="00BD171D"/>
    <w:pPr>
      <w:numPr>
        <w:numId w:val="9"/>
      </w:numPr>
      <w:ind w:left="1135" w:hanging="284"/>
    </w:pPr>
  </w:style>
  <w:style w:type="paragraph" w:customStyle="1" w:styleId="NumberedList-Level1">
    <w:name w:val="Numbered List - Level 1"/>
    <w:basedOn w:val="ListParagraph"/>
    <w:uiPriority w:val="1"/>
    <w:qFormat/>
    <w:rsid w:val="00BD171D"/>
    <w:pPr>
      <w:numPr>
        <w:numId w:val="5"/>
      </w:numPr>
      <w:ind w:left="568" w:hanging="284"/>
    </w:pPr>
  </w:style>
  <w:style w:type="paragraph" w:customStyle="1" w:styleId="NumberedList-level2">
    <w:name w:val="Numbered List - level 2"/>
    <w:basedOn w:val="ListParagraph"/>
    <w:uiPriority w:val="1"/>
    <w:qFormat/>
    <w:rsid w:val="00BD171D"/>
    <w:pPr>
      <w:numPr>
        <w:ilvl w:val="1"/>
        <w:numId w:val="5"/>
      </w:numPr>
    </w:pPr>
  </w:style>
  <w:style w:type="paragraph" w:customStyle="1" w:styleId="NumberedList-Level3">
    <w:name w:val="Numbered List - Level 3"/>
    <w:basedOn w:val="ListParagraph"/>
    <w:uiPriority w:val="1"/>
    <w:qFormat/>
    <w:rsid w:val="00BD171D"/>
    <w:pPr>
      <w:numPr>
        <w:ilvl w:val="2"/>
        <w:numId w:val="5"/>
      </w:numPr>
    </w:pPr>
  </w:style>
  <w:style w:type="paragraph" w:customStyle="1" w:styleId="BoxDark-HeadingLevel1">
    <w:name w:val="Box Dark - Heading Level 1"/>
    <w:basedOn w:val="BOXHeading2"/>
    <w:uiPriority w:val="9"/>
    <w:rsid w:val="00311C2D"/>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color w:val="FFFFFF" w:themeColor="background1"/>
    </w:rPr>
  </w:style>
  <w:style w:type="paragraph" w:styleId="TOC1">
    <w:name w:val="toc 1"/>
    <w:basedOn w:val="Normal"/>
    <w:next w:val="Normal"/>
    <w:autoRedefine/>
    <w:uiPriority w:val="39"/>
    <w:unhideWhenUsed/>
    <w:rsid w:val="00F34A6C"/>
    <w:pPr>
      <w:tabs>
        <w:tab w:val="right" w:leader="dot" w:pos="9615"/>
      </w:tabs>
      <w:spacing w:after="0"/>
    </w:pPr>
    <w:rPr>
      <w:b/>
    </w:rPr>
  </w:style>
  <w:style w:type="paragraph" w:styleId="TOC2">
    <w:name w:val="toc 2"/>
    <w:basedOn w:val="Normal"/>
    <w:next w:val="Normal"/>
    <w:autoRedefine/>
    <w:uiPriority w:val="39"/>
    <w:unhideWhenUsed/>
    <w:rsid w:val="00665091"/>
    <w:pPr>
      <w:tabs>
        <w:tab w:val="right" w:leader="dot" w:pos="9628"/>
      </w:tabs>
      <w:spacing w:after="0"/>
      <w:ind w:left="221"/>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1B375C" w:themeColor="hyperlink"/>
      <w:u w:val="single"/>
    </w:rPr>
  </w:style>
  <w:style w:type="paragraph" w:customStyle="1" w:styleId="BoxDark-HeadingLevel3">
    <w:name w:val="Box Dark - Heading Level 3"/>
    <w:basedOn w:val="BOXHeading3"/>
    <w:uiPriority w:val="9"/>
    <w:rsid w:val="00311C2D"/>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color w:val="FFFFFF" w:themeColor="background1"/>
    </w:rPr>
  </w:style>
  <w:style w:type="paragraph" w:customStyle="1" w:styleId="BoxDark-Text">
    <w:name w:val="Box Dark - Text"/>
    <w:basedOn w:val="BOXText"/>
    <w:uiPriority w:val="7"/>
    <w:rsid w:val="00FE2C7F"/>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rFonts w:ascii="Segoe UI Semilight" w:hAnsi="Segoe UI Semilight"/>
    </w:rPr>
  </w:style>
  <w:style w:type="paragraph" w:customStyle="1" w:styleId="BOXNumberedList">
    <w:name w:val="BOX Numbered List"/>
    <w:basedOn w:val="BOXText"/>
    <w:uiPriority w:val="5"/>
    <w:qFormat/>
    <w:rsid w:val="00BD171D"/>
    <w:pPr>
      <w:numPr>
        <w:numId w:val="6"/>
      </w:numPr>
      <w:ind w:left="584" w:hanging="357"/>
    </w:pPr>
  </w:style>
  <w:style w:type="paragraph" w:customStyle="1" w:styleId="BoxDark-NumberedList">
    <w:name w:val="Box Dark - Numbered List"/>
    <w:basedOn w:val="BOXNumberedList"/>
    <w:uiPriority w:val="8"/>
    <w:rsid w:val="00FE2C7F"/>
    <w:pPr>
      <w:numPr>
        <w:numId w:val="7"/>
      </w:num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092B57" w:themeColor="accent1"/>
        <w:bottom w:val="single" w:sz="12" w:space="0" w:color="092B57" w:themeColor="accent1"/>
        <w:insideH w:val="single" w:sz="4" w:space="0" w:color="092B57" w:themeColor="accent1"/>
      </w:tblBorders>
      <w:tblCellMar>
        <w:top w:w="57" w:type="dxa"/>
        <w:bottom w:w="57" w:type="dxa"/>
      </w:tblCellMar>
    </w:tblPr>
    <w:tblStylePr w:type="firstRow">
      <w:rPr>
        <w:rFonts w:asciiTheme="minorHAnsi" w:hAnsiTheme="minorHAnsi"/>
        <w:b/>
        <w:sz w:val="18"/>
      </w:rPr>
      <w:tblPr/>
      <w:tcPr>
        <w:shd w:val="clear" w:color="auto" w:fill="092B57" w:themeFill="accent1"/>
      </w:tcPr>
    </w:tblStylePr>
    <w:tblStylePr w:type="band1Horz">
      <w:tblPr/>
      <w:tcPr>
        <w:shd w:val="clear" w:color="auto" w:fill="E0E8F2" w:themeFill="background2"/>
      </w:tcPr>
    </w:tblStylePr>
  </w:style>
  <w:style w:type="table" w:customStyle="1" w:styleId="Style1">
    <w:name w:val="Style1"/>
    <w:basedOn w:val="Custom1"/>
    <w:uiPriority w:val="99"/>
    <w:rsid w:val="00815583"/>
    <w:tblPr>
      <w:tblBorders>
        <w:top w:val="none" w:sz="0" w:space="0" w:color="auto"/>
        <w:left w:val="single" w:sz="4" w:space="0" w:color="092B57" w:themeColor="accent1"/>
        <w:bottom w:val="single" w:sz="4" w:space="0" w:color="092B57" w:themeColor="accent1"/>
        <w:right w:val="single" w:sz="4" w:space="0" w:color="092B57" w:themeColor="accent1"/>
        <w:insideH w:val="none" w:sz="0" w:space="0" w:color="auto"/>
        <w:insideV w:val="single" w:sz="4" w:space="0" w:color="092B57" w:themeColor="accent1"/>
      </w:tblBorders>
    </w:tblPr>
    <w:tblStylePr w:type="firstRow">
      <w:rPr>
        <w:rFonts w:asciiTheme="minorHAnsi" w:hAnsiTheme="minorHAnsi"/>
        <w:b/>
        <w:sz w:val="18"/>
      </w:rPr>
      <w:tblPr/>
      <w:tcPr>
        <w:shd w:val="clear" w:color="auto" w:fill="092B57" w:themeFill="accent1"/>
      </w:tcPr>
    </w:tblStylePr>
    <w:tblStylePr w:type="firstCol">
      <w:rPr>
        <w:b/>
      </w:rPr>
      <w:tblPr/>
      <w:tcPr>
        <w:shd w:val="clear" w:color="auto" w:fill="092B57" w:themeFill="accent1"/>
      </w:tcPr>
    </w:tblStylePr>
    <w:tblStylePr w:type="band1Horz">
      <w:tblPr/>
      <w:tcPr>
        <w:shd w:val="clear" w:color="auto" w:fill="E0E8F2" w:themeFill="background2"/>
      </w:tcPr>
    </w:tblStylePr>
  </w:style>
  <w:style w:type="character" w:styleId="FootnoteReference">
    <w:name w:val="footnote reference"/>
    <w:basedOn w:val="DefaultParagraphFont"/>
    <w:uiPriority w:val="99"/>
    <w:semiHidden/>
    <w:unhideWhenUsed/>
    <w:rsid w:val="0031068C"/>
  </w:style>
  <w:style w:type="paragraph" w:styleId="FootnoteText">
    <w:name w:val="footnote text"/>
    <w:basedOn w:val="Normal"/>
    <w:link w:val="FootnoteTextChar"/>
    <w:uiPriority w:val="99"/>
    <w:semiHidden/>
    <w:unhideWhenUsed/>
    <w:rsid w:val="003106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068C"/>
    <w:rPr>
      <w:sz w:val="20"/>
      <w:szCs w:val="20"/>
    </w:rPr>
  </w:style>
  <w:style w:type="character" w:styleId="CommentReference">
    <w:name w:val="annotation reference"/>
    <w:basedOn w:val="DefaultParagraphFont"/>
    <w:uiPriority w:val="99"/>
    <w:semiHidden/>
    <w:unhideWhenUsed/>
    <w:rsid w:val="00611888"/>
    <w:rPr>
      <w:sz w:val="16"/>
      <w:szCs w:val="16"/>
    </w:rPr>
  </w:style>
  <w:style w:type="paragraph" w:styleId="CommentText">
    <w:name w:val="annotation text"/>
    <w:basedOn w:val="Normal"/>
    <w:link w:val="CommentTextChar"/>
    <w:uiPriority w:val="99"/>
    <w:unhideWhenUsed/>
    <w:rsid w:val="00611888"/>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611888"/>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611888"/>
    <w:rPr>
      <w:rFonts w:eastAsiaTheme="minorEastAsia"/>
      <w:b/>
      <w:bCs/>
    </w:rPr>
  </w:style>
  <w:style w:type="character" w:customStyle="1" w:styleId="CommentSubjectChar">
    <w:name w:val="Comment Subject Char"/>
    <w:basedOn w:val="CommentTextChar"/>
    <w:link w:val="CommentSubject"/>
    <w:uiPriority w:val="99"/>
    <w:semiHidden/>
    <w:rsid w:val="00611888"/>
    <w:rPr>
      <w:rFonts w:eastAsiaTheme="minorHAnsi"/>
      <w:b/>
      <w:bCs/>
      <w:sz w:val="20"/>
      <w:szCs w:val="20"/>
    </w:rPr>
  </w:style>
  <w:style w:type="character" w:customStyle="1" w:styleId="normaltextrun">
    <w:name w:val="normaltextrun"/>
    <w:basedOn w:val="DefaultParagraphFont"/>
    <w:rsid w:val="001E6B2C"/>
  </w:style>
  <w:style w:type="paragraph" w:customStyle="1" w:styleId="paragraph">
    <w:name w:val="paragraph"/>
    <w:basedOn w:val="Normal"/>
    <w:rsid w:val="00BF4A5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BF4A50"/>
  </w:style>
  <w:style w:type="character" w:customStyle="1" w:styleId="scxw248168284">
    <w:name w:val="scxw248168284"/>
    <w:basedOn w:val="DefaultParagraphFont"/>
    <w:rsid w:val="00F574DD"/>
  </w:style>
  <w:style w:type="character" w:customStyle="1" w:styleId="superscript">
    <w:name w:val="superscript"/>
    <w:basedOn w:val="DefaultParagraphFont"/>
    <w:rsid w:val="00456232"/>
  </w:style>
  <w:style w:type="character" w:customStyle="1" w:styleId="Mention1">
    <w:name w:val="Mention1"/>
    <w:basedOn w:val="DefaultParagraphFont"/>
    <w:uiPriority w:val="99"/>
    <w:unhideWhenUsed/>
    <w:rsid w:val="00FD5DE3"/>
    <w:rPr>
      <w:color w:val="2B579A"/>
      <w:shd w:val="clear" w:color="auto" w:fill="E6E6E6"/>
    </w:rPr>
  </w:style>
  <w:style w:type="paragraph" w:styleId="Revision">
    <w:name w:val="Revision"/>
    <w:hidden/>
    <w:uiPriority w:val="99"/>
    <w:semiHidden/>
    <w:rsid w:val="004B435C"/>
    <w:pPr>
      <w:spacing w:after="0" w:line="240" w:lineRule="auto"/>
    </w:pPr>
    <w:rPr>
      <w:sz w:val="22"/>
    </w:rPr>
  </w:style>
  <w:style w:type="paragraph" w:styleId="EndnoteText">
    <w:name w:val="endnote text"/>
    <w:basedOn w:val="Normal"/>
    <w:link w:val="EndnoteTextChar"/>
    <w:uiPriority w:val="99"/>
    <w:semiHidden/>
    <w:unhideWhenUsed/>
    <w:rsid w:val="00C074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7429"/>
    <w:rPr>
      <w:sz w:val="20"/>
      <w:szCs w:val="20"/>
    </w:rPr>
  </w:style>
  <w:style w:type="character" w:styleId="EndnoteReference">
    <w:name w:val="endnote reference"/>
    <w:basedOn w:val="DefaultParagraphFont"/>
    <w:uiPriority w:val="99"/>
    <w:semiHidden/>
    <w:unhideWhenUsed/>
    <w:rsid w:val="00C07429"/>
    <w:rPr>
      <w:vertAlign w:val="superscript"/>
    </w:rPr>
  </w:style>
  <w:style w:type="paragraph" w:styleId="NormalWeb">
    <w:name w:val="Normal (Web)"/>
    <w:basedOn w:val="Normal"/>
    <w:uiPriority w:val="99"/>
    <w:semiHidden/>
    <w:unhideWhenUsed/>
    <w:rsid w:val="00384A0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2024">
      <w:bodyDiv w:val="1"/>
      <w:marLeft w:val="0"/>
      <w:marRight w:val="0"/>
      <w:marTop w:val="0"/>
      <w:marBottom w:val="0"/>
      <w:divBdr>
        <w:top w:val="none" w:sz="0" w:space="0" w:color="auto"/>
        <w:left w:val="none" w:sz="0" w:space="0" w:color="auto"/>
        <w:bottom w:val="none" w:sz="0" w:space="0" w:color="auto"/>
        <w:right w:val="none" w:sz="0" w:space="0" w:color="auto"/>
      </w:divBdr>
      <w:divsChild>
        <w:div w:id="11733402">
          <w:marLeft w:val="0"/>
          <w:marRight w:val="0"/>
          <w:marTop w:val="0"/>
          <w:marBottom w:val="0"/>
          <w:divBdr>
            <w:top w:val="none" w:sz="0" w:space="0" w:color="auto"/>
            <w:left w:val="none" w:sz="0" w:space="0" w:color="auto"/>
            <w:bottom w:val="none" w:sz="0" w:space="0" w:color="auto"/>
            <w:right w:val="none" w:sz="0" w:space="0" w:color="auto"/>
          </w:divBdr>
        </w:div>
        <w:div w:id="1868105318">
          <w:marLeft w:val="0"/>
          <w:marRight w:val="0"/>
          <w:marTop w:val="0"/>
          <w:marBottom w:val="0"/>
          <w:divBdr>
            <w:top w:val="none" w:sz="0" w:space="0" w:color="auto"/>
            <w:left w:val="none" w:sz="0" w:space="0" w:color="auto"/>
            <w:bottom w:val="none" w:sz="0" w:space="0" w:color="auto"/>
            <w:right w:val="none" w:sz="0" w:space="0" w:color="auto"/>
          </w:divBdr>
        </w:div>
        <w:div w:id="2046322470">
          <w:marLeft w:val="0"/>
          <w:marRight w:val="0"/>
          <w:marTop w:val="0"/>
          <w:marBottom w:val="0"/>
          <w:divBdr>
            <w:top w:val="none" w:sz="0" w:space="0" w:color="auto"/>
            <w:left w:val="none" w:sz="0" w:space="0" w:color="auto"/>
            <w:bottom w:val="none" w:sz="0" w:space="0" w:color="auto"/>
            <w:right w:val="none" w:sz="0" w:space="0" w:color="auto"/>
          </w:divBdr>
        </w:div>
        <w:div w:id="876507283">
          <w:marLeft w:val="0"/>
          <w:marRight w:val="0"/>
          <w:marTop w:val="0"/>
          <w:marBottom w:val="0"/>
          <w:divBdr>
            <w:top w:val="none" w:sz="0" w:space="0" w:color="auto"/>
            <w:left w:val="none" w:sz="0" w:space="0" w:color="auto"/>
            <w:bottom w:val="none" w:sz="0" w:space="0" w:color="auto"/>
            <w:right w:val="none" w:sz="0" w:space="0" w:color="auto"/>
          </w:divBdr>
        </w:div>
        <w:div w:id="1711027916">
          <w:marLeft w:val="0"/>
          <w:marRight w:val="0"/>
          <w:marTop w:val="0"/>
          <w:marBottom w:val="0"/>
          <w:divBdr>
            <w:top w:val="none" w:sz="0" w:space="0" w:color="auto"/>
            <w:left w:val="none" w:sz="0" w:space="0" w:color="auto"/>
            <w:bottom w:val="none" w:sz="0" w:space="0" w:color="auto"/>
            <w:right w:val="none" w:sz="0" w:space="0" w:color="auto"/>
          </w:divBdr>
        </w:div>
        <w:div w:id="1595627132">
          <w:marLeft w:val="0"/>
          <w:marRight w:val="0"/>
          <w:marTop w:val="0"/>
          <w:marBottom w:val="0"/>
          <w:divBdr>
            <w:top w:val="none" w:sz="0" w:space="0" w:color="auto"/>
            <w:left w:val="none" w:sz="0" w:space="0" w:color="auto"/>
            <w:bottom w:val="none" w:sz="0" w:space="0" w:color="auto"/>
            <w:right w:val="none" w:sz="0" w:space="0" w:color="auto"/>
          </w:divBdr>
        </w:div>
        <w:div w:id="1951887711">
          <w:marLeft w:val="0"/>
          <w:marRight w:val="0"/>
          <w:marTop w:val="0"/>
          <w:marBottom w:val="0"/>
          <w:divBdr>
            <w:top w:val="none" w:sz="0" w:space="0" w:color="auto"/>
            <w:left w:val="none" w:sz="0" w:space="0" w:color="auto"/>
            <w:bottom w:val="none" w:sz="0" w:space="0" w:color="auto"/>
            <w:right w:val="none" w:sz="0" w:space="0" w:color="auto"/>
          </w:divBdr>
        </w:div>
        <w:div w:id="484931411">
          <w:marLeft w:val="0"/>
          <w:marRight w:val="0"/>
          <w:marTop w:val="0"/>
          <w:marBottom w:val="0"/>
          <w:divBdr>
            <w:top w:val="none" w:sz="0" w:space="0" w:color="auto"/>
            <w:left w:val="none" w:sz="0" w:space="0" w:color="auto"/>
            <w:bottom w:val="none" w:sz="0" w:space="0" w:color="auto"/>
            <w:right w:val="none" w:sz="0" w:space="0" w:color="auto"/>
          </w:divBdr>
        </w:div>
        <w:div w:id="1454053292">
          <w:marLeft w:val="0"/>
          <w:marRight w:val="0"/>
          <w:marTop w:val="0"/>
          <w:marBottom w:val="0"/>
          <w:divBdr>
            <w:top w:val="none" w:sz="0" w:space="0" w:color="auto"/>
            <w:left w:val="none" w:sz="0" w:space="0" w:color="auto"/>
            <w:bottom w:val="none" w:sz="0" w:space="0" w:color="auto"/>
            <w:right w:val="none" w:sz="0" w:space="0" w:color="auto"/>
          </w:divBdr>
        </w:div>
        <w:div w:id="1183322298">
          <w:marLeft w:val="0"/>
          <w:marRight w:val="0"/>
          <w:marTop w:val="0"/>
          <w:marBottom w:val="0"/>
          <w:divBdr>
            <w:top w:val="none" w:sz="0" w:space="0" w:color="auto"/>
            <w:left w:val="none" w:sz="0" w:space="0" w:color="auto"/>
            <w:bottom w:val="none" w:sz="0" w:space="0" w:color="auto"/>
            <w:right w:val="none" w:sz="0" w:space="0" w:color="auto"/>
          </w:divBdr>
        </w:div>
        <w:div w:id="1577545166">
          <w:marLeft w:val="0"/>
          <w:marRight w:val="0"/>
          <w:marTop w:val="0"/>
          <w:marBottom w:val="0"/>
          <w:divBdr>
            <w:top w:val="none" w:sz="0" w:space="0" w:color="auto"/>
            <w:left w:val="none" w:sz="0" w:space="0" w:color="auto"/>
            <w:bottom w:val="none" w:sz="0" w:space="0" w:color="auto"/>
            <w:right w:val="none" w:sz="0" w:space="0" w:color="auto"/>
          </w:divBdr>
        </w:div>
        <w:div w:id="560989003">
          <w:marLeft w:val="0"/>
          <w:marRight w:val="0"/>
          <w:marTop w:val="0"/>
          <w:marBottom w:val="0"/>
          <w:divBdr>
            <w:top w:val="none" w:sz="0" w:space="0" w:color="auto"/>
            <w:left w:val="none" w:sz="0" w:space="0" w:color="auto"/>
            <w:bottom w:val="none" w:sz="0" w:space="0" w:color="auto"/>
            <w:right w:val="none" w:sz="0" w:space="0" w:color="auto"/>
          </w:divBdr>
        </w:div>
        <w:div w:id="1684091371">
          <w:marLeft w:val="0"/>
          <w:marRight w:val="0"/>
          <w:marTop w:val="0"/>
          <w:marBottom w:val="0"/>
          <w:divBdr>
            <w:top w:val="none" w:sz="0" w:space="0" w:color="auto"/>
            <w:left w:val="none" w:sz="0" w:space="0" w:color="auto"/>
            <w:bottom w:val="none" w:sz="0" w:space="0" w:color="auto"/>
            <w:right w:val="none" w:sz="0" w:space="0" w:color="auto"/>
          </w:divBdr>
        </w:div>
        <w:div w:id="269044697">
          <w:marLeft w:val="0"/>
          <w:marRight w:val="0"/>
          <w:marTop w:val="0"/>
          <w:marBottom w:val="0"/>
          <w:divBdr>
            <w:top w:val="none" w:sz="0" w:space="0" w:color="auto"/>
            <w:left w:val="none" w:sz="0" w:space="0" w:color="auto"/>
            <w:bottom w:val="none" w:sz="0" w:space="0" w:color="auto"/>
            <w:right w:val="none" w:sz="0" w:space="0" w:color="auto"/>
          </w:divBdr>
        </w:div>
        <w:div w:id="1524782466">
          <w:marLeft w:val="0"/>
          <w:marRight w:val="0"/>
          <w:marTop w:val="0"/>
          <w:marBottom w:val="0"/>
          <w:divBdr>
            <w:top w:val="none" w:sz="0" w:space="0" w:color="auto"/>
            <w:left w:val="none" w:sz="0" w:space="0" w:color="auto"/>
            <w:bottom w:val="none" w:sz="0" w:space="0" w:color="auto"/>
            <w:right w:val="none" w:sz="0" w:space="0" w:color="auto"/>
          </w:divBdr>
        </w:div>
      </w:divsChild>
    </w:div>
    <w:div w:id="274361706">
      <w:bodyDiv w:val="1"/>
      <w:marLeft w:val="0"/>
      <w:marRight w:val="0"/>
      <w:marTop w:val="0"/>
      <w:marBottom w:val="0"/>
      <w:divBdr>
        <w:top w:val="none" w:sz="0" w:space="0" w:color="auto"/>
        <w:left w:val="none" w:sz="0" w:space="0" w:color="auto"/>
        <w:bottom w:val="none" w:sz="0" w:space="0" w:color="auto"/>
        <w:right w:val="none" w:sz="0" w:space="0" w:color="auto"/>
      </w:divBdr>
    </w:div>
    <w:div w:id="299304772">
      <w:bodyDiv w:val="1"/>
      <w:marLeft w:val="0"/>
      <w:marRight w:val="0"/>
      <w:marTop w:val="0"/>
      <w:marBottom w:val="0"/>
      <w:divBdr>
        <w:top w:val="none" w:sz="0" w:space="0" w:color="auto"/>
        <w:left w:val="none" w:sz="0" w:space="0" w:color="auto"/>
        <w:bottom w:val="none" w:sz="0" w:space="0" w:color="auto"/>
        <w:right w:val="none" w:sz="0" w:space="0" w:color="auto"/>
      </w:divBdr>
    </w:div>
    <w:div w:id="350181398">
      <w:bodyDiv w:val="1"/>
      <w:marLeft w:val="0"/>
      <w:marRight w:val="0"/>
      <w:marTop w:val="0"/>
      <w:marBottom w:val="0"/>
      <w:divBdr>
        <w:top w:val="none" w:sz="0" w:space="0" w:color="auto"/>
        <w:left w:val="none" w:sz="0" w:space="0" w:color="auto"/>
        <w:bottom w:val="none" w:sz="0" w:space="0" w:color="auto"/>
        <w:right w:val="none" w:sz="0" w:space="0" w:color="auto"/>
      </w:divBdr>
    </w:div>
    <w:div w:id="409886829">
      <w:bodyDiv w:val="1"/>
      <w:marLeft w:val="0"/>
      <w:marRight w:val="0"/>
      <w:marTop w:val="0"/>
      <w:marBottom w:val="0"/>
      <w:divBdr>
        <w:top w:val="none" w:sz="0" w:space="0" w:color="auto"/>
        <w:left w:val="none" w:sz="0" w:space="0" w:color="auto"/>
        <w:bottom w:val="none" w:sz="0" w:space="0" w:color="auto"/>
        <w:right w:val="none" w:sz="0" w:space="0" w:color="auto"/>
      </w:divBdr>
      <w:divsChild>
        <w:div w:id="1259482041">
          <w:marLeft w:val="0"/>
          <w:marRight w:val="0"/>
          <w:marTop w:val="0"/>
          <w:marBottom w:val="0"/>
          <w:divBdr>
            <w:top w:val="none" w:sz="0" w:space="0" w:color="auto"/>
            <w:left w:val="none" w:sz="0" w:space="0" w:color="auto"/>
            <w:bottom w:val="none" w:sz="0" w:space="0" w:color="auto"/>
            <w:right w:val="none" w:sz="0" w:space="0" w:color="auto"/>
          </w:divBdr>
        </w:div>
        <w:div w:id="280264518">
          <w:marLeft w:val="0"/>
          <w:marRight w:val="0"/>
          <w:marTop w:val="0"/>
          <w:marBottom w:val="0"/>
          <w:divBdr>
            <w:top w:val="none" w:sz="0" w:space="0" w:color="auto"/>
            <w:left w:val="none" w:sz="0" w:space="0" w:color="auto"/>
            <w:bottom w:val="none" w:sz="0" w:space="0" w:color="auto"/>
            <w:right w:val="none" w:sz="0" w:space="0" w:color="auto"/>
          </w:divBdr>
        </w:div>
        <w:div w:id="1063600227">
          <w:marLeft w:val="0"/>
          <w:marRight w:val="0"/>
          <w:marTop w:val="0"/>
          <w:marBottom w:val="0"/>
          <w:divBdr>
            <w:top w:val="none" w:sz="0" w:space="0" w:color="auto"/>
            <w:left w:val="none" w:sz="0" w:space="0" w:color="auto"/>
            <w:bottom w:val="none" w:sz="0" w:space="0" w:color="auto"/>
            <w:right w:val="none" w:sz="0" w:space="0" w:color="auto"/>
          </w:divBdr>
        </w:div>
        <w:div w:id="1654720092">
          <w:marLeft w:val="0"/>
          <w:marRight w:val="0"/>
          <w:marTop w:val="0"/>
          <w:marBottom w:val="0"/>
          <w:divBdr>
            <w:top w:val="none" w:sz="0" w:space="0" w:color="auto"/>
            <w:left w:val="none" w:sz="0" w:space="0" w:color="auto"/>
            <w:bottom w:val="none" w:sz="0" w:space="0" w:color="auto"/>
            <w:right w:val="none" w:sz="0" w:space="0" w:color="auto"/>
          </w:divBdr>
        </w:div>
        <w:div w:id="248390794">
          <w:marLeft w:val="0"/>
          <w:marRight w:val="0"/>
          <w:marTop w:val="0"/>
          <w:marBottom w:val="0"/>
          <w:divBdr>
            <w:top w:val="none" w:sz="0" w:space="0" w:color="auto"/>
            <w:left w:val="none" w:sz="0" w:space="0" w:color="auto"/>
            <w:bottom w:val="none" w:sz="0" w:space="0" w:color="auto"/>
            <w:right w:val="none" w:sz="0" w:space="0" w:color="auto"/>
          </w:divBdr>
        </w:div>
        <w:div w:id="645665160">
          <w:marLeft w:val="0"/>
          <w:marRight w:val="0"/>
          <w:marTop w:val="0"/>
          <w:marBottom w:val="0"/>
          <w:divBdr>
            <w:top w:val="none" w:sz="0" w:space="0" w:color="auto"/>
            <w:left w:val="none" w:sz="0" w:space="0" w:color="auto"/>
            <w:bottom w:val="none" w:sz="0" w:space="0" w:color="auto"/>
            <w:right w:val="none" w:sz="0" w:space="0" w:color="auto"/>
          </w:divBdr>
        </w:div>
        <w:div w:id="354505346">
          <w:marLeft w:val="0"/>
          <w:marRight w:val="0"/>
          <w:marTop w:val="0"/>
          <w:marBottom w:val="0"/>
          <w:divBdr>
            <w:top w:val="none" w:sz="0" w:space="0" w:color="auto"/>
            <w:left w:val="none" w:sz="0" w:space="0" w:color="auto"/>
            <w:bottom w:val="none" w:sz="0" w:space="0" w:color="auto"/>
            <w:right w:val="none" w:sz="0" w:space="0" w:color="auto"/>
          </w:divBdr>
        </w:div>
        <w:div w:id="875502823">
          <w:marLeft w:val="0"/>
          <w:marRight w:val="0"/>
          <w:marTop w:val="0"/>
          <w:marBottom w:val="0"/>
          <w:divBdr>
            <w:top w:val="none" w:sz="0" w:space="0" w:color="auto"/>
            <w:left w:val="none" w:sz="0" w:space="0" w:color="auto"/>
            <w:bottom w:val="none" w:sz="0" w:space="0" w:color="auto"/>
            <w:right w:val="none" w:sz="0" w:space="0" w:color="auto"/>
          </w:divBdr>
        </w:div>
        <w:div w:id="1289431236">
          <w:marLeft w:val="0"/>
          <w:marRight w:val="0"/>
          <w:marTop w:val="0"/>
          <w:marBottom w:val="0"/>
          <w:divBdr>
            <w:top w:val="none" w:sz="0" w:space="0" w:color="auto"/>
            <w:left w:val="none" w:sz="0" w:space="0" w:color="auto"/>
            <w:bottom w:val="none" w:sz="0" w:space="0" w:color="auto"/>
            <w:right w:val="none" w:sz="0" w:space="0" w:color="auto"/>
          </w:divBdr>
        </w:div>
        <w:div w:id="1752000783">
          <w:marLeft w:val="0"/>
          <w:marRight w:val="0"/>
          <w:marTop w:val="0"/>
          <w:marBottom w:val="0"/>
          <w:divBdr>
            <w:top w:val="none" w:sz="0" w:space="0" w:color="auto"/>
            <w:left w:val="none" w:sz="0" w:space="0" w:color="auto"/>
            <w:bottom w:val="none" w:sz="0" w:space="0" w:color="auto"/>
            <w:right w:val="none" w:sz="0" w:space="0" w:color="auto"/>
          </w:divBdr>
        </w:div>
        <w:div w:id="1010789210">
          <w:marLeft w:val="0"/>
          <w:marRight w:val="0"/>
          <w:marTop w:val="0"/>
          <w:marBottom w:val="0"/>
          <w:divBdr>
            <w:top w:val="none" w:sz="0" w:space="0" w:color="auto"/>
            <w:left w:val="none" w:sz="0" w:space="0" w:color="auto"/>
            <w:bottom w:val="none" w:sz="0" w:space="0" w:color="auto"/>
            <w:right w:val="none" w:sz="0" w:space="0" w:color="auto"/>
          </w:divBdr>
        </w:div>
        <w:div w:id="79448869">
          <w:marLeft w:val="0"/>
          <w:marRight w:val="0"/>
          <w:marTop w:val="0"/>
          <w:marBottom w:val="0"/>
          <w:divBdr>
            <w:top w:val="none" w:sz="0" w:space="0" w:color="auto"/>
            <w:left w:val="none" w:sz="0" w:space="0" w:color="auto"/>
            <w:bottom w:val="none" w:sz="0" w:space="0" w:color="auto"/>
            <w:right w:val="none" w:sz="0" w:space="0" w:color="auto"/>
          </w:divBdr>
        </w:div>
        <w:div w:id="1616212635">
          <w:marLeft w:val="0"/>
          <w:marRight w:val="0"/>
          <w:marTop w:val="0"/>
          <w:marBottom w:val="0"/>
          <w:divBdr>
            <w:top w:val="none" w:sz="0" w:space="0" w:color="auto"/>
            <w:left w:val="none" w:sz="0" w:space="0" w:color="auto"/>
            <w:bottom w:val="none" w:sz="0" w:space="0" w:color="auto"/>
            <w:right w:val="none" w:sz="0" w:space="0" w:color="auto"/>
          </w:divBdr>
        </w:div>
        <w:div w:id="1477530131">
          <w:marLeft w:val="0"/>
          <w:marRight w:val="0"/>
          <w:marTop w:val="0"/>
          <w:marBottom w:val="0"/>
          <w:divBdr>
            <w:top w:val="none" w:sz="0" w:space="0" w:color="auto"/>
            <w:left w:val="none" w:sz="0" w:space="0" w:color="auto"/>
            <w:bottom w:val="none" w:sz="0" w:space="0" w:color="auto"/>
            <w:right w:val="none" w:sz="0" w:space="0" w:color="auto"/>
          </w:divBdr>
        </w:div>
        <w:div w:id="1512182192">
          <w:marLeft w:val="0"/>
          <w:marRight w:val="0"/>
          <w:marTop w:val="0"/>
          <w:marBottom w:val="0"/>
          <w:divBdr>
            <w:top w:val="none" w:sz="0" w:space="0" w:color="auto"/>
            <w:left w:val="none" w:sz="0" w:space="0" w:color="auto"/>
            <w:bottom w:val="none" w:sz="0" w:space="0" w:color="auto"/>
            <w:right w:val="none" w:sz="0" w:space="0" w:color="auto"/>
          </w:divBdr>
        </w:div>
      </w:divsChild>
    </w:div>
    <w:div w:id="814613455">
      <w:bodyDiv w:val="1"/>
      <w:marLeft w:val="0"/>
      <w:marRight w:val="0"/>
      <w:marTop w:val="0"/>
      <w:marBottom w:val="0"/>
      <w:divBdr>
        <w:top w:val="none" w:sz="0" w:space="0" w:color="auto"/>
        <w:left w:val="none" w:sz="0" w:space="0" w:color="auto"/>
        <w:bottom w:val="none" w:sz="0" w:space="0" w:color="auto"/>
        <w:right w:val="none" w:sz="0" w:space="0" w:color="auto"/>
      </w:divBdr>
      <w:divsChild>
        <w:div w:id="1933463430">
          <w:marLeft w:val="0"/>
          <w:marRight w:val="0"/>
          <w:marTop w:val="0"/>
          <w:marBottom w:val="0"/>
          <w:divBdr>
            <w:top w:val="none" w:sz="0" w:space="0" w:color="auto"/>
            <w:left w:val="none" w:sz="0" w:space="0" w:color="auto"/>
            <w:bottom w:val="none" w:sz="0" w:space="0" w:color="auto"/>
            <w:right w:val="none" w:sz="0" w:space="0" w:color="auto"/>
          </w:divBdr>
        </w:div>
        <w:div w:id="1436050393">
          <w:marLeft w:val="0"/>
          <w:marRight w:val="0"/>
          <w:marTop w:val="0"/>
          <w:marBottom w:val="0"/>
          <w:divBdr>
            <w:top w:val="none" w:sz="0" w:space="0" w:color="auto"/>
            <w:left w:val="none" w:sz="0" w:space="0" w:color="auto"/>
            <w:bottom w:val="none" w:sz="0" w:space="0" w:color="auto"/>
            <w:right w:val="none" w:sz="0" w:space="0" w:color="auto"/>
          </w:divBdr>
        </w:div>
      </w:divsChild>
    </w:div>
    <w:div w:id="994718540">
      <w:bodyDiv w:val="1"/>
      <w:marLeft w:val="0"/>
      <w:marRight w:val="0"/>
      <w:marTop w:val="0"/>
      <w:marBottom w:val="0"/>
      <w:divBdr>
        <w:top w:val="none" w:sz="0" w:space="0" w:color="auto"/>
        <w:left w:val="none" w:sz="0" w:space="0" w:color="auto"/>
        <w:bottom w:val="none" w:sz="0" w:space="0" w:color="auto"/>
        <w:right w:val="none" w:sz="0" w:space="0" w:color="auto"/>
      </w:divBdr>
      <w:divsChild>
        <w:div w:id="780075617">
          <w:marLeft w:val="0"/>
          <w:marRight w:val="0"/>
          <w:marTop w:val="0"/>
          <w:marBottom w:val="0"/>
          <w:divBdr>
            <w:top w:val="none" w:sz="0" w:space="0" w:color="auto"/>
            <w:left w:val="none" w:sz="0" w:space="0" w:color="auto"/>
            <w:bottom w:val="none" w:sz="0" w:space="0" w:color="auto"/>
            <w:right w:val="none" w:sz="0" w:space="0" w:color="auto"/>
          </w:divBdr>
          <w:divsChild>
            <w:div w:id="1731883211">
              <w:marLeft w:val="0"/>
              <w:marRight w:val="0"/>
              <w:marTop w:val="0"/>
              <w:marBottom w:val="0"/>
              <w:divBdr>
                <w:top w:val="none" w:sz="0" w:space="0" w:color="auto"/>
                <w:left w:val="none" w:sz="0" w:space="0" w:color="auto"/>
                <w:bottom w:val="none" w:sz="0" w:space="0" w:color="auto"/>
                <w:right w:val="none" w:sz="0" w:space="0" w:color="auto"/>
              </w:divBdr>
            </w:div>
            <w:div w:id="894467565">
              <w:marLeft w:val="0"/>
              <w:marRight w:val="0"/>
              <w:marTop w:val="0"/>
              <w:marBottom w:val="0"/>
              <w:divBdr>
                <w:top w:val="none" w:sz="0" w:space="0" w:color="auto"/>
                <w:left w:val="none" w:sz="0" w:space="0" w:color="auto"/>
                <w:bottom w:val="none" w:sz="0" w:space="0" w:color="auto"/>
                <w:right w:val="none" w:sz="0" w:space="0" w:color="auto"/>
              </w:divBdr>
            </w:div>
            <w:div w:id="674114041">
              <w:marLeft w:val="0"/>
              <w:marRight w:val="0"/>
              <w:marTop w:val="0"/>
              <w:marBottom w:val="0"/>
              <w:divBdr>
                <w:top w:val="none" w:sz="0" w:space="0" w:color="auto"/>
                <w:left w:val="none" w:sz="0" w:space="0" w:color="auto"/>
                <w:bottom w:val="none" w:sz="0" w:space="0" w:color="auto"/>
                <w:right w:val="none" w:sz="0" w:space="0" w:color="auto"/>
              </w:divBdr>
            </w:div>
            <w:div w:id="1374888823">
              <w:marLeft w:val="0"/>
              <w:marRight w:val="0"/>
              <w:marTop w:val="0"/>
              <w:marBottom w:val="0"/>
              <w:divBdr>
                <w:top w:val="none" w:sz="0" w:space="0" w:color="auto"/>
                <w:left w:val="none" w:sz="0" w:space="0" w:color="auto"/>
                <w:bottom w:val="none" w:sz="0" w:space="0" w:color="auto"/>
                <w:right w:val="none" w:sz="0" w:space="0" w:color="auto"/>
              </w:divBdr>
            </w:div>
            <w:div w:id="745806138">
              <w:marLeft w:val="0"/>
              <w:marRight w:val="0"/>
              <w:marTop w:val="0"/>
              <w:marBottom w:val="0"/>
              <w:divBdr>
                <w:top w:val="none" w:sz="0" w:space="0" w:color="auto"/>
                <w:left w:val="none" w:sz="0" w:space="0" w:color="auto"/>
                <w:bottom w:val="none" w:sz="0" w:space="0" w:color="auto"/>
                <w:right w:val="none" w:sz="0" w:space="0" w:color="auto"/>
              </w:divBdr>
            </w:div>
            <w:div w:id="1197430692">
              <w:marLeft w:val="0"/>
              <w:marRight w:val="0"/>
              <w:marTop w:val="0"/>
              <w:marBottom w:val="0"/>
              <w:divBdr>
                <w:top w:val="none" w:sz="0" w:space="0" w:color="auto"/>
                <w:left w:val="none" w:sz="0" w:space="0" w:color="auto"/>
                <w:bottom w:val="none" w:sz="0" w:space="0" w:color="auto"/>
                <w:right w:val="none" w:sz="0" w:space="0" w:color="auto"/>
              </w:divBdr>
            </w:div>
            <w:div w:id="899749344">
              <w:marLeft w:val="0"/>
              <w:marRight w:val="0"/>
              <w:marTop w:val="0"/>
              <w:marBottom w:val="0"/>
              <w:divBdr>
                <w:top w:val="none" w:sz="0" w:space="0" w:color="auto"/>
                <w:left w:val="none" w:sz="0" w:space="0" w:color="auto"/>
                <w:bottom w:val="none" w:sz="0" w:space="0" w:color="auto"/>
                <w:right w:val="none" w:sz="0" w:space="0" w:color="auto"/>
              </w:divBdr>
            </w:div>
          </w:divsChild>
        </w:div>
        <w:div w:id="1433667728">
          <w:marLeft w:val="0"/>
          <w:marRight w:val="0"/>
          <w:marTop w:val="0"/>
          <w:marBottom w:val="0"/>
          <w:divBdr>
            <w:top w:val="none" w:sz="0" w:space="0" w:color="auto"/>
            <w:left w:val="none" w:sz="0" w:space="0" w:color="auto"/>
            <w:bottom w:val="none" w:sz="0" w:space="0" w:color="auto"/>
            <w:right w:val="none" w:sz="0" w:space="0" w:color="auto"/>
          </w:divBdr>
          <w:divsChild>
            <w:div w:id="1728723244">
              <w:marLeft w:val="0"/>
              <w:marRight w:val="0"/>
              <w:marTop w:val="0"/>
              <w:marBottom w:val="0"/>
              <w:divBdr>
                <w:top w:val="none" w:sz="0" w:space="0" w:color="auto"/>
                <w:left w:val="none" w:sz="0" w:space="0" w:color="auto"/>
                <w:bottom w:val="none" w:sz="0" w:space="0" w:color="auto"/>
                <w:right w:val="none" w:sz="0" w:space="0" w:color="auto"/>
              </w:divBdr>
            </w:div>
          </w:divsChild>
        </w:div>
        <w:div w:id="1428891478">
          <w:marLeft w:val="0"/>
          <w:marRight w:val="0"/>
          <w:marTop w:val="0"/>
          <w:marBottom w:val="0"/>
          <w:divBdr>
            <w:top w:val="none" w:sz="0" w:space="0" w:color="auto"/>
            <w:left w:val="none" w:sz="0" w:space="0" w:color="auto"/>
            <w:bottom w:val="none" w:sz="0" w:space="0" w:color="auto"/>
            <w:right w:val="none" w:sz="0" w:space="0" w:color="auto"/>
          </w:divBdr>
          <w:divsChild>
            <w:div w:id="20711697">
              <w:marLeft w:val="0"/>
              <w:marRight w:val="0"/>
              <w:marTop w:val="0"/>
              <w:marBottom w:val="0"/>
              <w:divBdr>
                <w:top w:val="none" w:sz="0" w:space="0" w:color="auto"/>
                <w:left w:val="none" w:sz="0" w:space="0" w:color="auto"/>
                <w:bottom w:val="none" w:sz="0" w:space="0" w:color="auto"/>
                <w:right w:val="none" w:sz="0" w:space="0" w:color="auto"/>
              </w:divBdr>
            </w:div>
          </w:divsChild>
        </w:div>
        <w:div w:id="2046369582">
          <w:marLeft w:val="0"/>
          <w:marRight w:val="0"/>
          <w:marTop w:val="0"/>
          <w:marBottom w:val="0"/>
          <w:divBdr>
            <w:top w:val="none" w:sz="0" w:space="0" w:color="auto"/>
            <w:left w:val="none" w:sz="0" w:space="0" w:color="auto"/>
            <w:bottom w:val="none" w:sz="0" w:space="0" w:color="auto"/>
            <w:right w:val="none" w:sz="0" w:space="0" w:color="auto"/>
          </w:divBdr>
          <w:divsChild>
            <w:div w:id="1582565241">
              <w:marLeft w:val="0"/>
              <w:marRight w:val="0"/>
              <w:marTop w:val="0"/>
              <w:marBottom w:val="0"/>
              <w:divBdr>
                <w:top w:val="none" w:sz="0" w:space="0" w:color="auto"/>
                <w:left w:val="none" w:sz="0" w:space="0" w:color="auto"/>
                <w:bottom w:val="none" w:sz="0" w:space="0" w:color="auto"/>
                <w:right w:val="none" w:sz="0" w:space="0" w:color="auto"/>
              </w:divBdr>
            </w:div>
            <w:div w:id="1147362164">
              <w:marLeft w:val="0"/>
              <w:marRight w:val="0"/>
              <w:marTop w:val="0"/>
              <w:marBottom w:val="0"/>
              <w:divBdr>
                <w:top w:val="none" w:sz="0" w:space="0" w:color="auto"/>
                <w:left w:val="none" w:sz="0" w:space="0" w:color="auto"/>
                <w:bottom w:val="none" w:sz="0" w:space="0" w:color="auto"/>
                <w:right w:val="none" w:sz="0" w:space="0" w:color="auto"/>
              </w:divBdr>
            </w:div>
            <w:div w:id="402996091">
              <w:marLeft w:val="0"/>
              <w:marRight w:val="0"/>
              <w:marTop w:val="0"/>
              <w:marBottom w:val="0"/>
              <w:divBdr>
                <w:top w:val="none" w:sz="0" w:space="0" w:color="auto"/>
                <w:left w:val="none" w:sz="0" w:space="0" w:color="auto"/>
                <w:bottom w:val="none" w:sz="0" w:space="0" w:color="auto"/>
                <w:right w:val="none" w:sz="0" w:space="0" w:color="auto"/>
              </w:divBdr>
            </w:div>
          </w:divsChild>
        </w:div>
        <w:div w:id="1935288199">
          <w:marLeft w:val="0"/>
          <w:marRight w:val="0"/>
          <w:marTop w:val="0"/>
          <w:marBottom w:val="0"/>
          <w:divBdr>
            <w:top w:val="none" w:sz="0" w:space="0" w:color="auto"/>
            <w:left w:val="none" w:sz="0" w:space="0" w:color="auto"/>
            <w:bottom w:val="none" w:sz="0" w:space="0" w:color="auto"/>
            <w:right w:val="none" w:sz="0" w:space="0" w:color="auto"/>
          </w:divBdr>
          <w:divsChild>
            <w:div w:id="1963076318">
              <w:marLeft w:val="0"/>
              <w:marRight w:val="0"/>
              <w:marTop w:val="0"/>
              <w:marBottom w:val="0"/>
              <w:divBdr>
                <w:top w:val="none" w:sz="0" w:space="0" w:color="auto"/>
                <w:left w:val="none" w:sz="0" w:space="0" w:color="auto"/>
                <w:bottom w:val="none" w:sz="0" w:space="0" w:color="auto"/>
                <w:right w:val="none" w:sz="0" w:space="0" w:color="auto"/>
              </w:divBdr>
            </w:div>
            <w:div w:id="355931219">
              <w:marLeft w:val="0"/>
              <w:marRight w:val="0"/>
              <w:marTop w:val="0"/>
              <w:marBottom w:val="0"/>
              <w:divBdr>
                <w:top w:val="none" w:sz="0" w:space="0" w:color="auto"/>
                <w:left w:val="none" w:sz="0" w:space="0" w:color="auto"/>
                <w:bottom w:val="none" w:sz="0" w:space="0" w:color="auto"/>
                <w:right w:val="none" w:sz="0" w:space="0" w:color="auto"/>
              </w:divBdr>
            </w:div>
            <w:div w:id="821039755">
              <w:marLeft w:val="0"/>
              <w:marRight w:val="0"/>
              <w:marTop w:val="0"/>
              <w:marBottom w:val="0"/>
              <w:divBdr>
                <w:top w:val="none" w:sz="0" w:space="0" w:color="auto"/>
                <w:left w:val="none" w:sz="0" w:space="0" w:color="auto"/>
                <w:bottom w:val="none" w:sz="0" w:space="0" w:color="auto"/>
                <w:right w:val="none" w:sz="0" w:space="0" w:color="auto"/>
              </w:divBdr>
            </w:div>
            <w:div w:id="799881466">
              <w:marLeft w:val="0"/>
              <w:marRight w:val="0"/>
              <w:marTop w:val="0"/>
              <w:marBottom w:val="0"/>
              <w:divBdr>
                <w:top w:val="none" w:sz="0" w:space="0" w:color="auto"/>
                <w:left w:val="none" w:sz="0" w:space="0" w:color="auto"/>
                <w:bottom w:val="none" w:sz="0" w:space="0" w:color="auto"/>
                <w:right w:val="none" w:sz="0" w:space="0" w:color="auto"/>
              </w:divBdr>
            </w:div>
          </w:divsChild>
        </w:div>
        <w:div w:id="66729222">
          <w:marLeft w:val="0"/>
          <w:marRight w:val="0"/>
          <w:marTop w:val="0"/>
          <w:marBottom w:val="0"/>
          <w:divBdr>
            <w:top w:val="none" w:sz="0" w:space="0" w:color="auto"/>
            <w:left w:val="none" w:sz="0" w:space="0" w:color="auto"/>
            <w:bottom w:val="none" w:sz="0" w:space="0" w:color="auto"/>
            <w:right w:val="none" w:sz="0" w:space="0" w:color="auto"/>
          </w:divBdr>
          <w:divsChild>
            <w:div w:id="19533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011">
      <w:bodyDiv w:val="1"/>
      <w:marLeft w:val="0"/>
      <w:marRight w:val="0"/>
      <w:marTop w:val="0"/>
      <w:marBottom w:val="0"/>
      <w:divBdr>
        <w:top w:val="none" w:sz="0" w:space="0" w:color="auto"/>
        <w:left w:val="none" w:sz="0" w:space="0" w:color="auto"/>
        <w:bottom w:val="none" w:sz="0" w:space="0" w:color="auto"/>
        <w:right w:val="none" w:sz="0" w:space="0" w:color="auto"/>
      </w:divBdr>
    </w:div>
    <w:div w:id="1225877367">
      <w:bodyDiv w:val="1"/>
      <w:marLeft w:val="0"/>
      <w:marRight w:val="0"/>
      <w:marTop w:val="0"/>
      <w:marBottom w:val="0"/>
      <w:divBdr>
        <w:top w:val="none" w:sz="0" w:space="0" w:color="auto"/>
        <w:left w:val="none" w:sz="0" w:space="0" w:color="auto"/>
        <w:bottom w:val="none" w:sz="0" w:space="0" w:color="auto"/>
        <w:right w:val="none" w:sz="0" w:space="0" w:color="auto"/>
      </w:divBdr>
    </w:div>
    <w:div w:id="1496413110">
      <w:bodyDiv w:val="1"/>
      <w:marLeft w:val="0"/>
      <w:marRight w:val="0"/>
      <w:marTop w:val="0"/>
      <w:marBottom w:val="0"/>
      <w:divBdr>
        <w:top w:val="none" w:sz="0" w:space="0" w:color="auto"/>
        <w:left w:val="none" w:sz="0" w:space="0" w:color="auto"/>
        <w:bottom w:val="none" w:sz="0" w:space="0" w:color="auto"/>
        <w:right w:val="none" w:sz="0" w:space="0" w:color="auto"/>
      </w:divBdr>
      <w:divsChild>
        <w:div w:id="1501580394">
          <w:marLeft w:val="0"/>
          <w:marRight w:val="0"/>
          <w:marTop w:val="0"/>
          <w:marBottom w:val="0"/>
          <w:divBdr>
            <w:top w:val="none" w:sz="0" w:space="0" w:color="auto"/>
            <w:left w:val="none" w:sz="0" w:space="0" w:color="auto"/>
            <w:bottom w:val="none" w:sz="0" w:space="0" w:color="auto"/>
            <w:right w:val="none" w:sz="0" w:space="0" w:color="auto"/>
          </w:divBdr>
        </w:div>
        <w:div w:id="194971857">
          <w:marLeft w:val="0"/>
          <w:marRight w:val="0"/>
          <w:marTop w:val="0"/>
          <w:marBottom w:val="0"/>
          <w:divBdr>
            <w:top w:val="none" w:sz="0" w:space="0" w:color="auto"/>
            <w:left w:val="none" w:sz="0" w:space="0" w:color="auto"/>
            <w:bottom w:val="none" w:sz="0" w:space="0" w:color="auto"/>
            <w:right w:val="none" w:sz="0" w:space="0" w:color="auto"/>
          </w:divBdr>
        </w:div>
        <w:div w:id="942497920">
          <w:marLeft w:val="0"/>
          <w:marRight w:val="0"/>
          <w:marTop w:val="0"/>
          <w:marBottom w:val="0"/>
          <w:divBdr>
            <w:top w:val="none" w:sz="0" w:space="0" w:color="auto"/>
            <w:left w:val="none" w:sz="0" w:space="0" w:color="auto"/>
            <w:bottom w:val="none" w:sz="0" w:space="0" w:color="auto"/>
            <w:right w:val="none" w:sz="0" w:space="0" w:color="auto"/>
          </w:divBdr>
        </w:div>
        <w:div w:id="1023508464">
          <w:marLeft w:val="0"/>
          <w:marRight w:val="0"/>
          <w:marTop w:val="0"/>
          <w:marBottom w:val="0"/>
          <w:divBdr>
            <w:top w:val="none" w:sz="0" w:space="0" w:color="auto"/>
            <w:left w:val="none" w:sz="0" w:space="0" w:color="auto"/>
            <w:bottom w:val="none" w:sz="0" w:space="0" w:color="auto"/>
            <w:right w:val="none" w:sz="0" w:space="0" w:color="auto"/>
          </w:divBdr>
        </w:div>
        <w:div w:id="1014067243">
          <w:marLeft w:val="0"/>
          <w:marRight w:val="0"/>
          <w:marTop w:val="0"/>
          <w:marBottom w:val="0"/>
          <w:divBdr>
            <w:top w:val="none" w:sz="0" w:space="0" w:color="auto"/>
            <w:left w:val="none" w:sz="0" w:space="0" w:color="auto"/>
            <w:bottom w:val="none" w:sz="0" w:space="0" w:color="auto"/>
            <w:right w:val="none" w:sz="0" w:space="0" w:color="auto"/>
          </w:divBdr>
        </w:div>
        <w:div w:id="1310675014">
          <w:marLeft w:val="0"/>
          <w:marRight w:val="0"/>
          <w:marTop w:val="0"/>
          <w:marBottom w:val="0"/>
          <w:divBdr>
            <w:top w:val="none" w:sz="0" w:space="0" w:color="auto"/>
            <w:left w:val="none" w:sz="0" w:space="0" w:color="auto"/>
            <w:bottom w:val="none" w:sz="0" w:space="0" w:color="auto"/>
            <w:right w:val="none" w:sz="0" w:space="0" w:color="auto"/>
          </w:divBdr>
        </w:div>
        <w:div w:id="588464019">
          <w:marLeft w:val="0"/>
          <w:marRight w:val="0"/>
          <w:marTop w:val="0"/>
          <w:marBottom w:val="0"/>
          <w:divBdr>
            <w:top w:val="none" w:sz="0" w:space="0" w:color="auto"/>
            <w:left w:val="none" w:sz="0" w:space="0" w:color="auto"/>
            <w:bottom w:val="none" w:sz="0" w:space="0" w:color="auto"/>
            <w:right w:val="none" w:sz="0" w:space="0" w:color="auto"/>
          </w:divBdr>
        </w:div>
        <w:div w:id="147867850">
          <w:marLeft w:val="0"/>
          <w:marRight w:val="0"/>
          <w:marTop w:val="0"/>
          <w:marBottom w:val="0"/>
          <w:divBdr>
            <w:top w:val="none" w:sz="0" w:space="0" w:color="auto"/>
            <w:left w:val="none" w:sz="0" w:space="0" w:color="auto"/>
            <w:bottom w:val="none" w:sz="0" w:space="0" w:color="auto"/>
            <w:right w:val="none" w:sz="0" w:space="0" w:color="auto"/>
          </w:divBdr>
        </w:div>
        <w:div w:id="433787462">
          <w:marLeft w:val="0"/>
          <w:marRight w:val="0"/>
          <w:marTop w:val="0"/>
          <w:marBottom w:val="0"/>
          <w:divBdr>
            <w:top w:val="none" w:sz="0" w:space="0" w:color="auto"/>
            <w:left w:val="none" w:sz="0" w:space="0" w:color="auto"/>
            <w:bottom w:val="none" w:sz="0" w:space="0" w:color="auto"/>
            <w:right w:val="none" w:sz="0" w:space="0" w:color="auto"/>
          </w:divBdr>
        </w:div>
        <w:div w:id="610013861">
          <w:marLeft w:val="0"/>
          <w:marRight w:val="0"/>
          <w:marTop w:val="0"/>
          <w:marBottom w:val="0"/>
          <w:divBdr>
            <w:top w:val="none" w:sz="0" w:space="0" w:color="auto"/>
            <w:left w:val="none" w:sz="0" w:space="0" w:color="auto"/>
            <w:bottom w:val="none" w:sz="0" w:space="0" w:color="auto"/>
            <w:right w:val="none" w:sz="0" w:space="0" w:color="auto"/>
          </w:divBdr>
        </w:div>
        <w:div w:id="1662271914">
          <w:marLeft w:val="0"/>
          <w:marRight w:val="0"/>
          <w:marTop w:val="0"/>
          <w:marBottom w:val="0"/>
          <w:divBdr>
            <w:top w:val="none" w:sz="0" w:space="0" w:color="auto"/>
            <w:left w:val="none" w:sz="0" w:space="0" w:color="auto"/>
            <w:bottom w:val="none" w:sz="0" w:space="0" w:color="auto"/>
            <w:right w:val="none" w:sz="0" w:space="0" w:color="auto"/>
          </w:divBdr>
        </w:div>
        <w:div w:id="624242336">
          <w:marLeft w:val="0"/>
          <w:marRight w:val="0"/>
          <w:marTop w:val="0"/>
          <w:marBottom w:val="0"/>
          <w:divBdr>
            <w:top w:val="none" w:sz="0" w:space="0" w:color="auto"/>
            <w:left w:val="none" w:sz="0" w:space="0" w:color="auto"/>
            <w:bottom w:val="none" w:sz="0" w:space="0" w:color="auto"/>
            <w:right w:val="none" w:sz="0" w:space="0" w:color="auto"/>
          </w:divBdr>
        </w:div>
        <w:div w:id="1151676150">
          <w:marLeft w:val="0"/>
          <w:marRight w:val="0"/>
          <w:marTop w:val="0"/>
          <w:marBottom w:val="0"/>
          <w:divBdr>
            <w:top w:val="none" w:sz="0" w:space="0" w:color="auto"/>
            <w:left w:val="none" w:sz="0" w:space="0" w:color="auto"/>
            <w:bottom w:val="none" w:sz="0" w:space="0" w:color="auto"/>
            <w:right w:val="none" w:sz="0" w:space="0" w:color="auto"/>
          </w:divBdr>
        </w:div>
        <w:div w:id="710417223">
          <w:marLeft w:val="0"/>
          <w:marRight w:val="0"/>
          <w:marTop w:val="0"/>
          <w:marBottom w:val="0"/>
          <w:divBdr>
            <w:top w:val="none" w:sz="0" w:space="0" w:color="auto"/>
            <w:left w:val="none" w:sz="0" w:space="0" w:color="auto"/>
            <w:bottom w:val="none" w:sz="0" w:space="0" w:color="auto"/>
            <w:right w:val="none" w:sz="0" w:space="0" w:color="auto"/>
          </w:divBdr>
        </w:div>
        <w:div w:id="270552765">
          <w:marLeft w:val="0"/>
          <w:marRight w:val="0"/>
          <w:marTop w:val="0"/>
          <w:marBottom w:val="0"/>
          <w:divBdr>
            <w:top w:val="none" w:sz="0" w:space="0" w:color="auto"/>
            <w:left w:val="none" w:sz="0" w:space="0" w:color="auto"/>
            <w:bottom w:val="none" w:sz="0" w:space="0" w:color="auto"/>
            <w:right w:val="none" w:sz="0" w:space="0" w:color="auto"/>
          </w:divBdr>
        </w:div>
        <w:div w:id="1247957090">
          <w:marLeft w:val="0"/>
          <w:marRight w:val="0"/>
          <w:marTop w:val="0"/>
          <w:marBottom w:val="0"/>
          <w:divBdr>
            <w:top w:val="none" w:sz="0" w:space="0" w:color="auto"/>
            <w:left w:val="none" w:sz="0" w:space="0" w:color="auto"/>
            <w:bottom w:val="none" w:sz="0" w:space="0" w:color="auto"/>
            <w:right w:val="none" w:sz="0" w:space="0" w:color="auto"/>
          </w:divBdr>
        </w:div>
        <w:div w:id="1765540361">
          <w:marLeft w:val="0"/>
          <w:marRight w:val="0"/>
          <w:marTop w:val="0"/>
          <w:marBottom w:val="0"/>
          <w:divBdr>
            <w:top w:val="none" w:sz="0" w:space="0" w:color="auto"/>
            <w:left w:val="none" w:sz="0" w:space="0" w:color="auto"/>
            <w:bottom w:val="none" w:sz="0" w:space="0" w:color="auto"/>
            <w:right w:val="none" w:sz="0" w:space="0" w:color="auto"/>
          </w:divBdr>
        </w:div>
        <w:div w:id="474373978">
          <w:marLeft w:val="0"/>
          <w:marRight w:val="0"/>
          <w:marTop w:val="0"/>
          <w:marBottom w:val="0"/>
          <w:divBdr>
            <w:top w:val="none" w:sz="0" w:space="0" w:color="auto"/>
            <w:left w:val="none" w:sz="0" w:space="0" w:color="auto"/>
            <w:bottom w:val="none" w:sz="0" w:space="0" w:color="auto"/>
            <w:right w:val="none" w:sz="0" w:space="0" w:color="auto"/>
          </w:divBdr>
        </w:div>
        <w:div w:id="691495348">
          <w:marLeft w:val="0"/>
          <w:marRight w:val="0"/>
          <w:marTop w:val="0"/>
          <w:marBottom w:val="0"/>
          <w:divBdr>
            <w:top w:val="none" w:sz="0" w:space="0" w:color="auto"/>
            <w:left w:val="none" w:sz="0" w:space="0" w:color="auto"/>
            <w:bottom w:val="none" w:sz="0" w:space="0" w:color="auto"/>
            <w:right w:val="none" w:sz="0" w:space="0" w:color="auto"/>
          </w:divBdr>
        </w:div>
        <w:div w:id="1476531610">
          <w:marLeft w:val="0"/>
          <w:marRight w:val="0"/>
          <w:marTop w:val="0"/>
          <w:marBottom w:val="0"/>
          <w:divBdr>
            <w:top w:val="none" w:sz="0" w:space="0" w:color="auto"/>
            <w:left w:val="none" w:sz="0" w:space="0" w:color="auto"/>
            <w:bottom w:val="none" w:sz="0" w:space="0" w:color="auto"/>
            <w:right w:val="none" w:sz="0" w:space="0" w:color="auto"/>
          </w:divBdr>
        </w:div>
        <w:div w:id="1208954088">
          <w:marLeft w:val="0"/>
          <w:marRight w:val="0"/>
          <w:marTop w:val="0"/>
          <w:marBottom w:val="0"/>
          <w:divBdr>
            <w:top w:val="none" w:sz="0" w:space="0" w:color="auto"/>
            <w:left w:val="none" w:sz="0" w:space="0" w:color="auto"/>
            <w:bottom w:val="none" w:sz="0" w:space="0" w:color="auto"/>
            <w:right w:val="none" w:sz="0" w:space="0" w:color="auto"/>
          </w:divBdr>
        </w:div>
        <w:div w:id="1324700611">
          <w:marLeft w:val="0"/>
          <w:marRight w:val="0"/>
          <w:marTop w:val="0"/>
          <w:marBottom w:val="0"/>
          <w:divBdr>
            <w:top w:val="none" w:sz="0" w:space="0" w:color="auto"/>
            <w:left w:val="none" w:sz="0" w:space="0" w:color="auto"/>
            <w:bottom w:val="none" w:sz="0" w:space="0" w:color="auto"/>
            <w:right w:val="none" w:sz="0" w:space="0" w:color="auto"/>
          </w:divBdr>
        </w:div>
        <w:div w:id="2125805230">
          <w:marLeft w:val="0"/>
          <w:marRight w:val="0"/>
          <w:marTop w:val="0"/>
          <w:marBottom w:val="0"/>
          <w:divBdr>
            <w:top w:val="none" w:sz="0" w:space="0" w:color="auto"/>
            <w:left w:val="none" w:sz="0" w:space="0" w:color="auto"/>
            <w:bottom w:val="none" w:sz="0" w:space="0" w:color="auto"/>
            <w:right w:val="none" w:sz="0" w:space="0" w:color="auto"/>
          </w:divBdr>
        </w:div>
        <w:div w:id="1370495611">
          <w:marLeft w:val="0"/>
          <w:marRight w:val="0"/>
          <w:marTop w:val="0"/>
          <w:marBottom w:val="0"/>
          <w:divBdr>
            <w:top w:val="none" w:sz="0" w:space="0" w:color="auto"/>
            <w:left w:val="none" w:sz="0" w:space="0" w:color="auto"/>
            <w:bottom w:val="none" w:sz="0" w:space="0" w:color="auto"/>
            <w:right w:val="none" w:sz="0" w:space="0" w:color="auto"/>
          </w:divBdr>
        </w:div>
        <w:div w:id="2033216793">
          <w:marLeft w:val="0"/>
          <w:marRight w:val="0"/>
          <w:marTop w:val="0"/>
          <w:marBottom w:val="0"/>
          <w:divBdr>
            <w:top w:val="none" w:sz="0" w:space="0" w:color="auto"/>
            <w:left w:val="none" w:sz="0" w:space="0" w:color="auto"/>
            <w:bottom w:val="none" w:sz="0" w:space="0" w:color="auto"/>
            <w:right w:val="none" w:sz="0" w:space="0" w:color="auto"/>
          </w:divBdr>
        </w:div>
        <w:div w:id="266621709">
          <w:marLeft w:val="0"/>
          <w:marRight w:val="0"/>
          <w:marTop w:val="0"/>
          <w:marBottom w:val="0"/>
          <w:divBdr>
            <w:top w:val="none" w:sz="0" w:space="0" w:color="auto"/>
            <w:left w:val="none" w:sz="0" w:space="0" w:color="auto"/>
            <w:bottom w:val="none" w:sz="0" w:space="0" w:color="auto"/>
            <w:right w:val="none" w:sz="0" w:space="0" w:color="auto"/>
          </w:divBdr>
        </w:div>
        <w:div w:id="987130810">
          <w:marLeft w:val="0"/>
          <w:marRight w:val="0"/>
          <w:marTop w:val="0"/>
          <w:marBottom w:val="0"/>
          <w:divBdr>
            <w:top w:val="none" w:sz="0" w:space="0" w:color="auto"/>
            <w:left w:val="none" w:sz="0" w:space="0" w:color="auto"/>
            <w:bottom w:val="none" w:sz="0" w:space="0" w:color="auto"/>
            <w:right w:val="none" w:sz="0" w:space="0" w:color="auto"/>
          </w:divBdr>
        </w:div>
        <w:div w:id="1806969372">
          <w:marLeft w:val="0"/>
          <w:marRight w:val="0"/>
          <w:marTop w:val="0"/>
          <w:marBottom w:val="0"/>
          <w:divBdr>
            <w:top w:val="none" w:sz="0" w:space="0" w:color="auto"/>
            <w:left w:val="none" w:sz="0" w:space="0" w:color="auto"/>
            <w:bottom w:val="none" w:sz="0" w:space="0" w:color="auto"/>
            <w:right w:val="none" w:sz="0" w:space="0" w:color="auto"/>
          </w:divBdr>
        </w:div>
        <w:div w:id="188421989">
          <w:marLeft w:val="0"/>
          <w:marRight w:val="0"/>
          <w:marTop w:val="0"/>
          <w:marBottom w:val="0"/>
          <w:divBdr>
            <w:top w:val="none" w:sz="0" w:space="0" w:color="auto"/>
            <w:left w:val="none" w:sz="0" w:space="0" w:color="auto"/>
            <w:bottom w:val="none" w:sz="0" w:space="0" w:color="auto"/>
            <w:right w:val="none" w:sz="0" w:space="0" w:color="auto"/>
          </w:divBdr>
        </w:div>
        <w:div w:id="334307290">
          <w:marLeft w:val="0"/>
          <w:marRight w:val="0"/>
          <w:marTop w:val="0"/>
          <w:marBottom w:val="0"/>
          <w:divBdr>
            <w:top w:val="none" w:sz="0" w:space="0" w:color="auto"/>
            <w:left w:val="none" w:sz="0" w:space="0" w:color="auto"/>
            <w:bottom w:val="none" w:sz="0" w:space="0" w:color="auto"/>
            <w:right w:val="none" w:sz="0" w:space="0" w:color="auto"/>
          </w:divBdr>
        </w:div>
        <w:div w:id="1889873177">
          <w:marLeft w:val="0"/>
          <w:marRight w:val="0"/>
          <w:marTop w:val="0"/>
          <w:marBottom w:val="0"/>
          <w:divBdr>
            <w:top w:val="none" w:sz="0" w:space="0" w:color="auto"/>
            <w:left w:val="none" w:sz="0" w:space="0" w:color="auto"/>
            <w:bottom w:val="none" w:sz="0" w:space="0" w:color="auto"/>
            <w:right w:val="none" w:sz="0" w:space="0" w:color="auto"/>
          </w:divBdr>
        </w:div>
        <w:div w:id="617833541">
          <w:marLeft w:val="0"/>
          <w:marRight w:val="0"/>
          <w:marTop w:val="0"/>
          <w:marBottom w:val="0"/>
          <w:divBdr>
            <w:top w:val="none" w:sz="0" w:space="0" w:color="auto"/>
            <w:left w:val="none" w:sz="0" w:space="0" w:color="auto"/>
            <w:bottom w:val="none" w:sz="0" w:space="0" w:color="auto"/>
            <w:right w:val="none" w:sz="0" w:space="0" w:color="auto"/>
          </w:divBdr>
        </w:div>
        <w:div w:id="1123814045">
          <w:marLeft w:val="0"/>
          <w:marRight w:val="0"/>
          <w:marTop w:val="0"/>
          <w:marBottom w:val="0"/>
          <w:divBdr>
            <w:top w:val="none" w:sz="0" w:space="0" w:color="auto"/>
            <w:left w:val="none" w:sz="0" w:space="0" w:color="auto"/>
            <w:bottom w:val="none" w:sz="0" w:space="0" w:color="auto"/>
            <w:right w:val="none" w:sz="0" w:space="0" w:color="auto"/>
          </w:divBdr>
        </w:div>
        <w:div w:id="730999867">
          <w:marLeft w:val="0"/>
          <w:marRight w:val="0"/>
          <w:marTop w:val="0"/>
          <w:marBottom w:val="0"/>
          <w:divBdr>
            <w:top w:val="none" w:sz="0" w:space="0" w:color="auto"/>
            <w:left w:val="none" w:sz="0" w:space="0" w:color="auto"/>
            <w:bottom w:val="none" w:sz="0" w:space="0" w:color="auto"/>
            <w:right w:val="none" w:sz="0" w:space="0" w:color="auto"/>
          </w:divBdr>
        </w:div>
        <w:div w:id="1652950895">
          <w:marLeft w:val="0"/>
          <w:marRight w:val="0"/>
          <w:marTop w:val="0"/>
          <w:marBottom w:val="0"/>
          <w:divBdr>
            <w:top w:val="none" w:sz="0" w:space="0" w:color="auto"/>
            <w:left w:val="none" w:sz="0" w:space="0" w:color="auto"/>
            <w:bottom w:val="none" w:sz="0" w:space="0" w:color="auto"/>
            <w:right w:val="none" w:sz="0" w:space="0" w:color="auto"/>
          </w:divBdr>
        </w:div>
        <w:div w:id="625047924">
          <w:marLeft w:val="0"/>
          <w:marRight w:val="0"/>
          <w:marTop w:val="0"/>
          <w:marBottom w:val="0"/>
          <w:divBdr>
            <w:top w:val="none" w:sz="0" w:space="0" w:color="auto"/>
            <w:left w:val="none" w:sz="0" w:space="0" w:color="auto"/>
            <w:bottom w:val="none" w:sz="0" w:space="0" w:color="auto"/>
            <w:right w:val="none" w:sz="0" w:space="0" w:color="auto"/>
          </w:divBdr>
        </w:div>
        <w:div w:id="338896225">
          <w:marLeft w:val="0"/>
          <w:marRight w:val="0"/>
          <w:marTop w:val="0"/>
          <w:marBottom w:val="0"/>
          <w:divBdr>
            <w:top w:val="none" w:sz="0" w:space="0" w:color="auto"/>
            <w:left w:val="none" w:sz="0" w:space="0" w:color="auto"/>
            <w:bottom w:val="none" w:sz="0" w:space="0" w:color="auto"/>
            <w:right w:val="none" w:sz="0" w:space="0" w:color="auto"/>
          </w:divBdr>
        </w:div>
        <w:div w:id="2071682707">
          <w:marLeft w:val="0"/>
          <w:marRight w:val="0"/>
          <w:marTop w:val="0"/>
          <w:marBottom w:val="0"/>
          <w:divBdr>
            <w:top w:val="none" w:sz="0" w:space="0" w:color="auto"/>
            <w:left w:val="none" w:sz="0" w:space="0" w:color="auto"/>
            <w:bottom w:val="none" w:sz="0" w:space="0" w:color="auto"/>
            <w:right w:val="none" w:sz="0" w:space="0" w:color="auto"/>
          </w:divBdr>
        </w:div>
      </w:divsChild>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686518462">
      <w:bodyDiv w:val="1"/>
      <w:marLeft w:val="0"/>
      <w:marRight w:val="0"/>
      <w:marTop w:val="0"/>
      <w:marBottom w:val="0"/>
      <w:divBdr>
        <w:top w:val="none" w:sz="0" w:space="0" w:color="auto"/>
        <w:left w:val="none" w:sz="0" w:space="0" w:color="auto"/>
        <w:bottom w:val="none" w:sz="0" w:space="0" w:color="auto"/>
        <w:right w:val="none" w:sz="0" w:space="0" w:color="auto"/>
      </w:divBdr>
      <w:divsChild>
        <w:div w:id="637341074">
          <w:marLeft w:val="0"/>
          <w:marRight w:val="0"/>
          <w:marTop w:val="0"/>
          <w:marBottom w:val="0"/>
          <w:divBdr>
            <w:top w:val="none" w:sz="0" w:space="0" w:color="auto"/>
            <w:left w:val="none" w:sz="0" w:space="0" w:color="auto"/>
            <w:bottom w:val="none" w:sz="0" w:space="0" w:color="auto"/>
            <w:right w:val="none" w:sz="0" w:space="0" w:color="auto"/>
          </w:divBdr>
        </w:div>
        <w:div w:id="374735921">
          <w:marLeft w:val="0"/>
          <w:marRight w:val="0"/>
          <w:marTop w:val="0"/>
          <w:marBottom w:val="0"/>
          <w:divBdr>
            <w:top w:val="none" w:sz="0" w:space="0" w:color="auto"/>
            <w:left w:val="none" w:sz="0" w:space="0" w:color="auto"/>
            <w:bottom w:val="none" w:sz="0" w:space="0" w:color="auto"/>
            <w:right w:val="none" w:sz="0" w:space="0" w:color="auto"/>
          </w:divBdr>
        </w:div>
        <w:div w:id="1254894942">
          <w:marLeft w:val="0"/>
          <w:marRight w:val="0"/>
          <w:marTop w:val="0"/>
          <w:marBottom w:val="0"/>
          <w:divBdr>
            <w:top w:val="none" w:sz="0" w:space="0" w:color="auto"/>
            <w:left w:val="none" w:sz="0" w:space="0" w:color="auto"/>
            <w:bottom w:val="none" w:sz="0" w:space="0" w:color="auto"/>
            <w:right w:val="none" w:sz="0" w:space="0" w:color="auto"/>
          </w:divBdr>
        </w:div>
        <w:div w:id="397748558">
          <w:marLeft w:val="0"/>
          <w:marRight w:val="0"/>
          <w:marTop w:val="0"/>
          <w:marBottom w:val="0"/>
          <w:divBdr>
            <w:top w:val="none" w:sz="0" w:space="0" w:color="auto"/>
            <w:left w:val="none" w:sz="0" w:space="0" w:color="auto"/>
            <w:bottom w:val="none" w:sz="0" w:space="0" w:color="auto"/>
            <w:right w:val="none" w:sz="0" w:space="0" w:color="auto"/>
          </w:divBdr>
        </w:div>
        <w:div w:id="807745110">
          <w:marLeft w:val="0"/>
          <w:marRight w:val="0"/>
          <w:marTop w:val="0"/>
          <w:marBottom w:val="0"/>
          <w:divBdr>
            <w:top w:val="none" w:sz="0" w:space="0" w:color="auto"/>
            <w:left w:val="none" w:sz="0" w:space="0" w:color="auto"/>
            <w:bottom w:val="none" w:sz="0" w:space="0" w:color="auto"/>
            <w:right w:val="none" w:sz="0" w:space="0" w:color="auto"/>
          </w:divBdr>
        </w:div>
        <w:div w:id="672269263">
          <w:marLeft w:val="0"/>
          <w:marRight w:val="0"/>
          <w:marTop w:val="0"/>
          <w:marBottom w:val="0"/>
          <w:divBdr>
            <w:top w:val="none" w:sz="0" w:space="0" w:color="auto"/>
            <w:left w:val="none" w:sz="0" w:space="0" w:color="auto"/>
            <w:bottom w:val="none" w:sz="0" w:space="0" w:color="auto"/>
            <w:right w:val="none" w:sz="0" w:space="0" w:color="auto"/>
          </w:divBdr>
        </w:div>
        <w:div w:id="566961271">
          <w:marLeft w:val="0"/>
          <w:marRight w:val="0"/>
          <w:marTop w:val="0"/>
          <w:marBottom w:val="0"/>
          <w:divBdr>
            <w:top w:val="none" w:sz="0" w:space="0" w:color="auto"/>
            <w:left w:val="none" w:sz="0" w:space="0" w:color="auto"/>
            <w:bottom w:val="none" w:sz="0" w:space="0" w:color="auto"/>
            <w:right w:val="none" w:sz="0" w:space="0" w:color="auto"/>
          </w:divBdr>
        </w:div>
        <w:div w:id="14156756">
          <w:marLeft w:val="0"/>
          <w:marRight w:val="0"/>
          <w:marTop w:val="0"/>
          <w:marBottom w:val="0"/>
          <w:divBdr>
            <w:top w:val="none" w:sz="0" w:space="0" w:color="auto"/>
            <w:left w:val="none" w:sz="0" w:space="0" w:color="auto"/>
            <w:bottom w:val="none" w:sz="0" w:space="0" w:color="auto"/>
            <w:right w:val="none" w:sz="0" w:space="0" w:color="auto"/>
          </w:divBdr>
        </w:div>
        <w:div w:id="1458839383">
          <w:marLeft w:val="0"/>
          <w:marRight w:val="0"/>
          <w:marTop w:val="0"/>
          <w:marBottom w:val="0"/>
          <w:divBdr>
            <w:top w:val="none" w:sz="0" w:space="0" w:color="auto"/>
            <w:left w:val="none" w:sz="0" w:space="0" w:color="auto"/>
            <w:bottom w:val="none" w:sz="0" w:space="0" w:color="auto"/>
            <w:right w:val="none" w:sz="0" w:space="0" w:color="auto"/>
          </w:divBdr>
        </w:div>
      </w:divsChild>
    </w:div>
    <w:div w:id="1696541655">
      <w:bodyDiv w:val="1"/>
      <w:marLeft w:val="0"/>
      <w:marRight w:val="0"/>
      <w:marTop w:val="0"/>
      <w:marBottom w:val="0"/>
      <w:divBdr>
        <w:top w:val="none" w:sz="0" w:space="0" w:color="auto"/>
        <w:left w:val="none" w:sz="0" w:space="0" w:color="auto"/>
        <w:bottom w:val="none" w:sz="0" w:space="0" w:color="auto"/>
        <w:right w:val="none" w:sz="0" w:space="0" w:color="auto"/>
      </w:divBdr>
      <w:divsChild>
        <w:div w:id="798651125">
          <w:marLeft w:val="0"/>
          <w:marRight w:val="0"/>
          <w:marTop w:val="0"/>
          <w:marBottom w:val="0"/>
          <w:divBdr>
            <w:top w:val="none" w:sz="0" w:space="0" w:color="auto"/>
            <w:left w:val="none" w:sz="0" w:space="0" w:color="auto"/>
            <w:bottom w:val="none" w:sz="0" w:space="0" w:color="auto"/>
            <w:right w:val="none" w:sz="0" w:space="0" w:color="auto"/>
          </w:divBdr>
        </w:div>
        <w:div w:id="1566602862">
          <w:marLeft w:val="0"/>
          <w:marRight w:val="0"/>
          <w:marTop w:val="0"/>
          <w:marBottom w:val="0"/>
          <w:divBdr>
            <w:top w:val="none" w:sz="0" w:space="0" w:color="auto"/>
            <w:left w:val="none" w:sz="0" w:space="0" w:color="auto"/>
            <w:bottom w:val="none" w:sz="0" w:space="0" w:color="auto"/>
            <w:right w:val="none" w:sz="0" w:space="0" w:color="auto"/>
          </w:divBdr>
        </w:div>
        <w:div w:id="2034258235">
          <w:marLeft w:val="0"/>
          <w:marRight w:val="0"/>
          <w:marTop w:val="0"/>
          <w:marBottom w:val="0"/>
          <w:divBdr>
            <w:top w:val="none" w:sz="0" w:space="0" w:color="auto"/>
            <w:left w:val="none" w:sz="0" w:space="0" w:color="auto"/>
            <w:bottom w:val="none" w:sz="0" w:space="0" w:color="auto"/>
            <w:right w:val="none" w:sz="0" w:space="0" w:color="auto"/>
          </w:divBdr>
        </w:div>
      </w:divsChild>
    </w:div>
    <w:div w:id="1782650579">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1901214056">
      <w:bodyDiv w:val="1"/>
      <w:marLeft w:val="0"/>
      <w:marRight w:val="0"/>
      <w:marTop w:val="0"/>
      <w:marBottom w:val="0"/>
      <w:divBdr>
        <w:top w:val="none" w:sz="0" w:space="0" w:color="auto"/>
        <w:left w:val="none" w:sz="0" w:space="0" w:color="auto"/>
        <w:bottom w:val="none" w:sz="0" w:space="0" w:color="auto"/>
        <w:right w:val="none" w:sz="0" w:space="0" w:color="auto"/>
      </w:divBdr>
    </w:div>
    <w:div w:id="1925800948">
      <w:bodyDiv w:val="1"/>
      <w:marLeft w:val="0"/>
      <w:marRight w:val="0"/>
      <w:marTop w:val="0"/>
      <w:marBottom w:val="0"/>
      <w:divBdr>
        <w:top w:val="none" w:sz="0" w:space="0" w:color="auto"/>
        <w:left w:val="none" w:sz="0" w:space="0" w:color="auto"/>
        <w:bottom w:val="none" w:sz="0" w:space="0" w:color="auto"/>
        <w:right w:val="none" w:sz="0" w:space="0" w:color="auto"/>
      </w:divBdr>
      <w:divsChild>
        <w:div w:id="736778589">
          <w:marLeft w:val="0"/>
          <w:marRight w:val="0"/>
          <w:marTop w:val="0"/>
          <w:marBottom w:val="0"/>
          <w:divBdr>
            <w:top w:val="single" w:sz="8" w:space="0" w:color="00698F"/>
            <w:left w:val="single" w:sz="8" w:space="0" w:color="00698F"/>
            <w:bottom w:val="single" w:sz="8" w:space="0" w:color="00698F"/>
            <w:right w:val="single" w:sz="8" w:space="0" w:color="00698F"/>
          </w:divBdr>
          <w:divsChild>
            <w:div w:id="1483503747">
              <w:marLeft w:val="0"/>
              <w:marRight w:val="0"/>
              <w:marTop w:val="0"/>
              <w:marBottom w:val="0"/>
              <w:divBdr>
                <w:top w:val="none" w:sz="0" w:space="0" w:color="auto"/>
                <w:left w:val="none" w:sz="0" w:space="0" w:color="auto"/>
                <w:bottom w:val="none" w:sz="0" w:space="0" w:color="auto"/>
                <w:right w:val="none" w:sz="0" w:space="0" w:color="auto"/>
              </w:divBdr>
            </w:div>
            <w:div w:id="139149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47744">
      <w:bodyDiv w:val="1"/>
      <w:marLeft w:val="0"/>
      <w:marRight w:val="0"/>
      <w:marTop w:val="0"/>
      <w:marBottom w:val="0"/>
      <w:divBdr>
        <w:top w:val="none" w:sz="0" w:space="0" w:color="auto"/>
        <w:left w:val="none" w:sz="0" w:space="0" w:color="auto"/>
        <w:bottom w:val="none" w:sz="0" w:space="0" w:color="auto"/>
        <w:right w:val="none" w:sz="0" w:space="0" w:color="auto"/>
      </w:divBdr>
      <w:divsChild>
        <w:div w:id="1677995162">
          <w:marLeft w:val="0"/>
          <w:marRight w:val="0"/>
          <w:marTop w:val="0"/>
          <w:marBottom w:val="0"/>
          <w:divBdr>
            <w:top w:val="none" w:sz="0" w:space="0" w:color="auto"/>
            <w:left w:val="none" w:sz="0" w:space="0" w:color="auto"/>
            <w:bottom w:val="none" w:sz="0" w:space="0" w:color="auto"/>
            <w:right w:val="none" w:sz="0" w:space="0" w:color="auto"/>
          </w:divBdr>
        </w:div>
        <w:div w:id="683437497">
          <w:marLeft w:val="0"/>
          <w:marRight w:val="0"/>
          <w:marTop w:val="0"/>
          <w:marBottom w:val="0"/>
          <w:divBdr>
            <w:top w:val="none" w:sz="0" w:space="0" w:color="auto"/>
            <w:left w:val="none" w:sz="0" w:space="0" w:color="auto"/>
            <w:bottom w:val="none" w:sz="0" w:space="0" w:color="auto"/>
            <w:right w:val="none" w:sz="0" w:space="0" w:color="auto"/>
          </w:divBdr>
        </w:div>
        <w:div w:id="1976180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D12C249354259F4D9327352B7257707F@dfat.gov.au" TargetMode="External"/><Relationship Id="rId18" Type="http://schemas.openxmlformats.org/officeDocument/2006/relationships/footer" Target="footer3.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5.png"/><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oll.lowyinstitute.org/charts/budget-priorities/" TargetMode="External"/></Relationships>
</file>

<file path=word/theme/theme1.xml><?xml version="1.0" encoding="utf-8"?>
<a:theme xmlns:a="http://schemas.openxmlformats.org/drawingml/2006/main" name="Office Theme">
  <a:themeElements>
    <a:clrScheme name="PM&amp;C 2022">
      <a:dk1>
        <a:srgbClr val="000000"/>
      </a:dk1>
      <a:lt1>
        <a:srgbClr val="FFFFFF"/>
      </a:lt1>
      <a:dk2>
        <a:srgbClr val="0F1F35"/>
      </a:dk2>
      <a:lt2>
        <a:srgbClr val="E0E8F2"/>
      </a:lt2>
      <a:accent1>
        <a:srgbClr val="092B57"/>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HubID xmlns="e771ab56-0c5d-40e7-b080-2686d2b89623" xsi:nil="true"/>
    <Comments xmlns="http://schemas.microsoft.com/sharepoint/v3" xsi:nil="true"/>
    <TaxCatchAll xmlns="d0dfa800-9ef0-44cb-8a12-633e29de1e0b">
      <Value>4</Value>
    </TaxCatchAll>
    <TaxKeywordTaxHTField xmlns="d0dfa800-9ef0-44cb-8a12-633e29de1e0b">
      <Terms xmlns="http://schemas.microsoft.com/office/infopath/2007/PartnerControls"/>
    </TaxKeywordTaxHTField>
    <_dlc_DocId xmlns="d0dfa800-9ef0-44cb-8a12-633e29de1e0b">PMCdoc-213507164-60411</_dlc_DocId>
    <_dlc_DocIdUrl xmlns="d0dfa800-9ef0-44cb-8a12-633e29de1e0b">
      <Url>https://pmc01.sharepoint.com/sites/pmc-ms-cb/_layouts/15/DocIdRedir.aspx?ID=PMCdoc-213507164-60411</Url>
      <Description>PMCdoc-213507164-60411</Description>
    </_dlc_DocIdUr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B3BF2-A819-47F9-AC1D-D88E263D1729}">
  <ds:schemaRefs>
    <ds:schemaRef ds:uri="http://schemas.microsoft.com/office/2006/metadata/properties"/>
    <ds:schemaRef ds:uri="http://schemas.microsoft.com/office/infopath/2007/PartnerControls"/>
    <ds:schemaRef ds:uri="4cf56534-3a85-4598-93f6-39f149c921ae"/>
    <ds:schemaRef ds:uri="e771ab56-0c5d-40e7-b080-2686d2b89623"/>
    <ds:schemaRef ds:uri="http://schemas.microsoft.com/sharepoint/v3"/>
  </ds:schemaRefs>
</ds:datastoreItem>
</file>

<file path=customXml/itemProps2.xml><?xml version="1.0" encoding="utf-8"?>
<ds:datastoreItem xmlns:ds="http://schemas.openxmlformats.org/officeDocument/2006/customXml" ds:itemID="{CF8E844B-BA67-4A30-B519-5AC67093911A}"/>
</file>

<file path=customXml/itemProps3.xml><?xml version="1.0" encoding="utf-8"?>
<ds:datastoreItem xmlns:ds="http://schemas.openxmlformats.org/officeDocument/2006/customXml" ds:itemID="{43A3B4C5-A5A8-4076-BF59-FC77CC7B3395}">
  <ds:schemaRefs>
    <ds:schemaRef ds:uri="http://schemas.microsoft.com/sharepoint/events"/>
  </ds:schemaRefs>
</ds:datastoreItem>
</file>

<file path=customXml/itemProps4.xml><?xml version="1.0" encoding="utf-8"?>
<ds:datastoreItem xmlns:ds="http://schemas.openxmlformats.org/officeDocument/2006/customXml" ds:itemID="{9A98527D-F864-40B6-8684-98CD14EDEC8C}">
  <ds:schemaRefs>
    <ds:schemaRef ds:uri="http://schemas.microsoft.com/sharepoint/v3/contenttype/forms"/>
  </ds:schemaRefs>
</ds:datastoreItem>
</file>

<file path=customXml/itemProps5.xml><?xml version="1.0" encoding="utf-8"?>
<ds:datastoreItem xmlns:ds="http://schemas.openxmlformats.org/officeDocument/2006/customXml" ds:itemID="{F46A8CA2-833E-474B-9FF8-21CF4F76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17946</Words>
  <Characters>103729</Characters>
  <Application>Microsoft Office Word</Application>
  <DocSecurity>0</DocSecurity>
  <Lines>1728</Lines>
  <Paragraphs>770</Paragraphs>
  <ScaleCrop>false</ScaleCrop>
  <HeadingPairs>
    <vt:vector size="2" baseType="variant">
      <vt:variant>
        <vt:lpstr>Title</vt:lpstr>
      </vt:variant>
      <vt:variant>
        <vt:i4>1</vt:i4>
      </vt:variant>
    </vt:vector>
  </HeadingPairs>
  <TitlesOfParts>
    <vt:vector size="1" baseType="lpstr">
      <vt:lpstr>Independent Review of Commonwealth funding for strategic policy work</vt:lpstr>
    </vt:vector>
  </TitlesOfParts>
  <Manager/>
  <Company/>
  <LinksUpToDate>false</LinksUpToDate>
  <CharactersWithSpaces>120905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of Commonwealth funding for strategic policy work</dc:title>
  <dc:subject>Record of Coversation | 03 April | 15:00-16:30</dc:subject>
  <dc:creator/>
  <cp:keywords/>
  <dc:description/>
  <cp:lastModifiedBy/>
  <cp:revision>1</cp:revision>
  <dcterms:created xsi:type="dcterms:W3CDTF">2024-12-09T06:13:00Z</dcterms:created>
  <dcterms:modified xsi:type="dcterms:W3CDTF">2024-12-09T06:21:00Z</dcterms:modified>
  <cp:category>[CLASSIFICATION]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SecurityClassification">
    <vt:lpwstr>4;#OFFICIAL|9e0ec9cb-4e7f-4d4a-bd32-1ee7525c6d87</vt:lpwstr>
  </property>
  <property fmtid="{D5CDD505-2E9C-101B-9397-08002B2CF9AE}" pid="4" name="_dlc_DocIdItemGuid">
    <vt:lpwstr>dc416fc2-997e-44ed-ade7-56472fc2633b</vt:lpwstr>
  </property>
  <property fmtid="{D5CDD505-2E9C-101B-9397-08002B2CF9AE}" pid="5" name="TaxKeyword">
    <vt:lpwstr/>
  </property>
  <property fmtid="{D5CDD505-2E9C-101B-9397-08002B2CF9AE}" pid="6" name="InformationMarker">
    <vt:lpwstr/>
  </property>
  <property fmtid="{D5CDD505-2E9C-101B-9397-08002B2CF9AE}" pid="7" name="MediaServiceImageTags">
    <vt:lpwstr/>
  </property>
</Properties>
</file>