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56.xml" ContentType="application/vnd.openxmlformats-officedocument.wordprocessingml.header+xml"/>
  <Override PartName="/word/footer6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3.xml" ContentType="application/vnd.openxmlformats-officedocument.wordprocessingml.header+xml"/>
  <Override PartName="/word/footer70.xml" ContentType="application/vnd.openxmlformats-officedocument.wordprocessingml.footer+xml"/>
  <Override PartName="/word/header64.xml" ContentType="application/vnd.openxmlformats-officedocument.wordprocessingml.header+xml"/>
  <Override PartName="/word/footer7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7.xml" ContentType="application/vnd.openxmlformats-officedocument.wordprocessingml.header+xml"/>
  <Override PartName="/word/footer7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7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7.xml" ContentType="application/vnd.openxmlformats-officedocument.wordprocessingml.header+xml"/>
  <Override PartName="/word/footer8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8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6.xml" ContentType="application/vnd.openxmlformats-officedocument.wordprocessingml.header+xml"/>
  <Override PartName="/word/footer9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9.xml" ContentType="application/vnd.openxmlformats-officedocument.wordprocessingml.header+xml"/>
  <Override PartName="/word/footer9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2.xml" ContentType="application/vnd.openxmlformats-officedocument.wordprocessingml.header+xml"/>
  <Override PartName="/word/footer9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5.xml" ContentType="application/vnd.openxmlformats-officedocument.wordprocessingml.header+xml"/>
  <Override PartName="/word/footer101.xml" ContentType="application/vnd.openxmlformats-officedocument.wordprocessingml.footer+xml"/>
  <Override PartName="/word/header96.xml" ContentType="application/vnd.openxmlformats-officedocument.wordprocessingml.header+xml"/>
  <Override PartName="/word/footer10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0.xml" ContentType="application/vnd.openxmlformats-officedocument.wordprocessingml.header+xml"/>
  <Override PartName="/word/footer10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3.xml" ContentType="application/vnd.openxmlformats-officedocument.wordprocessingml.header+xml"/>
  <Override PartName="/word/footer108.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6.xml" ContentType="application/vnd.openxmlformats-officedocument.wordprocessingml.header+xml"/>
  <Override PartName="/word/footer111.xml" ContentType="application/vnd.openxmlformats-officedocument.wordprocessingml.footer+xml"/>
  <Override PartName="/word/header107.xml" ContentType="application/vnd.openxmlformats-officedocument.wordprocessingml.header+xml"/>
  <Override PartName="/word/footer112.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3.xml" ContentType="application/vnd.openxmlformats-officedocument.wordprocessingml.header+xml"/>
  <Override PartName="/word/footer121.xml" ContentType="application/vnd.openxmlformats-officedocument.wordprocessingml.footer+xml"/>
  <Override PartName="/word/header114.xml" ContentType="application/vnd.openxmlformats-officedocument.wordprocessingml.header+xml"/>
  <Override PartName="/word/footer12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7.xml" ContentType="application/vnd.openxmlformats-officedocument.wordprocessingml.header+xml"/>
  <Override PartName="/word/footer125.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2.xml" ContentType="application/vnd.openxmlformats-officedocument.wordprocessingml.header+xml"/>
  <Override PartName="/word/footer130.xml" ContentType="application/vnd.openxmlformats-officedocument.wordprocessingml.footer+xml"/>
  <Override PartName="/word/header123.xml" ContentType="application/vnd.openxmlformats-officedocument.wordprocessingml.header+xml"/>
  <Override PartName="/word/footer13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126.xml" ContentType="application/vnd.openxmlformats-officedocument.wordprocessingml.header+xml"/>
  <Override PartName="/word/footer135.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29.xml" ContentType="application/vnd.openxmlformats-officedocument.wordprocessingml.header+xml"/>
  <Override PartName="/word/footer13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132.xml" ContentType="application/vnd.openxmlformats-officedocument.wordprocessingml.header+xml"/>
  <Override PartName="/word/footer142.xml" ContentType="application/vnd.openxmlformats-officedocument.wordprocessingml.footer+xml"/>
  <Override PartName="/word/header133.xml" ContentType="application/vnd.openxmlformats-officedocument.wordprocessingml.header+xml"/>
  <Override PartName="/word/footer14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36.xml" ContentType="application/vnd.openxmlformats-officedocument.wordprocessingml.header+xml"/>
  <Override PartName="/word/footer146.xml" ContentType="application/vnd.openxmlformats-officedocument.wordprocessingml.footer+xml"/>
  <Override PartName="/word/header137.xml" ContentType="application/vnd.openxmlformats-officedocument.wordprocessingml.header+xml"/>
  <Override PartName="/word/footer14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5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52.xml" ContentType="application/vnd.openxmlformats-officedocument.wordprocessingml.footer+xml"/>
  <Override PartName="/word/header144.xml" ContentType="application/vnd.openxmlformats-officedocument.wordprocessingml.header+xml"/>
  <Override PartName="/word/footer153.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154.xml" ContentType="application/vnd.openxmlformats-officedocument.wordprocessingml.footer+xml"/>
  <Override PartName="/word/header149.xml" ContentType="application/vnd.openxmlformats-officedocument.wordprocessingml.header+xml"/>
  <Override PartName="/word/footer1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90719" w14:textId="77777777" w:rsidR="00EC60E2" w:rsidRDefault="00EC60E2" w:rsidP="00213592">
      <w:pPr>
        <w:pStyle w:val="TPHeading1"/>
        <w:spacing w:before="960"/>
        <w:ind w:left="1134" w:right="1134"/>
        <w:rPr>
          <w:rFonts w:asciiTheme="majorHAnsi" w:hAnsiTheme="majorHAnsi" w:cstheme="majorHAnsi"/>
          <w:b w:val="0"/>
          <w:bCs/>
          <w:szCs w:val="32"/>
        </w:rPr>
      </w:pPr>
      <w:r>
        <w:rPr>
          <w:rFonts w:asciiTheme="majorHAnsi" w:hAnsiTheme="majorHAnsi" w:cstheme="majorHAnsi"/>
          <w:b w:val="0"/>
          <w:bCs/>
          <w:noProof/>
          <w:szCs w:val="32"/>
        </w:rPr>
        <w:drawing>
          <wp:inline distT="0" distB="0" distL="0" distR="0" wp14:anchorId="55B518FA" wp14:editId="1F8C1759">
            <wp:extent cx="1801368" cy="1801368"/>
            <wp:effectExtent l="0" t="0" r="8890" b="8890"/>
            <wp:docPr id="3" name="Picture 3" title="Australian Coat of Arms Budget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ge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inline>
        </w:drawing>
      </w:r>
    </w:p>
    <w:p w14:paraId="04322C2B" w14:textId="77777777" w:rsidR="0001438C" w:rsidRPr="00213592" w:rsidRDefault="0001438C" w:rsidP="00213592">
      <w:pPr>
        <w:pStyle w:val="TPHeading1"/>
        <w:spacing w:before="960"/>
        <w:ind w:left="1134" w:right="1134"/>
        <w:rPr>
          <w:rFonts w:asciiTheme="majorHAnsi" w:hAnsiTheme="majorHAnsi" w:cstheme="majorHAnsi"/>
          <w:b w:val="0"/>
          <w:bCs/>
          <w:caps/>
          <w:szCs w:val="32"/>
        </w:rPr>
      </w:pPr>
      <w:bookmarkStart w:id="0" w:name="_GoBack"/>
      <w:r w:rsidRPr="00213592">
        <w:rPr>
          <w:rFonts w:asciiTheme="majorHAnsi" w:hAnsiTheme="majorHAnsi" w:cstheme="majorHAnsi"/>
          <w:b w:val="0"/>
          <w:bCs/>
          <w:szCs w:val="32"/>
        </w:rPr>
        <w:t xml:space="preserve">Portfolio Budget Statements </w:t>
      </w:r>
      <w:r w:rsidR="00400A8B" w:rsidRPr="00213592">
        <w:rPr>
          <w:rFonts w:asciiTheme="majorHAnsi" w:hAnsiTheme="majorHAnsi" w:cstheme="majorHAnsi"/>
          <w:b w:val="0"/>
          <w:bCs/>
          <w:szCs w:val="32"/>
        </w:rPr>
        <w:t>2022</w:t>
      </w:r>
      <w:r w:rsidR="004E3B3F" w:rsidRPr="00213592">
        <w:rPr>
          <w:rFonts w:asciiTheme="majorHAnsi" w:hAnsiTheme="majorHAnsi" w:cstheme="majorHAnsi"/>
          <w:b w:val="0"/>
          <w:bCs/>
          <w:szCs w:val="32"/>
        </w:rPr>
        <w:t>–</w:t>
      </w:r>
      <w:r w:rsidR="00400A8B" w:rsidRPr="00213592">
        <w:rPr>
          <w:rFonts w:asciiTheme="majorHAnsi" w:hAnsiTheme="majorHAnsi" w:cstheme="majorHAnsi"/>
          <w:b w:val="0"/>
          <w:bCs/>
          <w:szCs w:val="32"/>
        </w:rPr>
        <w:t>23</w:t>
      </w:r>
    </w:p>
    <w:p w14:paraId="13D5182F" w14:textId="77777777" w:rsidR="0001438C" w:rsidRDefault="0001438C" w:rsidP="00213592">
      <w:pPr>
        <w:pStyle w:val="TPHeading1"/>
        <w:ind w:left="1134" w:right="1134"/>
        <w:rPr>
          <w:rFonts w:asciiTheme="majorHAnsi" w:hAnsiTheme="majorHAnsi" w:cstheme="majorHAnsi"/>
          <w:b w:val="0"/>
          <w:bCs/>
          <w:szCs w:val="32"/>
        </w:rPr>
      </w:pPr>
      <w:r w:rsidRPr="00213592">
        <w:rPr>
          <w:rFonts w:asciiTheme="majorHAnsi" w:hAnsiTheme="majorHAnsi" w:cstheme="majorHAnsi"/>
          <w:b w:val="0"/>
          <w:bCs/>
          <w:szCs w:val="32"/>
        </w:rPr>
        <w:t xml:space="preserve">Budget </w:t>
      </w:r>
      <w:r w:rsidR="00A70398" w:rsidRPr="00213592">
        <w:rPr>
          <w:rFonts w:asciiTheme="majorHAnsi" w:hAnsiTheme="majorHAnsi" w:cstheme="majorHAnsi"/>
          <w:b w:val="0"/>
          <w:bCs/>
          <w:szCs w:val="32"/>
        </w:rPr>
        <w:t xml:space="preserve">Related Paper </w:t>
      </w:r>
      <w:r w:rsidR="00EC20EE">
        <w:rPr>
          <w:rFonts w:asciiTheme="majorHAnsi" w:hAnsiTheme="majorHAnsi" w:cstheme="majorHAnsi"/>
          <w:b w:val="0"/>
          <w:bCs/>
          <w:szCs w:val="32"/>
        </w:rPr>
        <w:t>No. 1.11</w:t>
      </w:r>
    </w:p>
    <w:bookmarkEnd w:id="0"/>
    <w:p w14:paraId="710D7D24" w14:textId="77777777" w:rsidR="00213592" w:rsidRPr="00213592" w:rsidRDefault="00213592" w:rsidP="00213592">
      <w:pPr>
        <w:pStyle w:val="TPHeading1"/>
        <w:spacing w:after="240"/>
        <w:ind w:left="1134" w:right="1134"/>
        <w:rPr>
          <w:rFonts w:asciiTheme="majorHAnsi" w:hAnsiTheme="majorHAnsi" w:cstheme="majorHAnsi"/>
          <w:b w:val="0"/>
          <w:bCs/>
          <w:caps/>
          <w:szCs w:val="32"/>
        </w:rPr>
      </w:pPr>
    </w:p>
    <w:p w14:paraId="2D86C584" w14:textId="77777777" w:rsidR="004900FE" w:rsidRDefault="00EC20EE" w:rsidP="00213592">
      <w:pPr>
        <w:pStyle w:val="TPHeading2"/>
        <w:spacing w:before="0"/>
        <w:ind w:left="1134" w:right="1134"/>
        <w:rPr>
          <w:rFonts w:asciiTheme="majorHAnsi" w:hAnsiTheme="majorHAnsi" w:cstheme="majorHAnsi"/>
          <w:b/>
          <w:bCs/>
          <w:sz w:val="32"/>
          <w:szCs w:val="32"/>
        </w:rPr>
      </w:pPr>
      <w:r>
        <w:rPr>
          <w:rFonts w:asciiTheme="majorHAnsi" w:hAnsiTheme="majorHAnsi" w:cstheme="majorHAnsi"/>
          <w:b/>
          <w:bCs/>
          <w:sz w:val="32"/>
          <w:szCs w:val="32"/>
        </w:rPr>
        <w:t>Prime Minister and Cabinet</w:t>
      </w:r>
      <w:r w:rsidR="0001438C" w:rsidRPr="00213592">
        <w:rPr>
          <w:rFonts w:asciiTheme="majorHAnsi" w:hAnsiTheme="majorHAnsi" w:cstheme="majorHAnsi"/>
          <w:b/>
          <w:bCs/>
          <w:sz w:val="32"/>
          <w:szCs w:val="32"/>
        </w:rPr>
        <w:t xml:space="preserve"> </w:t>
      </w:r>
      <w:r w:rsidR="00B30944" w:rsidRPr="00213592">
        <w:rPr>
          <w:rFonts w:asciiTheme="majorHAnsi" w:hAnsiTheme="majorHAnsi" w:cstheme="majorHAnsi"/>
          <w:b/>
          <w:bCs/>
          <w:sz w:val="32"/>
          <w:szCs w:val="32"/>
        </w:rPr>
        <w:t>Portfolio</w:t>
      </w:r>
    </w:p>
    <w:p w14:paraId="2654211C" w14:textId="77777777" w:rsidR="00213592" w:rsidRPr="00AC530C" w:rsidRDefault="00213592" w:rsidP="00213592"/>
    <w:p w14:paraId="048705F1" w14:textId="77777777" w:rsidR="00213592" w:rsidRDefault="00213592" w:rsidP="00213592"/>
    <w:p w14:paraId="4AFBAF10" w14:textId="77777777" w:rsidR="00213592" w:rsidRPr="00AC530C" w:rsidRDefault="00213592" w:rsidP="00213592"/>
    <w:p w14:paraId="3477E1B7" w14:textId="77777777" w:rsidR="00213592" w:rsidRPr="00AC530C" w:rsidRDefault="00213592" w:rsidP="00213592"/>
    <w:p w14:paraId="761AE858" w14:textId="77777777" w:rsidR="00213592" w:rsidRPr="00AC530C" w:rsidRDefault="00213592" w:rsidP="00213592"/>
    <w:p w14:paraId="01506106" w14:textId="77777777" w:rsidR="00213592" w:rsidRPr="00AC530C" w:rsidRDefault="00213592" w:rsidP="00213592"/>
    <w:p w14:paraId="03A6C9C6" w14:textId="77777777" w:rsidR="0001438C" w:rsidRPr="00213592" w:rsidRDefault="00B30944" w:rsidP="00213592">
      <w:pPr>
        <w:pStyle w:val="TPHeading3"/>
        <w:rPr>
          <w:rFonts w:asciiTheme="majorHAnsi" w:hAnsiTheme="majorHAnsi" w:cstheme="majorHAnsi"/>
          <w:szCs w:val="18"/>
        </w:rPr>
      </w:pPr>
      <w:r w:rsidRPr="00213592">
        <w:rPr>
          <w:rFonts w:asciiTheme="majorHAnsi" w:hAnsiTheme="majorHAnsi" w:cstheme="majorHAnsi"/>
          <w:szCs w:val="18"/>
        </w:rPr>
        <w:t xml:space="preserve">Budget </w:t>
      </w:r>
      <w:r w:rsidR="00D70BF5" w:rsidRPr="00213592">
        <w:rPr>
          <w:rFonts w:asciiTheme="majorHAnsi" w:hAnsiTheme="majorHAnsi" w:cstheme="majorHAnsi"/>
          <w:szCs w:val="18"/>
        </w:rPr>
        <w:t xml:space="preserve">Initiatives </w:t>
      </w:r>
      <w:r w:rsidR="00362AA7" w:rsidRPr="00213592">
        <w:rPr>
          <w:rFonts w:asciiTheme="majorHAnsi" w:hAnsiTheme="majorHAnsi" w:cstheme="majorHAnsi"/>
          <w:szCs w:val="18"/>
        </w:rPr>
        <w:t xml:space="preserve">and </w:t>
      </w:r>
      <w:r w:rsidR="00D70BF5" w:rsidRPr="00213592">
        <w:rPr>
          <w:rFonts w:asciiTheme="majorHAnsi" w:hAnsiTheme="majorHAnsi" w:cstheme="majorHAnsi"/>
          <w:szCs w:val="18"/>
        </w:rPr>
        <w:t xml:space="preserve">Explanations </w:t>
      </w:r>
      <w:r w:rsidR="00362AA7" w:rsidRPr="00213592">
        <w:rPr>
          <w:rFonts w:asciiTheme="majorHAnsi" w:hAnsiTheme="majorHAnsi" w:cstheme="majorHAnsi"/>
          <w:szCs w:val="18"/>
        </w:rPr>
        <w:t>of</w:t>
      </w:r>
    </w:p>
    <w:p w14:paraId="309752F3" w14:textId="77777777" w:rsidR="0001438C" w:rsidRPr="00213592" w:rsidRDefault="00D70BF5" w:rsidP="00C24BB1">
      <w:pPr>
        <w:pStyle w:val="TPHeading3"/>
        <w:rPr>
          <w:rFonts w:asciiTheme="majorHAnsi" w:hAnsiTheme="majorHAnsi" w:cstheme="majorHAnsi"/>
          <w:szCs w:val="18"/>
        </w:rPr>
      </w:pPr>
      <w:r w:rsidRPr="00213592">
        <w:rPr>
          <w:rFonts w:asciiTheme="majorHAnsi" w:hAnsiTheme="majorHAnsi" w:cstheme="majorHAnsi"/>
          <w:szCs w:val="18"/>
        </w:rPr>
        <w:t xml:space="preserve">Appropriations Specified </w:t>
      </w:r>
      <w:r w:rsidR="00362AA7" w:rsidRPr="00213592">
        <w:rPr>
          <w:rFonts w:asciiTheme="majorHAnsi" w:hAnsiTheme="majorHAnsi" w:cstheme="majorHAnsi"/>
          <w:szCs w:val="18"/>
        </w:rPr>
        <w:t xml:space="preserve">by </w:t>
      </w:r>
      <w:r w:rsidRPr="00213592">
        <w:rPr>
          <w:rFonts w:asciiTheme="majorHAnsi" w:hAnsiTheme="majorHAnsi" w:cstheme="majorHAnsi"/>
          <w:szCs w:val="18"/>
        </w:rPr>
        <w:t>Outcomes</w:t>
      </w:r>
    </w:p>
    <w:p w14:paraId="38560515" w14:textId="77777777" w:rsidR="0001438C" w:rsidRPr="00213592" w:rsidRDefault="00362AA7" w:rsidP="00C24BB1">
      <w:pPr>
        <w:pStyle w:val="TPHeading3"/>
        <w:rPr>
          <w:rFonts w:asciiTheme="majorHAnsi" w:hAnsiTheme="majorHAnsi" w:cstheme="majorHAnsi"/>
        </w:rPr>
      </w:pPr>
      <w:r w:rsidRPr="00213592">
        <w:rPr>
          <w:rFonts w:asciiTheme="majorHAnsi" w:hAnsiTheme="majorHAnsi" w:cstheme="majorHAnsi"/>
          <w:szCs w:val="18"/>
        </w:rPr>
        <w:t xml:space="preserve">and </w:t>
      </w:r>
      <w:r w:rsidR="00290933" w:rsidRPr="00213592">
        <w:rPr>
          <w:rFonts w:asciiTheme="majorHAnsi" w:hAnsiTheme="majorHAnsi" w:cstheme="majorHAnsi"/>
          <w:szCs w:val="18"/>
        </w:rPr>
        <w:t>Programs</w:t>
      </w:r>
      <w:r w:rsidR="00D70BF5" w:rsidRPr="00213592">
        <w:rPr>
          <w:rFonts w:asciiTheme="majorHAnsi" w:hAnsiTheme="majorHAnsi" w:cstheme="majorHAnsi"/>
          <w:szCs w:val="18"/>
        </w:rPr>
        <w:t xml:space="preserve"> </w:t>
      </w:r>
      <w:r w:rsidRPr="00213592">
        <w:rPr>
          <w:rFonts w:asciiTheme="majorHAnsi" w:hAnsiTheme="majorHAnsi" w:cstheme="majorHAnsi"/>
          <w:szCs w:val="18"/>
        </w:rPr>
        <w:t xml:space="preserve">by </w:t>
      </w:r>
      <w:r w:rsidR="00D70BF5" w:rsidRPr="00213592">
        <w:rPr>
          <w:rFonts w:asciiTheme="majorHAnsi" w:hAnsiTheme="majorHAnsi" w:cstheme="majorHAnsi"/>
          <w:szCs w:val="18"/>
        </w:rPr>
        <w:t>Entity</w:t>
      </w:r>
    </w:p>
    <w:p w14:paraId="570DD826" w14:textId="77777777" w:rsidR="00D50C9B" w:rsidRDefault="00D50C9B" w:rsidP="00D50C9B">
      <w:pPr>
        <w:sectPr w:rsidR="00D50C9B" w:rsidSect="00213592">
          <w:headerReference w:type="default" r:id="rId13"/>
          <w:footerReference w:type="default" r:id="rId14"/>
          <w:pgSz w:w="11906" w:h="16838" w:code="9"/>
          <w:pgMar w:top="2835" w:right="2098" w:bottom="2466" w:left="2098" w:header="1814" w:footer="1814" w:gutter="0"/>
          <w:cols w:space="708"/>
          <w:vAlign w:val="bottom"/>
          <w:titlePg/>
          <w:docGrid w:linePitch="360"/>
        </w:sectPr>
      </w:pPr>
    </w:p>
    <w:p w14:paraId="4929FFF9" w14:textId="77777777" w:rsidR="00225D3C" w:rsidRPr="00982F10" w:rsidRDefault="00225D3C" w:rsidP="003C0DB7">
      <w:pPr>
        <w:spacing w:after="120" w:line="240" w:lineRule="auto"/>
      </w:pPr>
      <w:r w:rsidRPr="00982F10">
        <w:lastRenderedPageBreak/>
        <w:t>© Commonwealth of Australia</w:t>
      </w:r>
      <w:r>
        <w:t xml:space="preserve"> 2022</w:t>
      </w:r>
    </w:p>
    <w:p w14:paraId="6B4DC8F3" w14:textId="77777777" w:rsidR="00225D3C" w:rsidRPr="000249C5" w:rsidRDefault="00225D3C" w:rsidP="003C0DB7">
      <w:pPr>
        <w:spacing w:after="0" w:line="240" w:lineRule="auto"/>
      </w:pPr>
      <w:r w:rsidRPr="000249C5">
        <w:t>ISSN 2652-5410 (online version)</w:t>
      </w:r>
    </w:p>
    <w:p w14:paraId="2222F5C9" w14:textId="77777777" w:rsidR="00225D3C" w:rsidRPr="00982F10" w:rsidRDefault="00225D3C" w:rsidP="003C0DB7">
      <w:pPr>
        <w:spacing w:after="120" w:line="240" w:lineRule="auto"/>
      </w:pPr>
      <w:r w:rsidRPr="000249C5">
        <w:t>ISSN 2652-5402 (print version)</w:t>
      </w:r>
    </w:p>
    <w:p w14:paraId="323BDBE3" w14:textId="77777777" w:rsidR="00225D3C" w:rsidRPr="00FA63B6" w:rsidRDefault="00225D3C" w:rsidP="003C0DB7">
      <w:pPr>
        <w:tabs>
          <w:tab w:val="left" w:pos="1650"/>
        </w:tabs>
        <w:spacing w:before="120" w:after="120" w:line="240" w:lineRule="auto"/>
        <w:rPr>
          <w:rStyle w:val="A5"/>
          <w:rFonts w:ascii="Calibri" w:hAnsi="Calibri"/>
          <w:sz w:val="24"/>
          <w:szCs w:val="24"/>
        </w:rPr>
      </w:pPr>
      <w:r w:rsidRPr="00774A83">
        <w:t>This publication is available for your use under a</w:t>
      </w:r>
      <w:r w:rsidRPr="00774A83">
        <w:rPr>
          <w:rStyle w:val="A5"/>
          <w:rFonts w:ascii="Calibri" w:hAnsi="Calibri" w:cs="Calibri"/>
          <w:sz w:val="24"/>
          <w:szCs w:val="24"/>
        </w:rPr>
        <w:t xml:space="preserve"> </w:t>
      </w:r>
      <w:hyperlink r:id="rId15" w:history="1">
        <w:r w:rsidRPr="00774A83">
          <w:rPr>
            <w:rStyle w:val="Hyperlink"/>
          </w:rPr>
          <w:t>Creative Commons BY Attribution 3.0 Australia</w:t>
        </w:r>
      </w:hyperlink>
      <w:r w:rsidRPr="00774A83">
        <w:rPr>
          <w:rStyle w:val="A5"/>
          <w:rFonts w:ascii="Calibri" w:hAnsi="Calibri" w:cs="Calibri"/>
          <w:sz w:val="24"/>
          <w:szCs w:val="24"/>
        </w:rPr>
        <w:t xml:space="preserve"> </w:t>
      </w:r>
      <w:r w:rsidRPr="00774A83">
        <w:t xml:space="preserve">licence, with the exception of the Commonwealth Coat of Arms, the </w:t>
      </w:r>
      <w:r>
        <w:t xml:space="preserve">Department of the Prime Minister and Cabinet </w:t>
      </w:r>
      <w:r w:rsidRPr="00774A83">
        <w:t>logo, photographs, images, signatures and where otherwise stated. The full licence terms are available from</w:t>
      </w:r>
      <w:r w:rsidRPr="00774A83">
        <w:rPr>
          <w:rStyle w:val="A5"/>
          <w:rFonts w:ascii="Calibri" w:hAnsi="Calibri" w:cs="Calibri"/>
          <w:sz w:val="24"/>
          <w:szCs w:val="24"/>
        </w:rPr>
        <w:t xml:space="preserve"> </w:t>
      </w:r>
      <w:hyperlink r:id="rId16" w:history="1">
        <w:r w:rsidRPr="00774A83">
          <w:rPr>
            <w:rStyle w:val="Hyperlink"/>
          </w:rPr>
          <w:t>http://creativecommons.org/licenses/by/3.0/au/legalcode</w:t>
        </w:r>
      </w:hyperlink>
      <w:r w:rsidRPr="00774A83">
        <w:rPr>
          <w:rStyle w:val="Hyperlink"/>
        </w:rPr>
        <w:t>.</w:t>
      </w:r>
    </w:p>
    <w:p w14:paraId="3D6F7253" w14:textId="77777777" w:rsidR="00225D3C" w:rsidRPr="00FA63B6" w:rsidRDefault="00225D3C" w:rsidP="003C0DB7">
      <w:pPr>
        <w:tabs>
          <w:tab w:val="left" w:pos="1650"/>
        </w:tabs>
        <w:spacing w:after="120" w:line="240" w:lineRule="auto"/>
        <w:rPr>
          <w:rFonts w:cs="Calibri"/>
        </w:rPr>
      </w:pPr>
      <w:r>
        <w:rPr>
          <w:rFonts w:cs="Calibri"/>
          <w:noProof/>
        </w:rPr>
        <w:drawing>
          <wp:inline distT="0" distB="0" distL="0" distR="0" wp14:anchorId="5C6873B8" wp14:editId="2E2C3123">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7781B257" w14:textId="77777777" w:rsidR="00225D3C" w:rsidRPr="00FA63B6" w:rsidRDefault="00225D3C" w:rsidP="003C0DB7">
      <w:pPr>
        <w:tabs>
          <w:tab w:val="left" w:pos="1650"/>
        </w:tabs>
        <w:spacing w:after="120" w:line="240" w:lineRule="auto"/>
        <w:rPr>
          <w:sz w:val="22"/>
          <w:szCs w:val="22"/>
        </w:rPr>
      </w:pPr>
      <w:r w:rsidRPr="00774A83">
        <w:t>Use of</w:t>
      </w:r>
      <w:r>
        <w:t xml:space="preserve"> the Department of </w:t>
      </w:r>
      <w:r w:rsidR="003C0DB7">
        <w:t xml:space="preserve">the </w:t>
      </w:r>
      <w:r>
        <w:t>Prime Minister and Cabinet</w:t>
      </w:r>
      <w:r w:rsidRPr="00774A83">
        <w:t xml:space="preserve"> material under a</w:t>
      </w:r>
      <w:r w:rsidRPr="00774A83">
        <w:rPr>
          <w:rFonts w:cs="Calibri"/>
          <w:color w:val="000000"/>
          <w:sz w:val="24"/>
          <w:szCs w:val="24"/>
        </w:rPr>
        <w:t xml:space="preserve"> </w:t>
      </w:r>
      <w:hyperlink r:id="rId18" w:history="1">
        <w:r w:rsidRPr="00774A83">
          <w:rPr>
            <w:rStyle w:val="Hyperlink"/>
          </w:rPr>
          <w:t>Creative Commons BY Attribution 3.0 Australia</w:t>
        </w:r>
      </w:hyperlink>
      <w:r w:rsidRPr="00774A83">
        <w:rPr>
          <w:rStyle w:val="Hyperlink"/>
        </w:rPr>
        <w:t xml:space="preserve"> </w:t>
      </w:r>
      <w:r w:rsidRPr="00774A83">
        <w:t>licence requires you to attribute the work (but not in any way that suggests that the</w:t>
      </w:r>
      <w:r>
        <w:t xml:space="preserve"> Department of </w:t>
      </w:r>
      <w:r w:rsidR="003C0DB7">
        <w:t xml:space="preserve">the </w:t>
      </w:r>
      <w:r>
        <w:t>Prime Minister and Cabinet</w:t>
      </w:r>
      <w:r w:rsidRPr="00774A83">
        <w:t xml:space="preserve"> endorses you or your use of the work).</w:t>
      </w:r>
    </w:p>
    <w:p w14:paraId="45A3ABCA" w14:textId="77777777" w:rsidR="00225D3C" w:rsidRPr="002D6163" w:rsidRDefault="00225D3C" w:rsidP="003C0DB7">
      <w:pPr>
        <w:spacing w:after="0" w:line="240" w:lineRule="auto"/>
        <w:rPr>
          <w:b/>
          <w:bCs/>
        </w:rPr>
      </w:pPr>
      <w:r w:rsidRPr="00EC20EE">
        <w:rPr>
          <w:b/>
          <w:bCs/>
        </w:rPr>
        <w:t>Department of the Prime Minister and Cabinet</w:t>
      </w:r>
      <w:r w:rsidRPr="002D6163">
        <w:rPr>
          <w:b/>
          <w:bCs/>
          <w:i/>
        </w:rPr>
        <w:t xml:space="preserve"> </w:t>
      </w:r>
      <w:r w:rsidRPr="002D6163">
        <w:rPr>
          <w:b/>
          <w:bCs/>
        </w:rPr>
        <w:t>material used 'as supplied'</w:t>
      </w:r>
    </w:p>
    <w:p w14:paraId="33024BB6" w14:textId="77777777" w:rsidR="00225D3C" w:rsidRPr="00982F10" w:rsidRDefault="00225D3C" w:rsidP="003C0DB7">
      <w:pPr>
        <w:spacing w:after="60" w:line="240" w:lineRule="auto"/>
      </w:pPr>
      <w:r w:rsidRPr="00982F10">
        <w:t xml:space="preserve">Provided you have not modified or transformed </w:t>
      </w:r>
      <w:r>
        <w:t>the Department of</w:t>
      </w:r>
      <w:r w:rsidR="003C0DB7">
        <w:t xml:space="preserve"> the</w:t>
      </w:r>
      <w:r>
        <w:t xml:space="preserve"> Prime Minister and Cabinet</w:t>
      </w:r>
      <w:r w:rsidRPr="00982F10">
        <w:t xml:space="preserve"> material in any way including, for example, by changing </w:t>
      </w:r>
      <w:r>
        <w:t xml:space="preserve">the Department of </w:t>
      </w:r>
      <w:r w:rsidR="003C0DB7">
        <w:t xml:space="preserve">the </w:t>
      </w:r>
      <w:r>
        <w:t>Prime Minister and Cabinet</w:t>
      </w:r>
      <w:r w:rsidRPr="00982F10">
        <w:t xml:space="preserve"> text; calculating percentage changes; graphing or charting data; or deriving new statistics from published </w:t>
      </w:r>
      <w:r>
        <w:t xml:space="preserve">the Department of </w:t>
      </w:r>
      <w:r w:rsidR="003C0DB7">
        <w:t xml:space="preserve">the </w:t>
      </w:r>
      <w:r>
        <w:t>Prime Minister and Cabinet</w:t>
      </w:r>
      <w:r w:rsidRPr="00982F10">
        <w:t xml:space="preserve"> statistics – then </w:t>
      </w:r>
      <w:r>
        <w:t xml:space="preserve">the Department of </w:t>
      </w:r>
      <w:r w:rsidR="003C0DB7">
        <w:t xml:space="preserve">the </w:t>
      </w:r>
      <w:r>
        <w:t>Prime Minister and Cabinet</w:t>
      </w:r>
      <w:r w:rsidRPr="00982F10">
        <w:t xml:space="preserve"> pre</w:t>
      </w:r>
      <w:r>
        <w:t>fers the following attribution:</w:t>
      </w:r>
    </w:p>
    <w:p w14:paraId="7A1F4B19" w14:textId="77777777" w:rsidR="00225D3C" w:rsidRPr="00982F10" w:rsidRDefault="00225D3C" w:rsidP="003C0DB7">
      <w:pPr>
        <w:spacing w:after="60" w:line="240" w:lineRule="auto"/>
        <w:ind w:left="425"/>
        <w:rPr>
          <w:color w:val="FF0000"/>
        </w:rPr>
      </w:pPr>
      <w:r w:rsidRPr="00982F10">
        <w:rPr>
          <w:i/>
        </w:rPr>
        <w:t xml:space="preserve">Source: The </w:t>
      </w:r>
      <w:r w:rsidRPr="00982F10">
        <w:rPr>
          <w:i/>
          <w:iCs/>
        </w:rPr>
        <w:t>Australian Government </w:t>
      </w:r>
      <w:r w:rsidRPr="00EC20EE">
        <w:rPr>
          <w:i/>
          <w:iCs/>
        </w:rPr>
        <w:t xml:space="preserve">the Department of </w:t>
      </w:r>
      <w:r w:rsidR="003C0DB7">
        <w:rPr>
          <w:i/>
          <w:iCs/>
        </w:rPr>
        <w:t xml:space="preserve">the </w:t>
      </w:r>
      <w:r w:rsidRPr="00EC20EE">
        <w:rPr>
          <w:i/>
          <w:iCs/>
        </w:rPr>
        <w:t>Prime Minister and Cabinet</w:t>
      </w:r>
      <w:r w:rsidRPr="00982F10">
        <w:rPr>
          <w:i/>
          <w:iCs/>
        </w:rPr>
        <w:t xml:space="preserve"> </w:t>
      </w:r>
    </w:p>
    <w:p w14:paraId="1D90F0F3" w14:textId="77777777" w:rsidR="00225D3C" w:rsidRPr="00774A83" w:rsidRDefault="00225D3C" w:rsidP="003C0DB7">
      <w:pPr>
        <w:spacing w:after="0" w:line="240" w:lineRule="auto"/>
        <w:rPr>
          <w:b/>
        </w:rPr>
      </w:pPr>
      <w:r w:rsidRPr="00774A83">
        <w:rPr>
          <w:b/>
        </w:rPr>
        <w:t>Derivative material</w:t>
      </w:r>
    </w:p>
    <w:p w14:paraId="5C785F49" w14:textId="77777777" w:rsidR="00225D3C" w:rsidRPr="00982F10" w:rsidRDefault="00225D3C" w:rsidP="003C0DB7">
      <w:pPr>
        <w:spacing w:after="60" w:line="240" w:lineRule="auto"/>
      </w:pPr>
      <w:r w:rsidRPr="00982F10">
        <w:t xml:space="preserve">If you have modified or transformed </w:t>
      </w:r>
      <w:r>
        <w:t xml:space="preserve">the Department of </w:t>
      </w:r>
      <w:r w:rsidR="003C0DB7">
        <w:t xml:space="preserve">the </w:t>
      </w:r>
      <w:r>
        <w:t>Prime Minister and Cabinet</w:t>
      </w:r>
      <w:r w:rsidRPr="00982F10">
        <w:t xml:space="preserve"> material, or derived new material from those of the </w:t>
      </w:r>
      <w:r>
        <w:t xml:space="preserve">Department of </w:t>
      </w:r>
      <w:r w:rsidR="003C0DB7">
        <w:t xml:space="preserve">the </w:t>
      </w:r>
      <w:r>
        <w:t>Prime Minister and Cabinet</w:t>
      </w:r>
      <w:r w:rsidRPr="00982F10">
        <w:t xml:space="preserve"> in any way, then </w:t>
      </w:r>
      <w:r>
        <w:t xml:space="preserve">the Department of </w:t>
      </w:r>
      <w:r w:rsidR="003C0DB7">
        <w:t xml:space="preserve">the </w:t>
      </w:r>
      <w:r>
        <w:t>Prime Minister and Cabinet</w:t>
      </w:r>
      <w:r w:rsidRPr="00982F10">
        <w:t xml:space="preserve"> pre</w:t>
      </w:r>
      <w:r>
        <w:t>fers the following attribution:</w:t>
      </w:r>
    </w:p>
    <w:p w14:paraId="10EC5887" w14:textId="77777777" w:rsidR="00225D3C" w:rsidRPr="00EC20EE" w:rsidRDefault="00225D3C" w:rsidP="003C0DB7">
      <w:pPr>
        <w:spacing w:after="60" w:line="240" w:lineRule="auto"/>
        <w:ind w:left="425"/>
        <w:rPr>
          <w:i/>
        </w:rPr>
      </w:pPr>
      <w:r w:rsidRPr="00982F10">
        <w:rPr>
          <w:i/>
        </w:rPr>
        <w:t xml:space="preserve">Based on The Australian Government </w:t>
      </w:r>
      <w:r w:rsidRPr="00EC20EE">
        <w:rPr>
          <w:i/>
        </w:rPr>
        <w:t xml:space="preserve">the Department of </w:t>
      </w:r>
      <w:r w:rsidR="003C0DB7">
        <w:rPr>
          <w:i/>
        </w:rPr>
        <w:t xml:space="preserve">the </w:t>
      </w:r>
      <w:r w:rsidRPr="00EC20EE">
        <w:rPr>
          <w:i/>
        </w:rPr>
        <w:t>Prime Minister and Cabinet</w:t>
      </w:r>
      <w:r w:rsidRPr="00982F10">
        <w:rPr>
          <w:i/>
        </w:rPr>
        <w:t xml:space="preserve"> data</w:t>
      </w:r>
      <w:r w:rsidRPr="00EC20EE">
        <w:rPr>
          <w:i/>
        </w:rPr>
        <w:t xml:space="preserve"> </w:t>
      </w:r>
    </w:p>
    <w:p w14:paraId="560CE0D3" w14:textId="77777777" w:rsidR="00225D3C" w:rsidRPr="00982F10" w:rsidRDefault="00225D3C" w:rsidP="003C0DB7">
      <w:pPr>
        <w:spacing w:after="0" w:line="240" w:lineRule="auto"/>
        <w:rPr>
          <w:b/>
        </w:rPr>
      </w:pPr>
      <w:r w:rsidRPr="00982F10">
        <w:rPr>
          <w:b/>
        </w:rPr>
        <w:t>Use of the Coat of Arms</w:t>
      </w:r>
    </w:p>
    <w:p w14:paraId="4719D7D1" w14:textId="77777777" w:rsidR="00225D3C" w:rsidRPr="00982F10" w:rsidRDefault="00225D3C" w:rsidP="003C0DB7">
      <w:pPr>
        <w:spacing w:line="240" w:lineRule="auto"/>
        <w:jc w:val="left"/>
      </w:pPr>
      <w:r w:rsidRPr="00C00B3B">
        <w:t>The terms under which the Coat of Arms can be used are set</w:t>
      </w:r>
      <w:r>
        <w:t xml:space="preserve"> </w:t>
      </w:r>
      <w:r w:rsidRPr="00C00B3B">
        <w:t>out</w:t>
      </w:r>
      <w:r>
        <w:t xml:space="preserve"> </w:t>
      </w:r>
      <w:r w:rsidRPr="00C00B3B">
        <w:t>on</w:t>
      </w:r>
      <w:r>
        <w:t xml:space="preserve"> </w:t>
      </w:r>
      <w:r w:rsidRPr="00C00B3B">
        <w:t>the Department</w:t>
      </w:r>
      <w:r>
        <w:t xml:space="preserve"> </w:t>
      </w:r>
      <w:r w:rsidRPr="00C00B3B">
        <w:t>of the Prime Minister and Cabinet website</w:t>
      </w:r>
      <w:r>
        <w:t xml:space="preserve"> </w:t>
      </w:r>
      <w:r w:rsidRPr="00C00B3B">
        <w:t>(see</w:t>
      </w:r>
      <w:r>
        <w:t xml:space="preserve"> </w:t>
      </w:r>
      <w:hyperlink r:id="rId19" w:history="1">
        <w:r w:rsidRPr="007B2930">
          <w:rPr>
            <w:rStyle w:val="Hyperlink"/>
          </w:rPr>
          <w:t>www.pmc.gov.au/government/commonwealth-coat-arms</w:t>
        </w:r>
      </w:hyperlink>
      <w:r w:rsidRPr="00982F10">
        <w:t>)</w:t>
      </w:r>
      <w:r>
        <w:t>.</w:t>
      </w:r>
    </w:p>
    <w:p w14:paraId="45794C9C" w14:textId="77777777" w:rsidR="00225D3C" w:rsidRPr="00982F10" w:rsidRDefault="00225D3C" w:rsidP="003C0DB7">
      <w:pPr>
        <w:spacing w:after="0" w:line="240" w:lineRule="auto"/>
        <w:rPr>
          <w:b/>
        </w:rPr>
      </w:pPr>
      <w:r>
        <w:rPr>
          <w:b/>
        </w:rPr>
        <w:t>Other u</w:t>
      </w:r>
      <w:r w:rsidRPr="00982F10">
        <w:rPr>
          <w:b/>
        </w:rPr>
        <w:t>ses</w:t>
      </w:r>
    </w:p>
    <w:p w14:paraId="597CD4C9" w14:textId="77777777" w:rsidR="00225D3C" w:rsidRDefault="00225D3C" w:rsidP="003C0DB7">
      <w:pPr>
        <w:spacing w:after="0" w:line="240" w:lineRule="auto"/>
      </w:pPr>
      <w:r>
        <w:t>E</w:t>
      </w:r>
      <w:r w:rsidRPr="00982F10">
        <w:t>nquiries regarding this licence and any other use of this document are welcome at:</w:t>
      </w:r>
    </w:p>
    <w:p w14:paraId="24FC143D" w14:textId="77777777" w:rsidR="00225D3C" w:rsidRDefault="00225D3C" w:rsidP="003C0DB7">
      <w:pPr>
        <w:spacing w:after="0" w:line="240" w:lineRule="auto"/>
        <w:jc w:val="left"/>
      </w:pPr>
      <w:r>
        <w:t xml:space="preserve">The Department of </w:t>
      </w:r>
      <w:r w:rsidR="003C0DB7">
        <w:t xml:space="preserve">the </w:t>
      </w:r>
      <w:r>
        <w:t>Prime Minister and Cabinet</w:t>
      </w:r>
    </w:p>
    <w:p w14:paraId="75A12D3E" w14:textId="77777777" w:rsidR="00225D3C" w:rsidRDefault="00225D3C" w:rsidP="003C0DB7">
      <w:pPr>
        <w:spacing w:after="0" w:line="240" w:lineRule="auto"/>
        <w:jc w:val="left"/>
      </w:pPr>
      <w:r>
        <w:t>PO Box 6500</w:t>
      </w:r>
    </w:p>
    <w:p w14:paraId="43518F7F" w14:textId="77777777" w:rsidR="00225D3C" w:rsidRDefault="00225D3C" w:rsidP="003C0DB7">
      <w:pPr>
        <w:spacing w:after="0" w:line="240" w:lineRule="auto"/>
        <w:jc w:val="left"/>
      </w:pPr>
      <w:r>
        <w:t>Canberra ACT 2600</w:t>
      </w:r>
    </w:p>
    <w:p w14:paraId="2AFACB3D" w14:textId="77777777" w:rsidR="00225D3C" w:rsidRDefault="00225D3C" w:rsidP="003C0DB7">
      <w:pPr>
        <w:spacing w:after="0" w:line="240" w:lineRule="auto"/>
        <w:jc w:val="left"/>
      </w:pPr>
      <w:r>
        <w:t>Tel: (02) 6271 5111</w:t>
      </w:r>
      <w:r w:rsidR="003C0DB7">
        <w:br/>
      </w:r>
      <w:r>
        <w:t>www.pmc.gov.au</w:t>
      </w:r>
      <w:r>
        <w:br/>
      </w:r>
    </w:p>
    <w:p w14:paraId="72539D4D" w14:textId="77777777" w:rsidR="00E20628" w:rsidRDefault="00E20628" w:rsidP="00D50C9B">
      <w:pPr>
        <w:sectPr w:rsidR="00E20628" w:rsidSect="00782467">
          <w:footerReference w:type="even" r:id="rId20"/>
          <w:headerReference w:type="first" r:id="rId21"/>
          <w:pgSz w:w="11906" w:h="16838" w:code="9"/>
          <w:pgMar w:top="2835" w:right="2098" w:bottom="2466" w:left="2098" w:header="1814" w:footer="1814" w:gutter="0"/>
          <w:cols w:space="708"/>
          <w:docGrid w:linePitch="360"/>
        </w:sectPr>
      </w:pPr>
    </w:p>
    <w:p w14:paraId="0CC69161" w14:textId="77777777" w:rsidR="00FE3DE9" w:rsidRPr="00734BA4" w:rsidRDefault="00734BA4" w:rsidP="00734BA4">
      <w:pPr>
        <w:sectPr w:rsidR="00FE3DE9" w:rsidRPr="00734BA4" w:rsidSect="00782467">
          <w:footerReference w:type="first" r:id="rId22"/>
          <w:pgSz w:w="11906" w:h="16838" w:code="9"/>
          <w:pgMar w:top="2835" w:right="2098" w:bottom="2466" w:left="2098" w:header="1814" w:footer="1814" w:gutter="0"/>
          <w:pgNumType w:fmt="lowerRoman"/>
          <w:cols w:space="708"/>
          <w:titlePg/>
          <w:docGrid w:linePitch="360"/>
        </w:sectPr>
      </w:pPr>
      <w:r>
        <w:rPr>
          <w:noProof/>
        </w:rPr>
        <w:lastRenderedPageBreak/>
        <w:drawing>
          <wp:anchor distT="0" distB="0" distL="114300" distR="114300" simplePos="0" relativeHeight="251660288" behindDoc="0" locked="0" layoutInCell="1" allowOverlap="1" wp14:anchorId="7065D6A4" wp14:editId="0DE843FF">
            <wp:simplePos x="709295" y="1801495"/>
            <wp:positionH relativeFrom="margin">
              <wp:align>center</wp:align>
            </wp:positionH>
            <wp:positionV relativeFrom="margin">
              <wp:align>center</wp:align>
            </wp:positionV>
            <wp:extent cx="5772785" cy="8301355"/>
            <wp:effectExtent l="0" t="0" r="0" b="4445"/>
            <wp:wrapSquare wrapText="bothSides"/>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772785" cy="8301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854F33" wp14:editId="6F3C2EE4">
            <wp:extent cx="4895850" cy="7040550"/>
            <wp:effectExtent l="0" t="0" r="0" b="825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4895850" cy="7040550"/>
                    </a:xfrm>
                    <a:prstGeom prst="rect">
                      <a:avLst/>
                    </a:prstGeom>
                  </pic:spPr>
                </pic:pic>
              </a:graphicData>
            </a:graphic>
          </wp:inline>
        </w:drawing>
      </w:r>
    </w:p>
    <w:p w14:paraId="38C3FA33" w14:textId="77777777" w:rsidR="009C0C48" w:rsidRDefault="009C0C48" w:rsidP="00834F9A">
      <w:pPr>
        <w:pStyle w:val="Heading4-NoTOC"/>
      </w:pPr>
      <w:r>
        <w:lastRenderedPageBreak/>
        <w:t>Abbreviations and conventions</w:t>
      </w:r>
    </w:p>
    <w:p w14:paraId="516246B3" w14:textId="77777777" w:rsidR="009C0C48" w:rsidRDefault="009C0C48" w:rsidP="009C0C48">
      <w:r>
        <w:t>The following notation may be used:</w:t>
      </w:r>
    </w:p>
    <w:p w14:paraId="423F2881" w14:textId="77777777" w:rsidR="009C0C48" w:rsidRDefault="009C0C48" w:rsidP="009C0C48">
      <w:pPr>
        <w:pStyle w:val="SingleParagraph"/>
        <w:tabs>
          <w:tab w:val="left" w:pos="2268"/>
        </w:tabs>
        <w:ind w:left="567"/>
      </w:pPr>
      <w:r>
        <w:t>NEC/nec</w:t>
      </w:r>
      <w:r>
        <w:tab/>
        <w:t>not elsewhere classified</w:t>
      </w:r>
    </w:p>
    <w:p w14:paraId="0C01B0C9" w14:textId="77777777" w:rsidR="009C0C48" w:rsidRDefault="00F403D6" w:rsidP="009C0C48">
      <w:pPr>
        <w:pStyle w:val="SingleParagraph"/>
        <w:tabs>
          <w:tab w:val="left" w:pos="2268"/>
        </w:tabs>
        <w:ind w:left="567"/>
      </w:pPr>
      <w:r>
        <w:t>-</w:t>
      </w:r>
      <w:r w:rsidR="009C0C48">
        <w:tab/>
        <w:t>nil</w:t>
      </w:r>
    </w:p>
    <w:p w14:paraId="37E7D348" w14:textId="77777777" w:rsidR="009C0C48" w:rsidRDefault="009C0C48" w:rsidP="009C0C48">
      <w:pPr>
        <w:pStyle w:val="SingleParagraph"/>
        <w:tabs>
          <w:tab w:val="left" w:pos="2268"/>
        </w:tabs>
        <w:ind w:left="567"/>
      </w:pPr>
      <w:r>
        <w:t>..</w:t>
      </w:r>
      <w:r>
        <w:tab/>
        <w:t>not zero, but rounded to zero</w:t>
      </w:r>
    </w:p>
    <w:p w14:paraId="53A136D7" w14:textId="77777777" w:rsidR="009C0C48" w:rsidRDefault="009C0C48" w:rsidP="009C0C48">
      <w:pPr>
        <w:pStyle w:val="SingleParagraph"/>
        <w:tabs>
          <w:tab w:val="left" w:pos="2268"/>
        </w:tabs>
        <w:ind w:left="567"/>
      </w:pPr>
      <w:r>
        <w:t>na</w:t>
      </w:r>
      <w:r>
        <w:tab/>
        <w:t>not applicable (unless otherwise specified)</w:t>
      </w:r>
    </w:p>
    <w:p w14:paraId="6AC1AD18" w14:textId="77777777" w:rsidR="009C0C48" w:rsidRDefault="009C0C48" w:rsidP="009C0C48">
      <w:pPr>
        <w:pStyle w:val="SingleParagraph"/>
        <w:tabs>
          <w:tab w:val="left" w:pos="2268"/>
        </w:tabs>
        <w:ind w:left="567"/>
      </w:pPr>
      <w:r>
        <w:t>nfp</w:t>
      </w:r>
      <w:r>
        <w:tab/>
        <w:t>not for publication</w:t>
      </w:r>
    </w:p>
    <w:p w14:paraId="231A6D81" w14:textId="77777777" w:rsidR="009C0C48" w:rsidRDefault="009C0C48" w:rsidP="009C0C48">
      <w:pPr>
        <w:pStyle w:val="SingleParagraph"/>
        <w:tabs>
          <w:tab w:val="left" w:pos="2268"/>
        </w:tabs>
        <w:ind w:left="567"/>
      </w:pPr>
      <w:r>
        <w:t>$m</w:t>
      </w:r>
      <w:r>
        <w:tab/>
        <w:t>$ million</w:t>
      </w:r>
    </w:p>
    <w:p w14:paraId="47E7A409" w14:textId="77777777" w:rsidR="009C0C48" w:rsidRDefault="009C0C48" w:rsidP="009C0C48">
      <w:pPr>
        <w:tabs>
          <w:tab w:val="left" w:pos="2268"/>
        </w:tabs>
        <w:ind w:left="567"/>
      </w:pPr>
      <w:r>
        <w:t>$b</w:t>
      </w:r>
      <w:r>
        <w:tab/>
        <w:t>$ billion</w:t>
      </w:r>
    </w:p>
    <w:p w14:paraId="1C8CD3A0" w14:textId="77777777"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619F593F" w14:textId="77777777" w:rsidR="009C0C48" w:rsidRDefault="009C0C48" w:rsidP="00834F9A">
      <w:pPr>
        <w:pStyle w:val="Heading4-NoTOC"/>
      </w:pPr>
      <w:r>
        <w:t>Enquiries</w:t>
      </w:r>
    </w:p>
    <w:p w14:paraId="392FA19A" w14:textId="77777777" w:rsidR="00E653DE" w:rsidRPr="000249C5" w:rsidRDefault="00E653DE" w:rsidP="00E653DE">
      <w:r w:rsidRPr="000249C5">
        <w:t>Should you have any enquiries regarding this publication please contact, Chief Financial Officer, Department of the Prime Minister and Cabinet on (02) 6271 5111.</w:t>
      </w:r>
    </w:p>
    <w:p w14:paraId="73575102" w14:textId="77777777" w:rsidR="00E653DE" w:rsidRDefault="00E653DE" w:rsidP="00E653DE">
      <w:r>
        <w:t xml:space="preserve">Links to Portfolio Budget Statements (including Portfolio Additional Estimates Statements and Portfolio Supplementary Additional Statements) can be located on the Australian Government Budget website at: </w:t>
      </w:r>
      <w:hyperlink r:id="rId24" w:history="1">
        <w:r w:rsidRPr="00F24527">
          <w:rPr>
            <w:rStyle w:val="Hyperlink"/>
          </w:rPr>
          <w:t>www.budget.gov.au</w:t>
        </w:r>
      </w:hyperlink>
      <w:r>
        <w:t>.</w:t>
      </w:r>
    </w:p>
    <w:p w14:paraId="77CB9F2D" w14:textId="77777777" w:rsidR="00423003" w:rsidRPr="00174186" w:rsidRDefault="00423003" w:rsidP="00174186"/>
    <w:p w14:paraId="59A67F73" w14:textId="77777777" w:rsidR="00174186" w:rsidRPr="00174186" w:rsidRDefault="00174186" w:rsidP="00174186"/>
    <w:p w14:paraId="63745397" w14:textId="77777777" w:rsidR="00174186" w:rsidRPr="00174186" w:rsidRDefault="00174186" w:rsidP="00174186">
      <w:pPr>
        <w:sectPr w:rsidR="00174186" w:rsidRPr="00174186" w:rsidSect="00782467">
          <w:headerReference w:type="even" r:id="rId25"/>
          <w:headerReference w:type="default" r:id="rId26"/>
          <w:headerReference w:type="first" r:id="rId27"/>
          <w:footerReference w:type="first" r:id="rId28"/>
          <w:pgSz w:w="11906" w:h="16838" w:code="9"/>
          <w:pgMar w:top="2835" w:right="2098" w:bottom="2466" w:left="2098" w:header="1814" w:footer="1814" w:gutter="0"/>
          <w:pgNumType w:fmt="lowerRoman"/>
          <w:cols w:space="708"/>
          <w:titlePg/>
          <w:docGrid w:linePitch="360"/>
        </w:sectPr>
      </w:pPr>
    </w:p>
    <w:p w14:paraId="00B7A884" w14:textId="77777777" w:rsidR="00D867A3" w:rsidRDefault="00C26820" w:rsidP="00883894">
      <w:pPr>
        <w:pStyle w:val="PartHeading"/>
      </w:pPr>
      <w:bookmarkStart w:id="1" w:name="_Toc444523502"/>
      <w:r>
        <w:lastRenderedPageBreak/>
        <w:t>User g</w:t>
      </w:r>
      <w:r w:rsidR="00883894" w:rsidRPr="00883894">
        <w:t>uide</w:t>
      </w:r>
      <w:bookmarkStart w:id="2" w:name="_Toc444523503"/>
      <w:bookmarkEnd w:id="1"/>
      <w:r>
        <w:t xml:space="preserve"> to t</w:t>
      </w:r>
      <w:r w:rsidR="00883894" w:rsidRPr="00883894">
        <w:t>he</w:t>
      </w:r>
      <w:bookmarkEnd w:id="2"/>
      <w:r w:rsidR="00883894" w:rsidRPr="00883894">
        <w:br/>
      </w:r>
      <w:bookmarkStart w:id="3" w:name="_Toc444523504"/>
      <w:r w:rsidR="00883894" w:rsidRPr="00883894">
        <w:t>Portfolio Budget Statements</w:t>
      </w:r>
      <w:bookmarkEnd w:id="3"/>
    </w:p>
    <w:p w14:paraId="20C88F92" w14:textId="77777777" w:rsidR="00D867A3" w:rsidRDefault="00D867A3">
      <w:pPr>
        <w:spacing w:after="0" w:line="240" w:lineRule="auto"/>
        <w:jc w:val="left"/>
        <w:rPr>
          <w:rFonts w:ascii="Arial Bold" w:hAnsi="Arial Bold" w:cs="Arial"/>
          <w:b/>
          <w:bCs/>
          <w:kern w:val="28"/>
          <w:sz w:val="52"/>
          <w:szCs w:val="32"/>
        </w:rPr>
      </w:pPr>
      <w:r>
        <w:br w:type="page"/>
      </w:r>
    </w:p>
    <w:p w14:paraId="49388FAF" w14:textId="77777777" w:rsidR="008D7DFC" w:rsidRPr="00883894" w:rsidRDefault="008D7DFC" w:rsidP="00883894">
      <w:pPr>
        <w:pStyle w:val="PartHeading"/>
      </w:pPr>
    </w:p>
    <w:p w14:paraId="19ED0208" w14:textId="77777777" w:rsidR="008D7DFC" w:rsidRPr="00883894" w:rsidRDefault="008D7DFC" w:rsidP="00883894">
      <w:pPr>
        <w:pStyle w:val="PartHeading"/>
        <w:sectPr w:rsidR="008D7DFC" w:rsidRPr="00883894" w:rsidSect="00782467">
          <w:headerReference w:type="even" r:id="rId29"/>
          <w:headerReference w:type="first" r:id="rId30"/>
          <w:footerReference w:type="first" r:id="rId31"/>
          <w:pgSz w:w="11906" w:h="16838" w:code="9"/>
          <w:pgMar w:top="2835" w:right="2098" w:bottom="2466" w:left="2098" w:header="1814" w:footer="1814" w:gutter="0"/>
          <w:pgNumType w:fmt="lowerRoman"/>
          <w:cols w:space="708"/>
          <w:vAlign w:val="center"/>
          <w:titlePg/>
          <w:docGrid w:linePitch="360"/>
        </w:sectPr>
      </w:pPr>
    </w:p>
    <w:p w14:paraId="3473B9C9" w14:textId="77777777" w:rsidR="008D7DFC" w:rsidRDefault="008D7DFC" w:rsidP="006928E4">
      <w:pPr>
        <w:pStyle w:val="Heading1"/>
        <w:rPr>
          <w:lang w:val="en-US"/>
        </w:rPr>
      </w:pPr>
      <w:bookmarkStart w:id="4" w:name="_Toc112211948"/>
      <w:bookmarkStart w:id="5" w:name="_Toc112212042"/>
      <w:bookmarkStart w:id="6" w:name="_Toc112137860"/>
      <w:bookmarkStart w:id="7" w:name="_Toc112224367"/>
      <w:bookmarkStart w:id="8" w:name="_Toc112225828"/>
      <w:bookmarkStart w:id="9" w:name="_Toc98496264"/>
      <w:bookmarkStart w:id="10" w:name="_Toc99201038"/>
      <w:r w:rsidRPr="006928E4">
        <w:lastRenderedPageBreak/>
        <w:t>User</w:t>
      </w:r>
      <w:r>
        <w:rPr>
          <w:lang w:val="en-US"/>
        </w:rPr>
        <w:t xml:space="preserve"> </w:t>
      </w:r>
      <w:r w:rsidR="00CA2F21">
        <w:rPr>
          <w:lang w:val="en-US"/>
        </w:rPr>
        <w:t>g</w:t>
      </w:r>
      <w:r>
        <w:rPr>
          <w:lang w:val="en-US"/>
        </w:rPr>
        <w:t>uide</w:t>
      </w:r>
      <w:bookmarkEnd w:id="4"/>
      <w:bookmarkEnd w:id="5"/>
      <w:bookmarkEnd w:id="6"/>
      <w:bookmarkEnd w:id="7"/>
      <w:bookmarkEnd w:id="8"/>
      <w:bookmarkEnd w:id="9"/>
      <w:bookmarkEnd w:id="10"/>
    </w:p>
    <w:p w14:paraId="56AB156E" w14:textId="77777777" w:rsidR="008D7DFC" w:rsidRDefault="00A409BC" w:rsidP="008D7DFC">
      <w:r>
        <w:t xml:space="preserve">The purpose of the </w:t>
      </w:r>
      <w:r w:rsidR="00400A8B">
        <w:rPr>
          <w:i/>
        </w:rPr>
        <w:t>2022</w:t>
      </w:r>
      <w:r w:rsidR="007B5E45">
        <w:rPr>
          <w:i/>
        </w:rPr>
        <w:t>-</w:t>
      </w:r>
      <w:r w:rsidR="00400A8B">
        <w:rPr>
          <w:i/>
        </w:rPr>
        <w:t>23</w:t>
      </w:r>
      <w:r w:rsidR="00400A8B" w:rsidRPr="008E7DCC">
        <w:rPr>
          <w:i/>
        </w:rPr>
        <w:t xml:space="preserve"> </w:t>
      </w:r>
      <w:r w:rsidR="008D7DFC" w:rsidRPr="008E7DCC">
        <w:rPr>
          <w:i/>
        </w:rPr>
        <w:t>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7C620CC0" w14:textId="77777777"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400A8B">
        <w:t>2022</w:t>
      </w:r>
      <w:r w:rsidR="007B5E45">
        <w:t>-</w:t>
      </w:r>
      <w:r w:rsidR="00400A8B">
        <w:t xml:space="preserve">23 </w:t>
      </w:r>
      <w:r>
        <w:t xml:space="preserve">(or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400A8B">
        <w:t>2022</w:t>
      </w:r>
      <w:r w:rsidR="007B5E45">
        <w:t>-</w:t>
      </w:r>
      <w:r w:rsidR="00400A8B">
        <w:t xml:space="preserve">23 </w:t>
      </w:r>
      <w:r>
        <w:t>for the parliame</w:t>
      </w:r>
      <w:r w:rsidR="00705BC0">
        <w:t>ntary departments). 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14:paraId="58902240" w14:textId="77777777" w:rsidR="008D7DFC" w:rsidRDefault="008D7DFC" w:rsidP="008D7DFC">
      <w:r>
        <w:t>The PB Statements provide information, explanation and justification to enable Parliament to understand the purpose of each outcome proposed in the Bills.</w:t>
      </w:r>
    </w:p>
    <w:p w14:paraId="2C7EDEDF" w14:textId="77777777"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1A38E0E3" w14:textId="77777777" w:rsidR="00AF3117" w:rsidRPr="005328A9" w:rsidRDefault="00AF3117" w:rsidP="005328A9">
      <w:pPr>
        <w:pStyle w:val="Heading2NoTOC"/>
      </w:pPr>
      <w:r w:rsidRPr="005328A9">
        <w:t>The Com</w:t>
      </w:r>
      <w:r w:rsidR="00834F9A" w:rsidRPr="005328A9">
        <w:t>monwealth Performance Framework</w:t>
      </w:r>
    </w:p>
    <w:p w14:paraId="13183012" w14:textId="77777777"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21F8E095" w14:textId="77777777" w:rsidR="004D0D6B" w:rsidRDefault="004D0D6B">
      <w:pPr>
        <w:spacing w:after="0" w:line="240" w:lineRule="auto"/>
        <w:jc w:val="left"/>
        <w:rPr>
          <w:rFonts w:ascii="Arial" w:hAnsi="Arial"/>
        </w:rPr>
      </w:pPr>
      <w:r>
        <w:br w:type="page"/>
      </w:r>
    </w:p>
    <w:p w14:paraId="63CC76E3" w14:textId="77777777" w:rsidR="005C46D8" w:rsidRPr="005C46D8" w:rsidRDefault="00A721F1" w:rsidP="003F1607">
      <w:pPr>
        <w:pStyle w:val="ChartGraphic"/>
      </w:pPr>
      <w:r>
        <w:rPr>
          <w:noProof/>
        </w:rPr>
        <w:lastRenderedPageBreak/>
        <mc:AlternateContent>
          <mc:Choice Requires="wpg">
            <w:drawing>
              <wp:anchor distT="0" distB="0" distL="114300" distR="114300" simplePos="0" relativeHeight="251659264" behindDoc="0" locked="0" layoutInCell="1" allowOverlap="1" wp14:anchorId="72DFD916" wp14:editId="10980F5D">
                <wp:simplePos x="0" y="0"/>
                <wp:positionH relativeFrom="column">
                  <wp:posOffset>0</wp:posOffset>
                </wp:positionH>
                <wp:positionV relativeFrom="paragraph">
                  <wp:posOffset>0</wp:posOffset>
                </wp:positionV>
                <wp:extent cx="4882515" cy="6777990"/>
                <wp:effectExtent l="0" t="0" r="13335" b="22860"/>
                <wp:wrapNone/>
                <wp:docPr id="9" name="Group 9"/>
                <wp:cNvGraphicFramePr/>
                <a:graphic xmlns:a="http://schemas.openxmlformats.org/drawingml/2006/main">
                  <a:graphicData uri="http://schemas.microsoft.com/office/word/2010/wordprocessingGroup">
                    <wpg:wgp>
                      <wpg:cNvGrpSpPr/>
                      <wpg:grpSpPr>
                        <a:xfrm>
                          <a:off x="0" y="0"/>
                          <a:ext cx="4882515" cy="6777990"/>
                          <a:chOff x="0" y="0"/>
                          <a:chExt cx="4882515" cy="6777990"/>
                        </a:xfrm>
                      </wpg:grpSpPr>
                      <wpg:grpSp>
                        <wpg:cNvPr id="32" name="Group 32"/>
                        <wpg:cNvGrpSpPr>
                          <a:grpSpLocks/>
                        </wpg:cNvGrpSpPr>
                        <wpg:grpSpPr bwMode="auto">
                          <a:xfrm>
                            <a:off x="0" y="0"/>
                            <a:ext cx="4882515" cy="6777990"/>
                            <a:chOff x="1063986" y="1064206"/>
                            <a:chExt cx="48825" cy="57214"/>
                          </a:xfrm>
                        </wpg:grpSpPr>
                        <wps:wsp>
                          <wps:cNvPr id="33" name="Rectangle 3"/>
                          <wps:cNvSpPr>
                            <a:spLocks noChangeArrowheads="1"/>
                          </wps:cNvSpPr>
                          <wps:spPr bwMode="auto">
                            <a:xfrm>
                              <a:off x="1063986" y="1064206"/>
                              <a:ext cx="48825" cy="5721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 name="Rectangle 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C2C0ED" w14:textId="77777777" w:rsidR="00511059" w:rsidRDefault="00511059" w:rsidP="00A721F1">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786FF1E0" w14:textId="77777777" w:rsidR="00511059" w:rsidRDefault="00511059"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799F1DE6" w14:textId="77777777" w:rsidR="00511059" w:rsidRDefault="00511059"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40" name="Rectangle 5"/>
                          <wps:cNvSpPr>
                            <a:spLocks noChangeArrowheads="1"/>
                          </wps:cNvSpPr>
                          <wps:spPr bwMode="auto">
                            <a:xfrm>
                              <a:off x="1065754" y="1071635"/>
                              <a:ext cx="19739"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4ED9E1" w14:textId="77777777" w:rsidR="00511059" w:rsidRPr="005E1835" w:rsidRDefault="00511059"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(March) </w:t>
                                </w:r>
                                <w:r>
                                  <w:rPr>
                                    <w:rFonts w:ascii="Arial" w:hAnsi="Arial" w:cs="Arial"/>
                                    <w:color w:val="FFFFFF"/>
                                    <w:sz w:val="18"/>
                                    <w:szCs w:val="18"/>
                                  </w:rPr>
                                  <w:br/>
                                </w:r>
                                <w:r>
                                  <w:rPr>
                                    <w:i/>
                                    <w:iCs/>
                                    <w:color w:val="FFFFFF"/>
                                  </w:rPr>
                                  <w:t>Portfolio based</w:t>
                                </w:r>
                              </w:p>
                              <w:p w14:paraId="69095651" w14:textId="77777777" w:rsidR="00511059" w:rsidRDefault="00511059"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3" name="Rectangle 6"/>
                          <wps:cNvSpPr>
                            <a:spLocks noChangeArrowheads="1"/>
                          </wps:cNvSpPr>
                          <wps:spPr bwMode="auto">
                            <a:xfrm>
                              <a:off x="1090949" y="1071635"/>
                              <a:ext cx="19802"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1AD98CE" w14:textId="77777777" w:rsidR="00511059" w:rsidRPr="003548F4" w:rsidRDefault="00511059" w:rsidP="00A721F1">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6BCBE07D" w14:textId="77777777" w:rsidR="00511059" w:rsidRDefault="00511059"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4" name="Rectangle 7"/>
                          <wps:cNvSpPr>
                            <a:spLocks noChangeArrowheads="1"/>
                          </wps:cNvSpPr>
                          <wps:spPr bwMode="auto">
                            <a:xfrm>
                              <a:off x="1065754"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4DE578"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77692AEB"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18A0832B"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60D4BD98"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5C7A5A2A"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s:wsp>
                          <wps:cNvPr id="48" name="Rectangle 8"/>
                          <wps:cNvSpPr>
                            <a:spLocks noChangeArrowheads="1"/>
                          </wps:cNvSpPr>
                          <wps:spPr bwMode="auto">
                            <a:xfrm>
                              <a:off x="1090951"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3D9B424"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31E0C17D"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166BAE48"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3C09B9C7"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52" name="AutoShape 9"/>
                          <wps:cNvCnPr>
                            <a:cxnSpLocks noChangeShapeType="1"/>
                          </wps:cNvCnPr>
                          <wps:spPr bwMode="auto">
                            <a:xfrm>
                              <a:off x="1085493" y="1086342"/>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Rectangle 10"/>
                          <wps:cNvSpPr>
                            <a:spLocks noChangeArrowheads="1"/>
                          </wps:cNvSpPr>
                          <wps:spPr bwMode="auto">
                            <a:xfrm>
                              <a:off x="1070254" y="1104173"/>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7D1C1B" w14:textId="77777777" w:rsidR="00511059" w:rsidRDefault="00511059" w:rsidP="00A721F1">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14:paraId="4BABFE64" w14:textId="77777777" w:rsidR="00511059" w:rsidRDefault="00511059"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9" name="Rectangle 11"/>
                          <wps:cNvSpPr>
                            <a:spLocks noChangeArrowheads="1"/>
                          </wps:cNvSpPr>
                          <wps:spPr bwMode="auto">
                            <a:xfrm>
                              <a:off x="1070254" y="1108364"/>
                              <a:ext cx="36000" cy="11603"/>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D1FA84E"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4288BFBB"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13304B78" w14:textId="77777777"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60" name="AutoShape 12"/>
                          <wps:cNvCnPr>
                            <a:cxnSpLocks noChangeShapeType="1"/>
                          </wps:cNvCnPr>
                          <wps:spPr bwMode="auto">
                            <a:xfrm>
                              <a:off x="1075356" y="1099872"/>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14"/>
                          <wps:cNvCnPr>
                            <a:cxnSpLocks noChangeShapeType="1"/>
                          </wps:cNvCnPr>
                          <wps:spPr bwMode="auto">
                            <a:xfrm>
                              <a:off x="1075294" y="1101637"/>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15"/>
                          <wps:cNvCnPr>
                            <a:cxnSpLocks noChangeShapeType="1"/>
                          </wps:cNvCnPr>
                          <wps:spPr bwMode="auto">
                            <a:xfrm>
                              <a:off x="1088401" y="1101652"/>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4" name="AutoShape 12"/>
                        <wps:cNvCnPr>
                          <a:cxnSpLocks noChangeShapeType="1"/>
                        </wps:cNvCnPr>
                        <wps:spPr bwMode="auto">
                          <a:xfrm>
                            <a:off x="3678572" y="4228791"/>
                            <a:ext cx="0" cy="212725"/>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30DEEFA4" id="Group 9" o:spid="_x0000_s1026" style="position:absolute;left:0;text-align:left;margin-left:0;margin-top:0;width:384.45pt;height:533.7pt;z-index:251659264"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" filled="f" fillcolor="#5b9bd5" strokecolor="black [0]" strokeweight="2pt">
                    <v:shadow color="black [0]"/>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" fillcolor="#0c0c0c" strokecolor="black [0]" strokeweight="2pt">
                    <v:shadow color="black [0]"/>
                    <v:textbox inset="2.88pt,2.88pt,2.88pt,2.88pt">
                      <w:txbxContent>
                        <w:p w:rsidR="00511059" w:rsidRDefault="00511059" w:rsidP="00A721F1">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rsidR="00511059" w:rsidRDefault="00511059"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rsidR="00511059" w:rsidRDefault="00511059"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" fillcolor="black [0]" strokecolor="black [0]" strokeweight="1pt">
                    <v:shadow color="black [0]"/>
                    <v:textbox inset="2.88pt,2.88pt,2.88pt,2.88pt">
                      <w:txbxContent>
                        <w:p w:rsidR="00511059" w:rsidRPr="005E1835" w:rsidRDefault="00511059"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(March) </w:t>
                          </w:r>
                          <w:r>
                            <w:rPr>
                              <w:rFonts w:ascii="Arial" w:hAnsi="Arial" w:cs="Arial"/>
                              <w:color w:val="FFFFFF"/>
                              <w:sz w:val="18"/>
                              <w:szCs w:val="18"/>
                            </w:rPr>
                            <w:br/>
                          </w:r>
                          <w:r>
                            <w:rPr>
                              <w:i/>
                              <w:iCs/>
                              <w:color w:val="FFFFFF"/>
                            </w:rPr>
                            <w:t>Portfolio based</w:t>
                          </w:r>
                        </w:p>
                        <w:p w:rsidR="00511059" w:rsidRDefault="00511059" w:rsidP="00A721F1">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" fillcolor="black [0]" strokecolor="black [0]" strokeweight="1pt">
                    <v:shadow color="black [0]"/>
                    <v:textbox inset="2.88pt,2.88pt,2.88pt,2.88pt">
                      <w:txbxContent>
                        <w:p w:rsidR="00511059" w:rsidRPr="003548F4" w:rsidRDefault="00511059" w:rsidP="00A721F1">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rsidR="00511059" w:rsidRDefault="00511059" w:rsidP="00A721F1">
                          <w:pPr>
                            <w:widowControl w:val="0"/>
                            <w:jc w:val="center"/>
                            <w:rPr>
                              <w:color w:val="FFFFFF"/>
                            </w:rPr>
                          </w:pPr>
                          <w:r>
                            <w:rPr>
                              <w:color w:val="FFFFFF"/>
                            </w:rPr>
                            <w:t> </w:t>
                          </w:r>
                        </w:p>
                      </w:txbxContent>
                    </v:textbox>
                  </v:rect>
                  <v:rect id="Rectangle 7" o:spid="_x0000_s1032" style="position:absolute;left:10657;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" filled="f" fillcolor="black [0]" strokecolor="black [0]" strokeweight=".5pt">
                    <v:shadow color="black [0]"/>
                    <v:textbox inset="2.88pt,2.88pt,2.88pt,2.88pt">
                      <w:txbxContent>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w:t>
                          </w:r>
                        </w:p>
                      </w:txbxContent>
                    </v:textbox>
                  </v:rect>
                  <v:rect id="Rectangle 8" o:spid="_x0000_s1033" style="position:absolute;left:10909;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AvwAAANsAAAAPAAAAZHJzL2Rvd25yZXYueG1sRE/NisIw&#10;EL4v+A5hhL2taUUW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BggKrAvwAAANsAAAAPAAAAAAAA&#10;AAAAAAAAAAcCAABkcnMvZG93bnJldi54bWxQSwUGAAAAAAMAAwC3AAAA8wIAAAAA&#10;" filled="f" fillcolor="black [0]" strokecolor="black [0]" strokeweight=".5pt">
                    <v:shadow color="black [0]"/>
                    <v:textbox inset="2.88pt,2.88pt,2.88pt,2.88pt">
                      <w:txbxContent>
                        <w:p w:rsidR="00511059" w:rsidRDefault="00511059"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" strokecolor="black [0]" strokeweight="1.25pt">
                    <v:stroke startarrow="block" endarrow="block"/>
                    <v:shadow color="black [0]"/>
                  </v:shape>
                  <v:rect id="Rectangle 10" o:spid="_x0000_s1035" style="position:absolute;left:10702;top:11041;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" fillcolor="black [0]" strokecolor="black [0]" strokeweight="1pt">
                    <v:shadow color="black [0]"/>
                    <v:textbox inset="2.88pt,2.88pt,2.88pt,2.88pt">
                      <w:txbxContent>
                        <w:p w:rsidR="00511059" w:rsidRDefault="00511059" w:rsidP="00A721F1">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rsidR="00511059" w:rsidRDefault="00511059" w:rsidP="00A721F1">
                          <w:pPr>
                            <w:widowControl w:val="0"/>
                            <w:jc w:val="center"/>
                            <w:rPr>
                              <w:color w:val="FFFFFF"/>
                            </w:rPr>
                          </w:pPr>
                          <w:r>
                            <w:rPr>
                              <w:color w:val="FFFFFF"/>
                            </w:rPr>
                            <w:t> </w:t>
                          </w:r>
                        </w:p>
                      </w:txbxContent>
                    </v:textbox>
                  </v:rect>
                  <v:rect id="Rectangle 11" o:spid="_x0000_s1036" style="position:absolute;left:10702;top:11083;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" filled="f" fillcolor="black [0]" strokecolor="black [0]" strokeweight=".5pt">
                    <v:shadow color="black [0]"/>
                    <v:textbox inset="2.88pt,2.88pt,2.88pt,2.88pt">
                      <w:txbxContent>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rsidR="00511059" w:rsidRDefault="00511059"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0998;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" strokecolor="black [0]" strokeweight="1.25pt">
                    <v:shadow color="black [0]"/>
                  </v:shape>
                  <v:shape id="AutoShape 14" o:spid="_x0000_s1038" type="#_x0000_t32" style="position:absolute;left:10752;top:11016;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" strokecolor="black [0]" strokeweight="1.25pt">
                    <v:shadow color="black [0]"/>
                  </v:shape>
                  <v:shape id="AutoShape 15" o:spid="_x0000_s1039" type="#_x0000_t32" style="position:absolute;left:10884;top:11016;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" strokecolor="black [0]" strokeweight="1.25pt">
                    <v:stroke endarrow="block"/>
                    <v:shadow color="black [0]"/>
                  </v:shape>
                </v:group>
                <v:shape id="AutoShape 12" o:spid="_x0000_s1040" type="#_x0000_t32" style="position:absolute;left:36785;top:42287;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" strokecolor="black [0]" strokeweight="1.25pt">
                  <v:shadow color="black [0]"/>
                </v:shape>
              </v:group>
            </w:pict>
          </mc:Fallback>
        </mc:AlternateContent>
      </w:r>
    </w:p>
    <w:p w14:paraId="35F9DC99" w14:textId="77777777" w:rsidR="005C46D8" w:rsidRPr="005C46D8" w:rsidRDefault="005C46D8" w:rsidP="005C46D8">
      <w:pPr>
        <w:sectPr w:rsidR="005C46D8" w:rsidRPr="005C46D8" w:rsidSect="00D867A3">
          <w:headerReference w:type="even" r:id="rId32"/>
          <w:headerReference w:type="default" r:id="rId33"/>
          <w:footerReference w:type="even" r:id="rId34"/>
          <w:footerReference w:type="default" r:id="rId35"/>
          <w:headerReference w:type="first" r:id="rId36"/>
          <w:footerReference w:type="first" r:id="rId37"/>
          <w:type w:val="oddPage"/>
          <w:pgSz w:w="11906" w:h="16838" w:code="9"/>
          <w:pgMar w:top="2835" w:right="2098" w:bottom="2466" w:left="2098" w:header="1814" w:footer="1814" w:gutter="0"/>
          <w:pgNumType w:fmt="lowerRoman"/>
          <w:cols w:space="708"/>
          <w:titlePg/>
          <w:docGrid w:linePitch="360"/>
        </w:sectPr>
      </w:pPr>
    </w:p>
    <w:p w14:paraId="4D90B645" w14:textId="77777777" w:rsidR="00027A10" w:rsidRDefault="00D867A3" w:rsidP="00D867A3">
      <w:pPr>
        <w:pStyle w:val="ContentsHeading"/>
        <w:rPr>
          <w:noProof/>
        </w:rPr>
      </w:pPr>
      <w:r>
        <w:lastRenderedPageBreak/>
        <w:t>Contents</w:t>
      </w:r>
      <w:r w:rsidR="002A32FD">
        <w:rPr>
          <w:rFonts w:ascii="Arial" w:hAnsi="Arial"/>
          <w:b w:val="0"/>
        </w:rPr>
        <w:fldChar w:fldCharType="begin"/>
      </w:r>
      <w:r w:rsidR="002A32FD">
        <w:rPr>
          <w:rFonts w:ascii="Arial" w:hAnsi="Arial"/>
          <w:b w:val="0"/>
        </w:rPr>
        <w:instrText xml:space="preserve"> TOC \h \z \t "Heading 1,1,Title,1,Title 2nd Level,1,Part,1,Heading 1 - TOC,2,Part Heading - TOC,1" </w:instrText>
      </w:r>
      <w:r w:rsidR="002A32FD">
        <w:rPr>
          <w:rFonts w:ascii="Arial" w:hAnsi="Arial"/>
          <w:b w:val="0"/>
        </w:rPr>
        <w:fldChar w:fldCharType="separate"/>
      </w:r>
    </w:p>
    <w:p w14:paraId="43AD42FE" w14:textId="77777777" w:rsidR="00027A10" w:rsidRDefault="00A76B91">
      <w:pPr>
        <w:pStyle w:val="TOC1"/>
        <w:rPr>
          <w:rFonts w:asciiTheme="minorHAnsi" w:eastAsiaTheme="minorEastAsia" w:hAnsiTheme="minorHAnsi" w:cstheme="minorBidi"/>
          <w:b w:val="0"/>
          <w:caps w:val="0"/>
          <w:noProof/>
          <w:sz w:val="22"/>
          <w:szCs w:val="22"/>
        </w:rPr>
      </w:pPr>
      <w:hyperlink w:anchor="_Toc99201039" w:history="1">
        <w:r w:rsidR="00027A10" w:rsidRPr="00641F99">
          <w:rPr>
            <w:rStyle w:val="Hyperlink"/>
            <w:noProof/>
          </w:rPr>
          <w:t>Prime Minister and Cabinet Portfolio Overview</w:t>
        </w:r>
        <w:r w:rsidR="00027A10">
          <w:rPr>
            <w:noProof/>
            <w:webHidden/>
          </w:rPr>
          <w:tab/>
        </w:r>
        <w:r w:rsidR="00027A10">
          <w:rPr>
            <w:noProof/>
            <w:webHidden/>
          </w:rPr>
          <w:fldChar w:fldCharType="begin"/>
        </w:r>
        <w:r w:rsidR="00027A10">
          <w:rPr>
            <w:noProof/>
            <w:webHidden/>
          </w:rPr>
          <w:instrText xml:space="preserve"> PAGEREF _Toc99201039 \h </w:instrText>
        </w:r>
        <w:r w:rsidR="00027A10">
          <w:rPr>
            <w:noProof/>
            <w:webHidden/>
          </w:rPr>
        </w:r>
        <w:r w:rsidR="00027A10">
          <w:rPr>
            <w:noProof/>
            <w:webHidden/>
          </w:rPr>
          <w:fldChar w:fldCharType="separate"/>
        </w:r>
        <w:r w:rsidR="00AC2929">
          <w:rPr>
            <w:noProof/>
            <w:webHidden/>
          </w:rPr>
          <w:t>3</w:t>
        </w:r>
        <w:r w:rsidR="00027A10">
          <w:rPr>
            <w:noProof/>
            <w:webHidden/>
          </w:rPr>
          <w:fldChar w:fldCharType="end"/>
        </w:r>
      </w:hyperlink>
    </w:p>
    <w:p w14:paraId="68EFE084" w14:textId="77777777" w:rsidR="00027A10" w:rsidRDefault="00A76B91">
      <w:pPr>
        <w:pStyle w:val="TOC1"/>
        <w:rPr>
          <w:rFonts w:asciiTheme="minorHAnsi" w:eastAsiaTheme="minorEastAsia" w:hAnsiTheme="minorHAnsi" w:cstheme="minorBidi"/>
          <w:b w:val="0"/>
          <w:caps w:val="0"/>
          <w:noProof/>
          <w:sz w:val="22"/>
          <w:szCs w:val="22"/>
        </w:rPr>
      </w:pPr>
      <w:hyperlink w:anchor="_Toc99201041" w:history="1">
        <w:r w:rsidR="00027A10" w:rsidRPr="00641F99">
          <w:rPr>
            <w:rStyle w:val="Hyperlink"/>
            <w:noProof/>
          </w:rPr>
          <w:t>Department of the Prime Minister and Cabinet</w:t>
        </w:r>
        <w:r w:rsidR="00027A10">
          <w:rPr>
            <w:noProof/>
            <w:webHidden/>
          </w:rPr>
          <w:tab/>
        </w:r>
        <w:r w:rsidR="00027A10">
          <w:rPr>
            <w:noProof/>
            <w:webHidden/>
          </w:rPr>
          <w:fldChar w:fldCharType="begin"/>
        </w:r>
        <w:r w:rsidR="00027A10">
          <w:rPr>
            <w:noProof/>
            <w:webHidden/>
          </w:rPr>
          <w:instrText xml:space="preserve"> PAGEREF _Toc99201041 \h </w:instrText>
        </w:r>
        <w:r w:rsidR="00027A10">
          <w:rPr>
            <w:noProof/>
            <w:webHidden/>
          </w:rPr>
        </w:r>
        <w:r w:rsidR="00027A10">
          <w:rPr>
            <w:noProof/>
            <w:webHidden/>
          </w:rPr>
          <w:fldChar w:fldCharType="separate"/>
        </w:r>
        <w:r w:rsidR="00AC2929">
          <w:rPr>
            <w:noProof/>
            <w:webHidden/>
          </w:rPr>
          <w:t>21</w:t>
        </w:r>
        <w:r w:rsidR="00027A10">
          <w:rPr>
            <w:noProof/>
            <w:webHidden/>
          </w:rPr>
          <w:fldChar w:fldCharType="end"/>
        </w:r>
      </w:hyperlink>
    </w:p>
    <w:p w14:paraId="5585046A" w14:textId="77777777" w:rsidR="00027A10" w:rsidRDefault="00A76B91">
      <w:pPr>
        <w:pStyle w:val="TOC1"/>
        <w:rPr>
          <w:rFonts w:asciiTheme="minorHAnsi" w:eastAsiaTheme="minorEastAsia" w:hAnsiTheme="minorHAnsi" w:cstheme="minorBidi"/>
          <w:b w:val="0"/>
          <w:caps w:val="0"/>
          <w:noProof/>
          <w:sz w:val="22"/>
          <w:szCs w:val="22"/>
        </w:rPr>
      </w:pPr>
      <w:hyperlink w:anchor="_Toc99201043" w:history="1">
        <w:r w:rsidR="00027A10" w:rsidRPr="00641F99">
          <w:rPr>
            <w:rStyle w:val="Hyperlink"/>
            <w:noProof/>
          </w:rPr>
          <w:t>Aboriginal Hostels Limited</w:t>
        </w:r>
        <w:r w:rsidR="00027A10">
          <w:rPr>
            <w:noProof/>
            <w:webHidden/>
          </w:rPr>
          <w:tab/>
        </w:r>
        <w:r w:rsidR="00027A10">
          <w:rPr>
            <w:noProof/>
            <w:webHidden/>
          </w:rPr>
          <w:fldChar w:fldCharType="begin"/>
        </w:r>
        <w:r w:rsidR="00027A10">
          <w:rPr>
            <w:noProof/>
            <w:webHidden/>
          </w:rPr>
          <w:instrText xml:space="preserve"> PAGEREF _Toc99201043 \h </w:instrText>
        </w:r>
        <w:r w:rsidR="00027A10">
          <w:rPr>
            <w:noProof/>
            <w:webHidden/>
          </w:rPr>
        </w:r>
        <w:r w:rsidR="00027A10">
          <w:rPr>
            <w:noProof/>
            <w:webHidden/>
          </w:rPr>
          <w:fldChar w:fldCharType="separate"/>
        </w:r>
        <w:r w:rsidR="00AC2929">
          <w:rPr>
            <w:noProof/>
            <w:webHidden/>
          </w:rPr>
          <w:t>51</w:t>
        </w:r>
        <w:r w:rsidR="00027A10">
          <w:rPr>
            <w:noProof/>
            <w:webHidden/>
          </w:rPr>
          <w:fldChar w:fldCharType="end"/>
        </w:r>
      </w:hyperlink>
    </w:p>
    <w:p w14:paraId="6B0735E4" w14:textId="77777777" w:rsidR="00027A10" w:rsidRDefault="00A76B91">
      <w:pPr>
        <w:pStyle w:val="TOC1"/>
        <w:rPr>
          <w:rFonts w:asciiTheme="minorHAnsi" w:eastAsiaTheme="minorEastAsia" w:hAnsiTheme="minorHAnsi" w:cstheme="minorBidi"/>
          <w:b w:val="0"/>
          <w:caps w:val="0"/>
          <w:noProof/>
          <w:sz w:val="22"/>
          <w:szCs w:val="22"/>
        </w:rPr>
      </w:pPr>
      <w:hyperlink w:anchor="_Toc99201044" w:history="1">
        <w:r w:rsidR="00027A10" w:rsidRPr="00641F99">
          <w:rPr>
            <w:rStyle w:val="Hyperlink"/>
            <w:noProof/>
          </w:rPr>
          <w:t>Australian Institute of Aboriginal and Torres Strait Islander Studies</w:t>
        </w:r>
        <w:r w:rsidR="00027A10">
          <w:rPr>
            <w:noProof/>
            <w:webHidden/>
          </w:rPr>
          <w:tab/>
        </w:r>
        <w:r w:rsidR="00027A10">
          <w:rPr>
            <w:noProof/>
            <w:webHidden/>
          </w:rPr>
          <w:fldChar w:fldCharType="begin"/>
        </w:r>
        <w:r w:rsidR="00027A10">
          <w:rPr>
            <w:noProof/>
            <w:webHidden/>
          </w:rPr>
          <w:instrText xml:space="preserve"> PAGEREF _Toc99201044 \h </w:instrText>
        </w:r>
        <w:r w:rsidR="00027A10">
          <w:rPr>
            <w:noProof/>
            <w:webHidden/>
          </w:rPr>
        </w:r>
        <w:r w:rsidR="00027A10">
          <w:rPr>
            <w:noProof/>
            <w:webHidden/>
          </w:rPr>
          <w:fldChar w:fldCharType="separate"/>
        </w:r>
        <w:r w:rsidR="00AC2929">
          <w:rPr>
            <w:noProof/>
            <w:webHidden/>
          </w:rPr>
          <w:t>69</w:t>
        </w:r>
        <w:r w:rsidR="00027A10">
          <w:rPr>
            <w:noProof/>
            <w:webHidden/>
          </w:rPr>
          <w:fldChar w:fldCharType="end"/>
        </w:r>
      </w:hyperlink>
    </w:p>
    <w:p w14:paraId="0EAB4E70" w14:textId="77777777" w:rsidR="00027A10" w:rsidRDefault="00A76B91" w:rsidP="00027A10">
      <w:pPr>
        <w:pStyle w:val="TOC1"/>
        <w:rPr>
          <w:rFonts w:asciiTheme="minorHAnsi" w:eastAsiaTheme="minorEastAsia" w:hAnsiTheme="minorHAnsi" w:cstheme="minorBidi"/>
          <w:b w:val="0"/>
          <w:caps w:val="0"/>
          <w:noProof/>
          <w:sz w:val="22"/>
          <w:szCs w:val="22"/>
        </w:rPr>
      </w:pPr>
      <w:hyperlink w:anchor="_Toc99201045" w:history="1">
        <w:r w:rsidR="00027A10" w:rsidRPr="00641F99">
          <w:rPr>
            <w:rStyle w:val="Hyperlink"/>
            <w:noProof/>
          </w:rPr>
          <w:t>Australian National Audit Office</w:t>
        </w:r>
        <w:r w:rsidR="00027A10">
          <w:rPr>
            <w:noProof/>
            <w:webHidden/>
          </w:rPr>
          <w:tab/>
        </w:r>
        <w:r w:rsidR="00027A10">
          <w:rPr>
            <w:noProof/>
            <w:webHidden/>
          </w:rPr>
          <w:fldChar w:fldCharType="begin"/>
        </w:r>
        <w:r w:rsidR="00027A10">
          <w:rPr>
            <w:noProof/>
            <w:webHidden/>
          </w:rPr>
          <w:instrText xml:space="preserve"> PAGEREF _Toc99201045 \h </w:instrText>
        </w:r>
        <w:r w:rsidR="00027A10">
          <w:rPr>
            <w:noProof/>
            <w:webHidden/>
          </w:rPr>
        </w:r>
        <w:r w:rsidR="00027A10">
          <w:rPr>
            <w:noProof/>
            <w:webHidden/>
          </w:rPr>
          <w:fldChar w:fldCharType="separate"/>
        </w:r>
        <w:r w:rsidR="00AC2929">
          <w:rPr>
            <w:noProof/>
            <w:webHidden/>
          </w:rPr>
          <w:t>91</w:t>
        </w:r>
        <w:r w:rsidR="00027A10">
          <w:rPr>
            <w:noProof/>
            <w:webHidden/>
          </w:rPr>
          <w:fldChar w:fldCharType="end"/>
        </w:r>
      </w:hyperlink>
    </w:p>
    <w:p w14:paraId="5CECD3A9" w14:textId="77777777" w:rsidR="00027A10" w:rsidRDefault="00A76B91" w:rsidP="00027A10">
      <w:pPr>
        <w:pStyle w:val="TOC1"/>
        <w:rPr>
          <w:rFonts w:asciiTheme="minorHAnsi" w:eastAsiaTheme="minorEastAsia" w:hAnsiTheme="minorHAnsi" w:cstheme="minorBidi"/>
          <w:b w:val="0"/>
          <w:caps w:val="0"/>
          <w:noProof/>
          <w:sz w:val="22"/>
          <w:szCs w:val="22"/>
        </w:rPr>
      </w:pPr>
      <w:hyperlink w:anchor="_Toc99201045" w:history="1">
        <w:r w:rsidR="00027A10" w:rsidRPr="00641F99">
          <w:rPr>
            <w:rStyle w:val="Hyperlink"/>
            <w:noProof/>
          </w:rPr>
          <w:t>Australian</w:t>
        </w:r>
        <w:r w:rsidR="00027A10">
          <w:rPr>
            <w:rStyle w:val="Hyperlink"/>
            <w:noProof/>
          </w:rPr>
          <w:t xml:space="preserve"> PUBLIC SERVICE COMMISSION</w:t>
        </w:r>
        <w:r w:rsidR="00027A10">
          <w:rPr>
            <w:noProof/>
            <w:webHidden/>
          </w:rPr>
          <w:tab/>
        </w:r>
        <w:r w:rsidR="00027A10" w:rsidRPr="00027A10">
          <w:rPr>
            <w:noProof/>
          </w:rPr>
          <w:t>12</w:t>
        </w:r>
        <w:r w:rsidR="00980215">
          <w:rPr>
            <w:noProof/>
          </w:rPr>
          <w:t>1</w:t>
        </w:r>
      </w:hyperlink>
    </w:p>
    <w:p w14:paraId="0480E459" w14:textId="77777777" w:rsidR="00027A10" w:rsidRDefault="00A76B91">
      <w:pPr>
        <w:pStyle w:val="TOC1"/>
        <w:rPr>
          <w:rFonts w:asciiTheme="minorHAnsi" w:eastAsiaTheme="minorEastAsia" w:hAnsiTheme="minorHAnsi" w:cstheme="minorBidi"/>
          <w:b w:val="0"/>
          <w:caps w:val="0"/>
          <w:noProof/>
          <w:sz w:val="22"/>
          <w:szCs w:val="22"/>
        </w:rPr>
      </w:pPr>
      <w:hyperlink w:anchor="_Toc99201049" w:history="1">
        <w:r w:rsidR="00027A10" w:rsidRPr="00641F99">
          <w:rPr>
            <w:rStyle w:val="Hyperlink"/>
            <w:noProof/>
          </w:rPr>
          <w:t>Digital Transformation Agency</w:t>
        </w:r>
        <w:r w:rsidR="00027A10">
          <w:rPr>
            <w:noProof/>
            <w:webHidden/>
          </w:rPr>
          <w:tab/>
        </w:r>
        <w:r w:rsidR="00027A10">
          <w:rPr>
            <w:noProof/>
            <w:webHidden/>
          </w:rPr>
          <w:fldChar w:fldCharType="begin"/>
        </w:r>
        <w:r w:rsidR="00027A10">
          <w:rPr>
            <w:noProof/>
            <w:webHidden/>
          </w:rPr>
          <w:instrText xml:space="preserve"> PAGEREF _Toc99201049 \h </w:instrText>
        </w:r>
        <w:r w:rsidR="00027A10">
          <w:rPr>
            <w:noProof/>
            <w:webHidden/>
          </w:rPr>
        </w:r>
        <w:r w:rsidR="00027A10">
          <w:rPr>
            <w:noProof/>
            <w:webHidden/>
          </w:rPr>
          <w:fldChar w:fldCharType="separate"/>
        </w:r>
        <w:r w:rsidR="00AC2929">
          <w:rPr>
            <w:noProof/>
            <w:webHidden/>
          </w:rPr>
          <w:t>141</w:t>
        </w:r>
        <w:r w:rsidR="00027A10">
          <w:rPr>
            <w:noProof/>
            <w:webHidden/>
          </w:rPr>
          <w:fldChar w:fldCharType="end"/>
        </w:r>
      </w:hyperlink>
    </w:p>
    <w:p w14:paraId="5FC4D7A9" w14:textId="77777777" w:rsidR="00027A10" w:rsidRDefault="00A76B91">
      <w:pPr>
        <w:pStyle w:val="TOC1"/>
        <w:rPr>
          <w:rFonts w:asciiTheme="minorHAnsi" w:eastAsiaTheme="minorEastAsia" w:hAnsiTheme="minorHAnsi" w:cstheme="minorBidi"/>
          <w:b w:val="0"/>
          <w:caps w:val="0"/>
          <w:noProof/>
          <w:sz w:val="22"/>
          <w:szCs w:val="22"/>
        </w:rPr>
      </w:pPr>
      <w:hyperlink w:anchor="_Toc99201051" w:history="1">
        <w:r w:rsidR="00027A10" w:rsidRPr="00641F99">
          <w:rPr>
            <w:rStyle w:val="Hyperlink"/>
            <w:noProof/>
          </w:rPr>
          <w:t>Indigenous Business Australia</w:t>
        </w:r>
        <w:r w:rsidR="00027A10">
          <w:rPr>
            <w:noProof/>
            <w:webHidden/>
          </w:rPr>
          <w:tab/>
        </w:r>
        <w:r w:rsidR="00027A10">
          <w:rPr>
            <w:noProof/>
            <w:webHidden/>
          </w:rPr>
          <w:fldChar w:fldCharType="begin"/>
        </w:r>
        <w:r w:rsidR="00027A10">
          <w:rPr>
            <w:noProof/>
            <w:webHidden/>
          </w:rPr>
          <w:instrText xml:space="preserve"> PAGEREF _Toc99201051 \h </w:instrText>
        </w:r>
        <w:r w:rsidR="00027A10">
          <w:rPr>
            <w:noProof/>
            <w:webHidden/>
          </w:rPr>
        </w:r>
        <w:r w:rsidR="00027A10">
          <w:rPr>
            <w:noProof/>
            <w:webHidden/>
          </w:rPr>
          <w:fldChar w:fldCharType="separate"/>
        </w:r>
        <w:r w:rsidR="00AC2929">
          <w:rPr>
            <w:noProof/>
            <w:webHidden/>
          </w:rPr>
          <w:t>159</w:t>
        </w:r>
        <w:r w:rsidR="00027A10">
          <w:rPr>
            <w:noProof/>
            <w:webHidden/>
          </w:rPr>
          <w:fldChar w:fldCharType="end"/>
        </w:r>
      </w:hyperlink>
    </w:p>
    <w:p w14:paraId="1D926A7A" w14:textId="77777777" w:rsidR="00027A10" w:rsidRDefault="00A76B91">
      <w:pPr>
        <w:pStyle w:val="TOC1"/>
        <w:rPr>
          <w:rFonts w:asciiTheme="minorHAnsi" w:eastAsiaTheme="minorEastAsia" w:hAnsiTheme="minorHAnsi" w:cstheme="minorBidi"/>
          <w:b w:val="0"/>
          <w:caps w:val="0"/>
          <w:noProof/>
          <w:sz w:val="22"/>
          <w:szCs w:val="22"/>
        </w:rPr>
      </w:pPr>
      <w:hyperlink w:anchor="_Toc99201054" w:history="1">
        <w:r w:rsidR="00027A10" w:rsidRPr="00641F99">
          <w:rPr>
            <w:rStyle w:val="Hyperlink"/>
            <w:noProof/>
          </w:rPr>
          <w:t>Indigenous Land and Sea Corporation</w:t>
        </w:r>
        <w:r w:rsidR="00027A10">
          <w:rPr>
            <w:noProof/>
            <w:webHidden/>
          </w:rPr>
          <w:tab/>
        </w:r>
        <w:r w:rsidR="00027A10">
          <w:rPr>
            <w:noProof/>
            <w:webHidden/>
          </w:rPr>
          <w:fldChar w:fldCharType="begin"/>
        </w:r>
        <w:r w:rsidR="00027A10">
          <w:rPr>
            <w:noProof/>
            <w:webHidden/>
          </w:rPr>
          <w:instrText xml:space="preserve"> PAGEREF _Toc99201054 \h </w:instrText>
        </w:r>
        <w:r w:rsidR="00027A10">
          <w:rPr>
            <w:noProof/>
            <w:webHidden/>
          </w:rPr>
        </w:r>
        <w:r w:rsidR="00027A10">
          <w:rPr>
            <w:noProof/>
            <w:webHidden/>
          </w:rPr>
          <w:fldChar w:fldCharType="separate"/>
        </w:r>
        <w:r w:rsidR="00AC2929">
          <w:rPr>
            <w:noProof/>
            <w:webHidden/>
          </w:rPr>
          <w:t>187</w:t>
        </w:r>
        <w:r w:rsidR="00027A10">
          <w:rPr>
            <w:noProof/>
            <w:webHidden/>
          </w:rPr>
          <w:fldChar w:fldCharType="end"/>
        </w:r>
      </w:hyperlink>
    </w:p>
    <w:p w14:paraId="150B9C5F" w14:textId="77777777" w:rsidR="00027A10" w:rsidRDefault="00A76B91">
      <w:pPr>
        <w:pStyle w:val="TOC1"/>
        <w:rPr>
          <w:rFonts w:asciiTheme="minorHAnsi" w:eastAsiaTheme="minorEastAsia" w:hAnsiTheme="minorHAnsi" w:cstheme="minorBidi"/>
          <w:b w:val="0"/>
          <w:caps w:val="0"/>
          <w:noProof/>
          <w:sz w:val="22"/>
          <w:szCs w:val="22"/>
        </w:rPr>
      </w:pPr>
      <w:hyperlink w:anchor="_Toc99201056" w:history="1">
        <w:r w:rsidR="00027A10" w:rsidRPr="00641F99">
          <w:rPr>
            <w:rStyle w:val="Hyperlink"/>
            <w:noProof/>
          </w:rPr>
          <w:t>National Indigenous Australians Agency</w:t>
        </w:r>
        <w:r w:rsidR="00027A10">
          <w:rPr>
            <w:noProof/>
            <w:webHidden/>
          </w:rPr>
          <w:tab/>
        </w:r>
        <w:r w:rsidR="00027A10">
          <w:rPr>
            <w:noProof/>
            <w:webHidden/>
          </w:rPr>
          <w:fldChar w:fldCharType="begin"/>
        </w:r>
        <w:r w:rsidR="00027A10">
          <w:rPr>
            <w:noProof/>
            <w:webHidden/>
          </w:rPr>
          <w:instrText xml:space="preserve"> PAGEREF _Toc99201056 \h </w:instrText>
        </w:r>
        <w:r w:rsidR="00027A10">
          <w:rPr>
            <w:noProof/>
            <w:webHidden/>
          </w:rPr>
        </w:r>
        <w:r w:rsidR="00027A10">
          <w:rPr>
            <w:noProof/>
            <w:webHidden/>
          </w:rPr>
          <w:fldChar w:fldCharType="separate"/>
        </w:r>
        <w:r w:rsidR="00AC2929">
          <w:rPr>
            <w:noProof/>
            <w:webHidden/>
          </w:rPr>
          <w:t>211</w:t>
        </w:r>
        <w:r w:rsidR="00027A10">
          <w:rPr>
            <w:noProof/>
            <w:webHidden/>
          </w:rPr>
          <w:fldChar w:fldCharType="end"/>
        </w:r>
      </w:hyperlink>
    </w:p>
    <w:p w14:paraId="797A9803" w14:textId="77777777" w:rsidR="00027A10" w:rsidRDefault="00A76B91">
      <w:pPr>
        <w:pStyle w:val="TOC1"/>
        <w:rPr>
          <w:rFonts w:asciiTheme="minorHAnsi" w:eastAsiaTheme="minorEastAsia" w:hAnsiTheme="minorHAnsi" w:cstheme="minorBidi"/>
          <w:b w:val="0"/>
          <w:caps w:val="0"/>
          <w:noProof/>
          <w:sz w:val="22"/>
          <w:szCs w:val="22"/>
        </w:rPr>
      </w:pPr>
      <w:hyperlink w:anchor="_Toc99201059" w:history="1">
        <w:r w:rsidR="00027A10" w:rsidRPr="00641F99">
          <w:rPr>
            <w:rStyle w:val="Hyperlink"/>
            <w:noProof/>
          </w:rPr>
          <w:t>National Recovery and Resilience Agency</w:t>
        </w:r>
        <w:r w:rsidR="00027A10">
          <w:rPr>
            <w:noProof/>
            <w:webHidden/>
          </w:rPr>
          <w:tab/>
        </w:r>
        <w:r w:rsidR="00027A10">
          <w:rPr>
            <w:noProof/>
            <w:webHidden/>
          </w:rPr>
          <w:fldChar w:fldCharType="begin"/>
        </w:r>
        <w:r w:rsidR="00027A10">
          <w:rPr>
            <w:noProof/>
            <w:webHidden/>
          </w:rPr>
          <w:instrText xml:space="preserve"> PAGEREF _Toc99201059 \h </w:instrText>
        </w:r>
        <w:r w:rsidR="00027A10">
          <w:rPr>
            <w:noProof/>
            <w:webHidden/>
          </w:rPr>
        </w:r>
        <w:r w:rsidR="00027A10">
          <w:rPr>
            <w:noProof/>
            <w:webHidden/>
          </w:rPr>
          <w:fldChar w:fldCharType="separate"/>
        </w:r>
        <w:r w:rsidR="00AC2929">
          <w:rPr>
            <w:noProof/>
            <w:webHidden/>
          </w:rPr>
          <w:t>251</w:t>
        </w:r>
        <w:r w:rsidR="00027A10">
          <w:rPr>
            <w:noProof/>
            <w:webHidden/>
          </w:rPr>
          <w:fldChar w:fldCharType="end"/>
        </w:r>
      </w:hyperlink>
    </w:p>
    <w:p w14:paraId="6F26B16F" w14:textId="77777777" w:rsidR="00027A10" w:rsidRDefault="00A76B91" w:rsidP="00027A10">
      <w:pPr>
        <w:pStyle w:val="TOC1"/>
        <w:rPr>
          <w:rFonts w:asciiTheme="minorHAnsi" w:eastAsiaTheme="minorEastAsia" w:hAnsiTheme="minorHAnsi" w:cstheme="minorBidi"/>
          <w:b w:val="0"/>
          <w:caps w:val="0"/>
          <w:noProof/>
          <w:sz w:val="22"/>
          <w:szCs w:val="22"/>
        </w:rPr>
      </w:pPr>
      <w:hyperlink w:anchor="_Toc99201061" w:history="1">
        <w:r w:rsidR="00027A10" w:rsidRPr="00641F99">
          <w:rPr>
            <w:rStyle w:val="Hyperlink"/>
            <w:noProof/>
          </w:rPr>
          <w:t>Office of National Intelligence</w:t>
        </w:r>
        <w:r w:rsidR="00027A10">
          <w:rPr>
            <w:noProof/>
            <w:webHidden/>
          </w:rPr>
          <w:tab/>
        </w:r>
        <w:r w:rsidR="00027A10">
          <w:rPr>
            <w:noProof/>
            <w:webHidden/>
          </w:rPr>
          <w:fldChar w:fldCharType="begin"/>
        </w:r>
        <w:r w:rsidR="00027A10">
          <w:rPr>
            <w:noProof/>
            <w:webHidden/>
          </w:rPr>
          <w:instrText xml:space="preserve"> PAGEREF _Toc99201061 \h </w:instrText>
        </w:r>
        <w:r w:rsidR="00027A10">
          <w:rPr>
            <w:noProof/>
            <w:webHidden/>
          </w:rPr>
        </w:r>
        <w:r w:rsidR="00027A10">
          <w:rPr>
            <w:noProof/>
            <w:webHidden/>
          </w:rPr>
          <w:fldChar w:fldCharType="separate"/>
        </w:r>
        <w:r w:rsidR="00AC2929">
          <w:rPr>
            <w:noProof/>
            <w:webHidden/>
          </w:rPr>
          <w:t>279</w:t>
        </w:r>
        <w:r w:rsidR="00027A10">
          <w:rPr>
            <w:noProof/>
            <w:webHidden/>
          </w:rPr>
          <w:fldChar w:fldCharType="end"/>
        </w:r>
      </w:hyperlink>
    </w:p>
    <w:p w14:paraId="3A71E364" w14:textId="77777777" w:rsidR="00027A10" w:rsidRDefault="00A76B91" w:rsidP="00027A10">
      <w:pPr>
        <w:pStyle w:val="TOC1"/>
        <w:rPr>
          <w:rFonts w:asciiTheme="minorHAnsi" w:eastAsiaTheme="minorEastAsia" w:hAnsiTheme="minorHAnsi" w:cstheme="minorBidi"/>
          <w:b w:val="0"/>
          <w:caps w:val="0"/>
          <w:noProof/>
          <w:sz w:val="22"/>
          <w:szCs w:val="22"/>
        </w:rPr>
      </w:pPr>
      <w:hyperlink w:anchor="_Toc99201061" w:history="1">
        <w:r w:rsidR="00027A10" w:rsidRPr="00641F99">
          <w:rPr>
            <w:rStyle w:val="Hyperlink"/>
            <w:noProof/>
          </w:rPr>
          <w:t xml:space="preserve">Office of </w:t>
        </w:r>
        <w:r w:rsidR="00027A10">
          <w:rPr>
            <w:rStyle w:val="Hyperlink"/>
            <w:noProof/>
          </w:rPr>
          <w:t>THE OFFICIAL SECRETARY TO THE GOVERNOR-GENERAL</w:t>
        </w:r>
        <w:r w:rsidR="00027A10">
          <w:rPr>
            <w:noProof/>
            <w:webHidden/>
          </w:rPr>
          <w:tab/>
        </w:r>
        <w:r w:rsidR="0039421D">
          <w:rPr>
            <w:noProof/>
            <w:webHidden/>
          </w:rPr>
          <w:t>3</w:t>
        </w:r>
        <w:r w:rsidR="00980215">
          <w:rPr>
            <w:noProof/>
            <w:webHidden/>
          </w:rPr>
          <w:t>0</w:t>
        </w:r>
        <w:r w:rsidR="00FF4869" w:rsidRPr="00B628E8">
          <w:rPr>
            <w:b w:val="0"/>
            <w:bCs/>
            <w:noProof/>
          </w:rPr>
          <w:fldChar w:fldCharType="begin"/>
        </w:r>
        <w:r w:rsidR="00FF4869" w:rsidRPr="00B628E8">
          <w:rPr>
            <w:b w:val="0"/>
            <w:bCs/>
            <w:noProof/>
          </w:rPr>
          <w:instrText xml:space="preserve"> PAGE   \* MERGEFORMAT </w:instrText>
        </w:r>
        <w:r w:rsidR="00FF4869" w:rsidRPr="00B628E8">
          <w:rPr>
            <w:b w:val="0"/>
            <w:bCs/>
            <w:noProof/>
          </w:rPr>
          <w:fldChar w:fldCharType="separate"/>
        </w:r>
        <w:r w:rsidR="00AC2929">
          <w:rPr>
            <w:b w:val="0"/>
            <w:bCs/>
            <w:noProof/>
          </w:rPr>
          <w:t>1</w:t>
        </w:r>
        <w:r w:rsidR="00FF4869" w:rsidRPr="00B628E8">
          <w:rPr>
            <w:b w:val="0"/>
            <w:bCs/>
            <w:noProof/>
          </w:rPr>
          <w:fldChar w:fldCharType="end"/>
        </w:r>
      </w:hyperlink>
    </w:p>
    <w:p w14:paraId="3E2D34BE" w14:textId="77777777" w:rsidR="00027A10" w:rsidRDefault="00A76B91">
      <w:pPr>
        <w:pStyle w:val="TOC1"/>
        <w:rPr>
          <w:rFonts w:asciiTheme="minorHAnsi" w:eastAsiaTheme="minorEastAsia" w:hAnsiTheme="minorHAnsi" w:cstheme="minorBidi"/>
          <w:b w:val="0"/>
          <w:caps w:val="0"/>
          <w:noProof/>
          <w:sz w:val="22"/>
          <w:szCs w:val="22"/>
        </w:rPr>
      </w:pPr>
      <w:hyperlink w:anchor="_Toc99201063" w:history="1">
        <w:r w:rsidR="00027A10" w:rsidRPr="00641F99">
          <w:rPr>
            <w:rStyle w:val="Hyperlink"/>
            <w:noProof/>
          </w:rPr>
          <w:t>Old Parliament House</w:t>
        </w:r>
        <w:r w:rsidR="00027A10">
          <w:rPr>
            <w:noProof/>
            <w:webHidden/>
          </w:rPr>
          <w:tab/>
        </w:r>
        <w:r w:rsidR="00027A10">
          <w:rPr>
            <w:noProof/>
            <w:webHidden/>
          </w:rPr>
          <w:fldChar w:fldCharType="begin"/>
        </w:r>
        <w:r w:rsidR="00027A10">
          <w:rPr>
            <w:noProof/>
            <w:webHidden/>
          </w:rPr>
          <w:instrText xml:space="preserve"> PAGEREF _Toc99201063 \h </w:instrText>
        </w:r>
        <w:r w:rsidR="00027A10">
          <w:rPr>
            <w:noProof/>
            <w:webHidden/>
          </w:rPr>
        </w:r>
        <w:r w:rsidR="00027A10">
          <w:rPr>
            <w:noProof/>
            <w:webHidden/>
          </w:rPr>
          <w:fldChar w:fldCharType="separate"/>
        </w:r>
        <w:r w:rsidR="00AC2929">
          <w:rPr>
            <w:noProof/>
            <w:webHidden/>
          </w:rPr>
          <w:t>327</w:t>
        </w:r>
        <w:r w:rsidR="00027A10">
          <w:rPr>
            <w:noProof/>
            <w:webHidden/>
          </w:rPr>
          <w:fldChar w:fldCharType="end"/>
        </w:r>
      </w:hyperlink>
    </w:p>
    <w:p w14:paraId="674D2673" w14:textId="77777777" w:rsidR="00027A10" w:rsidRDefault="00A76B91">
      <w:pPr>
        <w:pStyle w:val="TOC1"/>
        <w:rPr>
          <w:rFonts w:asciiTheme="minorHAnsi" w:eastAsiaTheme="minorEastAsia" w:hAnsiTheme="minorHAnsi" w:cstheme="minorBidi"/>
          <w:b w:val="0"/>
          <w:caps w:val="0"/>
          <w:noProof/>
          <w:sz w:val="22"/>
          <w:szCs w:val="22"/>
        </w:rPr>
      </w:pPr>
      <w:hyperlink w:anchor="_Toc99201065" w:history="1">
        <w:r w:rsidR="00027A10" w:rsidRPr="00641F99">
          <w:rPr>
            <w:rStyle w:val="Hyperlink"/>
            <w:noProof/>
          </w:rPr>
          <w:t>Torres Strait Regional Authority</w:t>
        </w:r>
        <w:r w:rsidR="00027A10">
          <w:rPr>
            <w:noProof/>
            <w:webHidden/>
          </w:rPr>
          <w:tab/>
        </w:r>
        <w:r w:rsidR="00027A10">
          <w:rPr>
            <w:noProof/>
            <w:webHidden/>
          </w:rPr>
          <w:fldChar w:fldCharType="begin"/>
        </w:r>
        <w:r w:rsidR="00027A10">
          <w:rPr>
            <w:noProof/>
            <w:webHidden/>
          </w:rPr>
          <w:instrText xml:space="preserve"> PAGEREF _Toc99201065 \h </w:instrText>
        </w:r>
        <w:r w:rsidR="00027A10">
          <w:rPr>
            <w:noProof/>
            <w:webHidden/>
          </w:rPr>
        </w:r>
        <w:r w:rsidR="00027A10">
          <w:rPr>
            <w:noProof/>
            <w:webHidden/>
          </w:rPr>
          <w:fldChar w:fldCharType="separate"/>
        </w:r>
        <w:r w:rsidR="00AC2929">
          <w:rPr>
            <w:noProof/>
            <w:webHidden/>
          </w:rPr>
          <w:t>349</w:t>
        </w:r>
        <w:r w:rsidR="00027A10">
          <w:rPr>
            <w:noProof/>
            <w:webHidden/>
          </w:rPr>
          <w:fldChar w:fldCharType="end"/>
        </w:r>
      </w:hyperlink>
    </w:p>
    <w:p w14:paraId="15C90A48" w14:textId="77777777" w:rsidR="00027A10" w:rsidRDefault="00A76B91">
      <w:pPr>
        <w:pStyle w:val="TOC1"/>
        <w:rPr>
          <w:rFonts w:asciiTheme="minorHAnsi" w:eastAsiaTheme="minorEastAsia" w:hAnsiTheme="minorHAnsi" w:cstheme="minorBidi"/>
          <w:b w:val="0"/>
          <w:caps w:val="0"/>
          <w:noProof/>
          <w:sz w:val="22"/>
          <w:szCs w:val="22"/>
        </w:rPr>
      </w:pPr>
      <w:hyperlink w:anchor="_Toc99201067" w:history="1">
        <w:r w:rsidR="00027A10" w:rsidRPr="00641F99">
          <w:rPr>
            <w:rStyle w:val="Hyperlink"/>
            <w:noProof/>
          </w:rPr>
          <w:t>Workplace Gender Equality Agency</w:t>
        </w:r>
        <w:r w:rsidR="00027A10">
          <w:rPr>
            <w:noProof/>
            <w:webHidden/>
          </w:rPr>
          <w:tab/>
        </w:r>
        <w:r w:rsidR="00027A10">
          <w:rPr>
            <w:noProof/>
            <w:webHidden/>
          </w:rPr>
          <w:fldChar w:fldCharType="begin"/>
        </w:r>
        <w:r w:rsidR="00027A10">
          <w:rPr>
            <w:noProof/>
            <w:webHidden/>
          </w:rPr>
          <w:instrText xml:space="preserve"> PAGEREF _Toc99201067 \h </w:instrText>
        </w:r>
        <w:r w:rsidR="00027A10">
          <w:rPr>
            <w:noProof/>
            <w:webHidden/>
          </w:rPr>
        </w:r>
        <w:r w:rsidR="00027A10">
          <w:rPr>
            <w:noProof/>
            <w:webHidden/>
          </w:rPr>
          <w:fldChar w:fldCharType="separate"/>
        </w:r>
        <w:r w:rsidR="00AC2929">
          <w:rPr>
            <w:noProof/>
            <w:webHidden/>
          </w:rPr>
          <w:t>371</w:t>
        </w:r>
        <w:r w:rsidR="00027A10">
          <w:rPr>
            <w:noProof/>
            <w:webHidden/>
          </w:rPr>
          <w:fldChar w:fldCharType="end"/>
        </w:r>
      </w:hyperlink>
    </w:p>
    <w:p w14:paraId="5C9C3356" w14:textId="77777777" w:rsidR="00027A10" w:rsidRDefault="00A76B91">
      <w:pPr>
        <w:pStyle w:val="TOC1"/>
        <w:rPr>
          <w:rFonts w:asciiTheme="minorHAnsi" w:eastAsiaTheme="minorEastAsia" w:hAnsiTheme="minorHAnsi" w:cstheme="minorBidi"/>
          <w:b w:val="0"/>
          <w:caps w:val="0"/>
          <w:noProof/>
          <w:sz w:val="22"/>
          <w:szCs w:val="22"/>
        </w:rPr>
      </w:pPr>
      <w:hyperlink w:anchor="_Toc99201068" w:history="1">
        <w:r w:rsidR="00027A10" w:rsidRPr="00641F99">
          <w:rPr>
            <w:rStyle w:val="Hyperlink"/>
            <w:noProof/>
          </w:rPr>
          <w:t>Portfolio glossary</w:t>
        </w:r>
        <w:r w:rsidR="00027A10">
          <w:rPr>
            <w:noProof/>
            <w:webHidden/>
          </w:rPr>
          <w:tab/>
        </w:r>
        <w:r w:rsidR="00027A10">
          <w:rPr>
            <w:noProof/>
            <w:webHidden/>
          </w:rPr>
          <w:fldChar w:fldCharType="begin"/>
        </w:r>
        <w:r w:rsidR="00027A10">
          <w:rPr>
            <w:noProof/>
            <w:webHidden/>
          </w:rPr>
          <w:instrText xml:space="preserve"> PAGEREF _Toc99201068 \h </w:instrText>
        </w:r>
        <w:r w:rsidR="00027A10">
          <w:rPr>
            <w:noProof/>
            <w:webHidden/>
          </w:rPr>
        </w:r>
        <w:r w:rsidR="00027A10">
          <w:rPr>
            <w:noProof/>
            <w:webHidden/>
          </w:rPr>
          <w:fldChar w:fldCharType="separate"/>
        </w:r>
        <w:r w:rsidR="00AC2929">
          <w:rPr>
            <w:noProof/>
            <w:webHidden/>
          </w:rPr>
          <w:t>389</w:t>
        </w:r>
        <w:r w:rsidR="00027A10">
          <w:rPr>
            <w:noProof/>
            <w:webHidden/>
          </w:rPr>
          <w:fldChar w:fldCharType="end"/>
        </w:r>
      </w:hyperlink>
    </w:p>
    <w:p w14:paraId="6F6A5982" w14:textId="77777777" w:rsidR="00CA4819" w:rsidRPr="00CA4819" w:rsidRDefault="002A32FD" w:rsidP="00CA4819">
      <w:r>
        <w:rPr>
          <w:rFonts w:ascii="Arial" w:hAnsi="Arial"/>
          <w:b/>
        </w:rPr>
        <w:fldChar w:fldCharType="end"/>
      </w:r>
    </w:p>
    <w:p w14:paraId="5DF8C650" w14:textId="77777777" w:rsidR="00AA27AA" w:rsidRDefault="00AA27AA" w:rsidP="00AA27AA"/>
    <w:p w14:paraId="2BDCCF18" w14:textId="77777777" w:rsidR="000D4E6C" w:rsidRDefault="000D4E6C" w:rsidP="00AA27AA"/>
    <w:p w14:paraId="51019200" w14:textId="77777777" w:rsidR="000D4E6C" w:rsidRDefault="000D4E6C" w:rsidP="000D4E6C">
      <w:r>
        <w:br w:type="page"/>
      </w:r>
    </w:p>
    <w:p w14:paraId="444AF260" w14:textId="77777777" w:rsidR="00085043" w:rsidRDefault="00085043" w:rsidP="00883894">
      <w:pPr>
        <w:pStyle w:val="PartHeading"/>
      </w:pPr>
      <w:bookmarkStart w:id="11" w:name="_Toc190766147"/>
      <w:bookmarkStart w:id="12" w:name="_Toc444523505"/>
    </w:p>
    <w:p w14:paraId="0A4127B1" w14:textId="77777777" w:rsidR="00085043" w:rsidRDefault="00085043">
      <w:pPr>
        <w:spacing w:after="0" w:line="240" w:lineRule="auto"/>
        <w:jc w:val="left"/>
        <w:rPr>
          <w:rFonts w:ascii="Arial Bold" w:hAnsi="Arial Bold" w:cs="Arial"/>
          <w:b/>
          <w:bCs/>
          <w:kern w:val="28"/>
          <w:sz w:val="52"/>
          <w:szCs w:val="32"/>
        </w:rPr>
      </w:pPr>
      <w:r>
        <w:br w:type="page"/>
      </w:r>
    </w:p>
    <w:p w14:paraId="009C6A7A" w14:textId="77777777" w:rsidR="00AA27AA" w:rsidRDefault="00883894" w:rsidP="00883894">
      <w:pPr>
        <w:pStyle w:val="PartHeading"/>
      </w:pPr>
      <w:r>
        <w:lastRenderedPageBreak/>
        <w:t xml:space="preserve">Portfolio </w:t>
      </w:r>
      <w:bookmarkEnd w:id="11"/>
      <w:r>
        <w:t>Overview</w:t>
      </w:r>
      <w:bookmarkEnd w:id="12"/>
    </w:p>
    <w:p w14:paraId="0BAD6E24" w14:textId="77777777" w:rsidR="00081CBC" w:rsidRPr="00081CBC" w:rsidRDefault="00081CBC" w:rsidP="00081CBC"/>
    <w:p w14:paraId="176707D0" w14:textId="77777777" w:rsidR="00D867A3" w:rsidRDefault="00D867A3" w:rsidP="00883894">
      <w:pPr>
        <w:pStyle w:val="PartHeading"/>
      </w:pPr>
    </w:p>
    <w:p w14:paraId="66A38666" w14:textId="77777777" w:rsidR="00D867A3" w:rsidRDefault="00D867A3">
      <w:pPr>
        <w:spacing w:after="0" w:line="240" w:lineRule="auto"/>
        <w:jc w:val="left"/>
        <w:rPr>
          <w:rFonts w:ascii="Arial Bold" w:hAnsi="Arial Bold" w:cs="Arial"/>
          <w:b/>
          <w:bCs/>
          <w:kern w:val="28"/>
          <w:sz w:val="52"/>
          <w:szCs w:val="32"/>
        </w:rPr>
      </w:pPr>
      <w:r>
        <w:br w:type="page"/>
      </w:r>
    </w:p>
    <w:p w14:paraId="2A67D25B" w14:textId="77777777" w:rsidR="00D867A3" w:rsidRDefault="00D867A3" w:rsidP="00883894">
      <w:pPr>
        <w:pStyle w:val="PartHeading"/>
      </w:pPr>
    </w:p>
    <w:p w14:paraId="6BFDC060" w14:textId="77777777" w:rsidR="00D867A3" w:rsidRDefault="00D867A3">
      <w:pPr>
        <w:spacing w:after="0" w:line="240" w:lineRule="auto"/>
        <w:jc w:val="left"/>
        <w:rPr>
          <w:rFonts w:ascii="Arial Bold" w:hAnsi="Arial Bold" w:cs="Arial"/>
          <w:b/>
          <w:bCs/>
          <w:kern w:val="28"/>
          <w:sz w:val="52"/>
          <w:szCs w:val="32"/>
        </w:rPr>
      </w:pPr>
      <w:r>
        <w:br w:type="page"/>
      </w:r>
    </w:p>
    <w:p w14:paraId="00CA227B" w14:textId="77777777" w:rsidR="00AA27AA" w:rsidRDefault="00AA27AA" w:rsidP="00883894">
      <w:pPr>
        <w:pStyle w:val="PartHeading"/>
        <w:sectPr w:rsidR="00AA27AA" w:rsidSect="00782467">
          <w:headerReference w:type="even" r:id="rId38"/>
          <w:headerReference w:type="default" r:id="rId39"/>
          <w:footerReference w:type="even" r:id="rId40"/>
          <w:footerReference w:type="default" r:id="rId41"/>
          <w:headerReference w:type="first" r:id="rId42"/>
          <w:footerReference w:type="first" r:id="rId43"/>
          <w:type w:val="oddPage"/>
          <w:pgSz w:w="11906" w:h="16838" w:code="9"/>
          <w:pgMar w:top="2835" w:right="2098" w:bottom="2466" w:left="2098" w:header="1814" w:footer="1814" w:gutter="0"/>
          <w:pgNumType w:start="1"/>
          <w:cols w:space="708"/>
          <w:vAlign w:val="center"/>
          <w:titlePg/>
          <w:docGrid w:linePitch="360"/>
        </w:sectPr>
      </w:pPr>
    </w:p>
    <w:p w14:paraId="6599890C" w14:textId="77777777" w:rsidR="00D46A7B" w:rsidRPr="00834F9A" w:rsidRDefault="00EA5D42" w:rsidP="00EA5D42">
      <w:pPr>
        <w:pStyle w:val="Heading1"/>
      </w:pPr>
      <w:bookmarkStart w:id="13" w:name="_Toc190766148"/>
      <w:bookmarkStart w:id="14" w:name="_Toc99201039"/>
      <w:r>
        <w:lastRenderedPageBreak/>
        <w:t>Prime Minister and Cabinet</w:t>
      </w:r>
      <w:r>
        <w:br/>
      </w:r>
      <w:r w:rsidR="00E5444F" w:rsidRPr="00834F9A">
        <w:t>P</w:t>
      </w:r>
      <w:r w:rsidR="00605163" w:rsidRPr="00834F9A">
        <w:t xml:space="preserve">ortfolio </w:t>
      </w:r>
      <w:r w:rsidR="00085043">
        <w:t>O</w:t>
      </w:r>
      <w:r w:rsidR="00D46A7B" w:rsidRPr="00CE4D05">
        <w:t>verview</w:t>
      </w:r>
      <w:bookmarkEnd w:id="13"/>
      <w:bookmarkEnd w:id="14"/>
    </w:p>
    <w:p w14:paraId="4E2B6C53" w14:textId="77777777" w:rsidR="00EA5D42" w:rsidRPr="000627D3" w:rsidRDefault="00EA5D42" w:rsidP="00EA5D42">
      <w:pPr>
        <w:pStyle w:val="Heading1-NoTOC"/>
        <w:spacing w:after="120"/>
        <w:jc w:val="both"/>
        <w:rPr>
          <w:rFonts w:ascii="Book Antiqua" w:hAnsi="Book Antiqua"/>
          <w:sz w:val="28"/>
          <w:lang w:val="en-AU"/>
        </w:rPr>
      </w:pPr>
      <w:r w:rsidRPr="000627D3">
        <w:rPr>
          <w:rFonts w:ascii="Book Antiqua" w:hAnsi="Book Antiqua"/>
          <w:sz w:val="28"/>
          <w:lang w:val="en-AU"/>
        </w:rPr>
        <w:t>Ministers and portfolio responsibilities</w:t>
      </w:r>
    </w:p>
    <w:p w14:paraId="72E77EB8" w14:textId="77777777" w:rsidR="00EA761D" w:rsidRPr="003C5C42" w:rsidRDefault="00EA761D" w:rsidP="00EA761D">
      <w:r w:rsidRPr="003C5C42">
        <w:t xml:space="preserve">The role of </w:t>
      </w:r>
      <w:r>
        <w:t>the Prime Minister and Cabinet p</w:t>
      </w:r>
      <w:r w:rsidRPr="003C5C42">
        <w:t xml:space="preserve">ortfolio is to provide advice and support to the Prime Minister, the Cabinet, Portfolio Ministers and Assistant Ministers on matters that are at the forefront of public </w:t>
      </w:r>
      <w:r w:rsidR="00AC2929">
        <w:t xml:space="preserve">policy </w:t>
      </w:r>
      <w:r w:rsidRPr="003C5C42">
        <w:t>and government administration.</w:t>
      </w:r>
    </w:p>
    <w:p w14:paraId="35F55F7E" w14:textId="77777777" w:rsidR="00EA761D" w:rsidRPr="003C5C42" w:rsidRDefault="00EA761D" w:rsidP="00EA761D">
      <w:pPr>
        <w:spacing w:after="120"/>
      </w:pPr>
      <w:r w:rsidRPr="003C5C42">
        <w:t>The principal responsibilities of the Department of the Prime Minister and Cabinet comprise:</w:t>
      </w:r>
    </w:p>
    <w:p w14:paraId="215D27FC" w14:textId="77777777" w:rsidR="00EA761D" w:rsidRPr="003C5C42" w:rsidRDefault="00EA761D" w:rsidP="008A2254">
      <w:pPr>
        <w:numPr>
          <w:ilvl w:val="0"/>
          <w:numId w:val="13"/>
        </w:numPr>
        <w:spacing w:after="120"/>
        <w:ind w:left="567" w:hanging="567"/>
      </w:pPr>
      <w:r w:rsidRPr="003C5C42">
        <w:t>advice to the Prime Minister on po</w:t>
      </w:r>
      <w:r>
        <w:t>licy and implementation across g</w:t>
      </w:r>
      <w:r w:rsidRPr="003C5C42">
        <w:t>overnment</w:t>
      </w:r>
    </w:p>
    <w:p w14:paraId="0DD3C5C4" w14:textId="77777777" w:rsidR="00EA761D" w:rsidRPr="003C5C42" w:rsidRDefault="00EA761D" w:rsidP="008A2254">
      <w:pPr>
        <w:numPr>
          <w:ilvl w:val="0"/>
          <w:numId w:val="13"/>
        </w:numPr>
        <w:spacing w:after="120"/>
        <w:ind w:left="567" w:hanging="567"/>
      </w:pPr>
      <w:r w:rsidRPr="003C5C42">
        <w:t>assistance to the Prime Minister in managing the Cabinet</w:t>
      </w:r>
      <w:r>
        <w:t>, National Cabinet and National Federation Reform Council</w:t>
      </w:r>
      <w:r w:rsidRPr="003C5C42">
        <w:t xml:space="preserve"> program</w:t>
      </w:r>
      <w:r>
        <w:t>s</w:t>
      </w:r>
    </w:p>
    <w:p w14:paraId="1056B42B" w14:textId="77777777" w:rsidR="00EA761D" w:rsidRDefault="00EA761D" w:rsidP="008A2254">
      <w:pPr>
        <w:numPr>
          <w:ilvl w:val="0"/>
          <w:numId w:val="13"/>
        </w:numPr>
        <w:spacing w:after="120"/>
        <w:ind w:left="567" w:hanging="567"/>
      </w:pPr>
      <w:r w:rsidRPr="003C5C42">
        <w:t>convening and supporting task</w:t>
      </w:r>
      <w:r>
        <w:t>forces to coordinate and drive g</w:t>
      </w:r>
      <w:r w:rsidRPr="003C5C42">
        <w:t>overnment policies</w:t>
      </w:r>
    </w:p>
    <w:p w14:paraId="694A7F6E" w14:textId="77777777" w:rsidR="00EA761D" w:rsidRPr="004D4D73" w:rsidRDefault="00EA761D" w:rsidP="008A2254">
      <w:pPr>
        <w:numPr>
          <w:ilvl w:val="0"/>
          <w:numId w:val="13"/>
        </w:numPr>
        <w:spacing w:after="120"/>
        <w:ind w:left="567" w:hanging="567"/>
      </w:pPr>
      <w:r w:rsidRPr="004D4D73">
        <w:t>women’s policies, leadership and development strategy, to support women’s equality, safety, economic security, and health and wellbeing</w:t>
      </w:r>
    </w:p>
    <w:p w14:paraId="6A07866F" w14:textId="77777777" w:rsidR="00EA761D" w:rsidRPr="003C5C42" w:rsidRDefault="00EA761D" w:rsidP="008A2254">
      <w:pPr>
        <w:numPr>
          <w:ilvl w:val="0"/>
          <w:numId w:val="13"/>
        </w:numPr>
        <w:spacing w:after="120"/>
        <w:ind w:left="567" w:hanging="567"/>
      </w:pPr>
      <w:r w:rsidRPr="003C5C42">
        <w:t>international and nation</w:t>
      </w:r>
      <w:r>
        <w:t>al security policy coordination</w:t>
      </w:r>
    </w:p>
    <w:p w14:paraId="3DBD4A9C" w14:textId="77777777" w:rsidR="00EA761D" w:rsidRPr="003C5C42" w:rsidRDefault="00EA761D" w:rsidP="008A2254">
      <w:pPr>
        <w:numPr>
          <w:ilvl w:val="0"/>
          <w:numId w:val="13"/>
        </w:numPr>
        <w:spacing w:after="120"/>
        <w:ind w:left="567" w:hanging="567"/>
      </w:pPr>
      <w:r w:rsidRPr="003C5C42">
        <w:t>intergovernmental relations and communications with state and territory governments</w:t>
      </w:r>
    </w:p>
    <w:p w14:paraId="21E406EF" w14:textId="77777777" w:rsidR="00EA761D" w:rsidRPr="003C5C42" w:rsidRDefault="00EA761D" w:rsidP="008A2254">
      <w:pPr>
        <w:numPr>
          <w:ilvl w:val="0"/>
          <w:numId w:val="13"/>
        </w:numPr>
        <w:spacing w:after="120"/>
        <w:ind w:left="567" w:hanging="567"/>
      </w:pPr>
      <w:r w:rsidRPr="003C5C42">
        <w:t>coordination of government administration</w:t>
      </w:r>
    </w:p>
    <w:p w14:paraId="43EAC482" w14:textId="77777777" w:rsidR="00EA761D" w:rsidRPr="003C5C42" w:rsidRDefault="00EA761D" w:rsidP="008A2254">
      <w:pPr>
        <w:numPr>
          <w:ilvl w:val="0"/>
          <w:numId w:val="13"/>
        </w:numPr>
        <w:spacing w:after="120"/>
        <w:ind w:left="567" w:hanging="567"/>
      </w:pPr>
      <w:r w:rsidRPr="003C5C42">
        <w:t>Australian honours and symbols policy</w:t>
      </w:r>
    </w:p>
    <w:p w14:paraId="20818638" w14:textId="77777777" w:rsidR="00EA761D" w:rsidRPr="003C5C42" w:rsidRDefault="00EA761D" w:rsidP="008A2254">
      <w:pPr>
        <w:numPr>
          <w:ilvl w:val="0"/>
          <w:numId w:val="13"/>
        </w:numPr>
        <w:spacing w:after="120"/>
        <w:ind w:left="567" w:hanging="567"/>
      </w:pPr>
      <w:r w:rsidRPr="003C5C42">
        <w:t>official and ceremonial support</w:t>
      </w:r>
    </w:p>
    <w:p w14:paraId="2406E7C4" w14:textId="77777777" w:rsidR="00EA761D" w:rsidRPr="003C5C42" w:rsidRDefault="00EA761D" w:rsidP="008A2254">
      <w:pPr>
        <w:numPr>
          <w:ilvl w:val="0"/>
          <w:numId w:val="13"/>
        </w:numPr>
        <w:spacing w:after="120"/>
        <w:ind w:left="567" w:hanging="567"/>
      </w:pPr>
      <w:r>
        <w:t>official e</w:t>
      </w:r>
      <w:r w:rsidRPr="003C5C42">
        <w:t>stablishments, ownership and property management of the Prime Minister’s official residences</w:t>
      </w:r>
    </w:p>
    <w:p w14:paraId="37F60061" w14:textId="77777777" w:rsidR="00EA761D" w:rsidRPr="003C5C42" w:rsidRDefault="00EA761D" w:rsidP="008A2254">
      <w:pPr>
        <w:numPr>
          <w:ilvl w:val="0"/>
          <w:numId w:val="13"/>
        </w:numPr>
        <w:spacing w:after="120"/>
        <w:ind w:left="567" w:hanging="567"/>
      </w:pPr>
      <w:r w:rsidRPr="003C5C42">
        <w:t>reducing the burden of government regulation</w:t>
      </w:r>
    </w:p>
    <w:p w14:paraId="73794939" w14:textId="77777777" w:rsidR="00EA761D" w:rsidRPr="004D4D73" w:rsidRDefault="00EA761D" w:rsidP="008A2254">
      <w:pPr>
        <w:numPr>
          <w:ilvl w:val="0"/>
          <w:numId w:val="13"/>
        </w:numPr>
        <w:spacing w:after="120"/>
        <w:ind w:left="567" w:hanging="567"/>
      </w:pPr>
      <w:r w:rsidRPr="004D4D73">
        <w:t>the National Office for Child Safety, in collaboration with states and territories implementing the National Strategy for the prevention of child sexual abuse</w:t>
      </w:r>
    </w:p>
    <w:p w14:paraId="0EFB148F" w14:textId="77777777" w:rsidR="00EA761D" w:rsidRPr="004D4D73" w:rsidRDefault="00EA761D" w:rsidP="008A2254">
      <w:pPr>
        <w:numPr>
          <w:ilvl w:val="0"/>
          <w:numId w:val="13"/>
        </w:numPr>
        <w:spacing w:after="120"/>
        <w:ind w:left="567" w:hanging="567"/>
      </w:pPr>
      <w:r w:rsidRPr="004D4D73">
        <w:t>the Office of the National Data Commissioner</w:t>
      </w:r>
    </w:p>
    <w:p w14:paraId="5150675F" w14:textId="77777777" w:rsidR="00EA761D" w:rsidRPr="004D4D73" w:rsidRDefault="00EA761D" w:rsidP="008A2254">
      <w:pPr>
        <w:numPr>
          <w:ilvl w:val="0"/>
          <w:numId w:val="13"/>
        </w:numPr>
        <w:spacing w:after="120"/>
        <w:ind w:left="567" w:hanging="567"/>
      </w:pPr>
      <w:r w:rsidRPr="004D4D73">
        <w:t xml:space="preserve">coordination and provision of advice to the Australian Government on actions to anticipate and mitigate the economic and social impacts </w:t>
      </w:r>
      <w:r>
        <w:t>of the global COVID- 19 pandemic</w:t>
      </w:r>
    </w:p>
    <w:p w14:paraId="149A94E9" w14:textId="77777777" w:rsidR="00652880" w:rsidRDefault="00EA761D" w:rsidP="008A2254">
      <w:pPr>
        <w:numPr>
          <w:ilvl w:val="0"/>
          <w:numId w:val="13"/>
        </w:numPr>
        <w:spacing w:after="120"/>
        <w:ind w:left="567" w:hanging="567"/>
      </w:pPr>
      <w:r w:rsidRPr="004D4D73">
        <w:t>s</w:t>
      </w:r>
      <w:r>
        <w:t>upport</w:t>
      </w:r>
      <w:r w:rsidR="00652880">
        <w:t>ing</w:t>
      </w:r>
      <w:r>
        <w:t xml:space="preserve"> the g</w:t>
      </w:r>
      <w:r w:rsidRPr="004D4D73">
        <w:t>overnment to use data effectively to deliver its policy and build better links between pub</w:t>
      </w:r>
      <w:r w:rsidR="00652880">
        <w:t>lic, private and community data and</w:t>
      </w:r>
      <w:r w:rsidRPr="004D4D73">
        <w:t xml:space="preserve"> </w:t>
      </w:r>
    </w:p>
    <w:p w14:paraId="094F699E" w14:textId="77777777" w:rsidR="00EA761D" w:rsidRPr="004D4D73" w:rsidRDefault="00EA761D" w:rsidP="008A2254">
      <w:pPr>
        <w:numPr>
          <w:ilvl w:val="0"/>
          <w:numId w:val="13"/>
        </w:numPr>
        <w:spacing w:after="120"/>
        <w:ind w:left="567" w:hanging="567"/>
      </w:pPr>
      <w:r w:rsidRPr="004D4D73">
        <w:t>continuing support for mental health and suicide prevention, making significant investments to improving services</w:t>
      </w:r>
      <w:r>
        <w:t>,</w:t>
      </w:r>
      <w:r w:rsidRPr="004D4D73">
        <w:t xml:space="preserve"> and support for mental health services and products.</w:t>
      </w:r>
    </w:p>
    <w:p w14:paraId="46938400" w14:textId="77777777" w:rsidR="00EA761D" w:rsidRPr="004D4D73" w:rsidRDefault="00EA761D" w:rsidP="00EA761D">
      <w:pPr>
        <w:spacing w:after="120"/>
      </w:pPr>
      <w:r w:rsidRPr="004D4D73">
        <w:t xml:space="preserve">The principal responsibilities of </w:t>
      </w:r>
      <w:r>
        <w:t>the Prime Minister and Cabinet p</w:t>
      </w:r>
      <w:r w:rsidRPr="004D4D73">
        <w:t>ortfolio comprise:</w:t>
      </w:r>
    </w:p>
    <w:p w14:paraId="243BD748" w14:textId="77777777" w:rsidR="00EA761D" w:rsidRPr="004D4D73" w:rsidRDefault="00EA761D" w:rsidP="008A2254">
      <w:pPr>
        <w:numPr>
          <w:ilvl w:val="0"/>
          <w:numId w:val="13"/>
        </w:numPr>
        <w:spacing w:after="120"/>
        <w:ind w:left="567" w:hanging="567"/>
      </w:pPr>
      <w:r>
        <w:t>Australian Government</w:t>
      </w:r>
      <w:r w:rsidRPr="004D4D73">
        <w:t xml:space="preserve"> Aboriginal and Torres Strait Islander policy, programs and service delivery</w:t>
      </w:r>
    </w:p>
    <w:p w14:paraId="26BEB27C" w14:textId="77777777" w:rsidR="00EA761D" w:rsidRPr="004D4D73" w:rsidRDefault="00EA761D" w:rsidP="008A2254">
      <w:pPr>
        <w:numPr>
          <w:ilvl w:val="0"/>
          <w:numId w:val="13"/>
        </w:numPr>
        <w:spacing w:after="120"/>
        <w:ind w:left="567" w:hanging="567"/>
      </w:pPr>
      <w:r w:rsidRPr="004D4D73">
        <w:lastRenderedPageBreak/>
        <w:t>improving the lives of Aboriginal and Torres Strait Islander people through enhanced Indigenous economic rights to support economic independence, the provision of improved access to education, employment, health, wellbeing, and other services, as well as the maintenance of cultural identity</w:t>
      </w:r>
    </w:p>
    <w:p w14:paraId="7CD203E7" w14:textId="77777777" w:rsidR="00EA761D" w:rsidRPr="004D4D73" w:rsidRDefault="00EA761D" w:rsidP="008A2254">
      <w:pPr>
        <w:numPr>
          <w:ilvl w:val="0"/>
          <w:numId w:val="13"/>
        </w:numPr>
        <w:spacing w:after="120"/>
        <w:ind w:left="567" w:hanging="567"/>
      </w:pPr>
      <w:r w:rsidRPr="004D4D73">
        <w:t>coordination and evaluation of Australia’s foreign intelligence activities</w:t>
      </w:r>
    </w:p>
    <w:p w14:paraId="1FECB25A" w14:textId="77777777" w:rsidR="00EA761D" w:rsidRPr="004D4D73" w:rsidRDefault="00EA761D" w:rsidP="008A2254">
      <w:pPr>
        <w:numPr>
          <w:ilvl w:val="0"/>
          <w:numId w:val="13"/>
        </w:numPr>
        <w:spacing w:after="120"/>
        <w:ind w:left="567" w:hanging="567"/>
      </w:pPr>
      <w:r w:rsidRPr="004D4D73">
        <w:t>Australian Government employment workplace relations policy to position the Australian Public Service (APS) workforce for the future by improving people management, manage capability and professi</w:t>
      </w:r>
      <w:r>
        <w:t>onal development across the APS</w:t>
      </w:r>
    </w:p>
    <w:p w14:paraId="5682DCDE" w14:textId="77777777" w:rsidR="00EA761D" w:rsidRPr="004D4D73" w:rsidRDefault="00EA761D" w:rsidP="008A2254">
      <w:pPr>
        <w:numPr>
          <w:ilvl w:val="0"/>
          <w:numId w:val="13"/>
        </w:numPr>
        <w:spacing w:after="120"/>
        <w:ind w:left="567" w:hanging="567"/>
      </w:pPr>
      <w:r w:rsidRPr="004D4D73">
        <w:t>support to the Governor-General to perform his official duties</w:t>
      </w:r>
    </w:p>
    <w:p w14:paraId="756016FF" w14:textId="77777777" w:rsidR="00EA761D" w:rsidRPr="004D4D73" w:rsidRDefault="00EA761D" w:rsidP="008A2254">
      <w:pPr>
        <w:numPr>
          <w:ilvl w:val="0"/>
          <w:numId w:val="13"/>
        </w:numPr>
        <w:spacing w:after="120"/>
        <w:ind w:left="567" w:hanging="567"/>
      </w:pPr>
      <w:r w:rsidRPr="004D4D73">
        <w:t>promoting and improving workplace gender equality in Australian workplaces</w:t>
      </w:r>
    </w:p>
    <w:p w14:paraId="025F397D" w14:textId="77777777" w:rsidR="00EA761D" w:rsidRPr="004D4D73" w:rsidRDefault="00EA761D" w:rsidP="008A2254">
      <w:pPr>
        <w:numPr>
          <w:ilvl w:val="0"/>
          <w:numId w:val="13"/>
        </w:numPr>
        <w:spacing w:after="120"/>
        <w:ind w:left="567" w:hanging="567"/>
      </w:pPr>
      <w:r w:rsidRPr="004D4D73">
        <w:t>lead</w:t>
      </w:r>
      <w:r w:rsidR="00652880">
        <w:t>ing</w:t>
      </w:r>
      <w:r w:rsidRPr="004D4D73">
        <w:t xml:space="preserve"> </w:t>
      </w:r>
      <w:r>
        <w:t>Australian Government</w:t>
      </w:r>
      <w:r w:rsidRPr="004D4D73">
        <w:t xml:space="preserve"> action and national efforts to improve preparedness for, reduce risks  relief and recovery from, disasters and emergencies of all kinds, including by providing strategic leadership, policy advice and program delivery, community outr</w:t>
      </w:r>
      <w:r>
        <w:t>each and stakeholder engagement, and</w:t>
      </w:r>
    </w:p>
    <w:p w14:paraId="1A2D25D6" w14:textId="77777777" w:rsidR="00EA761D" w:rsidRPr="004D4D73" w:rsidRDefault="00EA761D" w:rsidP="008A2254">
      <w:pPr>
        <w:numPr>
          <w:ilvl w:val="0"/>
          <w:numId w:val="13"/>
        </w:numPr>
        <w:spacing w:after="120"/>
        <w:ind w:left="567" w:hanging="567"/>
      </w:pPr>
      <w:r w:rsidRPr="004D4D73">
        <w:t>leading the digital transformation to make government services simple, clear and fast. Including w</w:t>
      </w:r>
      <w:r>
        <w:t>hole</w:t>
      </w:r>
      <w:r>
        <w:noBreakHyphen/>
        <w:t>of</w:t>
      </w:r>
      <w:r>
        <w:noBreakHyphen/>
      </w:r>
      <w:r w:rsidRPr="004D4D73">
        <w:t>government</w:t>
      </w:r>
      <w:r>
        <w:t xml:space="preserve"> </w:t>
      </w:r>
      <w:r w:rsidRPr="004D4D73">
        <w:t xml:space="preserve">coordination of digital, information and communication technology strategies. </w:t>
      </w:r>
    </w:p>
    <w:p w14:paraId="511149C7" w14:textId="77777777" w:rsidR="00EA761D" w:rsidRDefault="00EA761D">
      <w:pPr>
        <w:spacing w:after="0" w:line="240" w:lineRule="auto"/>
        <w:jc w:val="left"/>
      </w:pPr>
      <w:r>
        <w:br w:type="page"/>
      </w:r>
    </w:p>
    <w:p w14:paraId="1F482944" w14:textId="77777777" w:rsidR="00EA5D42" w:rsidRDefault="00EA5D42" w:rsidP="00EA5D42">
      <w:pPr>
        <w:spacing w:after="120"/>
      </w:pPr>
      <w:r w:rsidRPr="00E1677B">
        <w:lastRenderedPageBreak/>
        <w:t xml:space="preserve">The Portfolio comprises the following non-corporate Commonwealth entities, corporate Commonwealth entities and Commonwealth Companies under the </w:t>
      </w:r>
      <w:r w:rsidRPr="00E1677B">
        <w:rPr>
          <w:i/>
        </w:rPr>
        <w:t>Public Governance, Performance and Accountability Act 2013</w:t>
      </w:r>
      <w:r w:rsidRPr="00E1677B">
        <w:t xml:space="preserve"> (PGPA Act).</w:t>
      </w:r>
    </w:p>
    <w:p w14:paraId="2E63E49B" w14:textId="77777777" w:rsidR="00EA5D42" w:rsidRPr="00E1677B" w:rsidRDefault="00EA5D42" w:rsidP="00EA5D42">
      <w:pPr>
        <w:spacing w:after="120"/>
      </w:pPr>
      <w:r w:rsidRPr="00E1677B">
        <w:t>Non-corporate Commonwealth entities under the PGPA Act:</w:t>
      </w:r>
    </w:p>
    <w:p w14:paraId="4945CC0D"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Department of the Prime Minister and Cabinet</w:t>
      </w:r>
    </w:p>
    <w:p w14:paraId="15B1DBFA"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Australian National Audit Office</w:t>
      </w:r>
    </w:p>
    <w:p w14:paraId="6350C3B6"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Australian Public Service Commission</w:t>
      </w:r>
    </w:p>
    <w:p w14:paraId="2C70F84E"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Digital Transformation Agency</w:t>
      </w:r>
    </w:p>
    <w:p w14:paraId="04F2A45A"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National Indigenous Australians Agency</w:t>
      </w:r>
    </w:p>
    <w:p w14:paraId="6B97C644"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National Recovery and Resilience Agency</w:t>
      </w:r>
    </w:p>
    <w:p w14:paraId="389E1A09"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 xml:space="preserve">Office of National Intelligence </w:t>
      </w:r>
    </w:p>
    <w:p w14:paraId="2459A483"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Office of the Official Secretary to the Governor-General</w:t>
      </w:r>
    </w:p>
    <w:p w14:paraId="1E08F5E1" w14:textId="77777777" w:rsidR="00EA5D42" w:rsidRDefault="00EA5D42" w:rsidP="008A2254">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Workplace Gender Equality Agency</w:t>
      </w:r>
    </w:p>
    <w:p w14:paraId="58CD8CBB" w14:textId="77777777" w:rsidR="00EA5D42" w:rsidRDefault="00EA5D42" w:rsidP="00EA5D42">
      <w:pPr>
        <w:pStyle w:val="Heading1-NoTOC"/>
        <w:spacing w:after="120"/>
        <w:jc w:val="both"/>
        <w:rPr>
          <w:rFonts w:ascii="Book Antiqua" w:hAnsi="Book Antiqua"/>
          <w:b w:val="0"/>
          <w:sz w:val="20"/>
          <w:lang w:val="en-AU"/>
        </w:rPr>
      </w:pPr>
      <w:r>
        <w:rPr>
          <w:rFonts w:ascii="Book Antiqua" w:hAnsi="Book Antiqua"/>
          <w:b w:val="0"/>
          <w:sz w:val="20"/>
          <w:lang w:val="en-AU"/>
        </w:rPr>
        <w:t>Corporate Commonwealth entities under the PGPA Act:</w:t>
      </w:r>
    </w:p>
    <w:p w14:paraId="609CD386" w14:textId="77777777" w:rsidR="00EA5D42" w:rsidRDefault="00EA5D42" w:rsidP="008A2254">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Australian Institute of Aboriginal and Torres Strait Islander Studies</w:t>
      </w:r>
    </w:p>
    <w:p w14:paraId="7B6BA39A" w14:textId="77777777" w:rsidR="00EA5D42" w:rsidRDefault="00EA5D42" w:rsidP="008A2254">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Indigenous Business Australia</w:t>
      </w:r>
    </w:p>
    <w:p w14:paraId="6B7048AC" w14:textId="77777777" w:rsidR="00EA5D42" w:rsidRDefault="00EA5D42" w:rsidP="008A2254">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Indigenous Land and Sea Corporation</w:t>
      </w:r>
    </w:p>
    <w:p w14:paraId="4DA0E6E5" w14:textId="77777777" w:rsidR="00EA5D42" w:rsidRDefault="00EA5D42" w:rsidP="008A2254">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Northern Territory Land Councils</w:t>
      </w:r>
    </w:p>
    <w:p w14:paraId="30C6B523" w14:textId="77777777" w:rsidR="00EA5D42" w:rsidRDefault="00EA5D42" w:rsidP="008A2254">
      <w:pPr>
        <w:pStyle w:val="Heading1-NoTOC"/>
        <w:numPr>
          <w:ilvl w:val="1"/>
          <w:numId w:val="10"/>
        </w:numPr>
        <w:spacing w:after="120"/>
        <w:jc w:val="both"/>
        <w:rPr>
          <w:rFonts w:ascii="Book Antiqua" w:hAnsi="Book Antiqua"/>
          <w:b w:val="0"/>
          <w:sz w:val="20"/>
          <w:lang w:val="en-AU"/>
        </w:rPr>
      </w:pPr>
      <w:r>
        <w:rPr>
          <w:rFonts w:ascii="Book Antiqua" w:hAnsi="Book Antiqua"/>
          <w:b w:val="0"/>
          <w:sz w:val="20"/>
          <w:lang w:val="en-AU"/>
        </w:rPr>
        <w:t>Anindilyakwa Land Council</w:t>
      </w:r>
    </w:p>
    <w:p w14:paraId="521FC04D" w14:textId="77777777" w:rsidR="002761E8" w:rsidRDefault="00EA5D42" w:rsidP="008A2254">
      <w:pPr>
        <w:pStyle w:val="Heading1-NoTOC"/>
        <w:numPr>
          <w:ilvl w:val="1"/>
          <w:numId w:val="10"/>
        </w:numPr>
        <w:spacing w:after="120"/>
        <w:jc w:val="both"/>
        <w:rPr>
          <w:rFonts w:ascii="Book Antiqua" w:hAnsi="Book Antiqua"/>
          <w:b w:val="0"/>
          <w:sz w:val="20"/>
          <w:lang w:val="en-AU"/>
        </w:rPr>
      </w:pPr>
      <w:r w:rsidRPr="008453CD">
        <w:rPr>
          <w:rFonts w:ascii="Book Antiqua" w:hAnsi="Book Antiqua"/>
          <w:b w:val="0"/>
          <w:sz w:val="20"/>
          <w:lang w:val="en-AU"/>
        </w:rPr>
        <w:t>Central Land Council</w:t>
      </w:r>
    </w:p>
    <w:p w14:paraId="272139D8" w14:textId="77777777" w:rsidR="002761E8" w:rsidRDefault="002761E8" w:rsidP="008A2254">
      <w:pPr>
        <w:pStyle w:val="Heading1-NoTOC"/>
        <w:numPr>
          <w:ilvl w:val="1"/>
          <w:numId w:val="10"/>
        </w:numPr>
        <w:spacing w:after="120"/>
        <w:jc w:val="both"/>
        <w:rPr>
          <w:rFonts w:ascii="Book Antiqua" w:hAnsi="Book Antiqua"/>
          <w:b w:val="0"/>
          <w:sz w:val="20"/>
          <w:lang w:val="en-AU"/>
        </w:rPr>
      </w:pPr>
      <w:r>
        <w:rPr>
          <w:rFonts w:ascii="Book Antiqua" w:hAnsi="Book Antiqua"/>
          <w:b w:val="0"/>
          <w:sz w:val="20"/>
          <w:lang w:val="en-AU"/>
        </w:rPr>
        <w:t>Northern Land Council</w:t>
      </w:r>
    </w:p>
    <w:p w14:paraId="40B4CE36" w14:textId="77777777" w:rsidR="00EA5D42" w:rsidRPr="008453CD" w:rsidRDefault="00EA5D42" w:rsidP="008A2254">
      <w:pPr>
        <w:pStyle w:val="Heading1-NoTOC"/>
        <w:numPr>
          <w:ilvl w:val="1"/>
          <w:numId w:val="10"/>
        </w:numPr>
        <w:spacing w:after="120"/>
        <w:jc w:val="both"/>
        <w:rPr>
          <w:rFonts w:ascii="Book Antiqua" w:hAnsi="Book Antiqua"/>
          <w:b w:val="0"/>
          <w:sz w:val="20"/>
          <w:lang w:val="en-AU"/>
        </w:rPr>
      </w:pPr>
      <w:r w:rsidRPr="008453CD">
        <w:rPr>
          <w:rFonts w:ascii="Book Antiqua" w:hAnsi="Book Antiqua"/>
          <w:b w:val="0"/>
          <w:sz w:val="20"/>
          <w:lang w:val="en-AU"/>
        </w:rPr>
        <w:t>Tiwi Land Council</w:t>
      </w:r>
    </w:p>
    <w:p w14:paraId="7357D70A" w14:textId="77777777" w:rsidR="00EA5D42" w:rsidRDefault="00EA5D42" w:rsidP="008A2254">
      <w:pPr>
        <w:pStyle w:val="Heading1-NoTOC"/>
        <w:numPr>
          <w:ilvl w:val="0"/>
          <w:numId w:val="11"/>
        </w:numPr>
        <w:spacing w:after="120"/>
        <w:jc w:val="both"/>
        <w:rPr>
          <w:rFonts w:ascii="Book Antiqua" w:hAnsi="Book Antiqua"/>
          <w:b w:val="0"/>
          <w:sz w:val="20"/>
          <w:lang w:val="en-AU"/>
        </w:rPr>
      </w:pPr>
      <w:r>
        <w:rPr>
          <w:rFonts w:ascii="Book Antiqua" w:hAnsi="Book Antiqua"/>
          <w:b w:val="0"/>
          <w:sz w:val="20"/>
          <w:lang w:val="en-AU"/>
        </w:rPr>
        <w:t>Old Parliament House</w:t>
      </w:r>
    </w:p>
    <w:p w14:paraId="0BE18A48" w14:textId="77777777" w:rsidR="00EA5D42" w:rsidRDefault="00EA5D42" w:rsidP="008A2254">
      <w:pPr>
        <w:pStyle w:val="Heading1-NoTOC"/>
        <w:numPr>
          <w:ilvl w:val="0"/>
          <w:numId w:val="11"/>
        </w:numPr>
        <w:spacing w:after="120"/>
        <w:jc w:val="both"/>
        <w:rPr>
          <w:rFonts w:ascii="Book Antiqua" w:hAnsi="Book Antiqua"/>
          <w:b w:val="0"/>
          <w:sz w:val="20"/>
          <w:lang w:val="en-AU"/>
        </w:rPr>
      </w:pPr>
      <w:r>
        <w:rPr>
          <w:rFonts w:ascii="Book Antiqua" w:hAnsi="Book Antiqua"/>
          <w:b w:val="0"/>
          <w:sz w:val="20"/>
          <w:lang w:val="en-AU"/>
        </w:rPr>
        <w:t>Torres Strait Regional Authority</w:t>
      </w:r>
    </w:p>
    <w:p w14:paraId="66829225" w14:textId="77777777" w:rsidR="00EA5D42" w:rsidRDefault="00EA5D42" w:rsidP="008A2254">
      <w:pPr>
        <w:pStyle w:val="Heading1-NoTOC"/>
        <w:numPr>
          <w:ilvl w:val="0"/>
          <w:numId w:val="11"/>
        </w:numPr>
        <w:spacing w:after="120"/>
        <w:jc w:val="both"/>
        <w:rPr>
          <w:rFonts w:ascii="Book Antiqua" w:hAnsi="Book Antiqua"/>
          <w:b w:val="0"/>
          <w:sz w:val="20"/>
          <w:lang w:val="en-AU"/>
        </w:rPr>
      </w:pPr>
      <w:r>
        <w:rPr>
          <w:rFonts w:ascii="Book Antiqua" w:hAnsi="Book Antiqua"/>
          <w:b w:val="0"/>
          <w:sz w:val="20"/>
          <w:lang w:val="en-AU"/>
        </w:rPr>
        <w:t>Wreck Bay Aboriginal Community Council</w:t>
      </w:r>
    </w:p>
    <w:p w14:paraId="3A2D72CE" w14:textId="77777777" w:rsidR="00EA5D42" w:rsidRDefault="00EA5D42" w:rsidP="00EA5D42">
      <w:pPr>
        <w:pStyle w:val="Heading1-NoTOC"/>
        <w:spacing w:after="120"/>
        <w:jc w:val="both"/>
        <w:rPr>
          <w:rFonts w:ascii="Book Antiqua" w:hAnsi="Book Antiqua"/>
          <w:b w:val="0"/>
          <w:sz w:val="20"/>
          <w:lang w:val="en-AU"/>
        </w:rPr>
      </w:pPr>
      <w:r>
        <w:rPr>
          <w:rFonts w:ascii="Book Antiqua" w:hAnsi="Book Antiqua"/>
          <w:b w:val="0"/>
          <w:sz w:val="20"/>
          <w:lang w:val="en-AU"/>
        </w:rPr>
        <w:t>Commonwealth Companies under the PGPA Act:</w:t>
      </w:r>
    </w:p>
    <w:p w14:paraId="7C9A08BF" w14:textId="77777777" w:rsidR="00EA5D42" w:rsidRDefault="00EA5D42" w:rsidP="008A2254">
      <w:pPr>
        <w:pStyle w:val="Heading1-NoTOC"/>
        <w:numPr>
          <w:ilvl w:val="0"/>
          <w:numId w:val="12"/>
        </w:numPr>
        <w:spacing w:after="120"/>
        <w:jc w:val="both"/>
        <w:rPr>
          <w:rFonts w:ascii="Book Antiqua" w:hAnsi="Book Antiqua"/>
          <w:b w:val="0"/>
          <w:sz w:val="20"/>
          <w:lang w:val="en-AU"/>
        </w:rPr>
      </w:pPr>
      <w:r>
        <w:rPr>
          <w:rFonts w:ascii="Book Antiqua" w:hAnsi="Book Antiqua"/>
          <w:b w:val="0"/>
          <w:sz w:val="20"/>
          <w:lang w:val="en-AU"/>
        </w:rPr>
        <w:t>Aboriginal Hostels Limited</w:t>
      </w:r>
    </w:p>
    <w:p w14:paraId="3C4E8544" w14:textId="77777777" w:rsidR="00EA5D42" w:rsidRDefault="00EA5D42" w:rsidP="008A2254">
      <w:pPr>
        <w:pStyle w:val="Heading1-NoTOC"/>
        <w:numPr>
          <w:ilvl w:val="0"/>
          <w:numId w:val="12"/>
        </w:numPr>
        <w:spacing w:after="120"/>
        <w:jc w:val="both"/>
        <w:rPr>
          <w:rFonts w:ascii="Book Antiqua" w:hAnsi="Book Antiqua"/>
          <w:b w:val="0"/>
          <w:sz w:val="20"/>
          <w:lang w:val="en-AU"/>
        </w:rPr>
      </w:pPr>
      <w:r>
        <w:rPr>
          <w:rFonts w:ascii="Book Antiqua" w:hAnsi="Book Antiqua"/>
          <w:b w:val="0"/>
          <w:sz w:val="20"/>
          <w:lang w:val="en-AU"/>
        </w:rPr>
        <w:t>National Australia Day Council Limited</w:t>
      </w:r>
    </w:p>
    <w:p w14:paraId="2B5B618A" w14:textId="77777777" w:rsidR="00EA5D42" w:rsidRDefault="00EA5D42" w:rsidP="008A2254">
      <w:pPr>
        <w:pStyle w:val="Heading1-NoTOC"/>
        <w:numPr>
          <w:ilvl w:val="0"/>
          <w:numId w:val="12"/>
        </w:numPr>
        <w:spacing w:after="120"/>
        <w:jc w:val="both"/>
        <w:rPr>
          <w:rFonts w:ascii="Book Antiqua" w:hAnsi="Book Antiqua"/>
          <w:b w:val="0"/>
          <w:sz w:val="20"/>
          <w:lang w:val="en-AU"/>
        </w:rPr>
      </w:pPr>
      <w:r>
        <w:rPr>
          <w:rFonts w:ascii="Book Antiqua" w:hAnsi="Book Antiqua"/>
          <w:b w:val="0"/>
          <w:sz w:val="20"/>
          <w:lang w:val="en-AU"/>
        </w:rPr>
        <w:t>Outback Stores Pty Ltd</w:t>
      </w:r>
    </w:p>
    <w:p w14:paraId="6BB9AAD2" w14:textId="77777777" w:rsidR="00932AFC" w:rsidRPr="00EA5D42" w:rsidRDefault="00932AFC" w:rsidP="00EA5D42">
      <w:pPr>
        <w:spacing w:after="0" w:line="240" w:lineRule="auto"/>
        <w:rPr>
          <w:kern w:val="28"/>
        </w:rPr>
      </w:pPr>
      <w:r>
        <w:t>For information on resourc</w:t>
      </w:r>
      <w:r w:rsidRPr="00932AFC">
        <w:t xml:space="preserve">ing across the portfolio, please refer to Part 1: Agency Financial Resourcing in </w:t>
      </w:r>
      <w:r w:rsidRPr="00A20056">
        <w:t>Budget Paper No. 4: Agency Resourcing.</w:t>
      </w:r>
    </w:p>
    <w:p w14:paraId="4CDB2343" w14:textId="77777777" w:rsidR="00EA5D42" w:rsidRDefault="00EA5D42">
      <w:pPr>
        <w:spacing w:after="0" w:line="240" w:lineRule="auto"/>
        <w:jc w:val="left"/>
      </w:pPr>
      <w:r>
        <w:rPr>
          <w:b/>
        </w:rPr>
        <w:br w:type="page"/>
      </w:r>
    </w:p>
    <w:p w14:paraId="0DE4AD9D" w14:textId="77777777" w:rsidR="00EA5D42" w:rsidRDefault="00EA5D42" w:rsidP="00EA5D42">
      <w:pPr>
        <w:pStyle w:val="Heading1-NoTOC"/>
        <w:jc w:val="both"/>
        <w:rPr>
          <w:rFonts w:ascii="Book Antiqua" w:hAnsi="Book Antiqua"/>
          <w:b w:val="0"/>
          <w:sz w:val="20"/>
          <w:lang w:val="en-AU"/>
        </w:rPr>
      </w:pPr>
      <w:r w:rsidRPr="00EA761D">
        <w:rPr>
          <w:rFonts w:ascii="Book Antiqua" w:hAnsi="Book Antiqua"/>
          <w:sz w:val="20"/>
          <w:lang w:val="en-AU"/>
        </w:rPr>
        <w:lastRenderedPageBreak/>
        <w:t>The</w:t>
      </w:r>
      <w:r w:rsidRPr="007E00D8">
        <w:rPr>
          <w:rFonts w:ascii="Book Antiqua" w:hAnsi="Book Antiqua"/>
          <w:b w:val="0"/>
          <w:sz w:val="20"/>
          <w:lang w:val="en-AU"/>
        </w:rPr>
        <w:t xml:space="preserve"> </w:t>
      </w:r>
      <w:r w:rsidRPr="007E00D8">
        <w:rPr>
          <w:rFonts w:ascii="Book Antiqua" w:hAnsi="Book Antiqua"/>
          <w:sz w:val="20"/>
          <w:lang w:val="en-AU"/>
        </w:rPr>
        <w:t>Department of the Prime Minister and Cabinet</w:t>
      </w:r>
      <w:r w:rsidRPr="007E00D8">
        <w:rPr>
          <w:rFonts w:ascii="Book Antiqua" w:hAnsi="Book Antiqua"/>
          <w:b w:val="0"/>
          <w:sz w:val="20"/>
          <w:lang w:val="en-AU"/>
        </w:rPr>
        <w:t xml:space="preserve"> </w:t>
      </w:r>
      <w:r w:rsidR="00EA761D" w:rsidRPr="00EA761D">
        <w:rPr>
          <w:rFonts w:ascii="Book Antiqua" w:hAnsi="Book Antiqua"/>
          <w:b w:val="0"/>
          <w:sz w:val="20"/>
          <w:lang w:val="en-AU"/>
        </w:rPr>
        <w:t>(PM&amp;C) is a non-corporate Commonwealth entity subject to the PGPA Act. The Department provides support to the Prime Minister, the Cabinet, Portfolio Ministers and Assistant Ministers to achieve a coordinated</w:t>
      </w:r>
      <w:r w:rsidR="00031B0C">
        <w:rPr>
          <w:rFonts w:ascii="Book Antiqua" w:hAnsi="Book Antiqua"/>
          <w:b w:val="0"/>
          <w:sz w:val="20"/>
          <w:lang w:val="en-AU"/>
        </w:rPr>
        <w:t>, coherent</w:t>
      </w:r>
      <w:r w:rsidR="00EA761D" w:rsidRPr="00EA761D">
        <w:rPr>
          <w:rFonts w:ascii="Book Antiqua" w:hAnsi="Book Antiqua"/>
          <w:b w:val="0"/>
          <w:sz w:val="20"/>
          <w:lang w:val="en-AU"/>
        </w:rPr>
        <w:t xml:space="preserve"> and innovative approach to the development and implementation of government policies.</w:t>
      </w:r>
    </w:p>
    <w:p w14:paraId="18E52592" w14:textId="77777777" w:rsidR="00251B5D" w:rsidRDefault="00251B5D" w:rsidP="00251B5D">
      <w:pPr>
        <w:pStyle w:val="Heading1-NoTOC"/>
        <w:jc w:val="both"/>
        <w:rPr>
          <w:rFonts w:ascii="Book Antiqua" w:hAnsi="Book Antiqua"/>
          <w:b w:val="0"/>
          <w:sz w:val="20"/>
          <w:lang w:val="en-AU"/>
        </w:rPr>
      </w:pPr>
      <w:r w:rsidRPr="007E00D8">
        <w:rPr>
          <w:rFonts w:ascii="Book Antiqua" w:hAnsi="Book Antiqua"/>
          <w:sz w:val="20"/>
          <w:lang w:val="en-AU"/>
        </w:rPr>
        <w:t>Aboriginal Hostels Limited</w:t>
      </w:r>
      <w:r w:rsidRPr="007E00D8">
        <w:rPr>
          <w:rFonts w:ascii="Book Antiqua" w:hAnsi="Book Antiqua"/>
          <w:b w:val="0"/>
          <w:sz w:val="20"/>
          <w:lang w:val="en-AU"/>
        </w:rPr>
        <w:t xml:space="preserve"> (AHL) is a Commonwealth company subject to the </w:t>
      </w:r>
      <w:r w:rsidRPr="00FB71F6">
        <w:rPr>
          <w:rFonts w:ascii="Book Antiqua" w:hAnsi="Book Antiqua"/>
          <w:b w:val="0"/>
          <w:i/>
          <w:sz w:val="20"/>
          <w:lang w:val="en-AU"/>
        </w:rPr>
        <w:t>Corporations Act 2001</w:t>
      </w:r>
      <w:r w:rsidRPr="007E00D8">
        <w:rPr>
          <w:rFonts w:ascii="Book Antiqua" w:hAnsi="Book Antiqua"/>
          <w:b w:val="0"/>
          <w:sz w:val="20"/>
          <w:lang w:val="en-AU"/>
        </w:rPr>
        <w:t xml:space="preserve"> and the PGPA Act. AHL provides temporary accommodation to </w:t>
      </w:r>
      <w:r>
        <w:rPr>
          <w:rFonts w:ascii="Book Antiqua" w:hAnsi="Book Antiqua"/>
          <w:b w:val="0"/>
          <w:sz w:val="20"/>
          <w:lang w:val="en-AU"/>
        </w:rPr>
        <w:t xml:space="preserve">Indigenous Australians </w:t>
      </w:r>
      <w:r w:rsidRPr="007E00D8">
        <w:rPr>
          <w:rFonts w:ascii="Book Antiqua" w:hAnsi="Book Antiqua"/>
          <w:b w:val="0"/>
          <w:sz w:val="20"/>
          <w:lang w:val="en-AU"/>
        </w:rPr>
        <w:t xml:space="preserve">through a national network of accommodation facilities. AHL provides </w:t>
      </w:r>
      <w:r>
        <w:rPr>
          <w:rFonts w:ascii="Book Antiqua" w:hAnsi="Book Antiqua"/>
          <w:b w:val="0"/>
          <w:sz w:val="20"/>
          <w:lang w:val="en-AU"/>
        </w:rPr>
        <w:t xml:space="preserve">safe, culturally appropriate and affordable </w:t>
      </w:r>
      <w:r w:rsidRPr="007E00D8">
        <w:rPr>
          <w:rFonts w:ascii="Book Antiqua" w:hAnsi="Book Antiqua"/>
          <w:b w:val="0"/>
          <w:sz w:val="20"/>
          <w:lang w:val="en-AU"/>
        </w:rPr>
        <w:t xml:space="preserve">accommodation that supports Aboriginal and Torres Strait Islander people to access education, </w:t>
      </w:r>
      <w:r>
        <w:rPr>
          <w:rFonts w:ascii="Book Antiqua" w:hAnsi="Book Antiqua"/>
          <w:b w:val="0"/>
          <w:sz w:val="20"/>
          <w:lang w:val="en-AU"/>
        </w:rPr>
        <w:t xml:space="preserve">health services and economic </w:t>
      </w:r>
      <w:r w:rsidRPr="007E00D8">
        <w:rPr>
          <w:rFonts w:ascii="Book Antiqua" w:hAnsi="Book Antiqua"/>
          <w:b w:val="0"/>
          <w:sz w:val="20"/>
          <w:lang w:val="en-AU"/>
        </w:rPr>
        <w:t xml:space="preserve">opportunities. </w:t>
      </w:r>
    </w:p>
    <w:p w14:paraId="29DF1B19" w14:textId="77777777" w:rsidR="00EA5D42" w:rsidRDefault="00EA5D42" w:rsidP="00EA5D4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Aboriginal Land Commissioner</w:t>
      </w:r>
      <w:r w:rsidRPr="007E00D8">
        <w:rPr>
          <w:rFonts w:ascii="Book Antiqua" w:hAnsi="Book Antiqua"/>
          <w:b w:val="0"/>
          <w:sz w:val="20"/>
          <w:lang w:val="en-AU"/>
        </w:rPr>
        <w:t xml:space="preserve"> is an independent statutory office holder under the </w:t>
      </w:r>
      <w:r w:rsidRPr="00713C92">
        <w:rPr>
          <w:rFonts w:ascii="Book Antiqua" w:hAnsi="Book Antiqua"/>
          <w:b w:val="0"/>
          <w:i/>
          <w:sz w:val="20"/>
          <w:lang w:val="en-AU"/>
        </w:rPr>
        <w:t>Aboriginal Land Rights (Northern Territory) Act 1976</w:t>
      </w:r>
      <w:r w:rsidRPr="007E00D8">
        <w:rPr>
          <w:rFonts w:ascii="Book Antiqua" w:hAnsi="Book Antiqua"/>
          <w:b w:val="0"/>
          <w:sz w:val="20"/>
          <w:lang w:val="en-AU"/>
        </w:rPr>
        <w:t xml:space="preserve"> (ALR Act). The principal function of the Commissioner is to conduct formal inquiries into applications for claims to traditional Aboriginal land in the Northern Territory and to provide recommendations to the Minister for Indigenous Australians for the grant of land to traditional owners where appropriate. </w:t>
      </w:r>
    </w:p>
    <w:p w14:paraId="6F1F4560" w14:textId="77777777" w:rsidR="00F5616F" w:rsidRDefault="00F5616F" w:rsidP="00F5616F">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Australian Institute of Aboriginal and Torres Strait Islander Studies</w:t>
      </w:r>
      <w:r w:rsidRPr="007E00D8">
        <w:rPr>
          <w:rFonts w:ascii="Book Antiqua" w:hAnsi="Book Antiqua"/>
          <w:b w:val="0"/>
          <w:sz w:val="20"/>
          <w:lang w:val="en-AU"/>
        </w:rPr>
        <w:t xml:space="preserve"> (AIATSIS) is an independent statutory authority established by the </w:t>
      </w:r>
      <w:r w:rsidRPr="00713C92">
        <w:rPr>
          <w:rFonts w:ascii="Book Antiqua" w:hAnsi="Book Antiqua"/>
          <w:b w:val="0"/>
          <w:i/>
          <w:sz w:val="20"/>
          <w:lang w:val="en-AU"/>
        </w:rPr>
        <w:t>Australian Institute of Aboriginal and Torres Strait Islander Studies Act 1989</w:t>
      </w:r>
      <w:r w:rsidRPr="007E00D8">
        <w:rPr>
          <w:rFonts w:ascii="Book Antiqua" w:hAnsi="Book Antiqua"/>
          <w:b w:val="0"/>
          <w:sz w:val="20"/>
          <w:lang w:val="en-AU"/>
        </w:rPr>
        <w:t xml:space="preserve">. </w:t>
      </w:r>
      <w:r w:rsidR="00801C4A">
        <w:rPr>
          <w:rFonts w:ascii="Book Antiqua" w:hAnsi="Book Antiqua"/>
          <w:b w:val="0"/>
          <w:sz w:val="20"/>
          <w:lang w:val="en-AU"/>
        </w:rPr>
        <w:t xml:space="preserve">The </w:t>
      </w:r>
      <w:r>
        <w:rPr>
          <w:rFonts w:ascii="Book Antiqua" w:hAnsi="Book Antiqua"/>
          <w:b w:val="0"/>
          <w:sz w:val="20"/>
          <w:lang w:val="en-AU"/>
        </w:rPr>
        <w:t>AIATSIS, is</w:t>
      </w:r>
      <w:r w:rsidRPr="007E00D8">
        <w:rPr>
          <w:rFonts w:ascii="Book Antiqua" w:hAnsi="Book Antiqua"/>
          <w:b w:val="0"/>
          <w:sz w:val="20"/>
          <w:lang w:val="en-AU"/>
        </w:rPr>
        <w:t xml:space="preserve"> a national collecting institution and publicly funded research agency </w:t>
      </w:r>
      <w:r>
        <w:rPr>
          <w:rFonts w:ascii="Book Antiqua" w:hAnsi="Book Antiqua"/>
          <w:b w:val="0"/>
          <w:sz w:val="20"/>
          <w:lang w:val="en-AU"/>
        </w:rPr>
        <w:t>that</w:t>
      </w:r>
      <w:r w:rsidRPr="007E00D8">
        <w:rPr>
          <w:rFonts w:ascii="Book Antiqua" w:hAnsi="Book Antiqua"/>
          <w:b w:val="0"/>
          <w:sz w:val="20"/>
          <w:lang w:val="en-AU"/>
        </w:rPr>
        <w:t xml:space="preserve"> creates unique research in</w:t>
      </w:r>
      <w:r>
        <w:rPr>
          <w:rFonts w:ascii="Book Antiqua" w:hAnsi="Book Antiqua"/>
          <w:b w:val="0"/>
          <w:sz w:val="20"/>
          <w:lang w:val="en-AU"/>
        </w:rPr>
        <w:t xml:space="preserve">frastructure for Australia, </w:t>
      </w:r>
      <w:r w:rsidRPr="007E00D8">
        <w:rPr>
          <w:rFonts w:ascii="Book Antiqua" w:hAnsi="Book Antiqua"/>
          <w:b w:val="0"/>
          <w:sz w:val="20"/>
          <w:lang w:val="en-AU"/>
        </w:rPr>
        <w:t xml:space="preserve">to build pathways for the knowledge of Aboriginal and Torres Strait Islander people to grow and be shared. </w:t>
      </w:r>
    </w:p>
    <w:p w14:paraId="1DB57607" w14:textId="77777777" w:rsidR="00EA5D42" w:rsidRDefault="00EA5D42" w:rsidP="00EA5D4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Australian National Audit Office</w:t>
      </w:r>
      <w:r w:rsidRPr="007E00D8">
        <w:rPr>
          <w:rFonts w:ascii="Book Antiqua" w:hAnsi="Book Antiqua"/>
          <w:b w:val="0"/>
          <w:sz w:val="20"/>
          <w:lang w:val="en-AU"/>
        </w:rPr>
        <w:t xml:space="preserve"> (ANAO) is a non-corporate Commonwealth entity established under the </w:t>
      </w:r>
      <w:r w:rsidRPr="00713C92">
        <w:rPr>
          <w:rFonts w:ascii="Book Antiqua" w:hAnsi="Book Antiqua"/>
          <w:b w:val="0"/>
          <w:i/>
          <w:sz w:val="20"/>
          <w:lang w:val="en-AU"/>
        </w:rPr>
        <w:t>Auditor-General Act 1997</w:t>
      </w:r>
      <w:r w:rsidRPr="007E00D8">
        <w:rPr>
          <w:rFonts w:ascii="Book Antiqua" w:hAnsi="Book Antiqua"/>
          <w:b w:val="0"/>
          <w:sz w:val="20"/>
          <w:lang w:val="en-AU"/>
        </w:rPr>
        <w:t xml:space="preserve"> and is subject to the PGPA Act. The ANAO assists the Auditor-General in undertaking the performance of functions under the </w:t>
      </w:r>
      <w:r w:rsidRPr="00713C92">
        <w:rPr>
          <w:rFonts w:ascii="Book Antiqua" w:hAnsi="Book Antiqua"/>
          <w:b w:val="0"/>
          <w:i/>
          <w:sz w:val="20"/>
          <w:lang w:val="en-AU"/>
        </w:rPr>
        <w:t>Auditor-General Act 1997</w:t>
      </w:r>
      <w:r w:rsidRPr="007E00D8">
        <w:rPr>
          <w:rFonts w:ascii="Book Antiqua" w:hAnsi="Book Antiqua"/>
          <w:b w:val="0"/>
          <w:sz w:val="20"/>
          <w:lang w:val="en-AU"/>
        </w:rPr>
        <w:t xml:space="preserve">. </w:t>
      </w:r>
    </w:p>
    <w:p w14:paraId="557DB1A6" w14:textId="77777777" w:rsidR="00EA5D42" w:rsidRPr="008453CD" w:rsidRDefault="00EA5D42" w:rsidP="00EA5D4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Australian Public Service Commission</w:t>
      </w:r>
      <w:r w:rsidRPr="007E00D8">
        <w:rPr>
          <w:rFonts w:ascii="Book Antiqua" w:hAnsi="Book Antiqua"/>
          <w:b w:val="0"/>
          <w:sz w:val="20"/>
          <w:lang w:val="en-AU"/>
        </w:rPr>
        <w:t xml:space="preserve"> (APSC) is a non-corporate Commonwealth entity subjec</w:t>
      </w:r>
      <w:r w:rsidR="00031B0C">
        <w:rPr>
          <w:rFonts w:ascii="Book Antiqua" w:hAnsi="Book Antiqua"/>
          <w:b w:val="0"/>
          <w:sz w:val="20"/>
          <w:lang w:val="en-AU"/>
        </w:rPr>
        <w:t>t to the PGPA Act.</w:t>
      </w:r>
      <w:r w:rsidRPr="007E00D8">
        <w:rPr>
          <w:rFonts w:ascii="Book Antiqua" w:hAnsi="Book Antiqua"/>
          <w:b w:val="0"/>
          <w:sz w:val="20"/>
          <w:lang w:val="en-AU"/>
        </w:rPr>
        <w:t xml:space="preserve"> </w:t>
      </w:r>
      <w:r w:rsidR="00031B0C">
        <w:rPr>
          <w:rFonts w:ascii="Book Antiqua" w:hAnsi="Book Antiqua"/>
          <w:b w:val="0"/>
          <w:sz w:val="20"/>
          <w:lang w:val="en-AU"/>
        </w:rPr>
        <w:t>It undertakes</w:t>
      </w:r>
      <w:r w:rsidRPr="007E00D8">
        <w:rPr>
          <w:rFonts w:ascii="Book Antiqua" w:hAnsi="Book Antiqua"/>
          <w:b w:val="0"/>
          <w:sz w:val="20"/>
          <w:lang w:val="en-AU"/>
        </w:rPr>
        <w:t xml:space="preserve"> a central leadership role in providing expertise, guidance and performance monitoring on workforce management strategies. The APSC has a key role in supporting frameworks for a modern and flexible workforce, improving workforce management to support an efficient and effective Australian Public Service (APS), supporting high integrity standards and fostering improved capability and leadership.</w:t>
      </w:r>
    </w:p>
    <w:p w14:paraId="5215159B" w14:textId="77777777" w:rsidR="00EA5D42" w:rsidRDefault="00EA5D42" w:rsidP="00EA5D42">
      <w:pPr>
        <w:spacing w:after="0" w:line="240" w:lineRule="auto"/>
        <w:jc w:val="left"/>
        <w:rPr>
          <w:kern w:val="28"/>
        </w:rPr>
      </w:pPr>
      <w:r>
        <w:rPr>
          <w:b/>
        </w:rPr>
        <w:br w:type="page"/>
      </w:r>
    </w:p>
    <w:p w14:paraId="0DEAAF28" w14:textId="77777777" w:rsidR="00B44FBB" w:rsidRDefault="00B44FBB" w:rsidP="00B44FBB">
      <w:pPr>
        <w:pStyle w:val="Heading1-NoTOC"/>
        <w:jc w:val="both"/>
        <w:rPr>
          <w:rFonts w:ascii="Book Antiqua" w:hAnsi="Book Antiqua"/>
          <w:b w:val="0"/>
          <w:sz w:val="20"/>
          <w:lang w:val="en-AU"/>
        </w:rPr>
      </w:pPr>
      <w:r w:rsidRPr="00B44FBB">
        <w:rPr>
          <w:rFonts w:ascii="Book Antiqua" w:hAnsi="Book Antiqua"/>
          <w:b w:val="0"/>
          <w:sz w:val="20"/>
          <w:lang w:val="en-AU"/>
        </w:rPr>
        <w:lastRenderedPageBreak/>
        <w:t xml:space="preserve">The </w:t>
      </w:r>
      <w:r w:rsidRPr="00B44FBB">
        <w:rPr>
          <w:rFonts w:ascii="Book Antiqua" w:hAnsi="Book Antiqua"/>
          <w:sz w:val="20"/>
          <w:lang w:val="en-AU"/>
        </w:rPr>
        <w:t>Digital Transformation Agency</w:t>
      </w:r>
      <w:r w:rsidRPr="00B44FBB">
        <w:rPr>
          <w:rFonts w:ascii="Book Antiqua" w:hAnsi="Book Antiqua"/>
          <w:b w:val="0"/>
          <w:sz w:val="20"/>
          <w:lang w:val="en-AU"/>
        </w:rPr>
        <w:t xml:space="preserve"> (DTA) is a non-corporate Commonwealth entity subject to the PGPA Act. The DTA’s mission is to drive and secure the Australian Government’s investment in Australia’s digital future.  The DTA provides strategic leadership on whole-of-government and shared ICT and digital services, including sourcing and capability development. It delivers strategies, policies, and standards for whole-of-government and shared ICT and digital service delivery as well as the Australian Government Architecture. </w:t>
      </w:r>
      <w:r w:rsidR="00ED0D59" w:rsidRPr="00ED0D59">
        <w:rPr>
          <w:rFonts w:ascii="Book Antiqua" w:hAnsi="Book Antiqua"/>
          <w:b w:val="0"/>
          <w:sz w:val="20"/>
          <w:lang w:val="en-AU"/>
        </w:rPr>
        <w:t>The DTA also provides advice to agencies and the Government on ICT and</w:t>
      </w:r>
      <w:r w:rsidR="00F66C6C">
        <w:rPr>
          <w:rFonts w:ascii="Book Antiqua" w:hAnsi="Book Antiqua"/>
          <w:b w:val="0"/>
          <w:sz w:val="20"/>
          <w:lang w:val="en-AU"/>
        </w:rPr>
        <w:t xml:space="preserve"> digital investment proposals, </w:t>
      </w:r>
      <w:r w:rsidR="00ED0D59" w:rsidRPr="00ED0D59">
        <w:rPr>
          <w:rFonts w:ascii="Book Antiqua" w:hAnsi="Book Antiqua"/>
          <w:b w:val="0"/>
          <w:sz w:val="20"/>
          <w:lang w:val="en-AU"/>
        </w:rPr>
        <w:t>providing assurance on significant ICT and digital investment.</w:t>
      </w:r>
    </w:p>
    <w:p w14:paraId="7F4E4ED2" w14:textId="77777777" w:rsidR="00EA5D42" w:rsidRDefault="008C0C99" w:rsidP="00EA5D42">
      <w:pPr>
        <w:pStyle w:val="Heading1-NoTOC"/>
        <w:jc w:val="both"/>
        <w:rPr>
          <w:rFonts w:ascii="Book Antiqua" w:hAnsi="Book Antiqua"/>
          <w:b w:val="0"/>
          <w:sz w:val="20"/>
          <w:lang w:val="en-AU"/>
        </w:rPr>
      </w:pPr>
      <w:r>
        <w:rPr>
          <w:rFonts w:ascii="Book Antiqua" w:hAnsi="Book Antiqua"/>
          <w:b w:val="0"/>
          <w:sz w:val="20"/>
          <w:lang w:val="en-AU"/>
        </w:rPr>
        <w:t xml:space="preserve">The </w:t>
      </w:r>
      <w:r w:rsidR="00EA5D42" w:rsidRPr="00667262">
        <w:rPr>
          <w:rFonts w:ascii="Book Antiqua" w:hAnsi="Book Antiqua"/>
          <w:sz w:val="20"/>
          <w:lang w:val="en-AU"/>
        </w:rPr>
        <w:t>Executive Director of Township Leasing</w:t>
      </w:r>
      <w:r w:rsidR="00EA5D42" w:rsidRPr="007E00D8">
        <w:rPr>
          <w:rFonts w:ascii="Book Antiqua" w:hAnsi="Book Antiqua"/>
          <w:b w:val="0"/>
          <w:sz w:val="20"/>
          <w:lang w:val="en-AU"/>
        </w:rPr>
        <w:t xml:space="preserve"> (EDTL) is an independent statutory office holder subject to the PGPA Act</w:t>
      </w:r>
      <w:r>
        <w:rPr>
          <w:rFonts w:ascii="Book Antiqua" w:hAnsi="Book Antiqua"/>
          <w:b w:val="0"/>
          <w:sz w:val="20"/>
          <w:lang w:val="en-AU"/>
        </w:rPr>
        <w:t>. The position</w:t>
      </w:r>
      <w:r w:rsidR="00EA5D42" w:rsidRPr="007E00D8">
        <w:rPr>
          <w:rFonts w:ascii="Book Antiqua" w:hAnsi="Book Antiqua"/>
          <w:b w:val="0"/>
          <w:sz w:val="20"/>
          <w:lang w:val="en-AU"/>
        </w:rPr>
        <w:t xml:space="preserve"> was established under the ALR Act to enter into leases of Aboriginal-held land in the Northern Territory on behalf of the Commonwealth, and to administer sub-leases and other rights and interests derived from such leases. The primary function of the EDTL is to hold leases over townships on Aboriginal land in the Northern Territory following agreement between the Commonwealth and the respective Aboriginal Land Council and Land Trust. </w:t>
      </w:r>
    </w:p>
    <w:p w14:paraId="7A32BE74" w14:textId="77777777" w:rsidR="006A77E9" w:rsidRDefault="006A77E9" w:rsidP="006A77E9">
      <w:pPr>
        <w:pStyle w:val="Heading1-NoTOC"/>
        <w:jc w:val="both"/>
        <w:rPr>
          <w:rFonts w:ascii="Book Antiqua" w:hAnsi="Book Antiqua"/>
          <w:b w:val="0"/>
          <w:sz w:val="20"/>
          <w:lang w:val="en-AU"/>
        </w:rPr>
      </w:pPr>
      <w:r w:rsidRPr="00B32B22">
        <w:rPr>
          <w:rFonts w:ascii="Book Antiqua" w:hAnsi="Book Antiqua"/>
          <w:sz w:val="20"/>
          <w:lang w:val="en-AU"/>
        </w:rPr>
        <w:t>Indigenous Business Australia</w:t>
      </w:r>
      <w:r w:rsidRPr="00B32B22">
        <w:rPr>
          <w:rFonts w:ascii="Book Antiqua" w:hAnsi="Book Antiqua"/>
          <w:b w:val="0"/>
          <w:sz w:val="20"/>
          <w:lang w:val="en-AU"/>
        </w:rPr>
        <w:t xml:space="preserve"> (IBA) is a corporate Commonwealth entity established under the </w:t>
      </w:r>
      <w:r w:rsidRPr="00B32B22">
        <w:rPr>
          <w:rFonts w:ascii="Book Antiqua" w:hAnsi="Book Antiqua"/>
          <w:b w:val="0"/>
          <w:i/>
          <w:sz w:val="20"/>
          <w:lang w:val="en-AU"/>
        </w:rPr>
        <w:t>Aboriginal and Torres Strait Islander Act 2005</w:t>
      </w:r>
      <w:r w:rsidRPr="00B32B22">
        <w:rPr>
          <w:rFonts w:ascii="Book Antiqua" w:hAnsi="Book Antiqua"/>
          <w:b w:val="0"/>
          <w:sz w:val="20"/>
          <w:lang w:val="en-AU"/>
        </w:rPr>
        <w:t xml:space="preserve"> (ATSI Act) and is subject to the PGPA Act. </w:t>
      </w:r>
      <w:r w:rsidR="00801C4A">
        <w:rPr>
          <w:rFonts w:ascii="Book Antiqua" w:hAnsi="Book Antiqua"/>
          <w:b w:val="0"/>
          <w:sz w:val="20"/>
          <w:lang w:val="en-AU"/>
        </w:rPr>
        <w:t xml:space="preserve">The </w:t>
      </w:r>
      <w:r w:rsidRPr="00B32B22">
        <w:rPr>
          <w:rFonts w:ascii="Book Antiqua" w:hAnsi="Book Antiqua"/>
          <w:b w:val="0"/>
          <w:sz w:val="20"/>
          <w:lang w:val="en-AU"/>
        </w:rPr>
        <w:t xml:space="preserve">IBA creates opportunities for Aboriginal and Torres Strait Islander people and communities to </w:t>
      </w:r>
      <w:r w:rsidRPr="00A67BF4">
        <w:rPr>
          <w:rFonts w:ascii="Book Antiqua" w:hAnsi="Book Antiqua"/>
          <w:b w:val="0"/>
          <w:sz w:val="20"/>
          <w:lang w:val="en-AU"/>
        </w:rPr>
        <w:t xml:space="preserve">achieve economic independence </w:t>
      </w:r>
      <w:r w:rsidRPr="002D5397">
        <w:rPr>
          <w:rFonts w:ascii="Book Antiqua" w:hAnsi="Book Antiqua"/>
          <w:b w:val="0"/>
          <w:sz w:val="20"/>
          <w:lang w:val="en-AU"/>
        </w:rPr>
        <w:t>and ensure they are an integral</w:t>
      </w:r>
      <w:r w:rsidRPr="00A67BF4">
        <w:rPr>
          <w:rFonts w:ascii="Book Antiqua" w:hAnsi="Book Antiqua"/>
          <w:b w:val="0"/>
          <w:sz w:val="20"/>
          <w:lang w:val="en-AU"/>
        </w:rPr>
        <w:t xml:space="preserve"> part of the economy</w:t>
      </w:r>
      <w:r w:rsidRPr="00B32B22">
        <w:rPr>
          <w:rFonts w:ascii="Book Antiqua" w:hAnsi="Book Antiqua"/>
          <w:b w:val="0"/>
          <w:sz w:val="20"/>
          <w:lang w:val="en-AU"/>
        </w:rPr>
        <w:t xml:space="preserve">. </w:t>
      </w:r>
      <w:r w:rsidR="00801C4A">
        <w:rPr>
          <w:rFonts w:ascii="Book Antiqua" w:hAnsi="Book Antiqua"/>
          <w:b w:val="0"/>
          <w:sz w:val="20"/>
          <w:lang w:val="en-AU"/>
        </w:rPr>
        <w:t xml:space="preserve">The </w:t>
      </w:r>
      <w:r w:rsidRPr="00B32B22">
        <w:rPr>
          <w:rFonts w:ascii="Book Antiqua" w:hAnsi="Book Antiqua"/>
          <w:b w:val="0"/>
          <w:sz w:val="20"/>
          <w:lang w:val="en-AU"/>
        </w:rPr>
        <w:t>IBA assists Aboriginal and Torres Strait Islander people to buy their own home, own their own business and to invest in commercial ventures and funds that generate financial returns and can also provide employment, training and supply chain opportunities.</w:t>
      </w:r>
      <w:r w:rsidRPr="007E00D8">
        <w:rPr>
          <w:rFonts w:ascii="Book Antiqua" w:hAnsi="Book Antiqua"/>
          <w:b w:val="0"/>
          <w:sz w:val="20"/>
          <w:lang w:val="en-AU"/>
        </w:rPr>
        <w:t xml:space="preserve"> </w:t>
      </w:r>
    </w:p>
    <w:p w14:paraId="07C16533" w14:textId="77777777" w:rsidR="00EA5D42" w:rsidRDefault="00EA5D42" w:rsidP="00EA5D4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667262">
        <w:rPr>
          <w:rFonts w:ascii="Book Antiqua" w:hAnsi="Book Antiqua"/>
          <w:sz w:val="20"/>
          <w:lang w:val="en-AU"/>
        </w:rPr>
        <w:t>Indigenous Land and Sea Corporation</w:t>
      </w:r>
      <w:r w:rsidRPr="007E00D8">
        <w:rPr>
          <w:rFonts w:ascii="Book Antiqua" w:hAnsi="Book Antiqua"/>
          <w:b w:val="0"/>
          <w:sz w:val="20"/>
          <w:lang w:val="en-AU"/>
        </w:rPr>
        <w:t xml:space="preserve"> (ILSC) is a corporate Commonwealth entity established under the ATSI Act and subject to the PGPA Act. The ILSC assists Aboriginal and Torres Strait Islander people to realise</w:t>
      </w:r>
      <w:r>
        <w:rPr>
          <w:rFonts w:ascii="Book Antiqua" w:hAnsi="Book Antiqua"/>
          <w:b w:val="0"/>
          <w:sz w:val="20"/>
          <w:lang w:val="en-AU"/>
        </w:rPr>
        <w:t xml:space="preserve"> the</w:t>
      </w:r>
      <w:r w:rsidRPr="007E00D8">
        <w:rPr>
          <w:rFonts w:ascii="Book Antiqua" w:hAnsi="Book Antiqua"/>
          <w:b w:val="0"/>
          <w:sz w:val="20"/>
          <w:lang w:val="en-AU"/>
        </w:rPr>
        <w:t xml:space="preserve"> economic, social, cultural and environmental benefits the ownership and management of land, fresh water and salt water can bring. This includes economic independence (in particular support for enterprise and jobs for Indigenous people); social benefits; cultural identity and connection; and environmental sustainability. The ILSC provides assistance through direct investment in projects, supporting capability development and through enabling the establishment of beneficial networks and partnerships. </w:t>
      </w:r>
    </w:p>
    <w:p w14:paraId="21540F26" w14:textId="77777777" w:rsidR="00EA5D42" w:rsidRDefault="00EA5D42" w:rsidP="00EA5D4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667262">
        <w:rPr>
          <w:rFonts w:ascii="Book Antiqua" w:hAnsi="Book Antiqua"/>
          <w:sz w:val="20"/>
          <w:lang w:val="en-AU"/>
        </w:rPr>
        <w:t>National Australia Day Council Limited</w:t>
      </w:r>
      <w:r w:rsidRPr="007E00D8">
        <w:rPr>
          <w:rFonts w:ascii="Book Antiqua" w:hAnsi="Book Antiqua"/>
          <w:b w:val="0"/>
          <w:sz w:val="20"/>
          <w:lang w:val="en-AU"/>
        </w:rPr>
        <w:t xml:space="preserve"> (NADC) is a Commonwealth Company that is subject to the PGPA Act. </w:t>
      </w:r>
      <w:r>
        <w:rPr>
          <w:rFonts w:ascii="Book Antiqua" w:hAnsi="Book Antiqua"/>
          <w:b w:val="0"/>
          <w:sz w:val="20"/>
          <w:lang w:val="en-AU"/>
        </w:rPr>
        <w:t xml:space="preserve">The </w:t>
      </w:r>
      <w:r w:rsidRPr="007E00D8">
        <w:rPr>
          <w:rFonts w:ascii="Book Antiqua" w:hAnsi="Book Antiqua"/>
          <w:b w:val="0"/>
          <w:sz w:val="20"/>
          <w:lang w:val="en-AU"/>
        </w:rPr>
        <w:t xml:space="preserve">NADC’s mission is to inspire national pride and spirit through a range of activities including Australia Day programs and the Australian of the Year Awards. </w:t>
      </w:r>
    </w:p>
    <w:p w14:paraId="30D5F26F" w14:textId="77777777" w:rsidR="00EA5D42" w:rsidRDefault="00EA5D42" w:rsidP="00EA5D42">
      <w:pPr>
        <w:spacing w:after="0" w:line="240" w:lineRule="auto"/>
        <w:jc w:val="left"/>
        <w:rPr>
          <w:kern w:val="28"/>
        </w:rPr>
      </w:pPr>
      <w:r>
        <w:rPr>
          <w:b/>
        </w:rPr>
        <w:br w:type="page"/>
      </w:r>
    </w:p>
    <w:p w14:paraId="1AC246B2" w14:textId="77777777" w:rsidR="00AC2929" w:rsidRDefault="00AC2929" w:rsidP="00C40B6E">
      <w:pPr>
        <w:pStyle w:val="Heading1-NoTOC"/>
        <w:jc w:val="both"/>
        <w:rPr>
          <w:rFonts w:ascii="Book Antiqua" w:hAnsi="Book Antiqua"/>
          <w:b w:val="0"/>
          <w:sz w:val="20"/>
          <w:lang w:val="en-AU"/>
        </w:rPr>
      </w:pPr>
      <w:r w:rsidRPr="00AC2929">
        <w:rPr>
          <w:rFonts w:ascii="Book Antiqua" w:hAnsi="Book Antiqua"/>
          <w:b w:val="0"/>
          <w:sz w:val="20"/>
          <w:lang w:val="en-AU"/>
        </w:rPr>
        <w:lastRenderedPageBreak/>
        <w:t xml:space="preserve">The </w:t>
      </w:r>
      <w:r w:rsidRPr="00AC2929">
        <w:rPr>
          <w:rFonts w:ascii="Book Antiqua" w:hAnsi="Book Antiqua"/>
          <w:sz w:val="20"/>
          <w:lang w:val="en-AU"/>
        </w:rPr>
        <w:t>National Recovery and Resilience Agency</w:t>
      </w:r>
      <w:r w:rsidRPr="00AC2929">
        <w:rPr>
          <w:rFonts w:ascii="Book Antiqua" w:hAnsi="Book Antiqua"/>
          <w:b w:val="0"/>
          <w:sz w:val="20"/>
          <w:lang w:val="en-AU"/>
        </w:rPr>
        <w:t xml:space="preserve"> (NRRA) was established as an Executive Agency on 5 May 2021. The NRRA is a non-corporate Commonwealth entity subject to the PGPA Act. The NRRA provides national leadership, strategic coordination and policy advice in the areas of disaster preparedness, resilience and risk reduction, and recovery and relief from hazards of all kinds.</w:t>
      </w:r>
    </w:p>
    <w:p w14:paraId="2A1EE140" w14:textId="77777777" w:rsidR="00EA5D42" w:rsidRDefault="00EA5D42" w:rsidP="00EA5D4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1C0DD5">
        <w:rPr>
          <w:rFonts w:ascii="Book Antiqua" w:hAnsi="Book Antiqua"/>
          <w:sz w:val="20"/>
          <w:lang w:val="en-AU"/>
        </w:rPr>
        <w:t>National Indigenous Australians Agency</w:t>
      </w:r>
      <w:r w:rsidRPr="001C0DD5">
        <w:rPr>
          <w:rFonts w:ascii="Book Antiqua" w:hAnsi="Book Antiqua"/>
          <w:b w:val="0"/>
          <w:sz w:val="20"/>
          <w:lang w:val="en-AU"/>
        </w:rPr>
        <w:t xml:space="preserve"> (NIAA) was established as an Executive Agency </w:t>
      </w:r>
      <w:r>
        <w:rPr>
          <w:rFonts w:ascii="Book Antiqua" w:hAnsi="Book Antiqua"/>
          <w:b w:val="0"/>
          <w:sz w:val="20"/>
          <w:lang w:val="en-AU"/>
        </w:rPr>
        <w:t xml:space="preserve">on </w:t>
      </w:r>
      <w:r w:rsidRPr="001C0DD5">
        <w:rPr>
          <w:rFonts w:ascii="Book Antiqua" w:hAnsi="Book Antiqua"/>
          <w:b w:val="0"/>
          <w:sz w:val="20"/>
          <w:lang w:val="en-AU"/>
        </w:rPr>
        <w:t xml:space="preserve">1 July 2019. The NIAA is a non-corporate Commonwealth entity subject to the PGPA Act. The NIAA is responsible for leading and coordinating the Commonwealth’s policy development, program design and implementation, and service delivery for Indigenous Australians. The NIAA provides advice to the Prime Minister and the Minister for Indigenous Australians on whole-of-government priorities for Aboriginal and Torres Strait Islander people. </w:t>
      </w:r>
    </w:p>
    <w:p w14:paraId="7DB40BC5" w14:textId="77777777" w:rsidR="00EA5D42" w:rsidRDefault="00EA5D42" w:rsidP="00EA5D4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1C0DD5">
        <w:rPr>
          <w:rFonts w:ascii="Book Antiqua" w:hAnsi="Book Antiqua"/>
          <w:sz w:val="20"/>
          <w:lang w:val="en-AU"/>
        </w:rPr>
        <w:t>Anindilyakwa Land Council</w:t>
      </w:r>
      <w:r w:rsidRPr="001C0DD5">
        <w:rPr>
          <w:rFonts w:ascii="Book Antiqua" w:hAnsi="Book Antiqua"/>
          <w:b w:val="0"/>
          <w:sz w:val="20"/>
          <w:lang w:val="en-AU"/>
        </w:rPr>
        <w:t xml:space="preserve"> (ALC), </w:t>
      </w:r>
      <w:r w:rsidRPr="001C0DD5">
        <w:rPr>
          <w:rFonts w:ascii="Book Antiqua" w:hAnsi="Book Antiqua"/>
          <w:sz w:val="20"/>
          <w:lang w:val="en-AU"/>
        </w:rPr>
        <w:t>Central Land Council</w:t>
      </w:r>
      <w:r w:rsidRPr="001C0DD5">
        <w:rPr>
          <w:rFonts w:ascii="Book Antiqua" w:hAnsi="Book Antiqua"/>
          <w:b w:val="0"/>
          <w:sz w:val="20"/>
          <w:lang w:val="en-AU"/>
        </w:rPr>
        <w:t xml:space="preserve"> (CLC), </w:t>
      </w:r>
      <w:r w:rsidRPr="001C0DD5">
        <w:rPr>
          <w:rFonts w:ascii="Book Antiqua" w:hAnsi="Book Antiqua"/>
          <w:sz w:val="20"/>
          <w:lang w:val="en-AU"/>
        </w:rPr>
        <w:t>Northern Land Council</w:t>
      </w:r>
      <w:r w:rsidRPr="001C0DD5">
        <w:rPr>
          <w:rFonts w:ascii="Book Antiqua" w:hAnsi="Book Antiqua"/>
          <w:b w:val="0"/>
          <w:sz w:val="20"/>
          <w:lang w:val="en-AU"/>
        </w:rPr>
        <w:t xml:space="preserve"> (NLC) and </w:t>
      </w:r>
      <w:r w:rsidRPr="001C0DD5">
        <w:rPr>
          <w:rFonts w:ascii="Book Antiqua" w:hAnsi="Book Antiqua"/>
          <w:sz w:val="20"/>
          <w:lang w:val="en-AU"/>
        </w:rPr>
        <w:t>Tiwi Land Council</w:t>
      </w:r>
      <w:r w:rsidRPr="001C0DD5">
        <w:rPr>
          <w:rFonts w:ascii="Book Antiqua" w:hAnsi="Book Antiqua"/>
          <w:b w:val="0"/>
          <w:sz w:val="20"/>
          <w:lang w:val="en-AU"/>
        </w:rPr>
        <w:t xml:space="preserve"> (TLC) are the four Northern Territory Land Councils established under the ALR Act. The Land Councils are subject to the PGPA Act. Each is a corporate Commonwealth entity established to represent Aboriginal interests in a range of processes under the ALR Act. </w:t>
      </w:r>
    </w:p>
    <w:p w14:paraId="7F347541" w14:textId="77777777" w:rsidR="00EA5D42" w:rsidRDefault="00EA5D42" w:rsidP="00EA5D4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1C0DD5">
        <w:rPr>
          <w:rFonts w:ascii="Book Antiqua" w:hAnsi="Book Antiqua"/>
          <w:sz w:val="20"/>
          <w:lang w:val="en-AU"/>
        </w:rPr>
        <w:t>Office of National Intelligence</w:t>
      </w:r>
      <w:r w:rsidRPr="001C0DD5">
        <w:rPr>
          <w:rFonts w:ascii="Book Antiqua" w:hAnsi="Book Antiqua"/>
          <w:b w:val="0"/>
          <w:sz w:val="20"/>
          <w:lang w:val="en-AU"/>
        </w:rPr>
        <w:t xml:space="preserve"> (ONI) is a non-corporate Commonwealth entity operating under the </w:t>
      </w:r>
      <w:r w:rsidRPr="00713C92">
        <w:rPr>
          <w:rFonts w:ascii="Book Antiqua" w:hAnsi="Book Antiqua"/>
          <w:b w:val="0"/>
          <w:i/>
          <w:sz w:val="20"/>
          <w:lang w:val="en-AU"/>
        </w:rPr>
        <w:t>Office of National Intelligence Act 2018</w:t>
      </w:r>
      <w:r w:rsidRPr="001C0DD5">
        <w:rPr>
          <w:rFonts w:ascii="Book Antiqua" w:hAnsi="Book Antiqua"/>
          <w:b w:val="0"/>
          <w:sz w:val="20"/>
          <w:lang w:val="en-AU"/>
        </w:rPr>
        <w:t xml:space="preserve"> and is subject to the PGPA Act. ONI provides assessments on matters of political, strategic or economic significance to Australia, to the Prime Minister, senior ministers and senior officials. ONI is also responsible for integration, coordination and evaluation of Australia’s national intelligence capabilities. </w:t>
      </w:r>
    </w:p>
    <w:p w14:paraId="1A834603" w14:textId="77777777" w:rsidR="00EA5D42" w:rsidRDefault="00EA5D42" w:rsidP="00EA5D4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D04AF1">
        <w:rPr>
          <w:rFonts w:ascii="Book Antiqua" w:hAnsi="Book Antiqua"/>
          <w:sz w:val="20"/>
          <w:lang w:val="en-AU"/>
        </w:rPr>
        <w:t>Office of the Official Secretary to the Governor-General</w:t>
      </w:r>
      <w:r w:rsidRPr="001C0DD5">
        <w:rPr>
          <w:rFonts w:ascii="Book Antiqua" w:hAnsi="Book Antiqua"/>
          <w:b w:val="0"/>
          <w:sz w:val="20"/>
          <w:lang w:val="en-AU"/>
        </w:rPr>
        <w:t xml:space="preserve"> (OOSGG) is a non-cor</w:t>
      </w:r>
      <w:r>
        <w:rPr>
          <w:rFonts w:ascii="Book Antiqua" w:hAnsi="Book Antiqua"/>
          <w:b w:val="0"/>
          <w:sz w:val="20"/>
          <w:lang w:val="en-AU"/>
        </w:rPr>
        <w:t>porate Commonwealth entity that</w:t>
      </w:r>
      <w:r w:rsidRPr="001C0DD5">
        <w:rPr>
          <w:rFonts w:ascii="Book Antiqua" w:hAnsi="Book Antiqua"/>
          <w:b w:val="0"/>
          <w:sz w:val="20"/>
          <w:lang w:val="en-AU"/>
        </w:rPr>
        <w:t xml:space="preserve"> supports the Governor-General in the performance of his or her responsibilities and is subject to the PGPA Act. The position of the Official Secretary to the Governor-General (the Official Secretary) has existed </w:t>
      </w:r>
      <w:r>
        <w:rPr>
          <w:rFonts w:ascii="Book Antiqua" w:hAnsi="Book Antiqua"/>
          <w:b w:val="0"/>
          <w:sz w:val="20"/>
          <w:lang w:val="en-AU"/>
        </w:rPr>
        <w:t xml:space="preserve">since 1901. The OOSGG was established in December 1984 by amendment to the </w:t>
      </w:r>
      <w:r>
        <w:rPr>
          <w:rFonts w:ascii="Book Antiqua" w:hAnsi="Book Antiqua"/>
          <w:b w:val="0"/>
          <w:i/>
          <w:sz w:val="20"/>
          <w:lang w:val="en-AU"/>
        </w:rPr>
        <w:t>Governor-General Act 1974</w:t>
      </w:r>
      <w:r>
        <w:rPr>
          <w:rFonts w:ascii="Book Antiqua" w:hAnsi="Book Antiqua"/>
          <w:b w:val="0"/>
          <w:sz w:val="20"/>
          <w:lang w:val="en-AU"/>
        </w:rPr>
        <w:t>.</w:t>
      </w:r>
    </w:p>
    <w:p w14:paraId="39219D42" w14:textId="77777777" w:rsidR="00EA5D42" w:rsidRDefault="00EA5D42" w:rsidP="00EA5D42">
      <w:pPr>
        <w:pStyle w:val="Heading1-NoTOC"/>
        <w:jc w:val="both"/>
        <w:rPr>
          <w:rFonts w:ascii="Book Antiqua" w:hAnsi="Book Antiqua"/>
          <w:b w:val="0"/>
          <w:sz w:val="20"/>
          <w:lang w:val="en-AU"/>
        </w:rPr>
      </w:pPr>
      <w:r w:rsidRPr="00C966D7">
        <w:rPr>
          <w:rFonts w:ascii="Book Antiqua" w:hAnsi="Book Antiqua"/>
          <w:sz w:val="20"/>
          <w:lang w:val="en-AU"/>
        </w:rPr>
        <w:t>Old Parliament House</w:t>
      </w:r>
      <w:r w:rsidRPr="001C0DD5">
        <w:rPr>
          <w:rFonts w:ascii="Book Antiqua" w:hAnsi="Book Antiqua"/>
          <w:b w:val="0"/>
          <w:sz w:val="20"/>
          <w:lang w:val="en-AU"/>
        </w:rPr>
        <w:t xml:space="preserve"> (OPH) is a Commonwealth corporate entity and is subject to the PGPA Act</w:t>
      </w:r>
      <w:r w:rsidR="0097069A">
        <w:rPr>
          <w:rFonts w:ascii="Book Antiqua" w:hAnsi="Book Antiqua"/>
          <w:b w:val="0"/>
          <w:sz w:val="20"/>
          <w:lang w:val="en-AU"/>
        </w:rPr>
        <w:t>.</w:t>
      </w:r>
      <w:r w:rsidRPr="001C0DD5">
        <w:rPr>
          <w:rFonts w:ascii="Book Antiqua" w:hAnsi="Book Antiqua"/>
          <w:b w:val="0"/>
          <w:sz w:val="20"/>
          <w:lang w:val="en-AU"/>
        </w:rPr>
        <w:t xml:space="preserve"> </w:t>
      </w:r>
      <w:r w:rsidR="0097069A">
        <w:rPr>
          <w:rFonts w:ascii="Book Antiqua" w:hAnsi="Book Antiqua"/>
          <w:b w:val="0"/>
          <w:sz w:val="20"/>
          <w:lang w:val="en-AU"/>
        </w:rPr>
        <w:t>It was</w:t>
      </w:r>
      <w:r w:rsidRPr="001C0DD5">
        <w:rPr>
          <w:rFonts w:ascii="Book Antiqua" w:hAnsi="Book Antiqua"/>
          <w:b w:val="0"/>
          <w:sz w:val="20"/>
          <w:lang w:val="en-AU"/>
        </w:rPr>
        <w:t xml:space="preserve"> the home of the Federal Parliament from 1927 to 1988 and is an icon of national significance. It now houses the Museum of Australian Democracy, which provides dynamic exhibitions, events, engagement and education programs, to explore Australia’s democratic traditions and the factors and people that shaped that journey and improve understanding of democracy and the skills required to participate in it. </w:t>
      </w:r>
    </w:p>
    <w:p w14:paraId="599AC158" w14:textId="77777777" w:rsidR="00EA5D42" w:rsidRDefault="00EA5D42" w:rsidP="00EA5D42">
      <w:pPr>
        <w:spacing w:after="0" w:line="240" w:lineRule="auto"/>
        <w:jc w:val="left"/>
        <w:rPr>
          <w:b/>
          <w:kern w:val="28"/>
        </w:rPr>
      </w:pPr>
      <w:r>
        <w:br w:type="page"/>
      </w:r>
    </w:p>
    <w:p w14:paraId="20F83B0A" w14:textId="77777777" w:rsidR="00EA5D42" w:rsidRDefault="00EA5D42" w:rsidP="00EA5D42">
      <w:pPr>
        <w:pStyle w:val="Heading1-NoTOC"/>
        <w:jc w:val="both"/>
        <w:rPr>
          <w:rFonts w:ascii="Book Antiqua" w:hAnsi="Book Antiqua"/>
          <w:b w:val="0"/>
          <w:sz w:val="20"/>
          <w:lang w:val="en-AU"/>
        </w:rPr>
      </w:pPr>
      <w:r w:rsidRPr="00C966D7">
        <w:rPr>
          <w:rFonts w:ascii="Book Antiqua" w:hAnsi="Book Antiqua"/>
          <w:sz w:val="20"/>
          <w:lang w:val="en-AU"/>
        </w:rPr>
        <w:lastRenderedPageBreak/>
        <w:t>Outback Stores Pty Ltd</w:t>
      </w:r>
      <w:r w:rsidRPr="001C0DD5">
        <w:rPr>
          <w:rFonts w:ascii="Book Antiqua" w:hAnsi="Book Antiqua"/>
          <w:b w:val="0"/>
          <w:sz w:val="20"/>
          <w:lang w:val="en-AU"/>
        </w:rPr>
        <w:t xml:space="preserve"> (OBS) is a Commonwealth company subject to the </w:t>
      </w:r>
      <w:r w:rsidRPr="00713C92">
        <w:rPr>
          <w:rFonts w:ascii="Book Antiqua" w:hAnsi="Book Antiqua"/>
          <w:b w:val="0"/>
          <w:i/>
          <w:sz w:val="20"/>
          <w:lang w:val="en-AU"/>
        </w:rPr>
        <w:t>Corporations Act 2001</w:t>
      </w:r>
      <w:r w:rsidRPr="001C0DD5">
        <w:rPr>
          <w:rFonts w:ascii="Book Antiqua" w:hAnsi="Book Antiqua"/>
          <w:b w:val="0"/>
          <w:sz w:val="20"/>
          <w:lang w:val="en-AU"/>
        </w:rPr>
        <w:t xml:space="preserve"> and the PGPA Act. OBS promotes food security, health and employment in remote Indigenous communities by managing community stores. </w:t>
      </w:r>
      <w:r w:rsidR="00801C4A">
        <w:rPr>
          <w:rFonts w:ascii="Book Antiqua" w:hAnsi="Book Antiqua"/>
          <w:b w:val="0"/>
          <w:sz w:val="20"/>
          <w:lang w:val="en-AU"/>
        </w:rPr>
        <w:t xml:space="preserve">The </w:t>
      </w:r>
      <w:r w:rsidRPr="001C0DD5">
        <w:rPr>
          <w:rFonts w:ascii="Book Antiqua" w:hAnsi="Book Antiqua"/>
          <w:b w:val="0"/>
          <w:sz w:val="20"/>
          <w:lang w:val="en-AU"/>
        </w:rPr>
        <w:t xml:space="preserve">OBS helps Aboriginal and Torres Strait Islander people to improve their standard of living and achieve health goals through increasing access to affordable healthy food, and the provision of quality retail management services for community stores. </w:t>
      </w:r>
    </w:p>
    <w:p w14:paraId="6DFDC1F3" w14:textId="77777777" w:rsidR="00EA5D42" w:rsidRDefault="00EA5D42" w:rsidP="00EA5D4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C966D7">
        <w:rPr>
          <w:rFonts w:ascii="Book Antiqua" w:hAnsi="Book Antiqua"/>
          <w:sz w:val="20"/>
          <w:lang w:val="en-AU"/>
        </w:rPr>
        <w:t>Torres Strait Regional Authority</w:t>
      </w:r>
      <w:r w:rsidRPr="001C0DD5">
        <w:rPr>
          <w:rFonts w:ascii="Book Antiqua" w:hAnsi="Book Antiqua"/>
          <w:b w:val="0"/>
          <w:sz w:val="20"/>
          <w:lang w:val="en-AU"/>
        </w:rPr>
        <w:t xml:space="preserve"> (TSRA) is a corporate Commonwealth entity established by the ATSI Act and is subject to the PGPA Act. The TSRA formulates, implements and monitors the effectiveness of programs for Torres Strait Islander and Aboriginal people living in the Torres Strait, and also advises the Minister for Indigenous Australians about issues relevant to Torres Strait Islander and Aboriginal people living in the Torres Strait region. The TSRA works to empower Torres Strait Islander and Aboriginal people living in the Torres Strait to determine their own affairs based on the </w:t>
      </w:r>
      <w:r w:rsidR="00A20056" w:rsidRPr="00A20056">
        <w:rPr>
          <w:rFonts w:ascii="Book Antiqua" w:hAnsi="Book Antiqua"/>
          <w:b w:val="0"/>
          <w:i/>
          <w:sz w:val="20"/>
          <w:lang w:val="en-AU"/>
        </w:rPr>
        <w:t>a</w:t>
      </w:r>
      <w:r w:rsidRPr="00A20056">
        <w:rPr>
          <w:rFonts w:ascii="Book Antiqua" w:hAnsi="Book Antiqua"/>
          <w:b w:val="0"/>
          <w:i/>
          <w:sz w:val="20"/>
          <w:lang w:val="en-AU"/>
        </w:rPr>
        <w:t>ilan kastom</w:t>
      </w:r>
      <w:r w:rsidRPr="001C0DD5">
        <w:rPr>
          <w:rFonts w:ascii="Book Antiqua" w:hAnsi="Book Antiqua"/>
          <w:b w:val="0"/>
          <w:sz w:val="20"/>
          <w:lang w:val="en-AU"/>
        </w:rPr>
        <w:t xml:space="preserve"> (island custom) of the Torres Strait. </w:t>
      </w:r>
    </w:p>
    <w:p w14:paraId="3B0686E1" w14:textId="77777777" w:rsidR="00EA5D42" w:rsidRDefault="00EA5D42" w:rsidP="00EA5D4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C966D7">
        <w:rPr>
          <w:rFonts w:ascii="Book Antiqua" w:hAnsi="Book Antiqua"/>
          <w:sz w:val="20"/>
          <w:lang w:val="en-AU"/>
        </w:rPr>
        <w:t>Workplace Gender Equality Agency</w:t>
      </w:r>
      <w:r w:rsidRPr="001C0DD5">
        <w:rPr>
          <w:rFonts w:ascii="Book Antiqua" w:hAnsi="Book Antiqua"/>
          <w:b w:val="0"/>
          <w:sz w:val="20"/>
          <w:lang w:val="en-AU"/>
        </w:rPr>
        <w:t xml:space="preserve"> (WGEA) is a non-corporate Commonwealth entity established by the </w:t>
      </w:r>
      <w:r w:rsidRPr="00713C92">
        <w:rPr>
          <w:rFonts w:ascii="Book Antiqua" w:hAnsi="Book Antiqua"/>
          <w:b w:val="0"/>
          <w:i/>
          <w:sz w:val="20"/>
          <w:lang w:val="en-AU"/>
        </w:rPr>
        <w:t>Workplace Gender Equality Act 2012</w:t>
      </w:r>
      <w:r w:rsidRPr="001C0DD5">
        <w:rPr>
          <w:rFonts w:ascii="Book Antiqua" w:hAnsi="Book Antiqua"/>
          <w:b w:val="0"/>
          <w:sz w:val="20"/>
          <w:lang w:val="en-AU"/>
        </w:rPr>
        <w:t xml:space="preserve"> (WGE Act) and is subject to the PGPA Act. The WGEA is responsible for promoting and improving gender equality in Australian workplaces and administering the functions of the WGE Act. </w:t>
      </w:r>
    </w:p>
    <w:p w14:paraId="04714C78" w14:textId="77777777" w:rsidR="00EA5D42" w:rsidRDefault="00EA5D42" w:rsidP="00EA5D4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C966D7">
        <w:rPr>
          <w:rFonts w:ascii="Book Antiqua" w:hAnsi="Book Antiqua"/>
          <w:sz w:val="20"/>
          <w:lang w:val="en-AU"/>
        </w:rPr>
        <w:t xml:space="preserve">Wreck Bay Aboriginal Community Council </w:t>
      </w:r>
      <w:r w:rsidRPr="001C0DD5">
        <w:rPr>
          <w:rFonts w:ascii="Book Antiqua" w:hAnsi="Book Antiqua"/>
          <w:b w:val="0"/>
          <w:sz w:val="20"/>
          <w:lang w:val="en-AU"/>
        </w:rPr>
        <w:t xml:space="preserve">(WBACC) is a corporate Commonwealth entity established by the </w:t>
      </w:r>
      <w:r w:rsidRPr="00713C92">
        <w:rPr>
          <w:rFonts w:ascii="Book Antiqua" w:hAnsi="Book Antiqua"/>
          <w:b w:val="0"/>
          <w:i/>
          <w:sz w:val="20"/>
          <w:lang w:val="en-AU"/>
        </w:rPr>
        <w:t>Aboriginal Land Grant (Jervis Bay Territory) Act</w:t>
      </w:r>
      <w:r>
        <w:rPr>
          <w:rFonts w:ascii="Book Antiqua" w:hAnsi="Book Antiqua"/>
          <w:b w:val="0"/>
          <w:i/>
          <w:sz w:val="20"/>
          <w:lang w:val="en-AU"/>
        </w:rPr>
        <w:t> </w:t>
      </w:r>
      <w:r w:rsidRPr="00713C92">
        <w:rPr>
          <w:rFonts w:ascii="Book Antiqua" w:hAnsi="Book Antiqua"/>
          <w:b w:val="0"/>
          <w:i/>
          <w:sz w:val="20"/>
          <w:lang w:val="en-AU"/>
        </w:rPr>
        <w:t>1986</w:t>
      </w:r>
      <w:r w:rsidRPr="001C0DD5">
        <w:rPr>
          <w:rFonts w:ascii="Book Antiqua" w:hAnsi="Book Antiqua"/>
          <w:b w:val="0"/>
          <w:sz w:val="20"/>
          <w:lang w:val="en-AU"/>
        </w:rPr>
        <w:t xml:space="preserve"> and is subject to the PGPA Act. The council holds title to land and provides services to the Aboriginal community of Jervis Bay</w:t>
      </w:r>
      <w:r>
        <w:rPr>
          <w:rFonts w:ascii="Book Antiqua" w:hAnsi="Book Antiqua"/>
          <w:b w:val="0"/>
          <w:sz w:val="20"/>
          <w:lang w:val="en-AU"/>
        </w:rPr>
        <w:t xml:space="preserve">. </w:t>
      </w:r>
    </w:p>
    <w:p w14:paraId="098F4C32" w14:textId="77777777" w:rsidR="00EA5D42" w:rsidRPr="00863DD1" w:rsidRDefault="00EA5D42" w:rsidP="00EA5D42">
      <w:pPr>
        <w:pStyle w:val="Heading1-NoTOC"/>
        <w:jc w:val="left"/>
        <w:rPr>
          <w:rFonts w:ascii="Book Antiqua" w:hAnsi="Book Antiqua"/>
          <w:b w:val="0"/>
          <w:sz w:val="20"/>
          <w:lang w:val="en-AU"/>
        </w:rPr>
      </w:pPr>
    </w:p>
    <w:p w14:paraId="596AE145" w14:textId="77777777" w:rsidR="00EA5D42" w:rsidRPr="00FE3DE9" w:rsidRDefault="00EA5D42" w:rsidP="00FE3DE9"/>
    <w:p w14:paraId="7450FC5D" w14:textId="77777777" w:rsidR="00D46A7B" w:rsidRPr="005A7C0B" w:rsidRDefault="00A1133E" w:rsidP="00FE3DE9">
      <w:pPr>
        <w:pStyle w:val="FigureHeading"/>
      </w:pPr>
      <w:r w:rsidRPr="00FE3DE9">
        <w:br w:type="page"/>
      </w:r>
    </w:p>
    <w:p w14:paraId="61EE75FE" w14:textId="77777777" w:rsidR="00EA5D42" w:rsidRPr="00C40B6E" w:rsidRDefault="00EA5D42" w:rsidP="00EA5D42">
      <w:pPr>
        <w:pStyle w:val="FigureHeading"/>
        <w:rPr>
          <w:rFonts w:cs="Arial"/>
        </w:rPr>
      </w:pPr>
      <w:r w:rsidRPr="00C40B6E">
        <w:rPr>
          <w:rFonts w:cs="Arial"/>
        </w:rPr>
        <w:lastRenderedPageBreak/>
        <w:t>Figure 1: Prime Minister and Cabinet portfolio structure and outcomes</w:t>
      </w:r>
    </w:p>
    <w:p w14:paraId="14317502" w14:textId="77777777" w:rsidR="00EA5D42" w:rsidRPr="00276377" w:rsidRDefault="00EA5D42" w:rsidP="00EA5D42">
      <w:pPr>
        <w:pStyle w:val="ChartGraphic"/>
      </w:pPr>
    </w:p>
    <w:tbl>
      <w:tblPr>
        <w:tblpPr w:leftFromText="180" w:rightFromText="180" w:vertAnchor="text" w:tblpY="1"/>
        <w:tblOverlap w:val="never"/>
        <w:tblW w:w="7759" w:type="dxa"/>
        <w:tblLayout w:type="fixed"/>
        <w:tblCellMar>
          <w:top w:w="113" w:type="dxa"/>
          <w:left w:w="57" w:type="dxa"/>
          <w:bottom w:w="57" w:type="dxa"/>
          <w:right w:w="57" w:type="dxa"/>
        </w:tblCellMar>
        <w:tblLook w:val="01E0" w:firstRow="1" w:lastRow="1" w:firstColumn="1" w:lastColumn="1" w:noHBand="0" w:noVBand="0"/>
      </w:tblPr>
      <w:tblGrid>
        <w:gridCol w:w="7759"/>
      </w:tblGrid>
      <w:tr w:rsidR="00EA5D42" w:rsidRPr="00276377" w14:paraId="04A7A937" w14:textId="77777777" w:rsidTr="00E81274">
        <w:trPr>
          <w:trHeight w:val="400"/>
        </w:trPr>
        <w:tc>
          <w:tcPr>
            <w:tcW w:w="7759" w:type="dxa"/>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48627823" w14:textId="77777777" w:rsidR="00EA5D42" w:rsidRPr="00276377" w:rsidRDefault="00EA5D42" w:rsidP="00E81274">
            <w:pPr>
              <w:spacing w:after="80" w:line="240" w:lineRule="auto"/>
              <w:jc w:val="center"/>
              <w:rPr>
                <w:rFonts w:ascii="Arial" w:hAnsi="Arial"/>
                <w:b/>
                <w:sz w:val="18"/>
                <w:szCs w:val="18"/>
              </w:rPr>
            </w:pPr>
            <w:r w:rsidRPr="00276377">
              <w:rPr>
                <w:rFonts w:ascii="Arial" w:hAnsi="Arial"/>
                <w:b/>
                <w:sz w:val="18"/>
                <w:szCs w:val="18"/>
              </w:rPr>
              <w:t>Prime Minister — The Hon Scott Morrison MP</w:t>
            </w:r>
          </w:p>
        </w:tc>
      </w:tr>
      <w:tr w:rsidR="00EA5D42" w:rsidRPr="00276377" w14:paraId="04722278" w14:textId="77777777" w:rsidTr="00E81274">
        <w:trPr>
          <w:trHeight w:hRule="exact" w:val="228"/>
        </w:trPr>
        <w:tc>
          <w:tcPr>
            <w:tcW w:w="7759" w:type="dxa"/>
            <w:tcBorders>
              <w:top w:val="single" w:sz="4" w:space="0" w:color="auto"/>
              <w:bottom w:val="single" w:sz="4" w:space="0" w:color="auto"/>
            </w:tcBorders>
            <w:tcMar>
              <w:left w:w="142" w:type="dxa"/>
              <w:right w:w="142" w:type="dxa"/>
            </w:tcMar>
            <w:vAlign w:val="center"/>
          </w:tcPr>
          <w:p w14:paraId="2F1355EF" w14:textId="77777777" w:rsidR="00EA5D42" w:rsidRPr="00276377" w:rsidRDefault="00EA5D42" w:rsidP="00E81274">
            <w:pPr>
              <w:tabs>
                <w:tab w:val="right" w:pos="7547"/>
              </w:tabs>
              <w:spacing w:after="80" w:line="240" w:lineRule="auto"/>
              <w:rPr>
                <w:rFonts w:ascii="Arial" w:hAnsi="Arial"/>
                <w:b/>
                <w:sz w:val="16"/>
                <w:szCs w:val="16"/>
              </w:rPr>
            </w:pPr>
          </w:p>
          <w:p w14:paraId="13D47916" w14:textId="77777777" w:rsidR="00EA5D42" w:rsidRPr="00276377" w:rsidRDefault="00EA5D42" w:rsidP="00E81274">
            <w:pPr>
              <w:tabs>
                <w:tab w:val="right" w:pos="7547"/>
              </w:tabs>
              <w:spacing w:after="80" w:line="240" w:lineRule="auto"/>
              <w:rPr>
                <w:rFonts w:ascii="Arial" w:hAnsi="Arial"/>
                <w:b/>
                <w:sz w:val="16"/>
                <w:szCs w:val="16"/>
              </w:rPr>
            </w:pPr>
          </w:p>
          <w:p w14:paraId="5935EA80" w14:textId="77777777" w:rsidR="00EA5D42" w:rsidRPr="00276377" w:rsidRDefault="00EA5D42" w:rsidP="00E81274">
            <w:pPr>
              <w:tabs>
                <w:tab w:val="right" w:pos="7547"/>
              </w:tabs>
              <w:spacing w:after="80" w:line="240" w:lineRule="auto"/>
              <w:rPr>
                <w:rFonts w:ascii="Arial" w:hAnsi="Arial"/>
                <w:b/>
                <w:sz w:val="16"/>
                <w:szCs w:val="16"/>
              </w:rPr>
            </w:pPr>
          </w:p>
        </w:tc>
      </w:tr>
      <w:tr w:rsidR="00B44FBB" w:rsidRPr="00276377" w14:paraId="6949936B" w14:textId="77777777" w:rsidTr="00E81274">
        <w:trPr>
          <w:trHeight w:val="516"/>
        </w:trPr>
        <w:tc>
          <w:tcPr>
            <w:tcW w:w="7759"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29A113A3" w14:textId="77777777" w:rsidR="00B44FBB" w:rsidRPr="00276377" w:rsidRDefault="00B44FBB" w:rsidP="00B44FBB">
            <w:pPr>
              <w:tabs>
                <w:tab w:val="left" w:pos="5528"/>
              </w:tabs>
              <w:spacing w:after="80" w:line="240" w:lineRule="auto"/>
              <w:jc w:val="center"/>
              <w:rPr>
                <w:rFonts w:ascii="Arial" w:hAnsi="Arial"/>
                <w:sz w:val="16"/>
                <w:szCs w:val="16"/>
              </w:rPr>
            </w:pPr>
            <w:r w:rsidRPr="00276377">
              <w:rPr>
                <w:rFonts w:ascii="Arial" w:hAnsi="Arial"/>
                <w:sz w:val="16"/>
                <w:szCs w:val="16"/>
              </w:rPr>
              <w:t xml:space="preserve">Minister for Women — Senator the Hon Marise Payne </w:t>
            </w:r>
          </w:p>
          <w:p w14:paraId="237B16FA" w14:textId="77777777" w:rsidR="00B44FBB" w:rsidRPr="00B44FBB" w:rsidRDefault="00B44FBB" w:rsidP="00B44FBB">
            <w:pPr>
              <w:tabs>
                <w:tab w:val="left" w:pos="5528"/>
              </w:tabs>
              <w:spacing w:after="80" w:line="240" w:lineRule="auto"/>
              <w:jc w:val="center"/>
              <w:rPr>
                <w:rFonts w:ascii="Arial" w:hAnsi="Arial"/>
                <w:sz w:val="16"/>
                <w:szCs w:val="16"/>
              </w:rPr>
            </w:pPr>
            <w:r w:rsidRPr="00B44FBB">
              <w:rPr>
                <w:rFonts w:ascii="Arial" w:hAnsi="Arial"/>
                <w:sz w:val="16"/>
                <w:szCs w:val="16"/>
              </w:rPr>
              <w:t xml:space="preserve">Minister for Emergency Management and National Recovery and Resilience — </w:t>
            </w:r>
          </w:p>
          <w:p w14:paraId="442D4897" w14:textId="77777777" w:rsidR="00B44FBB" w:rsidRPr="00276377" w:rsidRDefault="00B44FBB" w:rsidP="00B44FBB">
            <w:pPr>
              <w:tabs>
                <w:tab w:val="left" w:pos="5528"/>
              </w:tabs>
              <w:spacing w:after="80" w:line="240" w:lineRule="auto"/>
              <w:jc w:val="center"/>
              <w:rPr>
                <w:rFonts w:ascii="Arial" w:hAnsi="Arial"/>
                <w:sz w:val="16"/>
                <w:szCs w:val="16"/>
              </w:rPr>
            </w:pPr>
            <w:r w:rsidRPr="00B44FBB">
              <w:rPr>
                <w:rFonts w:ascii="Arial" w:hAnsi="Arial"/>
                <w:sz w:val="16"/>
                <w:szCs w:val="16"/>
              </w:rPr>
              <w:t>Senator the Hon Bridget McKenzie</w:t>
            </w:r>
          </w:p>
          <w:p w14:paraId="1846A58B" w14:textId="77777777" w:rsidR="00B44FBB" w:rsidRPr="00276377" w:rsidRDefault="00B44FBB" w:rsidP="00B44FBB">
            <w:pPr>
              <w:tabs>
                <w:tab w:val="left" w:pos="5528"/>
              </w:tabs>
              <w:spacing w:after="80" w:line="240" w:lineRule="auto"/>
              <w:jc w:val="center"/>
              <w:rPr>
                <w:rFonts w:ascii="Arial" w:hAnsi="Arial"/>
                <w:sz w:val="16"/>
                <w:szCs w:val="16"/>
              </w:rPr>
            </w:pPr>
            <w:r w:rsidRPr="00276377">
              <w:rPr>
                <w:rFonts w:ascii="Arial" w:hAnsi="Arial"/>
                <w:sz w:val="16"/>
                <w:szCs w:val="16"/>
              </w:rPr>
              <w:t xml:space="preserve">Minister for Indigenous Australians — The Hon Ken Wyatt, AM MP </w:t>
            </w:r>
          </w:p>
        </w:tc>
      </w:tr>
      <w:tr w:rsidR="00B44FBB" w:rsidRPr="00276377" w14:paraId="6CB360C8" w14:textId="77777777" w:rsidTr="00E81274">
        <w:trPr>
          <w:trHeight w:hRule="exact" w:val="228"/>
        </w:trPr>
        <w:tc>
          <w:tcPr>
            <w:tcW w:w="7759" w:type="dxa"/>
            <w:tcBorders>
              <w:top w:val="single" w:sz="4" w:space="0" w:color="auto"/>
              <w:bottom w:val="single" w:sz="4" w:space="0" w:color="auto"/>
            </w:tcBorders>
            <w:shd w:val="clear" w:color="auto" w:fill="auto"/>
            <w:tcMar>
              <w:left w:w="142" w:type="dxa"/>
              <w:right w:w="142" w:type="dxa"/>
            </w:tcMar>
            <w:vAlign w:val="center"/>
          </w:tcPr>
          <w:p w14:paraId="46A96C7A" w14:textId="77777777" w:rsidR="00B44FBB" w:rsidRPr="00276377" w:rsidRDefault="00B44FBB" w:rsidP="00B44FBB">
            <w:pPr>
              <w:tabs>
                <w:tab w:val="left" w:pos="5528"/>
              </w:tabs>
              <w:spacing w:after="80" w:line="240" w:lineRule="auto"/>
              <w:rPr>
                <w:rFonts w:ascii="Arial" w:hAnsi="Arial"/>
                <w:b/>
                <w:sz w:val="18"/>
                <w:szCs w:val="18"/>
              </w:rPr>
            </w:pPr>
          </w:p>
        </w:tc>
      </w:tr>
      <w:tr w:rsidR="00B44FBB" w:rsidRPr="00276377" w14:paraId="779CA705" w14:textId="77777777" w:rsidTr="00E81274">
        <w:trPr>
          <w:trHeight w:val="1047"/>
        </w:trPr>
        <w:tc>
          <w:tcPr>
            <w:tcW w:w="7759"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3894B80A" w14:textId="77777777" w:rsidR="00B44FBB" w:rsidRPr="00B44FBB" w:rsidRDefault="00B44FBB" w:rsidP="00B44FBB">
            <w:pPr>
              <w:tabs>
                <w:tab w:val="left" w:pos="5528"/>
              </w:tabs>
              <w:spacing w:after="80" w:line="240" w:lineRule="auto"/>
              <w:jc w:val="center"/>
              <w:rPr>
                <w:rFonts w:ascii="Arial" w:hAnsi="Arial"/>
                <w:sz w:val="16"/>
                <w:szCs w:val="16"/>
              </w:rPr>
            </w:pPr>
            <w:r w:rsidRPr="00B44FBB">
              <w:rPr>
                <w:rFonts w:ascii="Arial" w:hAnsi="Arial"/>
                <w:sz w:val="16"/>
                <w:szCs w:val="16"/>
              </w:rPr>
              <w:t xml:space="preserve">Minister Assisting the Prime Minister and Cabinet, and Minister for the Public Service — </w:t>
            </w:r>
          </w:p>
          <w:p w14:paraId="3C653A50" w14:textId="77777777" w:rsidR="00B44FBB" w:rsidRPr="00B44FBB" w:rsidRDefault="00B44FBB" w:rsidP="00B44FBB">
            <w:pPr>
              <w:tabs>
                <w:tab w:val="left" w:pos="5528"/>
              </w:tabs>
              <w:spacing w:after="80" w:line="240" w:lineRule="auto"/>
              <w:jc w:val="center"/>
              <w:rPr>
                <w:rFonts w:ascii="Arial" w:hAnsi="Arial"/>
                <w:sz w:val="16"/>
                <w:szCs w:val="16"/>
              </w:rPr>
            </w:pPr>
            <w:r w:rsidRPr="00B44FBB">
              <w:rPr>
                <w:rFonts w:ascii="Arial" w:hAnsi="Arial"/>
                <w:sz w:val="16"/>
                <w:szCs w:val="16"/>
              </w:rPr>
              <w:t>The Hon Ben Morton MP</w:t>
            </w:r>
          </w:p>
          <w:p w14:paraId="127AF15F" w14:textId="77777777" w:rsidR="00B44FBB" w:rsidRPr="00B44FBB" w:rsidRDefault="00B44FBB" w:rsidP="00B44FBB">
            <w:pPr>
              <w:tabs>
                <w:tab w:val="left" w:pos="5528"/>
              </w:tabs>
              <w:spacing w:after="80" w:line="240" w:lineRule="auto"/>
              <w:jc w:val="center"/>
              <w:rPr>
                <w:rFonts w:ascii="Arial" w:hAnsi="Arial"/>
                <w:sz w:val="16"/>
                <w:szCs w:val="16"/>
              </w:rPr>
            </w:pPr>
            <w:r w:rsidRPr="00B44FBB">
              <w:rPr>
                <w:rFonts w:ascii="Arial" w:hAnsi="Arial"/>
                <w:sz w:val="16"/>
                <w:szCs w:val="16"/>
              </w:rPr>
              <w:t xml:space="preserve">Assistant Minister to the Prime Minister for Mental Health and Suicide Prevention — </w:t>
            </w:r>
          </w:p>
          <w:p w14:paraId="118A88FB" w14:textId="77777777" w:rsidR="00B44FBB" w:rsidRPr="00B44FBB" w:rsidRDefault="00B44FBB" w:rsidP="00B44FBB">
            <w:pPr>
              <w:tabs>
                <w:tab w:val="left" w:pos="5528"/>
              </w:tabs>
              <w:spacing w:after="80" w:line="240" w:lineRule="auto"/>
              <w:jc w:val="center"/>
              <w:rPr>
                <w:rFonts w:ascii="Arial" w:hAnsi="Arial"/>
                <w:sz w:val="16"/>
                <w:szCs w:val="16"/>
              </w:rPr>
            </w:pPr>
            <w:r w:rsidRPr="00B44FBB">
              <w:rPr>
                <w:rFonts w:ascii="Arial" w:hAnsi="Arial"/>
                <w:sz w:val="16"/>
                <w:szCs w:val="16"/>
              </w:rPr>
              <w:t>The Hon David Coleman MP</w:t>
            </w:r>
          </w:p>
          <w:p w14:paraId="0AB5B2E5" w14:textId="77777777" w:rsidR="00B44FBB" w:rsidRPr="00276377" w:rsidRDefault="00B44FBB" w:rsidP="00B44FBB">
            <w:pPr>
              <w:tabs>
                <w:tab w:val="left" w:pos="5528"/>
              </w:tabs>
              <w:spacing w:after="80" w:line="240" w:lineRule="auto"/>
              <w:jc w:val="center"/>
              <w:rPr>
                <w:rFonts w:ascii="Arial" w:hAnsi="Arial"/>
                <w:sz w:val="16"/>
                <w:szCs w:val="16"/>
              </w:rPr>
            </w:pPr>
            <w:r w:rsidRPr="00B44FBB">
              <w:rPr>
                <w:rFonts w:ascii="Arial" w:hAnsi="Arial"/>
                <w:sz w:val="16"/>
                <w:szCs w:val="16"/>
              </w:rPr>
              <w:t>Assistant Minister for Women</w:t>
            </w:r>
            <w:r w:rsidRPr="00B44FBB">
              <w:rPr>
                <w:rFonts w:ascii="Arial" w:hAnsi="Arial"/>
                <w:sz w:val="18"/>
                <w:szCs w:val="18"/>
              </w:rPr>
              <w:t xml:space="preserve"> —</w:t>
            </w:r>
            <w:r w:rsidRPr="00B44FBB">
              <w:rPr>
                <w:rFonts w:ascii="Arial" w:hAnsi="Arial"/>
                <w:b/>
                <w:sz w:val="18"/>
                <w:szCs w:val="18"/>
              </w:rPr>
              <w:t xml:space="preserve"> </w:t>
            </w:r>
            <w:r w:rsidRPr="00B44FBB">
              <w:rPr>
                <w:rFonts w:ascii="Arial" w:hAnsi="Arial"/>
                <w:sz w:val="16"/>
                <w:szCs w:val="16"/>
              </w:rPr>
              <w:t>Senator the Hon Amanda Stoker</w:t>
            </w:r>
          </w:p>
        </w:tc>
      </w:tr>
      <w:tr w:rsidR="00B44FBB" w:rsidRPr="00276377" w14:paraId="2554BF4A" w14:textId="77777777" w:rsidTr="00E81274">
        <w:trPr>
          <w:cantSplit/>
          <w:trHeight w:hRule="exact" w:val="272"/>
        </w:trPr>
        <w:tc>
          <w:tcPr>
            <w:tcW w:w="7759" w:type="dxa"/>
            <w:tcBorders>
              <w:top w:val="single" w:sz="4" w:space="0" w:color="auto"/>
              <w:bottom w:val="single" w:sz="4" w:space="0" w:color="auto"/>
            </w:tcBorders>
            <w:shd w:val="clear" w:color="auto" w:fill="auto"/>
            <w:tcMar>
              <w:left w:w="142" w:type="dxa"/>
              <w:right w:w="142" w:type="dxa"/>
            </w:tcMar>
            <w:vAlign w:val="center"/>
          </w:tcPr>
          <w:p w14:paraId="4FC074FC" w14:textId="77777777" w:rsidR="00B44FBB" w:rsidRPr="00276377" w:rsidRDefault="00B44FBB" w:rsidP="00B44FBB">
            <w:pPr>
              <w:tabs>
                <w:tab w:val="left" w:pos="5528"/>
              </w:tabs>
              <w:spacing w:after="80" w:line="240" w:lineRule="auto"/>
              <w:rPr>
                <w:rFonts w:ascii="Arial" w:hAnsi="Arial"/>
                <w:b/>
                <w:sz w:val="18"/>
                <w:szCs w:val="18"/>
              </w:rPr>
            </w:pPr>
          </w:p>
        </w:tc>
      </w:tr>
      <w:tr w:rsidR="00B44FBB" w:rsidRPr="00276377" w14:paraId="742A94DA" w14:textId="77777777" w:rsidTr="00E81274">
        <w:trPr>
          <w:trHeight w:val="1208"/>
        </w:trPr>
        <w:tc>
          <w:tcPr>
            <w:tcW w:w="7759"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3F3B4842" w14:textId="77777777" w:rsidR="00B44FBB" w:rsidRPr="00276377" w:rsidRDefault="00B44FBB" w:rsidP="00B44FBB">
            <w:pPr>
              <w:tabs>
                <w:tab w:val="left" w:pos="4820"/>
              </w:tabs>
              <w:spacing w:after="80" w:line="240" w:lineRule="auto"/>
              <w:rPr>
                <w:rFonts w:ascii="Arial" w:hAnsi="Arial"/>
                <w:i/>
                <w:sz w:val="16"/>
                <w:szCs w:val="16"/>
              </w:rPr>
            </w:pPr>
            <w:r w:rsidRPr="00231272">
              <w:rPr>
                <w:rFonts w:ascii="Arial" w:hAnsi="Arial"/>
                <w:b/>
                <w:sz w:val="16"/>
                <w:szCs w:val="16"/>
              </w:rPr>
              <w:t>Department of the Prime Minister and Cabinet</w:t>
            </w:r>
            <w:r w:rsidRPr="00276377">
              <w:rPr>
                <w:rFonts w:ascii="Arial" w:hAnsi="Arial"/>
                <w:b/>
                <w:sz w:val="18"/>
                <w:szCs w:val="18"/>
              </w:rPr>
              <w:t xml:space="preserve">                               </w:t>
            </w:r>
            <w:r>
              <w:rPr>
                <w:rFonts w:ascii="Arial" w:hAnsi="Arial"/>
                <w:b/>
                <w:sz w:val="18"/>
                <w:szCs w:val="18"/>
              </w:rPr>
              <w:t xml:space="preserve">  </w:t>
            </w:r>
            <w:r w:rsidRPr="00276377">
              <w:rPr>
                <w:rFonts w:ascii="Arial" w:hAnsi="Arial"/>
                <w:i/>
                <w:sz w:val="16"/>
                <w:szCs w:val="16"/>
              </w:rPr>
              <w:t>Secretary: Mr Philip Gaetjens</w:t>
            </w:r>
          </w:p>
          <w:p w14:paraId="604FE5AA" w14:textId="77777777" w:rsidR="00B44FBB" w:rsidRPr="00276377" w:rsidRDefault="00B44FBB" w:rsidP="00B44FBB">
            <w:pPr>
              <w:tabs>
                <w:tab w:val="right" w:pos="7229"/>
              </w:tabs>
              <w:spacing w:after="80" w:line="240" w:lineRule="auto"/>
              <w:rPr>
                <w:rFonts w:ascii="Arial" w:hAnsi="Arial"/>
                <w:sz w:val="16"/>
                <w:szCs w:val="16"/>
              </w:rPr>
            </w:pPr>
            <w:r w:rsidRPr="00276377">
              <w:rPr>
                <w:rFonts w:ascii="Arial" w:hAnsi="Arial"/>
                <w:sz w:val="16"/>
                <w:szCs w:val="16"/>
              </w:rPr>
              <w:t>Outcome: Provide high quality policy advice and support to the Prime Minister, the Cabinet, Portfolio Ministers and Assistant Ministers including through the coordination of government activities, policy development and program delivery.</w:t>
            </w:r>
          </w:p>
        </w:tc>
      </w:tr>
      <w:tr w:rsidR="00B44FBB" w:rsidRPr="00276377" w14:paraId="53F2605A" w14:textId="77777777" w:rsidTr="00E81274">
        <w:trPr>
          <w:trHeight w:hRule="exact" w:val="228"/>
        </w:trPr>
        <w:tc>
          <w:tcPr>
            <w:tcW w:w="7759" w:type="dxa"/>
            <w:tcBorders>
              <w:top w:val="single" w:sz="4" w:space="0" w:color="auto"/>
              <w:bottom w:val="single" w:sz="4" w:space="0" w:color="auto"/>
            </w:tcBorders>
            <w:tcMar>
              <w:left w:w="142" w:type="dxa"/>
              <w:right w:w="142" w:type="dxa"/>
            </w:tcMar>
            <w:vAlign w:val="center"/>
          </w:tcPr>
          <w:p w14:paraId="209D7731" w14:textId="77777777" w:rsidR="00B44FBB" w:rsidRPr="00276377" w:rsidRDefault="00B44FBB" w:rsidP="00B44FBB">
            <w:pPr>
              <w:tabs>
                <w:tab w:val="right" w:pos="7547"/>
              </w:tabs>
              <w:spacing w:after="80" w:line="240" w:lineRule="auto"/>
              <w:rPr>
                <w:rFonts w:ascii="Arial" w:hAnsi="Arial"/>
                <w:b/>
                <w:sz w:val="16"/>
                <w:szCs w:val="16"/>
              </w:rPr>
            </w:pPr>
          </w:p>
        </w:tc>
      </w:tr>
      <w:tr w:rsidR="00B44FBB" w:rsidRPr="00276377" w14:paraId="7D12198C" w14:textId="77777777" w:rsidTr="00E81274">
        <w:trPr>
          <w:trHeight w:val="971"/>
        </w:trPr>
        <w:tc>
          <w:tcPr>
            <w:tcW w:w="7759"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4673676" w14:textId="77777777" w:rsidR="00B44FBB" w:rsidRPr="00276377" w:rsidRDefault="00B44FBB" w:rsidP="00B44FBB">
            <w:pPr>
              <w:tabs>
                <w:tab w:val="left" w:pos="4543"/>
              </w:tabs>
              <w:spacing w:after="80" w:line="240" w:lineRule="auto"/>
              <w:jc w:val="left"/>
              <w:rPr>
                <w:rFonts w:ascii="Arial" w:hAnsi="Arial"/>
                <w:i/>
                <w:sz w:val="16"/>
                <w:szCs w:val="16"/>
              </w:rPr>
            </w:pPr>
            <w:r w:rsidRPr="00276377">
              <w:rPr>
                <w:rFonts w:ascii="Arial" w:hAnsi="Arial"/>
                <w:b/>
                <w:sz w:val="16"/>
                <w:szCs w:val="16"/>
              </w:rPr>
              <w:t xml:space="preserve">Aboriginal Hostels Limited                                      </w:t>
            </w:r>
            <w:r>
              <w:rPr>
                <w:rFonts w:ascii="Arial" w:hAnsi="Arial"/>
                <w:b/>
                <w:sz w:val="16"/>
                <w:szCs w:val="16"/>
              </w:rPr>
              <w:t xml:space="preserve"> </w:t>
            </w:r>
            <w:r w:rsidRPr="00276377">
              <w:rPr>
                <w:rFonts w:ascii="Arial" w:hAnsi="Arial"/>
                <w:i/>
                <w:sz w:val="16"/>
                <w:szCs w:val="16"/>
              </w:rPr>
              <w:t>Chief Executive Officer: Mr Dave Chalmers AO CSC</w:t>
            </w:r>
          </w:p>
          <w:p w14:paraId="56A11792" w14:textId="77777777" w:rsidR="00B44FBB" w:rsidRPr="00276377" w:rsidRDefault="00B44FBB" w:rsidP="00B44FBB">
            <w:pPr>
              <w:tabs>
                <w:tab w:val="right" w:pos="7229"/>
              </w:tabs>
              <w:spacing w:after="80" w:line="240" w:lineRule="auto"/>
              <w:rPr>
                <w:rFonts w:ascii="Arial" w:hAnsi="Arial"/>
                <w:b/>
                <w:sz w:val="16"/>
                <w:szCs w:val="16"/>
              </w:rPr>
            </w:pPr>
            <w:r w:rsidRPr="00276377">
              <w:rPr>
                <w:rFonts w:ascii="Arial" w:hAnsi="Arial"/>
                <w:sz w:val="16"/>
                <w:szCs w:val="16"/>
              </w:rPr>
              <w:t>Outcome: Improved access to education, employment, health and other services for Aboriginal and Torres Strait Islander people travelling or relocating through the operation of temporary hostel accommodation services.</w:t>
            </w:r>
          </w:p>
        </w:tc>
      </w:tr>
      <w:tr w:rsidR="00B44FBB" w:rsidRPr="00276377" w14:paraId="36881C41" w14:textId="77777777" w:rsidTr="00E81274">
        <w:trPr>
          <w:trHeight w:val="171"/>
        </w:trPr>
        <w:tc>
          <w:tcPr>
            <w:tcW w:w="7759" w:type="dxa"/>
            <w:tcBorders>
              <w:top w:val="single" w:sz="4" w:space="0" w:color="auto"/>
              <w:bottom w:val="single" w:sz="4" w:space="0" w:color="auto"/>
            </w:tcBorders>
            <w:tcMar>
              <w:left w:w="142" w:type="dxa"/>
              <w:right w:w="142" w:type="dxa"/>
            </w:tcMar>
            <w:vAlign w:val="center"/>
          </w:tcPr>
          <w:p w14:paraId="3A6B0413" w14:textId="77777777" w:rsidR="00B44FBB" w:rsidRPr="00276377" w:rsidRDefault="00B44FBB" w:rsidP="00B44FBB">
            <w:pPr>
              <w:tabs>
                <w:tab w:val="left" w:pos="4543"/>
              </w:tabs>
              <w:spacing w:after="80" w:line="240" w:lineRule="auto"/>
              <w:rPr>
                <w:rFonts w:ascii="Arial" w:hAnsi="Arial"/>
                <w:b/>
                <w:sz w:val="4"/>
                <w:szCs w:val="4"/>
                <w:highlight w:val="yellow"/>
              </w:rPr>
            </w:pPr>
          </w:p>
        </w:tc>
      </w:tr>
      <w:tr w:rsidR="00B44FBB" w:rsidRPr="00276377" w14:paraId="53DC9A28" w14:textId="77777777" w:rsidTr="00E81274">
        <w:trPr>
          <w:trHeight w:val="971"/>
        </w:trPr>
        <w:tc>
          <w:tcPr>
            <w:tcW w:w="7759"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EB0AACE" w14:textId="77777777" w:rsidR="00B44FBB" w:rsidRPr="00276377" w:rsidRDefault="00B44FBB" w:rsidP="00B44FBB">
            <w:pPr>
              <w:tabs>
                <w:tab w:val="left" w:pos="4543"/>
              </w:tabs>
              <w:spacing w:after="80" w:line="240" w:lineRule="auto"/>
              <w:rPr>
                <w:rFonts w:ascii="Arial" w:hAnsi="Arial"/>
                <w:b/>
                <w:sz w:val="16"/>
                <w:szCs w:val="16"/>
              </w:rPr>
            </w:pPr>
            <w:r w:rsidRPr="00276377">
              <w:rPr>
                <w:rFonts w:ascii="Arial" w:hAnsi="Arial"/>
                <w:b/>
                <w:sz w:val="16"/>
                <w:szCs w:val="16"/>
              </w:rPr>
              <w:t xml:space="preserve">Australian Institute of Aboriginal and Torres Strait Islander Studies                                            </w:t>
            </w:r>
          </w:p>
          <w:p w14:paraId="7A95555C" w14:textId="77777777" w:rsidR="00B44FBB" w:rsidRPr="00276377" w:rsidRDefault="00B44FBB" w:rsidP="00B44FBB">
            <w:pPr>
              <w:tabs>
                <w:tab w:val="left" w:pos="4543"/>
              </w:tabs>
              <w:spacing w:after="80" w:line="240" w:lineRule="auto"/>
              <w:jc w:val="right"/>
              <w:rPr>
                <w:rFonts w:ascii="Arial" w:hAnsi="Arial"/>
                <w:b/>
                <w:sz w:val="16"/>
                <w:szCs w:val="16"/>
              </w:rPr>
            </w:pPr>
            <w:r w:rsidRPr="00276377">
              <w:rPr>
                <w:rFonts w:ascii="Arial" w:hAnsi="Arial"/>
                <w:i/>
                <w:sz w:val="16"/>
                <w:szCs w:val="16"/>
              </w:rPr>
              <w:t>Chief Executive Officer: Mr Craig Ritchie</w:t>
            </w:r>
          </w:p>
          <w:p w14:paraId="4DF890EC" w14:textId="77777777" w:rsidR="00B44FBB" w:rsidRPr="00276377" w:rsidRDefault="00B44FBB" w:rsidP="00B44FBB">
            <w:pPr>
              <w:tabs>
                <w:tab w:val="right" w:pos="7229"/>
              </w:tabs>
              <w:spacing w:after="80" w:line="240" w:lineRule="auto"/>
              <w:rPr>
                <w:rFonts w:ascii="Arial" w:hAnsi="Arial"/>
                <w:b/>
                <w:sz w:val="16"/>
                <w:szCs w:val="16"/>
                <w:highlight w:val="yellow"/>
              </w:rPr>
            </w:pPr>
            <w:r w:rsidRPr="00276377">
              <w:rPr>
                <w:rFonts w:ascii="Arial" w:hAnsi="Arial"/>
                <w:sz w:val="16"/>
                <w:szCs w:val="16"/>
              </w:rPr>
              <w:t>Outcome: Further understanding of Australian Indigenous cultures, past and present through undertaking and publishing research, and providing access to print and audio-visual collections.</w:t>
            </w:r>
          </w:p>
        </w:tc>
      </w:tr>
      <w:tr w:rsidR="00B44FBB" w:rsidRPr="00276377" w14:paraId="177D6BC3" w14:textId="77777777" w:rsidTr="00E81274">
        <w:trPr>
          <w:trHeight w:hRule="exact" w:val="228"/>
        </w:trPr>
        <w:tc>
          <w:tcPr>
            <w:tcW w:w="7759" w:type="dxa"/>
            <w:tcBorders>
              <w:top w:val="single" w:sz="4" w:space="0" w:color="auto"/>
              <w:bottom w:val="single" w:sz="4" w:space="0" w:color="auto"/>
            </w:tcBorders>
            <w:tcMar>
              <w:left w:w="142" w:type="dxa"/>
              <w:right w:w="142" w:type="dxa"/>
            </w:tcMar>
            <w:vAlign w:val="center"/>
          </w:tcPr>
          <w:p w14:paraId="5112C400" w14:textId="77777777" w:rsidR="00B44FBB" w:rsidRPr="00276377" w:rsidRDefault="00B44FBB" w:rsidP="00B44FBB">
            <w:pPr>
              <w:tabs>
                <w:tab w:val="right" w:pos="7229"/>
              </w:tabs>
              <w:spacing w:after="80" w:line="240" w:lineRule="auto"/>
              <w:rPr>
                <w:rFonts w:ascii="Arial" w:hAnsi="Arial"/>
                <w:b/>
                <w:sz w:val="4"/>
                <w:szCs w:val="4"/>
                <w:highlight w:val="yellow"/>
              </w:rPr>
            </w:pPr>
          </w:p>
          <w:p w14:paraId="57F61B2D" w14:textId="77777777" w:rsidR="00B44FBB" w:rsidRPr="00276377" w:rsidRDefault="00B44FBB" w:rsidP="00B44FBB">
            <w:pPr>
              <w:tabs>
                <w:tab w:val="right" w:pos="7229"/>
              </w:tabs>
              <w:spacing w:after="80" w:line="240" w:lineRule="auto"/>
              <w:rPr>
                <w:rFonts w:ascii="Arial" w:hAnsi="Arial"/>
                <w:b/>
                <w:sz w:val="4"/>
                <w:szCs w:val="4"/>
                <w:highlight w:val="yellow"/>
              </w:rPr>
            </w:pPr>
          </w:p>
        </w:tc>
      </w:tr>
      <w:tr w:rsidR="00B44FBB" w:rsidRPr="00276377" w14:paraId="59FCDBE8" w14:textId="77777777" w:rsidTr="00E81274">
        <w:trPr>
          <w:trHeight w:hRule="exact" w:val="971"/>
        </w:trPr>
        <w:tc>
          <w:tcPr>
            <w:tcW w:w="7759"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419BC638" w14:textId="77777777" w:rsidR="00B44FBB" w:rsidRPr="00276377" w:rsidRDefault="00B44FBB" w:rsidP="00B44FBB">
            <w:pPr>
              <w:tabs>
                <w:tab w:val="left" w:pos="5103"/>
              </w:tabs>
              <w:spacing w:after="80" w:line="240" w:lineRule="auto"/>
              <w:rPr>
                <w:rFonts w:ascii="Arial" w:hAnsi="Arial"/>
                <w:i/>
                <w:sz w:val="16"/>
                <w:szCs w:val="16"/>
              </w:rPr>
            </w:pPr>
            <w:r w:rsidRPr="00276377">
              <w:rPr>
                <w:rFonts w:ascii="Arial" w:hAnsi="Arial"/>
                <w:b/>
                <w:sz w:val="16"/>
                <w:szCs w:val="16"/>
              </w:rPr>
              <w:t>Australian National Audit Office</w:t>
            </w:r>
            <w:r w:rsidRPr="00276377">
              <w:rPr>
                <w:rFonts w:ascii="Arial" w:hAnsi="Arial"/>
                <w:b/>
                <w:sz w:val="16"/>
                <w:szCs w:val="16"/>
              </w:rPr>
              <w:tab/>
              <w:t xml:space="preserve"> </w:t>
            </w:r>
            <w:r>
              <w:rPr>
                <w:rFonts w:ascii="Arial" w:hAnsi="Arial"/>
                <w:b/>
                <w:sz w:val="16"/>
                <w:szCs w:val="16"/>
              </w:rPr>
              <w:t xml:space="preserve"> </w:t>
            </w:r>
            <w:r w:rsidRPr="00276377">
              <w:rPr>
                <w:rFonts w:ascii="Arial" w:hAnsi="Arial"/>
                <w:i/>
                <w:sz w:val="16"/>
                <w:szCs w:val="16"/>
              </w:rPr>
              <w:t>Auditor-General: Mr Grant Hehir</w:t>
            </w:r>
          </w:p>
          <w:p w14:paraId="10103CE5" w14:textId="77777777" w:rsidR="00B44FBB" w:rsidRPr="00276377" w:rsidRDefault="00B44FBB" w:rsidP="00B44FBB">
            <w:pPr>
              <w:spacing w:after="80" w:line="240" w:lineRule="auto"/>
              <w:rPr>
                <w:rFonts w:ascii="Arial" w:hAnsi="Arial"/>
                <w:b/>
                <w:sz w:val="16"/>
                <w:szCs w:val="16"/>
                <w:highlight w:val="yellow"/>
              </w:rPr>
            </w:pPr>
            <w:r w:rsidRPr="00276377">
              <w:rPr>
                <w:rFonts w:ascii="Arial" w:hAnsi="Arial"/>
                <w:sz w:val="16"/>
                <w:szCs w:val="16"/>
              </w:rPr>
              <w:t>Outcome: To improve public sector performance and accountability through independent reporting on Australian Government administration to Parliament, the Executive and the public.</w:t>
            </w:r>
          </w:p>
        </w:tc>
      </w:tr>
    </w:tbl>
    <w:p w14:paraId="548D2E65" w14:textId="77777777" w:rsidR="00EA5D42" w:rsidRDefault="00EA5D42" w:rsidP="00EA5D42">
      <w:r>
        <w:br w:type="page"/>
      </w:r>
    </w:p>
    <w:tbl>
      <w:tblPr>
        <w:tblpPr w:leftFromText="180" w:rightFromText="180" w:vertAnchor="text" w:tblpX="137" w:tblpY="1"/>
        <w:tblOverlap w:val="never"/>
        <w:tblW w:w="7650" w:type="dxa"/>
        <w:tblLayout w:type="fixed"/>
        <w:tblCellMar>
          <w:top w:w="113" w:type="dxa"/>
          <w:left w:w="57" w:type="dxa"/>
          <w:bottom w:w="57" w:type="dxa"/>
          <w:right w:w="57" w:type="dxa"/>
        </w:tblCellMar>
        <w:tblLook w:val="01E0" w:firstRow="1" w:lastRow="1" w:firstColumn="1" w:lastColumn="1" w:noHBand="0" w:noVBand="0"/>
      </w:tblPr>
      <w:tblGrid>
        <w:gridCol w:w="7650"/>
      </w:tblGrid>
      <w:tr w:rsidR="00EA5D42" w:rsidRPr="00276377" w14:paraId="24CDA8A8" w14:textId="77777777" w:rsidTr="00C40B6E">
        <w:trPr>
          <w:trHeight w:hRule="exact" w:val="1257"/>
        </w:trPr>
        <w:tc>
          <w:tcPr>
            <w:tcW w:w="765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4739ADBC" w14:textId="77777777" w:rsidR="00EA5D42" w:rsidRPr="00276377" w:rsidRDefault="00EA5D42" w:rsidP="00E81274">
            <w:pPr>
              <w:tabs>
                <w:tab w:val="left" w:pos="4394"/>
              </w:tabs>
              <w:spacing w:after="80" w:line="240" w:lineRule="auto"/>
              <w:rPr>
                <w:rFonts w:ascii="Arial" w:hAnsi="Arial"/>
                <w:i/>
                <w:sz w:val="16"/>
                <w:szCs w:val="16"/>
              </w:rPr>
            </w:pPr>
            <w:r w:rsidRPr="00276377">
              <w:rPr>
                <w:rFonts w:ascii="Arial" w:hAnsi="Arial"/>
                <w:b/>
                <w:sz w:val="16"/>
                <w:szCs w:val="16"/>
              </w:rPr>
              <w:lastRenderedPageBreak/>
              <w:t>Australian Public Service Commission</w:t>
            </w:r>
            <w:r w:rsidRPr="00276377">
              <w:rPr>
                <w:rFonts w:ascii="Arial" w:hAnsi="Arial"/>
                <w:b/>
                <w:sz w:val="16"/>
                <w:szCs w:val="16"/>
              </w:rPr>
              <w:tab/>
              <w:t xml:space="preserve">     </w:t>
            </w:r>
            <w:r>
              <w:rPr>
                <w:rFonts w:ascii="Arial" w:hAnsi="Arial"/>
                <w:b/>
                <w:sz w:val="16"/>
                <w:szCs w:val="16"/>
              </w:rPr>
              <w:t xml:space="preserve"> </w:t>
            </w:r>
            <w:r w:rsidRPr="00276377">
              <w:rPr>
                <w:rFonts w:ascii="Arial" w:hAnsi="Arial"/>
                <w:i/>
                <w:sz w:val="16"/>
                <w:szCs w:val="16"/>
              </w:rPr>
              <w:t>Commissioner: Mr Peter Woolcott, AO</w:t>
            </w:r>
          </w:p>
          <w:p w14:paraId="0ACAE55C" w14:textId="77777777" w:rsidR="00EA5D42" w:rsidRPr="00276377" w:rsidRDefault="00EA5D42" w:rsidP="00E81274">
            <w:pPr>
              <w:spacing w:after="80" w:line="240" w:lineRule="auto"/>
              <w:rPr>
                <w:rFonts w:ascii="Arial" w:hAnsi="Arial"/>
                <w:sz w:val="16"/>
                <w:szCs w:val="16"/>
                <w:highlight w:val="yellow"/>
              </w:rPr>
            </w:pPr>
            <w:r w:rsidRPr="00276377">
              <w:rPr>
                <w:rFonts w:ascii="Arial" w:hAnsi="Arial"/>
                <w:sz w:val="16"/>
                <w:szCs w:val="16"/>
              </w:rPr>
              <w:t>Outcome: Increased awareness and adoption of best practice public administration by the public service through leadership, promotion, advice and professional development, drawing on research and evaluation.</w:t>
            </w:r>
          </w:p>
        </w:tc>
      </w:tr>
    </w:tbl>
    <w:tbl>
      <w:tblPr>
        <w:tblW w:w="7710" w:type="dxa"/>
        <w:tblInd w:w="137" w:type="dxa"/>
        <w:tblCellMar>
          <w:top w:w="113" w:type="dxa"/>
          <w:bottom w:w="57" w:type="dxa"/>
        </w:tblCellMar>
        <w:tblLook w:val="0000" w:firstRow="0" w:lastRow="0" w:firstColumn="0" w:lastColumn="0" w:noHBand="0" w:noVBand="0"/>
      </w:tblPr>
      <w:tblGrid>
        <w:gridCol w:w="7654"/>
        <w:gridCol w:w="56"/>
      </w:tblGrid>
      <w:tr w:rsidR="00EA5D42" w:rsidRPr="00276377" w14:paraId="2A0DF01D" w14:textId="77777777" w:rsidTr="00C40B6E">
        <w:trPr>
          <w:gridAfter w:val="1"/>
          <w:wAfter w:w="56" w:type="dxa"/>
          <w:trHeight w:hRule="exact" w:val="113"/>
        </w:trPr>
        <w:tc>
          <w:tcPr>
            <w:tcW w:w="7654" w:type="dxa"/>
            <w:tcBorders>
              <w:bottom w:val="single" w:sz="4" w:space="0" w:color="auto"/>
            </w:tcBorders>
            <w:shd w:val="clear" w:color="auto" w:fill="auto"/>
            <w:tcMar>
              <w:left w:w="142" w:type="dxa"/>
              <w:right w:w="142" w:type="dxa"/>
            </w:tcMar>
            <w:vAlign w:val="center"/>
          </w:tcPr>
          <w:p w14:paraId="00CBEB49" w14:textId="77777777" w:rsidR="00EA5D42" w:rsidRPr="00276377" w:rsidRDefault="00EA5D42" w:rsidP="00E81274">
            <w:pPr>
              <w:tabs>
                <w:tab w:val="left" w:pos="3431"/>
              </w:tabs>
              <w:spacing w:after="80" w:line="240" w:lineRule="auto"/>
              <w:rPr>
                <w:rFonts w:ascii="Arial" w:hAnsi="Arial"/>
                <w:b/>
                <w:sz w:val="16"/>
                <w:szCs w:val="16"/>
              </w:rPr>
            </w:pPr>
          </w:p>
        </w:tc>
      </w:tr>
      <w:tr w:rsidR="00EA5D42" w:rsidRPr="00276377" w14:paraId="4991CBBE" w14:textId="77777777" w:rsidTr="003C2451">
        <w:trPr>
          <w:trHeight w:hRule="exact" w:val="1156"/>
        </w:trPr>
        <w:tc>
          <w:tcPr>
            <w:tcW w:w="7710" w:type="dxa"/>
            <w:gridSpan w:val="2"/>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73C162E6" w14:textId="77777777" w:rsidR="00EA5D42" w:rsidRPr="00276377" w:rsidRDefault="00EA5D42" w:rsidP="00E81274">
            <w:pPr>
              <w:tabs>
                <w:tab w:val="left" w:pos="3431"/>
              </w:tabs>
              <w:spacing w:after="80" w:line="240" w:lineRule="auto"/>
              <w:rPr>
                <w:rFonts w:ascii="Arial" w:hAnsi="Arial"/>
                <w:sz w:val="16"/>
                <w:szCs w:val="16"/>
              </w:rPr>
            </w:pPr>
            <w:r w:rsidRPr="00276377">
              <w:rPr>
                <w:rFonts w:ascii="Arial" w:hAnsi="Arial"/>
                <w:b/>
                <w:sz w:val="16"/>
                <w:szCs w:val="16"/>
              </w:rPr>
              <w:t xml:space="preserve">Digital Transformation Agency                                                  </w:t>
            </w:r>
            <w:r w:rsidRPr="00B44FBB">
              <w:rPr>
                <w:rFonts w:ascii="Arial" w:hAnsi="Arial"/>
                <w:i/>
                <w:sz w:val="16"/>
                <w:szCs w:val="16"/>
              </w:rPr>
              <w:t>Chief Executive Officer:</w:t>
            </w:r>
            <w:r w:rsidRPr="00276377">
              <w:rPr>
                <w:rFonts w:ascii="Arial" w:hAnsi="Arial"/>
                <w:sz w:val="16"/>
                <w:szCs w:val="16"/>
              </w:rPr>
              <w:t xml:space="preserve"> </w:t>
            </w:r>
            <w:r w:rsidRPr="00276377">
              <w:rPr>
                <w:rFonts w:ascii="Arial" w:hAnsi="Arial"/>
                <w:i/>
                <w:sz w:val="16"/>
                <w:szCs w:val="16"/>
              </w:rPr>
              <w:t>Mr Chris Fechner</w:t>
            </w:r>
          </w:p>
          <w:p w14:paraId="5CFBF924" w14:textId="77777777" w:rsidR="00EA5D42" w:rsidRPr="00276377" w:rsidRDefault="003C2451" w:rsidP="00E81274">
            <w:pPr>
              <w:tabs>
                <w:tab w:val="right" w:pos="7547"/>
              </w:tabs>
              <w:spacing w:after="80" w:line="240" w:lineRule="auto"/>
              <w:rPr>
                <w:rFonts w:ascii="Arial" w:hAnsi="Arial"/>
                <w:b/>
                <w:sz w:val="16"/>
                <w:szCs w:val="16"/>
              </w:rPr>
            </w:pPr>
            <w:r w:rsidRPr="003C2451">
              <w:rPr>
                <w:rFonts w:ascii="Arial" w:hAnsi="Arial"/>
                <w:sz w:val="16"/>
                <w:szCs w:val="16"/>
              </w:rPr>
              <w:t>Outcome: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EA5D42" w:rsidRPr="00276377" w14:paraId="79DBD89D" w14:textId="77777777" w:rsidTr="00E81274">
        <w:trPr>
          <w:trHeight w:hRule="exact" w:val="227"/>
        </w:trPr>
        <w:tc>
          <w:tcPr>
            <w:tcW w:w="7710" w:type="dxa"/>
            <w:gridSpan w:val="2"/>
            <w:tcBorders>
              <w:top w:val="single" w:sz="4" w:space="0" w:color="auto"/>
              <w:bottom w:val="single" w:sz="4" w:space="0" w:color="auto"/>
            </w:tcBorders>
            <w:shd w:val="clear" w:color="auto" w:fill="auto"/>
            <w:tcMar>
              <w:left w:w="142" w:type="dxa"/>
              <w:right w:w="142" w:type="dxa"/>
            </w:tcMar>
            <w:vAlign w:val="center"/>
          </w:tcPr>
          <w:p w14:paraId="794226EA" w14:textId="77777777" w:rsidR="00EA5D42" w:rsidRPr="00276377" w:rsidRDefault="00EA5D42" w:rsidP="00E81274">
            <w:pPr>
              <w:tabs>
                <w:tab w:val="right" w:pos="7229"/>
              </w:tabs>
              <w:spacing w:after="80" w:line="240" w:lineRule="auto"/>
              <w:rPr>
                <w:rFonts w:ascii="Arial" w:hAnsi="Arial"/>
                <w:b/>
                <w:sz w:val="4"/>
                <w:szCs w:val="4"/>
                <w:highlight w:val="yellow"/>
              </w:rPr>
            </w:pPr>
          </w:p>
        </w:tc>
      </w:tr>
      <w:tr w:rsidR="00EA5D42" w:rsidRPr="00276377" w14:paraId="4B6A7F93" w14:textId="77777777" w:rsidTr="00E81274">
        <w:trPr>
          <w:trHeight w:hRule="exact" w:val="1187"/>
        </w:trPr>
        <w:tc>
          <w:tcPr>
            <w:tcW w:w="7710" w:type="dxa"/>
            <w:gridSpan w:val="2"/>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0211F7C0" w14:textId="77777777" w:rsidR="00EA5D42" w:rsidRPr="00276377" w:rsidRDefault="00EA5D42" w:rsidP="00E81274">
            <w:pPr>
              <w:tabs>
                <w:tab w:val="left" w:pos="3431"/>
              </w:tabs>
              <w:spacing w:after="80" w:line="240" w:lineRule="auto"/>
              <w:jc w:val="left"/>
              <w:rPr>
                <w:rFonts w:ascii="Arial" w:hAnsi="Arial"/>
                <w:i/>
                <w:sz w:val="16"/>
                <w:szCs w:val="16"/>
              </w:rPr>
            </w:pPr>
            <w:r w:rsidRPr="00276377">
              <w:rPr>
                <w:rFonts w:ascii="Arial" w:hAnsi="Arial"/>
                <w:b/>
                <w:sz w:val="16"/>
                <w:szCs w:val="16"/>
              </w:rPr>
              <w:t xml:space="preserve">Indigenous Business Australia           </w:t>
            </w:r>
            <w:r w:rsidRPr="00276377">
              <w:rPr>
                <w:rFonts w:ascii="Arial" w:hAnsi="Arial"/>
                <w:i/>
                <w:sz w:val="16"/>
                <w:szCs w:val="16"/>
              </w:rPr>
              <w:t xml:space="preserve">                                      Chief Executive Officer: Ms Kirsty Moore</w:t>
            </w:r>
          </w:p>
          <w:p w14:paraId="065A25D8" w14:textId="77777777" w:rsidR="00EA5D42" w:rsidRPr="00276377" w:rsidRDefault="00EA5D42" w:rsidP="00E81274">
            <w:pPr>
              <w:tabs>
                <w:tab w:val="right" w:pos="7547"/>
              </w:tabs>
              <w:spacing w:after="80" w:line="240" w:lineRule="auto"/>
              <w:rPr>
                <w:rFonts w:ascii="Arial" w:hAnsi="Arial"/>
                <w:b/>
                <w:sz w:val="16"/>
                <w:szCs w:val="16"/>
              </w:rPr>
            </w:pPr>
            <w:r w:rsidRPr="00276377">
              <w:rPr>
                <w:rFonts w:ascii="Arial" w:hAnsi="Arial"/>
                <w:sz w:val="16"/>
                <w:szCs w:val="16"/>
              </w:rPr>
              <w:t>Outcome: Improved wealth acquisition to support the economic independence of Aboriginal and Torres Strait Islander peoples through commercial enterprise, asset acquisition and access to concessional home and business loans.</w:t>
            </w:r>
          </w:p>
        </w:tc>
      </w:tr>
      <w:tr w:rsidR="00EA5D42" w:rsidRPr="00276377" w14:paraId="64B2F52D" w14:textId="77777777" w:rsidTr="00E81274">
        <w:trPr>
          <w:cantSplit/>
          <w:trHeight w:hRule="exact" w:val="227"/>
        </w:trPr>
        <w:tc>
          <w:tcPr>
            <w:tcW w:w="7710" w:type="dxa"/>
            <w:gridSpan w:val="2"/>
            <w:tcBorders>
              <w:top w:val="single" w:sz="4" w:space="0" w:color="auto"/>
              <w:bottom w:val="single" w:sz="4" w:space="0" w:color="auto"/>
            </w:tcBorders>
            <w:shd w:val="clear" w:color="auto" w:fill="auto"/>
            <w:tcMar>
              <w:left w:w="142" w:type="dxa"/>
              <w:right w:w="142" w:type="dxa"/>
            </w:tcMar>
            <w:vAlign w:val="center"/>
          </w:tcPr>
          <w:p w14:paraId="4FAD0C66" w14:textId="77777777" w:rsidR="00EA5D42" w:rsidRPr="00276377" w:rsidRDefault="00EA5D42" w:rsidP="00E81274">
            <w:pPr>
              <w:tabs>
                <w:tab w:val="left" w:pos="4394"/>
              </w:tabs>
              <w:spacing w:after="80" w:line="240" w:lineRule="auto"/>
              <w:rPr>
                <w:rFonts w:ascii="Arial" w:hAnsi="Arial"/>
                <w:sz w:val="13"/>
                <w:szCs w:val="12"/>
              </w:rPr>
            </w:pPr>
          </w:p>
          <w:p w14:paraId="3CC18616" w14:textId="77777777" w:rsidR="00EA5D42" w:rsidRPr="00276377" w:rsidRDefault="00EA5D42" w:rsidP="00E81274">
            <w:pPr>
              <w:tabs>
                <w:tab w:val="left" w:pos="4394"/>
              </w:tabs>
              <w:spacing w:after="80" w:line="240" w:lineRule="auto"/>
              <w:rPr>
                <w:rFonts w:ascii="Arial" w:hAnsi="Arial"/>
                <w:sz w:val="13"/>
                <w:szCs w:val="12"/>
              </w:rPr>
            </w:pPr>
          </w:p>
          <w:p w14:paraId="6741DC72" w14:textId="77777777" w:rsidR="00EA5D42" w:rsidRPr="00276377" w:rsidRDefault="00EA5D42" w:rsidP="00E81274">
            <w:pPr>
              <w:tabs>
                <w:tab w:val="left" w:pos="4394"/>
              </w:tabs>
              <w:spacing w:after="80" w:line="240" w:lineRule="auto"/>
              <w:rPr>
                <w:rFonts w:ascii="Arial" w:hAnsi="Arial"/>
                <w:sz w:val="13"/>
                <w:szCs w:val="12"/>
              </w:rPr>
            </w:pPr>
          </w:p>
        </w:tc>
      </w:tr>
      <w:tr w:rsidR="00EA5D42" w:rsidRPr="00276377" w14:paraId="40ADB207" w14:textId="77777777" w:rsidTr="00E81274">
        <w:trPr>
          <w:cantSplit/>
          <w:trHeight w:hRule="exact" w:val="1081"/>
        </w:trPr>
        <w:tc>
          <w:tcPr>
            <w:tcW w:w="7710" w:type="dxa"/>
            <w:gridSpan w:val="2"/>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4074B18A" w14:textId="77777777" w:rsidR="00EA5D42" w:rsidRPr="00276377" w:rsidRDefault="00EA5D42" w:rsidP="00E81274">
            <w:pPr>
              <w:tabs>
                <w:tab w:val="left" w:pos="4051"/>
              </w:tabs>
              <w:spacing w:after="80" w:line="240" w:lineRule="auto"/>
              <w:rPr>
                <w:rFonts w:ascii="Arial" w:hAnsi="Arial"/>
                <w:i/>
                <w:sz w:val="16"/>
                <w:szCs w:val="16"/>
              </w:rPr>
            </w:pPr>
            <w:r w:rsidRPr="00276377">
              <w:rPr>
                <w:rFonts w:ascii="Arial" w:hAnsi="Arial"/>
                <w:b/>
                <w:sz w:val="16"/>
                <w:szCs w:val="16"/>
              </w:rPr>
              <w:t>Indigenous Land and Sea Corporation</w:t>
            </w:r>
            <w:r w:rsidRPr="00276377">
              <w:rPr>
                <w:rFonts w:ascii="Arial" w:hAnsi="Arial"/>
                <w:b/>
                <w:sz w:val="16"/>
                <w:szCs w:val="16"/>
              </w:rPr>
              <w:tab/>
              <w:t xml:space="preserve">            </w:t>
            </w:r>
            <w:r w:rsidRPr="00276377">
              <w:rPr>
                <w:rFonts w:ascii="Arial" w:hAnsi="Arial"/>
                <w:i/>
                <w:sz w:val="16"/>
                <w:szCs w:val="16"/>
              </w:rPr>
              <w:t>Chief Executive Officer: Mr Joe Morrison</w:t>
            </w:r>
          </w:p>
          <w:p w14:paraId="57CBCE14" w14:textId="77777777" w:rsidR="00EA5D42" w:rsidRPr="00276377" w:rsidRDefault="00EA5D42" w:rsidP="00E81274">
            <w:pPr>
              <w:tabs>
                <w:tab w:val="left" w:pos="4394"/>
              </w:tabs>
              <w:spacing w:after="80" w:line="240" w:lineRule="auto"/>
              <w:rPr>
                <w:rFonts w:ascii="Arial" w:hAnsi="Arial"/>
                <w:sz w:val="13"/>
                <w:szCs w:val="12"/>
              </w:rPr>
            </w:pPr>
            <w:r w:rsidRPr="00276377">
              <w:rPr>
                <w:rFonts w:ascii="Arial" w:hAnsi="Arial"/>
                <w:sz w:val="16"/>
                <w:szCs w:val="16"/>
              </w:rPr>
              <w:t>Outcome: Enhanced socio-economic development, maintenance of cultural identity and protection of the environment by Indigenous Australians through the acquisition and management of land, water and water</w:t>
            </w:r>
            <w:r w:rsidRPr="00276377">
              <w:rPr>
                <w:rFonts w:ascii="Arial" w:hAnsi="Arial"/>
                <w:sz w:val="16"/>
                <w:szCs w:val="16"/>
              </w:rPr>
              <w:noBreakHyphen/>
              <w:t>related rights.</w:t>
            </w:r>
          </w:p>
        </w:tc>
      </w:tr>
      <w:tr w:rsidR="00EA5D42" w:rsidRPr="00276377" w14:paraId="515919CF" w14:textId="77777777" w:rsidTr="00E81274">
        <w:trPr>
          <w:cantSplit/>
          <w:trHeight w:hRule="exact" w:val="227"/>
        </w:trPr>
        <w:tc>
          <w:tcPr>
            <w:tcW w:w="7710" w:type="dxa"/>
            <w:gridSpan w:val="2"/>
            <w:tcBorders>
              <w:top w:val="single" w:sz="4" w:space="0" w:color="auto"/>
              <w:bottom w:val="single" w:sz="4" w:space="0" w:color="auto"/>
            </w:tcBorders>
            <w:tcMar>
              <w:left w:w="142" w:type="dxa"/>
              <w:right w:w="142" w:type="dxa"/>
            </w:tcMar>
            <w:vAlign w:val="center"/>
          </w:tcPr>
          <w:p w14:paraId="62938B6F" w14:textId="77777777" w:rsidR="00EA5D42" w:rsidRPr="00276377" w:rsidRDefault="00EA5D42" w:rsidP="00E81274">
            <w:pPr>
              <w:tabs>
                <w:tab w:val="left" w:pos="4394"/>
              </w:tabs>
              <w:spacing w:after="80" w:line="240" w:lineRule="auto"/>
              <w:rPr>
                <w:rFonts w:ascii="Arial" w:hAnsi="Arial"/>
                <w:sz w:val="13"/>
                <w:szCs w:val="12"/>
                <w:highlight w:val="yellow"/>
              </w:rPr>
            </w:pPr>
          </w:p>
        </w:tc>
      </w:tr>
      <w:tr w:rsidR="00EA5D42" w:rsidRPr="00276377" w14:paraId="31AD165A" w14:textId="77777777" w:rsidTr="00E81274">
        <w:trPr>
          <w:cantSplit/>
          <w:trHeight w:hRule="exact" w:val="964"/>
        </w:trPr>
        <w:tc>
          <w:tcPr>
            <w:tcW w:w="7710" w:type="dxa"/>
            <w:gridSpan w:val="2"/>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23FF709" w14:textId="77777777" w:rsidR="00EA5D42" w:rsidRPr="00276377" w:rsidRDefault="00EA5D42" w:rsidP="00E81274">
            <w:pPr>
              <w:tabs>
                <w:tab w:val="left" w:pos="4118"/>
              </w:tabs>
              <w:spacing w:after="80" w:line="240" w:lineRule="auto"/>
              <w:rPr>
                <w:rFonts w:ascii="Arial" w:hAnsi="Arial"/>
                <w:i/>
                <w:sz w:val="16"/>
                <w:szCs w:val="16"/>
              </w:rPr>
            </w:pPr>
            <w:r w:rsidRPr="00276377">
              <w:rPr>
                <w:rFonts w:ascii="Arial" w:hAnsi="Arial"/>
                <w:sz w:val="13"/>
                <w:szCs w:val="12"/>
              </w:rPr>
              <w:br w:type="page"/>
            </w:r>
            <w:r w:rsidRPr="00276377">
              <w:rPr>
                <w:rFonts w:ascii="Arial" w:hAnsi="Arial"/>
                <w:b/>
                <w:sz w:val="16"/>
                <w:szCs w:val="16"/>
              </w:rPr>
              <w:t>National Australia Day Council Limited</w:t>
            </w:r>
            <w:r w:rsidRPr="00276377">
              <w:rPr>
                <w:rFonts w:ascii="Arial" w:hAnsi="Arial"/>
                <w:b/>
                <w:sz w:val="16"/>
                <w:szCs w:val="16"/>
              </w:rPr>
              <w:tab/>
              <w:t xml:space="preserve">          </w:t>
            </w:r>
            <w:r w:rsidRPr="00276377">
              <w:rPr>
                <w:rFonts w:ascii="Arial" w:hAnsi="Arial"/>
                <w:i/>
                <w:sz w:val="16"/>
                <w:szCs w:val="16"/>
              </w:rPr>
              <w:t>Chief Executive Officer: Ms Karlie Brand</w:t>
            </w:r>
          </w:p>
          <w:p w14:paraId="4AF4F022" w14:textId="77777777" w:rsidR="00EA5D42" w:rsidRPr="00276377" w:rsidRDefault="00EA5D42" w:rsidP="00E81274">
            <w:pPr>
              <w:tabs>
                <w:tab w:val="right" w:pos="7547"/>
              </w:tabs>
              <w:spacing w:after="80" w:line="240" w:lineRule="auto"/>
              <w:rPr>
                <w:rFonts w:ascii="Arial" w:hAnsi="Arial"/>
                <w:b/>
                <w:sz w:val="16"/>
                <w:szCs w:val="16"/>
              </w:rPr>
            </w:pPr>
            <w:r w:rsidRPr="00276377">
              <w:rPr>
                <w:rFonts w:ascii="Arial" w:hAnsi="Arial"/>
                <w:sz w:val="16"/>
                <w:szCs w:val="16"/>
              </w:rPr>
              <w:t>Outcome: A shared celebration of Australia and Australians through promoting the meaning of and participation in Australia Day and the Australian of the Year Awards.</w:t>
            </w:r>
          </w:p>
        </w:tc>
      </w:tr>
      <w:tr w:rsidR="00EA5D42" w:rsidRPr="00276377" w14:paraId="111C37A0" w14:textId="77777777" w:rsidTr="00E81274">
        <w:trPr>
          <w:cantSplit/>
          <w:trHeight w:hRule="exact" w:val="265"/>
        </w:trPr>
        <w:tc>
          <w:tcPr>
            <w:tcW w:w="7710" w:type="dxa"/>
            <w:gridSpan w:val="2"/>
            <w:tcBorders>
              <w:top w:val="single" w:sz="4" w:space="0" w:color="auto"/>
              <w:bottom w:val="single" w:sz="4" w:space="0" w:color="auto"/>
            </w:tcBorders>
            <w:tcMar>
              <w:left w:w="142" w:type="dxa"/>
              <w:right w:w="142" w:type="dxa"/>
            </w:tcMar>
            <w:vAlign w:val="center"/>
          </w:tcPr>
          <w:p w14:paraId="583F57E8" w14:textId="77777777" w:rsidR="00EA5D42" w:rsidRPr="00276377" w:rsidRDefault="00EA5D42" w:rsidP="00E81274">
            <w:pPr>
              <w:tabs>
                <w:tab w:val="right" w:pos="7547"/>
              </w:tabs>
              <w:spacing w:after="80" w:line="240" w:lineRule="auto"/>
              <w:rPr>
                <w:rFonts w:ascii="Arial" w:hAnsi="Arial"/>
                <w:b/>
                <w:sz w:val="4"/>
                <w:szCs w:val="4"/>
                <w:highlight w:val="yellow"/>
              </w:rPr>
            </w:pPr>
          </w:p>
        </w:tc>
      </w:tr>
      <w:tr w:rsidR="00EA5D42" w:rsidRPr="00276377" w14:paraId="7EF14D26" w14:textId="77777777" w:rsidTr="00E81274">
        <w:trPr>
          <w:cantSplit/>
          <w:trHeight w:hRule="exact" w:val="1249"/>
        </w:trPr>
        <w:tc>
          <w:tcPr>
            <w:tcW w:w="7710" w:type="dxa"/>
            <w:gridSpan w:val="2"/>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028EAE86" w14:textId="77777777" w:rsidR="00EA5D42" w:rsidRPr="00276377" w:rsidRDefault="00EA5D42" w:rsidP="00E81274">
            <w:pPr>
              <w:tabs>
                <w:tab w:val="right" w:pos="7229"/>
              </w:tabs>
              <w:spacing w:after="80" w:line="240" w:lineRule="auto"/>
              <w:rPr>
                <w:rFonts w:ascii="Arial" w:hAnsi="Arial"/>
                <w:i/>
                <w:sz w:val="16"/>
                <w:szCs w:val="16"/>
              </w:rPr>
            </w:pPr>
            <w:r w:rsidRPr="00276377">
              <w:rPr>
                <w:rFonts w:ascii="Arial" w:hAnsi="Arial"/>
                <w:b/>
                <w:sz w:val="16"/>
                <w:szCs w:val="16"/>
              </w:rPr>
              <w:t>National Recovery and Resilience Agency</w:t>
            </w:r>
            <w:r w:rsidRPr="00276377">
              <w:rPr>
                <w:rFonts w:ascii="Arial" w:hAnsi="Arial"/>
                <w:i/>
                <w:sz w:val="16"/>
                <w:szCs w:val="16"/>
              </w:rPr>
              <w:t xml:space="preserve">     Coordinator-General: The Hon Mr Shane L Stone, AC QC</w:t>
            </w:r>
          </w:p>
          <w:p w14:paraId="36CA0367" w14:textId="77777777" w:rsidR="00EA5D42" w:rsidRPr="00276377" w:rsidRDefault="00EA5D42" w:rsidP="00E81274">
            <w:pPr>
              <w:tabs>
                <w:tab w:val="right" w:pos="7547"/>
              </w:tabs>
              <w:spacing w:after="80" w:line="240" w:lineRule="auto"/>
              <w:rPr>
                <w:rFonts w:ascii="Arial" w:hAnsi="Arial"/>
                <w:b/>
                <w:sz w:val="4"/>
                <w:szCs w:val="4"/>
                <w:highlight w:val="green"/>
              </w:rPr>
            </w:pPr>
            <w:r w:rsidRPr="00276377">
              <w:rPr>
                <w:rFonts w:ascii="Arial" w:hAnsi="Arial"/>
                <w:sz w:val="16"/>
                <w:szCs w:val="16"/>
              </w:rPr>
              <w:t>Outcome: 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r w:rsidR="00EA5D42" w:rsidRPr="00276377" w14:paraId="7BF6D905" w14:textId="77777777" w:rsidTr="00C40B6E">
        <w:trPr>
          <w:cantSplit/>
          <w:trHeight w:hRule="exact" w:val="300"/>
        </w:trPr>
        <w:tc>
          <w:tcPr>
            <w:tcW w:w="7710" w:type="dxa"/>
            <w:gridSpan w:val="2"/>
            <w:tcBorders>
              <w:top w:val="single" w:sz="4" w:space="0" w:color="auto"/>
              <w:bottom w:val="single" w:sz="4" w:space="0" w:color="auto"/>
            </w:tcBorders>
            <w:tcMar>
              <w:left w:w="142" w:type="dxa"/>
              <w:right w:w="142" w:type="dxa"/>
            </w:tcMar>
            <w:vAlign w:val="center"/>
          </w:tcPr>
          <w:p w14:paraId="0A29ADA2" w14:textId="77777777" w:rsidR="00EA5D42" w:rsidRPr="00276377" w:rsidRDefault="00EA5D42" w:rsidP="00E81274">
            <w:pPr>
              <w:tabs>
                <w:tab w:val="right" w:pos="7229"/>
              </w:tabs>
              <w:spacing w:after="80" w:line="240" w:lineRule="auto"/>
              <w:rPr>
                <w:rFonts w:ascii="Arial" w:hAnsi="Arial"/>
                <w:b/>
                <w:sz w:val="16"/>
                <w:szCs w:val="16"/>
                <w:highlight w:val="yellow"/>
              </w:rPr>
            </w:pPr>
          </w:p>
        </w:tc>
      </w:tr>
      <w:tr w:rsidR="00EA5D42" w:rsidRPr="00276377" w14:paraId="30028B65" w14:textId="77777777" w:rsidTr="00E81274">
        <w:trPr>
          <w:cantSplit/>
          <w:trHeight w:hRule="exact" w:val="1368"/>
        </w:trPr>
        <w:tc>
          <w:tcPr>
            <w:tcW w:w="7710" w:type="dxa"/>
            <w:gridSpan w:val="2"/>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47F0855C" w14:textId="77777777" w:rsidR="00EA5D42" w:rsidRPr="00276377" w:rsidRDefault="00EA5D42" w:rsidP="00E81274">
            <w:pPr>
              <w:tabs>
                <w:tab w:val="right" w:pos="7229"/>
              </w:tabs>
              <w:spacing w:after="80" w:line="240" w:lineRule="auto"/>
              <w:jc w:val="left"/>
              <w:rPr>
                <w:rFonts w:ascii="Arial" w:hAnsi="Arial"/>
                <w:i/>
                <w:sz w:val="16"/>
                <w:szCs w:val="16"/>
              </w:rPr>
            </w:pPr>
            <w:r w:rsidRPr="00276377">
              <w:rPr>
                <w:rFonts w:ascii="Arial" w:hAnsi="Arial"/>
                <w:b/>
                <w:sz w:val="16"/>
                <w:szCs w:val="16"/>
              </w:rPr>
              <w:t xml:space="preserve">National Indigenous Australians Agency </w:t>
            </w:r>
            <w:r w:rsidRPr="00276377">
              <w:rPr>
                <w:rFonts w:ascii="Arial" w:hAnsi="Arial"/>
                <w:i/>
                <w:sz w:val="16"/>
                <w:szCs w:val="16"/>
              </w:rPr>
              <w:t xml:space="preserve">                          Chief Executive Officer: </w:t>
            </w:r>
            <w:r w:rsidRPr="009E58E8">
              <w:rPr>
                <w:rFonts w:ascii="Arial" w:hAnsi="Arial"/>
                <w:i/>
                <w:sz w:val="16"/>
                <w:szCs w:val="16"/>
              </w:rPr>
              <w:t>M</w:t>
            </w:r>
            <w:r w:rsidR="00B44FBB">
              <w:rPr>
                <w:rFonts w:ascii="Arial" w:hAnsi="Arial"/>
                <w:i/>
                <w:sz w:val="16"/>
                <w:szCs w:val="16"/>
              </w:rPr>
              <w:t>s Jody Broun</w:t>
            </w:r>
          </w:p>
          <w:p w14:paraId="7138EDAA" w14:textId="77777777" w:rsidR="00EA5D42" w:rsidRPr="00276377" w:rsidRDefault="00EA5D42" w:rsidP="00E81274">
            <w:pPr>
              <w:tabs>
                <w:tab w:val="right" w:pos="7547"/>
              </w:tabs>
              <w:spacing w:after="80" w:line="240" w:lineRule="auto"/>
              <w:rPr>
                <w:rFonts w:ascii="Arial" w:hAnsi="Arial"/>
                <w:b/>
                <w:sz w:val="4"/>
                <w:szCs w:val="4"/>
                <w:highlight w:val="yellow"/>
              </w:rPr>
            </w:pPr>
            <w:r w:rsidRPr="00276377">
              <w:rPr>
                <w:rFonts w:ascii="Arial" w:hAnsi="Arial"/>
                <w:sz w:val="16"/>
                <w:szCs w:val="16"/>
              </w:rPr>
              <w:t>Outcome: Improve results for Indigenous Australians including in relation to school attendance, employment and community safety, through delivering services and programmes, and through measures that recognise the special place that Indigenous people hold in this Nation.</w:t>
            </w:r>
          </w:p>
        </w:tc>
      </w:tr>
      <w:tr w:rsidR="00EA5D42" w:rsidRPr="00276377" w14:paraId="5E755782" w14:textId="77777777" w:rsidTr="00EA5D42">
        <w:trPr>
          <w:cantSplit/>
          <w:trHeight w:hRule="exact" w:val="2958"/>
        </w:trPr>
        <w:tc>
          <w:tcPr>
            <w:tcW w:w="7710" w:type="dxa"/>
            <w:gridSpan w:val="2"/>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CAA6640" w14:textId="77777777" w:rsidR="00EA5D42" w:rsidRPr="00276377" w:rsidRDefault="00EA5D42" w:rsidP="00E81274">
            <w:pPr>
              <w:tabs>
                <w:tab w:val="right" w:pos="7229"/>
              </w:tabs>
              <w:spacing w:after="80" w:line="240" w:lineRule="auto"/>
              <w:rPr>
                <w:rFonts w:ascii="Arial" w:hAnsi="Arial"/>
                <w:i/>
                <w:sz w:val="16"/>
                <w:szCs w:val="16"/>
              </w:rPr>
            </w:pPr>
            <w:r w:rsidRPr="00276377">
              <w:rPr>
                <w:rFonts w:ascii="Arial" w:hAnsi="Arial"/>
                <w:b/>
                <w:sz w:val="16"/>
                <w:szCs w:val="16"/>
              </w:rPr>
              <w:t>Northern Territory Land Councils</w:t>
            </w:r>
          </w:p>
          <w:p w14:paraId="602186CE" w14:textId="77777777" w:rsidR="00EA5D42" w:rsidRPr="00276377" w:rsidRDefault="00EA5D42" w:rsidP="00E81274">
            <w:pPr>
              <w:tabs>
                <w:tab w:val="right" w:pos="7547"/>
              </w:tabs>
              <w:spacing w:after="80" w:line="240" w:lineRule="auto"/>
              <w:rPr>
                <w:rFonts w:ascii="Arial" w:hAnsi="Arial"/>
                <w:sz w:val="16"/>
                <w:szCs w:val="16"/>
              </w:rPr>
            </w:pPr>
            <w:r w:rsidRPr="00276377">
              <w:rPr>
                <w:rFonts w:ascii="Arial" w:hAnsi="Arial"/>
                <w:sz w:val="16"/>
                <w:szCs w:val="16"/>
              </w:rPr>
              <w:t xml:space="preserve">Anindilyakwa Land Council – </w:t>
            </w:r>
            <w:r w:rsidRPr="00276377">
              <w:rPr>
                <w:rFonts w:ascii="Arial" w:hAnsi="Arial"/>
                <w:i/>
                <w:sz w:val="16"/>
                <w:szCs w:val="16"/>
              </w:rPr>
              <w:t>Accountable Authority: Mr Tony Wurramarrba (Chair) and Mr Mark Hewitt (Chief Executive Officer)</w:t>
            </w:r>
          </w:p>
          <w:p w14:paraId="013D79DC" w14:textId="77777777" w:rsidR="00EA5D42" w:rsidRPr="00276377" w:rsidRDefault="00EA5D42" w:rsidP="00E81274">
            <w:pPr>
              <w:tabs>
                <w:tab w:val="right" w:pos="7547"/>
              </w:tabs>
              <w:spacing w:after="80" w:line="240" w:lineRule="auto"/>
              <w:rPr>
                <w:rFonts w:ascii="Arial" w:hAnsi="Arial"/>
                <w:i/>
                <w:sz w:val="16"/>
                <w:szCs w:val="16"/>
              </w:rPr>
            </w:pPr>
            <w:r w:rsidRPr="00276377">
              <w:rPr>
                <w:rFonts w:ascii="Arial" w:hAnsi="Arial"/>
                <w:sz w:val="16"/>
                <w:szCs w:val="16"/>
              </w:rPr>
              <w:t xml:space="preserve">Central Land Council – </w:t>
            </w:r>
            <w:r w:rsidRPr="00276377">
              <w:rPr>
                <w:rFonts w:ascii="Arial" w:hAnsi="Arial"/>
                <w:i/>
                <w:sz w:val="16"/>
                <w:szCs w:val="16"/>
              </w:rPr>
              <w:t>Accountable Authority: Mr Sammy Wilson (Chair) and Mr Lesley Turner (Chief Executive Officer)</w:t>
            </w:r>
          </w:p>
          <w:p w14:paraId="2E78AB6A" w14:textId="77777777" w:rsidR="00EA5D42" w:rsidRPr="00276377" w:rsidRDefault="00EA5D42" w:rsidP="00E81274">
            <w:pPr>
              <w:tabs>
                <w:tab w:val="right" w:pos="7547"/>
              </w:tabs>
              <w:spacing w:after="80" w:line="240" w:lineRule="auto"/>
              <w:rPr>
                <w:rFonts w:ascii="Arial" w:hAnsi="Arial"/>
                <w:sz w:val="16"/>
                <w:szCs w:val="16"/>
              </w:rPr>
            </w:pPr>
            <w:r w:rsidRPr="00276377">
              <w:rPr>
                <w:rFonts w:ascii="Arial" w:hAnsi="Arial"/>
                <w:sz w:val="16"/>
                <w:szCs w:val="16"/>
              </w:rPr>
              <w:t xml:space="preserve">Northern Land Council – </w:t>
            </w:r>
            <w:r w:rsidRPr="00276377">
              <w:rPr>
                <w:rFonts w:ascii="Arial" w:hAnsi="Arial"/>
                <w:i/>
                <w:sz w:val="16"/>
                <w:szCs w:val="16"/>
              </w:rPr>
              <w:t>Accountable Authority: Mr Samuel Bush-Blanasi (Chair) and Mr Joe Martin-Jard  (Chief Executive Officer)</w:t>
            </w:r>
          </w:p>
          <w:p w14:paraId="6654C7B7" w14:textId="77777777" w:rsidR="00EA5D42" w:rsidRPr="00276377" w:rsidRDefault="00EA5D42" w:rsidP="00E81274">
            <w:pPr>
              <w:tabs>
                <w:tab w:val="right" w:pos="7547"/>
              </w:tabs>
              <w:spacing w:after="80" w:line="240" w:lineRule="auto"/>
              <w:rPr>
                <w:rFonts w:ascii="Arial" w:hAnsi="Arial"/>
                <w:sz w:val="16"/>
                <w:szCs w:val="16"/>
              </w:rPr>
            </w:pPr>
            <w:r w:rsidRPr="00276377">
              <w:rPr>
                <w:rFonts w:ascii="Arial" w:hAnsi="Arial"/>
                <w:sz w:val="16"/>
                <w:szCs w:val="16"/>
              </w:rPr>
              <w:t>Tiwi Land Council –</w:t>
            </w:r>
            <w:r w:rsidRPr="00276377">
              <w:rPr>
                <w:rFonts w:ascii="Arial" w:hAnsi="Arial"/>
                <w:i/>
                <w:sz w:val="16"/>
                <w:szCs w:val="16"/>
              </w:rPr>
              <w:t xml:space="preserve"> Accountable Authority: Mr Gibson Farmer Illortaminni (Chair) and Mr Andrew Tjpungwuti (Chief Executive Officer)</w:t>
            </w:r>
          </w:p>
          <w:p w14:paraId="5D7EA463" w14:textId="77777777" w:rsidR="00EA5D42" w:rsidRPr="00276377" w:rsidRDefault="00EA5D42" w:rsidP="00E81274">
            <w:pPr>
              <w:tabs>
                <w:tab w:val="right" w:pos="7547"/>
              </w:tabs>
              <w:spacing w:after="80" w:line="240" w:lineRule="auto"/>
              <w:rPr>
                <w:rFonts w:ascii="Arial" w:hAnsi="Arial"/>
                <w:b/>
                <w:sz w:val="16"/>
                <w:szCs w:val="16"/>
              </w:rPr>
            </w:pPr>
            <w:r w:rsidRPr="00276377">
              <w:rPr>
                <w:rFonts w:ascii="Arial" w:hAnsi="Arial"/>
                <w:sz w:val="16"/>
                <w:szCs w:val="16"/>
              </w:rPr>
              <w:t xml:space="preserve">Objective: Represent Aboriginal interests in various processes under the </w:t>
            </w:r>
            <w:r w:rsidRPr="00276377">
              <w:rPr>
                <w:rFonts w:ascii="Arial" w:hAnsi="Arial"/>
                <w:i/>
                <w:sz w:val="16"/>
                <w:szCs w:val="16"/>
              </w:rPr>
              <w:t>Aboriginal Land Rights (Northern Territory) Act 1976</w:t>
            </w:r>
            <w:r w:rsidRPr="00276377">
              <w:rPr>
                <w:rFonts w:ascii="Arial" w:hAnsi="Arial"/>
                <w:sz w:val="16"/>
                <w:szCs w:val="16"/>
              </w:rPr>
              <w:t xml:space="preserve">. The Central Land Council and Northern Land Council are Native Title Representative Bodies under the </w:t>
            </w:r>
            <w:r w:rsidRPr="00276377">
              <w:rPr>
                <w:rFonts w:ascii="Arial" w:hAnsi="Arial"/>
                <w:i/>
                <w:sz w:val="16"/>
                <w:szCs w:val="16"/>
              </w:rPr>
              <w:t>Native Title Act 1993</w:t>
            </w:r>
            <w:r w:rsidRPr="00276377">
              <w:rPr>
                <w:rFonts w:ascii="Arial" w:hAnsi="Arial"/>
                <w:sz w:val="16"/>
                <w:szCs w:val="16"/>
              </w:rPr>
              <w:t>.</w:t>
            </w:r>
          </w:p>
        </w:tc>
      </w:tr>
    </w:tbl>
    <w:p w14:paraId="56AB057E" w14:textId="77777777" w:rsidR="00EA5D42" w:rsidRDefault="00EA5D42" w:rsidP="00EA5D42">
      <w:pPr>
        <w:tabs>
          <w:tab w:val="right" w:pos="7547"/>
        </w:tabs>
        <w:spacing w:after="80" w:line="240" w:lineRule="auto"/>
        <w:rPr>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EA5D42" w:rsidRPr="00276377" w14:paraId="6C55CDFF" w14:textId="77777777" w:rsidTr="00E81274">
        <w:trPr>
          <w:cantSplit/>
          <w:trHeight w:hRule="exact" w:val="119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9FEA8DB" w14:textId="77777777" w:rsidR="00EA5D42" w:rsidRPr="00276377" w:rsidRDefault="00EA5D42" w:rsidP="00EA5D42">
            <w:pPr>
              <w:tabs>
                <w:tab w:val="left" w:pos="4827"/>
              </w:tabs>
              <w:spacing w:after="80" w:line="240" w:lineRule="auto"/>
              <w:jc w:val="left"/>
              <w:rPr>
                <w:rFonts w:ascii="Arial" w:hAnsi="Arial"/>
                <w:i/>
                <w:sz w:val="16"/>
                <w:szCs w:val="16"/>
              </w:rPr>
            </w:pPr>
            <w:r w:rsidRPr="00276377">
              <w:rPr>
                <w:rFonts w:ascii="Arial" w:hAnsi="Arial"/>
                <w:b/>
                <w:sz w:val="16"/>
                <w:szCs w:val="16"/>
              </w:rPr>
              <w:t xml:space="preserve">Office of National Intelligence                                                      </w:t>
            </w:r>
            <w:r>
              <w:rPr>
                <w:rFonts w:ascii="Arial" w:hAnsi="Arial"/>
                <w:b/>
                <w:sz w:val="16"/>
                <w:szCs w:val="16"/>
              </w:rPr>
              <w:t xml:space="preserve">  </w:t>
            </w:r>
            <w:r w:rsidRPr="00276377">
              <w:rPr>
                <w:rFonts w:ascii="Arial" w:hAnsi="Arial"/>
                <w:i/>
                <w:sz w:val="16"/>
                <w:szCs w:val="16"/>
              </w:rPr>
              <w:t>Director-General: Mr Andrew Shearer</w:t>
            </w:r>
          </w:p>
          <w:p w14:paraId="39A0E3F4" w14:textId="77777777" w:rsidR="00EA5D42" w:rsidRPr="00276377" w:rsidRDefault="00EA5D42" w:rsidP="00EA5D42">
            <w:pPr>
              <w:tabs>
                <w:tab w:val="left" w:pos="5103"/>
              </w:tabs>
              <w:spacing w:after="80" w:line="240" w:lineRule="auto"/>
              <w:rPr>
                <w:rFonts w:ascii="Arial" w:hAnsi="Arial"/>
                <w:b/>
                <w:sz w:val="16"/>
                <w:szCs w:val="16"/>
                <w:highlight w:val="yellow"/>
              </w:rPr>
            </w:pPr>
            <w:r w:rsidRPr="00276377">
              <w:rPr>
                <w:rFonts w:ascii="Arial" w:hAnsi="Arial"/>
                <w:sz w:val="16"/>
                <w:szCs w:val="16"/>
              </w:rPr>
              <w:t>Outcome: Advancement of Australia's national interests through increased government awareness of international developments affecting Australia, and integration, coordination and evaluation of Australia’s national intelligence capabilities.</w:t>
            </w:r>
          </w:p>
        </w:tc>
      </w:tr>
    </w:tbl>
    <w:p w14:paraId="32CC9EFB" w14:textId="77777777" w:rsidR="00EA5D42" w:rsidRPr="00276377" w:rsidRDefault="00EA5D42" w:rsidP="00EA5D42">
      <w:pPr>
        <w:tabs>
          <w:tab w:val="right" w:pos="7547"/>
        </w:tabs>
        <w:spacing w:after="80" w:line="240" w:lineRule="auto"/>
        <w:rPr>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EA5D42" w:rsidRPr="00276377" w14:paraId="363BF91C" w14:textId="77777777" w:rsidTr="00E81274">
        <w:trPr>
          <w:cantSplit/>
          <w:trHeight w:hRule="exact" w:val="119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EFBDA06" w14:textId="77777777" w:rsidR="00EA5D42" w:rsidRPr="00276377" w:rsidRDefault="00EA5D42" w:rsidP="00E81274">
            <w:pPr>
              <w:tabs>
                <w:tab w:val="left" w:pos="4961"/>
                <w:tab w:val="right" w:pos="7655"/>
              </w:tabs>
              <w:spacing w:after="80" w:line="240" w:lineRule="auto"/>
              <w:rPr>
                <w:rFonts w:ascii="Arial" w:hAnsi="Arial" w:cs="Arial"/>
                <w:b/>
                <w:sz w:val="16"/>
                <w:szCs w:val="16"/>
              </w:rPr>
            </w:pPr>
            <w:r w:rsidRPr="00276377">
              <w:rPr>
                <w:rFonts w:ascii="Arial" w:hAnsi="Arial" w:cs="Arial"/>
                <w:b/>
                <w:sz w:val="16"/>
                <w:szCs w:val="16"/>
              </w:rPr>
              <w:t xml:space="preserve">Office of the Official Secretary to the Governor-General          </w:t>
            </w:r>
            <w:r w:rsidRPr="00276377">
              <w:rPr>
                <w:rFonts w:ascii="Arial" w:hAnsi="Arial" w:cs="Arial"/>
                <w:i/>
                <w:sz w:val="16"/>
                <w:szCs w:val="16"/>
              </w:rPr>
              <w:t>Official Secretary: Mr Paul Singer, MVO</w:t>
            </w:r>
          </w:p>
          <w:p w14:paraId="4EE80606" w14:textId="77777777" w:rsidR="00EA5D42" w:rsidRPr="00276377" w:rsidRDefault="00EA5D42" w:rsidP="00E81274">
            <w:pPr>
              <w:tabs>
                <w:tab w:val="left" w:pos="5103"/>
              </w:tabs>
              <w:spacing w:after="80" w:line="240" w:lineRule="auto"/>
              <w:rPr>
                <w:rFonts w:ascii="Arial" w:hAnsi="Arial"/>
                <w:b/>
                <w:sz w:val="16"/>
                <w:szCs w:val="16"/>
                <w:highlight w:val="yellow"/>
              </w:rPr>
            </w:pPr>
            <w:r w:rsidRPr="00276377">
              <w:rPr>
                <w:rFonts w:ascii="Arial" w:hAnsi="Arial" w:cs="Arial"/>
                <w:sz w:val="16"/>
                <w:szCs w:val="16"/>
              </w:rPr>
              <w:t>Outcome: The performance of the Governor-General’s role is facilitated through organisation and management of official duties, management and maintenance of the official household and property and administration of the Australian Honours and Awards system.</w:t>
            </w:r>
          </w:p>
        </w:tc>
      </w:tr>
    </w:tbl>
    <w:p w14:paraId="35D07459" w14:textId="77777777" w:rsidR="00EA5D42" w:rsidRPr="00276377" w:rsidRDefault="00EA5D42" w:rsidP="00EA5D42">
      <w:pPr>
        <w:tabs>
          <w:tab w:val="right" w:pos="7547"/>
        </w:tabs>
        <w:spacing w:after="80" w:line="240" w:lineRule="auto"/>
        <w:rPr>
          <w:rFonts w:ascii="Arial" w:hAnsi="Arial"/>
          <w:b/>
          <w:sz w:val="4"/>
          <w:szCs w:val="4"/>
          <w:highlight w:val="yellow"/>
        </w:rPr>
      </w:pPr>
    </w:p>
    <w:p w14:paraId="190C579F" w14:textId="77777777" w:rsidR="00EA5D42" w:rsidRPr="00276377" w:rsidRDefault="00EA5D42" w:rsidP="00EA5D42">
      <w:pPr>
        <w:tabs>
          <w:tab w:val="right" w:pos="7547"/>
        </w:tabs>
        <w:spacing w:after="80" w:line="240" w:lineRule="auto"/>
        <w:rPr>
          <w:rFonts w:ascii="Arial" w:hAnsi="Arial"/>
          <w:b/>
          <w:sz w:val="4"/>
          <w:szCs w:val="4"/>
          <w:highlight w:val="yellow"/>
        </w:rPr>
      </w:pPr>
    </w:p>
    <w:p w14:paraId="098A27B6" w14:textId="77777777" w:rsidR="00EA5D42" w:rsidRPr="00276377" w:rsidRDefault="00EA5D42" w:rsidP="00EA5D42">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EA5D42" w:rsidRPr="00276377" w14:paraId="75A96D97" w14:textId="77777777" w:rsidTr="00E81274">
        <w:trPr>
          <w:cantSplit/>
          <w:trHeight w:hRule="exact" w:val="141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4222665" w14:textId="77777777" w:rsidR="00EA5D42" w:rsidRPr="00276377" w:rsidRDefault="00EA5D42" w:rsidP="00E81274">
            <w:pPr>
              <w:tabs>
                <w:tab w:val="left" w:pos="4961"/>
                <w:tab w:val="right" w:pos="7655"/>
              </w:tabs>
              <w:spacing w:after="80" w:line="240" w:lineRule="auto"/>
              <w:rPr>
                <w:rFonts w:ascii="Arial" w:hAnsi="Arial" w:cs="Arial"/>
                <w:b/>
                <w:sz w:val="16"/>
                <w:szCs w:val="16"/>
              </w:rPr>
            </w:pPr>
            <w:r w:rsidRPr="00276377">
              <w:rPr>
                <w:rFonts w:ascii="Arial" w:hAnsi="Arial" w:cs="Arial"/>
                <w:b/>
                <w:sz w:val="16"/>
                <w:szCs w:val="16"/>
              </w:rPr>
              <w:t>Old Parliament House</w:t>
            </w:r>
            <w:r w:rsidRPr="00276377">
              <w:rPr>
                <w:rFonts w:ascii="Arial" w:hAnsi="Arial" w:cs="Arial"/>
                <w:b/>
                <w:sz w:val="16"/>
                <w:szCs w:val="16"/>
              </w:rPr>
              <w:tab/>
              <w:t xml:space="preserve">        </w:t>
            </w:r>
            <w:r>
              <w:rPr>
                <w:rFonts w:ascii="Arial" w:hAnsi="Arial" w:cs="Arial"/>
                <w:b/>
                <w:sz w:val="16"/>
                <w:szCs w:val="16"/>
              </w:rPr>
              <w:t xml:space="preserve">   </w:t>
            </w:r>
            <w:r w:rsidRPr="00276377">
              <w:rPr>
                <w:rFonts w:ascii="Arial" w:hAnsi="Arial" w:cs="Arial"/>
                <w:i/>
                <w:sz w:val="16"/>
                <w:szCs w:val="16"/>
              </w:rPr>
              <w:t>Director: Ms Daryl Karp, AM</w:t>
            </w:r>
          </w:p>
          <w:p w14:paraId="7D27A9C9" w14:textId="77777777" w:rsidR="00EA5D42" w:rsidRPr="00276377" w:rsidRDefault="00EA5D42" w:rsidP="00E81274">
            <w:pPr>
              <w:tabs>
                <w:tab w:val="left" w:pos="5103"/>
              </w:tabs>
              <w:spacing w:after="80" w:line="240" w:lineRule="auto"/>
              <w:rPr>
                <w:rFonts w:ascii="Arial" w:hAnsi="Arial"/>
                <w:b/>
                <w:sz w:val="16"/>
                <w:szCs w:val="16"/>
                <w:highlight w:val="yellow"/>
              </w:rPr>
            </w:pPr>
            <w:r w:rsidRPr="00276377">
              <w:rPr>
                <w:rFonts w:ascii="Arial" w:hAnsi="Arial" w:cs="Arial"/>
                <w:sz w:val="16"/>
                <w:szCs w:val="16"/>
              </w:rPr>
              <w:t>Outcome: An enhanced appreciation and understanding of the political and social heritage of Australia for members of the public, through activities including the conservation and upkeep of, and the provision of access to, Old Parliament House and the development of its collections, exhibitions and educational programs.</w:t>
            </w:r>
          </w:p>
        </w:tc>
      </w:tr>
    </w:tbl>
    <w:p w14:paraId="7FDE3782" w14:textId="77777777" w:rsidR="00EA5D42" w:rsidRPr="00276377" w:rsidRDefault="00EA5D42" w:rsidP="00EA5D42">
      <w:pPr>
        <w:tabs>
          <w:tab w:val="right" w:pos="7547"/>
        </w:tabs>
        <w:spacing w:after="80" w:line="240" w:lineRule="auto"/>
        <w:rPr>
          <w:rFonts w:ascii="Arial" w:hAnsi="Arial"/>
          <w:b/>
          <w:sz w:val="4"/>
          <w:szCs w:val="4"/>
          <w:highlight w:val="yellow"/>
        </w:rPr>
      </w:pPr>
    </w:p>
    <w:p w14:paraId="0B046799" w14:textId="77777777" w:rsidR="00EA5D42" w:rsidRPr="00276377" w:rsidRDefault="00EA5D42" w:rsidP="00EA5D42">
      <w:pPr>
        <w:tabs>
          <w:tab w:val="right" w:pos="7547"/>
        </w:tabs>
        <w:spacing w:after="80" w:line="240" w:lineRule="auto"/>
        <w:rPr>
          <w:rFonts w:ascii="Arial" w:hAnsi="Arial"/>
          <w:b/>
          <w:sz w:val="4"/>
          <w:szCs w:val="4"/>
          <w:highlight w:val="yellow"/>
        </w:rPr>
      </w:pPr>
    </w:p>
    <w:p w14:paraId="43070550" w14:textId="77777777" w:rsidR="00EA5D42" w:rsidRPr="00276377" w:rsidRDefault="00EA5D42" w:rsidP="00EA5D42">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EA5D42" w:rsidRPr="00276377" w14:paraId="2244FDB9" w14:textId="77777777" w:rsidTr="00E81274">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F63B8C2" w14:textId="77777777" w:rsidR="00EA5D42" w:rsidRPr="00276377" w:rsidRDefault="00EA5D42" w:rsidP="00E81274">
            <w:pPr>
              <w:tabs>
                <w:tab w:val="left" w:pos="4536"/>
              </w:tabs>
              <w:spacing w:after="80" w:line="240" w:lineRule="auto"/>
              <w:rPr>
                <w:rFonts w:ascii="Arial" w:hAnsi="Arial"/>
                <w:i/>
                <w:sz w:val="16"/>
                <w:szCs w:val="16"/>
              </w:rPr>
            </w:pPr>
            <w:r w:rsidRPr="00276377">
              <w:rPr>
                <w:rFonts w:ascii="Arial" w:hAnsi="Arial"/>
                <w:b/>
                <w:sz w:val="16"/>
                <w:szCs w:val="16"/>
              </w:rPr>
              <w:t xml:space="preserve">Outback Stores Pty Ltd                                                              </w:t>
            </w:r>
            <w:r>
              <w:rPr>
                <w:rFonts w:ascii="Arial" w:hAnsi="Arial"/>
                <w:b/>
                <w:sz w:val="16"/>
                <w:szCs w:val="16"/>
              </w:rPr>
              <w:t xml:space="preserve">   </w:t>
            </w:r>
            <w:r w:rsidRPr="00276377">
              <w:rPr>
                <w:rFonts w:ascii="Arial" w:hAnsi="Arial"/>
                <w:i/>
                <w:sz w:val="16"/>
                <w:szCs w:val="16"/>
              </w:rPr>
              <w:t>Chief Executive Officer: Mr Michael Borg</w:t>
            </w:r>
          </w:p>
          <w:p w14:paraId="2FB3DD7E" w14:textId="77777777" w:rsidR="00EA5D42" w:rsidRPr="00276377" w:rsidRDefault="00EA5D42" w:rsidP="00E81274">
            <w:pPr>
              <w:tabs>
                <w:tab w:val="left" w:pos="3827"/>
              </w:tabs>
              <w:spacing w:after="80" w:line="240" w:lineRule="auto"/>
              <w:rPr>
                <w:rFonts w:ascii="Arial" w:hAnsi="Arial"/>
                <w:b/>
                <w:sz w:val="16"/>
                <w:szCs w:val="16"/>
              </w:rPr>
            </w:pPr>
            <w:r w:rsidRPr="00276377">
              <w:rPr>
                <w:rFonts w:ascii="Arial" w:hAnsi="Arial"/>
                <w:sz w:val="16"/>
                <w:szCs w:val="16"/>
              </w:rPr>
              <w:t>Objective: To improve access to affordable, healthy food for Indigenous communities, particularly in remote areas, through providing food supply and store management and support services.</w:t>
            </w:r>
          </w:p>
        </w:tc>
      </w:tr>
    </w:tbl>
    <w:p w14:paraId="4BC6589B" w14:textId="77777777" w:rsidR="00EA5D42" w:rsidRPr="00276377" w:rsidRDefault="00EA5D42" w:rsidP="00EA5D42">
      <w:pPr>
        <w:tabs>
          <w:tab w:val="right" w:pos="7547"/>
        </w:tabs>
        <w:spacing w:after="80" w:line="240" w:lineRule="auto"/>
        <w:rPr>
          <w:rFonts w:ascii="Arial" w:hAnsi="Arial"/>
          <w:b/>
          <w:sz w:val="4"/>
          <w:szCs w:val="4"/>
          <w:highlight w:val="yellow"/>
        </w:rPr>
      </w:pPr>
    </w:p>
    <w:p w14:paraId="13420735" w14:textId="77777777" w:rsidR="00EA5D42" w:rsidRPr="00276377" w:rsidRDefault="00EA5D42" w:rsidP="00EA5D42">
      <w:pPr>
        <w:tabs>
          <w:tab w:val="right" w:pos="7547"/>
        </w:tabs>
        <w:spacing w:after="80" w:line="240" w:lineRule="auto"/>
        <w:rPr>
          <w:rFonts w:ascii="Arial" w:hAnsi="Arial"/>
          <w:b/>
          <w:sz w:val="4"/>
          <w:szCs w:val="4"/>
          <w:highlight w:val="yellow"/>
        </w:rPr>
      </w:pPr>
    </w:p>
    <w:p w14:paraId="671B2803" w14:textId="77777777" w:rsidR="00EA5D42" w:rsidRPr="00276377" w:rsidRDefault="00EA5D42" w:rsidP="00EA5D42">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EA5D42" w:rsidRPr="00276377" w14:paraId="13898DC4" w14:textId="77777777" w:rsidTr="00E81274">
        <w:trPr>
          <w:cantSplit/>
          <w:trHeight w:hRule="exact" w:val="1191"/>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17DAD7EE" w14:textId="77777777" w:rsidR="00EA5D42" w:rsidRPr="00276377" w:rsidRDefault="00EA5D42" w:rsidP="00E81274">
            <w:pPr>
              <w:tabs>
                <w:tab w:val="left" w:pos="3827"/>
              </w:tabs>
              <w:spacing w:after="80" w:line="240" w:lineRule="auto"/>
              <w:jc w:val="left"/>
              <w:rPr>
                <w:rFonts w:ascii="Arial" w:hAnsi="Arial"/>
                <w:i/>
                <w:sz w:val="16"/>
                <w:szCs w:val="16"/>
              </w:rPr>
            </w:pPr>
            <w:r w:rsidRPr="00276377">
              <w:rPr>
                <w:rFonts w:ascii="Arial" w:hAnsi="Arial"/>
                <w:b/>
                <w:sz w:val="16"/>
                <w:szCs w:val="16"/>
              </w:rPr>
              <w:t xml:space="preserve">Torres Strait Regional Authority                                </w:t>
            </w:r>
            <w:r w:rsidR="001F5864" w:rsidRPr="001F5864">
              <w:rPr>
                <w:rFonts w:ascii="Arial" w:hAnsi="Arial"/>
                <w:i/>
                <w:sz w:val="16"/>
                <w:szCs w:val="16"/>
              </w:rPr>
              <w:t>Acting Chief Executive Officer</w:t>
            </w:r>
            <w:r w:rsidR="00E478BB">
              <w:rPr>
                <w:rFonts w:ascii="Arial" w:hAnsi="Arial"/>
                <w:i/>
                <w:sz w:val="16"/>
                <w:szCs w:val="16"/>
              </w:rPr>
              <w:t>:</w:t>
            </w:r>
            <w:r w:rsidR="001F5864" w:rsidRPr="001F5864">
              <w:rPr>
                <w:rFonts w:ascii="Arial" w:hAnsi="Arial"/>
                <w:i/>
                <w:sz w:val="16"/>
                <w:szCs w:val="16"/>
              </w:rPr>
              <w:t xml:space="preserve"> Ms Angela Jane</w:t>
            </w:r>
          </w:p>
          <w:p w14:paraId="419A7AF6" w14:textId="77777777" w:rsidR="00EA5D42" w:rsidRDefault="00EA5D42" w:rsidP="00E81274">
            <w:pPr>
              <w:tabs>
                <w:tab w:val="left" w:pos="4536"/>
              </w:tabs>
              <w:spacing w:after="80" w:line="240" w:lineRule="auto"/>
              <w:rPr>
                <w:rFonts w:ascii="Arial" w:hAnsi="Arial"/>
                <w:b/>
                <w:sz w:val="16"/>
                <w:szCs w:val="16"/>
                <w:highlight w:val="yellow"/>
              </w:rPr>
            </w:pPr>
            <w:r w:rsidRPr="00276377">
              <w:rPr>
                <w:rFonts w:ascii="Arial" w:hAnsi="Arial"/>
                <w:sz w:val="16"/>
                <w:szCs w:val="16"/>
              </w:rPr>
              <w:t>Outcome: Progress towards closing the gap for Torres Strait Islander and Aboriginal people living in the Torres Strait Region through development planning, coordination, sustainable resource management, and preservation and promotion of Indigenous culture.</w:t>
            </w:r>
          </w:p>
          <w:p w14:paraId="5E6BFD5E" w14:textId="77777777" w:rsidR="00EA5D42" w:rsidRPr="000E6DB2" w:rsidRDefault="00EA5D42" w:rsidP="00E81274">
            <w:pPr>
              <w:rPr>
                <w:rFonts w:ascii="Arial" w:hAnsi="Arial"/>
                <w:sz w:val="16"/>
                <w:szCs w:val="16"/>
                <w:highlight w:val="yellow"/>
              </w:rPr>
            </w:pPr>
          </w:p>
          <w:p w14:paraId="6FE3DC5B" w14:textId="77777777" w:rsidR="00EA5D42" w:rsidRPr="000E6DB2" w:rsidRDefault="00EA5D42" w:rsidP="00E81274">
            <w:pPr>
              <w:rPr>
                <w:rFonts w:ascii="Arial" w:hAnsi="Arial"/>
                <w:sz w:val="16"/>
                <w:szCs w:val="16"/>
                <w:highlight w:val="yellow"/>
              </w:rPr>
            </w:pPr>
          </w:p>
        </w:tc>
      </w:tr>
      <w:tr w:rsidR="00EA5D42" w:rsidRPr="00276377" w14:paraId="145285BF" w14:textId="77777777" w:rsidTr="00E81274">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F1051AD" w14:textId="77777777" w:rsidR="00EA5D42" w:rsidRPr="00276377" w:rsidRDefault="00EA5D42" w:rsidP="00E81274">
            <w:pPr>
              <w:tabs>
                <w:tab w:val="left" w:pos="4536"/>
              </w:tabs>
              <w:spacing w:after="80" w:line="240" w:lineRule="auto"/>
              <w:rPr>
                <w:rFonts w:ascii="Arial" w:hAnsi="Arial"/>
                <w:i/>
                <w:sz w:val="16"/>
                <w:szCs w:val="16"/>
              </w:rPr>
            </w:pPr>
            <w:r w:rsidRPr="00276377">
              <w:rPr>
                <w:rFonts w:ascii="Arial" w:hAnsi="Arial"/>
                <w:b/>
                <w:sz w:val="16"/>
                <w:szCs w:val="16"/>
              </w:rPr>
              <w:t xml:space="preserve">Workplace Gender Equality Agency                                                                </w:t>
            </w:r>
            <w:r w:rsidRPr="00276377">
              <w:rPr>
                <w:rFonts w:ascii="Arial" w:hAnsi="Arial"/>
                <w:i/>
                <w:sz w:val="16"/>
                <w:szCs w:val="16"/>
              </w:rPr>
              <w:t xml:space="preserve"> Director: Ms Mary Wooldridge</w:t>
            </w:r>
          </w:p>
          <w:p w14:paraId="501A1989" w14:textId="77777777" w:rsidR="00EA5D42" w:rsidRPr="00276377" w:rsidRDefault="00EA5D42" w:rsidP="00E81274">
            <w:pPr>
              <w:tabs>
                <w:tab w:val="left" w:pos="4536"/>
              </w:tabs>
              <w:spacing w:after="80" w:line="240" w:lineRule="auto"/>
              <w:rPr>
                <w:rFonts w:ascii="Arial" w:hAnsi="Arial"/>
                <w:b/>
                <w:sz w:val="16"/>
                <w:szCs w:val="16"/>
                <w:highlight w:val="yellow"/>
              </w:rPr>
            </w:pPr>
            <w:r w:rsidRPr="00276377">
              <w:rPr>
                <w:rFonts w:ascii="Arial" w:hAnsi="Arial"/>
                <w:sz w:val="16"/>
                <w:szCs w:val="16"/>
              </w:rPr>
              <w:t>Objective: Promote and improve gender equality in Australian workplaces including through the provision of advice and assistance to employers and the assessment and measurement of workplace gender data.</w:t>
            </w:r>
          </w:p>
        </w:tc>
      </w:tr>
      <w:tr w:rsidR="00EA5D42" w:rsidRPr="00276377" w14:paraId="3A186746" w14:textId="77777777" w:rsidTr="00E81274">
        <w:trPr>
          <w:cantSplit/>
          <w:trHeight w:hRule="exact" w:val="263"/>
        </w:trPr>
        <w:tc>
          <w:tcPr>
            <w:tcW w:w="7710" w:type="dxa"/>
            <w:tcBorders>
              <w:top w:val="single" w:sz="4" w:space="0" w:color="auto"/>
              <w:bottom w:val="single" w:sz="4" w:space="0" w:color="auto"/>
            </w:tcBorders>
            <w:tcMar>
              <w:left w:w="142" w:type="dxa"/>
              <w:right w:w="142" w:type="dxa"/>
            </w:tcMar>
            <w:vAlign w:val="center"/>
          </w:tcPr>
          <w:p w14:paraId="3CE1B638" w14:textId="77777777" w:rsidR="00EA5D42" w:rsidRPr="00276377" w:rsidRDefault="00EA5D42" w:rsidP="00E81274">
            <w:pPr>
              <w:tabs>
                <w:tab w:val="left" w:pos="4536"/>
              </w:tabs>
              <w:spacing w:after="80" w:line="240" w:lineRule="auto"/>
              <w:rPr>
                <w:rFonts w:ascii="Arial" w:hAnsi="Arial"/>
                <w:b/>
                <w:sz w:val="16"/>
                <w:szCs w:val="16"/>
                <w:highlight w:val="yellow"/>
              </w:rPr>
            </w:pPr>
          </w:p>
        </w:tc>
      </w:tr>
      <w:tr w:rsidR="00EA5D42" w:rsidRPr="00276377" w14:paraId="17871E88" w14:textId="77777777" w:rsidTr="00E81274">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53EB59B" w14:textId="77777777" w:rsidR="00EA5D42" w:rsidRPr="00276377" w:rsidRDefault="00EA5D42" w:rsidP="00E81274">
            <w:pPr>
              <w:tabs>
                <w:tab w:val="left" w:pos="4536"/>
                <w:tab w:val="right" w:pos="7229"/>
              </w:tabs>
              <w:spacing w:after="80" w:line="240" w:lineRule="auto"/>
              <w:rPr>
                <w:rFonts w:ascii="Arial" w:hAnsi="Arial"/>
                <w:i/>
                <w:sz w:val="16"/>
                <w:szCs w:val="16"/>
              </w:rPr>
            </w:pPr>
            <w:r w:rsidRPr="00276377">
              <w:rPr>
                <w:rFonts w:ascii="Arial" w:hAnsi="Arial"/>
                <w:b/>
                <w:sz w:val="16"/>
                <w:szCs w:val="16"/>
              </w:rPr>
              <w:t xml:space="preserve">Wreck Bay Aboriginal Community Council                    </w:t>
            </w:r>
            <w:r w:rsidRPr="00276377">
              <w:rPr>
                <w:rFonts w:ascii="Arial" w:hAnsi="Arial"/>
                <w:i/>
                <w:sz w:val="16"/>
                <w:szCs w:val="16"/>
              </w:rPr>
              <w:t>Chief Executive Officer: Ms Anne-Marie Farrugia</w:t>
            </w:r>
          </w:p>
          <w:p w14:paraId="61C9D898" w14:textId="77777777" w:rsidR="00EA5D42" w:rsidRPr="00276377" w:rsidRDefault="00EA5D42" w:rsidP="00E81274">
            <w:pPr>
              <w:tabs>
                <w:tab w:val="left" w:pos="3827"/>
              </w:tabs>
              <w:spacing w:after="80" w:line="240" w:lineRule="auto"/>
              <w:rPr>
                <w:rFonts w:ascii="Arial" w:hAnsi="Arial"/>
                <w:b/>
                <w:sz w:val="16"/>
                <w:szCs w:val="16"/>
              </w:rPr>
            </w:pPr>
            <w:r w:rsidRPr="00276377">
              <w:rPr>
                <w:rFonts w:ascii="Arial" w:hAnsi="Arial"/>
                <w:sz w:val="16"/>
                <w:szCs w:val="16"/>
              </w:rPr>
              <w:t xml:space="preserve">Objective: Established by the </w:t>
            </w:r>
            <w:r w:rsidRPr="00276377">
              <w:rPr>
                <w:rFonts w:ascii="Arial" w:hAnsi="Arial"/>
                <w:i/>
                <w:sz w:val="16"/>
                <w:szCs w:val="16"/>
              </w:rPr>
              <w:t>Aboriginal Land Grant (Jervis Bay Territory) Act 1986</w:t>
            </w:r>
            <w:r w:rsidRPr="00276377">
              <w:rPr>
                <w:rFonts w:ascii="Arial" w:hAnsi="Arial"/>
                <w:sz w:val="16"/>
                <w:szCs w:val="16"/>
              </w:rPr>
              <w:t xml:space="preserve"> to hold title to land and provide council services to the Aboriginal Community of Jervis Bay.</w:t>
            </w:r>
          </w:p>
        </w:tc>
      </w:tr>
    </w:tbl>
    <w:p w14:paraId="35AAFCAE" w14:textId="77777777" w:rsidR="00A15E63" w:rsidRDefault="00A15E63" w:rsidP="00C946DC">
      <w:pPr>
        <w:pStyle w:val="ChartGraphic"/>
      </w:pPr>
    </w:p>
    <w:p w14:paraId="7BAC7EAB" w14:textId="77777777" w:rsidR="00A15E63" w:rsidRPr="00FE3DE9" w:rsidRDefault="00A15E63" w:rsidP="00FE3DE9"/>
    <w:p w14:paraId="23844FB2" w14:textId="77777777" w:rsidR="00A15E63" w:rsidRPr="00FE3DE9" w:rsidRDefault="00A15E63" w:rsidP="00FE3DE9"/>
    <w:p w14:paraId="25F236F5" w14:textId="77777777" w:rsidR="00FE3DE9" w:rsidRPr="00FE3DE9" w:rsidRDefault="00FE3DE9" w:rsidP="00FE3DE9"/>
    <w:p w14:paraId="58331FEE" w14:textId="77777777" w:rsidR="00646E21" w:rsidRDefault="00646E21" w:rsidP="00FE3DE9"/>
    <w:p w14:paraId="3C5CDFE1" w14:textId="77777777" w:rsidR="00DB47F7" w:rsidRDefault="00DB47F7">
      <w:pPr>
        <w:spacing w:after="0" w:line="240" w:lineRule="auto"/>
        <w:jc w:val="left"/>
        <w:sectPr w:rsidR="00DB47F7" w:rsidSect="00D867A3">
          <w:headerReference w:type="even" r:id="rId44"/>
          <w:headerReference w:type="default" r:id="rId45"/>
          <w:footerReference w:type="even" r:id="rId46"/>
          <w:footerReference w:type="default" r:id="rId47"/>
          <w:headerReference w:type="first" r:id="rId48"/>
          <w:footerReference w:type="first" r:id="rId49"/>
          <w:type w:val="oddPage"/>
          <w:pgSz w:w="11906" w:h="16838" w:code="9"/>
          <w:pgMar w:top="2835" w:right="2098" w:bottom="2466" w:left="2098" w:header="1814" w:footer="1814" w:gutter="0"/>
          <w:pgNumType w:start="3"/>
          <w:cols w:space="708"/>
          <w:titlePg/>
          <w:docGrid w:linePitch="360"/>
        </w:sectPr>
      </w:pPr>
    </w:p>
    <w:p w14:paraId="52057C3A" w14:textId="77777777" w:rsidR="00646E21" w:rsidRDefault="00646E21">
      <w:pPr>
        <w:spacing w:after="0" w:line="240" w:lineRule="auto"/>
        <w:jc w:val="left"/>
      </w:pPr>
      <w:r>
        <w:lastRenderedPageBreak/>
        <w:br w:type="page"/>
      </w:r>
    </w:p>
    <w:p w14:paraId="377B8D78" w14:textId="77777777" w:rsidR="00F20B6E" w:rsidRPr="002A32FD" w:rsidRDefault="007E6BBD" w:rsidP="002A32FD">
      <w:pPr>
        <w:pStyle w:val="ContentsHeading"/>
      </w:pPr>
      <w:bookmarkStart w:id="15" w:name="_Toc190766149"/>
      <w:bookmarkStart w:id="16" w:name="_Toc444523507"/>
      <w:r w:rsidRPr="002A32FD">
        <w:lastRenderedPageBreak/>
        <w:t xml:space="preserve">Entity </w:t>
      </w:r>
      <w:r w:rsidR="00605163" w:rsidRPr="002A32FD">
        <w:t>resources and</w:t>
      </w:r>
      <w:r w:rsidR="00605163" w:rsidRPr="002A32FD">
        <w:br/>
        <w:t>planned performance</w:t>
      </w:r>
      <w:bookmarkEnd w:id="15"/>
      <w:bookmarkEnd w:id="16"/>
    </w:p>
    <w:p w14:paraId="19EF0A9D"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41" w:history="1">
        <w:r w:rsidR="009D521A" w:rsidRPr="00641F99">
          <w:rPr>
            <w:rStyle w:val="Hyperlink"/>
            <w:noProof/>
          </w:rPr>
          <w:t>Department of the Prime Minister and Cabinet</w:t>
        </w:r>
        <w:r w:rsidR="009D521A">
          <w:rPr>
            <w:noProof/>
            <w:webHidden/>
          </w:rPr>
          <w:tab/>
        </w:r>
        <w:r w:rsidR="009D521A">
          <w:rPr>
            <w:noProof/>
            <w:webHidden/>
          </w:rPr>
          <w:fldChar w:fldCharType="begin"/>
        </w:r>
        <w:r w:rsidR="009D521A">
          <w:rPr>
            <w:noProof/>
            <w:webHidden/>
          </w:rPr>
          <w:instrText xml:space="preserve"> PAGEREF _Toc99201041 \h </w:instrText>
        </w:r>
        <w:r w:rsidR="009D521A">
          <w:rPr>
            <w:noProof/>
            <w:webHidden/>
          </w:rPr>
        </w:r>
        <w:r w:rsidR="009D521A">
          <w:rPr>
            <w:noProof/>
            <w:webHidden/>
          </w:rPr>
          <w:fldChar w:fldCharType="separate"/>
        </w:r>
        <w:r w:rsidR="00AC2929">
          <w:rPr>
            <w:noProof/>
            <w:webHidden/>
          </w:rPr>
          <w:t>21</w:t>
        </w:r>
        <w:r w:rsidR="009D521A">
          <w:rPr>
            <w:noProof/>
            <w:webHidden/>
          </w:rPr>
          <w:fldChar w:fldCharType="end"/>
        </w:r>
      </w:hyperlink>
    </w:p>
    <w:p w14:paraId="0276F099"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43" w:history="1">
        <w:r w:rsidR="009D521A" w:rsidRPr="00641F99">
          <w:rPr>
            <w:rStyle w:val="Hyperlink"/>
            <w:noProof/>
          </w:rPr>
          <w:t>Aboriginal Hostels Limited</w:t>
        </w:r>
        <w:r w:rsidR="009D521A">
          <w:rPr>
            <w:noProof/>
            <w:webHidden/>
          </w:rPr>
          <w:tab/>
        </w:r>
        <w:r w:rsidR="009D521A">
          <w:rPr>
            <w:noProof/>
            <w:webHidden/>
          </w:rPr>
          <w:fldChar w:fldCharType="begin"/>
        </w:r>
        <w:r w:rsidR="009D521A">
          <w:rPr>
            <w:noProof/>
            <w:webHidden/>
          </w:rPr>
          <w:instrText xml:space="preserve"> PAGEREF _Toc99201043 \h </w:instrText>
        </w:r>
        <w:r w:rsidR="009D521A">
          <w:rPr>
            <w:noProof/>
            <w:webHidden/>
          </w:rPr>
        </w:r>
        <w:r w:rsidR="009D521A">
          <w:rPr>
            <w:noProof/>
            <w:webHidden/>
          </w:rPr>
          <w:fldChar w:fldCharType="separate"/>
        </w:r>
        <w:r w:rsidR="00AC2929">
          <w:rPr>
            <w:noProof/>
            <w:webHidden/>
          </w:rPr>
          <w:t>51</w:t>
        </w:r>
        <w:r w:rsidR="009D521A">
          <w:rPr>
            <w:noProof/>
            <w:webHidden/>
          </w:rPr>
          <w:fldChar w:fldCharType="end"/>
        </w:r>
      </w:hyperlink>
    </w:p>
    <w:p w14:paraId="27F8BC9B"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44" w:history="1">
        <w:r w:rsidR="009D521A" w:rsidRPr="00641F99">
          <w:rPr>
            <w:rStyle w:val="Hyperlink"/>
            <w:noProof/>
          </w:rPr>
          <w:t>Australian Institute of Aboriginal and Torres Strait Islander Studies</w:t>
        </w:r>
        <w:r w:rsidR="009D521A">
          <w:rPr>
            <w:noProof/>
            <w:webHidden/>
          </w:rPr>
          <w:tab/>
        </w:r>
        <w:r w:rsidR="009D521A">
          <w:rPr>
            <w:noProof/>
            <w:webHidden/>
          </w:rPr>
          <w:fldChar w:fldCharType="begin"/>
        </w:r>
        <w:r w:rsidR="009D521A">
          <w:rPr>
            <w:noProof/>
            <w:webHidden/>
          </w:rPr>
          <w:instrText xml:space="preserve"> PAGEREF _Toc99201044 \h </w:instrText>
        </w:r>
        <w:r w:rsidR="009D521A">
          <w:rPr>
            <w:noProof/>
            <w:webHidden/>
          </w:rPr>
        </w:r>
        <w:r w:rsidR="009D521A">
          <w:rPr>
            <w:noProof/>
            <w:webHidden/>
          </w:rPr>
          <w:fldChar w:fldCharType="separate"/>
        </w:r>
        <w:r w:rsidR="00AC2929">
          <w:rPr>
            <w:noProof/>
            <w:webHidden/>
          </w:rPr>
          <w:t>69</w:t>
        </w:r>
        <w:r w:rsidR="009D521A">
          <w:rPr>
            <w:noProof/>
            <w:webHidden/>
          </w:rPr>
          <w:fldChar w:fldCharType="end"/>
        </w:r>
      </w:hyperlink>
    </w:p>
    <w:p w14:paraId="0C68416F"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45" w:history="1">
        <w:r w:rsidR="009D521A" w:rsidRPr="00641F99">
          <w:rPr>
            <w:rStyle w:val="Hyperlink"/>
            <w:noProof/>
          </w:rPr>
          <w:t>Australian National Audit Office</w:t>
        </w:r>
        <w:r w:rsidR="009D521A">
          <w:rPr>
            <w:noProof/>
            <w:webHidden/>
          </w:rPr>
          <w:tab/>
        </w:r>
        <w:r w:rsidR="009D521A">
          <w:rPr>
            <w:noProof/>
            <w:webHidden/>
          </w:rPr>
          <w:fldChar w:fldCharType="begin"/>
        </w:r>
        <w:r w:rsidR="009D521A">
          <w:rPr>
            <w:noProof/>
            <w:webHidden/>
          </w:rPr>
          <w:instrText xml:space="preserve"> PAGEREF _Toc99201045 \h </w:instrText>
        </w:r>
        <w:r w:rsidR="009D521A">
          <w:rPr>
            <w:noProof/>
            <w:webHidden/>
          </w:rPr>
        </w:r>
        <w:r w:rsidR="009D521A">
          <w:rPr>
            <w:noProof/>
            <w:webHidden/>
          </w:rPr>
          <w:fldChar w:fldCharType="separate"/>
        </w:r>
        <w:r w:rsidR="00AC2929">
          <w:rPr>
            <w:noProof/>
            <w:webHidden/>
          </w:rPr>
          <w:t>91</w:t>
        </w:r>
        <w:r w:rsidR="009D521A">
          <w:rPr>
            <w:noProof/>
            <w:webHidden/>
          </w:rPr>
          <w:fldChar w:fldCharType="end"/>
        </w:r>
      </w:hyperlink>
    </w:p>
    <w:p w14:paraId="16A2EF82"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45" w:history="1">
        <w:r w:rsidR="009D521A" w:rsidRPr="00641F99">
          <w:rPr>
            <w:rStyle w:val="Hyperlink"/>
            <w:noProof/>
          </w:rPr>
          <w:t>Australian</w:t>
        </w:r>
        <w:r w:rsidR="009D521A">
          <w:rPr>
            <w:rStyle w:val="Hyperlink"/>
            <w:noProof/>
          </w:rPr>
          <w:t xml:space="preserve"> PUBLIC SERVICE COMMISSION</w:t>
        </w:r>
        <w:r w:rsidR="009D521A">
          <w:rPr>
            <w:noProof/>
            <w:webHidden/>
          </w:rPr>
          <w:tab/>
        </w:r>
        <w:r w:rsidR="009D521A" w:rsidRPr="00027A10">
          <w:rPr>
            <w:noProof/>
          </w:rPr>
          <w:t>12</w:t>
        </w:r>
        <w:r w:rsidR="00980215">
          <w:rPr>
            <w:noProof/>
          </w:rPr>
          <w:t>1</w:t>
        </w:r>
      </w:hyperlink>
    </w:p>
    <w:p w14:paraId="03CAF9D7"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49" w:history="1">
        <w:r w:rsidR="009D521A" w:rsidRPr="00641F99">
          <w:rPr>
            <w:rStyle w:val="Hyperlink"/>
            <w:noProof/>
          </w:rPr>
          <w:t>Digital Transformation Agency</w:t>
        </w:r>
        <w:r w:rsidR="009D521A">
          <w:rPr>
            <w:noProof/>
            <w:webHidden/>
          </w:rPr>
          <w:tab/>
        </w:r>
        <w:r w:rsidR="009D521A">
          <w:rPr>
            <w:noProof/>
            <w:webHidden/>
          </w:rPr>
          <w:fldChar w:fldCharType="begin"/>
        </w:r>
        <w:r w:rsidR="009D521A">
          <w:rPr>
            <w:noProof/>
            <w:webHidden/>
          </w:rPr>
          <w:instrText xml:space="preserve"> PAGEREF _Toc99201049 \h </w:instrText>
        </w:r>
        <w:r w:rsidR="009D521A">
          <w:rPr>
            <w:noProof/>
            <w:webHidden/>
          </w:rPr>
        </w:r>
        <w:r w:rsidR="009D521A">
          <w:rPr>
            <w:noProof/>
            <w:webHidden/>
          </w:rPr>
          <w:fldChar w:fldCharType="separate"/>
        </w:r>
        <w:r w:rsidR="00AC2929">
          <w:rPr>
            <w:noProof/>
            <w:webHidden/>
          </w:rPr>
          <w:t>141</w:t>
        </w:r>
        <w:r w:rsidR="009D521A">
          <w:rPr>
            <w:noProof/>
            <w:webHidden/>
          </w:rPr>
          <w:fldChar w:fldCharType="end"/>
        </w:r>
      </w:hyperlink>
    </w:p>
    <w:p w14:paraId="1CDF55A5"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51" w:history="1">
        <w:r w:rsidR="009D521A" w:rsidRPr="00641F99">
          <w:rPr>
            <w:rStyle w:val="Hyperlink"/>
            <w:noProof/>
          </w:rPr>
          <w:t>Indigenous Business Australia</w:t>
        </w:r>
        <w:r w:rsidR="009D521A">
          <w:rPr>
            <w:noProof/>
            <w:webHidden/>
          </w:rPr>
          <w:tab/>
        </w:r>
        <w:r w:rsidR="009D521A">
          <w:rPr>
            <w:noProof/>
            <w:webHidden/>
          </w:rPr>
          <w:fldChar w:fldCharType="begin"/>
        </w:r>
        <w:r w:rsidR="009D521A">
          <w:rPr>
            <w:noProof/>
            <w:webHidden/>
          </w:rPr>
          <w:instrText xml:space="preserve"> PAGEREF _Toc99201051 \h </w:instrText>
        </w:r>
        <w:r w:rsidR="009D521A">
          <w:rPr>
            <w:noProof/>
            <w:webHidden/>
          </w:rPr>
        </w:r>
        <w:r w:rsidR="009D521A">
          <w:rPr>
            <w:noProof/>
            <w:webHidden/>
          </w:rPr>
          <w:fldChar w:fldCharType="separate"/>
        </w:r>
        <w:r w:rsidR="00AC2929">
          <w:rPr>
            <w:noProof/>
            <w:webHidden/>
          </w:rPr>
          <w:t>159</w:t>
        </w:r>
        <w:r w:rsidR="009D521A">
          <w:rPr>
            <w:noProof/>
            <w:webHidden/>
          </w:rPr>
          <w:fldChar w:fldCharType="end"/>
        </w:r>
      </w:hyperlink>
    </w:p>
    <w:p w14:paraId="3EE558AF"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54" w:history="1">
        <w:r w:rsidR="009D521A" w:rsidRPr="00641F99">
          <w:rPr>
            <w:rStyle w:val="Hyperlink"/>
            <w:noProof/>
          </w:rPr>
          <w:t>Indigenous Land and Sea Corporation</w:t>
        </w:r>
        <w:r w:rsidR="009D521A">
          <w:rPr>
            <w:noProof/>
            <w:webHidden/>
          </w:rPr>
          <w:tab/>
        </w:r>
        <w:r w:rsidR="009D521A">
          <w:rPr>
            <w:noProof/>
            <w:webHidden/>
          </w:rPr>
          <w:fldChar w:fldCharType="begin"/>
        </w:r>
        <w:r w:rsidR="009D521A">
          <w:rPr>
            <w:noProof/>
            <w:webHidden/>
          </w:rPr>
          <w:instrText xml:space="preserve"> PAGEREF _Toc99201054 \h </w:instrText>
        </w:r>
        <w:r w:rsidR="009D521A">
          <w:rPr>
            <w:noProof/>
            <w:webHidden/>
          </w:rPr>
        </w:r>
        <w:r w:rsidR="009D521A">
          <w:rPr>
            <w:noProof/>
            <w:webHidden/>
          </w:rPr>
          <w:fldChar w:fldCharType="separate"/>
        </w:r>
        <w:r w:rsidR="00AC2929">
          <w:rPr>
            <w:noProof/>
            <w:webHidden/>
          </w:rPr>
          <w:t>187</w:t>
        </w:r>
        <w:r w:rsidR="009D521A">
          <w:rPr>
            <w:noProof/>
            <w:webHidden/>
          </w:rPr>
          <w:fldChar w:fldCharType="end"/>
        </w:r>
      </w:hyperlink>
    </w:p>
    <w:p w14:paraId="7F87FED2"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56" w:history="1">
        <w:r w:rsidR="009D521A" w:rsidRPr="00641F99">
          <w:rPr>
            <w:rStyle w:val="Hyperlink"/>
            <w:noProof/>
          </w:rPr>
          <w:t>National Indigenous Australians Agency</w:t>
        </w:r>
        <w:r w:rsidR="009D521A">
          <w:rPr>
            <w:noProof/>
            <w:webHidden/>
          </w:rPr>
          <w:tab/>
        </w:r>
        <w:r w:rsidR="009D521A">
          <w:rPr>
            <w:noProof/>
            <w:webHidden/>
          </w:rPr>
          <w:fldChar w:fldCharType="begin"/>
        </w:r>
        <w:r w:rsidR="009D521A">
          <w:rPr>
            <w:noProof/>
            <w:webHidden/>
          </w:rPr>
          <w:instrText xml:space="preserve"> PAGEREF _Toc99201056 \h </w:instrText>
        </w:r>
        <w:r w:rsidR="009D521A">
          <w:rPr>
            <w:noProof/>
            <w:webHidden/>
          </w:rPr>
        </w:r>
        <w:r w:rsidR="009D521A">
          <w:rPr>
            <w:noProof/>
            <w:webHidden/>
          </w:rPr>
          <w:fldChar w:fldCharType="separate"/>
        </w:r>
        <w:r w:rsidR="00AC2929">
          <w:rPr>
            <w:noProof/>
            <w:webHidden/>
          </w:rPr>
          <w:t>211</w:t>
        </w:r>
        <w:r w:rsidR="009D521A">
          <w:rPr>
            <w:noProof/>
            <w:webHidden/>
          </w:rPr>
          <w:fldChar w:fldCharType="end"/>
        </w:r>
      </w:hyperlink>
    </w:p>
    <w:p w14:paraId="1F47C8E9"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59" w:history="1">
        <w:r w:rsidR="009D521A" w:rsidRPr="00641F99">
          <w:rPr>
            <w:rStyle w:val="Hyperlink"/>
            <w:noProof/>
          </w:rPr>
          <w:t>National Recovery and Resilience Agency</w:t>
        </w:r>
        <w:r w:rsidR="009D521A">
          <w:rPr>
            <w:noProof/>
            <w:webHidden/>
          </w:rPr>
          <w:tab/>
        </w:r>
        <w:r w:rsidR="009D521A">
          <w:rPr>
            <w:noProof/>
            <w:webHidden/>
          </w:rPr>
          <w:fldChar w:fldCharType="begin"/>
        </w:r>
        <w:r w:rsidR="009D521A">
          <w:rPr>
            <w:noProof/>
            <w:webHidden/>
          </w:rPr>
          <w:instrText xml:space="preserve"> PAGEREF _Toc99201059 \h </w:instrText>
        </w:r>
        <w:r w:rsidR="009D521A">
          <w:rPr>
            <w:noProof/>
            <w:webHidden/>
          </w:rPr>
        </w:r>
        <w:r w:rsidR="009D521A">
          <w:rPr>
            <w:noProof/>
            <w:webHidden/>
          </w:rPr>
          <w:fldChar w:fldCharType="separate"/>
        </w:r>
        <w:r w:rsidR="00AC2929">
          <w:rPr>
            <w:noProof/>
            <w:webHidden/>
          </w:rPr>
          <w:t>251</w:t>
        </w:r>
        <w:r w:rsidR="009D521A">
          <w:rPr>
            <w:noProof/>
            <w:webHidden/>
          </w:rPr>
          <w:fldChar w:fldCharType="end"/>
        </w:r>
      </w:hyperlink>
    </w:p>
    <w:p w14:paraId="1FF3479F"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61" w:history="1">
        <w:r w:rsidR="009D521A" w:rsidRPr="00641F99">
          <w:rPr>
            <w:rStyle w:val="Hyperlink"/>
            <w:noProof/>
          </w:rPr>
          <w:t>Office of National Intelligence</w:t>
        </w:r>
        <w:r w:rsidR="009D521A">
          <w:rPr>
            <w:noProof/>
            <w:webHidden/>
          </w:rPr>
          <w:tab/>
        </w:r>
        <w:r w:rsidR="009D521A">
          <w:rPr>
            <w:noProof/>
            <w:webHidden/>
          </w:rPr>
          <w:fldChar w:fldCharType="begin"/>
        </w:r>
        <w:r w:rsidR="009D521A">
          <w:rPr>
            <w:noProof/>
            <w:webHidden/>
          </w:rPr>
          <w:instrText xml:space="preserve"> PAGEREF _Toc99201061 \h </w:instrText>
        </w:r>
        <w:r w:rsidR="009D521A">
          <w:rPr>
            <w:noProof/>
            <w:webHidden/>
          </w:rPr>
        </w:r>
        <w:r w:rsidR="009D521A">
          <w:rPr>
            <w:noProof/>
            <w:webHidden/>
          </w:rPr>
          <w:fldChar w:fldCharType="separate"/>
        </w:r>
        <w:r w:rsidR="00AC2929">
          <w:rPr>
            <w:noProof/>
            <w:webHidden/>
          </w:rPr>
          <w:t>279</w:t>
        </w:r>
        <w:r w:rsidR="009D521A">
          <w:rPr>
            <w:noProof/>
            <w:webHidden/>
          </w:rPr>
          <w:fldChar w:fldCharType="end"/>
        </w:r>
      </w:hyperlink>
    </w:p>
    <w:p w14:paraId="530F6259"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61" w:history="1">
        <w:r w:rsidR="009D521A" w:rsidRPr="00641F99">
          <w:rPr>
            <w:rStyle w:val="Hyperlink"/>
            <w:noProof/>
          </w:rPr>
          <w:t xml:space="preserve">Office of </w:t>
        </w:r>
        <w:r w:rsidR="009D521A">
          <w:rPr>
            <w:rStyle w:val="Hyperlink"/>
            <w:noProof/>
          </w:rPr>
          <w:t>THE OFFICIAL SECRETARY TO THE GOVERNOR-GENERAL</w:t>
        </w:r>
        <w:r w:rsidR="009D521A">
          <w:rPr>
            <w:noProof/>
            <w:webHidden/>
          </w:rPr>
          <w:tab/>
          <w:t>3</w:t>
        </w:r>
        <w:r w:rsidR="00980215">
          <w:rPr>
            <w:noProof/>
            <w:webHidden/>
          </w:rPr>
          <w:t>0</w:t>
        </w:r>
        <w:r w:rsidR="009D521A">
          <w:rPr>
            <w:noProof/>
            <w:webHidden/>
          </w:rPr>
          <w:t>1</w:t>
        </w:r>
      </w:hyperlink>
    </w:p>
    <w:p w14:paraId="103CC408"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63" w:history="1">
        <w:r w:rsidR="009D521A" w:rsidRPr="00641F99">
          <w:rPr>
            <w:rStyle w:val="Hyperlink"/>
            <w:noProof/>
          </w:rPr>
          <w:t>Old Parliament House</w:t>
        </w:r>
        <w:r w:rsidR="009D521A">
          <w:rPr>
            <w:noProof/>
            <w:webHidden/>
          </w:rPr>
          <w:tab/>
        </w:r>
        <w:r w:rsidR="009D521A">
          <w:rPr>
            <w:noProof/>
            <w:webHidden/>
          </w:rPr>
          <w:fldChar w:fldCharType="begin"/>
        </w:r>
        <w:r w:rsidR="009D521A">
          <w:rPr>
            <w:noProof/>
            <w:webHidden/>
          </w:rPr>
          <w:instrText xml:space="preserve"> PAGEREF _Toc99201063 \h </w:instrText>
        </w:r>
        <w:r w:rsidR="009D521A">
          <w:rPr>
            <w:noProof/>
            <w:webHidden/>
          </w:rPr>
        </w:r>
        <w:r w:rsidR="009D521A">
          <w:rPr>
            <w:noProof/>
            <w:webHidden/>
          </w:rPr>
          <w:fldChar w:fldCharType="separate"/>
        </w:r>
        <w:r w:rsidR="00AC2929">
          <w:rPr>
            <w:noProof/>
            <w:webHidden/>
          </w:rPr>
          <w:t>327</w:t>
        </w:r>
        <w:r w:rsidR="009D521A">
          <w:rPr>
            <w:noProof/>
            <w:webHidden/>
          </w:rPr>
          <w:fldChar w:fldCharType="end"/>
        </w:r>
      </w:hyperlink>
    </w:p>
    <w:p w14:paraId="06391644"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65" w:history="1">
        <w:r w:rsidR="009D521A" w:rsidRPr="00641F99">
          <w:rPr>
            <w:rStyle w:val="Hyperlink"/>
            <w:noProof/>
          </w:rPr>
          <w:t>Torres Strait Regional Authority</w:t>
        </w:r>
        <w:r w:rsidR="009D521A">
          <w:rPr>
            <w:noProof/>
            <w:webHidden/>
          </w:rPr>
          <w:tab/>
        </w:r>
        <w:r w:rsidR="009D521A">
          <w:rPr>
            <w:noProof/>
            <w:webHidden/>
          </w:rPr>
          <w:fldChar w:fldCharType="begin"/>
        </w:r>
        <w:r w:rsidR="009D521A">
          <w:rPr>
            <w:noProof/>
            <w:webHidden/>
          </w:rPr>
          <w:instrText xml:space="preserve"> PAGEREF _Toc99201065 \h </w:instrText>
        </w:r>
        <w:r w:rsidR="009D521A">
          <w:rPr>
            <w:noProof/>
            <w:webHidden/>
          </w:rPr>
        </w:r>
        <w:r w:rsidR="009D521A">
          <w:rPr>
            <w:noProof/>
            <w:webHidden/>
          </w:rPr>
          <w:fldChar w:fldCharType="separate"/>
        </w:r>
        <w:r w:rsidR="00AC2929">
          <w:rPr>
            <w:noProof/>
            <w:webHidden/>
          </w:rPr>
          <w:t>349</w:t>
        </w:r>
        <w:r w:rsidR="009D521A">
          <w:rPr>
            <w:noProof/>
            <w:webHidden/>
          </w:rPr>
          <w:fldChar w:fldCharType="end"/>
        </w:r>
      </w:hyperlink>
    </w:p>
    <w:p w14:paraId="5717DA63"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67" w:history="1">
        <w:r w:rsidR="009D521A" w:rsidRPr="00641F99">
          <w:rPr>
            <w:rStyle w:val="Hyperlink"/>
            <w:noProof/>
          </w:rPr>
          <w:t>Workplace Gender Equality Agency</w:t>
        </w:r>
        <w:r w:rsidR="009D521A">
          <w:rPr>
            <w:noProof/>
            <w:webHidden/>
          </w:rPr>
          <w:tab/>
        </w:r>
        <w:r w:rsidR="009D521A">
          <w:rPr>
            <w:noProof/>
            <w:webHidden/>
          </w:rPr>
          <w:fldChar w:fldCharType="begin"/>
        </w:r>
        <w:r w:rsidR="009D521A">
          <w:rPr>
            <w:noProof/>
            <w:webHidden/>
          </w:rPr>
          <w:instrText xml:space="preserve"> PAGEREF _Toc99201067 \h </w:instrText>
        </w:r>
        <w:r w:rsidR="009D521A">
          <w:rPr>
            <w:noProof/>
            <w:webHidden/>
          </w:rPr>
        </w:r>
        <w:r w:rsidR="009D521A">
          <w:rPr>
            <w:noProof/>
            <w:webHidden/>
          </w:rPr>
          <w:fldChar w:fldCharType="separate"/>
        </w:r>
        <w:r w:rsidR="00AC2929">
          <w:rPr>
            <w:noProof/>
            <w:webHidden/>
          </w:rPr>
          <w:t>371</w:t>
        </w:r>
        <w:r w:rsidR="009D521A">
          <w:rPr>
            <w:noProof/>
            <w:webHidden/>
          </w:rPr>
          <w:fldChar w:fldCharType="end"/>
        </w:r>
      </w:hyperlink>
    </w:p>
    <w:p w14:paraId="4921DDD5" w14:textId="77777777" w:rsidR="009D521A" w:rsidRDefault="00A76B91" w:rsidP="009D521A">
      <w:pPr>
        <w:pStyle w:val="TOC1"/>
        <w:rPr>
          <w:rFonts w:asciiTheme="minorHAnsi" w:eastAsiaTheme="minorEastAsia" w:hAnsiTheme="minorHAnsi" w:cstheme="minorBidi"/>
          <w:b w:val="0"/>
          <w:caps w:val="0"/>
          <w:noProof/>
          <w:sz w:val="22"/>
          <w:szCs w:val="22"/>
        </w:rPr>
      </w:pPr>
      <w:hyperlink w:anchor="_Toc99201068" w:history="1">
        <w:r w:rsidR="009D521A" w:rsidRPr="00641F99">
          <w:rPr>
            <w:rStyle w:val="Hyperlink"/>
            <w:noProof/>
          </w:rPr>
          <w:t>Portfolio glossary</w:t>
        </w:r>
        <w:r w:rsidR="009D521A">
          <w:rPr>
            <w:noProof/>
            <w:webHidden/>
          </w:rPr>
          <w:tab/>
        </w:r>
        <w:r w:rsidR="009D521A">
          <w:rPr>
            <w:noProof/>
            <w:webHidden/>
          </w:rPr>
          <w:fldChar w:fldCharType="begin"/>
        </w:r>
        <w:r w:rsidR="009D521A">
          <w:rPr>
            <w:noProof/>
            <w:webHidden/>
          </w:rPr>
          <w:instrText xml:space="preserve"> PAGEREF _Toc99201068 \h </w:instrText>
        </w:r>
        <w:r w:rsidR="009D521A">
          <w:rPr>
            <w:noProof/>
            <w:webHidden/>
          </w:rPr>
        </w:r>
        <w:r w:rsidR="009D521A">
          <w:rPr>
            <w:noProof/>
            <w:webHidden/>
          </w:rPr>
          <w:fldChar w:fldCharType="separate"/>
        </w:r>
        <w:r w:rsidR="00AC2929">
          <w:rPr>
            <w:noProof/>
            <w:webHidden/>
          </w:rPr>
          <w:t>389</w:t>
        </w:r>
        <w:r w:rsidR="009D521A">
          <w:rPr>
            <w:noProof/>
            <w:webHidden/>
          </w:rPr>
          <w:fldChar w:fldCharType="end"/>
        </w:r>
      </w:hyperlink>
    </w:p>
    <w:p w14:paraId="3348145D" w14:textId="77777777" w:rsidR="00AB76EC" w:rsidRDefault="00AB76EC" w:rsidP="00AB76EC"/>
    <w:p w14:paraId="6F420169" w14:textId="77777777" w:rsidR="0000774A" w:rsidRDefault="0000774A">
      <w:pPr>
        <w:spacing w:after="0" w:line="240" w:lineRule="auto"/>
        <w:jc w:val="left"/>
      </w:pPr>
      <w:r>
        <w:br w:type="page"/>
      </w:r>
    </w:p>
    <w:p w14:paraId="523CF9E0" w14:textId="77777777" w:rsidR="0000774A" w:rsidRDefault="0000774A" w:rsidP="00AB76EC"/>
    <w:p w14:paraId="084AF366" w14:textId="77777777" w:rsidR="005A7C0B" w:rsidRDefault="005A7C0B" w:rsidP="00AB76EC">
      <w:pPr>
        <w:sectPr w:rsidR="005A7C0B" w:rsidSect="00BA2414">
          <w:headerReference w:type="even" r:id="rId50"/>
          <w:headerReference w:type="default" r:id="rId51"/>
          <w:footerReference w:type="even" r:id="rId52"/>
          <w:footerReference w:type="default" r:id="rId53"/>
          <w:footerReference w:type="first" r:id="rId54"/>
          <w:pgSz w:w="11906" w:h="16838" w:code="9"/>
          <w:pgMar w:top="2835" w:right="2098" w:bottom="2466" w:left="2098" w:header="1814" w:footer="1814" w:gutter="0"/>
          <w:cols w:space="708"/>
          <w:titlePg/>
          <w:docGrid w:linePitch="360"/>
        </w:sectPr>
      </w:pPr>
    </w:p>
    <w:p w14:paraId="3E684E8C" w14:textId="77777777" w:rsidR="00646E21" w:rsidRDefault="00646E21" w:rsidP="005A7C0B">
      <w:pPr>
        <w:pStyle w:val="PartHeading"/>
      </w:pPr>
    </w:p>
    <w:p w14:paraId="429A1711" w14:textId="77777777" w:rsidR="00646E21" w:rsidRDefault="00646E21">
      <w:pPr>
        <w:spacing w:after="0" w:line="240" w:lineRule="auto"/>
        <w:jc w:val="left"/>
        <w:rPr>
          <w:rFonts w:ascii="Arial Bold" w:hAnsi="Arial Bold" w:cs="Arial"/>
          <w:b/>
          <w:bCs/>
          <w:kern w:val="28"/>
          <w:sz w:val="52"/>
          <w:szCs w:val="32"/>
        </w:rPr>
      </w:pPr>
    </w:p>
    <w:p w14:paraId="2C73C896" w14:textId="77777777" w:rsidR="00257FF4" w:rsidRPr="005A7C0B" w:rsidRDefault="00257FF4" w:rsidP="005A7C0B">
      <w:pPr>
        <w:pStyle w:val="PartHeading"/>
      </w:pPr>
      <w:r w:rsidRPr="005A7C0B">
        <w:t xml:space="preserve">Department of </w:t>
      </w:r>
      <w:r w:rsidR="00E81274">
        <w:t>the Prime Minister and Cabinet</w:t>
      </w:r>
    </w:p>
    <w:p w14:paraId="70E2DB0F" w14:textId="77777777" w:rsidR="005A7C0B" w:rsidRDefault="005A7C0B" w:rsidP="005A7C0B">
      <w:pPr>
        <w:pStyle w:val="PartHeading"/>
      </w:pPr>
    </w:p>
    <w:p w14:paraId="49FAD3F9" w14:textId="77777777" w:rsidR="005A7C0B" w:rsidRDefault="005A7C0B" w:rsidP="005A7C0B">
      <w:pPr>
        <w:pStyle w:val="PartHeading"/>
      </w:pPr>
    </w:p>
    <w:p w14:paraId="36A2C54F" w14:textId="77777777" w:rsidR="00FF1E9C" w:rsidRDefault="007E6BBD" w:rsidP="006B7542">
      <w:pPr>
        <w:pStyle w:val="PartHeading-TOC"/>
      </w:pPr>
      <w:bookmarkStart w:id="17" w:name="_Toc98496266"/>
      <w:bookmarkStart w:id="18" w:name="_Toc98765305"/>
      <w:bookmarkStart w:id="19" w:name="_Toc99011790"/>
      <w:bookmarkStart w:id="20" w:name="_Toc99201040"/>
      <w:r>
        <w:t xml:space="preserve">Entity </w:t>
      </w:r>
      <w:r w:rsidR="00605163">
        <w:t>resources and planned performance</w:t>
      </w:r>
      <w:bookmarkEnd w:id="17"/>
      <w:bookmarkEnd w:id="18"/>
      <w:bookmarkEnd w:id="19"/>
      <w:bookmarkEnd w:id="20"/>
    </w:p>
    <w:p w14:paraId="1D7836FA" w14:textId="77777777" w:rsidR="00FF1E9C" w:rsidRDefault="00FF1E9C">
      <w:pPr>
        <w:spacing w:after="0" w:line="240" w:lineRule="auto"/>
        <w:jc w:val="left"/>
        <w:rPr>
          <w:rFonts w:ascii="Arial Bold" w:hAnsi="Arial Bold" w:cs="Arial"/>
          <w:b/>
          <w:bCs/>
          <w:kern w:val="28"/>
          <w:sz w:val="52"/>
          <w:szCs w:val="32"/>
        </w:rPr>
      </w:pPr>
      <w:r>
        <w:br w:type="page"/>
      </w:r>
    </w:p>
    <w:p w14:paraId="27E1CF0B" w14:textId="77777777" w:rsidR="00257FF4" w:rsidRDefault="00257FF4" w:rsidP="006B7542">
      <w:pPr>
        <w:pStyle w:val="PartHeading-TOC"/>
      </w:pPr>
    </w:p>
    <w:p w14:paraId="1CD091A5" w14:textId="77777777" w:rsidR="00257FF4" w:rsidRDefault="00257FF4" w:rsidP="00646E21">
      <w:pPr>
        <w:pStyle w:val="PartHeading"/>
        <w:jc w:val="both"/>
        <w:sectPr w:rsidR="00257FF4" w:rsidSect="00782467">
          <w:footerReference w:type="even" r:id="rId55"/>
          <w:footerReference w:type="first" r:id="rId56"/>
          <w:type w:val="oddPage"/>
          <w:pgSz w:w="11906" w:h="16838" w:code="9"/>
          <w:pgMar w:top="2835" w:right="2098" w:bottom="2466" w:left="2098" w:header="1814" w:footer="1814" w:gutter="0"/>
          <w:cols w:space="708"/>
          <w:vAlign w:val="center"/>
          <w:titlePg/>
          <w:docGrid w:linePitch="360"/>
        </w:sectPr>
      </w:pPr>
    </w:p>
    <w:p w14:paraId="087026B6" w14:textId="77777777" w:rsidR="00257FF4" w:rsidRPr="002A32FD" w:rsidRDefault="00257FF4" w:rsidP="002A32FD">
      <w:pPr>
        <w:pStyle w:val="ContentsHeading"/>
      </w:pPr>
      <w:bookmarkStart w:id="21" w:name="_Toc190766150"/>
      <w:r w:rsidRPr="002A32FD">
        <w:lastRenderedPageBreak/>
        <w:t xml:space="preserve">Department of </w:t>
      </w:r>
      <w:bookmarkEnd w:id="21"/>
      <w:r w:rsidR="00E81274">
        <w:t>the Prime Minister and Cabinet</w:t>
      </w:r>
    </w:p>
    <w:p w14:paraId="5189B755" w14:textId="77777777" w:rsidR="000D3617" w:rsidRDefault="00915F49">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99010691" w:history="1">
        <w:r w:rsidR="000D3617" w:rsidRPr="00FE6147">
          <w:rPr>
            <w:rStyle w:val="Hyperlink"/>
            <w:noProof/>
          </w:rPr>
          <w:t>Section 1: Entity overview and resources</w:t>
        </w:r>
        <w:r w:rsidR="000D3617">
          <w:rPr>
            <w:noProof/>
            <w:webHidden/>
          </w:rPr>
          <w:tab/>
        </w:r>
        <w:r w:rsidR="000D3617">
          <w:rPr>
            <w:noProof/>
            <w:webHidden/>
          </w:rPr>
          <w:fldChar w:fldCharType="begin"/>
        </w:r>
        <w:r w:rsidR="000D3617">
          <w:rPr>
            <w:noProof/>
            <w:webHidden/>
          </w:rPr>
          <w:instrText xml:space="preserve"> PAGEREF _Toc99010691 \h </w:instrText>
        </w:r>
        <w:r w:rsidR="000D3617">
          <w:rPr>
            <w:noProof/>
            <w:webHidden/>
          </w:rPr>
        </w:r>
        <w:r w:rsidR="000D3617">
          <w:rPr>
            <w:noProof/>
            <w:webHidden/>
          </w:rPr>
          <w:fldChar w:fldCharType="separate"/>
        </w:r>
        <w:r w:rsidR="00AC2929">
          <w:rPr>
            <w:noProof/>
            <w:webHidden/>
          </w:rPr>
          <w:t>21</w:t>
        </w:r>
        <w:r w:rsidR="000D3617">
          <w:rPr>
            <w:noProof/>
            <w:webHidden/>
          </w:rPr>
          <w:fldChar w:fldCharType="end"/>
        </w:r>
      </w:hyperlink>
    </w:p>
    <w:p w14:paraId="2B4B1FF5" w14:textId="77777777" w:rsidR="000D3617" w:rsidRDefault="00A76B91">
      <w:pPr>
        <w:pStyle w:val="TOC2"/>
        <w:tabs>
          <w:tab w:val="left" w:pos="800"/>
        </w:tabs>
        <w:rPr>
          <w:rFonts w:asciiTheme="minorHAnsi" w:eastAsiaTheme="minorEastAsia" w:hAnsiTheme="minorHAnsi" w:cstheme="minorBidi"/>
          <w:noProof/>
          <w:sz w:val="22"/>
          <w:szCs w:val="22"/>
        </w:rPr>
      </w:pPr>
      <w:hyperlink w:anchor="_Toc99010692" w:history="1">
        <w:r w:rsidR="000D3617" w:rsidRPr="00FE6147">
          <w:rPr>
            <w:rStyle w:val="Hyperlink"/>
            <w:noProof/>
          </w:rPr>
          <w:t>1.1</w:t>
        </w:r>
        <w:r w:rsidR="000D3617">
          <w:rPr>
            <w:rFonts w:asciiTheme="minorHAnsi" w:eastAsiaTheme="minorEastAsia" w:hAnsiTheme="minorHAnsi" w:cstheme="minorBidi"/>
            <w:noProof/>
            <w:sz w:val="22"/>
            <w:szCs w:val="22"/>
          </w:rPr>
          <w:tab/>
        </w:r>
        <w:r w:rsidR="000D3617" w:rsidRPr="00FE6147">
          <w:rPr>
            <w:rStyle w:val="Hyperlink"/>
            <w:noProof/>
          </w:rPr>
          <w:t>Strategic direction statement</w:t>
        </w:r>
        <w:r w:rsidR="000D3617">
          <w:rPr>
            <w:noProof/>
            <w:webHidden/>
          </w:rPr>
          <w:tab/>
        </w:r>
        <w:r w:rsidR="000D3617">
          <w:rPr>
            <w:noProof/>
            <w:webHidden/>
          </w:rPr>
          <w:fldChar w:fldCharType="begin"/>
        </w:r>
        <w:r w:rsidR="000D3617">
          <w:rPr>
            <w:noProof/>
            <w:webHidden/>
          </w:rPr>
          <w:instrText xml:space="preserve"> PAGEREF _Toc99010692 \h </w:instrText>
        </w:r>
        <w:r w:rsidR="000D3617">
          <w:rPr>
            <w:noProof/>
            <w:webHidden/>
          </w:rPr>
        </w:r>
        <w:r w:rsidR="000D3617">
          <w:rPr>
            <w:noProof/>
            <w:webHidden/>
          </w:rPr>
          <w:fldChar w:fldCharType="separate"/>
        </w:r>
        <w:r w:rsidR="00AC2929">
          <w:rPr>
            <w:noProof/>
            <w:webHidden/>
          </w:rPr>
          <w:t>21</w:t>
        </w:r>
        <w:r w:rsidR="000D3617">
          <w:rPr>
            <w:noProof/>
            <w:webHidden/>
          </w:rPr>
          <w:fldChar w:fldCharType="end"/>
        </w:r>
      </w:hyperlink>
    </w:p>
    <w:p w14:paraId="7C15B8F1" w14:textId="77777777" w:rsidR="000D3617" w:rsidRDefault="00A76B91">
      <w:pPr>
        <w:pStyle w:val="TOC2"/>
        <w:tabs>
          <w:tab w:val="left" w:pos="800"/>
        </w:tabs>
        <w:rPr>
          <w:rFonts w:asciiTheme="minorHAnsi" w:eastAsiaTheme="minorEastAsia" w:hAnsiTheme="minorHAnsi" w:cstheme="minorBidi"/>
          <w:noProof/>
          <w:sz w:val="22"/>
          <w:szCs w:val="22"/>
        </w:rPr>
      </w:pPr>
      <w:hyperlink w:anchor="_Toc99010693" w:history="1">
        <w:r w:rsidR="000D3617" w:rsidRPr="00FE6147">
          <w:rPr>
            <w:rStyle w:val="Hyperlink"/>
            <w:noProof/>
          </w:rPr>
          <w:t>1.2</w:t>
        </w:r>
        <w:r w:rsidR="000D3617">
          <w:rPr>
            <w:rFonts w:asciiTheme="minorHAnsi" w:eastAsiaTheme="minorEastAsia" w:hAnsiTheme="minorHAnsi" w:cstheme="minorBidi"/>
            <w:noProof/>
            <w:sz w:val="22"/>
            <w:szCs w:val="22"/>
          </w:rPr>
          <w:tab/>
        </w:r>
        <w:r w:rsidR="000D3617" w:rsidRPr="00FE6147">
          <w:rPr>
            <w:rStyle w:val="Hyperlink"/>
            <w:noProof/>
          </w:rPr>
          <w:t>Entity resource statement</w:t>
        </w:r>
        <w:r w:rsidR="000D3617">
          <w:rPr>
            <w:noProof/>
            <w:webHidden/>
          </w:rPr>
          <w:tab/>
        </w:r>
        <w:r w:rsidR="000D3617">
          <w:rPr>
            <w:noProof/>
            <w:webHidden/>
          </w:rPr>
          <w:fldChar w:fldCharType="begin"/>
        </w:r>
        <w:r w:rsidR="000D3617">
          <w:rPr>
            <w:noProof/>
            <w:webHidden/>
          </w:rPr>
          <w:instrText xml:space="preserve"> PAGEREF _Toc99010693 \h </w:instrText>
        </w:r>
        <w:r w:rsidR="000D3617">
          <w:rPr>
            <w:noProof/>
            <w:webHidden/>
          </w:rPr>
        </w:r>
        <w:r w:rsidR="000D3617">
          <w:rPr>
            <w:noProof/>
            <w:webHidden/>
          </w:rPr>
          <w:fldChar w:fldCharType="separate"/>
        </w:r>
        <w:r w:rsidR="00AC2929">
          <w:rPr>
            <w:noProof/>
            <w:webHidden/>
          </w:rPr>
          <w:t>23</w:t>
        </w:r>
        <w:r w:rsidR="000D3617">
          <w:rPr>
            <w:noProof/>
            <w:webHidden/>
          </w:rPr>
          <w:fldChar w:fldCharType="end"/>
        </w:r>
      </w:hyperlink>
    </w:p>
    <w:p w14:paraId="6864E591" w14:textId="77777777" w:rsidR="000D3617" w:rsidRDefault="00A76B91">
      <w:pPr>
        <w:pStyle w:val="TOC2"/>
        <w:tabs>
          <w:tab w:val="left" w:pos="800"/>
        </w:tabs>
        <w:rPr>
          <w:rFonts w:asciiTheme="minorHAnsi" w:eastAsiaTheme="minorEastAsia" w:hAnsiTheme="minorHAnsi" w:cstheme="minorBidi"/>
          <w:noProof/>
          <w:sz w:val="22"/>
          <w:szCs w:val="22"/>
        </w:rPr>
      </w:pPr>
      <w:hyperlink w:anchor="_Toc99010694" w:history="1">
        <w:r w:rsidR="000D3617" w:rsidRPr="00FE6147">
          <w:rPr>
            <w:rStyle w:val="Hyperlink"/>
            <w:noProof/>
          </w:rPr>
          <w:t>1.3</w:t>
        </w:r>
        <w:r w:rsidR="000D3617">
          <w:rPr>
            <w:rFonts w:asciiTheme="minorHAnsi" w:eastAsiaTheme="minorEastAsia" w:hAnsiTheme="minorHAnsi" w:cstheme="minorBidi"/>
            <w:noProof/>
            <w:sz w:val="22"/>
            <w:szCs w:val="22"/>
          </w:rPr>
          <w:tab/>
        </w:r>
        <w:r w:rsidR="000D3617" w:rsidRPr="00FE6147">
          <w:rPr>
            <w:rStyle w:val="Hyperlink"/>
            <w:noProof/>
          </w:rPr>
          <w:t>Budget measures</w:t>
        </w:r>
        <w:r w:rsidR="000D3617">
          <w:rPr>
            <w:noProof/>
            <w:webHidden/>
          </w:rPr>
          <w:tab/>
        </w:r>
        <w:r w:rsidR="000D3617">
          <w:rPr>
            <w:noProof/>
            <w:webHidden/>
          </w:rPr>
          <w:fldChar w:fldCharType="begin"/>
        </w:r>
        <w:r w:rsidR="000D3617">
          <w:rPr>
            <w:noProof/>
            <w:webHidden/>
          </w:rPr>
          <w:instrText xml:space="preserve"> PAGEREF _Toc99010694 \h </w:instrText>
        </w:r>
        <w:r w:rsidR="000D3617">
          <w:rPr>
            <w:noProof/>
            <w:webHidden/>
          </w:rPr>
        </w:r>
        <w:r w:rsidR="000D3617">
          <w:rPr>
            <w:noProof/>
            <w:webHidden/>
          </w:rPr>
          <w:fldChar w:fldCharType="separate"/>
        </w:r>
        <w:r w:rsidR="00AC2929">
          <w:rPr>
            <w:noProof/>
            <w:webHidden/>
          </w:rPr>
          <w:t>26</w:t>
        </w:r>
        <w:r w:rsidR="000D3617">
          <w:rPr>
            <w:noProof/>
            <w:webHidden/>
          </w:rPr>
          <w:fldChar w:fldCharType="end"/>
        </w:r>
      </w:hyperlink>
    </w:p>
    <w:p w14:paraId="01C7DACC" w14:textId="77777777" w:rsidR="000D3617" w:rsidRDefault="00A76B91">
      <w:pPr>
        <w:pStyle w:val="TOC1"/>
        <w:rPr>
          <w:rFonts w:asciiTheme="minorHAnsi" w:eastAsiaTheme="minorEastAsia" w:hAnsiTheme="minorHAnsi" w:cstheme="minorBidi"/>
          <w:b w:val="0"/>
          <w:caps w:val="0"/>
          <w:noProof/>
          <w:sz w:val="22"/>
          <w:szCs w:val="22"/>
        </w:rPr>
      </w:pPr>
      <w:hyperlink w:anchor="_Toc99010695" w:history="1">
        <w:r w:rsidR="000D3617" w:rsidRPr="00FE6147">
          <w:rPr>
            <w:rStyle w:val="Hyperlink"/>
            <w:noProof/>
          </w:rPr>
          <w:t>Section 2: Outcomes and planned performance</w:t>
        </w:r>
        <w:r w:rsidR="000D3617">
          <w:rPr>
            <w:noProof/>
            <w:webHidden/>
          </w:rPr>
          <w:tab/>
        </w:r>
        <w:r w:rsidR="000D3617">
          <w:rPr>
            <w:noProof/>
            <w:webHidden/>
          </w:rPr>
          <w:fldChar w:fldCharType="begin"/>
        </w:r>
        <w:r w:rsidR="000D3617">
          <w:rPr>
            <w:noProof/>
            <w:webHidden/>
          </w:rPr>
          <w:instrText xml:space="preserve"> PAGEREF _Toc99010695 \h </w:instrText>
        </w:r>
        <w:r w:rsidR="000D3617">
          <w:rPr>
            <w:noProof/>
            <w:webHidden/>
          </w:rPr>
        </w:r>
        <w:r w:rsidR="000D3617">
          <w:rPr>
            <w:noProof/>
            <w:webHidden/>
          </w:rPr>
          <w:fldChar w:fldCharType="separate"/>
        </w:r>
        <w:r w:rsidR="00AC2929">
          <w:rPr>
            <w:noProof/>
            <w:webHidden/>
          </w:rPr>
          <w:t>28</w:t>
        </w:r>
        <w:r w:rsidR="000D3617">
          <w:rPr>
            <w:noProof/>
            <w:webHidden/>
          </w:rPr>
          <w:fldChar w:fldCharType="end"/>
        </w:r>
      </w:hyperlink>
    </w:p>
    <w:p w14:paraId="6B2185E5" w14:textId="77777777" w:rsidR="000D3617" w:rsidRDefault="00A76B91">
      <w:pPr>
        <w:pStyle w:val="TOC2"/>
        <w:tabs>
          <w:tab w:val="left" w:pos="800"/>
        </w:tabs>
        <w:rPr>
          <w:rFonts w:asciiTheme="minorHAnsi" w:eastAsiaTheme="minorEastAsia" w:hAnsiTheme="minorHAnsi" w:cstheme="minorBidi"/>
          <w:noProof/>
          <w:sz w:val="22"/>
          <w:szCs w:val="22"/>
        </w:rPr>
      </w:pPr>
      <w:hyperlink w:anchor="_Toc99010696" w:history="1">
        <w:r w:rsidR="000D3617" w:rsidRPr="00FE6147">
          <w:rPr>
            <w:rStyle w:val="Hyperlink"/>
            <w:noProof/>
          </w:rPr>
          <w:t xml:space="preserve">2.1 </w:t>
        </w:r>
        <w:r w:rsidR="000D3617">
          <w:rPr>
            <w:rFonts w:asciiTheme="minorHAnsi" w:eastAsiaTheme="minorEastAsia" w:hAnsiTheme="minorHAnsi" w:cstheme="minorBidi"/>
            <w:noProof/>
            <w:sz w:val="22"/>
            <w:szCs w:val="22"/>
          </w:rPr>
          <w:tab/>
        </w:r>
        <w:r w:rsidR="000D3617" w:rsidRPr="00FE6147">
          <w:rPr>
            <w:rStyle w:val="Hyperlink"/>
            <w:noProof/>
          </w:rPr>
          <w:t>Budgeted expenses and performance for Outcome 1</w:t>
        </w:r>
        <w:r w:rsidR="000D3617">
          <w:rPr>
            <w:noProof/>
            <w:webHidden/>
          </w:rPr>
          <w:tab/>
        </w:r>
        <w:r w:rsidR="000D3617">
          <w:rPr>
            <w:noProof/>
            <w:webHidden/>
          </w:rPr>
          <w:fldChar w:fldCharType="begin"/>
        </w:r>
        <w:r w:rsidR="000D3617">
          <w:rPr>
            <w:noProof/>
            <w:webHidden/>
          </w:rPr>
          <w:instrText xml:space="preserve"> PAGEREF _Toc99010696 \h </w:instrText>
        </w:r>
        <w:r w:rsidR="000D3617">
          <w:rPr>
            <w:noProof/>
            <w:webHidden/>
          </w:rPr>
        </w:r>
        <w:r w:rsidR="000D3617">
          <w:rPr>
            <w:noProof/>
            <w:webHidden/>
          </w:rPr>
          <w:fldChar w:fldCharType="separate"/>
        </w:r>
        <w:r w:rsidR="00AC2929">
          <w:rPr>
            <w:noProof/>
            <w:webHidden/>
          </w:rPr>
          <w:t>29</w:t>
        </w:r>
        <w:r w:rsidR="000D3617">
          <w:rPr>
            <w:noProof/>
            <w:webHidden/>
          </w:rPr>
          <w:fldChar w:fldCharType="end"/>
        </w:r>
      </w:hyperlink>
    </w:p>
    <w:p w14:paraId="001A8E78" w14:textId="77777777" w:rsidR="000D3617" w:rsidRDefault="00A76B91">
      <w:pPr>
        <w:pStyle w:val="TOC1"/>
        <w:rPr>
          <w:rFonts w:asciiTheme="minorHAnsi" w:eastAsiaTheme="minorEastAsia" w:hAnsiTheme="minorHAnsi" w:cstheme="minorBidi"/>
          <w:b w:val="0"/>
          <w:caps w:val="0"/>
          <w:noProof/>
          <w:sz w:val="22"/>
          <w:szCs w:val="22"/>
        </w:rPr>
      </w:pPr>
      <w:hyperlink w:anchor="_Toc99010697" w:history="1">
        <w:r w:rsidR="000D3617" w:rsidRPr="00FE6147">
          <w:rPr>
            <w:rStyle w:val="Hyperlink"/>
            <w:noProof/>
          </w:rPr>
          <w:t>Section 3: Budgeted financial statements</w:t>
        </w:r>
        <w:r w:rsidR="000D3617">
          <w:rPr>
            <w:noProof/>
            <w:webHidden/>
          </w:rPr>
          <w:tab/>
        </w:r>
        <w:r w:rsidR="000D3617">
          <w:rPr>
            <w:noProof/>
            <w:webHidden/>
          </w:rPr>
          <w:fldChar w:fldCharType="begin"/>
        </w:r>
        <w:r w:rsidR="000D3617">
          <w:rPr>
            <w:noProof/>
            <w:webHidden/>
          </w:rPr>
          <w:instrText xml:space="preserve"> PAGEREF _Toc99010697 \h </w:instrText>
        </w:r>
        <w:r w:rsidR="000D3617">
          <w:rPr>
            <w:noProof/>
            <w:webHidden/>
          </w:rPr>
        </w:r>
        <w:r w:rsidR="000D3617">
          <w:rPr>
            <w:noProof/>
            <w:webHidden/>
          </w:rPr>
          <w:fldChar w:fldCharType="separate"/>
        </w:r>
        <w:r w:rsidR="00AC2929">
          <w:rPr>
            <w:noProof/>
            <w:webHidden/>
          </w:rPr>
          <w:t>33</w:t>
        </w:r>
        <w:r w:rsidR="000D3617">
          <w:rPr>
            <w:noProof/>
            <w:webHidden/>
          </w:rPr>
          <w:fldChar w:fldCharType="end"/>
        </w:r>
      </w:hyperlink>
    </w:p>
    <w:p w14:paraId="15D847C5" w14:textId="77777777" w:rsidR="000D3617" w:rsidRDefault="00A76B91">
      <w:pPr>
        <w:pStyle w:val="TOC2"/>
        <w:tabs>
          <w:tab w:val="left" w:pos="800"/>
        </w:tabs>
        <w:rPr>
          <w:rFonts w:asciiTheme="minorHAnsi" w:eastAsiaTheme="minorEastAsia" w:hAnsiTheme="minorHAnsi" w:cstheme="minorBidi"/>
          <w:noProof/>
          <w:sz w:val="22"/>
          <w:szCs w:val="22"/>
        </w:rPr>
      </w:pPr>
      <w:hyperlink w:anchor="_Toc99010698" w:history="1">
        <w:r w:rsidR="000D3617" w:rsidRPr="00FE6147">
          <w:rPr>
            <w:rStyle w:val="Hyperlink"/>
            <w:noProof/>
          </w:rPr>
          <w:t>3.1</w:t>
        </w:r>
        <w:r w:rsidR="000D3617">
          <w:rPr>
            <w:rFonts w:asciiTheme="minorHAnsi" w:eastAsiaTheme="minorEastAsia" w:hAnsiTheme="minorHAnsi" w:cstheme="minorBidi"/>
            <w:noProof/>
            <w:sz w:val="22"/>
            <w:szCs w:val="22"/>
          </w:rPr>
          <w:tab/>
        </w:r>
        <w:r w:rsidR="000D3617" w:rsidRPr="00FE6147">
          <w:rPr>
            <w:rStyle w:val="Hyperlink"/>
            <w:noProof/>
          </w:rPr>
          <w:t>Budgeted financial statements</w:t>
        </w:r>
        <w:r w:rsidR="000D3617">
          <w:rPr>
            <w:noProof/>
            <w:webHidden/>
          </w:rPr>
          <w:tab/>
        </w:r>
        <w:r w:rsidR="000D3617">
          <w:rPr>
            <w:noProof/>
            <w:webHidden/>
          </w:rPr>
          <w:fldChar w:fldCharType="begin"/>
        </w:r>
        <w:r w:rsidR="000D3617">
          <w:rPr>
            <w:noProof/>
            <w:webHidden/>
          </w:rPr>
          <w:instrText xml:space="preserve"> PAGEREF _Toc99010698 \h </w:instrText>
        </w:r>
        <w:r w:rsidR="000D3617">
          <w:rPr>
            <w:noProof/>
            <w:webHidden/>
          </w:rPr>
        </w:r>
        <w:r w:rsidR="000D3617">
          <w:rPr>
            <w:noProof/>
            <w:webHidden/>
          </w:rPr>
          <w:fldChar w:fldCharType="separate"/>
        </w:r>
        <w:r w:rsidR="00AC2929">
          <w:rPr>
            <w:noProof/>
            <w:webHidden/>
          </w:rPr>
          <w:t>33</w:t>
        </w:r>
        <w:r w:rsidR="000D3617">
          <w:rPr>
            <w:noProof/>
            <w:webHidden/>
          </w:rPr>
          <w:fldChar w:fldCharType="end"/>
        </w:r>
      </w:hyperlink>
    </w:p>
    <w:p w14:paraId="2546108F" w14:textId="77777777" w:rsidR="008B5AFD" w:rsidRDefault="00915F49" w:rsidP="003E2B5E">
      <w:pPr>
        <w:pStyle w:val="TOC1"/>
      </w:pPr>
      <w:r>
        <w:fldChar w:fldCharType="end"/>
      </w:r>
    </w:p>
    <w:p w14:paraId="0BF60471" w14:textId="77777777" w:rsidR="003E2B5E" w:rsidRPr="008B5AFD" w:rsidRDefault="003E2B5E" w:rsidP="008B5AFD"/>
    <w:p w14:paraId="78151B78" w14:textId="77777777" w:rsidR="0000774A" w:rsidRDefault="0000774A" w:rsidP="00257FF4"/>
    <w:p w14:paraId="5CCBC22E" w14:textId="77777777" w:rsidR="0000774A" w:rsidRDefault="0000774A">
      <w:pPr>
        <w:spacing w:after="0" w:line="240" w:lineRule="auto"/>
        <w:jc w:val="left"/>
      </w:pPr>
      <w:r>
        <w:br w:type="page"/>
      </w:r>
    </w:p>
    <w:p w14:paraId="0FE534A8" w14:textId="77777777" w:rsidR="0000774A" w:rsidRDefault="0000774A" w:rsidP="00257FF4"/>
    <w:p w14:paraId="6721D19E" w14:textId="77777777" w:rsidR="0000774A" w:rsidRDefault="0000774A">
      <w:pPr>
        <w:spacing w:after="0" w:line="240" w:lineRule="auto"/>
        <w:jc w:val="left"/>
      </w:pPr>
      <w:r>
        <w:br w:type="page"/>
      </w:r>
    </w:p>
    <w:p w14:paraId="17738A45" w14:textId="77777777" w:rsidR="00257FF4" w:rsidRDefault="00257FF4" w:rsidP="00257FF4">
      <w:pPr>
        <w:sectPr w:rsidR="00257FF4" w:rsidSect="00782467">
          <w:footerReference w:type="first" r:id="rId57"/>
          <w:type w:val="oddPage"/>
          <w:pgSz w:w="11906" w:h="16838" w:code="9"/>
          <w:pgMar w:top="2835" w:right="2098" w:bottom="2466" w:left="2098" w:header="1814" w:footer="1814" w:gutter="0"/>
          <w:cols w:space="708"/>
          <w:titlePg/>
          <w:docGrid w:linePitch="360"/>
        </w:sectPr>
      </w:pPr>
    </w:p>
    <w:p w14:paraId="468C33CF" w14:textId="77777777" w:rsidR="00257FF4" w:rsidRDefault="00257FF4" w:rsidP="00834F9A">
      <w:pPr>
        <w:pStyle w:val="Heading1"/>
      </w:pPr>
      <w:bookmarkStart w:id="22" w:name="_Toc99201041"/>
      <w:r>
        <w:lastRenderedPageBreak/>
        <w:t xml:space="preserve">Department of </w:t>
      </w:r>
      <w:r w:rsidR="00E81274">
        <w:t>the Prime Minister and Cabinet</w:t>
      </w:r>
      <w:bookmarkEnd w:id="22"/>
    </w:p>
    <w:p w14:paraId="0BAC75A0" w14:textId="77777777" w:rsidR="00257FF4" w:rsidRPr="002C4D41" w:rsidRDefault="00257FF4" w:rsidP="00257FF4">
      <w:pPr>
        <w:pStyle w:val="Heading2"/>
      </w:pPr>
      <w:bookmarkStart w:id="23" w:name="_Toc190682308"/>
      <w:bookmarkStart w:id="24" w:name="_Toc190682526"/>
      <w:bookmarkStart w:id="25" w:name="_Toc444523508"/>
      <w:bookmarkStart w:id="26" w:name="_Toc98766346"/>
      <w:bookmarkStart w:id="27" w:name="_Toc98856092"/>
      <w:bookmarkStart w:id="28" w:name="_Toc99008101"/>
      <w:bookmarkStart w:id="29" w:name="_Toc99009463"/>
      <w:bookmarkStart w:id="30" w:name="_Toc99010691"/>
      <w:bookmarkStart w:id="31" w:name="_Toc99013926"/>
      <w:bookmarkStart w:id="32" w:name="_Toc99187503"/>
      <w:bookmarkStart w:id="33" w:name="_Toc99269612"/>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23"/>
      <w:bookmarkEnd w:id="24"/>
      <w:bookmarkEnd w:id="25"/>
      <w:bookmarkEnd w:id="26"/>
      <w:bookmarkEnd w:id="27"/>
      <w:bookmarkEnd w:id="28"/>
      <w:bookmarkEnd w:id="29"/>
      <w:bookmarkEnd w:id="30"/>
      <w:bookmarkEnd w:id="31"/>
      <w:bookmarkEnd w:id="32"/>
      <w:bookmarkEnd w:id="33"/>
    </w:p>
    <w:p w14:paraId="72294467" w14:textId="77777777" w:rsidR="00257FF4" w:rsidRDefault="00257FF4" w:rsidP="00257FF4">
      <w:pPr>
        <w:pStyle w:val="Heading3"/>
      </w:pPr>
      <w:bookmarkStart w:id="34" w:name="_Toc190682309"/>
      <w:bookmarkStart w:id="35" w:name="_Toc190682527"/>
      <w:bookmarkStart w:id="36" w:name="_Toc444523509"/>
      <w:bookmarkStart w:id="37" w:name="_Toc98766347"/>
      <w:bookmarkStart w:id="38" w:name="_Toc98856093"/>
      <w:bookmarkStart w:id="39" w:name="_Toc99008102"/>
      <w:bookmarkStart w:id="40" w:name="_Toc99009464"/>
      <w:bookmarkStart w:id="41" w:name="_Toc99010692"/>
      <w:bookmarkStart w:id="42" w:name="_Toc99013927"/>
      <w:bookmarkStart w:id="43" w:name="_Toc99187504"/>
      <w:bookmarkStart w:id="44" w:name="_Toc99269613"/>
      <w:r>
        <w:t>1.1</w:t>
      </w:r>
      <w:r>
        <w:tab/>
        <w:t xml:space="preserve">Strategic </w:t>
      </w:r>
      <w:r w:rsidR="00D81071">
        <w:t>direction</w:t>
      </w:r>
      <w:bookmarkEnd w:id="34"/>
      <w:bookmarkEnd w:id="35"/>
      <w:r w:rsidR="00D81071">
        <w:t xml:space="preserve"> </w:t>
      </w:r>
      <w:r w:rsidR="00605163">
        <w:t>statement</w:t>
      </w:r>
      <w:bookmarkEnd w:id="36"/>
      <w:bookmarkEnd w:id="37"/>
      <w:bookmarkEnd w:id="38"/>
      <w:bookmarkEnd w:id="39"/>
      <w:bookmarkEnd w:id="40"/>
      <w:bookmarkEnd w:id="41"/>
      <w:bookmarkEnd w:id="42"/>
      <w:bookmarkEnd w:id="43"/>
      <w:bookmarkEnd w:id="44"/>
    </w:p>
    <w:p w14:paraId="343215FC" w14:textId="77777777" w:rsidR="00124EBD" w:rsidRPr="003C72EF" w:rsidRDefault="00124EBD" w:rsidP="00124EBD">
      <w:pPr>
        <w:pStyle w:val="Exampletext"/>
        <w:rPr>
          <w:i w:val="0"/>
          <w:color w:val="auto"/>
          <w:lang w:val="en-AU"/>
        </w:rPr>
      </w:pPr>
      <w:r w:rsidRPr="003C72EF">
        <w:rPr>
          <w:i w:val="0"/>
          <w:color w:val="auto"/>
        </w:rPr>
        <w:t xml:space="preserve">The role of </w:t>
      </w:r>
      <w:r w:rsidRPr="003C72EF">
        <w:rPr>
          <w:i w:val="0"/>
          <w:color w:val="auto"/>
          <w:lang w:val="en-US"/>
        </w:rPr>
        <w:t>the Department of the Prime Minister and Cabinet (</w:t>
      </w:r>
      <w:r w:rsidRPr="003C72EF">
        <w:rPr>
          <w:i w:val="0"/>
          <w:color w:val="auto"/>
        </w:rPr>
        <w:t>PM&amp;C</w:t>
      </w:r>
      <w:r w:rsidRPr="003C72EF">
        <w:rPr>
          <w:i w:val="0"/>
          <w:color w:val="auto"/>
          <w:lang w:val="en-US"/>
        </w:rPr>
        <w:t>)</w:t>
      </w:r>
      <w:r w:rsidRPr="003C72EF">
        <w:rPr>
          <w:i w:val="0"/>
          <w:color w:val="auto"/>
        </w:rPr>
        <w:t xml:space="preserve"> is to provide advice and support to the Prime Minister, the Cabinet, Portfolio Ministers and Assistant Ministers on matters that are at the forefront of public </w:t>
      </w:r>
      <w:r w:rsidR="0097069A">
        <w:rPr>
          <w:i w:val="0"/>
          <w:color w:val="auto"/>
          <w:lang w:val="en-AU"/>
        </w:rPr>
        <w:t xml:space="preserve">policy </w:t>
      </w:r>
      <w:r w:rsidRPr="003C72EF">
        <w:rPr>
          <w:i w:val="0"/>
          <w:color w:val="auto"/>
        </w:rPr>
        <w:t>and government administration.</w:t>
      </w:r>
    </w:p>
    <w:p w14:paraId="0082340D" w14:textId="77777777" w:rsidR="00124EBD" w:rsidRPr="003C72EF" w:rsidRDefault="00124EBD" w:rsidP="00124EBD">
      <w:pPr>
        <w:pStyle w:val="Exampletext"/>
        <w:rPr>
          <w:i w:val="0"/>
          <w:color w:val="auto"/>
        </w:rPr>
      </w:pPr>
      <w:r>
        <w:rPr>
          <w:i w:val="0"/>
          <w:color w:val="auto"/>
          <w:lang w:val="en-AU"/>
        </w:rPr>
        <w:t xml:space="preserve">The department </w:t>
      </w:r>
      <w:r w:rsidRPr="003C72EF">
        <w:rPr>
          <w:i w:val="0"/>
          <w:color w:val="auto"/>
        </w:rPr>
        <w:t>strives to achieve a coordinated</w:t>
      </w:r>
      <w:r w:rsidR="0097069A">
        <w:rPr>
          <w:i w:val="0"/>
          <w:color w:val="auto"/>
          <w:lang w:val="en-AU"/>
        </w:rPr>
        <w:t>, coherent</w:t>
      </w:r>
      <w:r w:rsidRPr="003C72EF">
        <w:rPr>
          <w:i w:val="0"/>
          <w:color w:val="auto"/>
        </w:rPr>
        <w:t xml:space="preserve"> and innovative approach to the development and implementation of government policies. This requires well considered advice on a range of issues, drawing together input from across portfolios, to address the long term challenges and opportunities facing Australia. Priority areas for </w:t>
      </w:r>
      <w:r>
        <w:rPr>
          <w:i w:val="0"/>
          <w:color w:val="auto"/>
          <w:lang w:val="en-AU"/>
        </w:rPr>
        <w:t>the  department</w:t>
      </w:r>
      <w:r w:rsidRPr="003C72EF">
        <w:rPr>
          <w:i w:val="0"/>
          <w:color w:val="auto"/>
        </w:rPr>
        <w:t xml:space="preserve"> include:</w:t>
      </w:r>
    </w:p>
    <w:p w14:paraId="1E137F7C" w14:textId="77777777" w:rsidR="00B44FBB" w:rsidRDefault="00B44FBB" w:rsidP="00015B2E">
      <w:pPr>
        <w:numPr>
          <w:ilvl w:val="0"/>
          <w:numId w:val="14"/>
        </w:numPr>
        <w:spacing w:after="120"/>
        <w:ind w:left="340"/>
      </w:pPr>
      <w:r w:rsidRPr="00B44FBB">
        <w:t>supporting the Prime Minister as Head of Government, Chair of the Cabinet, and Chair of the National Cabinet</w:t>
      </w:r>
    </w:p>
    <w:p w14:paraId="6D0E8AB1" w14:textId="77777777" w:rsidR="00124EBD" w:rsidRDefault="00124EBD" w:rsidP="00015B2E">
      <w:pPr>
        <w:numPr>
          <w:ilvl w:val="0"/>
          <w:numId w:val="14"/>
        </w:numPr>
        <w:spacing w:after="120"/>
        <w:ind w:left="340"/>
      </w:pPr>
      <w:r w:rsidRPr="003C72EF">
        <w:t>supporting the effective functioning of the Government</w:t>
      </w:r>
    </w:p>
    <w:p w14:paraId="61EB9B0D" w14:textId="77777777" w:rsidR="00F22051" w:rsidRDefault="00F22051" w:rsidP="00015B2E">
      <w:pPr>
        <w:numPr>
          <w:ilvl w:val="0"/>
          <w:numId w:val="14"/>
        </w:numPr>
        <w:spacing w:after="120"/>
        <w:ind w:left="340" w:hanging="425"/>
      </w:pPr>
      <w:r w:rsidRPr="00F22051">
        <w:t>advising the Prime Minister and Minister for Women on women’s safety,  economic security, workforce participation, leadership and international engagement</w:t>
      </w:r>
      <w:r w:rsidR="00015B2E">
        <w:t>,</w:t>
      </w:r>
      <w:r w:rsidRPr="00F22051">
        <w:t xml:space="preserve"> and coordinating this work across government</w:t>
      </w:r>
    </w:p>
    <w:p w14:paraId="26A835CA" w14:textId="77777777" w:rsidR="00680E75" w:rsidRPr="00F22051" w:rsidRDefault="00680E75" w:rsidP="00015B2E">
      <w:pPr>
        <w:numPr>
          <w:ilvl w:val="0"/>
          <w:numId w:val="14"/>
        </w:numPr>
        <w:spacing w:after="120"/>
        <w:ind w:left="340"/>
      </w:pPr>
      <w:r>
        <w:t>advising</w:t>
      </w:r>
      <w:r w:rsidRPr="00680E75">
        <w:t xml:space="preserve"> the Prime Minister and the Minister for the Public Service on matters relating to the Australian Public Service</w:t>
      </w:r>
    </w:p>
    <w:p w14:paraId="1E2447B9" w14:textId="77777777" w:rsidR="00124EBD" w:rsidRDefault="00124EBD" w:rsidP="00015B2E">
      <w:pPr>
        <w:numPr>
          <w:ilvl w:val="0"/>
          <w:numId w:val="14"/>
        </w:numPr>
        <w:spacing w:after="120"/>
        <w:ind w:left="340" w:hanging="425"/>
      </w:pPr>
      <w:r w:rsidRPr="005104D8">
        <w:t>providing advice on major domestic, international and national security policy issues, draw</w:t>
      </w:r>
      <w:r w:rsidRPr="003C72EF">
        <w:t>ing on expertise from across government</w:t>
      </w:r>
    </w:p>
    <w:p w14:paraId="70E046AA" w14:textId="77777777" w:rsidR="00124EBD" w:rsidRPr="003C72EF" w:rsidRDefault="00124EBD" w:rsidP="00015B2E">
      <w:pPr>
        <w:numPr>
          <w:ilvl w:val="0"/>
          <w:numId w:val="14"/>
        </w:numPr>
        <w:spacing w:after="120"/>
        <w:ind w:left="340" w:hanging="425"/>
      </w:pPr>
      <w:r w:rsidRPr="003C72EF">
        <w:t xml:space="preserve">monitoring and providing advice </w:t>
      </w:r>
      <w:r>
        <w:t>on the implementation of key g</w:t>
      </w:r>
      <w:r w:rsidRPr="003C72EF">
        <w:t>overnment initiatives, policies and programs</w:t>
      </w:r>
    </w:p>
    <w:p w14:paraId="6703EC61" w14:textId="77777777" w:rsidR="00124EBD" w:rsidRPr="003C72EF" w:rsidRDefault="00680E75" w:rsidP="00015B2E">
      <w:pPr>
        <w:numPr>
          <w:ilvl w:val="0"/>
          <w:numId w:val="14"/>
        </w:numPr>
        <w:spacing w:after="120"/>
        <w:ind w:left="340" w:hanging="425"/>
      </w:pPr>
      <w:r>
        <w:t>leading</w:t>
      </w:r>
      <w:r w:rsidR="00124EBD" w:rsidRPr="003C72EF">
        <w:t xml:space="preserve"> the A</w:t>
      </w:r>
      <w:r w:rsidR="00124EBD">
        <w:t xml:space="preserve">ustralian </w:t>
      </w:r>
      <w:r w:rsidR="00124EBD" w:rsidRPr="003C72EF">
        <w:t>P</w:t>
      </w:r>
      <w:r w:rsidR="00124EBD">
        <w:t xml:space="preserve">ublic </w:t>
      </w:r>
      <w:r w:rsidR="00124EBD" w:rsidRPr="003C72EF">
        <w:t>S</w:t>
      </w:r>
      <w:r w:rsidR="00124EBD">
        <w:t>ervice</w:t>
      </w:r>
      <w:r w:rsidR="00124EBD" w:rsidRPr="003C72EF">
        <w:t xml:space="preserve"> in collaboration with the Austr</w:t>
      </w:r>
      <w:r w:rsidR="00124EBD">
        <w:t>alian Public Service Commissioner</w:t>
      </w:r>
    </w:p>
    <w:p w14:paraId="1C903290" w14:textId="77777777" w:rsidR="00124EBD" w:rsidRPr="003C72EF" w:rsidRDefault="00124EBD" w:rsidP="00015B2E">
      <w:pPr>
        <w:numPr>
          <w:ilvl w:val="0"/>
          <w:numId w:val="14"/>
        </w:numPr>
        <w:spacing w:after="120"/>
        <w:ind w:left="340" w:hanging="425"/>
      </w:pPr>
      <w:r>
        <w:t>through the Office of the National Data Commissioner, streamlining how public sector data is used and shared</w:t>
      </w:r>
    </w:p>
    <w:p w14:paraId="62F07250" w14:textId="77777777" w:rsidR="00124EBD" w:rsidRPr="003C72EF" w:rsidRDefault="00124EBD" w:rsidP="00015B2E">
      <w:pPr>
        <w:numPr>
          <w:ilvl w:val="0"/>
          <w:numId w:val="14"/>
        </w:numPr>
        <w:spacing w:after="120"/>
        <w:ind w:left="340" w:hanging="425"/>
      </w:pPr>
      <w:r w:rsidRPr="003C72EF">
        <w:t>advising the Prime Minister on delivering national policies and strategies to enhance children’s safety and reduce future harm to children</w:t>
      </w:r>
    </w:p>
    <w:p w14:paraId="3D5E4326" w14:textId="77777777" w:rsidR="00124EBD" w:rsidRPr="00924D4B" w:rsidRDefault="00124EBD" w:rsidP="00015B2E">
      <w:pPr>
        <w:numPr>
          <w:ilvl w:val="0"/>
          <w:numId w:val="14"/>
        </w:numPr>
        <w:spacing w:after="120"/>
        <w:ind w:left="340" w:hanging="426"/>
      </w:pPr>
      <w:r w:rsidRPr="005104D8">
        <w:t>coordination of advice to the Government on actions to anticipate and mitigate the e</w:t>
      </w:r>
      <w:r w:rsidRPr="00924D4B">
        <w:t>conomic and social impacts of the global COVID-19 pandemic</w:t>
      </w:r>
    </w:p>
    <w:p w14:paraId="6442EBB5" w14:textId="77777777" w:rsidR="00124EBD" w:rsidRDefault="00124EBD" w:rsidP="00015B2E">
      <w:pPr>
        <w:numPr>
          <w:ilvl w:val="0"/>
          <w:numId w:val="14"/>
        </w:numPr>
        <w:autoSpaceDE w:val="0"/>
        <w:autoSpaceDN w:val="0"/>
        <w:spacing w:after="120"/>
        <w:ind w:left="340"/>
      </w:pPr>
      <w:r w:rsidRPr="00924D4B">
        <w:t>continuing support for mental health and suicide prevention, making significant investments to improving services and support for ment</w:t>
      </w:r>
      <w:r>
        <w:t>al health services and products, and</w:t>
      </w:r>
    </w:p>
    <w:p w14:paraId="765975F6" w14:textId="77777777" w:rsidR="00124EBD" w:rsidRPr="00924D4B" w:rsidRDefault="00124EBD" w:rsidP="00015B2E">
      <w:pPr>
        <w:numPr>
          <w:ilvl w:val="0"/>
          <w:numId w:val="14"/>
        </w:numPr>
        <w:autoSpaceDE w:val="0"/>
        <w:autoSpaceDN w:val="0"/>
        <w:spacing w:after="120"/>
        <w:ind w:left="340"/>
      </w:pPr>
      <w:r w:rsidRPr="00124EBD">
        <w:t>driving integration of digital policy across government, and monitoring and reviewing the impact of the Digital Australia Strategy.</w:t>
      </w:r>
    </w:p>
    <w:p w14:paraId="610F5E31" w14:textId="77777777" w:rsidR="00124EBD" w:rsidRPr="0079797F" w:rsidRDefault="00124EBD" w:rsidP="00124EBD">
      <w:r w:rsidRPr="003C72EF">
        <w:t>Further details of the objectives and performance evaluation mechanisms attached to this strategy are detailed in Section 2 of this document.</w:t>
      </w:r>
    </w:p>
    <w:p w14:paraId="259D7982" w14:textId="77777777" w:rsidR="00D1024D" w:rsidRPr="0079797F" w:rsidRDefault="00D1024D" w:rsidP="00E81274"/>
    <w:p w14:paraId="254B45CC" w14:textId="77777777" w:rsidR="00257FF4" w:rsidRDefault="000B36D8" w:rsidP="0079797F">
      <w:pPr>
        <w:pStyle w:val="Heading3"/>
      </w:pPr>
      <w:bookmarkStart w:id="45" w:name="_Toc190682310"/>
      <w:bookmarkStart w:id="46" w:name="_Toc190682528"/>
      <w:r w:rsidRPr="0079797F">
        <w:br w:type="page"/>
      </w:r>
      <w:bookmarkStart w:id="47" w:name="_Toc444523510"/>
      <w:bookmarkStart w:id="48" w:name="_Toc98766348"/>
      <w:bookmarkStart w:id="49" w:name="_Toc98856094"/>
      <w:bookmarkStart w:id="50" w:name="_Toc99008103"/>
      <w:bookmarkStart w:id="51" w:name="_Toc99009465"/>
      <w:bookmarkStart w:id="52" w:name="_Toc99010693"/>
      <w:bookmarkStart w:id="53" w:name="_Toc99013928"/>
      <w:bookmarkStart w:id="54" w:name="_Toc99187505"/>
      <w:bookmarkStart w:id="55" w:name="_Toc99269614"/>
      <w:r w:rsidR="00257FF4">
        <w:lastRenderedPageBreak/>
        <w:t>1.2</w:t>
      </w:r>
      <w:r w:rsidR="00257FF4">
        <w:tab/>
      </w:r>
      <w:r w:rsidR="007E6BBD">
        <w:t xml:space="preserve">Entity </w:t>
      </w:r>
      <w:r w:rsidR="00257FF4">
        <w:t>resource statement</w:t>
      </w:r>
      <w:bookmarkEnd w:id="45"/>
      <w:bookmarkEnd w:id="46"/>
      <w:bookmarkEnd w:id="47"/>
      <w:bookmarkEnd w:id="48"/>
      <w:bookmarkEnd w:id="49"/>
      <w:bookmarkEnd w:id="50"/>
      <w:bookmarkEnd w:id="51"/>
      <w:bookmarkEnd w:id="52"/>
      <w:bookmarkEnd w:id="53"/>
      <w:bookmarkEnd w:id="54"/>
      <w:bookmarkEnd w:id="55"/>
    </w:p>
    <w:p w14:paraId="53C16738" w14:textId="77777777" w:rsidR="00E1129E" w:rsidRDefault="00257FF4" w:rsidP="00257FF4">
      <w:bookmarkStart w:id="56" w:name="OLE_LINK11"/>
      <w:bookmarkStart w:id="57" w:name="OLE_LINK12"/>
      <w:r>
        <w:t xml:space="preserve">Table 1.1 shows the total </w:t>
      </w:r>
      <w:r w:rsidR="00E1129E">
        <w:t xml:space="preserve">funding </w:t>
      </w:r>
      <w:r>
        <w:t>from all</w:t>
      </w:r>
      <w:r w:rsidR="00BB721D">
        <w:t xml:space="preserve"> sources</w:t>
      </w:r>
      <w:r w:rsidR="00331B40">
        <w:t xml:space="preserve"> available to </w:t>
      </w:r>
      <w:r w:rsidR="00801C4A">
        <w:t>PM&amp;C</w:t>
      </w:r>
      <w:r w:rsidR="00331B40">
        <w:t xml:space="preserve"> for its operations and to deliver </w:t>
      </w:r>
      <w:r w:rsidR="00290933">
        <w:t>programs</w:t>
      </w:r>
      <w:r w:rsidR="00331B40">
        <w:t xml:space="preserve"> and servic</w:t>
      </w:r>
      <w:r w:rsidR="00705BC0">
        <w:t>es on behalf of the G</w:t>
      </w:r>
      <w:r w:rsidR="00331B40">
        <w:t>overnment</w:t>
      </w:r>
      <w:r w:rsidR="005A7C0B">
        <w:t>.</w:t>
      </w:r>
    </w:p>
    <w:p w14:paraId="3DA1AD74" w14:textId="77777777"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 xml:space="preserve">(for the </w:t>
      </w:r>
      <w:r w:rsidR="00015B2E">
        <w:t>entity’s</w:t>
      </w:r>
      <w:r w:rsidR="00331B40">
        <w:t xml:space="preserve"> operations) </w:t>
      </w:r>
      <w:r>
        <w:t>classification.</w:t>
      </w:r>
    </w:p>
    <w:p w14:paraId="7E881A5F" w14:textId="77777777" w:rsidR="009F43CB" w:rsidRDefault="00331B40" w:rsidP="00257FF4">
      <w:r>
        <w:t xml:space="preserve">For more detailed information on special accounts and special appropriations, please refer to </w:t>
      </w:r>
      <w:r w:rsidRPr="00C445F5">
        <w:t>Budget Paper No. 4 – Agency Resourcing</w:t>
      </w:r>
      <w:r>
        <w:t>.</w:t>
      </w:r>
    </w:p>
    <w:p w14:paraId="4668A98B" w14:textId="77777777" w:rsidR="00645E69" w:rsidRDefault="0050363B" w:rsidP="00257FF4">
      <w:r>
        <w:t xml:space="preserve">Information in this table is presented on a resourcing (that is, appropriations/cash available) basis, </w:t>
      </w:r>
      <w:r w:rsidR="000D4E6C">
        <w:t>while</w:t>
      </w:r>
      <w:r>
        <w:t xml:space="preserve"> the ‘Budgeted expenses by Outcome 1’ tables in Section 2 and the financial statements in Section 3 are presented on an accrual basis</w:t>
      </w:r>
      <w:r w:rsidR="00831489">
        <w:t>.</w:t>
      </w:r>
    </w:p>
    <w:bookmarkEnd w:id="56"/>
    <w:bookmarkEnd w:id="57"/>
    <w:p w14:paraId="383D1D3A" w14:textId="77777777" w:rsidR="00CB2844" w:rsidRPr="00FE1091" w:rsidRDefault="00E92644" w:rsidP="00D44150">
      <w:pPr>
        <w:pStyle w:val="TableHeading"/>
        <w:rPr>
          <w:b w:val="0"/>
          <w:lang w:val="en-AU"/>
        </w:rPr>
      </w:pPr>
      <w:r>
        <w:br w:type="page"/>
      </w:r>
      <w:r w:rsidR="00741BF8" w:rsidRPr="00D44150">
        <w:lastRenderedPageBreak/>
        <w:t xml:space="preserve">Table 1.1: </w:t>
      </w:r>
      <w:r w:rsidR="00801C4A">
        <w:rPr>
          <w:lang w:val="en-AU"/>
        </w:rPr>
        <w:t>PM&amp;C</w:t>
      </w:r>
      <w:r w:rsidR="00741BF8" w:rsidRPr="00D44150">
        <w:t xml:space="preserve"> resource statement</w:t>
      </w:r>
      <w:r w:rsidR="0066176D">
        <w:t xml:space="preserve"> — Budget estimates for </w:t>
      </w:r>
      <w:r w:rsidR="00400A8B">
        <w:rPr>
          <w:lang w:val="en-AU"/>
        </w:rPr>
        <w:t>2022</w:t>
      </w:r>
      <w:r w:rsidR="00FC6CF3">
        <w:rPr>
          <w:lang w:val="en-AU"/>
        </w:rPr>
        <w:t>-</w:t>
      </w:r>
      <w:r w:rsidR="00400A8B">
        <w:rPr>
          <w:lang w:val="en-AU"/>
        </w:rPr>
        <w:t>23</w:t>
      </w:r>
      <w:r w:rsidR="00400A8B">
        <w:t xml:space="preserve"> </w:t>
      </w:r>
      <w:r w:rsidR="00741BF8" w:rsidRPr="00D44150">
        <w:t xml:space="preserve">as at Budget </w:t>
      </w:r>
      <w:r w:rsidR="00ED3B06">
        <w:rPr>
          <w:lang w:val="en-AU"/>
        </w:rPr>
        <w:t>Ma</w:t>
      </w:r>
      <w:r w:rsidR="00006B50">
        <w:rPr>
          <w:lang w:val="en-AU"/>
        </w:rPr>
        <w:t>rch</w:t>
      </w:r>
      <w:r w:rsidR="00ED3B06" w:rsidRPr="00D44150">
        <w:t xml:space="preserve"> </w:t>
      </w:r>
      <w:r w:rsidR="00400A8B">
        <w:rPr>
          <w:lang w:val="en-AU"/>
        </w:rPr>
        <w:t>2022</w:t>
      </w:r>
    </w:p>
    <w:p w14:paraId="1B970AD8" w14:textId="77777777" w:rsidR="00F94E8C" w:rsidRDefault="008B340B" w:rsidP="009763C1">
      <w:pPr>
        <w:pStyle w:val="TableGraphic"/>
        <w:rPr>
          <w:rFonts w:ascii="Arial" w:hAnsi="Arial"/>
          <w:color w:val="000000"/>
          <w:lang w:val="x-none" w:eastAsia="x-none"/>
        </w:rPr>
      </w:pPr>
      <w:r w:rsidRPr="008B340B">
        <w:rPr>
          <w:noProof/>
        </w:rPr>
        <w:drawing>
          <wp:inline distT="0" distB="0" distL="0" distR="0" wp14:anchorId="34922BB1" wp14:editId="66A2F506">
            <wp:extent cx="4373245" cy="4086860"/>
            <wp:effectExtent l="0" t="0" r="8255" b="889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3245" cy="4086860"/>
                    </a:xfrm>
                    <a:prstGeom prst="rect">
                      <a:avLst/>
                    </a:prstGeom>
                    <a:noFill/>
                    <a:ln>
                      <a:noFill/>
                    </a:ln>
                  </pic:spPr>
                </pic:pic>
              </a:graphicData>
            </a:graphic>
          </wp:inline>
        </w:drawing>
      </w:r>
    </w:p>
    <w:p w14:paraId="0C87D2F8" w14:textId="77777777" w:rsidR="0066176D" w:rsidRDefault="00D44150" w:rsidP="0066176D">
      <w:pPr>
        <w:pStyle w:val="TableHeading"/>
      </w:pPr>
      <w:r>
        <w:br w:type="page"/>
      </w:r>
    </w:p>
    <w:p w14:paraId="51B5270B" w14:textId="77777777" w:rsidR="00C7638D" w:rsidRDefault="00C7638D" w:rsidP="00C7638D">
      <w:pPr>
        <w:pStyle w:val="TableHeading"/>
      </w:pPr>
      <w:r w:rsidRPr="005C4BEE">
        <w:lastRenderedPageBreak/>
        <w:t xml:space="preserve">Third party payments from and on behalf of other </w:t>
      </w:r>
      <w:r w:rsidR="00422F4B">
        <w:t>entities</w:t>
      </w:r>
    </w:p>
    <w:p w14:paraId="2DA7BE9E" w14:textId="77777777" w:rsidR="00C43D15" w:rsidRDefault="00F72773" w:rsidP="00F22051">
      <w:pPr>
        <w:pStyle w:val="ChartandTableFootnote"/>
      </w:pPr>
      <w:bookmarkStart w:id="58" w:name="_Toc190682311"/>
      <w:bookmarkStart w:id="59" w:name="_Toc190682529"/>
      <w:r w:rsidRPr="00F72773">
        <w:rPr>
          <w:noProof/>
          <w:lang w:val="en-AU" w:eastAsia="en-AU"/>
        </w:rPr>
        <w:drawing>
          <wp:inline distT="0" distB="0" distL="0" distR="0" wp14:anchorId="149ECB36" wp14:editId="2AE69CE7">
            <wp:extent cx="4370070" cy="2328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0070" cy="2328545"/>
                    </a:xfrm>
                    <a:prstGeom prst="rect">
                      <a:avLst/>
                    </a:prstGeom>
                    <a:noFill/>
                    <a:ln>
                      <a:noFill/>
                    </a:ln>
                  </pic:spPr>
                </pic:pic>
              </a:graphicData>
            </a:graphic>
          </wp:inline>
        </w:drawing>
      </w:r>
    </w:p>
    <w:p w14:paraId="17488346" w14:textId="77777777" w:rsidR="00015B2E" w:rsidRPr="00F22051" w:rsidRDefault="00015B2E" w:rsidP="00015B2E">
      <w:pPr>
        <w:pStyle w:val="ChartandTableFootnote"/>
      </w:pPr>
      <w:r w:rsidRPr="00F22051">
        <w:t>All figures shown above are GST exclusive - these may not match figures in the cash flow statement.</w:t>
      </w:r>
    </w:p>
    <w:p w14:paraId="53E0E008" w14:textId="77777777" w:rsidR="00015B2E" w:rsidRPr="00F22051" w:rsidRDefault="00015B2E" w:rsidP="00015B2E">
      <w:pPr>
        <w:pStyle w:val="ChartandTableFootnote"/>
      </w:pPr>
      <w:r w:rsidRPr="00F22051">
        <w:t>Prepared on a resourcing (</w:t>
      </w:r>
      <w:r w:rsidRPr="00F22051">
        <w:rPr>
          <w:lang w:val="en-AU"/>
        </w:rPr>
        <w:t>that is,</w:t>
      </w:r>
      <w:r w:rsidRPr="00F22051">
        <w:t xml:space="preserve"> appropriations available) basis.</w:t>
      </w:r>
    </w:p>
    <w:p w14:paraId="74FF774F" w14:textId="77777777" w:rsidR="00015B2E" w:rsidRPr="00973EAB" w:rsidRDefault="00015B2E" w:rsidP="00015B2E">
      <w:pPr>
        <w:pStyle w:val="ChartandTableFootnoteAlpha"/>
        <w:numPr>
          <w:ilvl w:val="0"/>
          <w:numId w:val="7"/>
        </w:numPr>
        <w:ind w:left="284" w:hanging="284"/>
      </w:pPr>
      <w:r w:rsidRPr="00973EAB">
        <w:t xml:space="preserve">Annual appropriation amounts appearing for the 2021-22 estimated actual exclude </w:t>
      </w:r>
      <w:r>
        <w:t>amounts in Appropriation Bill (N</w:t>
      </w:r>
      <w:r w:rsidRPr="00973EAB">
        <w:t>o.3)</w:t>
      </w:r>
      <w:r>
        <w:t xml:space="preserve"> 2021-22</w:t>
      </w:r>
      <w:r w:rsidRPr="00973EAB">
        <w:t>, which is yet to receive Royal Assent.</w:t>
      </w:r>
    </w:p>
    <w:p w14:paraId="0790FAD4" w14:textId="77777777" w:rsidR="00015B2E" w:rsidRPr="00973EAB" w:rsidRDefault="00015B2E" w:rsidP="00015B2E">
      <w:pPr>
        <w:pStyle w:val="ChartandTableFootnoteAlpha"/>
        <w:numPr>
          <w:ilvl w:val="0"/>
          <w:numId w:val="7"/>
        </w:numPr>
        <w:ind w:left="284" w:hanging="284"/>
      </w:pPr>
      <w:r w:rsidRPr="00973EAB">
        <w:t>Appropriation Bill (No. 1) 2022-23.</w:t>
      </w:r>
    </w:p>
    <w:p w14:paraId="5FF3447F" w14:textId="77777777" w:rsidR="00015B2E" w:rsidRPr="00973EAB" w:rsidRDefault="00015B2E" w:rsidP="00015B2E">
      <w:pPr>
        <w:pStyle w:val="ChartandTableFootnoteAlpha"/>
        <w:numPr>
          <w:ilvl w:val="0"/>
          <w:numId w:val="7"/>
        </w:numPr>
        <w:ind w:left="284" w:hanging="284"/>
      </w:pPr>
      <w:r w:rsidRPr="00973EAB">
        <w:t xml:space="preserve">Excludes $14.5m subject to administrative quarantine by Finance or withheld under section 51 of the </w:t>
      </w:r>
      <w:r w:rsidRPr="00151321">
        <w:rPr>
          <w:i/>
        </w:rPr>
        <w:t xml:space="preserve">Public Governance, Performance and Accountability Act </w:t>
      </w:r>
      <w:r w:rsidRPr="00973EAB">
        <w:t>2013 (PGPA Act).</w:t>
      </w:r>
    </w:p>
    <w:p w14:paraId="12979FCB" w14:textId="77777777" w:rsidR="00015B2E" w:rsidRPr="00973EAB" w:rsidRDefault="00015B2E" w:rsidP="00015B2E">
      <w:pPr>
        <w:pStyle w:val="ChartandTableFootnoteAlpha"/>
        <w:numPr>
          <w:ilvl w:val="0"/>
          <w:numId w:val="7"/>
        </w:numPr>
        <w:ind w:left="284" w:hanging="284"/>
      </w:pPr>
      <w:r w:rsidRPr="00973EAB">
        <w:t>Excludes departmental capital budget (DCB).</w:t>
      </w:r>
    </w:p>
    <w:p w14:paraId="5DD9F88D" w14:textId="77777777" w:rsidR="00015B2E" w:rsidRPr="00973EAB" w:rsidRDefault="00015B2E" w:rsidP="00015B2E">
      <w:pPr>
        <w:pStyle w:val="ChartandTableFootnoteAlpha"/>
        <w:numPr>
          <w:ilvl w:val="0"/>
          <w:numId w:val="7"/>
        </w:numPr>
        <w:ind w:left="284" w:hanging="284"/>
      </w:pPr>
      <w:r>
        <w:t>Estimated e</w:t>
      </w:r>
      <w:r w:rsidRPr="00973EAB">
        <w:t xml:space="preserve">xternal </w:t>
      </w:r>
      <w:r>
        <w:t>r</w:t>
      </w:r>
      <w:r w:rsidRPr="00973EAB">
        <w:t>evenue receipts under section 74 of the PGPA Act.</w:t>
      </w:r>
    </w:p>
    <w:p w14:paraId="0E210FD8" w14:textId="77777777" w:rsidR="00015B2E" w:rsidRPr="00973EAB" w:rsidRDefault="00015B2E" w:rsidP="00015B2E">
      <w:pPr>
        <w:pStyle w:val="ChartandTableFootnoteAlpha"/>
        <w:numPr>
          <w:ilvl w:val="0"/>
          <w:numId w:val="7"/>
        </w:numPr>
        <w:ind w:left="284" w:hanging="284"/>
      </w:pPr>
      <w:r w:rsidRPr="00973EAB">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2569840C" w14:textId="77777777" w:rsidR="00015B2E" w:rsidRPr="00973EAB" w:rsidRDefault="00015B2E" w:rsidP="00015B2E">
      <w:pPr>
        <w:pStyle w:val="ChartandTableFootnoteAlpha"/>
        <w:numPr>
          <w:ilvl w:val="0"/>
          <w:numId w:val="7"/>
        </w:numPr>
        <w:ind w:left="284" w:hanging="284"/>
      </w:pPr>
      <w:r w:rsidRPr="00973EAB">
        <w:t>Administered capital budgets are not separately identified in Appropriation Bill (No. 1) and form part of ordinary annual services items. Please refer to Table 3.10 for further details. For accounting purposes, this amount is designated as a 'contribution by owner'.</w:t>
      </w:r>
    </w:p>
    <w:p w14:paraId="5BFB8B23" w14:textId="77777777" w:rsidR="00015B2E" w:rsidRPr="00973EAB" w:rsidRDefault="00015B2E" w:rsidP="00015B2E">
      <w:pPr>
        <w:pStyle w:val="ChartandTableFootnoteAlpha"/>
        <w:numPr>
          <w:ilvl w:val="0"/>
          <w:numId w:val="7"/>
        </w:numPr>
        <w:ind w:left="284" w:hanging="284"/>
      </w:pPr>
      <w:r w:rsidRPr="00973EAB">
        <w:t>'Corporate entities' are corporate Commonwealth entities and Commonwealth companies as defined under the PGPA Act.</w:t>
      </w:r>
    </w:p>
    <w:p w14:paraId="5C15A231" w14:textId="77777777" w:rsidR="00015B2E" w:rsidRPr="00973EAB" w:rsidRDefault="00015B2E" w:rsidP="00015B2E">
      <w:pPr>
        <w:pStyle w:val="ChartandTableFootnoteAlpha"/>
        <w:numPr>
          <w:ilvl w:val="0"/>
          <w:numId w:val="7"/>
        </w:numPr>
        <w:ind w:left="284" w:hanging="284"/>
      </w:pPr>
      <w:r w:rsidRPr="00973EAB">
        <w:t>Appropriation Bill (No. 2) 2022-23.</w:t>
      </w:r>
    </w:p>
    <w:p w14:paraId="44FC21E5" w14:textId="77777777" w:rsidR="0008449F" w:rsidRPr="005A7C0B" w:rsidRDefault="00F22051" w:rsidP="00F22051">
      <w:pPr>
        <w:pStyle w:val="Heading3"/>
      </w:pPr>
      <w:r>
        <w:br w:type="page"/>
      </w:r>
      <w:bookmarkStart w:id="60" w:name="_Toc444523511"/>
      <w:bookmarkStart w:id="61" w:name="_Toc98766349"/>
      <w:bookmarkStart w:id="62" w:name="_Toc98856095"/>
      <w:bookmarkStart w:id="63" w:name="_Toc99008104"/>
      <w:bookmarkStart w:id="64" w:name="_Toc99009466"/>
      <w:bookmarkStart w:id="65" w:name="_Toc99010694"/>
      <w:bookmarkStart w:id="66" w:name="_Toc99013929"/>
      <w:bookmarkStart w:id="67" w:name="_Toc99187506"/>
      <w:bookmarkStart w:id="68" w:name="_Toc99269615"/>
      <w:r w:rsidR="0008449F" w:rsidRPr="005A7C0B">
        <w:lastRenderedPageBreak/>
        <w:t>1.3</w:t>
      </w:r>
      <w:r w:rsidR="0008449F" w:rsidRPr="005A7C0B">
        <w:tab/>
        <w:t>Budget measures</w:t>
      </w:r>
      <w:bookmarkEnd w:id="58"/>
      <w:bookmarkEnd w:id="59"/>
      <w:bookmarkEnd w:id="60"/>
      <w:bookmarkEnd w:id="61"/>
      <w:bookmarkEnd w:id="62"/>
      <w:bookmarkEnd w:id="63"/>
      <w:bookmarkEnd w:id="64"/>
      <w:bookmarkEnd w:id="65"/>
      <w:bookmarkEnd w:id="66"/>
      <w:bookmarkEnd w:id="67"/>
      <w:bookmarkEnd w:id="68"/>
    </w:p>
    <w:p w14:paraId="17AD1DD8" w14:textId="77777777" w:rsidR="00F20B6E" w:rsidRDefault="00DC32EC" w:rsidP="0008449F">
      <w:r w:rsidRPr="00DC32EC">
        <w:t xml:space="preserve">Budget measures </w:t>
      </w:r>
      <w:r w:rsidR="005C4BEE">
        <w:t xml:space="preserve">in </w:t>
      </w:r>
      <w:r w:rsidRPr="00DC32EC">
        <w:t>relating to</w:t>
      </w:r>
      <w:r w:rsidR="001B03CC">
        <w:t xml:space="preserve"> </w:t>
      </w:r>
      <w:r w:rsidR="00C26820">
        <w:t>PM&amp;C</w:t>
      </w:r>
      <w:r w:rsidRPr="00DC32EC">
        <w:t xml:space="preserve"> a</w:t>
      </w:r>
      <w:r w:rsidR="00CB4589">
        <w:t>re detailed in Budget Paper No. </w:t>
      </w:r>
      <w:r w:rsidRPr="00DC32EC">
        <w:t>2</w:t>
      </w:r>
      <w:r w:rsidR="00C2641F">
        <w:t xml:space="preserve"> and are summarised </w:t>
      </w:r>
      <w:r w:rsidR="002C7703">
        <w:t>below</w:t>
      </w:r>
      <w:r w:rsidR="003D4188">
        <w:t>.</w:t>
      </w:r>
    </w:p>
    <w:p w14:paraId="675E9E2A" w14:textId="77777777" w:rsidR="00AF3811" w:rsidRPr="009A40DD" w:rsidRDefault="00AF3811" w:rsidP="00E5444F">
      <w:pPr>
        <w:pStyle w:val="TableHeading"/>
      </w:pPr>
      <w:r w:rsidRPr="009A40DD">
        <w:t xml:space="preserve">Table 1.2: </w:t>
      </w:r>
      <w:r w:rsidR="00801C4A">
        <w:rPr>
          <w:lang w:val="en-AU"/>
        </w:rPr>
        <w:t>PM&amp;C</w:t>
      </w:r>
      <w:r w:rsidR="007E6BBD" w:rsidRPr="009A40DD">
        <w:t xml:space="preserve"> </w:t>
      </w:r>
      <w:r w:rsidR="00400A8B">
        <w:rPr>
          <w:lang w:val="en-AU"/>
        </w:rPr>
        <w:t>2022</w:t>
      </w:r>
      <w:r w:rsidR="00FC6CF3">
        <w:rPr>
          <w:lang w:val="en-AU"/>
        </w:rPr>
        <w:t>-</w:t>
      </w:r>
      <w:r w:rsidR="00400A8B">
        <w:rPr>
          <w:lang w:val="en-AU"/>
        </w:rPr>
        <w:t xml:space="preserve">23 </w:t>
      </w:r>
      <w:r w:rsidRPr="009A40DD">
        <w:t>Budget measures</w:t>
      </w:r>
    </w:p>
    <w:p w14:paraId="33E6A207" w14:textId="77777777" w:rsidR="00C43D15" w:rsidRDefault="006417A1" w:rsidP="00F22051">
      <w:pPr>
        <w:pStyle w:val="ChartandTableFootnote"/>
      </w:pPr>
      <w:r w:rsidRPr="006417A1">
        <w:rPr>
          <w:noProof/>
          <w:lang w:val="en-AU" w:eastAsia="en-AU"/>
        </w:rPr>
        <w:drawing>
          <wp:inline distT="0" distB="0" distL="0" distR="0" wp14:anchorId="6C1E0BED" wp14:editId="57BC8446">
            <wp:extent cx="4895850" cy="36989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5850" cy="3698947"/>
                    </a:xfrm>
                    <a:prstGeom prst="rect">
                      <a:avLst/>
                    </a:prstGeom>
                    <a:noFill/>
                    <a:ln>
                      <a:noFill/>
                    </a:ln>
                  </pic:spPr>
                </pic:pic>
              </a:graphicData>
            </a:graphic>
          </wp:inline>
        </w:drawing>
      </w:r>
    </w:p>
    <w:p w14:paraId="31E2A82E" w14:textId="77777777" w:rsidR="00B1781D" w:rsidRPr="00187042" w:rsidRDefault="00B1781D" w:rsidP="00B1781D">
      <w:pPr>
        <w:pStyle w:val="ChartandTableFootnote"/>
      </w:pPr>
      <w:r w:rsidRPr="00187042">
        <w:t>Prepared on a Government Finance Statistics (Underlying Cash) basis. Figures displayed as a negative (-) represent a decrease in funds and a positive (+) represent an increase in funds.</w:t>
      </w:r>
    </w:p>
    <w:p w14:paraId="5F5ACB0B" w14:textId="77777777" w:rsidR="00B1781D" w:rsidRPr="0028004A" w:rsidRDefault="00B1781D" w:rsidP="00392A48">
      <w:pPr>
        <w:pStyle w:val="ChartandTableFootnoteAlpha"/>
        <w:numPr>
          <w:ilvl w:val="0"/>
          <w:numId w:val="142"/>
        </w:numPr>
        <w:ind w:left="284" w:hanging="284"/>
      </w:pPr>
      <w:r w:rsidRPr="0028004A">
        <w:t xml:space="preserve">The measure titled Reducing compliance costs for business through enhanced sharing of single </w:t>
      </w:r>
      <w:r>
        <w:t>touch</w:t>
      </w:r>
      <w:r w:rsidRPr="0028004A">
        <w:t xml:space="preserve"> payroll data is a Treasury measure.  The full measure description and package details appear in Budget Paper No. 2 under the Treasury Portfolio</w:t>
      </w:r>
      <w:r>
        <w:t>.</w:t>
      </w:r>
    </w:p>
    <w:p w14:paraId="392C5923" w14:textId="77777777" w:rsidR="00B1781D" w:rsidRPr="0028004A" w:rsidRDefault="00B1781D" w:rsidP="00392A48">
      <w:pPr>
        <w:pStyle w:val="ChartandTableFootnoteAlpha"/>
        <w:numPr>
          <w:ilvl w:val="0"/>
          <w:numId w:val="142"/>
        </w:numPr>
        <w:ind w:left="284" w:hanging="284"/>
      </w:pPr>
      <w:r w:rsidRPr="0028004A">
        <w:t>The measure titled Response to Independent Review into Commonwealth Parliamentary Workplaces – additional resourcing is a cross portfolio measure.  The full measure description and package details appear in Budget Paper No. 2 under Cross Portfolio</w:t>
      </w:r>
      <w:r>
        <w:t>.</w:t>
      </w:r>
    </w:p>
    <w:p w14:paraId="75645C05" w14:textId="77777777" w:rsidR="00B1781D" w:rsidRDefault="00B1781D" w:rsidP="00392A48">
      <w:pPr>
        <w:pStyle w:val="ChartandTableFootnoteAlpha"/>
        <w:numPr>
          <w:ilvl w:val="0"/>
          <w:numId w:val="142"/>
        </w:numPr>
        <w:ind w:left="284" w:hanging="284"/>
      </w:pPr>
      <w:r w:rsidRPr="0028004A">
        <w:t>The measure titled Women’s Leadership Package is a cross portfolio measure.  The full measure description and package details appear in Budget Paper No. 2 under Cross Portfolio.</w:t>
      </w:r>
    </w:p>
    <w:p w14:paraId="262B1086" w14:textId="77777777" w:rsidR="00B1781D" w:rsidRDefault="00B1781D" w:rsidP="00392A48">
      <w:pPr>
        <w:pStyle w:val="ChartandTableFootnoteAlpha"/>
        <w:numPr>
          <w:ilvl w:val="0"/>
          <w:numId w:val="142"/>
        </w:numPr>
        <w:ind w:left="284" w:hanging="284"/>
      </w:pPr>
      <w:r>
        <w:t>Funding for this measure was included in Appropriation Bill (No. 3) 2021-22 and reported in the PM&amp;C Portfolio Additional Estimates Statements.</w:t>
      </w:r>
    </w:p>
    <w:p w14:paraId="5D259CF3" w14:textId="77777777" w:rsidR="00B1781D" w:rsidRDefault="00B1781D" w:rsidP="00392A48">
      <w:pPr>
        <w:pStyle w:val="ChartandTableFootnoteAlpha"/>
        <w:numPr>
          <w:ilvl w:val="0"/>
          <w:numId w:val="142"/>
        </w:numPr>
        <w:ind w:left="284" w:hanging="284"/>
      </w:pPr>
      <w:r>
        <w:t>Funding for this measure was included in Appropriation Bill (No. 3) 2021-22 and reported in the PM&amp;C Portfolio Additional Estimates Statements as the Digital Economy Regulation measure.</w:t>
      </w:r>
    </w:p>
    <w:p w14:paraId="0702FFEE" w14:textId="77777777" w:rsidR="00ED0D59" w:rsidRDefault="00ED0D59" w:rsidP="00196D2E">
      <w:pPr>
        <w:pStyle w:val="ChartandTableFootnoteAlpha"/>
      </w:pPr>
    </w:p>
    <w:p w14:paraId="19210549" w14:textId="77777777" w:rsidR="00196D2E" w:rsidRPr="00196D2E" w:rsidRDefault="00196D2E" w:rsidP="00196D2E"/>
    <w:p w14:paraId="22D4815C" w14:textId="77777777" w:rsidR="00196D2E" w:rsidRPr="00196D2E" w:rsidRDefault="00196D2E" w:rsidP="00196D2E"/>
    <w:p w14:paraId="4D7376F8" w14:textId="77777777" w:rsidR="00317BF9" w:rsidRDefault="00317BF9" w:rsidP="000D4262">
      <w:pPr>
        <w:pStyle w:val="NoSpacing"/>
      </w:pPr>
    </w:p>
    <w:p w14:paraId="61A7EC0C" w14:textId="77777777" w:rsidR="00C65397" w:rsidRDefault="00C65397">
      <w:pPr>
        <w:spacing w:after="0" w:line="240" w:lineRule="auto"/>
        <w:jc w:val="left"/>
        <w:rPr>
          <w:rFonts w:ascii="Arial Bold" w:hAnsi="Arial Bold"/>
          <w:b/>
        </w:rPr>
      </w:pPr>
      <w:r>
        <w:br w:type="page"/>
      </w:r>
    </w:p>
    <w:p w14:paraId="02176E0B" w14:textId="77777777" w:rsidR="00C86A12" w:rsidRPr="00E5444F" w:rsidRDefault="00C86A12" w:rsidP="00C86A12">
      <w:pPr>
        <w:pStyle w:val="TableHeadingcontinued"/>
      </w:pPr>
      <w:r w:rsidRPr="00C86A12">
        <w:lastRenderedPageBreak/>
        <w:t>Other measures previously provided for</w:t>
      </w:r>
    </w:p>
    <w:p w14:paraId="57E53BC4" w14:textId="77777777" w:rsidR="00C65397" w:rsidRDefault="006417A1" w:rsidP="00895FFF">
      <w:pPr>
        <w:pStyle w:val="TableHeadingcontinued"/>
      </w:pPr>
      <w:r w:rsidRPr="006417A1">
        <w:rPr>
          <w:noProof/>
        </w:rPr>
        <w:drawing>
          <wp:inline distT="0" distB="0" distL="0" distR="0" wp14:anchorId="762B50F6" wp14:editId="76CDDDE8">
            <wp:extent cx="4895850" cy="2839971"/>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850" cy="2839971"/>
                    </a:xfrm>
                    <a:prstGeom prst="rect">
                      <a:avLst/>
                    </a:prstGeom>
                    <a:noFill/>
                    <a:ln>
                      <a:noFill/>
                    </a:ln>
                  </pic:spPr>
                </pic:pic>
              </a:graphicData>
            </a:graphic>
          </wp:inline>
        </w:drawing>
      </w:r>
    </w:p>
    <w:p w14:paraId="1032A8A6" w14:textId="77777777" w:rsidR="00B1781D" w:rsidRPr="00305DB3" w:rsidRDefault="00B1781D" w:rsidP="00B1781D">
      <w:pPr>
        <w:pStyle w:val="TableGraphic"/>
        <w:rPr>
          <w:rFonts w:ascii="Arial" w:hAnsi="Arial"/>
          <w:color w:val="000000"/>
          <w:sz w:val="16"/>
          <w:lang w:val="x-none" w:eastAsia="x-none"/>
        </w:rPr>
      </w:pPr>
      <w:r w:rsidRPr="00305DB3">
        <w:rPr>
          <w:rFonts w:ascii="Arial" w:hAnsi="Arial"/>
          <w:color w:val="000000"/>
          <w:sz w:val="16"/>
          <w:lang w:val="x-none" w:eastAsia="x-none"/>
        </w:rPr>
        <w:t>Prepared on a Government Finance Statistics (Underlying Cash) basis. Figures displayed as a negative (-) represent a decrease in funds and a positive (+) represent an increase in funds.</w:t>
      </w:r>
    </w:p>
    <w:p w14:paraId="027C95A4" w14:textId="77777777" w:rsidR="00B1781D" w:rsidRDefault="00B1781D" w:rsidP="00392A48">
      <w:pPr>
        <w:pStyle w:val="ChartandTableFootnoteAlpha"/>
        <w:numPr>
          <w:ilvl w:val="0"/>
          <w:numId w:val="140"/>
        </w:numPr>
        <w:ind w:left="284" w:hanging="284"/>
      </w:pPr>
      <w:r>
        <w:t>Funding for this measure was included in Appropriation Bill (No. 3) 2021-22 and reported in the PM&amp;C Portfolio Additional Estimates Statements.</w:t>
      </w:r>
    </w:p>
    <w:p w14:paraId="008563F0" w14:textId="77777777" w:rsidR="00B1781D" w:rsidRDefault="00B1781D" w:rsidP="00392A48">
      <w:pPr>
        <w:pStyle w:val="ChartandTableFootnoteAlpha"/>
        <w:numPr>
          <w:ilvl w:val="0"/>
          <w:numId w:val="140"/>
        </w:numPr>
        <w:ind w:left="284" w:hanging="284"/>
      </w:pPr>
      <w:r>
        <w:t>Funding for this measure was included in Appropriation Bill (No. 3) 2021-22 and reported in the PM&amp;C Portfolio Additional Estimates Statements as the Digital Economy Regulation measure.</w:t>
      </w:r>
    </w:p>
    <w:p w14:paraId="185799E0" w14:textId="77777777" w:rsidR="00B1781D" w:rsidRDefault="00B1781D" w:rsidP="00392A48">
      <w:pPr>
        <w:pStyle w:val="ChartandTableFootnoteAlpha"/>
        <w:numPr>
          <w:ilvl w:val="0"/>
          <w:numId w:val="140"/>
        </w:numPr>
        <w:ind w:left="284" w:hanging="284"/>
      </w:pPr>
      <w:r>
        <w:t>This measure includes the Indo-Pacific Clean Energy Supply Chain Forum (Sydney Energy Forum), as reported in the PM&amp;C Portfolio Additional Estimates Statements.</w:t>
      </w:r>
    </w:p>
    <w:p w14:paraId="73B6ECE0" w14:textId="77777777" w:rsidR="00B1781D" w:rsidRPr="00C86A12" w:rsidRDefault="00B1781D" w:rsidP="00392A48">
      <w:pPr>
        <w:pStyle w:val="ChartandTableFootnoteAlpha"/>
        <w:numPr>
          <w:ilvl w:val="0"/>
          <w:numId w:val="140"/>
        </w:numPr>
        <w:ind w:left="284" w:hanging="284"/>
      </w:pPr>
      <w:r>
        <w:t>Total funding for PM&amp;C measures listed in Budget Paper No. 2</w:t>
      </w:r>
    </w:p>
    <w:p w14:paraId="4BAA3787" w14:textId="77777777" w:rsidR="00C65397" w:rsidRPr="0089074D" w:rsidRDefault="00C65397" w:rsidP="0089074D">
      <w:pPr>
        <w:pStyle w:val="NoSpacing"/>
      </w:pPr>
    </w:p>
    <w:p w14:paraId="5C212682" w14:textId="77777777" w:rsidR="00654EC2" w:rsidRPr="00D232B7" w:rsidRDefault="00654EC2" w:rsidP="0089074D">
      <w:pPr>
        <w:pStyle w:val="NoSpacing"/>
      </w:pPr>
    </w:p>
    <w:p w14:paraId="7ECF3BB7" w14:textId="77777777" w:rsidR="00BE7D58" w:rsidRPr="00810C6A" w:rsidRDefault="0049212C" w:rsidP="00810C6A">
      <w:pPr>
        <w:pStyle w:val="Heading2"/>
      </w:pPr>
      <w:bookmarkStart w:id="69" w:name="_Toc190682312"/>
      <w:bookmarkStart w:id="70" w:name="_Toc190682530"/>
      <w:r>
        <w:br w:type="page"/>
      </w:r>
      <w:bookmarkStart w:id="71" w:name="_Toc444523512"/>
      <w:bookmarkStart w:id="72" w:name="_Toc98766350"/>
      <w:bookmarkStart w:id="73" w:name="_Toc98856096"/>
      <w:bookmarkStart w:id="74" w:name="_Toc99008105"/>
      <w:bookmarkStart w:id="75" w:name="_Toc99009467"/>
      <w:bookmarkStart w:id="76" w:name="_Toc99010695"/>
      <w:bookmarkStart w:id="77" w:name="_Toc99013930"/>
      <w:bookmarkStart w:id="78" w:name="_Toc99187507"/>
      <w:bookmarkStart w:id="79" w:name="_Toc99269616"/>
      <w:r w:rsidR="00BE7D58" w:rsidRPr="00810C6A">
        <w:lastRenderedPageBreak/>
        <w:t xml:space="preserve">Section 2: Outcomes and </w:t>
      </w:r>
      <w:r w:rsidR="00CD3382" w:rsidRPr="00810C6A">
        <w:t>p</w:t>
      </w:r>
      <w:r w:rsidR="0069466B" w:rsidRPr="00810C6A">
        <w:t>lanned</w:t>
      </w:r>
      <w:r w:rsidR="00BE7D58" w:rsidRPr="00810C6A">
        <w:t xml:space="preserve"> performance</w:t>
      </w:r>
      <w:bookmarkEnd w:id="71"/>
      <w:bookmarkEnd w:id="72"/>
      <w:bookmarkEnd w:id="73"/>
      <w:bookmarkEnd w:id="74"/>
      <w:bookmarkEnd w:id="75"/>
      <w:bookmarkEnd w:id="76"/>
      <w:bookmarkEnd w:id="77"/>
      <w:bookmarkEnd w:id="78"/>
      <w:bookmarkEnd w:id="79"/>
    </w:p>
    <w:p w14:paraId="6F32CA4C"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0A87B854" w14:textId="77777777" w:rsidR="00A61BD0" w:rsidRDefault="00BE7D58" w:rsidP="00BE7D58">
      <w:pPr>
        <w:rPr>
          <w:i/>
          <w:color w:val="FF0000"/>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14:paraId="346F82A6" w14:textId="77777777" w:rsidTr="009763C1">
        <w:tc>
          <w:tcPr>
            <w:tcW w:w="7700" w:type="dxa"/>
          </w:tcPr>
          <w:p w14:paraId="13B72597" w14:textId="77777777" w:rsidR="00CE4D05" w:rsidRPr="006906E4" w:rsidRDefault="00CE4D05" w:rsidP="009763C1">
            <w:pPr>
              <w:spacing w:after="120" w:line="240" w:lineRule="auto"/>
            </w:pPr>
            <w:r w:rsidRPr="006906E4">
              <w:t>Note:</w:t>
            </w:r>
          </w:p>
          <w:p w14:paraId="7429D8BC" w14:textId="77777777" w:rsidR="00CE4D05" w:rsidRDefault="00CE4D05" w:rsidP="009763C1">
            <w:r>
              <w:t xml:space="preserve">Performance reporting requirements in the Portfolio Budget Statements are part of the Commonwealth performance framework established by the </w:t>
            </w:r>
            <w:r w:rsidRPr="00801EF6">
              <w:rPr>
                <w:i/>
              </w:rPr>
              <w:t>Public Governance, Performance and Accountability Act 2013</w:t>
            </w:r>
            <w:r>
              <w:t xml:space="preserve">. It is anticipated that the performance </w:t>
            </w:r>
            <w:r w:rsidR="001A50DE">
              <w:t xml:space="preserve">measure </w:t>
            </w:r>
            <w:r>
              <w:t>described in Portfolio Budget Statements will be read with broader information provided in an entity’s corporate plans and annual performance statements – included in Annual Reports - to provide a complete picture of an entity’s planned and actual performance.</w:t>
            </w:r>
          </w:p>
          <w:p w14:paraId="046C9E0F" w14:textId="77777777" w:rsidR="00CE4D05" w:rsidRDefault="00CE4D05" w:rsidP="009763C1">
            <w:r>
              <w:t xml:space="preserve">The most recent corporate plan for </w:t>
            </w:r>
            <w:r w:rsidR="0050363B">
              <w:t xml:space="preserve">PM&amp;C </w:t>
            </w:r>
            <w:r>
              <w:t xml:space="preserve">can be found at: </w:t>
            </w:r>
            <w:r w:rsidR="0050363B" w:rsidRPr="00C445F5">
              <w:t>www.pmc.gov.au/resource-centre/pmc/corporate-plan-2021-2025</w:t>
            </w:r>
            <w:r>
              <w:t>.</w:t>
            </w:r>
          </w:p>
          <w:p w14:paraId="55F85F5E" w14:textId="77777777" w:rsidR="00CE4D05" w:rsidRDefault="00CE4D05" w:rsidP="00845E77">
            <w:r>
              <w:t xml:space="preserve">The most recent annual performance statement can be found at: </w:t>
            </w:r>
            <w:r w:rsidR="0050363B" w:rsidRPr="00C445F5">
              <w:t>www.pmc.gov.au/who-we-are/accountability-and-reporting/annual-reports</w:t>
            </w:r>
            <w:r>
              <w:t>.</w:t>
            </w:r>
          </w:p>
        </w:tc>
      </w:tr>
    </w:tbl>
    <w:p w14:paraId="34F3EA8E" w14:textId="77777777" w:rsidR="00810C6A" w:rsidRDefault="00810C6A" w:rsidP="00BE7D58">
      <w:pPr>
        <w:rPr>
          <w:highlight w:val="yellow"/>
        </w:rPr>
      </w:pPr>
    </w:p>
    <w:p w14:paraId="0C7A11AC" w14:textId="77777777" w:rsidR="00950281" w:rsidRDefault="00950281" w:rsidP="003876AB">
      <w:pPr>
        <w:pStyle w:val="Heading3"/>
        <w:sectPr w:rsidR="00950281" w:rsidSect="00124EBD">
          <w:headerReference w:type="even" r:id="rId62"/>
          <w:headerReference w:type="default" r:id="rId63"/>
          <w:footerReference w:type="even" r:id="rId64"/>
          <w:footerReference w:type="default" r:id="rId65"/>
          <w:headerReference w:type="first" r:id="rId66"/>
          <w:footerReference w:type="first" r:id="rId67"/>
          <w:type w:val="oddPage"/>
          <w:pgSz w:w="11906" w:h="16838" w:code="9"/>
          <w:pgMar w:top="2835" w:right="2098" w:bottom="2466" w:left="2098" w:header="1899" w:footer="1899" w:gutter="0"/>
          <w:pgNumType w:start="20"/>
          <w:cols w:space="708"/>
          <w:titlePg/>
          <w:docGrid w:linePitch="360"/>
        </w:sectPr>
      </w:pPr>
    </w:p>
    <w:p w14:paraId="42049CEC" w14:textId="77777777" w:rsidR="003876AB" w:rsidRPr="00F743D8" w:rsidRDefault="008462FB" w:rsidP="003876AB">
      <w:pPr>
        <w:pStyle w:val="Heading3"/>
      </w:pPr>
      <w:bookmarkStart w:id="81" w:name="_Toc444523513"/>
      <w:bookmarkStart w:id="82" w:name="_Toc98766351"/>
      <w:bookmarkStart w:id="83" w:name="_Toc98856097"/>
      <w:bookmarkStart w:id="84" w:name="_Toc99008106"/>
      <w:bookmarkStart w:id="85" w:name="_Toc99009468"/>
      <w:bookmarkStart w:id="86" w:name="_Toc99010696"/>
      <w:bookmarkStart w:id="87" w:name="_Toc99013931"/>
      <w:bookmarkStart w:id="88" w:name="_Toc99187508"/>
      <w:bookmarkStart w:id="89" w:name="_Toc99269617"/>
      <w:r>
        <w:lastRenderedPageBreak/>
        <w:t>2.1</w:t>
      </w:r>
      <w:r w:rsidR="003876AB" w:rsidRPr="00F743D8">
        <w:t xml:space="preserve"> </w:t>
      </w:r>
      <w:r w:rsidR="003876AB" w:rsidRPr="00F743D8">
        <w:tab/>
        <w:t xml:space="preserve">Budgeted expenses and performance for Outcome </w:t>
      </w:r>
      <w:bookmarkEnd w:id="81"/>
      <w:bookmarkEnd w:id="82"/>
      <w:bookmarkEnd w:id="83"/>
      <w:r w:rsidR="00546AD7">
        <w:t>1</w:t>
      </w:r>
      <w:bookmarkEnd w:id="84"/>
      <w:bookmarkEnd w:id="85"/>
      <w:bookmarkEnd w:id="86"/>
      <w:bookmarkEnd w:id="87"/>
      <w:bookmarkEnd w:id="88"/>
      <w:bookmarkEnd w:id="8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5E6F2B" w14:paraId="416DD4AC" w14:textId="77777777" w:rsidTr="002946CF">
        <w:tc>
          <w:tcPr>
            <w:tcW w:w="7704" w:type="dxa"/>
            <w:shd w:val="clear" w:color="auto" w:fill="E6E6E6"/>
          </w:tcPr>
          <w:p w14:paraId="4604CE5E" w14:textId="77777777" w:rsidR="00BE7D58" w:rsidRPr="005E6F2B" w:rsidRDefault="002946CF" w:rsidP="003876AB">
            <w:pPr>
              <w:pStyle w:val="TableColumnHeadingLeft"/>
            </w:pPr>
            <w:r w:rsidRPr="00E517DF">
              <w:rPr>
                <w:rFonts w:cs="Arial"/>
                <w:bCs/>
              </w:rPr>
              <w:t>Outcome 1 – Provide high quality policy advice and support to the Prime Minister, the Cabinet, Portfolio Ministers and Assistant Ministers including through coordination of government activities, policy development and program delivery.</w:t>
            </w:r>
            <w:r w:rsidR="00BE7D58" w:rsidRPr="005E6F2B">
              <w:t xml:space="preserve"> </w:t>
            </w:r>
          </w:p>
        </w:tc>
      </w:tr>
    </w:tbl>
    <w:p w14:paraId="2D84B33C" w14:textId="77777777" w:rsidR="00451501" w:rsidRPr="005E6F2B" w:rsidRDefault="00451501" w:rsidP="00451501">
      <w:pPr>
        <w:pStyle w:val="NoSpacing"/>
      </w:pPr>
    </w:p>
    <w:p w14:paraId="56DCDC16" w14:textId="77777777" w:rsidR="002946CF" w:rsidRPr="00446612" w:rsidRDefault="002946CF" w:rsidP="002946CF">
      <w:pPr>
        <w:pStyle w:val="Heading5"/>
      </w:pPr>
      <w:r w:rsidRPr="00446612">
        <w:t xml:space="preserve">Budgeted expenses for Outcome </w:t>
      </w:r>
      <w:r>
        <w:t>1</w:t>
      </w:r>
    </w:p>
    <w:p w14:paraId="71F42948" w14:textId="77777777" w:rsidR="001A3AD4" w:rsidRDefault="002946CF" w:rsidP="00BF575B">
      <w:r>
        <w:t xml:space="preserve">This table shows how much </w:t>
      </w:r>
      <w:r w:rsidRPr="00950281">
        <w:t>PM</w:t>
      </w:r>
      <w:r>
        <w:t>&amp;C</w:t>
      </w:r>
      <w:r w:rsidRPr="00950281">
        <w:t xml:space="preserve"> intends to spend (on an accrual basis) on achieving the outcome, broken down by program,</w:t>
      </w:r>
      <w:r>
        <w:t xml:space="preserve"> as well as by a</w:t>
      </w:r>
      <w:r w:rsidRPr="00950281">
        <w:t>dministered an</w:t>
      </w:r>
      <w:r>
        <w:t>d departmental funding sources.</w:t>
      </w:r>
    </w:p>
    <w:p w14:paraId="3EE0A192" w14:textId="77777777" w:rsidR="00A23CB1" w:rsidRPr="00986411" w:rsidRDefault="006E4DF1" w:rsidP="00986411">
      <w:pPr>
        <w:pStyle w:val="TableHeadingcontinued"/>
      </w:pPr>
      <w:r w:rsidRPr="00986411">
        <w:t>Table 2.</w:t>
      </w:r>
      <w:r w:rsidR="002946CF" w:rsidRPr="00986411">
        <w:t>1</w:t>
      </w:r>
      <w:r w:rsidRPr="00986411">
        <w:t>.1:</w:t>
      </w:r>
      <w:r w:rsidR="002946CF" w:rsidRPr="00986411">
        <w:t xml:space="preserve"> Budgeted expenses for Outcome 1</w:t>
      </w:r>
      <w:r w:rsidR="00C43D15" w:rsidRPr="00986411">
        <w:t xml:space="preserve"> </w:t>
      </w:r>
    </w:p>
    <w:p w14:paraId="4AA345F7" w14:textId="77777777" w:rsidR="00986411" w:rsidRPr="00986411" w:rsidRDefault="008B340B" w:rsidP="00986411">
      <w:pPr>
        <w:pStyle w:val="TableHeadingcontinued"/>
      </w:pPr>
      <w:r w:rsidRPr="008B340B">
        <w:rPr>
          <w:noProof/>
        </w:rPr>
        <w:drawing>
          <wp:inline distT="0" distB="0" distL="0" distR="0" wp14:anchorId="52C706E4" wp14:editId="38602B2D">
            <wp:extent cx="4895850" cy="5212302"/>
            <wp:effectExtent l="0" t="0" r="0" b="762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5850" cy="5212302"/>
                    </a:xfrm>
                    <a:prstGeom prst="rect">
                      <a:avLst/>
                    </a:prstGeom>
                    <a:noFill/>
                    <a:ln>
                      <a:noFill/>
                    </a:ln>
                  </pic:spPr>
                </pic:pic>
              </a:graphicData>
            </a:graphic>
          </wp:inline>
        </w:drawing>
      </w:r>
    </w:p>
    <w:p w14:paraId="74BFEC18" w14:textId="77777777" w:rsidR="00F22051" w:rsidRPr="00F22051" w:rsidRDefault="00F22051" w:rsidP="00015B2E">
      <w:pPr>
        <w:pStyle w:val="ChartandTableFootnoteAlpha"/>
        <w:numPr>
          <w:ilvl w:val="0"/>
          <w:numId w:val="120"/>
        </w:numPr>
        <w:ind w:left="340" w:hanging="400"/>
      </w:pPr>
      <w:r w:rsidRPr="00F22051">
        <w:t>The annual expense figure reflects the appropriation provided for the provision for future entitlement for each of the former Governors-General. This is unwound as expenses not requiring appropriation in the Budget year.  The increase in unwinding in 2023-24 relates to the recognition of a provision for projected future entitlements for former Governors-General.</w:t>
      </w:r>
    </w:p>
    <w:p w14:paraId="01D14CFC" w14:textId="77777777" w:rsidR="00F22051" w:rsidRPr="00F22051" w:rsidRDefault="00F22051" w:rsidP="00015B2E">
      <w:pPr>
        <w:pStyle w:val="ChartandTableFootnoteAlpha"/>
        <w:numPr>
          <w:ilvl w:val="0"/>
          <w:numId w:val="120"/>
        </w:numPr>
        <w:ind w:left="340"/>
      </w:pPr>
      <w:r w:rsidRPr="00F22051">
        <w:t>Expenses not requiring appropriation in the Budget year are made up of depreciation expenses, amortisation expenses, make good expenses, audit fees and other services provided free of charge.</w:t>
      </w:r>
    </w:p>
    <w:p w14:paraId="55830130" w14:textId="77777777" w:rsidR="00F22051" w:rsidRPr="00F22051" w:rsidRDefault="00F22051" w:rsidP="00015B2E">
      <w:pPr>
        <w:pStyle w:val="ChartandTableFootnoteAlpha"/>
        <w:numPr>
          <w:ilvl w:val="0"/>
          <w:numId w:val="120"/>
        </w:numPr>
        <w:ind w:left="340"/>
      </w:pPr>
      <w:r w:rsidRPr="00F22051">
        <w:t>Includes Right of Use (ROU) asset expenses accounted for under AASB 16 Leases.</w:t>
      </w:r>
    </w:p>
    <w:p w14:paraId="1DD17DA3" w14:textId="77777777" w:rsidR="00F22051" w:rsidRPr="00F22051" w:rsidRDefault="00F22051" w:rsidP="00015B2E">
      <w:pPr>
        <w:pStyle w:val="ChartandTableFootnoteAlpha"/>
        <w:numPr>
          <w:ilvl w:val="0"/>
          <w:numId w:val="120"/>
        </w:numPr>
        <w:ind w:left="340"/>
      </w:pPr>
      <w:r w:rsidRPr="00F22051">
        <w:t>Estimated expenses incurred in relation to receipts retained under section 74 of the PGPA Act.</w:t>
      </w:r>
    </w:p>
    <w:p w14:paraId="08CD8F9D" w14:textId="77777777" w:rsidR="00F22051" w:rsidRPr="00F22051" w:rsidRDefault="00F22051" w:rsidP="00F22051">
      <w:pPr>
        <w:pStyle w:val="ChartandTableFootnoteAlpha"/>
      </w:pPr>
      <w:r w:rsidRPr="00F22051">
        <w:t>Figures displayed as a negative (-) represent a decrease in funds and a positive (+) represent an increase in funds.</w:t>
      </w:r>
    </w:p>
    <w:p w14:paraId="510B32C1" w14:textId="77777777" w:rsidR="00F22051" w:rsidRPr="00446612" w:rsidRDefault="00F22051" w:rsidP="00F22051">
      <w:pPr>
        <w:pStyle w:val="ChartandTableFootnote"/>
      </w:pPr>
      <w:r w:rsidRPr="00F22051">
        <w:t>Note: Departmental appropriation splits and totals are indicative estimates and may change in the course of the Budget year as government priorities change.</w:t>
      </w:r>
    </w:p>
    <w:p w14:paraId="35A70336" w14:textId="77777777" w:rsidR="00B86CCD" w:rsidRPr="00446612" w:rsidRDefault="00B86CCD" w:rsidP="00B86CCD">
      <w:pPr>
        <w:pStyle w:val="NoSpacing"/>
      </w:pPr>
    </w:p>
    <w:p w14:paraId="6332F413" w14:textId="77777777" w:rsidR="00AE599E" w:rsidRPr="00AE599E" w:rsidRDefault="00B166C6" w:rsidP="002946CF">
      <w:pPr>
        <w:spacing w:after="0"/>
      </w:pPr>
      <w:r>
        <w:rPr>
          <w:highlight w:val="yellow"/>
        </w:rPr>
        <w:br w:type="page"/>
      </w:r>
      <w:bookmarkStart w:id="90" w:name="_Toc190682315"/>
      <w:bookmarkStart w:id="91" w:name="_Toc190682532"/>
      <w:bookmarkEnd w:id="69"/>
      <w:bookmarkEnd w:id="70"/>
    </w:p>
    <w:p w14:paraId="34CA655A" w14:textId="77777777" w:rsidR="00C854F5" w:rsidRPr="00F71634" w:rsidRDefault="008E5BB7" w:rsidP="00E5444F">
      <w:pPr>
        <w:pStyle w:val="TableHeading"/>
      </w:pPr>
      <w:r w:rsidRPr="00F71634">
        <w:lastRenderedPageBreak/>
        <w:t>Table 2.</w:t>
      </w:r>
      <w:r w:rsidR="002946CF">
        <w:rPr>
          <w:lang w:val="en-AU"/>
        </w:rPr>
        <w:t>1</w:t>
      </w:r>
      <w:r w:rsidRPr="00F71634">
        <w:t>.</w:t>
      </w:r>
      <w:r w:rsidR="002946CF">
        <w:rPr>
          <w:lang w:val="en-AU"/>
        </w:rPr>
        <w:t>2</w:t>
      </w:r>
      <w:r w:rsidRPr="00F71634">
        <w:t xml:space="preserve">: Performance </w:t>
      </w:r>
      <w:r w:rsidR="001A50DE">
        <w:rPr>
          <w:lang w:val="en-AU"/>
        </w:rPr>
        <w:t>measure</w:t>
      </w:r>
      <w:r w:rsidR="001A50DE" w:rsidRPr="00F71634">
        <w:t xml:space="preserve"> </w:t>
      </w:r>
      <w:r w:rsidR="002946CF">
        <w:t>for Outcome 1</w:t>
      </w:r>
    </w:p>
    <w:p w14:paraId="539F0F7A" w14:textId="77777777" w:rsidR="00691E49" w:rsidRPr="00F71634" w:rsidRDefault="00E12264" w:rsidP="00FE0767">
      <w:r w:rsidRPr="001B2F81">
        <w:t>Table 2.</w:t>
      </w:r>
      <w:r w:rsidR="002946CF">
        <w:t>1</w:t>
      </w:r>
      <w:r w:rsidRPr="001B2F81">
        <w:t>.</w:t>
      </w:r>
      <w:r w:rsidR="002946CF">
        <w:t>2</w:t>
      </w:r>
      <w:r w:rsidRPr="001B2F81">
        <w:t xml:space="preserve"> details the performance measures for each p</w:t>
      </w:r>
      <w:r w:rsidR="002946CF">
        <w:t>rogram associated with Outcome 1</w:t>
      </w:r>
      <w:r w:rsidRPr="001B2F81">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2946CF" w:rsidRPr="001B2F81" w14:paraId="5BA074D9" w14:textId="77777777" w:rsidTr="00C41058">
        <w:trPr>
          <w:trHeight w:val="569"/>
          <w:tblHeader/>
        </w:trPr>
        <w:tc>
          <w:tcPr>
            <w:tcW w:w="7796" w:type="dxa"/>
            <w:gridSpan w:val="3"/>
            <w:shd w:val="clear" w:color="auto" w:fill="F2F2F2"/>
          </w:tcPr>
          <w:bookmarkEnd w:id="90"/>
          <w:bookmarkEnd w:id="91"/>
          <w:p w14:paraId="182196BC" w14:textId="77777777" w:rsidR="002946CF" w:rsidRPr="00C41058" w:rsidRDefault="002946CF" w:rsidP="002946CF">
            <w:pPr>
              <w:pStyle w:val="TableColumnHeadingLeft"/>
            </w:pPr>
            <w:r w:rsidRPr="00FF62FE">
              <w:t>Outcome 1 – Provide high quality policy advice and support to the Prime Minister, the Cabinet, Portfolio Ministers and Assistant Ministers including through coordination of government activities, policy development and program delivery.</w:t>
            </w:r>
          </w:p>
        </w:tc>
      </w:tr>
      <w:tr w:rsidR="002946CF" w:rsidRPr="001B2F81" w14:paraId="7F852005" w14:textId="77777777" w:rsidTr="00C41058">
        <w:trPr>
          <w:trHeight w:val="522"/>
          <w:tblHeader/>
        </w:trPr>
        <w:tc>
          <w:tcPr>
            <w:tcW w:w="7796" w:type="dxa"/>
            <w:gridSpan w:val="3"/>
            <w:shd w:val="clear" w:color="auto" w:fill="F2F2F2"/>
          </w:tcPr>
          <w:p w14:paraId="35AF9EC5" w14:textId="77777777" w:rsidR="00015B2E" w:rsidRPr="00B44FBB" w:rsidRDefault="00015B2E" w:rsidP="00015B2E">
            <w:pPr>
              <w:tabs>
                <w:tab w:val="left" w:pos="709"/>
              </w:tabs>
              <w:spacing w:before="60" w:after="60"/>
              <w:rPr>
                <w:rFonts w:ascii="Arial" w:hAnsi="Arial" w:cs="Arial"/>
                <w:sz w:val="16"/>
                <w:szCs w:val="16"/>
              </w:rPr>
            </w:pPr>
            <w:r>
              <w:rPr>
                <w:rFonts w:ascii="Arial" w:hAnsi="Arial" w:cs="Arial"/>
                <w:b/>
                <w:sz w:val="16"/>
                <w:szCs w:val="16"/>
              </w:rPr>
              <w:t xml:space="preserve">Program 1.1 – </w:t>
            </w:r>
            <w:r>
              <w:rPr>
                <w:rFonts w:ascii="Arial" w:eastAsia="Arial" w:hAnsi="Arial" w:cs="Arial"/>
                <w:b/>
                <w:sz w:val="16"/>
                <w:szCs w:val="16"/>
              </w:rPr>
              <w:t>Prime Minister and</w:t>
            </w:r>
            <w:r w:rsidRPr="00B44FBB">
              <w:rPr>
                <w:rFonts w:ascii="Arial" w:eastAsia="Arial" w:hAnsi="Arial" w:cs="Arial"/>
                <w:b/>
                <w:sz w:val="16"/>
                <w:szCs w:val="16"/>
              </w:rPr>
              <w:t xml:space="preserve"> Cabinet</w:t>
            </w:r>
          </w:p>
          <w:p w14:paraId="2D6AC1A9" w14:textId="77777777" w:rsidR="00015B2E" w:rsidRPr="00B44FBB" w:rsidRDefault="00015B2E" w:rsidP="00015B2E">
            <w:pPr>
              <w:tabs>
                <w:tab w:val="left" w:pos="709"/>
              </w:tabs>
              <w:spacing w:before="60" w:after="60"/>
              <w:rPr>
                <w:rFonts w:ascii="Arial" w:hAnsi="Arial" w:cs="Arial"/>
                <w:sz w:val="16"/>
                <w:szCs w:val="16"/>
              </w:rPr>
            </w:pPr>
            <w:r w:rsidRPr="00B44FBB">
              <w:rPr>
                <w:rFonts w:ascii="Arial" w:hAnsi="Arial" w:cs="Arial"/>
                <w:sz w:val="16"/>
                <w:szCs w:val="16"/>
              </w:rPr>
              <w:t>Program 1.1 contributes to the delivery of Outcome 1 through the following objectives by:</w:t>
            </w:r>
          </w:p>
          <w:p w14:paraId="73943EEB" w14:textId="77777777" w:rsidR="00015B2E" w:rsidRPr="00B44FBB" w:rsidRDefault="00015B2E" w:rsidP="00015B2E">
            <w:pPr>
              <w:pStyle w:val="ListParagraph"/>
              <w:numPr>
                <w:ilvl w:val="0"/>
                <w:numId w:val="15"/>
              </w:numPr>
              <w:tabs>
                <w:tab w:val="left" w:pos="709"/>
              </w:tabs>
              <w:spacing w:before="60" w:after="60" w:line="240" w:lineRule="auto"/>
              <w:rPr>
                <w:rFonts w:ascii="Arial" w:hAnsi="Arial" w:cs="Arial"/>
                <w:sz w:val="16"/>
                <w:szCs w:val="16"/>
              </w:rPr>
            </w:pPr>
            <w:r w:rsidRPr="00B44FBB">
              <w:rPr>
                <w:rFonts w:ascii="Arial" w:hAnsi="Arial" w:cs="Arial"/>
                <w:sz w:val="16"/>
                <w:szCs w:val="16"/>
              </w:rPr>
              <w:t xml:space="preserve">providing advice, support and services to the Prime Minister, the Cabinet and Portfolio Ministers. </w:t>
            </w:r>
          </w:p>
          <w:p w14:paraId="193EA500" w14:textId="77777777" w:rsidR="00015B2E" w:rsidRPr="00B44FBB" w:rsidRDefault="00015B2E" w:rsidP="00015B2E">
            <w:pPr>
              <w:pStyle w:val="ListParagraph"/>
              <w:numPr>
                <w:ilvl w:val="0"/>
                <w:numId w:val="15"/>
              </w:numPr>
              <w:tabs>
                <w:tab w:val="left" w:pos="709"/>
              </w:tabs>
              <w:spacing w:before="60" w:after="60" w:line="240" w:lineRule="auto"/>
            </w:pPr>
            <w:r w:rsidRPr="00B44FBB">
              <w:rPr>
                <w:rFonts w:ascii="Arial" w:hAnsi="Arial" w:cs="Arial"/>
                <w:sz w:val="16"/>
                <w:szCs w:val="16"/>
              </w:rPr>
              <w:t>providing effective coordinatio</w:t>
            </w:r>
            <w:r>
              <w:rPr>
                <w:rFonts w:ascii="Arial" w:hAnsi="Arial" w:cs="Arial"/>
                <w:sz w:val="16"/>
                <w:szCs w:val="16"/>
              </w:rPr>
              <w:t>n and leadership across the APS-</w:t>
            </w:r>
            <w:r w:rsidRPr="00B44FBB">
              <w:rPr>
                <w:rFonts w:ascii="Arial" w:hAnsi="Arial" w:cs="Arial"/>
                <w:sz w:val="16"/>
                <w:szCs w:val="16"/>
              </w:rPr>
              <w:t>enterprise for major domestic, international and national security matters.</w:t>
            </w:r>
          </w:p>
          <w:p w14:paraId="134CAC92" w14:textId="77777777" w:rsidR="002946CF" w:rsidRPr="001B2F81" w:rsidRDefault="00015B2E" w:rsidP="00015B2E">
            <w:pPr>
              <w:pStyle w:val="ListParagraph"/>
              <w:numPr>
                <w:ilvl w:val="0"/>
                <w:numId w:val="15"/>
              </w:numPr>
              <w:tabs>
                <w:tab w:val="left" w:pos="709"/>
              </w:tabs>
              <w:spacing w:before="60" w:after="60" w:line="240" w:lineRule="auto"/>
            </w:pPr>
            <w:r w:rsidRPr="00B44FBB">
              <w:rPr>
                <w:rFonts w:ascii="Arial" w:hAnsi="Arial" w:cs="Arial"/>
                <w:sz w:val="16"/>
                <w:szCs w:val="16"/>
              </w:rPr>
              <w:t>supporting the Cabinet and its committees, the Federal Executive Council and the National Federation Reform Council to facilitate informed decision making.</w:t>
            </w:r>
          </w:p>
        </w:tc>
      </w:tr>
      <w:tr w:rsidR="00015B2E" w:rsidRPr="001B2F81" w14:paraId="4EC2F79D" w14:textId="77777777" w:rsidTr="00C41058">
        <w:trPr>
          <w:trHeight w:val="694"/>
        </w:trPr>
        <w:tc>
          <w:tcPr>
            <w:tcW w:w="1560" w:type="dxa"/>
            <w:tcBorders>
              <w:bottom w:val="double" w:sz="4" w:space="0" w:color="auto"/>
            </w:tcBorders>
          </w:tcPr>
          <w:p w14:paraId="312A6EDB" w14:textId="77777777" w:rsidR="00015B2E" w:rsidRPr="00160C23" w:rsidRDefault="00015B2E" w:rsidP="00015B2E">
            <w:pPr>
              <w:tabs>
                <w:tab w:val="left" w:pos="709"/>
              </w:tabs>
              <w:spacing w:before="60"/>
              <w:rPr>
                <w:rFonts w:ascii="Arial" w:hAnsi="Arial" w:cs="Arial"/>
                <w:b/>
                <w:sz w:val="16"/>
                <w:szCs w:val="16"/>
              </w:rPr>
            </w:pPr>
            <w:r>
              <w:rPr>
                <w:rFonts w:ascii="Arial" w:hAnsi="Arial" w:cs="Arial"/>
                <w:b/>
                <w:sz w:val="16"/>
                <w:szCs w:val="16"/>
              </w:rPr>
              <w:t>Key Activities</w:t>
            </w:r>
          </w:p>
        </w:tc>
        <w:tc>
          <w:tcPr>
            <w:tcW w:w="6236" w:type="dxa"/>
            <w:gridSpan w:val="2"/>
            <w:tcBorders>
              <w:bottom w:val="double" w:sz="4" w:space="0" w:color="auto"/>
            </w:tcBorders>
          </w:tcPr>
          <w:p w14:paraId="43EB97F5" w14:textId="77777777" w:rsidR="00015B2E" w:rsidRPr="00A34273" w:rsidRDefault="00015B2E" w:rsidP="00015B2E">
            <w:pPr>
              <w:tabs>
                <w:tab w:val="left" w:pos="709"/>
              </w:tabs>
              <w:spacing w:before="60" w:after="60" w:line="240" w:lineRule="auto"/>
              <w:rPr>
                <w:rFonts w:ascii="Arial" w:hAnsi="Arial" w:cs="Arial"/>
                <w:bCs/>
                <w:sz w:val="16"/>
                <w:szCs w:val="16"/>
              </w:rPr>
            </w:pPr>
            <w:r>
              <w:rPr>
                <w:rFonts w:ascii="Arial" w:hAnsi="Arial" w:cs="Arial"/>
                <w:sz w:val="16"/>
                <w:szCs w:val="16"/>
              </w:rPr>
              <w:t>The k</w:t>
            </w:r>
            <w:r w:rsidRPr="00A34273">
              <w:rPr>
                <w:rFonts w:ascii="Arial" w:hAnsi="Arial" w:cs="Arial"/>
                <w:sz w:val="16"/>
                <w:szCs w:val="16"/>
              </w:rPr>
              <w:t xml:space="preserve">ey activities outlined in the </w:t>
            </w:r>
            <w:r>
              <w:rPr>
                <w:rFonts w:ascii="Arial" w:hAnsi="Arial" w:cs="Arial"/>
                <w:sz w:val="16"/>
                <w:szCs w:val="16"/>
              </w:rPr>
              <w:t>PM&amp;C’s 2021</w:t>
            </w:r>
            <w:r>
              <w:rPr>
                <w:rFonts w:ascii="Arial" w:hAnsi="Arial" w:cs="Arial"/>
                <w:sz w:val="16"/>
                <w:szCs w:val="16"/>
              </w:rPr>
              <w:noBreakHyphen/>
            </w:r>
            <w:r w:rsidRPr="00A34273">
              <w:rPr>
                <w:rFonts w:ascii="Arial" w:hAnsi="Arial" w:cs="Arial"/>
                <w:sz w:val="16"/>
                <w:szCs w:val="16"/>
              </w:rPr>
              <w:t>25 Corporate Plan are:</w:t>
            </w:r>
          </w:p>
          <w:p w14:paraId="40316806" w14:textId="77777777" w:rsidR="00015B2E" w:rsidRPr="00FF62FE" w:rsidRDefault="00015B2E" w:rsidP="00015B2E">
            <w:pPr>
              <w:pStyle w:val="ListParagraph"/>
              <w:numPr>
                <w:ilvl w:val="0"/>
                <w:numId w:val="16"/>
              </w:numPr>
              <w:tabs>
                <w:tab w:val="left" w:pos="709"/>
              </w:tabs>
              <w:spacing w:before="60" w:after="60" w:line="240" w:lineRule="auto"/>
              <w:rPr>
                <w:rFonts w:ascii="Arial" w:hAnsi="Arial" w:cs="Arial"/>
                <w:bCs/>
                <w:sz w:val="16"/>
                <w:szCs w:val="16"/>
              </w:rPr>
            </w:pPr>
            <w:r w:rsidRPr="00FF62FE">
              <w:rPr>
                <w:rFonts w:ascii="Arial" w:hAnsi="Arial" w:cs="Arial"/>
                <w:bCs/>
                <w:sz w:val="16"/>
                <w:szCs w:val="16"/>
              </w:rPr>
              <w:t>Informed and impactful advice</w:t>
            </w:r>
          </w:p>
          <w:p w14:paraId="427075BD" w14:textId="77777777" w:rsidR="00015B2E" w:rsidRPr="00FF62FE" w:rsidRDefault="00015B2E" w:rsidP="00015B2E">
            <w:pPr>
              <w:pStyle w:val="ListParagraph"/>
              <w:numPr>
                <w:ilvl w:val="0"/>
                <w:numId w:val="16"/>
              </w:numPr>
              <w:tabs>
                <w:tab w:val="left" w:pos="709"/>
              </w:tabs>
              <w:spacing w:before="60" w:after="60" w:line="240" w:lineRule="auto"/>
              <w:rPr>
                <w:rFonts w:ascii="Arial" w:hAnsi="Arial" w:cs="Arial"/>
                <w:bCs/>
                <w:sz w:val="16"/>
                <w:szCs w:val="16"/>
              </w:rPr>
            </w:pPr>
            <w:r w:rsidRPr="00FF62FE">
              <w:rPr>
                <w:rFonts w:ascii="Arial" w:hAnsi="Arial" w:cs="Arial"/>
                <w:bCs/>
                <w:sz w:val="16"/>
                <w:szCs w:val="16"/>
              </w:rPr>
              <w:t xml:space="preserve">Helping our </w:t>
            </w:r>
            <w:r>
              <w:rPr>
                <w:rFonts w:ascii="Arial" w:hAnsi="Arial" w:cs="Arial"/>
                <w:bCs/>
                <w:sz w:val="16"/>
                <w:szCs w:val="16"/>
              </w:rPr>
              <w:t>partner agencies to deliver on g</w:t>
            </w:r>
            <w:r w:rsidRPr="00FF62FE">
              <w:rPr>
                <w:rFonts w:ascii="Arial" w:hAnsi="Arial" w:cs="Arial"/>
                <w:bCs/>
                <w:sz w:val="16"/>
                <w:szCs w:val="16"/>
              </w:rPr>
              <w:t>overnment priorities</w:t>
            </w:r>
          </w:p>
          <w:p w14:paraId="6F61990B" w14:textId="77777777" w:rsidR="00015B2E" w:rsidRPr="00FF62FE" w:rsidRDefault="00015B2E" w:rsidP="00015B2E">
            <w:pPr>
              <w:pStyle w:val="ListParagraph"/>
              <w:numPr>
                <w:ilvl w:val="0"/>
                <w:numId w:val="16"/>
              </w:numPr>
              <w:tabs>
                <w:tab w:val="left" w:pos="709"/>
              </w:tabs>
              <w:spacing w:before="60" w:after="60" w:line="240" w:lineRule="auto"/>
              <w:rPr>
                <w:rFonts w:ascii="Arial" w:hAnsi="Arial" w:cs="Arial"/>
                <w:bCs/>
                <w:sz w:val="16"/>
                <w:szCs w:val="16"/>
              </w:rPr>
            </w:pPr>
            <w:r w:rsidRPr="00FF62FE">
              <w:rPr>
                <w:rFonts w:ascii="Arial" w:hAnsi="Arial" w:cs="Arial"/>
                <w:bCs/>
                <w:sz w:val="16"/>
                <w:szCs w:val="16"/>
              </w:rPr>
              <w:t>Coordination and support for national and international agendas</w:t>
            </w:r>
          </w:p>
          <w:p w14:paraId="0E391C7B" w14:textId="77777777" w:rsidR="00015B2E" w:rsidRPr="002946CF" w:rsidRDefault="00015B2E" w:rsidP="00015B2E">
            <w:pPr>
              <w:pStyle w:val="ListParagraph"/>
              <w:numPr>
                <w:ilvl w:val="0"/>
                <w:numId w:val="16"/>
              </w:numPr>
              <w:tabs>
                <w:tab w:val="left" w:pos="709"/>
              </w:tabs>
              <w:spacing w:before="60" w:after="60" w:line="240" w:lineRule="auto"/>
              <w:rPr>
                <w:rFonts w:ascii="Arial" w:hAnsi="Arial" w:cs="Arial"/>
                <w:i/>
                <w:sz w:val="16"/>
                <w:szCs w:val="16"/>
              </w:rPr>
            </w:pPr>
            <w:r w:rsidRPr="00FF62FE">
              <w:rPr>
                <w:rFonts w:ascii="Arial" w:hAnsi="Arial" w:cs="Arial"/>
                <w:bCs/>
                <w:sz w:val="16"/>
                <w:szCs w:val="16"/>
              </w:rPr>
              <w:t>Collaborate, communicate, engage</w:t>
            </w:r>
          </w:p>
          <w:p w14:paraId="40065A4C" w14:textId="77777777" w:rsidR="00015B2E" w:rsidRPr="00160C23" w:rsidRDefault="00015B2E" w:rsidP="00015B2E">
            <w:pPr>
              <w:pStyle w:val="ListParagraph"/>
              <w:numPr>
                <w:ilvl w:val="0"/>
                <w:numId w:val="16"/>
              </w:numPr>
              <w:tabs>
                <w:tab w:val="left" w:pos="709"/>
              </w:tabs>
              <w:spacing w:before="60" w:after="60" w:line="240" w:lineRule="auto"/>
              <w:rPr>
                <w:rFonts w:ascii="Arial" w:hAnsi="Arial" w:cs="Arial"/>
                <w:i/>
                <w:sz w:val="16"/>
                <w:szCs w:val="16"/>
              </w:rPr>
            </w:pPr>
            <w:r w:rsidRPr="00FF62FE">
              <w:rPr>
                <w:rFonts w:ascii="Arial" w:hAnsi="Arial" w:cs="Arial"/>
                <w:bCs/>
                <w:sz w:val="16"/>
                <w:szCs w:val="16"/>
              </w:rPr>
              <w:t>Deliver</w:t>
            </w:r>
          </w:p>
        </w:tc>
      </w:tr>
      <w:tr w:rsidR="00015B2E" w:rsidRPr="001B2F81" w14:paraId="36637325" w14:textId="77777777" w:rsidTr="00C41058">
        <w:trPr>
          <w:trHeight w:val="258"/>
        </w:trPr>
        <w:tc>
          <w:tcPr>
            <w:tcW w:w="1560" w:type="dxa"/>
            <w:tcBorders>
              <w:top w:val="double" w:sz="4" w:space="0" w:color="auto"/>
              <w:bottom w:val="single" w:sz="4" w:space="0" w:color="auto"/>
              <w:right w:val="single" w:sz="4" w:space="0" w:color="auto"/>
            </w:tcBorders>
          </w:tcPr>
          <w:p w14:paraId="28A2325B" w14:textId="77777777" w:rsidR="00015B2E" w:rsidRPr="00160C23" w:rsidRDefault="00015B2E" w:rsidP="00015B2E">
            <w:pPr>
              <w:pStyle w:val="TableTextBase"/>
              <w:rPr>
                <w:b/>
                <w:sz w:val="16"/>
                <w:szCs w:val="16"/>
              </w:rPr>
            </w:pPr>
            <w:r w:rsidRPr="00160C23">
              <w:rPr>
                <w:b/>
                <w:sz w:val="16"/>
                <w:szCs w:val="16"/>
              </w:rPr>
              <w:t>Year</w:t>
            </w:r>
          </w:p>
          <w:p w14:paraId="71728B3F" w14:textId="77777777" w:rsidR="00015B2E" w:rsidRPr="00160C23" w:rsidRDefault="00015B2E" w:rsidP="00015B2E">
            <w:pPr>
              <w:pStyle w:val="TableTextBase"/>
              <w:rPr>
                <w:b/>
                <w:sz w:val="16"/>
                <w:szCs w:val="16"/>
              </w:rPr>
            </w:pPr>
          </w:p>
        </w:tc>
        <w:tc>
          <w:tcPr>
            <w:tcW w:w="3118" w:type="dxa"/>
            <w:tcBorders>
              <w:top w:val="double" w:sz="4" w:space="0" w:color="auto"/>
              <w:left w:val="single" w:sz="4" w:space="0" w:color="auto"/>
              <w:bottom w:val="single" w:sz="4" w:space="0" w:color="auto"/>
              <w:right w:val="single" w:sz="4" w:space="0" w:color="auto"/>
            </w:tcBorders>
          </w:tcPr>
          <w:p w14:paraId="5254E6F2" w14:textId="77777777" w:rsidR="00015B2E" w:rsidRPr="00160C23" w:rsidRDefault="00015B2E" w:rsidP="00015B2E">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1E2CC3E2" w14:textId="77777777" w:rsidR="00015B2E" w:rsidRPr="00160C23" w:rsidRDefault="00015B2E" w:rsidP="00015B2E">
            <w:pPr>
              <w:pStyle w:val="TableTextBase"/>
              <w:rPr>
                <w:rFonts w:cs="Arial"/>
                <w:b/>
                <w:sz w:val="16"/>
                <w:szCs w:val="16"/>
              </w:rPr>
            </w:pPr>
            <w:r w:rsidRPr="00160C23">
              <w:rPr>
                <w:rFonts w:cs="Arial"/>
                <w:b/>
                <w:sz w:val="16"/>
                <w:szCs w:val="16"/>
              </w:rPr>
              <w:t>Expected Performance Results</w:t>
            </w:r>
          </w:p>
        </w:tc>
      </w:tr>
      <w:tr w:rsidR="00015B2E" w:rsidRPr="001B2F81" w14:paraId="56722400" w14:textId="77777777" w:rsidTr="00801C4A">
        <w:trPr>
          <w:trHeight w:val="1988"/>
        </w:trPr>
        <w:tc>
          <w:tcPr>
            <w:tcW w:w="1560" w:type="dxa"/>
            <w:tcBorders>
              <w:top w:val="single" w:sz="4" w:space="0" w:color="auto"/>
              <w:bottom w:val="dotted" w:sz="4" w:space="0" w:color="auto"/>
              <w:right w:val="single" w:sz="4" w:space="0" w:color="auto"/>
            </w:tcBorders>
          </w:tcPr>
          <w:p w14:paraId="20451534" w14:textId="77777777" w:rsidR="00015B2E" w:rsidRPr="00160C23" w:rsidRDefault="00015B2E" w:rsidP="00015B2E">
            <w:pPr>
              <w:pStyle w:val="TableTextBase"/>
              <w:rPr>
                <w:sz w:val="16"/>
                <w:szCs w:val="16"/>
              </w:rPr>
            </w:pPr>
            <w:r w:rsidRPr="00B44FBB">
              <w:rPr>
                <w:sz w:val="16"/>
                <w:szCs w:val="16"/>
              </w:rPr>
              <w:t>Current year 2021</w:t>
            </w:r>
            <w:r>
              <w:rPr>
                <w:sz w:val="16"/>
                <w:szCs w:val="16"/>
              </w:rPr>
              <w:noBreakHyphen/>
            </w:r>
            <w:r w:rsidRPr="00B44FBB">
              <w:rPr>
                <w:sz w:val="16"/>
                <w:szCs w:val="16"/>
              </w:rPr>
              <w:t>22</w:t>
            </w:r>
          </w:p>
        </w:tc>
        <w:tc>
          <w:tcPr>
            <w:tcW w:w="3118" w:type="dxa"/>
            <w:tcBorders>
              <w:top w:val="single" w:sz="4" w:space="0" w:color="auto"/>
              <w:left w:val="single" w:sz="4" w:space="0" w:color="auto"/>
              <w:bottom w:val="dotted" w:sz="4" w:space="0" w:color="auto"/>
              <w:right w:val="single" w:sz="4" w:space="0" w:color="auto"/>
            </w:tcBorders>
          </w:tcPr>
          <w:p w14:paraId="154B3FAA" w14:textId="77777777" w:rsidR="00015B2E" w:rsidRDefault="00015B2E" w:rsidP="00015B2E">
            <w:pPr>
              <w:tabs>
                <w:tab w:val="left" w:pos="709"/>
              </w:tabs>
              <w:spacing w:after="0" w:line="240" w:lineRule="auto"/>
              <w:rPr>
                <w:rFonts w:ascii="Arial" w:hAnsi="Arial" w:cs="Arial"/>
                <w:sz w:val="16"/>
                <w:szCs w:val="16"/>
              </w:rPr>
            </w:pPr>
            <w:r w:rsidRPr="00FF62FE">
              <w:rPr>
                <w:rFonts w:ascii="Arial" w:hAnsi="Arial" w:cs="Arial"/>
                <w:sz w:val="16"/>
                <w:szCs w:val="16"/>
              </w:rPr>
              <w:t xml:space="preserve">Quality and timely advice, services and support to the Prime Minister, Portfolio Ministers, the Cabinet and </w:t>
            </w:r>
            <w:r>
              <w:rPr>
                <w:rFonts w:ascii="Arial" w:hAnsi="Arial" w:cs="Arial"/>
                <w:sz w:val="16"/>
                <w:szCs w:val="16"/>
              </w:rPr>
              <w:t>k</w:t>
            </w:r>
            <w:r w:rsidRPr="00FF62FE">
              <w:rPr>
                <w:rFonts w:ascii="Arial" w:hAnsi="Arial" w:cs="Arial"/>
                <w:sz w:val="16"/>
                <w:szCs w:val="16"/>
              </w:rPr>
              <w:t>ey stakeholders</w:t>
            </w:r>
            <w:r>
              <w:rPr>
                <w:rFonts w:ascii="Arial" w:hAnsi="Arial" w:cs="Arial"/>
                <w:sz w:val="16"/>
                <w:szCs w:val="16"/>
              </w:rPr>
              <w:t>.</w:t>
            </w:r>
          </w:p>
          <w:p w14:paraId="02D61316" w14:textId="77777777" w:rsidR="00015B2E" w:rsidRPr="00A34273" w:rsidRDefault="00015B2E" w:rsidP="00015B2E">
            <w:pPr>
              <w:tabs>
                <w:tab w:val="left" w:pos="709"/>
              </w:tabs>
              <w:spacing w:after="0" w:line="240" w:lineRule="auto"/>
              <w:rPr>
                <w:rFonts w:ascii="Arial" w:hAnsi="Arial" w:cs="Arial"/>
                <w:color w:val="FF0000"/>
                <w:sz w:val="16"/>
                <w:szCs w:val="16"/>
              </w:rPr>
            </w:pPr>
          </w:p>
          <w:p w14:paraId="69A6DA8D" w14:textId="77777777" w:rsidR="00015B2E" w:rsidRPr="00160C23" w:rsidRDefault="00015B2E" w:rsidP="00015B2E">
            <w:pPr>
              <w:pStyle w:val="TableTextBase"/>
              <w:spacing w:before="0" w:after="0"/>
              <w:rPr>
                <w:i/>
                <w:color w:val="0070C0"/>
                <w:sz w:val="16"/>
                <w:szCs w:val="16"/>
              </w:rPr>
            </w:pPr>
            <w:r w:rsidRPr="00FF62FE">
              <w:rPr>
                <w:rFonts w:cs="Arial"/>
                <w:sz w:val="16"/>
                <w:szCs w:val="16"/>
              </w:rPr>
              <w:t>Effective leadership and coordination across the APS-enterprise to support the successful implementation and delivery of government decisions, policies, programs and strategic priorities.</w:t>
            </w:r>
            <w:r w:rsidRPr="00FF62FE">
              <w:rPr>
                <w:rFonts w:cs="Arial"/>
              </w:rPr>
              <w:t xml:space="preserve"> </w:t>
            </w:r>
          </w:p>
        </w:tc>
        <w:tc>
          <w:tcPr>
            <w:tcW w:w="3118" w:type="dxa"/>
            <w:tcBorders>
              <w:top w:val="single" w:sz="4" w:space="0" w:color="auto"/>
              <w:left w:val="single" w:sz="4" w:space="0" w:color="auto"/>
              <w:bottom w:val="dotted" w:sz="4" w:space="0" w:color="auto"/>
            </w:tcBorders>
          </w:tcPr>
          <w:p w14:paraId="411B4FD5" w14:textId="77777777" w:rsidR="00015B2E" w:rsidRPr="00FF62FE" w:rsidRDefault="00015B2E" w:rsidP="00015B2E">
            <w:pPr>
              <w:tabs>
                <w:tab w:val="left" w:pos="709"/>
              </w:tabs>
              <w:spacing w:after="0" w:line="240" w:lineRule="auto"/>
              <w:rPr>
                <w:rFonts w:ascii="Arial" w:hAnsi="Arial" w:cs="Arial"/>
                <w:sz w:val="16"/>
                <w:szCs w:val="16"/>
              </w:rPr>
            </w:pPr>
            <w:r>
              <w:rPr>
                <w:rFonts w:ascii="Arial" w:hAnsi="Arial" w:cs="Arial"/>
                <w:sz w:val="16"/>
                <w:szCs w:val="16"/>
              </w:rPr>
              <w:t>The performance measures are expected to be achieved within the intended objectives, outcomes and timeframes as outlined in PM&amp;C’s 2021-25 Corporate Plan.</w:t>
            </w:r>
          </w:p>
          <w:p w14:paraId="4FD26B7B" w14:textId="77777777" w:rsidR="00015B2E" w:rsidRPr="00160C23" w:rsidRDefault="00015B2E" w:rsidP="00015B2E">
            <w:pPr>
              <w:pStyle w:val="TableTextBase"/>
              <w:spacing w:before="0" w:after="0"/>
              <w:rPr>
                <w:i/>
                <w:color w:val="0070C0"/>
                <w:sz w:val="16"/>
                <w:szCs w:val="16"/>
              </w:rPr>
            </w:pPr>
          </w:p>
        </w:tc>
      </w:tr>
      <w:tr w:rsidR="00015B2E" w:rsidRPr="001B2F81" w14:paraId="2EEB7F64" w14:textId="77777777" w:rsidTr="00C41058">
        <w:trPr>
          <w:trHeight w:val="100"/>
        </w:trPr>
        <w:tc>
          <w:tcPr>
            <w:tcW w:w="1560" w:type="dxa"/>
            <w:tcBorders>
              <w:top w:val="single" w:sz="4" w:space="0" w:color="auto"/>
              <w:bottom w:val="dotted" w:sz="4" w:space="0" w:color="auto"/>
              <w:right w:val="single" w:sz="4" w:space="0" w:color="auto"/>
            </w:tcBorders>
          </w:tcPr>
          <w:p w14:paraId="73DBF76D" w14:textId="77777777" w:rsidR="00015B2E" w:rsidRPr="00160C23" w:rsidRDefault="00015B2E" w:rsidP="00015B2E">
            <w:pPr>
              <w:pStyle w:val="TableTextBase"/>
              <w:rPr>
                <w:b/>
                <w:sz w:val="16"/>
                <w:szCs w:val="16"/>
              </w:rPr>
            </w:pPr>
            <w:r w:rsidRPr="00160C23">
              <w:rPr>
                <w:b/>
                <w:sz w:val="16"/>
                <w:szCs w:val="16"/>
              </w:rPr>
              <w:t>Year</w:t>
            </w:r>
          </w:p>
          <w:p w14:paraId="58B01239" w14:textId="77777777" w:rsidR="00015B2E" w:rsidRPr="00160C23" w:rsidRDefault="00015B2E" w:rsidP="00015B2E">
            <w:pPr>
              <w:pStyle w:val="TableTextBase"/>
              <w:rPr>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75B7F7D6" w14:textId="77777777" w:rsidR="00015B2E" w:rsidRPr="00160C23" w:rsidRDefault="00015B2E" w:rsidP="00015B2E">
            <w:pPr>
              <w:pStyle w:val="TableTextBase"/>
              <w:rPr>
                <w:b/>
                <w:sz w:val="16"/>
                <w:szCs w:val="16"/>
              </w:rPr>
            </w:pPr>
            <w:r w:rsidRPr="00160C23">
              <w:rPr>
                <w:b/>
                <w:sz w:val="16"/>
                <w:szCs w:val="16"/>
              </w:rPr>
              <w:t>Performance measures</w:t>
            </w:r>
          </w:p>
        </w:tc>
        <w:tc>
          <w:tcPr>
            <w:tcW w:w="3118" w:type="dxa"/>
            <w:tcBorders>
              <w:top w:val="single" w:sz="4" w:space="0" w:color="auto"/>
              <w:left w:val="single" w:sz="4" w:space="0" w:color="auto"/>
              <w:bottom w:val="dotted" w:sz="4" w:space="0" w:color="auto"/>
            </w:tcBorders>
          </w:tcPr>
          <w:p w14:paraId="2DABB27F" w14:textId="77777777" w:rsidR="00015B2E" w:rsidRPr="00160C23" w:rsidRDefault="00015B2E" w:rsidP="00015B2E">
            <w:pPr>
              <w:pStyle w:val="TableTextBase"/>
              <w:rPr>
                <w:b/>
                <w:sz w:val="16"/>
                <w:szCs w:val="16"/>
              </w:rPr>
            </w:pPr>
            <w:r w:rsidRPr="00160C23">
              <w:rPr>
                <w:b/>
                <w:sz w:val="16"/>
                <w:szCs w:val="16"/>
              </w:rPr>
              <w:t>Expected Performance Results</w:t>
            </w:r>
          </w:p>
        </w:tc>
      </w:tr>
      <w:tr w:rsidR="00015B2E" w:rsidRPr="001B2F81" w14:paraId="08969F30" w14:textId="77777777" w:rsidTr="00293712">
        <w:trPr>
          <w:trHeight w:val="100"/>
        </w:trPr>
        <w:tc>
          <w:tcPr>
            <w:tcW w:w="1560" w:type="dxa"/>
            <w:tcBorders>
              <w:top w:val="single" w:sz="4" w:space="0" w:color="auto"/>
              <w:bottom w:val="single" w:sz="4" w:space="0" w:color="auto"/>
              <w:right w:val="single" w:sz="4" w:space="0" w:color="auto"/>
            </w:tcBorders>
          </w:tcPr>
          <w:p w14:paraId="1B82DD39" w14:textId="77777777" w:rsidR="00015B2E" w:rsidRPr="001B2F81" w:rsidRDefault="00015B2E" w:rsidP="00015B2E">
            <w:pPr>
              <w:pStyle w:val="TableTextBase"/>
            </w:pPr>
            <w:r>
              <w:rPr>
                <w:sz w:val="16"/>
              </w:rPr>
              <w:t>Budget y</w:t>
            </w:r>
            <w:r w:rsidRPr="00B44FBB">
              <w:rPr>
                <w:sz w:val="16"/>
              </w:rPr>
              <w:t>ear     2022-23</w:t>
            </w:r>
          </w:p>
        </w:tc>
        <w:tc>
          <w:tcPr>
            <w:tcW w:w="3118" w:type="dxa"/>
            <w:tcBorders>
              <w:top w:val="single" w:sz="4" w:space="0" w:color="auto"/>
              <w:left w:val="single" w:sz="4" w:space="0" w:color="auto"/>
              <w:bottom w:val="single" w:sz="4" w:space="0" w:color="auto"/>
              <w:right w:val="single" w:sz="4" w:space="0" w:color="auto"/>
            </w:tcBorders>
          </w:tcPr>
          <w:p w14:paraId="066D8889" w14:textId="77777777" w:rsidR="00015B2E" w:rsidRDefault="00015B2E" w:rsidP="00015B2E">
            <w:pPr>
              <w:tabs>
                <w:tab w:val="left" w:pos="709"/>
              </w:tabs>
              <w:spacing w:after="0" w:line="240" w:lineRule="auto"/>
              <w:rPr>
                <w:rFonts w:ascii="Arial" w:hAnsi="Arial" w:cs="Arial"/>
                <w:sz w:val="16"/>
                <w:szCs w:val="16"/>
              </w:rPr>
            </w:pPr>
            <w:r>
              <w:rPr>
                <w:rFonts w:ascii="Arial" w:hAnsi="Arial" w:cs="Arial"/>
                <w:sz w:val="16"/>
                <w:szCs w:val="16"/>
              </w:rPr>
              <w:t>T</w:t>
            </w:r>
            <w:r w:rsidRPr="00356DD7">
              <w:rPr>
                <w:rFonts w:ascii="Arial" w:hAnsi="Arial" w:cs="Arial"/>
                <w:sz w:val="16"/>
                <w:szCs w:val="16"/>
              </w:rPr>
              <w:t>he Prime Minister</w:t>
            </w:r>
            <w:r>
              <w:rPr>
                <w:rFonts w:ascii="Arial" w:hAnsi="Arial" w:cs="Arial"/>
                <w:sz w:val="16"/>
                <w:szCs w:val="16"/>
              </w:rPr>
              <w:t>, the Cabinet, Portfolio Ministers and key stakeholders are supported with q</w:t>
            </w:r>
            <w:r w:rsidRPr="00356DD7">
              <w:rPr>
                <w:rFonts w:ascii="Arial" w:hAnsi="Arial" w:cs="Arial"/>
                <w:sz w:val="16"/>
                <w:szCs w:val="16"/>
              </w:rPr>
              <w:t xml:space="preserve">uality and </w:t>
            </w:r>
            <w:r>
              <w:rPr>
                <w:rFonts w:ascii="Arial" w:hAnsi="Arial" w:cs="Arial"/>
                <w:sz w:val="16"/>
                <w:szCs w:val="16"/>
              </w:rPr>
              <w:t>timely</w:t>
            </w:r>
            <w:r w:rsidRPr="00356DD7">
              <w:rPr>
                <w:rFonts w:ascii="Arial" w:hAnsi="Arial" w:cs="Arial"/>
                <w:sz w:val="16"/>
                <w:szCs w:val="16"/>
              </w:rPr>
              <w:t xml:space="preserve"> advice</w:t>
            </w:r>
            <w:r>
              <w:rPr>
                <w:rFonts w:ascii="Arial" w:hAnsi="Arial" w:cs="Arial"/>
                <w:sz w:val="16"/>
                <w:szCs w:val="16"/>
              </w:rPr>
              <w:t>, services and support.</w:t>
            </w:r>
          </w:p>
          <w:p w14:paraId="331BA56B" w14:textId="77777777" w:rsidR="00015B2E" w:rsidRDefault="00015B2E" w:rsidP="00015B2E">
            <w:pPr>
              <w:tabs>
                <w:tab w:val="left" w:pos="709"/>
              </w:tabs>
              <w:spacing w:after="0" w:line="240" w:lineRule="auto"/>
              <w:rPr>
                <w:rFonts w:ascii="Arial" w:hAnsi="Arial" w:cs="Arial"/>
                <w:sz w:val="16"/>
                <w:szCs w:val="16"/>
              </w:rPr>
            </w:pPr>
          </w:p>
          <w:p w14:paraId="46A5D5CF" w14:textId="77777777" w:rsidR="00015B2E" w:rsidRDefault="00015B2E" w:rsidP="00015B2E">
            <w:pPr>
              <w:tabs>
                <w:tab w:val="left" w:pos="709"/>
              </w:tabs>
              <w:spacing w:after="120" w:line="240" w:lineRule="auto"/>
              <w:rPr>
                <w:rFonts w:ascii="Arial" w:hAnsi="Arial" w:cs="Arial"/>
                <w:sz w:val="16"/>
                <w:szCs w:val="16"/>
              </w:rPr>
            </w:pPr>
            <w:r>
              <w:rPr>
                <w:rFonts w:ascii="Arial" w:hAnsi="Arial" w:cs="Arial"/>
                <w:sz w:val="16"/>
                <w:szCs w:val="16"/>
              </w:rPr>
              <w:t>S</w:t>
            </w:r>
            <w:r w:rsidRPr="00FF62FE">
              <w:rPr>
                <w:rFonts w:ascii="Arial" w:hAnsi="Arial" w:cs="Arial"/>
                <w:sz w:val="16"/>
                <w:szCs w:val="16"/>
              </w:rPr>
              <w:t>uccessful implementation and delivery of</w:t>
            </w:r>
            <w:r>
              <w:rPr>
                <w:rFonts w:ascii="Arial" w:hAnsi="Arial" w:cs="Arial"/>
                <w:sz w:val="16"/>
                <w:szCs w:val="16"/>
              </w:rPr>
              <w:t xml:space="preserve"> the G</w:t>
            </w:r>
            <w:r w:rsidRPr="00FF62FE">
              <w:rPr>
                <w:rFonts w:ascii="Arial" w:hAnsi="Arial" w:cs="Arial"/>
                <w:sz w:val="16"/>
                <w:szCs w:val="16"/>
              </w:rPr>
              <w:t>overnment</w:t>
            </w:r>
            <w:r>
              <w:rPr>
                <w:rFonts w:ascii="Arial" w:hAnsi="Arial" w:cs="Arial"/>
                <w:sz w:val="16"/>
                <w:szCs w:val="16"/>
              </w:rPr>
              <w:t>’s national and international strategic priorities,</w:t>
            </w:r>
            <w:r w:rsidRPr="00FF62FE">
              <w:rPr>
                <w:rFonts w:ascii="Arial" w:hAnsi="Arial" w:cs="Arial"/>
                <w:sz w:val="16"/>
                <w:szCs w:val="16"/>
              </w:rPr>
              <w:t xml:space="preserve"> decisions, policies</w:t>
            </w:r>
            <w:r>
              <w:rPr>
                <w:rFonts w:ascii="Arial" w:hAnsi="Arial" w:cs="Arial"/>
                <w:sz w:val="16"/>
                <w:szCs w:val="16"/>
              </w:rPr>
              <w:t xml:space="preserve"> and</w:t>
            </w:r>
            <w:r w:rsidRPr="00FF62FE">
              <w:rPr>
                <w:rFonts w:ascii="Arial" w:hAnsi="Arial" w:cs="Arial"/>
                <w:sz w:val="16"/>
                <w:szCs w:val="16"/>
              </w:rPr>
              <w:t xml:space="preserve"> programs</w:t>
            </w:r>
            <w:r>
              <w:rPr>
                <w:rFonts w:ascii="Arial" w:hAnsi="Arial" w:cs="Arial"/>
                <w:sz w:val="16"/>
                <w:szCs w:val="16"/>
              </w:rPr>
              <w:t>, through effective leadership, coordination and support.</w:t>
            </w:r>
          </w:p>
          <w:p w14:paraId="63083B2B" w14:textId="77777777" w:rsidR="00015B2E" w:rsidRPr="00160C23" w:rsidRDefault="00015B2E" w:rsidP="00015B2E">
            <w:pPr>
              <w:pStyle w:val="TableTextBase"/>
              <w:spacing w:before="0" w:after="0"/>
              <w:rPr>
                <w:i/>
                <w:color w:val="0070C0"/>
              </w:rPr>
            </w:pPr>
            <w:r>
              <w:rPr>
                <w:rFonts w:cs="Arial"/>
                <w:sz w:val="16"/>
                <w:szCs w:val="16"/>
              </w:rPr>
              <w:t>Effective collaboration, communication and engagement with key stakeholders and the Australian community.</w:t>
            </w:r>
          </w:p>
        </w:tc>
        <w:tc>
          <w:tcPr>
            <w:tcW w:w="3118" w:type="dxa"/>
            <w:tcBorders>
              <w:top w:val="single" w:sz="4" w:space="0" w:color="auto"/>
              <w:left w:val="single" w:sz="4" w:space="0" w:color="auto"/>
              <w:bottom w:val="single" w:sz="4" w:space="0" w:color="auto"/>
            </w:tcBorders>
          </w:tcPr>
          <w:p w14:paraId="4DD2B9B6" w14:textId="77777777" w:rsidR="00015B2E" w:rsidRPr="00FF62FE" w:rsidRDefault="00015B2E" w:rsidP="00015B2E">
            <w:pPr>
              <w:tabs>
                <w:tab w:val="left" w:pos="709"/>
              </w:tabs>
              <w:spacing w:after="0" w:line="240" w:lineRule="auto"/>
              <w:rPr>
                <w:rFonts w:ascii="Arial" w:hAnsi="Arial" w:cs="Arial"/>
                <w:b/>
                <w:sz w:val="16"/>
                <w:szCs w:val="16"/>
              </w:rPr>
            </w:pPr>
            <w:r>
              <w:rPr>
                <w:rFonts w:ascii="Arial" w:hAnsi="Arial" w:cs="Arial"/>
                <w:bCs/>
                <w:sz w:val="16"/>
                <w:szCs w:val="16"/>
              </w:rPr>
              <w:t>Provided</w:t>
            </w:r>
            <w:r w:rsidRPr="005900B0">
              <w:rPr>
                <w:rFonts w:ascii="Arial" w:hAnsi="Arial" w:cs="Arial"/>
                <w:bCs/>
                <w:sz w:val="16"/>
                <w:szCs w:val="16"/>
              </w:rPr>
              <w:t xml:space="preserve"> quality and timely advice to </w:t>
            </w:r>
            <w:r>
              <w:rPr>
                <w:rFonts w:ascii="Arial" w:hAnsi="Arial" w:cs="Arial"/>
                <w:bCs/>
                <w:sz w:val="16"/>
                <w:szCs w:val="16"/>
              </w:rPr>
              <w:t>support</w:t>
            </w:r>
            <w:r w:rsidRPr="005900B0">
              <w:rPr>
                <w:rFonts w:ascii="Arial" w:hAnsi="Arial" w:cs="Arial"/>
                <w:bCs/>
                <w:sz w:val="16"/>
                <w:szCs w:val="16"/>
              </w:rPr>
              <w:t xml:space="preserve"> the Prime Minister’s</w:t>
            </w:r>
            <w:r>
              <w:rPr>
                <w:rFonts w:ascii="Arial" w:hAnsi="Arial" w:cs="Arial"/>
                <w:bCs/>
                <w:sz w:val="16"/>
                <w:szCs w:val="16"/>
              </w:rPr>
              <w:t xml:space="preserve">, Portfolio Ministers and key stakeholders </w:t>
            </w:r>
            <w:r w:rsidRPr="005900B0">
              <w:rPr>
                <w:rFonts w:ascii="Arial" w:hAnsi="Arial" w:cs="Arial"/>
                <w:bCs/>
                <w:sz w:val="16"/>
                <w:szCs w:val="16"/>
              </w:rPr>
              <w:t>and the Cabinet’s decision making</w:t>
            </w:r>
            <w:r>
              <w:rPr>
                <w:rFonts w:ascii="Arial" w:hAnsi="Arial" w:cs="Arial"/>
                <w:bCs/>
                <w:sz w:val="16"/>
                <w:szCs w:val="16"/>
              </w:rPr>
              <w:t>.</w:t>
            </w:r>
          </w:p>
          <w:p w14:paraId="282B53D6" w14:textId="77777777" w:rsidR="00015B2E" w:rsidRDefault="00015B2E" w:rsidP="00015B2E">
            <w:pPr>
              <w:tabs>
                <w:tab w:val="left" w:pos="709"/>
              </w:tabs>
              <w:spacing w:after="0" w:line="240" w:lineRule="auto"/>
              <w:rPr>
                <w:rFonts w:ascii="Arial" w:hAnsi="Arial" w:cs="Arial"/>
                <w:sz w:val="16"/>
                <w:szCs w:val="16"/>
              </w:rPr>
            </w:pPr>
            <w:r>
              <w:rPr>
                <w:rFonts w:ascii="Arial" w:hAnsi="Arial" w:cs="Arial"/>
                <w:sz w:val="16"/>
                <w:szCs w:val="16"/>
              </w:rPr>
              <w:br/>
              <w:t xml:space="preserve">Supported the successful </w:t>
            </w:r>
            <w:r w:rsidRPr="005900B0">
              <w:rPr>
                <w:rFonts w:ascii="Arial" w:hAnsi="Arial" w:cs="Arial"/>
                <w:sz w:val="16"/>
                <w:szCs w:val="16"/>
              </w:rPr>
              <w:t xml:space="preserve">delivery of </w:t>
            </w:r>
            <w:r>
              <w:rPr>
                <w:rFonts w:ascii="Arial" w:hAnsi="Arial" w:cs="Arial"/>
                <w:sz w:val="16"/>
                <w:szCs w:val="16"/>
              </w:rPr>
              <w:t>the G</w:t>
            </w:r>
            <w:r w:rsidRPr="005900B0">
              <w:rPr>
                <w:rFonts w:ascii="Arial" w:hAnsi="Arial" w:cs="Arial"/>
                <w:sz w:val="16"/>
                <w:szCs w:val="16"/>
              </w:rPr>
              <w:t>overnment</w:t>
            </w:r>
            <w:r>
              <w:rPr>
                <w:rFonts w:ascii="Arial" w:hAnsi="Arial" w:cs="Arial"/>
                <w:sz w:val="16"/>
                <w:szCs w:val="16"/>
              </w:rPr>
              <w:t>’s</w:t>
            </w:r>
            <w:r w:rsidRPr="005900B0">
              <w:rPr>
                <w:rFonts w:ascii="Arial" w:hAnsi="Arial" w:cs="Arial"/>
                <w:sz w:val="16"/>
                <w:szCs w:val="16"/>
              </w:rPr>
              <w:t xml:space="preserve"> </w:t>
            </w:r>
            <w:r>
              <w:rPr>
                <w:rFonts w:ascii="Arial" w:hAnsi="Arial" w:cs="Arial"/>
                <w:sz w:val="16"/>
                <w:szCs w:val="16"/>
              </w:rPr>
              <w:t xml:space="preserve">strategic national and international </w:t>
            </w:r>
            <w:r w:rsidRPr="005900B0">
              <w:rPr>
                <w:rFonts w:ascii="Arial" w:hAnsi="Arial" w:cs="Arial"/>
                <w:sz w:val="16"/>
                <w:szCs w:val="16"/>
              </w:rPr>
              <w:t>priorities</w:t>
            </w:r>
            <w:r>
              <w:rPr>
                <w:rFonts w:ascii="Arial" w:hAnsi="Arial" w:cs="Arial"/>
                <w:sz w:val="16"/>
                <w:szCs w:val="16"/>
              </w:rPr>
              <w:t>, and programs through effective coordination, leadership, monitoring and reporting</w:t>
            </w:r>
            <w:r w:rsidRPr="005900B0">
              <w:rPr>
                <w:rFonts w:ascii="Arial" w:hAnsi="Arial" w:cs="Arial"/>
                <w:sz w:val="16"/>
                <w:szCs w:val="16"/>
              </w:rPr>
              <w:t>.</w:t>
            </w:r>
          </w:p>
          <w:p w14:paraId="213BEE9E" w14:textId="77777777" w:rsidR="00015B2E" w:rsidRPr="005900B0" w:rsidRDefault="00015B2E" w:rsidP="00015B2E">
            <w:pPr>
              <w:tabs>
                <w:tab w:val="left" w:pos="709"/>
              </w:tabs>
              <w:spacing w:after="0" w:line="240" w:lineRule="auto"/>
              <w:rPr>
                <w:rFonts w:ascii="Arial" w:hAnsi="Arial" w:cs="Arial"/>
                <w:sz w:val="16"/>
                <w:szCs w:val="16"/>
              </w:rPr>
            </w:pPr>
          </w:p>
          <w:p w14:paraId="133DEDE1" w14:textId="77777777" w:rsidR="00015B2E" w:rsidRPr="00C76155" w:rsidRDefault="00015B2E" w:rsidP="00015B2E">
            <w:pPr>
              <w:tabs>
                <w:tab w:val="left" w:pos="709"/>
              </w:tabs>
              <w:spacing w:after="0" w:line="240" w:lineRule="auto"/>
              <w:rPr>
                <w:rFonts w:ascii="Arial" w:hAnsi="Arial" w:cs="Arial"/>
                <w:bCs/>
                <w:color w:val="FF0000"/>
                <w:sz w:val="16"/>
                <w:szCs w:val="16"/>
              </w:rPr>
            </w:pPr>
            <w:r>
              <w:rPr>
                <w:rFonts w:ascii="Arial" w:hAnsi="Arial" w:cs="Arial"/>
                <w:bCs/>
                <w:sz w:val="16"/>
                <w:szCs w:val="16"/>
              </w:rPr>
              <w:t>Deployed effective and rapid responses to critical and emerging issues.</w:t>
            </w:r>
            <w:r w:rsidRPr="00C76155">
              <w:rPr>
                <w:rFonts w:ascii="Arial" w:hAnsi="Arial" w:cs="Arial"/>
                <w:bCs/>
                <w:sz w:val="16"/>
                <w:szCs w:val="16"/>
              </w:rPr>
              <w:t xml:space="preserve"> </w:t>
            </w:r>
          </w:p>
          <w:p w14:paraId="49DB9958" w14:textId="77777777" w:rsidR="00015B2E" w:rsidRPr="00160C23" w:rsidRDefault="00015B2E" w:rsidP="00015B2E">
            <w:pPr>
              <w:pStyle w:val="TableTextBase"/>
              <w:spacing w:before="0" w:after="0"/>
              <w:rPr>
                <w:i/>
                <w:color w:val="0070C0"/>
              </w:rPr>
            </w:pPr>
            <w:r>
              <w:rPr>
                <w:rFonts w:cs="Arial"/>
                <w:bCs/>
                <w:sz w:val="16"/>
                <w:szCs w:val="16"/>
              </w:rPr>
              <w:t>The PM&amp;C effectively collaborated and communicated with the community and key stakeholders through engagement activities, timely response to correspondence and messages to the Australian Community.</w:t>
            </w:r>
          </w:p>
        </w:tc>
      </w:tr>
      <w:tr w:rsidR="00015B2E" w:rsidRPr="001B2F81" w14:paraId="07B5739E" w14:textId="77777777" w:rsidTr="00293712">
        <w:trPr>
          <w:trHeight w:val="491"/>
        </w:trPr>
        <w:tc>
          <w:tcPr>
            <w:tcW w:w="1560" w:type="dxa"/>
            <w:tcBorders>
              <w:top w:val="single" w:sz="4" w:space="0" w:color="auto"/>
              <w:bottom w:val="single" w:sz="4" w:space="0" w:color="auto"/>
              <w:right w:val="single" w:sz="4" w:space="0" w:color="auto"/>
            </w:tcBorders>
          </w:tcPr>
          <w:p w14:paraId="15659C3A" w14:textId="77777777" w:rsidR="00015B2E" w:rsidRPr="00CB7111" w:rsidRDefault="00015B2E" w:rsidP="00015B2E">
            <w:pPr>
              <w:pStyle w:val="TableTextBase"/>
              <w:rPr>
                <w:sz w:val="16"/>
              </w:rPr>
            </w:pPr>
            <w:r>
              <w:rPr>
                <w:sz w:val="16"/>
              </w:rPr>
              <w:t>Forward e</w:t>
            </w:r>
            <w:r w:rsidRPr="00CB7111">
              <w:rPr>
                <w:sz w:val="16"/>
              </w:rPr>
              <w:t xml:space="preserve">stimates </w:t>
            </w:r>
            <w:r>
              <w:rPr>
                <w:sz w:val="16"/>
              </w:rPr>
              <w:t xml:space="preserve"> </w:t>
            </w:r>
            <w:r w:rsidRPr="00CB7111">
              <w:rPr>
                <w:sz w:val="16"/>
              </w:rPr>
              <w:t>2023-26</w:t>
            </w:r>
          </w:p>
        </w:tc>
        <w:tc>
          <w:tcPr>
            <w:tcW w:w="3118" w:type="dxa"/>
            <w:tcBorders>
              <w:top w:val="single" w:sz="4" w:space="0" w:color="auto"/>
              <w:left w:val="single" w:sz="4" w:space="0" w:color="auto"/>
              <w:bottom w:val="single" w:sz="4" w:space="0" w:color="auto"/>
              <w:right w:val="single" w:sz="4" w:space="0" w:color="auto"/>
            </w:tcBorders>
          </w:tcPr>
          <w:p w14:paraId="762721DA" w14:textId="77777777" w:rsidR="00015B2E" w:rsidRPr="00160C23" w:rsidRDefault="00015B2E" w:rsidP="00015B2E">
            <w:pPr>
              <w:pStyle w:val="TableTextBase"/>
              <w:rPr>
                <w:b/>
                <w:color w:val="0070C0"/>
              </w:rPr>
            </w:pPr>
            <w:r w:rsidRPr="00FF62FE">
              <w:rPr>
                <w:rFonts w:cs="Arial"/>
                <w:sz w:val="16"/>
                <w:szCs w:val="16"/>
              </w:rPr>
              <w:t>As per 2022-23</w:t>
            </w:r>
          </w:p>
        </w:tc>
        <w:tc>
          <w:tcPr>
            <w:tcW w:w="3118" w:type="dxa"/>
            <w:tcBorders>
              <w:top w:val="single" w:sz="4" w:space="0" w:color="auto"/>
              <w:left w:val="single" w:sz="4" w:space="0" w:color="auto"/>
              <w:bottom w:val="single" w:sz="4" w:space="0" w:color="auto"/>
            </w:tcBorders>
          </w:tcPr>
          <w:p w14:paraId="564A9EA8" w14:textId="77777777" w:rsidR="00015B2E" w:rsidRPr="00160C23" w:rsidRDefault="00015B2E" w:rsidP="00015B2E">
            <w:pPr>
              <w:pStyle w:val="TableTextBase"/>
              <w:rPr>
                <w:b/>
                <w:color w:val="0070C0"/>
              </w:rPr>
            </w:pPr>
            <w:r w:rsidRPr="00FF62FE">
              <w:rPr>
                <w:rFonts w:cs="Arial"/>
                <w:sz w:val="16"/>
                <w:szCs w:val="16"/>
              </w:rPr>
              <w:t>As per 2022-23</w:t>
            </w:r>
          </w:p>
        </w:tc>
      </w:tr>
    </w:tbl>
    <w:p w14:paraId="57212D0B" w14:textId="77777777" w:rsidR="002F530C" w:rsidRPr="00AD42E2" w:rsidRDefault="002F530C" w:rsidP="00AD42E2">
      <w:pPr>
        <w:pStyle w:val="Heading2"/>
      </w:pPr>
      <w:r w:rsidRPr="005B6A94">
        <w:br w:type="page"/>
      </w:r>
      <w:bookmarkStart w:id="92" w:name="_Toc444523516"/>
      <w:bookmarkStart w:id="93" w:name="_Toc98766352"/>
      <w:bookmarkStart w:id="94" w:name="_Toc98856098"/>
      <w:bookmarkStart w:id="95" w:name="_Toc99008107"/>
      <w:bookmarkStart w:id="96" w:name="_Toc99009469"/>
      <w:bookmarkStart w:id="97" w:name="_Toc99010697"/>
      <w:bookmarkStart w:id="98" w:name="_Toc99013932"/>
      <w:bookmarkStart w:id="99" w:name="_Toc99187509"/>
      <w:bookmarkStart w:id="100" w:name="_Toc99269618"/>
      <w:r w:rsidRPr="00AD42E2">
        <w:lastRenderedPageBreak/>
        <w:t>Section 3: Budgeted financial statements</w:t>
      </w:r>
      <w:bookmarkEnd w:id="92"/>
      <w:bookmarkEnd w:id="93"/>
      <w:bookmarkEnd w:id="94"/>
      <w:bookmarkEnd w:id="95"/>
      <w:bookmarkEnd w:id="96"/>
      <w:bookmarkEnd w:id="97"/>
      <w:bookmarkEnd w:id="98"/>
      <w:bookmarkEnd w:id="99"/>
      <w:bookmarkEnd w:id="100"/>
    </w:p>
    <w:p w14:paraId="2EC9E520" w14:textId="77777777" w:rsidR="00A6388E" w:rsidRDefault="00CF5085" w:rsidP="005328A9">
      <w:r>
        <w:t>Section 3</w:t>
      </w:r>
      <w:r w:rsidR="0027614D">
        <w:t xml:space="preserve"> presents budgeted financial statements which provide a comprehensive snapshot of</w:t>
      </w:r>
      <w:r w:rsidR="001B03CC">
        <w:t xml:space="preserve"> </w:t>
      </w:r>
      <w:r w:rsidR="00015B2E">
        <w:t>PM&amp;C’s</w:t>
      </w:r>
      <w:r w:rsidR="001B03CC">
        <w:t xml:space="preserve"> </w:t>
      </w:r>
      <w:r w:rsidR="0027614D">
        <w:t xml:space="preserve">finances for the </w:t>
      </w:r>
      <w:r w:rsidR="002E59C4">
        <w:t>2022</w:t>
      </w:r>
      <w:r w:rsidR="002A1CC2">
        <w:t>-</w:t>
      </w:r>
      <w:r w:rsidR="002E59C4">
        <w:t>23</w:t>
      </w:r>
      <w:r w:rsidR="002E59C4">
        <w:rPr>
          <w:color w:val="00B050"/>
        </w:rPr>
        <w:t xml:space="preserve"> </w:t>
      </w:r>
      <w:r w:rsidR="004C12AF">
        <w:t>Budget year</w:t>
      </w:r>
      <w:r w:rsidR="007118AC">
        <w:t>, including the impact of budget measures and resourcing on financial statements</w:t>
      </w:r>
      <w:r w:rsidR="00B04964">
        <w:t>.</w:t>
      </w:r>
    </w:p>
    <w:p w14:paraId="1267C635" w14:textId="77777777" w:rsidR="00E4582E" w:rsidRPr="005328A9" w:rsidRDefault="007118AC" w:rsidP="005328A9">
      <w:pPr>
        <w:pStyle w:val="Heading3"/>
      </w:pPr>
      <w:bookmarkStart w:id="101" w:name="_Toc190682317"/>
      <w:bookmarkStart w:id="102" w:name="_Toc444523517"/>
      <w:bookmarkStart w:id="103" w:name="_Toc98766353"/>
      <w:bookmarkStart w:id="104" w:name="_Toc98856099"/>
      <w:bookmarkStart w:id="105" w:name="_Toc99008108"/>
      <w:bookmarkStart w:id="106" w:name="_Toc99009470"/>
      <w:bookmarkStart w:id="107" w:name="_Toc99010698"/>
      <w:bookmarkStart w:id="108" w:name="_Toc99013933"/>
      <w:bookmarkStart w:id="109" w:name="_Toc99187510"/>
      <w:bookmarkStart w:id="110" w:name="_Toc99269619"/>
      <w:r w:rsidRPr="005328A9">
        <w:t>3.1</w:t>
      </w:r>
      <w:r w:rsidR="00E4582E" w:rsidRPr="005328A9">
        <w:tab/>
        <w:t>Budgeted financial statements</w:t>
      </w:r>
      <w:bookmarkEnd w:id="101"/>
      <w:bookmarkEnd w:id="102"/>
      <w:bookmarkEnd w:id="103"/>
      <w:bookmarkEnd w:id="104"/>
      <w:bookmarkEnd w:id="105"/>
      <w:bookmarkEnd w:id="106"/>
      <w:bookmarkEnd w:id="107"/>
      <w:bookmarkEnd w:id="108"/>
      <w:bookmarkEnd w:id="109"/>
      <w:bookmarkEnd w:id="110"/>
    </w:p>
    <w:p w14:paraId="322BA0F8" w14:textId="77777777" w:rsidR="00E4582E" w:rsidRDefault="00A23BC2" w:rsidP="00E4582E">
      <w:pPr>
        <w:pStyle w:val="Heading4"/>
      </w:pPr>
      <w:r>
        <w:t>3.</w:t>
      </w:r>
      <w:r w:rsidR="007118AC">
        <w:t>1</w:t>
      </w:r>
      <w:r w:rsidR="00DF05A8">
        <w:t>.1</w:t>
      </w:r>
      <w:r w:rsidR="005F29CD">
        <w:tab/>
      </w:r>
      <w:r w:rsidR="003B7C64">
        <w:t xml:space="preserve">Explanatory notes and analysis </w:t>
      </w:r>
      <w:r w:rsidR="00E4582E">
        <w:t xml:space="preserve">of </w:t>
      </w:r>
      <w:r w:rsidR="000216BF">
        <w:t>budgeted financial statements</w:t>
      </w:r>
    </w:p>
    <w:p w14:paraId="4ECB0908" w14:textId="77777777" w:rsidR="00DF05A8" w:rsidRPr="004E586A" w:rsidRDefault="00DF05A8" w:rsidP="00DF05A8">
      <w:pPr>
        <w:pStyle w:val="H7"/>
        <w:spacing w:before="120"/>
        <w:jc w:val="both"/>
        <w:rPr>
          <w:rFonts w:ascii="Book Antiqua" w:hAnsi="Book Antiqua"/>
          <w:b/>
          <w:i w:val="0"/>
        </w:rPr>
      </w:pPr>
      <w:r w:rsidRPr="004E586A">
        <w:rPr>
          <w:rFonts w:ascii="Book Antiqua" w:hAnsi="Book Antiqua"/>
          <w:b/>
          <w:i w:val="0"/>
        </w:rPr>
        <w:t>Departmental financial statements</w:t>
      </w:r>
    </w:p>
    <w:p w14:paraId="5E2667EC" w14:textId="77777777" w:rsidR="00DF05A8" w:rsidRPr="00924D4B" w:rsidRDefault="00DF05A8" w:rsidP="00DF05A8">
      <w:pPr>
        <w:pStyle w:val="ExampleText0"/>
        <w:jc w:val="both"/>
        <w:rPr>
          <w:i w:val="0"/>
          <w:color w:val="auto"/>
        </w:rPr>
      </w:pPr>
      <w:r w:rsidRPr="00422337">
        <w:rPr>
          <w:i w:val="0"/>
          <w:color w:val="auto"/>
        </w:rPr>
        <w:t>The department is budgeting for a break even position in 2022-23 and each forward year,</w:t>
      </w:r>
      <w:r w:rsidRPr="00924D4B">
        <w:rPr>
          <w:i w:val="0"/>
          <w:color w:val="auto"/>
        </w:rPr>
        <w:t xml:space="preserve"> after adjusting for depreciation expense and </w:t>
      </w:r>
      <w:r w:rsidR="002A29E1">
        <w:rPr>
          <w:i w:val="0"/>
          <w:color w:val="auto"/>
        </w:rPr>
        <w:t>righ</w:t>
      </w:r>
      <w:r w:rsidR="00015B2E">
        <w:rPr>
          <w:i w:val="0"/>
          <w:color w:val="auto"/>
        </w:rPr>
        <w:t>t-of-</w:t>
      </w:r>
      <w:r w:rsidR="002A29E1">
        <w:rPr>
          <w:i w:val="0"/>
          <w:color w:val="auto"/>
        </w:rPr>
        <w:t>use (ROU)</w:t>
      </w:r>
      <w:r w:rsidRPr="00924D4B">
        <w:rPr>
          <w:i w:val="0"/>
          <w:color w:val="auto"/>
        </w:rPr>
        <w:t xml:space="preserve"> asset transactions (in accordance</w:t>
      </w:r>
      <w:r>
        <w:rPr>
          <w:i w:val="0"/>
          <w:color w:val="auto"/>
        </w:rPr>
        <w:t xml:space="preserve"> with AASB </w:t>
      </w:r>
      <w:r w:rsidRPr="00924D4B">
        <w:rPr>
          <w:i w:val="0"/>
          <w:color w:val="auto"/>
        </w:rPr>
        <w:t xml:space="preserve">16 Leases). The Comprehensive Income Statement (Table 3.2) sets out the application of funding to ordinary operating </w:t>
      </w:r>
      <w:r>
        <w:rPr>
          <w:i w:val="0"/>
          <w:color w:val="auto"/>
        </w:rPr>
        <w:t>activities</w:t>
      </w:r>
      <w:r w:rsidRPr="00924D4B">
        <w:rPr>
          <w:i w:val="0"/>
          <w:color w:val="auto"/>
        </w:rPr>
        <w:t xml:space="preserve">. </w:t>
      </w:r>
    </w:p>
    <w:p w14:paraId="026DB7C8" w14:textId="77777777" w:rsidR="00DF05A8" w:rsidRPr="00924D4B" w:rsidRDefault="00DF05A8" w:rsidP="00DF05A8">
      <w:pPr>
        <w:pStyle w:val="ExampleText0"/>
        <w:jc w:val="both"/>
        <w:rPr>
          <w:i w:val="0"/>
          <w:color w:val="auto"/>
        </w:rPr>
      </w:pPr>
      <w:r>
        <w:rPr>
          <w:i w:val="0"/>
          <w:color w:val="auto"/>
        </w:rPr>
        <w:t>Appropriations for 2022</w:t>
      </w:r>
      <w:r w:rsidRPr="00924D4B">
        <w:rPr>
          <w:i w:val="0"/>
          <w:color w:val="auto"/>
        </w:rPr>
        <w:t>-2</w:t>
      </w:r>
      <w:r>
        <w:rPr>
          <w:i w:val="0"/>
          <w:color w:val="auto"/>
        </w:rPr>
        <w:t>3</w:t>
      </w:r>
      <w:r w:rsidRPr="00924D4B">
        <w:rPr>
          <w:i w:val="0"/>
          <w:color w:val="auto"/>
        </w:rPr>
        <w:t xml:space="preserve"> have increased since the publication of the 202</w:t>
      </w:r>
      <w:r w:rsidR="00801C4A">
        <w:rPr>
          <w:i w:val="0"/>
          <w:color w:val="auto"/>
        </w:rPr>
        <w:t>1</w:t>
      </w:r>
      <w:r w:rsidRPr="00924D4B">
        <w:rPr>
          <w:i w:val="0"/>
          <w:color w:val="auto"/>
        </w:rPr>
        <w:t>-2</w:t>
      </w:r>
      <w:r>
        <w:rPr>
          <w:i w:val="0"/>
          <w:color w:val="auto"/>
        </w:rPr>
        <w:t>2</w:t>
      </w:r>
      <w:r w:rsidRPr="00924D4B">
        <w:rPr>
          <w:i w:val="0"/>
          <w:color w:val="auto"/>
        </w:rPr>
        <w:t xml:space="preserve"> Portfolio Additional Estimates Statements as a result of t</w:t>
      </w:r>
      <w:r>
        <w:rPr>
          <w:i w:val="0"/>
          <w:color w:val="auto"/>
        </w:rPr>
        <w:t>he measures identified in Table </w:t>
      </w:r>
      <w:r w:rsidRPr="00924D4B">
        <w:rPr>
          <w:i w:val="0"/>
          <w:color w:val="auto"/>
        </w:rPr>
        <w:t>1.2.</w:t>
      </w:r>
    </w:p>
    <w:p w14:paraId="46302E7A" w14:textId="77777777" w:rsidR="00DF05A8" w:rsidRPr="00924D4B" w:rsidRDefault="00DF05A8" w:rsidP="00DF05A8">
      <w:pPr>
        <w:pStyle w:val="ExampleText0"/>
        <w:jc w:val="both"/>
        <w:rPr>
          <w:i w:val="0"/>
          <w:color w:val="auto"/>
        </w:rPr>
      </w:pPr>
      <w:r w:rsidRPr="00924D4B">
        <w:rPr>
          <w:i w:val="0"/>
          <w:color w:val="auto"/>
        </w:rPr>
        <w:t>The department’s net asset position is expected to decrease over the forward estimates with depreciation outweighing capital investment.</w:t>
      </w:r>
    </w:p>
    <w:p w14:paraId="4173C85A" w14:textId="77777777" w:rsidR="00DF05A8" w:rsidRPr="004E586A" w:rsidRDefault="00DF05A8" w:rsidP="00DF05A8">
      <w:pPr>
        <w:pStyle w:val="H7"/>
        <w:spacing w:before="120"/>
        <w:jc w:val="both"/>
        <w:rPr>
          <w:rFonts w:ascii="Book Antiqua" w:hAnsi="Book Antiqua"/>
          <w:b/>
          <w:i w:val="0"/>
        </w:rPr>
      </w:pPr>
      <w:r w:rsidRPr="004E586A">
        <w:rPr>
          <w:rFonts w:ascii="Book Antiqua" w:hAnsi="Book Antiqua"/>
          <w:b/>
          <w:i w:val="0"/>
        </w:rPr>
        <w:t>Administered financial statements</w:t>
      </w:r>
    </w:p>
    <w:p w14:paraId="11DA00DC" w14:textId="77777777" w:rsidR="00DF05A8" w:rsidRPr="00E17EF5" w:rsidRDefault="00DF05A8" w:rsidP="00DF05A8">
      <w:pPr>
        <w:pStyle w:val="ExampleText0"/>
        <w:jc w:val="both"/>
        <w:rPr>
          <w:i w:val="0"/>
          <w:color w:val="auto"/>
        </w:rPr>
      </w:pPr>
      <w:r w:rsidRPr="00422337">
        <w:rPr>
          <w:i w:val="0"/>
          <w:color w:val="auto"/>
        </w:rPr>
        <w:t>Administered expenses for 2022-23 have increased since the publication of the 2021-22</w:t>
      </w:r>
      <w:r w:rsidRPr="00924D4B">
        <w:rPr>
          <w:i w:val="0"/>
          <w:color w:val="auto"/>
        </w:rPr>
        <w:t xml:space="preserve"> Portfolio Additional Estimates Statements due to additional appropriations for the measures ide</w:t>
      </w:r>
      <w:r>
        <w:rPr>
          <w:i w:val="0"/>
          <w:color w:val="auto"/>
        </w:rPr>
        <w:t>ntified Table </w:t>
      </w:r>
      <w:r w:rsidRPr="00924D4B">
        <w:rPr>
          <w:i w:val="0"/>
          <w:color w:val="auto"/>
        </w:rPr>
        <w:t>1.2.</w:t>
      </w:r>
    </w:p>
    <w:p w14:paraId="735FBB6E" w14:textId="77777777" w:rsidR="00E4582E" w:rsidRDefault="000A6897" w:rsidP="007F7E83">
      <w:pPr>
        <w:jc w:val="left"/>
      </w:pPr>
      <w:r>
        <w:br w:type="page"/>
      </w:r>
      <w:bookmarkStart w:id="111" w:name="_Toc444523518"/>
      <w:r w:rsidR="00E4582E" w:rsidRPr="00D232B7">
        <w:rPr>
          <w:rStyle w:val="TableHeadingChar"/>
        </w:rPr>
        <w:lastRenderedPageBreak/>
        <w:t>3.2.</w:t>
      </w:r>
      <w:r w:rsidR="005F29CD" w:rsidRPr="00D232B7">
        <w:rPr>
          <w:rStyle w:val="TableHeadingChar"/>
        </w:rPr>
        <w:tab/>
      </w:r>
      <w:r w:rsidR="00E4582E" w:rsidRPr="00D232B7">
        <w:rPr>
          <w:rStyle w:val="TableHeadingChar"/>
        </w:rPr>
        <w:t xml:space="preserve">Budgeted </w:t>
      </w:r>
      <w:r w:rsidR="00F626C2" w:rsidRPr="00D232B7">
        <w:rPr>
          <w:rStyle w:val="TableHeadingChar"/>
        </w:rPr>
        <w:t>financial statements tables</w:t>
      </w:r>
      <w:bookmarkEnd w:id="111"/>
    </w:p>
    <w:p w14:paraId="3AA65E0D" w14:textId="77777777" w:rsidR="00E4582E" w:rsidRDefault="00E855E0" w:rsidP="00146B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p w14:paraId="1B72F290" w14:textId="77777777" w:rsidR="007742FF" w:rsidRDefault="00D52088" w:rsidP="00392DD1">
      <w:pPr>
        <w:pStyle w:val="TableGraphic"/>
      </w:pPr>
      <w:r w:rsidRPr="00D52088">
        <w:rPr>
          <w:noProof/>
        </w:rPr>
        <w:t xml:space="preserve"> </w:t>
      </w:r>
      <w:r w:rsidR="00986411" w:rsidRPr="00986411">
        <w:rPr>
          <w:noProof/>
        </w:rPr>
        <w:drawing>
          <wp:inline distT="0" distB="0" distL="0" distR="0" wp14:anchorId="5C6528B9" wp14:editId="2FD83712">
            <wp:extent cx="4730750" cy="42221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0750" cy="4222115"/>
                    </a:xfrm>
                    <a:prstGeom prst="rect">
                      <a:avLst/>
                    </a:prstGeom>
                    <a:noFill/>
                    <a:ln>
                      <a:noFill/>
                    </a:ln>
                  </pic:spPr>
                </pic:pic>
              </a:graphicData>
            </a:graphic>
          </wp:inline>
        </w:drawing>
      </w:r>
    </w:p>
    <w:p w14:paraId="23D04FFD" w14:textId="77777777" w:rsidR="00A965CD" w:rsidRPr="00692513" w:rsidRDefault="007742FF" w:rsidP="00692513">
      <w:pPr>
        <w:pStyle w:val="TableHeadingcontinued"/>
        <w:rPr>
          <w:snapToGrid w:val="0"/>
        </w:rPr>
      </w:pPr>
      <w:r>
        <w:br w:type="page"/>
      </w:r>
      <w:r w:rsidR="00146B5E" w:rsidRPr="00E855E0">
        <w:lastRenderedPageBreak/>
        <w:t>Table</w:t>
      </w:r>
      <w:r w:rsidR="00146B5E">
        <w:t xml:space="preserve"> 3.</w:t>
      </w:r>
      <w:r w:rsidR="00146B5E" w:rsidRPr="00E855E0">
        <w:t>1</w:t>
      </w:r>
      <w:r w:rsidR="00146B5E">
        <w:t>:</w:t>
      </w:r>
      <w:r w:rsidR="00146B5E" w:rsidRPr="00E855E0">
        <w:t xml:space="preserve"> Comprehensive income statement (showing net cost of services)</w:t>
      </w:r>
      <w:r w:rsidR="00146B5E">
        <w:t xml:space="preserve"> </w:t>
      </w:r>
      <w:r w:rsidR="00146B5E">
        <w:rPr>
          <w:snapToGrid w:val="0"/>
        </w:rPr>
        <w:t>for the period ended 30 June</w:t>
      </w:r>
      <w:r w:rsidR="00765A82">
        <w:rPr>
          <w:snapToGrid w:val="0"/>
        </w:rPr>
        <w:t xml:space="preserve"> (continued)</w:t>
      </w:r>
    </w:p>
    <w:p w14:paraId="09994FF1" w14:textId="77777777" w:rsidR="007742FF" w:rsidRPr="003819E1" w:rsidRDefault="007742FF" w:rsidP="00CD6D33">
      <w:pPr>
        <w:pStyle w:val="TableHeadingNoTable"/>
        <w:spacing w:after="0"/>
      </w:pPr>
      <w:r w:rsidRPr="003819E1">
        <w:t>Note: Impact of net cash appropriation arrangements</w:t>
      </w:r>
    </w:p>
    <w:p w14:paraId="599C7869" w14:textId="77777777" w:rsidR="007742FF" w:rsidRPr="009D54F3" w:rsidRDefault="00D52088" w:rsidP="00392DD1">
      <w:pPr>
        <w:pStyle w:val="TableGraphic"/>
        <w:rPr>
          <w:rFonts w:ascii="Arial" w:hAnsi="Arial" w:cs="Arial"/>
        </w:rPr>
      </w:pPr>
      <w:r w:rsidRPr="00D52088">
        <w:rPr>
          <w:noProof/>
        </w:rPr>
        <w:t xml:space="preserve"> </w:t>
      </w:r>
      <w:r w:rsidR="006A5AA2" w:rsidRPr="006A5AA2">
        <w:rPr>
          <w:noProof/>
        </w:rPr>
        <w:drawing>
          <wp:inline distT="0" distB="0" distL="0" distR="0" wp14:anchorId="14C57CAB" wp14:editId="774C5867">
            <wp:extent cx="4730750" cy="22663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30750" cy="2266315"/>
                    </a:xfrm>
                    <a:prstGeom prst="rect">
                      <a:avLst/>
                    </a:prstGeom>
                    <a:noFill/>
                    <a:ln>
                      <a:noFill/>
                    </a:ln>
                  </pic:spPr>
                </pic:pic>
              </a:graphicData>
            </a:graphic>
          </wp:inline>
        </w:drawing>
      </w:r>
    </w:p>
    <w:p w14:paraId="62C44642" w14:textId="77777777" w:rsidR="00F22051" w:rsidRPr="00F22051" w:rsidRDefault="00F22051" w:rsidP="00F22051">
      <w:pPr>
        <w:pStyle w:val="Source"/>
        <w:rPr>
          <w:rFonts w:cs="Arial"/>
        </w:rPr>
      </w:pPr>
      <w:r w:rsidRPr="00F22051">
        <w:rPr>
          <w:rFonts w:cs="Arial"/>
        </w:rPr>
        <w:t>Prepared on Australian Accounting Standards basis.</w:t>
      </w:r>
    </w:p>
    <w:p w14:paraId="1EC84452" w14:textId="77777777" w:rsidR="00F22051" w:rsidRPr="00F22051" w:rsidRDefault="00F22051" w:rsidP="00392A48">
      <w:pPr>
        <w:pStyle w:val="ChartandTableFootnoteAlpha"/>
        <w:numPr>
          <w:ilvl w:val="0"/>
          <w:numId w:val="121"/>
        </w:numPr>
        <w:rPr>
          <w:rFonts w:cs="Arial"/>
        </w:rPr>
      </w:pPr>
      <w:r w:rsidRPr="00F22051">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03F1B850" w14:textId="77777777" w:rsidR="00F22051" w:rsidRPr="00F22051" w:rsidRDefault="00A75066" w:rsidP="00392A48">
      <w:pPr>
        <w:pStyle w:val="ChartandTableFootnoteAlpha"/>
        <w:numPr>
          <w:ilvl w:val="0"/>
          <w:numId w:val="120"/>
        </w:numPr>
      </w:pPr>
      <w:r>
        <w:t>Applies to leases</w:t>
      </w:r>
      <w:r w:rsidR="00F22051" w:rsidRPr="00F22051">
        <w:t xml:space="preserve"> under AASB 16 Leases.</w:t>
      </w:r>
    </w:p>
    <w:p w14:paraId="6B388337" w14:textId="77777777" w:rsidR="00E75A0F" w:rsidRDefault="00E75A0F" w:rsidP="00096568">
      <w:pPr>
        <w:pStyle w:val="Source"/>
        <w:rPr>
          <w:rFonts w:cs="Arial"/>
        </w:rPr>
      </w:pPr>
    </w:p>
    <w:p w14:paraId="720ED0FC" w14:textId="77777777" w:rsidR="00E4582E" w:rsidRDefault="000A24C4" w:rsidP="00146B5E">
      <w:pPr>
        <w:pStyle w:val="TableHeading"/>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p>
    <w:p w14:paraId="3D744510" w14:textId="77777777" w:rsidR="00F626C2" w:rsidRPr="00F626C2" w:rsidRDefault="00986411" w:rsidP="00392DD1">
      <w:pPr>
        <w:pStyle w:val="TableGraphic"/>
      </w:pPr>
      <w:r w:rsidRPr="00986411">
        <w:rPr>
          <w:noProof/>
        </w:rPr>
        <w:drawing>
          <wp:inline distT="0" distB="0" distL="0" distR="0" wp14:anchorId="46E84EAB" wp14:editId="591EDBA6">
            <wp:extent cx="4802505" cy="5454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2505" cy="5454650"/>
                    </a:xfrm>
                    <a:prstGeom prst="rect">
                      <a:avLst/>
                    </a:prstGeom>
                    <a:noFill/>
                    <a:ln>
                      <a:noFill/>
                    </a:ln>
                  </pic:spPr>
                </pic:pic>
              </a:graphicData>
            </a:graphic>
          </wp:inline>
        </w:drawing>
      </w:r>
    </w:p>
    <w:p w14:paraId="308A57D9" w14:textId="77777777" w:rsidR="00D606C2" w:rsidRPr="00132F9E" w:rsidRDefault="00D606C2" w:rsidP="00D606C2">
      <w:pPr>
        <w:pStyle w:val="Source"/>
        <w:rPr>
          <w:rFonts w:cs="Arial"/>
        </w:rPr>
      </w:pPr>
      <w:r w:rsidRPr="00132F9E">
        <w:rPr>
          <w:rFonts w:cs="Arial"/>
        </w:rPr>
        <w:t>Prepared on Australian Accounting Standards basis.</w:t>
      </w:r>
    </w:p>
    <w:p w14:paraId="4658DBED" w14:textId="77777777" w:rsidR="00E4582E" w:rsidRPr="00132F9E" w:rsidRDefault="00E4582E" w:rsidP="00F626C2">
      <w:pPr>
        <w:pStyle w:val="ChartandTableFootnote"/>
        <w:rPr>
          <w:rFonts w:cs="Arial"/>
        </w:rPr>
      </w:pPr>
      <w:r w:rsidRPr="00132F9E">
        <w:rPr>
          <w:rFonts w:cs="Arial"/>
        </w:rPr>
        <w:t>*</w:t>
      </w:r>
      <w:r w:rsidR="0087400E" w:rsidRPr="00132F9E">
        <w:rPr>
          <w:rFonts w:cs="Arial"/>
          <w:lang w:val="en-AU"/>
        </w:rPr>
        <w:t>‘</w:t>
      </w:r>
      <w:r w:rsidRPr="00132F9E">
        <w:rPr>
          <w:rFonts w:cs="Arial"/>
        </w:rPr>
        <w:t>E</w:t>
      </w:r>
      <w:r w:rsidR="00F626C2" w:rsidRPr="00132F9E">
        <w:rPr>
          <w:rFonts w:cs="Arial"/>
        </w:rPr>
        <w:t>quity’</w:t>
      </w:r>
      <w:r w:rsidRPr="00132F9E">
        <w:rPr>
          <w:rFonts w:cs="Arial"/>
        </w:rPr>
        <w:t xml:space="preserve"> is the residual interest in assets after deduction of liabilities.</w:t>
      </w:r>
    </w:p>
    <w:p w14:paraId="59F9E07F" w14:textId="77777777" w:rsidR="00132F9E" w:rsidRPr="00152B2B" w:rsidRDefault="00132F9E" w:rsidP="00152B2B"/>
    <w:p w14:paraId="62265A53" w14:textId="77777777" w:rsidR="0061675B" w:rsidRPr="00152B2B" w:rsidRDefault="0061675B" w:rsidP="00152B2B"/>
    <w:p w14:paraId="74641B75" w14:textId="77777777" w:rsidR="002376AD" w:rsidRDefault="000A24C4" w:rsidP="009763C1">
      <w:pPr>
        <w:pStyle w:val="TableHeading"/>
        <w:rPr>
          <w:rFonts w:ascii="Times New Roman" w:hAnsi="Times New Roman"/>
        </w:rPr>
      </w:pPr>
      <w:r>
        <w:br w:type="page"/>
      </w:r>
      <w:r w:rsidR="00A80C87" w:rsidRPr="00AD42E2">
        <w:lastRenderedPageBreak/>
        <w:t>Table</w:t>
      </w:r>
      <w:r w:rsidR="00971CBF" w:rsidRPr="00AD42E2">
        <w:t xml:space="preserve"> 3.</w:t>
      </w:r>
      <w:r w:rsidR="00A80C87" w:rsidRPr="00AD42E2">
        <w:t>3</w:t>
      </w:r>
      <w:r w:rsidR="00345CCD" w:rsidRPr="00AD42E2">
        <w:t xml:space="preserve">: Departmental </w:t>
      </w:r>
      <w:r w:rsidR="00F626C2" w:rsidRPr="00AD42E2">
        <w:t xml:space="preserve">statement of changes in equity </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2E59C4">
        <w:rPr>
          <w:lang w:val="en-AU"/>
        </w:rPr>
        <w:t>2022</w:t>
      </w:r>
      <w:r w:rsidR="007E3AC7">
        <w:rPr>
          <w:lang w:val="en-AU"/>
        </w:rPr>
        <w:t>-</w:t>
      </w:r>
      <w:r w:rsidR="002E59C4">
        <w:rPr>
          <w:lang w:val="en-AU"/>
        </w:rPr>
        <w:t>23</w:t>
      </w:r>
      <w:r w:rsidR="00345CCD" w:rsidRPr="00D30CBA">
        <w:t>)</w:t>
      </w:r>
    </w:p>
    <w:p w14:paraId="3F7E5AA1" w14:textId="77777777" w:rsidR="00152B2B" w:rsidRDefault="002376AD" w:rsidP="00392DD1">
      <w:pPr>
        <w:pStyle w:val="TableGraphic"/>
      </w:pPr>
      <w:r w:rsidRPr="002376AD">
        <w:t xml:space="preserve"> </w:t>
      </w:r>
      <w:r w:rsidR="00986411" w:rsidRPr="00986411">
        <w:rPr>
          <w:noProof/>
        </w:rPr>
        <w:drawing>
          <wp:inline distT="0" distB="0" distL="0" distR="0" wp14:anchorId="0FDD4DDE" wp14:editId="3800F9F7">
            <wp:extent cx="4182110" cy="2417445"/>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82110" cy="2417445"/>
                    </a:xfrm>
                    <a:prstGeom prst="rect">
                      <a:avLst/>
                    </a:prstGeom>
                    <a:noFill/>
                    <a:ln>
                      <a:noFill/>
                    </a:ln>
                  </pic:spPr>
                </pic:pic>
              </a:graphicData>
            </a:graphic>
          </wp:inline>
        </w:drawing>
      </w:r>
    </w:p>
    <w:p w14:paraId="6D67A788" w14:textId="77777777" w:rsidR="00132F9E" w:rsidRPr="00132F9E" w:rsidRDefault="00D606C2" w:rsidP="00132F9E">
      <w:pPr>
        <w:pStyle w:val="TableGraphic"/>
        <w:rPr>
          <w:rFonts w:ascii="Arial" w:hAnsi="Arial" w:cs="Arial"/>
          <w:sz w:val="16"/>
          <w:szCs w:val="16"/>
        </w:rPr>
      </w:pPr>
      <w:r w:rsidRPr="00D606C2">
        <w:rPr>
          <w:rFonts w:ascii="Arial" w:hAnsi="Arial" w:cs="Arial"/>
          <w:sz w:val="16"/>
        </w:rPr>
        <w:t>Prepared on Australian Accounting Standards basis</w:t>
      </w:r>
    </w:p>
    <w:p w14:paraId="3C92EC77" w14:textId="77777777" w:rsidR="00C038D0" w:rsidRDefault="00C038D0" w:rsidP="00C038D0">
      <w:pPr>
        <w:pStyle w:val="Source"/>
      </w:pPr>
      <w:r>
        <w:t>*The non-controlling interest disclosure is not required if an entity does not have non-controlling interests.</w:t>
      </w:r>
    </w:p>
    <w:p w14:paraId="6B8665F9" w14:textId="77777777" w:rsidR="00C038D0" w:rsidRPr="00152B2B" w:rsidRDefault="00C038D0" w:rsidP="00152B2B"/>
    <w:p w14:paraId="1E02EC02" w14:textId="77777777" w:rsidR="00A00283" w:rsidRDefault="000A24C4">
      <w:pPr>
        <w:pStyle w:val="TableHeading"/>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p w14:paraId="7124C797" w14:textId="77777777" w:rsidR="00F22051" w:rsidRPr="00132F9E" w:rsidRDefault="006A5AA2" w:rsidP="00F22051">
      <w:pPr>
        <w:pStyle w:val="TableGraphic"/>
        <w:rPr>
          <w:rFonts w:ascii="Arial" w:hAnsi="Arial" w:cs="Arial"/>
          <w:sz w:val="16"/>
          <w:szCs w:val="16"/>
        </w:rPr>
      </w:pPr>
      <w:r w:rsidRPr="006A5AA2">
        <w:rPr>
          <w:noProof/>
        </w:rPr>
        <w:drawing>
          <wp:inline distT="0" distB="0" distL="0" distR="0" wp14:anchorId="18825B0A" wp14:editId="5BEB4E18">
            <wp:extent cx="4746625" cy="578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6625" cy="5780405"/>
                    </a:xfrm>
                    <a:prstGeom prst="rect">
                      <a:avLst/>
                    </a:prstGeom>
                    <a:noFill/>
                    <a:ln>
                      <a:noFill/>
                    </a:ln>
                  </pic:spPr>
                </pic:pic>
              </a:graphicData>
            </a:graphic>
          </wp:inline>
        </w:drawing>
      </w:r>
      <w:r w:rsidR="00F22051" w:rsidRPr="002A29E1">
        <w:rPr>
          <w:rFonts w:ascii="Arial" w:hAnsi="Arial" w:cs="Arial"/>
          <w:sz w:val="16"/>
        </w:rPr>
        <w:t xml:space="preserve"> P</w:t>
      </w:r>
      <w:r w:rsidR="00F22051" w:rsidRPr="00F22051">
        <w:rPr>
          <w:rFonts w:ascii="Arial" w:hAnsi="Arial" w:cs="Arial"/>
          <w:sz w:val="16"/>
        </w:rPr>
        <w:t>repared on Australian Accounting Standards basis</w:t>
      </w:r>
    </w:p>
    <w:p w14:paraId="2B09D4E8" w14:textId="77777777" w:rsidR="0078664E" w:rsidRPr="0078664E" w:rsidRDefault="0078664E" w:rsidP="0078664E">
      <w:pPr>
        <w:pStyle w:val="TableGraphic"/>
        <w:rPr>
          <w:lang w:val="x-none" w:eastAsia="x-none"/>
        </w:rPr>
      </w:pPr>
    </w:p>
    <w:p w14:paraId="3339953C" w14:textId="77777777" w:rsidR="00A00283" w:rsidRPr="00A00283" w:rsidRDefault="008B4464">
      <w:pPr>
        <w:pStyle w:val="TableHeading"/>
      </w:pPr>
      <w:r w:rsidRPr="00D30CBA">
        <w:lastRenderedPageBreak/>
        <w:t>Table</w:t>
      </w:r>
      <w:r w:rsidR="00971CBF">
        <w:t xml:space="preserve"> 3.</w:t>
      </w:r>
      <w:r>
        <w:t>5</w:t>
      </w:r>
      <w:r w:rsidRPr="00D30CBA">
        <w:t xml:space="preserve">: </w:t>
      </w:r>
      <w:r w:rsidR="00F54947">
        <w:t xml:space="preserve">Departmental </w:t>
      </w:r>
      <w:r w:rsidR="00F10305">
        <w:t>capital budget statement</w:t>
      </w:r>
      <w:r w:rsidR="005067C7">
        <w:t xml:space="preserve"> (for the period ended 30 June)</w:t>
      </w:r>
    </w:p>
    <w:p w14:paraId="431EE72E" w14:textId="77777777" w:rsidR="00F10305" w:rsidRDefault="00486816" w:rsidP="00392DD1">
      <w:pPr>
        <w:pStyle w:val="TableGraphic"/>
      </w:pPr>
      <w:r w:rsidRPr="00486816">
        <w:rPr>
          <w:noProof/>
        </w:rPr>
        <w:drawing>
          <wp:inline distT="0" distB="0" distL="0" distR="0" wp14:anchorId="6D1FE926" wp14:editId="7C404F5C">
            <wp:extent cx="4619625" cy="29978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9625" cy="2997835"/>
                    </a:xfrm>
                    <a:prstGeom prst="rect">
                      <a:avLst/>
                    </a:prstGeom>
                    <a:noFill/>
                    <a:ln>
                      <a:noFill/>
                    </a:ln>
                  </pic:spPr>
                </pic:pic>
              </a:graphicData>
            </a:graphic>
          </wp:inline>
        </w:drawing>
      </w:r>
    </w:p>
    <w:p w14:paraId="13979506" w14:textId="77777777" w:rsidR="00F22051" w:rsidRPr="00F22051" w:rsidRDefault="00F22051" w:rsidP="00F22051">
      <w:pPr>
        <w:pStyle w:val="TableGraphic"/>
        <w:rPr>
          <w:rFonts w:ascii="Arial" w:hAnsi="Arial" w:cs="Arial"/>
          <w:sz w:val="16"/>
          <w:szCs w:val="16"/>
        </w:rPr>
      </w:pPr>
      <w:r w:rsidRPr="00F22051">
        <w:rPr>
          <w:rFonts w:ascii="Arial" w:hAnsi="Arial" w:cs="Arial"/>
          <w:sz w:val="16"/>
          <w:szCs w:val="16"/>
        </w:rPr>
        <w:t>Prepared on Australian Accounting Standards basis.</w:t>
      </w:r>
    </w:p>
    <w:p w14:paraId="393CBB55" w14:textId="77777777" w:rsidR="00F22051" w:rsidRPr="00F22051" w:rsidRDefault="00F22051" w:rsidP="00392A48">
      <w:pPr>
        <w:pStyle w:val="ChartandTableFootnoteAlpha"/>
        <w:numPr>
          <w:ilvl w:val="0"/>
          <w:numId w:val="122"/>
        </w:numPr>
        <w:rPr>
          <w:rFonts w:cs="Arial"/>
          <w:szCs w:val="16"/>
        </w:rPr>
      </w:pPr>
      <w:r w:rsidRPr="00F22051">
        <w:rPr>
          <w:rFonts w:cs="Arial"/>
          <w:szCs w:val="16"/>
        </w:rPr>
        <w:t>Does not include annual finance lease costs. Includes purchases from current and previous years’ Departmental capital budgets (DCBs).</w:t>
      </w:r>
    </w:p>
    <w:p w14:paraId="69EB6F89" w14:textId="77777777" w:rsidR="008C4A2B" w:rsidRDefault="008C4A2B" w:rsidP="008C4A2B">
      <w:pPr>
        <w:pStyle w:val="TableHeading"/>
      </w:pP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0822DBCD" w14:textId="77777777" w:rsidR="00F22051" w:rsidRPr="00F22051" w:rsidRDefault="00986411" w:rsidP="00F22051">
      <w:pPr>
        <w:pStyle w:val="TableGraphic"/>
        <w:rPr>
          <w:rFonts w:ascii="Arial" w:hAnsi="Arial" w:cs="Arial"/>
          <w:sz w:val="16"/>
          <w:szCs w:val="16"/>
        </w:rPr>
      </w:pPr>
      <w:r w:rsidRPr="00986411">
        <w:rPr>
          <w:noProof/>
        </w:rPr>
        <w:drawing>
          <wp:inline distT="0" distB="0" distL="0" distR="0" wp14:anchorId="4A3186AA" wp14:editId="6908068A">
            <wp:extent cx="4770755" cy="44684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0755" cy="4468495"/>
                    </a:xfrm>
                    <a:prstGeom prst="rect">
                      <a:avLst/>
                    </a:prstGeom>
                    <a:noFill/>
                    <a:ln>
                      <a:noFill/>
                    </a:ln>
                  </pic:spPr>
                </pic:pic>
              </a:graphicData>
            </a:graphic>
          </wp:inline>
        </w:drawing>
      </w:r>
      <w:r w:rsidR="00F22051" w:rsidRPr="00986411">
        <w:rPr>
          <w:rFonts w:ascii="Arial" w:hAnsi="Arial" w:cs="Arial"/>
          <w:sz w:val="16"/>
          <w:szCs w:val="16"/>
        </w:rPr>
        <w:t xml:space="preserve"> Prepared</w:t>
      </w:r>
      <w:r w:rsidR="00F22051" w:rsidRPr="00F22051">
        <w:rPr>
          <w:rFonts w:ascii="Arial" w:hAnsi="Arial" w:cs="Arial"/>
          <w:sz w:val="16"/>
          <w:szCs w:val="16"/>
        </w:rPr>
        <w:t xml:space="preserve"> on Australian Accounting Standards basis.</w:t>
      </w:r>
    </w:p>
    <w:p w14:paraId="3C56F2B5" w14:textId="77777777" w:rsidR="00F22051" w:rsidRPr="00F22051" w:rsidRDefault="00F22051" w:rsidP="00392A48">
      <w:pPr>
        <w:pStyle w:val="ChartandTableFootnoteAlpha"/>
        <w:numPr>
          <w:ilvl w:val="0"/>
          <w:numId w:val="123"/>
        </w:numPr>
        <w:rPr>
          <w:rFonts w:cs="Arial"/>
          <w:szCs w:val="16"/>
        </w:rPr>
      </w:pPr>
      <w:r w:rsidRPr="00F22051">
        <w:rPr>
          <w:rFonts w:cs="Arial"/>
          <w:szCs w:val="16"/>
        </w:rPr>
        <w:lastRenderedPageBreak/>
        <w:t xml:space="preserve">“Appropriation ordinary annual services’ refers to funding provided through </w:t>
      </w:r>
      <w:r w:rsidR="00733697">
        <w:rPr>
          <w:rFonts w:cs="Arial"/>
          <w:szCs w:val="16"/>
        </w:rPr>
        <w:t>Appropriation</w:t>
      </w:r>
      <w:r w:rsidRPr="00F22051">
        <w:rPr>
          <w:rFonts w:cs="Arial"/>
          <w:szCs w:val="16"/>
        </w:rPr>
        <w:t xml:space="preserve"> Bill (No. 1) 2022</w:t>
      </w:r>
      <w:r w:rsidRPr="00F22051">
        <w:rPr>
          <w:rFonts w:cs="Arial"/>
          <w:szCs w:val="16"/>
        </w:rPr>
        <w:noBreakHyphen/>
        <w:t>23 for depreciation/amortisation expenses, DCBs or other operation expenses.</w:t>
      </w:r>
    </w:p>
    <w:p w14:paraId="6EA9DC2C" w14:textId="77777777" w:rsidR="00E855E0" w:rsidRDefault="00E855E0" w:rsidP="0061675B">
      <w:pPr>
        <w:pStyle w:val="NoSpacing"/>
      </w:pPr>
    </w:p>
    <w:p w14:paraId="05707CB3" w14:textId="77777777" w:rsidR="00982444" w:rsidRDefault="00982444" w:rsidP="0061675B">
      <w:pPr>
        <w:pStyle w:val="ExampleText0"/>
      </w:pPr>
    </w:p>
    <w:p w14:paraId="476C841E" w14:textId="77777777" w:rsidR="008C4A2B" w:rsidRDefault="008C4A2B" w:rsidP="0061675B">
      <w:pPr>
        <w:pStyle w:val="ExampleText0"/>
        <w:sectPr w:rsidR="008C4A2B" w:rsidSect="00503FD8">
          <w:headerReference w:type="first" r:id="rId76"/>
          <w:pgSz w:w="11906" w:h="16838" w:code="9"/>
          <w:pgMar w:top="2835" w:right="2098" w:bottom="2466" w:left="2098" w:header="1814" w:footer="1814" w:gutter="0"/>
          <w:cols w:space="708"/>
          <w:titlePg/>
          <w:docGrid w:linePitch="360"/>
        </w:sectPr>
      </w:pPr>
    </w:p>
    <w:p w14:paraId="2915495E" w14:textId="77777777" w:rsidR="004F5573" w:rsidRDefault="00D30CBA" w:rsidP="00146B5E">
      <w:pPr>
        <w:pStyle w:val="TableHeading"/>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p w14:paraId="30AC6627" w14:textId="77777777" w:rsidR="00852EEF" w:rsidRDefault="00486816" w:rsidP="0044552A">
      <w:pPr>
        <w:pStyle w:val="TableGraphic"/>
      </w:pPr>
      <w:r w:rsidRPr="00486816">
        <w:rPr>
          <w:noProof/>
        </w:rPr>
        <w:drawing>
          <wp:inline distT="0" distB="0" distL="0" distR="0" wp14:anchorId="73EFD3B7" wp14:editId="529A0FC9">
            <wp:extent cx="4895850" cy="239278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95850" cy="2392789"/>
                    </a:xfrm>
                    <a:prstGeom prst="rect">
                      <a:avLst/>
                    </a:prstGeom>
                    <a:noFill/>
                    <a:ln>
                      <a:noFill/>
                    </a:ln>
                  </pic:spPr>
                </pic:pic>
              </a:graphicData>
            </a:graphic>
          </wp:inline>
        </w:drawing>
      </w:r>
    </w:p>
    <w:p w14:paraId="60D7B930" w14:textId="77777777" w:rsidR="00F22051" w:rsidRPr="00F22051" w:rsidRDefault="00F22051" w:rsidP="00F22051">
      <w:pPr>
        <w:pStyle w:val="Source"/>
      </w:pPr>
      <w:r w:rsidRPr="00F22051">
        <w:t>Prepared on Australian Accounting Standards basis.</w:t>
      </w:r>
    </w:p>
    <w:p w14:paraId="4EE84A2B" w14:textId="77777777" w:rsidR="00F22051" w:rsidRPr="00F22051" w:rsidRDefault="00F22051" w:rsidP="00392A48">
      <w:pPr>
        <w:pStyle w:val="ChartandTableFootnoteAlpha"/>
        <w:numPr>
          <w:ilvl w:val="0"/>
          <w:numId w:val="124"/>
        </w:numPr>
      </w:pPr>
      <w:r w:rsidRPr="00F22051">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Administered Capital Budget, or ACB) provided through Bill 1 equity appropriations. For information regarding ACBs, please refer to Table 3.10 Administered Capital Budget Statement.</w:t>
      </w:r>
    </w:p>
    <w:p w14:paraId="40722465" w14:textId="77777777" w:rsidR="0061675B" w:rsidRPr="00FD522D" w:rsidRDefault="0061675B" w:rsidP="00FD522D"/>
    <w:p w14:paraId="75EB092F" w14:textId="77777777" w:rsidR="00D30CBA" w:rsidRDefault="000A24C4" w:rsidP="00146B5E">
      <w:pPr>
        <w:pStyle w:val="TableHeading"/>
      </w:pPr>
      <w:r>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p w14:paraId="54CC4FC0" w14:textId="77777777" w:rsidR="00852EEF" w:rsidRPr="009763C1" w:rsidRDefault="006A5AA2" w:rsidP="009763C1">
      <w:pPr>
        <w:pStyle w:val="TableGraphic"/>
        <w:rPr>
          <w:lang w:val="x-none" w:eastAsia="x-none"/>
        </w:rPr>
      </w:pPr>
      <w:r w:rsidRPr="006A5AA2">
        <w:rPr>
          <w:noProof/>
        </w:rPr>
        <w:drawing>
          <wp:inline distT="0" distB="0" distL="0" distR="0" wp14:anchorId="7B5C790B" wp14:editId="259C91D6">
            <wp:extent cx="4818380" cy="446849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8380" cy="4468495"/>
                    </a:xfrm>
                    <a:prstGeom prst="rect">
                      <a:avLst/>
                    </a:prstGeom>
                    <a:noFill/>
                    <a:ln>
                      <a:noFill/>
                    </a:ln>
                  </pic:spPr>
                </pic:pic>
              </a:graphicData>
            </a:graphic>
          </wp:inline>
        </w:drawing>
      </w:r>
    </w:p>
    <w:p w14:paraId="3D1C665F" w14:textId="77777777" w:rsidR="007A0BB9" w:rsidRPr="00B7521F" w:rsidRDefault="007A0BB9" w:rsidP="009763C1">
      <w:pPr>
        <w:pStyle w:val="ChartandTableFootnote"/>
      </w:pPr>
      <w:r w:rsidRPr="00B7521F">
        <w:t>Prepared on Australian Accounting Standards basis.</w:t>
      </w:r>
    </w:p>
    <w:p w14:paraId="05901A64" w14:textId="77777777" w:rsidR="0061675B" w:rsidRPr="00B7521F" w:rsidRDefault="0061675B" w:rsidP="00B7521F">
      <w:pPr>
        <w:pStyle w:val="SingleParagraph"/>
        <w:spacing w:line="240" w:lineRule="auto"/>
        <w:rPr>
          <w:rFonts w:ascii="Arial" w:hAnsi="Arial" w:cs="Arial"/>
          <w:sz w:val="16"/>
          <w:szCs w:val="16"/>
        </w:rPr>
      </w:pPr>
    </w:p>
    <w:p w14:paraId="04511392" w14:textId="77777777" w:rsidR="00C41D55" w:rsidRDefault="000A24C4" w:rsidP="00146B5E">
      <w:pPr>
        <w:pStyle w:val="TableHeading"/>
      </w:pPr>
      <w:bookmarkStart w:id="112" w:name="OLE_LINK1"/>
      <w:r>
        <w:br w:type="page"/>
      </w:r>
      <w:r w:rsidR="00C41D55">
        <w:lastRenderedPageBreak/>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period ended 30 June)</w:t>
      </w:r>
    </w:p>
    <w:p w14:paraId="35688615" w14:textId="77777777" w:rsidR="0044552A" w:rsidRPr="0044552A" w:rsidRDefault="00986411" w:rsidP="009A5F36">
      <w:pPr>
        <w:pStyle w:val="TableGraphic"/>
      </w:pPr>
      <w:r w:rsidRPr="00986411">
        <w:rPr>
          <w:noProof/>
        </w:rPr>
        <w:drawing>
          <wp:inline distT="0" distB="0" distL="0" distR="0" wp14:anchorId="02937585" wp14:editId="6E101A53">
            <wp:extent cx="4895850" cy="589976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95850" cy="5899760"/>
                    </a:xfrm>
                    <a:prstGeom prst="rect">
                      <a:avLst/>
                    </a:prstGeom>
                    <a:noFill/>
                    <a:ln>
                      <a:noFill/>
                    </a:ln>
                  </pic:spPr>
                </pic:pic>
              </a:graphicData>
            </a:graphic>
          </wp:inline>
        </w:drawing>
      </w:r>
    </w:p>
    <w:bookmarkEnd w:id="112"/>
    <w:p w14:paraId="05EC9665" w14:textId="77777777" w:rsidR="0061675B" w:rsidRDefault="00B94ADF" w:rsidP="009763C1">
      <w:pPr>
        <w:pStyle w:val="ChartandTableFootnote"/>
      </w:pPr>
      <w:r>
        <w:t>Prepared on Australian Accounting Standards basis.</w:t>
      </w:r>
    </w:p>
    <w:p w14:paraId="60524E19" w14:textId="77777777" w:rsidR="00715A32" w:rsidRDefault="000A24C4" w:rsidP="00146B5E">
      <w:pPr>
        <w:pStyle w:val="TableHeading"/>
      </w:pPr>
      <w:r>
        <w:br w:type="page"/>
      </w:r>
      <w:r w:rsidR="00715A32" w:rsidRPr="00D30CBA">
        <w:lastRenderedPageBreak/>
        <w:t>Table</w:t>
      </w:r>
      <w:r w:rsidR="00971CBF">
        <w:t xml:space="preserve"> 3.</w:t>
      </w:r>
      <w:r w:rsidR="00715A32">
        <w:t>1</w:t>
      </w:r>
      <w:r w:rsidR="00F81CE4">
        <w:t>0</w:t>
      </w:r>
      <w:r w:rsidR="00715A32" w:rsidRPr="00D30CBA">
        <w:t xml:space="preserve">: </w:t>
      </w:r>
      <w:r w:rsidR="000D28EB">
        <w:rPr>
          <w:lang w:val="en-AU"/>
        </w:rPr>
        <w:t xml:space="preserve">Schedule of </w:t>
      </w:r>
      <w:r w:rsidR="000D28EB">
        <w:t>administered</w:t>
      </w:r>
      <w:r w:rsidR="00715A32">
        <w:t xml:space="preserve"> </w:t>
      </w:r>
      <w:r w:rsidR="00A20C5D">
        <w:t>capital budget statement</w:t>
      </w:r>
      <w:r w:rsidR="00EB1B80">
        <w:t xml:space="preserve"> (for the period </w:t>
      </w:r>
      <w:r w:rsidR="001B7BAD">
        <w:t>ended</w:t>
      </w:r>
      <w:r w:rsidR="00EB1B80">
        <w:t xml:space="preserve"> 30 June)</w:t>
      </w:r>
    </w:p>
    <w:p w14:paraId="508AF1C5" w14:textId="77777777" w:rsidR="00A20C5D" w:rsidRPr="00A20C5D" w:rsidRDefault="00986411" w:rsidP="009A5F36">
      <w:pPr>
        <w:pStyle w:val="TableGraphic"/>
      </w:pPr>
      <w:r w:rsidRPr="00986411">
        <w:rPr>
          <w:noProof/>
        </w:rPr>
        <w:drawing>
          <wp:inline distT="0" distB="0" distL="0" distR="0" wp14:anchorId="7ACEC608" wp14:editId="6990169E">
            <wp:extent cx="4612005" cy="2679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12005" cy="2679700"/>
                    </a:xfrm>
                    <a:prstGeom prst="rect">
                      <a:avLst/>
                    </a:prstGeom>
                    <a:noFill/>
                    <a:ln>
                      <a:noFill/>
                    </a:ln>
                  </pic:spPr>
                </pic:pic>
              </a:graphicData>
            </a:graphic>
          </wp:inline>
        </w:drawing>
      </w:r>
    </w:p>
    <w:p w14:paraId="7D69E07D" w14:textId="77777777" w:rsidR="00F22051" w:rsidRPr="00F22051" w:rsidRDefault="00F22051" w:rsidP="00F22051">
      <w:pPr>
        <w:pStyle w:val="Source"/>
        <w:rPr>
          <w:rFonts w:cs="Arial"/>
          <w:szCs w:val="16"/>
        </w:rPr>
      </w:pPr>
      <w:r w:rsidRPr="00F22051">
        <w:rPr>
          <w:rFonts w:cs="Arial"/>
          <w:szCs w:val="16"/>
        </w:rPr>
        <w:t>Prepared on Australian Accounting Standards basis.</w:t>
      </w:r>
    </w:p>
    <w:p w14:paraId="61D61804" w14:textId="77777777" w:rsidR="00F22051" w:rsidRPr="00F22051" w:rsidRDefault="00F22051" w:rsidP="00392A48">
      <w:pPr>
        <w:pStyle w:val="ChartandTableFootnoteAlpha"/>
        <w:numPr>
          <w:ilvl w:val="0"/>
          <w:numId w:val="126"/>
        </w:numPr>
        <w:rPr>
          <w:rFonts w:cs="Arial"/>
          <w:szCs w:val="16"/>
        </w:rPr>
      </w:pPr>
      <w:r w:rsidRPr="00F22051">
        <w:rPr>
          <w:rFonts w:cs="Arial"/>
          <w:szCs w:val="16"/>
        </w:rPr>
        <w:t>Does not include annual finance lease costs. Includes purchases from current and previous years’ Administered Capital Budgets (ACBs).</w:t>
      </w:r>
    </w:p>
    <w:p w14:paraId="6D642DFD" w14:textId="77777777" w:rsidR="00B6646C" w:rsidRDefault="00B6646C" w:rsidP="00B6646C">
      <w:pPr>
        <w:pStyle w:val="ChartandTableFootnote-Dash"/>
        <w:ind w:left="0" w:firstLine="0"/>
      </w:pPr>
    </w:p>
    <w:p w14:paraId="37452943" w14:textId="77777777" w:rsidR="00B6646C" w:rsidRDefault="00B6646C">
      <w:pPr>
        <w:spacing w:after="0" w:line="240" w:lineRule="auto"/>
        <w:jc w:val="left"/>
        <w:rPr>
          <w:rFonts w:ascii="Arial" w:hAnsi="Arial"/>
          <w:sz w:val="16"/>
        </w:rPr>
      </w:pPr>
      <w:r>
        <w:br w:type="page"/>
      </w:r>
    </w:p>
    <w:p w14:paraId="734CCDF9" w14:textId="77777777" w:rsidR="00B6646C" w:rsidRPr="00C17B32" w:rsidRDefault="00B6646C" w:rsidP="00B6646C">
      <w:pPr>
        <w:pStyle w:val="TableHeading"/>
        <w:keepNext w:val="0"/>
        <w:spacing w:after="0" w:line="260" w:lineRule="exact"/>
        <w:jc w:val="both"/>
        <w:rPr>
          <w:lang w:val="en-AU"/>
        </w:rPr>
      </w:pPr>
      <w:r>
        <w:lastRenderedPageBreak/>
        <w:t xml:space="preserve">Table 3.11: Statement of administered asset movements (Budget year </w:t>
      </w:r>
      <w:r>
        <w:rPr>
          <w:lang w:val="en-AU"/>
        </w:rPr>
        <w:t>2022-23</w:t>
      </w:r>
      <w:r>
        <w:t>)</w:t>
      </w:r>
    </w:p>
    <w:p w14:paraId="6486B31B" w14:textId="77777777" w:rsidR="0061675B" w:rsidRDefault="008374C7" w:rsidP="00B6646C">
      <w:pPr>
        <w:pStyle w:val="ChartandTableFootnote-Dash"/>
        <w:ind w:left="0" w:firstLine="0"/>
      </w:pPr>
      <w:r w:rsidRPr="008374C7">
        <w:rPr>
          <w:noProof/>
        </w:rPr>
        <w:drawing>
          <wp:inline distT="0" distB="0" distL="0" distR="0" wp14:anchorId="57C09306" wp14:editId="11D52F0A">
            <wp:extent cx="4627880" cy="4850130"/>
            <wp:effectExtent l="0" t="0" r="127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7880" cy="4850130"/>
                    </a:xfrm>
                    <a:prstGeom prst="rect">
                      <a:avLst/>
                    </a:prstGeom>
                    <a:noFill/>
                    <a:ln>
                      <a:noFill/>
                    </a:ln>
                  </pic:spPr>
                </pic:pic>
              </a:graphicData>
            </a:graphic>
          </wp:inline>
        </w:drawing>
      </w:r>
    </w:p>
    <w:p w14:paraId="1E91F125" w14:textId="77777777" w:rsidR="00376E42" w:rsidRPr="00376E42" w:rsidRDefault="00376E42" w:rsidP="00376E42">
      <w:pPr>
        <w:spacing w:after="0" w:line="240" w:lineRule="auto"/>
        <w:rPr>
          <w:rFonts w:ascii="Arial" w:hAnsi="Arial" w:cs="Arial"/>
          <w:sz w:val="16"/>
          <w:szCs w:val="16"/>
        </w:rPr>
      </w:pPr>
      <w:bookmarkStart w:id="113" w:name="_Toc190766151"/>
      <w:bookmarkStart w:id="114" w:name="_Toc444523519"/>
      <w:r w:rsidRPr="00376E42">
        <w:rPr>
          <w:rFonts w:ascii="Arial" w:hAnsi="Arial" w:cs="Arial"/>
          <w:color w:val="000000"/>
          <w:sz w:val="16"/>
          <w:szCs w:val="16"/>
        </w:rPr>
        <w:t>Prepared on Australian Accounting Standards basis</w:t>
      </w:r>
    </w:p>
    <w:p w14:paraId="5FDCE637" w14:textId="77777777" w:rsidR="00376E42" w:rsidRPr="00376E42" w:rsidRDefault="00376E42" w:rsidP="00392A48">
      <w:pPr>
        <w:pStyle w:val="ListParagraph"/>
        <w:numPr>
          <w:ilvl w:val="0"/>
          <w:numId w:val="125"/>
        </w:numPr>
        <w:spacing w:after="0" w:line="240" w:lineRule="auto"/>
        <w:rPr>
          <w:rFonts w:ascii="Arial" w:hAnsi="Arial" w:cs="Arial"/>
          <w:sz w:val="16"/>
          <w:szCs w:val="16"/>
        </w:rPr>
      </w:pPr>
      <w:r w:rsidRPr="00376E42">
        <w:rPr>
          <w:rFonts w:ascii="Arial" w:hAnsi="Arial" w:cs="Arial"/>
          <w:sz w:val="16"/>
          <w:szCs w:val="16"/>
        </w:rPr>
        <w:t xml:space="preserve">"Appropriation ordinary annual services" refers to funding provided through </w:t>
      </w:r>
      <w:r w:rsidRPr="00376E42">
        <w:rPr>
          <w:rFonts w:ascii="Arial" w:hAnsi="Arial" w:cs="Arial"/>
          <w:iCs/>
          <w:sz w:val="16"/>
          <w:szCs w:val="16"/>
        </w:rPr>
        <w:t>Appropriation Bill (No. 1</w:t>
      </w:r>
      <w:r w:rsidRPr="00376E42">
        <w:rPr>
          <w:rFonts w:ascii="Arial" w:hAnsi="Arial" w:cs="Arial"/>
          <w:i/>
          <w:iCs/>
          <w:sz w:val="16"/>
          <w:szCs w:val="16"/>
        </w:rPr>
        <w:t>)</w:t>
      </w:r>
      <w:r w:rsidRPr="00376E42">
        <w:rPr>
          <w:rFonts w:ascii="Arial" w:hAnsi="Arial" w:cs="Arial"/>
          <w:sz w:val="16"/>
          <w:szCs w:val="16"/>
        </w:rPr>
        <w:t xml:space="preserve"> 2022-23 for depreciation/amortisation expenses, ACBs or other operational expenses. </w:t>
      </w:r>
    </w:p>
    <w:p w14:paraId="3878BAA6" w14:textId="77777777" w:rsidR="00F632AA" w:rsidRDefault="00F632AA" w:rsidP="00376E42">
      <w:pPr>
        <w:spacing w:after="0" w:line="240" w:lineRule="auto"/>
        <w:jc w:val="left"/>
      </w:pPr>
    </w:p>
    <w:p w14:paraId="0A9D5703" w14:textId="77777777" w:rsidR="00884639" w:rsidRDefault="00F632AA" w:rsidP="00F632AA">
      <w:pPr>
        <w:sectPr w:rsidR="00884639" w:rsidSect="00376E42">
          <w:headerReference w:type="first" r:id="rId82"/>
          <w:footerReference w:type="first" r:id="rId83"/>
          <w:pgSz w:w="11906" w:h="16838" w:code="9"/>
          <w:pgMar w:top="2835" w:right="2098" w:bottom="2466" w:left="2098" w:header="1814" w:footer="1814" w:gutter="0"/>
          <w:cols w:space="708"/>
          <w:titlePg/>
          <w:docGrid w:linePitch="360"/>
        </w:sectPr>
      </w:pPr>
      <w:r>
        <w:br w:type="page"/>
      </w:r>
    </w:p>
    <w:p w14:paraId="511FC65C" w14:textId="77777777" w:rsidR="00884639" w:rsidRDefault="00884639" w:rsidP="00F632AA"/>
    <w:p w14:paraId="4B09A112" w14:textId="77777777" w:rsidR="00884639" w:rsidRDefault="00884639">
      <w:pPr>
        <w:spacing w:after="0" w:line="240" w:lineRule="auto"/>
        <w:jc w:val="left"/>
        <w:sectPr w:rsidR="00884639" w:rsidSect="00376E42">
          <w:headerReference w:type="first" r:id="rId84"/>
          <w:footerReference w:type="first" r:id="rId85"/>
          <w:pgSz w:w="11906" w:h="16838" w:code="9"/>
          <w:pgMar w:top="2835" w:right="2098" w:bottom="2466" w:left="2098" w:header="1814" w:footer="1814" w:gutter="0"/>
          <w:cols w:space="708"/>
          <w:titlePg/>
          <w:docGrid w:linePitch="360"/>
        </w:sectPr>
      </w:pPr>
      <w:r>
        <w:br w:type="page"/>
      </w:r>
    </w:p>
    <w:p w14:paraId="4B750DB9" w14:textId="77777777" w:rsidR="00884639" w:rsidRDefault="00884639">
      <w:pPr>
        <w:spacing w:after="0" w:line="240" w:lineRule="auto"/>
        <w:jc w:val="left"/>
      </w:pPr>
    </w:p>
    <w:p w14:paraId="649C5868" w14:textId="77777777" w:rsidR="00F632AA" w:rsidRDefault="00F632AA" w:rsidP="00F632AA">
      <w:pPr>
        <w:rPr>
          <w:rFonts w:ascii="Arial Bold" w:hAnsi="Arial Bold" w:cs="Arial"/>
          <w:kern w:val="28"/>
          <w:sz w:val="52"/>
          <w:szCs w:val="32"/>
        </w:rPr>
      </w:pPr>
    </w:p>
    <w:p w14:paraId="5CF884B1" w14:textId="77777777" w:rsidR="00B14306" w:rsidRPr="005A7C0B" w:rsidRDefault="00B14306" w:rsidP="00A1302F">
      <w:pPr>
        <w:pStyle w:val="PartHeading"/>
      </w:pPr>
      <w:r>
        <w:t>Aboriginal Hostels Limited</w:t>
      </w:r>
    </w:p>
    <w:p w14:paraId="45075E41" w14:textId="77777777" w:rsidR="00B14306" w:rsidRDefault="00B14306" w:rsidP="00B14306">
      <w:pPr>
        <w:pStyle w:val="PartHeading"/>
      </w:pPr>
    </w:p>
    <w:p w14:paraId="46B7C94A" w14:textId="77777777" w:rsidR="00B14306" w:rsidRDefault="00B14306" w:rsidP="00B14306">
      <w:pPr>
        <w:pStyle w:val="PartHeading"/>
      </w:pPr>
    </w:p>
    <w:p w14:paraId="13B20862" w14:textId="77777777" w:rsidR="00B14306" w:rsidRDefault="00B14306" w:rsidP="00B14306">
      <w:pPr>
        <w:pStyle w:val="PartHeading-TOC"/>
      </w:pPr>
      <w:bookmarkStart w:id="115" w:name="_Toc98496268"/>
      <w:bookmarkStart w:id="116" w:name="_Toc98765307"/>
      <w:bookmarkStart w:id="117" w:name="_Toc99011792"/>
      <w:bookmarkStart w:id="118" w:name="_Toc99201042"/>
      <w:r>
        <w:t>Entity resources and planned performance</w:t>
      </w:r>
      <w:bookmarkEnd w:id="115"/>
      <w:bookmarkEnd w:id="116"/>
      <w:bookmarkEnd w:id="117"/>
      <w:bookmarkEnd w:id="118"/>
    </w:p>
    <w:p w14:paraId="2FF84BAE" w14:textId="77777777" w:rsidR="00B14306" w:rsidRDefault="00B14306" w:rsidP="00B14306">
      <w:pPr>
        <w:pStyle w:val="PartHeading"/>
      </w:pPr>
    </w:p>
    <w:p w14:paraId="637C0EE7" w14:textId="77777777" w:rsidR="00B14306" w:rsidRDefault="00B14306">
      <w:pPr>
        <w:spacing w:after="0" w:line="240" w:lineRule="auto"/>
        <w:jc w:val="left"/>
        <w:rPr>
          <w:rFonts w:ascii="Arial Bold" w:hAnsi="Arial Bold" w:cs="Arial"/>
          <w:b/>
          <w:bCs/>
          <w:kern w:val="28"/>
          <w:sz w:val="52"/>
          <w:szCs w:val="32"/>
        </w:rPr>
      </w:pPr>
      <w:r>
        <w:br w:type="page"/>
      </w:r>
    </w:p>
    <w:p w14:paraId="295492B4" w14:textId="77777777" w:rsidR="00B14306" w:rsidRDefault="00B14306" w:rsidP="00B14306">
      <w:pPr>
        <w:pStyle w:val="PartHeading"/>
      </w:pPr>
    </w:p>
    <w:p w14:paraId="2C8CD49D" w14:textId="77777777" w:rsidR="00B14306" w:rsidRDefault="00B14306">
      <w:pPr>
        <w:spacing w:after="0" w:line="240" w:lineRule="auto"/>
        <w:jc w:val="left"/>
        <w:rPr>
          <w:rFonts w:ascii="Arial Bold" w:hAnsi="Arial Bold" w:cs="Arial"/>
          <w:b/>
          <w:bCs/>
          <w:kern w:val="28"/>
          <w:sz w:val="52"/>
          <w:szCs w:val="32"/>
        </w:rPr>
      </w:pPr>
      <w:r>
        <w:br w:type="page"/>
      </w:r>
    </w:p>
    <w:p w14:paraId="31C560FB" w14:textId="77777777" w:rsidR="00B14306" w:rsidRDefault="00B14306" w:rsidP="00B14306">
      <w:pPr>
        <w:pStyle w:val="PartHeading"/>
        <w:sectPr w:rsidR="00B14306" w:rsidSect="001B01BB">
          <w:headerReference w:type="even" r:id="rId86"/>
          <w:footerReference w:type="even" r:id="rId87"/>
          <w:pgSz w:w="11906" w:h="16838" w:code="9"/>
          <w:pgMar w:top="2835" w:right="2098" w:bottom="2466" w:left="2098" w:header="1814" w:footer="1814" w:gutter="0"/>
          <w:cols w:space="708"/>
          <w:vAlign w:val="center"/>
          <w:titlePg/>
          <w:docGrid w:linePitch="360"/>
        </w:sectPr>
      </w:pPr>
    </w:p>
    <w:p w14:paraId="7C263DC5" w14:textId="77777777" w:rsidR="00B14306" w:rsidRPr="002A32FD" w:rsidRDefault="00B14306" w:rsidP="00B14306">
      <w:pPr>
        <w:pStyle w:val="ContentsHeading"/>
      </w:pPr>
      <w:r>
        <w:lastRenderedPageBreak/>
        <w:t>Aboriginal Hostels Limited</w:t>
      </w:r>
    </w:p>
    <w:p w14:paraId="621C9E6F" w14:textId="77777777" w:rsidR="00FA022F" w:rsidRDefault="00FA022F" w:rsidP="00FA022F">
      <w:pPr>
        <w:pStyle w:val="TOC1"/>
        <w:rPr>
          <w:rFonts w:asciiTheme="minorHAnsi" w:eastAsiaTheme="minorEastAsia" w:hAnsiTheme="minorHAnsi" w:cstheme="minorBidi"/>
          <w:b w:val="0"/>
          <w:caps w:val="0"/>
          <w:noProof/>
          <w:sz w:val="22"/>
          <w:szCs w:val="22"/>
        </w:rPr>
      </w:pPr>
      <w:r w:rsidRPr="00FA022F">
        <w:rPr>
          <w:rStyle w:val="Hyperlink"/>
          <w:noProof/>
        </w:rPr>
        <w:t>Section 1: Entity overview and resources</w:t>
      </w:r>
      <w:r>
        <w:rPr>
          <w:noProof/>
          <w:webHidden/>
        </w:rPr>
        <w:tab/>
        <w:t>51</w:t>
      </w:r>
    </w:p>
    <w:p w14:paraId="7EF6E981" w14:textId="77777777" w:rsidR="00FA022F" w:rsidRDefault="00FA022F" w:rsidP="00FA022F">
      <w:pPr>
        <w:pStyle w:val="TOC2"/>
        <w:tabs>
          <w:tab w:val="left" w:pos="800"/>
        </w:tabs>
        <w:rPr>
          <w:rFonts w:asciiTheme="minorHAnsi" w:eastAsiaTheme="minorEastAsia" w:hAnsiTheme="minorHAnsi" w:cstheme="minorBidi"/>
          <w:noProof/>
          <w:sz w:val="22"/>
          <w:szCs w:val="22"/>
        </w:rPr>
      </w:pPr>
      <w:r w:rsidRPr="00FA022F">
        <w:rPr>
          <w:rStyle w:val="Hyperlink"/>
          <w:noProof/>
        </w:rPr>
        <w:t>1.1</w:t>
      </w:r>
      <w:r>
        <w:rPr>
          <w:rFonts w:asciiTheme="minorHAnsi" w:eastAsiaTheme="minorEastAsia" w:hAnsiTheme="minorHAnsi" w:cstheme="minorBidi"/>
          <w:noProof/>
          <w:sz w:val="22"/>
          <w:szCs w:val="22"/>
        </w:rPr>
        <w:tab/>
      </w:r>
      <w:r w:rsidRPr="00FA022F">
        <w:rPr>
          <w:rStyle w:val="Hyperlink"/>
          <w:noProof/>
        </w:rPr>
        <w:t>Strategic direction statement</w:t>
      </w:r>
      <w:r>
        <w:rPr>
          <w:noProof/>
          <w:webHidden/>
        </w:rPr>
        <w:tab/>
        <w:t>51</w:t>
      </w:r>
    </w:p>
    <w:p w14:paraId="6168EA41" w14:textId="77777777" w:rsidR="00FA022F" w:rsidRDefault="00FA022F" w:rsidP="00FA022F">
      <w:pPr>
        <w:pStyle w:val="TOC2"/>
        <w:tabs>
          <w:tab w:val="left" w:pos="800"/>
        </w:tabs>
        <w:rPr>
          <w:rFonts w:asciiTheme="minorHAnsi" w:eastAsiaTheme="minorEastAsia" w:hAnsiTheme="minorHAnsi" w:cstheme="minorBidi"/>
          <w:noProof/>
          <w:sz w:val="22"/>
          <w:szCs w:val="22"/>
        </w:rPr>
      </w:pPr>
      <w:r w:rsidRPr="00FA022F">
        <w:rPr>
          <w:rStyle w:val="Hyperlink"/>
          <w:noProof/>
        </w:rPr>
        <w:t>1.2</w:t>
      </w:r>
      <w:r>
        <w:rPr>
          <w:rFonts w:asciiTheme="minorHAnsi" w:eastAsiaTheme="minorEastAsia" w:hAnsiTheme="minorHAnsi" w:cstheme="minorBidi"/>
          <w:noProof/>
          <w:sz w:val="22"/>
          <w:szCs w:val="22"/>
        </w:rPr>
        <w:tab/>
      </w:r>
      <w:r w:rsidRPr="00FA022F">
        <w:rPr>
          <w:rStyle w:val="Hyperlink"/>
          <w:noProof/>
        </w:rPr>
        <w:t>Entity resource statement</w:t>
      </w:r>
      <w:r>
        <w:rPr>
          <w:noProof/>
          <w:webHidden/>
        </w:rPr>
        <w:tab/>
        <w:t>52</w:t>
      </w:r>
    </w:p>
    <w:p w14:paraId="10EFAB23" w14:textId="77777777" w:rsidR="00FA022F" w:rsidRDefault="00FA022F" w:rsidP="00FA022F">
      <w:pPr>
        <w:pStyle w:val="TOC2"/>
        <w:tabs>
          <w:tab w:val="left" w:pos="800"/>
        </w:tabs>
        <w:rPr>
          <w:rFonts w:asciiTheme="minorHAnsi" w:eastAsiaTheme="minorEastAsia" w:hAnsiTheme="minorHAnsi" w:cstheme="minorBidi"/>
          <w:noProof/>
          <w:sz w:val="22"/>
          <w:szCs w:val="22"/>
        </w:rPr>
      </w:pPr>
      <w:r w:rsidRPr="00FA022F">
        <w:rPr>
          <w:rStyle w:val="Hyperlink"/>
          <w:noProof/>
        </w:rPr>
        <w:t>1.3</w:t>
      </w:r>
      <w:r>
        <w:rPr>
          <w:rFonts w:asciiTheme="minorHAnsi" w:eastAsiaTheme="minorEastAsia" w:hAnsiTheme="minorHAnsi" w:cstheme="minorBidi"/>
          <w:noProof/>
          <w:sz w:val="22"/>
          <w:szCs w:val="22"/>
        </w:rPr>
        <w:tab/>
      </w:r>
      <w:r w:rsidRPr="00FA022F">
        <w:rPr>
          <w:rStyle w:val="Hyperlink"/>
          <w:noProof/>
        </w:rPr>
        <w:t>Budget measures</w:t>
      </w:r>
      <w:r>
        <w:rPr>
          <w:noProof/>
          <w:webHidden/>
        </w:rPr>
        <w:tab/>
        <w:t>53</w:t>
      </w:r>
    </w:p>
    <w:p w14:paraId="55852A4A" w14:textId="77777777" w:rsidR="00FA022F" w:rsidRDefault="00FA022F" w:rsidP="00FA022F">
      <w:pPr>
        <w:pStyle w:val="TOC1"/>
        <w:rPr>
          <w:rFonts w:asciiTheme="minorHAnsi" w:eastAsiaTheme="minorEastAsia" w:hAnsiTheme="minorHAnsi" w:cstheme="minorBidi"/>
          <w:b w:val="0"/>
          <w:caps w:val="0"/>
          <w:noProof/>
          <w:sz w:val="22"/>
          <w:szCs w:val="22"/>
        </w:rPr>
      </w:pPr>
      <w:r w:rsidRPr="00FA022F">
        <w:rPr>
          <w:rStyle w:val="Hyperlink"/>
          <w:noProof/>
        </w:rPr>
        <w:t>Section 2: Outcomes and planned performance</w:t>
      </w:r>
      <w:r>
        <w:rPr>
          <w:noProof/>
          <w:webHidden/>
        </w:rPr>
        <w:tab/>
        <w:t>54</w:t>
      </w:r>
    </w:p>
    <w:p w14:paraId="70B44B25" w14:textId="77777777" w:rsidR="00FA022F" w:rsidRDefault="00FA022F" w:rsidP="00FA022F">
      <w:pPr>
        <w:pStyle w:val="TOC2"/>
        <w:tabs>
          <w:tab w:val="left" w:pos="800"/>
        </w:tabs>
        <w:rPr>
          <w:rFonts w:asciiTheme="minorHAnsi" w:eastAsiaTheme="minorEastAsia" w:hAnsiTheme="minorHAnsi" w:cstheme="minorBidi"/>
          <w:noProof/>
          <w:sz w:val="22"/>
          <w:szCs w:val="22"/>
        </w:rPr>
      </w:pPr>
      <w:r w:rsidRPr="00FA022F">
        <w:rPr>
          <w:rStyle w:val="Hyperlink"/>
          <w:noProof/>
        </w:rPr>
        <w:t xml:space="preserve">2.1 </w:t>
      </w:r>
      <w:r>
        <w:rPr>
          <w:rFonts w:asciiTheme="minorHAnsi" w:eastAsiaTheme="minorEastAsia" w:hAnsiTheme="minorHAnsi" w:cstheme="minorBidi"/>
          <w:noProof/>
          <w:sz w:val="22"/>
          <w:szCs w:val="22"/>
        </w:rPr>
        <w:tab/>
      </w:r>
      <w:r w:rsidRPr="00FA022F">
        <w:rPr>
          <w:rStyle w:val="Hyperlink"/>
          <w:noProof/>
        </w:rPr>
        <w:t>Budgeted expenses and performance for Outcome 1</w:t>
      </w:r>
      <w:r>
        <w:rPr>
          <w:noProof/>
          <w:webHidden/>
        </w:rPr>
        <w:tab/>
        <w:t>55</w:t>
      </w:r>
    </w:p>
    <w:p w14:paraId="4FB3CAB8" w14:textId="77777777" w:rsidR="00FA022F" w:rsidRDefault="00FA022F" w:rsidP="00FA022F">
      <w:pPr>
        <w:pStyle w:val="TOC1"/>
        <w:rPr>
          <w:rFonts w:asciiTheme="minorHAnsi" w:eastAsiaTheme="minorEastAsia" w:hAnsiTheme="minorHAnsi" w:cstheme="minorBidi"/>
          <w:b w:val="0"/>
          <w:caps w:val="0"/>
          <w:noProof/>
          <w:sz w:val="22"/>
          <w:szCs w:val="22"/>
        </w:rPr>
      </w:pPr>
      <w:r w:rsidRPr="00FA022F">
        <w:rPr>
          <w:rStyle w:val="Hyperlink"/>
          <w:noProof/>
        </w:rPr>
        <w:t>Section 3: Budgeted financial statements</w:t>
      </w:r>
      <w:r>
        <w:rPr>
          <w:noProof/>
          <w:webHidden/>
        </w:rPr>
        <w:tab/>
        <w:t>58</w:t>
      </w:r>
    </w:p>
    <w:p w14:paraId="3F74CD7C" w14:textId="77777777" w:rsidR="00FA022F" w:rsidRDefault="00FA022F" w:rsidP="00FA022F">
      <w:pPr>
        <w:pStyle w:val="TOC2"/>
        <w:tabs>
          <w:tab w:val="left" w:pos="800"/>
        </w:tabs>
        <w:rPr>
          <w:rFonts w:asciiTheme="minorHAnsi" w:eastAsiaTheme="minorEastAsia" w:hAnsiTheme="minorHAnsi" w:cstheme="minorBidi"/>
          <w:noProof/>
          <w:sz w:val="22"/>
          <w:szCs w:val="22"/>
        </w:rPr>
      </w:pPr>
      <w:r w:rsidRPr="00FA022F">
        <w:rPr>
          <w:rStyle w:val="Hyperlink"/>
          <w:noProof/>
        </w:rPr>
        <w:t>3.1</w:t>
      </w:r>
      <w:r>
        <w:rPr>
          <w:rFonts w:asciiTheme="minorHAnsi" w:eastAsiaTheme="minorEastAsia" w:hAnsiTheme="minorHAnsi" w:cstheme="minorBidi"/>
          <w:noProof/>
          <w:sz w:val="22"/>
          <w:szCs w:val="22"/>
        </w:rPr>
        <w:tab/>
      </w:r>
      <w:r w:rsidRPr="00FA022F">
        <w:rPr>
          <w:rStyle w:val="Hyperlink"/>
          <w:noProof/>
        </w:rPr>
        <w:t>Budgeted financial statements</w:t>
      </w:r>
      <w:r>
        <w:rPr>
          <w:noProof/>
          <w:webHidden/>
        </w:rPr>
        <w:tab/>
        <w:t>58</w:t>
      </w:r>
    </w:p>
    <w:p w14:paraId="7EFBE350" w14:textId="77777777" w:rsidR="00B14306" w:rsidRDefault="00B14306" w:rsidP="00B14306">
      <w:pPr>
        <w:pStyle w:val="TOC1"/>
      </w:pPr>
    </w:p>
    <w:p w14:paraId="204C6907" w14:textId="77777777" w:rsidR="00B14306" w:rsidRPr="008B5AFD" w:rsidRDefault="00B14306" w:rsidP="00B14306"/>
    <w:p w14:paraId="2E65F9DA" w14:textId="77777777" w:rsidR="00B14306" w:rsidRDefault="00B14306" w:rsidP="00B14306"/>
    <w:p w14:paraId="192EDE8A" w14:textId="77777777" w:rsidR="00B14306" w:rsidRDefault="00B14306">
      <w:pPr>
        <w:spacing w:after="0" w:line="240" w:lineRule="auto"/>
        <w:jc w:val="left"/>
      </w:pPr>
      <w:r>
        <w:br w:type="page"/>
      </w:r>
    </w:p>
    <w:p w14:paraId="361C0C68" w14:textId="77777777" w:rsidR="006D56BD" w:rsidRDefault="006D56BD" w:rsidP="00B14306"/>
    <w:p w14:paraId="6D14B510" w14:textId="77777777" w:rsidR="006D56BD" w:rsidRDefault="006D56BD">
      <w:pPr>
        <w:spacing w:after="0" w:line="240" w:lineRule="auto"/>
        <w:jc w:val="left"/>
      </w:pPr>
      <w:r>
        <w:br w:type="page"/>
      </w:r>
    </w:p>
    <w:p w14:paraId="4E732B5C" w14:textId="77777777" w:rsidR="00B14306" w:rsidRDefault="00B14306" w:rsidP="00B14306">
      <w:pPr>
        <w:sectPr w:rsidR="00B14306" w:rsidSect="00782467">
          <w:headerReference w:type="even" r:id="rId88"/>
          <w:footerReference w:type="even" r:id="rId89"/>
          <w:footerReference w:type="first" r:id="rId90"/>
          <w:type w:val="oddPage"/>
          <w:pgSz w:w="11906" w:h="16838" w:code="9"/>
          <w:pgMar w:top="2835" w:right="2098" w:bottom="2466" w:left="2098" w:header="1814" w:footer="1814" w:gutter="0"/>
          <w:cols w:space="708"/>
          <w:titlePg/>
          <w:docGrid w:linePitch="360"/>
        </w:sectPr>
      </w:pPr>
    </w:p>
    <w:p w14:paraId="33534EB3" w14:textId="77777777" w:rsidR="00B14306" w:rsidRDefault="00B14306" w:rsidP="00B14306">
      <w:pPr>
        <w:pStyle w:val="Heading1"/>
      </w:pPr>
      <w:bookmarkStart w:id="119" w:name="_Toc99201043"/>
      <w:r>
        <w:lastRenderedPageBreak/>
        <w:t>Aboriginal Hostels Limited</w:t>
      </w:r>
      <w:bookmarkEnd w:id="119"/>
    </w:p>
    <w:p w14:paraId="1DFF008C" w14:textId="77777777" w:rsidR="00B14306" w:rsidRPr="002C4D41" w:rsidRDefault="00B14306" w:rsidP="00B14306">
      <w:pPr>
        <w:pStyle w:val="Heading2"/>
      </w:pPr>
      <w:bookmarkStart w:id="120" w:name="_Toc98766354"/>
      <w:bookmarkStart w:id="121" w:name="_Toc98856100"/>
      <w:bookmarkStart w:id="122" w:name="_Toc98932852"/>
      <w:bookmarkStart w:id="123" w:name="_Toc99008109"/>
      <w:bookmarkStart w:id="124" w:name="_Toc99009471"/>
      <w:bookmarkStart w:id="125" w:name="_Toc99010699"/>
      <w:bookmarkStart w:id="126" w:name="_Toc99013934"/>
      <w:bookmarkStart w:id="127" w:name="_Toc99187511"/>
      <w:bookmarkStart w:id="128" w:name="_Toc99269620"/>
      <w:r w:rsidRPr="002C4D41">
        <w:t xml:space="preserve">Section 1: Entity overview and </w:t>
      </w:r>
      <w:r>
        <w:t>reso</w:t>
      </w:r>
      <w:r w:rsidRPr="002C4D41">
        <w:t>urces</w:t>
      </w:r>
      <w:bookmarkEnd w:id="120"/>
      <w:bookmarkEnd w:id="121"/>
      <w:bookmarkEnd w:id="122"/>
      <w:bookmarkEnd w:id="123"/>
      <w:bookmarkEnd w:id="124"/>
      <w:bookmarkEnd w:id="125"/>
      <w:bookmarkEnd w:id="126"/>
      <w:bookmarkEnd w:id="127"/>
      <w:bookmarkEnd w:id="128"/>
    </w:p>
    <w:p w14:paraId="5AC4B454" w14:textId="77777777" w:rsidR="00B14306" w:rsidRDefault="00B14306" w:rsidP="00B14306">
      <w:pPr>
        <w:pStyle w:val="Heading3"/>
      </w:pPr>
      <w:bookmarkStart w:id="129" w:name="_Toc98766355"/>
      <w:bookmarkStart w:id="130" w:name="_Toc98856101"/>
      <w:bookmarkStart w:id="131" w:name="_Toc98932853"/>
      <w:bookmarkStart w:id="132" w:name="_Toc99008110"/>
      <w:bookmarkStart w:id="133" w:name="_Toc99009472"/>
      <w:bookmarkStart w:id="134" w:name="_Toc99010700"/>
      <w:bookmarkStart w:id="135" w:name="_Toc99013935"/>
      <w:bookmarkStart w:id="136" w:name="_Toc99187512"/>
      <w:bookmarkStart w:id="137" w:name="_Toc99269621"/>
      <w:r>
        <w:t>1.1</w:t>
      </w:r>
      <w:r>
        <w:tab/>
        <w:t>Strategic direction statement</w:t>
      </w:r>
      <w:bookmarkEnd w:id="129"/>
      <w:bookmarkEnd w:id="130"/>
      <w:bookmarkEnd w:id="131"/>
      <w:bookmarkEnd w:id="132"/>
      <w:bookmarkEnd w:id="133"/>
      <w:bookmarkEnd w:id="134"/>
      <w:bookmarkEnd w:id="135"/>
      <w:bookmarkEnd w:id="136"/>
      <w:bookmarkEnd w:id="137"/>
    </w:p>
    <w:p w14:paraId="4746E091" w14:textId="77777777" w:rsidR="00B14306" w:rsidRDefault="00B14306" w:rsidP="00B14306">
      <w:pPr>
        <w:spacing w:after="120"/>
      </w:pPr>
      <w:r>
        <w:t xml:space="preserve">Aboriginal Hostels Limited (AHL) is a Commonwealth Company established under the </w:t>
      </w:r>
      <w:r>
        <w:rPr>
          <w:i/>
        </w:rPr>
        <w:t>Corporations Act 2001</w:t>
      </w:r>
      <w:r>
        <w:t xml:space="preserve">. AHL provides temporary accommodation to Aboriginal and Torres Strait Islander people through a national network of accommodation facilities. </w:t>
      </w:r>
      <w:r w:rsidR="00524DD5">
        <w:t>AHL contributes to the p</w:t>
      </w:r>
      <w:r>
        <w:t>ortfolio’s goals by providing accommodation that improves access to education, employment, health and other services for Aboriginal and Torres Strait Islander people travelling or relocating through the operation of hostel accommodation services.</w:t>
      </w:r>
    </w:p>
    <w:p w14:paraId="052203A7" w14:textId="77777777" w:rsidR="00B14306" w:rsidRDefault="00B14306" w:rsidP="00B14306">
      <w:pPr>
        <w:spacing w:after="120"/>
      </w:pPr>
      <w:r>
        <w:t>AHL’s purpose is to provide safe, culturally appropriate and affordable accommodation for Indigenous Australians who need to be away from home to access services and economic opportunities.</w:t>
      </w:r>
    </w:p>
    <w:p w14:paraId="04F2E381" w14:textId="77777777" w:rsidR="00B14306" w:rsidRDefault="00B14306" w:rsidP="00B14306">
      <w:pPr>
        <w:spacing w:after="120"/>
      </w:pPr>
      <w:r>
        <w:t>In 2022-23 AHL will continue to:</w:t>
      </w:r>
    </w:p>
    <w:p w14:paraId="750E8A6D" w14:textId="77777777" w:rsidR="00B14306" w:rsidRDefault="00B14306" w:rsidP="008A2254">
      <w:pPr>
        <w:numPr>
          <w:ilvl w:val="0"/>
          <w:numId w:val="48"/>
        </w:numPr>
        <w:autoSpaceDE w:val="0"/>
        <w:autoSpaceDN w:val="0"/>
        <w:adjustRightInd w:val="0"/>
        <w:spacing w:after="120"/>
      </w:pPr>
      <w:r>
        <w:t>be an integral provider of affordable accommodation that supports the Australian Government’s effort to overcome Aboriginal and Torres Strait Islander disadvantage</w:t>
      </w:r>
    </w:p>
    <w:p w14:paraId="49E16B23" w14:textId="77777777" w:rsidR="00B14306" w:rsidRDefault="00B14306" w:rsidP="008A2254">
      <w:pPr>
        <w:numPr>
          <w:ilvl w:val="0"/>
          <w:numId w:val="48"/>
        </w:numPr>
        <w:autoSpaceDE w:val="0"/>
        <w:autoSpaceDN w:val="0"/>
        <w:adjustRightInd w:val="0"/>
        <w:spacing w:after="120"/>
      </w:pPr>
      <w:r>
        <w:t xml:space="preserve">operate in locations of greatest need, in priority areas of education, training, employment and health </w:t>
      </w:r>
    </w:p>
    <w:p w14:paraId="67D7FB26" w14:textId="77777777" w:rsidR="00B14306" w:rsidRDefault="00B14306" w:rsidP="008A2254">
      <w:pPr>
        <w:numPr>
          <w:ilvl w:val="0"/>
          <w:numId w:val="48"/>
        </w:numPr>
        <w:autoSpaceDE w:val="0"/>
        <w:autoSpaceDN w:val="0"/>
        <w:adjustRightInd w:val="0"/>
        <w:spacing w:after="120"/>
      </w:pPr>
      <w:r>
        <w:t xml:space="preserve">deliver a consistent standard of accommodation services, by service type across Australia </w:t>
      </w:r>
    </w:p>
    <w:p w14:paraId="63CACE0C" w14:textId="77777777" w:rsidR="00B14306" w:rsidRDefault="00B14306" w:rsidP="008A2254">
      <w:pPr>
        <w:numPr>
          <w:ilvl w:val="0"/>
          <w:numId w:val="48"/>
        </w:numPr>
        <w:autoSpaceDE w:val="0"/>
        <w:autoSpaceDN w:val="0"/>
        <w:adjustRightInd w:val="0"/>
        <w:spacing w:after="120"/>
      </w:pPr>
      <w:r>
        <w:t>sustainably manage and maintain its property portfolio</w:t>
      </w:r>
    </w:p>
    <w:p w14:paraId="764F9C1D" w14:textId="77777777" w:rsidR="00B14306" w:rsidRDefault="00B14306" w:rsidP="008A2254">
      <w:pPr>
        <w:numPr>
          <w:ilvl w:val="0"/>
          <w:numId w:val="48"/>
        </w:numPr>
        <w:autoSpaceDE w:val="0"/>
        <w:autoSpaceDN w:val="0"/>
        <w:adjustRightInd w:val="0"/>
        <w:spacing w:after="120"/>
      </w:pPr>
      <w:r>
        <w:t>respond to need through evidence-based business planning</w:t>
      </w:r>
    </w:p>
    <w:p w14:paraId="67250B1B" w14:textId="77777777" w:rsidR="00B14306" w:rsidRDefault="00B14306" w:rsidP="008A2254">
      <w:pPr>
        <w:numPr>
          <w:ilvl w:val="0"/>
          <w:numId w:val="48"/>
        </w:numPr>
        <w:autoSpaceDE w:val="0"/>
        <w:autoSpaceDN w:val="0"/>
        <w:adjustRightInd w:val="0"/>
        <w:spacing w:after="120"/>
      </w:pPr>
      <w:r>
        <w:t>pursue best practice in workplace health and safety, and</w:t>
      </w:r>
    </w:p>
    <w:p w14:paraId="1327ED58" w14:textId="77777777" w:rsidR="00B14306" w:rsidRDefault="00B14306" w:rsidP="008A2254">
      <w:pPr>
        <w:numPr>
          <w:ilvl w:val="0"/>
          <w:numId w:val="48"/>
        </w:numPr>
        <w:autoSpaceDE w:val="0"/>
        <w:autoSpaceDN w:val="0"/>
        <w:adjustRightInd w:val="0"/>
        <w:spacing w:after="120"/>
      </w:pPr>
      <w:r>
        <w:t>operate within available resources and focus on options to strengthen its business model and secure the company’s longer-term financial viability.</w:t>
      </w:r>
    </w:p>
    <w:p w14:paraId="7DC8F6F9" w14:textId="77777777" w:rsidR="00B14306" w:rsidRDefault="00B14306" w:rsidP="00B14306">
      <w:pPr>
        <w:pStyle w:val="Heading3"/>
      </w:pPr>
      <w:r w:rsidRPr="0079797F">
        <w:br w:type="page"/>
      </w:r>
      <w:bookmarkStart w:id="138" w:name="_Toc98766356"/>
      <w:bookmarkStart w:id="139" w:name="_Toc98856102"/>
      <w:bookmarkStart w:id="140" w:name="_Toc98932854"/>
      <w:bookmarkStart w:id="141" w:name="_Toc99008111"/>
      <w:bookmarkStart w:id="142" w:name="_Toc99009473"/>
      <w:bookmarkStart w:id="143" w:name="_Toc99010701"/>
      <w:bookmarkStart w:id="144" w:name="_Toc99013936"/>
      <w:bookmarkStart w:id="145" w:name="_Toc99187513"/>
      <w:bookmarkStart w:id="146" w:name="_Toc99269622"/>
      <w:r>
        <w:lastRenderedPageBreak/>
        <w:t>1.2</w:t>
      </w:r>
      <w:r>
        <w:tab/>
        <w:t>Entity resource statement</w:t>
      </w:r>
      <w:bookmarkEnd w:id="138"/>
      <w:bookmarkEnd w:id="139"/>
      <w:bookmarkEnd w:id="140"/>
      <w:bookmarkEnd w:id="141"/>
      <w:bookmarkEnd w:id="142"/>
      <w:bookmarkEnd w:id="143"/>
      <w:bookmarkEnd w:id="144"/>
      <w:bookmarkEnd w:id="145"/>
      <w:bookmarkEnd w:id="146"/>
    </w:p>
    <w:p w14:paraId="21B79C87" w14:textId="77777777" w:rsidR="00B14306" w:rsidRDefault="00B14306" w:rsidP="00B14306">
      <w:r>
        <w:t xml:space="preserve">Table 1.1 shows the total funding from all sources available to </w:t>
      </w:r>
      <w:r w:rsidR="00524DD5">
        <w:t>AHL</w:t>
      </w:r>
      <w:r>
        <w:t xml:space="preserve"> for its operations and to deliver programs and services on behalf of the Government.</w:t>
      </w:r>
    </w:p>
    <w:p w14:paraId="1BFCBA71" w14:textId="77777777" w:rsidR="00B14306" w:rsidRDefault="00B14306" w:rsidP="00B14306">
      <w:r>
        <w:t>The table summarises how resources will be applied by outcome (government strategic policy objectives) and by administered (on behalf of the Government or the public) and departmental (for the entity’s operations) classification.</w:t>
      </w:r>
    </w:p>
    <w:p w14:paraId="49893AE5" w14:textId="77777777" w:rsidR="00B14306" w:rsidRDefault="00B14306" w:rsidP="00B14306">
      <w:r>
        <w:t xml:space="preserve">Information in this table is presented on a resourcing (that is, appropriations/cash available) basis, </w:t>
      </w:r>
      <w:r w:rsidR="00524DD5">
        <w:t>while</w:t>
      </w:r>
      <w:r>
        <w:t xml:space="preserve"> the ‘Budgeted expenses by Outcome 1’ tables in Section 2 and the financial statements in Section 3 are presented on an accrual basis.</w:t>
      </w:r>
    </w:p>
    <w:p w14:paraId="30A545B9" w14:textId="77777777" w:rsidR="00B14306" w:rsidRPr="00FE1091" w:rsidRDefault="00B14306" w:rsidP="00B14306">
      <w:pPr>
        <w:pStyle w:val="TableHeading"/>
        <w:rPr>
          <w:b w:val="0"/>
          <w:lang w:val="en-AU"/>
        </w:rPr>
      </w:pPr>
      <w:r w:rsidRPr="00D44150">
        <w:t xml:space="preserve">Table 1.1: </w:t>
      </w:r>
      <w:r>
        <w:rPr>
          <w:lang w:val="en-US"/>
        </w:rPr>
        <w:t>AHL</w:t>
      </w:r>
      <w:r w:rsidRPr="00D44150">
        <w:t xml:space="preserve"> resource statement</w:t>
      </w:r>
      <w:r>
        <w:t xml:space="preserve"> — Budget 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4F709E93" w14:textId="77777777" w:rsidR="00B14306" w:rsidRDefault="00524DD5" w:rsidP="00B14306">
      <w:pPr>
        <w:pStyle w:val="TableGraphic"/>
        <w:rPr>
          <w:rFonts w:ascii="Arial" w:hAnsi="Arial"/>
          <w:color w:val="000000"/>
          <w:lang w:val="x-none" w:eastAsia="x-none"/>
        </w:rPr>
      </w:pPr>
      <w:r w:rsidRPr="00524DD5">
        <w:rPr>
          <w:noProof/>
        </w:rPr>
        <w:drawing>
          <wp:inline distT="0" distB="0" distL="0" distR="0" wp14:anchorId="3A7A4EA7" wp14:editId="0128231B">
            <wp:extent cx="4895850" cy="2607599"/>
            <wp:effectExtent l="0" t="0" r="0" b="254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95850" cy="2607599"/>
                    </a:xfrm>
                    <a:prstGeom prst="rect">
                      <a:avLst/>
                    </a:prstGeom>
                    <a:noFill/>
                    <a:ln>
                      <a:noFill/>
                    </a:ln>
                  </pic:spPr>
                </pic:pic>
              </a:graphicData>
            </a:graphic>
          </wp:inline>
        </w:drawing>
      </w:r>
    </w:p>
    <w:p w14:paraId="2E805B79" w14:textId="77777777" w:rsidR="00B14306" w:rsidRPr="00A52490" w:rsidRDefault="00B14306" w:rsidP="00B14306">
      <w:pPr>
        <w:pStyle w:val="TableHeading"/>
        <w:rPr>
          <w:b w:val="0"/>
          <w:sz w:val="16"/>
          <w:szCs w:val="16"/>
        </w:rPr>
      </w:pPr>
      <w:r w:rsidRPr="00A52490">
        <w:rPr>
          <w:b w:val="0"/>
          <w:sz w:val="16"/>
          <w:szCs w:val="16"/>
        </w:rPr>
        <w:t>All figures shown above are GST exclusive - these may not match figures in the cash flow statement.</w:t>
      </w:r>
    </w:p>
    <w:p w14:paraId="0D420448" w14:textId="77777777" w:rsidR="00B14306" w:rsidRDefault="00B14306" w:rsidP="00B14306">
      <w:pPr>
        <w:pStyle w:val="ChartandTableFootnote"/>
      </w:pPr>
      <w:r>
        <w:t>Prepared on a resourcing (</w:t>
      </w:r>
      <w:r>
        <w:rPr>
          <w:lang w:val="en-AU"/>
        </w:rPr>
        <w:t>that is,</w:t>
      </w:r>
      <w:r>
        <w:t xml:space="preserve"> appropriations available) basis.</w:t>
      </w:r>
    </w:p>
    <w:p w14:paraId="38AAF109" w14:textId="77777777" w:rsidR="00524DD5" w:rsidRDefault="00B14306" w:rsidP="00392A48">
      <w:pPr>
        <w:pStyle w:val="ChartandTableFootnoteAlpha"/>
        <w:numPr>
          <w:ilvl w:val="0"/>
          <w:numId w:val="89"/>
        </w:numPr>
      </w:pPr>
      <w:r w:rsidRPr="001071C7">
        <w:t>Appr</w:t>
      </w:r>
      <w:r>
        <w:t>opriation Bill (No. 1) 2022-23.</w:t>
      </w:r>
      <w:r w:rsidR="00302E82" w:rsidRPr="00302E82">
        <w:t xml:space="preserve"> </w:t>
      </w:r>
    </w:p>
    <w:p w14:paraId="10EDA690" w14:textId="77777777" w:rsidR="00B14306" w:rsidRPr="002003A1" w:rsidRDefault="00302E82" w:rsidP="00392A48">
      <w:pPr>
        <w:pStyle w:val="ChartandTableFootnoteAlpha"/>
        <w:numPr>
          <w:ilvl w:val="0"/>
          <w:numId w:val="89"/>
        </w:numPr>
      </w:pPr>
      <w:r w:rsidRPr="00302E82">
        <w:t>Funding provided by another agency in the portfolio th</w:t>
      </w:r>
      <w:r w:rsidR="00524DD5">
        <w:t>at is not specified within the annual appropriation b</w:t>
      </w:r>
      <w:r w:rsidRPr="00302E82">
        <w:t>ills. The payment relates to the operations of the Kardu Darrikardu Numida Hostel in Wadeye, Northern Territory and Wangkana-kari Hostel and a Secondary Education Hostel in Tennant Creek, Northern Territory.</w:t>
      </w:r>
    </w:p>
    <w:p w14:paraId="081B8FF3" w14:textId="77777777" w:rsidR="006613E1" w:rsidRDefault="00B14306" w:rsidP="00EE41C9">
      <w:pPr>
        <w:pStyle w:val="Heading3"/>
      </w:pPr>
      <w:r>
        <w:br w:type="page"/>
      </w:r>
      <w:bookmarkStart w:id="147" w:name="_Toc98766357"/>
      <w:bookmarkStart w:id="148" w:name="_Toc98856103"/>
      <w:bookmarkStart w:id="149" w:name="_Toc98932855"/>
      <w:bookmarkStart w:id="150" w:name="_Toc99008112"/>
      <w:bookmarkStart w:id="151" w:name="_Toc99009474"/>
      <w:bookmarkStart w:id="152" w:name="_Toc99010702"/>
      <w:bookmarkStart w:id="153" w:name="_Toc99013937"/>
      <w:bookmarkStart w:id="154" w:name="_Toc99187514"/>
      <w:bookmarkStart w:id="155" w:name="_Toc99269623"/>
      <w:r w:rsidRPr="00E636A1">
        <w:lastRenderedPageBreak/>
        <w:t>1.3</w:t>
      </w:r>
      <w:r w:rsidRPr="00E636A1">
        <w:tab/>
        <w:t>Budget measures</w:t>
      </w:r>
      <w:bookmarkEnd w:id="147"/>
      <w:bookmarkEnd w:id="148"/>
      <w:bookmarkEnd w:id="149"/>
      <w:bookmarkEnd w:id="150"/>
      <w:bookmarkEnd w:id="151"/>
      <w:bookmarkEnd w:id="152"/>
      <w:bookmarkEnd w:id="153"/>
      <w:bookmarkEnd w:id="154"/>
      <w:bookmarkEnd w:id="155"/>
    </w:p>
    <w:p w14:paraId="246E0225" w14:textId="77777777" w:rsidR="006613E1" w:rsidRDefault="00B14306" w:rsidP="00076455">
      <w:pPr>
        <w:rPr>
          <w:b/>
        </w:rPr>
      </w:pPr>
      <w:bookmarkStart w:id="156" w:name="_Toc98766358"/>
      <w:bookmarkStart w:id="157" w:name="_Toc98856104"/>
      <w:bookmarkStart w:id="158" w:name="_Toc98932856"/>
      <w:bookmarkStart w:id="159" w:name="_Toc99008113"/>
      <w:bookmarkStart w:id="160" w:name="_Toc99009475"/>
      <w:bookmarkStart w:id="161" w:name="_Toc99010703"/>
      <w:bookmarkStart w:id="162" w:name="_Toc99013938"/>
      <w:bookmarkStart w:id="163" w:name="_Toc99187515"/>
      <w:bookmarkStart w:id="164" w:name="_Toc99269624"/>
      <w:r w:rsidRPr="00302E82">
        <w:t>AHL has no budget measures in the 2022-23 Budget.</w:t>
      </w:r>
      <w:bookmarkEnd w:id="156"/>
      <w:bookmarkEnd w:id="157"/>
      <w:bookmarkEnd w:id="158"/>
      <w:bookmarkEnd w:id="159"/>
      <w:bookmarkEnd w:id="160"/>
      <w:bookmarkEnd w:id="161"/>
      <w:bookmarkEnd w:id="162"/>
      <w:bookmarkEnd w:id="163"/>
      <w:bookmarkEnd w:id="164"/>
    </w:p>
    <w:p w14:paraId="2B550701" w14:textId="77777777" w:rsidR="006613E1" w:rsidRDefault="006613E1">
      <w:pPr>
        <w:spacing w:after="0" w:line="240" w:lineRule="auto"/>
        <w:jc w:val="left"/>
      </w:pPr>
      <w:r>
        <w:rPr>
          <w:b/>
        </w:rPr>
        <w:br w:type="page"/>
      </w:r>
    </w:p>
    <w:p w14:paraId="77FA88BA" w14:textId="77777777" w:rsidR="00B14306" w:rsidRPr="00302E82" w:rsidRDefault="00B14306" w:rsidP="006613E1">
      <w:pPr>
        <w:pStyle w:val="Heading2"/>
      </w:pPr>
      <w:bookmarkStart w:id="165" w:name="_Toc98766359"/>
      <w:bookmarkStart w:id="166" w:name="_Toc98856105"/>
      <w:bookmarkStart w:id="167" w:name="_Toc98932857"/>
      <w:bookmarkStart w:id="168" w:name="_Toc99008114"/>
      <w:bookmarkStart w:id="169" w:name="_Toc99009476"/>
      <w:bookmarkStart w:id="170" w:name="_Toc99010704"/>
      <w:bookmarkStart w:id="171" w:name="_Toc99013939"/>
      <w:bookmarkStart w:id="172" w:name="_Toc99187516"/>
      <w:bookmarkStart w:id="173" w:name="_Toc99269625"/>
      <w:r w:rsidRPr="00810C6A">
        <w:lastRenderedPageBreak/>
        <w:t>Section 2: Outcomes and planned performance</w:t>
      </w:r>
      <w:bookmarkEnd w:id="165"/>
      <w:bookmarkEnd w:id="166"/>
      <w:bookmarkEnd w:id="167"/>
      <w:bookmarkEnd w:id="168"/>
      <w:bookmarkEnd w:id="169"/>
      <w:bookmarkEnd w:id="170"/>
      <w:bookmarkEnd w:id="171"/>
      <w:bookmarkEnd w:id="172"/>
      <w:bookmarkEnd w:id="173"/>
    </w:p>
    <w:p w14:paraId="615C3FD4" w14:textId="77777777" w:rsidR="00B14306" w:rsidRPr="005E6F2B" w:rsidRDefault="00B14306" w:rsidP="00B14306">
      <w:r w:rsidRPr="005E6F2B">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t>
      </w:r>
      <w:r w:rsidR="00524DD5">
        <w:t>that</w:t>
      </w:r>
      <w:r w:rsidRPr="005E6F2B">
        <w:t xml:space="preserve"> contribute to government outcomes over the Budget and forward years.</w:t>
      </w:r>
    </w:p>
    <w:p w14:paraId="2B099663" w14:textId="77777777" w:rsidR="00B14306" w:rsidRPr="00FC069F" w:rsidRDefault="00B14306" w:rsidP="00B14306">
      <w:pPr>
        <w:rPr>
          <w:i/>
        </w:rPr>
      </w:pPr>
      <w:r w:rsidRPr="005E6F2B">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B14306" w14:paraId="0BD39D32" w14:textId="77777777" w:rsidTr="001F4D05">
        <w:tc>
          <w:tcPr>
            <w:tcW w:w="7700" w:type="dxa"/>
          </w:tcPr>
          <w:p w14:paraId="29DB1CCC" w14:textId="77777777" w:rsidR="00B14306" w:rsidRPr="006906E4" w:rsidRDefault="00B14306" w:rsidP="001F4D05">
            <w:pPr>
              <w:spacing w:before="120" w:after="120" w:line="240" w:lineRule="auto"/>
              <w:rPr>
                <w:b/>
              </w:rPr>
            </w:pPr>
            <w:r w:rsidRPr="006906E4">
              <w:rPr>
                <w:b/>
              </w:rPr>
              <w:t>Note:</w:t>
            </w:r>
          </w:p>
          <w:p w14:paraId="55EC86DD" w14:textId="77777777" w:rsidR="00B14306" w:rsidRDefault="00B14306" w:rsidP="001F4D05">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reports-to provide a complete picture of an entity’s planned and actual performance.</w:t>
            </w:r>
          </w:p>
          <w:p w14:paraId="6DFEB46F" w14:textId="77777777" w:rsidR="00B14306" w:rsidRDefault="00B14306" w:rsidP="001F4D05">
            <w:pPr>
              <w:jc w:val="left"/>
            </w:pPr>
            <w:r>
              <w:t xml:space="preserve">The most recent corporate plan for AHL can be found at: </w:t>
            </w:r>
            <w:r>
              <w:br/>
            </w:r>
            <w:r w:rsidRPr="00C55F98">
              <w:t>ahl.gov.au</w:t>
            </w:r>
            <w:r>
              <w:t>/</w:t>
            </w:r>
            <w:r w:rsidRPr="00E16FF6">
              <w:t>about-us</w:t>
            </w:r>
            <w:r>
              <w:t>/</w:t>
            </w:r>
            <w:r w:rsidRPr="00E16FF6">
              <w:t>publications</w:t>
            </w:r>
          </w:p>
          <w:p w14:paraId="5F5CF298" w14:textId="77777777" w:rsidR="00B14306" w:rsidRDefault="00B14306" w:rsidP="001F4D05">
            <w:pPr>
              <w:jc w:val="left"/>
            </w:pPr>
            <w:r>
              <w:t xml:space="preserve">The most recent annual report can be found at: </w:t>
            </w:r>
            <w:r>
              <w:br/>
              <w:t>ahl.gov.au/about-us/publications</w:t>
            </w:r>
          </w:p>
        </w:tc>
      </w:tr>
    </w:tbl>
    <w:p w14:paraId="504230D3" w14:textId="77777777" w:rsidR="00B14306" w:rsidRDefault="00B14306" w:rsidP="00B14306">
      <w:pPr>
        <w:rPr>
          <w:highlight w:val="yellow"/>
        </w:rPr>
      </w:pPr>
    </w:p>
    <w:p w14:paraId="1657E832" w14:textId="77777777" w:rsidR="00B14306" w:rsidRDefault="00B14306" w:rsidP="00B14306">
      <w:pPr>
        <w:pStyle w:val="Heading3"/>
        <w:sectPr w:rsidR="00B14306" w:rsidSect="00503FD8">
          <w:headerReference w:type="even" r:id="rId92"/>
          <w:headerReference w:type="default" r:id="rId93"/>
          <w:footerReference w:type="even" r:id="rId94"/>
          <w:headerReference w:type="first" r:id="rId95"/>
          <w:footerReference w:type="first" r:id="rId96"/>
          <w:type w:val="oddPage"/>
          <w:pgSz w:w="11906" w:h="16838" w:code="9"/>
          <w:pgMar w:top="2835" w:right="2098" w:bottom="2466" w:left="2098" w:header="1814" w:footer="1814" w:gutter="0"/>
          <w:cols w:space="708"/>
          <w:titlePg/>
          <w:docGrid w:linePitch="360"/>
        </w:sectPr>
      </w:pPr>
    </w:p>
    <w:p w14:paraId="45737BF6" w14:textId="77777777" w:rsidR="00B14306" w:rsidRPr="00831489" w:rsidRDefault="00B14306" w:rsidP="00B14306">
      <w:pPr>
        <w:pStyle w:val="Heading3"/>
      </w:pPr>
      <w:bookmarkStart w:id="174" w:name="_Toc98766360"/>
      <w:bookmarkStart w:id="175" w:name="_Toc98856106"/>
      <w:bookmarkStart w:id="176" w:name="_Toc98932858"/>
      <w:bookmarkStart w:id="177" w:name="_Toc99008115"/>
      <w:bookmarkStart w:id="178" w:name="_Toc99009477"/>
      <w:bookmarkStart w:id="179" w:name="_Toc99010705"/>
      <w:bookmarkStart w:id="180" w:name="_Toc99013940"/>
      <w:bookmarkStart w:id="181" w:name="_Toc99187517"/>
      <w:bookmarkStart w:id="182" w:name="_Toc99269626"/>
      <w:r>
        <w:lastRenderedPageBreak/>
        <w:t>2.1</w:t>
      </w:r>
      <w:r w:rsidRPr="00F743D8">
        <w:t xml:space="preserve"> </w:t>
      </w:r>
      <w:r w:rsidRPr="00F743D8">
        <w:tab/>
        <w:t xml:space="preserve">Budgeted expenses and performance for Outcome </w:t>
      </w:r>
      <w:r>
        <w:t>1</w:t>
      </w:r>
      <w:bookmarkEnd w:id="174"/>
      <w:bookmarkEnd w:id="175"/>
      <w:bookmarkEnd w:id="176"/>
      <w:bookmarkEnd w:id="177"/>
      <w:bookmarkEnd w:id="178"/>
      <w:bookmarkEnd w:id="179"/>
      <w:bookmarkEnd w:id="180"/>
      <w:bookmarkEnd w:id="181"/>
      <w:bookmarkEnd w:id="18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14306" w:rsidRPr="005E6F2B" w14:paraId="6E2FF53F" w14:textId="77777777" w:rsidTr="001F4D05">
        <w:tc>
          <w:tcPr>
            <w:tcW w:w="7713" w:type="dxa"/>
            <w:shd w:val="clear" w:color="auto" w:fill="E6E6E6"/>
          </w:tcPr>
          <w:p w14:paraId="7A67763D" w14:textId="77777777" w:rsidR="00B14306" w:rsidRPr="005E6F2B" w:rsidRDefault="00B14306" w:rsidP="001F4D05">
            <w:pPr>
              <w:pStyle w:val="TableColumnHeadingLeft"/>
            </w:pPr>
            <w:r w:rsidRPr="005E6F2B">
              <w:t xml:space="preserve">Outcome </w:t>
            </w:r>
            <w:r>
              <w:t>1</w:t>
            </w:r>
            <w:r w:rsidRPr="005E6F2B">
              <w:t xml:space="preserve">: </w:t>
            </w:r>
            <w:r>
              <w:t>Improved access to education, employment, health and other services for Aboriginal and Torres Strait Islander people travelling or relocating through the operation of temporary hostel accommodation services.</w:t>
            </w:r>
          </w:p>
        </w:tc>
      </w:tr>
    </w:tbl>
    <w:p w14:paraId="40E07217" w14:textId="77777777" w:rsidR="00B14306" w:rsidRPr="005E6F2B" w:rsidRDefault="00B14306" w:rsidP="00B14306">
      <w:pPr>
        <w:pStyle w:val="NoSpacing"/>
      </w:pPr>
    </w:p>
    <w:p w14:paraId="7D85AE19" w14:textId="77777777" w:rsidR="00B14306" w:rsidRPr="00446612" w:rsidRDefault="00B14306" w:rsidP="00B14306">
      <w:pPr>
        <w:pStyle w:val="Heading5"/>
      </w:pPr>
      <w:r w:rsidRPr="00446612">
        <w:t xml:space="preserve">Budgeted expenses for Outcome </w:t>
      </w:r>
      <w:r>
        <w:t>1</w:t>
      </w:r>
    </w:p>
    <w:p w14:paraId="0C74FBCE" w14:textId="77777777" w:rsidR="00B14306" w:rsidRDefault="00B14306" w:rsidP="00B14306">
      <w:r w:rsidRPr="00950281">
        <w:t xml:space="preserve">This table shows how much </w:t>
      </w:r>
      <w:r>
        <w:t>AHL</w:t>
      </w:r>
      <w:r w:rsidRPr="00950281">
        <w:t xml:space="preserve"> intends to spend (on an accrual basis) on achieving the outcome, broken down by program, as well as by </w:t>
      </w:r>
      <w:r>
        <w:t>Departmental funding sources.</w:t>
      </w:r>
    </w:p>
    <w:p w14:paraId="7EECD816" w14:textId="77777777" w:rsidR="00B14306" w:rsidRPr="006E4DF1" w:rsidRDefault="00B14306" w:rsidP="00B14306">
      <w:pPr>
        <w:spacing w:after="0"/>
        <w:rPr>
          <w:b/>
        </w:rPr>
      </w:pPr>
      <w:r w:rsidRPr="006E4DF1">
        <w:rPr>
          <w:b/>
        </w:rPr>
        <w:t>Table 2.</w:t>
      </w:r>
      <w:r>
        <w:rPr>
          <w:b/>
        </w:rPr>
        <w:t>1</w:t>
      </w:r>
      <w:r w:rsidRPr="006E4DF1">
        <w:rPr>
          <w:b/>
        </w:rPr>
        <w:t xml:space="preserve">.1: Budgeted expenses for Outcome </w:t>
      </w:r>
      <w:r>
        <w:rPr>
          <w:b/>
        </w:rPr>
        <w:t>1</w:t>
      </w:r>
    </w:p>
    <w:p w14:paraId="5F2AC46B" w14:textId="77777777" w:rsidR="00B14306" w:rsidRDefault="0014468F" w:rsidP="00B14306">
      <w:pPr>
        <w:pStyle w:val="TableHeading"/>
      </w:pPr>
      <w:r w:rsidRPr="0014468F">
        <w:rPr>
          <w:noProof/>
          <w:lang w:val="en-AU" w:eastAsia="en-AU"/>
        </w:rPr>
        <w:drawing>
          <wp:inline distT="0" distB="0" distL="0" distR="0" wp14:anchorId="7BD76C64" wp14:editId="12663144">
            <wp:extent cx="4895850" cy="2129408"/>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95850" cy="2129408"/>
                    </a:xfrm>
                    <a:prstGeom prst="rect">
                      <a:avLst/>
                    </a:prstGeom>
                    <a:noFill/>
                    <a:ln>
                      <a:noFill/>
                    </a:ln>
                  </pic:spPr>
                </pic:pic>
              </a:graphicData>
            </a:graphic>
          </wp:inline>
        </w:drawing>
      </w:r>
    </w:p>
    <w:p w14:paraId="06BE239A" w14:textId="77777777" w:rsidR="00B14306" w:rsidRPr="00446612" w:rsidRDefault="00B14306" w:rsidP="00B14306">
      <w:pPr>
        <w:pStyle w:val="ChartandTableFootnote"/>
      </w:pPr>
      <w:r w:rsidRPr="00446612">
        <w:t xml:space="preserve">Note: Departmental appropriation splits and totals are indicative estimates and may change in the course of the </w:t>
      </w:r>
      <w:r w:rsidR="004C12AF">
        <w:t>Budget year</w:t>
      </w:r>
      <w:r w:rsidRPr="00446612">
        <w:t xml:space="preserve"> as government priorities change.</w:t>
      </w:r>
    </w:p>
    <w:p w14:paraId="47687F8B" w14:textId="77777777" w:rsidR="00B14306" w:rsidRPr="00AE599E" w:rsidRDefault="00B14306" w:rsidP="00B14306">
      <w:pPr>
        <w:spacing w:after="0"/>
      </w:pPr>
      <w:r>
        <w:rPr>
          <w:highlight w:val="yellow"/>
        </w:rPr>
        <w:br w:type="page"/>
      </w:r>
    </w:p>
    <w:p w14:paraId="0EF1E4F8" w14:textId="77777777" w:rsidR="00B14306" w:rsidRPr="00CF2D45" w:rsidRDefault="00B14306" w:rsidP="00B14306">
      <w:pPr>
        <w:pStyle w:val="TableHeading"/>
        <w:rPr>
          <w:lang w:val="en-US"/>
        </w:rPr>
      </w:pPr>
      <w:r w:rsidRPr="00F71634">
        <w:lastRenderedPageBreak/>
        <w:t>Table 2.</w:t>
      </w:r>
      <w:r>
        <w:rPr>
          <w:lang w:val="en-US"/>
        </w:rPr>
        <w:t>1</w:t>
      </w:r>
      <w:r w:rsidRPr="00F71634">
        <w:t>.</w:t>
      </w:r>
      <w:r>
        <w:rPr>
          <w:lang w:val="en-US"/>
        </w:rPr>
        <w:t>2</w:t>
      </w:r>
      <w:r w:rsidRPr="00F71634">
        <w:t xml:space="preserve">: Performance </w:t>
      </w:r>
      <w:r>
        <w:rPr>
          <w:lang w:val="en-AU"/>
        </w:rPr>
        <w:t>measure</w:t>
      </w:r>
      <w:r w:rsidRPr="00F71634">
        <w:t xml:space="preserve"> for Outcome </w:t>
      </w:r>
      <w:r>
        <w:rPr>
          <w:lang w:val="en-US"/>
        </w:rPr>
        <w:t>1</w:t>
      </w:r>
    </w:p>
    <w:p w14:paraId="70E9C007" w14:textId="77777777" w:rsidR="00B14306" w:rsidRPr="00F71634" w:rsidRDefault="00B14306" w:rsidP="00B14306">
      <w:r w:rsidRPr="001B2F81">
        <w:t>Table 2.</w:t>
      </w:r>
      <w:r>
        <w:t>1</w:t>
      </w:r>
      <w:r w:rsidRPr="001B2F81">
        <w:t>.</w:t>
      </w:r>
      <w:r>
        <w:t>2</w:t>
      </w:r>
      <w:r w:rsidRPr="001B2F81">
        <w:t xml:space="preserve"> details the performance measures for each </w:t>
      </w:r>
      <w:r w:rsidR="0014468F">
        <w:t>program associated with Outcome 1</w:t>
      </w:r>
      <w:r w:rsidRPr="001B2F81">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w:t>
      </w:r>
      <w:r>
        <w:t>2</w:t>
      </w:r>
      <w:r w:rsidRPr="001B2F81">
        <w:t>-</w:t>
      </w:r>
      <w:r>
        <w:t>23</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B14306" w:rsidRPr="001B2F81" w14:paraId="7E6D977A" w14:textId="77777777" w:rsidTr="001F4D05">
        <w:trPr>
          <w:trHeight w:val="569"/>
          <w:tblHeader/>
        </w:trPr>
        <w:tc>
          <w:tcPr>
            <w:tcW w:w="7796" w:type="dxa"/>
            <w:gridSpan w:val="3"/>
            <w:shd w:val="clear" w:color="auto" w:fill="F2F2F2"/>
          </w:tcPr>
          <w:p w14:paraId="5278C6C0" w14:textId="77777777" w:rsidR="00B14306" w:rsidRPr="00C41058" w:rsidRDefault="00B14306" w:rsidP="001F4D05">
            <w:pPr>
              <w:pStyle w:val="TableColumnHeadingLeft"/>
            </w:pPr>
            <w:bookmarkStart w:id="183" w:name="_Hlk97195432"/>
            <w:r w:rsidRPr="0014468F">
              <w:rPr>
                <w:rStyle w:val="TableHeadingChar"/>
                <w:b/>
              </w:rPr>
              <w:t xml:space="preserve">Outcome </w:t>
            </w:r>
            <w:r w:rsidRPr="0014468F">
              <w:rPr>
                <w:rStyle w:val="TableHeadingChar"/>
                <w:b/>
                <w:lang w:val="en-US"/>
              </w:rPr>
              <w:t>1</w:t>
            </w:r>
            <w:r w:rsidRPr="00C41058">
              <w:t xml:space="preserve"> </w:t>
            </w:r>
            <w:r w:rsidRPr="00C41058">
              <w:rPr>
                <w:b w:val="0"/>
              </w:rPr>
              <w:t xml:space="preserve">– </w:t>
            </w:r>
            <w:r w:rsidRPr="00EF09AA">
              <w:t>Improved access to education</w:t>
            </w:r>
            <w:r>
              <w:t>,</w:t>
            </w:r>
            <w:r w:rsidRPr="00EF09AA">
              <w:t xml:space="preserve"> employment, health and other services for Aboriginal and Torres Strait Islander people travelling or relocating through the operation of temporary hostel accommodation services.</w:t>
            </w:r>
          </w:p>
        </w:tc>
      </w:tr>
      <w:tr w:rsidR="00B14306" w:rsidRPr="001B2F81" w14:paraId="6E58CD26" w14:textId="77777777" w:rsidTr="001F4D05">
        <w:trPr>
          <w:trHeight w:val="522"/>
          <w:tblHeader/>
        </w:trPr>
        <w:tc>
          <w:tcPr>
            <w:tcW w:w="7796" w:type="dxa"/>
            <w:gridSpan w:val="3"/>
            <w:shd w:val="clear" w:color="auto" w:fill="F2F2F2"/>
          </w:tcPr>
          <w:p w14:paraId="4D591A75" w14:textId="77777777" w:rsidR="00B14306" w:rsidRPr="001B2F81" w:rsidRDefault="00B14306" w:rsidP="001F4D05">
            <w:pPr>
              <w:pStyle w:val="TableTextLeft"/>
            </w:pPr>
            <w:r w:rsidRPr="00524DD5">
              <w:t>Program 1.1 -</w:t>
            </w:r>
            <w:r w:rsidRPr="00C41058">
              <w:rPr>
                <w:b/>
              </w:rPr>
              <w:t xml:space="preserve"> </w:t>
            </w:r>
            <w:r w:rsidRPr="00EF09AA">
              <w:rPr>
                <w:rFonts w:cs="Arial"/>
                <w:sz w:val="16"/>
                <w:szCs w:val="16"/>
              </w:rPr>
              <w:t>The objective of this program is to provide temporary accommodation for Indigenous Australians who must live away from home to access services and economic opportunities</w:t>
            </w:r>
            <w:r>
              <w:rPr>
                <w:rFonts w:cs="Arial"/>
                <w:sz w:val="16"/>
                <w:szCs w:val="16"/>
              </w:rPr>
              <w:t>.</w:t>
            </w:r>
          </w:p>
        </w:tc>
      </w:tr>
      <w:tr w:rsidR="00B14306" w:rsidRPr="001B2F81" w14:paraId="7FAC6DD1" w14:textId="77777777" w:rsidTr="001F4D05">
        <w:trPr>
          <w:trHeight w:val="694"/>
        </w:trPr>
        <w:tc>
          <w:tcPr>
            <w:tcW w:w="1560" w:type="dxa"/>
            <w:tcBorders>
              <w:bottom w:val="double" w:sz="4" w:space="0" w:color="auto"/>
            </w:tcBorders>
          </w:tcPr>
          <w:p w14:paraId="5FC3120E" w14:textId="77777777" w:rsidR="00B14306" w:rsidRPr="00160C23" w:rsidRDefault="00B14306" w:rsidP="001F4D05">
            <w:pPr>
              <w:tabs>
                <w:tab w:val="left" w:pos="709"/>
              </w:tabs>
              <w:spacing w:before="60"/>
              <w:rPr>
                <w:rFonts w:ascii="Arial" w:hAnsi="Arial" w:cs="Arial"/>
                <w:b/>
                <w:sz w:val="16"/>
                <w:szCs w:val="16"/>
              </w:rPr>
            </w:pPr>
            <w:r w:rsidRPr="00160C23">
              <w:rPr>
                <w:rFonts w:ascii="Arial" w:hAnsi="Arial" w:cs="Arial"/>
                <w:b/>
                <w:sz w:val="16"/>
                <w:szCs w:val="16"/>
              </w:rPr>
              <w:t>Key Activities</w:t>
            </w:r>
            <w:r>
              <w:rPr>
                <w:rFonts w:ascii="Arial" w:hAnsi="Arial" w:cs="Arial"/>
                <w:b/>
                <w:sz w:val="16"/>
                <w:szCs w:val="16"/>
              </w:rPr>
              <w:t xml:space="preserve"> (a)</w:t>
            </w:r>
          </w:p>
        </w:tc>
        <w:tc>
          <w:tcPr>
            <w:tcW w:w="6236" w:type="dxa"/>
            <w:gridSpan w:val="2"/>
            <w:tcBorders>
              <w:bottom w:val="double" w:sz="4" w:space="0" w:color="auto"/>
            </w:tcBorders>
          </w:tcPr>
          <w:p w14:paraId="5998889D" w14:textId="77777777" w:rsidR="00B14306" w:rsidRPr="00AC50AB" w:rsidRDefault="00B14306" w:rsidP="008A2254">
            <w:pPr>
              <w:pStyle w:val="ListParagraph"/>
              <w:numPr>
                <w:ilvl w:val="0"/>
                <w:numId w:val="49"/>
              </w:numPr>
              <w:tabs>
                <w:tab w:val="left" w:pos="709"/>
              </w:tabs>
              <w:spacing w:before="60" w:after="60" w:line="240" w:lineRule="auto"/>
              <w:rPr>
                <w:rFonts w:ascii="Arial" w:hAnsi="Arial" w:cs="Arial"/>
                <w:sz w:val="16"/>
                <w:szCs w:val="16"/>
              </w:rPr>
            </w:pPr>
            <w:r w:rsidRPr="00566A41">
              <w:rPr>
                <w:rFonts w:ascii="Arial" w:hAnsi="Arial" w:cs="Arial"/>
                <w:sz w:val="16"/>
                <w:szCs w:val="16"/>
                <w:lang w:val="en-AU"/>
              </w:rPr>
              <w:t>Delivering services that improve the quality of life and economic opportunity for Indigenous Australians through providing culturally appropriate and affordable temporary hostel accommodation for Indigenous Australians.</w:t>
            </w:r>
          </w:p>
          <w:p w14:paraId="4BBDCD98" w14:textId="77777777" w:rsidR="00B14306" w:rsidRPr="00566A41" w:rsidRDefault="00B14306" w:rsidP="008A2254">
            <w:pPr>
              <w:pStyle w:val="ListParagraph"/>
              <w:numPr>
                <w:ilvl w:val="0"/>
                <w:numId w:val="49"/>
              </w:numPr>
              <w:tabs>
                <w:tab w:val="left" w:pos="709"/>
              </w:tabs>
              <w:spacing w:before="60" w:after="60" w:line="240" w:lineRule="auto"/>
              <w:rPr>
                <w:rFonts w:ascii="Arial" w:hAnsi="Arial" w:cs="Arial"/>
                <w:sz w:val="16"/>
                <w:szCs w:val="16"/>
              </w:rPr>
            </w:pPr>
            <w:r w:rsidRPr="00566A41">
              <w:rPr>
                <w:rFonts w:ascii="Arial" w:hAnsi="Arial" w:cs="Arial"/>
                <w:sz w:val="16"/>
                <w:szCs w:val="16"/>
                <w:lang w:val="en-AU"/>
              </w:rPr>
              <w:t>Maximising partnerships and engagement with Indigenous organisations and local service providers.</w:t>
            </w:r>
          </w:p>
          <w:p w14:paraId="4B8522E6" w14:textId="77777777" w:rsidR="00B14306" w:rsidRPr="00AC50AB" w:rsidRDefault="00B14306" w:rsidP="008A2254">
            <w:pPr>
              <w:pStyle w:val="ListParagraph"/>
              <w:numPr>
                <w:ilvl w:val="0"/>
                <w:numId w:val="49"/>
              </w:numPr>
              <w:tabs>
                <w:tab w:val="left" w:pos="709"/>
              </w:tabs>
              <w:spacing w:before="60" w:after="60" w:line="240" w:lineRule="auto"/>
              <w:rPr>
                <w:rFonts w:ascii="Arial" w:hAnsi="Arial" w:cs="Arial"/>
                <w:sz w:val="16"/>
                <w:szCs w:val="16"/>
              </w:rPr>
            </w:pPr>
            <w:r w:rsidRPr="00566A41">
              <w:rPr>
                <w:rFonts w:ascii="Arial" w:hAnsi="Arial" w:cs="Arial"/>
                <w:sz w:val="16"/>
                <w:szCs w:val="16"/>
                <w:lang w:val="en-AU"/>
              </w:rPr>
              <w:t>Contributing to the priorities of the National Agreement on Closing the Gap</w:t>
            </w:r>
            <w:r>
              <w:rPr>
                <w:rFonts w:ascii="Arial" w:hAnsi="Arial" w:cs="Arial"/>
                <w:sz w:val="16"/>
                <w:szCs w:val="16"/>
                <w:lang w:val="en-AU"/>
              </w:rPr>
              <w:t>.</w:t>
            </w:r>
          </w:p>
          <w:p w14:paraId="4D98B3DC" w14:textId="77777777" w:rsidR="00B14306" w:rsidRDefault="00B14306" w:rsidP="008A2254">
            <w:pPr>
              <w:pStyle w:val="ListParagraph"/>
              <w:numPr>
                <w:ilvl w:val="0"/>
                <w:numId w:val="49"/>
              </w:numPr>
              <w:tabs>
                <w:tab w:val="left" w:pos="709"/>
              </w:tabs>
              <w:spacing w:before="60" w:after="60" w:line="240" w:lineRule="auto"/>
              <w:rPr>
                <w:rFonts w:ascii="Arial" w:hAnsi="Arial" w:cs="Arial"/>
                <w:sz w:val="16"/>
                <w:szCs w:val="16"/>
              </w:rPr>
            </w:pPr>
            <w:r w:rsidRPr="00AC50AB">
              <w:rPr>
                <w:rFonts w:ascii="Arial" w:hAnsi="Arial" w:cs="Arial"/>
                <w:sz w:val="16"/>
                <w:szCs w:val="16"/>
              </w:rPr>
              <w:t>Implementing an annual hostel maintenance program to provide safe, comfortable accommodation for residents.</w:t>
            </w:r>
          </w:p>
          <w:p w14:paraId="7638E4BF" w14:textId="77777777" w:rsidR="00B14306" w:rsidRPr="00C142E4" w:rsidRDefault="00B14306" w:rsidP="008A2254">
            <w:pPr>
              <w:pStyle w:val="ListParagraph"/>
              <w:numPr>
                <w:ilvl w:val="0"/>
                <w:numId w:val="49"/>
              </w:numPr>
              <w:tabs>
                <w:tab w:val="left" w:pos="709"/>
              </w:tabs>
              <w:spacing w:before="60" w:after="60" w:line="240" w:lineRule="auto"/>
              <w:rPr>
                <w:rFonts w:ascii="Arial" w:hAnsi="Arial" w:cs="Arial"/>
                <w:i/>
                <w:sz w:val="16"/>
                <w:szCs w:val="16"/>
              </w:rPr>
            </w:pPr>
            <w:r w:rsidRPr="00AC50AB">
              <w:rPr>
                <w:rFonts w:ascii="Arial" w:hAnsi="Arial" w:cs="Arial"/>
                <w:sz w:val="16"/>
                <w:szCs w:val="16"/>
              </w:rPr>
              <w:t>Implementing strategies to en</w:t>
            </w:r>
            <w:r w:rsidR="00524DD5">
              <w:rPr>
                <w:rFonts w:ascii="Arial" w:hAnsi="Arial" w:cs="Arial"/>
                <w:sz w:val="16"/>
                <w:szCs w:val="16"/>
              </w:rPr>
              <w:t>sure the c</w:t>
            </w:r>
            <w:r w:rsidRPr="00AC50AB">
              <w:rPr>
                <w:rFonts w:ascii="Arial" w:hAnsi="Arial" w:cs="Arial"/>
                <w:sz w:val="16"/>
                <w:szCs w:val="16"/>
              </w:rPr>
              <w:t>ompany’s financial sustainability</w:t>
            </w:r>
            <w:r>
              <w:rPr>
                <w:rFonts w:ascii="Arial" w:hAnsi="Arial" w:cs="Arial"/>
                <w:sz w:val="16"/>
                <w:szCs w:val="16"/>
              </w:rPr>
              <w:t>.</w:t>
            </w:r>
          </w:p>
        </w:tc>
      </w:tr>
      <w:tr w:rsidR="00B14306" w:rsidRPr="001B2F81" w14:paraId="66597AAF" w14:textId="77777777" w:rsidTr="001F4D05">
        <w:trPr>
          <w:trHeight w:val="258"/>
        </w:trPr>
        <w:tc>
          <w:tcPr>
            <w:tcW w:w="1560" w:type="dxa"/>
            <w:tcBorders>
              <w:top w:val="double" w:sz="4" w:space="0" w:color="auto"/>
              <w:bottom w:val="single" w:sz="4" w:space="0" w:color="auto"/>
              <w:right w:val="single" w:sz="4" w:space="0" w:color="auto"/>
            </w:tcBorders>
          </w:tcPr>
          <w:p w14:paraId="14FDE3A3" w14:textId="77777777" w:rsidR="00B14306" w:rsidRPr="00160C23" w:rsidRDefault="00B14306" w:rsidP="001F4D05">
            <w:pPr>
              <w:pStyle w:val="TableTextBase"/>
              <w:rPr>
                <w:b/>
                <w:sz w:val="16"/>
                <w:szCs w:val="16"/>
              </w:rPr>
            </w:pPr>
            <w:r w:rsidRPr="00160C23">
              <w:rPr>
                <w:b/>
                <w:sz w:val="16"/>
                <w:szCs w:val="16"/>
              </w:rPr>
              <w:t>Year</w:t>
            </w:r>
          </w:p>
          <w:p w14:paraId="6B12AFAA" w14:textId="77777777" w:rsidR="00B14306" w:rsidRPr="00160C23" w:rsidRDefault="00B14306" w:rsidP="001F4D05">
            <w:pPr>
              <w:pStyle w:val="TableTextBase"/>
              <w:rPr>
                <w:b/>
                <w:sz w:val="16"/>
                <w:szCs w:val="16"/>
              </w:rPr>
            </w:pPr>
          </w:p>
        </w:tc>
        <w:tc>
          <w:tcPr>
            <w:tcW w:w="3118" w:type="dxa"/>
            <w:tcBorders>
              <w:top w:val="double" w:sz="4" w:space="0" w:color="auto"/>
              <w:left w:val="single" w:sz="4" w:space="0" w:color="auto"/>
              <w:bottom w:val="single" w:sz="4" w:space="0" w:color="auto"/>
              <w:right w:val="single" w:sz="4" w:space="0" w:color="auto"/>
            </w:tcBorders>
          </w:tcPr>
          <w:p w14:paraId="46EA0997" w14:textId="77777777" w:rsidR="00B14306" w:rsidRPr="00160C23" w:rsidRDefault="00B14306" w:rsidP="001F4D05">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1B7EB103" w14:textId="77777777" w:rsidR="00B14306" w:rsidRPr="00160C23" w:rsidRDefault="00B14306" w:rsidP="001F4D05">
            <w:pPr>
              <w:pStyle w:val="TableTextBase"/>
              <w:rPr>
                <w:rFonts w:cs="Arial"/>
                <w:b/>
                <w:sz w:val="16"/>
                <w:szCs w:val="16"/>
              </w:rPr>
            </w:pPr>
            <w:r w:rsidRPr="00160C23">
              <w:rPr>
                <w:rFonts w:cs="Arial"/>
                <w:b/>
                <w:sz w:val="16"/>
                <w:szCs w:val="16"/>
              </w:rPr>
              <w:t>Expected Performance Results</w:t>
            </w:r>
          </w:p>
        </w:tc>
      </w:tr>
      <w:tr w:rsidR="00B14306" w:rsidRPr="001B2F81" w14:paraId="6FC33D3C" w14:textId="77777777" w:rsidTr="001F4D05">
        <w:trPr>
          <w:trHeight w:val="642"/>
        </w:trPr>
        <w:tc>
          <w:tcPr>
            <w:tcW w:w="1560" w:type="dxa"/>
            <w:tcBorders>
              <w:top w:val="single" w:sz="4" w:space="0" w:color="auto"/>
              <w:bottom w:val="dotted" w:sz="4" w:space="0" w:color="auto"/>
              <w:right w:val="single" w:sz="4" w:space="0" w:color="auto"/>
            </w:tcBorders>
          </w:tcPr>
          <w:p w14:paraId="11C46711" w14:textId="77777777" w:rsidR="00B14306" w:rsidRPr="00160C23" w:rsidRDefault="00B14306" w:rsidP="001F4D05">
            <w:pPr>
              <w:pStyle w:val="TableTextBase"/>
              <w:rPr>
                <w:sz w:val="16"/>
                <w:szCs w:val="16"/>
              </w:rPr>
            </w:pPr>
            <w:r w:rsidRPr="00160C23">
              <w:rPr>
                <w:sz w:val="16"/>
                <w:szCs w:val="16"/>
              </w:rPr>
              <w:t xml:space="preserve">Current year </w:t>
            </w:r>
          </w:p>
          <w:p w14:paraId="36B2A256" w14:textId="77777777" w:rsidR="00B14306" w:rsidRPr="00160C23" w:rsidRDefault="00B14306" w:rsidP="001F4D05">
            <w:pPr>
              <w:pStyle w:val="TableTextBase"/>
              <w:rPr>
                <w:sz w:val="16"/>
                <w:szCs w:val="16"/>
              </w:rPr>
            </w:pPr>
            <w:r w:rsidRPr="00160C23">
              <w:rPr>
                <w:sz w:val="16"/>
                <w:szCs w:val="16"/>
              </w:rPr>
              <w:t>2021-22</w:t>
            </w:r>
          </w:p>
        </w:tc>
        <w:tc>
          <w:tcPr>
            <w:tcW w:w="3118" w:type="dxa"/>
            <w:tcBorders>
              <w:top w:val="single" w:sz="4" w:space="0" w:color="auto"/>
              <w:left w:val="single" w:sz="4" w:space="0" w:color="auto"/>
              <w:bottom w:val="dotted" w:sz="4" w:space="0" w:color="auto"/>
              <w:right w:val="single" w:sz="4" w:space="0" w:color="auto"/>
            </w:tcBorders>
          </w:tcPr>
          <w:p w14:paraId="7E0A88B1" w14:textId="77777777" w:rsidR="00B14306" w:rsidRPr="003E2CE5" w:rsidRDefault="00B14306" w:rsidP="008A2254">
            <w:pPr>
              <w:pStyle w:val="TableTextBase"/>
              <w:numPr>
                <w:ilvl w:val="0"/>
                <w:numId w:val="54"/>
              </w:numPr>
              <w:rPr>
                <w:i/>
                <w:sz w:val="16"/>
                <w:szCs w:val="16"/>
              </w:rPr>
            </w:pPr>
            <w:r w:rsidRPr="00A350E4">
              <w:rPr>
                <w:rFonts w:cs="Arial"/>
                <w:sz w:val="16"/>
                <w:szCs w:val="16"/>
              </w:rPr>
              <w:t>Occupancy level as a percentage of resident bed nights available per annum.</w:t>
            </w:r>
          </w:p>
          <w:p w14:paraId="752AEB21" w14:textId="77777777" w:rsidR="00B14306" w:rsidRPr="003E2CE5" w:rsidRDefault="00B14306" w:rsidP="008A2254">
            <w:pPr>
              <w:pStyle w:val="TableTextBase"/>
              <w:numPr>
                <w:ilvl w:val="0"/>
                <w:numId w:val="54"/>
              </w:numPr>
              <w:rPr>
                <w:i/>
                <w:sz w:val="16"/>
                <w:szCs w:val="16"/>
              </w:rPr>
            </w:pPr>
            <w:r w:rsidRPr="003E2CE5">
              <w:rPr>
                <w:rFonts w:cs="Arial"/>
                <w:i/>
                <w:sz w:val="16"/>
                <w:szCs w:val="16"/>
              </w:rPr>
              <w:t>Percentage of residents providing a rating of ‘satisfied’ (or higher) with the quality of AHL’s accommodation services (b).</w:t>
            </w:r>
          </w:p>
          <w:p w14:paraId="0A8B4282" w14:textId="77777777" w:rsidR="00B14306" w:rsidRPr="003E2CE5" w:rsidRDefault="00B14306" w:rsidP="008A2254">
            <w:pPr>
              <w:pStyle w:val="TableTextBase"/>
              <w:numPr>
                <w:ilvl w:val="0"/>
                <w:numId w:val="54"/>
              </w:numPr>
              <w:rPr>
                <w:i/>
                <w:sz w:val="16"/>
                <w:szCs w:val="16"/>
              </w:rPr>
            </w:pPr>
            <w:r w:rsidRPr="003E2CE5">
              <w:rPr>
                <w:rFonts w:cs="Arial"/>
                <w:i/>
                <w:sz w:val="16"/>
                <w:szCs w:val="16"/>
              </w:rPr>
              <w:t>Partnerships and engagement with Indigenous organisations and local service providers</w:t>
            </w:r>
            <w:r>
              <w:rPr>
                <w:rFonts w:cs="Arial"/>
                <w:i/>
                <w:sz w:val="16"/>
                <w:szCs w:val="16"/>
              </w:rPr>
              <w:t xml:space="preserve"> (b)</w:t>
            </w:r>
            <w:r w:rsidRPr="003E2CE5">
              <w:rPr>
                <w:rFonts w:cs="Arial"/>
                <w:i/>
                <w:sz w:val="16"/>
                <w:szCs w:val="16"/>
              </w:rPr>
              <w:t>.</w:t>
            </w:r>
          </w:p>
          <w:p w14:paraId="1B832FE6" w14:textId="77777777" w:rsidR="00B14306" w:rsidRPr="003E2CE5" w:rsidRDefault="00B14306" w:rsidP="008A2254">
            <w:pPr>
              <w:pStyle w:val="TableTextBase"/>
              <w:numPr>
                <w:ilvl w:val="0"/>
                <w:numId w:val="54"/>
              </w:numPr>
              <w:rPr>
                <w:i/>
                <w:sz w:val="16"/>
                <w:szCs w:val="16"/>
              </w:rPr>
            </w:pPr>
            <w:r w:rsidRPr="003E2CE5">
              <w:rPr>
                <w:rFonts w:cs="Arial"/>
                <w:i/>
                <w:sz w:val="16"/>
                <w:szCs w:val="16"/>
              </w:rPr>
              <w:t>Maintain industry benchmark repair and maintenance investment in hostel asset portfolio (b).</w:t>
            </w:r>
          </w:p>
          <w:p w14:paraId="12D146A6" w14:textId="77777777" w:rsidR="00B14306" w:rsidRPr="003E2CE5" w:rsidRDefault="00B14306" w:rsidP="001F4D05">
            <w:pPr>
              <w:pStyle w:val="TableTextBase"/>
              <w:rPr>
                <w:i/>
                <w:sz w:val="16"/>
                <w:szCs w:val="16"/>
              </w:rPr>
            </w:pPr>
          </w:p>
          <w:p w14:paraId="01901BB6" w14:textId="77777777" w:rsidR="00B14306" w:rsidRPr="00524DD5" w:rsidRDefault="00B14306" w:rsidP="008A2254">
            <w:pPr>
              <w:pStyle w:val="TableTextBase"/>
              <w:numPr>
                <w:ilvl w:val="0"/>
                <w:numId w:val="54"/>
              </w:numPr>
              <w:rPr>
                <w:i/>
                <w:sz w:val="16"/>
                <w:szCs w:val="16"/>
              </w:rPr>
            </w:pPr>
            <w:r w:rsidRPr="003E2CE5">
              <w:rPr>
                <w:rFonts w:cs="Arial"/>
                <w:i/>
                <w:sz w:val="16"/>
                <w:szCs w:val="16"/>
              </w:rPr>
              <w:t xml:space="preserve">Company operating result </w:t>
            </w:r>
            <w:r w:rsidR="00524DD5">
              <w:rPr>
                <w:rFonts w:cs="Arial"/>
                <w:i/>
                <w:sz w:val="16"/>
                <w:szCs w:val="16"/>
              </w:rPr>
              <w:t>consistent with or better than g</w:t>
            </w:r>
            <w:r w:rsidRPr="003E2CE5">
              <w:rPr>
                <w:rFonts w:cs="Arial"/>
                <w:i/>
                <w:sz w:val="16"/>
                <w:szCs w:val="16"/>
              </w:rPr>
              <w:t>overnment approved budget (b).</w:t>
            </w:r>
          </w:p>
          <w:p w14:paraId="1083BA96" w14:textId="77777777" w:rsidR="00524DD5" w:rsidRDefault="00524DD5" w:rsidP="00524DD5">
            <w:pPr>
              <w:pStyle w:val="ListParagraph"/>
              <w:rPr>
                <w:i/>
                <w:sz w:val="16"/>
                <w:szCs w:val="16"/>
              </w:rPr>
            </w:pPr>
          </w:p>
          <w:p w14:paraId="2899B914" w14:textId="77777777" w:rsidR="00524DD5" w:rsidRDefault="00524DD5" w:rsidP="00524DD5">
            <w:pPr>
              <w:pStyle w:val="TableTextBase"/>
              <w:rPr>
                <w:i/>
                <w:sz w:val="16"/>
                <w:szCs w:val="16"/>
              </w:rPr>
            </w:pPr>
          </w:p>
          <w:p w14:paraId="2C5DF62B" w14:textId="77777777" w:rsidR="00524DD5" w:rsidRDefault="00524DD5" w:rsidP="00524DD5">
            <w:pPr>
              <w:pStyle w:val="TableTextBase"/>
              <w:rPr>
                <w:i/>
                <w:sz w:val="16"/>
                <w:szCs w:val="16"/>
              </w:rPr>
            </w:pPr>
          </w:p>
          <w:p w14:paraId="2BB98CCD" w14:textId="77777777" w:rsidR="00524DD5" w:rsidRDefault="00524DD5" w:rsidP="00524DD5">
            <w:pPr>
              <w:pStyle w:val="TableTextBase"/>
              <w:rPr>
                <w:i/>
                <w:sz w:val="16"/>
                <w:szCs w:val="16"/>
              </w:rPr>
            </w:pPr>
          </w:p>
          <w:p w14:paraId="085B6703" w14:textId="77777777" w:rsidR="00524DD5" w:rsidRPr="00656882" w:rsidRDefault="00524DD5" w:rsidP="00524DD5">
            <w:pPr>
              <w:pStyle w:val="TableTextBase"/>
              <w:rPr>
                <w:i/>
                <w:sz w:val="16"/>
                <w:szCs w:val="16"/>
              </w:rPr>
            </w:pPr>
          </w:p>
        </w:tc>
        <w:tc>
          <w:tcPr>
            <w:tcW w:w="3118" w:type="dxa"/>
            <w:tcBorders>
              <w:top w:val="single" w:sz="4" w:space="0" w:color="auto"/>
              <w:left w:val="single" w:sz="4" w:space="0" w:color="auto"/>
              <w:bottom w:val="dotted" w:sz="4" w:space="0" w:color="auto"/>
            </w:tcBorders>
          </w:tcPr>
          <w:p w14:paraId="358B8158" w14:textId="77777777" w:rsidR="00B14306" w:rsidRDefault="00B14306" w:rsidP="008A2254">
            <w:pPr>
              <w:pStyle w:val="TableTextBase"/>
              <w:numPr>
                <w:ilvl w:val="0"/>
                <w:numId w:val="55"/>
              </w:numPr>
              <w:rPr>
                <w:sz w:val="16"/>
                <w:szCs w:val="16"/>
              </w:rPr>
            </w:pPr>
            <w:r w:rsidRPr="00A350E4">
              <w:rPr>
                <w:sz w:val="16"/>
                <w:szCs w:val="16"/>
              </w:rPr>
              <w:t>70%</w:t>
            </w:r>
            <w:r>
              <w:rPr>
                <w:sz w:val="16"/>
                <w:szCs w:val="16"/>
              </w:rPr>
              <w:t xml:space="preserve"> occupancy</w:t>
            </w:r>
            <w:r>
              <w:rPr>
                <w:sz w:val="16"/>
                <w:szCs w:val="16"/>
              </w:rPr>
              <w:br/>
            </w:r>
            <w:r>
              <w:rPr>
                <w:sz w:val="16"/>
                <w:szCs w:val="16"/>
              </w:rPr>
              <w:br/>
            </w:r>
          </w:p>
          <w:p w14:paraId="43EDE559" w14:textId="77777777" w:rsidR="00B14306" w:rsidRPr="0074629A" w:rsidRDefault="00B14306" w:rsidP="008A2254">
            <w:pPr>
              <w:pStyle w:val="TableTextBase"/>
              <w:numPr>
                <w:ilvl w:val="0"/>
                <w:numId w:val="55"/>
              </w:numPr>
              <w:rPr>
                <w:i/>
                <w:sz w:val="16"/>
                <w:szCs w:val="16"/>
              </w:rPr>
            </w:pPr>
            <w:r w:rsidRPr="0074629A">
              <w:rPr>
                <w:i/>
                <w:sz w:val="16"/>
                <w:szCs w:val="16"/>
              </w:rPr>
              <w:t>Baseline to be established</w:t>
            </w:r>
          </w:p>
          <w:p w14:paraId="1884575C" w14:textId="77777777" w:rsidR="00B14306" w:rsidRPr="0074629A" w:rsidRDefault="00B14306" w:rsidP="001F4D05">
            <w:pPr>
              <w:pStyle w:val="TableTextBase"/>
              <w:rPr>
                <w:i/>
                <w:sz w:val="16"/>
                <w:szCs w:val="16"/>
              </w:rPr>
            </w:pPr>
          </w:p>
          <w:p w14:paraId="2818179A" w14:textId="77777777" w:rsidR="00B14306" w:rsidRPr="0074629A" w:rsidRDefault="00B14306" w:rsidP="001F4D05">
            <w:pPr>
              <w:pStyle w:val="TableTextBase"/>
              <w:rPr>
                <w:i/>
                <w:sz w:val="16"/>
                <w:szCs w:val="16"/>
              </w:rPr>
            </w:pPr>
          </w:p>
          <w:p w14:paraId="3F4E24BF" w14:textId="77777777" w:rsidR="00B14306" w:rsidRPr="0074629A" w:rsidRDefault="00B14306" w:rsidP="008A2254">
            <w:pPr>
              <w:pStyle w:val="TableTextBase"/>
              <w:numPr>
                <w:ilvl w:val="0"/>
                <w:numId w:val="55"/>
              </w:numPr>
              <w:rPr>
                <w:i/>
                <w:sz w:val="16"/>
                <w:szCs w:val="16"/>
              </w:rPr>
            </w:pPr>
            <w:r w:rsidRPr="0074629A">
              <w:rPr>
                <w:i/>
                <w:sz w:val="16"/>
                <w:szCs w:val="16"/>
              </w:rPr>
              <w:t>Baseline to be established.</w:t>
            </w:r>
          </w:p>
          <w:p w14:paraId="33E476E6" w14:textId="77777777" w:rsidR="00B14306" w:rsidRPr="0074629A" w:rsidRDefault="00B14306" w:rsidP="001F4D05">
            <w:pPr>
              <w:pStyle w:val="TableTextBase"/>
              <w:rPr>
                <w:i/>
                <w:sz w:val="16"/>
                <w:szCs w:val="16"/>
              </w:rPr>
            </w:pPr>
          </w:p>
          <w:p w14:paraId="5EB22248" w14:textId="77777777" w:rsidR="00B14306" w:rsidRPr="0074629A" w:rsidRDefault="00B14306" w:rsidP="001F4D05">
            <w:pPr>
              <w:pStyle w:val="TableTextBase"/>
              <w:rPr>
                <w:i/>
                <w:sz w:val="16"/>
                <w:szCs w:val="16"/>
              </w:rPr>
            </w:pPr>
          </w:p>
          <w:p w14:paraId="72D9FDFE" w14:textId="77777777" w:rsidR="00B14306" w:rsidRPr="0074629A" w:rsidRDefault="00B14306" w:rsidP="008A2254">
            <w:pPr>
              <w:pStyle w:val="TableTextBase"/>
              <w:numPr>
                <w:ilvl w:val="0"/>
                <w:numId w:val="55"/>
              </w:numPr>
              <w:rPr>
                <w:i/>
                <w:sz w:val="16"/>
                <w:szCs w:val="16"/>
              </w:rPr>
            </w:pPr>
            <w:r w:rsidRPr="0074629A">
              <w:rPr>
                <w:i/>
                <w:sz w:val="16"/>
                <w:szCs w:val="16"/>
              </w:rPr>
              <w:t>Repair and maintenance investment represents at least 1.8% of hostel property asset replacement value.</w:t>
            </w:r>
          </w:p>
          <w:p w14:paraId="2FF1F14F" w14:textId="77777777" w:rsidR="00B14306" w:rsidRPr="00656882" w:rsidRDefault="00B14306" w:rsidP="008A2254">
            <w:pPr>
              <w:pStyle w:val="TableTextBase"/>
              <w:numPr>
                <w:ilvl w:val="0"/>
                <w:numId w:val="55"/>
              </w:numPr>
              <w:rPr>
                <w:sz w:val="16"/>
                <w:szCs w:val="16"/>
              </w:rPr>
            </w:pPr>
            <w:r w:rsidRPr="0074629A">
              <w:rPr>
                <w:i/>
                <w:sz w:val="16"/>
                <w:szCs w:val="16"/>
              </w:rPr>
              <w:t>2021-22 estimated actual deficit.</w:t>
            </w:r>
          </w:p>
        </w:tc>
      </w:tr>
      <w:tr w:rsidR="00B14306" w:rsidRPr="001B2F81" w14:paraId="7918DA8A" w14:textId="77777777" w:rsidTr="001F4D05">
        <w:trPr>
          <w:trHeight w:val="100"/>
        </w:trPr>
        <w:tc>
          <w:tcPr>
            <w:tcW w:w="1560" w:type="dxa"/>
            <w:tcBorders>
              <w:top w:val="single" w:sz="4" w:space="0" w:color="auto"/>
              <w:bottom w:val="dotted" w:sz="4" w:space="0" w:color="auto"/>
              <w:right w:val="single" w:sz="4" w:space="0" w:color="auto"/>
            </w:tcBorders>
          </w:tcPr>
          <w:p w14:paraId="30112953" w14:textId="77777777" w:rsidR="00B14306" w:rsidRPr="00160C23" w:rsidRDefault="00B14306" w:rsidP="001F4D05">
            <w:pPr>
              <w:pStyle w:val="TableTextBase"/>
              <w:rPr>
                <w:b/>
                <w:sz w:val="16"/>
                <w:szCs w:val="16"/>
              </w:rPr>
            </w:pPr>
            <w:r w:rsidRPr="00160C23">
              <w:rPr>
                <w:b/>
                <w:sz w:val="16"/>
                <w:szCs w:val="16"/>
              </w:rPr>
              <w:t>Year</w:t>
            </w:r>
          </w:p>
          <w:p w14:paraId="1D6B18D1" w14:textId="77777777" w:rsidR="00B14306" w:rsidRPr="00160C23" w:rsidRDefault="00B14306" w:rsidP="001F4D05">
            <w:pPr>
              <w:pStyle w:val="TableTextBase"/>
              <w:rPr>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30A3BE3A" w14:textId="77777777" w:rsidR="00B14306" w:rsidRPr="00160C23" w:rsidRDefault="00B14306" w:rsidP="001F4D05">
            <w:pPr>
              <w:pStyle w:val="TableTextBase"/>
              <w:rPr>
                <w:b/>
                <w:sz w:val="16"/>
                <w:szCs w:val="16"/>
              </w:rPr>
            </w:pPr>
            <w:r w:rsidRPr="00160C23">
              <w:rPr>
                <w:b/>
                <w:sz w:val="16"/>
                <w:szCs w:val="16"/>
              </w:rPr>
              <w:t>Performance measures</w:t>
            </w:r>
          </w:p>
        </w:tc>
        <w:tc>
          <w:tcPr>
            <w:tcW w:w="3118" w:type="dxa"/>
            <w:tcBorders>
              <w:top w:val="single" w:sz="4" w:space="0" w:color="auto"/>
              <w:left w:val="single" w:sz="4" w:space="0" w:color="auto"/>
              <w:bottom w:val="dotted" w:sz="4" w:space="0" w:color="auto"/>
            </w:tcBorders>
          </w:tcPr>
          <w:p w14:paraId="14C588AC" w14:textId="77777777" w:rsidR="00B14306" w:rsidRPr="00160C23" w:rsidRDefault="00B14306" w:rsidP="001F4D05">
            <w:pPr>
              <w:pStyle w:val="TableTextBase"/>
              <w:rPr>
                <w:b/>
                <w:sz w:val="16"/>
                <w:szCs w:val="16"/>
              </w:rPr>
            </w:pPr>
            <w:r>
              <w:rPr>
                <w:b/>
                <w:sz w:val="16"/>
                <w:szCs w:val="16"/>
              </w:rPr>
              <w:t>Planned</w:t>
            </w:r>
            <w:r w:rsidRPr="00160C23">
              <w:rPr>
                <w:b/>
                <w:sz w:val="16"/>
                <w:szCs w:val="16"/>
              </w:rPr>
              <w:t xml:space="preserve"> Performance Results</w:t>
            </w:r>
          </w:p>
        </w:tc>
      </w:tr>
      <w:tr w:rsidR="00B14306" w:rsidRPr="001B2F81" w14:paraId="594E3C3E" w14:textId="77777777" w:rsidTr="001F4D05">
        <w:trPr>
          <w:trHeight w:val="100"/>
        </w:trPr>
        <w:tc>
          <w:tcPr>
            <w:tcW w:w="1560" w:type="dxa"/>
            <w:tcBorders>
              <w:top w:val="single" w:sz="4" w:space="0" w:color="auto"/>
              <w:bottom w:val="dotted" w:sz="4" w:space="0" w:color="auto"/>
              <w:right w:val="single" w:sz="4" w:space="0" w:color="auto"/>
            </w:tcBorders>
          </w:tcPr>
          <w:p w14:paraId="4984D8D8" w14:textId="77777777" w:rsidR="00B14306" w:rsidRPr="001B2F81" w:rsidRDefault="00B14306" w:rsidP="001F4D05">
            <w:pPr>
              <w:pStyle w:val="TableTextBase"/>
            </w:pPr>
            <w:r w:rsidRPr="00401539">
              <w:rPr>
                <w:sz w:val="16"/>
                <w:szCs w:val="16"/>
              </w:rPr>
              <w:t>Budget Year     2022-23</w:t>
            </w:r>
          </w:p>
        </w:tc>
        <w:tc>
          <w:tcPr>
            <w:tcW w:w="3118" w:type="dxa"/>
            <w:tcBorders>
              <w:top w:val="single" w:sz="4" w:space="0" w:color="auto"/>
              <w:left w:val="single" w:sz="4" w:space="0" w:color="auto"/>
              <w:bottom w:val="dotted" w:sz="4" w:space="0" w:color="auto"/>
              <w:right w:val="single" w:sz="4" w:space="0" w:color="auto"/>
            </w:tcBorders>
          </w:tcPr>
          <w:p w14:paraId="087FA1ED" w14:textId="77777777" w:rsidR="00B14306" w:rsidRPr="0074629A" w:rsidRDefault="00B14306" w:rsidP="008A2254">
            <w:pPr>
              <w:pStyle w:val="TableTextBase"/>
              <w:numPr>
                <w:ilvl w:val="0"/>
                <w:numId w:val="50"/>
              </w:numPr>
              <w:rPr>
                <w:i/>
              </w:rPr>
            </w:pPr>
            <w:r w:rsidRPr="00A350E4">
              <w:rPr>
                <w:rFonts w:cs="Arial"/>
                <w:sz w:val="16"/>
                <w:szCs w:val="16"/>
              </w:rPr>
              <w:t>Occupancy level as a percentage of resident bed nights available per annum.</w:t>
            </w:r>
          </w:p>
          <w:p w14:paraId="2373B134" w14:textId="77777777" w:rsidR="00B14306" w:rsidRPr="0074629A" w:rsidRDefault="00B14306" w:rsidP="008A2254">
            <w:pPr>
              <w:pStyle w:val="TableTextBase"/>
              <w:numPr>
                <w:ilvl w:val="0"/>
                <w:numId w:val="50"/>
              </w:numPr>
              <w:rPr>
                <w:sz w:val="16"/>
                <w:szCs w:val="16"/>
              </w:rPr>
            </w:pPr>
            <w:r w:rsidRPr="0074629A">
              <w:rPr>
                <w:rFonts w:cs="Arial"/>
                <w:sz w:val="16"/>
                <w:szCs w:val="16"/>
              </w:rPr>
              <w:t>Percentage of residents providing a rating of ‘satisfied’ (or higher) with</w:t>
            </w:r>
            <w:r w:rsidRPr="003E2CE5">
              <w:rPr>
                <w:rFonts w:cs="Arial"/>
                <w:i/>
                <w:sz w:val="16"/>
                <w:szCs w:val="16"/>
              </w:rPr>
              <w:t xml:space="preserve"> </w:t>
            </w:r>
            <w:r w:rsidRPr="0074629A">
              <w:rPr>
                <w:rFonts w:cs="Arial"/>
                <w:sz w:val="16"/>
                <w:szCs w:val="16"/>
              </w:rPr>
              <w:t>the quality of AHL’s accommodation services.</w:t>
            </w:r>
          </w:p>
          <w:p w14:paraId="2861E2E5" w14:textId="77777777" w:rsidR="00B14306" w:rsidRPr="0074629A" w:rsidRDefault="00B14306" w:rsidP="008A2254">
            <w:pPr>
              <w:pStyle w:val="TableTextBase"/>
              <w:numPr>
                <w:ilvl w:val="0"/>
                <w:numId w:val="50"/>
              </w:numPr>
              <w:rPr>
                <w:sz w:val="16"/>
                <w:szCs w:val="16"/>
              </w:rPr>
            </w:pPr>
            <w:r w:rsidRPr="0074629A">
              <w:rPr>
                <w:rFonts w:cs="Arial"/>
                <w:sz w:val="16"/>
                <w:szCs w:val="16"/>
              </w:rPr>
              <w:t>Partnerships and engagement with Indigenous organisations and local service providers.</w:t>
            </w:r>
          </w:p>
          <w:p w14:paraId="4E4A3E36" w14:textId="77777777" w:rsidR="00B14306" w:rsidRPr="0074629A" w:rsidRDefault="00B14306" w:rsidP="008A2254">
            <w:pPr>
              <w:pStyle w:val="TableTextBase"/>
              <w:numPr>
                <w:ilvl w:val="0"/>
                <w:numId w:val="50"/>
              </w:numPr>
              <w:rPr>
                <w:sz w:val="16"/>
                <w:szCs w:val="16"/>
              </w:rPr>
            </w:pPr>
            <w:r w:rsidRPr="0074629A">
              <w:rPr>
                <w:rFonts w:cs="Arial"/>
                <w:sz w:val="16"/>
                <w:szCs w:val="16"/>
              </w:rPr>
              <w:t>Maintain industry benchmark repair and maintenance investment in hostel asset portfolio.</w:t>
            </w:r>
          </w:p>
          <w:p w14:paraId="1141815A" w14:textId="77777777" w:rsidR="00B14306" w:rsidRPr="0074629A" w:rsidRDefault="00B14306" w:rsidP="001F4D05">
            <w:pPr>
              <w:pStyle w:val="TableTextBase"/>
              <w:rPr>
                <w:sz w:val="16"/>
                <w:szCs w:val="16"/>
              </w:rPr>
            </w:pPr>
          </w:p>
          <w:p w14:paraId="190C041C" w14:textId="77777777" w:rsidR="00B14306" w:rsidRPr="0074629A" w:rsidRDefault="00B14306" w:rsidP="008A2254">
            <w:pPr>
              <w:pStyle w:val="TableTextBase"/>
              <w:numPr>
                <w:ilvl w:val="0"/>
                <w:numId w:val="50"/>
              </w:numPr>
              <w:rPr>
                <w:i/>
              </w:rPr>
            </w:pPr>
            <w:r w:rsidRPr="0074629A">
              <w:rPr>
                <w:rFonts w:cs="Arial"/>
                <w:sz w:val="16"/>
                <w:szCs w:val="16"/>
              </w:rPr>
              <w:t xml:space="preserve">Company operating result </w:t>
            </w:r>
            <w:r w:rsidR="00524DD5">
              <w:rPr>
                <w:rFonts w:cs="Arial"/>
                <w:sz w:val="16"/>
                <w:szCs w:val="16"/>
              </w:rPr>
              <w:t>consistent with or better than g</w:t>
            </w:r>
            <w:r w:rsidRPr="0074629A">
              <w:rPr>
                <w:rFonts w:cs="Arial"/>
                <w:sz w:val="16"/>
                <w:szCs w:val="16"/>
              </w:rPr>
              <w:t>overnment approved budget.</w:t>
            </w:r>
          </w:p>
          <w:p w14:paraId="7D06524D" w14:textId="77777777" w:rsidR="00B14306" w:rsidRPr="00C142E4" w:rsidRDefault="00B14306" w:rsidP="008A2254">
            <w:pPr>
              <w:pStyle w:val="TableTextBase"/>
              <w:numPr>
                <w:ilvl w:val="0"/>
                <w:numId w:val="50"/>
              </w:numPr>
            </w:pPr>
            <w:r w:rsidRPr="00A350E4">
              <w:rPr>
                <w:rFonts w:cs="Arial"/>
                <w:i/>
                <w:sz w:val="16"/>
                <w:szCs w:val="16"/>
              </w:rPr>
              <w:t>AHL’s contribution to applicable outcomes and targets in the National Agreement on Closing the Gap (</w:t>
            </w:r>
            <w:r>
              <w:rPr>
                <w:rFonts w:cs="Arial"/>
                <w:i/>
                <w:sz w:val="16"/>
                <w:szCs w:val="16"/>
              </w:rPr>
              <w:t>c</w:t>
            </w:r>
            <w:r w:rsidRPr="00A350E4">
              <w:rPr>
                <w:rFonts w:cs="Arial"/>
                <w:i/>
                <w:sz w:val="16"/>
                <w:szCs w:val="16"/>
              </w:rPr>
              <w:t>).</w:t>
            </w:r>
          </w:p>
        </w:tc>
        <w:tc>
          <w:tcPr>
            <w:tcW w:w="3118" w:type="dxa"/>
            <w:tcBorders>
              <w:top w:val="single" w:sz="4" w:space="0" w:color="auto"/>
              <w:left w:val="single" w:sz="4" w:space="0" w:color="auto"/>
              <w:bottom w:val="dotted" w:sz="4" w:space="0" w:color="auto"/>
            </w:tcBorders>
          </w:tcPr>
          <w:p w14:paraId="769053A6" w14:textId="77777777" w:rsidR="00B14306" w:rsidRDefault="00B14306" w:rsidP="008A2254">
            <w:pPr>
              <w:pStyle w:val="TableTextBase"/>
              <w:numPr>
                <w:ilvl w:val="0"/>
                <w:numId w:val="51"/>
              </w:numPr>
            </w:pPr>
            <w:r w:rsidRPr="0011633F">
              <w:rPr>
                <w:sz w:val="16"/>
                <w:szCs w:val="16"/>
              </w:rPr>
              <w:t>70%</w:t>
            </w:r>
            <w:r>
              <w:rPr>
                <w:sz w:val="16"/>
                <w:szCs w:val="16"/>
              </w:rPr>
              <w:br/>
            </w:r>
            <w:r w:rsidRPr="0011633F">
              <w:rPr>
                <w:sz w:val="16"/>
                <w:szCs w:val="16"/>
              </w:rPr>
              <w:br/>
            </w:r>
          </w:p>
          <w:p w14:paraId="19E5F4ED" w14:textId="77777777" w:rsidR="00B14306" w:rsidRPr="0011633F" w:rsidRDefault="00B14306" w:rsidP="008A2254">
            <w:pPr>
              <w:pStyle w:val="TableTextBase"/>
              <w:numPr>
                <w:ilvl w:val="0"/>
                <w:numId w:val="51"/>
              </w:numPr>
            </w:pPr>
            <w:r w:rsidRPr="0011633F">
              <w:rPr>
                <w:sz w:val="16"/>
                <w:szCs w:val="16"/>
              </w:rPr>
              <w:t>Maintained or increased compared to previous year.</w:t>
            </w:r>
          </w:p>
          <w:p w14:paraId="25F1F80C" w14:textId="77777777" w:rsidR="00B14306" w:rsidRDefault="00B14306" w:rsidP="001F4D05">
            <w:pPr>
              <w:pStyle w:val="TableTextBase"/>
              <w:ind w:left="360"/>
            </w:pPr>
            <w:r>
              <w:rPr>
                <w:sz w:val="16"/>
                <w:szCs w:val="16"/>
              </w:rPr>
              <w:br/>
            </w:r>
          </w:p>
          <w:p w14:paraId="4EC5B6EE" w14:textId="77777777" w:rsidR="00B14306" w:rsidRDefault="00B14306" w:rsidP="008A2254">
            <w:pPr>
              <w:pStyle w:val="TableTextBase"/>
              <w:numPr>
                <w:ilvl w:val="0"/>
                <w:numId w:val="51"/>
              </w:numPr>
              <w:rPr>
                <w:sz w:val="16"/>
                <w:szCs w:val="16"/>
              </w:rPr>
            </w:pPr>
            <w:r w:rsidRPr="00A350E4">
              <w:rPr>
                <w:sz w:val="16"/>
                <w:szCs w:val="16"/>
              </w:rPr>
              <w:t>Maintained or increased compared to previous year.</w:t>
            </w:r>
            <w:r>
              <w:rPr>
                <w:sz w:val="16"/>
                <w:szCs w:val="16"/>
              </w:rPr>
              <w:br/>
            </w:r>
          </w:p>
          <w:p w14:paraId="1207A8BF" w14:textId="77777777" w:rsidR="00B14306" w:rsidRDefault="00B14306" w:rsidP="008A2254">
            <w:pPr>
              <w:pStyle w:val="TableTextBase"/>
              <w:numPr>
                <w:ilvl w:val="0"/>
                <w:numId w:val="51"/>
              </w:numPr>
              <w:rPr>
                <w:sz w:val="16"/>
                <w:szCs w:val="16"/>
              </w:rPr>
            </w:pPr>
            <w:r w:rsidRPr="00A350E4">
              <w:rPr>
                <w:sz w:val="16"/>
                <w:szCs w:val="16"/>
              </w:rPr>
              <w:t>Repair and maintenance investment represents at least 2% of hostel property asset replacement value.</w:t>
            </w:r>
          </w:p>
          <w:p w14:paraId="4AE16A86" w14:textId="77777777" w:rsidR="00B14306" w:rsidRDefault="00B14306" w:rsidP="008A2254">
            <w:pPr>
              <w:pStyle w:val="TableTextBase"/>
              <w:numPr>
                <w:ilvl w:val="0"/>
                <w:numId w:val="51"/>
              </w:numPr>
              <w:rPr>
                <w:sz w:val="16"/>
                <w:szCs w:val="16"/>
              </w:rPr>
            </w:pPr>
            <w:r w:rsidRPr="00A350E4">
              <w:rPr>
                <w:sz w:val="16"/>
                <w:szCs w:val="16"/>
              </w:rPr>
              <w:t>2022-23 budgeted deficit.</w:t>
            </w:r>
          </w:p>
          <w:p w14:paraId="44C066EE" w14:textId="77777777" w:rsidR="00B14306" w:rsidRDefault="00B14306" w:rsidP="001F4D05">
            <w:pPr>
              <w:pStyle w:val="TableTextBase"/>
              <w:rPr>
                <w:sz w:val="16"/>
                <w:szCs w:val="16"/>
              </w:rPr>
            </w:pPr>
            <w:r>
              <w:rPr>
                <w:sz w:val="16"/>
                <w:szCs w:val="16"/>
              </w:rPr>
              <w:br/>
            </w:r>
          </w:p>
          <w:p w14:paraId="2439808B" w14:textId="77777777" w:rsidR="00B14306" w:rsidRPr="00A71B49" w:rsidRDefault="00B14306" w:rsidP="008A2254">
            <w:pPr>
              <w:pStyle w:val="TableTextBase"/>
              <w:numPr>
                <w:ilvl w:val="0"/>
                <w:numId w:val="51"/>
              </w:numPr>
              <w:rPr>
                <w:i/>
                <w:sz w:val="16"/>
                <w:szCs w:val="16"/>
              </w:rPr>
            </w:pPr>
            <w:r w:rsidRPr="00A71B49">
              <w:rPr>
                <w:i/>
                <w:sz w:val="16"/>
                <w:szCs w:val="16"/>
              </w:rPr>
              <w:t>Baseline to be established.</w:t>
            </w:r>
          </w:p>
          <w:p w14:paraId="4D05244B" w14:textId="77777777" w:rsidR="00B14306" w:rsidRPr="00490590" w:rsidRDefault="00B14306" w:rsidP="001F4D05">
            <w:pPr>
              <w:pStyle w:val="TableTextBase"/>
              <w:rPr>
                <w:sz w:val="16"/>
                <w:szCs w:val="16"/>
              </w:rPr>
            </w:pPr>
          </w:p>
        </w:tc>
      </w:tr>
      <w:tr w:rsidR="00B14306" w:rsidRPr="001B2F81" w14:paraId="19D045E3" w14:textId="77777777" w:rsidTr="001F4D05">
        <w:trPr>
          <w:trHeight w:val="491"/>
        </w:trPr>
        <w:tc>
          <w:tcPr>
            <w:tcW w:w="1560" w:type="dxa"/>
            <w:tcBorders>
              <w:top w:val="dotted" w:sz="4" w:space="0" w:color="auto"/>
              <w:bottom w:val="dotted" w:sz="4" w:space="0" w:color="auto"/>
              <w:right w:val="single" w:sz="4" w:space="0" w:color="auto"/>
            </w:tcBorders>
          </w:tcPr>
          <w:p w14:paraId="2969FF0D" w14:textId="77777777" w:rsidR="00B14306" w:rsidRPr="00524DD5" w:rsidRDefault="00B14306" w:rsidP="001F4D05">
            <w:pPr>
              <w:pStyle w:val="TableTextBase"/>
              <w:rPr>
                <w:sz w:val="16"/>
              </w:rPr>
            </w:pPr>
            <w:r w:rsidRPr="00524DD5">
              <w:rPr>
                <w:sz w:val="16"/>
              </w:rPr>
              <w:t xml:space="preserve">Forward Estimates </w:t>
            </w:r>
          </w:p>
          <w:p w14:paraId="626A581B" w14:textId="77777777" w:rsidR="00B14306" w:rsidRPr="001B2F81" w:rsidRDefault="00B14306" w:rsidP="001F4D05">
            <w:pPr>
              <w:pStyle w:val="TableTextBase"/>
              <w:rPr>
                <w:b/>
              </w:rPr>
            </w:pPr>
            <w:r w:rsidRPr="00524DD5">
              <w:rPr>
                <w:sz w:val="16"/>
              </w:rPr>
              <w:t>2023-26</w:t>
            </w:r>
          </w:p>
        </w:tc>
        <w:tc>
          <w:tcPr>
            <w:tcW w:w="3118" w:type="dxa"/>
            <w:tcBorders>
              <w:top w:val="dotted" w:sz="4" w:space="0" w:color="auto"/>
              <w:left w:val="single" w:sz="4" w:space="0" w:color="auto"/>
              <w:bottom w:val="dotted" w:sz="4" w:space="0" w:color="auto"/>
              <w:right w:val="single" w:sz="4" w:space="0" w:color="auto"/>
            </w:tcBorders>
          </w:tcPr>
          <w:p w14:paraId="24C30177" w14:textId="77777777" w:rsidR="00B14306" w:rsidRPr="0074629A" w:rsidRDefault="00B14306" w:rsidP="008A2254">
            <w:pPr>
              <w:pStyle w:val="TableTextBase"/>
              <w:numPr>
                <w:ilvl w:val="0"/>
                <w:numId w:val="52"/>
              </w:numPr>
              <w:rPr>
                <w:i/>
              </w:rPr>
            </w:pPr>
            <w:r w:rsidRPr="00A350E4">
              <w:rPr>
                <w:rFonts w:cs="Arial"/>
                <w:sz w:val="16"/>
                <w:szCs w:val="16"/>
              </w:rPr>
              <w:t>Occupancy level as a percentage of resident bed nights available per annum.</w:t>
            </w:r>
          </w:p>
          <w:p w14:paraId="681BFD28" w14:textId="77777777" w:rsidR="00B14306" w:rsidRPr="0074629A" w:rsidRDefault="00B14306" w:rsidP="008A2254">
            <w:pPr>
              <w:pStyle w:val="TableTextBase"/>
              <w:numPr>
                <w:ilvl w:val="0"/>
                <w:numId w:val="52"/>
              </w:numPr>
              <w:rPr>
                <w:sz w:val="16"/>
                <w:szCs w:val="16"/>
              </w:rPr>
            </w:pPr>
            <w:r w:rsidRPr="0074629A">
              <w:rPr>
                <w:rFonts w:cs="Arial"/>
                <w:sz w:val="16"/>
                <w:szCs w:val="16"/>
              </w:rPr>
              <w:t>Percentage of residents providing a rating of ‘satisfied’ (or higher) with</w:t>
            </w:r>
            <w:r w:rsidRPr="003E2CE5">
              <w:rPr>
                <w:rFonts w:cs="Arial"/>
                <w:i/>
                <w:sz w:val="16"/>
                <w:szCs w:val="16"/>
              </w:rPr>
              <w:t xml:space="preserve"> </w:t>
            </w:r>
            <w:r w:rsidRPr="0074629A">
              <w:rPr>
                <w:rFonts w:cs="Arial"/>
                <w:sz w:val="16"/>
                <w:szCs w:val="16"/>
              </w:rPr>
              <w:t>the quality of AHL’s accommodation services.</w:t>
            </w:r>
          </w:p>
          <w:p w14:paraId="14CBD9F3" w14:textId="77777777" w:rsidR="00B14306" w:rsidRPr="0074629A" w:rsidRDefault="00B14306" w:rsidP="008A2254">
            <w:pPr>
              <w:pStyle w:val="TableTextBase"/>
              <w:numPr>
                <w:ilvl w:val="0"/>
                <w:numId w:val="52"/>
              </w:numPr>
              <w:rPr>
                <w:sz w:val="16"/>
                <w:szCs w:val="16"/>
              </w:rPr>
            </w:pPr>
            <w:r w:rsidRPr="0074629A">
              <w:rPr>
                <w:rFonts w:cs="Arial"/>
                <w:sz w:val="16"/>
                <w:szCs w:val="16"/>
              </w:rPr>
              <w:t>Partnerships and engagement with Indigenous organisations and local service providers.</w:t>
            </w:r>
          </w:p>
          <w:p w14:paraId="6B7500C3" w14:textId="77777777" w:rsidR="00B14306" w:rsidRPr="0074629A" w:rsidRDefault="00B14306" w:rsidP="008A2254">
            <w:pPr>
              <w:pStyle w:val="TableTextBase"/>
              <w:numPr>
                <w:ilvl w:val="0"/>
                <w:numId w:val="52"/>
              </w:numPr>
              <w:rPr>
                <w:sz w:val="16"/>
                <w:szCs w:val="16"/>
              </w:rPr>
            </w:pPr>
            <w:r w:rsidRPr="0074629A">
              <w:rPr>
                <w:rFonts w:cs="Arial"/>
                <w:sz w:val="16"/>
                <w:szCs w:val="16"/>
              </w:rPr>
              <w:t>Maintain industry benchmark repair and maintenance investment in hostel asset portfolio.</w:t>
            </w:r>
          </w:p>
          <w:p w14:paraId="02AB2F9B" w14:textId="77777777" w:rsidR="00B14306" w:rsidRPr="0011633F" w:rsidRDefault="00B14306" w:rsidP="008A2254">
            <w:pPr>
              <w:pStyle w:val="TableTextBase"/>
              <w:numPr>
                <w:ilvl w:val="0"/>
                <w:numId w:val="52"/>
              </w:numPr>
              <w:rPr>
                <w:b/>
              </w:rPr>
            </w:pPr>
            <w:r w:rsidRPr="0074629A">
              <w:rPr>
                <w:rFonts w:cs="Arial"/>
                <w:sz w:val="16"/>
                <w:szCs w:val="16"/>
              </w:rPr>
              <w:t xml:space="preserve">Company operating result </w:t>
            </w:r>
            <w:r w:rsidR="00524DD5">
              <w:rPr>
                <w:rFonts w:cs="Arial"/>
                <w:sz w:val="16"/>
                <w:szCs w:val="16"/>
              </w:rPr>
              <w:t>consistent with or better than g</w:t>
            </w:r>
            <w:r w:rsidRPr="0074629A">
              <w:rPr>
                <w:rFonts w:cs="Arial"/>
                <w:sz w:val="16"/>
                <w:szCs w:val="16"/>
              </w:rPr>
              <w:t>overnment approved budget.</w:t>
            </w:r>
          </w:p>
          <w:p w14:paraId="7C4DFD09" w14:textId="77777777" w:rsidR="00B14306" w:rsidRPr="00D149B3" w:rsidRDefault="00B14306" w:rsidP="008A2254">
            <w:pPr>
              <w:pStyle w:val="TableTextBase"/>
              <w:numPr>
                <w:ilvl w:val="0"/>
                <w:numId w:val="52"/>
              </w:numPr>
              <w:rPr>
                <w:b/>
              </w:rPr>
            </w:pPr>
            <w:r w:rsidRPr="0011633F">
              <w:rPr>
                <w:rFonts w:cs="Arial"/>
                <w:sz w:val="16"/>
                <w:szCs w:val="16"/>
              </w:rPr>
              <w:t>AHL’s contribution to applicable outcomes and targets in the National Agreement on Closing the Gap.</w:t>
            </w:r>
          </w:p>
        </w:tc>
        <w:tc>
          <w:tcPr>
            <w:tcW w:w="3118" w:type="dxa"/>
            <w:tcBorders>
              <w:top w:val="dotted" w:sz="4" w:space="0" w:color="auto"/>
              <w:left w:val="single" w:sz="4" w:space="0" w:color="auto"/>
              <w:bottom w:val="dotted" w:sz="4" w:space="0" w:color="auto"/>
            </w:tcBorders>
          </w:tcPr>
          <w:p w14:paraId="56F13729" w14:textId="77777777" w:rsidR="00B14306" w:rsidRDefault="00B14306" w:rsidP="008A2254">
            <w:pPr>
              <w:pStyle w:val="TableTextBase"/>
              <w:numPr>
                <w:ilvl w:val="0"/>
                <w:numId w:val="53"/>
              </w:numPr>
            </w:pPr>
            <w:r w:rsidRPr="00A350E4">
              <w:rPr>
                <w:sz w:val="16"/>
                <w:szCs w:val="16"/>
              </w:rPr>
              <w:t>As per 2022-23.</w:t>
            </w:r>
            <w:r>
              <w:rPr>
                <w:sz w:val="16"/>
                <w:szCs w:val="16"/>
              </w:rPr>
              <w:br/>
            </w:r>
            <w:r w:rsidRPr="0011633F">
              <w:rPr>
                <w:sz w:val="16"/>
                <w:szCs w:val="16"/>
              </w:rPr>
              <w:br/>
            </w:r>
          </w:p>
          <w:p w14:paraId="7EDDF83B" w14:textId="77777777" w:rsidR="00B14306" w:rsidRPr="0011633F" w:rsidRDefault="00B14306" w:rsidP="008A2254">
            <w:pPr>
              <w:pStyle w:val="TableTextBase"/>
              <w:numPr>
                <w:ilvl w:val="0"/>
                <w:numId w:val="53"/>
              </w:numPr>
            </w:pPr>
            <w:r w:rsidRPr="00A350E4">
              <w:rPr>
                <w:sz w:val="16"/>
                <w:szCs w:val="16"/>
              </w:rPr>
              <w:t>As per 2022-23.</w:t>
            </w:r>
          </w:p>
          <w:p w14:paraId="2488F58F" w14:textId="77777777" w:rsidR="00B14306" w:rsidRDefault="00B14306" w:rsidP="001F4D05">
            <w:pPr>
              <w:pStyle w:val="TableTextBase"/>
            </w:pPr>
          </w:p>
          <w:p w14:paraId="354127D2" w14:textId="77777777" w:rsidR="00B14306" w:rsidRDefault="00B14306" w:rsidP="001F4D05">
            <w:pPr>
              <w:pStyle w:val="TableTextBase"/>
            </w:pPr>
          </w:p>
          <w:p w14:paraId="1FA177F6" w14:textId="77777777" w:rsidR="00B14306" w:rsidRPr="0011633F" w:rsidRDefault="00B14306" w:rsidP="008A2254">
            <w:pPr>
              <w:pStyle w:val="TableTextBase"/>
              <w:numPr>
                <w:ilvl w:val="0"/>
                <w:numId w:val="53"/>
              </w:numPr>
            </w:pPr>
            <w:r w:rsidRPr="00A350E4">
              <w:rPr>
                <w:sz w:val="16"/>
                <w:szCs w:val="16"/>
              </w:rPr>
              <w:t>As per 2022-23.</w:t>
            </w:r>
            <w:r>
              <w:rPr>
                <w:sz w:val="16"/>
                <w:szCs w:val="16"/>
              </w:rPr>
              <w:br/>
            </w:r>
            <w:r>
              <w:br/>
            </w:r>
          </w:p>
          <w:p w14:paraId="1083D596" w14:textId="77777777" w:rsidR="00B14306" w:rsidRPr="00A71B49" w:rsidRDefault="00B14306" w:rsidP="008A2254">
            <w:pPr>
              <w:pStyle w:val="TableTextBase"/>
              <w:numPr>
                <w:ilvl w:val="0"/>
                <w:numId w:val="53"/>
              </w:numPr>
              <w:spacing w:after="80"/>
              <w:rPr>
                <w:b/>
              </w:rPr>
            </w:pPr>
            <w:r w:rsidRPr="00A71B49">
              <w:rPr>
                <w:sz w:val="16"/>
                <w:szCs w:val="16"/>
              </w:rPr>
              <w:t>As per 2022-23.</w:t>
            </w:r>
          </w:p>
          <w:p w14:paraId="2CA59E54" w14:textId="77777777" w:rsidR="00B14306" w:rsidRPr="00A71B49" w:rsidRDefault="00B14306" w:rsidP="001F4D05">
            <w:pPr>
              <w:pStyle w:val="TableTextBase"/>
              <w:spacing w:after="80"/>
              <w:rPr>
                <w:b/>
              </w:rPr>
            </w:pPr>
          </w:p>
          <w:p w14:paraId="68B7D740" w14:textId="77777777" w:rsidR="00B14306" w:rsidRPr="00A71B49" w:rsidRDefault="00B14306" w:rsidP="008A2254">
            <w:pPr>
              <w:pStyle w:val="TableTextBase"/>
              <w:numPr>
                <w:ilvl w:val="0"/>
                <w:numId w:val="53"/>
              </w:numPr>
              <w:spacing w:after="80"/>
              <w:rPr>
                <w:b/>
              </w:rPr>
            </w:pPr>
            <w:r w:rsidRPr="00A71B49">
              <w:rPr>
                <w:sz w:val="16"/>
                <w:szCs w:val="16"/>
              </w:rPr>
              <w:t>As per forward estimates.</w:t>
            </w:r>
          </w:p>
          <w:p w14:paraId="6FC9B12D" w14:textId="77777777" w:rsidR="00B14306" w:rsidRPr="00A71B49" w:rsidRDefault="00B14306" w:rsidP="001F4D05">
            <w:pPr>
              <w:pStyle w:val="TableTextBase"/>
              <w:spacing w:after="80"/>
              <w:ind w:left="357"/>
              <w:rPr>
                <w:b/>
              </w:rPr>
            </w:pPr>
          </w:p>
          <w:p w14:paraId="279F0003" w14:textId="77777777" w:rsidR="00B14306" w:rsidRPr="00D149B3" w:rsidRDefault="00B14306" w:rsidP="008A2254">
            <w:pPr>
              <w:pStyle w:val="TableTextBase"/>
              <w:numPr>
                <w:ilvl w:val="0"/>
                <w:numId w:val="53"/>
              </w:numPr>
            </w:pPr>
            <w:r w:rsidRPr="00A350E4">
              <w:rPr>
                <w:sz w:val="16"/>
                <w:szCs w:val="16"/>
              </w:rPr>
              <w:t>Maintained or increased compared to previous year.</w:t>
            </w:r>
          </w:p>
        </w:tc>
      </w:tr>
    </w:tbl>
    <w:bookmarkEnd w:id="183"/>
    <w:p w14:paraId="6615E44A" w14:textId="77777777" w:rsidR="00B14306" w:rsidRPr="005361A9" w:rsidRDefault="00B14306" w:rsidP="00392A48">
      <w:pPr>
        <w:pStyle w:val="ChartandTableFootnoteAlpha"/>
        <w:numPr>
          <w:ilvl w:val="0"/>
          <w:numId w:val="90"/>
        </w:numPr>
        <w:rPr>
          <w:rFonts w:cs="Arial"/>
          <w:szCs w:val="16"/>
        </w:rPr>
      </w:pPr>
      <w:r w:rsidRPr="005361A9">
        <w:rPr>
          <w:rFonts w:cs="Arial"/>
          <w:szCs w:val="16"/>
        </w:rPr>
        <w:t xml:space="preserve">Refers to updated key activities that will be reflected in the </w:t>
      </w:r>
      <w:r w:rsidRPr="005361A9">
        <w:rPr>
          <w:rFonts w:cs="Arial"/>
          <w:i/>
          <w:szCs w:val="16"/>
        </w:rPr>
        <w:t>2022-23 Corporate Plan</w:t>
      </w:r>
      <w:r w:rsidRPr="005361A9">
        <w:rPr>
          <w:rFonts w:cs="Arial"/>
          <w:szCs w:val="16"/>
        </w:rPr>
        <w:t>.</w:t>
      </w:r>
    </w:p>
    <w:p w14:paraId="70E3C804" w14:textId="77777777" w:rsidR="005361A9" w:rsidRPr="005361A9" w:rsidRDefault="005361A9" w:rsidP="005361A9">
      <w:pPr>
        <w:pStyle w:val="ListParagraph"/>
        <w:numPr>
          <w:ilvl w:val="0"/>
          <w:numId w:val="90"/>
        </w:numPr>
        <w:autoSpaceDE w:val="0"/>
        <w:autoSpaceDN w:val="0"/>
        <w:adjustRightInd w:val="0"/>
        <w:spacing w:after="0" w:line="240" w:lineRule="auto"/>
        <w:rPr>
          <w:rFonts w:ascii="Arial" w:hAnsi="Arial" w:cs="Arial"/>
          <w:sz w:val="16"/>
          <w:szCs w:val="16"/>
        </w:rPr>
      </w:pPr>
      <w:r w:rsidRPr="005361A9">
        <w:rPr>
          <w:rFonts w:ascii="Arial" w:hAnsi="Arial" w:cs="Arial"/>
          <w:sz w:val="16"/>
          <w:szCs w:val="16"/>
        </w:rPr>
        <w:t>New performance measures set in the 2021-22 Corporate Plan.</w:t>
      </w:r>
    </w:p>
    <w:p w14:paraId="6D7D3930" w14:textId="77777777" w:rsidR="005361A9" w:rsidRPr="005361A9" w:rsidRDefault="005361A9" w:rsidP="005361A9">
      <w:pPr>
        <w:pStyle w:val="ListParagraph"/>
        <w:numPr>
          <w:ilvl w:val="0"/>
          <w:numId w:val="90"/>
        </w:numPr>
        <w:rPr>
          <w:rFonts w:ascii="Arial" w:hAnsi="Arial" w:cs="Arial"/>
          <w:sz w:val="16"/>
          <w:szCs w:val="16"/>
        </w:rPr>
      </w:pPr>
      <w:r w:rsidRPr="005361A9">
        <w:rPr>
          <w:rFonts w:ascii="Arial" w:hAnsi="Arial" w:cs="Arial"/>
          <w:sz w:val="16"/>
          <w:szCs w:val="16"/>
        </w:rPr>
        <w:t>New performance measure established in the 2022-23 Budget.</w:t>
      </w:r>
    </w:p>
    <w:p w14:paraId="7807CA77" w14:textId="77777777" w:rsidR="00B14306" w:rsidRPr="00AD42E2" w:rsidRDefault="00B14306" w:rsidP="00B14306">
      <w:pPr>
        <w:pStyle w:val="Heading2"/>
      </w:pPr>
      <w:r w:rsidRPr="005B6A94">
        <w:br w:type="page"/>
      </w:r>
      <w:bookmarkStart w:id="184" w:name="_Toc98766361"/>
      <w:bookmarkStart w:id="185" w:name="_Toc98856107"/>
      <w:bookmarkStart w:id="186" w:name="_Toc98932859"/>
      <w:bookmarkStart w:id="187" w:name="_Toc99008116"/>
      <w:bookmarkStart w:id="188" w:name="_Toc99009478"/>
      <w:bookmarkStart w:id="189" w:name="_Toc99010706"/>
      <w:bookmarkStart w:id="190" w:name="_Toc99013941"/>
      <w:bookmarkStart w:id="191" w:name="_Toc99187518"/>
      <w:bookmarkStart w:id="192" w:name="_Toc99269627"/>
      <w:r w:rsidRPr="00AD42E2">
        <w:lastRenderedPageBreak/>
        <w:t>Section 3: Budgeted financial statements</w:t>
      </w:r>
      <w:bookmarkEnd w:id="184"/>
      <w:bookmarkEnd w:id="185"/>
      <w:bookmarkEnd w:id="186"/>
      <w:bookmarkEnd w:id="187"/>
      <w:bookmarkEnd w:id="188"/>
      <w:bookmarkEnd w:id="189"/>
      <w:bookmarkEnd w:id="190"/>
      <w:bookmarkEnd w:id="191"/>
      <w:bookmarkEnd w:id="192"/>
    </w:p>
    <w:p w14:paraId="5DEF23F3" w14:textId="77777777" w:rsidR="00B14306" w:rsidRDefault="00B14306" w:rsidP="00B14306">
      <w:r>
        <w:t>Section 3 presents budgeted financial statements which provide a comprehensive snapshot of entity finances for the 2022-23</w:t>
      </w:r>
      <w:r>
        <w:rPr>
          <w:color w:val="00B050"/>
        </w:rPr>
        <w:t xml:space="preserve"> </w:t>
      </w:r>
      <w:r w:rsidR="004C12AF">
        <w:t>Budget year</w:t>
      </w:r>
      <w:r>
        <w:t>, including the impact of budget measures and resourcing on financial statements.</w:t>
      </w:r>
    </w:p>
    <w:p w14:paraId="3A4310B2" w14:textId="77777777" w:rsidR="00B14306" w:rsidRPr="005328A9" w:rsidRDefault="00B14306" w:rsidP="00B14306">
      <w:pPr>
        <w:pStyle w:val="Heading3"/>
      </w:pPr>
      <w:bookmarkStart w:id="193" w:name="_Toc98766362"/>
      <w:bookmarkStart w:id="194" w:name="_Toc98856108"/>
      <w:bookmarkStart w:id="195" w:name="_Toc98932860"/>
      <w:bookmarkStart w:id="196" w:name="_Toc99008117"/>
      <w:bookmarkStart w:id="197" w:name="_Toc99009479"/>
      <w:bookmarkStart w:id="198" w:name="_Toc99010707"/>
      <w:bookmarkStart w:id="199" w:name="_Toc99013942"/>
      <w:bookmarkStart w:id="200" w:name="_Toc99187519"/>
      <w:bookmarkStart w:id="201" w:name="_Toc99269628"/>
      <w:r w:rsidRPr="005328A9">
        <w:t>3.1</w:t>
      </w:r>
      <w:r w:rsidRPr="005328A9">
        <w:tab/>
        <w:t>Budgeted financial statements</w:t>
      </w:r>
      <w:bookmarkEnd w:id="193"/>
      <w:bookmarkEnd w:id="194"/>
      <w:bookmarkEnd w:id="195"/>
      <w:bookmarkEnd w:id="196"/>
      <w:bookmarkEnd w:id="197"/>
      <w:bookmarkEnd w:id="198"/>
      <w:bookmarkEnd w:id="199"/>
      <w:bookmarkEnd w:id="200"/>
      <w:bookmarkEnd w:id="201"/>
    </w:p>
    <w:p w14:paraId="39E45A53" w14:textId="77777777" w:rsidR="00B14306" w:rsidRDefault="00B14306" w:rsidP="00B14306">
      <w:pPr>
        <w:pStyle w:val="Heading4"/>
      </w:pPr>
      <w:r>
        <w:t>3.1.1</w:t>
      </w:r>
      <w:r>
        <w:tab/>
        <w:t>Explanatory notes and analysis of budgeted financial statements</w:t>
      </w:r>
    </w:p>
    <w:p w14:paraId="0869FDF1" w14:textId="77777777" w:rsidR="00B14306" w:rsidRPr="004E586A" w:rsidRDefault="00B14306" w:rsidP="00B14306">
      <w:pPr>
        <w:pStyle w:val="ExampleText0"/>
        <w:spacing w:after="160"/>
        <w:rPr>
          <w:b/>
          <w:i w:val="0"/>
          <w:color w:val="auto"/>
        </w:rPr>
      </w:pPr>
      <w:r w:rsidRPr="004E586A">
        <w:rPr>
          <w:b/>
          <w:i w:val="0"/>
          <w:color w:val="auto"/>
        </w:rPr>
        <w:t>Budgeted Departmental Comprehensive Income Statement</w:t>
      </w:r>
    </w:p>
    <w:p w14:paraId="653FCD95" w14:textId="77777777" w:rsidR="00B14306" w:rsidRPr="0007004F" w:rsidRDefault="00B14306" w:rsidP="00B14306">
      <w:pPr>
        <w:pStyle w:val="ExampleText0"/>
        <w:spacing w:after="160"/>
        <w:rPr>
          <w:i w:val="0"/>
          <w:color w:val="auto"/>
        </w:rPr>
      </w:pPr>
      <w:r w:rsidRPr="0007004F">
        <w:rPr>
          <w:i w:val="0"/>
          <w:color w:val="auto"/>
        </w:rPr>
        <w:t xml:space="preserve">The deficits </w:t>
      </w:r>
      <w:r w:rsidR="0014468F">
        <w:rPr>
          <w:i w:val="0"/>
          <w:color w:val="auto"/>
        </w:rPr>
        <w:t>in</w:t>
      </w:r>
      <w:r w:rsidRPr="0007004F">
        <w:rPr>
          <w:i w:val="0"/>
          <w:color w:val="auto"/>
        </w:rPr>
        <w:t xml:space="preserve"> 2021-22 and the forward estimates relates to increases in depreciation expenses resulting from the 2017-18 building revaluation and the application of </w:t>
      </w:r>
      <w:r w:rsidR="00524DD5">
        <w:rPr>
          <w:i w:val="0"/>
          <w:color w:val="auto"/>
        </w:rPr>
        <w:t>AASB </w:t>
      </w:r>
      <w:r w:rsidRPr="00524DD5">
        <w:rPr>
          <w:i w:val="0"/>
          <w:color w:val="auto"/>
        </w:rPr>
        <w:t>16 Leases</w:t>
      </w:r>
      <w:r w:rsidRPr="0007004F">
        <w:rPr>
          <w:i w:val="0"/>
          <w:color w:val="auto"/>
        </w:rPr>
        <w:t>.</w:t>
      </w:r>
    </w:p>
    <w:p w14:paraId="5BBEAE76" w14:textId="77777777" w:rsidR="00B14306" w:rsidRPr="004E586A" w:rsidRDefault="00B14306" w:rsidP="00B14306">
      <w:pPr>
        <w:pStyle w:val="ExampleText0"/>
        <w:spacing w:after="160"/>
        <w:rPr>
          <w:b/>
          <w:i w:val="0"/>
          <w:color w:val="auto"/>
        </w:rPr>
      </w:pPr>
      <w:r w:rsidRPr="004E586A">
        <w:rPr>
          <w:b/>
          <w:i w:val="0"/>
          <w:color w:val="auto"/>
        </w:rPr>
        <w:t>Budgeted Departmental Balance Sheet</w:t>
      </w:r>
    </w:p>
    <w:p w14:paraId="3D37BCD5" w14:textId="77777777" w:rsidR="00B14306" w:rsidRPr="0007004F" w:rsidRDefault="00B14306" w:rsidP="00B14306">
      <w:pPr>
        <w:pStyle w:val="ExampleText0"/>
        <w:spacing w:after="160"/>
        <w:rPr>
          <w:i w:val="0"/>
          <w:color w:val="auto"/>
        </w:rPr>
      </w:pPr>
      <w:r w:rsidRPr="0007004F">
        <w:rPr>
          <w:i w:val="0"/>
          <w:color w:val="auto"/>
        </w:rPr>
        <w:t>The increase in land and buildings in 2023-24 and the forward year is due to forecast investment in new hostels and</w:t>
      </w:r>
      <w:r>
        <w:rPr>
          <w:i w:val="0"/>
          <w:color w:val="auto"/>
        </w:rPr>
        <w:t>/or</w:t>
      </w:r>
      <w:r w:rsidRPr="0007004F">
        <w:rPr>
          <w:i w:val="0"/>
          <w:color w:val="auto"/>
        </w:rPr>
        <w:t xml:space="preserve"> redevelopment of existing hostels.</w:t>
      </w:r>
    </w:p>
    <w:p w14:paraId="1E541AA9" w14:textId="77777777" w:rsidR="00B14306" w:rsidRPr="0007004F" w:rsidRDefault="00B14306" w:rsidP="00B14306">
      <w:pPr>
        <w:pStyle w:val="ExampleText0"/>
        <w:spacing w:after="160"/>
        <w:rPr>
          <w:i w:val="0"/>
          <w:color w:val="auto"/>
        </w:rPr>
      </w:pPr>
      <w:r w:rsidRPr="0007004F">
        <w:rPr>
          <w:i w:val="0"/>
          <w:color w:val="auto"/>
        </w:rPr>
        <w:t>The increase in employee provisions in 2022-23 and the forward years is mainly due to the accumulation of AHL employees’ long service leave provision.</w:t>
      </w:r>
    </w:p>
    <w:p w14:paraId="1B8F92B9" w14:textId="77777777" w:rsidR="00B14306" w:rsidRDefault="00B14306" w:rsidP="00B14306">
      <w:pPr>
        <w:jc w:val="left"/>
      </w:pPr>
      <w:r>
        <w:br w:type="page"/>
      </w:r>
      <w:r w:rsidRPr="00D232B7">
        <w:rPr>
          <w:rStyle w:val="TableHeadingChar"/>
        </w:rPr>
        <w:lastRenderedPageBreak/>
        <w:t>3.2.</w:t>
      </w:r>
      <w:r w:rsidRPr="00D232B7">
        <w:rPr>
          <w:rStyle w:val="TableHeadingChar"/>
        </w:rPr>
        <w:tab/>
        <w:t>Budgeted financial statements tables</w:t>
      </w:r>
    </w:p>
    <w:p w14:paraId="6DFC8810" w14:textId="77777777" w:rsidR="00B14306" w:rsidRDefault="00B14306" w:rsidP="00B14306">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0BFCCB3F" w14:textId="77777777" w:rsidR="00B14306" w:rsidRDefault="00B14306" w:rsidP="00B14306">
      <w:pPr>
        <w:pStyle w:val="TableGraphic"/>
      </w:pPr>
      <w:r w:rsidRPr="00D52088">
        <w:rPr>
          <w:noProof/>
        </w:rPr>
        <w:t xml:space="preserve"> </w:t>
      </w:r>
      <w:r w:rsidR="00331E64" w:rsidRPr="00331E64">
        <w:rPr>
          <w:noProof/>
        </w:rPr>
        <w:drawing>
          <wp:inline distT="0" distB="0" distL="0" distR="0" wp14:anchorId="757CC329" wp14:editId="4E57E458">
            <wp:extent cx="4895850" cy="567893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95850" cy="5678939"/>
                    </a:xfrm>
                    <a:prstGeom prst="rect">
                      <a:avLst/>
                    </a:prstGeom>
                    <a:noFill/>
                    <a:ln>
                      <a:noFill/>
                    </a:ln>
                  </pic:spPr>
                </pic:pic>
              </a:graphicData>
            </a:graphic>
          </wp:inline>
        </w:drawing>
      </w:r>
    </w:p>
    <w:p w14:paraId="7C0DE60E" w14:textId="77777777" w:rsidR="00B14306" w:rsidRPr="00331E64" w:rsidRDefault="00B14306" w:rsidP="00524DD5">
      <w:pPr>
        <w:pStyle w:val="TableHeadingcontinued"/>
        <w:rPr>
          <w:rFonts w:ascii="Arial" w:hAnsi="Arial" w:cs="Arial"/>
          <w:b w:val="0"/>
          <w:sz w:val="16"/>
        </w:rPr>
      </w:pPr>
      <w:r w:rsidRPr="00331E64">
        <w:rPr>
          <w:rFonts w:ascii="Arial" w:hAnsi="Arial" w:cs="Arial"/>
          <w:b w:val="0"/>
          <w:sz w:val="16"/>
        </w:rPr>
        <w:t>Prepared on Australian Accounting Standards basis.</w:t>
      </w:r>
    </w:p>
    <w:p w14:paraId="3C3FB3CD" w14:textId="77777777" w:rsidR="00B14306" w:rsidRPr="00331E64" w:rsidRDefault="00A75066" w:rsidP="00392A48">
      <w:pPr>
        <w:pStyle w:val="ChartandTableFootnoteAlpha"/>
        <w:numPr>
          <w:ilvl w:val="0"/>
          <w:numId w:val="91"/>
        </w:numPr>
      </w:pPr>
      <w:r w:rsidRPr="00331E64">
        <w:t>Applies to leases</w:t>
      </w:r>
      <w:r w:rsidR="00B14306" w:rsidRPr="00331E64">
        <w:t xml:space="preserve"> under AASB 16 Leases.</w:t>
      </w:r>
    </w:p>
    <w:p w14:paraId="72E19E1B" w14:textId="77777777" w:rsidR="00B14306" w:rsidRDefault="00B14306" w:rsidP="00B14306">
      <w:pPr>
        <w:pStyle w:val="TableHeading"/>
      </w:pPr>
      <w:r w:rsidRPr="00524DD5">
        <w:br w:type="page"/>
      </w:r>
      <w:r w:rsidRPr="00E4582E">
        <w:lastRenderedPageBreak/>
        <w:t>Table</w:t>
      </w:r>
      <w:r>
        <w:t xml:space="preserve"> 3.</w:t>
      </w:r>
      <w:r w:rsidRPr="00E4582E">
        <w:t>2: Budg</w:t>
      </w:r>
      <w:r>
        <w:t xml:space="preserve">eted departmental balance sheet </w:t>
      </w:r>
      <w:r w:rsidRPr="00E4582E">
        <w:t>(as at 30 June)</w:t>
      </w:r>
    </w:p>
    <w:p w14:paraId="547B5B75" w14:textId="77777777" w:rsidR="00B14306" w:rsidRPr="00F626C2" w:rsidRDefault="003F5660" w:rsidP="00B14306">
      <w:pPr>
        <w:pStyle w:val="TableGraphic"/>
      </w:pPr>
      <w:r w:rsidRPr="003F5660">
        <w:rPr>
          <w:noProof/>
        </w:rPr>
        <w:drawing>
          <wp:inline distT="0" distB="0" distL="0" distR="0" wp14:anchorId="1CDFE5E7" wp14:editId="548391E7">
            <wp:extent cx="4895850" cy="4817521"/>
            <wp:effectExtent l="0" t="0" r="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5850" cy="4817521"/>
                    </a:xfrm>
                    <a:prstGeom prst="rect">
                      <a:avLst/>
                    </a:prstGeom>
                    <a:noFill/>
                    <a:ln>
                      <a:noFill/>
                    </a:ln>
                  </pic:spPr>
                </pic:pic>
              </a:graphicData>
            </a:graphic>
          </wp:inline>
        </w:drawing>
      </w:r>
    </w:p>
    <w:p w14:paraId="1B7075D7" w14:textId="77777777" w:rsidR="00B14306" w:rsidRPr="00132F9E" w:rsidRDefault="00B14306" w:rsidP="00B14306">
      <w:pPr>
        <w:pStyle w:val="Source"/>
        <w:rPr>
          <w:rFonts w:cs="Arial"/>
        </w:rPr>
      </w:pPr>
      <w:r w:rsidRPr="00132F9E">
        <w:rPr>
          <w:rFonts w:cs="Arial"/>
        </w:rPr>
        <w:t>Prepared on Australian Accounting Standards basis.</w:t>
      </w:r>
    </w:p>
    <w:p w14:paraId="446586E2" w14:textId="77777777" w:rsidR="00B14306" w:rsidRPr="006A3116" w:rsidRDefault="00B14306" w:rsidP="00B14306">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05F45469" w14:textId="77777777" w:rsidR="00B14306" w:rsidRDefault="00B14306" w:rsidP="00B14306">
      <w:pPr>
        <w:pStyle w:val="TableHeading"/>
        <w:rPr>
          <w:rFonts w:ascii="Times New Roman" w:hAnsi="Times New Roman"/>
        </w:rPr>
      </w:pPr>
      <w:r>
        <w:br w:type="page"/>
      </w:r>
      <w:r w:rsidRPr="00AD42E2">
        <w:lastRenderedPageBreak/>
        <w:t>Table 3.3: Departmental statement of changes in equity — summary of</w:t>
      </w:r>
      <w:r>
        <w:t xml:space="preserve"> movement (Budget year </w:t>
      </w:r>
      <w:r>
        <w:rPr>
          <w:lang w:val="en-AU"/>
        </w:rPr>
        <w:t>2022-23</w:t>
      </w:r>
      <w:r w:rsidRPr="00D30CBA">
        <w:t>)</w:t>
      </w:r>
    </w:p>
    <w:p w14:paraId="0956FE7D" w14:textId="77777777" w:rsidR="00F46738" w:rsidRDefault="00B14306" w:rsidP="00B14306">
      <w:pPr>
        <w:pStyle w:val="TableGraphic"/>
      </w:pPr>
      <w:r w:rsidRPr="002376AD">
        <w:t xml:space="preserve"> </w:t>
      </w:r>
      <w:r w:rsidR="00524DD5" w:rsidRPr="00524DD5">
        <w:rPr>
          <w:noProof/>
        </w:rPr>
        <w:drawing>
          <wp:inline distT="0" distB="0" distL="0" distR="0" wp14:anchorId="56813397" wp14:editId="35A51E8B">
            <wp:extent cx="4895850" cy="204698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95850" cy="2046982"/>
                    </a:xfrm>
                    <a:prstGeom prst="rect">
                      <a:avLst/>
                    </a:prstGeom>
                    <a:noFill/>
                    <a:ln>
                      <a:noFill/>
                    </a:ln>
                  </pic:spPr>
                </pic:pic>
              </a:graphicData>
            </a:graphic>
          </wp:inline>
        </w:drawing>
      </w:r>
    </w:p>
    <w:p w14:paraId="696DB9AE" w14:textId="77777777" w:rsidR="00B14306" w:rsidRPr="00132F9E" w:rsidRDefault="00B14306" w:rsidP="00B14306">
      <w:pPr>
        <w:pStyle w:val="TableGraphic"/>
        <w:rPr>
          <w:rFonts w:ascii="Arial" w:hAnsi="Arial" w:cs="Arial"/>
          <w:sz w:val="16"/>
          <w:szCs w:val="16"/>
        </w:rPr>
      </w:pPr>
      <w:r w:rsidRPr="00D606C2">
        <w:rPr>
          <w:rFonts w:ascii="Arial" w:hAnsi="Arial" w:cs="Arial"/>
          <w:sz w:val="16"/>
        </w:rPr>
        <w:t>Prepared on Australian Accounting Standards basis</w:t>
      </w:r>
    </w:p>
    <w:p w14:paraId="317931DC" w14:textId="77777777" w:rsidR="00B14306" w:rsidRPr="00A00283" w:rsidRDefault="00B14306" w:rsidP="00B14306">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117AA31C" w14:textId="77777777" w:rsidR="00B14306" w:rsidRDefault="003F5660" w:rsidP="00B14306">
      <w:pPr>
        <w:pStyle w:val="TableGraphic"/>
        <w:tabs>
          <w:tab w:val="left" w:pos="6237"/>
        </w:tabs>
      </w:pPr>
      <w:r w:rsidRPr="003F5660">
        <w:rPr>
          <w:noProof/>
        </w:rPr>
        <w:drawing>
          <wp:inline distT="0" distB="0" distL="0" distR="0" wp14:anchorId="1A91898C" wp14:editId="5C568B89">
            <wp:extent cx="4895850" cy="531771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95850" cy="5317715"/>
                    </a:xfrm>
                    <a:prstGeom prst="rect">
                      <a:avLst/>
                    </a:prstGeom>
                    <a:noFill/>
                    <a:ln>
                      <a:noFill/>
                    </a:ln>
                  </pic:spPr>
                </pic:pic>
              </a:graphicData>
            </a:graphic>
          </wp:inline>
        </w:drawing>
      </w:r>
    </w:p>
    <w:p w14:paraId="28D02903" w14:textId="77777777" w:rsidR="00B14306" w:rsidRPr="00132F9E" w:rsidRDefault="00B14306" w:rsidP="00B14306">
      <w:pPr>
        <w:pStyle w:val="TableGraphic"/>
        <w:rPr>
          <w:rFonts w:ascii="Arial" w:hAnsi="Arial" w:cs="Arial"/>
          <w:sz w:val="16"/>
          <w:szCs w:val="16"/>
        </w:rPr>
      </w:pPr>
      <w:r w:rsidRPr="00132F9E">
        <w:rPr>
          <w:rFonts w:ascii="Arial" w:hAnsi="Arial" w:cs="Arial"/>
          <w:sz w:val="16"/>
          <w:szCs w:val="16"/>
        </w:rPr>
        <w:t>Prepared on Australian Accounting Standards basis.</w:t>
      </w:r>
    </w:p>
    <w:p w14:paraId="54C228A3" w14:textId="77777777" w:rsidR="00B14306" w:rsidRPr="00A00283" w:rsidRDefault="00B14306" w:rsidP="00B14306">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379DD92C" w14:textId="77777777" w:rsidR="00B14306" w:rsidRDefault="00B7084F" w:rsidP="00B14306">
      <w:pPr>
        <w:pStyle w:val="TableGraphic"/>
      </w:pPr>
      <w:r w:rsidRPr="00B7084F">
        <w:rPr>
          <w:noProof/>
        </w:rPr>
        <w:drawing>
          <wp:inline distT="0" distB="0" distL="0" distR="0" wp14:anchorId="7F33F223" wp14:editId="06DD3416">
            <wp:extent cx="4895850" cy="1837717"/>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5850" cy="1837717"/>
                    </a:xfrm>
                    <a:prstGeom prst="rect">
                      <a:avLst/>
                    </a:prstGeom>
                    <a:noFill/>
                    <a:ln>
                      <a:noFill/>
                    </a:ln>
                  </pic:spPr>
                </pic:pic>
              </a:graphicData>
            </a:graphic>
          </wp:inline>
        </w:drawing>
      </w:r>
    </w:p>
    <w:p w14:paraId="3DA12C4D" w14:textId="77777777" w:rsidR="00B14306" w:rsidRPr="00132F9E" w:rsidRDefault="00B14306" w:rsidP="00B14306">
      <w:pPr>
        <w:pStyle w:val="TableGraphic"/>
        <w:rPr>
          <w:rFonts w:ascii="Arial" w:hAnsi="Arial" w:cs="Arial"/>
          <w:sz w:val="16"/>
          <w:szCs w:val="16"/>
        </w:rPr>
      </w:pPr>
      <w:r w:rsidRPr="00132F9E">
        <w:rPr>
          <w:rFonts w:ascii="Arial" w:hAnsi="Arial" w:cs="Arial"/>
          <w:sz w:val="16"/>
          <w:szCs w:val="16"/>
        </w:rPr>
        <w:t>Prepared on Australian Accounting Standards basis.</w:t>
      </w:r>
    </w:p>
    <w:p w14:paraId="6B2D4C1A" w14:textId="77777777" w:rsidR="00B14306" w:rsidRDefault="00B14306" w:rsidP="00392A48">
      <w:pPr>
        <w:pStyle w:val="ChartandTableFootnoteAlpha"/>
        <w:numPr>
          <w:ilvl w:val="0"/>
          <w:numId w:val="92"/>
        </w:numPr>
        <w:spacing w:after="20"/>
      </w:pPr>
      <w:r>
        <w:t>Includes the following sources of funding</w:t>
      </w:r>
    </w:p>
    <w:p w14:paraId="43CD823F" w14:textId="77777777" w:rsidR="00B14306" w:rsidRDefault="00B14306" w:rsidP="00B14306">
      <w:pPr>
        <w:pStyle w:val="ChartandTableFootnote-Dash"/>
      </w:pPr>
      <w:r>
        <w:t>- current Bill 1 and p</w:t>
      </w:r>
      <w:r w:rsidR="00C26820">
        <w:t>ri</w:t>
      </w:r>
      <w:r>
        <w:t>or year Act 1/3/5 appropriations (excluding amounts from the DCB)</w:t>
      </w:r>
    </w:p>
    <w:p w14:paraId="3E0A8E04" w14:textId="77777777" w:rsidR="00B14306" w:rsidRDefault="00B14306" w:rsidP="00B14306">
      <w:pPr>
        <w:pStyle w:val="ChartandTableFootnote-Dash"/>
      </w:pPr>
      <w:r>
        <w:t>- donations and contributions</w:t>
      </w:r>
    </w:p>
    <w:p w14:paraId="35F71535" w14:textId="77777777" w:rsidR="00B14306" w:rsidRDefault="00B14306" w:rsidP="00B14306">
      <w:pPr>
        <w:pStyle w:val="ChartandTableFootnote-Dash"/>
      </w:pPr>
      <w:r>
        <w:t>- gifts</w:t>
      </w:r>
    </w:p>
    <w:p w14:paraId="62F55F5A" w14:textId="77777777" w:rsidR="00B14306" w:rsidRDefault="00B14306" w:rsidP="00B14306">
      <w:pPr>
        <w:pStyle w:val="ChartandTableFootnote-Dash"/>
      </w:pPr>
      <w:r w:rsidRPr="000F37E6">
        <w:t>- internally developed assets</w:t>
      </w:r>
    </w:p>
    <w:p w14:paraId="7A57FC5F" w14:textId="77777777" w:rsidR="00B14306" w:rsidRDefault="00C26820" w:rsidP="00B14306">
      <w:pPr>
        <w:pStyle w:val="ChartandTableFootnote-Dash"/>
      </w:pPr>
      <w:r>
        <w:t>- s74 e</w:t>
      </w:r>
      <w:r w:rsidR="00B14306">
        <w:t xml:space="preserve">xternal </w:t>
      </w:r>
      <w:r>
        <w:t>r</w:t>
      </w:r>
      <w:r w:rsidR="00B14306">
        <w:t>evenue, and</w:t>
      </w:r>
    </w:p>
    <w:p w14:paraId="1C79D24F" w14:textId="77777777" w:rsidR="00B14306" w:rsidRDefault="00B14306" w:rsidP="00B14306">
      <w:pPr>
        <w:pStyle w:val="ChartandTableFootnote-Dash"/>
      </w:pPr>
      <w:r>
        <w:t xml:space="preserve">- proceeds from the sale of assets. </w:t>
      </w:r>
    </w:p>
    <w:p w14:paraId="0885D5AD" w14:textId="77777777" w:rsidR="00B14306" w:rsidRDefault="00B14306" w:rsidP="00B14306">
      <w:pPr>
        <w:pStyle w:val="TableHeading"/>
      </w:pPr>
      <w:r>
        <w:br w:type="page"/>
      </w:r>
      <w:r w:rsidRPr="00D30CBA">
        <w:lastRenderedPageBreak/>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 xml:space="preserve">) </w:t>
      </w:r>
    </w:p>
    <w:p w14:paraId="11631170" w14:textId="77777777" w:rsidR="00B14306" w:rsidRDefault="003F5660" w:rsidP="00B14306">
      <w:pPr>
        <w:pStyle w:val="ChartandTableFootnote"/>
      </w:pPr>
      <w:r w:rsidRPr="003F5660">
        <w:rPr>
          <w:noProof/>
          <w:lang w:val="en-AU" w:eastAsia="en-AU"/>
        </w:rPr>
        <w:drawing>
          <wp:inline distT="0" distB="0" distL="0" distR="0" wp14:anchorId="6F23DDC5" wp14:editId="4DFFCE18">
            <wp:extent cx="4895850" cy="326261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95850" cy="3262619"/>
                    </a:xfrm>
                    <a:prstGeom prst="rect">
                      <a:avLst/>
                    </a:prstGeom>
                    <a:noFill/>
                    <a:ln>
                      <a:noFill/>
                    </a:ln>
                  </pic:spPr>
                </pic:pic>
              </a:graphicData>
            </a:graphic>
          </wp:inline>
        </w:drawing>
      </w:r>
    </w:p>
    <w:p w14:paraId="20A0A305" w14:textId="77777777" w:rsidR="00B14306" w:rsidRPr="002E5D24" w:rsidRDefault="00B14306" w:rsidP="00B14306">
      <w:pPr>
        <w:pStyle w:val="ChartandTableFootnote"/>
      </w:pPr>
      <w:r w:rsidRPr="00132F9E">
        <w:t>Prepared on Australian Accounting Standards basis.</w:t>
      </w:r>
    </w:p>
    <w:p w14:paraId="4D9ACC89" w14:textId="77777777" w:rsidR="003F5660" w:rsidRPr="003F5660" w:rsidRDefault="003F5660" w:rsidP="003F5660">
      <w:pPr>
        <w:pStyle w:val="ListParagraph"/>
        <w:numPr>
          <w:ilvl w:val="0"/>
          <w:numId w:val="171"/>
        </w:numPr>
        <w:spacing w:after="480" w:line="240" w:lineRule="auto"/>
        <w:jc w:val="both"/>
        <w:rPr>
          <w:rFonts w:ascii="Arial" w:hAnsi="Arial" w:cs="Arial"/>
          <w:sz w:val="16"/>
          <w:szCs w:val="16"/>
        </w:rPr>
      </w:pPr>
      <w:r w:rsidRPr="003F5660">
        <w:rPr>
          <w:rFonts w:ascii="Arial" w:hAnsi="Arial" w:cs="Arial"/>
          <w:sz w:val="16"/>
          <w:szCs w:val="16"/>
        </w:rPr>
        <w:t>'Appropriation ordinary annual services' refers to funding provided through Appropriation Bill (No.1) 2022-23 for depreciation/amortisation expenses, Departmental Capital Budget or ot</w:t>
      </w:r>
      <w:r>
        <w:rPr>
          <w:rFonts w:ascii="Arial" w:hAnsi="Arial" w:cs="Arial"/>
          <w:sz w:val="16"/>
          <w:szCs w:val="16"/>
        </w:rPr>
        <w:t xml:space="preserve">her operational </w:t>
      </w:r>
      <w:r w:rsidRPr="003F5660">
        <w:rPr>
          <w:rFonts w:ascii="Arial" w:hAnsi="Arial" w:cs="Arial"/>
          <w:sz w:val="16"/>
          <w:szCs w:val="16"/>
        </w:rPr>
        <w:t>expenses.</w:t>
      </w:r>
    </w:p>
    <w:p w14:paraId="46A575D1" w14:textId="77777777" w:rsidR="006D56BD" w:rsidRPr="003F5660" w:rsidRDefault="003F5660" w:rsidP="002822B9">
      <w:pPr>
        <w:pStyle w:val="ListParagraph"/>
        <w:spacing w:after="480" w:line="240" w:lineRule="auto"/>
        <w:ind w:left="360"/>
        <w:jc w:val="both"/>
        <w:rPr>
          <w:rFonts w:ascii="Arial" w:hAnsi="Arial" w:cs="Arial"/>
          <w:sz w:val="16"/>
          <w:szCs w:val="16"/>
        </w:rPr>
      </w:pPr>
      <w:r w:rsidRPr="003F5660">
        <w:rPr>
          <w:rFonts w:ascii="Arial" w:hAnsi="Arial" w:cs="Arial"/>
          <w:sz w:val="16"/>
          <w:szCs w:val="16"/>
        </w:rPr>
        <w:tab/>
      </w:r>
      <w:r w:rsidRPr="003F5660">
        <w:rPr>
          <w:rFonts w:ascii="Arial" w:hAnsi="Arial" w:cs="Arial"/>
          <w:sz w:val="16"/>
          <w:szCs w:val="16"/>
        </w:rPr>
        <w:tab/>
      </w:r>
      <w:r w:rsidRPr="003F5660">
        <w:rPr>
          <w:rFonts w:ascii="Arial" w:hAnsi="Arial" w:cs="Arial"/>
          <w:sz w:val="16"/>
          <w:szCs w:val="16"/>
        </w:rPr>
        <w:tab/>
      </w:r>
      <w:r w:rsidRPr="003F5660">
        <w:rPr>
          <w:rFonts w:ascii="Arial" w:hAnsi="Arial" w:cs="Arial"/>
          <w:sz w:val="16"/>
          <w:szCs w:val="16"/>
        </w:rPr>
        <w:tab/>
      </w:r>
      <w:r w:rsidRPr="003F5660">
        <w:rPr>
          <w:rFonts w:ascii="Arial" w:hAnsi="Arial" w:cs="Arial"/>
          <w:sz w:val="16"/>
          <w:szCs w:val="16"/>
        </w:rPr>
        <w:tab/>
      </w:r>
    </w:p>
    <w:p w14:paraId="54A5A8CB" w14:textId="77777777" w:rsidR="009A42FE" w:rsidRDefault="006D56BD">
      <w:pPr>
        <w:spacing w:after="0" w:line="240" w:lineRule="auto"/>
        <w:jc w:val="left"/>
        <w:rPr>
          <w:rFonts w:ascii="Arial Bold" w:hAnsi="Arial Bold" w:cs="Arial"/>
          <w:b/>
          <w:bCs/>
          <w:kern w:val="28"/>
          <w:sz w:val="52"/>
          <w:szCs w:val="32"/>
        </w:rPr>
        <w:sectPr w:rsidR="009A42FE" w:rsidSect="0014468F">
          <w:headerReference w:type="first" r:id="rId104"/>
          <w:footerReference w:type="first" r:id="rId105"/>
          <w:type w:val="oddPage"/>
          <w:pgSz w:w="11906" w:h="16838" w:code="9"/>
          <w:pgMar w:top="2835" w:right="2098" w:bottom="2466" w:left="2098" w:header="1814" w:footer="1814" w:gutter="0"/>
          <w:cols w:space="708"/>
          <w:titlePg/>
          <w:docGrid w:linePitch="360"/>
        </w:sectPr>
      </w:pPr>
      <w:r>
        <w:rPr>
          <w:rFonts w:ascii="Arial Bold" w:hAnsi="Arial Bold" w:cs="Arial"/>
          <w:b/>
          <w:bCs/>
          <w:kern w:val="28"/>
          <w:sz w:val="52"/>
          <w:szCs w:val="32"/>
        </w:rPr>
        <w:br w:type="page"/>
      </w:r>
    </w:p>
    <w:p w14:paraId="724953BA" w14:textId="77777777" w:rsidR="006D56BD" w:rsidRDefault="006D56BD">
      <w:pPr>
        <w:spacing w:after="0" w:line="240" w:lineRule="auto"/>
        <w:jc w:val="left"/>
        <w:rPr>
          <w:rFonts w:ascii="Arial Bold" w:hAnsi="Arial Bold" w:cs="Arial"/>
          <w:b/>
          <w:bCs/>
          <w:kern w:val="28"/>
          <w:sz w:val="52"/>
          <w:szCs w:val="32"/>
        </w:rPr>
      </w:pPr>
    </w:p>
    <w:p w14:paraId="021DFA90" w14:textId="77777777" w:rsidR="00C371B2" w:rsidRDefault="00E315A5" w:rsidP="00C371B2">
      <w:pPr>
        <w:spacing w:after="480" w:line="240" w:lineRule="auto"/>
        <w:jc w:val="center"/>
        <w:rPr>
          <w:rFonts w:ascii="Arial Bold" w:hAnsi="Arial Bold" w:cs="Arial"/>
          <w:b/>
          <w:bCs/>
          <w:kern w:val="28"/>
          <w:sz w:val="52"/>
          <w:szCs w:val="32"/>
        </w:rPr>
      </w:pPr>
      <w:r>
        <w:rPr>
          <w:rFonts w:ascii="Arial Bold" w:hAnsi="Arial Bold" w:cs="Arial"/>
          <w:b/>
          <w:bCs/>
          <w:kern w:val="28"/>
          <w:sz w:val="52"/>
          <w:szCs w:val="32"/>
        </w:rPr>
        <w:t>Australian Institute of Aboriginal and Torres Strait Islander Studies</w:t>
      </w:r>
      <w:bookmarkStart w:id="202" w:name="_Toc98496270"/>
      <w:bookmarkStart w:id="203" w:name="_Toc98765309"/>
      <w:bookmarkStart w:id="204" w:name="_Toc99011794"/>
      <w:r w:rsidR="00C371B2">
        <w:rPr>
          <w:rFonts w:ascii="Arial Bold" w:hAnsi="Arial Bold" w:cs="Arial"/>
          <w:b/>
          <w:bCs/>
          <w:kern w:val="28"/>
          <w:sz w:val="52"/>
          <w:szCs w:val="32"/>
        </w:rPr>
        <w:t xml:space="preserve"> </w:t>
      </w:r>
    </w:p>
    <w:p w14:paraId="532220AE" w14:textId="77777777" w:rsidR="00C371B2" w:rsidRDefault="00C371B2" w:rsidP="00C371B2">
      <w:pPr>
        <w:spacing w:after="480" w:line="240" w:lineRule="auto"/>
        <w:jc w:val="center"/>
        <w:rPr>
          <w:rFonts w:ascii="Arial Bold" w:hAnsi="Arial Bold" w:cs="Arial"/>
          <w:b/>
          <w:bCs/>
          <w:kern w:val="28"/>
          <w:sz w:val="52"/>
          <w:szCs w:val="32"/>
        </w:rPr>
      </w:pPr>
    </w:p>
    <w:p w14:paraId="5F4CA028" w14:textId="77777777" w:rsidR="00C371B2" w:rsidRDefault="00C371B2" w:rsidP="00C371B2">
      <w:pPr>
        <w:spacing w:after="480" w:line="240" w:lineRule="auto"/>
        <w:jc w:val="center"/>
        <w:rPr>
          <w:rFonts w:ascii="Arial Bold" w:hAnsi="Arial Bold" w:cs="Arial"/>
          <w:b/>
          <w:bCs/>
          <w:kern w:val="28"/>
          <w:sz w:val="52"/>
          <w:szCs w:val="32"/>
        </w:rPr>
      </w:pPr>
    </w:p>
    <w:p w14:paraId="19A9136C" w14:textId="77777777" w:rsidR="00E315A5" w:rsidRPr="00C371B2" w:rsidRDefault="00C371B2" w:rsidP="00C371B2">
      <w:pPr>
        <w:spacing w:after="480" w:line="240" w:lineRule="auto"/>
        <w:jc w:val="center"/>
        <w:rPr>
          <w:rFonts w:ascii="Arial" w:hAnsi="Arial" w:cs="Arial"/>
          <w:b/>
          <w:bCs/>
          <w:kern w:val="28"/>
          <w:sz w:val="200"/>
          <w:szCs w:val="32"/>
        </w:rPr>
      </w:pPr>
      <w:r>
        <w:rPr>
          <w:rFonts w:ascii="Arial Bold" w:hAnsi="Arial Bold" w:cs="Arial"/>
          <w:b/>
          <w:bCs/>
          <w:kern w:val="28"/>
          <w:sz w:val="52"/>
          <w:szCs w:val="32"/>
        </w:rPr>
        <w:t>Entity resources and planned performance</w:t>
      </w:r>
      <w:r w:rsidRPr="00C371B2">
        <w:rPr>
          <w:rFonts w:ascii="Arial" w:hAnsi="Arial" w:cs="Arial"/>
          <w:b/>
          <w:sz w:val="44"/>
        </w:rPr>
        <w:t xml:space="preserve"> </w:t>
      </w:r>
      <w:bookmarkEnd w:id="202"/>
      <w:bookmarkEnd w:id="203"/>
      <w:bookmarkEnd w:id="204"/>
    </w:p>
    <w:p w14:paraId="065AD780" w14:textId="77777777" w:rsidR="00B14306" w:rsidRDefault="00B14306" w:rsidP="00E315A5">
      <w:pPr>
        <w:pStyle w:val="PartHeading"/>
      </w:pPr>
    </w:p>
    <w:p w14:paraId="660A04FE" w14:textId="77777777" w:rsidR="00B14306" w:rsidRDefault="00B14306">
      <w:pPr>
        <w:spacing w:after="0" w:line="240" w:lineRule="auto"/>
        <w:jc w:val="left"/>
        <w:rPr>
          <w:rFonts w:ascii="Arial Bold" w:hAnsi="Arial Bold" w:cs="Arial"/>
          <w:b/>
          <w:bCs/>
          <w:kern w:val="28"/>
          <w:sz w:val="52"/>
          <w:szCs w:val="32"/>
        </w:rPr>
      </w:pPr>
      <w:r>
        <w:br w:type="page"/>
      </w:r>
    </w:p>
    <w:p w14:paraId="296E66A8" w14:textId="77777777" w:rsidR="00B14306" w:rsidRDefault="00B14306" w:rsidP="00E315A5">
      <w:pPr>
        <w:pStyle w:val="PartHeading"/>
      </w:pPr>
    </w:p>
    <w:p w14:paraId="0B650178" w14:textId="77777777" w:rsidR="00B14306" w:rsidRDefault="00B14306">
      <w:pPr>
        <w:spacing w:after="0" w:line="240" w:lineRule="auto"/>
        <w:jc w:val="left"/>
        <w:rPr>
          <w:rFonts w:ascii="Arial Bold" w:hAnsi="Arial Bold" w:cs="Arial"/>
          <w:b/>
          <w:bCs/>
          <w:kern w:val="28"/>
          <w:sz w:val="52"/>
          <w:szCs w:val="32"/>
        </w:rPr>
      </w:pPr>
      <w:r>
        <w:br w:type="page"/>
      </w:r>
    </w:p>
    <w:p w14:paraId="3CF6022E" w14:textId="77777777" w:rsidR="00E315A5" w:rsidRDefault="00E315A5" w:rsidP="00E315A5">
      <w:pPr>
        <w:pStyle w:val="PartHeading"/>
        <w:sectPr w:rsidR="00E315A5" w:rsidSect="009A42FE">
          <w:headerReference w:type="even" r:id="rId106"/>
          <w:headerReference w:type="default" r:id="rId107"/>
          <w:footerReference w:type="even" r:id="rId108"/>
          <w:footerReference w:type="default" r:id="rId109"/>
          <w:headerReference w:type="first" r:id="rId110"/>
          <w:footerReference w:type="first" r:id="rId111"/>
          <w:pgSz w:w="11906" w:h="16838" w:code="9"/>
          <w:pgMar w:top="2835" w:right="2098" w:bottom="2466" w:left="2098" w:header="1814" w:footer="1814" w:gutter="0"/>
          <w:cols w:space="708"/>
          <w:vAlign w:val="center"/>
          <w:titlePg/>
          <w:docGrid w:linePitch="360"/>
        </w:sectPr>
      </w:pPr>
    </w:p>
    <w:p w14:paraId="44BE7148" w14:textId="77777777" w:rsidR="00E315A5" w:rsidRPr="002A32FD" w:rsidRDefault="00E315A5" w:rsidP="00E315A5">
      <w:pPr>
        <w:pStyle w:val="ContentsHeading"/>
      </w:pPr>
      <w:r>
        <w:lastRenderedPageBreak/>
        <w:t>Australian Institute of Aboriginal and Torres Strait Islander Studies</w:t>
      </w:r>
    </w:p>
    <w:p w14:paraId="590CB770" w14:textId="77777777" w:rsidR="00EE41C9" w:rsidRDefault="00A76B91" w:rsidP="00EE41C9">
      <w:pPr>
        <w:pStyle w:val="TOC1"/>
        <w:rPr>
          <w:rFonts w:asciiTheme="minorHAnsi" w:eastAsiaTheme="minorEastAsia" w:hAnsiTheme="minorHAnsi" w:cstheme="minorBidi"/>
          <w:b w:val="0"/>
          <w:caps w:val="0"/>
          <w:noProof/>
          <w:sz w:val="22"/>
          <w:szCs w:val="22"/>
        </w:rPr>
      </w:pPr>
      <w:hyperlink w:anchor="_Toc98766363" w:history="1">
        <w:r w:rsidR="00EE41C9" w:rsidRPr="00F15159">
          <w:rPr>
            <w:rStyle w:val="Hyperlink"/>
            <w:noProof/>
          </w:rPr>
          <w:t>Section 1: Entity overview and resources</w:t>
        </w:r>
        <w:r w:rsidR="00EE41C9">
          <w:rPr>
            <w:noProof/>
            <w:webHidden/>
          </w:rPr>
          <w:tab/>
        </w:r>
        <w:r w:rsidR="00EE41C9">
          <w:rPr>
            <w:noProof/>
            <w:webHidden/>
          </w:rPr>
          <w:fldChar w:fldCharType="begin"/>
        </w:r>
        <w:r w:rsidR="00EE41C9">
          <w:rPr>
            <w:noProof/>
            <w:webHidden/>
          </w:rPr>
          <w:instrText xml:space="preserve"> PAGEREF _Toc98766363 \h </w:instrText>
        </w:r>
        <w:r w:rsidR="00EE41C9">
          <w:rPr>
            <w:noProof/>
            <w:webHidden/>
          </w:rPr>
        </w:r>
        <w:r w:rsidR="00EE41C9">
          <w:rPr>
            <w:noProof/>
            <w:webHidden/>
          </w:rPr>
          <w:fldChar w:fldCharType="separate"/>
        </w:r>
        <w:r w:rsidR="00AC2929">
          <w:rPr>
            <w:noProof/>
            <w:webHidden/>
          </w:rPr>
          <w:t>69</w:t>
        </w:r>
        <w:r w:rsidR="00EE41C9">
          <w:rPr>
            <w:noProof/>
            <w:webHidden/>
          </w:rPr>
          <w:fldChar w:fldCharType="end"/>
        </w:r>
      </w:hyperlink>
    </w:p>
    <w:p w14:paraId="57E62D2F" w14:textId="77777777" w:rsidR="00EE41C9" w:rsidRDefault="00A76B91" w:rsidP="00EE41C9">
      <w:pPr>
        <w:pStyle w:val="TOC2"/>
        <w:tabs>
          <w:tab w:val="left" w:pos="800"/>
        </w:tabs>
        <w:rPr>
          <w:rFonts w:asciiTheme="minorHAnsi" w:eastAsiaTheme="minorEastAsia" w:hAnsiTheme="minorHAnsi" w:cstheme="minorBidi"/>
          <w:noProof/>
          <w:sz w:val="22"/>
          <w:szCs w:val="22"/>
        </w:rPr>
      </w:pPr>
      <w:hyperlink w:anchor="_Toc98766364" w:history="1">
        <w:r w:rsidR="00EE41C9" w:rsidRPr="00F15159">
          <w:rPr>
            <w:rStyle w:val="Hyperlink"/>
            <w:noProof/>
          </w:rPr>
          <w:t>1.1</w:t>
        </w:r>
        <w:r w:rsidR="00EE41C9">
          <w:rPr>
            <w:rFonts w:asciiTheme="minorHAnsi" w:eastAsiaTheme="minorEastAsia" w:hAnsiTheme="minorHAnsi" w:cstheme="minorBidi"/>
            <w:noProof/>
            <w:sz w:val="22"/>
            <w:szCs w:val="22"/>
          </w:rPr>
          <w:tab/>
        </w:r>
        <w:r w:rsidR="00EE41C9" w:rsidRPr="00F15159">
          <w:rPr>
            <w:rStyle w:val="Hyperlink"/>
            <w:noProof/>
          </w:rPr>
          <w:t>Strategic direction statement</w:t>
        </w:r>
        <w:r w:rsidR="00EE41C9">
          <w:rPr>
            <w:noProof/>
            <w:webHidden/>
          </w:rPr>
          <w:tab/>
        </w:r>
        <w:r w:rsidR="00EE41C9">
          <w:rPr>
            <w:noProof/>
            <w:webHidden/>
          </w:rPr>
          <w:fldChar w:fldCharType="begin"/>
        </w:r>
        <w:r w:rsidR="00EE41C9">
          <w:rPr>
            <w:noProof/>
            <w:webHidden/>
          </w:rPr>
          <w:instrText xml:space="preserve"> PAGEREF _Toc98766364 \h </w:instrText>
        </w:r>
        <w:r w:rsidR="00EE41C9">
          <w:rPr>
            <w:noProof/>
            <w:webHidden/>
          </w:rPr>
        </w:r>
        <w:r w:rsidR="00EE41C9">
          <w:rPr>
            <w:noProof/>
            <w:webHidden/>
          </w:rPr>
          <w:fldChar w:fldCharType="separate"/>
        </w:r>
        <w:r w:rsidR="00AC2929">
          <w:rPr>
            <w:noProof/>
            <w:webHidden/>
          </w:rPr>
          <w:t>69</w:t>
        </w:r>
        <w:r w:rsidR="00EE41C9">
          <w:rPr>
            <w:noProof/>
            <w:webHidden/>
          </w:rPr>
          <w:fldChar w:fldCharType="end"/>
        </w:r>
      </w:hyperlink>
    </w:p>
    <w:p w14:paraId="34605AB0" w14:textId="77777777" w:rsidR="00EE41C9" w:rsidRDefault="00A76B91" w:rsidP="00EE41C9">
      <w:pPr>
        <w:pStyle w:val="TOC2"/>
        <w:tabs>
          <w:tab w:val="left" w:pos="800"/>
        </w:tabs>
        <w:rPr>
          <w:rFonts w:asciiTheme="minorHAnsi" w:eastAsiaTheme="minorEastAsia" w:hAnsiTheme="minorHAnsi" w:cstheme="minorBidi"/>
          <w:noProof/>
          <w:sz w:val="22"/>
          <w:szCs w:val="22"/>
        </w:rPr>
      </w:pPr>
      <w:hyperlink w:anchor="_Toc98766365" w:history="1">
        <w:r w:rsidR="00EE41C9" w:rsidRPr="00F15159">
          <w:rPr>
            <w:rStyle w:val="Hyperlink"/>
            <w:noProof/>
          </w:rPr>
          <w:t>1.2</w:t>
        </w:r>
        <w:r w:rsidR="00EE41C9">
          <w:rPr>
            <w:rFonts w:asciiTheme="minorHAnsi" w:eastAsiaTheme="minorEastAsia" w:hAnsiTheme="minorHAnsi" w:cstheme="minorBidi"/>
            <w:noProof/>
            <w:sz w:val="22"/>
            <w:szCs w:val="22"/>
          </w:rPr>
          <w:tab/>
        </w:r>
        <w:r w:rsidR="00EE41C9" w:rsidRPr="00F15159">
          <w:rPr>
            <w:rStyle w:val="Hyperlink"/>
            <w:noProof/>
          </w:rPr>
          <w:t>Entity resource statement</w:t>
        </w:r>
        <w:r w:rsidR="00EE41C9">
          <w:rPr>
            <w:noProof/>
            <w:webHidden/>
          </w:rPr>
          <w:tab/>
        </w:r>
        <w:r w:rsidR="00EE41C9">
          <w:rPr>
            <w:noProof/>
            <w:webHidden/>
          </w:rPr>
          <w:fldChar w:fldCharType="begin"/>
        </w:r>
        <w:r w:rsidR="00EE41C9">
          <w:rPr>
            <w:noProof/>
            <w:webHidden/>
          </w:rPr>
          <w:instrText xml:space="preserve"> PAGEREF _Toc98766365 \h </w:instrText>
        </w:r>
        <w:r w:rsidR="00EE41C9">
          <w:rPr>
            <w:noProof/>
            <w:webHidden/>
          </w:rPr>
        </w:r>
        <w:r w:rsidR="00EE41C9">
          <w:rPr>
            <w:noProof/>
            <w:webHidden/>
          </w:rPr>
          <w:fldChar w:fldCharType="separate"/>
        </w:r>
        <w:r w:rsidR="00AC2929">
          <w:rPr>
            <w:noProof/>
            <w:webHidden/>
          </w:rPr>
          <w:t>70</w:t>
        </w:r>
        <w:r w:rsidR="00EE41C9">
          <w:rPr>
            <w:noProof/>
            <w:webHidden/>
          </w:rPr>
          <w:fldChar w:fldCharType="end"/>
        </w:r>
      </w:hyperlink>
    </w:p>
    <w:p w14:paraId="6F83DA04" w14:textId="77777777" w:rsidR="00EE41C9" w:rsidRDefault="00A76B91" w:rsidP="00EE41C9">
      <w:pPr>
        <w:pStyle w:val="TOC2"/>
        <w:tabs>
          <w:tab w:val="left" w:pos="800"/>
        </w:tabs>
        <w:rPr>
          <w:rFonts w:asciiTheme="minorHAnsi" w:eastAsiaTheme="minorEastAsia" w:hAnsiTheme="minorHAnsi" w:cstheme="minorBidi"/>
          <w:noProof/>
          <w:sz w:val="22"/>
          <w:szCs w:val="22"/>
        </w:rPr>
      </w:pPr>
      <w:hyperlink w:anchor="_Toc98766366" w:history="1">
        <w:r w:rsidR="00EE41C9" w:rsidRPr="00F15159">
          <w:rPr>
            <w:rStyle w:val="Hyperlink"/>
            <w:noProof/>
          </w:rPr>
          <w:t>1.3</w:t>
        </w:r>
        <w:r w:rsidR="00EE41C9">
          <w:rPr>
            <w:rFonts w:asciiTheme="minorHAnsi" w:eastAsiaTheme="minorEastAsia" w:hAnsiTheme="minorHAnsi" w:cstheme="minorBidi"/>
            <w:noProof/>
            <w:sz w:val="22"/>
            <w:szCs w:val="22"/>
          </w:rPr>
          <w:tab/>
        </w:r>
        <w:r w:rsidR="00EE41C9" w:rsidRPr="00F15159">
          <w:rPr>
            <w:rStyle w:val="Hyperlink"/>
            <w:noProof/>
          </w:rPr>
          <w:t>Budget measures</w:t>
        </w:r>
        <w:r w:rsidR="00EE41C9">
          <w:rPr>
            <w:noProof/>
            <w:webHidden/>
          </w:rPr>
          <w:tab/>
        </w:r>
        <w:r w:rsidR="00EE41C9">
          <w:rPr>
            <w:noProof/>
            <w:webHidden/>
          </w:rPr>
          <w:fldChar w:fldCharType="begin"/>
        </w:r>
        <w:r w:rsidR="00EE41C9">
          <w:rPr>
            <w:noProof/>
            <w:webHidden/>
          </w:rPr>
          <w:instrText xml:space="preserve"> PAGEREF _Toc98766366 \h </w:instrText>
        </w:r>
        <w:r w:rsidR="00EE41C9">
          <w:rPr>
            <w:noProof/>
            <w:webHidden/>
          </w:rPr>
        </w:r>
        <w:r w:rsidR="00EE41C9">
          <w:rPr>
            <w:noProof/>
            <w:webHidden/>
          </w:rPr>
          <w:fldChar w:fldCharType="separate"/>
        </w:r>
        <w:r w:rsidR="00AC2929">
          <w:rPr>
            <w:noProof/>
            <w:webHidden/>
          </w:rPr>
          <w:t>72</w:t>
        </w:r>
        <w:r w:rsidR="00EE41C9">
          <w:rPr>
            <w:noProof/>
            <w:webHidden/>
          </w:rPr>
          <w:fldChar w:fldCharType="end"/>
        </w:r>
      </w:hyperlink>
    </w:p>
    <w:p w14:paraId="304FC19E" w14:textId="77777777" w:rsidR="00EE41C9" w:rsidRDefault="00A76B91" w:rsidP="00EE41C9">
      <w:pPr>
        <w:pStyle w:val="TOC1"/>
        <w:rPr>
          <w:rFonts w:asciiTheme="minorHAnsi" w:eastAsiaTheme="minorEastAsia" w:hAnsiTheme="minorHAnsi" w:cstheme="minorBidi"/>
          <w:b w:val="0"/>
          <w:caps w:val="0"/>
          <w:noProof/>
          <w:sz w:val="22"/>
          <w:szCs w:val="22"/>
        </w:rPr>
      </w:pPr>
      <w:hyperlink w:anchor="_Toc98766367" w:history="1">
        <w:r w:rsidR="00EE41C9" w:rsidRPr="00F15159">
          <w:rPr>
            <w:rStyle w:val="Hyperlink"/>
            <w:noProof/>
          </w:rPr>
          <w:t>Section 2: Outcomes and planned performance</w:t>
        </w:r>
        <w:r w:rsidR="00EE41C9">
          <w:rPr>
            <w:noProof/>
            <w:webHidden/>
          </w:rPr>
          <w:tab/>
        </w:r>
        <w:r w:rsidR="00EE41C9">
          <w:rPr>
            <w:noProof/>
            <w:webHidden/>
          </w:rPr>
          <w:fldChar w:fldCharType="begin"/>
        </w:r>
        <w:r w:rsidR="00EE41C9">
          <w:rPr>
            <w:noProof/>
            <w:webHidden/>
          </w:rPr>
          <w:instrText xml:space="preserve"> PAGEREF _Toc98766367 \h </w:instrText>
        </w:r>
        <w:r w:rsidR="00EE41C9">
          <w:rPr>
            <w:noProof/>
            <w:webHidden/>
          </w:rPr>
        </w:r>
        <w:r w:rsidR="00EE41C9">
          <w:rPr>
            <w:noProof/>
            <w:webHidden/>
          </w:rPr>
          <w:fldChar w:fldCharType="separate"/>
        </w:r>
        <w:r w:rsidR="00AC2929">
          <w:rPr>
            <w:noProof/>
            <w:webHidden/>
          </w:rPr>
          <w:t>73</w:t>
        </w:r>
        <w:r w:rsidR="00EE41C9">
          <w:rPr>
            <w:noProof/>
            <w:webHidden/>
          </w:rPr>
          <w:fldChar w:fldCharType="end"/>
        </w:r>
      </w:hyperlink>
    </w:p>
    <w:p w14:paraId="7EC38F1B" w14:textId="77777777" w:rsidR="00EE41C9" w:rsidRDefault="00A76B91" w:rsidP="00EE41C9">
      <w:pPr>
        <w:pStyle w:val="TOC2"/>
        <w:tabs>
          <w:tab w:val="left" w:pos="800"/>
        </w:tabs>
        <w:rPr>
          <w:rFonts w:asciiTheme="minorHAnsi" w:eastAsiaTheme="minorEastAsia" w:hAnsiTheme="minorHAnsi" w:cstheme="minorBidi"/>
          <w:noProof/>
          <w:sz w:val="22"/>
          <w:szCs w:val="22"/>
        </w:rPr>
      </w:pPr>
      <w:hyperlink w:anchor="_Toc98766368" w:history="1">
        <w:r w:rsidR="00EE41C9" w:rsidRPr="00F15159">
          <w:rPr>
            <w:rStyle w:val="Hyperlink"/>
            <w:noProof/>
          </w:rPr>
          <w:t xml:space="preserve">2.1 </w:t>
        </w:r>
        <w:r w:rsidR="00EE41C9">
          <w:rPr>
            <w:rFonts w:asciiTheme="minorHAnsi" w:eastAsiaTheme="minorEastAsia" w:hAnsiTheme="minorHAnsi" w:cstheme="minorBidi"/>
            <w:noProof/>
            <w:sz w:val="22"/>
            <w:szCs w:val="22"/>
          </w:rPr>
          <w:tab/>
        </w:r>
        <w:r w:rsidR="00EE41C9" w:rsidRPr="00F15159">
          <w:rPr>
            <w:rStyle w:val="Hyperlink"/>
            <w:noProof/>
          </w:rPr>
          <w:t>Budgeted expenses and performance for Outcome 1</w:t>
        </w:r>
        <w:r w:rsidR="00EE41C9">
          <w:rPr>
            <w:noProof/>
            <w:webHidden/>
          </w:rPr>
          <w:tab/>
        </w:r>
        <w:r w:rsidR="00EE41C9">
          <w:rPr>
            <w:noProof/>
            <w:webHidden/>
          </w:rPr>
          <w:fldChar w:fldCharType="begin"/>
        </w:r>
        <w:r w:rsidR="00EE41C9">
          <w:rPr>
            <w:noProof/>
            <w:webHidden/>
          </w:rPr>
          <w:instrText xml:space="preserve"> PAGEREF _Toc98766368 \h </w:instrText>
        </w:r>
        <w:r w:rsidR="00EE41C9">
          <w:rPr>
            <w:noProof/>
            <w:webHidden/>
          </w:rPr>
        </w:r>
        <w:r w:rsidR="00EE41C9">
          <w:rPr>
            <w:noProof/>
            <w:webHidden/>
          </w:rPr>
          <w:fldChar w:fldCharType="separate"/>
        </w:r>
        <w:r w:rsidR="00AC2929">
          <w:rPr>
            <w:noProof/>
            <w:webHidden/>
          </w:rPr>
          <w:t>74</w:t>
        </w:r>
        <w:r w:rsidR="00EE41C9">
          <w:rPr>
            <w:noProof/>
            <w:webHidden/>
          </w:rPr>
          <w:fldChar w:fldCharType="end"/>
        </w:r>
      </w:hyperlink>
    </w:p>
    <w:p w14:paraId="2F55EE4E" w14:textId="77777777" w:rsidR="00EE41C9" w:rsidRDefault="00A76B91" w:rsidP="00EE41C9">
      <w:pPr>
        <w:pStyle w:val="TOC1"/>
        <w:rPr>
          <w:rFonts w:asciiTheme="minorHAnsi" w:eastAsiaTheme="minorEastAsia" w:hAnsiTheme="minorHAnsi" w:cstheme="minorBidi"/>
          <w:b w:val="0"/>
          <w:caps w:val="0"/>
          <w:noProof/>
          <w:sz w:val="22"/>
          <w:szCs w:val="22"/>
        </w:rPr>
      </w:pPr>
      <w:hyperlink w:anchor="_Toc98766369" w:history="1">
        <w:r w:rsidR="00EE41C9" w:rsidRPr="00F15159">
          <w:rPr>
            <w:rStyle w:val="Hyperlink"/>
            <w:noProof/>
          </w:rPr>
          <w:t>Section 3: Budgeted financial statements</w:t>
        </w:r>
        <w:r w:rsidR="00EE41C9">
          <w:rPr>
            <w:noProof/>
            <w:webHidden/>
          </w:rPr>
          <w:tab/>
        </w:r>
        <w:r w:rsidR="00EE41C9">
          <w:rPr>
            <w:noProof/>
            <w:webHidden/>
          </w:rPr>
          <w:fldChar w:fldCharType="begin"/>
        </w:r>
        <w:r w:rsidR="00EE41C9">
          <w:rPr>
            <w:noProof/>
            <w:webHidden/>
          </w:rPr>
          <w:instrText xml:space="preserve"> PAGEREF _Toc98766369 \h </w:instrText>
        </w:r>
        <w:r w:rsidR="00EE41C9">
          <w:rPr>
            <w:noProof/>
            <w:webHidden/>
          </w:rPr>
        </w:r>
        <w:r w:rsidR="00EE41C9">
          <w:rPr>
            <w:noProof/>
            <w:webHidden/>
          </w:rPr>
          <w:fldChar w:fldCharType="separate"/>
        </w:r>
        <w:r w:rsidR="00AC2929">
          <w:rPr>
            <w:noProof/>
            <w:webHidden/>
          </w:rPr>
          <w:t>80</w:t>
        </w:r>
        <w:r w:rsidR="00EE41C9">
          <w:rPr>
            <w:noProof/>
            <w:webHidden/>
          </w:rPr>
          <w:fldChar w:fldCharType="end"/>
        </w:r>
      </w:hyperlink>
    </w:p>
    <w:p w14:paraId="0EA3E49B" w14:textId="77777777" w:rsidR="00EE41C9" w:rsidRDefault="00A76B91" w:rsidP="00EE41C9">
      <w:pPr>
        <w:pStyle w:val="TOC2"/>
        <w:tabs>
          <w:tab w:val="left" w:pos="800"/>
        </w:tabs>
        <w:rPr>
          <w:rFonts w:asciiTheme="minorHAnsi" w:eastAsiaTheme="minorEastAsia" w:hAnsiTheme="minorHAnsi" w:cstheme="minorBidi"/>
          <w:noProof/>
          <w:sz w:val="22"/>
          <w:szCs w:val="22"/>
        </w:rPr>
      </w:pPr>
      <w:hyperlink w:anchor="_Toc98766370" w:history="1">
        <w:r w:rsidR="00EE41C9" w:rsidRPr="00F15159">
          <w:rPr>
            <w:rStyle w:val="Hyperlink"/>
            <w:noProof/>
          </w:rPr>
          <w:t>3.1</w:t>
        </w:r>
        <w:r w:rsidR="00EE41C9">
          <w:rPr>
            <w:rFonts w:asciiTheme="minorHAnsi" w:eastAsiaTheme="minorEastAsia" w:hAnsiTheme="minorHAnsi" w:cstheme="minorBidi"/>
            <w:noProof/>
            <w:sz w:val="22"/>
            <w:szCs w:val="22"/>
          </w:rPr>
          <w:tab/>
        </w:r>
        <w:r w:rsidR="00EE41C9" w:rsidRPr="00F15159">
          <w:rPr>
            <w:rStyle w:val="Hyperlink"/>
            <w:noProof/>
          </w:rPr>
          <w:t>Budgeted financial statements</w:t>
        </w:r>
        <w:r w:rsidR="00EE41C9">
          <w:rPr>
            <w:noProof/>
            <w:webHidden/>
          </w:rPr>
          <w:tab/>
        </w:r>
        <w:r w:rsidR="00EE41C9">
          <w:rPr>
            <w:noProof/>
            <w:webHidden/>
          </w:rPr>
          <w:fldChar w:fldCharType="begin"/>
        </w:r>
        <w:r w:rsidR="00EE41C9">
          <w:rPr>
            <w:noProof/>
            <w:webHidden/>
          </w:rPr>
          <w:instrText xml:space="preserve"> PAGEREF _Toc98766370 \h </w:instrText>
        </w:r>
        <w:r w:rsidR="00EE41C9">
          <w:rPr>
            <w:noProof/>
            <w:webHidden/>
          </w:rPr>
        </w:r>
        <w:r w:rsidR="00EE41C9">
          <w:rPr>
            <w:noProof/>
            <w:webHidden/>
          </w:rPr>
          <w:fldChar w:fldCharType="separate"/>
        </w:r>
        <w:r w:rsidR="00AC2929">
          <w:rPr>
            <w:noProof/>
            <w:webHidden/>
          </w:rPr>
          <w:t>80</w:t>
        </w:r>
        <w:r w:rsidR="00EE41C9">
          <w:rPr>
            <w:noProof/>
            <w:webHidden/>
          </w:rPr>
          <w:fldChar w:fldCharType="end"/>
        </w:r>
      </w:hyperlink>
    </w:p>
    <w:p w14:paraId="4085BF9D" w14:textId="77777777" w:rsidR="00E315A5" w:rsidRDefault="00E315A5" w:rsidP="00E315A5">
      <w:pPr>
        <w:pStyle w:val="TOC1"/>
      </w:pPr>
    </w:p>
    <w:p w14:paraId="6614B171" w14:textId="77777777" w:rsidR="00E315A5" w:rsidRPr="008B5AFD" w:rsidRDefault="00E315A5" w:rsidP="00E315A5"/>
    <w:p w14:paraId="42E819DC" w14:textId="77777777" w:rsidR="00B14306" w:rsidRDefault="00B14306" w:rsidP="00E315A5"/>
    <w:p w14:paraId="5D34F6A5" w14:textId="77777777" w:rsidR="00B14306" w:rsidRDefault="00B14306">
      <w:pPr>
        <w:spacing w:after="0" w:line="240" w:lineRule="auto"/>
        <w:jc w:val="left"/>
      </w:pPr>
      <w:r>
        <w:br w:type="page"/>
      </w:r>
    </w:p>
    <w:p w14:paraId="53E6FD18" w14:textId="77777777" w:rsidR="00B14306" w:rsidRDefault="00B14306" w:rsidP="00E315A5"/>
    <w:p w14:paraId="5F8863CC" w14:textId="77777777" w:rsidR="00B14306" w:rsidRDefault="00B14306">
      <w:pPr>
        <w:spacing w:after="0" w:line="240" w:lineRule="auto"/>
        <w:jc w:val="left"/>
      </w:pPr>
      <w:r>
        <w:br w:type="page"/>
      </w:r>
    </w:p>
    <w:p w14:paraId="0E698066" w14:textId="77777777" w:rsidR="00E315A5" w:rsidRDefault="00E315A5" w:rsidP="00E315A5">
      <w:pPr>
        <w:sectPr w:rsidR="00E315A5" w:rsidSect="00E315A5">
          <w:headerReference w:type="even" r:id="rId112"/>
          <w:footerReference w:type="even" r:id="rId113"/>
          <w:footerReference w:type="first" r:id="rId114"/>
          <w:type w:val="nextColumn"/>
          <w:pgSz w:w="11906" w:h="16838" w:code="9"/>
          <w:pgMar w:top="2835" w:right="2098" w:bottom="2466" w:left="2098" w:header="1814" w:footer="1814" w:gutter="0"/>
          <w:cols w:space="708"/>
          <w:titlePg/>
          <w:docGrid w:linePitch="360"/>
        </w:sectPr>
      </w:pPr>
    </w:p>
    <w:p w14:paraId="006F8321" w14:textId="77777777" w:rsidR="00E315A5" w:rsidRDefault="00E315A5" w:rsidP="00E315A5">
      <w:pPr>
        <w:pStyle w:val="Heading1"/>
      </w:pPr>
      <w:bookmarkStart w:id="205" w:name="_Toc99201044"/>
      <w:r>
        <w:lastRenderedPageBreak/>
        <w:t>Australian Institute of Aboriginal and Torres Strait Island</w:t>
      </w:r>
      <w:r w:rsidR="00BB066E">
        <w:t>er</w:t>
      </w:r>
      <w:r>
        <w:t xml:space="preserve"> Studies</w:t>
      </w:r>
      <w:bookmarkEnd w:id="205"/>
      <w:r>
        <w:t xml:space="preserve"> </w:t>
      </w:r>
    </w:p>
    <w:p w14:paraId="510633B2" w14:textId="77777777" w:rsidR="00E315A5" w:rsidRPr="002C4D41" w:rsidRDefault="00E315A5" w:rsidP="00E315A5">
      <w:pPr>
        <w:pStyle w:val="Heading2"/>
      </w:pPr>
      <w:bookmarkStart w:id="206" w:name="_Toc98766363"/>
      <w:bookmarkStart w:id="207" w:name="_Toc98856109"/>
      <w:bookmarkStart w:id="208" w:name="_Toc98932861"/>
      <w:bookmarkStart w:id="209" w:name="_Toc99008118"/>
      <w:bookmarkStart w:id="210" w:name="_Toc99009480"/>
      <w:bookmarkStart w:id="211" w:name="_Toc99010708"/>
      <w:bookmarkStart w:id="212" w:name="_Toc99013943"/>
      <w:bookmarkStart w:id="213" w:name="_Toc99187520"/>
      <w:bookmarkStart w:id="214" w:name="_Toc99269629"/>
      <w:r w:rsidRPr="002C4D41">
        <w:t xml:space="preserve">Section 1: Entity overview and </w:t>
      </w:r>
      <w:r>
        <w:t>reso</w:t>
      </w:r>
      <w:r w:rsidRPr="002C4D41">
        <w:t>urces</w:t>
      </w:r>
      <w:bookmarkEnd w:id="206"/>
      <w:bookmarkEnd w:id="207"/>
      <w:bookmarkEnd w:id="208"/>
      <w:bookmarkEnd w:id="209"/>
      <w:bookmarkEnd w:id="210"/>
      <w:bookmarkEnd w:id="211"/>
      <w:bookmarkEnd w:id="212"/>
      <w:bookmarkEnd w:id="213"/>
      <w:bookmarkEnd w:id="214"/>
    </w:p>
    <w:p w14:paraId="75FA2208" w14:textId="77777777" w:rsidR="00E315A5" w:rsidRDefault="00E315A5" w:rsidP="00E315A5">
      <w:pPr>
        <w:pStyle w:val="Heading3"/>
      </w:pPr>
      <w:bookmarkStart w:id="215" w:name="_Toc98766364"/>
      <w:bookmarkStart w:id="216" w:name="_Toc98856110"/>
      <w:bookmarkStart w:id="217" w:name="_Toc98932862"/>
      <w:bookmarkStart w:id="218" w:name="_Toc99008119"/>
      <w:bookmarkStart w:id="219" w:name="_Toc99009481"/>
      <w:bookmarkStart w:id="220" w:name="_Toc99010709"/>
      <w:bookmarkStart w:id="221" w:name="_Toc99013944"/>
      <w:bookmarkStart w:id="222" w:name="_Toc99187521"/>
      <w:bookmarkStart w:id="223" w:name="_Toc99269630"/>
      <w:r>
        <w:t>1.1</w:t>
      </w:r>
      <w:r>
        <w:tab/>
        <w:t>Strategic direction statement</w:t>
      </w:r>
      <w:bookmarkEnd w:id="215"/>
      <w:bookmarkEnd w:id="216"/>
      <w:bookmarkEnd w:id="217"/>
      <w:bookmarkEnd w:id="218"/>
      <w:bookmarkEnd w:id="219"/>
      <w:bookmarkEnd w:id="220"/>
      <w:bookmarkEnd w:id="221"/>
      <w:bookmarkEnd w:id="222"/>
      <w:bookmarkEnd w:id="223"/>
    </w:p>
    <w:p w14:paraId="17F88791" w14:textId="77777777" w:rsidR="00E315A5" w:rsidRPr="008F0B8A" w:rsidRDefault="00E315A5" w:rsidP="00E315A5">
      <w:pPr>
        <w:rPr>
          <w:color w:val="000000" w:themeColor="text1"/>
        </w:rPr>
      </w:pPr>
      <w:r w:rsidRPr="008F0B8A">
        <w:rPr>
          <w:color w:val="000000" w:themeColor="text1"/>
        </w:rPr>
        <w:t xml:space="preserve">The Australian Institute of Aboriginal and Torres Strait Islander Studies (AIATSIS) is a corporate Commonwealth entity established under the </w:t>
      </w:r>
      <w:r w:rsidRPr="008F0B8A">
        <w:rPr>
          <w:i/>
          <w:color w:val="000000" w:themeColor="text1"/>
        </w:rPr>
        <w:t>Australian Institute of Aboriginal and Torres Strait Islander Studies Act 1989.</w:t>
      </w:r>
      <w:r w:rsidRPr="008F0B8A">
        <w:rPr>
          <w:color w:val="000000" w:themeColor="text1"/>
        </w:rPr>
        <w:t xml:space="preserve"> </w:t>
      </w:r>
      <w:r w:rsidR="00BB066E">
        <w:rPr>
          <w:color w:val="000000" w:themeColor="text1"/>
        </w:rPr>
        <w:t xml:space="preserve">The </w:t>
      </w:r>
      <w:r w:rsidRPr="008F0B8A">
        <w:rPr>
          <w:color w:val="000000" w:themeColor="text1"/>
        </w:rPr>
        <w:t>AIATSIS is a world renowned research, collections and publishing organisation and occupies a unique place at the nexus between the academic and cultural sectors, gov</w:t>
      </w:r>
      <w:r>
        <w:rPr>
          <w:color w:val="000000" w:themeColor="text1"/>
        </w:rPr>
        <w:t>ernment, Indigenous communities</w:t>
      </w:r>
      <w:r w:rsidRPr="008F0B8A">
        <w:rPr>
          <w:color w:val="000000" w:themeColor="text1"/>
        </w:rPr>
        <w:t xml:space="preserve"> and the broader Australian public. </w:t>
      </w:r>
      <w:r w:rsidR="00BB066E">
        <w:rPr>
          <w:color w:val="000000" w:themeColor="text1"/>
        </w:rPr>
        <w:t xml:space="preserve">The </w:t>
      </w:r>
      <w:r w:rsidRPr="008F0B8A">
        <w:rPr>
          <w:color w:val="000000" w:themeColor="text1"/>
        </w:rPr>
        <w:t>AIATSIS’ vision is a world in which Aboriginal and Torres Strait Islander peoples’ knowledge and cultures are recognised, respected, celebrated and valued.</w:t>
      </w:r>
    </w:p>
    <w:p w14:paraId="3475867D" w14:textId="77777777" w:rsidR="00E315A5" w:rsidRPr="008F0B8A" w:rsidRDefault="00E315A5" w:rsidP="00E315A5">
      <w:pPr>
        <w:rPr>
          <w:color w:val="000000" w:themeColor="text1"/>
        </w:rPr>
      </w:pPr>
      <w:r w:rsidRPr="008F0B8A">
        <w:rPr>
          <w:color w:val="000000" w:themeColor="text1"/>
        </w:rPr>
        <w:t>The mission of AIATSIS is to tell the story of Aboriginal and Torres Strait Islander Australia; create opportunities for people to encounter, engage with and be transformed by that story; support and facilitate cultural resurgence; and shape the national narrative. This is achieved through AIATSIS’ key strategies:</w:t>
      </w:r>
    </w:p>
    <w:p w14:paraId="1BB547D3" w14:textId="77777777" w:rsidR="00E315A5" w:rsidRPr="008F0B8A" w:rsidRDefault="00E315A5" w:rsidP="00B64779">
      <w:pPr>
        <w:numPr>
          <w:ilvl w:val="0"/>
          <w:numId w:val="4"/>
        </w:numPr>
        <w:tabs>
          <w:tab w:val="clear" w:pos="284"/>
        </w:tabs>
        <w:autoSpaceDE w:val="0"/>
        <w:autoSpaceDN w:val="0"/>
        <w:adjustRightInd w:val="0"/>
        <w:spacing w:after="60" w:line="240" w:lineRule="exact"/>
        <w:ind w:left="357" w:hanging="357"/>
      </w:pPr>
      <w:r w:rsidRPr="008F0B8A">
        <w:t>build and preserve a national co</w:t>
      </w:r>
      <w:r w:rsidR="00BB066E">
        <w:t>llection and make it accessible</w:t>
      </w:r>
    </w:p>
    <w:p w14:paraId="14911809" w14:textId="77777777" w:rsidR="00E315A5" w:rsidRPr="008F0B8A" w:rsidRDefault="00E315A5" w:rsidP="00B64779">
      <w:pPr>
        <w:numPr>
          <w:ilvl w:val="0"/>
          <w:numId w:val="4"/>
        </w:numPr>
        <w:tabs>
          <w:tab w:val="clear" w:pos="284"/>
        </w:tabs>
        <w:autoSpaceDE w:val="0"/>
        <w:autoSpaceDN w:val="0"/>
        <w:adjustRightInd w:val="0"/>
        <w:spacing w:after="60" w:line="240" w:lineRule="exact"/>
        <w:ind w:left="357" w:hanging="357"/>
      </w:pPr>
      <w:r w:rsidRPr="008F0B8A">
        <w:t xml:space="preserve">promote better understanding of Indigenous </w:t>
      </w:r>
      <w:r w:rsidR="00BB066E">
        <w:t>peoples’, cultures and heritage</w:t>
      </w:r>
    </w:p>
    <w:p w14:paraId="1D53D575" w14:textId="77777777" w:rsidR="00E315A5" w:rsidRPr="008F0B8A" w:rsidRDefault="00E315A5" w:rsidP="00B64779">
      <w:pPr>
        <w:numPr>
          <w:ilvl w:val="0"/>
          <w:numId w:val="4"/>
        </w:numPr>
        <w:tabs>
          <w:tab w:val="clear" w:pos="284"/>
        </w:tabs>
        <w:autoSpaceDE w:val="0"/>
        <w:autoSpaceDN w:val="0"/>
        <w:adjustRightInd w:val="0"/>
        <w:spacing w:after="60" w:line="240" w:lineRule="exact"/>
        <w:ind w:left="357" w:hanging="357"/>
      </w:pPr>
      <w:r w:rsidRPr="008F0B8A">
        <w:t>lead and influence on Aboriginal and Torres Strait Islander research, et</w:t>
      </w:r>
      <w:r w:rsidR="00BB066E">
        <w:t>hics, protocols and collections</w:t>
      </w:r>
    </w:p>
    <w:p w14:paraId="3430A838" w14:textId="77777777" w:rsidR="00E315A5" w:rsidRPr="008F0B8A" w:rsidRDefault="00E315A5" w:rsidP="00B64779">
      <w:pPr>
        <w:numPr>
          <w:ilvl w:val="0"/>
          <w:numId w:val="4"/>
        </w:numPr>
        <w:tabs>
          <w:tab w:val="clear" w:pos="284"/>
        </w:tabs>
        <w:autoSpaceDE w:val="0"/>
        <w:autoSpaceDN w:val="0"/>
        <w:adjustRightInd w:val="0"/>
        <w:spacing w:after="60" w:line="240" w:lineRule="exact"/>
        <w:ind w:left="357" w:hanging="357"/>
      </w:pPr>
      <w:r w:rsidRPr="008F0B8A">
        <w:t>partner and collaborate with our commun</w:t>
      </w:r>
      <w:r w:rsidR="00BB066E">
        <w:t>ities, partners and governments,</w:t>
      </w:r>
      <w:r w:rsidRPr="008F0B8A">
        <w:t xml:space="preserve"> and</w:t>
      </w:r>
    </w:p>
    <w:p w14:paraId="49B24775" w14:textId="77777777" w:rsidR="00E315A5" w:rsidRPr="008F0B8A" w:rsidRDefault="00E315A5" w:rsidP="00B64779">
      <w:pPr>
        <w:numPr>
          <w:ilvl w:val="0"/>
          <w:numId w:val="4"/>
        </w:numPr>
        <w:tabs>
          <w:tab w:val="clear" w:pos="284"/>
        </w:tabs>
        <w:autoSpaceDE w:val="0"/>
        <w:autoSpaceDN w:val="0"/>
        <w:adjustRightInd w:val="0"/>
        <w:spacing w:after="60" w:line="240" w:lineRule="exact"/>
        <w:ind w:left="357" w:hanging="357"/>
        <w:rPr>
          <w:color w:val="000000" w:themeColor="text1"/>
        </w:rPr>
      </w:pPr>
      <w:r w:rsidRPr="008F0B8A">
        <w:t>advise on Aboriginal and Torres Strait Islander cultures and heritage</w:t>
      </w:r>
      <w:r w:rsidRPr="008F0B8A">
        <w:rPr>
          <w:color w:val="000000" w:themeColor="text1"/>
        </w:rPr>
        <w:t>.</w:t>
      </w:r>
    </w:p>
    <w:p w14:paraId="576C288C" w14:textId="77777777" w:rsidR="00E315A5" w:rsidRDefault="00E315A5" w:rsidP="00E315A5">
      <w:pPr>
        <w:pStyle w:val="Heading3"/>
      </w:pPr>
      <w:r w:rsidRPr="0079797F">
        <w:br w:type="page"/>
      </w:r>
      <w:bookmarkStart w:id="224" w:name="_Toc98766365"/>
      <w:bookmarkStart w:id="225" w:name="_Toc98856111"/>
      <w:bookmarkStart w:id="226" w:name="_Toc98932863"/>
      <w:bookmarkStart w:id="227" w:name="_Toc99008120"/>
      <w:bookmarkStart w:id="228" w:name="_Toc99009482"/>
      <w:bookmarkStart w:id="229" w:name="_Toc99010710"/>
      <w:bookmarkStart w:id="230" w:name="_Toc99013945"/>
      <w:bookmarkStart w:id="231" w:name="_Toc99187522"/>
      <w:bookmarkStart w:id="232" w:name="_Toc99269631"/>
      <w:r>
        <w:lastRenderedPageBreak/>
        <w:t>1.2</w:t>
      </w:r>
      <w:r>
        <w:tab/>
        <w:t>Entity resource statement</w:t>
      </w:r>
      <w:bookmarkEnd w:id="224"/>
      <w:bookmarkEnd w:id="225"/>
      <w:bookmarkEnd w:id="226"/>
      <w:bookmarkEnd w:id="227"/>
      <w:bookmarkEnd w:id="228"/>
      <w:bookmarkEnd w:id="229"/>
      <w:bookmarkEnd w:id="230"/>
      <w:bookmarkEnd w:id="231"/>
      <w:bookmarkEnd w:id="232"/>
    </w:p>
    <w:p w14:paraId="6B5C62EA" w14:textId="77777777" w:rsidR="00E315A5" w:rsidRDefault="00E315A5" w:rsidP="00E315A5">
      <w:r>
        <w:t xml:space="preserve">Table 1.1 shows the total funding from all sources available to the </w:t>
      </w:r>
      <w:r w:rsidR="00BB066E">
        <w:t>AIATSIS</w:t>
      </w:r>
      <w:r>
        <w:t xml:space="preserve"> for its operations and to deliver programs and services on behalf of the Government.</w:t>
      </w:r>
    </w:p>
    <w:p w14:paraId="524BA5F7" w14:textId="77777777" w:rsidR="00E315A5" w:rsidRDefault="00E315A5" w:rsidP="00E315A5">
      <w:r>
        <w:t>The table summarises how resources will be applied by outcome (government strategic policy objectives) and by administered (on behalf of the Government or the public) and departmental (for the entity’s operations) classification.</w:t>
      </w:r>
    </w:p>
    <w:p w14:paraId="3B2AD16B" w14:textId="77777777" w:rsidR="00E315A5" w:rsidRDefault="00E315A5" w:rsidP="00E315A5">
      <w:r>
        <w:t xml:space="preserve">For more detailed information on special accounts and special appropriations, please refer to </w:t>
      </w:r>
      <w:r w:rsidRPr="00BB066E">
        <w:t>Budget Paper No. 4 – Agency Resourcing.</w:t>
      </w:r>
    </w:p>
    <w:p w14:paraId="74B0C3CB" w14:textId="77777777" w:rsidR="00E315A5" w:rsidRDefault="00E315A5" w:rsidP="00E315A5">
      <w:r>
        <w:t xml:space="preserve">Information in this table is presented on a resourcing (that is, appropriations/cash available) basis, whilst the ‘Budgeted expenses by Outcome </w:t>
      </w:r>
      <w:r w:rsidR="00BB066E">
        <w:t>1</w:t>
      </w:r>
      <w:r>
        <w:t>’ tables in Section 2 and the financial statements in Section 3 are presented on an accrual basis.</w:t>
      </w:r>
    </w:p>
    <w:p w14:paraId="3C543F5A" w14:textId="77777777" w:rsidR="00E315A5" w:rsidRPr="00FE1091" w:rsidRDefault="00E315A5" w:rsidP="00E315A5">
      <w:pPr>
        <w:pStyle w:val="TableHeading"/>
        <w:rPr>
          <w:b w:val="0"/>
          <w:lang w:val="en-AU"/>
        </w:rPr>
      </w:pPr>
      <w:r>
        <w:br w:type="page"/>
      </w:r>
      <w:r w:rsidRPr="00D44150">
        <w:lastRenderedPageBreak/>
        <w:t xml:space="preserve">Table 1.1: </w:t>
      </w:r>
      <w:r>
        <w:rPr>
          <w:lang w:val="en-AU"/>
        </w:rPr>
        <w:t>AIATSIS</w:t>
      </w:r>
      <w:r w:rsidRPr="00D44150">
        <w:t xml:space="preserve"> resource statement</w:t>
      </w:r>
      <w:r>
        <w:t xml:space="preserve"> — Budget 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070F3C3C" w14:textId="77777777" w:rsidR="00E315A5" w:rsidRPr="002F3F9D" w:rsidRDefault="005E63E9" w:rsidP="00E315A5">
      <w:pPr>
        <w:pStyle w:val="TableGraphic"/>
        <w:rPr>
          <w:rFonts w:ascii="Arial" w:hAnsi="Arial"/>
          <w:color w:val="000000"/>
          <w:lang w:val="x-none" w:eastAsia="x-none"/>
        </w:rPr>
      </w:pPr>
      <w:r w:rsidRPr="005E63E9">
        <w:rPr>
          <w:noProof/>
        </w:rPr>
        <w:drawing>
          <wp:inline distT="0" distB="0" distL="0" distR="0" wp14:anchorId="69924E8D" wp14:editId="2CDC5D47">
            <wp:extent cx="4895850" cy="2475225"/>
            <wp:effectExtent l="0" t="0" r="0" b="190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95850" cy="2475225"/>
                    </a:xfrm>
                    <a:prstGeom prst="rect">
                      <a:avLst/>
                    </a:prstGeom>
                    <a:noFill/>
                    <a:ln>
                      <a:noFill/>
                    </a:ln>
                  </pic:spPr>
                </pic:pic>
              </a:graphicData>
            </a:graphic>
          </wp:inline>
        </w:drawing>
      </w:r>
    </w:p>
    <w:p w14:paraId="6E8689C8" w14:textId="77777777" w:rsidR="00E315A5" w:rsidRPr="00CB2844" w:rsidRDefault="00E315A5" w:rsidP="00E315A5">
      <w:pPr>
        <w:pStyle w:val="ChartandTableFootnote"/>
      </w:pPr>
      <w:r w:rsidRPr="00696AA8">
        <w:t>All figures shown above are GST exclusive - these may not match figures in the cash flow statement.</w:t>
      </w:r>
    </w:p>
    <w:p w14:paraId="3A60C281" w14:textId="77777777" w:rsidR="00E315A5" w:rsidRDefault="00E315A5" w:rsidP="00E315A5">
      <w:pPr>
        <w:pStyle w:val="ChartandTableFootnote"/>
      </w:pPr>
      <w:r>
        <w:t>Prepared on a resourcing (</w:t>
      </w:r>
      <w:r>
        <w:rPr>
          <w:lang w:val="en-AU"/>
        </w:rPr>
        <w:t>that is,</w:t>
      </w:r>
      <w:r>
        <w:t xml:space="preserve"> appropriations available) basis.</w:t>
      </w:r>
    </w:p>
    <w:p w14:paraId="2D12AAA7" w14:textId="77777777" w:rsidR="00B66486" w:rsidRPr="00C50825" w:rsidRDefault="00B66486" w:rsidP="00B66486">
      <w:pPr>
        <w:pStyle w:val="ListParagraph"/>
        <w:numPr>
          <w:ilvl w:val="0"/>
          <w:numId w:val="97"/>
        </w:numPr>
        <w:spacing w:after="0" w:line="240" w:lineRule="auto"/>
        <w:rPr>
          <w:rFonts w:ascii="Arial" w:hAnsi="Arial" w:cs="Arial"/>
          <w:color w:val="000000"/>
          <w:sz w:val="16"/>
          <w:szCs w:val="16"/>
        </w:rPr>
      </w:pPr>
      <w:r w:rsidRPr="00CE30D5">
        <w:rPr>
          <w:rFonts w:ascii="Arial" w:hAnsi="Arial" w:cs="Arial"/>
          <w:color w:val="000000"/>
          <w:sz w:val="16"/>
          <w:szCs w:val="16"/>
        </w:rPr>
        <w:t>2021-22 an</w:t>
      </w:r>
      <w:r w:rsidR="00E6223B">
        <w:rPr>
          <w:rFonts w:ascii="Arial" w:hAnsi="Arial" w:cs="Arial"/>
          <w:color w:val="000000"/>
          <w:sz w:val="16"/>
          <w:szCs w:val="16"/>
        </w:rPr>
        <w:t>nual appropriations exclude $6.8</w:t>
      </w:r>
      <w:r w:rsidRPr="00CE30D5">
        <w:rPr>
          <w:rFonts w:ascii="Arial" w:hAnsi="Arial" w:cs="Arial"/>
          <w:color w:val="000000"/>
          <w:sz w:val="16"/>
          <w:szCs w:val="16"/>
        </w:rPr>
        <w:t>m in Appropriation Bill (No. 3) 2021-22 which is yet to receive Royal Assent</w:t>
      </w:r>
      <w:r>
        <w:rPr>
          <w:rFonts w:ascii="Arial" w:hAnsi="Arial" w:cs="Arial"/>
          <w:color w:val="000000"/>
          <w:sz w:val="16"/>
          <w:szCs w:val="16"/>
        </w:rPr>
        <w:t>.</w:t>
      </w:r>
      <w:r w:rsidRPr="00C50825">
        <w:rPr>
          <w:rFonts w:ascii="Arial" w:hAnsi="Arial" w:cs="Arial"/>
          <w:color w:val="000000"/>
          <w:sz w:val="16"/>
          <w:szCs w:val="16"/>
        </w:rPr>
        <w:tab/>
      </w:r>
    </w:p>
    <w:p w14:paraId="40298FB3" w14:textId="77777777" w:rsidR="00E315A5" w:rsidRPr="005E63E9" w:rsidRDefault="00E315A5" w:rsidP="00392A48">
      <w:pPr>
        <w:pStyle w:val="ChartandTableFootnoteAlpha"/>
        <w:numPr>
          <w:ilvl w:val="0"/>
          <w:numId w:val="97"/>
        </w:numPr>
      </w:pPr>
      <w:r w:rsidRPr="005E63E9">
        <w:rPr>
          <w:color w:val="000000"/>
        </w:rPr>
        <w:t>Appropriation Bill (No. 2) 2022-23.</w:t>
      </w:r>
    </w:p>
    <w:p w14:paraId="157AA75D" w14:textId="77777777" w:rsidR="00137726" w:rsidRDefault="00E315A5" w:rsidP="00137726">
      <w:pPr>
        <w:pStyle w:val="Heading3"/>
        <w:spacing w:before="0"/>
      </w:pPr>
      <w:r>
        <w:br w:type="page"/>
      </w:r>
      <w:bookmarkStart w:id="233" w:name="_Toc98766366"/>
      <w:bookmarkStart w:id="234" w:name="_Toc98856112"/>
      <w:bookmarkStart w:id="235" w:name="_Toc98932864"/>
      <w:bookmarkStart w:id="236" w:name="_Toc99008121"/>
      <w:bookmarkStart w:id="237" w:name="_Toc99009483"/>
      <w:bookmarkStart w:id="238" w:name="_Toc99010711"/>
      <w:bookmarkStart w:id="239" w:name="_Toc99013946"/>
      <w:bookmarkStart w:id="240" w:name="_Toc99187523"/>
      <w:bookmarkStart w:id="241" w:name="_Toc99269632"/>
      <w:r w:rsidRPr="005A7C0B">
        <w:lastRenderedPageBreak/>
        <w:t>1.3</w:t>
      </w:r>
      <w:r w:rsidRPr="005A7C0B">
        <w:tab/>
        <w:t>Budget measures</w:t>
      </w:r>
      <w:bookmarkEnd w:id="233"/>
      <w:bookmarkEnd w:id="234"/>
      <w:bookmarkEnd w:id="235"/>
      <w:bookmarkEnd w:id="236"/>
      <w:bookmarkEnd w:id="237"/>
      <w:bookmarkEnd w:id="238"/>
      <w:bookmarkEnd w:id="239"/>
      <w:bookmarkEnd w:id="240"/>
      <w:bookmarkEnd w:id="241"/>
    </w:p>
    <w:p w14:paraId="1D734C64" w14:textId="77777777" w:rsidR="006613E1" w:rsidRPr="00137726" w:rsidRDefault="00137726" w:rsidP="00137726">
      <w:pPr>
        <w:pStyle w:val="Heading3"/>
        <w:spacing w:before="0"/>
      </w:pPr>
      <w:bookmarkStart w:id="242" w:name="_Toc98856113"/>
      <w:bookmarkStart w:id="243" w:name="_Toc98932865"/>
      <w:bookmarkStart w:id="244" w:name="_Toc99008122"/>
      <w:bookmarkStart w:id="245" w:name="_Toc99009484"/>
      <w:bookmarkStart w:id="246" w:name="_Toc99010712"/>
      <w:bookmarkStart w:id="247" w:name="_Toc99013947"/>
      <w:bookmarkStart w:id="248" w:name="_Toc99187524"/>
      <w:bookmarkStart w:id="249" w:name="_Toc99269633"/>
      <w:r>
        <w:rPr>
          <w:rFonts w:ascii="Book Antiqua" w:hAnsi="Book Antiqua"/>
          <w:b w:val="0"/>
          <w:color w:val="000000"/>
          <w:lang w:eastAsia="x-none"/>
        </w:rPr>
        <w:t>Th</w:t>
      </w:r>
      <w:r w:rsidR="00E315A5" w:rsidRPr="00677FF7">
        <w:rPr>
          <w:rFonts w:ascii="Book Antiqua" w:hAnsi="Book Antiqua"/>
          <w:b w:val="0"/>
          <w:color w:val="000000"/>
          <w:lang w:eastAsia="x-none"/>
        </w:rPr>
        <w:t>e AIATSIS has no budget measures in the 202</w:t>
      </w:r>
      <w:r w:rsidR="00E315A5">
        <w:rPr>
          <w:rFonts w:ascii="Book Antiqua" w:hAnsi="Book Antiqua"/>
          <w:b w:val="0"/>
          <w:color w:val="000000"/>
          <w:lang w:eastAsia="x-none"/>
        </w:rPr>
        <w:t>2</w:t>
      </w:r>
      <w:r w:rsidR="00E315A5" w:rsidRPr="00677FF7">
        <w:rPr>
          <w:rFonts w:ascii="Book Antiqua" w:hAnsi="Book Antiqua"/>
          <w:b w:val="0"/>
          <w:color w:val="000000"/>
          <w:lang w:eastAsia="x-none"/>
        </w:rPr>
        <w:t>-2</w:t>
      </w:r>
      <w:r w:rsidR="00E315A5">
        <w:rPr>
          <w:rFonts w:ascii="Book Antiqua" w:hAnsi="Book Antiqua"/>
          <w:b w:val="0"/>
          <w:color w:val="000000"/>
          <w:lang w:eastAsia="x-none"/>
        </w:rPr>
        <w:t>3</w:t>
      </w:r>
      <w:r w:rsidR="00E315A5" w:rsidRPr="00677FF7">
        <w:rPr>
          <w:rFonts w:ascii="Book Antiqua" w:hAnsi="Book Antiqua"/>
          <w:b w:val="0"/>
          <w:color w:val="000000"/>
          <w:lang w:eastAsia="x-none"/>
        </w:rPr>
        <w:t xml:space="preserve"> Budget</w:t>
      </w:r>
      <w:r>
        <w:rPr>
          <w:rFonts w:ascii="Book Antiqua" w:hAnsi="Book Antiqua"/>
          <w:b w:val="0"/>
          <w:color w:val="000000"/>
          <w:lang w:eastAsia="x-none"/>
        </w:rPr>
        <w:t>.</w:t>
      </w:r>
      <w:bookmarkEnd w:id="242"/>
      <w:bookmarkEnd w:id="243"/>
      <w:bookmarkEnd w:id="244"/>
      <w:bookmarkEnd w:id="245"/>
      <w:bookmarkEnd w:id="246"/>
      <w:bookmarkEnd w:id="247"/>
      <w:bookmarkEnd w:id="248"/>
      <w:bookmarkEnd w:id="249"/>
    </w:p>
    <w:p w14:paraId="6B46553E" w14:textId="77777777" w:rsidR="006613E1" w:rsidRDefault="006613E1">
      <w:pPr>
        <w:spacing w:after="0" w:line="240" w:lineRule="auto"/>
        <w:jc w:val="left"/>
        <w:rPr>
          <w:color w:val="000000"/>
          <w:lang w:eastAsia="x-none"/>
        </w:rPr>
      </w:pPr>
      <w:r>
        <w:rPr>
          <w:b/>
          <w:color w:val="000000"/>
          <w:lang w:eastAsia="x-none"/>
        </w:rPr>
        <w:br w:type="page"/>
      </w:r>
    </w:p>
    <w:p w14:paraId="04411F37" w14:textId="77777777" w:rsidR="00E315A5" w:rsidRPr="00810C6A" w:rsidRDefault="00E315A5" w:rsidP="006613E1">
      <w:pPr>
        <w:pStyle w:val="Heading2"/>
        <w:spacing w:before="0"/>
      </w:pPr>
      <w:bookmarkStart w:id="250" w:name="_Toc98766367"/>
      <w:bookmarkStart w:id="251" w:name="_Toc98856114"/>
      <w:bookmarkStart w:id="252" w:name="_Toc98932866"/>
      <w:bookmarkStart w:id="253" w:name="_Toc99008123"/>
      <w:bookmarkStart w:id="254" w:name="_Toc99009485"/>
      <w:bookmarkStart w:id="255" w:name="_Toc99010713"/>
      <w:bookmarkStart w:id="256" w:name="_Toc99013948"/>
      <w:bookmarkStart w:id="257" w:name="_Toc99187525"/>
      <w:bookmarkStart w:id="258" w:name="_Toc99269634"/>
      <w:r w:rsidRPr="00810C6A">
        <w:lastRenderedPageBreak/>
        <w:t>Section 2: Outcomes and planned performance</w:t>
      </w:r>
      <w:bookmarkEnd w:id="250"/>
      <w:bookmarkEnd w:id="251"/>
      <w:bookmarkEnd w:id="252"/>
      <w:bookmarkEnd w:id="253"/>
      <w:bookmarkEnd w:id="254"/>
      <w:bookmarkEnd w:id="255"/>
      <w:bookmarkEnd w:id="256"/>
      <w:bookmarkEnd w:id="257"/>
      <w:bookmarkEnd w:id="258"/>
    </w:p>
    <w:p w14:paraId="515745D7" w14:textId="77777777" w:rsidR="00E315A5" w:rsidRPr="005E6F2B" w:rsidRDefault="00E315A5" w:rsidP="00E315A5">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C1F202D" w14:textId="77777777" w:rsidR="00E315A5" w:rsidRDefault="00E315A5" w:rsidP="00E315A5">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E315A5" w14:paraId="7F8D5B80" w14:textId="77777777" w:rsidTr="00E315A5">
        <w:tc>
          <w:tcPr>
            <w:tcW w:w="7700" w:type="dxa"/>
          </w:tcPr>
          <w:p w14:paraId="7122145E" w14:textId="77777777" w:rsidR="00E315A5" w:rsidRPr="006906E4" w:rsidRDefault="00E315A5" w:rsidP="00E315A5">
            <w:pPr>
              <w:spacing w:before="120" w:after="120" w:line="240" w:lineRule="auto"/>
              <w:rPr>
                <w:b/>
              </w:rPr>
            </w:pPr>
            <w:r w:rsidRPr="006906E4">
              <w:rPr>
                <w:b/>
              </w:rPr>
              <w:t>Note:</w:t>
            </w:r>
          </w:p>
          <w:p w14:paraId="437458ED" w14:textId="77777777" w:rsidR="00E315A5" w:rsidRDefault="00E315A5" w:rsidP="00E315A5">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618462D3" w14:textId="77777777" w:rsidR="00E315A5" w:rsidRDefault="00E315A5" w:rsidP="00E315A5">
            <w:r>
              <w:t xml:space="preserve">The most recent corporate plan for AIATSIS can be found at: </w:t>
            </w:r>
            <w:hyperlink r:id="rId116" w:history="1">
              <w:r w:rsidR="005E63E9" w:rsidRPr="00077E13">
                <w:rPr>
                  <w:rStyle w:val="Hyperlink"/>
                </w:rPr>
                <w:t>www.aiatsis.gov.au/about/who-we-are/corporate-information</w:t>
              </w:r>
            </w:hyperlink>
            <w:r>
              <w:t xml:space="preserve"> </w:t>
            </w:r>
          </w:p>
          <w:p w14:paraId="2ED0139E" w14:textId="77777777" w:rsidR="00E315A5" w:rsidRDefault="00E315A5" w:rsidP="005E63E9">
            <w:r>
              <w:t xml:space="preserve">The most recent annual performance statement can be found at: </w:t>
            </w:r>
            <w:hyperlink r:id="rId117" w:history="1">
              <w:r w:rsidR="005E63E9" w:rsidRPr="00077E13">
                <w:rPr>
                  <w:rStyle w:val="Hyperlink"/>
                </w:rPr>
                <w:t>www.aiatsis.gov.au/about/who-we-are/corporate-information</w:t>
              </w:r>
            </w:hyperlink>
          </w:p>
        </w:tc>
      </w:tr>
    </w:tbl>
    <w:p w14:paraId="6CFC4C29" w14:textId="77777777" w:rsidR="00E315A5" w:rsidRDefault="00E315A5" w:rsidP="00E315A5">
      <w:pPr>
        <w:rPr>
          <w:highlight w:val="yellow"/>
        </w:rPr>
      </w:pPr>
    </w:p>
    <w:p w14:paraId="2602BB1B" w14:textId="77777777" w:rsidR="00E315A5" w:rsidRDefault="00E315A5" w:rsidP="00E315A5">
      <w:pPr>
        <w:pStyle w:val="Heading3"/>
        <w:sectPr w:rsidR="00E315A5" w:rsidSect="002061DA">
          <w:headerReference w:type="even" r:id="rId118"/>
          <w:headerReference w:type="default" r:id="rId119"/>
          <w:footerReference w:type="even" r:id="rId120"/>
          <w:footerReference w:type="default" r:id="rId121"/>
          <w:headerReference w:type="first" r:id="rId122"/>
          <w:footerReference w:type="first" r:id="rId123"/>
          <w:type w:val="nextColumn"/>
          <w:pgSz w:w="11906" w:h="16838" w:code="9"/>
          <w:pgMar w:top="2835" w:right="2098" w:bottom="2466" w:left="2098" w:header="1814" w:footer="1814" w:gutter="0"/>
          <w:cols w:space="708"/>
          <w:titlePg/>
          <w:docGrid w:linePitch="360"/>
        </w:sectPr>
      </w:pPr>
    </w:p>
    <w:p w14:paraId="51D0B82D" w14:textId="77777777" w:rsidR="00E315A5" w:rsidRDefault="00E315A5" w:rsidP="00E315A5">
      <w:pPr>
        <w:pStyle w:val="Heading3"/>
      </w:pPr>
      <w:bookmarkStart w:id="259" w:name="_Toc98766368"/>
      <w:bookmarkStart w:id="260" w:name="_Toc98856115"/>
      <w:bookmarkStart w:id="261" w:name="_Toc98932867"/>
      <w:bookmarkStart w:id="262" w:name="_Toc99008124"/>
      <w:bookmarkStart w:id="263" w:name="_Toc99009486"/>
      <w:bookmarkStart w:id="264" w:name="_Toc99010714"/>
      <w:bookmarkStart w:id="265" w:name="_Toc99013949"/>
      <w:bookmarkStart w:id="266" w:name="_Toc99187526"/>
      <w:bookmarkStart w:id="267" w:name="_Toc99269635"/>
      <w:r>
        <w:lastRenderedPageBreak/>
        <w:t>2.1</w:t>
      </w:r>
      <w:r w:rsidRPr="00F743D8">
        <w:t xml:space="preserve"> </w:t>
      </w:r>
      <w:r w:rsidRPr="00F743D8">
        <w:tab/>
        <w:t xml:space="preserve">Budgeted expenses and performance for Outcome </w:t>
      </w:r>
      <w:r>
        <w:t>1</w:t>
      </w:r>
      <w:bookmarkEnd w:id="259"/>
      <w:bookmarkEnd w:id="260"/>
      <w:bookmarkEnd w:id="261"/>
      <w:bookmarkEnd w:id="262"/>
      <w:bookmarkEnd w:id="263"/>
      <w:bookmarkEnd w:id="264"/>
      <w:bookmarkEnd w:id="265"/>
      <w:bookmarkEnd w:id="266"/>
      <w:bookmarkEnd w:id="267"/>
    </w:p>
    <w:p w14:paraId="4F36671F" w14:textId="77777777" w:rsidR="00E315A5" w:rsidRPr="00BF01B4" w:rsidRDefault="00E315A5" w:rsidP="00E315A5">
      <w:pPr>
        <w:spacing w:before="60" w:after="60" w:line="240" w:lineRule="auto"/>
        <w:rPr>
          <w:rFonts w:ascii="Arial" w:hAnsi="Arial"/>
          <w:b/>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E315A5" w:rsidRPr="00BF01B4" w14:paraId="3CEE05CB" w14:textId="77777777" w:rsidTr="00E315A5">
        <w:tc>
          <w:tcPr>
            <w:tcW w:w="7704" w:type="dxa"/>
            <w:shd w:val="clear" w:color="auto" w:fill="E6E6E6"/>
          </w:tcPr>
          <w:p w14:paraId="751EE2C1" w14:textId="77777777" w:rsidR="00E315A5" w:rsidRPr="00BF01B4" w:rsidRDefault="00E315A5" w:rsidP="00137726">
            <w:pPr>
              <w:spacing w:before="60" w:after="60" w:line="240" w:lineRule="auto"/>
              <w:jc w:val="left"/>
              <w:rPr>
                <w:rFonts w:ascii="Arial" w:hAnsi="Arial"/>
                <w:b/>
              </w:rPr>
            </w:pPr>
            <w:r w:rsidRPr="001536B4">
              <w:rPr>
                <w:rFonts w:ascii="Arial" w:hAnsi="Arial"/>
                <w:b/>
              </w:rPr>
              <w:t>Outcome 1: Further understanding of Australian Indigenous cultures, past and present through undertaking and publishing research and prov</w:t>
            </w:r>
            <w:r w:rsidR="00137726">
              <w:rPr>
                <w:rFonts w:ascii="Arial" w:hAnsi="Arial"/>
                <w:b/>
              </w:rPr>
              <w:t>iding access to print and audio</w:t>
            </w:r>
            <w:r w:rsidRPr="001536B4">
              <w:rPr>
                <w:rFonts w:ascii="Arial" w:hAnsi="Arial"/>
                <w:b/>
              </w:rPr>
              <w:t>visual</w:t>
            </w:r>
            <w:r w:rsidR="00137726">
              <w:rPr>
                <w:rFonts w:ascii="Arial" w:hAnsi="Arial"/>
                <w:b/>
              </w:rPr>
              <w:t xml:space="preserve"> </w:t>
            </w:r>
            <w:r w:rsidRPr="001536B4">
              <w:rPr>
                <w:rFonts w:ascii="Arial" w:hAnsi="Arial"/>
                <w:b/>
              </w:rPr>
              <w:t>collections.</w:t>
            </w:r>
          </w:p>
        </w:tc>
      </w:tr>
    </w:tbl>
    <w:p w14:paraId="12610402" w14:textId="77777777" w:rsidR="00E315A5" w:rsidRPr="00E7198B" w:rsidRDefault="00E315A5" w:rsidP="00E315A5"/>
    <w:p w14:paraId="2EE36A3D" w14:textId="77777777" w:rsidR="00E315A5" w:rsidRPr="00446612" w:rsidRDefault="00E315A5" w:rsidP="00E315A5">
      <w:pPr>
        <w:pStyle w:val="Heading5"/>
      </w:pPr>
      <w:r w:rsidRPr="00446612">
        <w:t xml:space="preserve">Budgeted expenses for Outcome </w:t>
      </w:r>
      <w:r>
        <w:t>1</w:t>
      </w:r>
    </w:p>
    <w:p w14:paraId="656F71C3" w14:textId="77777777" w:rsidR="00E315A5" w:rsidRDefault="00E315A5" w:rsidP="00E315A5">
      <w:r w:rsidRPr="00950281">
        <w:t xml:space="preserve">This table shows how much the </w:t>
      </w:r>
      <w:r w:rsidR="00137726">
        <w:t>AIATSIS</w:t>
      </w:r>
      <w:r w:rsidRPr="00950281">
        <w:t xml:space="preserve"> intends to spend (on an accrual basis) on achieving the outcome, broken down by program, as well </w:t>
      </w:r>
      <w:r w:rsidR="005E63E9">
        <w:t>as by a</w:t>
      </w:r>
      <w:r w:rsidRPr="00950281">
        <w:t>dministered an</w:t>
      </w:r>
      <w:r w:rsidR="005E63E9">
        <w:t>d d</w:t>
      </w:r>
      <w:r>
        <w:t>epartmental funding sources.</w:t>
      </w:r>
    </w:p>
    <w:p w14:paraId="7F6C2A3D" w14:textId="77777777" w:rsidR="00E315A5" w:rsidRPr="005E63E9" w:rsidRDefault="00E315A5" w:rsidP="00E315A5">
      <w:pPr>
        <w:spacing w:after="0"/>
        <w:rPr>
          <w:rFonts w:ascii="Arial" w:hAnsi="Arial" w:cs="Arial"/>
          <w:b/>
        </w:rPr>
      </w:pPr>
      <w:r w:rsidRPr="005E63E9">
        <w:rPr>
          <w:rFonts w:ascii="Arial" w:hAnsi="Arial" w:cs="Arial"/>
          <w:b/>
        </w:rPr>
        <w:t>Table 2.1.1: Budgeted expenses for Outcome 1</w:t>
      </w:r>
    </w:p>
    <w:p w14:paraId="739D75A5" w14:textId="77777777" w:rsidR="00E315A5" w:rsidRPr="00446612" w:rsidRDefault="005E63E9" w:rsidP="00E315A5">
      <w:pPr>
        <w:pStyle w:val="ChartandTableFootnote"/>
      </w:pPr>
      <w:r w:rsidRPr="005E63E9">
        <w:rPr>
          <w:noProof/>
          <w:lang w:val="en-AU" w:eastAsia="en-AU"/>
        </w:rPr>
        <w:drawing>
          <wp:inline distT="0" distB="0" distL="0" distR="0" wp14:anchorId="1CF32F68" wp14:editId="386E6E9D">
            <wp:extent cx="4895850" cy="1732662"/>
            <wp:effectExtent l="0" t="0" r="0"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95850" cy="1732662"/>
                    </a:xfrm>
                    <a:prstGeom prst="rect">
                      <a:avLst/>
                    </a:prstGeom>
                    <a:noFill/>
                    <a:ln>
                      <a:noFill/>
                    </a:ln>
                  </pic:spPr>
                </pic:pic>
              </a:graphicData>
            </a:graphic>
          </wp:inline>
        </w:drawing>
      </w:r>
      <w:r w:rsidR="00E315A5" w:rsidRPr="00446612">
        <w:t xml:space="preserve">Note: Departmental appropriation splits and totals are indicative estimates and may change in the course of the </w:t>
      </w:r>
      <w:r w:rsidR="004C12AF">
        <w:t>Budget year</w:t>
      </w:r>
      <w:r w:rsidR="00E315A5" w:rsidRPr="00446612">
        <w:t xml:space="preserve"> as government priorities change.</w:t>
      </w:r>
    </w:p>
    <w:p w14:paraId="7AB73525" w14:textId="77777777" w:rsidR="00E315A5" w:rsidRPr="00446612" w:rsidRDefault="00E315A5" w:rsidP="00E315A5">
      <w:pPr>
        <w:pStyle w:val="NoSpacing"/>
      </w:pPr>
    </w:p>
    <w:p w14:paraId="617ED688" w14:textId="77777777" w:rsidR="00E315A5" w:rsidRPr="00AE599E" w:rsidRDefault="00E315A5" w:rsidP="00E315A5">
      <w:pPr>
        <w:spacing w:after="0"/>
      </w:pPr>
    </w:p>
    <w:p w14:paraId="59F9169E" w14:textId="77777777" w:rsidR="00E315A5" w:rsidRPr="00255731" w:rsidRDefault="00E315A5" w:rsidP="00E315A5">
      <w:pPr>
        <w:pStyle w:val="TableHeading"/>
        <w:rPr>
          <w:lang w:val="en-AU"/>
        </w:rPr>
      </w:pPr>
      <w:r>
        <w:rPr>
          <w:highlight w:val="yellow"/>
          <w:lang w:val="en-US"/>
        </w:rPr>
        <w:br w:type="page"/>
      </w:r>
      <w:r w:rsidRPr="00F71634">
        <w:lastRenderedPageBreak/>
        <w:t>Table 2.</w:t>
      </w:r>
      <w:r>
        <w:rPr>
          <w:lang w:val="en-AU"/>
        </w:rPr>
        <w:t>1</w:t>
      </w:r>
      <w:r w:rsidRPr="00F71634">
        <w:t>.</w:t>
      </w:r>
      <w:r>
        <w:rPr>
          <w:lang w:val="en-AU"/>
        </w:rPr>
        <w:t>2</w:t>
      </w:r>
      <w:r w:rsidRPr="00F71634">
        <w:t xml:space="preserve">: Performance </w:t>
      </w:r>
      <w:r>
        <w:rPr>
          <w:lang w:val="en-AU"/>
        </w:rPr>
        <w:t>measure</w:t>
      </w:r>
      <w:r w:rsidRPr="00F71634">
        <w:t xml:space="preserve"> for Outcome </w:t>
      </w:r>
      <w:r>
        <w:rPr>
          <w:lang w:val="en-AU"/>
        </w:rPr>
        <w:t>1</w:t>
      </w:r>
    </w:p>
    <w:p w14:paraId="43E584DD" w14:textId="77777777" w:rsidR="00E315A5" w:rsidRPr="008F0B8A" w:rsidRDefault="00E315A5" w:rsidP="00E315A5">
      <w:r w:rsidRPr="001B2F81">
        <w:t>Table 2.</w:t>
      </w:r>
      <w:r>
        <w:t>1</w:t>
      </w:r>
      <w:r w:rsidRPr="001B2F81">
        <w:t>.</w:t>
      </w:r>
      <w:r>
        <w:t>2</w:t>
      </w:r>
      <w:r w:rsidRPr="001B2F81">
        <w:t xml:space="preserve"> details the performance measures for each program associated with Outcome</w:t>
      </w:r>
      <w:r>
        <w:t> 1</w:t>
      </w:r>
      <w:r w:rsidRPr="001B2F81">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w:t>
      </w:r>
      <w:r>
        <w:t>2</w:t>
      </w:r>
      <w:r w:rsidRPr="001B2F81">
        <w:t>-</w:t>
      </w:r>
      <w:r>
        <w:t>23</w:t>
      </w:r>
      <w:r w:rsidRPr="001B2F81">
        <w:t xml:space="preserve"> Budget measures t</w:t>
      </w:r>
      <w:r w:rsidRPr="008F0B8A">
        <w:t xml:space="preserve">hat have created new programs or materially changed existing programs are provided. </w:t>
      </w:r>
    </w:p>
    <w:tbl>
      <w:tblPr>
        <w:tblpPr w:leftFromText="180" w:rightFromText="180" w:vertAnchor="text" w:tblpX="-5" w:tblpY="1"/>
        <w:tblOverlap w:val="neve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E315A5" w:rsidRPr="008F0B8A" w14:paraId="0A8B2152" w14:textId="77777777" w:rsidTr="00E315A5">
        <w:tc>
          <w:tcPr>
            <w:tcW w:w="7854" w:type="dxa"/>
            <w:gridSpan w:val="3"/>
            <w:shd w:val="clear" w:color="auto" w:fill="F2F2F2"/>
          </w:tcPr>
          <w:p w14:paraId="5726E77A" w14:textId="77777777" w:rsidR="00E315A5" w:rsidRPr="008F0B8A" w:rsidRDefault="00E315A5" w:rsidP="00E315A5">
            <w:pPr>
              <w:spacing w:before="60" w:after="60" w:line="240" w:lineRule="auto"/>
              <w:jc w:val="left"/>
              <w:rPr>
                <w:rFonts w:ascii="Arial" w:hAnsi="Arial"/>
                <w:b/>
              </w:rPr>
            </w:pPr>
            <w:r w:rsidRPr="008F0B8A">
              <w:rPr>
                <w:rFonts w:ascii="Arial" w:hAnsi="Arial"/>
                <w:b/>
              </w:rPr>
              <w:t>Outcome 1 – Further understanding of Australian Indigenous cultures, past and present through undertaking and publishing research and providing access to print and audiovisual collections.</w:t>
            </w:r>
          </w:p>
        </w:tc>
      </w:tr>
      <w:tr w:rsidR="00E315A5" w:rsidRPr="008F0B8A" w14:paraId="444D6BA7" w14:textId="77777777" w:rsidTr="00E315A5">
        <w:tc>
          <w:tcPr>
            <w:tcW w:w="7854" w:type="dxa"/>
            <w:gridSpan w:val="3"/>
            <w:tcBorders>
              <w:bottom w:val="double" w:sz="4" w:space="0" w:color="auto"/>
            </w:tcBorders>
            <w:shd w:val="clear" w:color="auto" w:fill="F2F2F2" w:themeFill="background1" w:themeFillShade="F2"/>
          </w:tcPr>
          <w:p w14:paraId="1689ECC8"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Build and preserve a national collection and make it accessible.</w:t>
            </w:r>
          </w:p>
        </w:tc>
      </w:tr>
      <w:tr w:rsidR="00E315A5" w:rsidRPr="008F0B8A" w14:paraId="25609D16" w14:textId="77777777" w:rsidTr="00E315A5">
        <w:tc>
          <w:tcPr>
            <w:tcW w:w="1560" w:type="dxa"/>
            <w:tcBorders>
              <w:bottom w:val="double" w:sz="4" w:space="0" w:color="auto"/>
            </w:tcBorders>
          </w:tcPr>
          <w:p w14:paraId="6927CBF1" w14:textId="77777777" w:rsidR="00E315A5" w:rsidRPr="008F0B8A" w:rsidRDefault="00E315A5" w:rsidP="00E315A5">
            <w:pPr>
              <w:tabs>
                <w:tab w:val="left" w:pos="709"/>
              </w:tabs>
              <w:spacing w:before="60" w:after="60" w:line="240" w:lineRule="auto"/>
              <w:jc w:val="left"/>
              <w:rPr>
                <w:rFonts w:ascii="Arial" w:hAnsi="Arial"/>
                <w:b/>
              </w:rPr>
            </w:pPr>
            <w:r w:rsidRPr="008F0B8A">
              <w:rPr>
                <w:rFonts w:ascii="Arial" w:hAnsi="Arial" w:cs="Arial"/>
                <w:b/>
                <w:sz w:val="16"/>
                <w:szCs w:val="16"/>
              </w:rPr>
              <w:t>Delivery</w:t>
            </w:r>
          </w:p>
        </w:tc>
        <w:tc>
          <w:tcPr>
            <w:tcW w:w="6294" w:type="dxa"/>
            <w:gridSpan w:val="2"/>
            <w:tcBorders>
              <w:bottom w:val="double" w:sz="4" w:space="0" w:color="auto"/>
            </w:tcBorders>
          </w:tcPr>
          <w:p w14:paraId="36C7DA6E" w14:textId="77777777" w:rsidR="00E315A5" w:rsidRPr="008F0B8A" w:rsidRDefault="00E315A5" w:rsidP="00E315A5">
            <w:pPr>
              <w:tabs>
                <w:tab w:val="left" w:pos="709"/>
              </w:tabs>
              <w:spacing w:before="60" w:after="12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Ensure that our collection is representative, relevant and diverse.</w:t>
            </w:r>
          </w:p>
          <w:p w14:paraId="2C138DCC" w14:textId="77777777" w:rsidR="00E315A5" w:rsidRPr="008F0B8A" w:rsidRDefault="00E315A5" w:rsidP="00E315A5">
            <w:pPr>
              <w:tabs>
                <w:tab w:val="left" w:pos="709"/>
              </w:tabs>
              <w:spacing w:before="60" w:after="12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Optimise appropriate accessibility.</w:t>
            </w:r>
          </w:p>
          <w:p w14:paraId="05338ACD" w14:textId="77777777" w:rsidR="00E315A5" w:rsidRPr="008F0B8A" w:rsidRDefault="00E315A5" w:rsidP="00E315A5">
            <w:pPr>
              <w:tabs>
                <w:tab w:val="left" w:pos="709"/>
              </w:tabs>
              <w:spacing w:before="60" w:after="120" w:line="240" w:lineRule="auto"/>
              <w:jc w:val="left"/>
              <w:rPr>
                <w:rFonts w:ascii="Arial" w:hAnsi="Arial"/>
                <w:b/>
              </w:rPr>
            </w:pPr>
            <w:r w:rsidRPr="008F0B8A">
              <w:rPr>
                <w:rFonts w:ascii="Arial" w:hAnsi="Arial" w:cs="Arial"/>
                <w:color w:val="000000" w:themeColor="text1"/>
                <w:sz w:val="16"/>
                <w:szCs w:val="16"/>
              </w:rPr>
              <w:t>Maximise opportunities provided by digital innovation.</w:t>
            </w:r>
          </w:p>
        </w:tc>
      </w:tr>
      <w:tr w:rsidR="00E315A5" w:rsidRPr="008F0B8A" w14:paraId="224CF595" w14:textId="77777777" w:rsidTr="00E315A5">
        <w:tc>
          <w:tcPr>
            <w:tcW w:w="7854" w:type="dxa"/>
            <w:gridSpan w:val="3"/>
            <w:tcBorders>
              <w:top w:val="double" w:sz="4" w:space="0" w:color="auto"/>
              <w:bottom w:val="double" w:sz="4" w:space="0" w:color="auto"/>
            </w:tcBorders>
          </w:tcPr>
          <w:p w14:paraId="06771AD4"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information</w:t>
            </w:r>
          </w:p>
        </w:tc>
      </w:tr>
      <w:tr w:rsidR="00E315A5" w:rsidRPr="008F0B8A" w14:paraId="4737D40C" w14:textId="77777777" w:rsidTr="00E315A5">
        <w:tc>
          <w:tcPr>
            <w:tcW w:w="1560" w:type="dxa"/>
            <w:tcBorders>
              <w:top w:val="double" w:sz="4" w:space="0" w:color="auto"/>
              <w:bottom w:val="single" w:sz="4" w:space="0" w:color="auto"/>
              <w:right w:val="single" w:sz="4" w:space="0" w:color="auto"/>
            </w:tcBorders>
          </w:tcPr>
          <w:p w14:paraId="7D76224D"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380EE79F"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Measures</w:t>
            </w:r>
          </w:p>
        </w:tc>
        <w:tc>
          <w:tcPr>
            <w:tcW w:w="3176" w:type="dxa"/>
            <w:tcBorders>
              <w:top w:val="double" w:sz="4" w:space="0" w:color="auto"/>
              <w:left w:val="single" w:sz="4" w:space="0" w:color="auto"/>
              <w:bottom w:val="single" w:sz="4" w:space="0" w:color="auto"/>
            </w:tcBorders>
          </w:tcPr>
          <w:p w14:paraId="2ED89E26"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Expected Performance Results</w:t>
            </w:r>
          </w:p>
        </w:tc>
      </w:tr>
      <w:tr w:rsidR="00E315A5" w:rsidRPr="008F0B8A" w14:paraId="231D6012" w14:textId="77777777" w:rsidTr="00E315A5">
        <w:tc>
          <w:tcPr>
            <w:tcW w:w="1560" w:type="dxa"/>
            <w:tcBorders>
              <w:top w:val="dotted" w:sz="4" w:space="0" w:color="auto"/>
              <w:bottom w:val="dotted" w:sz="4" w:space="0" w:color="auto"/>
              <w:right w:val="single" w:sz="4" w:space="0" w:color="auto"/>
            </w:tcBorders>
          </w:tcPr>
          <w:p w14:paraId="43CEABB2"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2021-22</w:t>
            </w:r>
          </w:p>
        </w:tc>
        <w:tc>
          <w:tcPr>
            <w:tcW w:w="3118" w:type="dxa"/>
            <w:tcBorders>
              <w:top w:val="dotted" w:sz="4" w:space="0" w:color="auto"/>
              <w:left w:val="single" w:sz="4" w:space="0" w:color="auto"/>
              <w:bottom w:val="dotted" w:sz="4" w:space="0" w:color="auto"/>
              <w:right w:val="single" w:sz="4" w:space="0" w:color="auto"/>
            </w:tcBorders>
          </w:tcPr>
          <w:p w14:paraId="6A9DB59C" w14:textId="77777777" w:rsidR="00E315A5" w:rsidRPr="008F0B8A" w:rsidRDefault="00E315A5" w:rsidP="008A2254">
            <w:pPr>
              <w:numPr>
                <w:ilvl w:val="0"/>
                <w:numId w:val="40"/>
              </w:numPr>
              <w:spacing w:after="0" w:line="240" w:lineRule="auto"/>
              <w:ind w:left="349"/>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Collection growth</w:t>
            </w:r>
          </w:p>
          <w:p w14:paraId="3F4D1BBB" w14:textId="77777777" w:rsidR="00E315A5" w:rsidRPr="008F0B8A" w:rsidRDefault="00E315A5" w:rsidP="008A2254">
            <w:pPr>
              <w:numPr>
                <w:ilvl w:val="0"/>
                <w:numId w:val="40"/>
              </w:numPr>
              <w:spacing w:after="0" w:line="240" w:lineRule="auto"/>
              <w:ind w:left="349"/>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Collection accessibility</w:t>
            </w:r>
          </w:p>
          <w:p w14:paraId="0C2DAAA8" w14:textId="77777777" w:rsidR="00E315A5" w:rsidRPr="008F0B8A" w:rsidRDefault="00E315A5" w:rsidP="008A2254">
            <w:pPr>
              <w:numPr>
                <w:ilvl w:val="0"/>
                <w:numId w:val="40"/>
              </w:numPr>
              <w:spacing w:after="0" w:line="240" w:lineRule="auto"/>
              <w:ind w:left="349"/>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Collection digitisation</w:t>
            </w:r>
          </w:p>
        </w:tc>
        <w:tc>
          <w:tcPr>
            <w:tcW w:w="3176" w:type="dxa"/>
            <w:tcBorders>
              <w:top w:val="dotted" w:sz="4" w:space="0" w:color="auto"/>
              <w:left w:val="single" w:sz="4" w:space="0" w:color="auto"/>
              <w:bottom w:val="dotted" w:sz="4" w:space="0" w:color="auto"/>
            </w:tcBorders>
          </w:tcPr>
          <w:p w14:paraId="4EF89AB7"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Increase in AIATSIS collection growth:</w:t>
            </w:r>
          </w:p>
          <w:p w14:paraId="32543459" w14:textId="77777777" w:rsidR="00E315A5" w:rsidRPr="008F0B8A" w:rsidRDefault="00E315A5" w:rsidP="008A2254">
            <w:pPr>
              <w:pStyle w:val="ListParagraph"/>
              <w:numPr>
                <w:ilvl w:val="0"/>
                <w:numId w:val="45"/>
              </w:numPr>
              <w:spacing w:after="0" w:line="240" w:lineRule="auto"/>
              <w:ind w:left="319"/>
              <w:rPr>
                <w:rFonts w:ascii="Arial" w:hAnsi="Arial" w:cs="Arial"/>
                <w:color w:val="000000" w:themeColor="text1"/>
                <w:sz w:val="16"/>
                <w:szCs w:val="16"/>
              </w:rPr>
            </w:pPr>
            <w:r w:rsidRPr="008F0B8A">
              <w:rPr>
                <w:rFonts w:ascii="Arial" w:hAnsi="Arial" w:cs="Arial"/>
                <w:color w:val="000000" w:themeColor="text1"/>
                <w:sz w:val="16"/>
                <w:szCs w:val="16"/>
              </w:rPr>
              <w:t>2% from 2020-21.</w:t>
            </w:r>
          </w:p>
          <w:p w14:paraId="63691A50"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of requests met and items provided by source and location:</w:t>
            </w:r>
          </w:p>
          <w:p w14:paraId="5223630D" w14:textId="77777777" w:rsidR="00E315A5" w:rsidRPr="008F0B8A" w:rsidRDefault="00E315A5" w:rsidP="008A2254">
            <w:pPr>
              <w:pStyle w:val="ListParagraph"/>
              <w:numPr>
                <w:ilvl w:val="0"/>
                <w:numId w:val="45"/>
              </w:numPr>
              <w:spacing w:after="0" w:line="240" w:lineRule="auto"/>
              <w:ind w:left="319"/>
              <w:rPr>
                <w:rFonts w:ascii="Arial" w:hAnsi="Arial" w:cs="Arial"/>
                <w:color w:val="000000" w:themeColor="text1"/>
                <w:sz w:val="16"/>
                <w:szCs w:val="16"/>
              </w:rPr>
            </w:pPr>
            <w:r w:rsidRPr="008F0B8A">
              <w:rPr>
                <w:rFonts w:ascii="Arial" w:hAnsi="Arial" w:cs="Arial"/>
                <w:color w:val="000000" w:themeColor="text1"/>
                <w:sz w:val="16"/>
                <w:szCs w:val="16"/>
              </w:rPr>
              <w:t>1.5% from 2020-21</w:t>
            </w:r>
          </w:p>
          <w:p w14:paraId="329BCA75" w14:textId="77777777" w:rsidR="00E315A5" w:rsidRPr="008F0B8A" w:rsidRDefault="00E315A5" w:rsidP="008A2254">
            <w:pPr>
              <w:pStyle w:val="ListParagraph"/>
              <w:numPr>
                <w:ilvl w:val="0"/>
                <w:numId w:val="45"/>
              </w:numPr>
              <w:spacing w:after="0" w:line="240" w:lineRule="auto"/>
              <w:ind w:left="319"/>
              <w:rPr>
                <w:rFonts w:ascii="Arial" w:hAnsi="Arial" w:cs="Arial"/>
                <w:color w:val="000000" w:themeColor="text1"/>
                <w:sz w:val="16"/>
                <w:szCs w:val="16"/>
              </w:rPr>
            </w:pPr>
            <w:r w:rsidRPr="008F0B8A">
              <w:rPr>
                <w:rFonts w:ascii="Arial" w:hAnsi="Arial" w:cs="Arial"/>
                <w:color w:val="000000" w:themeColor="text1"/>
                <w:sz w:val="16"/>
                <w:szCs w:val="16"/>
              </w:rPr>
              <w:t>100% of requests across categories are actioned within 60 days.</w:t>
            </w:r>
          </w:p>
          <w:p w14:paraId="1DB2B117"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Provide an overall increase in the proportion of collection digitised by format:</w:t>
            </w:r>
          </w:p>
          <w:p w14:paraId="6B4076E0" w14:textId="77777777" w:rsidR="00E315A5" w:rsidRPr="008F0B8A" w:rsidRDefault="00E315A5" w:rsidP="008A2254">
            <w:pPr>
              <w:pStyle w:val="ListParagraph"/>
              <w:numPr>
                <w:ilvl w:val="0"/>
                <w:numId w:val="46"/>
              </w:numPr>
              <w:spacing w:after="0" w:line="240" w:lineRule="auto"/>
              <w:ind w:left="319"/>
              <w:rPr>
                <w:rFonts w:ascii="Arial" w:hAnsi="Arial" w:cs="Arial"/>
                <w:color w:val="000000" w:themeColor="text1"/>
                <w:sz w:val="16"/>
                <w:szCs w:val="16"/>
              </w:rPr>
            </w:pPr>
            <w:r w:rsidRPr="008F0B8A">
              <w:rPr>
                <w:rFonts w:ascii="Arial" w:hAnsi="Arial" w:cs="Arial"/>
                <w:color w:val="000000" w:themeColor="text1"/>
                <w:sz w:val="16"/>
                <w:szCs w:val="16"/>
              </w:rPr>
              <w:t>5% from 2020-21.</w:t>
            </w:r>
          </w:p>
        </w:tc>
      </w:tr>
      <w:tr w:rsidR="00E315A5" w:rsidRPr="008F0B8A" w14:paraId="477C7C63" w14:textId="77777777" w:rsidTr="00E315A5">
        <w:tc>
          <w:tcPr>
            <w:tcW w:w="1560" w:type="dxa"/>
            <w:tcBorders>
              <w:top w:val="dotted" w:sz="4" w:space="0" w:color="auto"/>
              <w:bottom w:val="single" w:sz="4" w:space="0" w:color="auto"/>
              <w:right w:val="single" w:sz="4" w:space="0" w:color="auto"/>
            </w:tcBorders>
          </w:tcPr>
          <w:p w14:paraId="38FB4D35"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2022-23</w:t>
            </w:r>
          </w:p>
        </w:tc>
        <w:tc>
          <w:tcPr>
            <w:tcW w:w="3118" w:type="dxa"/>
            <w:tcBorders>
              <w:top w:val="dotted" w:sz="4" w:space="0" w:color="auto"/>
              <w:left w:val="single" w:sz="4" w:space="0" w:color="auto"/>
              <w:bottom w:val="single" w:sz="4" w:space="0" w:color="auto"/>
              <w:right w:val="single" w:sz="4" w:space="0" w:color="auto"/>
            </w:tcBorders>
          </w:tcPr>
          <w:p w14:paraId="1BCDCCB6" w14:textId="77777777" w:rsidR="00E315A5" w:rsidRPr="008F0B8A" w:rsidRDefault="00E315A5" w:rsidP="008A2254">
            <w:pPr>
              <w:numPr>
                <w:ilvl w:val="0"/>
                <w:numId w:val="40"/>
              </w:numPr>
              <w:spacing w:after="0" w:line="240" w:lineRule="auto"/>
              <w:ind w:left="349"/>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Collection growth</w:t>
            </w:r>
          </w:p>
          <w:p w14:paraId="41332F85" w14:textId="77777777" w:rsidR="00E315A5" w:rsidRPr="008F0B8A" w:rsidRDefault="00E315A5" w:rsidP="008A2254">
            <w:pPr>
              <w:numPr>
                <w:ilvl w:val="0"/>
                <w:numId w:val="40"/>
              </w:numPr>
              <w:spacing w:after="0" w:line="240" w:lineRule="auto"/>
              <w:ind w:left="349"/>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Collection accessibility</w:t>
            </w:r>
          </w:p>
          <w:p w14:paraId="63B2CD24" w14:textId="77777777" w:rsidR="00E315A5" w:rsidRPr="008F0B8A" w:rsidRDefault="006D1E32" w:rsidP="008A2254">
            <w:pPr>
              <w:numPr>
                <w:ilvl w:val="0"/>
                <w:numId w:val="40"/>
              </w:numPr>
              <w:spacing w:after="0" w:line="240" w:lineRule="auto"/>
              <w:ind w:left="349"/>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Collection digitis</w:t>
            </w:r>
            <w:r w:rsidR="00E315A5" w:rsidRPr="008F0B8A">
              <w:rPr>
                <w:rFonts w:ascii="Arial" w:eastAsia="Calibri" w:hAnsi="Arial" w:cs="Arial"/>
                <w:color w:val="000000" w:themeColor="text1"/>
                <w:sz w:val="16"/>
                <w:szCs w:val="16"/>
                <w:lang w:val="en-US" w:eastAsia="en-US"/>
              </w:rPr>
              <w:t>ation</w:t>
            </w:r>
          </w:p>
        </w:tc>
        <w:tc>
          <w:tcPr>
            <w:tcW w:w="3176" w:type="dxa"/>
            <w:tcBorders>
              <w:top w:val="dotted" w:sz="4" w:space="0" w:color="auto"/>
              <w:left w:val="single" w:sz="4" w:space="0" w:color="auto"/>
              <w:bottom w:val="single" w:sz="4" w:space="0" w:color="auto"/>
            </w:tcBorders>
          </w:tcPr>
          <w:p w14:paraId="5D74D763"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Increase in AIATSIS collection growth:</w:t>
            </w:r>
          </w:p>
          <w:p w14:paraId="6677CDB9" w14:textId="77777777" w:rsidR="00E315A5" w:rsidRPr="008F0B8A" w:rsidRDefault="00E315A5" w:rsidP="008A2254">
            <w:pPr>
              <w:numPr>
                <w:ilvl w:val="0"/>
                <w:numId w:val="41"/>
              </w:numPr>
              <w:tabs>
                <w:tab w:val="left" w:pos="603"/>
              </w:tabs>
              <w:spacing w:after="0" w:line="240" w:lineRule="auto"/>
              <w:ind w:left="319" w:hanging="283"/>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2% from 2021-22</w:t>
            </w:r>
            <w:r w:rsidR="006D1E32">
              <w:rPr>
                <w:rFonts w:ascii="Arial" w:eastAsia="Calibri" w:hAnsi="Arial" w:cs="Arial"/>
                <w:color w:val="000000" w:themeColor="text1"/>
                <w:sz w:val="16"/>
                <w:szCs w:val="16"/>
                <w:lang w:val="en-US" w:eastAsia="en-US"/>
              </w:rPr>
              <w:t>.</w:t>
            </w:r>
          </w:p>
          <w:p w14:paraId="1D1C2D77"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of requests met and items provided by source and location:</w:t>
            </w:r>
          </w:p>
          <w:p w14:paraId="5D09005A" w14:textId="77777777" w:rsidR="006D1E32" w:rsidRDefault="00E315A5" w:rsidP="008A2254">
            <w:pPr>
              <w:numPr>
                <w:ilvl w:val="0"/>
                <w:numId w:val="39"/>
              </w:numPr>
              <w:tabs>
                <w:tab w:val="left" w:pos="709"/>
              </w:tabs>
              <w:spacing w:after="0" w:line="240" w:lineRule="auto"/>
              <w:ind w:left="319" w:hanging="324"/>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1.5% from 2021-22</w:t>
            </w:r>
          </w:p>
          <w:p w14:paraId="3D5F5988" w14:textId="77777777" w:rsidR="00E315A5" w:rsidRPr="006D1E32" w:rsidRDefault="00E315A5" w:rsidP="008A2254">
            <w:pPr>
              <w:numPr>
                <w:ilvl w:val="0"/>
                <w:numId w:val="39"/>
              </w:numPr>
              <w:tabs>
                <w:tab w:val="left" w:pos="709"/>
              </w:tabs>
              <w:spacing w:after="0" w:line="240" w:lineRule="auto"/>
              <w:ind w:left="319" w:hanging="324"/>
              <w:contextualSpacing/>
              <w:jc w:val="left"/>
              <w:rPr>
                <w:rFonts w:ascii="Arial" w:eastAsia="Calibri" w:hAnsi="Arial" w:cs="Arial"/>
                <w:color w:val="000000" w:themeColor="text1"/>
                <w:sz w:val="16"/>
                <w:szCs w:val="16"/>
                <w:lang w:val="en-US" w:eastAsia="en-US"/>
              </w:rPr>
            </w:pPr>
            <w:r w:rsidRPr="006D1E32">
              <w:rPr>
                <w:rFonts w:ascii="Arial" w:eastAsia="Calibri" w:hAnsi="Arial" w:cs="Arial"/>
                <w:color w:val="000000" w:themeColor="text1"/>
                <w:sz w:val="16"/>
                <w:szCs w:val="16"/>
                <w:lang w:val="en-US" w:eastAsia="en-US"/>
              </w:rPr>
              <w:t>100% of requests across categories are actioned within 60 days.</w:t>
            </w:r>
          </w:p>
          <w:p w14:paraId="0DFA9246"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Provide an overall increase in the proportion of collection digitised by format:</w:t>
            </w:r>
          </w:p>
          <w:p w14:paraId="60CA2F11" w14:textId="77777777" w:rsidR="00E315A5" w:rsidRPr="008F0B8A" w:rsidRDefault="00E315A5" w:rsidP="008A2254">
            <w:pPr>
              <w:pStyle w:val="ListParagraph"/>
              <w:numPr>
                <w:ilvl w:val="0"/>
                <w:numId w:val="41"/>
              </w:numPr>
              <w:spacing w:after="0" w:line="240" w:lineRule="auto"/>
              <w:ind w:left="319"/>
              <w:rPr>
                <w:rFonts w:ascii="Arial" w:hAnsi="Arial" w:cs="Arial"/>
                <w:color w:val="000000" w:themeColor="text1"/>
                <w:sz w:val="16"/>
                <w:szCs w:val="16"/>
              </w:rPr>
            </w:pPr>
            <w:r w:rsidRPr="008F0B8A">
              <w:rPr>
                <w:rFonts w:ascii="Arial" w:hAnsi="Arial" w:cs="Arial"/>
                <w:color w:val="000000" w:themeColor="text1"/>
                <w:sz w:val="16"/>
                <w:szCs w:val="16"/>
              </w:rPr>
              <w:t>5% from 2021-22.</w:t>
            </w:r>
          </w:p>
        </w:tc>
      </w:tr>
      <w:tr w:rsidR="00E315A5" w:rsidRPr="008F0B8A" w14:paraId="3E699292" w14:textId="77777777" w:rsidTr="00E315A5">
        <w:tc>
          <w:tcPr>
            <w:tcW w:w="1560" w:type="dxa"/>
            <w:tcBorders>
              <w:top w:val="single" w:sz="4" w:space="0" w:color="auto"/>
              <w:bottom w:val="single" w:sz="4" w:space="0" w:color="auto"/>
              <w:right w:val="single" w:sz="4" w:space="0" w:color="auto"/>
            </w:tcBorders>
          </w:tcPr>
          <w:p w14:paraId="0DBCBA4F"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2023</w:t>
            </w:r>
            <w:r>
              <w:rPr>
                <w:rFonts w:ascii="Arial" w:hAnsi="Arial" w:cs="Arial"/>
                <w:sz w:val="16"/>
                <w:szCs w:val="16"/>
              </w:rPr>
              <w:t>-24</w:t>
            </w:r>
            <w:r w:rsidRPr="008F0B8A">
              <w:rPr>
                <w:rFonts w:ascii="Arial" w:hAnsi="Arial" w:cs="Arial"/>
                <w:sz w:val="16"/>
                <w:szCs w:val="16"/>
              </w:rPr>
              <w:t xml:space="preserve"> and beyond</w:t>
            </w:r>
          </w:p>
        </w:tc>
        <w:tc>
          <w:tcPr>
            <w:tcW w:w="3118" w:type="dxa"/>
            <w:tcBorders>
              <w:top w:val="single" w:sz="4" w:space="0" w:color="auto"/>
              <w:left w:val="single" w:sz="4" w:space="0" w:color="auto"/>
              <w:bottom w:val="single" w:sz="4" w:space="0" w:color="auto"/>
              <w:right w:val="single" w:sz="4" w:space="0" w:color="auto"/>
            </w:tcBorders>
          </w:tcPr>
          <w:p w14:paraId="1C442219"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c>
          <w:tcPr>
            <w:tcW w:w="3176" w:type="dxa"/>
            <w:tcBorders>
              <w:top w:val="single" w:sz="4" w:space="0" w:color="auto"/>
              <w:left w:val="single" w:sz="4" w:space="0" w:color="auto"/>
              <w:bottom w:val="single" w:sz="4" w:space="0" w:color="auto"/>
            </w:tcBorders>
          </w:tcPr>
          <w:p w14:paraId="7CDCD1CD"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r>
    </w:tbl>
    <w:p w14:paraId="7328B07F" w14:textId="77777777" w:rsidR="00E315A5" w:rsidRPr="008F0B8A" w:rsidRDefault="00E315A5" w:rsidP="00E315A5">
      <w:pPr>
        <w:spacing w:after="0"/>
        <w:rPr>
          <w:rFonts w:ascii="Arial" w:hAnsi="Arial"/>
          <w:b/>
          <w:color w:val="000000"/>
          <w:lang w:val="x-none" w:eastAsia="x-none"/>
        </w:rPr>
      </w:pPr>
    </w:p>
    <w:p w14:paraId="7B07E095" w14:textId="77777777" w:rsidR="00E315A5" w:rsidRPr="008F0B8A" w:rsidRDefault="00E315A5" w:rsidP="00E315A5">
      <w:pPr>
        <w:spacing w:after="0" w:line="240" w:lineRule="auto"/>
        <w:jc w:val="left"/>
        <w:rPr>
          <w:rFonts w:ascii="Arial" w:hAnsi="Arial"/>
          <w:b/>
          <w:color w:val="000000"/>
          <w:lang w:val="x-none" w:eastAsia="x-none"/>
        </w:rPr>
      </w:pPr>
      <w:r w:rsidRPr="008F0B8A">
        <w:rPr>
          <w:rFonts w:ascii="Arial" w:hAnsi="Arial"/>
          <w:b/>
          <w:color w:val="000000"/>
          <w:lang w:val="x-none" w:eastAsia="x-none"/>
        </w:rPr>
        <w:br w:type="page"/>
      </w:r>
    </w:p>
    <w:p w14:paraId="783FBC6C" w14:textId="77777777" w:rsidR="00E315A5" w:rsidRPr="008F0B8A" w:rsidRDefault="00E315A5" w:rsidP="00E315A5">
      <w:pPr>
        <w:spacing w:after="0"/>
        <w:rPr>
          <w:rFonts w:ascii="Arial" w:hAnsi="Arial"/>
          <w:b/>
          <w:color w:val="000000"/>
          <w:lang w:eastAsia="x-none"/>
        </w:rPr>
      </w:pPr>
      <w:r w:rsidRPr="008F0B8A">
        <w:rPr>
          <w:rFonts w:ascii="Arial" w:hAnsi="Arial"/>
          <w:b/>
          <w:color w:val="000000"/>
          <w:lang w:val="x-none" w:eastAsia="x-none"/>
        </w:rPr>
        <w:lastRenderedPageBreak/>
        <w:t>Table 2.1.</w:t>
      </w:r>
      <w:r w:rsidRPr="008F0B8A">
        <w:rPr>
          <w:rFonts w:ascii="Arial" w:hAnsi="Arial"/>
          <w:b/>
          <w:color w:val="000000"/>
          <w:lang w:eastAsia="x-none"/>
        </w:rPr>
        <w:t>2</w:t>
      </w:r>
      <w:r w:rsidRPr="008F0B8A">
        <w:rPr>
          <w:rFonts w:ascii="Arial" w:hAnsi="Arial"/>
          <w:b/>
          <w:color w:val="000000"/>
          <w:lang w:val="x-none" w:eastAsia="x-none"/>
        </w:rPr>
        <w:t>: Performance criteria for Outcome 1</w:t>
      </w:r>
      <w:r w:rsidRPr="008F0B8A">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976"/>
        <w:gridCol w:w="3318"/>
      </w:tblGrid>
      <w:tr w:rsidR="00E315A5" w:rsidRPr="008F0B8A" w14:paraId="021E70C1" w14:textId="77777777" w:rsidTr="00E315A5">
        <w:trPr>
          <w:tblHeader/>
        </w:trPr>
        <w:tc>
          <w:tcPr>
            <w:tcW w:w="7854" w:type="dxa"/>
            <w:gridSpan w:val="3"/>
            <w:shd w:val="clear" w:color="auto" w:fill="F2F2F2"/>
          </w:tcPr>
          <w:p w14:paraId="402C64A9"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Promote better understanding of Indigenous peoples’ cultures and heritage.</w:t>
            </w:r>
          </w:p>
        </w:tc>
      </w:tr>
      <w:tr w:rsidR="00E315A5" w:rsidRPr="008F0B8A" w14:paraId="53D92691" w14:textId="77777777" w:rsidTr="00E315A5">
        <w:tc>
          <w:tcPr>
            <w:tcW w:w="1560" w:type="dxa"/>
            <w:tcBorders>
              <w:bottom w:val="double" w:sz="4" w:space="0" w:color="auto"/>
            </w:tcBorders>
          </w:tcPr>
          <w:p w14:paraId="64D848EB"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Delivery</w:t>
            </w:r>
          </w:p>
        </w:tc>
        <w:tc>
          <w:tcPr>
            <w:tcW w:w="6294" w:type="dxa"/>
            <w:gridSpan w:val="2"/>
            <w:tcBorders>
              <w:bottom w:val="double" w:sz="4" w:space="0" w:color="auto"/>
            </w:tcBorders>
          </w:tcPr>
          <w:p w14:paraId="5872510A"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Provide a national forum for dialogue on Aboriginal and Torres Strait Islander culture.</w:t>
            </w:r>
          </w:p>
          <w:p w14:paraId="349BCC2B" w14:textId="77777777" w:rsidR="00E315A5" w:rsidRPr="008F0B8A" w:rsidRDefault="00E315A5" w:rsidP="00E315A5">
            <w:pPr>
              <w:tabs>
                <w:tab w:val="left" w:pos="709"/>
              </w:tabs>
              <w:spacing w:after="12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Deliver transformative experiences of Aboriginal and Torres Strait Islander cultures, histories and heritage.</w:t>
            </w:r>
          </w:p>
          <w:p w14:paraId="57F457CD"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Deliver high quality exhibitions, products and publications. </w:t>
            </w:r>
          </w:p>
        </w:tc>
      </w:tr>
      <w:tr w:rsidR="00E315A5" w:rsidRPr="008F0B8A" w14:paraId="1BBBF687" w14:textId="77777777" w:rsidTr="00E315A5">
        <w:trPr>
          <w:tblHeader/>
        </w:trPr>
        <w:tc>
          <w:tcPr>
            <w:tcW w:w="7854" w:type="dxa"/>
            <w:gridSpan w:val="3"/>
            <w:tcBorders>
              <w:top w:val="single" w:sz="4" w:space="0" w:color="auto"/>
              <w:bottom w:val="single" w:sz="4" w:space="0" w:color="auto"/>
            </w:tcBorders>
          </w:tcPr>
          <w:p w14:paraId="4CA97360"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information</w:t>
            </w:r>
          </w:p>
        </w:tc>
      </w:tr>
      <w:tr w:rsidR="00E315A5" w:rsidRPr="008F0B8A" w14:paraId="561DE728" w14:textId="77777777" w:rsidTr="00E315A5">
        <w:trPr>
          <w:tblHeader/>
        </w:trPr>
        <w:tc>
          <w:tcPr>
            <w:tcW w:w="1560" w:type="dxa"/>
            <w:tcBorders>
              <w:top w:val="double" w:sz="4" w:space="0" w:color="auto"/>
              <w:bottom w:val="single" w:sz="4" w:space="0" w:color="auto"/>
              <w:right w:val="single" w:sz="4" w:space="0" w:color="auto"/>
            </w:tcBorders>
          </w:tcPr>
          <w:p w14:paraId="14ED6BEB"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Year</w:t>
            </w:r>
          </w:p>
        </w:tc>
        <w:tc>
          <w:tcPr>
            <w:tcW w:w="2976" w:type="dxa"/>
            <w:tcBorders>
              <w:top w:val="double" w:sz="4" w:space="0" w:color="auto"/>
              <w:left w:val="single" w:sz="4" w:space="0" w:color="auto"/>
              <w:bottom w:val="single" w:sz="4" w:space="0" w:color="auto"/>
              <w:right w:val="single" w:sz="4" w:space="0" w:color="auto"/>
            </w:tcBorders>
          </w:tcPr>
          <w:p w14:paraId="7351C5CC"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Measures</w:t>
            </w:r>
          </w:p>
        </w:tc>
        <w:tc>
          <w:tcPr>
            <w:tcW w:w="3318" w:type="dxa"/>
            <w:tcBorders>
              <w:top w:val="double" w:sz="4" w:space="0" w:color="auto"/>
              <w:left w:val="single" w:sz="4" w:space="0" w:color="auto"/>
              <w:bottom w:val="single" w:sz="4" w:space="0" w:color="auto"/>
            </w:tcBorders>
          </w:tcPr>
          <w:p w14:paraId="231E227D"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Expected Performance Results</w:t>
            </w:r>
          </w:p>
        </w:tc>
      </w:tr>
      <w:tr w:rsidR="00E315A5" w:rsidRPr="008F0B8A" w14:paraId="765C3D39" w14:textId="77777777" w:rsidTr="00E315A5">
        <w:trPr>
          <w:trHeight w:val="60"/>
        </w:trPr>
        <w:tc>
          <w:tcPr>
            <w:tcW w:w="1560" w:type="dxa"/>
            <w:tcBorders>
              <w:top w:val="single" w:sz="4" w:space="0" w:color="auto"/>
              <w:bottom w:val="single" w:sz="4" w:space="0" w:color="auto"/>
              <w:right w:val="single" w:sz="4" w:space="0" w:color="auto"/>
            </w:tcBorders>
          </w:tcPr>
          <w:p w14:paraId="5439C9E3"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2021-22</w:t>
            </w:r>
          </w:p>
        </w:tc>
        <w:tc>
          <w:tcPr>
            <w:tcW w:w="2976" w:type="dxa"/>
            <w:tcBorders>
              <w:top w:val="single" w:sz="4" w:space="0" w:color="auto"/>
              <w:left w:val="single" w:sz="4" w:space="0" w:color="auto"/>
              <w:bottom w:val="single" w:sz="4" w:space="0" w:color="auto"/>
              <w:right w:val="single" w:sz="4" w:space="0" w:color="auto"/>
            </w:tcBorders>
          </w:tcPr>
          <w:p w14:paraId="4802F9EF" w14:textId="77777777" w:rsidR="00E315A5" w:rsidRPr="008F0B8A" w:rsidRDefault="00E315A5" w:rsidP="008A2254">
            <w:pPr>
              <w:numPr>
                <w:ilvl w:val="0"/>
                <w:numId w:val="42"/>
              </w:numPr>
              <w:tabs>
                <w:tab w:val="left" w:pos="709"/>
              </w:tabs>
              <w:spacing w:after="12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Communications</w:t>
            </w:r>
          </w:p>
          <w:p w14:paraId="353B11F4" w14:textId="77777777" w:rsidR="00E315A5" w:rsidRPr="008F0B8A" w:rsidRDefault="00E315A5" w:rsidP="008A2254">
            <w:pPr>
              <w:numPr>
                <w:ilvl w:val="0"/>
                <w:numId w:val="42"/>
              </w:numPr>
              <w:tabs>
                <w:tab w:val="left" w:pos="709"/>
              </w:tabs>
              <w:spacing w:after="12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 xml:space="preserve">Education and cultural learning </w:t>
            </w:r>
          </w:p>
          <w:p w14:paraId="362C8619" w14:textId="77777777" w:rsidR="00E315A5" w:rsidRPr="008F0B8A" w:rsidRDefault="00E315A5" w:rsidP="008A2254">
            <w:pPr>
              <w:numPr>
                <w:ilvl w:val="0"/>
                <w:numId w:val="42"/>
              </w:numPr>
              <w:tabs>
                <w:tab w:val="left" w:pos="709"/>
              </w:tabs>
              <w:spacing w:after="12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Public events</w:t>
            </w:r>
          </w:p>
          <w:p w14:paraId="6521395B" w14:textId="77777777" w:rsidR="00E315A5" w:rsidRPr="008F0B8A" w:rsidRDefault="00E315A5" w:rsidP="008A2254">
            <w:pPr>
              <w:numPr>
                <w:ilvl w:val="0"/>
                <w:numId w:val="42"/>
              </w:numPr>
              <w:tabs>
                <w:tab w:val="left" w:pos="709"/>
              </w:tabs>
              <w:spacing w:after="12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Publishing (Aboriginal Studies Press)</w:t>
            </w:r>
          </w:p>
        </w:tc>
        <w:tc>
          <w:tcPr>
            <w:tcW w:w="3318" w:type="dxa"/>
            <w:tcBorders>
              <w:top w:val="single" w:sz="4" w:space="0" w:color="auto"/>
              <w:left w:val="single" w:sz="4" w:space="0" w:color="auto"/>
              <w:bottom w:val="single" w:sz="4" w:space="0" w:color="auto"/>
            </w:tcBorders>
          </w:tcPr>
          <w:p w14:paraId="46A254D0"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quality of public communication, education and engagement assessed through surveys/feedback channels:</w:t>
            </w:r>
          </w:p>
          <w:p w14:paraId="5C9C99F6" w14:textId="77777777" w:rsidR="00E315A5" w:rsidRPr="008F0B8A" w:rsidRDefault="00E315A5" w:rsidP="008A2254">
            <w:pPr>
              <w:pStyle w:val="ListParagraph"/>
              <w:numPr>
                <w:ilvl w:val="0"/>
                <w:numId w:val="41"/>
              </w:numPr>
              <w:spacing w:after="0" w:line="240" w:lineRule="auto"/>
              <w:ind w:left="319"/>
              <w:rPr>
                <w:rFonts w:ascii="Arial" w:hAnsi="Arial" w:cs="Arial"/>
                <w:color w:val="000000" w:themeColor="text1"/>
                <w:sz w:val="16"/>
                <w:szCs w:val="16"/>
              </w:rPr>
            </w:pPr>
            <w:r w:rsidRPr="008F0B8A">
              <w:rPr>
                <w:rFonts w:ascii="Arial" w:hAnsi="Arial" w:cs="Arial"/>
                <w:color w:val="000000" w:themeColor="text1"/>
                <w:sz w:val="16"/>
                <w:szCs w:val="16"/>
              </w:rPr>
              <w:t>70% of respondents assessed indicate high level impact.</w:t>
            </w:r>
          </w:p>
          <w:p w14:paraId="7ECB4981"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Increase in number and type of activities with an education focus measured by:</w:t>
            </w:r>
          </w:p>
          <w:p w14:paraId="57CFE395" w14:textId="77777777" w:rsidR="00E315A5" w:rsidRPr="008F0B8A" w:rsidRDefault="00E315A5" w:rsidP="008A2254">
            <w:pPr>
              <w:numPr>
                <w:ilvl w:val="0"/>
                <w:numId w:val="47"/>
              </w:numPr>
              <w:tabs>
                <w:tab w:val="left" w:pos="461"/>
              </w:tabs>
              <w:spacing w:after="0" w:line="240" w:lineRule="auto"/>
              <w:ind w:left="319"/>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percentage increase in uptake of core cultural learning (sales or users).</w:t>
            </w:r>
          </w:p>
          <w:p w14:paraId="5D5A9F92" w14:textId="77777777" w:rsidR="00E315A5" w:rsidRPr="008F0B8A" w:rsidRDefault="00E315A5" w:rsidP="008A2254">
            <w:pPr>
              <w:numPr>
                <w:ilvl w:val="0"/>
                <w:numId w:val="47"/>
              </w:numPr>
              <w:tabs>
                <w:tab w:val="left" w:pos="461"/>
              </w:tabs>
              <w:spacing w:after="0" w:line="240" w:lineRule="auto"/>
              <w:ind w:left="319"/>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percentage</w:t>
            </w:r>
            <w:r>
              <w:rPr>
                <w:rFonts w:ascii="Arial" w:eastAsia="Calibri" w:hAnsi="Arial" w:cs="Arial"/>
                <w:color w:val="000000" w:themeColor="text1"/>
                <w:sz w:val="16"/>
                <w:szCs w:val="16"/>
                <w:lang w:val="en-US" w:eastAsia="en-US"/>
              </w:rPr>
              <w:t xml:space="preserve"> increase in utilis</w:t>
            </w:r>
            <w:r w:rsidRPr="008F0B8A">
              <w:rPr>
                <w:rFonts w:ascii="Arial" w:eastAsia="Calibri" w:hAnsi="Arial" w:cs="Arial"/>
                <w:color w:val="000000" w:themeColor="text1"/>
                <w:sz w:val="16"/>
                <w:szCs w:val="16"/>
                <w:lang w:val="en-US" w:eastAsia="en-US"/>
              </w:rPr>
              <w:t>ation of education products and services.</w:t>
            </w:r>
          </w:p>
          <w:p w14:paraId="78A89913"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satisfaction of attendees at AIATSIS events:</w:t>
            </w:r>
          </w:p>
          <w:p w14:paraId="77056376"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 annual events.</w:t>
            </w:r>
          </w:p>
          <w:p w14:paraId="24C5A5EC"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70% of respondents indicate high level impact.</w:t>
            </w:r>
          </w:p>
          <w:p w14:paraId="4D7B128B" w14:textId="77777777" w:rsidR="00E315A5" w:rsidRPr="008F0B8A" w:rsidRDefault="00E315A5" w:rsidP="00E315A5">
            <w:pPr>
              <w:tabs>
                <w:tab w:val="left" w:pos="709"/>
              </w:tabs>
              <w:spacing w:after="0" w:line="240" w:lineRule="auto"/>
              <w:rPr>
                <w:rFonts w:ascii="Arial" w:hAnsi="Arial" w:cs="Arial"/>
                <w:color w:val="000000" w:themeColor="text1"/>
                <w:sz w:val="16"/>
                <w:szCs w:val="16"/>
              </w:rPr>
            </w:pPr>
            <w:r w:rsidRPr="008F0B8A">
              <w:rPr>
                <w:rFonts w:ascii="Arial" w:hAnsi="Arial" w:cs="Arial"/>
                <w:color w:val="000000" w:themeColor="text1"/>
                <w:sz w:val="16"/>
                <w:szCs w:val="16"/>
              </w:rPr>
              <w:t>Increase Ind</w:t>
            </w:r>
            <w:r w:rsidR="005E63E9">
              <w:rPr>
                <w:rFonts w:ascii="Arial" w:hAnsi="Arial" w:cs="Arial"/>
                <w:color w:val="000000" w:themeColor="text1"/>
                <w:sz w:val="16"/>
                <w:szCs w:val="16"/>
              </w:rPr>
              <w:t>igenous authorship through ASP p</w:t>
            </w:r>
            <w:r w:rsidRPr="008F0B8A">
              <w:rPr>
                <w:rFonts w:ascii="Arial" w:hAnsi="Arial" w:cs="Arial"/>
                <w:color w:val="000000" w:themeColor="text1"/>
                <w:sz w:val="16"/>
                <w:szCs w:val="16"/>
              </w:rPr>
              <w:t>ublications</w:t>
            </w:r>
          </w:p>
          <w:p w14:paraId="0583471A" w14:textId="77777777" w:rsidR="00E315A5" w:rsidRPr="008F0B8A" w:rsidRDefault="005E63E9"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m</w:t>
            </w:r>
            <w:r w:rsidR="00E315A5" w:rsidRPr="008F0B8A">
              <w:rPr>
                <w:rFonts w:ascii="Arial" w:eastAsia="Calibri" w:hAnsi="Arial" w:cs="Arial"/>
                <w:color w:val="000000" w:themeColor="text1"/>
                <w:sz w:val="16"/>
                <w:szCs w:val="16"/>
                <w:lang w:val="en-US" w:eastAsia="en-US"/>
              </w:rPr>
              <w:t>ajority Indigenous authors.</w:t>
            </w:r>
          </w:p>
          <w:p w14:paraId="184B5371" w14:textId="77777777" w:rsidR="00E315A5" w:rsidRPr="008F0B8A" w:rsidRDefault="005E63E9" w:rsidP="00E315A5">
            <w:pPr>
              <w:tabs>
                <w:tab w:val="left" w:pos="709"/>
              </w:tabs>
              <w:spacing w:after="0" w:line="240" w:lineRule="auto"/>
              <w:rPr>
                <w:rFonts w:ascii="Arial" w:hAnsi="Arial" w:cs="Arial"/>
                <w:color w:val="000000" w:themeColor="text1"/>
                <w:sz w:val="16"/>
                <w:szCs w:val="16"/>
              </w:rPr>
            </w:pPr>
            <w:r>
              <w:rPr>
                <w:rFonts w:ascii="Arial" w:hAnsi="Arial" w:cs="Arial"/>
                <w:color w:val="000000" w:themeColor="text1"/>
                <w:sz w:val="16"/>
                <w:szCs w:val="16"/>
              </w:rPr>
              <w:t>Number of p</w:t>
            </w:r>
            <w:r w:rsidR="00E315A5" w:rsidRPr="008F0B8A">
              <w:rPr>
                <w:rFonts w:ascii="Arial" w:hAnsi="Arial" w:cs="Arial"/>
                <w:color w:val="000000" w:themeColor="text1"/>
                <w:sz w:val="16"/>
                <w:szCs w:val="16"/>
              </w:rPr>
              <w:t>ublications by type:</w:t>
            </w:r>
          </w:p>
          <w:p w14:paraId="1CCCC2DC"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Publish 8 or more publications annually.</w:t>
            </w:r>
          </w:p>
        </w:tc>
      </w:tr>
      <w:tr w:rsidR="00E315A5" w:rsidRPr="008F0B8A" w14:paraId="75E3BF36" w14:textId="77777777" w:rsidTr="00E315A5">
        <w:trPr>
          <w:cantSplit/>
        </w:trPr>
        <w:tc>
          <w:tcPr>
            <w:tcW w:w="1560" w:type="dxa"/>
            <w:tcBorders>
              <w:top w:val="single" w:sz="4" w:space="0" w:color="auto"/>
              <w:bottom w:val="single" w:sz="4" w:space="0" w:color="auto"/>
              <w:right w:val="single" w:sz="4" w:space="0" w:color="auto"/>
            </w:tcBorders>
          </w:tcPr>
          <w:p w14:paraId="4BA5A29A"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2022-23</w:t>
            </w:r>
          </w:p>
        </w:tc>
        <w:tc>
          <w:tcPr>
            <w:tcW w:w="2976" w:type="dxa"/>
            <w:tcBorders>
              <w:top w:val="single" w:sz="4" w:space="0" w:color="auto"/>
              <w:left w:val="single" w:sz="4" w:space="0" w:color="auto"/>
              <w:bottom w:val="single" w:sz="4" w:space="0" w:color="auto"/>
              <w:right w:val="single" w:sz="4" w:space="0" w:color="auto"/>
            </w:tcBorders>
          </w:tcPr>
          <w:p w14:paraId="2C5BC131" w14:textId="77777777" w:rsidR="00E315A5" w:rsidRPr="008F0B8A" w:rsidRDefault="00E315A5" w:rsidP="008A2254">
            <w:pPr>
              <w:numPr>
                <w:ilvl w:val="0"/>
                <w:numId w:val="42"/>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Communications</w:t>
            </w:r>
          </w:p>
          <w:p w14:paraId="570F4712" w14:textId="77777777" w:rsidR="00E315A5" w:rsidRPr="008F0B8A" w:rsidRDefault="00E315A5" w:rsidP="008A2254">
            <w:pPr>
              <w:numPr>
                <w:ilvl w:val="0"/>
                <w:numId w:val="42"/>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 xml:space="preserve">Education and cultural learning </w:t>
            </w:r>
          </w:p>
          <w:p w14:paraId="00266851" w14:textId="77777777" w:rsidR="00E315A5" w:rsidRPr="008F0B8A" w:rsidRDefault="00E315A5" w:rsidP="008A2254">
            <w:pPr>
              <w:numPr>
                <w:ilvl w:val="0"/>
                <w:numId w:val="42"/>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Public events</w:t>
            </w:r>
          </w:p>
          <w:p w14:paraId="5C7C98AE" w14:textId="77777777" w:rsidR="00E315A5" w:rsidRPr="008F0B8A" w:rsidRDefault="00E315A5" w:rsidP="008A2254">
            <w:pPr>
              <w:numPr>
                <w:ilvl w:val="0"/>
                <w:numId w:val="42"/>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Publishing (Aboriginal Studies Press)</w:t>
            </w:r>
          </w:p>
        </w:tc>
        <w:tc>
          <w:tcPr>
            <w:tcW w:w="3318" w:type="dxa"/>
            <w:tcBorders>
              <w:top w:val="single" w:sz="4" w:space="0" w:color="auto"/>
              <w:left w:val="single" w:sz="4" w:space="0" w:color="auto"/>
              <w:bottom w:val="single" w:sz="4" w:space="0" w:color="auto"/>
            </w:tcBorders>
          </w:tcPr>
          <w:p w14:paraId="32FA4054"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quality of public communication, education and engagement assessed through surveys/feedback channels:</w:t>
            </w:r>
          </w:p>
          <w:p w14:paraId="458294B5"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70% of respondents assessed indicate high level impact.</w:t>
            </w:r>
          </w:p>
          <w:p w14:paraId="3D8FB474"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Increase in number and type of activities with an education focus measured by:</w:t>
            </w:r>
          </w:p>
          <w:p w14:paraId="4D0A91AB" w14:textId="77777777" w:rsidR="00E315A5" w:rsidRPr="008F0B8A" w:rsidRDefault="00E315A5" w:rsidP="008A2254">
            <w:pPr>
              <w:numPr>
                <w:ilvl w:val="0"/>
                <w:numId w:val="47"/>
              </w:numPr>
              <w:tabs>
                <w:tab w:val="left" w:pos="461"/>
              </w:tabs>
              <w:spacing w:after="0" w:line="240" w:lineRule="auto"/>
              <w:ind w:left="319"/>
              <w:jc w:val="left"/>
              <w:rPr>
                <w:rFonts w:ascii="Arial" w:eastAsia="Calibri" w:hAnsi="Arial" w:cs="Arial"/>
                <w:color w:val="000000" w:themeColor="text1"/>
                <w:sz w:val="16"/>
                <w:szCs w:val="16"/>
                <w:lang w:val="en-US" w:eastAsia="en-US"/>
              </w:rPr>
            </w:pPr>
            <w:r w:rsidRPr="00733697">
              <w:rPr>
                <w:rFonts w:ascii="Arial" w:eastAsia="Calibri" w:hAnsi="Arial" w:cs="Arial"/>
                <w:color w:val="000000" w:themeColor="text1"/>
                <w:sz w:val="16"/>
                <w:szCs w:val="16"/>
                <w:lang w:eastAsia="en-US"/>
              </w:rPr>
              <w:t>percentage increase in uptake of core cultural learning (sales or users).</w:t>
            </w:r>
          </w:p>
          <w:p w14:paraId="29832A8F" w14:textId="77777777" w:rsidR="00E315A5" w:rsidRPr="008F0B8A" w:rsidRDefault="00AC5C9C" w:rsidP="008A2254">
            <w:pPr>
              <w:numPr>
                <w:ilvl w:val="0"/>
                <w:numId w:val="47"/>
              </w:numPr>
              <w:tabs>
                <w:tab w:val="left" w:pos="461"/>
              </w:tabs>
              <w:spacing w:after="0" w:line="240" w:lineRule="auto"/>
              <w:ind w:left="319"/>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percentage increase in utilis</w:t>
            </w:r>
            <w:r w:rsidR="00E315A5" w:rsidRPr="008F0B8A">
              <w:rPr>
                <w:rFonts w:ascii="Arial" w:eastAsia="Calibri" w:hAnsi="Arial" w:cs="Arial"/>
                <w:color w:val="000000" w:themeColor="text1"/>
                <w:sz w:val="16"/>
                <w:szCs w:val="16"/>
                <w:lang w:val="en-US" w:eastAsia="en-US"/>
              </w:rPr>
              <w:t>ation of education products and services.</w:t>
            </w:r>
          </w:p>
          <w:p w14:paraId="280476D5"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satisfaction of attendees at AIATSIS events:</w:t>
            </w:r>
          </w:p>
          <w:p w14:paraId="4E4F9CC6"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 annual events.</w:t>
            </w:r>
          </w:p>
          <w:p w14:paraId="5F3E3823"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70% of respondents indicate high level impact.</w:t>
            </w:r>
          </w:p>
          <w:p w14:paraId="70FC793E" w14:textId="77777777" w:rsidR="00E315A5" w:rsidRPr="008F0B8A" w:rsidRDefault="00E315A5" w:rsidP="00E315A5">
            <w:pPr>
              <w:tabs>
                <w:tab w:val="left" w:pos="709"/>
              </w:tabs>
              <w:spacing w:after="0" w:line="240" w:lineRule="auto"/>
              <w:rPr>
                <w:rFonts w:ascii="Arial" w:hAnsi="Arial" w:cs="Arial"/>
                <w:color w:val="000000" w:themeColor="text1"/>
                <w:sz w:val="16"/>
                <w:szCs w:val="16"/>
              </w:rPr>
            </w:pPr>
            <w:r w:rsidRPr="008F0B8A">
              <w:rPr>
                <w:rFonts w:ascii="Arial" w:hAnsi="Arial" w:cs="Arial"/>
                <w:color w:val="000000" w:themeColor="text1"/>
                <w:sz w:val="16"/>
                <w:szCs w:val="16"/>
              </w:rPr>
              <w:t>Increase Ind</w:t>
            </w:r>
            <w:r w:rsidR="005E63E9">
              <w:rPr>
                <w:rFonts w:ascii="Arial" w:hAnsi="Arial" w:cs="Arial"/>
                <w:color w:val="000000" w:themeColor="text1"/>
                <w:sz w:val="16"/>
                <w:szCs w:val="16"/>
              </w:rPr>
              <w:t>igenous authorship through ASP p</w:t>
            </w:r>
            <w:r w:rsidRPr="008F0B8A">
              <w:rPr>
                <w:rFonts w:ascii="Arial" w:hAnsi="Arial" w:cs="Arial"/>
                <w:color w:val="000000" w:themeColor="text1"/>
                <w:sz w:val="16"/>
                <w:szCs w:val="16"/>
              </w:rPr>
              <w:t>ublications</w:t>
            </w:r>
          </w:p>
          <w:p w14:paraId="20C43A42" w14:textId="77777777" w:rsidR="00E315A5" w:rsidRDefault="006D1E32"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m</w:t>
            </w:r>
            <w:r w:rsidR="00E315A5" w:rsidRPr="008F0B8A">
              <w:rPr>
                <w:rFonts w:ascii="Arial" w:eastAsia="Calibri" w:hAnsi="Arial" w:cs="Arial"/>
                <w:color w:val="000000" w:themeColor="text1"/>
                <w:sz w:val="16"/>
                <w:szCs w:val="16"/>
                <w:lang w:val="en-US" w:eastAsia="en-US"/>
              </w:rPr>
              <w:t>ajority Indigenous authors.</w:t>
            </w:r>
          </w:p>
          <w:p w14:paraId="22FBBDD6" w14:textId="77777777" w:rsidR="006D1E32" w:rsidRPr="006D1E32" w:rsidRDefault="005E63E9" w:rsidP="006D1E32">
            <w:p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hAnsi="Arial" w:cs="Arial"/>
                <w:color w:val="000000" w:themeColor="text1"/>
                <w:sz w:val="16"/>
                <w:szCs w:val="16"/>
              </w:rPr>
              <w:t>Number of p</w:t>
            </w:r>
            <w:r w:rsidR="006D1E32">
              <w:rPr>
                <w:rFonts w:ascii="Arial" w:hAnsi="Arial" w:cs="Arial"/>
                <w:color w:val="000000" w:themeColor="text1"/>
                <w:sz w:val="16"/>
                <w:szCs w:val="16"/>
              </w:rPr>
              <w:t>ublications by type:</w:t>
            </w:r>
          </w:p>
          <w:p w14:paraId="2EAE75A3" w14:textId="77777777" w:rsidR="00E315A5" w:rsidRPr="006D1E32" w:rsidRDefault="006D1E32"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hAnsi="Arial" w:cs="Arial"/>
                <w:color w:val="000000" w:themeColor="text1"/>
                <w:sz w:val="16"/>
                <w:szCs w:val="16"/>
              </w:rPr>
              <w:t>p</w:t>
            </w:r>
            <w:r w:rsidRPr="008F0B8A">
              <w:rPr>
                <w:rFonts w:ascii="Arial" w:hAnsi="Arial" w:cs="Arial"/>
                <w:color w:val="000000" w:themeColor="text1"/>
                <w:sz w:val="16"/>
                <w:szCs w:val="16"/>
              </w:rPr>
              <w:t>ublish 8 or more publications annually.</w:t>
            </w:r>
          </w:p>
        </w:tc>
      </w:tr>
      <w:tr w:rsidR="00E315A5" w:rsidRPr="008F0B8A" w14:paraId="4F64FE96" w14:textId="77777777" w:rsidTr="00E315A5">
        <w:trPr>
          <w:trHeight w:val="75"/>
        </w:trPr>
        <w:tc>
          <w:tcPr>
            <w:tcW w:w="1560" w:type="dxa"/>
            <w:tcBorders>
              <w:top w:val="single" w:sz="4" w:space="0" w:color="auto"/>
              <w:right w:val="single" w:sz="4" w:space="0" w:color="auto"/>
            </w:tcBorders>
          </w:tcPr>
          <w:p w14:paraId="3D2B6205"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2023-24 and beyond</w:t>
            </w:r>
          </w:p>
        </w:tc>
        <w:tc>
          <w:tcPr>
            <w:tcW w:w="2976" w:type="dxa"/>
            <w:tcBorders>
              <w:top w:val="single" w:sz="4" w:space="0" w:color="auto"/>
              <w:left w:val="single" w:sz="4" w:space="0" w:color="auto"/>
              <w:right w:val="single" w:sz="4" w:space="0" w:color="auto"/>
            </w:tcBorders>
          </w:tcPr>
          <w:p w14:paraId="445C26C5"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c>
          <w:tcPr>
            <w:tcW w:w="3318" w:type="dxa"/>
            <w:tcBorders>
              <w:top w:val="single" w:sz="4" w:space="0" w:color="auto"/>
              <w:left w:val="single" w:sz="4" w:space="0" w:color="auto"/>
            </w:tcBorders>
          </w:tcPr>
          <w:p w14:paraId="1E481BF3" w14:textId="77777777" w:rsidR="00E315A5" w:rsidRPr="008F0B8A" w:rsidRDefault="00E315A5" w:rsidP="00E315A5">
            <w:pPr>
              <w:tabs>
                <w:tab w:val="left" w:pos="709"/>
              </w:tabs>
              <w:spacing w:before="60"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r>
    </w:tbl>
    <w:p w14:paraId="70879B01" w14:textId="77777777" w:rsidR="00E315A5" w:rsidRPr="008F0B8A" w:rsidRDefault="00E315A5" w:rsidP="00E315A5">
      <w:pPr>
        <w:spacing w:after="0" w:line="240" w:lineRule="auto"/>
        <w:rPr>
          <w:rFonts w:ascii="Arial" w:hAnsi="Arial"/>
          <w:b/>
          <w:color w:val="000000"/>
          <w:lang w:val="x-none" w:eastAsia="x-none"/>
        </w:rPr>
      </w:pPr>
      <w:bookmarkStart w:id="268" w:name="_Hlk96417939"/>
    </w:p>
    <w:p w14:paraId="1D525F64" w14:textId="77777777" w:rsidR="00E315A5" w:rsidRPr="008F0B8A" w:rsidRDefault="00E315A5" w:rsidP="00E315A5">
      <w:pPr>
        <w:spacing w:after="0" w:line="240" w:lineRule="auto"/>
        <w:rPr>
          <w:rFonts w:ascii="Arial" w:hAnsi="Arial"/>
          <w:b/>
          <w:color w:val="000000"/>
          <w:lang w:eastAsia="x-none"/>
        </w:rPr>
      </w:pPr>
      <w:r w:rsidRPr="008F0B8A">
        <w:rPr>
          <w:rFonts w:ascii="Arial" w:hAnsi="Arial"/>
          <w:b/>
          <w:color w:val="000000"/>
          <w:lang w:val="x-none" w:eastAsia="x-none"/>
        </w:rPr>
        <w:t>Table 2.1.</w:t>
      </w:r>
      <w:r w:rsidRPr="008F0B8A">
        <w:rPr>
          <w:rFonts w:ascii="Arial" w:hAnsi="Arial"/>
          <w:b/>
          <w:color w:val="000000"/>
          <w:lang w:eastAsia="x-none"/>
        </w:rPr>
        <w:t>2</w:t>
      </w:r>
      <w:r w:rsidRPr="008F0B8A">
        <w:rPr>
          <w:rFonts w:ascii="Arial" w:hAnsi="Arial"/>
          <w:b/>
          <w:color w:val="000000"/>
          <w:lang w:val="x-none" w:eastAsia="x-none"/>
        </w:rPr>
        <w:t>: Performance criteria for Outcome 1</w:t>
      </w:r>
      <w:r w:rsidRPr="008F0B8A">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E315A5" w:rsidRPr="008F0B8A" w14:paraId="472658F5" w14:textId="77777777" w:rsidTr="00E315A5">
        <w:trPr>
          <w:tblHeader/>
        </w:trPr>
        <w:tc>
          <w:tcPr>
            <w:tcW w:w="7854" w:type="dxa"/>
            <w:gridSpan w:val="3"/>
            <w:shd w:val="clear" w:color="auto" w:fill="F2F2F2"/>
          </w:tcPr>
          <w:bookmarkEnd w:id="268"/>
          <w:p w14:paraId="7C2233B3"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Lead and influence on Aboriginal and Torres Strait Islander research, ethics, protocols and collections.</w:t>
            </w:r>
          </w:p>
        </w:tc>
      </w:tr>
      <w:tr w:rsidR="00E315A5" w:rsidRPr="008F0B8A" w14:paraId="10F48B33" w14:textId="77777777" w:rsidTr="00E315A5">
        <w:tc>
          <w:tcPr>
            <w:tcW w:w="1560" w:type="dxa"/>
            <w:tcBorders>
              <w:bottom w:val="double" w:sz="4" w:space="0" w:color="auto"/>
            </w:tcBorders>
          </w:tcPr>
          <w:p w14:paraId="252F7D75"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Delivery</w:t>
            </w:r>
          </w:p>
        </w:tc>
        <w:tc>
          <w:tcPr>
            <w:tcW w:w="6294" w:type="dxa"/>
            <w:gridSpan w:val="2"/>
            <w:tcBorders>
              <w:bottom w:val="double" w:sz="4" w:space="0" w:color="auto"/>
            </w:tcBorders>
          </w:tcPr>
          <w:p w14:paraId="29ECABCD"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Speak authoritatively through evidence based research and culturally based representative networks.</w:t>
            </w:r>
          </w:p>
          <w:p w14:paraId="77879715"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Articulate national priorities for Aboriginal and Torres Strait Islander research.</w:t>
            </w:r>
          </w:p>
          <w:p w14:paraId="27BC0900"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Position AIATSIS as the arbiter of standards in relation to research ethics, Indigenous researc</w:t>
            </w:r>
            <w:r w:rsidR="00E35CEE">
              <w:rPr>
                <w:rFonts w:ascii="Arial" w:hAnsi="Arial" w:cs="Arial"/>
                <w:color w:val="000000" w:themeColor="text1"/>
                <w:sz w:val="16"/>
                <w:szCs w:val="16"/>
              </w:rPr>
              <w:t>h and management of Indigenous c</w:t>
            </w:r>
            <w:r w:rsidRPr="008F0B8A">
              <w:rPr>
                <w:rFonts w:ascii="Arial" w:hAnsi="Arial" w:cs="Arial"/>
                <w:color w:val="000000" w:themeColor="text1"/>
                <w:sz w:val="16"/>
                <w:szCs w:val="16"/>
              </w:rPr>
              <w:t>ollections.</w:t>
            </w:r>
          </w:p>
          <w:p w14:paraId="73B20EF4"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Foster innovation in ethical, impactful research and collection practice.</w:t>
            </w:r>
          </w:p>
        </w:tc>
      </w:tr>
      <w:tr w:rsidR="00E315A5" w:rsidRPr="008F0B8A" w:rsidDel="00F5495F" w14:paraId="04C8228F" w14:textId="77777777" w:rsidTr="00E315A5">
        <w:trPr>
          <w:tblHeader/>
        </w:trPr>
        <w:tc>
          <w:tcPr>
            <w:tcW w:w="7854" w:type="dxa"/>
            <w:gridSpan w:val="3"/>
            <w:tcBorders>
              <w:top w:val="double" w:sz="4" w:space="0" w:color="auto"/>
              <w:bottom w:val="double" w:sz="4" w:space="0" w:color="auto"/>
            </w:tcBorders>
          </w:tcPr>
          <w:p w14:paraId="108CCE04" w14:textId="77777777" w:rsidR="00E315A5" w:rsidRPr="008F0B8A" w:rsidDel="00F5495F" w:rsidRDefault="00E315A5" w:rsidP="00E315A5">
            <w:pPr>
              <w:tabs>
                <w:tab w:val="left" w:pos="709"/>
              </w:tabs>
              <w:spacing w:before="60" w:after="60" w:line="240" w:lineRule="auto"/>
              <w:jc w:val="left"/>
              <w:rPr>
                <w:rFonts w:ascii="Arial" w:hAnsi="Arial" w:cs="Arial"/>
                <w:b/>
                <w:sz w:val="16"/>
                <w:szCs w:val="16"/>
              </w:rPr>
            </w:pPr>
            <w:bookmarkStart w:id="269" w:name="_Hlk96417863"/>
            <w:r w:rsidRPr="008F0B8A">
              <w:rPr>
                <w:rFonts w:ascii="Arial" w:hAnsi="Arial" w:cs="Arial"/>
                <w:b/>
                <w:sz w:val="16"/>
                <w:szCs w:val="16"/>
              </w:rPr>
              <w:t>Performance information</w:t>
            </w:r>
          </w:p>
        </w:tc>
      </w:tr>
      <w:tr w:rsidR="00E315A5" w:rsidRPr="008F0B8A" w14:paraId="11626029" w14:textId="77777777" w:rsidTr="00E315A5">
        <w:trPr>
          <w:tblHeader/>
        </w:trPr>
        <w:tc>
          <w:tcPr>
            <w:tcW w:w="1560" w:type="dxa"/>
            <w:tcBorders>
              <w:top w:val="double" w:sz="4" w:space="0" w:color="auto"/>
              <w:bottom w:val="single" w:sz="4" w:space="0" w:color="auto"/>
              <w:right w:val="single" w:sz="4" w:space="0" w:color="auto"/>
            </w:tcBorders>
          </w:tcPr>
          <w:p w14:paraId="0CE276C8"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66F39E49"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Measures</w:t>
            </w:r>
          </w:p>
        </w:tc>
        <w:tc>
          <w:tcPr>
            <w:tcW w:w="3176" w:type="dxa"/>
            <w:tcBorders>
              <w:top w:val="double" w:sz="4" w:space="0" w:color="auto"/>
              <w:left w:val="single" w:sz="4" w:space="0" w:color="auto"/>
              <w:bottom w:val="single" w:sz="4" w:space="0" w:color="auto"/>
            </w:tcBorders>
          </w:tcPr>
          <w:p w14:paraId="2B0C493D"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Expected Performance Results</w:t>
            </w:r>
          </w:p>
        </w:tc>
      </w:tr>
      <w:tr w:rsidR="00E315A5" w:rsidRPr="008F0B8A" w14:paraId="3615FA21" w14:textId="77777777" w:rsidTr="00E315A5">
        <w:trPr>
          <w:cantSplit/>
          <w:trHeight w:val="60"/>
        </w:trPr>
        <w:tc>
          <w:tcPr>
            <w:tcW w:w="1560" w:type="dxa"/>
            <w:tcBorders>
              <w:top w:val="single" w:sz="4" w:space="0" w:color="auto"/>
              <w:bottom w:val="dotted" w:sz="4" w:space="0" w:color="auto"/>
              <w:right w:val="single" w:sz="4" w:space="0" w:color="auto"/>
            </w:tcBorders>
          </w:tcPr>
          <w:p w14:paraId="060FC4D0"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2021-22</w:t>
            </w:r>
          </w:p>
        </w:tc>
        <w:tc>
          <w:tcPr>
            <w:tcW w:w="3118" w:type="dxa"/>
            <w:tcBorders>
              <w:top w:val="single" w:sz="4" w:space="0" w:color="auto"/>
              <w:left w:val="single" w:sz="4" w:space="0" w:color="auto"/>
              <w:bottom w:val="dotted" w:sz="4" w:space="0" w:color="auto"/>
              <w:right w:val="single" w:sz="4" w:space="0" w:color="auto"/>
            </w:tcBorders>
          </w:tcPr>
          <w:p w14:paraId="25FE10B8" w14:textId="77777777" w:rsidR="00E315A5" w:rsidRPr="008F0B8A" w:rsidRDefault="00E315A5"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 xml:space="preserve">Use and influence of the AIATSIS Code of Ethics (formally </w:t>
            </w:r>
            <w:r w:rsidRPr="008F0B8A">
              <w:rPr>
                <w:rFonts w:ascii="Arial" w:eastAsia="Calibri" w:hAnsi="Arial"/>
                <w:color w:val="000000" w:themeColor="text1"/>
                <w:sz w:val="16"/>
                <w:szCs w:val="16"/>
                <w:lang w:val="en-US" w:eastAsia="en-US"/>
              </w:rPr>
              <w:t>G</w:t>
            </w:r>
            <w:r w:rsidRPr="008F0B8A">
              <w:rPr>
                <w:rFonts w:ascii="Arial" w:eastAsia="Calibri" w:hAnsi="Arial" w:cs="Arial"/>
                <w:color w:val="000000" w:themeColor="text1"/>
                <w:sz w:val="16"/>
                <w:szCs w:val="16"/>
                <w:lang w:val="en-US" w:eastAsia="en-US"/>
              </w:rPr>
              <w:t>uide</w:t>
            </w:r>
            <w:r w:rsidRPr="008F0B8A">
              <w:rPr>
                <w:rFonts w:ascii="Arial" w:eastAsia="Calibri" w:hAnsi="Arial"/>
                <w:color w:val="000000" w:themeColor="text1"/>
                <w:sz w:val="16"/>
                <w:szCs w:val="16"/>
                <w:lang w:val="en-US" w:eastAsia="en-US"/>
              </w:rPr>
              <w:t>lines for Ethical Research in Australian Indigenous Studies (</w:t>
            </w:r>
            <w:r w:rsidRPr="008F0B8A">
              <w:rPr>
                <w:rFonts w:ascii="Arial" w:eastAsia="Calibri" w:hAnsi="Arial" w:cs="Arial"/>
                <w:color w:val="000000" w:themeColor="text1"/>
                <w:sz w:val="16"/>
                <w:szCs w:val="16"/>
                <w:lang w:val="en-US" w:eastAsia="en-US"/>
              </w:rPr>
              <w:t>GERAIS))</w:t>
            </w:r>
          </w:p>
          <w:p w14:paraId="1ED41C51" w14:textId="77777777" w:rsidR="00E315A5" w:rsidRPr="008F0B8A" w:rsidRDefault="00E315A5"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External use</w:t>
            </w:r>
            <w:r w:rsidR="00E35CEE">
              <w:rPr>
                <w:rFonts w:ascii="Arial" w:eastAsia="Calibri" w:hAnsi="Arial" w:cs="Arial"/>
                <w:color w:val="000000" w:themeColor="text1"/>
                <w:sz w:val="16"/>
                <w:szCs w:val="16"/>
                <w:lang w:val="en-US" w:eastAsia="en-US"/>
              </w:rPr>
              <w:t xml:space="preserve"> of e</w:t>
            </w:r>
            <w:r w:rsidRPr="008F0B8A">
              <w:rPr>
                <w:rFonts w:ascii="Arial" w:eastAsia="Calibri" w:hAnsi="Arial" w:cs="Arial"/>
                <w:color w:val="000000" w:themeColor="text1"/>
                <w:sz w:val="16"/>
                <w:szCs w:val="16"/>
                <w:lang w:val="en-US" w:eastAsia="en-US"/>
              </w:rPr>
              <w:t>thics clearances through the Research Ethics Committee</w:t>
            </w:r>
          </w:p>
          <w:p w14:paraId="4A4F0F1D" w14:textId="77777777" w:rsidR="00E315A5" w:rsidRPr="008F0B8A" w:rsidRDefault="00E315A5"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Take up of AIATSIS collections protocols and standards</w:t>
            </w:r>
          </w:p>
          <w:p w14:paraId="5603B482" w14:textId="77777777" w:rsidR="00E315A5" w:rsidRPr="008F0B8A" w:rsidRDefault="00E35CEE"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AIATSIS i</w:t>
            </w:r>
            <w:r w:rsidR="00E315A5" w:rsidRPr="008F0B8A">
              <w:rPr>
                <w:rFonts w:ascii="Arial" w:eastAsia="Calibri" w:hAnsi="Arial" w:cs="Arial"/>
                <w:color w:val="000000" w:themeColor="text1"/>
                <w:sz w:val="16"/>
                <w:szCs w:val="16"/>
                <w:lang w:val="en-US" w:eastAsia="en-US"/>
              </w:rPr>
              <w:t>nfluence in Aborigi</w:t>
            </w:r>
            <w:r>
              <w:rPr>
                <w:rFonts w:ascii="Arial" w:eastAsia="Calibri" w:hAnsi="Arial" w:cs="Arial"/>
                <w:color w:val="000000" w:themeColor="text1"/>
                <w:sz w:val="16"/>
                <w:szCs w:val="16"/>
                <w:lang w:val="en-US" w:eastAsia="en-US"/>
              </w:rPr>
              <w:t>nal and Torres Strait Islander r</w:t>
            </w:r>
            <w:r w:rsidR="00E315A5" w:rsidRPr="008F0B8A">
              <w:rPr>
                <w:rFonts w:ascii="Arial" w:eastAsia="Calibri" w:hAnsi="Arial" w:cs="Arial"/>
                <w:color w:val="000000" w:themeColor="text1"/>
                <w:sz w:val="16"/>
                <w:szCs w:val="16"/>
                <w:lang w:val="en-US" w:eastAsia="en-US"/>
              </w:rPr>
              <w:t>esearch</w:t>
            </w:r>
          </w:p>
        </w:tc>
        <w:tc>
          <w:tcPr>
            <w:tcW w:w="3176" w:type="dxa"/>
            <w:tcBorders>
              <w:top w:val="single" w:sz="4" w:space="0" w:color="auto"/>
              <w:left w:val="single" w:sz="4" w:space="0" w:color="auto"/>
              <w:bottom w:val="dotted" w:sz="4" w:space="0" w:color="auto"/>
            </w:tcBorders>
          </w:tcPr>
          <w:p w14:paraId="6730CB6C"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of times GERAIS (AIATSIS Code of Ethics) utilised:</w:t>
            </w:r>
          </w:p>
          <w:p w14:paraId="55F8D329"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5000 downloads/references.</w:t>
            </w:r>
          </w:p>
          <w:p w14:paraId="45C9BF6F"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of ethics clearances by the AIATSIS Research Ethics Com</w:t>
            </w:r>
            <w:r w:rsidR="006D1E32">
              <w:rPr>
                <w:rFonts w:ascii="Arial" w:eastAsia="Calibri" w:hAnsi="Arial" w:cs="Arial"/>
                <w:color w:val="000000" w:themeColor="text1"/>
                <w:sz w:val="16"/>
                <w:szCs w:val="16"/>
                <w:lang w:val="en-US" w:eastAsia="en-US"/>
              </w:rPr>
              <w:t>mittee</w:t>
            </w:r>
            <w:r w:rsidRPr="008F0B8A">
              <w:rPr>
                <w:rFonts w:ascii="Arial" w:eastAsia="Calibri" w:hAnsi="Arial" w:cs="Arial"/>
                <w:color w:val="000000" w:themeColor="text1"/>
                <w:sz w:val="16"/>
                <w:szCs w:val="16"/>
                <w:lang w:val="en-US" w:eastAsia="en-US"/>
              </w:rPr>
              <w:t>:</w:t>
            </w:r>
          </w:p>
          <w:p w14:paraId="67C1E29C" w14:textId="77777777" w:rsidR="00E315A5" w:rsidRPr="008F0B8A" w:rsidRDefault="006D1E32"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20 a</w:t>
            </w:r>
            <w:r w:rsidR="00E315A5" w:rsidRPr="008F0B8A">
              <w:rPr>
                <w:rFonts w:ascii="Arial" w:eastAsia="Calibri" w:hAnsi="Arial" w:cs="Arial"/>
                <w:color w:val="000000" w:themeColor="text1"/>
                <w:sz w:val="16"/>
                <w:szCs w:val="16"/>
                <w:lang w:val="en-US" w:eastAsia="en-US"/>
              </w:rPr>
              <w:t>nnually.</w:t>
            </w:r>
          </w:p>
          <w:p w14:paraId="141F59FC"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An increase</w:t>
            </w:r>
            <w:r w:rsidR="00E35CEE">
              <w:rPr>
                <w:rFonts w:ascii="Arial" w:eastAsia="Calibri" w:hAnsi="Arial" w:cs="Arial"/>
                <w:color w:val="000000" w:themeColor="text1"/>
                <w:sz w:val="16"/>
                <w:szCs w:val="16"/>
                <w:lang w:val="en-US" w:eastAsia="en-US"/>
              </w:rPr>
              <w:t xml:space="preserve"> in the utilisation of AIATSIS c</w:t>
            </w:r>
            <w:r w:rsidRPr="008F0B8A">
              <w:rPr>
                <w:rFonts w:ascii="Arial" w:eastAsia="Calibri" w:hAnsi="Arial" w:cs="Arial"/>
                <w:color w:val="000000" w:themeColor="text1"/>
                <w:sz w:val="16"/>
                <w:szCs w:val="16"/>
                <w:lang w:val="en-US" w:eastAsia="en-US"/>
              </w:rPr>
              <w:t>ollections’ access and use policy, Austlang and Thesauri:</w:t>
            </w:r>
          </w:p>
          <w:p w14:paraId="11CBCDD3"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600 application and usage events.</w:t>
            </w:r>
          </w:p>
          <w:p w14:paraId="52A3D0BF"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type of requests for advice and input on Aborigi</w:t>
            </w:r>
            <w:r w:rsidR="00E35CEE">
              <w:rPr>
                <w:rFonts w:ascii="Arial" w:eastAsia="Calibri" w:hAnsi="Arial" w:cs="Arial"/>
                <w:color w:val="000000" w:themeColor="text1"/>
                <w:sz w:val="16"/>
                <w:szCs w:val="16"/>
                <w:lang w:val="en-US" w:eastAsia="en-US"/>
              </w:rPr>
              <w:t>nal and Torres Strait Islander r</w:t>
            </w:r>
            <w:r w:rsidRPr="008F0B8A">
              <w:rPr>
                <w:rFonts w:ascii="Arial" w:eastAsia="Calibri" w:hAnsi="Arial" w:cs="Arial"/>
                <w:color w:val="000000" w:themeColor="text1"/>
                <w:sz w:val="16"/>
                <w:szCs w:val="16"/>
                <w:lang w:val="en-US" w:eastAsia="en-US"/>
              </w:rPr>
              <w:t>esearch:</w:t>
            </w:r>
          </w:p>
          <w:p w14:paraId="718C18F5"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+ 15 requests.</w:t>
            </w:r>
          </w:p>
          <w:p w14:paraId="26A66C96"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value of partnerships measured through formal research relationships:</w:t>
            </w:r>
          </w:p>
          <w:p w14:paraId="59A07A73"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 increase in number.</w:t>
            </w:r>
          </w:p>
          <w:p w14:paraId="7C86844F" w14:textId="77777777" w:rsidR="00E315A5" w:rsidRPr="008F0B8A" w:rsidRDefault="00E315A5" w:rsidP="00E315A5">
            <w:pPr>
              <w:tabs>
                <w:tab w:val="left" w:pos="709"/>
              </w:tabs>
              <w:spacing w:after="0" w:line="240" w:lineRule="auto"/>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of publications and presentations by AIATSIS staff by type:</w:t>
            </w:r>
          </w:p>
          <w:p w14:paraId="4F8ED88A" w14:textId="77777777" w:rsidR="00E315A5" w:rsidRPr="008F0B8A" w:rsidRDefault="00E315A5" w:rsidP="008A2254">
            <w:pPr>
              <w:numPr>
                <w:ilvl w:val="0"/>
                <w:numId w:val="39"/>
              </w:numPr>
              <w:tabs>
                <w:tab w:val="left" w:pos="709"/>
              </w:tabs>
              <w:spacing w:after="0" w:line="240" w:lineRule="auto"/>
              <w:jc w:val="left"/>
              <w:rPr>
                <w:rFonts w:ascii="Arial" w:eastAsia="Calibri" w:hAnsi="Arial" w:cs="Arial"/>
                <w:sz w:val="16"/>
                <w:szCs w:val="16"/>
                <w:lang w:val="en-US" w:eastAsia="en-US"/>
              </w:rPr>
            </w:pPr>
            <w:r w:rsidRPr="008F0B8A">
              <w:rPr>
                <w:rFonts w:ascii="Arial" w:eastAsia="Calibri" w:hAnsi="Arial" w:cs="Arial"/>
                <w:color w:val="000000" w:themeColor="text1"/>
                <w:sz w:val="16"/>
                <w:szCs w:val="16"/>
                <w:lang w:val="en-US" w:eastAsia="en-US"/>
              </w:rPr>
              <w:t>100 publications annually</w:t>
            </w:r>
          </w:p>
        </w:tc>
      </w:tr>
      <w:tr w:rsidR="00E315A5" w:rsidRPr="008F0B8A" w14:paraId="368EC105" w14:textId="77777777" w:rsidTr="00E315A5">
        <w:trPr>
          <w:cantSplit/>
        </w:trPr>
        <w:tc>
          <w:tcPr>
            <w:tcW w:w="1560" w:type="dxa"/>
            <w:tcBorders>
              <w:top w:val="dotted" w:sz="4" w:space="0" w:color="auto"/>
              <w:bottom w:val="dotted" w:sz="4" w:space="0" w:color="auto"/>
              <w:right w:val="single" w:sz="4" w:space="0" w:color="auto"/>
            </w:tcBorders>
          </w:tcPr>
          <w:p w14:paraId="04298F38"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2022-23</w:t>
            </w:r>
          </w:p>
        </w:tc>
        <w:tc>
          <w:tcPr>
            <w:tcW w:w="3118" w:type="dxa"/>
            <w:tcBorders>
              <w:top w:val="dotted" w:sz="4" w:space="0" w:color="auto"/>
              <w:left w:val="single" w:sz="4" w:space="0" w:color="auto"/>
              <w:bottom w:val="dotted" w:sz="4" w:space="0" w:color="auto"/>
              <w:right w:val="single" w:sz="4" w:space="0" w:color="auto"/>
            </w:tcBorders>
          </w:tcPr>
          <w:p w14:paraId="496818E8"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Use and influence of the AIATSIS Code of Ethics (formally GERAIS)</w:t>
            </w:r>
          </w:p>
          <w:p w14:paraId="399053A6" w14:textId="77777777" w:rsidR="00E315A5" w:rsidRPr="008F0B8A" w:rsidRDefault="00E35CEE"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External use of e</w:t>
            </w:r>
            <w:r w:rsidR="00E315A5" w:rsidRPr="008F0B8A">
              <w:rPr>
                <w:rFonts w:ascii="Arial" w:eastAsia="Calibri" w:hAnsi="Arial" w:cs="Arial"/>
                <w:color w:val="000000" w:themeColor="text1"/>
                <w:sz w:val="16"/>
                <w:szCs w:val="16"/>
                <w:lang w:val="en-US" w:eastAsia="en-US"/>
              </w:rPr>
              <w:t>thics clearances through the Research Ethics Committee</w:t>
            </w:r>
          </w:p>
          <w:p w14:paraId="70E5D933"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Take up of AIATSIS collections protocols and standards</w:t>
            </w:r>
          </w:p>
          <w:p w14:paraId="3CCA67D3" w14:textId="77777777" w:rsidR="00E315A5" w:rsidRPr="008F0B8A" w:rsidRDefault="00E35CEE"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AIATSIS i</w:t>
            </w:r>
            <w:r w:rsidR="00E315A5" w:rsidRPr="008F0B8A">
              <w:rPr>
                <w:rFonts w:ascii="Arial" w:eastAsia="Calibri" w:hAnsi="Arial" w:cs="Arial"/>
                <w:color w:val="000000" w:themeColor="text1"/>
                <w:sz w:val="16"/>
                <w:szCs w:val="16"/>
                <w:lang w:val="en-US" w:eastAsia="en-US"/>
              </w:rPr>
              <w:t>nfluence in Aborigi</w:t>
            </w:r>
            <w:r>
              <w:rPr>
                <w:rFonts w:ascii="Arial" w:eastAsia="Calibri" w:hAnsi="Arial" w:cs="Arial"/>
                <w:color w:val="000000" w:themeColor="text1"/>
                <w:sz w:val="16"/>
                <w:szCs w:val="16"/>
                <w:lang w:val="en-US" w:eastAsia="en-US"/>
              </w:rPr>
              <w:t>nal and Torres Strait Islander r</w:t>
            </w:r>
            <w:r w:rsidR="00E315A5" w:rsidRPr="008F0B8A">
              <w:rPr>
                <w:rFonts w:ascii="Arial" w:eastAsia="Calibri" w:hAnsi="Arial" w:cs="Arial"/>
                <w:color w:val="000000" w:themeColor="text1"/>
                <w:sz w:val="16"/>
                <w:szCs w:val="16"/>
                <w:lang w:val="en-US" w:eastAsia="en-US"/>
              </w:rPr>
              <w:t>esearch</w:t>
            </w:r>
          </w:p>
        </w:tc>
        <w:tc>
          <w:tcPr>
            <w:tcW w:w="3176" w:type="dxa"/>
            <w:tcBorders>
              <w:top w:val="dotted" w:sz="4" w:space="0" w:color="auto"/>
              <w:left w:val="single" w:sz="4" w:space="0" w:color="auto"/>
              <w:bottom w:val="dotted" w:sz="4" w:space="0" w:color="auto"/>
            </w:tcBorders>
          </w:tcPr>
          <w:p w14:paraId="3BFDCB84"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of times GERAIS (AIATSIS Code of Ethics) utilised:</w:t>
            </w:r>
          </w:p>
          <w:p w14:paraId="127553D5" w14:textId="77777777" w:rsidR="00E315A5" w:rsidRPr="008F0B8A" w:rsidRDefault="00E315A5" w:rsidP="008A2254">
            <w:pPr>
              <w:numPr>
                <w:ilvl w:val="0"/>
                <w:numId w:val="39"/>
              </w:numPr>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5000 downloads/references.</w:t>
            </w:r>
          </w:p>
          <w:p w14:paraId="3A1DD3CB"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of ethics clearances by the AIATSIS Research Ethics Committee:</w:t>
            </w:r>
          </w:p>
          <w:p w14:paraId="2552DC2E" w14:textId="77777777" w:rsidR="00E315A5" w:rsidRPr="008F0B8A" w:rsidRDefault="006A2427" w:rsidP="008A2254">
            <w:pPr>
              <w:numPr>
                <w:ilvl w:val="0"/>
                <w:numId w:val="39"/>
              </w:numPr>
              <w:spacing w:after="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20 a</w:t>
            </w:r>
            <w:r w:rsidR="00E315A5" w:rsidRPr="008F0B8A">
              <w:rPr>
                <w:rFonts w:ascii="Arial" w:eastAsia="Calibri" w:hAnsi="Arial" w:cs="Arial"/>
                <w:color w:val="000000" w:themeColor="text1"/>
                <w:sz w:val="16"/>
                <w:szCs w:val="16"/>
                <w:lang w:val="en-US" w:eastAsia="en-US"/>
              </w:rPr>
              <w:t>nnually.</w:t>
            </w:r>
          </w:p>
          <w:p w14:paraId="76D5847C"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An increase</w:t>
            </w:r>
            <w:r w:rsidR="00E35CEE">
              <w:rPr>
                <w:rFonts w:ascii="Arial" w:eastAsia="Calibri" w:hAnsi="Arial" w:cs="Arial"/>
                <w:color w:val="000000" w:themeColor="text1"/>
                <w:sz w:val="16"/>
                <w:szCs w:val="16"/>
                <w:lang w:val="en-US" w:eastAsia="en-US"/>
              </w:rPr>
              <w:t xml:space="preserve"> in the utilisation of AIATSIS c</w:t>
            </w:r>
            <w:r w:rsidRPr="008F0B8A">
              <w:rPr>
                <w:rFonts w:ascii="Arial" w:eastAsia="Calibri" w:hAnsi="Arial" w:cs="Arial"/>
                <w:color w:val="000000" w:themeColor="text1"/>
                <w:sz w:val="16"/>
                <w:szCs w:val="16"/>
                <w:lang w:val="en-US" w:eastAsia="en-US"/>
              </w:rPr>
              <w:t>ollections’ access and use policy, Austlang and Thesauri:</w:t>
            </w:r>
          </w:p>
          <w:p w14:paraId="78487697" w14:textId="77777777" w:rsidR="00E315A5" w:rsidRPr="008F0B8A" w:rsidRDefault="00E315A5" w:rsidP="008A2254">
            <w:pPr>
              <w:numPr>
                <w:ilvl w:val="0"/>
                <w:numId w:val="39"/>
              </w:numPr>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600 application and usage events.</w:t>
            </w:r>
          </w:p>
          <w:p w14:paraId="0EFA6E47"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 xml:space="preserve">Number and type of requests for advice and input on Aboriginal and </w:t>
            </w:r>
            <w:r w:rsidR="00E35CEE">
              <w:rPr>
                <w:rFonts w:ascii="Arial" w:eastAsia="Calibri" w:hAnsi="Arial" w:cs="Arial"/>
                <w:color w:val="000000" w:themeColor="text1"/>
                <w:sz w:val="16"/>
                <w:szCs w:val="16"/>
                <w:lang w:val="en-US" w:eastAsia="en-US"/>
              </w:rPr>
              <w:t>Torres Strait Islander r</w:t>
            </w:r>
            <w:r w:rsidR="006A2427">
              <w:rPr>
                <w:rFonts w:ascii="Arial" w:eastAsia="Calibri" w:hAnsi="Arial" w:cs="Arial"/>
                <w:color w:val="000000" w:themeColor="text1"/>
                <w:sz w:val="16"/>
                <w:szCs w:val="16"/>
                <w:lang w:val="en-US" w:eastAsia="en-US"/>
              </w:rPr>
              <w:t>esearch</w:t>
            </w:r>
            <w:r w:rsidRPr="008F0B8A">
              <w:rPr>
                <w:rFonts w:ascii="Arial" w:eastAsia="Calibri" w:hAnsi="Arial" w:cs="Arial"/>
                <w:color w:val="000000" w:themeColor="text1"/>
                <w:sz w:val="16"/>
                <w:szCs w:val="16"/>
                <w:lang w:val="en-US" w:eastAsia="en-US"/>
              </w:rPr>
              <w:t>:</w:t>
            </w:r>
          </w:p>
          <w:p w14:paraId="3865512A" w14:textId="77777777" w:rsidR="00E315A5" w:rsidRPr="008F0B8A" w:rsidRDefault="00E315A5" w:rsidP="008A2254">
            <w:pPr>
              <w:numPr>
                <w:ilvl w:val="0"/>
                <w:numId w:val="39"/>
              </w:numPr>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+ 15 requests.</w:t>
            </w:r>
          </w:p>
          <w:p w14:paraId="21E79B04"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value of partnerships measured through formal research relationships:</w:t>
            </w:r>
          </w:p>
          <w:p w14:paraId="4D32AB5D" w14:textId="77777777" w:rsidR="00E315A5" w:rsidRPr="008F0B8A" w:rsidRDefault="00E315A5" w:rsidP="008A2254">
            <w:pPr>
              <w:numPr>
                <w:ilvl w:val="0"/>
                <w:numId w:val="39"/>
              </w:numPr>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 increase in number.</w:t>
            </w:r>
          </w:p>
          <w:p w14:paraId="2BE4F07E"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of publications and presentations by AIATSIS staff by type:</w:t>
            </w:r>
          </w:p>
          <w:p w14:paraId="08EAE639" w14:textId="77777777" w:rsidR="00E315A5" w:rsidRPr="008F0B8A" w:rsidRDefault="00E315A5" w:rsidP="008A2254">
            <w:pPr>
              <w:numPr>
                <w:ilvl w:val="0"/>
                <w:numId w:val="39"/>
              </w:numPr>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100 publications annually</w:t>
            </w:r>
            <w:r w:rsidR="006A2427">
              <w:rPr>
                <w:rFonts w:ascii="Arial" w:eastAsia="Calibri" w:hAnsi="Arial" w:cs="Arial"/>
                <w:color w:val="000000" w:themeColor="text1"/>
                <w:sz w:val="16"/>
                <w:szCs w:val="16"/>
                <w:lang w:val="en-US" w:eastAsia="en-US"/>
              </w:rPr>
              <w:t>.</w:t>
            </w:r>
          </w:p>
        </w:tc>
      </w:tr>
      <w:tr w:rsidR="00E315A5" w:rsidRPr="008F0B8A" w14:paraId="48D29017" w14:textId="77777777" w:rsidTr="00E315A5">
        <w:tc>
          <w:tcPr>
            <w:tcW w:w="1560" w:type="dxa"/>
            <w:tcBorders>
              <w:top w:val="dotted" w:sz="4" w:space="0" w:color="auto"/>
              <w:right w:val="single" w:sz="4" w:space="0" w:color="auto"/>
            </w:tcBorders>
          </w:tcPr>
          <w:p w14:paraId="1D8FAC05"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lastRenderedPageBreak/>
              <w:t>2023-24 and beyond</w:t>
            </w:r>
          </w:p>
        </w:tc>
        <w:tc>
          <w:tcPr>
            <w:tcW w:w="3118" w:type="dxa"/>
            <w:tcBorders>
              <w:top w:val="dotted" w:sz="4" w:space="0" w:color="auto"/>
              <w:left w:val="single" w:sz="4" w:space="0" w:color="auto"/>
              <w:right w:val="single" w:sz="4" w:space="0" w:color="auto"/>
            </w:tcBorders>
          </w:tcPr>
          <w:p w14:paraId="2BC6EF12"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c>
          <w:tcPr>
            <w:tcW w:w="3176" w:type="dxa"/>
            <w:tcBorders>
              <w:top w:val="dotted" w:sz="4" w:space="0" w:color="auto"/>
              <w:left w:val="single" w:sz="4" w:space="0" w:color="auto"/>
            </w:tcBorders>
          </w:tcPr>
          <w:p w14:paraId="09CE424F"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r>
      <w:bookmarkEnd w:id="269"/>
    </w:tbl>
    <w:p w14:paraId="50EE8F75" w14:textId="77777777" w:rsidR="00E315A5" w:rsidRPr="008F0B8A" w:rsidRDefault="00E315A5" w:rsidP="00E315A5">
      <w:pPr>
        <w:spacing w:after="0" w:line="240" w:lineRule="auto"/>
      </w:pPr>
    </w:p>
    <w:p w14:paraId="6B0251D2" w14:textId="77777777" w:rsidR="00E315A5" w:rsidRPr="008F0B8A" w:rsidRDefault="00E315A5" w:rsidP="00E315A5">
      <w:pPr>
        <w:spacing w:after="0" w:line="240" w:lineRule="auto"/>
      </w:pPr>
    </w:p>
    <w:p w14:paraId="5309C8B8" w14:textId="77777777" w:rsidR="00E315A5" w:rsidRPr="008F0B8A" w:rsidRDefault="00E315A5" w:rsidP="00E315A5">
      <w:pPr>
        <w:spacing w:after="0" w:line="240" w:lineRule="auto"/>
        <w:rPr>
          <w:rFonts w:ascii="Arial" w:hAnsi="Arial"/>
          <w:b/>
          <w:color w:val="000000"/>
          <w:lang w:eastAsia="x-none"/>
        </w:rPr>
      </w:pPr>
      <w:r w:rsidRPr="008F0B8A">
        <w:rPr>
          <w:rFonts w:ascii="Arial" w:hAnsi="Arial"/>
          <w:b/>
          <w:color w:val="000000"/>
          <w:lang w:val="x-none" w:eastAsia="x-none"/>
        </w:rPr>
        <w:t>Table 2.1.</w:t>
      </w:r>
      <w:r w:rsidRPr="008F0B8A">
        <w:rPr>
          <w:rFonts w:ascii="Arial" w:hAnsi="Arial"/>
          <w:b/>
          <w:color w:val="000000"/>
          <w:lang w:eastAsia="x-none"/>
        </w:rPr>
        <w:t>2</w:t>
      </w:r>
      <w:r w:rsidRPr="008F0B8A">
        <w:rPr>
          <w:rFonts w:ascii="Arial" w:hAnsi="Arial"/>
          <w:b/>
          <w:color w:val="000000"/>
          <w:lang w:val="x-none" w:eastAsia="x-none"/>
        </w:rPr>
        <w:t>: Performance criteria for Outcome 1</w:t>
      </w:r>
      <w:r w:rsidRPr="008F0B8A">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E315A5" w:rsidRPr="008F0B8A" w14:paraId="1C6DCCA9" w14:textId="77777777" w:rsidTr="00E315A5">
        <w:trPr>
          <w:tblHeader/>
        </w:trPr>
        <w:tc>
          <w:tcPr>
            <w:tcW w:w="7854" w:type="dxa"/>
            <w:gridSpan w:val="3"/>
            <w:shd w:val="clear" w:color="auto" w:fill="F2F2F2"/>
          </w:tcPr>
          <w:p w14:paraId="3966162F" w14:textId="77777777" w:rsidR="00E315A5" w:rsidRPr="008F0B8A" w:rsidRDefault="00E315A5" w:rsidP="00E315A5">
            <w:pPr>
              <w:tabs>
                <w:tab w:val="left" w:pos="709"/>
              </w:tabs>
              <w:spacing w:before="60" w:after="60" w:line="240" w:lineRule="auto"/>
              <w:jc w:val="left"/>
              <w:rPr>
                <w:rFonts w:ascii="Arial" w:hAnsi="Arial" w:cs="Arial"/>
                <w:sz w:val="16"/>
                <w:szCs w:val="16"/>
              </w:rPr>
            </w:pPr>
            <w:bookmarkStart w:id="270" w:name="_Hlk96417916"/>
            <w:r w:rsidRPr="008F0B8A">
              <w:rPr>
                <w:rFonts w:ascii="Arial" w:hAnsi="Arial" w:cs="Arial"/>
                <w:sz w:val="16"/>
                <w:szCs w:val="16"/>
              </w:rPr>
              <w:t>Partner and collaborate with our communities, partners and governments.</w:t>
            </w:r>
          </w:p>
        </w:tc>
      </w:tr>
      <w:tr w:rsidR="00E315A5" w:rsidRPr="008F0B8A" w14:paraId="71CA6270" w14:textId="77777777" w:rsidTr="00E315A5">
        <w:tc>
          <w:tcPr>
            <w:tcW w:w="1560" w:type="dxa"/>
            <w:tcBorders>
              <w:bottom w:val="double" w:sz="4" w:space="0" w:color="auto"/>
            </w:tcBorders>
          </w:tcPr>
          <w:p w14:paraId="3B514317"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Delivery</w:t>
            </w:r>
          </w:p>
        </w:tc>
        <w:tc>
          <w:tcPr>
            <w:tcW w:w="6294" w:type="dxa"/>
            <w:gridSpan w:val="2"/>
            <w:tcBorders>
              <w:bottom w:val="double" w:sz="4" w:space="0" w:color="auto"/>
            </w:tcBorders>
          </w:tcPr>
          <w:p w14:paraId="37879F13"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Actively build diverse and enduring relationships domestically and internationally.</w:t>
            </w:r>
          </w:p>
          <w:p w14:paraId="68EE6DF2"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Be responsive and professional, with culturally competent working practices.</w:t>
            </w:r>
          </w:p>
          <w:p w14:paraId="1DFCD926"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Build an active network of corporate partners.</w:t>
            </w:r>
          </w:p>
          <w:p w14:paraId="0823406E"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Engage with our network of members, friends, volunteers, visitors and affiliates.</w:t>
            </w:r>
          </w:p>
          <w:p w14:paraId="4B6B6339"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Learn from and contribute to the priorities and needs of Aboriginal and Torres Strait Islander communities.</w:t>
            </w:r>
          </w:p>
        </w:tc>
      </w:tr>
      <w:bookmarkEnd w:id="270"/>
      <w:tr w:rsidR="00E315A5" w:rsidRPr="008F0B8A" w14:paraId="3E0ED7E3" w14:textId="77777777" w:rsidTr="00E315A5">
        <w:tc>
          <w:tcPr>
            <w:tcW w:w="7854" w:type="dxa"/>
            <w:gridSpan w:val="3"/>
            <w:tcBorders>
              <w:top w:val="double" w:sz="4" w:space="0" w:color="auto"/>
              <w:bottom w:val="double" w:sz="4" w:space="0" w:color="auto"/>
            </w:tcBorders>
          </w:tcPr>
          <w:p w14:paraId="7C2F4FA1"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information</w:t>
            </w:r>
          </w:p>
        </w:tc>
      </w:tr>
      <w:tr w:rsidR="00E315A5" w:rsidRPr="008F0B8A" w14:paraId="1EB6C612" w14:textId="77777777" w:rsidTr="00E315A5">
        <w:tc>
          <w:tcPr>
            <w:tcW w:w="1560" w:type="dxa"/>
            <w:tcBorders>
              <w:top w:val="double" w:sz="4" w:space="0" w:color="auto"/>
              <w:bottom w:val="single" w:sz="4" w:space="0" w:color="auto"/>
              <w:right w:val="single" w:sz="4" w:space="0" w:color="auto"/>
            </w:tcBorders>
          </w:tcPr>
          <w:p w14:paraId="5A7CF7CE"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073B7999"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Measures</w:t>
            </w:r>
          </w:p>
        </w:tc>
        <w:tc>
          <w:tcPr>
            <w:tcW w:w="3176" w:type="dxa"/>
            <w:tcBorders>
              <w:top w:val="double" w:sz="4" w:space="0" w:color="auto"/>
              <w:left w:val="single" w:sz="4" w:space="0" w:color="auto"/>
              <w:bottom w:val="single" w:sz="4" w:space="0" w:color="auto"/>
            </w:tcBorders>
          </w:tcPr>
          <w:p w14:paraId="0FB49B4E"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Expected Performance Results</w:t>
            </w:r>
          </w:p>
        </w:tc>
      </w:tr>
      <w:tr w:rsidR="00E315A5" w:rsidRPr="008F0B8A" w14:paraId="682E78C2" w14:textId="77777777" w:rsidTr="00E315A5">
        <w:trPr>
          <w:trHeight w:val="60"/>
        </w:trPr>
        <w:tc>
          <w:tcPr>
            <w:tcW w:w="1560" w:type="dxa"/>
            <w:tcBorders>
              <w:top w:val="single" w:sz="4" w:space="0" w:color="auto"/>
              <w:bottom w:val="dotted" w:sz="4" w:space="0" w:color="auto"/>
              <w:right w:val="single" w:sz="4" w:space="0" w:color="auto"/>
            </w:tcBorders>
          </w:tcPr>
          <w:p w14:paraId="64D965FF"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2021-22</w:t>
            </w:r>
          </w:p>
        </w:tc>
        <w:tc>
          <w:tcPr>
            <w:tcW w:w="3118" w:type="dxa"/>
            <w:tcBorders>
              <w:top w:val="single" w:sz="4" w:space="0" w:color="auto"/>
              <w:left w:val="single" w:sz="4" w:space="0" w:color="auto"/>
              <w:bottom w:val="dotted" w:sz="4" w:space="0" w:color="auto"/>
              <w:right w:val="single" w:sz="4" w:space="0" w:color="auto"/>
            </w:tcBorders>
          </w:tcPr>
          <w:p w14:paraId="032AD017" w14:textId="77777777" w:rsidR="00E315A5" w:rsidRPr="008F0B8A" w:rsidRDefault="00E315A5"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AIATSIS membership</w:t>
            </w:r>
          </w:p>
          <w:p w14:paraId="1C7DBDC7" w14:textId="77777777" w:rsidR="00E315A5" w:rsidRPr="008F0B8A" w:rsidRDefault="00E315A5"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Research collaborations and networks</w:t>
            </w:r>
          </w:p>
          <w:p w14:paraId="1EE63059" w14:textId="77777777" w:rsidR="00E315A5" w:rsidRPr="008F0B8A" w:rsidRDefault="00E315A5"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Interaction with Indigenous Communities</w:t>
            </w:r>
          </w:p>
          <w:p w14:paraId="7FD98186" w14:textId="77777777" w:rsidR="00E315A5" w:rsidRPr="008F0B8A" w:rsidRDefault="00E315A5" w:rsidP="008A2254">
            <w:pPr>
              <w:numPr>
                <w:ilvl w:val="0"/>
                <w:numId w:val="39"/>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Partnerships in place</w:t>
            </w:r>
          </w:p>
        </w:tc>
        <w:tc>
          <w:tcPr>
            <w:tcW w:w="3176" w:type="dxa"/>
            <w:tcBorders>
              <w:top w:val="single" w:sz="4" w:space="0" w:color="auto"/>
              <w:left w:val="single" w:sz="4" w:space="0" w:color="auto"/>
              <w:bottom w:val="dotted" w:sz="4" w:space="0" w:color="auto"/>
            </w:tcBorders>
          </w:tcPr>
          <w:p w14:paraId="564ADE8D"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Annual increase to the AIATSIS membership:</w:t>
            </w:r>
          </w:p>
          <w:p w14:paraId="11489E38"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Increase by 10 new members.</w:t>
            </w:r>
          </w:p>
          <w:p w14:paraId="29EA7967"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3 members’ events annually.</w:t>
            </w:r>
          </w:p>
          <w:p w14:paraId="23401A98"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Type, number and level of interactions in research collaborations:</w:t>
            </w:r>
          </w:p>
          <w:p w14:paraId="6D48F934"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3 research collaborations.</w:t>
            </w:r>
          </w:p>
          <w:p w14:paraId="238D44BE"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and type of research networks:</w:t>
            </w:r>
          </w:p>
          <w:p w14:paraId="7D92E272"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3 networks</w:t>
            </w:r>
          </w:p>
          <w:p w14:paraId="07061CD0"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Number of engagements with Indigenous communities by type:</w:t>
            </w:r>
          </w:p>
          <w:p w14:paraId="108C1289"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50 engagements.</w:t>
            </w:r>
          </w:p>
          <w:p w14:paraId="68AFC35F" w14:textId="77777777" w:rsidR="00E315A5" w:rsidRPr="008F0B8A" w:rsidRDefault="00E315A5" w:rsidP="00E315A5">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 xml:space="preserve">Number of partnerships, partnership projects </w:t>
            </w:r>
            <w:r w:rsidR="00E35CEE">
              <w:rPr>
                <w:rFonts w:ascii="Arial" w:eastAsia="Calibri" w:hAnsi="Arial" w:cs="Arial"/>
                <w:color w:val="000000" w:themeColor="text1"/>
                <w:sz w:val="16"/>
                <w:szCs w:val="16"/>
                <w:lang w:val="en-US" w:eastAsia="en-US"/>
              </w:rPr>
              <w:t>and those formalised through a memorandum of understanding</w:t>
            </w:r>
            <w:r w:rsidRPr="008F0B8A">
              <w:rPr>
                <w:rFonts w:ascii="Arial" w:eastAsia="Calibri" w:hAnsi="Arial" w:cs="Arial"/>
                <w:color w:val="000000" w:themeColor="text1"/>
                <w:sz w:val="16"/>
                <w:szCs w:val="16"/>
                <w:lang w:val="en-US" w:eastAsia="en-US"/>
              </w:rPr>
              <w:t>:</w:t>
            </w:r>
          </w:p>
          <w:p w14:paraId="39E6F6CB"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 strategic partnerships.</w:t>
            </w:r>
          </w:p>
          <w:p w14:paraId="6C969712"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sz w:val="16"/>
                <w:szCs w:val="16"/>
                <w:lang w:val="en-US" w:eastAsia="en-US"/>
              </w:rPr>
            </w:pPr>
            <w:r w:rsidRPr="008F0B8A">
              <w:rPr>
                <w:rFonts w:ascii="Arial" w:eastAsia="Calibri" w:hAnsi="Arial" w:cs="Arial"/>
                <w:color w:val="000000" w:themeColor="text1"/>
                <w:sz w:val="16"/>
                <w:szCs w:val="16"/>
                <w:lang w:val="en-US" w:eastAsia="en-US"/>
              </w:rPr>
              <w:t>20 partnership projects.</w:t>
            </w:r>
          </w:p>
        </w:tc>
      </w:tr>
      <w:tr w:rsidR="00E315A5" w:rsidRPr="008F0B8A" w14:paraId="23CDF3D2" w14:textId="77777777" w:rsidTr="00E315A5">
        <w:trPr>
          <w:cantSplit/>
        </w:trPr>
        <w:tc>
          <w:tcPr>
            <w:tcW w:w="1560" w:type="dxa"/>
            <w:tcBorders>
              <w:top w:val="dotted" w:sz="4" w:space="0" w:color="auto"/>
              <w:bottom w:val="single" w:sz="4" w:space="0" w:color="auto"/>
              <w:right w:val="single" w:sz="4" w:space="0" w:color="auto"/>
            </w:tcBorders>
          </w:tcPr>
          <w:p w14:paraId="59DBA7FB"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2022-23</w:t>
            </w:r>
          </w:p>
        </w:tc>
        <w:tc>
          <w:tcPr>
            <w:tcW w:w="3118" w:type="dxa"/>
            <w:tcBorders>
              <w:top w:val="dotted" w:sz="4" w:space="0" w:color="auto"/>
              <w:left w:val="single" w:sz="4" w:space="0" w:color="auto"/>
              <w:bottom w:val="single" w:sz="4" w:space="0" w:color="auto"/>
              <w:right w:val="single" w:sz="4" w:space="0" w:color="auto"/>
            </w:tcBorders>
          </w:tcPr>
          <w:p w14:paraId="5AC82B8A"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AIATSIS membership</w:t>
            </w:r>
          </w:p>
          <w:p w14:paraId="4C3B216D"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Research collaborations and networks</w:t>
            </w:r>
          </w:p>
          <w:p w14:paraId="137E39B4"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Interaction with Indigenous Communities</w:t>
            </w:r>
          </w:p>
          <w:p w14:paraId="6C785F77"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Partnerships in place</w:t>
            </w:r>
          </w:p>
        </w:tc>
        <w:tc>
          <w:tcPr>
            <w:tcW w:w="3176" w:type="dxa"/>
            <w:tcBorders>
              <w:top w:val="dotted" w:sz="4" w:space="0" w:color="auto"/>
              <w:left w:val="single" w:sz="4" w:space="0" w:color="auto"/>
              <w:bottom w:val="single" w:sz="4" w:space="0" w:color="auto"/>
            </w:tcBorders>
          </w:tcPr>
          <w:p w14:paraId="60F35775"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Annual increase to the AIATSIS membership:</w:t>
            </w:r>
          </w:p>
          <w:p w14:paraId="726F0DD3" w14:textId="77777777" w:rsidR="00E315A5" w:rsidRPr="008F0B8A" w:rsidRDefault="00E315A5" w:rsidP="008A2254">
            <w:pPr>
              <w:numPr>
                <w:ilvl w:val="0"/>
                <w:numId w:val="43"/>
              </w:numPr>
              <w:spacing w:after="0" w:line="252" w:lineRule="auto"/>
              <w:contextualSpacing/>
              <w:jc w:val="left"/>
              <w:rPr>
                <w:rFonts w:ascii="Arial" w:eastAsia="Calibri" w:hAnsi="Arial" w:cs="Arial"/>
                <w:sz w:val="16"/>
                <w:szCs w:val="16"/>
                <w:lang w:val="en-US" w:eastAsia="en-US"/>
              </w:rPr>
            </w:pPr>
            <w:r w:rsidRPr="008F0B8A">
              <w:rPr>
                <w:rFonts w:ascii="Arial" w:eastAsia="Calibri" w:hAnsi="Arial" w:cs="Arial"/>
                <w:sz w:val="16"/>
                <w:szCs w:val="16"/>
                <w:lang w:val="en-US" w:eastAsia="en-US"/>
              </w:rPr>
              <w:t>Increase by 10 new members.</w:t>
            </w:r>
          </w:p>
          <w:p w14:paraId="29724E31" w14:textId="77777777" w:rsidR="00E315A5" w:rsidRPr="008F0B8A" w:rsidRDefault="00E35CEE" w:rsidP="008A2254">
            <w:pPr>
              <w:numPr>
                <w:ilvl w:val="0"/>
                <w:numId w:val="43"/>
              </w:numPr>
              <w:spacing w:after="0" w:line="252" w:lineRule="auto"/>
              <w:contextualSpacing/>
              <w:jc w:val="left"/>
              <w:rPr>
                <w:rFonts w:ascii="Arial" w:eastAsia="Calibri" w:hAnsi="Arial" w:cs="Arial"/>
                <w:sz w:val="16"/>
                <w:szCs w:val="16"/>
                <w:lang w:val="en-US" w:eastAsia="en-US"/>
              </w:rPr>
            </w:pPr>
            <w:r>
              <w:rPr>
                <w:rFonts w:ascii="Arial" w:eastAsia="Calibri" w:hAnsi="Arial" w:cs="Arial"/>
                <w:sz w:val="16"/>
                <w:szCs w:val="16"/>
                <w:lang w:val="en-US" w:eastAsia="en-US"/>
              </w:rPr>
              <w:t>3 m</w:t>
            </w:r>
            <w:r w:rsidR="00E315A5" w:rsidRPr="008F0B8A">
              <w:rPr>
                <w:rFonts w:ascii="Arial" w:eastAsia="Calibri" w:hAnsi="Arial" w:cs="Arial"/>
                <w:sz w:val="16"/>
                <w:szCs w:val="16"/>
                <w:lang w:val="en-US" w:eastAsia="en-US"/>
              </w:rPr>
              <w:t>embers’ events annually.</w:t>
            </w:r>
          </w:p>
          <w:p w14:paraId="212E6F11"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Type, number and level of interactions in research collaborations:</w:t>
            </w:r>
          </w:p>
          <w:p w14:paraId="0D679AAC" w14:textId="77777777" w:rsidR="00E315A5" w:rsidRPr="008F0B8A" w:rsidRDefault="00E315A5" w:rsidP="008A2254">
            <w:pPr>
              <w:numPr>
                <w:ilvl w:val="0"/>
                <w:numId w:val="43"/>
              </w:numPr>
              <w:spacing w:after="0" w:line="252" w:lineRule="auto"/>
              <w:contextualSpacing/>
              <w:jc w:val="left"/>
              <w:rPr>
                <w:rFonts w:ascii="Arial" w:eastAsia="Calibri" w:hAnsi="Arial" w:cs="Arial"/>
                <w:sz w:val="16"/>
                <w:szCs w:val="16"/>
                <w:lang w:val="en-US" w:eastAsia="en-US"/>
              </w:rPr>
            </w:pPr>
            <w:r w:rsidRPr="008F0B8A">
              <w:rPr>
                <w:rFonts w:ascii="Arial" w:eastAsia="Calibri" w:hAnsi="Arial" w:cs="Arial"/>
                <w:sz w:val="16"/>
                <w:szCs w:val="16"/>
                <w:lang w:val="en-US" w:eastAsia="en-US"/>
              </w:rPr>
              <w:t>3 research collaborations.</w:t>
            </w:r>
          </w:p>
          <w:p w14:paraId="5AA57480"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and type of research networks:</w:t>
            </w:r>
          </w:p>
          <w:p w14:paraId="18733F4C" w14:textId="77777777" w:rsidR="00E315A5" w:rsidRPr="008F0B8A" w:rsidRDefault="00E315A5" w:rsidP="008A2254">
            <w:pPr>
              <w:numPr>
                <w:ilvl w:val="0"/>
                <w:numId w:val="43"/>
              </w:numPr>
              <w:spacing w:after="0" w:line="252" w:lineRule="auto"/>
              <w:contextualSpacing/>
              <w:jc w:val="left"/>
              <w:rPr>
                <w:rFonts w:ascii="Arial" w:eastAsia="Calibri" w:hAnsi="Arial" w:cs="Arial"/>
                <w:sz w:val="16"/>
                <w:szCs w:val="16"/>
                <w:lang w:val="en-US" w:eastAsia="en-US"/>
              </w:rPr>
            </w:pPr>
            <w:r w:rsidRPr="008F0B8A">
              <w:rPr>
                <w:rFonts w:ascii="Arial" w:eastAsia="Calibri" w:hAnsi="Arial" w:cs="Arial"/>
                <w:sz w:val="16"/>
                <w:szCs w:val="16"/>
                <w:lang w:val="en-US" w:eastAsia="en-US"/>
              </w:rPr>
              <w:t>3 networks</w:t>
            </w:r>
          </w:p>
          <w:p w14:paraId="18501690"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of engagements with Indigenous communities by type:</w:t>
            </w:r>
          </w:p>
          <w:p w14:paraId="537E3E85" w14:textId="77777777" w:rsidR="00E315A5" w:rsidRPr="008F0B8A" w:rsidRDefault="00E315A5" w:rsidP="008A2254">
            <w:pPr>
              <w:numPr>
                <w:ilvl w:val="0"/>
                <w:numId w:val="43"/>
              </w:numPr>
              <w:spacing w:after="0" w:line="252" w:lineRule="auto"/>
              <w:contextualSpacing/>
              <w:jc w:val="left"/>
              <w:rPr>
                <w:rFonts w:ascii="Arial" w:eastAsia="Calibri" w:hAnsi="Arial" w:cs="Arial"/>
                <w:sz w:val="16"/>
                <w:szCs w:val="16"/>
                <w:lang w:val="en-US" w:eastAsia="en-US"/>
              </w:rPr>
            </w:pPr>
            <w:r w:rsidRPr="008F0B8A">
              <w:rPr>
                <w:rFonts w:ascii="Arial" w:eastAsia="Calibri" w:hAnsi="Arial" w:cs="Arial"/>
                <w:sz w:val="16"/>
                <w:szCs w:val="16"/>
                <w:lang w:val="en-US" w:eastAsia="en-US"/>
              </w:rPr>
              <w:t>50 engagements.</w:t>
            </w:r>
          </w:p>
          <w:p w14:paraId="2D31549A"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 xml:space="preserve">Number of partnerships, partnership projects and those formalised through a </w:t>
            </w:r>
            <w:r w:rsidR="00733697">
              <w:rPr>
                <w:rFonts w:ascii="Arial" w:eastAsia="Calibri" w:hAnsi="Arial" w:cs="Arial"/>
                <w:color w:val="000000" w:themeColor="text1"/>
                <w:sz w:val="16"/>
                <w:szCs w:val="16"/>
                <w:lang w:val="en-US" w:eastAsia="en-US"/>
              </w:rPr>
              <w:t>memorandum of understanding</w:t>
            </w:r>
            <w:r w:rsidRPr="008F0B8A">
              <w:rPr>
                <w:rFonts w:ascii="Arial" w:hAnsi="Arial" w:cs="Arial"/>
                <w:color w:val="000000" w:themeColor="text1"/>
                <w:sz w:val="16"/>
                <w:szCs w:val="16"/>
              </w:rPr>
              <w:t>:</w:t>
            </w:r>
          </w:p>
          <w:p w14:paraId="58875B14" w14:textId="77777777" w:rsidR="00E315A5" w:rsidRPr="008F0B8A" w:rsidRDefault="00E315A5" w:rsidP="008A2254">
            <w:pPr>
              <w:numPr>
                <w:ilvl w:val="0"/>
                <w:numId w:val="43"/>
              </w:numPr>
              <w:spacing w:after="0" w:line="252" w:lineRule="auto"/>
              <w:contextualSpacing/>
              <w:jc w:val="left"/>
              <w:rPr>
                <w:rFonts w:ascii="Arial" w:eastAsia="Calibri" w:hAnsi="Arial" w:cs="Arial"/>
                <w:sz w:val="16"/>
                <w:szCs w:val="16"/>
                <w:lang w:val="en-US" w:eastAsia="en-US"/>
              </w:rPr>
            </w:pPr>
            <w:r w:rsidRPr="008F0B8A">
              <w:rPr>
                <w:rFonts w:ascii="Arial" w:eastAsia="Calibri" w:hAnsi="Arial" w:cs="Arial"/>
                <w:sz w:val="16"/>
                <w:szCs w:val="16"/>
                <w:lang w:val="en-US" w:eastAsia="en-US"/>
              </w:rPr>
              <w:t>5 strategic partnerships.</w:t>
            </w:r>
          </w:p>
          <w:p w14:paraId="5BBE04E0" w14:textId="77777777" w:rsidR="00E315A5" w:rsidRPr="008F0B8A" w:rsidRDefault="00E315A5" w:rsidP="008A2254">
            <w:pPr>
              <w:numPr>
                <w:ilvl w:val="0"/>
                <w:numId w:val="43"/>
              </w:numPr>
              <w:spacing w:after="0" w:line="252" w:lineRule="auto"/>
              <w:contextualSpacing/>
              <w:jc w:val="left"/>
              <w:rPr>
                <w:rFonts w:ascii="Arial" w:eastAsia="Calibri" w:hAnsi="Arial" w:cs="Arial"/>
                <w:sz w:val="16"/>
                <w:szCs w:val="16"/>
                <w:lang w:val="en-US" w:eastAsia="en-US"/>
              </w:rPr>
            </w:pPr>
            <w:r w:rsidRPr="008F0B8A">
              <w:rPr>
                <w:rFonts w:ascii="Arial" w:eastAsia="Calibri" w:hAnsi="Arial" w:cs="Arial"/>
                <w:sz w:val="16"/>
                <w:szCs w:val="16"/>
                <w:lang w:val="en-US" w:eastAsia="en-US"/>
              </w:rPr>
              <w:t>20 partnership projects.</w:t>
            </w:r>
          </w:p>
        </w:tc>
      </w:tr>
      <w:tr w:rsidR="00E315A5" w:rsidRPr="008F0B8A" w14:paraId="795E0613" w14:textId="77777777" w:rsidTr="00E315A5">
        <w:tc>
          <w:tcPr>
            <w:tcW w:w="1560" w:type="dxa"/>
            <w:tcBorders>
              <w:top w:val="single" w:sz="4" w:space="0" w:color="auto"/>
              <w:right w:val="single" w:sz="4" w:space="0" w:color="auto"/>
            </w:tcBorders>
          </w:tcPr>
          <w:p w14:paraId="2F0F8F17"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2023-24 and beyond</w:t>
            </w:r>
          </w:p>
        </w:tc>
        <w:tc>
          <w:tcPr>
            <w:tcW w:w="3118" w:type="dxa"/>
            <w:tcBorders>
              <w:top w:val="single" w:sz="4" w:space="0" w:color="auto"/>
              <w:left w:val="single" w:sz="4" w:space="0" w:color="auto"/>
              <w:right w:val="single" w:sz="4" w:space="0" w:color="auto"/>
            </w:tcBorders>
          </w:tcPr>
          <w:p w14:paraId="02F129FE"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c>
          <w:tcPr>
            <w:tcW w:w="3176" w:type="dxa"/>
            <w:tcBorders>
              <w:top w:val="single" w:sz="4" w:space="0" w:color="auto"/>
              <w:left w:val="single" w:sz="4" w:space="0" w:color="auto"/>
            </w:tcBorders>
          </w:tcPr>
          <w:p w14:paraId="78E4B76F"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r>
    </w:tbl>
    <w:p w14:paraId="271BF546" w14:textId="77777777" w:rsidR="00E315A5" w:rsidRPr="008F0B8A" w:rsidRDefault="00E315A5" w:rsidP="00E315A5">
      <w:pPr>
        <w:spacing w:after="0" w:line="240" w:lineRule="auto"/>
      </w:pPr>
    </w:p>
    <w:p w14:paraId="769D4755" w14:textId="77777777" w:rsidR="00E315A5" w:rsidRPr="008F0B8A" w:rsidRDefault="00E315A5" w:rsidP="00E315A5">
      <w:pPr>
        <w:spacing w:after="0" w:line="240" w:lineRule="auto"/>
      </w:pPr>
    </w:p>
    <w:p w14:paraId="0AC67DF8" w14:textId="77777777" w:rsidR="00E315A5" w:rsidRPr="008F0B8A" w:rsidRDefault="00E315A5" w:rsidP="00E315A5">
      <w:pPr>
        <w:spacing w:after="0" w:line="240" w:lineRule="auto"/>
      </w:pPr>
    </w:p>
    <w:p w14:paraId="7BDB50C2" w14:textId="77777777" w:rsidR="00E315A5" w:rsidRPr="008F0B8A" w:rsidRDefault="00E315A5" w:rsidP="00E315A5">
      <w:pPr>
        <w:spacing w:after="0" w:line="240" w:lineRule="auto"/>
        <w:jc w:val="left"/>
        <w:rPr>
          <w:rFonts w:ascii="Arial" w:hAnsi="Arial"/>
          <w:b/>
          <w:color w:val="000000"/>
          <w:lang w:val="x-none" w:eastAsia="x-none"/>
        </w:rPr>
      </w:pPr>
      <w:r w:rsidRPr="008F0B8A">
        <w:rPr>
          <w:rFonts w:ascii="Arial" w:hAnsi="Arial"/>
          <w:b/>
          <w:color w:val="000000"/>
          <w:lang w:val="x-none" w:eastAsia="x-none"/>
        </w:rPr>
        <w:br w:type="page"/>
      </w:r>
    </w:p>
    <w:p w14:paraId="27B60F20" w14:textId="77777777" w:rsidR="00E315A5" w:rsidRPr="008F0B8A" w:rsidRDefault="00E315A5" w:rsidP="00E315A5">
      <w:pPr>
        <w:spacing w:after="0" w:line="240" w:lineRule="auto"/>
        <w:jc w:val="left"/>
        <w:rPr>
          <w:rFonts w:ascii="Arial" w:hAnsi="Arial"/>
          <w:b/>
          <w:color w:val="000000"/>
          <w:lang w:eastAsia="x-none"/>
        </w:rPr>
      </w:pPr>
      <w:r w:rsidRPr="008F0B8A">
        <w:rPr>
          <w:rFonts w:ascii="Arial" w:hAnsi="Arial"/>
          <w:b/>
          <w:color w:val="000000"/>
          <w:lang w:val="x-none" w:eastAsia="x-none"/>
        </w:rPr>
        <w:lastRenderedPageBreak/>
        <w:t>Table 2.1.</w:t>
      </w:r>
      <w:r w:rsidRPr="008F0B8A">
        <w:rPr>
          <w:rFonts w:ascii="Arial" w:hAnsi="Arial"/>
          <w:b/>
          <w:color w:val="000000"/>
          <w:lang w:eastAsia="x-none"/>
        </w:rPr>
        <w:t>2</w:t>
      </w:r>
      <w:r w:rsidRPr="008F0B8A">
        <w:rPr>
          <w:rFonts w:ascii="Arial" w:hAnsi="Arial"/>
          <w:b/>
          <w:color w:val="000000"/>
          <w:lang w:val="x-none" w:eastAsia="x-none"/>
        </w:rPr>
        <w:t>: Performance criteria for Outcome 1</w:t>
      </w:r>
      <w:r w:rsidRPr="008F0B8A">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E315A5" w:rsidRPr="008F0B8A" w14:paraId="537E07C5" w14:textId="77777777" w:rsidTr="00E315A5">
        <w:trPr>
          <w:tblHeader/>
        </w:trPr>
        <w:tc>
          <w:tcPr>
            <w:tcW w:w="7854" w:type="dxa"/>
            <w:gridSpan w:val="3"/>
            <w:shd w:val="clear" w:color="auto" w:fill="F2F2F2"/>
          </w:tcPr>
          <w:p w14:paraId="0E6F00CA"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i/>
                <w:color w:val="FF0000"/>
              </w:rPr>
              <w:br w:type="page"/>
            </w:r>
            <w:r w:rsidRPr="008F0B8A">
              <w:rPr>
                <w:rFonts w:ascii="Arial" w:hAnsi="Arial" w:cs="Arial"/>
                <w:sz w:val="16"/>
                <w:szCs w:val="16"/>
              </w:rPr>
              <w:t>Advise on Aboriginal and Torres Strait Islander culture and heritage.</w:t>
            </w:r>
          </w:p>
        </w:tc>
      </w:tr>
      <w:tr w:rsidR="00E315A5" w:rsidRPr="008F0B8A" w14:paraId="74C2EB0E" w14:textId="77777777" w:rsidTr="00E315A5">
        <w:tc>
          <w:tcPr>
            <w:tcW w:w="1560" w:type="dxa"/>
            <w:tcBorders>
              <w:bottom w:val="double" w:sz="4" w:space="0" w:color="auto"/>
            </w:tcBorders>
          </w:tcPr>
          <w:p w14:paraId="24FCE7DC"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Delivery</w:t>
            </w:r>
          </w:p>
        </w:tc>
        <w:tc>
          <w:tcPr>
            <w:tcW w:w="6294" w:type="dxa"/>
            <w:gridSpan w:val="2"/>
            <w:tcBorders>
              <w:bottom w:val="double" w:sz="4" w:space="0" w:color="auto"/>
            </w:tcBorders>
          </w:tcPr>
          <w:p w14:paraId="1557ADDA"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 xml:space="preserve">Position AIATSIS as a trusted adviser. </w:t>
            </w:r>
          </w:p>
          <w:p w14:paraId="5FB5503F"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 xml:space="preserve">Build our policy capacity and capability to deliver world class expertise. </w:t>
            </w:r>
          </w:p>
          <w:p w14:paraId="49D468BD"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Report regularly on the situation and status of Indigenous cultures and heritage.</w:t>
            </w:r>
          </w:p>
        </w:tc>
      </w:tr>
      <w:tr w:rsidR="00E315A5" w:rsidRPr="008F0B8A" w14:paraId="1640E727" w14:textId="77777777" w:rsidTr="00E315A5">
        <w:tc>
          <w:tcPr>
            <w:tcW w:w="7854" w:type="dxa"/>
            <w:gridSpan w:val="3"/>
            <w:tcBorders>
              <w:top w:val="double" w:sz="4" w:space="0" w:color="auto"/>
              <w:bottom w:val="double" w:sz="4" w:space="0" w:color="auto"/>
            </w:tcBorders>
          </w:tcPr>
          <w:p w14:paraId="74C07477"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information</w:t>
            </w:r>
          </w:p>
        </w:tc>
      </w:tr>
      <w:tr w:rsidR="00E315A5" w:rsidRPr="008F0B8A" w14:paraId="6F1AA58F" w14:textId="77777777" w:rsidTr="00E315A5">
        <w:tc>
          <w:tcPr>
            <w:tcW w:w="1560" w:type="dxa"/>
            <w:tcBorders>
              <w:top w:val="double" w:sz="4" w:space="0" w:color="auto"/>
              <w:bottom w:val="single" w:sz="4" w:space="0" w:color="auto"/>
              <w:right w:val="single" w:sz="4" w:space="0" w:color="auto"/>
            </w:tcBorders>
          </w:tcPr>
          <w:p w14:paraId="52F088A0"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70B64A93"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Performance Measures</w:t>
            </w:r>
          </w:p>
        </w:tc>
        <w:tc>
          <w:tcPr>
            <w:tcW w:w="3176" w:type="dxa"/>
            <w:tcBorders>
              <w:top w:val="double" w:sz="4" w:space="0" w:color="auto"/>
              <w:left w:val="single" w:sz="4" w:space="0" w:color="auto"/>
              <w:bottom w:val="single" w:sz="4" w:space="0" w:color="auto"/>
            </w:tcBorders>
          </w:tcPr>
          <w:p w14:paraId="1C57CB30"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Expected Performance Results</w:t>
            </w:r>
          </w:p>
        </w:tc>
      </w:tr>
      <w:tr w:rsidR="00E315A5" w:rsidRPr="008F0B8A" w14:paraId="7C8D1942" w14:textId="77777777" w:rsidTr="00E315A5">
        <w:trPr>
          <w:trHeight w:val="1252"/>
        </w:trPr>
        <w:tc>
          <w:tcPr>
            <w:tcW w:w="1560" w:type="dxa"/>
            <w:tcBorders>
              <w:top w:val="dotted" w:sz="4" w:space="0" w:color="auto"/>
              <w:bottom w:val="dotted" w:sz="4" w:space="0" w:color="auto"/>
              <w:right w:val="single" w:sz="4" w:space="0" w:color="auto"/>
            </w:tcBorders>
          </w:tcPr>
          <w:p w14:paraId="6C4E56D5"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2021-22</w:t>
            </w:r>
          </w:p>
        </w:tc>
        <w:tc>
          <w:tcPr>
            <w:tcW w:w="3118" w:type="dxa"/>
            <w:tcBorders>
              <w:top w:val="dotted" w:sz="4" w:space="0" w:color="auto"/>
              <w:left w:val="single" w:sz="4" w:space="0" w:color="auto"/>
              <w:bottom w:val="dotted" w:sz="4" w:space="0" w:color="auto"/>
              <w:right w:val="single" w:sz="4" w:space="0" w:color="auto"/>
            </w:tcBorders>
          </w:tcPr>
          <w:p w14:paraId="14661B33"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AIATSIS reports and policy briefs produced</w:t>
            </w:r>
          </w:p>
          <w:p w14:paraId="2C2E23B5" w14:textId="77777777" w:rsidR="00E315A5" w:rsidRPr="008F0B8A" w:rsidRDefault="00E35CEE"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Engagement with m</w:t>
            </w:r>
            <w:r w:rsidR="00E315A5" w:rsidRPr="008F0B8A">
              <w:rPr>
                <w:rFonts w:ascii="Arial" w:eastAsia="Calibri" w:hAnsi="Arial" w:cs="Arial"/>
                <w:color w:val="000000" w:themeColor="text1"/>
                <w:sz w:val="16"/>
                <w:szCs w:val="16"/>
                <w:lang w:val="en-US" w:eastAsia="en-US"/>
              </w:rPr>
              <w:t>inisters, decision makers and policy leaders, advisers and senior public servants</w:t>
            </w:r>
          </w:p>
        </w:tc>
        <w:tc>
          <w:tcPr>
            <w:tcW w:w="3176" w:type="dxa"/>
            <w:tcBorders>
              <w:top w:val="dotted" w:sz="4" w:space="0" w:color="auto"/>
              <w:left w:val="single" w:sz="4" w:space="0" w:color="auto"/>
              <w:bottom w:val="dotted" w:sz="4" w:space="0" w:color="auto"/>
            </w:tcBorders>
          </w:tcPr>
          <w:p w14:paraId="011CA8BB"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of reports, policy briefs and requests for advice:</w:t>
            </w:r>
          </w:p>
          <w:p w14:paraId="4381B678" w14:textId="77777777" w:rsidR="00E315A5" w:rsidRPr="008F0B8A" w:rsidRDefault="00E315A5" w:rsidP="008A2254">
            <w:pPr>
              <w:numPr>
                <w:ilvl w:val="0"/>
                <w:numId w:val="44"/>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 annually.</w:t>
            </w:r>
          </w:p>
          <w:p w14:paraId="6241FDB3"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and type of engagements:</w:t>
            </w:r>
          </w:p>
          <w:p w14:paraId="18AE94BF" w14:textId="77777777" w:rsidR="00E315A5" w:rsidRPr="008F0B8A" w:rsidRDefault="00E315A5" w:rsidP="008A2254">
            <w:pPr>
              <w:numPr>
                <w:ilvl w:val="0"/>
                <w:numId w:val="44"/>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10 engagements annually.</w:t>
            </w:r>
          </w:p>
        </w:tc>
      </w:tr>
      <w:tr w:rsidR="00E315A5" w:rsidRPr="008F0B8A" w14:paraId="12ED85FE" w14:textId="77777777" w:rsidTr="006A2427">
        <w:trPr>
          <w:trHeight w:val="960"/>
        </w:trPr>
        <w:tc>
          <w:tcPr>
            <w:tcW w:w="1560" w:type="dxa"/>
            <w:tcBorders>
              <w:top w:val="dotted" w:sz="4" w:space="0" w:color="auto"/>
              <w:right w:val="single" w:sz="4" w:space="0" w:color="auto"/>
            </w:tcBorders>
          </w:tcPr>
          <w:p w14:paraId="4C0EE9D1" w14:textId="77777777" w:rsidR="00E315A5" w:rsidRPr="008F0B8A" w:rsidRDefault="00E315A5" w:rsidP="00E315A5">
            <w:pPr>
              <w:tabs>
                <w:tab w:val="left" w:pos="709"/>
              </w:tabs>
              <w:spacing w:after="0" w:line="240" w:lineRule="auto"/>
              <w:jc w:val="left"/>
              <w:rPr>
                <w:rFonts w:ascii="Arial" w:hAnsi="Arial" w:cs="Arial"/>
                <w:sz w:val="16"/>
                <w:szCs w:val="16"/>
              </w:rPr>
            </w:pPr>
            <w:r w:rsidRPr="008F0B8A">
              <w:rPr>
                <w:rFonts w:ascii="Arial" w:hAnsi="Arial" w:cs="Arial"/>
                <w:sz w:val="16"/>
                <w:szCs w:val="16"/>
              </w:rPr>
              <w:t>2022-23</w:t>
            </w:r>
          </w:p>
        </w:tc>
        <w:tc>
          <w:tcPr>
            <w:tcW w:w="3118" w:type="dxa"/>
            <w:tcBorders>
              <w:top w:val="dotted" w:sz="4" w:space="0" w:color="auto"/>
              <w:left w:val="single" w:sz="4" w:space="0" w:color="auto"/>
              <w:right w:val="single" w:sz="4" w:space="0" w:color="auto"/>
            </w:tcBorders>
          </w:tcPr>
          <w:p w14:paraId="732CE60B" w14:textId="77777777" w:rsidR="00E315A5" w:rsidRPr="008F0B8A" w:rsidRDefault="00E315A5" w:rsidP="008A2254">
            <w:pPr>
              <w:numPr>
                <w:ilvl w:val="0"/>
                <w:numId w:val="39"/>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AIATSIS reports and policy briefs produced</w:t>
            </w:r>
          </w:p>
          <w:p w14:paraId="1C821C26" w14:textId="77777777" w:rsidR="00E315A5" w:rsidRPr="008F0B8A" w:rsidRDefault="00E35CEE" w:rsidP="008A2254">
            <w:pPr>
              <w:numPr>
                <w:ilvl w:val="0"/>
                <w:numId w:val="39"/>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Engagement with m</w:t>
            </w:r>
            <w:r w:rsidR="00E315A5" w:rsidRPr="008F0B8A">
              <w:rPr>
                <w:rFonts w:ascii="Arial" w:eastAsia="Calibri" w:hAnsi="Arial" w:cs="Arial"/>
                <w:color w:val="000000" w:themeColor="text1"/>
                <w:sz w:val="16"/>
                <w:szCs w:val="16"/>
                <w:lang w:val="en-US" w:eastAsia="en-US"/>
              </w:rPr>
              <w:t>inisters, decision makers and policy leaders, advisers and senior public servants</w:t>
            </w:r>
          </w:p>
        </w:tc>
        <w:tc>
          <w:tcPr>
            <w:tcW w:w="3176" w:type="dxa"/>
            <w:tcBorders>
              <w:top w:val="dotted" w:sz="4" w:space="0" w:color="auto"/>
              <w:left w:val="single" w:sz="4" w:space="0" w:color="auto"/>
            </w:tcBorders>
          </w:tcPr>
          <w:p w14:paraId="467EA3DD"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of reports, policy briefs and requests for advice:</w:t>
            </w:r>
          </w:p>
          <w:p w14:paraId="036128C2" w14:textId="77777777" w:rsidR="00E315A5" w:rsidRPr="008F0B8A" w:rsidRDefault="00E315A5" w:rsidP="008A2254">
            <w:pPr>
              <w:numPr>
                <w:ilvl w:val="0"/>
                <w:numId w:val="44"/>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5 annually.</w:t>
            </w:r>
          </w:p>
          <w:p w14:paraId="41655B4A" w14:textId="77777777" w:rsidR="00E315A5" w:rsidRPr="008F0B8A" w:rsidRDefault="00E315A5" w:rsidP="00E315A5">
            <w:pPr>
              <w:tabs>
                <w:tab w:val="left" w:pos="709"/>
              </w:tabs>
              <w:spacing w:after="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Number and type of engagements:</w:t>
            </w:r>
          </w:p>
          <w:p w14:paraId="686C044A" w14:textId="77777777" w:rsidR="00E315A5" w:rsidRPr="008F0B8A" w:rsidRDefault="00E315A5" w:rsidP="008A2254">
            <w:pPr>
              <w:numPr>
                <w:ilvl w:val="0"/>
                <w:numId w:val="44"/>
              </w:num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8F0B8A">
              <w:rPr>
                <w:rFonts w:ascii="Arial" w:eastAsia="Calibri" w:hAnsi="Arial" w:cs="Arial"/>
                <w:color w:val="000000" w:themeColor="text1"/>
                <w:sz w:val="16"/>
                <w:szCs w:val="16"/>
                <w:lang w:val="en-US" w:eastAsia="en-US"/>
              </w:rPr>
              <w:t>10 engagements annually.</w:t>
            </w:r>
          </w:p>
        </w:tc>
      </w:tr>
      <w:tr w:rsidR="00E315A5" w:rsidRPr="008F0B8A" w14:paraId="623F8091" w14:textId="77777777" w:rsidTr="00E315A5">
        <w:tc>
          <w:tcPr>
            <w:tcW w:w="1560" w:type="dxa"/>
            <w:tcBorders>
              <w:top w:val="dotted" w:sz="4" w:space="0" w:color="auto"/>
              <w:right w:val="single" w:sz="4" w:space="0" w:color="auto"/>
            </w:tcBorders>
          </w:tcPr>
          <w:p w14:paraId="3D3A2575" w14:textId="77777777" w:rsidR="00E315A5" w:rsidRPr="008F0B8A" w:rsidRDefault="00E315A5" w:rsidP="00E315A5">
            <w:pPr>
              <w:tabs>
                <w:tab w:val="left" w:pos="709"/>
              </w:tabs>
              <w:spacing w:before="60" w:after="60" w:line="240" w:lineRule="auto"/>
              <w:jc w:val="left"/>
              <w:rPr>
                <w:rFonts w:ascii="Arial" w:hAnsi="Arial" w:cs="Arial"/>
                <w:sz w:val="16"/>
                <w:szCs w:val="16"/>
              </w:rPr>
            </w:pPr>
            <w:r w:rsidRPr="008F0B8A">
              <w:rPr>
                <w:rFonts w:ascii="Arial" w:hAnsi="Arial" w:cs="Arial"/>
                <w:sz w:val="16"/>
                <w:szCs w:val="16"/>
              </w:rPr>
              <w:t>2023-24 and beyond</w:t>
            </w:r>
          </w:p>
        </w:tc>
        <w:tc>
          <w:tcPr>
            <w:tcW w:w="3118" w:type="dxa"/>
            <w:tcBorders>
              <w:top w:val="dotted" w:sz="4" w:space="0" w:color="auto"/>
              <w:left w:val="single" w:sz="4" w:space="0" w:color="auto"/>
              <w:right w:val="single" w:sz="4" w:space="0" w:color="auto"/>
            </w:tcBorders>
          </w:tcPr>
          <w:p w14:paraId="7ABBDE94"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c>
          <w:tcPr>
            <w:tcW w:w="3176" w:type="dxa"/>
            <w:tcBorders>
              <w:top w:val="dotted" w:sz="4" w:space="0" w:color="auto"/>
              <w:left w:val="single" w:sz="4" w:space="0" w:color="auto"/>
            </w:tcBorders>
          </w:tcPr>
          <w:p w14:paraId="1456D53F"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As per 2022-23</w:t>
            </w:r>
          </w:p>
        </w:tc>
      </w:tr>
      <w:tr w:rsidR="00E315A5" w:rsidRPr="008F0B8A" w14:paraId="562E7170" w14:textId="77777777" w:rsidTr="00E315A5">
        <w:tc>
          <w:tcPr>
            <w:tcW w:w="1560" w:type="dxa"/>
          </w:tcPr>
          <w:p w14:paraId="39341ABC" w14:textId="77777777" w:rsidR="00E315A5" w:rsidRPr="008F0B8A" w:rsidRDefault="00E315A5" w:rsidP="00E315A5">
            <w:pPr>
              <w:tabs>
                <w:tab w:val="left" w:pos="709"/>
              </w:tabs>
              <w:spacing w:before="60" w:after="60" w:line="240" w:lineRule="auto"/>
              <w:jc w:val="left"/>
              <w:rPr>
                <w:rFonts w:ascii="Arial" w:hAnsi="Arial" w:cs="Arial"/>
                <w:b/>
                <w:sz w:val="16"/>
                <w:szCs w:val="16"/>
              </w:rPr>
            </w:pPr>
            <w:r w:rsidRPr="008F0B8A">
              <w:rPr>
                <w:rFonts w:ascii="Arial" w:hAnsi="Arial" w:cs="Arial"/>
                <w:b/>
                <w:sz w:val="16"/>
                <w:szCs w:val="16"/>
              </w:rPr>
              <w:t xml:space="preserve">Purposes </w:t>
            </w:r>
          </w:p>
        </w:tc>
        <w:tc>
          <w:tcPr>
            <w:tcW w:w="6294" w:type="dxa"/>
            <w:gridSpan w:val="2"/>
          </w:tcPr>
          <w:p w14:paraId="1EF272E5" w14:textId="77777777" w:rsidR="00E315A5" w:rsidRPr="008F0B8A" w:rsidRDefault="00E315A5" w:rsidP="00E315A5">
            <w:pPr>
              <w:tabs>
                <w:tab w:val="left" w:pos="709"/>
              </w:tabs>
              <w:spacing w:before="60" w:after="60" w:line="240" w:lineRule="auto"/>
              <w:jc w:val="left"/>
              <w:rPr>
                <w:rFonts w:ascii="Arial" w:hAnsi="Arial" w:cs="Arial"/>
                <w:color w:val="000000" w:themeColor="text1"/>
                <w:sz w:val="16"/>
                <w:szCs w:val="16"/>
              </w:rPr>
            </w:pPr>
            <w:r w:rsidRPr="008F0B8A">
              <w:rPr>
                <w:rFonts w:ascii="Arial" w:hAnsi="Arial" w:cs="Arial"/>
                <w:color w:val="000000" w:themeColor="text1"/>
                <w:sz w:val="16"/>
                <w:szCs w:val="16"/>
              </w:rPr>
              <w:t>To tell the story of Aboriginal and Torres Strait Islander Australia; to create opportunities for people to encounter, engage with and be transformed by that story; to support and facilitate Aboriginal and Torres Strait Islander cultural resurgence; and to shape our national narrative.</w:t>
            </w:r>
          </w:p>
        </w:tc>
      </w:tr>
    </w:tbl>
    <w:p w14:paraId="4EC2C302" w14:textId="77777777" w:rsidR="00E315A5" w:rsidRPr="008F0B8A" w:rsidRDefault="00E315A5" w:rsidP="00E315A5">
      <w:pPr>
        <w:spacing w:after="0" w:line="240" w:lineRule="auto"/>
      </w:pPr>
    </w:p>
    <w:p w14:paraId="20BFFE18" w14:textId="77777777" w:rsidR="00E315A5" w:rsidRPr="008F0B8A" w:rsidRDefault="00E315A5" w:rsidP="00E315A5">
      <w:pPr>
        <w:spacing w:after="0" w:line="240" w:lineRule="auto"/>
      </w:pPr>
    </w:p>
    <w:p w14:paraId="00839472" w14:textId="77777777" w:rsidR="00E315A5" w:rsidRPr="008F0B8A" w:rsidRDefault="00E315A5" w:rsidP="00E315A5">
      <w:pPr>
        <w:spacing w:after="0" w:line="240" w:lineRule="auto"/>
      </w:pPr>
    </w:p>
    <w:p w14:paraId="52E295F5" w14:textId="77777777" w:rsidR="00E315A5" w:rsidRPr="008F0B8A" w:rsidRDefault="00E315A5" w:rsidP="00E315A5">
      <w:pPr>
        <w:spacing w:after="0" w:line="240" w:lineRule="auto"/>
      </w:pPr>
    </w:p>
    <w:p w14:paraId="599FA8DA" w14:textId="77777777" w:rsidR="00E315A5" w:rsidRPr="008F0B8A" w:rsidRDefault="00E315A5" w:rsidP="00E315A5">
      <w:pPr>
        <w:spacing w:after="0" w:line="240" w:lineRule="auto"/>
      </w:pPr>
    </w:p>
    <w:p w14:paraId="5D1D981F" w14:textId="77777777" w:rsidR="00E315A5" w:rsidRPr="008F0B8A" w:rsidRDefault="00E315A5" w:rsidP="00E315A5">
      <w:pPr>
        <w:spacing w:after="0" w:line="240" w:lineRule="auto"/>
      </w:pPr>
    </w:p>
    <w:p w14:paraId="5361D0CD" w14:textId="77777777" w:rsidR="00E315A5" w:rsidRPr="008F0B8A" w:rsidRDefault="00E315A5" w:rsidP="00E315A5">
      <w:pPr>
        <w:spacing w:after="0" w:line="240" w:lineRule="auto"/>
      </w:pPr>
    </w:p>
    <w:p w14:paraId="6A9425C2" w14:textId="77777777" w:rsidR="00E315A5" w:rsidRPr="008F0B8A" w:rsidRDefault="00E315A5" w:rsidP="00E315A5">
      <w:pPr>
        <w:spacing w:after="0" w:line="240" w:lineRule="auto"/>
      </w:pPr>
    </w:p>
    <w:p w14:paraId="507962C9" w14:textId="77777777" w:rsidR="00E315A5" w:rsidRPr="008F0B8A" w:rsidRDefault="00E315A5" w:rsidP="00E315A5">
      <w:pPr>
        <w:spacing w:after="0" w:line="240" w:lineRule="auto"/>
      </w:pPr>
    </w:p>
    <w:p w14:paraId="5BCF94A8" w14:textId="77777777" w:rsidR="00E315A5" w:rsidRPr="008F0B8A" w:rsidRDefault="00E315A5" w:rsidP="00E315A5">
      <w:pPr>
        <w:spacing w:after="0" w:line="240" w:lineRule="auto"/>
      </w:pPr>
    </w:p>
    <w:p w14:paraId="4586D07D" w14:textId="77777777" w:rsidR="00E315A5" w:rsidRPr="008F0B8A" w:rsidRDefault="00E315A5" w:rsidP="00E315A5">
      <w:pPr>
        <w:spacing w:after="0" w:line="240" w:lineRule="auto"/>
      </w:pPr>
    </w:p>
    <w:p w14:paraId="5FF934FC" w14:textId="77777777" w:rsidR="00E315A5" w:rsidRPr="008F0B8A" w:rsidRDefault="00E315A5" w:rsidP="00E315A5">
      <w:pPr>
        <w:spacing w:after="0" w:line="240" w:lineRule="auto"/>
      </w:pPr>
    </w:p>
    <w:p w14:paraId="76727EC3" w14:textId="77777777" w:rsidR="00E315A5" w:rsidRPr="008F0B8A" w:rsidRDefault="00E315A5" w:rsidP="00E315A5">
      <w:pPr>
        <w:spacing w:after="0" w:line="240" w:lineRule="auto"/>
      </w:pPr>
    </w:p>
    <w:p w14:paraId="2175E92A" w14:textId="77777777" w:rsidR="00E315A5" w:rsidRPr="008F0B8A" w:rsidRDefault="00E315A5" w:rsidP="00E315A5">
      <w:pPr>
        <w:spacing w:after="0" w:line="240" w:lineRule="auto"/>
      </w:pPr>
    </w:p>
    <w:p w14:paraId="437EC082" w14:textId="77777777" w:rsidR="00E315A5" w:rsidRPr="008F0B8A" w:rsidRDefault="00E315A5" w:rsidP="00E315A5">
      <w:pPr>
        <w:spacing w:after="0" w:line="240" w:lineRule="auto"/>
      </w:pPr>
    </w:p>
    <w:p w14:paraId="70AC034E" w14:textId="77777777" w:rsidR="00E315A5" w:rsidRPr="008F0B8A" w:rsidRDefault="00E315A5" w:rsidP="00E315A5">
      <w:pPr>
        <w:spacing w:after="0" w:line="240" w:lineRule="auto"/>
      </w:pPr>
    </w:p>
    <w:p w14:paraId="1207BD80" w14:textId="77777777" w:rsidR="00E315A5" w:rsidRPr="008F0B8A" w:rsidRDefault="00E315A5" w:rsidP="00E315A5">
      <w:pPr>
        <w:spacing w:after="0" w:line="240" w:lineRule="auto"/>
      </w:pPr>
    </w:p>
    <w:p w14:paraId="4DFD9C35" w14:textId="77777777" w:rsidR="00E315A5" w:rsidRPr="008F0B8A" w:rsidRDefault="00E315A5" w:rsidP="00E315A5">
      <w:pPr>
        <w:spacing w:after="0" w:line="240" w:lineRule="auto"/>
      </w:pPr>
    </w:p>
    <w:p w14:paraId="155E8CC0" w14:textId="77777777" w:rsidR="00E315A5" w:rsidRPr="008F0B8A" w:rsidRDefault="00E315A5" w:rsidP="00E315A5">
      <w:pPr>
        <w:pStyle w:val="Heading2"/>
      </w:pPr>
      <w:bookmarkStart w:id="271" w:name="_Toc98766369"/>
      <w:bookmarkStart w:id="272" w:name="_Toc98856116"/>
      <w:bookmarkStart w:id="273" w:name="_Toc98932868"/>
      <w:bookmarkStart w:id="274" w:name="_Toc99008125"/>
      <w:bookmarkStart w:id="275" w:name="_Toc99009487"/>
      <w:bookmarkStart w:id="276" w:name="_Toc99010715"/>
      <w:bookmarkStart w:id="277" w:name="_Toc99013950"/>
      <w:bookmarkStart w:id="278" w:name="_Toc99187527"/>
      <w:bookmarkStart w:id="279" w:name="_Toc99269636"/>
      <w:r w:rsidRPr="008F0B8A">
        <w:t>Section 3: Budgeted financial statements</w:t>
      </w:r>
      <w:bookmarkEnd w:id="271"/>
      <w:bookmarkEnd w:id="272"/>
      <w:bookmarkEnd w:id="273"/>
      <w:bookmarkEnd w:id="274"/>
      <w:bookmarkEnd w:id="275"/>
      <w:bookmarkEnd w:id="276"/>
      <w:bookmarkEnd w:id="277"/>
      <w:bookmarkEnd w:id="278"/>
      <w:bookmarkEnd w:id="279"/>
    </w:p>
    <w:p w14:paraId="674A6003" w14:textId="77777777" w:rsidR="00E315A5" w:rsidRPr="008F0B8A" w:rsidRDefault="00E315A5" w:rsidP="00E315A5">
      <w:r w:rsidRPr="008F0B8A">
        <w:t>Section 3 presents budgeted financial statements which provide a comprehensive snapshot of entity finances for the 2022-23</w:t>
      </w:r>
      <w:r w:rsidRPr="008F0B8A">
        <w:rPr>
          <w:color w:val="00B050"/>
        </w:rPr>
        <w:t xml:space="preserve"> </w:t>
      </w:r>
      <w:r w:rsidR="004C12AF">
        <w:t>Budget year</w:t>
      </w:r>
      <w:r w:rsidRPr="008F0B8A">
        <w:t>, including the impact of budget measures and resourcing on financial statements.</w:t>
      </w:r>
    </w:p>
    <w:p w14:paraId="2B52511F" w14:textId="77777777" w:rsidR="00E315A5" w:rsidRPr="008F0B8A" w:rsidRDefault="00E315A5" w:rsidP="00E315A5">
      <w:pPr>
        <w:pStyle w:val="Heading3"/>
      </w:pPr>
      <w:bookmarkStart w:id="280" w:name="_Toc98766370"/>
      <w:bookmarkStart w:id="281" w:name="_Toc98856117"/>
      <w:bookmarkStart w:id="282" w:name="_Toc98932869"/>
      <w:bookmarkStart w:id="283" w:name="_Toc99008126"/>
      <w:bookmarkStart w:id="284" w:name="_Toc99009488"/>
      <w:bookmarkStart w:id="285" w:name="_Toc99010716"/>
      <w:bookmarkStart w:id="286" w:name="_Toc99013951"/>
      <w:bookmarkStart w:id="287" w:name="_Toc99187528"/>
      <w:bookmarkStart w:id="288" w:name="_Toc99269637"/>
      <w:r w:rsidRPr="008F0B8A">
        <w:t>3.1</w:t>
      </w:r>
      <w:r w:rsidRPr="008F0B8A">
        <w:tab/>
        <w:t>Budgeted financial statements</w:t>
      </w:r>
      <w:bookmarkEnd w:id="280"/>
      <w:bookmarkEnd w:id="281"/>
      <w:bookmarkEnd w:id="282"/>
      <w:bookmarkEnd w:id="283"/>
      <w:bookmarkEnd w:id="284"/>
      <w:bookmarkEnd w:id="285"/>
      <w:bookmarkEnd w:id="286"/>
      <w:bookmarkEnd w:id="287"/>
      <w:bookmarkEnd w:id="288"/>
    </w:p>
    <w:p w14:paraId="0FFED9AC" w14:textId="77777777" w:rsidR="00E315A5" w:rsidRPr="008F0B8A" w:rsidRDefault="00E315A5" w:rsidP="00E315A5">
      <w:pPr>
        <w:pStyle w:val="Heading4"/>
      </w:pPr>
      <w:r w:rsidRPr="008F0B8A">
        <w:t>3.1.1</w:t>
      </w:r>
      <w:r w:rsidRPr="008F0B8A">
        <w:tab/>
        <w:t>Explanatory notes and analysis of budgeted financial statements</w:t>
      </w:r>
    </w:p>
    <w:p w14:paraId="3EF152EF" w14:textId="77777777" w:rsidR="00E315A5" w:rsidRPr="008F0B8A" w:rsidRDefault="00E315A5" w:rsidP="00E315A5">
      <w:bookmarkStart w:id="289" w:name="_Hlk96418820"/>
      <w:r w:rsidRPr="008F0B8A">
        <w:t xml:space="preserve">The AIATSIS is budgeting for a break-even position in 2022-23.  The increase in appropriation from 2021-22 is mainly due to revenue received the Ngurra Cultural Precinct. The Ngurra Cultural Precinct incorporates a National Resting Place and would establish a National </w:t>
      </w:r>
      <w:r w:rsidR="00C26820" w:rsidRPr="008F0B8A">
        <w:t>Indigenous</w:t>
      </w:r>
      <w:r w:rsidRPr="008F0B8A">
        <w:t xml:space="preserve"> Knowledge and Cultural Centre.  The decrease in expenses and own-source revenue relates to the finalisation of the Indigenous Research Exchange Grants Program.</w:t>
      </w:r>
    </w:p>
    <w:p w14:paraId="4B075E2F" w14:textId="77777777" w:rsidR="00E315A5" w:rsidRPr="008F0B8A" w:rsidRDefault="00E315A5" w:rsidP="00E315A5">
      <w:r w:rsidRPr="008F0B8A">
        <w:t>The AIATSIS’ total assets are estimated to be $57.6 million at 30 June 2023. This value mainly represents our non-financial assets of $32.0 million which includes our building and collec</w:t>
      </w:r>
      <w:r w:rsidRPr="008F0B8A">
        <w:lastRenderedPageBreak/>
        <w:t xml:space="preserve">tion assets. The AIATSIS’ budgeted cash and cash equivalents are estimated to be $23.5 million, which ensures </w:t>
      </w:r>
      <w:r w:rsidR="006A2427">
        <w:t xml:space="preserve">the </w:t>
      </w:r>
      <w:r w:rsidRPr="008F0B8A">
        <w:t xml:space="preserve">AIATSIS has sufficient financial assets to meet its total liabilities and to fund future asset replacements. </w:t>
      </w:r>
    </w:p>
    <w:bookmarkEnd w:id="289"/>
    <w:p w14:paraId="74B51639" w14:textId="77777777" w:rsidR="00E315A5" w:rsidRPr="008F0B8A" w:rsidRDefault="00E315A5" w:rsidP="00E315A5"/>
    <w:p w14:paraId="62229126" w14:textId="77777777" w:rsidR="00E315A5" w:rsidRPr="008F0B8A" w:rsidRDefault="00E315A5" w:rsidP="00E315A5">
      <w:pPr>
        <w:jc w:val="left"/>
      </w:pPr>
      <w:r w:rsidRPr="008F0B8A">
        <w:br w:type="page"/>
      </w:r>
      <w:r w:rsidRPr="008F0B8A">
        <w:rPr>
          <w:rStyle w:val="TableHeadingChar"/>
        </w:rPr>
        <w:t>3.2.</w:t>
      </w:r>
      <w:r w:rsidRPr="008F0B8A">
        <w:rPr>
          <w:rStyle w:val="TableHeadingChar"/>
        </w:rPr>
        <w:tab/>
        <w:t>Budgeted financial statements tables</w:t>
      </w:r>
    </w:p>
    <w:p w14:paraId="6327562A" w14:textId="77777777" w:rsidR="00E315A5" w:rsidRPr="008F0B8A" w:rsidRDefault="00E315A5" w:rsidP="00E315A5">
      <w:pPr>
        <w:pStyle w:val="TableHeading"/>
        <w:rPr>
          <w:snapToGrid w:val="0"/>
        </w:rPr>
      </w:pPr>
      <w:r w:rsidRPr="008F0B8A">
        <w:t xml:space="preserve">Table 3.1: Comprehensive income statement (showing net cost of services) </w:t>
      </w:r>
      <w:r w:rsidRPr="008F0B8A">
        <w:rPr>
          <w:snapToGrid w:val="0"/>
        </w:rPr>
        <w:t>for the period ended 30 June</w:t>
      </w:r>
    </w:p>
    <w:p w14:paraId="772170A8" w14:textId="77777777" w:rsidR="00E315A5" w:rsidRPr="008F0B8A" w:rsidRDefault="00E315A5" w:rsidP="00E315A5">
      <w:pPr>
        <w:pStyle w:val="TableGraphic"/>
        <w:rPr>
          <w:noProof/>
        </w:rPr>
      </w:pPr>
      <w:r w:rsidRPr="008F0B8A">
        <w:rPr>
          <w:noProof/>
        </w:rPr>
        <w:t xml:space="preserve"> </w:t>
      </w:r>
      <w:r w:rsidR="00E6223B" w:rsidRPr="00E6223B">
        <w:rPr>
          <w:noProof/>
        </w:rPr>
        <w:drawing>
          <wp:inline distT="0" distB="0" distL="0" distR="0" wp14:anchorId="7F9661F6" wp14:editId="47390DE8">
            <wp:extent cx="4895850" cy="5278242"/>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95850" cy="5278242"/>
                    </a:xfrm>
                    <a:prstGeom prst="rect">
                      <a:avLst/>
                    </a:prstGeom>
                    <a:noFill/>
                    <a:ln>
                      <a:noFill/>
                    </a:ln>
                  </pic:spPr>
                </pic:pic>
              </a:graphicData>
            </a:graphic>
          </wp:inline>
        </w:drawing>
      </w:r>
    </w:p>
    <w:p w14:paraId="58EBD058" w14:textId="77777777" w:rsidR="006A2427" w:rsidRPr="006A2427" w:rsidRDefault="006A2427" w:rsidP="006A2427">
      <w:pPr>
        <w:pStyle w:val="ChartandTableFootnoteAlpha"/>
        <w:ind w:left="284" w:hanging="284"/>
        <w:rPr>
          <w:rFonts w:cs="Arial"/>
        </w:rPr>
      </w:pPr>
      <w:r w:rsidRPr="006A2427">
        <w:rPr>
          <w:rFonts w:cs="Arial"/>
        </w:rPr>
        <w:t>Prepared on Australian Accounting Standards basis.</w:t>
      </w:r>
    </w:p>
    <w:p w14:paraId="69A4AEC9" w14:textId="77777777" w:rsidR="00E315A5" w:rsidRPr="008F0B8A" w:rsidRDefault="00A75066" w:rsidP="00392A48">
      <w:pPr>
        <w:pStyle w:val="ChartandTableFootnoteAlpha"/>
        <w:numPr>
          <w:ilvl w:val="0"/>
          <w:numId w:val="98"/>
        </w:numPr>
      </w:pPr>
      <w:r>
        <w:t>Applies to leases</w:t>
      </w:r>
      <w:r w:rsidR="00E315A5" w:rsidRPr="008F0B8A">
        <w:t xml:space="preserve"> under AASB 16 Leases.</w:t>
      </w:r>
    </w:p>
    <w:p w14:paraId="6DD247A8" w14:textId="77777777" w:rsidR="00E315A5" w:rsidRPr="008F0B8A" w:rsidRDefault="00E315A5" w:rsidP="00E315A5">
      <w:pPr>
        <w:pStyle w:val="Source"/>
        <w:rPr>
          <w:rFonts w:cs="Arial"/>
        </w:rPr>
      </w:pPr>
    </w:p>
    <w:p w14:paraId="3713F4CA" w14:textId="77777777" w:rsidR="00E315A5" w:rsidRPr="008F0B8A" w:rsidRDefault="00E315A5" w:rsidP="00E315A5">
      <w:pPr>
        <w:pStyle w:val="Source"/>
        <w:rPr>
          <w:rFonts w:cs="Arial"/>
        </w:rPr>
      </w:pPr>
    </w:p>
    <w:p w14:paraId="13A2AD7F" w14:textId="77777777" w:rsidR="00E315A5" w:rsidRPr="008F0B8A" w:rsidRDefault="00E315A5" w:rsidP="00E315A5">
      <w:pPr>
        <w:pStyle w:val="TableHeading"/>
      </w:pPr>
      <w:r w:rsidRPr="008F0B8A">
        <w:br w:type="page"/>
        <w:t>Table 3.2: Budgeted departmental balance sheet (as at 30 June)</w:t>
      </w:r>
    </w:p>
    <w:p w14:paraId="62E698E2" w14:textId="77777777" w:rsidR="00E315A5" w:rsidRPr="008F0B8A" w:rsidRDefault="00E6223B" w:rsidP="00E315A5">
      <w:pPr>
        <w:pStyle w:val="TableGraphic"/>
      </w:pPr>
      <w:r w:rsidRPr="00E6223B">
        <w:rPr>
          <w:noProof/>
        </w:rPr>
        <w:drawing>
          <wp:inline distT="0" distB="0" distL="0" distR="0" wp14:anchorId="72D75AB7" wp14:editId="4AC00BBA">
            <wp:extent cx="4895850" cy="531771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95850" cy="5317715"/>
                    </a:xfrm>
                    <a:prstGeom prst="rect">
                      <a:avLst/>
                    </a:prstGeom>
                    <a:noFill/>
                    <a:ln>
                      <a:noFill/>
                    </a:ln>
                  </pic:spPr>
                </pic:pic>
              </a:graphicData>
            </a:graphic>
          </wp:inline>
        </w:drawing>
      </w:r>
    </w:p>
    <w:p w14:paraId="4383F556" w14:textId="77777777" w:rsidR="00E315A5" w:rsidRPr="008F0B8A" w:rsidRDefault="00E315A5" w:rsidP="00E315A5">
      <w:pPr>
        <w:pStyle w:val="Source"/>
        <w:rPr>
          <w:rFonts w:cs="Arial"/>
        </w:rPr>
      </w:pPr>
      <w:r w:rsidRPr="008F0B8A">
        <w:rPr>
          <w:rFonts w:cs="Arial"/>
        </w:rPr>
        <w:t>Prepared on Australian Accounting Standards basis.</w:t>
      </w:r>
    </w:p>
    <w:p w14:paraId="3867B8E9" w14:textId="77777777" w:rsidR="00E315A5" w:rsidRPr="008F0B8A" w:rsidRDefault="00E315A5" w:rsidP="00E315A5">
      <w:pPr>
        <w:pStyle w:val="ChartandTableFootnote"/>
        <w:rPr>
          <w:rFonts w:cs="Arial"/>
        </w:rPr>
      </w:pPr>
      <w:r w:rsidRPr="008F0B8A">
        <w:rPr>
          <w:rFonts w:cs="Arial"/>
        </w:rPr>
        <w:t>*</w:t>
      </w:r>
      <w:r w:rsidRPr="008F0B8A">
        <w:rPr>
          <w:rFonts w:cs="Arial"/>
          <w:lang w:val="en-AU"/>
        </w:rPr>
        <w:t>‘</w:t>
      </w:r>
      <w:r w:rsidRPr="008F0B8A">
        <w:rPr>
          <w:rFonts w:cs="Arial"/>
        </w:rPr>
        <w:t>Equity’ is the residual interest in assets after deduction of liabilities.</w:t>
      </w:r>
    </w:p>
    <w:p w14:paraId="7E2DA639" w14:textId="77777777" w:rsidR="00E315A5" w:rsidRPr="008F0B8A" w:rsidRDefault="00E315A5" w:rsidP="00E315A5"/>
    <w:p w14:paraId="384EC1E8" w14:textId="77777777" w:rsidR="00E315A5" w:rsidRPr="008F0B8A" w:rsidRDefault="00E315A5" w:rsidP="00E315A5"/>
    <w:p w14:paraId="4071BC05" w14:textId="77777777" w:rsidR="00E315A5" w:rsidRDefault="00E315A5" w:rsidP="00E315A5">
      <w:pPr>
        <w:pStyle w:val="TableHeading"/>
        <w:rPr>
          <w:rFonts w:ascii="Times New Roman" w:hAnsi="Times New Roman"/>
        </w:rPr>
      </w:pPr>
      <w:r w:rsidRPr="008F0B8A">
        <w:br w:type="page"/>
        <w:t>Table 3.3: Departmental</w:t>
      </w:r>
      <w:r w:rsidRPr="00AD42E2">
        <w:t xml:space="preserve"> statement of changes in equity — summary of</w:t>
      </w:r>
      <w:r>
        <w:t xml:space="preserve"> movement (Budget year </w:t>
      </w:r>
      <w:r>
        <w:rPr>
          <w:lang w:val="en-AU"/>
        </w:rPr>
        <w:t>2022-23</w:t>
      </w:r>
      <w:r w:rsidRPr="00D30CBA">
        <w:t>)</w:t>
      </w:r>
    </w:p>
    <w:p w14:paraId="6646E461" w14:textId="77777777" w:rsidR="00E315A5" w:rsidRDefault="00E315A5" w:rsidP="00E315A5">
      <w:pPr>
        <w:pStyle w:val="TableGraphic"/>
      </w:pPr>
      <w:r w:rsidRPr="002376AD">
        <w:t xml:space="preserve"> </w:t>
      </w:r>
      <w:r w:rsidR="00103DE7" w:rsidRPr="00103DE7">
        <w:rPr>
          <w:noProof/>
        </w:rPr>
        <w:drawing>
          <wp:inline distT="0" distB="0" distL="0" distR="0" wp14:anchorId="448EB21E" wp14:editId="3153F0AE">
            <wp:extent cx="4597400" cy="213995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97400" cy="2139950"/>
                    </a:xfrm>
                    <a:prstGeom prst="rect">
                      <a:avLst/>
                    </a:prstGeom>
                    <a:noFill/>
                    <a:ln>
                      <a:noFill/>
                    </a:ln>
                  </pic:spPr>
                </pic:pic>
              </a:graphicData>
            </a:graphic>
          </wp:inline>
        </w:drawing>
      </w:r>
    </w:p>
    <w:p w14:paraId="48B451E7" w14:textId="77777777" w:rsidR="00E315A5" w:rsidRPr="00132F9E" w:rsidRDefault="00E315A5" w:rsidP="00E315A5">
      <w:pPr>
        <w:pStyle w:val="TableGraphic"/>
        <w:rPr>
          <w:rFonts w:ascii="Arial" w:hAnsi="Arial" w:cs="Arial"/>
          <w:sz w:val="16"/>
          <w:szCs w:val="16"/>
        </w:rPr>
      </w:pPr>
      <w:r w:rsidRPr="00D606C2">
        <w:rPr>
          <w:rFonts w:ascii="Arial" w:hAnsi="Arial" w:cs="Arial"/>
          <w:sz w:val="16"/>
        </w:rPr>
        <w:t>Prepared on Australian Accounting Standards basis</w:t>
      </w:r>
      <w:r w:rsidR="006A2427">
        <w:rPr>
          <w:rFonts w:ascii="Arial" w:hAnsi="Arial" w:cs="Arial"/>
          <w:sz w:val="16"/>
        </w:rPr>
        <w:t>.</w:t>
      </w:r>
    </w:p>
    <w:p w14:paraId="48B6DDA3" w14:textId="77777777" w:rsidR="00E315A5" w:rsidRDefault="00E315A5" w:rsidP="00E315A5">
      <w:pPr>
        <w:pStyle w:val="Source"/>
      </w:pPr>
      <w:r>
        <w:t>*The non-controlling interest disclosure is not required if an entity does not have non-controlling interests.</w:t>
      </w:r>
    </w:p>
    <w:p w14:paraId="2A61A470" w14:textId="77777777" w:rsidR="00E315A5" w:rsidRPr="00152B2B" w:rsidRDefault="00E315A5" w:rsidP="00E315A5"/>
    <w:p w14:paraId="7EEE1794" w14:textId="77777777" w:rsidR="00E315A5" w:rsidRPr="00A00283" w:rsidRDefault="00E315A5" w:rsidP="00E315A5">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F0B8021" w14:textId="77777777" w:rsidR="00E315A5" w:rsidRPr="00F10305" w:rsidRDefault="00E6223B" w:rsidP="00E315A5">
      <w:pPr>
        <w:pStyle w:val="TableGraphic"/>
        <w:tabs>
          <w:tab w:val="left" w:pos="6237"/>
        </w:tabs>
      </w:pPr>
      <w:r w:rsidRPr="00E6223B">
        <w:rPr>
          <w:noProof/>
        </w:rPr>
        <w:drawing>
          <wp:inline distT="0" distB="0" distL="0" distR="0" wp14:anchorId="7C451D7F" wp14:editId="02898C9F">
            <wp:extent cx="4895850" cy="5716759"/>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95850" cy="5716759"/>
                    </a:xfrm>
                    <a:prstGeom prst="rect">
                      <a:avLst/>
                    </a:prstGeom>
                    <a:noFill/>
                    <a:ln>
                      <a:noFill/>
                    </a:ln>
                  </pic:spPr>
                </pic:pic>
              </a:graphicData>
            </a:graphic>
          </wp:inline>
        </w:drawing>
      </w:r>
    </w:p>
    <w:p w14:paraId="473F331A" w14:textId="77777777" w:rsidR="00E315A5" w:rsidRPr="00132F9E" w:rsidRDefault="00E315A5" w:rsidP="00E315A5">
      <w:pPr>
        <w:pStyle w:val="TableGraphic"/>
        <w:rPr>
          <w:rFonts w:ascii="Arial" w:hAnsi="Arial" w:cs="Arial"/>
          <w:sz w:val="16"/>
          <w:szCs w:val="16"/>
        </w:rPr>
      </w:pPr>
      <w:r w:rsidRPr="00132F9E">
        <w:rPr>
          <w:rFonts w:ascii="Arial" w:hAnsi="Arial" w:cs="Arial"/>
          <w:sz w:val="16"/>
          <w:szCs w:val="16"/>
        </w:rPr>
        <w:t>Prepared on Australian Accounting Standards basis.</w:t>
      </w:r>
    </w:p>
    <w:p w14:paraId="5E98405D" w14:textId="77777777" w:rsidR="00E315A5" w:rsidRDefault="00E315A5" w:rsidP="00E315A5">
      <w:pPr>
        <w:spacing w:after="0" w:line="240" w:lineRule="auto"/>
        <w:jc w:val="left"/>
        <w:rPr>
          <w:rFonts w:ascii="Arial" w:hAnsi="Arial" w:cs="Arial"/>
          <w:sz w:val="16"/>
          <w:szCs w:val="16"/>
        </w:rPr>
      </w:pPr>
      <w:r>
        <w:rPr>
          <w:rFonts w:ascii="Arial" w:hAnsi="Arial" w:cs="Arial"/>
          <w:sz w:val="16"/>
          <w:szCs w:val="16"/>
        </w:rPr>
        <w:br w:type="page"/>
      </w:r>
    </w:p>
    <w:p w14:paraId="11EA1A69" w14:textId="77777777" w:rsidR="00E315A5" w:rsidRPr="00A00283" w:rsidRDefault="00E315A5" w:rsidP="00E315A5">
      <w:pPr>
        <w:pStyle w:val="TableHeading"/>
      </w:pPr>
      <w:r w:rsidRPr="00D30CBA">
        <w:t>Table</w:t>
      </w:r>
      <w:r>
        <w:t xml:space="preserve"> 3.5</w:t>
      </w:r>
      <w:r w:rsidRPr="00D30CBA">
        <w:t xml:space="preserve">: </w:t>
      </w:r>
      <w:r>
        <w:t>Departmental capital budget statement (for the period ended 30 June)</w:t>
      </w:r>
    </w:p>
    <w:p w14:paraId="5D03F3D4" w14:textId="77777777" w:rsidR="00E315A5" w:rsidRDefault="00103DE7" w:rsidP="00E315A5">
      <w:pPr>
        <w:pStyle w:val="TableGraphic"/>
      </w:pPr>
      <w:r w:rsidRPr="00103DE7">
        <w:rPr>
          <w:noProof/>
        </w:rPr>
        <w:drawing>
          <wp:inline distT="0" distB="0" distL="0" distR="0" wp14:anchorId="71E4706C" wp14:editId="63B9D612">
            <wp:extent cx="4895850" cy="2873383"/>
            <wp:effectExtent l="0" t="0" r="0" b="317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95850" cy="2873383"/>
                    </a:xfrm>
                    <a:prstGeom prst="rect">
                      <a:avLst/>
                    </a:prstGeom>
                    <a:noFill/>
                    <a:ln>
                      <a:noFill/>
                    </a:ln>
                  </pic:spPr>
                </pic:pic>
              </a:graphicData>
            </a:graphic>
          </wp:inline>
        </w:drawing>
      </w:r>
    </w:p>
    <w:p w14:paraId="7BADE301" w14:textId="77777777" w:rsidR="00E315A5" w:rsidRPr="00132F9E" w:rsidRDefault="00E315A5" w:rsidP="00E315A5">
      <w:pPr>
        <w:pStyle w:val="TableGraphic"/>
        <w:rPr>
          <w:rFonts w:ascii="Arial" w:hAnsi="Arial" w:cs="Arial"/>
          <w:sz w:val="16"/>
          <w:szCs w:val="16"/>
        </w:rPr>
      </w:pPr>
      <w:r w:rsidRPr="00132F9E">
        <w:rPr>
          <w:rFonts w:ascii="Arial" w:hAnsi="Arial" w:cs="Arial"/>
          <w:sz w:val="16"/>
          <w:szCs w:val="16"/>
        </w:rPr>
        <w:t>Prepared on Australian Accounting Standards basis.</w:t>
      </w:r>
    </w:p>
    <w:p w14:paraId="58EA9925" w14:textId="77777777" w:rsidR="00E315A5" w:rsidRPr="006A2427" w:rsidRDefault="00E315A5" w:rsidP="00392A48">
      <w:pPr>
        <w:pStyle w:val="ChartandTableFootnoteAlpha"/>
        <w:numPr>
          <w:ilvl w:val="0"/>
          <w:numId w:val="99"/>
        </w:numPr>
        <w:rPr>
          <w:rFonts w:cs="Arial"/>
          <w:szCs w:val="16"/>
        </w:rPr>
      </w:pPr>
      <w:r w:rsidRPr="006A2427">
        <w:rPr>
          <w:rFonts w:cs="Arial"/>
          <w:szCs w:val="16"/>
        </w:rPr>
        <w:t>Includes both current Bill 2 and prior Act 2/4/6 appropriations.</w:t>
      </w:r>
    </w:p>
    <w:p w14:paraId="3B01FCFA" w14:textId="77777777" w:rsidR="00E315A5" w:rsidRDefault="00E315A5" w:rsidP="00392A48">
      <w:pPr>
        <w:pStyle w:val="ChartandTableFootnoteAlpha"/>
        <w:numPr>
          <w:ilvl w:val="0"/>
          <w:numId w:val="120"/>
        </w:numPr>
        <w:spacing w:after="20"/>
      </w:pPr>
      <w:r>
        <w:t>Includes the following s74 external</w:t>
      </w:r>
      <w:r w:rsidDel="005013B5">
        <w:t xml:space="preserve"> </w:t>
      </w:r>
      <w:r>
        <w:t>receipts:</w:t>
      </w:r>
    </w:p>
    <w:p w14:paraId="5652E92C" w14:textId="77777777" w:rsidR="00E315A5" w:rsidRPr="000F37E6" w:rsidRDefault="00E315A5" w:rsidP="00E315A5">
      <w:pPr>
        <w:pStyle w:val="ChartandTableFootnote-Dash"/>
      </w:pPr>
      <w:r>
        <w:t>- sponsorship, subsidy, gifts or similar contribution;</w:t>
      </w:r>
    </w:p>
    <w:p w14:paraId="45C81B78" w14:textId="77777777" w:rsidR="00E315A5" w:rsidRDefault="00E315A5" w:rsidP="00E315A5">
      <w:pPr>
        <w:pStyle w:val="ChartandTableFootnote-Dash"/>
      </w:pPr>
      <w:r w:rsidRPr="000F37E6">
        <w:t>- internally developed assets;</w:t>
      </w:r>
      <w:r>
        <w:t xml:space="preserve"> and</w:t>
      </w:r>
    </w:p>
    <w:p w14:paraId="28D2A64F" w14:textId="77777777" w:rsidR="00E315A5" w:rsidRPr="000F37E6" w:rsidRDefault="00E315A5" w:rsidP="00E315A5">
      <w:pPr>
        <w:pStyle w:val="ChartandTableFootnote-Dash"/>
      </w:pPr>
      <w:r>
        <w:t xml:space="preserve">- proceeds from the sale of assets. </w:t>
      </w:r>
    </w:p>
    <w:p w14:paraId="3442E4C4" w14:textId="77777777" w:rsidR="00E315A5" w:rsidRPr="00132F9E" w:rsidRDefault="00E315A5" w:rsidP="00E315A5">
      <w:pPr>
        <w:pStyle w:val="NoSpacing"/>
        <w:rPr>
          <w:rFonts w:ascii="Arial" w:hAnsi="Arial" w:cs="Arial"/>
          <w:sz w:val="16"/>
          <w:szCs w:val="16"/>
        </w:rPr>
      </w:pPr>
    </w:p>
    <w:p w14:paraId="054EF24C" w14:textId="77777777" w:rsidR="00E315A5" w:rsidRDefault="00E315A5" w:rsidP="00E315A5">
      <w:pPr>
        <w:pStyle w:val="TableHeading"/>
      </w:pPr>
      <w:r>
        <w:br w:type="page"/>
        <w:t xml:space="preserve"> </w:t>
      </w: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40B1FED6" w14:textId="77777777" w:rsidR="00E315A5" w:rsidRPr="000F37E6" w:rsidRDefault="00103DE7" w:rsidP="00E315A5">
      <w:pPr>
        <w:pStyle w:val="TableHeading"/>
      </w:pPr>
      <w:r w:rsidRPr="00103DE7">
        <w:rPr>
          <w:noProof/>
          <w:lang w:val="en-AU" w:eastAsia="en-AU"/>
        </w:rPr>
        <w:drawing>
          <wp:inline distT="0" distB="0" distL="0" distR="0" wp14:anchorId="6B56649A" wp14:editId="6C5E4FA5">
            <wp:extent cx="4895850" cy="3952773"/>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95850" cy="3952773"/>
                    </a:xfrm>
                    <a:prstGeom prst="rect">
                      <a:avLst/>
                    </a:prstGeom>
                    <a:noFill/>
                    <a:ln>
                      <a:noFill/>
                    </a:ln>
                  </pic:spPr>
                </pic:pic>
              </a:graphicData>
            </a:graphic>
          </wp:inline>
        </w:drawing>
      </w:r>
    </w:p>
    <w:p w14:paraId="078A3E8C" w14:textId="77777777" w:rsidR="00E315A5" w:rsidRPr="002E5D24" w:rsidRDefault="00E315A5" w:rsidP="00E315A5">
      <w:pPr>
        <w:pStyle w:val="ChartandTableFootnote"/>
      </w:pPr>
      <w:r w:rsidRPr="00132F9E">
        <w:t>Prepared on Australian Accounting Standards basis.</w:t>
      </w:r>
    </w:p>
    <w:p w14:paraId="5D8E3C6D" w14:textId="77777777" w:rsidR="00E315A5" w:rsidRPr="00394C03" w:rsidRDefault="00E315A5" w:rsidP="00392A48">
      <w:pPr>
        <w:pStyle w:val="ChartandTableFootnoteAlpha"/>
        <w:numPr>
          <w:ilvl w:val="0"/>
          <w:numId w:val="100"/>
        </w:numPr>
        <w:rPr>
          <w:rFonts w:cs="Arial"/>
          <w:szCs w:val="16"/>
        </w:rPr>
      </w:pPr>
      <w:r w:rsidRPr="00394C03">
        <w:rPr>
          <w:rFonts w:cs="Arial"/>
          <w:szCs w:val="16"/>
        </w:rPr>
        <w:t>‘Appropriation equity’ refers to equity injections appropriations provided through Appropriation Bill (No. 2) 2022-23.</w:t>
      </w:r>
    </w:p>
    <w:p w14:paraId="34B10AF3" w14:textId="77777777" w:rsidR="00E315A5" w:rsidRPr="00394C03" w:rsidRDefault="00E315A5" w:rsidP="00392A48">
      <w:pPr>
        <w:pStyle w:val="ChartandTableFootnoteAlpha"/>
        <w:numPr>
          <w:ilvl w:val="0"/>
          <w:numId w:val="100"/>
        </w:numPr>
        <w:rPr>
          <w:rFonts w:cs="Arial"/>
          <w:szCs w:val="16"/>
        </w:rPr>
      </w:pPr>
      <w:r w:rsidRPr="00394C03">
        <w:rPr>
          <w:rFonts w:cs="Arial"/>
          <w:szCs w:val="16"/>
        </w:rPr>
        <w:t>‘Appropriation ordinary annual services’ refers to funding provided through Appropriation Bill (No. 1) 2022</w:t>
      </w:r>
      <w:r w:rsidRPr="00394C03">
        <w:rPr>
          <w:rFonts w:cs="Arial"/>
          <w:szCs w:val="16"/>
        </w:rPr>
        <w:noBreakHyphen/>
        <w:t>23 for depreciation/amortisation expenses, DCBs or other operational expenses.</w:t>
      </w:r>
    </w:p>
    <w:p w14:paraId="06FDCE98" w14:textId="77777777" w:rsidR="007A7BF4" w:rsidRDefault="007A7BF4">
      <w:pPr>
        <w:spacing w:after="0" w:line="240" w:lineRule="auto"/>
        <w:jc w:val="left"/>
      </w:pPr>
      <w:r>
        <w:br w:type="page"/>
      </w:r>
    </w:p>
    <w:p w14:paraId="51EB472E" w14:textId="77777777" w:rsidR="007A7BF4" w:rsidRDefault="007A7BF4" w:rsidP="00E315A5">
      <w:pPr>
        <w:pStyle w:val="TableGraphic"/>
        <w:sectPr w:rsidR="007A7BF4" w:rsidSect="000D3617">
          <w:headerReference w:type="even" r:id="rId131"/>
          <w:headerReference w:type="default" r:id="rId132"/>
          <w:footerReference w:type="even" r:id="rId133"/>
          <w:footerReference w:type="default" r:id="rId134"/>
          <w:headerReference w:type="first" r:id="rId135"/>
          <w:footerReference w:type="first" r:id="rId136"/>
          <w:type w:val="evenPage"/>
          <w:pgSz w:w="11906" w:h="16838" w:code="9"/>
          <w:pgMar w:top="2835" w:right="2098" w:bottom="2466" w:left="2098" w:header="1814" w:footer="1814" w:gutter="0"/>
          <w:cols w:space="708"/>
          <w:titlePg/>
          <w:docGrid w:linePitch="360"/>
        </w:sectPr>
      </w:pPr>
    </w:p>
    <w:p w14:paraId="4A167EC3" w14:textId="77777777" w:rsidR="00E315A5" w:rsidRPr="000C3B86" w:rsidRDefault="00E315A5" w:rsidP="00E315A5">
      <w:pPr>
        <w:pStyle w:val="TableGraphic"/>
      </w:pPr>
    </w:p>
    <w:p w14:paraId="5C09CA84" w14:textId="77777777" w:rsidR="00C371B2" w:rsidRDefault="005D17E1" w:rsidP="00C371B2">
      <w:pPr>
        <w:pStyle w:val="PartHeading"/>
      </w:pPr>
      <w:r w:rsidRPr="005D17E1">
        <w:t>Australian National Audit Office</w:t>
      </w:r>
      <w:bookmarkStart w:id="290" w:name="_Toc98496272"/>
      <w:bookmarkStart w:id="291" w:name="_Toc98765311"/>
      <w:bookmarkStart w:id="292" w:name="_Toc99011796"/>
    </w:p>
    <w:p w14:paraId="7EAB1552" w14:textId="77777777" w:rsidR="00C371B2" w:rsidRDefault="00C371B2" w:rsidP="00C371B2">
      <w:pPr>
        <w:pStyle w:val="PartHeading"/>
      </w:pPr>
    </w:p>
    <w:p w14:paraId="045DF629" w14:textId="77777777" w:rsidR="00C371B2" w:rsidRPr="00C371B2" w:rsidRDefault="00C371B2" w:rsidP="00C371B2"/>
    <w:p w14:paraId="23B930AE" w14:textId="77777777" w:rsidR="00753560" w:rsidRPr="00C371B2" w:rsidRDefault="00AD4DAF" w:rsidP="00C371B2">
      <w:pPr>
        <w:pStyle w:val="PartHeading"/>
      </w:pPr>
      <w:r>
        <w:t>Entity resources and planned performance</w:t>
      </w:r>
      <w:bookmarkEnd w:id="290"/>
      <w:bookmarkEnd w:id="291"/>
      <w:bookmarkEnd w:id="292"/>
      <w:r w:rsidR="00753560">
        <w:rPr>
          <w:caps/>
          <w:sz w:val="36"/>
        </w:rPr>
        <w:br w:type="page"/>
      </w:r>
    </w:p>
    <w:p w14:paraId="128D3604" w14:textId="77777777" w:rsidR="00753560" w:rsidRDefault="00753560" w:rsidP="00954266">
      <w:pPr>
        <w:pStyle w:val="TOC1"/>
        <w:ind w:right="55"/>
        <w:jc w:val="center"/>
        <w:rPr>
          <w:caps w:val="0"/>
          <w:sz w:val="36"/>
        </w:rPr>
      </w:pPr>
    </w:p>
    <w:p w14:paraId="4E5DF0C6" w14:textId="77777777" w:rsidR="00C371B2" w:rsidRDefault="00753560">
      <w:pPr>
        <w:spacing w:after="0" w:line="240" w:lineRule="auto"/>
        <w:jc w:val="left"/>
        <w:rPr>
          <w:caps/>
          <w:sz w:val="36"/>
        </w:rPr>
        <w:sectPr w:rsidR="00C371B2" w:rsidSect="00C371B2">
          <w:headerReference w:type="even" r:id="rId137"/>
          <w:headerReference w:type="default" r:id="rId138"/>
          <w:footerReference w:type="even" r:id="rId139"/>
          <w:footerReference w:type="default" r:id="rId140"/>
          <w:headerReference w:type="first" r:id="rId141"/>
          <w:footerReference w:type="first" r:id="rId142"/>
          <w:type w:val="continuous"/>
          <w:pgSz w:w="11906" w:h="16838" w:code="9"/>
          <w:pgMar w:top="2835" w:right="2098" w:bottom="2466" w:left="2098" w:header="1814" w:footer="1814" w:gutter="0"/>
          <w:cols w:space="708"/>
          <w:vAlign w:val="center"/>
          <w:titlePg/>
          <w:docGrid w:linePitch="360"/>
        </w:sectPr>
      </w:pPr>
      <w:r>
        <w:rPr>
          <w:caps/>
          <w:sz w:val="36"/>
        </w:rPr>
        <w:br w:type="page"/>
      </w:r>
    </w:p>
    <w:p w14:paraId="04EAB40D" w14:textId="77777777" w:rsidR="00753560" w:rsidRDefault="00753560">
      <w:pPr>
        <w:spacing w:after="0" w:line="240" w:lineRule="auto"/>
        <w:jc w:val="left"/>
        <w:rPr>
          <w:rFonts w:ascii="Arial Bold" w:hAnsi="Arial Bold"/>
          <w:b/>
          <w:sz w:val="36"/>
        </w:rPr>
      </w:pPr>
    </w:p>
    <w:p w14:paraId="3B09FB37" w14:textId="77777777" w:rsidR="005D17E1" w:rsidRDefault="005D17E1" w:rsidP="00954266">
      <w:pPr>
        <w:pStyle w:val="TOC1"/>
        <w:ind w:right="55"/>
        <w:jc w:val="center"/>
        <w:rPr>
          <w:caps w:val="0"/>
          <w:sz w:val="36"/>
        </w:rPr>
      </w:pPr>
      <w:r w:rsidRPr="005D17E1">
        <w:rPr>
          <w:caps w:val="0"/>
          <w:sz w:val="36"/>
        </w:rPr>
        <w:t>Australian National Audit Office</w:t>
      </w:r>
    </w:p>
    <w:p w14:paraId="08F73211" w14:textId="77777777" w:rsidR="000D3617" w:rsidRDefault="00A76B91" w:rsidP="000D3617">
      <w:pPr>
        <w:pStyle w:val="TOC1"/>
        <w:rPr>
          <w:rFonts w:asciiTheme="minorHAnsi" w:eastAsiaTheme="minorEastAsia" w:hAnsiTheme="minorHAnsi" w:cstheme="minorBidi"/>
          <w:b w:val="0"/>
          <w:caps w:val="0"/>
          <w:noProof/>
          <w:sz w:val="22"/>
          <w:szCs w:val="22"/>
        </w:rPr>
      </w:pPr>
      <w:hyperlink w:anchor="_Toc99010717" w:history="1">
        <w:r w:rsidR="000D3617" w:rsidRPr="00FE6147">
          <w:rPr>
            <w:rStyle w:val="Hyperlink"/>
            <w:noProof/>
          </w:rPr>
          <w:t>Section 1: Entity overview and resources</w:t>
        </w:r>
        <w:r w:rsidR="000D3617">
          <w:rPr>
            <w:noProof/>
            <w:webHidden/>
          </w:rPr>
          <w:tab/>
        </w:r>
        <w:r w:rsidR="000D3617">
          <w:rPr>
            <w:noProof/>
            <w:webHidden/>
          </w:rPr>
          <w:fldChar w:fldCharType="begin"/>
        </w:r>
        <w:r w:rsidR="000D3617">
          <w:rPr>
            <w:noProof/>
            <w:webHidden/>
          </w:rPr>
          <w:instrText xml:space="preserve"> PAGEREF _Toc99010717 \h </w:instrText>
        </w:r>
        <w:r w:rsidR="000D3617">
          <w:rPr>
            <w:noProof/>
            <w:webHidden/>
          </w:rPr>
        </w:r>
        <w:r w:rsidR="000D3617">
          <w:rPr>
            <w:noProof/>
            <w:webHidden/>
          </w:rPr>
          <w:fldChar w:fldCharType="separate"/>
        </w:r>
        <w:r w:rsidR="00AC2929">
          <w:rPr>
            <w:noProof/>
            <w:webHidden/>
          </w:rPr>
          <w:t>91</w:t>
        </w:r>
        <w:r w:rsidR="000D3617">
          <w:rPr>
            <w:noProof/>
            <w:webHidden/>
          </w:rPr>
          <w:fldChar w:fldCharType="end"/>
        </w:r>
      </w:hyperlink>
    </w:p>
    <w:p w14:paraId="0E487BCA" w14:textId="77777777" w:rsidR="000D3617" w:rsidRDefault="00A76B91" w:rsidP="000D3617">
      <w:pPr>
        <w:pStyle w:val="TOC2"/>
        <w:tabs>
          <w:tab w:val="left" w:pos="800"/>
        </w:tabs>
        <w:rPr>
          <w:rFonts w:asciiTheme="minorHAnsi" w:eastAsiaTheme="minorEastAsia" w:hAnsiTheme="minorHAnsi" w:cstheme="minorBidi"/>
          <w:noProof/>
          <w:sz w:val="22"/>
          <w:szCs w:val="22"/>
        </w:rPr>
      </w:pPr>
      <w:hyperlink w:anchor="_Toc99010718" w:history="1">
        <w:r w:rsidR="000D3617" w:rsidRPr="00FE6147">
          <w:rPr>
            <w:rStyle w:val="Hyperlink"/>
            <w:noProof/>
          </w:rPr>
          <w:t>1.1</w:t>
        </w:r>
        <w:r w:rsidR="000D3617">
          <w:rPr>
            <w:rFonts w:asciiTheme="minorHAnsi" w:eastAsiaTheme="minorEastAsia" w:hAnsiTheme="minorHAnsi" w:cstheme="minorBidi"/>
            <w:noProof/>
            <w:sz w:val="22"/>
            <w:szCs w:val="22"/>
          </w:rPr>
          <w:tab/>
        </w:r>
        <w:r w:rsidR="000D3617" w:rsidRPr="00FE6147">
          <w:rPr>
            <w:rStyle w:val="Hyperlink"/>
            <w:noProof/>
          </w:rPr>
          <w:t>Strategic direction statement</w:t>
        </w:r>
        <w:r w:rsidR="000D3617">
          <w:rPr>
            <w:noProof/>
            <w:webHidden/>
          </w:rPr>
          <w:tab/>
        </w:r>
        <w:r w:rsidR="000D3617">
          <w:rPr>
            <w:noProof/>
            <w:webHidden/>
          </w:rPr>
          <w:fldChar w:fldCharType="begin"/>
        </w:r>
        <w:r w:rsidR="000D3617">
          <w:rPr>
            <w:noProof/>
            <w:webHidden/>
          </w:rPr>
          <w:instrText xml:space="preserve"> PAGEREF _Toc99010718 \h </w:instrText>
        </w:r>
        <w:r w:rsidR="000D3617">
          <w:rPr>
            <w:noProof/>
            <w:webHidden/>
          </w:rPr>
        </w:r>
        <w:r w:rsidR="000D3617">
          <w:rPr>
            <w:noProof/>
            <w:webHidden/>
          </w:rPr>
          <w:fldChar w:fldCharType="separate"/>
        </w:r>
        <w:r w:rsidR="00AC2929">
          <w:rPr>
            <w:noProof/>
            <w:webHidden/>
          </w:rPr>
          <w:t>91</w:t>
        </w:r>
        <w:r w:rsidR="000D3617">
          <w:rPr>
            <w:noProof/>
            <w:webHidden/>
          </w:rPr>
          <w:fldChar w:fldCharType="end"/>
        </w:r>
      </w:hyperlink>
    </w:p>
    <w:p w14:paraId="0DC19E0C" w14:textId="77777777" w:rsidR="000D3617" w:rsidRDefault="00A76B91" w:rsidP="000D3617">
      <w:pPr>
        <w:pStyle w:val="TOC2"/>
        <w:tabs>
          <w:tab w:val="left" w:pos="800"/>
        </w:tabs>
        <w:rPr>
          <w:rFonts w:asciiTheme="minorHAnsi" w:eastAsiaTheme="minorEastAsia" w:hAnsiTheme="minorHAnsi" w:cstheme="minorBidi"/>
          <w:noProof/>
          <w:sz w:val="22"/>
          <w:szCs w:val="22"/>
        </w:rPr>
      </w:pPr>
      <w:hyperlink w:anchor="_Toc99010719" w:history="1">
        <w:r w:rsidR="000D3617" w:rsidRPr="00FE6147">
          <w:rPr>
            <w:rStyle w:val="Hyperlink"/>
            <w:noProof/>
          </w:rPr>
          <w:t>1.2</w:t>
        </w:r>
        <w:r w:rsidR="000D3617">
          <w:rPr>
            <w:rFonts w:asciiTheme="minorHAnsi" w:eastAsiaTheme="minorEastAsia" w:hAnsiTheme="minorHAnsi" w:cstheme="minorBidi"/>
            <w:noProof/>
            <w:sz w:val="22"/>
            <w:szCs w:val="22"/>
          </w:rPr>
          <w:tab/>
        </w:r>
        <w:r w:rsidR="000D3617" w:rsidRPr="00FE6147">
          <w:rPr>
            <w:rStyle w:val="Hyperlink"/>
            <w:noProof/>
          </w:rPr>
          <w:t>Entity resource statement</w:t>
        </w:r>
        <w:r w:rsidR="000D3617">
          <w:rPr>
            <w:noProof/>
            <w:webHidden/>
          </w:rPr>
          <w:tab/>
        </w:r>
        <w:r w:rsidR="000D3617">
          <w:rPr>
            <w:noProof/>
            <w:webHidden/>
          </w:rPr>
          <w:fldChar w:fldCharType="begin"/>
        </w:r>
        <w:r w:rsidR="000D3617">
          <w:rPr>
            <w:noProof/>
            <w:webHidden/>
          </w:rPr>
          <w:instrText xml:space="preserve"> PAGEREF _Toc99010719 \h </w:instrText>
        </w:r>
        <w:r w:rsidR="000D3617">
          <w:rPr>
            <w:noProof/>
            <w:webHidden/>
          </w:rPr>
        </w:r>
        <w:r w:rsidR="000D3617">
          <w:rPr>
            <w:noProof/>
            <w:webHidden/>
          </w:rPr>
          <w:fldChar w:fldCharType="separate"/>
        </w:r>
        <w:r w:rsidR="00AC2929">
          <w:rPr>
            <w:noProof/>
            <w:webHidden/>
          </w:rPr>
          <w:t>93</w:t>
        </w:r>
        <w:r w:rsidR="000D3617">
          <w:rPr>
            <w:noProof/>
            <w:webHidden/>
          </w:rPr>
          <w:fldChar w:fldCharType="end"/>
        </w:r>
      </w:hyperlink>
    </w:p>
    <w:p w14:paraId="57D8E589" w14:textId="77777777" w:rsidR="000D3617" w:rsidRDefault="00A76B91" w:rsidP="000D3617">
      <w:pPr>
        <w:pStyle w:val="TOC2"/>
        <w:tabs>
          <w:tab w:val="left" w:pos="800"/>
        </w:tabs>
        <w:rPr>
          <w:rFonts w:asciiTheme="minorHAnsi" w:eastAsiaTheme="minorEastAsia" w:hAnsiTheme="minorHAnsi" w:cstheme="minorBidi"/>
          <w:noProof/>
          <w:sz w:val="22"/>
          <w:szCs w:val="22"/>
        </w:rPr>
      </w:pPr>
      <w:hyperlink w:anchor="_Toc99010720" w:history="1">
        <w:r w:rsidR="000D3617" w:rsidRPr="00FE6147">
          <w:rPr>
            <w:rStyle w:val="Hyperlink"/>
            <w:noProof/>
          </w:rPr>
          <w:t>1.3</w:t>
        </w:r>
        <w:r w:rsidR="000D3617">
          <w:rPr>
            <w:rFonts w:asciiTheme="minorHAnsi" w:eastAsiaTheme="minorEastAsia" w:hAnsiTheme="minorHAnsi" w:cstheme="minorBidi"/>
            <w:noProof/>
            <w:sz w:val="22"/>
            <w:szCs w:val="22"/>
          </w:rPr>
          <w:tab/>
        </w:r>
        <w:r w:rsidR="000D3617" w:rsidRPr="00FE6147">
          <w:rPr>
            <w:rStyle w:val="Hyperlink"/>
            <w:noProof/>
          </w:rPr>
          <w:t>Budget measures</w:t>
        </w:r>
        <w:r w:rsidR="000D3617">
          <w:rPr>
            <w:noProof/>
            <w:webHidden/>
          </w:rPr>
          <w:tab/>
        </w:r>
        <w:r w:rsidR="000D3617">
          <w:rPr>
            <w:noProof/>
            <w:webHidden/>
          </w:rPr>
          <w:fldChar w:fldCharType="begin"/>
        </w:r>
        <w:r w:rsidR="000D3617">
          <w:rPr>
            <w:noProof/>
            <w:webHidden/>
          </w:rPr>
          <w:instrText xml:space="preserve"> PAGEREF _Toc99010720 \h </w:instrText>
        </w:r>
        <w:r w:rsidR="000D3617">
          <w:rPr>
            <w:noProof/>
            <w:webHidden/>
          </w:rPr>
        </w:r>
        <w:r w:rsidR="000D3617">
          <w:rPr>
            <w:noProof/>
            <w:webHidden/>
          </w:rPr>
          <w:fldChar w:fldCharType="separate"/>
        </w:r>
        <w:r w:rsidR="00AC2929">
          <w:rPr>
            <w:noProof/>
            <w:webHidden/>
          </w:rPr>
          <w:t>95</w:t>
        </w:r>
        <w:r w:rsidR="000D3617">
          <w:rPr>
            <w:noProof/>
            <w:webHidden/>
          </w:rPr>
          <w:fldChar w:fldCharType="end"/>
        </w:r>
      </w:hyperlink>
    </w:p>
    <w:p w14:paraId="36EA94EF" w14:textId="77777777" w:rsidR="000D3617" w:rsidRDefault="00A76B91" w:rsidP="000D3617">
      <w:pPr>
        <w:pStyle w:val="TOC1"/>
        <w:rPr>
          <w:rFonts w:asciiTheme="minorHAnsi" w:eastAsiaTheme="minorEastAsia" w:hAnsiTheme="minorHAnsi" w:cstheme="minorBidi"/>
          <w:b w:val="0"/>
          <w:caps w:val="0"/>
          <w:noProof/>
          <w:sz w:val="22"/>
          <w:szCs w:val="22"/>
        </w:rPr>
      </w:pPr>
      <w:hyperlink w:anchor="_Toc99010721" w:history="1">
        <w:r w:rsidR="000D3617" w:rsidRPr="00FE6147">
          <w:rPr>
            <w:rStyle w:val="Hyperlink"/>
            <w:noProof/>
          </w:rPr>
          <w:t>Section 2: Outcomes and planned performance</w:t>
        </w:r>
        <w:r w:rsidR="000D3617">
          <w:rPr>
            <w:noProof/>
            <w:webHidden/>
          </w:rPr>
          <w:tab/>
        </w:r>
        <w:r w:rsidR="000D3617">
          <w:rPr>
            <w:noProof/>
            <w:webHidden/>
          </w:rPr>
          <w:fldChar w:fldCharType="begin"/>
        </w:r>
        <w:r w:rsidR="000D3617">
          <w:rPr>
            <w:noProof/>
            <w:webHidden/>
          </w:rPr>
          <w:instrText xml:space="preserve"> PAGEREF _Toc99010721 \h </w:instrText>
        </w:r>
        <w:r w:rsidR="000D3617">
          <w:rPr>
            <w:noProof/>
            <w:webHidden/>
          </w:rPr>
        </w:r>
        <w:r w:rsidR="000D3617">
          <w:rPr>
            <w:noProof/>
            <w:webHidden/>
          </w:rPr>
          <w:fldChar w:fldCharType="separate"/>
        </w:r>
        <w:r w:rsidR="00AC2929">
          <w:rPr>
            <w:noProof/>
            <w:webHidden/>
          </w:rPr>
          <w:t>96</w:t>
        </w:r>
        <w:r w:rsidR="000D3617">
          <w:rPr>
            <w:noProof/>
            <w:webHidden/>
          </w:rPr>
          <w:fldChar w:fldCharType="end"/>
        </w:r>
      </w:hyperlink>
    </w:p>
    <w:p w14:paraId="60605855" w14:textId="77777777" w:rsidR="000D3617" w:rsidRDefault="00A76B91" w:rsidP="000D3617">
      <w:pPr>
        <w:pStyle w:val="TOC2"/>
        <w:tabs>
          <w:tab w:val="left" w:pos="800"/>
        </w:tabs>
        <w:rPr>
          <w:rFonts w:asciiTheme="minorHAnsi" w:eastAsiaTheme="minorEastAsia" w:hAnsiTheme="minorHAnsi" w:cstheme="minorBidi"/>
          <w:noProof/>
          <w:sz w:val="22"/>
          <w:szCs w:val="22"/>
        </w:rPr>
      </w:pPr>
      <w:hyperlink w:anchor="_Toc99010722" w:history="1">
        <w:r w:rsidR="000D3617" w:rsidRPr="00FE6147">
          <w:rPr>
            <w:rStyle w:val="Hyperlink"/>
            <w:noProof/>
          </w:rPr>
          <w:t xml:space="preserve">2.1 </w:t>
        </w:r>
        <w:r w:rsidR="000D3617">
          <w:rPr>
            <w:rFonts w:asciiTheme="minorHAnsi" w:eastAsiaTheme="minorEastAsia" w:hAnsiTheme="minorHAnsi" w:cstheme="minorBidi"/>
            <w:noProof/>
            <w:sz w:val="22"/>
            <w:szCs w:val="22"/>
          </w:rPr>
          <w:tab/>
        </w:r>
        <w:r w:rsidR="000D3617" w:rsidRPr="00FE6147">
          <w:rPr>
            <w:rStyle w:val="Hyperlink"/>
            <w:noProof/>
          </w:rPr>
          <w:t>Budgeted expenses and performance for Outcome 1</w:t>
        </w:r>
        <w:r w:rsidR="000D3617">
          <w:rPr>
            <w:noProof/>
            <w:webHidden/>
          </w:rPr>
          <w:tab/>
        </w:r>
        <w:r w:rsidR="000D3617">
          <w:rPr>
            <w:noProof/>
            <w:webHidden/>
          </w:rPr>
          <w:fldChar w:fldCharType="begin"/>
        </w:r>
        <w:r w:rsidR="000D3617">
          <w:rPr>
            <w:noProof/>
            <w:webHidden/>
          </w:rPr>
          <w:instrText xml:space="preserve"> PAGEREF _Toc99010722 \h </w:instrText>
        </w:r>
        <w:r w:rsidR="000D3617">
          <w:rPr>
            <w:noProof/>
            <w:webHidden/>
          </w:rPr>
        </w:r>
        <w:r w:rsidR="000D3617">
          <w:rPr>
            <w:noProof/>
            <w:webHidden/>
          </w:rPr>
          <w:fldChar w:fldCharType="separate"/>
        </w:r>
        <w:r w:rsidR="00AC2929">
          <w:rPr>
            <w:noProof/>
            <w:webHidden/>
          </w:rPr>
          <w:t>97</w:t>
        </w:r>
        <w:r w:rsidR="000D3617">
          <w:rPr>
            <w:noProof/>
            <w:webHidden/>
          </w:rPr>
          <w:fldChar w:fldCharType="end"/>
        </w:r>
      </w:hyperlink>
    </w:p>
    <w:p w14:paraId="6B29A7F7" w14:textId="77777777" w:rsidR="000D3617" w:rsidRDefault="00A76B91" w:rsidP="000D3617">
      <w:pPr>
        <w:pStyle w:val="TOC1"/>
        <w:rPr>
          <w:rFonts w:asciiTheme="minorHAnsi" w:eastAsiaTheme="minorEastAsia" w:hAnsiTheme="minorHAnsi" w:cstheme="minorBidi"/>
          <w:b w:val="0"/>
          <w:caps w:val="0"/>
          <w:noProof/>
          <w:sz w:val="22"/>
          <w:szCs w:val="22"/>
        </w:rPr>
      </w:pPr>
      <w:hyperlink w:anchor="_Toc99010723" w:history="1">
        <w:r w:rsidR="000D3617" w:rsidRPr="00FE6147">
          <w:rPr>
            <w:rStyle w:val="Hyperlink"/>
            <w:bCs/>
            <w:noProof/>
          </w:rPr>
          <w:t>Section 3: Budgeted financial statements</w:t>
        </w:r>
        <w:r w:rsidR="000D3617">
          <w:rPr>
            <w:noProof/>
            <w:webHidden/>
          </w:rPr>
          <w:tab/>
        </w:r>
        <w:r w:rsidR="000D3617">
          <w:rPr>
            <w:noProof/>
            <w:webHidden/>
          </w:rPr>
          <w:fldChar w:fldCharType="begin"/>
        </w:r>
        <w:r w:rsidR="000D3617">
          <w:rPr>
            <w:noProof/>
            <w:webHidden/>
          </w:rPr>
          <w:instrText xml:space="preserve"> PAGEREF _Toc99010723 \h </w:instrText>
        </w:r>
        <w:r w:rsidR="000D3617">
          <w:rPr>
            <w:noProof/>
            <w:webHidden/>
          </w:rPr>
        </w:r>
        <w:r w:rsidR="000D3617">
          <w:rPr>
            <w:noProof/>
            <w:webHidden/>
          </w:rPr>
          <w:fldChar w:fldCharType="separate"/>
        </w:r>
        <w:r w:rsidR="00AC2929">
          <w:rPr>
            <w:noProof/>
            <w:webHidden/>
          </w:rPr>
          <w:t>106</w:t>
        </w:r>
        <w:r w:rsidR="000D3617">
          <w:rPr>
            <w:noProof/>
            <w:webHidden/>
          </w:rPr>
          <w:fldChar w:fldCharType="end"/>
        </w:r>
      </w:hyperlink>
    </w:p>
    <w:p w14:paraId="381DAEEF" w14:textId="77777777" w:rsidR="000D3617" w:rsidRDefault="00A76B91" w:rsidP="000D3617">
      <w:pPr>
        <w:pStyle w:val="TOC2"/>
        <w:tabs>
          <w:tab w:val="left" w:pos="800"/>
        </w:tabs>
        <w:rPr>
          <w:rFonts w:asciiTheme="minorHAnsi" w:eastAsiaTheme="minorEastAsia" w:hAnsiTheme="minorHAnsi" w:cstheme="minorBidi"/>
          <w:noProof/>
          <w:sz w:val="22"/>
          <w:szCs w:val="22"/>
        </w:rPr>
      </w:pPr>
      <w:hyperlink w:anchor="_Toc99010724" w:history="1">
        <w:r w:rsidR="000D3617" w:rsidRPr="00FE6147">
          <w:rPr>
            <w:rStyle w:val="Hyperlink"/>
            <w:bCs/>
            <w:noProof/>
          </w:rPr>
          <w:t>3.1</w:t>
        </w:r>
        <w:r w:rsidR="000D3617">
          <w:rPr>
            <w:rFonts w:asciiTheme="minorHAnsi" w:eastAsiaTheme="minorEastAsia" w:hAnsiTheme="minorHAnsi" w:cstheme="minorBidi"/>
            <w:noProof/>
            <w:sz w:val="22"/>
            <w:szCs w:val="22"/>
          </w:rPr>
          <w:tab/>
        </w:r>
        <w:r w:rsidR="000D3617" w:rsidRPr="00FE6147">
          <w:rPr>
            <w:rStyle w:val="Hyperlink"/>
            <w:bCs/>
            <w:noProof/>
          </w:rPr>
          <w:t>Budgeted financial statements</w:t>
        </w:r>
        <w:r w:rsidR="000D3617">
          <w:rPr>
            <w:noProof/>
            <w:webHidden/>
          </w:rPr>
          <w:tab/>
        </w:r>
        <w:r w:rsidR="000D3617">
          <w:rPr>
            <w:noProof/>
            <w:webHidden/>
          </w:rPr>
          <w:fldChar w:fldCharType="begin"/>
        </w:r>
        <w:r w:rsidR="000D3617">
          <w:rPr>
            <w:noProof/>
            <w:webHidden/>
          </w:rPr>
          <w:instrText xml:space="preserve"> PAGEREF _Toc99010724 \h </w:instrText>
        </w:r>
        <w:r w:rsidR="000D3617">
          <w:rPr>
            <w:noProof/>
            <w:webHidden/>
          </w:rPr>
        </w:r>
        <w:r w:rsidR="000D3617">
          <w:rPr>
            <w:noProof/>
            <w:webHidden/>
          </w:rPr>
          <w:fldChar w:fldCharType="separate"/>
        </w:r>
        <w:r w:rsidR="00AC2929">
          <w:rPr>
            <w:noProof/>
            <w:webHidden/>
          </w:rPr>
          <w:t>106</w:t>
        </w:r>
        <w:r w:rsidR="000D3617">
          <w:rPr>
            <w:noProof/>
            <w:webHidden/>
          </w:rPr>
          <w:fldChar w:fldCharType="end"/>
        </w:r>
      </w:hyperlink>
    </w:p>
    <w:p w14:paraId="65CCD892" w14:textId="77777777" w:rsidR="00AD4DAF" w:rsidRPr="008B5AFD" w:rsidRDefault="00AD4DAF" w:rsidP="00AD4DAF"/>
    <w:p w14:paraId="7E9D3965" w14:textId="77777777" w:rsidR="005D17E1" w:rsidRDefault="005D17E1" w:rsidP="00AD4DAF"/>
    <w:p w14:paraId="70AFC828" w14:textId="77777777" w:rsidR="005D17E1" w:rsidRDefault="005D17E1" w:rsidP="00AD4DAF"/>
    <w:p w14:paraId="229E9919" w14:textId="77777777" w:rsidR="005D17E1" w:rsidRDefault="005D17E1">
      <w:pPr>
        <w:spacing w:after="0" w:line="240" w:lineRule="auto"/>
        <w:jc w:val="left"/>
      </w:pPr>
      <w:r>
        <w:br w:type="page"/>
      </w:r>
    </w:p>
    <w:p w14:paraId="39642395" w14:textId="77777777" w:rsidR="00753560" w:rsidRDefault="00753560" w:rsidP="00AD4DAF"/>
    <w:p w14:paraId="51B5DA41" w14:textId="77777777" w:rsidR="00753560" w:rsidRDefault="00753560">
      <w:pPr>
        <w:spacing w:after="0" w:line="240" w:lineRule="auto"/>
        <w:jc w:val="left"/>
      </w:pPr>
      <w:r>
        <w:br w:type="page"/>
      </w:r>
    </w:p>
    <w:p w14:paraId="4882C242" w14:textId="77777777" w:rsidR="007A7BF4" w:rsidRDefault="007A7BF4" w:rsidP="000A1300">
      <w:pPr>
        <w:pStyle w:val="Heading1"/>
        <w:sectPr w:rsidR="007A7BF4" w:rsidSect="00C371B2">
          <w:type w:val="continuous"/>
          <w:pgSz w:w="11906" w:h="16838" w:code="9"/>
          <w:pgMar w:top="2835" w:right="2098" w:bottom="2466" w:left="2098" w:header="1814" w:footer="1814" w:gutter="0"/>
          <w:cols w:space="708"/>
          <w:titlePg/>
          <w:docGrid w:linePitch="360"/>
        </w:sectPr>
      </w:pPr>
      <w:bookmarkStart w:id="293" w:name="_Toc70329383"/>
    </w:p>
    <w:p w14:paraId="5B63453A" w14:textId="77777777" w:rsidR="000A1300" w:rsidRDefault="000A1300" w:rsidP="000A1300">
      <w:pPr>
        <w:pStyle w:val="Heading1"/>
      </w:pPr>
      <w:bookmarkStart w:id="294" w:name="_Toc99201045"/>
      <w:r>
        <w:t>Australian National Audit Office</w:t>
      </w:r>
      <w:bookmarkEnd w:id="294"/>
    </w:p>
    <w:p w14:paraId="0A63A774" w14:textId="77777777" w:rsidR="000A1300" w:rsidRPr="002C4D41" w:rsidRDefault="000A1300" w:rsidP="000A1300">
      <w:pPr>
        <w:pStyle w:val="Heading2"/>
      </w:pPr>
      <w:bookmarkStart w:id="295" w:name="_Toc98766371"/>
      <w:bookmarkStart w:id="296" w:name="_Toc98856118"/>
      <w:bookmarkStart w:id="297" w:name="_Toc98932870"/>
      <w:bookmarkStart w:id="298" w:name="_Toc99008127"/>
      <w:bookmarkStart w:id="299" w:name="_Toc99009489"/>
      <w:bookmarkStart w:id="300" w:name="_Toc99010717"/>
      <w:bookmarkStart w:id="301" w:name="_Toc99013952"/>
      <w:bookmarkStart w:id="302" w:name="_Toc99187529"/>
      <w:bookmarkStart w:id="303" w:name="_Toc99269638"/>
      <w:r w:rsidRPr="002C4D41">
        <w:t xml:space="preserve">Section 1: Entity overview and </w:t>
      </w:r>
      <w:r>
        <w:t>reso</w:t>
      </w:r>
      <w:r w:rsidRPr="002C4D41">
        <w:t>urces</w:t>
      </w:r>
      <w:bookmarkEnd w:id="295"/>
      <w:bookmarkEnd w:id="296"/>
      <w:bookmarkEnd w:id="297"/>
      <w:bookmarkEnd w:id="298"/>
      <w:bookmarkEnd w:id="299"/>
      <w:bookmarkEnd w:id="300"/>
      <w:bookmarkEnd w:id="301"/>
      <w:bookmarkEnd w:id="302"/>
      <w:bookmarkEnd w:id="303"/>
    </w:p>
    <w:p w14:paraId="2C1BB767" w14:textId="77777777" w:rsidR="000A1300" w:rsidRDefault="000A1300" w:rsidP="000A1300">
      <w:pPr>
        <w:pStyle w:val="Heading3"/>
      </w:pPr>
      <w:bookmarkStart w:id="304" w:name="_Toc98766372"/>
      <w:bookmarkStart w:id="305" w:name="_Toc98856119"/>
      <w:bookmarkStart w:id="306" w:name="_Toc98932871"/>
      <w:bookmarkStart w:id="307" w:name="_Toc99008128"/>
      <w:bookmarkStart w:id="308" w:name="_Toc99009490"/>
      <w:bookmarkStart w:id="309" w:name="_Toc99010718"/>
      <w:bookmarkStart w:id="310" w:name="_Toc99013953"/>
      <w:bookmarkStart w:id="311" w:name="_Toc99187530"/>
      <w:bookmarkStart w:id="312" w:name="_Toc99269639"/>
      <w:r>
        <w:t>1.1</w:t>
      </w:r>
      <w:r>
        <w:tab/>
        <w:t>Strategic direction statement</w:t>
      </w:r>
      <w:bookmarkEnd w:id="304"/>
      <w:bookmarkEnd w:id="305"/>
      <w:bookmarkEnd w:id="306"/>
      <w:bookmarkEnd w:id="307"/>
      <w:bookmarkEnd w:id="308"/>
      <w:bookmarkEnd w:id="309"/>
      <w:bookmarkEnd w:id="310"/>
      <w:bookmarkEnd w:id="311"/>
      <w:bookmarkEnd w:id="312"/>
    </w:p>
    <w:p w14:paraId="3E57AEFA" w14:textId="77777777" w:rsidR="000A1300" w:rsidRDefault="000A1300" w:rsidP="00FE6B28">
      <w:r w:rsidRPr="00593B12">
        <w:t>The Australian National Audit Office’s (ANAO) purpose is to support accountability</w:t>
      </w:r>
      <w:r w:rsidRPr="00593B12">
        <w:rPr>
          <w:spacing w:val="1"/>
        </w:rPr>
        <w:t xml:space="preserve"> </w:t>
      </w:r>
      <w:r w:rsidRPr="00593B12">
        <w:t>and transparency in the Australian Government sector through independent reporting</w:t>
      </w:r>
      <w:r w:rsidRPr="00593B12">
        <w:rPr>
          <w:spacing w:val="1"/>
        </w:rPr>
        <w:t xml:space="preserve"> </w:t>
      </w:r>
      <w:r w:rsidRPr="00593B12">
        <w:t>to the Parliament, and thereby contribute to improved public sector performance. The</w:t>
      </w:r>
      <w:r w:rsidRPr="00593B12">
        <w:rPr>
          <w:spacing w:val="1"/>
        </w:rPr>
        <w:t xml:space="preserve"> </w:t>
      </w:r>
      <w:r w:rsidRPr="00593B12">
        <w:t>Auditor-General</w:t>
      </w:r>
      <w:r w:rsidRPr="00593B12">
        <w:rPr>
          <w:spacing w:val="-8"/>
        </w:rPr>
        <w:t xml:space="preserve"> </w:t>
      </w:r>
      <w:r w:rsidRPr="00593B12">
        <w:t>is</w:t>
      </w:r>
      <w:r w:rsidRPr="00593B12">
        <w:rPr>
          <w:spacing w:val="-8"/>
        </w:rPr>
        <w:t xml:space="preserve"> </w:t>
      </w:r>
      <w:r w:rsidRPr="00593B12">
        <w:t>an</w:t>
      </w:r>
      <w:r w:rsidRPr="00593B12">
        <w:rPr>
          <w:spacing w:val="-7"/>
        </w:rPr>
        <w:t xml:space="preserve"> </w:t>
      </w:r>
      <w:r w:rsidRPr="00593B12">
        <w:t>independent</w:t>
      </w:r>
      <w:r w:rsidRPr="00593B12">
        <w:rPr>
          <w:spacing w:val="-7"/>
        </w:rPr>
        <w:t xml:space="preserve"> </w:t>
      </w:r>
      <w:r w:rsidRPr="00593B12">
        <w:t>officer</w:t>
      </w:r>
      <w:r w:rsidRPr="00593B12">
        <w:rPr>
          <w:spacing w:val="-8"/>
        </w:rPr>
        <w:t xml:space="preserve"> </w:t>
      </w:r>
      <w:r w:rsidRPr="00593B12">
        <w:t>of</w:t>
      </w:r>
      <w:r w:rsidRPr="00593B12">
        <w:rPr>
          <w:spacing w:val="-7"/>
        </w:rPr>
        <w:t xml:space="preserve"> </w:t>
      </w:r>
      <w:r w:rsidRPr="00593B12">
        <w:t>the</w:t>
      </w:r>
      <w:r w:rsidRPr="00593B12">
        <w:rPr>
          <w:spacing w:val="-8"/>
        </w:rPr>
        <w:t xml:space="preserve"> </w:t>
      </w:r>
      <w:r w:rsidRPr="00593B12">
        <w:t>Australian</w:t>
      </w:r>
      <w:r w:rsidRPr="00593B12">
        <w:rPr>
          <w:spacing w:val="-8"/>
        </w:rPr>
        <w:t xml:space="preserve"> </w:t>
      </w:r>
      <w:r w:rsidRPr="00593B12">
        <w:t>Parliament</w:t>
      </w:r>
      <w:r w:rsidRPr="00593B12">
        <w:rPr>
          <w:spacing w:val="-7"/>
        </w:rPr>
        <w:t xml:space="preserve"> </w:t>
      </w:r>
      <w:r w:rsidRPr="00593B12">
        <w:t>whose</w:t>
      </w:r>
      <w:r w:rsidRPr="00593B12">
        <w:rPr>
          <w:spacing w:val="-9"/>
        </w:rPr>
        <w:t xml:space="preserve"> </w:t>
      </w:r>
      <w:r w:rsidRPr="00593B12">
        <w:t>mandate</w:t>
      </w:r>
      <w:r w:rsidRPr="00593B12">
        <w:rPr>
          <w:spacing w:val="1"/>
        </w:rPr>
        <w:t xml:space="preserve"> </w:t>
      </w:r>
      <w:r w:rsidRPr="00593B12">
        <w:t xml:space="preserve">and functions are set out in the </w:t>
      </w:r>
      <w:r w:rsidRPr="00593B12">
        <w:rPr>
          <w:i/>
        </w:rPr>
        <w:t>Auditor-General Act 19</w:t>
      </w:r>
      <w:r w:rsidRPr="00593B12">
        <w:t>97 (the Act). The Auditor-General</w:t>
      </w:r>
      <w:r w:rsidRPr="00593B12">
        <w:rPr>
          <w:spacing w:val="-47"/>
        </w:rPr>
        <w:t xml:space="preserve"> </w:t>
      </w:r>
      <w:r w:rsidRPr="00593B12">
        <w:t>is</w:t>
      </w:r>
      <w:r w:rsidRPr="00593B12">
        <w:rPr>
          <w:spacing w:val="-2"/>
        </w:rPr>
        <w:t xml:space="preserve"> </w:t>
      </w:r>
      <w:r w:rsidRPr="00593B12">
        <w:t>assisted</w:t>
      </w:r>
      <w:r w:rsidRPr="00593B12">
        <w:rPr>
          <w:spacing w:val="-1"/>
        </w:rPr>
        <w:t xml:space="preserve"> </w:t>
      </w:r>
      <w:r w:rsidRPr="00593B12">
        <w:t>by</w:t>
      </w:r>
      <w:r w:rsidRPr="00593B12">
        <w:rPr>
          <w:spacing w:val="-1"/>
        </w:rPr>
        <w:t xml:space="preserve"> </w:t>
      </w:r>
      <w:r w:rsidRPr="00593B12">
        <w:t>the ANAO</w:t>
      </w:r>
      <w:r w:rsidRPr="00593B12">
        <w:rPr>
          <w:spacing w:val="-2"/>
        </w:rPr>
        <w:t xml:space="preserve"> </w:t>
      </w:r>
      <w:r w:rsidRPr="00593B12">
        <w:t>in</w:t>
      </w:r>
      <w:r w:rsidRPr="00593B12">
        <w:rPr>
          <w:spacing w:val="-2"/>
        </w:rPr>
        <w:t xml:space="preserve"> </w:t>
      </w:r>
      <w:r w:rsidRPr="00593B12">
        <w:t>delivering</w:t>
      </w:r>
      <w:r w:rsidRPr="00593B12">
        <w:rPr>
          <w:spacing w:val="-2"/>
        </w:rPr>
        <w:t xml:space="preserve"> </w:t>
      </w:r>
      <w:r w:rsidRPr="00593B12">
        <w:t>against</w:t>
      </w:r>
      <w:r w:rsidRPr="00593B12">
        <w:rPr>
          <w:spacing w:val="-1"/>
        </w:rPr>
        <w:t xml:space="preserve"> </w:t>
      </w:r>
      <w:r w:rsidRPr="00593B12">
        <w:t>this mandate.</w:t>
      </w:r>
    </w:p>
    <w:p w14:paraId="44E08E61" w14:textId="77777777" w:rsidR="000A1300" w:rsidRDefault="000A1300" w:rsidP="00FE6B28">
      <w:r w:rsidRPr="00593B12">
        <w:t>The</w:t>
      </w:r>
      <w:r w:rsidRPr="00593B12">
        <w:rPr>
          <w:spacing w:val="-3"/>
        </w:rPr>
        <w:t xml:space="preserve"> </w:t>
      </w:r>
      <w:r w:rsidRPr="00593B12">
        <w:t>ANAO</w:t>
      </w:r>
      <w:r w:rsidRPr="00593B12">
        <w:rPr>
          <w:spacing w:val="-2"/>
        </w:rPr>
        <w:t xml:space="preserve"> </w:t>
      </w:r>
      <w:r w:rsidRPr="00593B12">
        <w:t>delivers</w:t>
      </w:r>
      <w:r w:rsidRPr="00593B12">
        <w:rPr>
          <w:spacing w:val="-3"/>
        </w:rPr>
        <w:t xml:space="preserve"> </w:t>
      </w:r>
      <w:r w:rsidRPr="00593B12">
        <w:t>a</w:t>
      </w:r>
      <w:r w:rsidRPr="00593B12">
        <w:rPr>
          <w:spacing w:val="-3"/>
        </w:rPr>
        <w:t xml:space="preserve"> </w:t>
      </w:r>
      <w:r w:rsidRPr="00593B12">
        <w:t>range</w:t>
      </w:r>
      <w:r w:rsidRPr="00593B12">
        <w:rPr>
          <w:spacing w:val="-2"/>
        </w:rPr>
        <w:t xml:space="preserve"> </w:t>
      </w:r>
      <w:r w:rsidRPr="00593B12">
        <w:t>of</w:t>
      </w:r>
      <w:r w:rsidRPr="00593B12">
        <w:rPr>
          <w:spacing w:val="-3"/>
        </w:rPr>
        <w:t xml:space="preserve"> </w:t>
      </w:r>
      <w:r w:rsidRPr="00593B12">
        <w:t>audit</w:t>
      </w:r>
      <w:r w:rsidRPr="00593B12">
        <w:rPr>
          <w:spacing w:val="-5"/>
        </w:rPr>
        <w:t xml:space="preserve"> </w:t>
      </w:r>
      <w:r w:rsidRPr="00593B12">
        <w:t>and</w:t>
      </w:r>
      <w:r w:rsidRPr="00593B12">
        <w:rPr>
          <w:spacing w:val="-3"/>
        </w:rPr>
        <w:t xml:space="preserve"> </w:t>
      </w:r>
      <w:r w:rsidRPr="00593B12">
        <w:t>related</w:t>
      </w:r>
      <w:r w:rsidRPr="00593B12">
        <w:rPr>
          <w:spacing w:val="-3"/>
        </w:rPr>
        <w:t xml:space="preserve"> </w:t>
      </w:r>
      <w:r w:rsidRPr="00593B12">
        <w:t>services</w:t>
      </w:r>
      <w:r w:rsidRPr="00593B12">
        <w:rPr>
          <w:spacing w:val="-3"/>
        </w:rPr>
        <w:t xml:space="preserve"> </w:t>
      </w:r>
      <w:r w:rsidRPr="00593B12">
        <w:t>that</w:t>
      </w:r>
      <w:r w:rsidRPr="00593B12">
        <w:rPr>
          <w:spacing w:val="-4"/>
        </w:rPr>
        <w:t xml:space="preserve"> </w:t>
      </w:r>
      <w:r w:rsidRPr="00593B12">
        <w:t>include:</w:t>
      </w:r>
    </w:p>
    <w:p w14:paraId="75C2E5BE" w14:textId="77777777" w:rsidR="000A1300" w:rsidRPr="00151321" w:rsidRDefault="000A1300" w:rsidP="00392A48">
      <w:pPr>
        <w:pStyle w:val="ListParagraph"/>
        <w:numPr>
          <w:ilvl w:val="0"/>
          <w:numId w:val="164"/>
        </w:numPr>
        <w:rPr>
          <w:rFonts w:ascii="Book Antiqua" w:hAnsi="Book Antiqua"/>
          <w:sz w:val="20"/>
        </w:rPr>
      </w:pPr>
      <w:r w:rsidRPr="00151321">
        <w:rPr>
          <w:rFonts w:ascii="Book Antiqua" w:hAnsi="Book Antiqua"/>
          <w:sz w:val="20"/>
        </w:rPr>
        <w:t xml:space="preserve">auditing the financial statements of Commonwealth entities, Commonwealth </w:t>
      </w:r>
      <w:r w:rsidRPr="00151321">
        <w:rPr>
          <w:rFonts w:ascii="Book Antiqua" w:hAnsi="Book Antiqua"/>
          <w:spacing w:val="-47"/>
          <w:sz w:val="20"/>
        </w:rPr>
        <w:t xml:space="preserve"> </w:t>
      </w:r>
      <w:r w:rsidRPr="00151321">
        <w:rPr>
          <w:rFonts w:ascii="Book Antiqua" w:hAnsi="Book Antiqua"/>
          <w:sz w:val="20"/>
        </w:rPr>
        <w:t>companies</w:t>
      </w:r>
      <w:r w:rsidRPr="00151321">
        <w:rPr>
          <w:rFonts w:ascii="Book Antiqua" w:hAnsi="Book Antiqua"/>
          <w:spacing w:val="-2"/>
          <w:sz w:val="20"/>
        </w:rPr>
        <w:t xml:space="preserve"> </w:t>
      </w:r>
      <w:r w:rsidRPr="00151321">
        <w:rPr>
          <w:rFonts w:ascii="Book Antiqua" w:hAnsi="Book Antiqua"/>
          <w:sz w:val="20"/>
        </w:rPr>
        <w:t>and their</w:t>
      </w:r>
      <w:r w:rsidRPr="00151321">
        <w:rPr>
          <w:rFonts w:ascii="Book Antiqua" w:hAnsi="Book Antiqua"/>
          <w:spacing w:val="-1"/>
          <w:sz w:val="20"/>
        </w:rPr>
        <w:t xml:space="preserve"> </w:t>
      </w:r>
      <w:r w:rsidR="00753560" w:rsidRPr="00151321">
        <w:rPr>
          <w:rFonts w:ascii="Book Antiqua" w:hAnsi="Book Antiqua"/>
          <w:sz w:val="20"/>
        </w:rPr>
        <w:t>subsidiaries</w:t>
      </w:r>
    </w:p>
    <w:p w14:paraId="50F4A74E" w14:textId="77777777" w:rsidR="000A1300" w:rsidRPr="00151321" w:rsidRDefault="000A1300" w:rsidP="00392A48">
      <w:pPr>
        <w:pStyle w:val="ListParagraph"/>
        <w:numPr>
          <w:ilvl w:val="0"/>
          <w:numId w:val="164"/>
        </w:numPr>
        <w:rPr>
          <w:rFonts w:ascii="Book Antiqua" w:hAnsi="Book Antiqua"/>
          <w:sz w:val="20"/>
        </w:rPr>
      </w:pPr>
      <w:r w:rsidRPr="00151321">
        <w:rPr>
          <w:rFonts w:ascii="Book Antiqua" w:hAnsi="Book Antiqua"/>
          <w:sz w:val="20"/>
        </w:rPr>
        <w:t xml:space="preserve">auditing annual performance statements of Commonwealth entities in accordance </w:t>
      </w:r>
      <w:r w:rsidRPr="00151321">
        <w:rPr>
          <w:rFonts w:ascii="Book Antiqua" w:hAnsi="Book Antiqua"/>
          <w:spacing w:val="-47"/>
          <w:sz w:val="20"/>
        </w:rPr>
        <w:t xml:space="preserve"> </w:t>
      </w:r>
      <w:r w:rsidRPr="00151321">
        <w:rPr>
          <w:rFonts w:ascii="Book Antiqua" w:hAnsi="Book Antiqua"/>
          <w:sz w:val="20"/>
        </w:rPr>
        <w:t xml:space="preserve">with the </w:t>
      </w:r>
      <w:r w:rsidRPr="00151321">
        <w:rPr>
          <w:rFonts w:ascii="Book Antiqua" w:hAnsi="Book Antiqua"/>
          <w:i/>
          <w:sz w:val="20"/>
        </w:rPr>
        <w:t>Public Governance, Performance and Accountability Act 2013</w:t>
      </w:r>
      <w:r w:rsidRPr="00151321">
        <w:rPr>
          <w:rFonts w:ascii="Book Antiqua" w:hAnsi="Book Antiqua"/>
          <w:sz w:val="20"/>
        </w:rPr>
        <w:t xml:space="preserve"> </w:t>
      </w:r>
    </w:p>
    <w:p w14:paraId="54C329C9" w14:textId="77777777" w:rsidR="000A1300" w:rsidRPr="00151321" w:rsidRDefault="000A1300" w:rsidP="00392A48">
      <w:pPr>
        <w:pStyle w:val="ListParagraph"/>
        <w:numPr>
          <w:ilvl w:val="0"/>
          <w:numId w:val="164"/>
        </w:numPr>
        <w:rPr>
          <w:rFonts w:ascii="Book Antiqua" w:hAnsi="Book Antiqua"/>
          <w:sz w:val="20"/>
        </w:rPr>
      </w:pPr>
      <w:r w:rsidRPr="00151321">
        <w:rPr>
          <w:rFonts w:ascii="Book Antiqua" w:hAnsi="Book Antiqua"/>
          <w:sz w:val="20"/>
        </w:rPr>
        <w:t>conducting performance audits, assurance reviews, and audits of the performance measures, of Commonwealth entities and Commonwealth companies and their</w:t>
      </w:r>
      <w:r w:rsidRPr="00151321">
        <w:rPr>
          <w:rFonts w:ascii="Book Antiqua" w:hAnsi="Book Antiqua"/>
          <w:spacing w:val="1"/>
          <w:sz w:val="20"/>
        </w:rPr>
        <w:t xml:space="preserve"> </w:t>
      </w:r>
      <w:r w:rsidR="00753560" w:rsidRPr="00151321">
        <w:rPr>
          <w:rFonts w:ascii="Book Antiqua" w:hAnsi="Book Antiqua"/>
          <w:sz w:val="20"/>
        </w:rPr>
        <w:t>subsidiaries</w:t>
      </w:r>
    </w:p>
    <w:p w14:paraId="5E26E4AD" w14:textId="77777777" w:rsidR="000A1300" w:rsidRPr="00151321" w:rsidRDefault="000A1300" w:rsidP="00392A48">
      <w:pPr>
        <w:pStyle w:val="ListParagraph"/>
        <w:numPr>
          <w:ilvl w:val="0"/>
          <w:numId w:val="164"/>
        </w:numPr>
        <w:rPr>
          <w:rFonts w:ascii="Book Antiqua" w:hAnsi="Book Antiqua"/>
          <w:sz w:val="20"/>
        </w:rPr>
      </w:pPr>
      <w:r w:rsidRPr="00151321">
        <w:rPr>
          <w:rFonts w:ascii="Book Antiqua" w:hAnsi="Book Antiqua"/>
          <w:sz w:val="20"/>
        </w:rPr>
        <w:t>conducting a performance audit of a Commonwealth partner as described in section</w:t>
      </w:r>
      <w:r w:rsidRPr="00151321">
        <w:rPr>
          <w:rFonts w:ascii="Book Antiqua" w:hAnsi="Book Antiqua"/>
          <w:spacing w:val="-2"/>
          <w:sz w:val="20"/>
        </w:rPr>
        <w:t xml:space="preserve"> </w:t>
      </w:r>
      <w:r w:rsidR="00753560" w:rsidRPr="00151321">
        <w:rPr>
          <w:rFonts w:ascii="Book Antiqua" w:hAnsi="Book Antiqua"/>
          <w:sz w:val="20"/>
        </w:rPr>
        <w:t>18B of the Act</w:t>
      </w:r>
    </w:p>
    <w:p w14:paraId="151FA6D4" w14:textId="77777777" w:rsidR="000A1300" w:rsidRPr="00151321" w:rsidRDefault="000A1300" w:rsidP="00392A48">
      <w:pPr>
        <w:pStyle w:val="ListParagraph"/>
        <w:numPr>
          <w:ilvl w:val="0"/>
          <w:numId w:val="164"/>
        </w:numPr>
        <w:rPr>
          <w:rFonts w:ascii="Book Antiqua" w:hAnsi="Book Antiqua"/>
          <w:sz w:val="20"/>
        </w:rPr>
      </w:pPr>
      <w:r w:rsidRPr="00151321">
        <w:rPr>
          <w:rFonts w:ascii="Book Antiqua" w:hAnsi="Book Antiqua"/>
          <w:sz w:val="20"/>
        </w:rPr>
        <w:t>providing other audit services as required by other legislation or allowe</w:t>
      </w:r>
      <w:r w:rsidRPr="00151321">
        <w:rPr>
          <w:rFonts w:ascii="Book Antiqua" w:hAnsi="Book Antiqua"/>
          <w:spacing w:val="-47"/>
          <w:sz w:val="20"/>
        </w:rPr>
        <w:t>d</w:t>
      </w:r>
      <w:r w:rsidR="00151321">
        <w:rPr>
          <w:rFonts w:ascii="Book Antiqua" w:hAnsi="Book Antiqua"/>
          <w:spacing w:val="-47"/>
          <w:sz w:val="20"/>
        </w:rPr>
        <w:t xml:space="preserve"> </w:t>
      </w:r>
      <w:r w:rsidRPr="00151321">
        <w:rPr>
          <w:rFonts w:ascii="Book Antiqua" w:hAnsi="Book Antiqua"/>
          <w:spacing w:val="-47"/>
          <w:sz w:val="20"/>
        </w:rPr>
        <w:t xml:space="preserve">  </w:t>
      </w:r>
      <w:r w:rsidRPr="00151321">
        <w:rPr>
          <w:rFonts w:ascii="Book Antiqua" w:hAnsi="Book Antiqua"/>
          <w:spacing w:val="-3"/>
          <w:sz w:val="20"/>
        </w:rPr>
        <w:t xml:space="preserve">under section </w:t>
      </w:r>
      <w:r w:rsidRPr="00151321">
        <w:rPr>
          <w:rFonts w:ascii="Book Antiqua" w:hAnsi="Book Antiqua"/>
          <w:sz w:val="20"/>
        </w:rPr>
        <w:t>20</w:t>
      </w:r>
      <w:r w:rsidRPr="00151321">
        <w:rPr>
          <w:rFonts w:ascii="Book Antiqua" w:hAnsi="Book Antiqua"/>
          <w:spacing w:val="-1"/>
          <w:sz w:val="20"/>
        </w:rPr>
        <w:t xml:space="preserve"> </w:t>
      </w:r>
      <w:r w:rsidR="00B871D0" w:rsidRPr="00151321">
        <w:rPr>
          <w:rFonts w:ascii="Book Antiqua" w:hAnsi="Book Antiqua"/>
          <w:sz w:val="20"/>
        </w:rPr>
        <w:t>of the Act</w:t>
      </w:r>
      <w:r w:rsidR="004D695B" w:rsidRPr="00151321">
        <w:rPr>
          <w:rFonts w:ascii="Book Antiqua" w:hAnsi="Book Antiqua"/>
          <w:sz w:val="20"/>
        </w:rPr>
        <w:t>,</w:t>
      </w:r>
      <w:r w:rsidRPr="00151321">
        <w:rPr>
          <w:rFonts w:ascii="Book Antiqua" w:hAnsi="Book Antiqua"/>
          <w:spacing w:val="-2"/>
          <w:sz w:val="20"/>
        </w:rPr>
        <w:t xml:space="preserve"> </w:t>
      </w:r>
      <w:r w:rsidRPr="00151321">
        <w:rPr>
          <w:rFonts w:ascii="Book Antiqua" w:hAnsi="Book Antiqua"/>
          <w:sz w:val="20"/>
        </w:rPr>
        <w:t>and</w:t>
      </w:r>
    </w:p>
    <w:p w14:paraId="7A4FCEA8" w14:textId="77777777" w:rsidR="000A1300" w:rsidRPr="00151321" w:rsidRDefault="000A1300" w:rsidP="00392A48">
      <w:pPr>
        <w:pStyle w:val="ListParagraph"/>
        <w:numPr>
          <w:ilvl w:val="0"/>
          <w:numId w:val="164"/>
        </w:numPr>
        <w:rPr>
          <w:rFonts w:ascii="Book Antiqua" w:hAnsi="Book Antiqua"/>
          <w:sz w:val="20"/>
        </w:rPr>
      </w:pPr>
      <w:r w:rsidRPr="00151321">
        <w:rPr>
          <w:rFonts w:ascii="Book Antiqua" w:hAnsi="Book Antiqua"/>
          <w:sz w:val="20"/>
        </w:rPr>
        <w:t xml:space="preserve">reporting directly to the Parliament on any matter or to a minister on </w:t>
      </w:r>
      <w:r w:rsidR="00127656" w:rsidRPr="00151321">
        <w:rPr>
          <w:rFonts w:ascii="Book Antiqua" w:hAnsi="Book Antiqua"/>
          <w:sz w:val="20"/>
        </w:rPr>
        <w:t>any</w:t>
      </w:r>
      <w:r w:rsidR="00127656">
        <w:rPr>
          <w:rFonts w:ascii="Book Antiqua" w:hAnsi="Book Antiqua"/>
          <w:sz w:val="20"/>
        </w:rPr>
        <w:t xml:space="preserve"> important</w:t>
      </w:r>
      <w:r w:rsidR="00127656" w:rsidRPr="00151321">
        <w:rPr>
          <w:rFonts w:ascii="Book Antiqua" w:hAnsi="Book Antiqua"/>
          <w:sz w:val="20"/>
        </w:rPr>
        <w:t xml:space="preserve"> </w:t>
      </w:r>
      <w:r w:rsidRPr="00151321">
        <w:rPr>
          <w:rFonts w:ascii="Book Antiqua" w:hAnsi="Book Antiqua"/>
          <w:sz w:val="20"/>
        </w:rPr>
        <w:t>matter.</w:t>
      </w:r>
    </w:p>
    <w:p w14:paraId="62B7F359" w14:textId="77777777" w:rsidR="000A1300" w:rsidRDefault="000A1300" w:rsidP="00FE6B28">
      <w:r w:rsidRPr="00593B12">
        <w:t>To achieve its purpose, the ANAO has focused on implementing strategies that</w:t>
      </w:r>
      <w:r w:rsidRPr="00593B12">
        <w:rPr>
          <w:spacing w:val="1"/>
        </w:rPr>
        <w:t xml:space="preserve"> </w:t>
      </w:r>
      <w:r w:rsidR="00127656" w:rsidRPr="00593B12">
        <w:t>enable</w:t>
      </w:r>
      <w:r w:rsidR="00127656">
        <w:t xml:space="preserve"> it</w:t>
      </w:r>
      <w:r w:rsidRPr="00593B12">
        <w:t xml:space="preserve"> to operate as a leading public sector audit practice delivering quality audit services.</w:t>
      </w:r>
      <w:r w:rsidRPr="00593B12">
        <w:rPr>
          <w:spacing w:val="1"/>
        </w:rPr>
        <w:t xml:space="preserve"> </w:t>
      </w:r>
      <w:r w:rsidRPr="00593B12">
        <w:t>This occurs through strong methodology, efficient and whole-of-organisation work</w:t>
      </w:r>
      <w:r w:rsidRPr="00593B12">
        <w:rPr>
          <w:spacing w:val="1"/>
        </w:rPr>
        <w:t xml:space="preserve"> </w:t>
      </w:r>
      <w:r w:rsidRPr="00593B12">
        <w:t>practices,</w:t>
      </w:r>
      <w:r w:rsidRPr="00593B12">
        <w:rPr>
          <w:spacing w:val="-2"/>
        </w:rPr>
        <w:t xml:space="preserve"> </w:t>
      </w:r>
      <w:r w:rsidRPr="00593B12">
        <w:t>and</w:t>
      </w:r>
      <w:r w:rsidRPr="00593B12">
        <w:rPr>
          <w:spacing w:val="-1"/>
        </w:rPr>
        <w:t xml:space="preserve"> </w:t>
      </w:r>
      <w:r w:rsidRPr="00593B12">
        <w:t>a</w:t>
      </w:r>
      <w:r w:rsidRPr="00593B12">
        <w:rPr>
          <w:spacing w:val="-1"/>
        </w:rPr>
        <w:t xml:space="preserve"> </w:t>
      </w:r>
      <w:r w:rsidRPr="00593B12">
        <w:t>focus on</w:t>
      </w:r>
      <w:r w:rsidRPr="00593B12">
        <w:rPr>
          <w:spacing w:val="-1"/>
        </w:rPr>
        <w:t xml:space="preserve"> </w:t>
      </w:r>
      <w:r w:rsidRPr="00593B12">
        <w:t>communicating</w:t>
      </w:r>
      <w:r w:rsidRPr="00593B12">
        <w:rPr>
          <w:spacing w:val="-1"/>
        </w:rPr>
        <w:t xml:space="preserve"> </w:t>
      </w:r>
      <w:r w:rsidRPr="00593B12">
        <w:t>the outcomes</w:t>
      </w:r>
      <w:r w:rsidRPr="00593B12">
        <w:rPr>
          <w:spacing w:val="-1"/>
        </w:rPr>
        <w:t xml:space="preserve"> </w:t>
      </w:r>
      <w:r w:rsidRPr="00593B12">
        <w:t>of</w:t>
      </w:r>
      <w:r w:rsidRPr="00593B12">
        <w:rPr>
          <w:spacing w:val="-1"/>
        </w:rPr>
        <w:t xml:space="preserve"> </w:t>
      </w:r>
      <w:r>
        <w:t>its</w:t>
      </w:r>
      <w:r w:rsidRPr="00593B12">
        <w:t xml:space="preserve"> work.</w:t>
      </w:r>
    </w:p>
    <w:p w14:paraId="45FF81F6" w14:textId="77777777" w:rsidR="000A1300" w:rsidRPr="00E755AD" w:rsidRDefault="000A1300" w:rsidP="00FE6B28">
      <w:r w:rsidRPr="00E755AD">
        <w:t xml:space="preserve">The </w:t>
      </w:r>
      <w:r>
        <w:t xml:space="preserve">ANAO is introducing a new program in 2022-23 for the </w:t>
      </w:r>
      <w:r w:rsidRPr="00E755AD">
        <w:t>staged implementation of performance statements auditing for the public sector</w:t>
      </w:r>
      <w:r>
        <w:t>, providing</w:t>
      </w:r>
      <w:r w:rsidRPr="00E755AD">
        <w:t xml:space="preserve"> system-level assurance and transparency of </w:t>
      </w:r>
      <w:r>
        <w:t>its operation.</w:t>
      </w:r>
      <w:r w:rsidRPr="00E755AD">
        <w:t xml:space="preserve"> Auditing of entity performance statements gives the Parliament the same level of assurance over non-financial performance information that it currently receives for financial performance information. </w:t>
      </w:r>
    </w:p>
    <w:p w14:paraId="76299208" w14:textId="77777777" w:rsidR="000A1300" w:rsidRPr="00593B12" w:rsidRDefault="000A1300" w:rsidP="00FE6B28">
      <w:r w:rsidRPr="00593B12">
        <w:t>The ANAO’s Corporate Plan outlines capability investments that will be required to</w:t>
      </w:r>
      <w:r w:rsidRPr="00593B12">
        <w:rPr>
          <w:spacing w:val="1"/>
        </w:rPr>
        <w:t xml:space="preserve"> </w:t>
      </w:r>
      <w:r w:rsidRPr="00593B12">
        <w:t>support</w:t>
      </w:r>
      <w:r w:rsidRPr="00593B12">
        <w:rPr>
          <w:spacing w:val="1"/>
        </w:rPr>
        <w:t xml:space="preserve"> </w:t>
      </w:r>
      <w:r w:rsidRPr="00593B12">
        <w:t>achieving</w:t>
      </w:r>
      <w:r w:rsidRPr="00593B12">
        <w:rPr>
          <w:spacing w:val="1"/>
        </w:rPr>
        <w:t xml:space="preserve"> </w:t>
      </w:r>
      <w:r w:rsidRPr="00593B12">
        <w:t>the</w:t>
      </w:r>
      <w:r w:rsidRPr="00593B12">
        <w:rPr>
          <w:spacing w:val="1"/>
        </w:rPr>
        <w:t xml:space="preserve"> </w:t>
      </w:r>
      <w:r w:rsidRPr="00593B12">
        <w:t>ANAO’s</w:t>
      </w:r>
      <w:r w:rsidRPr="00593B12">
        <w:rPr>
          <w:spacing w:val="1"/>
        </w:rPr>
        <w:t xml:space="preserve"> </w:t>
      </w:r>
      <w:r w:rsidRPr="00593B12">
        <w:t>purpose</w:t>
      </w:r>
      <w:r w:rsidRPr="00593B12">
        <w:rPr>
          <w:spacing w:val="1"/>
        </w:rPr>
        <w:t xml:space="preserve"> </w:t>
      </w:r>
      <w:r w:rsidRPr="00593B12">
        <w:t>in</w:t>
      </w:r>
      <w:r w:rsidRPr="00593B12">
        <w:rPr>
          <w:spacing w:val="1"/>
        </w:rPr>
        <w:t xml:space="preserve"> </w:t>
      </w:r>
      <w:r w:rsidRPr="00593B12">
        <w:t>the</w:t>
      </w:r>
      <w:r w:rsidRPr="00593B12">
        <w:rPr>
          <w:spacing w:val="1"/>
        </w:rPr>
        <w:t xml:space="preserve"> </w:t>
      </w:r>
      <w:r w:rsidRPr="00593B12">
        <w:t>dynamic</w:t>
      </w:r>
      <w:r w:rsidRPr="00593B12">
        <w:rPr>
          <w:spacing w:val="1"/>
        </w:rPr>
        <w:t xml:space="preserve"> </w:t>
      </w:r>
      <w:r w:rsidRPr="00593B12">
        <w:t>environment</w:t>
      </w:r>
      <w:r w:rsidRPr="00593B12">
        <w:rPr>
          <w:spacing w:val="1"/>
        </w:rPr>
        <w:t xml:space="preserve"> </w:t>
      </w:r>
      <w:r w:rsidRPr="00593B12">
        <w:t>in</w:t>
      </w:r>
      <w:r w:rsidRPr="00593B12">
        <w:rPr>
          <w:spacing w:val="1"/>
        </w:rPr>
        <w:t xml:space="preserve"> </w:t>
      </w:r>
      <w:r w:rsidRPr="00593B12">
        <w:t>which</w:t>
      </w:r>
      <w:r w:rsidRPr="00593B12">
        <w:rPr>
          <w:spacing w:val="1"/>
        </w:rPr>
        <w:t xml:space="preserve"> </w:t>
      </w:r>
      <w:r w:rsidRPr="00593B12">
        <w:t>it</w:t>
      </w:r>
      <w:r w:rsidRPr="00593B12">
        <w:rPr>
          <w:spacing w:val="1"/>
        </w:rPr>
        <w:t xml:space="preserve"> </w:t>
      </w:r>
      <w:r w:rsidRPr="00593B12">
        <w:t>operates. The ANAO will continue to make investments in improving data analytics</w:t>
      </w:r>
      <w:r w:rsidRPr="00593B12">
        <w:rPr>
          <w:spacing w:val="1"/>
        </w:rPr>
        <w:t xml:space="preserve"> </w:t>
      </w:r>
      <w:r w:rsidRPr="00593B12">
        <w:t>capability, maintaining a skilled and professional workforce, supporting</w:t>
      </w:r>
      <w:r w:rsidRPr="00593B12">
        <w:rPr>
          <w:spacing w:val="1"/>
        </w:rPr>
        <w:t xml:space="preserve"> </w:t>
      </w:r>
      <w:r w:rsidRPr="00593B12">
        <w:t>contemporary communication</w:t>
      </w:r>
      <w:r w:rsidR="004D695B">
        <w:t>,</w:t>
      </w:r>
      <w:r w:rsidRPr="00593B12">
        <w:t xml:space="preserve"> particularly with the Parliament</w:t>
      </w:r>
      <w:r w:rsidR="004D695B">
        <w:t>,</w:t>
      </w:r>
      <w:r w:rsidRPr="00593B12">
        <w:t xml:space="preserve"> and ensuring quality </w:t>
      </w:r>
      <w:r w:rsidR="00127656" w:rsidRPr="00593B12">
        <w:t>in</w:t>
      </w:r>
      <w:r w:rsidR="00127656">
        <w:t xml:space="preserve"> </w:t>
      </w:r>
      <w:r w:rsidR="00127656" w:rsidRPr="00593B12">
        <w:rPr>
          <w:spacing w:val="-47"/>
        </w:rPr>
        <w:t>its</w:t>
      </w:r>
      <w:r w:rsidRPr="00593B12">
        <w:t xml:space="preserve"> audit work. More details can be found in the ANAO’s corporate plan which is</w:t>
      </w:r>
      <w:r w:rsidRPr="00593B12">
        <w:rPr>
          <w:spacing w:val="1"/>
        </w:rPr>
        <w:t xml:space="preserve"> </w:t>
      </w:r>
      <w:r w:rsidRPr="00593B12">
        <w:t>published</w:t>
      </w:r>
      <w:r w:rsidRPr="00593B12">
        <w:rPr>
          <w:spacing w:val="-1"/>
        </w:rPr>
        <w:t xml:space="preserve"> </w:t>
      </w:r>
      <w:r w:rsidRPr="00593B12">
        <w:t>on</w:t>
      </w:r>
      <w:r w:rsidRPr="00593B12">
        <w:rPr>
          <w:spacing w:val="-3"/>
        </w:rPr>
        <w:t xml:space="preserve"> </w:t>
      </w:r>
      <w:r w:rsidRPr="00593B12">
        <w:t>the</w:t>
      </w:r>
      <w:r w:rsidRPr="00593B12">
        <w:rPr>
          <w:spacing w:val="-1"/>
        </w:rPr>
        <w:t xml:space="preserve"> </w:t>
      </w:r>
      <w:r w:rsidRPr="00593B12">
        <w:t>ANAO’s</w:t>
      </w:r>
      <w:r w:rsidRPr="00593B12">
        <w:rPr>
          <w:spacing w:val="-1"/>
        </w:rPr>
        <w:t xml:space="preserve"> </w:t>
      </w:r>
      <w:r w:rsidRPr="00593B12">
        <w:t>website</w:t>
      </w:r>
      <w:r w:rsidRPr="00593B12">
        <w:rPr>
          <w:spacing w:val="-1"/>
        </w:rPr>
        <w:t xml:space="preserve"> </w:t>
      </w:r>
      <w:r w:rsidRPr="00593B12">
        <w:t>–</w:t>
      </w:r>
      <w:r w:rsidRPr="00593B12">
        <w:rPr>
          <w:spacing w:val="-2"/>
        </w:rPr>
        <w:t xml:space="preserve"> </w:t>
      </w:r>
      <w:hyperlink r:id="rId143">
        <w:r w:rsidRPr="00593B12">
          <w:t>www.anao.gov.au.</w:t>
        </w:r>
      </w:hyperlink>
    </w:p>
    <w:p w14:paraId="33D42AAD" w14:textId="77777777" w:rsidR="000A1300" w:rsidRDefault="000A1300" w:rsidP="000A1300">
      <w:pPr>
        <w:pStyle w:val="Heading3"/>
      </w:pPr>
      <w:r w:rsidRPr="0079797F">
        <w:br w:type="page"/>
      </w:r>
      <w:bookmarkStart w:id="313" w:name="_Toc98766373"/>
      <w:bookmarkStart w:id="314" w:name="_Toc98856120"/>
      <w:bookmarkStart w:id="315" w:name="_Toc98932872"/>
      <w:bookmarkStart w:id="316" w:name="_Toc99008129"/>
      <w:bookmarkStart w:id="317" w:name="_Toc99009491"/>
      <w:bookmarkStart w:id="318" w:name="_Toc99010719"/>
      <w:bookmarkStart w:id="319" w:name="_Toc99013954"/>
      <w:bookmarkStart w:id="320" w:name="_Toc99187531"/>
      <w:bookmarkStart w:id="321" w:name="_Toc99269640"/>
      <w:r>
        <w:t>1.2</w:t>
      </w:r>
      <w:r>
        <w:tab/>
        <w:t>Entity resource statement</w:t>
      </w:r>
      <w:bookmarkEnd w:id="313"/>
      <w:bookmarkEnd w:id="314"/>
      <w:bookmarkEnd w:id="315"/>
      <w:bookmarkEnd w:id="316"/>
      <w:bookmarkEnd w:id="317"/>
      <w:bookmarkEnd w:id="318"/>
      <w:bookmarkEnd w:id="319"/>
      <w:bookmarkEnd w:id="320"/>
      <w:bookmarkEnd w:id="321"/>
    </w:p>
    <w:p w14:paraId="6D760CBB" w14:textId="77777777" w:rsidR="000A1300" w:rsidRDefault="000A1300" w:rsidP="000A1300">
      <w:r>
        <w:t xml:space="preserve">Table 1.1 shows the total funding from all sources available to the </w:t>
      </w:r>
      <w:r w:rsidR="00EA3239">
        <w:t>ANAO</w:t>
      </w:r>
      <w:r>
        <w:t xml:space="preserve"> for its operations.</w:t>
      </w:r>
    </w:p>
    <w:p w14:paraId="64D352A0" w14:textId="77777777" w:rsidR="000A1300" w:rsidRDefault="000A1300" w:rsidP="000A1300">
      <w:r>
        <w:t xml:space="preserve">For more detailed information on special accounts and special appropriations, please refer to </w:t>
      </w:r>
      <w:r w:rsidRPr="000A6CC8">
        <w:t>Budget Paper No. 4 – Agency Resourcing.</w:t>
      </w:r>
    </w:p>
    <w:p w14:paraId="1A15A529" w14:textId="77777777" w:rsidR="000A1300" w:rsidRDefault="000A1300" w:rsidP="000A1300">
      <w:r>
        <w:t xml:space="preserve">Information in this table is presented on a resourcing (that is, appropriations/cash available) basis, </w:t>
      </w:r>
      <w:r w:rsidR="00407A2C">
        <w:t>while</w:t>
      </w:r>
      <w:r>
        <w:t xml:space="preserve"> the ‘Budgeted expenses for Outcome 1’ tables in Section 2 and the financial statements in Section 3 are presented on an accrual basis.</w:t>
      </w:r>
    </w:p>
    <w:p w14:paraId="4B6DD1FD" w14:textId="77777777" w:rsidR="000A1300" w:rsidRPr="00593B12" w:rsidRDefault="000A1300" w:rsidP="000A1300">
      <w:r w:rsidRPr="00593B12">
        <w:t>The ANAO charges an audit fee for the financial statement</w:t>
      </w:r>
      <w:r>
        <w:t>s</w:t>
      </w:r>
      <w:r w:rsidRPr="00593B12">
        <w:t xml:space="preserve"> audits of corporate Commonwealth entities, companies and their subsidiaries subject to the </w:t>
      </w:r>
      <w:r w:rsidRPr="007F3B9D">
        <w:rPr>
          <w:i/>
          <w:iCs/>
        </w:rPr>
        <w:t>Public Governance, Performance and Accountability Act 2013</w:t>
      </w:r>
      <w:r w:rsidR="00407A2C">
        <w:rPr>
          <w:i/>
          <w:iCs/>
        </w:rPr>
        <w:t xml:space="preserve"> </w:t>
      </w:r>
      <w:r w:rsidR="00407A2C" w:rsidRPr="00407A2C">
        <w:rPr>
          <w:iCs/>
        </w:rPr>
        <w:t>(PGPA Act)</w:t>
      </w:r>
      <w:r w:rsidRPr="00593B12">
        <w:t>. These fees are based on a scale determined by the Auditor-General under section 14 of the Act, and are calculated on the basis of a cost attribution model. Revenues from these audit fees are paid into the Official Public Account and are not available to the ANAO. The revenue and receipts are shown in Table 3.7 (Schedule of budgeted income and expenses administered on behalf of Government) and Table 3.9 (Schedule of budgeted administered cash flows), respectively.</w:t>
      </w:r>
    </w:p>
    <w:p w14:paraId="4F1DA44F" w14:textId="77777777" w:rsidR="000A1300" w:rsidRPr="00593B12" w:rsidRDefault="000A1300" w:rsidP="000A1300">
      <w:r w:rsidRPr="00593B12">
        <w:t>The ANAO is also permitted to charge for ‘audits b</w:t>
      </w:r>
      <w:r w:rsidR="00407A2C">
        <w:t>y arrangement’ under subsection </w:t>
      </w:r>
      <w:r w:rsidRPr="00593B12">
        <w:t>20(2) of the Act. The revenue is shown as sale of goods and</w:t>
      </w:r>
      <w:r w:rsidR="00407A2C">
        <w:t xml:space="preserve"> rendering of services in Table </w:t>
      </w:r>
      <w:r w:rsidRPr="00593B12">
        <w:t>3.1 (Comprehensive income statement).</w:t>
      </w:r>
    </w:p>
    <w:p w14:paraId="3F355CE4" w14:textId="77777777" w:rsidR="000A1300" w:rsidRDefault="000A1300" w:rsidP="00B871D0">
      <w:pPr>
        <w:pStyle w:val="TableHeading"/>
        <w:rPr>
          <w:lang w:val="en-AU"/>
        </w:rPr>
      </w:pPr>
      <w:r>
        <w:br w:type="page"/>
      </w:r>
      <w:r w:rsidRPr="00D44150">
        <w:t xml:space="preserve">Table 1.1: </w:t>
      </w:r>
      <w:r>
        <w:rPr>
          <w:lang w:val="en-AU"/>
        </w:rPr>
        <w:t xml:space="preserve">Australian National Audit Office </w:t>
      </w:r>
      <w:r w:rsidRPr="00D44150">
        <w:t>resource statement</w:t>
      </w:r>
      <w:r>
        <w:t xml:space="preserve"> — Budget</w:t>
      </w:r>
      <w:r>
        <w:rPr>
          <w:lang w:val="en-AU"/>
        </w:rPr>
        <w:t xml:space="preserve"> </w:t>
      </w:r>
      <w:r>
        <w:t xml:space="preserve">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7D3969C5" w14:textId="77777777" w:rsidR="00B871D0" w:rsidRPr="00B871D0" w:rsidRDefault="00407A2C" w:rsidP="00B871D0">
      <w:pPr>
        <w:pStyle w:val="TableGraphic"/>
        <w:rPr>
          <w:lang w:eastAsia="x-none"/>
        </w:rPr>
      </w:pPr>
      <w:r w:rsidRPr="00407A2C">
        <w:rPr>
          <w:noProof/>
        </w:rPr>
        <w:drawing>
          <wp:inline distT="0" distB="0" distL="0" distR="0" wp14:anchorId="792255C3" wp14:editId="35411E8A">
            <wp:extent cx="4895850" cy="215975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95850" cy="2159755"/>
                    </a:xfrm>
                    <a:prstGeom prst="rect">
                      <a:avLst/>
                    </a:prstGeom>
                    <a:noFill/>
                    <a:ln>
                      <a:noFill/>
                    </a:ln>
                  </pic:spPr>
                </pic:pic>
              </a:graphicData>
            </a:graphic>
          </wp:inline>
        </w:drawing>
      </w:r>
    </w:p>
    <w:p w14:paraId="1E9BADB1" w14:textId="77777777" w:rsidR="000A1300" w:rsidRPr="00152EF5" w:rsidRDefault="000A1300" w:rsidP="000A1300">
      <w:pPr>
        <w:pStyle w:val="TableGraphic"/>
        <w:rPr>
          <w:rFonts w:cs="Arial"/>
          <w:szCs w:val="16"/>
        </w:rPr>
      </w:pPr>
      <w:r w:rsidRPr="007C7774">
        <w:rPr>
          <w:rFonts w:ascii="Arial" w:hAnsi="Arial" w:cs="Arial"/>
          <w:sz w:val="16"/>
          <w:szCs w:val="16"/>
        </w:rPr>
        <w:t>All figures shown above are GST exclusive - these may not match figures in the cash flow statement.</w:t>
      </w:r>
    </w:p>
    <w:p w14:paraId="55633458" w14:textId="77777777" w:rsidR="000A1300" w:rsidRDefault="000A1300" w:rsidP="000A1300">
      <w:pPr>
        <w:pStyle w:val="ChartandTableFootnote"/>
      </w:pPr>
      <w:r>
        <w:t>Prepared on a resourcing (</w:t>
      </w:r>
      <w:r>
        <w:rPr>
          <w:lang w:val="en-AU"/>
        </w:rPr>
        <w:t>that is,</w:t>
      </w:r>
      <w:r>
        <w:t xml:space="preserve"> appropriations available) basis.</w:t>
      </w:r>
    </w:p>
    <w:p w14:paraId="59DBF407" w14:textId="77777777" w:rsidR="000A1300" w:rsidRPr="002003A1" w:rsidRDefault="000A1300" w:rsidP="00392A48">
      <w:pPr>
        <w:pStyle w:val="ChartandTableFootnoteAlpha"/>
        <w:numPr>
          <w:ilvl w:val="0"/>
          <w:numId w:val="94"/>
        </w:numPr>
      </w:pPr>
      <w:r w:rsidRPr="001071C7">
        <w:t>Appr</w:t>
      </w:r>
      <w:r>
        <w:t>opriation Bill (No. 1) 2022-23.</w:t>
      </w:r>
    </w:p>
    <w:p w14:paraId="662D8523" w14:textId="77777777" w:rsidR="000A1300" w:rsidRPr="00B871D0" w:rsidRDefault="000A1300" w:rsidP="00392A48">
      <w:pPr>
        <w:pStyle w:val="ChartandTableFootnoteAlpha"/>
        <w:numPr>
          <w:ilvl w:val="0"/>
          <w:numId w:val="94"/>
        </w:numPr>
        <w:rPr>
          <w:color w:val="000000"/>
        </w:rPr>
      </w:pPr>
      <w:r w:rsidRPr="00B871D0">
        <w:rPr>
          <w:color w:val="000000"/>
        </w:rPr>
        <w:t>Excludes departmental capital budget (DCB).</w:t>
      </w:r>
    </w:p>
    <w:p w14:paraId="7B596C53" w14:textId="77777777" w:rsidR="000A1300" w:rsidRPr="00B871D0" w:rsidRDefault="00407A2C" w:rsidP="00392A48">
      <w:pPr>
        <w:pStyle w:val="ChartandTableFootnoteAlpha"/>
        <w:numPr>
          <w:ilvl w:val="0"/>
          <w:numId w:val="94"/>
        </w:numPr>
        <w:rPr>
          <w:color w:val="000000"/>
        </w:rPr>
      </w:pPr>
      <w:r>
        <w:rPr>
          <w:color w:val="000000"/>
        </w:rPr>
        <w:t>Estimated external r</w:t>
      </w:r>
      <w:r w:rsidR="000A1300" w:rsidRPr="00B871D0">
        <w:rPr>
          <w:color w:val="000000"/>
        </w:rPr>
        <w:t xml:space="preserve">evenue receipts under section 74 of the </w:t>
      </w:r>
      <w:r w:rsidRPr="00F12BE6">
        <w:rPr>
          <w:rFonts w:cs="Arial"/>
          <w:szCs w:val="16"/>
        </w:rPr>
        <w:t>PGPA Act</w:t>
      </w:r>
      <w:r w:rsidR="009750C8" w:rsidRPr="00F12BE6">
        <w:rPr>
          <w:rFonts w:cs="Arial"/>
          <w:szCs w:val="16"/>
        </w:rPr>
        <w:t>.</w:t>
      </w:r>
    </w:p>
    <w:p w14:paraId="309D9979" w14:textId="77777777" w:rsidR="000A1300" w:rsidRPr="00B871D0" w:rsidRDefault="00407A2C" w:rsidP="00392A48">
      <w:pPr>
        <w:pStyle w:val="ChartandTableFootnoteAlpha"/>
        <w:numPr>
          <w:ilvl w:val="0"/>
          <w:numId w:val="94"/>
        </w:numPr>
        <w:rPr>
          <w:color w:val="000000"/>
        </w:rPr>
      </w:pPr>
      <w:r>
        <w:rPr>
          <w:color w:val="000000"/>
        </w:rPr>
        <w:t>DCBs</w:t>
      </w:r>
      <w:r w:rsidR="000A1300" w:rsidRPr="00B871D0">
        <w:rPr>
          <w:color w:val="000000"/>
        </w:rPr>
        <w:t xml:space="preserve"> are not separately identified in Appropriation Bill (No.</w:t>
      </w:r>
      <w:r w:rsidR="009750C8">
        <w:rPr>
          <w:color w:val="000000"/>
        </w:rPr>
        <w:t xml:space="preserve"> </w:t>
      </w:r>
      <w:r w:rsidR="000A1300" w:rsidRPr="00B871D0">
        <w:rPr>
          <w:color w:val="000000"/>
        </w:rPr>
        <w:t>1) and form part of ordinary annual services items. Please refer to Table 3.5 for further details. For accounting purposes, this amount has been designated as a 'contribution by owner'.</w:t>
      </w:r>
    </w:p>
    <w:p w14:paraId="29159166" w14:textId="77777777" w:rsidR="000A1300" w:rsidRPr="00B871D0" w:rsidRDefault="000A1300" w:rsidP="00392A48">
      <w:pPr>
        <w:pStyle w:val="ChartandTableFootnoteAlpha"/>
        <w:numPr>
          <w:ilvl w:val="0"/>
          <w:numId w:val="94"/>
        </w:numPr>
        <w:jc w:val="left"/>
        <w:rPr>
          <w:rFonts w:ascii="Arial Bold" w:hAnsi="Arial Bold"/>
          <w:b/>
          <w:sz w:val="22"/>
        </w:rPr>
      </w:pPr>
      <w:r w:rsidRPr="00B871D0">
        <w:rPr>
          <w:color w:val="000000"/>
        </w:rPr>
        <w:t>For further information on special appropriations and special accounts, please refer to Budget Paper No.</w:t>
      </w:r>
      <w:r w:rsidR="009750C8">
        <w:rPr>
          <w:color w:val="000000"/>
        </w:rPr>
        <w:t> </w:t>
      </w:r>
      <w:r w:rsidRPr="00B871D0">
        <w:rPr>
          <w:color w:val="000000"/>
        </w:rPr>
        <w:t xml:space="preserve">4 – Agency Resourcing. Please also see Table 2.1 for further information on outcome and program expenses broken down by various funding sources, e.g. annual appropriations, special appropriations and special accounts. Excludes trust moneys held in Services for Other Entities and Trust Moneys (SOETM) and other special accounts. </w:t>
      </w:r>
      <w:r>
        <w:br w:type="page"/>
      </w:r>
    </w:p>
    <w:p w14:paraId="3B77B2BF" w14:textId="77777777" w:rsidR="000A1300" w:rsidRPr="005A7C0B" w:rsidRDefault="000A1300" w:rsidP="000A1300">
      <w:pPr>
        <w:pStyle w:val="Heading3"/>
        <w:spacing w:before="0"/>
      </w:pPr>
      <w:bookmarkStart w:id="322" w:name="_Toc98766374"/>
      <w:bookmarkStart w:id="323" w:name="_Toc98856121"/>
      <w:bookmarkStart w:id="324" w:name="_Toc98932873"/>
      <w:bookmarkStart w:id="325" w:name="_Toc99008130"/>
      <w:bookmarkStart w:id="326" w:name="_Toc99009492"/>
      <w:bookmarkStart w:id="327" w:name="_Toc99010720"/>
      <w:bookmarkStart w:id="328" w:name="_Toc99013955"/>
      <w:bookmarkStart w:id="329" w:name="_Toc99187532"/>
      <w:bookmarkStart w:id="330" w:name="_Toc99269641"/>
      <w:r w:rsidRPr="007C7774">
        <w:t>1.3</w:t>
      </w:r>
      <w:r w:rsidRPr="007C7774">
        <w:tab/>
        <w:t>Budget measures</w:t>
      </w:r>
      <w:bookmarkEnd w:id="322"/>
      <w:bookmarkEnd w:id="323"/>
      <w:bookmarkEnd w:id="324"/>
      <w:bookmarkEnd w:id="325"/>
      <w:bookmarkEnd w:id="326"/>
      <w:bookmarkEnd w:id="327"/>
      <w:bookmarkEnd w:id="328"/>
      <w:bookmarkEnd w:id="329"/>
      <w:bookmarkEnd w:id="330"/>
    </w:p>
    <w:p w14:paraId="7A11282B" w14:textId="77777777" w:rsidR="000A1300" w:rsidRPr="00593B12" w:rsidRDefault="000A1300" w:rsidP="000A1300">
      <w:pPr>
        <w:pStyle w:val="BodyText"/>
        <w:spacing w:before="120"/>
        <w:ind w:right="419"/>
        <w:jc w:val="both"/>
        <w:rPr>
          <w:rFonts w:ascii="Book Antiqua" w:hAnsi="Book Antiqua"/>
          <w:color w:val="231F20"/>
          <w:sz w:val="20"/>
          <w:szCs w:val="20"/>
        </w:rPr>
      </w:pPr>
      <w:r w:rsidRPr="00593B12">
        <w:rPr>
          <w:rFonts w:ascii="Book Antiqua" w:hAnsi="Book Antiqua"/>
          <w:color w:val="231F20"/>
          <w:sz w:val="20"/>
          <w:szCs w:val="20"/>
        </w:rPr>
        <w:t xml:space="preserve">The ANAO has no budget measures in the </w:t>
      </w:r>
      <w:r>
        <w:rPr>
          <w:rFonts w:ascii="Book Antiqua" w:hAnsi="Book Antiqua"/>
          <w:color w:val="231F20"/>
          <w:sz w:val="20"/>
          <w:szCs w:val="20"/>
          <w:lang w:val="en-AU"/>
        </w:rPr>
        <w:t>2022-23</w:t>
      </w:r>
      <w:r w:rsidR="00407A2C">
        <w:rPr>
          <w:rFonts w:ascii="Book Antiqua" w:hAnsi="Book Antiqua"/>
          <w:color w:val="231F20"/>
          <w:sz w:val="20"/>
          <w:szCs w:val="20"/>
        </w:rPr>
        <w:t xml:space="preserve"> B</w:t>
      </w:r>
      <w:r w:rsidRPr="00593B12">
        <w:rPr>
          <w:rFonts w:ascii="Book Antiqua" w:hAnsi="Book Antiqua"/>
          <w:color w:val="231F20"/>
          <w:sz w:val="20"/>
          <w:szCs w:val="20"/>
        </w:rPr>
        <w:t>udget.</w:t>
      </w:r>
    </w:p>
    <w:p w14:paraId="7F3EF134" w14:textId="77777777" w:rsidR="000A1300" w:rsidRPr="0089074D" w:rsidRDefault="000A1300" w:rsidP="000A1300">
      <w:pPr>
        <w:pStyle w:val="NoSpacing"/>
      </w:pPr>
    </w:p>
    <w:p w14:paraId="2CB85433" w14:textId="77777777" w:rsidR="000A1300" w:rsidRPr="00D232B7" w:rsidRDefault="000A1300" w:rsidP="000A1300">
      <w:pPr>
        <w:pStyle w:val="NoSpacing"/>
      </w:pPr>
    </w:p>
    <w:p w14:paraId="3682E931" w14:textId="77777777" w:rsidR="000A1300" w:rsidRPr="00810C6A" w:rsidRDefault="000A1300" w:rsidP="000A1300">
      <w:pPr>
        <w:pStyle w:val="Heading2"/>
      </w:pPr>
      <w:r>
        <w:br w:type="page"/>
      </w:r>
      <w:bookmarkStart w:id="331" w:name="_Toc98766375"/>
      <w:bookmarkStart w:id="332" w:name="_Toc98856122"/>
      <w:bookmarkStart w:id="333" w:name="_Toc98932874"/>
      <w:bookmarkStart w:id="334" w:name="_Toc99008131"/>
      <w:bookmarkStart w:id="335" w:name="_Toc99009493"/>
      <w:bookmarkStart w:id="336" w:name="_Toc99010721"/>
      <w:bookmarkStart w:id="337" w:name="_Toc99013956"/>
      <w:bookmarkStart w:id="338" w:name="_Toc99187533"/>
      <w:bookmarkStart w:id="339" w:name="_Toc99269642"/>
      <w:r w:rsidRPr="00810C6A">
        <w:t>Section 2: Outcomes and planned performance</w:t>
      </w:r>
      <w:bookmarkEnd w:id="331"/>
      <w:bookmarkEnd w:id="332"/>
      <w:bookmarkEnd w:id="333"/>
      <w:bookmarkEnd w:id="334"/>
      <w:bookmarkEnd w:id="335"/>
      <w:bookmarkEnd w:id="336"/>
      <w:bookmarkEnd w:id="337"/>
      <w:bookmarkEnd w:id="338"/>
      <w:bookmarkEnd w:id="339"/>
    </w:p>
    <w:p w14:paraId="5738CD46" w14:textId="77777777" w:rsidR="000A1300" w:rsidRPr="005E6F2B" w:rsidRDefault="000A1300" w:rsidP="000A1300">
      <w:r>
        <w:t>O</w:t>
      </w:r>
      <w:r w:rsidRPr="005E6F2B">
        <w:t>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927D36B" w14:textId="77777777" w:rsidR="000A1300" w:rsidRDefault="000A1300" w:rsidP="000A1300">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0A1300" w14:paraId="78DD2AC4" w14:textId="77777777" w:rsidTr="00F404CC">
        <w:tc>
          <w:tcPr>
            <w:tcW w:w="7700" w:type="dxa"/>
          </w:tcPr>
          <w:p w14:paraId="47E6734E" w14:textId="77777777" w:rsidR="000A1300" w:rsidRPr="006906E4" w:rsidRDefault="000A1300" w:rsidP="00F404CC">
            <w:pPr>
              <w:spacing w:after="120" w:line="240" w:lineRule="auto"/>
            </w:pPr>
            <w:r w:rsidRPr="006906E4">
              <w:t>Note:</w:t>
            </w:r>
          </w:p>
          <w:p w14:paraId="6EE26374" w14:textId="77777777" w:rsidR="000A1300" w:rsidRDefault="000A1300" w:rsidP="00F404CC">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7E0E5D76" w14:textId="77777777" w:rsidR="000A1300" w:rsidRDefault="000A1300" w:rsidP="00F404CC">
            <w:r>
              <w:t xml:space="preserve">The most recent corporate plan for the Australian National Audit Office can be found at: </w:t>
            </w:r>
            <w:hyperlink r:id="rId145" w:history="1">
              <w:r w:rsidRPr="008F095E">
                <w:rPr>
                  <w:rStyle w:val="Hyperlink"/>
                </w:rPr>
                <w:t>anao.gov.au/work/corporate/anao-corporate-plan-2021-22</w:t>
              </w:r>
            </w:hyperlink>
          </w:p>
          <w:p w14:paraId="08246FAE" w14:textId="77777777" w:rsidR="000A1300" w:rsidRDefault="000A1300" w:rsidP="00407A2C">
            <w:r>
              <w:t xml:space="preserve">The most recent annual performance statements can be found at: </w:t>
            </w:r>
            <w:hyperlink r:id="rId146" w:history="1">
              <w:r w:rsidRPr="008F095E">
                <w:rPr>
                  <w:rStyle w:val="Hyperlink"/>
                </w:rPr>
                <w:t>anao.gov.au/work/annual-report/anao-annual-report-2020-21</w:t>
              </w:r>
            </w:hyperlink>
          </w:p>
        </w:tc>
      </w:tr>
    </w:tbl>
    <w:p w14:paraId="57BEA91F" w14:textId="77777777" w:rsidR="000A1300" w:rsidRDefault="000A1300" w:rsidP="000A1300">
      <w:pPr>
        <w:rPr>
          <w:highlight w:val="yellow"/>
        </w:rPr>
      </w:pPr>
    </w:p>
    <w:p w14:paraId="486AF748" w14:textId="77777777" w:rsidR="000D3617" w:rsidRDefault="000D3617">
      <w:pPr>
        <w:spacing w:after="0" w:line="240" w:lineRule="auto"/>
        <w:jc w:val="left"/>
        <w:rPr>
          <w:rFonts w:ascii="Arial Bold" w:hAnsi="Arial Bold"/>
          <w:b/>
          <w:sz w:val="22"/>
        </w:rPr>
      </w:pPr>
      <w:bookmarkStart w:id="340" w:name="_Toc98766376"/>
      <w:bookmarkStart w:id="341" w:name="_Toc98856123"/>
      <w:bookmarkStart w:id="342" w:name="_Toc98932875"/>
      <w:bookmarkStart w:id="343" w:name="_Toc99008132"/>
      <w:bookmarkStart w:id="344" w:name="_Toc99009494"/>
      <w:bookmarkStart w:id="345" w:name="_Toc99010722"/>
      <w:r>
        <w:br w:type="page"/>
      </w:r>
    </w:p>
    <w:p w14:paraId="4A9D6A02" w14:textId="77777777" w:rsidR="000A1300" w:rsidRPr="00F743D8" w:rsidRDefault="000A1300" w:rsidP="000A1300">
      <w:pPr>
        <w:pStyle w:val="Heading3"/>
      </w:pPr>
      <w:bookmarkStart w:id="346" w:name="_Toc99013957"/>
      <w:bookmarkStart w:id="347" w:name="_Toc99187534"/>
      <w:bookmarkStart w:id="348" w:name="_Toc99269643"/>
      <w:r>
        <w:t>2.1</w:t>
      </w:r>
      <w:r w:rsidRPr="00F743D8">
        <w:t xml:space="preserve"> </w:t>
      </w:r>
      <w:r w:rsidRPr="00F743D8">
        <w:tab/>
        <w:t xml:space="preserve">Budgeted expenses and performance for Outcome </w:t>
      </w:r>
      <w:r>
        <w:t>1</w:t>
      </w:r>
      <w:bookmarkEnd w:id="340"/>
      <w:bookmarkEnd w:id="341"/>
      <w:bookmarkEnd w:id="342"/>
      <w:bookmarkEnd w:id="343"/>
      <w:bookmarkEnd w:id="344"/>
      <w:bookmarkEnd w:id="345"/>
      <w:bookmarkEnd w:id="346"/>
      <w:bookmarkEnd w:id="347"/>
      <w:bookmarkEnd w:id="34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0A1300" w:rsidRPr="005E6F2B" w14:paraId="48363404" w14:textId="77777777" w:rsidTr="00F404CC">
        <w:tc>
          <w:tcPr>
            <w:tcW w:w="7704" w:type="dxa"/>
            <w:shd w:val="clear" w:color="auto" w:fill="E6E6E6"/>
          </w:tcPr>
          <w:p w14:paraId="13F8BB4D" w14:textId="77777777" w:rsidR="000A1300" w:rsidRPr="005E6F2B" w:rsidRDefault="000A1300" w:rsidP="00F404CC">
            <w:pPr>
              <w:pStyle w:val="TableColumnHeadingLeft"/>
            </w:pPr>
            <w:r w:rsidRPr="005E6F2B">
              <w:t xml:space="preserve">Outcome </w:t>
            </w:r>
            <w:r>
              <w:t xml:space="preserve">1: </w:t>
            </w:r>
            <w:r>
              <w:rPr>
                <w:color w:val="231F20"/>
              </w:rPr>
              <w:t>To improve public sector performance and accountability</w:t>
            </w:r>
            <w:r>
              <w:rPr>
                <w:color w:val="231F20"/>
                <w:spacing w:val="1"/>
              </w:rPr>
              <w:t xml:space="preserve"> </w:t>
            </w:r>
            <w:r>
              <w:rPr>
                <w:color w:val="231F20"/>
              </w:rPr>
              <w:t>through</w:t>
            </w:r>
            <w:r>
              <w:rPr>
                <w:color w:val="231F20"/>
                <w:spacing w:val="-6"/>
              </w:rPr>
              <w:t xml:space="preserve"> </w:t>
            </w:r>
            <w:r>
              <w:rPr>
                <w:color w:val="231F20"/>
              </w:rPr>
              <w:t>independent</w:t>
            </w:r>
            <w:r>
              <w:rPr>
                <w:color w:val="231F20"/>
                <w:spacing w:val="-6"/>
              </w:rPr>
              <w:t xml:space="preserve"> </w:t>
            </w:r>
            <w:r>
              <w:rPr>
                <w:color w:val="231F20"/>
              </w:rPr>
              <w:t>reporting</w:t>
            </w:r>
            <w:r>
              <w:rPr>
                <w:color w:val="231F20"/>
                <w:spacing w:val="-5"/>
              </w:rPr>
              <w:t xml:space="preserve"> </w:t>
            </w:r>
            <w:r>
              <w:rPr>
                <w:color w:val="231F20"/>
              </w:rPr>
              <w:t>on</w:t>
            </w:r>
            <w:r>
              <w:rPr>
                <w:color w:val="231F20"/>
                <w:spacing w:val="-6"/>
              </w:rPr>
              <w:t xml:space="preserve"> </w:t>
            </w:r>
            <w:r>
              <w:rPr>
                <w:color w:val="231F20"/>
              </w:rPr>
              <w:t>Australian</w:t>
            </w:r>
            <w:r>
              <w:rPr>
                <w:color w:val="231F20"/>
                <w:spacing w:val="-6"/>
              </w:rPr>
              <w:t xml:space="preserve"> </w:t>
            </w:r>
            <w:r>
              <w:rPr>
                <w:color w:val="231F20"/>
              </w:rPr>
              <w:t>Government</w:t>
            </w:r>
            <w:r>
              <w:rPr>
                <w:color w:val="231F20"/>
                <w:spacing w:val="-6"/>
              </w:rPr>
              <w:t xml:space="preserve"> </w:t>
            </w:r>
            <w:r>
              <w:rPr>
                <w:color w:val="231F20"/>
              </w:rPr>
              <w:t>administratio</w:t>
            </w:r>
            <w:r>
              <w:rPr>
                <w:color w:val="231F20"/>
                <w:spacing w:val="-8"/>
              </w:rPr>
              <w:t xml:space="preserve">n to </w:t>
            </w:r>
            <w:r>
              <w:rPr>
                <w:color w:val="231F20"/>
              </w:rPr>
              <w:t>Parliament,</w:t>
            </w:r>
            <w:r>
              <w:rPr>
                <w:color w:val="231F20"/>
                <w:spacing w:val="-2"/>
              </w:rPr>
              <w:t xml:space="preserve"> </w:t>
            </w:r>
            <w:r>
              <w:rPr>
                <w:color w:val="231F20"/>
              </w:rPr>
              <w:t>the</w:t>
            </w:r>
            <w:r>
              <w:rPr>
                <w:color w:val="231F20"/>
                <w:spacing w:val="-1"/>
              </w:rPr>
              <w:t xml:space="preserve"> </w:t>
            </w:r>
            <w:r>
              <w:rPr>
                <w:color w:val="231F20"/>
              </w:rPr>
              <w:t>Executive</w:t>
            </w:r>
            <w:r>
              <w:rPr>
                <w:color w:val="231F20"/>
                <w:spacing w:val="-1"/>
              </w:rPr>
              <w:t xml:space="preserve"> </w:t>
            </w:r>
            <w:r>
              <w:rPr>
                <w:color w:val="231F20"/>
              </w:rPr>
              <w:t>and</w:t>
            </w:r>
            <w:r>
              <w:rPr>
                <w:color w:val="231F20"/>
                <w:spacing w:val="-1"/>
              </w:rPr>
              <w:t xml:space="preserve"> </w:t>
            </w:r>
            <w:r>
              <w:rPr>
                <w:color w:val="231F20"/>
              </w:rPr>
              <w:t>the</w:t>
            </w:r>
            <w:r>
              <w:rPr>
                <w:color w:val="231F20"/>
                <w:spacing w:val="-2"/>
              </w:rPr>
              <w:t xml:space="preserve"> </w:t>
            </w:r>
            <w:r>
              <w:rPr>
                <w:color w:val="231F20"/>
              </w:rPr>
              <w:t>public.</w:t>
            </w:r>
          </w:p>
        </w:tc>
      </w:tr>
    </w:tbl>
    <w:p w14:paraId="62765C63" w14:textId="77777777" w:rsidR="000A1300" w:rsidRPr="005E6F2B" w:rsidRDefault="000A1300" w:rsidP="000A1300">
      <w:pPr>
        <w:pStyle w:val="NoSpacing"/>
      </w:pPr>
    </w:p>
    <w:p w14:paraId="71C3211F" w14:textId="77777777" w:rsidR="000A1300" w:rsidRPr="00446612" w:rsidRDefault="000A1300" w:rsidP="000A1300">
      <w:pPr>
        <w:pStyle w:val="Heading5"/>
      </w:pPr>
      <w:r w:rsidRPr="00446612">
        <w:t xml:space="preserve">Budgeted expenses for Outcome </w:t>
      </w:r>
      <w:r>
        <w:t>1</w:t>
      </w:r>
    </w:p>
    <w:p w14:paraId="65DA9653" w14:textId="77777777" w:rsidR="000A1300" w:rsidRPr="000C3156" w:rsidRDefault="000A1300" w:rsidP="000A1300">
      <w:r w:rsidRPr="00950281">
        <w:t xml:space="preserve">This table shows how much the entity intends to spend (on an accrual basis) on achieving the outcome, broken </w:t>
      </w:r>
      <w:r w:rsidR="00407A2C">
        <w:t>down by program, as well as by a</w:t>
      </w:r>
      <w:r w:rsidRPr="00950281">
        <w:t>dministered an</w:t>
      </w:r>
      <w:r w:rsidR="00407A2C">
        <w:t>d d</w:t>
      </w:r>
      <w:r>
        <w:t>epartmental funding sources.</w:t>
      </w:r>
    </w:p>
    <w:p w14:paraId="0DC5D5EE" w14:textId="77777777" w:rsidR="000A1300" w:rsidRDefault="00C26820" w:rsidP="00B871D0">
      <w:pPr>
        <w:pStyle w:val="TableHeading"/>
      </w:pPr>
      <w:r>
        <w:rPr>
          <w:lang w:val="en-AU"/>
        </w:rPr>
        <w:t>Table</w:t>
      </w:r>
      <w:r w:rsidR="000A1300">
        <w:t xml:space="preserve"> 2.</w:t>
      </w:r>
      <w:r w:rsidR="000A1300">
        <w:rPr>
          <w:lang w:val="en-AU"/>
        </w:rPr>
        <w:t>1</w:t>
      </w:r>
      <w:r w:rsidR="000A1300">
        <w:t xml:space="preserve">.1: Budgeted expenses for Outcome </w:t>
      </w:r>
      <w:r w:rsidR="000A1300">
        <w:rPr>
          <w:lang w:val="en-AU"/>
        </w:rPr>
        <w:t>1</w:t>
      </w:r>
      <w:r w:rsidR="009750C8" w:rsidRPr="009750C8">
        <w:rPr>
          <w:b w:val="0"/>
        </w:rPr>
        <w:t xml:space="preserve"> </w:t>
      </w:r>
      <w:r w:rsidR="00F12BE6" w:rsidRPr="00F12BE6">
        <w:rPr>
          <w:noProof/>
          <w:lang w:val="en-AU" w:eastAsia="en-AU"/>
        </w:rPr>
        <w:drawing>
          <wp:inline distT="0" distB="0" distL="0" distR="0" wp14:anchorId="1E3D61FC" wp14:editId="33E4CFD2">
            <wp:extent cx="4895850" cy="4148335"/>
            <wp:effectExtent l="0" t="0" r="0" b="508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95850" cy="4148335"/>
                    </a:xfrm>
                    <a:prstGeom prst="rect">
                      <a:avLst/>
                    </a:prstGeom>
                    <a:noFill/>
                    <a:ln>
                      <a:noFill/>
                    </a:ln>
                  </pic:spPr>
                </pic:pic>
              </a:graphicData>
            </a:graphic>
          </wp:inline>
        </w:drawing>
      </w:r>
      <w:r w:rsidR="000A1300" w:rsidRPr="00221972">
        <w:br w:type="page"/>
      </w:r>
      <w:r w:rsidR="000A1300" w:rsidRPr="00AD42E2">
        <w:t>Table 2.</w:t>
      </w:r>
      <w:r w:rsidR="000A1300">
        <w:t>1</w:t>
      </w:r>
      <w:r w:rsidR="000A1300" w:rsidRPr="00AD42E2">
        <w:t xml:space="preserve">.1: Budgeted expenses for Outcome </w:t>
      </w:r>
      <w:r w:rsidR="000A1300">
        <w:t>1 (continued)</w:t>
      </w:r>
    </w:p>
    <w:p w14:paraId="79ACD4E3" w14:textId="77777777" w:rsidR="000A1300" w:rsidRPr="008556A7" w:rsidRDefault="00F12BE6" w:rsidP="000A1300">
      <w:pPr>
        <w:pStyle w:val="TableGraphic"/>
      </w:pPr>
      <w:r w:rsidRPr="00F12BE6">
        <w:rPr>
          <w:noProof/>
        </w:rPr>
        <w:drawing>
          <wp:inline distT="0" distB="0" distL="0" distR="0" wp14:anchorId="6C058BDF" wp14:editId="2BD3C906">
            <wp:extent cx="4895850" cy="4333981"/>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95850" cy="4333981"/>
                    </a:xfrm>
                    <a:prstGeom prst="rect">
                      <a:avLst/>
                    </a:prstGeom>
                    <a:noFill/>
                    <a:ln>
                      <a:noFill/>
                    </a:ln>
                  </pic:spPr>
                </pic:pic>
              </a:graphicData>
            </a:graphic>
          </wp:inline>
        </w:drawing>
      </w:r>
    </w:p>
    <w:p w14:paraId="767008F7" w14:textId="77777777" w:rsidR="000A1300" w:rsidRPr="00B871D0" w:rsidRDefault="000A1300" w:rsidP="00392A48">
      <w:pPr>
        <w:pStyle w:val="ChartandTableFootnoteAlpha"/>
        <w:numPr>
          <w:ilvl w:val="0"/>
          <w:numId w:val="95"/>
        </w:numPr>
        <w:rPr>
          <w:rFonts w:cs="Arial"/>
          <w:szCs w:val="16"/>
        </w:rPr>
      </w:pPr>
      <w:r w:rsidRPr="00B871D0">
        <w:rPr>
          <w:rFonts w:cs="Arial"/>
          <w:szCs w:val="16"/>
        </w:rPr>
        <w:t>Estimated expenses incurred in relation to receipts retained under section 74 of the</w:t>
      </w:r>
      <w:r w:rsidRPr="00A23EB5">
        <w:rPr>
          <w:rFonts w:cs="Arial"/>
          <w:szCs w:val="16"/>
        </w:rPr>
        <w:t xml:space="preserve"> </w:t>
      </w:r>
      <w:r w:rsidR="00A23EB5" w:rsidRPr="00A23EB5">
        <w:rPr>
          <w:rFonts w:cs="Arial"/>
          <w:szCs w:val="16"/>
        </w:rPr>
        <w:t>PGPA Act</w:t>
      </w:r>
    </w:p>
    <w:p w14:paraId="4314D95A" w14:textId="77777777" w:rsidR="000A1300" w:rsidRDefault="000A1300" w:rsidP="00392A48">
      <w:pPr>
        <w:pStyle w:val="ChartandTableFootnoteAlpha"/>
        <w:numPr>
          <w:ilvl w:val="0"/>
          <w:numId w:val="120"/>
        </w:numPr>
      </w:pPr>
      <w:r w:rsidRPr="00950281">
        <w:t xml:space="preserve">Expenses not requiring appropriation in the Budget year are made up of depreciation expenses, amortisation expenses, </w:t>
      </w:r>
      <w:r>
        <w:t>and principal payments on lease liabilities.</w:t>
      </w:r>
    </w:p>
    <w:p w14:paraId="11E321A6" w14:textId="77777777" w:rsidR="000A1300" w:rsidRPr="00446612" w:rsidRDefault="000A1300" w:rsidP="000A1300">
      <w:pPr>
        <w:pStyle w:val="ChartandTableFootnote"/>
      </w:pPr>
      <w:r w:rsidRPr="00446612">
        <w:t xml:space="preserve">Note: Departmental appropriation splits and totals are indicative estimates and may change in the course of the </w:t>
      </w:r>
      <w:r w:rsidR="004C12AF">
        <w:t>Budget year</w:t>
      </w:r>
      <w:r w:rsidRPr="00446612">
        <w:t xml:space="preserve"> as government priorities change.</w:t>
      </w:r>
    </w:p>
    <w:p w14:paraId="518E8983" w14:textId="77777777" w:rsidR="000A1300" w:rsidRPr="00F71634" w:rsidRDefault="000A1300" w:rsidP="000A1300">
      <w:pPr>
        <w:spacing w:after="0"/>
      </w:pPr>
      <w:r>
        <w:rPr>
          <w:highlight w:val="yellow"/>
        </w:rPr>
        <w:br w:type="page"/>
      </w:r>
    </w:p>
    <w:p w14:paraId="643E46DF" w14:textId="77777777" w:rsidR="000A1300" w:rsidRPr="00947D8E" w:rsidRDefault="000A1300" w:rsidP="000A1300">
      <w:pPr>
        <w:pStyle w:val="TableHeading"/>
        <w:rPr>
          <w:lang w:val="en-AU"/>
        </w:rPr>
      </w:pPr>
      <w:r w:rsidRPr="00F71634">
        <w:t>Table 2.</w:t>
      </w:r>
      <w:r>
        <w:rPr>
          <w:lang w:val="en-AU"/>
        </w:rPr>
        <w:t>1</w:t>
      </w:r>
      <w:r w:rsidRPr="00F71634">
        <w:t xml:space="preserve">.3: Performance </w:t>
      </w:r>
      <w:r>
        <w:rPr>
          <w:lang w:val="en-AU"/>
        </w:rPr>
        <w:t>measures</w:t>
      </w:r>
      <w:r w:rsidRPr="00F71634">
        <w:t xml:space="preserve"> for Outcome </w:t>
      </w:r>
      <w:r>
        <w:rPr>
          <w:lang w:val="en-AU"/>
        </w:rPr>
        <w:t>1</w:t>
      </w:r>
    </w:p>
    <w:p w14:paraId="4431C283" w14:textId="77777777" w:rsidR="000A1300" w:rsidRPr="00F71634" w:rsidRDefault="000A1300" w:rsidP="000A1300">
      <w:r w:rsidRPr="001B2F81">
        <w:t>Table 2.</w:t>
      </w:r>
      <w:r>
        <w:t>1</w:t>
      </w:r>
      <w:r w:rsidRPr="001B2F81">
        <w:t>.</w:t>
      </w:r>
      <w:r>
        <w:t>3</w:t>
      </w:r>
      <w:r w:rsidRPr="001B2F81">
        <w:t xml:space="preserve"> details the performance measures for each </w:t>
      </w:r>
      <w:r w:rsidR="00B871D0">
        <w:t>program associated with Outcome </w:t>
      </w:r>
      <w:r>
        <w:t>1</w:t>
      </w:r>
      <w:r w:rsidRPr="001B2F81">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w:t>
      </w:r>
      <w:r>
        <w:t>2</w:t>
      </w:r>
      <w:r w:rsidRPr="001B2F81">
        <w:t>-</w:t>
      </w:r>
      <w:r>
        <w:t>23</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A1300" w:rsidRPr="001B2F81" w14:paraId="4C075F30" w14:textId="77777777" w:rsidTr="00F404CC">
        <w:trPr>
          <w:trHeight w:val="569"/>
          <w:tblHeader/>
        </w:trPr>
        <w:tc>
          <w:tcPr>
            <w:tcW w:w="7796" w:type="dxa"/>
            <w:gridSpan w:val="3"/>
            <w:shd w:val="clear" w:color="auto" w:fill="F2F2F2"/>
          </w:tcPr>
          <w:p w14:paraId="43FFEBD7" w14:textId="77777777" w:rsidR="000A1300" w:rsidRPr="00F45A9B" w:rsidRDefault="000A1300" w:rsidP="00407A2C">
            <w:pPr>
              <w:pStyle w:val="TableColumnHeadingLeft"/>
            </w:pPr>
            <w:bookmarkStart w:id="349" w:name="_Hlk95210762"/>
            <w:r w:rsidRPr="00407A2C">
              <w:rPr>
                <w:rStyle w:val="TableHeadingChar"/>
                <w:b/>
              </w:rPr>
              <w:t xml:space="preserve">Outcome </w:t>
            </w:r>
            <w:r w:rsidR="00407A2C" w:rsidRPr="00407A2C">
              <w:rPr>
                <w:rStyle w:val="TableHeadingChar"/>
                <w:b/>
                <w:lang w:val="en-AU"/>
              </w:rPr>
              <w:t xml:space="preserve">1 – </w:t>
            </w:r>
            <w:r w:rsidRPr="00407A2C">
              <w:rPr>
                <w:color w:val="231F20"/>
              </w:rPr>
              <w:t>To improve public sector performance and accountability</w:t>
            </w:r>
            <w:r w:rsidRPr="00407A2C">
              <w:rPr>
                <w:color w:val="231F20"/>
                <w:spacing w:val="1"/>
              </w:rPr>
              <w:t xml:space="preserve"> </w:t>
            </w:r>
            <w:r w:rsidRPr="00407A2C">
              <w:rPr>
                <w:color w:val="231F20"/>
              </w:rPr>
              <w:t>through</w:t>
            </w:r>
            <w:r w:rsidRPr="00407A2C">
              <w:rPr>
                <w:color w:val="231F20"/>
                <w:spacing w:val="-6"/>
              </w:rPr>
              <w:t xml:space="preserve"> </w:t>
            </w:r>
            <w:r w:rsidRPr="00407A2C">
              <w:rPr>
                <w:color w:val="231F20"/>
              </w:rPr>
              <w:t>independent</w:t>
            </w:r>
            <w:r w:rsidRPr="00407A2C">
              <w:rPr>
                <w:color w:val="231F20"/>
                <w:spacing w:val="-6"/>
              </w:rPr>
              <w:t xml:space="preserve"> </w:t>
            </w:r>
            <w:r w:rsidRPr="00407A2C">
              <w:rPr>
                <w:color w:val="231F20"/>
              </w:rPr>
              <w:t>reporting</w:t>
            </w:r>
            <w:r w:rsidRPr="00407A2C">
              <w:rPr>
                <w:color w:val="231F20"/>
                <w:spacing w:val="-5"/>
              </w:rPr>
              <w:t xml:space="preserve"> </w:t>
            </w:r>
            <w:r w:rsidRPr="00407A2C">
              <w:rPr>
                <w:color w:val="231F20"/>
              </w:rPr>
              <w:t>on</w:t>
            </w:r>
            <w:r w:rsidRPr="00407A2C">
              <w:rPr>
                <w:color w:val="231F20"/>
                <w:spacing w:val="-6"/>
              </w:rPr>
              <w:t xml:space="preserve"> </w:t>
            </w:r>
            <w:r w:rsidRPr="00407A2C">
              <w:rPr>
                <w:color w:val="231F20"/>
              </w:rPr>
              <w:t>Australian</w:t>
            </w:r>
            <w:r w:rsidRPr="00407A2C">
              <w:rPr>
                <w:color w:val="231F20"/>
                <w:spacing w:val="-6"/>
              </w:rPr>
              <w:t xml:space="preserve"> </w:t>
            </w:r>
            <w:r w:rsidRPr="00407A2C">
              <w:rPr>
                <w:color w:val="231F20"/>
              </w:rPr>
              <w:t>Government</w:t>
            </w:r>
            <w:r w:rsidRPr="00407A2C">
              <w:rPr>
                <w:color w:val="231F20"/>
                <w:spacing w:val="-6"/>
              </w:rPr>
              <w:t xml:space="preserve"> </w:t>
            </w:r>
            <w:r w:rsidRPr="00407A2C">
              <w:rPr>
                <w:color w:val="231F20"/>
              </w:rPr>
              <w:t>administration</w:t>
            </w:r>
            <w:r w:rsidRPr="00407A2C">
              <w:rPr>
                <w:color w:val="231F20"/>
                <w:spacing w:val="-8"/>
              </w:rPr>
              <w:t xml:space="preserve"> </w:t>
            </w:r>
            <w:r w:rsidRPr="00407A2C">
              <w:rPr>
                <w:color w:val="231F20"/>
              </w:rPr>
              <w:t xml:space="preserve">to </w:t>
            </w:r>
            <w:r w:rsidRPr="00407A2C">
              <w:rPr>
                <w:color w:val="231F20"/>
                <w:spacing w:val="-52"/>
              </w:rPr>
              <w:t xml:space="preserve"> </w:t>
            </w:r>
            <w:r w:rsidRPr="00407A2C">
              <w:rPr>
                <w:color w:val="231F20"/>
              </w:rPr>
              <w:t>Parliament,</w:t>
            </w:r>
            <w:r w:rsidRPr="00407A2C">
              <w:rPr>
                <w:color w:val="231F20"/>
                <w:spacing w:val="-2"/>
              </w:rPr>
              <w:t xml:space="preserve"> </w:t>
            </w:r>
            <w:r w:rsidRPr="00407A2C">
              <w:rPr>
                <w:color w:val="231F20"/>
              </w:rPr>
              <w:t>the</w:t>
            </w:r>
            <w:r w:rsidRPr="00407A2C">
              <w:rPr>
                <w:color w:val="231F20"/>
                <w:spacing w:val="-1"/>
              </w:rPr>
              <w:t xml:space="preserve"> </w:t>
            </w:r>
            <w:r w:rsidRPr="00407A2C">
              <w:rPr>
                <w:color w:val="231F20"/>
              </w:rPr>
              <w:t>Executive</w:t>
            </w:r>
            <w:r w:rsidRPr="00407A2C">
              <w:rPr>
                <w:color w:val="231F20"/>
                <w:spacing w:val="-1"/>
              </w:rPr>
              <w:t xml:space="preserve"> </w:t>
            </w:r>
            <w:r w:rsidRPr="00407A2C">
              <w:rPr>
                <w:color w:val="231F20"/>
              </w:rPr>
              <w:t>and</w:t>
            </w:r>
            <w:r w:rsidRPr="00407A2C">
              <w:rPr>
                <w:color w:val="231F20"/>
                <w:spacing w:val="-1"/>
              </w:rPr>
              <w:t xml:space="preserve"> </w:t>
            </w:r>
            <w:r w:rsidRPr="00407A2C">
              <w:rPr>
                <w:color w:val="231F20"/>
              </w:rPr>
              <w:t>the</w:t>
            </w:r>
            <w:r w:rsidRPr="00407A2C">
              <w:rPr>
                <w:color w:val="231F20"/>
                <w:spacing w:val="-2"/>
              </w:rPr>
              <w:t xml:space="preserve"> </w:t>
            </w:r>
            <w:r w:rsidRPr="00407A2C">
              <w:rPr>
                <w:color w:val="231F20"/>
              </w:rPr>
              <w:t>public.</w:t>
            </w:r>
          </w:p>
        </w:tc>
      </w:tr>
      <w:tr w:rsidR="000A1300" w:rsidRPr="001B2F81" w14:paraId="261C352A" w14:textId="77777777" w:rsidTr="00F404CC">
        <w:trPr>
          <w:trHeight w:val="522"/>
          <w:tblHeader/>
        </w:trPr>
        <w:tc>
          <w:tcPr>
            <w:tcW w:w="7796" w:type="dxa"/>
            <w:gridSpan w:val="3"/>
            <w:shd w:val="clear" w:color="auto" w:fill="F2F2F2"/>
          </w:tcPr>
          <w:p w14:paraId="51DB843C" w14:textId="77777777" w:rsidR="000A1300" w:rsidRPr="00C41058" w:rsidRDefault="000A1300" w:rsidP="00F404CC">
            <w:pPr>
              <w:pStyle w:val="TableTextLeft"/>
              <w:rPr>
                <w:rFonts w:eastAsia="Arial"/>
                <w:b/>
              </w:rPr>
            </w:pPr>
            <w:r w:rsidRPr="00C41058">
              <w:rPr>
                <w:b/>
              </w:rPr>
              <w:t xml:space="preserve">Program </w:t>
            </w:r>
            <w:r>
              <w:rPr>
                <w:b/>
              </w:rPr>
              <w:t>1.1 – Financial Statements Audit Services</w:t>
            </w:r>
          </w:p>
          <w:p w14:paraId="6D6CDCCB" w14:textId="77777777" w:rsidR="000A1300" w:rsidRDefault="000A1300" w:rsidP="00F404CC">
            <w:pPr>
              <w:pStyle w:val="TableParagraph"/>
              <w:spacing w:before="60"/>
              <w:ind w:left="107"/>
              <w:rPr>
                <w:sz w:val="16"/>
              </w:rPr>
            </w:pPr>
            <w:r>
              <w:rPr>
                <w:color w:val="231F20"/>
                <w:sz w:val="16"/>
              </w:rPr>
              <w:t>This</w:t>
            </w:r>
            <w:r>
              <w:rPr>
                <w:color w:val="231F20"/>
                <w:spacing w:val="-1"/>
                <w:sz w:val="16"/>
              </w:rPr>
              <w:t xml:space="preserve"> </w:t>
            </w:r>
            <w:r>
              <w:rPr>
                <w:color w:val="231F20"/>
                <w:sz w:val="16"/>
              </w:rPr>
              <w:t>program</w:t>
            </w:r>
            <w:r>
              <w:rPr>
                <w:color w:val="231F20"/>
                <w:spacing w:val="-2"/>
                <w:sz w:val="16"/>
              </w:rPr>
              <w:t xml:space="preserve"> </w:t>
            </w:r>
            <w:r>
              <w:rPr>
                <w:color w:val="231F20"/>
                <w:sz w:val="16"/>
              </w:rPr>
              <w:t>contributes</w:t>
            </w:r>
            <w:r>
              <w:rPr>
                <w:color w:val="231F20"/>
                <w:spacing w:val="-1"/>
                <w:sz w:val="16"/>
              </w:rPr>
              <w:t xml:space="preserve"> </w:t>
            </w:r>
            <w:r>
              <w:rPr>
                <w:color w:val="231F20"/>
                <w:sz w:val="16"/>
              </w:rPr>
              <w:t>to</w:t>
            </w:r>
            <w:r>
              <w:rPr>
                <w:color w:val="231F20"/>
                <w:spacing w:val="-1"/>
                <w:sz w:val="16"/>
              </w:rPr>
              <w:t xml:space="preserve"> </w:t>
            </w:r>
            <w:r>
              <w:rPr>
                <w:color w:val="231F20"/>
                <w:sz w:val="16"/>
              </w:rPr>
              <w:t>the</w:t>
            </w:r>
            <w:r>
              <w:rPr>
                <w:color w:val="231F20"/>
                <w:spacing w:val="-1"/>
                <w:sz w:val="16"/>
              </w:rPr>
              <w:t xml:space="preserve"> </w:t>
            </w:r>
            <w:r>
              <w:rPr>
                <w:color w:val="231F20"/>
                <w:sz w:val="16"/>
              </w:rPr>
              <w:t>outcome</w:t>
            </w:r>
            <w:r>
              <w:rPr>
                <w:color w:val="231F20"/>
                <w:spacing w:val="-1"/>
                <w:sz w:val="16"/>
              </w:rPr>
              <w:t xml:space="preserve"> </w:t>
            </w:r>
            <w:r>
              <w:rPr>
                <w:color w:val="231F20"/>
                <w:sz w:val="16"/>
              </w:rPr>
              <w:t>through:</w:t>
            </w:r>
          </w:p>
          <w:p w14:paraId="045F4046" w14:textId="77777777" w:rsidR="000A1300" w:rsidRPr="00593B12" w:rsidRDefault="000A1300" w:rsidP="008A2254">
            <w:pPr>
              <w:pStyle w:val="TableParagraph"/>
              <w:numPr>
                <w:ilvl w:val="0"/>
                <w:numId w:val="21"/>
              </w:numPr>
              <w:tabs>
                <w:tab w:val="left" w:pos="816"/>
                <w:tab w:val="left" w:pos="817"/>
              </w:tabs>
              <w:spacing w:before="59"/>
              <w:ind w:right="859" w:hanging="360"/>
              <w:rPr>
                <w:sz w:val="16"/>
              </w:rPr>
            </w:pPr>
            <w:r>
              <w:rPr>
                <w:color w:val="231F20"/>
                <w:sz w:val="16"/>
              </w:rPr>
              <w:t>providing assurance on the fair presentation of financial statements of the Australian</w:t>
            </w:r>
            <w:r>
              <w:rPr>
                <w:color w:val="231F20"/>
                <w:spacing w:val="1"/>
                <w:sz w:val="16"/>
              </w:rPr>
              <w:t xml:space="preserve"> </w:t>
            </w:r>
            <w:r>
              <w:rPr>
                <w:color w:val="231F20"/>
                <w:sz w:val="16"/>
              </w:rPr>
              <w:t>Government</w:t>
            </w:r>
            <w:r>
              <w:rPr>
                <w:color w:val="231F20"/>
                <w:spacing w:val="-2"/>
                <w:sz w:val="16"/>
              </w:rPr>
              <w:t xml:space="preserve"> </w:t>
            </w:r>
            <w:r>
              <w:rPr>
                <w:color w:val="231F20"/>
                <w:sz w:val="16"/>
              </w:rPr>
              <w:t>and its</w:t>
            </w:r>
            <w:r>
              <w:rPr>
                <w:color w:val="231F20"/>
                <w:spacing w:val="-1"/>
                <w:sz w:val="16"/>
              </w:rPr>
              <w:t xml:space="preserve"> </w:t>
            </w:r>
            <w:r>
              <w:rPr>
                <w:color w:val="231F20"/>
                <w:sz w:val="16"/>
              </w:rPr>
              <w:t>controlled</w:t>
            </w:r>
            <w:r>
              <w:rPr>
                <w:color w:val="231F20"/>
                <w:spacing w:val="-2"/>
                <w:sz w:val="16"/>
              </w:rPr>
              <w:t xml:space="preserve"> </w:t>
            </w:r>
            <w:r>
              <w:rPr>
                <w:color w:val="231F20"/>
                <w:sz w:val="16"/>
              </w:rPr>
              <w:t>entities</w:t>
            </w:r>
            <w:r>
              <w:rPr>
                <w:color w:val="231F20"/>
                <w:spacing w:val="-1"/>
                <w:sz w:val="16"/>
              </w:rPr>
              <w:t xml:space="preserve"> </w:t>
            </w:r>
            <w:r>
              <w:rPr>
                <w:color w:val="231F20"/>
                <w:sz w:val="16"/>
              </w:rPr>
              <w:t>by</w:t>
            </w:r>
            <w:r>
              <w:rPr>
                <w:color w:val="231F20"/>
                <w:spacing w:val="-3"/>
                <w:sz w:val="16"/>
              </w:rPr>
              <w:t xml:space="preserve"> </w:t>
            </w:r>
            <w:r>
              <w:rPr>
                <w:color w:val="231F20"/>
                <w:sz w:val="16"/>
              </w:rPr>
              <w:t>providing</w:t>
            </w:r>
            <w:r>
              <w:rPr>
                <w:color w:val="231F20"/>
                <w:spacing w:val="-2"/>
                <w:sz w:val="16"/>
              </w:rPr>
              <w:t xml:space="preserve"> </w:t>
            </w:r>
            <w:r>
              <w:rPr>
                <w:color w:val="231F20"/>
                <w:sz w:val="16"/>
              </w:rPr>
              <w:t>independent</w:t>
            </w:r>
            <w:r>
              <w:rPr>
                <w:color w:val="231F20"/>
                <w:spacing w:val="-1"/>
                <w:sz w:val="16"/>
              </w:rPr>
              <w:t xml:space="preserve"> </w:t>
            </w:r>
            <w:r>
              <w:rPr>
                <w:color w:val="231F20"/>
                <w:sz w:val="16"/>
              </w:rPr>
              <w:t>audit</w:t>
            </w:r>
            <w:r>
              <w:rPr>
                <w:color w:val="231F20"/>
                <w:spacing w:val="-1"/>
                <w:sz w:val="16"/>
              </w:rPr>
              <w:t xml:space="preserve"> </w:t>
            </w:r>
            <w:r>
              <w:rPr>
                <w:color w:val="231F20"/>
                <w:sz w:val="16"/>
              </w:rPr>
              <w:t>opinions</w:t>
            </w:r>
            <w:r>
              <w:rPr>
                <w:color w:val="231F20"/>
                <w:spacing w:val="-2"/>
                <w:sz w:val="16"/>
              </w:rPr>
              <w:t xml:space="preserve"> </w:t>
            </w:r>
            <w:r>
              <w:rPr>
                <w:color w:val="231F20"/>
                <w:sz w:val="16"/>
              </w:rPr>
              <w:t>for the</w:t>
            </w:r>
            <w:r>
              <w:rPr>
                <w:color w:val="231F20"/>
                <w:spacing w:val="-1"/>
                <w:sz w:val="16"/>
              </w:rPr>
              <w:t xml:space="preserve"> </w:t>
            </w:r>
            <w:r w:rsidRPr="00593B12">
              <w:rPr>
                <w:color w:val="231F20"/>
                <w:sz w:val="16"/>
              </w:rPr>
              <w:t>Parliament,</w:t>
            </w:r>
            <w:r w:rsidRPr="00593B12">
              <w:rPr>
                <w:color w:val="231F20"/>
                <w:spacing w:val="-1"/>
                <w:sz w:val="16"/>
              </w:rPr>
              <w:t xml:space="preserve"> </w:t>
            </w:r>
            <w:r w:rsidRPr="00593B12">
              <w:rPr>
                <w:color w:val="231F20"/>
                <w:sz w:val="16"/>
              </w:rPr>
              <w:t>the Executive and the</w:t>
            </w:r>
            <w:r w:rsidRPr="00593B12">
              <w:rPr>
                <w:color w:val="231F20"/>
                <w:spacing w:val="1"/>
                <w:sz w:val="16"/>
              </w:rPr>
              <w:t xml:space="preserve"> </w:t>
            </w:r>
            <w:r w:rsidR="00B871D0">
              <w:rPr>
                <w:color w:val="231F20"/>
                <w:sz w:val="16"/>
              </w:rPr>
              <w:t>public</w:t>
            </w:r>
          </w:p>
          <w:p w14:paraId="55317FE4" w14:textId="77777777" w:rsidR="000A1300" w:rsidRPr="00593B12" w:rsidRDefault="000A1300" w:rsidP="008A2254">
            <w:pPr>
              <w:pStyle w:val="TableParagraph"/>
              <w:numPr>
                <w:ilvl w:val="0"/>
                <w:numId w:val="21"/>
              </w:numPr>
              <w:tabs>
                <w:tab w:val="left" w:pos="816"/>
                <w:tab w:val="left" w:pos="817"/>
              </w:tabs>
              <w:ind w:right="389" w:hanging="360"/>
              <w:rPr>
                <w:sz w:val="16"/>
                <w:szCs w:val="16"/>
              </w:rPr>
            </w:pPr>
            <w:r>
              <w:rPr>
                <w:color w:val="231F20"/>
                <w:sz w:val="16"/>
              </w:rPr>
              <w:t>presenting</w:t>
            </w:r>
            <w:r>
              <w:rPr>
                <w:color w:val="231F20"/>
                <w:spacing w:val="-3"/>
                <w:sz w:val="16"/>
              </w:rPr>
              <w:t xml:space="preserve"> </w:t>
            </w:r>
            <w:r>
              <w:rPr>
                <w:color w:val="231F20"/>
                <w:sz w:val="16"/>
              </w:rPr>
              <w:t>two reports</w:t>
            </w:r>
            <w:r>
              <w:rPr>
                <w:color w:val="231F20"/>
                <w:spacing w:val="-2"/>
                <w:sz w:val="16"/>
              </w:rPr>
              <w:t xml:space="preserve"> </w:t>
            </w:r>
            <w:r>
              <w:rPr>
                <w:color w:val="231F20"/>
                <w:sz w:val="16"/>
              </w:rPr>
              <w:t>annually</w:t>
            </w:r>
            <w:r>
              <w:rPr>
                <w:color w:val="231F20"/>
                <w:spacing w:val="-4"/>
                <w:sz w:val="16"/>
              </w:rPr>
              <w:t xml:space="preserve"> </w:t>
            </w:r>
            <w:r>
              <w:rPr>
                <w:color w:val="231F20"/>
                <w:sz w:val="16"/>
              </w:rPr>
              <w:t>addressing</w:t>
            </w:r>
            <w:r>
              <w:rPr>
                <w:color w:val="231F20"/>
                <w:spacing w:val="-1"/>
                <w:sz w:val="16"/>
              </w:rPr>
              <w:t xml:space="preserve"> </w:t>
            </w:r>
            <w:r>
              <w:rPr>
                <w:color w:val="231F20"/>
                <w:sz w:val="16"/>
              </w:rPr>
              <w:t>the</w:t>
            </w:r>
            <w:r>
              <w:rPr>
                <w:color w:val="231F20"/>
                <w:spacing w:val="-1"/>
                <w:sz w:val="16"/>
              </w:rPr>
              <w:t xml:space="preserve"> </w:t>
            </w:r>
            <w:r>
              <w:rPr>
                <w:color w:val="231F20"/>
                <w:sz w:val="16"/>
              </w:rPr>
              <w:t>outcomes</w:t>
            </w:r>
            <w:r>
              <w:rPr>
                <w:color w:val="231F20"/>
                <w:spacing w:val="-3"/>
                <w:sz w:val="16"/>
              </w:rPr>
              <w:t xml:space="preserve"> </w:t>
            </w:r>
            <w:r>
              <w:rPr>
                <w:color w:val="231F20"/>
                <w:sz w:val="16"/>
              </w:rPr>
              <w:t>of</w:t>
            </w:r>
            <w:r>
              <w:rPr>
                <w:color w:val="231F20"/>
                <w:spacing w:val="-2"/>
                <w:sz w:val="16"/>
              </w:rPr>
              <w:t xml:space="preserve"> </w:t>
            </w:r>
            <w:r>
              <w:rPr>
                <w:color w:val="231F20"/>
                <w:sz w:val="16"/>
              </w:rPr>
              <w:t>the financial</w:t>
            </w:r>
            <w:r>
              <w:rPr>
                <w:color w:val="231F20"/>
                <w:spacing w:val="-1"/>
                <w:sz w:val="16"/>
              </w:rPr>
              <w:t xml:space="preserve"> </w:t>
            </w:r>
            <w:r>
              <w:rPr>
                <w:color w:val="231F20"/>
                <w:sz w:val="16"/>
              </w:rPr>
              <w:t>statements</w:t>
            </w:r>
            <w:r>
              <w:rPr>
                <w:color w:val="231F20"/>
                <w:spacing w:val="-2"/>
                <w:sz w:val="16"/>
              </w:rPr>
              <w:t xml:space="preserve"> </w:t>
            </w:r>
            <w:r>
              <w:rPr>
                <w:color w:val="231F20"/>
                <w:sz w:val="16"/>
              </w:rPr>
              <w:t>audits</w:t>
            </w:r>
            <w:r>
              <w:rPr>
                <w:color w:val="231F20"/>
                <w:spacing w:val="-1"/>
                <w:sz w:val="16"/>
              </w:rPr>
              <w:t xml:space="preserve"> </w:t>
            </w:r>
            <w:r>
              <w:rPr>
                <w:color w:val="231F20"/>
                <w:sz w:val="16"/>
              </w:rPr>
              <w:t>of</w:t>
            </w:r>
            <w:r>
              <w:rPr>
                <w:color w:val="231F20"/>
                <w:spacing w:val="-41"/>
                <w:sz w:val="16"/>
              </w:rPr>
              <w:t xml:space="preserve"> </w:t>
            </w:r>
            <w:r>
              <w:rPr>
                <w:sz w:val="16"/>
                <w:szCs w:val="16"/>
              </w:rPr>
              <w:t xml:space="preserve"> </w:t>
            </w:r>
            <w:r w:rsidRPr="00593B12">
              <w:rPr>
                <w:color w:val="231F20"/>
                <w:sz w:val="16"/>
              </w:rPr>
              <w:t>Australian Government entities and the consolidated financial statements of the Australian</w:t>
            </w:r>
            <w:r w:rsidRPr="00593B12">
              <w:rPr>
                <w:color w:val="231F20"/>
                <w:spacing w:val="1"/>
                <w:sz w:val="16"/>
              </w:rPr>
              <w:t xml:space="preserve"> </w:t>
            </w:r>
            <w:r w:rsidRPr="00593B12">
              <w:rPr>
                <w:color w:val="231F20"/>
                <w:sz w:val="16"/>
              </w:rPr>
              <w:t>Government, to provide the Parliament with an independent examination of the financial</w:t>
            </w:r>
            <w:r w:rsidRPr="00593B12">
              <w:rPr>
                <w:color w:val="231F20"/>
                <w:spacing w:val="1"/>
                <w:sz w:val="16"/>
              </w:rPr>
              <w:t xml:space="preserve"> </w:t>
            </w:r>
            <w:r w:rsidRPr="00593B12">
              <w:rPr>
                <w:color w:val="231F20"/>
                <w:sz w:val="16"/>
              </w:rPr>
              <w:t>accounting</w:t>
            </w:r>
            <w:r w:rsidRPr="00593B12">
              <w:rPr>
                <w:color w:val="231F20"/>
                <w:spacing w:val="-2"/>
                <w:sz w:val="16"/>
              </w:rPr>
              <w:t xml:space="preserve"> </w:t>
            </w:r>
            <w:r w:rsidRPr="00593B12">
              <w:rPr>
                <w:color w:val="231F20"/>
                <w:sz w:val="16"/>
              </w:rPr>
              <w:t>and</w:t>
            </w:r>
            <w:r w:rsidRPr="00593B12">
              <w:rPr>
                <w:color w:val="231F20"/>
                <w:spacing w:val="-1"/>
                <w:sz w:val="16"/>
              </w:rPr>
              <w:t xml:space="preserve"> </w:t>
            </w:r>
            <w:r w:rsidRPr="00593B12">
              <w:rPr>
                <w:color w:val="231F20"/>
                <w:sz w:val="16"/>
              </w:rPr>
              <w:t>reporting</w:t>
            </w:r>
            <w:r w:rsidRPr="00593B12">
              <w:rPr>
                <w:color w:val="231F20"/>
                <w:spacing w:val="-1"/>
                <w:sz w:val="16"/>
              </w:rPr>
              <w:t xml:space="preserve"> </w:t>
            </w:r>
            <w:r w:rsidRPr="00593B12">
              <w:rPr>
                <w:color w:val="231F20"/>
                <w:sz w:val="16"/>
              </w:rPr>
              <w:t>of</w:t>
            </w:r>
            <w:r w:rsidRPr="00593B12">
              <w:rPr>
                <w:color w:val="231F20"/>
                <w:spacing w:val="-1"/>
                <w:sz w:val="16"/>
              </w:rPr>
              <w:t xml:space="preserve"> </w:t>
            </w:r>
            <w:r w:rsidR="00B871D0">
              <w:rPr>
                <w:color w:val="231F20"/>
                <w:sz w:val="16"/>
              </w:rPr>
              <w:t>public sector entities</w:t>
            </w:r>
            <w:r w:rsidR="00407A2C">
              <w:rPr>
                <w:color w:val="231F20"/>
                <w:sz w:val="16"/>
              </w:rPr>
              <w:t>,</w:t>
            </w:r>
            <w:r w:rsidRPr="00593B12">
              <w:rPr>
                <w:color w:val="231F20"/>
                <w:sz w:val="16"/>
              </w:rPr>
              <w:t xml:space="preserve"> and</w:t>
            </w:r>
          </w:p>
          <w:p w14:paraId="67042C16" w14:textId="77777777" w:rsidR="000A1300" w:rsidRPr="001B2F81" w:rsidRDefault="000A1300" w:rsidP="008A2254">
            <w:pPr>
              <w:pStyle w:val="TableParagraph"/>
              <w:numPr>
                <w:ilvl w:val="0"/>
                <w:numId w:val="21"/>
              </w:numPr>
              <w:tabs>
                <w:tab w:val="left" w:pos="816"/>
                <w:tab w:val="left" w:pos="817"/>
              </w:tabs>
              <w:ind w:right="389" w:hanging="360"/>
            </w:pPr>
            <w:r>
              <w:rPr>
                <w:color w:val="231F20"/>
                <w:sz w:val="16"/>
              </w:rPr>
              <w:t>contributing</w:t>
            </w:r>
            <w:r w:rsidRPr="00AE4F35">
              <w:rPr>
                <w:color w:val="231F20"/>
                <w:sz w:val="16"/>
              </w:rPr>
              <w:t xml:space="preserve"> </w:t>
            </w:r>
            <w:r>
              <w:rPr>
                <w:color w:val="231F20"/>
                <w:sz w:val="16"/>
              </w:rPr>
              <w:t>to</w:t>
            </w:r>
            <w:r w:rsidRPr="00AE4F35">
              <w:rPr>
                <w:color w:val="231F20"/>
                <w:sz w:val="16"/>
              </w:rPr>
              <w:t xml:space="preserve"> </w:t>
            </w:r>
            <w:r>
              <w:rPr>
                <w:color w:val="231F20"/>
                <w:sz w:val="16"/>
              </w:rPr>
              <w:t>improvements</w:t>
            </w:r>
            <w:r w:rsidRPr="00AE4F35">
              <w:rPr>
                <w:color w:val="231F20"/>
                <w:sz w:val="16"/>
              </w:rPr>
              <w:t xml:space="preserve"> </w:t>
            </w:r>
            <w:r>
              <w:rPr>
                <w:color w:val="231F20"/>
                <w:sz w:val="16"/>
              </w:rPr>
              <w:t>in</w:t>
            </w:r>
            <w:r w:rsidRPr="00AE4F35">
              <w:rPr>
                <w:color w:val="231F20"/>
                <w:sz w:val="16"/>
              </w:rPr>
              <w:t xml:space="preserve"> </w:t>
            </w:r>
            <w:r>
              <w:rPr>
                <w:color w:val="231F20"/>
                <w:sz w:val="16"/>
              </w:rPr>
              <w:t>the</w:t>
            </w:r>
            <w:r w:rsidRPr="00AE4F35">
              <w:rPr>
                <w:color w:val="231F20"/>
                <w:sz w:val="16"/>
              </w:rPr>
              <w:t xml:space="preserve"> </w:t>
            </w:r>
            <w:r>
              <w:rPr>
                <w:color w:val="231F20"/>
                <w:sz w:val="16"/>
              </w:rPr>
              <w:t>financial</w:t>
            </w:r>
            <w:r w:rsidRPr="00AE4F35">
              <w:rPr>
                <w:color w:val="231F20"/>
                <w:sz w:val="16"/>
              </w:rPr>
              <w:t xml:space="preserve"> </w:t>
            </w:r>
            <w:r>
              <w:rPr>
                <w:color w:val="231F20"/>
                <w:sz w:val="16"/>
              </w:rPr>
              <w:t>administration</w:t>
            </w:r>
            <w:r w:rsidRPr="00AE4F35">
              <w:rPr>
                <w:color w:val="231F20"/>
                <w:sz w:val="16"/>
              </w:rPr>
              <w:t xml:space="preserve"> </w:t>
            </w:r>
            <w:r>
              <w:rPr>
                <w:color w:val="231F20"/>
                <w:sz w:val="16"/>
              </w:rPr>
              <w:t>of</w:t>
            </w:r>
            <w:r w:rsidRPr="00AE4F35">
              <w:rPr>
                <w:color w:val="231F20"/>
                <w:sz w:val="16"/>
              </w:rPr>
              <w:t xml:space="preserve"> </w:t>
            </w:r>
            <w:r>
              <w:rPr>
                <w:color w:val="231F20"/>
                <w:sz w:val="16"/>
              </w:rPr>
              <w:t>Australian</w:t>
            </w:r>
            <w:r w:rsidRPr="00AE4F35">
              <w:rPr>
                <w:color w:val="231F20"/>
                <w:sz w:val="16"/>
              </w:rPr>
              <w:t xml:space="preserve"> </w:t>
            </w:r>
            <w:r>
              <w:rPr>
                <w:color w:val="231F20"/>
                <w:sz w:val="16"/>
              </w:rPr>
              <w:t>Government</w:t>
            </w:r>
            <w:r w:rsidRPr="00AE4F35">
              <w:rPr>
                <w:color w:val="231F20"/>
                <w:sz w:val="16"/>
              </w:rPr>
              <w:t xml:space="preserve"> </w:t>
            </w:r>
            <w:r>
              <w:rPr>
                <w:color w:val="231F20"/>
                <w:sz w:val="16"/>
              </w:rPr>
              <w:t>entities.</w:t>
            </w:r>
          </w:p>
        </w:tc>
      </w:tr>
      <w:tr w:rsidR="000A1300" w:rsidRPr="001B2F81" w14:paraId="1AA20DE6" w14:textId="77777777" w:rsidTr="00F404CC">
        <w:trPr>
          <w:trHeight w:val="694"/>
        </w:trPr>
        <w:tc>
          <w:tcPr>
            <w:tcW w:w="1560" w:type="dxa"/>
            <w:tcBorders>
              <w:bottom w:val="double" w:sz="4" w:space="0" w:color="auto"/>
            </w:tcBorders>
          </w:tcPr>
          <w:p w14:paraId="233058B0" w14:textId="77777777" w:rsidR="000A1300" w:rsidRPr="00160C23" w:rsidRDefault="00407A2C" w:rsidP="00F404CC">
            <w:pPr>
              <w:tabs>
                <w:tab w:val="left" w:pos="709"/>
              </w:tabs>
              <w:spacing w:before="60"/>
              <w:rPr>
                <w:rFonts w:ascii="Arial" w:hAnsi="Arial" w:cs="Arial"/>
                <w:b/>
                <w:sz w:val="16"/>
                <w:szCs w:val="16"/>
              </w:rPr>
            </w:pPr>
            <w:r>
              <w:rPr>
                <w:rFonts w:ascii="Arial" w:hAnsi="Arial" w:cs="Arial"/>
                <w:b/>
                <w:sz w:val="16"/>
                <w:szCs w:val="16"/>
              </w:rPr>
              <w:t>Key a</w:t>
            </w:r>
            <w:r w:rsidR="000A1300" w:rsidRPr="00160C23">
              <w:rPr>
                <w:rFonts w:ascii="Arial" w:hAnsi="Arial" w:cs="Arial"/>
                <w:b/>
                <w:sz w:val="16"/>
                <w:szCs w:val="16"/>
              </w:rPr>
              <w:t>ctivities (a)</w:t>
            </w:r>
          </w:p>
        </w:tc>
        <w:tc>
          <w:tcPr>
            <w:tcW w:w="6236" w:type="dxa"/>
            <w:gridSpan w:val="2"/>
            <w:tcBorders>
              <w:bottom w:val="double" w:sz="4" w:space="0" w:color="auto"/>
            </w:tcBorders>
          </w:tcPr>
          <w:p w14:paraId="10C715E8" w14:textId="77777777" w:rsidR="000A1300" w:rsidRDefault="000A1300" w:rsidP="00F404CC">
            <w:pPr>
              <w:pStyle w:val="TableParagraph"/>
              <w:spacing w:line="181" w:lineRule="exact"/>
              <w:ind w:left="107"/>
              <w:rPr>
                <w:sz w:val="16"/>
              </w:rPr>
            </w:pPr>
            <w:r>
              <w:rPr>
                <w:color w:val="231F20"/>
                <w:sz w:val="16"/>
              </w:rPr>
              <w:t>Providing</w:t>
            </w:r>
            <w:r>
              <w:rPr>
                <w:color w:val="231F20"/>
                <w:spacing w:val="-2"/>
                <w:sz w:val="16"/>
              </w:rPr>
              <w:t xml:space="preserve"> </w:t>
            </w:r>
            <w:r>
              <w:rPr>
                <w:color w:val="231F20"/>
                <w:sz w:val="16"/>
              </w:rPr>
              <w:t>independent</w:t>
            </w:r>
            <w:r>
              <w:rPr>
                <w:color w:val="231F20"/>
                <w:spacing w:val="-1"/>
                <w:sz w:val="16"/>
              </w:rPr>
              <w:t xml:space="preserve"> </w:t>
            </w:r>
            <w:r>
              <w:rPr>
                <w:color w:val="231F20"/>
                <w:sz w:val="16"/>
              </w:rPr>
              <w:t>assurance to</w:t>
            </w:r>
            <w:r>
              <w:rPr>
                <w:color w:val="231F20"/>
                <w:spacing w:val="-1"/>
                <w:sz w:val="16"/>
              </w:rPr>
              <w:t xml:space="preserve"> </w:t>
            </w:r>
            <w:r>
              <w:rPr>
                <w:color w:val="231F20"/>
                <w:sz w:val="16"/>
              </w:rPr>
              <w:t>the</w:t>
            </w:r>
            <w:r>
              <w:rPr>
                <w:color w:val="231F20"/>
                <w:spacing w:val="-2"/>
                <w:sz w:val="16"/>
              </w:rPr>
              <w:t xml:space="preserve"> </w:t>
            </w:r>
            <w:r>
              <w:rPr>
                <w:color w:val="231F20"/>
                <w:sz w:val="16"/>
              </w:rPr>
              <w:t>Parliament by:</w:t>
            </w:r>
          </w:p>
          <w:p w14:paraId="40A02113" w14:textId="77777777" w:rsidR="000A1300" w:rsidRDefault="000A1300" w:rsidP="008A2254">
            <w:pPr>
              <w:pStyle w:val="TableParagraph"/>
              <w:numPr>
                <w:ilvl w:val="0"/>
                <w:numId w:val="22"/>
              </w:numPr>
              <w:tabs>
                <w:tab w:val="left" w:pos="467"/>
                <w:tab w:val="left" w:pos="468"/>
              </w:tabs>
              <w:ind w:right="101"/>
              <w:rPr>
                <w:sz w:val="16"/>
              </w:rPr>
            </w:pPr>
            <w:r>
              <w:rPr>
                <w:color w:val="231F20"/>
                <w:sz w:val="16"/>
              </w:rPr>
              <w:t>issuing</w:t>
            </w:r>
            <w:r>
              <w:rPr>
                <w:color w:val="231F20"/>
                <w:spacing w:val="11"/>
                <w:sz w:val="16"/>
              </w:rPr>
              <w:t xml:space="preserve"> </w:t>
            </w:r>
            <w:r>
              <w:rPr>
                <w:color w:val="231F20"/>
                <w:sz w:val="16"/>
              </w:rPr>
              <w:t>financial</w:t>
            </w:r>
            <w:r>
              <w:rPr>
                <w:color w:val="231F20"/>
                <w:spacing w:val="10"/>
                <w:sz w:val="16"/>
              </w:rPr>
              <w:t xml:space="preserve"> </w:t>
            </w:r>
            <w:r>
              <w:rPr>
                <w:color w:val="231F20"/>
                <w:sz w:val="16"/>
              </w:rPr>
              <w:t>statements</w:t>
            </w:r>
            <w:r>
              <w:rPr>
                <w:color w:val="231F20"/>
                <w:spacing w:val="11"/>
                <w:sz w:val="16"/>
              </w:rPr>
              <w:t xml:space="preserve"> </w:t>
            </w:r>
            <w:r>
              <w:rPr>
                <w:color w:val="231F20"/>
                <w:sz w:val="16"/>
              </w:rPr>
              <w:t>audit</w:t>
            </w:r>
            <w:r>
              <w:rPr>
                <w:color w:val="231F20"/>
                <w:spacing w:val="12"/>
                <w:sz w:val="16"/>
              </w:rPr>
              <w:t xml:space="preserve"> </w:t>
            </w:r>
            <w:r>
              <w:rPr>
                <w:color w:val="231F20"/>
                <w:sz w:val="16"/>
              </w:rPr>
              <w:t>opinions</w:t>
            </w:r>
            <w:r>
              <w:rPr>
                <w:color w:val="231F20"/>
                <w:spacing w:val="11"/>
                <w:sz w:val="16"/>
              </w:rPr>
              <w:t xml:space="preserve"> </w:t>
            </w:r>
            <w:r>
              <w:rPr>
                <w:color w:val="231F20"/>
                <w:sz w:val="16"/>
              </w:rPr>
              <w:t>to</w:t>
            </w:r>
            <w:r>
              <w:rPr>
                <w:color w:val="231F20"/>
                <w:spacing w:val="11"/>
                <w:sz w:val="16"/>
              </w:rPr>
              <w:t xml:space="preserve"> </w:t>
            </w:r>
            <w:r>
              <w:rPr>
                <w:color w:val="231F20"/>
                <w:sz w:val="16"/>
              </w:rPr>
              <w:t>the</w:t>
            </w:r>
            <w:r>
              <w:rPr>
                <w:color w:val="231F20"/>
                <w:spacing w:val="12"/>
                <w:sz w:val="16"/>
              </w:rPr>
              <w:t xml:space="preserve"> </w:t>
            </w:r>
            <w:r>
              <w:rPr>
                <w:color w:val="231F20"/>
                <w:sz w:val="16"/>
              </w:rPr>
              <w:t>Australian</w:t>
            </w:r>
            <w:r>
              <w:rPr>
                <w:color w:val="231F20"/>
                <w:spacing w:val="11"/>
                <w:sz w:val="16"/>
              </w:rPr>
              <w:t xml:space="preserve"> </w:t>
            </w:r>
            <w:r>
              <w:rPr>
                <w:color w:val="231F20"/>
                <w:sz w:val="16"/>
              </w:rPr>
              <w:t>Government</w:t>
            </w:r>
            <w:r>
              <w:rPr>
                <w:color w:val="231F20"/>
                <w:spacing w:val="11"/>
                <w:sz w:val="16"/>
              </w:rPr>
              <w:t xml:space="preserve"> </w:t>
            </w:r>
            <w:r>
              <w:rPr>
                <w:color w:val="231F20"/>
                <w:sz w:val="16"/>
              </w:rPr>
              <w:t xml:space="preserve">and </w:t>
            </w:r>
            <w:r>
              <w:rPr>
                <w:color w:val="231F20"/>
                <w:spacing w:val="-41"/>
                <w:sz w:val="16"/>
              </w:rPr>
              <w:t xml:space="preserve"> </w:t>
            </w:r>
            <w:r>
              <w:rPr>
                <w:color w:val="231F20"/>
                <w:sz w:val="16"/>
              </w:rPr>
              <w:t>its</w:t>
            </w:r>
            <w:r>
              <w:rPr>
                <w:color w:val="231F20"/>
                <w:spacing w:val="-1"/>
                <w:sz w:val="16"/>
              </w:rPr>
              <w:t xml:space="preserve"> </w:t>
            </w:r>
            <w:r>
              <w:rPr>
                <w:color w:val="231F20"/>
                <w:sz w:val="16"/>
              </w:rPr>
              <w:t>controlled entities</w:t>
            </w:r>
          </w:p>
          <w:p w14:paraId="5A21ADCB" w14:textId="77777777" w:rsidR="000A1300" w:rsidRPr="00593B12" w:rsidRDefault="000A1300" w:rsidP="008A2254">
            <w:pPr>
              <w:pStyle w:val="TableParagraph"/>
              <w:numPr>
                <w:ilvl w:val="0"/>
                <w:numId w:val="22"/>
              </w:numPr>
              <w:tabs>
                <w:tab w:val="left" w:pos="467"/>
                <w:tab w:val="left" w:pos="468"/>
              </w:tabs>
              <w:spacing w:line="194" w:lineRule="exact"/>
              <w:ind w:hanging="361"/>
              <w:rPr>
                <w:sz w:val="16"/>
              </w:rPr>
            </w:pPr>
            <w:r>
              <w:rPr>
                <w:color w:val="231F20"/>
                <w:sz w:val="16"/>
              </w:rPr>
              <w:t>issuing</w:t>
            </w:r>
            <w:r>
              <w:rPr>
                <w:color w:val="231F20"/>
                <w:spacing w:val="-2"/>
                <w:sz w:val="16"/>
              </w:rPr>
              <w:t xml:space="preserve"> </w:t>
            </w:r>
            <w:r>
              <w:rPr>
                <w:color w:val="231F20"/>
                <w:sz w:val="16"/>
              </w:rPr>
              <w:t>other</w:t>
            </w:r>
            <w:r>
              <w:rPr>
                <w:color w:val="231F20"/>
                <w:spacing w:val="-2"/>
                <w:sz w:val="16"/>
              </w:rPr>
              <w:t xml:space="preserve"> </w:t>
            </w:r>
            <w:r>
              <w:rPr>
                <w:color w:val="231F20"/>
                <w:sz w:val="16"/>
              </w:rPr>
              <w:t>assurance</w:t>
            </w:r>
            <w:r>
              <w:rPr>
                <w:color w:val="231F20"/>
                <w:spacing w:val="-2"/>
                <w:sz w:val="16"/>
              </w:rPr>
              <w:t xml:space="preserve"> </w:t>
            </w:r>
            <w:r>
              <w:rPr>
                <w:color w:val="231F20"/>
                <w:sz w:val="16"/>
              </w:rPr>
              <w:t>audit</w:t>
            </w:r>
            <w:r>
              <w:rPr>
                <w:color w:val="231F20"/>
                <w:spacing w:val="-2"/>
                <w:sz w:val="16"/>
              </w:rPr>
              <w:t xml:space="preserve"> </w:t>
            </w:r>
            <w:r>
              <w:rPr>
                <w:color w:val="231F20"/>
                <w:sz w:val="16"/>
              </w:rPr>
              <w:t>reports</w:t>
            </w:r>
            <w:r w:rsidR="00407A2C">
              <w:rPr>
                <w:color w:val="231F20"/>
                <w:sz w:val="16"/>
              </w:rPr>
              <w:t>, and</w:t>
            </w:r>
          </w:p>
          <w:p w14:paraId="5915210E" w14:textId="77777777" w:rsidR="000A1300" w:rsidRPr="00160C23" w:rsidRDefault="000A1300" w:rsidP="008A2254">
            <w:pPr>
              <w:pStyle w:val="TableParagraph"/>
              <w:numPr>
                <w:ilvl w:val="0"/>
                <w:numId w:val="22"/>
              </w:numPr>
              <w:tabs>
                <w:tab w:val="left" w:pos="467"/>
                <w:tab w:val="left" w:pos="468"/>
              </w:tabs>
              <w:spacing w:line="194" w:lineRule="exact"/>
              <w:ind w:hanging="361"/>
              <w:rPr>
                <w:i/>
                <w:sz w:val="16"/>
                <w:szCs w:val="16"/>
              </w:rPr>
            </w:pPr>
            <w:r w:rsidRPr="00593B12">
              <w:rPr>
                <w:color w:val="231F20"/>
                <w:sz w:val="16"/>
              </w:rPr>
              <w:t>preparing</w:t>
            </w:r>
            <w:r w:rsidRPr="00C647EA">
              <w:rPr>
                <w:color w:val="231F20"/>
                <w:sz w:val="16"/>
              </w:rPr>
              <w:t xml:space="preserve"> </w:t>
            </w:r>
            <w:r w:rsidRPr="00593B12">
              <w:rPr>
                <w:color w:val="231F20"/>
                <w:sz w:val="16"/>
              </w:rPr>
              <w:t>and</w:t>
            </w:r>
            <w:r w:rsidRPr="00C647EA">
              <w:rPr>
                <w:color w:val="231F20"/>
                <w:sz w:val="16"/>
              </w:rPr>
              <w:t xml:space="preserve"> </w:t>
            </w:r>
            <w:r w:rsidRPr="00593B12">
              <w:rPr>
                <w:color w:val="231F20"/>
                <w:sz w:val="16"/>
              </w:rPr>
              <w:t>producing</w:t>
            </w:r>
            <w:r w:rsidRPr="00C647EA">
              <w:rPr>
                <w:color w:val="231F20"/>
                <w:sz w:val="16"/>
              </w:rPr>
              <w:t xml:space="preserve"> </w:t>
            </w:r>
            <w:r w:rsidRPr="00593B12">
              <w:rPr>
                <w:color w:val="231F20"/>
                <w:sz w:val="16"/>
              </w:rPr>
              <w:t>financial</w:t>
            </w:r>
            <w:r w:rsidRPr="00C647EA">
              <w:rPr>
                <w:color w:val="231F20"/>
                <w:sz w:val="16"/>
              </w:rPr>
              <w:t xml:space="preserve"> </w:t>
            </w:r>
            <w:r w:rsidRPr="00593B12">
              <w:rPr>
                <w:color w:val="231F20"/>
                <w:sz w:val="16"/>
              </w:rPr>
              <w:t>statement</w:t>
            </w:r>
            <w:r>
              <w:rPr>
                <w:color w:val="231F20"/>
                <w:sz w:val="16"/>
              </w:rPr>
              <w:t>s-</w:t>
            </w:r>
            <w:r w:rsidRPr="00593B12">
              <w:rPr>
                <w:color w:val="231F20"/>
                <w:sz w:val="16"/>
              </w:rPr>
              <w:t>related</w:t>
            </w:r>
            <w:r w:rsidRPr="00C647EA">
              <w:rPr>
                <w:color w:val="231F20"/>
                <w:sz w:val="16"/>
              </w:rPr>
              <w:t xml:space="preserve"> </w:t>
            </w:r>
            <w:r w:rsidRPr="00593B12">
              <w:rPr>
                <w:color w:val="231F20"/>
                <w:sz w:val="16"/>
              </w:rPr>
              <w:t>reports</w:t>
            </w:r>
            <w:r w:rsidRPr="00C647EA">
              <w:rPr>
                <w:color w:val="231F20"/>
                <w:sz w:val="16"/>
              </w:rPr>
              <w:t xml:space="preserve"> </w:t>
            </w:r>
            <w:r w:rsidRPr="00593B12">
              <w:rPr>
                <w:color w:val="231F20"/>
                <w:sz w:val="16"/>
              </w:rPr>
              <w:t>for</w:t>
            </w:r>
            <w:r w:rsidRPr="00C647EA">
              <w:rPr>
                <w:color w:val="231F20"/>
                <w:sz w:val="16"/>
              </w:rPr>
              <w:t xml:space="preserve"> </w:t>
            </w:r>
            <w:r w:rsidRPr="00593B12">
              <w:rPr>
                <w:color w:val="231F20"/>
                <w:sz w:val="16"/>
              </w:rPr>
              <w:t>the</w:t>
            </w:r>
            <w:r w:rsidRPr="00C647EA">
              <w:rPr>
                <w:color w:val="231F20"/>
                <w:sz w:val="16"/>
              </w:rPr>
              <w:t xml:space="preserve"> </w:t>
            </w:r>
            <w:r w:rsidRPr="00593B12">
              <w:rPr>
                <w:color w:val="231F20"/>
                <w:sz w:val="16"/>
              </w:rPr>
              <w:t>Parliament</w:t>
            </w:r>
          </w:p>
        </w:tc>
      </w:tr>
      <w:tr w:rsidR="000A1300" w:rsidRPr="001B2F81" w14:paraId="5157A9FE" w14:textId="77777777" w:rsidTr="00F404CC">
        <w:trPr>
          <w:trHeight w:val="258"/>
        </w:trPr>
        <w:tc>
          <w:tcPr>
            <w:tcW w:w="1560" w:type="dxa"/>
            <w:tcBorders>
              <w:top w:val="double" w:sz="4" w:space="0" w:color="auto"/>
              <w:bottom w:val="single" w:sz="4" w:space="0" w:color="auto"/>
              <w:right w:val="single" w:sz="4" w:space="0" w:color="auto"/>
            </w:tcBorders>
          </w:tcPr>
          <w:p w14:paraId="55FBF50A" w14:textId="77777777" w:rsidR="000A1300" w:rsidRPr="00160C23" w:rsidRDefault="000A1300" w:rsidP="00F404CC">
            <w:pPr>
              <w:pStyle w:val="TableTextBase"/>
              <w:rPr>
                <w:b/>
                <w:sz w:val="16"/>
                <w:szCs w:val="16"/>
              </w:rPr>
            </w:pPr>
            <w:r w:rsidRPr="00160C23">
              <w:rPr>
                <w:b/>
                <w:sz w:val="16"/>
                <w:szCs w:val="16"/>
              </w:rPr>
              <w:t>Year</w:t>
            </w:r>
          </w:p>
          <w:p w14:paraId="3DF45B39" w14:textId="77777777" w:rsidR="000A1300" w:rsidRPr="00160C23" w:rsidRDefault="000A1300" w:rsidP="00F404CC">
            <w:pPr>
              <w:pStyle w:val="TableTextBase"/>
              <w:rPr>
                <w:b/>
                <w:sz w:val="16"/>
                <w:szCs w:val="16"/>
              </w:rPr>
            </w:pPr>
          </w:p>
        </w:tc>
        <w:tc>
          <w:tcPr>
            <w:tcW w:w="3118" w:type="dxa"/>
            <w:tcBorders>
              <w:top w:val="double" w:sz="4" w:space="0" w:color="auto"/>
              <w:left w:val="single" w:sz="4" w:space="0" w:color="auto"/>
              <w:bottom w:val="single" w:sz="4" w:space="0" w:color="auto"/>
              <w:right w:val="single" w:sz="4" w:space="0" w:color="auto"/>
            </w:tcBorders>
          </w:tcPr>
          <w:p w14:paraId="625C6455" w14:textId="77777777" w:rsidR="000A1300" w:rsidRPr="00160C23" w:rsidRDefault="000A1300" w:rsidP="00F404CC">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0D820DCA" w14:textId="77777777" w:rsidR="000A1300" w:rsidRPr="00160C23" w:rsidRDefault="00407A2C" w:rsidP="00407A2C">
            <w:pPr>
              <w:pStyle w:val="TableTextBase"/>
              <w:rPr>
                <w:rFonts w:cs="Arial"/>
                <w:b/>
                <w:sz w:val="16"/>
                <w:szCs w:val="16"/>
              </w:rPr>
            </w:pPr>
            <w:r>
              <w:rPr>
                <w:rFonts w:cs="Arial"/>
                <w:b/>
                <w:sz w:val="16"/>
                <w:szCs w:val="16"/>
              </w:rPr>
              <w:t>Expected p</w:t>
            </w:r>
            <w:r w:rsidR="000A1300" w:rsidRPr="00160C23">
              <w:rPr>
                <w:rFonts w:cs="Arial"/>
                <w:b/>
                <w:sz w:val="16"/>
                <w:szCs w:val="16"/>
              </w:rPr>
              <w:t xml:space="preserve">erformance </w:t>
            </w:r>
            <w:r>
              <w:rPr>
                <w:rFonts w:cs="Arial"/>
                <w:b/>
                <w:sz w:val="16"/>
                <w:szCs w:val="16"/>
              </w:rPr>
              <w:t>r</w:t>
            </w:r>
            <w:r w:rsidR="000A1300" w:rsidRPr="00160C23">
              <w:rPr>
                <w:rFonts w:cs="Arial"/>
                <w:b/>
                <w:sz w:val="16"/>
                <w:szCs w:val="16"/>
              </w:rPr>
              <w:t>esults</w:t>
            </w:r>
          </w:p>
        </w:tc>
      </w:tr>
      <w:tr w:rsidR="000A1300" w:rsidRPr="002B1E57" w14:paraId="520F3D19" w14:textId="77777777" w:rsidTr="00F404CC">
        <w:trPr>
          <w:trHeight w:val="642"/>
        </w:trPr>
        <w:tc>
          <w:tcPr>
            <w:tcW w:w="1560" w:type="dxa"/>
            <w:tcBorders>
              <w:top w:val="single" w:sz="4" w:space="0" w:color="auto"/>
              <w:bottom w:val="dotted" w:sz="4" w:space="0" w:color="auto"/>
              <w:right w:val="single" w:sz="4" w:space="0" w:color="auto"/>
            </w:tcBorders>
          </w:tcPr>
          <w:p w14:paraId="2B21442D" w14:textId="77777777" w:rsidR="000A1300" w:rsidRPr="00160C23" w:rsidRDefault="000A1300" w:rsidP="00F404CC">
            <w:pPr>
              <w:pStyle w:val="TableTextBase"/>
              <w:rPr>
                <w:sz w:val="16"/>
                <w:szCs w:val="16"/>
              </w:rPr>
            </w:pPr>
            <w:r w:rsidRPr="00160C23">
              <w:rPr>
                <w:sz w:val="16"/>
                <w:szCs w:val="16"/>
              </w:rPr>
              <w:t xml:space="preserve">Current year </w:t>
            </w:r>
          </w:p>
          <w:p w14:paraId="36413017" w14:textId="77777777" w:rsidR="000A1300" w:rsidRPr="00160C23" w:rsidRDefault="000A1300" w:rsidP="00F404CC">
            <w:pPr>
              <w:pStyle w:val="TableTextBase"/>
              <w:rPr>
                <w:sz w:val="16"/>
                <w:szCs w:val="16"/>
              </w:rPr>
            </w:pPr>
            <w:r w:rsidRPr="00160C23">
              <w:rPr>
                <w:sz w:val="16"/>
                <w:szCs w:val="16"/>
              </w:rPr>
              <w:t>2021-22</w:t>
            </w:r>
          </w:p>
        </w:tc>
        <w:tc>
          <w:tcPr>
            <w:tcW w:w="3118" w:type="dxa"/>
            <w:tcBorders>
              <w:top w:val="single" w:sz="4" w:space="0" w:color="auto"/>
              <w:left w:val="single" w:sz="4" w:space="0" w:color="auto"/>
              <w:bottom w:val="dotted" w:sz="4" w:space="0" w:color="auto"/>
              <w:right w:val="single" w:sz="4" w:space="0" w:color="auto"/>
            </w:tcBorders>
          </w:tcPr>
          <w:p w14:paraId="7DDEAF9A"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of the mandatory financial statements auditor's reports completed</w:t>
            </w:r>
          </w:p>
          <w:p w14:paraId="6303B190"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Number of financial statements</w:t>
            </w:r>
            <w:r>
              <w:rPr>
                <w:color w:val="231F20"/>
                <w:sz w:val="16"/>
              </w:rPr>
              <w:t>-</w:t>
            </w:r>
            <w:r w:rsidRPr="00EA5D24">
              <w:rPr>
                <w:color w:val="231F20"/>
                <w:sz w:val="16"/>
              </w:rPr>
              <w:t>related audit reports presented to Parliament</w:t>
            </w:r>
          </w:p>
          <w:p w14:paraId="1FBFBCA7"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Number of assurance audit reports by arrangement</w:t>
            </w:r>
          </w:p>
          <w:p w14:paraId="19B51642"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of auditor's reports issued within three months of the financial</w:t>
            </w:r>
            <w:r>
              <w:rPr>
                <w:color w:val="231F20"/>
                <w:sz w:val="16"/>
              </w:rPr>
              <w:t>-</w:t>
            </w:r>
            <w:r w:rsidRPr="00EA5D24">
              <w:rPr>
                <w:color w:val="231F20"/>
                <w:sz w:val="16"/>
              </w:rPr>
              <w:t>year</w:t>
            </w:r>
            <w:r>
              <w:rPr>
                <w:color w:val="231F20"/>
                <w:sz w:val="16"/>
              </w:rPr>
              <w:t>-</w:t>
            </w:r>
            <w:r w:rsidRPr="00EA5D24">
              <w:rPr>
                <w:color w:val="231F20"/>
                <w:sz w:val="16"/>
              </w:rPr>
              <w:t>end reporting date</w:t>
            </w:r>
          </w:p>
          <w:p w14:paraId="53238F4F"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variation to the average cost per financial statement</w:t>
            </w:r>
            <w:r>
              <w:rPr>
                <w:color w:val="231F20"/>
                <w:sz w:val="16"/>
              </w:rPr>
              <w:t>s</w:t>
            </w:r>
            <w:r w:rsidRPr="00EA5D24">
              <w:rPr>
                <w:color w:val="231F20"/>
                <w:sz w:val="16"/>
              </w:rPr>
              <w:t xml:space="preserve"> audit</w:t>
            </w:r>
          </w:p>
          <w:p w14:paraId="163D9F6C"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of moderate or significant findings from assurance audit reports agreed to by audited material entities</w:t>
            </w:r>
          </w:p>
          <w:p w14:paraId="55199DEB" w14:textId="77777777" w:rsidR="000A1300" w:rsidRPr="00407A2C"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of moderate and significant findings that are addressed by material entities within one year of reporting</w:t>
            </w:r>
          </w:p>
        </w:tc>
        <w:tc>
          <w:tcPr>
            <w:tcW w:w="3118" w:type="dxa"/>
            <w:tcBorders>
              <w:top w:val="single" w:sz="4" w:space="0" w:color="auto"/>
              <w:left w:val="single" w:sz="4" w:space="0" w:color="auto"/>
              <w:bottom w:val="dotted" w:sz="4" w:space="0" w:color="auto"/>
            </w:tcBorders>
          </w:tcPr>
          <w:p w14:paraId="52CC163D"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100% of the mandatory financial statements auditor’s reports completed</w:t>
            </w:r>
          </w:p>
          <w:p w14:paraId="7A7E0224"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2 financial statement</w:t>
            </w:r>
            <w:r>
              <w:rPr>
                <w:color w:val="231F20"/>
                <w:sz w:val="16"/>
              </w:rPr>
              <w:t>s-</w:t>
            </w:r>
            <w:r w:rsidRPr="00EA5D24">
              <w:rPr>
                <w:color w:val="231F20"/>
                <w:sz w:val="16"/>
              </w:rPr>
              <w:t>related</w:t>
            </w:r>
            <w:r>
              <w:rPr>
                <w:color w:val="231F20"/>
                <w:sz w:val="16"/>
              </w:rPr>
              <w:t xml:space="preserve"> </w:t>
            </w:r>
            <w:r w:rsidRPr="00EA5D24">
              <w:rPr>
                <w:color w:val="231F20"/>
                <w:sz w:val="16"/>
              </w:rPr>
              <w:t xml:space="preserve"> audit reports presented to Parliament</w:t>
            </w:r>
          </w:p>
          <w:p w14:paraId="4F251311"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4</w:t>
            </w:r>
            <w:r>
              <w:rPr>
                <w:color w:val="231F20"/>
                <w:sz w:val="16"/>
              </w:rPr>
              <w:t>1</w:t>
            </w:r>
            <w:r w:rsidRPr="00EA5D24">
              <w:rPr>
                <w:color w:val="231F20"/>
                <w:sz w:val="16"/>
              </w:rPr>
              <w:t xml:space="preserve"> assurance audit reports by arrangement</w:t>
            </w:r>
          </w:p>
          <w:p w14:paraId="5C5953E8" w14:textId="77777777" w:rsidR="000A1300" w:rsidRDefault="000A1300" w:rsidP="008A2254">
            <w:pPr>
              <w:pStyle w:val="TableParagraph"/>
              <w:numPr>
                <w:ilvl w:val="0"/>
                <w:numId w:val="22"/>
              </w:numPr>
              <w:tabs>
                <w:tab w:val="left" w:pos="467"/>
                <w:tab w:val="left" w:pos="468"/>
              </w:tabs>
              <w:ind w:right="101"/>
              <w:rPr>
                <w:color w:val="231F20"/>
                <w:sz w:val="16"/>
              </w:rPr>
            </w:pPr>
            <w:r>
              <w:rPr>
                <w:color w:val="231F20"/>
                <w:sz w:val="16"/>
              </w:rPr>
              <w:t>90</w:t>
            </w:r>
            <w:r w:rsidRPr="00EA5D24">
              <w:rPr>
                <w:color w:val="231F20"/>
                <w:sz w:val="16"/>
              </w:rPr>
              <w:t>% of auditor’s reports issued within three months of the financial</w:t>
            </w:r>
            <w:r>
              <w:rPr>
                <w:color w:val="231F20"/>
                <w:sz w:val="16"/>
              </w:rPr>
              <w:t>-</w:t>
            </w:r>
            <w:r w:rsidRPr="00EA5D24">
              <w:rPr>
                <w:color w:val="231F20"/>
                <w:sz w:val="16"/>
              </w:rPr>
              <w:t>year</w:t>
            </w:r>
            <w:r>
              <w:rPr>
                <w:color w:val="231F20"/>
                <w:sz w:val="16"/>
              </w:rPr>
              <w:t>-</w:t>
            </w:r>
            <w:r w:rsidRPr="00EA5D24">
              <w:rPr>
                <w:color w:val="231F20"/>
                <w:sz w:val="16"/>
              </w:rPr>
              <w:t>end reporting date</w:t>
            </w:r>
          </w:p>
          <w:p w14:paraId="69F4D83A" w14:textId="77777777" w:rsidR="00CE021D" w:rsidRPr="00EA5D24" w:rsidRDefault="00CE021D" w:rsidP="00CE021D">
            <w:pPr>
              <w:pStyle w:val="TableParagraph"/>
              <w:tabs>
                <w:tab w:val="left" w:pos="467"/>
                <w:tab w:val="left" w:pos="468"/>
              </w:tabs>
              <w:ind w:left="467" w:right="101"/>
              <w:rPr>
                <w:color w:val="231F20"/>
                <w:sz w:val="16"/>
              </w:rPr>
            </w:pPr>
          </w:p>
          <w:p w14:paraId="711806F4"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Pr>
                <w:color w:val="231F20"/>
                <w:sz w:val="16"/>
              </w:rPr>
              <w:t>2.63</w:t>
            </w:r>
            <w:r w:rsidRPr="00EA5D24">
              <w:rPr>
                <w:color w:val="231F20"/>
                <w:sz w:val="16"/>
              </w:rPr>
              <w:t>% reduction</w:t>
            </w:r>
            <w:r>
              <w:rPr>
                <w:color w:val="231F20"/>
                <w:sz w:val="16"/>
              </w:rPr>
              <w:t xml:space="preserve"> to the average cost per financial statements audit</w:t>
            </w:r>
          </w:p>
          <w:p w14:paraId="41CFAF55"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Pr>
                <w:color w:val="231F20"/>
                <w:sz w:val="16"/>
              </w:rPr>
              <w:t>100</w:t>
            </w:r>
            <w:r w:rsidRPr="00EA5D24">
              <w:rPr>
                <w:color w:val="231F20"/>
                <w:sz w:val="16"/>
              </w:rPr>
              <w:t>% of moderate or significant findings from assurance audit reports agreed to by audited entities</w:t>
            </w:r>
          </w:p>
          <w:p w14:paraId="578630E9"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Pr>
                <w:color w:val="231F20"/>
                <w:sz w:val="16"/>
              </w:rPr>
              <w:t>75</w:t>
            </w:r>
            <w:r w:rsidRPr="00EA5D24">
              <w:rPr>
                <w:color w:val="231F20"/>
                <w:sz w:val="16"/>
              </w:rPr>
              <w:t>% of moderate and significant findings</w:t>
            </w:r>
            <w:r>
              <w:rPr>
                <w:color w:val="231F20"/>
                <w:sz w:val="16"/>
              </w:rPr>
              <w:t xml:space="preserve"> are</w:t>
            </w:r>
            <w:r w:rsidRPr="00EA5D24">
              <w:rPr>
                <w:color w:val="231F20"/>
                <w:sz w:val="16"/>
              </w:rPr>
              <w:t xml:space="preserve"> addressed by </w:t>
            </w:r>
            <w:r>
              <w:rPr>
                <w:color w:val="231F20"/>
                <w:sz w:val="16"/>
              </w:rPr>
              <w:t xml:space="preserve">material </w:t>
            </w:r>
            <w:r w:rsidRPr="00EA5D24">
              <w:rPr>
                <w:color w:val="231F20"/>
                <w:sz w:val="16"/>
              </w:rPr>
              <w:t>entities within one year of reporting</w:t>
            </w:r>
          </w:p>
        </w:tc>
      </w:tr>
      <w:tr w:rsidR="000A1300" w:rsidRPr="001B2F81" w14:paraId="2E32AA0B" w14:textId="77777777" w:rsidTr="00F404CC">
        <w:trPr>
          <w:trHeight w:val="100"/>
        </w:trPr>
        <w:tc>
          <w:tcPr>
            <w:tcW w:w="1560" w:type="dxa"/>
            <w:tcBorders>
              <w:top w:val="single" w:sz="4" w:space="0" w:color="auto"/>
              <w:bottom w:val="dotted" w:sz="4" w:space="0" w:color="auto"/>
              <w:right w:val="single" w:sz="4" w:space="0" w:color="auto"/>
            </w:tcBorders>
          </w:tcPr>
          <w:p w14:paraId="2DA7DBD9" w14:textId="77777777" w:rsidR="000A1300" w:rsidRPr="00160C23" w:rsidRDefault="000A1300" w:rsidP="00F404CC">
            <w:pPr>
              <w:pStyle w:val="TableTextBase"/>
              <w:rPr>
                <w:b/>
                <w:sz w:val="16"/>
                <w:szCs w:val="16"/>
              </w:rPr>
            </w:pPr>
            <w:r w:rsidRPr="00160C23">
              <w:rPr>
                <w:b/>
                <w:sz w:val="16"/>
                <w:szCs w:val="16"/>
              </w:rPr>
              <w:t>Year</w:t>
            </w:r>
          </w:p>
          <w:p w14:paraId="1BA9DFA9" w14:textId="77777777" w:rsidR="000A1300" w:rsidRPr="00160C23" w:rsidRDefault="000A1300" w:rsidP="00F404CC">
            <w:pPr>
              <w:pStyle w:val="TableTextBase"/>
              <w:rPr>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5EF62957" w14:textId="77777777" w:rsidR="000A1300" w:rsidRPr="00160C23" w:rsidRDefault="000A1300" w:rsidP="00F404CC">
            <w:pPr>
              <w:pStyle w:val="TableTextBase"/>
              <w:rPr>
                <w:b/>
                <w:sz w:val="16"/>
                <w:szCs w:val="16"/>
              </w:rPr>
            </w:pPr>
            <w:r w:rsidRPr="00160C23">
              <w:rPr>
                <w:b/>
                <w:sz w:val="16"/>
                <w:szCs w:val="16"/>
              </w:rPr>
              <w:t>Performance measures</w:t>
            </w:r>
          </w:p>
        </w:tc>
        <w:tc>
          <w:tcPr>
            <w:tcW w:w="3118" w:type="dxa"/>
            <w:tcBorders>
              <w:top w:val="single" w:sz="4" w:space="0" w:color="auto"/>
              <w:left w:val="single" w:sz="4" w:space="0" w:color="auto"/>
              <w:bottom w:val="dotted" w:sz="4" w:space="0" w:color="auto"/>
            </w:tcBorders>
          </w:tcPr>
          <w:p w14:paraId="249CCB5E" w14:textId="77777777" w:rsidR="000A1300" w:rsidRPr="00160C23" w:rsidRDefault="000A1300" w:rsidP="00F404CC">
            <w:pPr>
              <w:pStyle w:val="TableTextBase"/>
              <w:rPr>
                <w:b/>
                <w:sz w:val="16"/>
                <w:szCs w:val="16"/>
              </w:rPr>
            </w:pPr>
            <w:r w:rsidRPr="00160C23">
              <w:rPr>
                <w:b/>
                <w:sz w:val="16"/>
                <w:szCs w:val="16"/>
              </w:rPr>
              <w:t>Expected Performance Results</w:t>
            </w:r>
          </w:p>
        </w:tc>
      </w:tr>
      <w:tr w:rsidR="000A1300" w:rsidRPr="001B2F81" w14:paraId="170CAA41" w14:textId="77777777" w:rsidTr="00F404CC">
        <w:trPr>
          <w:trHeight w:val="100"/>
        </w:trPr>
        <w:tc>
          <w:tcPr>
            <w:tcW w:w="1560" w:type="dxa"/>
            <w:tcBorders>
              <w:top w:val="single" w:sz="4" w:space="0" w:color="auto"/>
              <w:bottom w:val="dotted" w:sz="4" w:space="0" w:color="auto"/>
              <w:right w:val="single" w:sz="4" w:space="0" w:color="auto"/>
            </w:tcBorders>
          </w:tcPr>
          <w:p w14:paraId="68B23A1E" w14:textId="77777777" w:rsidR="000A1300" w:rsidRPr="001B2F81" w:rsidRDefault="000A1300" w:rsidP="00F404CC">
            <w:pPr>
              <w:pStyle w:val="TableTextBase"/>
            </w:pPr>
            <w:r w:rsidRPr="00407A2C">
              <w:rPr>
                <w:sz w:val="16"/>
              </w:rPr>
              <w:t>Budget Year     2022-23</w:t>
            </w:r>
          </w:p>
        </w:tc>
        <w:tc>
          <w:tcPr>
            <w:tcW w:w="3118" w:type="dxa"/>
            <w:tcBorders>
              <w:top w:val="single" w:sz="4" w:space="0" w:color="auto"/>
              <w:left w:val="single" w:sz="4" w:space="0" w:color="auto"/>
              <w:bottom w:val="dotted" w:sz="4" w:space="0" w:color="auto"/>
              <w:right w:val="single" w:sz="4" w:space="0" w:color="auto"/>
            </w:tcBorders>
          </w:tcPr>
          <w:p w14:paraId="186C6DBD"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Number of mandated financial statements audit reports issued</w:t>
            </w:r>
          </w:p>
          <w:p w14:paraId="12BAA129"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Percentage of mandat</w:t>
            </w:r>
            <w:r>
              <w:rPr>
                <w:i/>
                <w:iCs/>
                <w:color w:val="231F20"/>
                <w:sz w:val="16"/>
              </w:rPr>
              <w:t>ed</w:t>
            </w:r>
            <w:r w:rsidRPr="007C4106">
              <w:rPr>
                <w:i/>
                <w:iCs/>
                <w:color w:val="231F20"/>
                <w:sz w:val="16"/>
              </w:rPr>
              <w:t xml:space="preserve"> financial statements</w:t>
            </w:r>
            <w:r w:rsidRPr="00E86744">
              <w:rPr>
                <w:i/>
                <w:iCs/>
                <w:color w:val="231F20"/>
                <w:sz w:val="16"/>
              </w:rPr>
              <w:t xml:space="preserve"> audit reports </w:t>
            </w:r>
            <w:r>
              <w:rPr>
                <w:i/>
                <w:iCs/>
                <w:color w:val="231F20"/>
                <w:sz w:val="16"/>
              </w:rPr>
              <w:t>issued</w:t>
            </w:r>
            <w:r w:rsidRPr="00E86744">
              <w:rPr>
                <w:i/>
                <w:iCs/>
                <w:color w:val="231F20"/>
                <w:sz w:val="16"/>
              </w:rPr>
              <w:t xml:space="preserve"> in time to meet entity annual </w:t>
            </w:r>
            <w:r w:rsidRPr="007C4106">
              <w:rPr>
                <w:i/>
                <w:iCs/>
                <w:color w:val="231F20"/>
                <w:sz w:val="16"/>
              </w:rPr>
              <w:t>reporting timeframes</w:t>
            </w:r>
          </w:p>
          <w:p w14:paraId="1CC56FE6"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Average cost of a financial statements audit does not increase from the prior year</w:t>
            </w:r>
          </w:p>
          <w:p w14:paraId="5D628167"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Percentage of moderate or significant findings from mandated financial statements audit reports agreed to by audited entities</w:t>
            </w:r>
          </w:p>
          <w:p w14:paraId="270B24C3"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 xml:space="preserve">Percentage of moderate </w:t>
            </w:r>
            <w:r>
              <w:rPr>
                <w:i/>
                <w:iCs/>
                <w:color w:val="231F20"/>
                <w:sz w:val="16"/>
              </w:rPr>
              <w:t>or</w:t>
            </w:r>
            <w:r w:rsidRPr="007C4106">
              <w:rPr>
                <w:i/>
                <w:iCs/>
                <w:color w:val="231F20"/>
                <w:sz w:val="16"/>
              </w:rPr>
              <w:t xml:space="preserve"> significant findings that are addressed by mandated audited entities within 24 months of reporting</w:t>
            </w:r>
          </w:p>
          <w:p w14:paraId="718E063B" w14:textId="77777777" w:rsidR="000A1300" w:rsidRPr="007C4106" w:rsidRDefault="000A1300" w:rsidP="00F404CC">
            <w:pPr>
              <w:pStyle w:val="TableParagraph"/>
              <w:tabs>
                <w:tab w:val="left" w:pos="467"/>
                <w:tab w:val="left" w:pos="468"/>
              </w:tabs>
              <w:ind w:left="467" w:right="101"/>
              <w:rPr>
                <w:i/>
                <w:iCs/>
                <w:color w:val="231F20"/>
                <w:sz w:val="16"/>
              </w:rPr>
            </w:pPr>
          </w:p>
        </w:tc>
        <w:tc>
          <w:tcPr>
            <w:tcW w:w="3118" w:type="dxa"/>
            <w:tcBorders>
              <w:top w:val="single" w:sz="4" w:space="0" w:color="auto"/>
              <w:left w:val="single" w:sz="4" w:space="0" w:color="auto"/>
              <w:bottom w:val="dotted" w:sz="4" w:space="0" w:color="auto"/>
            </w:tcBorders>
          </w:tcPr>
          <w:p w14:paraId="70920AE1"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245 mandated financial statements audit reports issued</w:t>
            </w:r>
          </w:p>
          <w:p w14:paraId="2DB846E9" w14:textId="77777777" w:rsidR="000A1300" w:rsidRPr="0031354F" w:rsidRDefault="000A1300" w:rsidP="008A2254">
            <w:pPr>
              <w:pStyle w:val="TableParagraph"/>
              <w:numPr>
                <w:ilvl w:val="0"/>
                <w:numId w:val="22"/>
              </w:numPr>
              <w:tabs>
                <w:tab w:val="left" w:pos="467"/>
                <w:tab w:val="left" w:pos="468"/>
              </w:tabs>
              <w:ind w:right="101"/>
              <w:rPr>
                <w:i/>
                <w:color w:val="0070C0"/>
              </w:rPr>
            </w:pPr>
            <w:r w:rsidRPr="007C4106">
              <w:rPr>
                <w:i/>
                <w:iCs/>
                <w:color w:val="231F20"/>
                <w:sz w:val="16"/>
              </w:rPr>
              <w:t>85% of mandat</w:t>
            </w:r>
            <w:r>
              <w:rPr>
                <w:i/>
                <w:iCs/>
                <w:color w:val="231F20"/>
                <w:sz w:val="16"/>
              </w:rPr>
              <w:t>ed</w:t>
            </w:r>
            <w:r w:rsidRPr="007C4106">
              <w:rPr>
                <w:i/>
                <w:iCs/>
                <w:color w:val="231F20"/>
                <w:sz w:val="16"/>
              </w:rPr>
              <w:t xml:space="preserve"> financial statements audit reports </w:t>
            </w:r>
            <w:r>
              <w:rPr>
                <w:i/>
                <w:iCs/>
                <w:color w:val="231F20"/>
                <w:sz w:val="16"/>
              </w:rPr>
              <w:t>issued</w:t>
            </w:r>
            <w:r w:rsidRPr="007C4106">
              <w:rPr>
                <w:i/>
                <w:iCs/>
                <w:color w:val="231F20"/>
                <w:sz w:val="16"/>
              </w:rPr>
              <w:t xml:space="preserve"> in time to meet entity annual reporting timeframes</w:t>
            </w:r>
          </w:p>
          <w:p w14:paraId="11852526" w14:textId="77777777" w:rsidR="0031354F" w:rsidRPr="007C4106" w:rsidRDefault="0031354F" w:rsidP="0031354F">
            <w:pPr>
              <w:pStyle w:val="TableParagraph"/>
              <w:tabs>
                <w:tab w:val="left" w:pos="467"/>
                <w:tab w:val="left" w:pos="468"/>
              </w:tabs>
              <w:ind w:left="467" w:right="101"/>
              <w:rPr>
                <w:i/>
                <w:color w:val="0070C0"/>
              </w:rPr>
            </w:pPr>
          </w:p>
          <w:p w14:paraId="3BEEE7BD"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Average cost of a financial statements audit does not increase from the prior year</w:t>
            </w:r>
          </w:p>
          <w:p w14:paraId="573D1BB2" w14:textId="77777777" w:rsidR="000A1300" w:rsidRPr="007C4106" w:rsidRDefault="000A1300" w:rsidP="008A2254">
            <w:pPr>
              <w:pStyle w:val="TableParagraph"/>
              <w:numPr>
                <w:ilvl w:val="0"/>
                <w:numId w:val="22"/>
              </w:numPr>
              <w:tabs>
                <w:tab w:val="left" w:pos="467"/>
                <w:tab w:val="left" w:pos="468"/>
              </w:tabs>
              <w:ind w:right="101"/>
              <w:rPr>
                <w:i/>
                <w:iCs/>
                <w:color w:val="231F20"/>
                <w:sz w:val="16"/>
              </w:rPr>
            </w:pPr>
            <w:r w:rsidRPr="007C4106">
              <w:rPr>
                <w:i/>
                <w:iCs/>
                <w:color w:val="231F20"/>
                <w:sz w:val="16"/>
              </w:rPr>
              <w:t>90% of moderate or significant findings from mandated financial statements audit reports are agreed to by audited entities</w:t>
            </w:r>
            <w:r w:rsidR="0031354F">
              <w:rPr>
                <w:i/>
                <w:iCs/>
                <w:color w:val="231F20"/>
                <w:sz w:val="16"/>
              </w:rPr>
              <w:br/>
            </w:r>
          </w:p>
          <w:p w14:paraId="5E5C53EE" w14:textId="77777777" w:rsidR="000A1300" w:rsidRPr="007C4106" w:rsidRDefault="000A1300" w:rsidP="008A2254">
            <w:pPr>
              <w:pStyle w:val="TableParagraph"/>
              <w:numPr>
                <w:ilvl w:val="0"/>
                <w:numId w:val="22"/>
              </w:numPr>
              <w:tabs>
                <w:tab w:val="left" w:pos="467"/>
                <w:tab w:val="left" w:pos="468"/>
              </w:tabs>
              <w:ind w:right="101"/>
              <w:rPr>
                <w:i/>
                <w:iCs/>
                <w:color w:val="0070C0"/>
              </w:rPr>
            </w:pPr>
            <w:r w:rsidRPr="007C4106">
              <w:rPr>
                <w:i/>
                <w:iCs/>
                <w:color w:val="231F20"/>
                <w:sz w:val="16"/>
              </w:rPr>
              <w:t xml:space="preserve">90% of moderate </w:t>
            </w:r>
            <w:r>
              <w:rPr>
                <w:i/>
                <w:iCs/>
                <w:color w:val="231F20"/>
                <w:sz w:val="16"/>
              </w:rPr>
              <w:t>or</w:t>
            </w:r>
            <w:r w:rsidRPr="007C4106">
              <w:rPr>
                <w:i/>
                <w:iCs/>
                <w:color w:val="231F20"/>
                <w:sz w:val="16"/>
              </w:rPr>
              <w:t xml:space="preserve"> significant findings are addressed by mandated audited entities within 24 months of reporting</w:t>
            </w:r>
          </w:p>
        </w:tc>
      </w:tr>
      <w:tr w:rsidR="000A1300" w:rsidRPr="001B2F81" w14:paraId="07A16E9A" w14:textId="77777777" w:rsidTr="00F404CC">
        <w:trPr>
          <w:trHeight w:val="491"/>
        </w:trPr>
        <w:tc>
          <w:tcPr>
            <w:tcW w:w="1560" w:type="dxa"/>
            <w:tcBorders>
              <w:top w:val="dotted" w:sz="4" w:space="0" w:color="auto"/>
              <w:bottom w:val="dotted" w:sz="4" w:space="0" w:color="auto"/>
              <w:right w:val="single" w:sz="4" w:space="0" w:color="auto"/>
            </w:tcBorders>
          </w:tcPr>
          <w:p w14:paraId="5BEC3C74" w14:textId="77777777" w:rsidR="000A1300" w:rsidRPr="00407A2C" w:rsidRDefault="000A1300" w:rsidP="00F404CC">
            <w:pPr>
              <w:pStyle w:val="TableTextBase"/>
              <w:rPr>
                <w:sz w:val="16"/>
              </w:rPr>
            </w:pPr>
            <w:r w:rsidRPr="00407A2C">
              <w:rPr>
                <w:sz w:val="16"/>
              </w:rPr>
              <w:t xml:space="preserve">Forward Estimates </w:t>
            </w:r>
          </w:p>
          <w:p w14:paraId="10D81ADD" w14:textId="77777777" w:rsidR="000A1300" w:rsidRPr="00407A2C" w:rsidRDefault="000A1300" w:rsidP="00F404CC">
            <w:pPr>
              <w:pStyle w:val="TableTextBase"/>
              <w:rPr>
                <w:b/>
                <w:sz w:val="16"/>
              </w:rPr>
            </w:pPr>
            <w:r w:rsidRPr="00407A2C">
              <w:rPr>
                <w:sz w:val="16"/>
              </w:rPr>
              <w:t>2023-26</w:t>
            </w:r>
          </w:p>
        </w:tc>
        <w:tc>
          <w:tcPr>
            <w:tcW w:w="3118" w:type="dxa"/>
            <w:tcBorders>
              <w:top w:val="dotted" w:sz="4" w:space="0" w:color="auto"/>
              <w:left w:val="single" w:sz="4" w:space="0" w:color="auto"/>
              <w:bottom w:val="dotted" w:sz="4" w:space="0" w:color="auto"/>
              <w:right w:val="single" w:sz="4" w:space="0" w:color="auto"/>
            </w:tcBorders>
          </w:tcPr>
          <w:p w14:paraId="4D8B5944" w14:textId="77777777" w:rsidR="000A1300" w:rsidRPr="00407A2C" w:rsidRDefault="000A1300" w:rsidP="00F404CC">
            <w:pPr>
              <w:pStyle w:val="TableTextBase"/>
              <w:rPr>
                <w:b/>
                <w:sz w:val="16"/>
              </w:rPr>
            </w:pPr>
            <w:r w:rsidRPr="00407A2C">
              <w:rPr>
                <w:i/>
                <w:sz w:val="16"/>
              </w:rPr>
              <w:t>As per 2022-23.</w:t>
            </w:r>
          </w:p>
        </w:tc>
        <w:tc>
          <w:tcPr>
            <w:tcW w:w="3118" w:type="dxa"/>
            <w:tcBorders>
              <w:top w:val="dotted" w:sz="4" w:space="0" w:color="auto"/>
              <w:left w:val="single" w:sz="4" w:space="0" w:color="auto"/>
              <w:bottom w:val="dotted" w:sz="4" w:space="0" w:color="auto"/>
            </w:tcBorders>
          </w:tcPr>
          <w:p w14:paraId="75EC5C64" w14:textId="77777777" w:rsidR="000A1300" w:rsidRPr="00407A2C" w:rsidRDefault="000A1300" w:rsidP="00F404CC">
            <w:pPr>
              <w:pStyle w:val="TableTextBase"/>
              <w:rPr>
                <w:b/>
                <w:sz w:val="16"/>
              </w:rPr>
            </w:pPr>
            <w:r w:rsidRPr="00407A2C">
              <w:rPr>
                <w:i/>
                <w:sz w:val="16"/>
              </w:rPr>
              <w:t>As per 2022-23.</w:t>
            </w:r>
          </w:p>
        </w:tc>
      </w:tr>
    </w:tbl>
    <w:bookmarkEnd w:id="349"/>
    <w:p w14:paraId="571CD09A" w14:textId="77777777" w:rsidR="000A1300" w:rsidRDefault="000A1300" w:rsidP="00392A48">
      <w:pPr>
        <w:pStyle w:val="ChartandTableFootnoteAlpha"/>
        <w:numPr>
          <w:ilvl w:val="0"/>
          <w:numId w:val="96"/>
        </w:numPr>
      </w:pPr>
      <w:r w:rsidRPr="001B2F81">
        <w:t xml:space="preserve">New or modified performance </w:t>
      </w:r>
      <w:r w:rsidRPr="00E12264">
        <w:t>measures</w:t>
      </w:r>
      <w:r w:rsidRPr="001B2F81">
        <w:t xml:space="preserve"> that reflect new or materially changed programs are shown in </w:t>
      </w:r>
      <w:r w:rsidRPr="005B6A94">
        <w:t>italics.</w:t>
      </w:r>
      <w:r w:rsidRPr="001B2F81">
        <w:t xml:space="preserve"> </w:t>
      </w:r>
      <w:r w:rsidRPr="005B6A94">
        <w:t>Where new programs are established in the 2022-23 Budget, all of the performance measures related to that new program need to be shown</w:t>
      </w:r>
      <w:r>
        <w:t>.</w:t>
      </w:r>
    </w:p>
    <w:p w14:paraId="077B88CD" w14:textId="77777777" w:rsidR="000A1300" w:rsidRPr="008B79B5" w:rsidRDefault="000A1300" w:rsidP="000A1300"/>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A1300" w:rsidRPr="001B2F81" w14:paraId="7A0D829D" w14:textId="77777777" w:rsidTr="00F404CC">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cPr>
          <w:p w14:paraId="293BE6AF" w14:textId="77777777" w:rsidR="000A1300" w:rsidRPr="008B79B5" w:rsidRDefault="00E93033" w:rsidP="00F404CC">
            <w:pPr>
              <w:pStyle w:val="TableTextLeft"/>
              <w:rPr>
                <w:b/>
              </w:rPr>
            </w:pPr>
            <w:bookmarkStart w:id="350" w:name="_Hlk95211791"/>
            <w:r>
              <w:rPr>
                <w:rStyle w:val="TableHeadingChar"/>
                <w:color w:val="auto"/>
                <w:sz w:val="20"/>
                <w:lang w:val="en-AU" w:eastAsia="en-AU"/>
              </w:rPr>
              <w:t xml:space="preserve">Outcome 1 </w:t>
            </w:r>
            <w:r w:rsidRPr="00407A2C">
              <w:rPr>
                <w:rStyle w:val="TableHeadingChar"/>
                <w:b w:val="0"/>
                <w:lang w:val="en-AU"/>
              </w:rPr>
              <w:t>–</w:t>
            </w:r>
            <w:r w:rsidR="000A1300" w:rsidRPr="00407A2C">
              <w:rPr>
                <w:rStyle w:val="TableHeadingChar"/>
                <w:color w:val="auto"/>
                <w:sz w:val="20"/>
                <w:lang w:val="en-AU" w:eastAsia="en-AU"/>
              </w:rPr>
              <w:t xml:space="preserve"> </w:t>
            </w:r>
            <w:r w:rsidR="000A1300" w:rsidRPr="00407A2C">
              <w:rPr>
                <w:b/>
                <w:sz w:val="20"/>
              </w:rPr>
              <w:t>To improve public sector performance and accountability through independent reporting on Australian Government administration to Parliament, the Executive and the public.</w:t>
            </w:r>
          </w:p>
        </w:tc>
      </w:tr>
      <w:tr w:rsidR="000A1300" w:rsidRPr="001B2F81" w14:paraId="5DB64157" w14:textId="77777777" w:rsidTr="00F404CC">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cPr>
          <w:p w14:paraId="7358C654" w14:textId="77777777" w:rsidR="000A1300" w:rsidRPr="008B79B5" w:rsidRDefault="000A1300" w:rsidP="00F404CC">
            <w:pPr>
              <w:pStyle w:val="TableTextLeft"/>
              <w:rPr>
                <w:b/>
              </w:rPr>
            </w:pPr>
            <w:r w:rsidRPr="00C41058">
              <w:rPr>
                <w:b/>
              </w:rPr>
              <w:t xml:space="preserve">Program </w:t>
            </w:r>
            <w:r>
              <w:rPr>
                <w:b/>
              </w:rPr>
              <w:t>1.2 – Performance Audit Services</w:t>
            </w:r>
          </w:p>
          <w:p w14:paraId="2FBD8A1D" w14:textId="77777777" w:rsidR="000A1300" w:rsidRPr="008B79B5" w:rsidRDefault="000A1300" w:rsidP="00F404CC">
            <w:pPr>
              <w:pStyle w:val="TableParagraph"/>
              <w:spacing w:before="60"/>
              <w:ind w:left="107"/>
              <w:rPr>
                <w:color w:val="231F20"/>
                <w:sz w:val="16"/>
              </w:rPr>
            </w:pPr>
            <w:r w:rsidRPr="008B79B5">
              <w:rPr>
                <w:color w:val="231F20"/>
                <w:sz w:val="16"/>
              </w:rPr>
              <w:t>This program contributes to the outcome through:</w:t>
            </w:r>
          </w:p>
          <w:p w14:paraId="15684F48" w14:textId="77777777" w:rsidR="000A1300" w:rsidRPr="008B79B5" w:rsidRDefault="000A1300" w:rsidP="008A2254">
            <w:pPr>
              <w:pStyle w:val="TableParagraph"/>
              <w:numPr>
                <w:ilvl w:val="0"/>
                <w:numId w:val="21"/>
              </w:numPr>
              <w:tabs>
                <w:tab w:val="left" w:pos="816"/>
                <w:tab w:val="left" w:pos="817"/>
              </w:tabs>
              <w:spacing w:before="59"/>
              <w:ind w:right="859" w:hanging="360"/>
              <w:rPr>
                <w:rFonts w:eastAsia="Times New Roman" w:cs="Times New Roman"/>
                <w:b/>
                <w:sz w:val="18"/>
                <w:szCs w:val="20"/>
                <w:lang w:val="en-AU" w:eastAsia="en-AU"/>
              </w:rPr>
            </w:pPr>
            <w:r>
              <w:rPr>
                <w:color w:val="231F20"/>
                <w:sz w:val="16"/>
              </w:rPr>
              <w:t>audits of the performance of Australian Government programs and entities, including identifying opportunities for improvements and lessons for the sector</w:t>
            </w:r>
            <w:r w:rsidRPr="008B79B5">
              <w:rPr>
                <w:color w:val="231F20"/>
                <w:sz w:val="16"/>
              </w:rPr>
              <w:t>.</w:t>
            </w:r>
          </w:p>
        </w:tc>
      </w:tr>
      <w:tr w:rsidR="000A1300" w:rsidRPr="001B2F81" w14:paraId="4AFECC51" w14:textId="77777777" w:rsidTr="00F404CC">
        <w:trPr>
          <w:trHeight w:val="694"/>
        </w:trPr>
        <w:tc>
          <w:tcPr>
            <w:tcW w:w="1560" w:type="dxa"/>
            <w:tcBorders>
              <w:bottom w:val="double" w:sz="4" w:space="0" w:color="auto"/>
            </w:tcBorders>
          </w:tcPr>
          <w:p w14:paraId="33F58BAF" w14:textId="77777777" w:rsidR="000A1300" w:rsidRPr="00160C23" w:rsidRDefault="00407A2C" w:rsidP="00F404CC">
            <w:pPr>
              <w:tabs>
                <w:tab w:val="left" w:pos="709"/>
              </w:tabs>
              <w:spacing w:before="60"/>
              <w:rPr>
                <w:rFonts w:ascii="Arial" w:hAnsi="Arial" w:cs="Arial"/>
                <w:b/>
                <w:sz w:val="16"/>
                <w:szCs w:val="16"/>
              </w:rPr>
            </w:pPr>
            <w:r>
              <w:rPr>
                <w:rFonts w:ascii="Arial" w:hAnsi="Arial" w:cs="Arial"/>
                <w:b/>
                <w:sz w:val="16"/>
                <w:szCs w:val="16"/>
              </w:rPr>
              <w:t>Key a</w:t>
            </w:r>
            <w:r w:rsidR="000A1300" w:rsidRPr="00160C23">
              <w:rPr>
                <w:rFonts w:ascii="Arial" w:hAnsi="Arial" w:cs="Arial"/>
                <w:b/>
                <w:sz w:val="16"/>
                <w:szCs w:val="16"/>
              </w:rPr>
              <w:t>ctivities (a)</w:t>
            </w:r>
          </w:p>
        </w:tc>
        <w:tc>
          <w:tcPr>
            <w:tcW w:w="6236" w:type="dxa"/>
            <w:gridSpan w:val="2"/>
            <w:tcBorders>
              <w:bottom w:val="double" w:sz="4" w:space="0" w:color="auto"/>
            </w:tcBorders>
          </w:tcPr>
          <w:p w14:paraId="6DFC93AF" w14:textId="77777777" w:rsidR="000A1300" w:rsidRDefault="000A1300" w:rsidP="00F404CC">
            <w:pPr>
              <w:pStyle w:val="TableParagraph"/>
              <w:spacing w:line="181" w:lineRule="exact"/>
              <w:ind w:left="107"/>
              <w:rPr>
                <w:sz w:val="16"/>
              </w:rPr>
            </w:pPr>
            <w:r>
              <w:rPr>
                <w:color w:val="231F20"/>
                <w:sz w:val="16"/>
              </w:rPr>
              <w:t>Improving public sector performance by:</w:t>
            </w:r>
          </w:p>
          <w:p w14:paraId="0DBA9BFC" w14:textId="77777777" w:rsidR="000A1300" w:rsidRPr="00160C23" w:rsidRDefault="000A1300" w:rsidP="008A2254">
            <w:pPr>
              <w:pStyle w:val="TableParagraph"/>
              <w:numPr>
                <w:ilvl w:val="0"/>
                <w:numId w:val="22"/>
              </w:numPr>
              <w:tabs>
                <w:tab w:val="left" w:pos="467"/>
                <w:tab w:val="left" w:pos="468"/>
              </w:tabs>
              <w:spacing w:line="194" w:lineRule="exact"/>
              <w:ind w:hanging="361"/>
              <w:rPr>
                <w:i/>
                <w:sz w:val="16"/>
                <w:szCs w:val="16"/>
              </w:rPr>
            </w:pPr>
            <w:r>
              <w:rPr>
                <w:color w:val="231F20"/>
                <w:sz w:val="16"/>
              </w:rPr>
              <w:t>providing performance and other audit reports for the information of the Parliament, the Executive and the public.</w:t>
            </w:r>
          </w:p>
        </w:tc>
      </w:tr>
      <w:tr w:rsidR="000A1300" w:rsidRPr="001B2F81" w14:paraId="4447A4C6" w14:textId="77777777" w:rsidTr="00F404CC">
        <w:trPr>
          <w:trHeight w:val="258"/>
        </w:trPr>
        <w:tc>
          <w:tcPr>
            <w:tcW w:w="1560" w:type="dxa"/>
            <w:tcBorders>
              <w:top w:val="double" w:sz="4" w:space="0" w:color="auto"/>
              <w:bottom w:val="single" w:sz="4" w:space="0" w:color="auto"/>
              <w:right w:val="single" w:sz="4" w:space="0" w:color="auto"/>
            </w:tcBorders>
          </w:tcPr>
          <w:p w14:paraId="2BF11AFD" w14:textId="77777777" w:rsidR="000A1300" w:rsidRPr="00160C23" w:rsidRDefault="000A1300" w:rsidP="00F404CC">
            <w:pPr>
              <w:pStyle w:val="TableTextBase"/>
              <w:rPr>
                <w:b/>
                <w:sz w:val="16"/>
                <w:szCs w:val="16"/>
              </w:rPr>
            </w:pPr>
            <w:r w:rsidRPr="00160C23">
              <w:rPr>
                <w:b/>
                <w:sz w:val="16"/>
                <w:szCs w:val="16"/>
              </w:rPr>
              <w:t>Year</w:t>
            </w:r>
          </w:p>
          <w:p w14:paraId="5BA53466" w14:textId="77777777" w:rsidR="000A1300" w:rsidRPr="00160C23" w:rsidRDefault="000A1300" w:rsidP="00F404CC">
            <w:pPr>
              <w:pStyle w:val="TableTextBase"/>
              <w:rPr>
                <w:b/>
                <w:sz w:val="16"/>
                <w:szCs w:val="16"/>
              </w:rPr>
            </w:pPr>
          </w:p>
        </w:tc>
        <w:tc>
          <w:tcPr>
            <w:tcW w:w="3118" w:type="dxa"/>
            <w:tcBorders>
              <w:top w:val="double" w:sz="4" w:space="0" w:color="auto"/>
              <w:left w:val="single" w:sz="4" w:space="0" w:color="auto"/>
              <w:bottom w:val="single" w:sz="4" w:space="0" w:color="auto"/>
              <w:right w:val="single" w:sz="4" w:space="0" w:color="auto"/>
            </w:tcBorders>
          </w:tcPr>
          <w:p w14:paraId="6BD81ABF" w14:textId="77777777" w:rsidR="000A1300" w:rsidRPr="00160C23" w:rsidRDefault="000A1300" w:rsidP="00F404CC">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5C870E97" w14:textId="77777777" w:rsidR="000A1300" w:rsidRPr="00160C23" w:rsidRDefault="00407A2C" w:rsidP="00F404CC">
            <w:pPr>
              <w:pStyle w:val="TableTextBase"/>
              <w:rPr>
                <w:rFonts w:cs="Arial"/>
                <w:b/>
                <w:sz w:val="16"/>
                <w:szCs w:val="16"/>
              </w:rPr>
            </w:pPr>
            <w:r>
              <w:rPr>
                <w:rFonts w:cs="Arial"/>
                <w:b/>
                <w:sz w:val="16"/>
                <w:szCs w:val="16"/>
              </w:rPr>
              <w:t>Expected performance r</w:t>
            </w:r>
            <w:r w:rsidR="000A1300" w:rsidRPr="00160C23">
              <w:rPr>
                <w:rFonts w:cs="Arial"/>
                <w:b/>
                <w:sz w:val="16"/>
                <w:szCs w:val="16"/>
              </w:rPr>
              <w:t>esults</w:t>
            </w:r>
          </w:p>
        </w:tc>
      </w:tr>
      <w:tr w:rsidR="000A1300" w:rsidRPr="002B1E57" w14:paraId="6B85DE29" w14:textId="77777777" w:rsidTr="00F404CC">
        <w:trPr>
          <w:trHeight w:val="642"/>
        </w:trPr>
        <w:tc>
          <w:tcPr>
            <w:tcW w:w="1560" w:type="dxa"/>
            <w:tcBorders>
              <w:top w:val="single" w:sz="4" w:space="0" w:color="auto"/>
              <w:bottom w:val="dotted" w:sz="4" w:space="0" w:color="auto"/>
              <w:right w:val="single" w:sz="4" w:space="0" w:color="auto"/>
            </w:tcBorders>
          </w:tcPr>
          <w:p w14:paraId="0B892BAE" w14:textId="77777777" w:rsidR="000A1300" w:rsidRPr="00407A2C" w:rsidRDefault="000A1300" w:rsidP="00F404CC">
            <w:pPr>
              <w:pStyle w:val="TableTextBase"/>
              <w:rPr>
                <w:sz w:val="16"/>
              </w:rPr>
            </w:pPr>
            <w:r w:rsidRPr="00407A2C">
              <w:rPr>
                <w:sz w:val="16"/>
              </w:rPr>
              <w:t xml:space="preserve">Current year </w:t>
            </w:r>
          </w:p>
          <w:p w14:paraId="285D6D55" w14:textId="77777777" w:rsidR="000A1300" w:rsidRPr="00407A2C" w:rsidRDefault="000A1300" w:rsidP="00F404CC">
            <w:pPr>
              <w:pStyle w:val="TableTextBase"/>
              <w:rPr>
                <w:sz w:val="16"/>
                <w:szCs w:val="16"/>
              </w:rPr>
            </w:pPr>
            <w:r w:rsidRPr="00407A2C">
              <w:rPr>
                <w:sz w:val="16"/>
              </w:rPr>
              <w:t>2021-22</w:t>
            </w:r>
          </w:p>
        </w:tc>
        <w:tc>
          <w:tcPr>
            <w:tcW w:w="3118" w:type="dxa"/>
            <w:tcBorders>
              <w:top w:val="single" w:sz="4" w:space="0" w:color="auto"/>
              <w:left w:val="single" w:sz="4" w:space="0" w:color="auto"/>
              <w:bottom w:val="dotted" w:sz="4" w:space="0" w:color="auto"/>
              <w:right w:val="single" w:sz="4" w:space="0" w:color="auto"/>
            </w:tcBorders>
          </w:tcPr>
          <w:p w14:paraId="2338156C"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Number of performance reports prepared for Parliament</w:t>
            </w:r>
          </w:p>
          <w:p w14:paraId="399A84E9"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Average elapsed time (months) for completion of performance audits</w:t>
            </w:r>
          </w:p>
          <w:p w14:paraId="77E9ACB7"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variation to the average cost per performance audit</w:t>
            </w:r>
          </w:p>
          <w:p w14:paraId="5A93F306"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of recommendations included in performance audit reports agreed by audited entities</w:t>
            </w:r>
          </w:p>
          <w:p w14:paraId="78DF0179"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Percentage of ANAO recommendations implemented within 24 months of a performance audit report</w:t>
            </w:r>
          </w:p>
          <w:p w14:paraId="1E486610" w14:textId="77777777" w:rsidR="000A1300" w:rsidRPr="00EA5D24" w:rsidRDefault="000A1300" w:rsidP="008A2254">
            <w:pPr>
              <w:pStyle w:val="TableParagraph"/>
              <w:numPr>
                <w:ilvl w:val="0"/>
                <w:numId w:val="22"/>
              </w:numPr>
              <w:tabs>
                <w:tab w:val="left" w:pos="467"/>
                <w:tab w:val="left" w:pos="468"/>
              </w:tabs>
              <w:ind w:right="101"/>
              <w:rPr>
                <w:i/>
                <w:iCs/>
                <w:color w:val="231F20"/>
                <w:sz w:val="16"/>
              </w:rPr>
            </w:pPr>
            <w:r w:rsidRPr="00EA5D24">
              <w:rPr>
                <w:i/>
                <w:iCs/>
                <w:color w:val="231F20"/>
                <w:sz w:val="16"/>
              </w:rPr>
              <w:t>Number of performance statement</w:t>
            </w:r>
            <w:r>
              <w:rPr>
                <w:i/>
                <w:iCs/>
                <w:color w:val="231F20"/>
                <w:sz w:val="16"/>
              </w:rPr>
              <w:t>s</w:t>
            </w:r>
            <w:r w:rsidRPr="00EA5D24">
              <w:rPr>
                <w:i/>
                <w:iCs/>
                <w:color w:val="231F20"/>
                <w:sz w:val="16"/>
              </w:rPr>
              <w:t xml:space="preserve"> audit reports completed</w:t>
            </w:r>
          </w:p>
          <w:p w14:paraId="5A8024E4" w14:textId="77777777" w:rsidR="000A1300" w:rsidRPr="00C830A4" w:rsidRDefault="000A1300" w:rsidP="00F404CC">
            <w:pPr>
              <w:pStyle w:val="TableParagraph"/>
              <w:tabs>
                <w:tab w:val="left" w:pos="467"/>
                <w:tab w:val="left" w:pos="468"/>
              </w:tabs>
              <w:ind w:left="467" w:right="101"/>
              <w:rPr>
                <w:i/>
                <w:iCs/>
                <w:color w:val="231F20"/>
                <w:sz w:val="16"/>
              </w:rPr>
            </w:pPr>
          </w:p>
        </w:tc>
        <w:tc>
          <w:tcPr>
            <w:tcW w:w="3118" w:type="dxa"/>
            <w:tcBorders>
              <w:top w:val="single" w:sz="4" w:space="0" w:color="auto"/>
              <w:left w:val="single" w:sz="4" w:space="0" w:color="auto"/>
              <w:bottom w:val="dotted" w:sz="4" w:space="0" w:color="auto"/>
            </w:tcBorders>
          </w:tcPr>
          <w:p w14:paraId="011417B2"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40 performance audit reports prepared for Parliament</w:t>
            </w:r>
          </w:p>
          <w:p w14:paraId="7ADDCB79"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Pr>
                <w:color w:val="231F20"/>
                <w:sz w:val="16"/>
              </w:rPr>
              <w:t>10.5 months a</w:t>
            </w:r>
            <w:r w:rsidRPr="00EA5D24">
              <w:rPr>
                <w:color w:val="231F20"/>
                <w:sz w:val="16"/>
              </w:rPr>
              <w:t>verage elapsed time for completion of performance audits</w:t>
            </w:r>
          </w:p>
          <w:p w14:paraId="29D3C98F" w14:textId="77777777" w:rsidR="000A1300" w:rsidRPr="003131AE" w:rsidRDefault="000A1300" w:rsidP="008A2254">
            <w:pPr>
              <w:pStyle w:val="TableParagraph"/>
              <w:numPr>
                <w:ilvl w:val="0"/>
                <w:numId w:val="22"/>
              </w:numPr>
              <w:tabs>
                <w:tab w:val="left" w:pos="467"/>
                <w:tab w:val="left" w:pos="468"/>
              </w:tabs>
              <w:ind w:right="101"/>
              <w:rPr>
                <w:color w:val="231F20"/>
                <w:sz w:val="16"/>
              </w:rPr>
            </w:pPr>
            <w:r w:rsidRPr="003131AE">
              <w:rPr>
                <w:color w:val="231F20"/>
                <w:sz w:val="16"/>
              </w:rPr>
              <w:t xml:space="preserve">1% increase to the average cost </w:t>
            </w:r>
            <w:r>
              <w:rPr>
                <w:color w:val="231F20"/>
                <w:sz w:val="16"/>
              </w:rPr>
              <w:t>per</w:t>
            </w:r>
            <w:r w:rsidRPr="003131AE">
              <w:rPr>
                <w:color w:val="231F20"/>
                <w:sz w:val="16"/>
              </w:rPr>
              <w:t xml:space="preserve"> performance audit</w:t>
            </w:r>
          </w:p>
          <w:p w14:paraId="3CE847D8"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90% of recommendations included in performance audit reports agreed by audited entities</w:t>
            </w:r>
          </w:p>
          <w:p w14:paraId="3618FB97"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70% of ANAO recommendations implemented within 24 months of a performance audit report</w:t>
            </w:r>
          </w:p>
          <w:p w14:paraId="7778ACB0" w14:textId="77777777" w:rsidR="000A1300" w:rsidRPr="00EA5D24" w:rsidRDefault="000A1300" w:rsidP="008A2254">
            <w:pPr>
              <w:pStyle w:val="TableParagraph"/>
              <w:numPr>
                <w:ilvl w:val="0"/>
                <w:numId w:val="22"/>
              </w:numPr>
              <w:tabs>
                <w:tab w:val="left" w:pos="467"/>
                <w:tab w:val="left" w:pos="468"/>
              </w:tabs>
              <w:ind w:right="101"/>
              <w:rPr>
                <w:i/>
                <w:iCs/>
                <w:color w:val="231F20"/>
                <w:sz w:val="16"/>
              </w:rPr>
            </w:pPr>
            <w:r w:rsidRPr="00EA5D24">
              <w:rPr>
                <w:i/>
                <w:iCs/>
                <w:color w:val="231F20"/>
                <w:sz w:val="16"/>
              </w:rPr>
              <w:t>3 performance statement</w:t>
            </w:r>
            <w:r>
              <w:rPr>
                <w:i/>
                <w:iCs/>
                <w:color w:val="231F20"/>
                <w:sz w:val="16"/>
              </w:rPr>
              <w:t>s</w:t>
            </w:r>
            <w:r w:rsidRPr="00EA5D24">
              <w:rPr>
                <w:i/>
                <w:iCs/>
                <w:color w:val="231F20"/>
                <w:sz w:val="16"/>
              </w:rPr>
              <w:t xml:space="preserve"> audit reports completed</w:t>
            </w:r>
          </w:p>
        </w:tc>
      </w:tr>
      <w:tr w:rsidR="000A1300" w:rsidRPr="001B2F81" w14:paraId="30574C81" w14:textId="77777777" w:rsidTr="00F404CC">
        <w:trPr>
          <w:trHeight w:val="100"/>
        </w:trPr>
        <w:tc>
          <w:tcPr>
            <w:tcW w:w="1560" w:type="dxa"/>
            <w:tcBorders>
              <w:top w:val="single" w:sz="4" w:space="0" w:color="auto"/>
              <w:bottom w:val="dotted" w:sz="4" w:space="0" w:color="auto"/>
              <w:right w:val="single" w:sz="4" w:space="0" w:color="auto"/>
            </w:tcBorders>
          </w:tcPr>
          <w:p w14:paraId="09A8BF69" w14:textId="77777777" w:rsidR="000A1300" w:rsidRPr="00407A2C" w:rsidRDefault="000A1300" w:rsidP="00F404CC">
            <w:pPr>
              <w:pStyle w:val="TableTextBase"/>
              <w:rPr>
                <w:sz w:val="16"/>
              </w:rPr>
            </w:pPr>
            <w:r w:rsidRPr="00407A2C">
              <w:rPr>
                <w:sz w:val="16"/>
              </w:rPr>
              <w:t>Budget Year     2022-23</w:t>
            </w:r>
          </w:p>
        </w:tc>
        <w:tc>
          <w:tcPr>
            <w:tcW w:w="3118" w:type="dxa"/>
            <w:tcBorders>
              <w:top w:val="single" w:sz="4" w:space="0" w:color="auto"/>
              <w:left w:val="single" w:sz="4" w:space="0" w:color="auto"/>
              <w:bottom w:val="dotted" w:sz="4" w:space="0" w:color="auto"/>
              <w:right w:val="single" w:sz="4" w:space="0" w:color="auto"/>
            </w:tcBorders>
          </w:tcPr>
          <w:p w14:paraId="29C3E401" w14:textId="77777777" w:rsidR="000A1300" w:rsidRPr="007C7774" w:rsidRDefault="000A1300" w:rsidP="008A2254">
            <w:pPr>
              <w:pStyle w:val="TableParagraph"/>
              <w:numPr>
                <w:ilvl w:val="0"/>
                <w:numId w:val="22"/>
              </w:numPr>
              <w:tabs>
                <w:tab w:val="left" w:pos="467"/>
                <w:tab w:val="left" w:pos="468"/>
              </w:tabs>
              <w:ind w:right="101"/>
              <w:rPr>
                <w:i/>
                <w:iCs/>
                <w:color w:val="231F20"/>
                <w:sz w:val="16"/>
              </w:rPr>
            </w:pPr>
            <w:r w:rsidRPr="007C7774">
              <w:rPr>
                <w:i/>
                <w:iCs/>
                <w:color w:val="231F20"/>
                <w:sz w:val="16"/>
              </w:rPr>
              <w:t xml:space="preserve">Number of performance audit reports presented to Parliament </w:t>
            </w:r>
          </w:p>
          <w:p w14:paraId="5B0ED16E" w14:textId="77777777" w:rsidR="000A1300" w:rsidRPr="00B4651C" w:rsidRDefault="000A1300" w:rsidP="008A2254">
            <w:pPr>
              <w:pStyle w:val="TableParagraph"/>
              <w:numPr>
                <w:ilvl w:val="0"/>
                <w:numId w:val="22"/>
              </w:numPr>
              <w:tabs>
                <w:tab w:val="left" w:pos="467"/>
                <w:tab w:val="left" w:pos="468"/>
              </w:tabs>
              <w:ind w:right="101"/>
              <w:rPr>
                <w:i/>
                <w:iCs/>
                <w:color w:val="231F20"/>
                <w:sz w:val="16"/>
              </w:rPr>
            </w:pPr>
            <w:r w:rsidRPr="00B4651C">
              <w:rPr>
                <w:i/>
                <w:iCs/>
                <w:color w:val="231F20"/>
                <w:sz w:val="16"/>
              </w:rPr>
              <w:t>Average cost of a performance audit does not increase from the prior year</w:t>
            </w:r>
          </w:p>
          <w:p w14:paraId="62854559" w14:textId="77777777" w:rsidR="000A1300" w:rsidRDefault="000A1300" w:rsidP="008A2254">
            <w:pPr>
              <w:pStyle w:val="TableParagraph"/>
              <w:numPr>
                <w:ilvl w:val="0"/>
                <w:numId w:val="22"/>
              </w:numPr>
              <w:tabs>
                <w:tab w:val="left" w:pos="467"/>
                <w:tab w:val="left" w:pos="468"/>
              </w:tabs>
              <w:ind w:right="101"/>
              <w:rPr>
                <w:color w:val="231F20"/>
                <w:sz w:val="16"/>
              </w:rPr>
            </w:pPr>
            <w:r w:rsidRPr="00AC2696">
              <w:rPr>
                <w:color w:val="231F20"/>
                <w:sz w:val="16"/>
              </w:rPr>
              <w:t xml:space="preserve">Percentage of recommendations included in performance audit reports agreed </w:t>
            </w:r>
            <w:r>
              <w:rPr>
                <w:color w:val="231F20"/>
                <w:sz w:val="16"/>
              </w:rPr>
              <w:t xml:space="preserve">to </w:t>
            </w:r>
            <w:r w:rsidRPr="00AC2696">
              <w:rPr>
                <w:color w:val="231F20"/>
                <w:sz w:val="16"/>
              </w:rPr>
              <w:t>by audited entities</w:t>
            </w:r>
          </w:p>
          <w:p w14:paraId="2DC23FC0" w14:textId="77777777" w:rsidR="000A1300" w:rsidRDefault="000A1300" w:rsidP="008A2254">
            <w:pPr>
              <w:pStyle w:val="TableParagraph"/>
              <w:numPr>
                <w:ilvl w:val="0"/>
                <w:numId w:val="22"/>
              </w:numPr>
              <w:tabs>
                <w:tab w:val="left" w:pos="467"/>
                <w:tab w:val="left" w:pos="468"/>
              </w:tabs>
              <w:ind w:right="101"/>
              <w:rPr>
                <w:color w:val="231F20"/>
                <w:sz w:val="16"/>
              </w:rPr>
            </w:pPr>
            <w:r w:rsidRPr="00AC2696">
              <w:rPr>
                <w:color w:val="231F20"/>
                <w:sz w:val="16"/>
              </w:rPr>
              <w:t>Percentage of ANAO recommendations implemented within 24 months of a performance audit report</w:t>
            </w:r>
            <w:r>
              <w:rPr>
                <w:color w:val="231F20"/>
                <w:sz w:val="16"/>
              </w:rPr>
              <w:t xml:space="preserve"> being presented</w:t>
            </w:r>
          </w:p>
          <w:p w14:paraId="1014691E" w14:textId="77777777" w:rsidR="000A1300" w:rsidRPr="00C830A4" w:rsidRDefault="000A1300" w:rsidP="00F404CC">
            <w:pPr>
              <w:pStyle w:val="TableParagraph"/>
              <w:tabs>
                <w:tab w:val="left" w:pos="467"/>
                <w:tab w:val="left" w:pos="468"/>
              </w:tabs>
              <w:ind w:left="467" w:right="101"/>
              <w:rPr>
                <w:color w:val="231F20"/>
                <w:sz w:val="16"/>
              </w:rPr>
            </w:pPr>
          </w:p>
        </w:tc>
        <w:tc>
          <w:tcPr>
            <w:tcW w:w="3118" w:type="dxa"/>
            <w:tcBorders>
              <w:top w:val="single" w:sz="4" w:space="0" w:color="auto"/>
              <w:left w:val="single" w:sz="4" w:space="0" w:color="auto"/>
              <w:bottom w:val="dotted" w:sz="4" w:space="0" w:color="auto"/>
            </w:tcBorders>
          </w:tcPr>
          <w:p w14:paraId="7A11587F" w14:textId="77777777" w:rsidR="000A1300" w:rsidRPr="00D82739" w:rsidRDefault="000A1300" w:rsidP="008A2254">
            <w:pPr>
              <w:pStyle w:val="TableParagraph"/>
              <w:numPr>
                <w:ilvl w:val="0"/>
                <w:numId w:val="22"/>
              </w:numPr>
              <w:tabs>
                <w:tab w:val="left" w:pos="467"/>
                <w:tab w:val="left" w:pos="468"/>
              </w:tabs>
              <w:ind w:right="101"/>
              <w:rPr>
                <w:i/>
                <w:iCs/>
                <w:color w:val="0070C0"/>
              </w:rPr>
            </w:pPr>
            <w:r w:rsidRPr="007C7774">
              <w:rPr>
                <w:i/>
                <w:iCs/>
                <w:color w:val="231F20"/>
                <w:sz w:val="16"/>
              </w:rPr>
              <w:t>42 performance audit reports presented to Parliament</w:t>
            </w:r>
          </w:p>
          <w:p w14:paraId="067CED9C" w14:textId="77777777" w:rsidR="000A1300" w:rsidRPr="00B4651C" w:rsidRDefault="000A1300" w:rsidP="008A2254">
            <w:pPr>
              <w:pStyle w:val="TableParagraph"/>
              <w:numPr>
                <w:ilvl w:val="0"/>
                <w:numId w:val="22"/>
              </w:numPr>
              <w:tabs>
                <w:tab w:val="left" w:pos="467"/>
                <w:tab w:val="left" w:pos="468"/>
              </w:tabs>
              <w:ind w:right="101"/>
              <w:rPr>
                <w:i/>
                <w:iCs/>
                <w:color w:val="231F20"/>
                <w:sz w:val="16"/>
              </w:rPr>
            </w:pPr>
            <w:r w:rsidRPr="00B4651C">
              <w:rPr>
                <w:i/>
                <w:iCs/>
                <w:color w:val="231F20"/>
                <w:sz w:val="16"/>
              </w:rPr>
              <w:t>Average cost of a performance audit does not increase from the prior year</w:t>
            </w:r>
          </w:p>
          <w:p w14:paraId="01B43BB0" w14:textId="77777777" w:rsidR="000A1300" w:rsidRPr="00927E39" w:rsidRDefault="000A1300" w:rsidP="008A2254">
            <w:pPr>
              <w:pStyle w:val="TableParagraph"/>
              <w:numPr>
                <w:ilvl w:val="0"/>
                <w:numId w:val="22"/>
              </w:numPr>
              <w:tabs>
                <w:tab w:val="left" w:pos="467"/>
                <w:tab w:val="left" w:pos="468"/>
              </w:tabs>
              <w:ind w:right="101"/>
              <w:rPr>
                <w:i/>
                <w:color w:val="0070C0"/>
              </w:rPr>
            </w:pPr>
            <w:r w:rsidRPr="00B4651C">
              <w:rPr>
                <w:color w:val="231F20"/>
                <w:sz w:val="16"/>
              </w:rPr>
              <w:t xml:space="preserve">90% of recommendations included in performance audit reports agreed </w:t>
            </w:r>
            <w:r>
              <w:rPr>
                <w:color w:val="231F20"/>
                <w:sz w:val="16"/>
              </w:rPr>
              <w:t xml:space="preserve">to </w:t>
            </w:r>
            <w:r w:rsidRPr="00B4651C">
              <w:rPr>
                <w:color w:val="231F20"/>
                <w:sz w:val="16"/>
              </w:rPr>
              <w:t>by audited entities</w:t>
            </w:r>
          </w:p>
          <w:p w14:paraId="7A628362" w14:textId="77777777" w:rsidR="000A1300" w:rsidRPr="00160C23" w:rsidRDefault="000A1300" w:rsidP="008A2254">
            <w:pPr>
              <w:pStyle w:val="TableParagraph"/>
              <w:numPr>
                <w:ilvl w:val="0"/>
                <w:numId w:val="22"/>
              </w:numPr>
              <w:tabs>
                <w:tab w:val="left" w:pos="467"/>
                <w:tab w:val="left" w:pos="468"/>
              </w:tabs>
              <w:ind w:right="101"/>
              <w:rPr>
                <w:i/>
                <w:color w:val="0070C0"/>
              </w:rPr>
            </w:pPr>
            <w:r w:rsidRPr="00B4651C">
              <w:rPr>
                <w:color w:val="231F20"/>
                <w:sz w:val="16"/>
              </w:rPr>
              <w:t>70% of ANAO recommendations implemented within 24 months of a performance audit report</w:t>
            </w:r>
            <w:r>
              <w:rPr>
                <w:color w:val="231F20"/>
                <w:sz w:val="16"/>
              </w:rPr>
              <w:t xml:space="preserve"> being presented</w:t>
            </w:r>
          </w:p>
        </w:tc>
      </w:tr>
      <w:tr w:rsidR="000A1300" w:rsidRPr="001B2F81" w14:paraId="65835A1F" w14:textId="77777777" w:rsidTr="00F404CC">
        <w:trPr>
          <w:trHeight w:val="491"/>
        </w:trPr>
        <w:tc>
          <w:tcPr>
            <w:tcW w:w="1560" w:type="dxa"/>
            <w:tcBorders>
              <w:top w:val="dotted" w:sz="4" w:space="0" w:color="auto"/>
              <w:bottom w:val="dotted" w:sz="4" w:space="0" w:color="auto"/>
              <w:right w:val="single" w:sz="4" w:space="0" w:color="auto"/>
            </w:tcBorders>
          </w:tcPr>
          <w:p w14:paraId="201EABAF" w14:textId="77777777" w:rsidR="000A1300" w:rsidRPr="00407A2C" w:rsidRDefault="000A1300" w:rsidP="00F404CC">
            <w:pPr>
              <w:pStyle w:val="TableTextBase"/>
              <w:rPr>
                <w:sz w:val="16"/>
              </w:rPr>
            </w:pPr>
            <w:r w:rsidRPr="00407A2C">
              <w:rPr>
                <w:sz w:val="16"/>
              </w:rPr>
              <w:t xml:space="preserve">Forward Estimates </w:t>
            </w:r>
          </w:p>
          <w:p w14:paraId="53AD229A" w14:textId="77777777" w:rsidR="000A1300" w:rsidRPr="00407A2C" w:rsidRDefault="000A1300" w:rsidP="00F404CC">
            <w:pPr>
              <w:pStyle w:val="TableTextBase"/>
              <w:rPr>
                <w:b/>
                <w:sz w:val="16"/>
              </w:rPr>
            </w:pPr>
            <w:r w:rsidRPr="00407A2C">
              <w:rPr>
                <w:sz w:val="16"/>
              </w:rPr>
              <w:t>2023-26</w:t>
            </w:r>
          </w:p>
        </w:tc>
        <w:tc>
          <w:tcPr>
            <w:tcW w:w="3118" w:type="dxa"/>
            <w:tcBorders>
              <w:top w:val="dotted" w:sz="4" w:space="0" w:color="auto"/>
              <w:left w:val="single" w:sz="4" w:space="0" w:color="auto"/>
              <w:bottom w:val="dotted" w:sz="4" w:space="0" w:color="auto"/>
              <w:right w:val="single" w:sz="4" w:space="0" w:color="auto"/>
            </w:tcBorders>
          </w:tcPr>
          <w:p w14:paraId="34155978" w14:textId="77777777" w:rsidR="000A1300" w:rsidRDefault="000A1300" w:rsidP="008A2254">
            <w:pPr>
              <w:pStyle w:val="TableParagraph"/>
              <w:numPr>
                <w:ilvl w:val="0"/>
                <w:numId w:val="22"/>
              </w:numPr>
              <w:tabs>
                <w:tab w:val="left" w:pos="467"/>
                <w:tab w:val="left" w:pos="468"/>
              </w:tabs>
              <w:ind w:right="101"/>
              <w:rPr>
                <w:color w:val="231F20"/>
                <w:sz w:val="16"/>
              </w:rPr>
            </w:pPr>
            <w:r w:rsidRPr="00AC2696">
              <w:rPr>
                <w:color w:val="231F20"/>
                <w:sz w:val="16"/>
              </w:rPr>
              <w:t>Number of performance</w:t>
            </w:r>
            <w:r>
              <w:rPr>
                <w:color w:val="231F20"/>
                <w:sz w:val="16"/>
              </w:rPr>
              <w:t xml:space="preserve"> audit</w:t>
            </w:r>
            <w:r w:rsidRPr="00AC2696">
              <w:rPr>
                <w:color w:val="231F20"/>
                <w:sz w:val="16"/>
              </w:rPr>
              <w:t xml:space="preserve"> reports </w:t>
            </w:r>
            <w:r>
              <w:rPr>
                <w:color w:val="231F20"/>
                <w:sz w:val="16"/>
              </w:rPr>
              <w:t xml:space="preserve">presented to </w:t>
            </w:r>
            <w:r w:rsidRPr="00AC2696">
              <w:rPr>
                <w:color w:val="231F20"/>
                <w:sz w:val="16"/>
              </w:rPr>
              <w:t xml:space="preserve">Parliament </w:t>
            </w:r>
          </w:p>
          <w:p w14:paraId="32161D2C" w14:textId="77777777" w:rsidR="000A1300" w:rsidRPr="00B4651C" w:rsidRDefault="000A1300" w:rsidP="008A2254">
            <w:pPr>
              <w:pStyle w:val="TableParagraph"/>
              <w:numPr>
                <w:ilvl w:val="0"/>
                <w:numId w:val="22"/>
              </w:numPr>
              <w:tabs>
                <w:tab w:val="left" w:pos="467"/>
                <w:tab w:val="left" w:pos="468"/>
              </w:tabs>
              <w:ind w:right="101"/>
              <w:rPr>
                <w:color w:val="231F20"/>
                <w:sz w:val="16"/>
              </w:rPr>
            </w:pPr>
            <w:r w:rsidRPr="00B4651C">
              <w:rPr>
                <w:color w:val="231F20"/>
                <w:sz w:val="16"/>
              </w:rPr>
              <w:t>Average cost of a performance audit does not increase from the prior year</w:t>
            </w:r>
          </w:p>
          <w:p w14:paraId="1569ECE4" w14:textId="77777777" w:rsidR="000A1300" w:rsidRDefault="000A1300" w:rsidP="008A2254">
            <w:pPr>
              <w:pStyle w:val="TableParagraph"/>
              <w:keepLines/>
              <w:numPr>
                <w:ilvl w:val="0"/>
                <w:numId w:val="22"/>
              </w:numPr>
              <w:tabs>
                <w:tab w:val="left" w:pos="467"/>
                <w:tab w:val="left" w:pos="468"/>
              </w:tabs>
              <w:ind w:left="465" w:right="102" w:hanging="357"/>
              <w:rPr>
                <w:color w:val="231F20"/>
                <w:sz w:val="16"/>
              </w:rPr>
            </w:pPr>
            <w:r w:rsidRPr="00AC2696">
              <w:rPr>
                <w:color w:val="231F20"/>
                <w:sz w:val="16"/>
              </w:rPr>
              <w:t xml:space="preserve">Percentage of recommendations included in performance audit reports agreed </w:t>
            </w:r>
            <w:r>
              <w:rPr>
                <w:color w:val="231F20"/>
                <w:sz w:val="16"/>
              </w:rPr>
              <w:t xml:space="preserve">to </w:t>
            </w:r>
            <w:r w:rsidRPr="00AC2696">
              <w:rPr>
                <w:color w:val="231F20"/>
                <w:sz w:val="16"/>
              </w:rPr>
              <w:t>by audited entities</w:t>
            </w:r>
          </w:p>
          <w:p w14:paraId="1BB19A62" w14:textId="77777777" w:rsidR="000A1300" w:rsidRPr="00F907D8" w:rsidRDefault="000A1300" w:rsidP="008A2254">
            <w:pPr>
              <w:pStyle w:val="TableParagraph"/>
              <w:keepLines/>
              <w:numPr>
                <w:ilvl w:val="0"/>
                <w:numId w:val="22"/>
              </w:numPr>
              <w:tabs>
                <w:tab w:val="left" w:pos="467"/>
                <w:tab w:val="left" w:pos="468"/>
              </w:tabs>
              <w:ind w:left="465" w:right="102" w:hanging="357"/>
              <w:rPr>
                <w:color w:val="231F20"/>
                <w:sz w:val="16"/>
              </w:rPr>
            </w:pPr>
            <w:r w:rsidRPr="00AC2696">
              <w:rPr>
                <w:color w:val="231F20"/>
                <w:sz w:val="16"/>
              </w:rPr>
              <w:t>Percentage of ANAO recommendations implemented within 24 months of a performance audit report</w:t>
            </w:r>
            <w:r>
              <w:rPr>
                <w:color w:val="231F20"/>
                <w:sz w:val="16"/>
              </w:rPr>
              <w:t xml:space="preserve"> being presented</w:t>
            </w:r>
          </w:p>
        </w:tc>
        <w:tc>
          <w:tcPr>
            <w:tcW w:w="3118" w:type="dxa"/>
            <w:tcBorders>
              <w:top w:val="dotted" w:sz="4" w:space="0" w:color="auto"/>
              <w:left w:val="single" w:sz="4" w:space="0" w:color="auto"/>
              <w:bottom w:val="dotted" w:sz="4" w:space="0" w:color="auto"/>
            </w:tcBorders>
          </w:tcPr>
          <w:p w14:paraId="077C53E2" w14:textId="77777777" w:rsidR="000A1300" w:rsidRDefault="000A1300" w:rsidP="008A2254">
            <w:pPr>
              <w:pStyle w:val="TableParagraph"/>
              <w:numPr>
                <w:ilvl w:val="0"/>
                <w:numId w:val="22"/>
              </w:numPr>
              <w:tabs>
                <w:tab w:val="left" w:pos="467"/>
                <w:tab w:val="left" w:pos="468"/>
              </w:tabs>
              <w:ind w:right="101"/>
              <w:rPr>
                <w:color w:val="231F20"/>
                <w:sz w:val="16"/>
              </w:rPr>
            </w:pPr>
            <w:r w:rsidRPr="00E93B6A">
              <w:rPr>
                <w:color w:val="231F20"/>
                <w:sz w:val="16"/>
              </w:rPr>
              <w:t>4</w:t>
            </w:r>
            <w:r>
              <w:rPr>
                <w:color w:val="231F20"/>
                <w:sz w:val="16"/>
              </w:rPr>
              <w:t>5</w:t>
            </w:r>
            <w:r w:rsidRPr="00E93B6A">
              <w:rPr>
                <w:color w:val="231F20"/>
                <w:sz w:val="16"/>
              </w:rPr>
              <w:t xml:space="preserve"> performance audit reports </w:t>
            </w:r>
            <w:r>
              <w:rPr>
                <w:color w:val="231F20"/>
                <w:sz w:val="16"/>
              </w:rPr>
              <w:t>presented to</w:t>
            </w:r>
            <w:r w:rsidRPr="00E93B6A">
              <w:rPr>
                <w:color w:val="231F20"/>
                <w:sz w:val="16"/>
              </w:rPr>
              <w:t xml:space="preserve"> Parliament in </w:t>
            </w:r>
            <w:r>
              <w:rPr>
                <w:color w:val="231F20"/>
                <w:sz w:val="16"/>
              </w:rPr>
              <w:br/>
            </w:r>
            <w:r w:rsidRPr="00E93B6A">
              <w:rPr>
                <w:color w:val="231F20"/>
                <w:sz w:val="16"/>
              </w:rPr>
              <w:t xml:space="preserve">2023-24 </w:t>
            </w:r>
            <w:r>
              <w:rPr>
                <w:color w:val="231F20"/>
                <w:sz w:val="16"/>
              </w:rPr>
              <w:t xml:space="preserve">increasing to </w:t>
            </w:r>
            <w:r w:rsidRPr="00E93B6A">
              <w:rPr>
                <w:color w:val="231F20"/>
                <w:sz w:val="16"/>
              </w:rPr>
              <w:t>48 in 2024-25</w:t>
            </w:r>
            <w:r w:rsidRPr="00B4651C">
              <w:rPr>
                <w:color w:val="231F20"/>
                <w:sz w:val="16"/>
              </w:rPr>
              <w:t xml:space="preserve"> and 48 in 202</w:t>
            </w:r>
            <w:r>
              <w:rPr>
                <w:color w:val="231F20"/>
                <w:sz w:val="16"/>
              </w:rPr>
              <w:t>5-26</w:t>
            </w:r>
          </w:p>
          <w:p w14:paraId="47AAB402" w14:textId="77777777" w:rsidR="000A1300" w:rsidRPr="00E93B6A" w:rsidRDefault="000A1300" w:rsidP="008A2254">
            <w:pPr>
              <w:pStyle w:val="TableParagraph"/>
              <w:numPr>
                <w:ilvl w:val="0"/>
                <w:numId w:val="22"/>
              </w:numPr>
              <w:tabs>
                <w:tab w:val="left" w:pos="467"/>
                <w:tab w:val="left" w:pos="468"/>
              </w:tabs>
              <w:ind w:right="101"/>
              <w:rPr>
                <w:color w:val="231F20"/>
                <w:sz w:val="16"/>
              </w:rPr>
            </w:pPr>
            <w:r w:rsidRPr="00E93B6A">
              <w:rPr>
                <w:color w:val="231F20"/>
                <w:sz w:val="16"/>
              </w:rPr>
              <w:t>Average cost of a performance audit does not increase from the prior year</w:t>
            </w:r>
          </w:p>
          <w:p w14:paraId="7AC87F53" w14:textId="77777777" w:rsidR="000A1300" w:rsidRDefault="000A1300" w:rsidP="008A2254">
            <w:pPr>
              <w:pStyle w:val="TableParagraph"/>
              <w:keepLines/>
              <w:numPr>
                <w:ilvl w:val="0"/>
                <w:numId w:val="22"/>
              </w:numPr>
              <w:tabs>
                <w:tab w:val="left" w:pos="467"/>
                <w:tab w:val="left" w:pos="468"/>
              </w:tabs>
              <w:ind w:left="465" w:right="102" w:hanging="357"/>
              <w:rPr>
                <w:color w:val="231F20"/>
                <w:sz w:val="16"/>
              </w:rPr>
            </w:pPr>
            <w:r w:rsidRPr="00B4651C">
              <w:rPr>
                <w:color w:val="231F20"/>
                <w:sz w:val="16"/>
              </w:rPr>
              <w:t>90% of recommendations included in performance audit reports agreed</w:t>
            </w:r>
            <w:r>
              <w:rPr>
                <w:color w:val="231F20"/>
                <w:sz w:val="16"/>
              </w:rPr>
              <w:t xml:space="preserve"> to</w:t>
            </w:r>
            <w:r w:rsidRPr="00B4651C">
              <w:rPr>
                <w:color w:val="231F20"/>
                <w:sz w:val="16"/>
              </w:rPr>
              <w:t xml:space="preserve"> by audited entities</w:t>
            </w:r>
          </w:p>
          <w:p w14:paraId="78C981BE" w14:textId="77777777" w:rsidR="000A1300" w:rsidRPr="00E93B6A" w:rsidRDefault="000A1300" w:rsidP="008A2254">
            <w:pPr>
              <w:pStyle w:val="TableParagraph"/>
              <w:numPr>
                <w:ilvl w:val="0"/>
                <w:numId w:val="22"/>
              </w:numPr>
              <w:tabs>
                <w:tab w:val="left" w:pos="467"/>
                <w:tab w:val="left" w:pos="468"/>
              </w:tabs>
              <w:ind w:right="101"/>
              <w:rPr>
                <w:color w:val="231F20"/>
                <w:sz w:val="16"/>
              </w:rPr>
            </w:pPr>
            <w:r w:rsidRPr="00B4651C">
              <w:rPr>
                <w:color w:val="231F20"/>
                <w:sz w:val="16"/>
              </w:rPr>
              <w:t>70% of ANAO recommendations implemented within 24 months of a performance audit report</w:t>
            </w:r>
            <w:r>
              <w:rPr>
                <w:color w:val="231F20"/>
                <w:sz w:val="16"/>
              </w:rPr>
              <w:t xml:space="preserve"> being presented</w:t>
            </w:r>
          </w:p>
        </w:tc>
      </w:tr>
    </w:tbl>
    <w:bookmarkEnd w:id="350"/>
    <w:p w14:paraId="7B253A17" w14:textId="77777777" w:rsidR="00F907D8" w:rsidRDefault="00F907D8" w:rsidP="00392A48">
      <w:pPr>
        <w:pStyle w:val="ChartandTableFootnoteAlpha"/>
        <w:numPr>
          <w:ilvl w:val="0"/>
          <w:numId w:val="103"/>
        </w:numPr>
      </w:pPr>
      <w:r w:rsidRPr="001B2F81">
        <w:t xml:space="preserve">New or modified performance </w:t>
      </w:r>
      <w:r w:rsidRPr="00E12264">
        <w:t>measures</w:t>
      </w:r>
      <w:r w:rsidRPr="001B2F81">
        <w:t xml:space="preserve"> that reflect new or materially changed programs are shown in </w:t>
      </w:r>
      <w:r w:rsidRPr="005B6A94">
        <w:t>italics.</w:t>
      </w:r>
      <w:r w:rsidRPr="001B2F81">
        <w:t xml:space="preserve"> </w:t>
      </w:r>
      <w:r w:rsidRPr="005B6A94">
        <w:t>Where new programs are established in the 2022-23 Budget, all of the performance measures related to that new program need to be shown</w:t>
      </w:r>
      <w:r>
        <w:t>.</w:t>
      </w:r>
    </w:p>
    <w:p w14:paraId="5E327499" w14:textId="77777777" w:rsidR="00407A2C" w:rsidRPr="00407A2C" w:rsidRDefault="00407A2C" w:rsidP="00407A2C"/>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A1300" w:rsidRPr="001B2F81" w14:paraId="087CD92F" w14:textId="77777777" w:rsidTr="00F404CC">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cPr>
          <w:p w14:paraId="50AFEF51" w14:textId="77777777" w:rsidR="000A1300" w:rsidRPr="008B79B5" w:rsidRDefault="00E93033" w:rsidP="00F404CC">
            <w:pPr>
              <w:pStyle w:val="TableTextLeft"/>
              <w:rPr>
                <w:b/>
              </w:rPr>
            </w:pPr>
            <w:r>
              <w:rPr>
                <w:rStyle w:val="TableHeadingChar"/>
                <w:color w:val="auto"/>
                <w:lang w:val="en-AU" w:eastAsia="en-AU"/>
              </w:rPr>
              <w:t xml:space="preserve">Outcome 1 </w:t>
            </w:r>
            <w:r w:rsidRPr="00407A2C">
              <w:rPr>
                <w:rStyle w:val="TableHeadingChar"/>
                <w:b w:val="0"/>
                <w:lang w:val="en-AU"/>
              </w:rPr>
              <w:t>–</w:t>
            </w:r>
            <w:r w:rsidR="000A1300" w:rsidRPr="008B79B5">
              <w:rPr>
                <w:rStyle w:val="TableHeadingChar"/>
                <w:color w:val="auto"/>
                <w:lang w:val="en-AU" w:eastAsia="en-AU"/>
              </w:rPr>
              <w:t xml:space="preserve"> </w:t>
            </w:r>
            <w:r w:rsidR="000A1300" w:rsidRPr="008B79B5">
              <w:rPr>
                <w:b/>
              </w:rPr>
              <w:t>To improve public sector performance and accountability through independent reporting on Australian Government administration to Parliament, the Executive and the public.</w:t>
            </w:r>
          </w:p>
        </w:tc>
      </w:tr>
      <w:tr w:rsidR="000A1300" w:rsidRPr="001B2F81" w14:paraId="6549CF1F" w14:textId="77777777" w:rsidTr="00F404CC">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cPr>
          <w:p w14:paraId="38A4A2FC" w14:textId="77777777" w:rsidR="000A1300" w:rsidRPr="008B79B5" w:rsidRDefault="000A1300" w:rsidP="00F404CC">
            <w:pPr>
              <w:pStyle w:val="TableTextLeft"/>
              <w:rPr>
                <w:b/>
              </w:rPr>
            </w:pPr>
            <w:r w:rsidRPr="00C41058">
              <w:rPr>
                <w:b/>
              </w:rPr>
              <w:t xml:space="preserve">Program </w:t>
            </w:r>
            <w:r>
              <w:rPr>
                <w:b/>
              </w:rPr>
              <w:t>1.3 – Performance Statements Audit Services</w:t>
            </w:r>
          </w:p>
          <w:p w14:paraId="1F0D7F41" w14:textId="77777777" w:rsidR="000A1300" w:rsidRPr="008B79B5" w:rsidRDefault="000A1300" w:rsidP="00F404CC">
            <w:pPr>
              <w:pStyle w:val="TableParagraph"/>
              <w:spacing w:before="60"/>
              <w:ind w:left="107"/>
              <w:rPr>
                <w:color w:val="231F20"/>
                <w:sz w:val="16"/>
              </w:rPr>
            </w:pPr>
            <w:r w:rsidRPr="008B79B5">
              <w:rPr>
                <w:color w:val="231F20"/>
                <w:sz w:val="16"/>
              </w:rPr>
              <w:t>This program contributes to the outcome through:</w:t>
            </w:r>
          </w:p>
          <w:p w14:paraId="63D7B50E" w14:textId="77777777" w:rsidR="000A1300" w:rsidRPr="008B79B5" w:rsidRDefault="000A1300" w:rsidP="008A2254">
            <w:pPr>
              <w:pStyle w:val="TableParagraph"/>
              <w:numPr>
                <w:ilvl w:val="0"/>
                <w:numId w:val="21"/>
              </w:numPr>
              <w:tabs>
                <w:tab w:val="left" w:pos="816"/>
                <w:tab w:val="left" w:pos="817"/>
              </w:tabs>
              <w:spacing w:before="59"/>
              <w:ind w:right="859"/>
              <w:rPr>
                <w:rFonts w:eastAsia="Times New Roman" w:cs="Times New Roman"/>
                <w:b/>
                <w:sz w:val="18"/>
                <w:szCs w:val="20"/>
                <w:lang w:val="en-AU" w:eastAsia="en-AU"/>
              </w:rPr>
            </w:pPr>
            <w:r>
              <w:rPr>
                <w:color w:val="231F20"/>
                <w:sz w:val="16"/>
              </w:rPr>
              <w:t>audits of the performance statements of selected Australian Government entities.</w:t>
            </w:r>
          </w:p>
        </w:tc>
      </w:tr>
      <w:tr w:rsidR="000A1300" w:rsidRPr="001B2F81" w14:paraId="0B15F123" w14:textId="77777777" w:rsidTr="00F404CC">
        <w:trPr>
          <w:trHeight w:val="694"/>
        </w:trPr>
        <w:tc>
          <w:tcPr>
            <w:tcW w:w="1560" w:type="dxa"/>
            <w:tcBorders>
              <w:bottom w:val="double" w:sz="4" w:space="0" w:color="auto"/>
            </w:tcBorders>
          </w:tcPr>
          <w:p w14:paraId="5B9BCDD3" w14:textId="77777777" w:rsidR="000A1300" w:rsidRPr="00160C23" w:rsidRDefault="000A1300" w:rsidP="00F404CC">
            <w:pPr>
              <w:tabs>
                <w:tab w:val="left" w:pos="709"/>
              </w:tabs>
              <w:spacing w:before="60"/>
              <w:rPr>
                <w:rFonts w:ascii="Arial" w:hAnsi="Arial" w:cs="Arial"/>
                <w:b/>
                <w:sz w:val="16"/>
                <w:szCs w:val="16"/>
              </w:rPr>
            </w:pPr>
            <w:r w:rsidRPr="00160C23">
              <w:rPr>
                <w:rFonts w:ascii="Arial" w:hAnsi="Arial" w:cs="Arial"/>
                <w:b/>
                <w:sz w:val="16"/>
                <w:szCs w:val="16"/>
              </w:rPr>
              <w:t>Key Activities (a)</w:t>
            </w:r>
          </w:p>
        </w:tc>
        <w:tc>
          <w:tcPr>
            <w:tcW w:w="6236" w:type="dxa"/>
            <w:gridSpan w:val="2"/>
            <w:tcBorders>
              <w:bottom w:val="double" w:sz="4" w:space="0" w:color="auto"/>
            </w:tcBorders>
          </w:tcPr>
          <w:p w14:paraId="0333F145" w14:textId="77777777" w:rsidR="000A1300" w:rsidRDefault="000A1300" w:rsidP="00F404CC">
            <w:pPr>
              <w:pStyle w:val="TableParagraph"/>
              <w:spacing w:line="181" w:lineRule="exact"/>
              <w:ind w:left="107"/>
              <w:rPr>
                <w:sz w:val="16"/>
              </w:rPr>
            </w:pPr>
            <w:r>
              <w:rPr>
                <w:color w:val="231F20"/>
                <w:sz w:val="16"/>
              </w:rPr>
              <w:t>Improving public sector performance by:</w:t>
            </w:r>
          </w:p>
          <w:p w14:paraId="7ABBA0D4" w14:textId="77777777" w:rsidR="000A1300" w:rsidRPr="00160C23" w:rsidRDefault="000A1300" w:rsidP="008A2254">
            <w:pPr>
              <w:pStyle w:val="TableParagraph"/>
              <w:numPr>
                <w:ilvl w:val="0"/>
                <w:numId w:val="22"/>
              </w:numPr>
              <w:tabs>
                <w:tab w:val="left" w:pos="467"/>
                <w:tab w:val="left" w:pos="468"/>
              </w:tabs>
              <w:spacing w:line="194" w:lineRule="exact"/>
              <w:ind w:hanging="361"/>
              <w:rPr>
                <w:i/>
                <w:sz w:val="16"/>
                <w:szCs w:val="16"/>
              </w:rPr>
            </w:pPr>
            <w:r>
              <w:rPr>
                <w:color w:val="231F20"/>
                <w:sz w:val="16"/>
              </w:rPr>
              <w:t>providing performance statements audit reports for the information of the Parliament, the Executive and the public.</w:t>
            </w:r>
          </w:p>
        </w:tc>
      </w:tr>
      <w:tr w:rsidR="000A1300" w:rsidRPr="001B2F81" w14:paraId="15243B8B" w14:textId="77777777" w:rsidTr="00F404CC">
        <w:trPr>
          <w:trHeight w:val="100"/>
        </w:trPr>
        <w:tc>
          <w:tcPr>
            <w:tcW w:w="1560" w:type="dxa"/>
            <w:tcBorders>
              <w:top w:val="single" w:sz="4" w:space="0" w:color="auto"/>
              <w:bottom w:val="dotted" w:sz="4" w:space="0" w:color="auto"/>
              <w:right w:val="single" w:sz="4" w:space="0" w:color="auto"/>
            </w:tcBorders>
          </w:tcPr>
          <w:p w14:paraId="63D08987" w14:textId="77777777" w:rsidR="000A1300" w:rsidRPr="00160C23" w:rsidRDefault="00F907D8" w:rsidP="00F404CC">
            <w:pPr>
              <w:pStyle w:val="TableTextBase"/>
              <w:rPr>
                <w:b/>
                <w:sz w:val="16"/>
                <w:szCs w:val="16"/>
              </w:rPr>
            </w:pPr>
            <w:r>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5238FAA0" w14:textId="77777777" w:rsidR="000A1300" w:rsidRPr="00160C23" w:rsidRDefault="000A1300" w:rsidP="00F404CC">
            <w:pPr>
              <w:pStyle w:val="TableTextBase"/>
              <w:rPr>
                <w:b/>
                <w:sz w:val="16"/>
                <w:szCs w:val="16"/>
              </w:rPr>
            </w:pPr>
            <w:r w:rsidRPr="00160C23">
              <w:rPr>
                <w:b/>
                <w:sz w:val="16"/>
                <w:szCs w:val="16"/>
              </w:rPr>
              <w:t>Performance measures</w:t>
            </w:r>
          </w:p>
        </w:tc>
        <w:tc>
          <w:tcPr>
            <w:tcW w:w="3118" w:type="dxa"/>
            <w:tcBorders>
              <w:top w:val="single" w:sz="4" w:space="0" w:color="auto"/>
              <w:left w:val="single" w:sz="4" w:space="0" w:color="auto"/>
              <w:bottom w:val="dotted" w:sz="4" w:space="0" w:color="auto"/>
            </w:tcBorders>
          </w:tcPr>
          <w:p w14:paraId="6EF3AC41" w14:textId="77777777" w:rsidR="000A1300" w:rsidRPr="00160C23" w:rsidRDefault="000A1300" w:rsidP="00F404CC">
            <w:pPr>
              <w:pStyle w:val="TableTextBase"/>
              <w:rPr>
                <w:b/>
                <w:sz w:val="16"/>
                <w:szCs w:val="16"/>
              </w:rPr>
            </w:pPr>
            <w:r w:rsidRPr="00160C23">
              <w:rPr>
                <w:b/>
                <w:sz w:val="16"/>
                <w:szCs w:val="16"/>
              </w:rPr>
              <w:t>Expected Performance Results</w:t>
            </w:r>
          </w:p>
        </w:tc>
      </w:tr>
      <w:tr w:rsidR="000A1300" w:rsidRPr="001B2F81" w14:paraId="36A7B927" w14:textId="77777777" w:rsidTr="00F404CC">
        <w:trPr>
          <w:trHeight w:val="100"/>
        </w:trPr>
        <w:tc>
          <w:tcPr>
            <w:tcW w:w="1560" w:type="dxa"/>
            <w:tcBorders>
              <w:top w:val="single" w:sz="4" w:space="0" w:color="auto"/>
              <w:bottom w:val="dotted" w:sz="4" w:space="0" w:color="auto"/>
              <w:right w:val="single" w:sz="4" w:space="0" w:color="auto"/>
            </w:tcBorders>
          </w:tcPr>
          <w:p w14:paraId="2A0CF5C6" w14:textId="77777777" w:rsidR="000A1300" w:rsidRPr="00407A2C" w:rsidRDefault="000A1300" w:rsidP="00F404CC">
            <w:pPr>
              <w:pStyle w:val="TableTextBase"/>
              <w:rPr>
                <w:sz w:val="16"/>
                <w:szCs w:val="16"/>
              </w:rPr>
            </w:pPr>
            <w:r w:rsidRPr="00407A2C">
              <w:rPr>
                <w:sz w:val="16"/>
                <w:szCs w:val="16"/>
              </w:rPr>
              <w:t>Budget Year     2022-23</w:t>
            </w:r>
          </w:p>
        </w:tc>
        <w:tc>
          <w:tcPr>
            <w:tcW w:w="3118" w:type="dxa"/>
            <w:tcBorders>
              <w:top w:val="single" w:sz="4" w:space="0" w:color="auto"/>
              <w:left w:val="single" w:sz="4" w:space="0" w:color="auto"/>
              <w:bottom w:val="dotted" w:sz="4" w:space="0" w:color="auto"/>
              <w:right w:val="single" w:sz="4" w:space="0" w:color="auto"/>
            </w:tcBorders>
          </w:tcPr>
          <w:p w14:paraId="4E3D8233" w14:textId="77777777" w:rsidR="000A1300" w:rsidRPr="00407A2C" w:rsidRDefault="000A1300" w:rsidP="008A2254">
            <w:pPr>
              <w:pStyle w:val="TableParagraph"/>
              <w:numPr>
                <w:ilvl w:val="0"/>
                <w:numId w:val="22"/>
              </w:numPr>
              <w:tabs>
                <w:tab w:val="left" w:pos="467"/>
                <w:tab w:val="left" w:pos="468"/>
              </w:tabs>
              <w:ind w:right="101"/>
              <w:rPr>
                <w:i/>
                <w:iCs/>
                <w:color w:val="231F20"/>
                <w:sz w:val="16"/>
                <w:szCs w:val="16"/>
              </w:rPr>
            </w:pPr>
            <w:r w:rsidRPr="00407A2C">
              <w:rPr>
                <w:i/>
                <w:iCs/>
                <w:color w:val="231F20"/>
                <w:sz w:val="16"/>
                <w:szCs w:val="16"/>
              </w:rPr>
              <w:t>Number of performance statements audit reports issued</w:t>
            </w:r>
          </w:p>
          <w:p w14:paraId="28B8AD21" w14:textId="77777777" w:rsidR="000A1300" w:rsidRPr="00407A2C" w:rsidRDefault="000A1300" w:rsidP="008A2254">
            <w:pPr>
              <w:pStyle w:val="TableParagraph"/>
              <w:numPr>
                <w:ilvl w:val="0"/>
                <w:numId w:val="22"/>
              </w:numPr>
              <w:tabs>
                <w:tab w:val="left" w:pos="467"/>
                <w:tab w:val="left" w:pos="468"/>
              </w:tabs>
              <w:ind w:right="101"/>
              <w:rPr>
                <w:i/>
                <w:iCs/>
                <w:color w:val="231F20"/>
                <w:sz w:val="16"/>
                <w:szCs w:val="16"/>
              </w:rPr>
            </w:pPr>
            <w:r w:rsidRPr="00407A2C">
              <w:rPr>
                <w:i/>
                <w:iCs/>
                <w:color w:val="231F20"/>
                <w:sz w:val="16"/>
                <w:szCs w:val="16"/>
              </w:rPr>
              <w:t>Percentage of performance statements audit reports issued in time to meet entity annual reporting timeframes</w:t>
            </w:r>
          </w:p>
          <w:p w14:paraId="4FD69338" w14:textId="77777777" w:rsidR="000A1300" w:rsidRPr="00407A2C" w:rsidRDefault="000A1300" w:rsidP="008A2254">
            <w:pPr>
              <w:pStyle w:val="TableParagraph"/>
              <w:numPr>
                <w:ilvl w:val="0"/>
                <w:numId w:val="22"/>
              </w:numPr>
              <w:tabs>
                <w:tab w:val="left" w:pos="467"/>
                <w:tab w:val="left" w:pos="468"/>
              </w:tabs>
              <w:ind w:right="101"/>
              <w:rPr>
                <w:i/>
                <w:iCs/>
                <w:color w:val="231F20"/>
                <w:sz w:val="16"/>
                <w:szCs w:val="16"/>
              </w:rPr>
            </w:pPr>
            <w:r w:rsidRPr="00407A2C">
              <w:rPr>
                <w:i/>
                <w:iCs/>
                <w:color w:val="231F20"/>
                <w:sz w:val="16"/>
                <w:szCs w:val="16"/>
              </w:rPr>
              <w:t>Average cost of a performance statements audit does not increase from the prior year</w:t>
            </w:r>
          </w:p>
          <w:p w14:paraId="75DAA913" w14:textId="77777777" w:rsidR="000A1300" w:rsidRPr="00407A2C" w:rsidRDefault="000A1300" w:rsidP="008A2254">
            <w:pPr>
              <w:pStyle w:val="TableParagraph"/>
              <w:numPr>
                <w:ilvl w:val="0"/>
                <w:numId w:val="22"/>
              </w:numPr>
              <w:tabs>
                <w:tab w:val="left" w:pos="467"/>
                <w:tab w:val="left" w:pos="468"/>
              </w:tabs>
              <w:ind w:right="101"/>
              <w:rPr>
                <w:i/>
                <w:iCs/>
                <w:color w:val="231F20"/>
                <w:sz w:val="16"/>
                <w:szCs w:val="16"/>
              </w:rPr>
            </w:pPr>
            <w:r w:rsidRPr="00407A2C">
              <w:rPr>
                <w:i/>
                <w:iCs/>
                <w:color w:val="231F20"/>
                <w:sz w:val="16"/>
                <w:szCs w:val="16"/>
              </w:rPr>
              <w:t>Percentage of moderate or significant findings and recommendations from performance statements audit reports agreed to by audited entities</w:t>
            </w:r>
          </w:p>
          <w:p w14:paraId="60954705" w14:textId="77777777" w:rsidR="000A1300" w:rsidRPr="00407A2C" w:rsidRDefault="000A1300" w:rsidP="008A2254">
            <w:pPr>
              <w:pStyle w:val="TableParagraph"/>
              <w:numPr>
                <w:ilvl w:val="0"/>
                <w:numId w:val="22"/>
              </w:numPr>
              <w:tabs>
                <w:tab w:val="left" w:pos="467"/>
                <w:tab w:val="left" w:pos="468"/>
              </w:tabs>
              <w:ind w:right="101"/>
              <w:rPr>
                <w:i/>
                <w:iCs/>
                <w:color w:val="231F20"/>
                <w:sz w:val="16"/>
                <w:szCs w:val="16"/>
              </w:rPr>
            </w:pPr>
            <w:r w:rsidRPr="00407A2C">
              <w:rPr>
                <w:i/>
                <w:iCs/>
                <w:color w:val="231F20"/>
                <w:sz w:val="16"/>
                <w:szCs w:val="16"/>
              </w:rPr>
              <w:t>Percentage of agreed moderate or significant findings that are addressed by audited entities within 24 months of reporting</w:t>
            </w:r>
          </w:p>
          <w:p w14:paraId="59D2743D" w14:textId="77777777" w:rsidR="000A1300" w:rsidRPr="00407A2C" w:rsidRDefault="000A1300" w:rsidP="00F404CC">
            <w:pPr>
              <w:pStyle w:val="TableParagraph"/>
              <w:tabs>
                <w:tab w:val="left" w:pos="467"/>
                <w:tab w:val="left" w:pos="468"/>
              </w:tabs>
              <w:ind w:left="467" w:right="101"/>
              <w:rPr>
                <w:color w:val="231F20"/>
                <w:sz w:val="16"/>
                <w:szCs w:val="16"/>
              </w:rPr>
            </w:pPr>
          </w:p>
        </w:tc>
        <w:tc>
          <w:tcPr>
            <w:tcW w:w="3118" w:type="dxa"/>
            <w:tcBorders>
              <w:top w:val="single" w:sz="4" w:space="0" w:color="auto"/>
              <w:left w:val="single" w:sz="4" w:space="0" w:color="auto"/>
              <w:bottom w:val="dotted" w:sz="4" w:space="0" w:color="auto"/>
            </w:tcBorders>
          </w:tcPr>
          <w:p w14:paraId="79C237CD" w14:textId="77777777" w:rsidR="000A1300" w:rsidRPr="00407A2C" w:rsidRDefault="000A1300" w:rsidP="008A2254">
            <w:pPr>
              <w:pStyle w:val="TableParagraph"/>
              <w:numPr>
                <w:ilvl w:val="0"/>
                <w:numId w:val="22"/>
              </w:numPr>
              <w:tabs>
                <w:tab w:val="left" w:pos="467"/>
                <w:tab w:val="left" w:pos="468"/>
              </w:tabs>
              <w:ind w:right="101"/>
              <w:rPr>
                <w:i/>
                <w:iCs/>
                <w:color w:val="0070C0"/>
                <w:sz w:val="16"/>
                <w:szCs w:val="16"/>
              </w:rPr>
            </w:pPr>
            <w:r w:rsidRPr="00407A2C">
              <w:rPr>
                <w:i/>
                <w:iCs/>
                <w:color w:val="231F20"/>
                <w:sz w:val="16"/>
                <w:szCs w:val="16"/>
              </w:rPr>
              <w:t>6 performance statements audit reports issued</w:t>
            </w:r>
          </w:p>
          <w:p w14:paraId="2AE3A60A" w14:textId="77777777" w:rsidR="000A1300" w:rsidRPr="00407A2C" w:rsidRDefault="000A1300" w:rsidP="008A2254">
            <w:pPr>
              <w:pStyle w:val="TableParagraph"/>
              <w:numPr>
                <w:ilvl w:val="0"/>
                <w:numId w:val="22"/>
              </w:numPr>
              <w:tabs>
                <w:tab w:val="left" w:pos="467"/>
                <w:tab w:val="left" w:pos="468"/>
              </w:tabs>
              <w:ind w:right="101"/>
              <w:rPr>
                <w:i/>
                <w:iCs/>
                <w:color w:val="231F20"/>
                <w:sz w:val="16"/>
                <w:szCs w:val="16"/>
              </w:rPr>
            </w:pPr>
            <w:r w:rsidRPr="00407A2C">
              <w:rPr>
                <w:i/>
                <w:iCs/>
                <w:color w:val="231F20"/>
                <w:sz w:val="16"/>
                <w:szCs w:val="16"/>
              </w:rPr>
              <w:t>100% of performance statements audit reports issued in time to meet entity annual reporting timeframes</w:t>
            </w:r>
          </w:p>
          <w:p w14:paraId="7A659D21" w14:textId="77777777" w:rsidR="000A1300" w:rsidRPr="00407A2C" w:rsidRDefault="000A1300" w:rsidP="008A2254">
            <w:pPr>
              <w:pStyle w:val="TableParagraph"/>
              <w:numPr>
                <w:ilvl w:val="0"/>
                <w:numId w:val="22"/>
              </w:numPr>
              <w:tabs>
                <w:tab w:val="left" w:pos="467"/>
                <w:tab w:val="left" w:pos="468"/>
              </w:tabs>
              <w:ind w:right="101"/>
              <w:rPr>
                <w:i/>
                <w:iCs/>
                <w:color w:val="231F20"/>
                <w:sz w:val="16"/>
                <w:szCs w:val="16"/>
              </w:rPr>
            </w:pPr>
            <w:r w:rsidRPr="00407A2C">
              <w:rPr>
                <w:i/>
                <w:iCs/>
                <w:color w:val="231F20"/>
                <w:sz w:val="16"/>
                <w:szCs w:val="16"/>
              </w:rPr>
              <w:t>Average cost of a performance statements audit does not increase from the prior year</w:t>
            </w:r>
          </w:p>
          <w:p w14:paraId="2749F07A" w14:textId="77777777" w:rsidR="000A1300" w:rsidRPr="00407A2C" w:rsidRDefault="000A1300" w:rsidP="008A2254">
            <w:pPr>
              <w:pStyle w:val="TableParagraph"/>
              <w:numPr>
                <w:ilvl w:val="0"/>
                <w:numId w:val="22"/>
              </w:numPr>
              <w:tabs>
                <w:tab w:val="left" w:pos="467"/>
                <w:tab w:val="left" w:pos="468"/>
              </w:tabs>
              <w:ind w:right="101"/>
              <w:rPr>
                <w:i/>
                <w:color w:val="0070C0"/>
                <w:sz w:val="16"/>
                <w:szCs w:val="16"/>
              </w:rPr>
            </w:pPr>
            <w:r w:rsidRPr="00407A2C">
              <w:rPr>
                <w:i/>
                <w:iCs/>
                <w:color w:val="231F20"/>
                <w:sz w:val="16"/>
                <w:szCs w:val="16"/>
              </w:rPr>
              <w:t>90% of moderate or significant findings and recommendations from performance statements audit reports agreed to by audited entities</w:t>
            </w:r>
          </w:p>
          <w:p w14:paraId="5A9B4AF7" w14:textId="77777777" w:rsidR="000A1300" w:rsidRPr="00407A2C" w:rsidRDefault="000A1300" w:rsidP="008A2254">
            <w:pPr>
              <w:pStyle w:val="TableParagraph"/>
              <w:numPr>
                <w:ilvl w:val="0"/>
                <w:numId w:val="22"/>
              </w:numPr>
              <w:tabs>
                <w:tab w:val="left" w:pos="467"/>
                <w:tab w:val="left" w:pos="468"/>
              </w:tabs>
              <w:ind w:right="101"/>
              <w:rPr>
                <w:i/>
                <w:color w:val="0070C0"/>
                <w:sz w:val="16"/>
                <w:szCs w:val="16"/>
              </w:rPr>
            </w:pPr>
            <w:r w:rsidRPr="00407A2C">
              <w:rPr>
                <w:i/>
                <w:iCs/>
                <w:color w:val="231F20"/>
                <w:sz w:val="16"/>
                <w:szCs w:val="16"/>
              </w:rPr>
              <w:t>70% of agreed moderate or significant findings are addressed by audited entities within 24 months of reporting</w:t>
            </w:r>
          </w:p>
          <w:p w14:paraId="1297CCFC" w14:textId="77777777" w:rsidR="00407A2C" w:rsidRDefault="00407A2C" w:rsidP="00407A2C">
            <w:pPr>
              <w:pStyle w:val="TableParagraph"/>
              <w:tabs>
                <w:tab w:val="left" w:pos="467"/>
                <w:tab w:val="left" w:pos="468"/>
              </w:tabs>
              <w:ind w:right="101"/>
              <w:rPr>
                <w:i/>
                <w:iCs/>
                <w:color w:val="231F20"/>
                <w:sz w:val="16"/>
                <w:szCs w:val="16"/>
              </w:rPr>
            </w:pPr>
          </w:p>
          <w:p w14:paraId="649F9E8F" w14:textId="77777777" w:rsidR="00407A2C" w:rsidRDefault="00407A2C" w:rsidP="00407A2C">
            <w:pPr>
              <w:pStyle w:val="TableParagraph"/>
              <w:tabs>
                <w:tab w:val="left" w:pos="467"/>
                <w:tab w:val="left" w:pos="468"/>
              </w:tabs>
              <w:ind w:right="101"/>
              <w:rPr>
                <w:i/>
                <w:iCs/>
                <w:color w:val="231F20"/>
                <w:sz w:val="16"/>
                <w:szCs w:val="16"/>
              </w:rPr>
            </w:pPr>
          </w:p>
          <w:p w14:paraId="5A92CAEF" w14:textId="77777777" w:rsidR="00407A2C" w:rsidRDefault="00407A2C" w:rsidP="00407A2C">
            <w:pPr>
              <w:pStyle w:val="TableParagraph"/>
              <w:tabs>
                <w:tab w:val="left" w:pos="467"/>
                <w:tab w:val="left" w:pos="468"/>
              </w:tabs>
              <w:ind w:right="101"/>
              <w:rPr>
                <w:i/>
                <w:iCs/>
                <w:color w:val="231F20"/>
                <w:sz w:val="16"/>
                <w:szCs w:val="16"/>
              </w:rPr>
            </w:pPr>
          </w:p>
          <w:p w14:paraId="4C801DBF" w14:textId="77777777" w:rsidR="00407A2C" w:rsidRDefault="00407A2C" w:rsidP="00407A2C">
            <w:pPr>
              <w:pStyle w:val="TableParagraph"/>
              <w:tabs>
                <w:tab w:val="left" w:pos="467"/>
                <w:tab w:val="left" w:pos="468"/>
              </w:tabs>
              <w:ind w:right="101"/>
              <w:rPr>
                <w:i/>
                <w:iCs/>
                <w:color w:val="231F20"/>
                <w:sz w:val="16"/>
                <w:szCs w:val="16"/>
              </w:rPr>
            </w:pPr>
          </w:p>
          <w:p w14:paraId="6A0209F1" w14:textId="77777777" w:rsidR="00407A2C" w:rsidRDefault="00407A2C" w:rsidP="00407A2C">
            <w:pPr>
              <w:pStyle w:val="TableParagraph"/>
              <w:tabs>
                <w:tab w:val="left" w:pos="467"/>
                <w:tab w:val="left" w:pos="468"/>
              </w:tabs>
              <w:ind w:right="101"/>
              <w:rPr>
                <w:i/>
                <w:iCs/>
                <w:color w:val="231F20"/>
                <w:sz w:val="16"/>
                <w:szCs w:val="16"/>
              </w:rPr>
            </w:pPr>
          </w:p>
          <w:p w14:paraId="6B444F6B" w14:textId="77777777" w:rsidR="00407A2C" w:rsidRPr="00407A2C" w:rsidRDefault="00407A2C" w:rsidP="00407A2C">
            <w:pPr>
              <w:pStyle w:val="TableParagraph"/>
              <w:tabs>
                <w:tab w:val="left" w:pos="467"/>
                <w:tab w:val="left" w:pos="468"/>
              </w:tabs>
              <w:ind w:right="101"/>
              <w:rPr>
                <w:i/>
                <w:color w:val="0070C0"/>
                <w:sz w:val="16"/>
                <w:szCs w:val="16"/>
              </w:rPr>
            </w:pPr>
          </w:p>
        </w:tc>
      </w:tr>
      <w:tr w:rsidR="000A1300" w:rsidRPr="001B2F81" w14:paraId="0D4FAFE6" w14:textId="77777777" w:rsidTr="00407A2C">
        <w:trPr>
          <w:trHeight w:val="50"/>
        </w:trPr>
        <w:tc>
          <w:tcPr>
            <w:tcW w:w="1560" w:type="dxa"/>
            <w:tcBorders>
              <w:top w:val="dotted" w:sz="4" w:space="0" w:color="auto"/>
              <w:bottom w:val="dotted" w:sz="4" w:space="0" w:color="auto"/>
              <w:right w:val="single" w:sz="4" w:space="0" w:color="auto"/>
            </w:tcBorders>
            <w:vAlign w:val="center"/>
          </w:tcPr>
          <w:p w14:paraId="5B76DB9E" w14:textId="77777777" w:rsidR="000A1300" w:rsidRPr="00407A2C" w:rsidRDefault="00407A2C" w:rsidP="00407A2C">
            <w:pPr>
              <w:pStyle w:val="TableTextBase"/>
              <w:rPr>
                <w:b/>
                <w:sz w:val="16"/>
                <w:szCs w:val="16"/>
              </w:rPr>
            </w:pPr>
            <w:r w:rsidRPr="00407A2C">
              <w:rPr>
                <w:b/>
                <w:sz w:val="16"/>
                <w:szCs w:val="16"/>
              </w:rPr>
              <w:t>Year</w:t>
            </w:r>
          </w:p>
        </w:tc>
        <w:tc>
          <w:tcPr>
            <w:tcW w:w="3118" w:type="dxa"/>
            <w:tcBorders>
              <w:top w:val="dotted" w:sz="4" w:space="0" w:color="auto"/>
              <w:left w:val="single" w:sz="4" w:space="0" w:color="auto"/>
              <w:bottom w:val="dotted" w:sz="4" w:space="0" w:color="auto"/>
              <w:right w:val="single" w:sz="4" w:space="0" w:color="auto"/>
            </w:tcBorders>
            <w:vAlign w:val="center"/>
          </w:tcPr>
          <w:p w14:paraId="79D41D0D" w14:textId="77777777" w:rsidR="000A1300" w:rsidRPr="00407A2C" w:rsidRDefault="00407A2C" w:rsidP="00407A2C">
            <w:pPr>
              <w:pStyle w:val="TableTextBase"/>
              <w:rPr>
                <w:b/>
                <w:sz w:val="16"/>
                <w:szCs w:val="16"/>
              </w:rPr>
            </w:pPr>
            <w:r w:rsidRPr="00407A2C">
              <w:rPr>
                <w:b/>
                <w:sz w:val="16"/>
                <w:szCs w:val="16"/>
              </w:rPr>
              <w:t>Performance measures</w:t>
            </w:r>
          </w:p>
        </w:tc>
        <w:tc>
          <w:tcPr>
            <w:tcW w:w="3118" w:type="dxa"/>
            <w:tcBorders>
              <w:top w:val="dotted" w:sz="4" w:space="0" w:color="auto"/>
              <w:left w:val="single" w:sz="4" w:space="0" w:color="auto"/>
              <w:bottom w:val="dotted" w:sz="4" w:space="0" w:color="auto"/>
            </w:tcBorders>
            <w:vAlign w:val="center"/>
          </w:tcPr>
          <w:p w14:paraId="596B8810" w14:textId="77777777" w:rsidR="000A1300" w:rsidRPr="00407A2C" w:rsidRDefault="00407A2C" w:rsidP="00407A2C">
            <w:pPr>
              <w:pStyle w:val="TableParagraph"/>
              <w:tabs>
                <w:tab w:val="left" w:pos="467"/>
                <w:tab w:val="left" w:pos="468"/>
              </w:tabs>
              <w:ind w:right="101"/>
              <w:rPr>
                <w:b/>
                <w:color w:val="231F20"/>
                <w:sz w:val="16"/>
                <w:szCs w:val="16"/>
              </w:rPr>
            </w:pPr>
            <w:r w:rsidRPr="00407A2C">
              <w:rPr>
                <w:b/>
                <w:color w:val="231F20"/>
                <w:sz w:val="16"/>
                <w:szCs w:val="16"/>
              </w:rPr>
              <w:t>Expected performance results</w:t>
            </w:r>
          </w:p>
        </w:tc>
      </w:tr>
      <w:tr w:rsidR="00407A2C" w:rsidRPr="001B2F81" w14:paraId="77ABAD47" w14:textId="77777777" w:rsidTr="00F404CC">
        <w:trPr>
          <w:trHeight w:val="491"/>
        </w:trPr>
        <w:tc>
          <w:tcPr>
            <w:tcW w:w="1560" w:type="dxa"/>
            <w:tcBorders>
              <w:top w:val="dotted" w:sz="4" w:space="0" w:color="auto"/>
              <w:bottom w:val="dotted" w:sz="4" w:space="0" w:color="auto"/>
              <w:right w:val="single" w:sz="4" w:space="0" w:color="auto"/>
            </w:tcBorders>
          </w:tcPr>
          <w:p w14:paraId="451BB51D" w14:textId="77777777" w:rsidR="00407A2C" w:rsidRPr="00407A2C" w:rsidRDefault="00407A2C" w:rsidP="00407A2C">
            <w:pPr>
              <w:pStyle w:val="TableTextBase"/>
              <w:rPr>
                <w:sz w:val="16"/>
                <w:szCs w:val="16"/>
              </w:rPr>
            </w:pPr>
            <w:r w:rsidRPr="00407A2C">
              <w:rPr>
                <w:sz w:val="16"/>
                <w:szCs w:val="16"/>
              </w:rPr>
              <w:t xml:space="preserve">Forward Estimates </w:t>
            </w:r>
          </w:p>
          <w:p w14:paraId="52FFF9F8" w14:textId="77777777" w:rsidR="00407A2C" w:rsidRPr="00407A2C" w:rsidRDefault="00407A2C" w:rsidP="00407A2C">
            <w:pPr>
              <w:pStyle w:val="TableTextBase"/>
              <w:rPr>
                <w:sz w:val="16"/>
                <w:szCs w:val="16"/>
              </w:rPr>
            </w:pPr>
            <w:r w:rsidRPr="00407A2C">
              <w:rPr>
                <w:sz w:val="16"/>
                <w:szCs w:val="16"/>
              </w:rPr>
              <w:t>2023-26</w:t>
            </w:r>
          </w:p>
        </w:tc>
        <w:tc>
          <w:tcPr>
            <w:tcW w:w="3118" w:type="dxa"/>
            <w:tcBorders>
              <w:top w:val="dotted" w:sz="4" w:space="0" w:color="auto"/>
              <w:left w:val="single" w:sz="4" w:space="0" w:color="auto"/>
              <w:bottom w:val="dotted" w:sz="4" w:space="0" w:color="auto"/>
              <w:right w:val="single" w:sz="4" w:space="0" w:color="auto"/>
            </w:tcBorders>
          </w:tcPr>
          <w:p w14:paraId="4125702B" w14:textId="77777777" w:rsidR="00407A2C" w:rsidRPr="00407A2C" w:rsidRDefault="00407A2C" w:rsidP="008A2254">
            <w:pPr>
              <w:pStyle w:val="TableParagraph"/>
              <w:numPr>
                <w:ilvl w:val="0"/>
                <w:numId w:val="22"/>
              </w:numPr>
              <w:tabs>
                <w:tab w:val="left" w:pos="467"/>
                <w:tab w:val="left" w:pos="468"/>
              </w:tabs>
              <w:ind w:right="101"/>
              <w:rPr>
                <w:color w:val="231F20"/>
                <w:sz w:val="16"/>
                <w:szCs w:val="16"/>
              </w:rPr>
            </w:pPr>
            <w:r w:rsidRPr="00407A2C">
              <w:rPr>
                <w:color w:val="231F20"/>
                <w:sz w:val="16"/>
                <w:szCs w:val="16"/>
              </w:rPr>
              <w:t xml:space="preserve">Number of performance statements audit reports issued </w:t>
            </w:r>
          </w:p>
          <w:p w14:paraId="544CE9A0" w14:textId="77777777" w:rsidR="00407A2C" w:rsidRPr="00407A2C" w:rsidRDefault="00407A2C" w:rsidP="008A2254">
            <w:pPr>
              <w:pStyle w:val="TableParagraph"/>
              <w:numPr>
                <w:ilvl w:val="0"/>
                <w:numId w:val="22"/>
              </w:numPr>
              <w:tabs>
                <w:tab w:val="left" w:pos="467"/>
                <w:tab w:val="left" w:pos="468"/>
              </w:tabs>
              <w:ind w:right="101"/>
              <w:rPr>
                <w:color w:val="231F20"/>
                <w:sz w:val="16"/>
                <w:szCs w:val="16"/>
              </w:rPr>
            </w:pPr>
            <w:r w:rsidRPr="00407A2C">
              <w:rPr>
                <w:color w:val="231F20"/>
                <w:sz w:val="16"/>
                <w:szCs w:val="16"/>
              </w:rPr>
              <w:t>Percentage of performance statements audit reports issued in time to meet entity annual reporting timeframes</w:t>
            </w:r>
          </w:p>
          <w:p w14:paraId="25AB8E52" w14:textId="77777777" w:rsidR="00407A2C" w:rsidRPr="00407A2C" w:rsidRDefault="00407A2C" w:rsidP="008A2254">
            <w:pPr>
              <w:pStyle w:val="TableParagraph"/>
              <w:numPr>
                <w:ilvl w:val="0"/>
                <w:numId w:val="22"/>
              </w:numPr>
              <w:tabs>
                <w:tab w:val="left" w:pos="467"/>
                <w:tab w:val="left" w:pos="468"/>
              </w:tabs>
              <w:ind w:right="101"/>
              <w:rPr>
                <w:color w:val="231F20"/>
                <w:sz w:val="16"/>
                <w:szCs w:val="16"/>
              </w:rPr>
            </w:pPr>
            <w:r w:rsidRPr="00407A2C">
              <w:rPr>
                <w:color w:val="231F20"/>
                <w:sz w:val="16"/>
                <w:szCs w:val="16"/>
              </w:rPr>
              <w:t>Average cost of a performance statements audit does not increase from the prior year</w:t>
            </w:r>
          </w:p>
          <w:p w14:paraId="417FA88B" w14:textId="77777777" w:rsidR="00407A2C" w:rsidRPr="00407A2C" w:rsidRDefault="00407A2C" w:rsidP="008A2254">
            <w:pPr>
              <w:pStyle w:val="TableParagraph"/>
              <w:keepLines/>
              <w:numPr>
                <w:ilvl w:val="0"/>
                <w:numId w:val="22"/>
              </w:numPr>
              <w:tabs>
                <w:tab w:val="left" w:pos="467"/>
                <w:tab w:val="left" w:pos="468"/>
              </w:tabs>
              <w:ind w:left="465" w:right="102" w:hanging="357"/>
              <w:rPr>
                <w:color w:val="231F20"/>
                <w:sz w:val="16"/>
                <w:szCs w:val="16"/>
              </w:rPr>
            </w:pPr>
            <w:r w:rsidRPr="00407A2C">
              <w:rPr>
                <w:color w:val="231F20"/>
                <w:sz w:val="16"/>
                <w:szCs w:val="16"/>
              </w:rPr>
              <w:t>Percentage of moderate or significant findings and recommendations from performance statements audit reports agreed to by audited entities</w:t>
            </w:r>
          </w:p>
          <w:p w14:paraId="5971C4A5" w14:textId="77777777" w:rsidR="00407A2C" w:rsidRPr="00407A2C" w:rsidRDefault="00407A2C" w:rsidP="008A2254">
            <w:pPr>
              <w:pStyle w:val="TableParagraph"/>
              <w:numPr>
                <w:ilvl w:val="0"/>
                <w:numId w:val="22"/>
              </w:numPr>
              <w:tabs>
                <w:tab w:val="left" w:pos="467"/>
                <w:tab w:val="left" w:pos="468"/>
              </w:tabs>
              <w:ind w:right="101"/>
              <w:rPr>
                <w:color w:val="231F20"/>
                <w:sz w:val="16"/>
                <w:szCs w:val="16"/>
              </w:rPr>
            </w:pPr>
            <w:r w:rsidRPr="00407A2C">
              <w:rPr>
                <w:color w:val="231F20"/>
                <w:sz w:val="16"/>
                <w:szCs w:val="16"/>
              </w:rPr>
              <w:t>Percentage of agreed moderate or significant findings that are addressed by audited entities within 24 months of reporting</w:t>
            </w:r>
          </w:p>
          <w:p w14:paraId="7C91DA36" w14:textId="77777777" w:rsidR="00407A2C" w:rsidRPr="00407A2C" w:rsidRDefault="00407A2C" w:rsidP="00407A2C">
            <w:pPr>
              <w:pStyle w:val="TableTextBase"/>
              <w:rPr>
                <w:b/>
                <w:sz w:val="16"/>
                <w:szCs w:val="16"/>
              </w:rPr>
            </w:pPr>
          </w:p>
        </w:tc>
        <w:tc>
          <w:tcPr>
            <w:tcW w:w="3118" w:type="dxa"/>
            <w:tcBorders>
              <w:top w:val="dotted" w:sz="4" w:space="0" w:color="auto"/>
              <w:left w:val="single" w:sz="4" w:space="0" w:color="auto"/>
              <w:bottom w:val="dotted" w:sz="4" w:space="0" w:color="auto"/>
            </w:tcBorders>
          </w:tcPr>
          <w:p w14:paraId="026D3585" w14:textId="77777777" w:rsidR="00407A2C" w:rsidRPr="00407A2C" w:rsidRDefault="00407A2C" w:rsidP="008A2254">
            <w:pPr>
              <w:pStyle w:val="TableParagraph"/>
              <w:numPr>
                <w:ilvl w:val="0"/>
                <w:numId w:val="22"/>
              </w:numPr>
              <w:tabs>
                <w:tab w:val="left" w:pos="467"/>
                <w:tab w:val="left" w:pos="468"/>
              </w:tabs>
              <w:ind w:right="101"/>
              <w:rPr>
                <w:color w:val="231F20"/>
                <w:sz w:val="16"/>
                <w:szCs w:val="16"/>
              </w:rPr>
            </w:pPr>
            <w:r w:rsidRPr="00407A2C">
              <w:rPr>
                <w:color w:val="231F20"/>
                <w:sz w:val="16"/>
                <w:szCs w:val="16"/>
              </w:rPr>
              <w:t>10 performance statements audit reports issued in 2023-24 increasing to 14 in 2024-25 and 19 in 2025-26</w:t>
            </w:r>
          </w:p>
          <w:p w14:paraId="32AAD202" w14:textId="77777777" w:rsidR="00407A2C" w:rsidRPr="00407A2C" w:rsidRDefault="00407A2C" w:rsidP="008A2254">
            <w:pPr>
              <w:pStyle w:val="TableParagraph"/>
              <w:numPr>
                <w:ilvl w:val="0"/>
                <w:numId w:val="22"/>
              </w:numPr>
              <w:tabs>
                <w:tab w:val="left" w:pos="467"/>
                <w:tab w:val="left" w:pos="468"/>
              </w:tabs>
              <w:ind w:right="101"/>
              <w:rPr>
                <w:color w:val="231F20"/>
                <w:sz w:val="16"/>
                <w:szCs w:val="16"/>
              </w:rPr>
            </w:pPr>
            <w:r w:rsidRPr="00407A2C">
              <w:rPr>
                <w:color w:val="231F20"/>
                <w:sz w:val="16"/>
                <w:szCs w:val="16"/>
              </w:rPr>
              <w:t>100% of performance statements audit reports issued in time to meet entity annual reporting timeframes</w:t>
            </w:r>
          </w:p>
          <w:p w14:paraId="5E477463" w14:textId="77777777" w:rsidR="00407A2C" w:rsidRPr="00407A2C" w:rsidRDefault="00407A2C" w:rsidP="008A2254">
            <w:pPr>
              <w:pStyle w:val="TableParagraph"/>
              <w:keepLines/>
              <w:numPr>
                <w:ilvl w:val="0"/>
                <w:numId w:val="22"/>
              </w:numPr>
              <w:tabs>
                <w:tab w:val="left" w:pos="467"/>
                <w:tab w:val="left" w:pos="468"/>
              </w:tabs>
              <w:ind w:left="465" w:right="102" w:hanging="357"/>
              <w:rPr>
                <w:color w:val="231F20"/>
                <w:sz w:val="16"/>
                <w:szCs w:val="16"/>
              </w:rPr>
            </w:pPr>
            <w:r w:rsidRPr="00407A2C">
              <w:rPr>
                <w:color w:val="231F20"/>
                <w:sz w:val="16"/>
                <w:szCs w:val="16"/>
              </w:rPr>
              <w:t>Average cost of a performance statements audit does not increase from the prior year</w:t>
            </w:r>
          </w:p>
          <w:p w14:paraId="7648ECC1" w14:textId="77777777" w:rsidR="00407A2C" w:rsidRPr="00407A2C" w:rsidRDefault="00407A2C" w:rsidP="008A2254">
            <w:pPr>
              <w:pStyle w:val="TableParagraph"/>
              <w:numPr>
                <w:ilvl w:val="0"/>
                <w:numId w:val="22"/>
              </w:numPr>
              <w:tabs>
                <w:tab w:val="left" w:pos="467"/>
                <w:tab w:val="left" w:pos="468"/>
              </w:tabs>
              <w:ind w:right="101"/>
              <w:rPr>
                <w:color w:val="0070C0"/>
                <w:sz w:val="16"/>
                <w:szCs w:val="16"/>
              </w:rPr>
            </w:pPr>
            <w:r w:rsidRPr="00407A2C">
              <w:rPr>
                <w:color w:val="231F20"/>
                <w:sz w:val="16"/>
                <w:szCs w:val="16"/>
              </w:rPr>
              <w:t>90% of moderate or significant findings and recommendations from performance statements audit reports agreed to by audited entities</w:t>
            </w:r>
          </w:p>
          <w:p w14:paraId="66AF8C71" w14:textId="77777777" w:rsidR="00407A2C" w:rsidRPr="00407A2C" w:rsidRDefault="00407A2C" w:rsidP="008A2254">
            <w:pPr>
              <w:pStyle w:val="TableParagraph"/>
              <w:numPr>
                <w:ilvl w:val="0"/>
                <w:numId w:val="22"/>
              </w:numPr>
              <w:tabs>
                <w:tab w:val="left" w:pos="467"/>
                <w:tab w:val="left" w:pos="468"/>
              </w:tabs>
              <w:ind w:right="101"/>
              <w:rPr>
                <w:color w:val="231F20"/>
                <w:sz w:val="16"/>
                <w:szCs w:val="16"/>
              </w:rPr>
            </w:pPr>
            <w:r w:rsidRPr="00407A2C">
              <w:rPr>
                <w:color w:val="231F20"/>
                <w:sz w:val="16"/>
                <w:szCs w:val="16"/>
              </w:rPr>
              <w:t>70% of agreed moderate or significant findings are addressed by audited entities within 24 months of reporting</w:t>
            </w:r>
          </w:p>
        </w:tc>
      </w:tr>
      <w:tr w:rsidR="00407A2C" w:rsidRPr="001B2F81" w14:paraId="3D3FABCB" w14:textId="77777777" w:rsidTr="00F404CC">
        <w:trPr>
          <w:trHeight w:val="291"/>
        </w:trPr>
        <w:tc>
          <w:tcPr>
            <w:tcW w:w="7796" w:type="dxa"/>
            <w:gridSpan w:val="3"/>
          </w:tcPr>
          <w:p w14:paraId="10238205" w14:textId="77777777" w:rsidR="00407A2C" w:rsidRPr="00407A2C" w:rsidRDefault="00407A2C" w:rsidP="00407A2C">
            <w:pPr>
              <w:pStyle w:val="TableTextBase"/>
              <w:rPr>
                <w:rFonts w:eastAsia="Cambria"/>
                <w:bCs/>
                <w:iCs/>
                <w:color w:val="0070C0"/>
                <w:spacing w:val="-6"/>
                <w:sz w:val="16"/>
                <w:szCs w:val="16"/>
                <w:lang w:val="x-none"/>
              </w:rPr>
            </w:pPr>
            <w:r w:rsidRPr="00407A2C">
              <w:rPr>
                <w:sz w:val="16"/>
                <w:szCs w:val="16"/>
              </w:rPr>
              <w:t>Material changes to Program 1.3 resulting from 2022-23 Budget Measures: The ANAO is introducing a new program in 2022-23 for the staged implementation of performance statements auditing for the public sector, providing system-level assurance and transparency of its operation. Auditing of entity performance statements gives the Parliament the same level of assurance over non-financial performance information that it currently receives for financial performance information</w:t>
            </w:r>
          </w:p>
        </w:tc>
      </w:tr>
    </w:tbl>
    <w:p w14:paraId="4EAE6A81" w14:textId="77777777" w:rsidR="00F907D8" w:rsidRDefault="00F907D8" w:rsidP="00392A48">
      <w:pPr>
        <w:pStyle w:val="ChartandTableFootnoteAlpha"/>
        <w:numPr>
          <w:ilvl w:val="0"/>
          <w:numId w:val="104"/>
        </w:numPr>
      </w:pPr>
      <w:r w:rsidRPr="001B2F81">
        <w:t xml:space="preserve">New or modified performance </w:t>
      </w:r>
      <w:r w:rsidRPr="00E12264">
        <w:t>measures</w:t>
      </w:r>
      <w:r w:rsidRPr="001B2F81">
        <w:t xml:space="preserve"> that reflect new or materially changed programs are shown in </w:t>
      </w:r>
      <w:r w:rsidRPr="005B6A94">
        <w:t>italics.</w:t>
      </w:r>
      <w:r w:rsidRPr="001B2F81">
        <w:t xml:space="preserve"> </w:t>
      </w:r>
      <w:r w:rsidRPr="005B6A94">
        <w:t>Where new programs are established in the 2022-23 Budget, all of the performance measures related to that new program need to be shown</w:t>
      </w:r>
      <w:r>
        <w:t>.</w:t>
      </w:r>
    </w:p>
    <w:p w14:paraId="1438B5F3" w14:textId="77777777" w:rsidR="000A1300" w:rsidRDefault="000A1300" w:rsidP="000A1300"/>
    <w:p w14:paraId="5EA8F202" w14:textId="77777777" w:rsidR="000A1300" w:rsidRDefault="000A1300" w:rsidP="000A1300"/>
    <w:p w14:paraId="1259228D" w14:textId="77777777" w:rsidR="000A1300" w:rsidRDefault="000A1300" w:rsidP="000A1300"/>
    <w:p w14:paraId="008F3D50" w14:textId="77777777" w:rsidR="000A1300" w:rsidRDefault="000A1300" w:rsidP="000A1300"/>
    <w:p w14:paraId="122FE17C" w14:textId="77777777" w:rsidR="000A1300" w:rsidRDefault="000A1300" w:rsidP="000A1300"/>
    <w:p w14:paraId="51EA0719" w14:textId="77777777" w:rsidR="000A1300" w:rsidRDefault="000A1300" w:rsidP="000A1300"/>
    <w:p w14:paraId="1A1F2024" w14:textId="77777777" w:rsidR="000A1300" w:rsidRDefault="000A1300" w:rsidP="000A1300"/>
    <w:p w14:paraId="3720BCFA" w14:textId="77777777" w:rsidR="000A1300" w:rsidRDefault="000A1300" w:rsidP="000A1300"/>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3281"/>
        <w:gridCol w:w="3008"/>
      </w:tblGrid>
      <w:tr w:rsidR="000A1300" w:rsidRPr="001B2F81" w14:paraId="28F2B1EB" w14:textId="77777777" w:rsidTr="00F404CC">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cPr>
          <w:p w14:paraId="7DFE89A0" w14:textId="77777777" w:rsidR="000A1300" w:rsidRPr="008B79B5" w:rsidRDefault="000A1300" w:rsidP="00E93033">
            <w:pPr>
              <w:pStyle w:val="TableTextLeft"/>
              <w:rPr>
                <w:b/>
              </w:rPr>
            </w:pPr>
            <w:r w:rsidRPr="008B79B5">
              <w:rPr>
                <w:rStyle w:val="TableHeadingChar"/>
                <w:color w:val="auto"/>
                <w:lang w:val="en-AU" w:eastAsia="en-AU"/>
              </w:rPr>
              <w:t xml:space="preserve">Outcome 1 </w:t>
            </w:r>
            <w:r w:rsidR="00E93033" w:rsidRPr="00407A2C">
              <w:rPr>
                <w:rStyle w:val="TableHeadingChar"/>
                <w:b w:val="0"/>
                <w:lang w:val="en-AU"/>
              </w:rPr>
              <w:t>–</w:t>
            </w:r>
            <w:r w:rsidRPr="008B79B5">
              <w:rPr>
                <w:rStyle w:val="TableHeadingChar"/>
                <w:color w:val="auto"/>
                <w:lang w:val="en-AU" w:eastAsia="en-AU"/>
              </w:rPr>
              <w:t xml:space="preserve"> </w:t>
            </w:r>
            <w:r w:rsidRPr="008B79B5">
              <w:rPr>
                <w:b/>
              </w:rPr>
              <w:t>To improve public sector performance and accountability through independent reporting on Australian Government administration to Parliament, the Executive and the public.</w:t>
            </w:r>
          </w:p>
        </w:tc>
      </w:tr>
      <w:tr w:rsidR="000A1300" w:rsidRPr="001B2F81" w14:paraId="72BFB8DA" w14:textId="77777777" w:rsidTr="00F404CC">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cPr>
          <w:p w14:paraId="01A04257" w14:textId="77777777" w:rsidR="000A1300" w:rsidRPr="008B79B5" w:rsidRDefault="000A1300" w:rsidP="00F404CC">
            <w:pPr>
              <w:pStyle w:val="TableTextLeft"/>
              <w:rPr>
                <w:b/>
              </w:rPr>
            </w:pPr>
            <w:r>
              <w:rPr>
                <w:b/>
              </w:rPr>
              <w:t>Shared performance criteria for Programs 1.1, 1.2 and 1.3</w:t>
            </w:r>
          </w:p>
          <w:p w14:paraId="7C1DBF65" w14:textId="77777777" w:rsidR="000A1300" w:rsidRDefault="000A1300" w:rsidP="00F404CC">
            <w:pPr>
              <w:pStyle w:val="TableParagraph"/>
              <w:spacing w:before="61"/>
              <w:ind w:left="107"/>
              <w:rPr>
                <w:sz w:val="16"/>
              </w:rPr>
            </w:pPr>
            <w:r>
              <w:rPr>
                <w:color w:val="231F20"/>
                <w:sz w:val="16"/>
              </w:rPr>
              <w:t>The</w:t>
            </w:r>
            <w:r>
              <w:rPr>
                <w:color w:val="231F20"/>
                <w:spacing w:val="-5"/>
                <w:sz w:val="16"/>
              </w:rPr>
              <w:t xml:space="preserve"> </w:t>
            </w:r>
            <w:r>
              <w:rPr>
                <w:color w:val="231F20"/>
                <w:sz w:val="16"/>
              </w:rPr>
              <w:t>ANAO</w:t>
            </w:r>
            <w:r>
              <w:rPr>
                <w:color w:val="231F20"/>
                <w:spacing w:val="-4"/>
                <w:sz w:val="16"/>
              </w:rPr>
              <w:t xml:space="preserve"> </w:t>
            </w:r>
            <w:r>
              <w:rPr>
                <w:color w:val="231F20"/>
                <w:sz w:val="16"/>
              </w:rPr>
              <w:t>has</w:t>
            </w:r>
            <w:r>
              <w:rPr>
                <w:color w:val="231F20"/>
                <w:spacing w:val="-5"/>
                <w:sz w:val="16"/>
              </w:rPr>
              <w:t xml:space="preserve"> </w:t>
            </w:r>
            <w:r>
              <w:rPr>
                <w:color w:val="231F20"/>
                <w:sz w:val="16"/>
              </w:rPr>
              <w:t>a</w:t>
            </w:r>
            <w:r>
              <w:rPr>
                <w:color w:val="231F20"/>
                <w:spacing w:val="-4"/>
                <w:sz w:val="16"/>
              </w:rPr>
              <w:t xml:space="preserve"> </w:t>
            </w:r>
            <w:r>
              <w:rPr>
                <w:color w:val="231F20"/>
                <w:sz w:val="16"/>
              </w:rPr>
              <w:t>number</w:t>
            </w:r>
            <w:r>
              <w:rPr>
                <w:color w:val="231F20"/>
                <w:spacing w:val="-5"/>
                <w:sz w:val="16"/>
              </w:rPr>
              <w:t xml:space="preserve"> </w:t>
            </w:r>
            <w:r>
              <w:rPr>
                <w:color w:val="231F20"/>
                <w:sz w:val="16"/>
              </w:rPr>
              <w:t>of</w:t>
            </w:r>
            <w:r>
              <w:rPr>
                <w:color w:val="231F20"/>
                <w:spacing w:val="-4"/>
                <w:sz w:val="16"/>
              </w:rPr>
              <w:t xml:space="preserve"> </w:t>
            </w:r>
            <w:r>
              <w:rPr>
                <w:color w:val="231F20"/>
                <w:sz w:val="16"/>
              </w:rPr>
              <w:t>performance</w:t>
            </w:r>
            <w:r>
              <w:rPr>
                <w:color w:val="231F20"/>
                <w:spacing w:val="-4"/>
                <w:sz w:val="16"/>
              </w:rPr>
              <w:t xml:space="preserve"> </w:t>
            </w:r>
            <w:r>
              <w:rPr>
                <w:color w:val="231F20"/>
                <w:sz w:val="16"/>
              </w:rPr>
              <w:t>criteria</w:t>
            </w:r>
            <w:r>
              <w:rPr>
                <w:color w:val="231F20"/>
                <w:spacing w:val="-5"/>
                <w:sz w:val="16"/>
              </w:rPr>
              <w:t xml:space="preserve"> </w:t>
            </w:r>
            <w:r>
              <w:rPr>
                <w:color w:val="231F20"/>
                <w:sz w:val="16"/>
              </w:rPr>
              <w:t>that</w:t>
            </w:r>
            <w:r>
              <w:rPr>
                <w:color w:val="231F20"/>
                <w:spacing w:val="-4"/>
                <w:sz w:val="16"/>
              </w:rPr>
              <w:t xml:space="preserve"> </w:t>
            </w:r>
            <w:r>
              <w:rPr>
                <w:color w:val="231F20"/>
                <w:sz w:val="16"/>
              </w:rPr>
              <w:t>apply</w:t>
            </w:r>
            <w:r>
              <w:rPr>
                <w:color w:val="231F20"/>
                <w:spacing w:val="-5"/>
                <w:sz w:val="16"/>
              </w:rPr>
              <w:t xml:space="preserve"> </w:t>
            </w:r>
            <w:r>
              <w:rPr>
                <w:color w:val="231F20"/>
                <w:sz w:val="16"/>
              </w:rPr>
              <w:t>to</w:t>
            </w:r>
            <w:r>
              <w:rPr>
                <w:color w:val="231F20"/>
                <w:spacing w:val="-5"/>
                <w:sz w:val="16"/>
              </w:rPr>
              <w:t xml:space="preserve"> </w:t>
            </w:r>
            <w:r>
              <w:rPr>
                <w:color w:val="231F20"/>
                <w:sz w:val="16"/>
              </w:rPr>
              <w:t>programs</w:t>
            </w:r>
            <w:r>
              <w:rPr>
                <w:color w:val="231F20"/>
                <w:spacing w:val="-5"/>
                <w:sz w:val="16"/>
              </w:rPr>
              <w:t xml:space="preserve"> </w:t>
            </w:r>
            <w:r>
              <w:rPr>
                <w:color w:val="231F20"/>
                <w:sz w:val="16"/>
              </w:rPr>
              <w:t>1.1, 1.2</w:t>
            </w:r>
            <w:r>
              <w:rPr>
                <w:color w:val="231F20"/>
                <w:spacing w:val="-4"/>
                <w:sz w:val="16"/>
              </w:rPr>
              <w:t xml:space="preserve"> </w:t>
            </w:r>
            <w:r>
              <w:rPr>
                <w:color w:val="231F20"/>
                <w:sz w:val="16"/>
              </w:rPr>
              <w:t>and</w:t>
            </w:r>
            <w:r>
              <w:rPr>
                <w:color w:val="231F20"/>
                <w:spacing w:val="-4"/>
                <w:sz w:val="16"/>
              </w:rPr>
              <w:t xml:space="preserve"> </w:t>
            </w:r>
            <w:r>
              <w:rPr>
                <w:color w:val="231F20"/>
                <w:sz w:val="16"/>
              </w:rPr>
              <w:t>1.3,</w:t>
            </w:r>
            <w:r>
              <w:rPr>
                <w:color w:val="231F20"/>
                <w:spacing w:val="-4"/>
                <w:sz w:val="16"/>
              </w:rPr>
              <w:t xml:space="preserve"> </w:t>
            </w:r>
            <w:r>
              <w:rPr>
                <w:color w:val="231F20"/>
                <w:sz w:val="16"/>
              </w:rPr>
              <w:t>and</w:t>
            </w:r>
            <w:r>
              <w:rPr>
                <w:color w:val="231F20"/>
                <w:spacing w:val="-4"/>
                <w:sz w:val="16"/>
              </w:rPr>
              <w:t xml:space="preserve"> </w:t>
            </w:r>
            <w:r>
              <w:rPr>
                <w:color w:val="231F20"/>
                <w:sz w:val="16"/>
              </w:rPr>
              <w:t>are</w:t>
            </w:r>
            <w:r>
              <w:rPr>
                <w:color w:val="231F20"/>
                <w:spacing w:val="-5"/>
                <w:sz w:val="16"/>
              </w:rPr>
              <w:t xml:space="preserve"> </w:t>
            </w:r>
            <w:r>
              <w:rPr>
                <w:color w:val="231F20"/>
                <w:sz w:val="16"/>
              </w:rPr>
              <w:t>reported</w:t>
            </w:r>
            <w:r>
              <w:rPr>
                <w:color w:val="231F20"/>
                <w:spacing w:val="1"/>
                <w:sz w:val="16"/>
              </w:rPr>
              <w:t xml:space="preserve"> </w:t>
            </w:r>
            <w:r>
              <w:rPr>
                <w:color w:val="231F20"/>
                <w:sz w:val="16"/>
              </w:rPr>
              <w:t>on</w:t>
            </w:r>
            <w:r>
              <w:rPr>
                <w:color w:val="231F20"/>
                <w:spacing w:val="-1"/>
                <w:sz w:val="16"/>
              </w:rPr>
              <w:t xml:space="preserve"> </w:t>
            </w:r>
            <w:r>
              <w:rPr>
                <w:color w:val="231F20"/>
                <w:sz w:val="16"/>
              </w:rPr>
              <w:t>collectively. All programs contribute to the outcome by:</w:t>
            </w:r>
          </w:p>
          <w:p w14:paraId="1C4483F3" w14:textId="77777777" w:rsidR="000A1300" w:rsidRPr="003D263F" w:rsidRDefault="000A1300" w:rsidP="008A2254">
            <w:pPr>
              <w:pStyle w:val="TableParagraph"/>
              <w:numPr>
                <w:ilvl w:val="0"/>
                <w:numId w:val="21"/>
              </w:numPr>
              <w:tabs>
                <w:tab w:val="left" w:pos="816"/>
                <w:tab w:val="left" w:pos="817"/>
              </w:tabs>
              <w:spacing w:before="59"/>
              <w:ind w:right="859" w:hanging="360"/>
              <w:rPr>
                <w:color w:val="231F20"/>
                <w:sz w:val="16"/>
              </w:rPr>
            </w:pPr>
            <w:r>
              <w:rPr>
                <w:color w:val="231F20"/>
                <w:sz w:val="16"/>
              </w:rPr>
              <w:t>facilitating</w:t>
            </w:r>
            <w:r w:rsidRPr="003D263F">
              <w:rPr>
                <w:color w:val="231F20"/>
                <w:sz w:val="16"/>
              </w:rPr>
              <w:t xml:space="preserve"> </w:t>
            </w:r>
            <w:r>
              <w:rPr>
                <w:color w:val="231F20"/>
                <w:sz w:val="16"/>
              </w:rPr>
              <w:t>dissemination</w:t>
            </w:r>
            <w:r w:rsidRPr="003D263F">
              <w:rPr>
                <w:color w:val="231F20"/>
                <w:sz w:val="16"/>
              </w:rPr>
              <w:t xml:space="preserve"> </w:t>
            </w:r>
            <w:r>
              <w:rPr>
                <w:color w:val="231F20"/>
                <w:sz w:val="16"/>
              </w:rPr>
              <w:t>of</w:t>
            </w:r>
            <w:r w:rsidRPr="003D263F">
              <w:rPr>
                <w:color w:val="231F20"/>
                <w:sz w:val="16"/>
              </w:rPr>
              <w:t xml:space="preserve"> </w:t>
            </w:r>
            <w:r>
              <w:rPr>
                <w:color w:val="231F20"/>
                <w:sz w:val="16"/>
              </w:rPr>
              <w:t>the</w:t>
            </w:r>
            <w:r w:rsidRPr="003D263F">
              <w:rPr>
                <w:color w:val="231F20"/>
                <w:sz w:val="16"/>
              </w:rPr>
              <w:t xml:space="preserve"> </w:t>
            </w:r>
            <w:r>
              <w:rPr>
                <w:color w:val="231F20"/>
                <w:sz w:val="16"/>
              </w:rPr>
              <w:t>ANAO's</w:t>
            </w:r>
            <w:r w:rsidRPr="003D263F">
              <w:rPr>
                <w:color w:val="231F20"/>
                <w:sz w:val="16"/>
              </w:rPr>
              <w:t xml:space="preserve"> </w:t>
            </w:r>
            <w:r>
              <w:rPr>
                <w:color w:val="231F20"/>
                <w:sz w:val="16"/>
              </w:rPr>
              <w:t>findings</w:t>
            </w:r>
            <w:r w:rsidRPr="003D263F">
              <w:rPr>
                <w:color w:val="231F20"/>
                <w:sz w:val="16"/>
              </w:rPr>
              <w:t xml:space="preserve"> </w:t>
            </w:r>
            <w:r>
              <w:rPr>
                <w:color w:val="231F20"/>
                <w:sz w:val="16"/>
              </w:rPr>
              <w:t>to</w:t>
            </w:r>
            <w:r w:rsidRPr="003D263F">
              <w:rPr>
                <w:color w:val="231F20"/>
                <w:sz w:val="16"/>
              </w:rPr>
              <w:t xml:space="preserve"> </w:t>
            </w:r>
            <w:r>
              <w:rPr>
                <w:color w:val="231F20"/>
                <w:sz w:val="16"/>
              </w:rPr>
              <w:t>members</w:t>
            </w:r>
            <w:r w:rsidRPr="003D263F">
              <w:rPr>
                <w:color w:val="231F20"/>
                <w:sz w:val="16"/>
              </w:rPr>
              <w:t xml:space="preserve"> </w:t>
            </w:r>
            <w:r>
              <w:rPr>
                <w:color w:val="231F20"/>
                <w:sz w:val="16"/>
              </w:rPr>
              <w:t>of</w:t>
            </w:r>
            <w:r w:rsidRPr="003D263F">
              <w:rPr>
                <w:color w:val="231F20"/>
                <w:sz w:val="16"/>
              </w:rPr>
              <w:t xml:space="preserve"> </w:t>
            </w:r>
            <w:r>
              <w:rPr>
                <w:color w:val="231F20"/>
                <w:sz w:val="16"/>
              </w:rPr>
              <w:t>Parliament,</w:t>
            </w:r>
            <w:r w:rsidRPr="003D263F">
              <w:rPr>
                <w:color w:val="231F20"/>
                <w:sz w:val="16"/>
              </w:rPr>
              <w:t xml:space="preserve"> </w:t>
            </w:r>
            <w:r>
              <w:rPr>
                <w:color w:val="231F20"/>
                <w:sz w:val="16"/>
              </w:rPr>
              <w:t>the</w:t>
            </w:r>
            <w:r w:rsidRPr="003D263F">
              <w:rPr>
                <w:color w:val="231F20"/>
                <w:sz w:val="16"/>
              </w:rPr>
              <w:t xml:space="preserve"> </w:t>
            </w:r>
            <w:r>
              <w:rPr>
                <w:color w:val="231F20"/>
                <w:sz w:val="16"/>
              </w:rPr>
              <w:t>Executive</w:t>
            </w:r>
            <w:r w:rsidRPr="003D263F">
              <w:rPr>
                <w:color w:val="231F20"/>
                <w:sz w:val="16"/>
              </w:rPr>
              <w:t xml:space="preserve"> </w:t>
            </w:r>
            <w:r>
              <w:rPr>
                <w:color w:val="231F20"/>
                <w:sz w:val="16"/>
              </w:rPr>
              <w:t>and</w:t>
            </w:r>
            <w:r w:rsidRPr="003D263F">
              <w:rPr>
                <w:color w:val="231F20"/>
                <w:sz w:val="16"/>
              </w:rPr>
              <w:t xml:space="preserve"> </w:t>
            </w:r>
            <w:r w:rsidRPr="00593B12">
              <w:rPr>
                <w:color w:val="231F20"/>
                <w:sz w:val="16"/>
              </w:rPr>
              <w:t>the</w:t>
            </w:r>
            <w:r w:rsidRPr="003D263F">
              <w:rPr>
                <w:color w:val="231F20"/>
                <w:sz w:val="16"/>
              </w:rPr>
              <w:t xml:space="preserve"> </w:t>
            </w:r>
            <w:r w:rsidR="00F907D8">
              <w:rPr>
                <w:color w:val="231F20"/>
                <w:sz w:val="16"/>
              </w:rPr>
              <w:t>public</w:t>
            </w:r>
          </w:p>
          <w:p w14:paraId="0B86C2D8" w14:textId="77777777" w:rsidR="000A1300" w:rsidRPr="003D263F" w:rsidRDefault="000A1300" w:rsidP="008A2254">
            <w:pPr>
              <w:pStyle w:val="TableParagraph"/>
              <w:numPr>
                <w:ilvl w:val="0"/>
                <w:numId w:val="21"/>
              </w:numPr>
              <w:tabs>
                <w:tab w:val="left" w:pos="816"/>
                <w:tab w:val="left" w:pos="817"/>
              </w:tabs>
              <w:spacing w:before="59"/>
              <w:ind w:right="859" w:hanging="360"/>
              <w:rPr>
                <w:color w:val="231F20"/>
                <w:sz w:val="16"/>
              </w:rPr>
            </w:pPr>
            <w:r>
              <w:rPr>
                <w:color w:val="231F20"/>
                <w:sz w:val="16"/>
              </w:rPr>
              <w:t>providing</w:t>
            </w:r>
            <w:r w:rsidRPr="003D263F">
              <w:rPr>
                <w:color w:val="231F20"/>
                <w:sz w:val="16"/>
              </w:rPr>
              <w:t xml:space="preserve"> </w:t>
            </w:r>
            <w:r>
              <w:rPr>
                <w:color w:val="231F20"/>
                <w:sz w:val="16"/>
              </w:rPr>
              <w:t>organisation-wide</w:t>
            </w:r>
            <w:r w:rsidRPr="003D263F">
              <w:rPr>
                <w:color w:val="231F20"/>
                <w:sz w:val="16"/>
              </w:rPr>
              <w:t xml:space="preserve"> </w:t>
            </w:r>
            <w:r>
              <w:rPr>
                <w:color w:val="231F20"/>
                <w:sz w:val="16"/>
              </w:rPr>
              <w:t>support</w:t>
            </w:r>
            <w:r w:rsidRPr="003D263F">
              <w:rPr>
                <w:color w:val="231F20"/>
                <w:sz w:val="16"/>
              </w:rPr>
              <w:t xml:space="preserve"> </w:t>
            </w:r>
            <w:r>
              <w:rPr>
                <w:color w:val="231F20"/>
                <w:sz w:val="16"/>
              </w:rPr>
              <w:t>services</w:t>
            </w:r>
            <w:r w:rsidRPr="003D263F">
              <w:rPr>
                <w:color w:val="231F20"/>
                <w:sz w:val="16"/>
              </w:rPr>
              <w:t xml:space="preserve"> </w:t>
            </w:r>
            <w:r>
              <w:rPr>
                <w:color w:val="231F20"/>
                <w:sz w:val="16"/>
              </w:rPr>
              <w:t>for</w:t>
            </w:r>
            <w:r w:rsidRPr="003D263F">
              <w:rPr>
                <w:color w:val="231F20"/>
                <w:sz w:val="16"/>
              </w:rPr>
              <w:t xml:space="preserve"> </w:t>
            </w:r>
            <w:r>
              <w:rPr>
                <w:color w:val="231F20"/>
                <w:sz w:val="16"/>
              </w:rPr>
              <w:t>the</w:t>
            </w:r>
            <w:r w:rsidRPr="003D263F">
              <w:rPr>
                <w:color w:val="231F20"/>
                <w:sz w:val="16"/>
              </w:rPr>
              <w:t xml:space="preserve"> </w:t>
            </w:r>
            <w:r>
              <w:rPr>
                <w:color w:val="231F20"/>
                <w:sz w:val="16"/>
              </w:rPr>
              <w:t>ANAO,</w:t>
            </w:r>
            <w:r w:rsidRPr="003D263F">
              <w:rPr>
                <w:color w:val="231F20"/>
                <w:sz w:val="16"/>
              </w:rPr>
              <w:t xml:space="preserve"> </w:t>
            </w:r>
            <w:r>
              <w:rPr>
                <w:color w:val="231F20"/>
                <w:sz w:val="16"/>
              </w:rPr>
              <w:t>based</w:t>
            </w:r>
            <w:r w:rsidRPr="003D263F">
              <w:rPr>
                <w:color w:val="231F20"/>
                <w:sz w:val="16"/>
              </w:rPr>
              <w:t xml:space="preserve"> </w:t>
            </w:r>
            <w:r>
              <w:rPr>
                <w:color w:val="231F20"/>
                <w:sz w:val="16"/>
              </w:rPr>
              <w:t>on</w:t>
            </w:r>
            <w:r w:rsidRPr="003D263F">
              <w:rPr>
                <w:color w:val="231F20"/>
                <w:sz w:val="16"/>
              </w:rPr>
              <w:t xml:space="preserve"> </w:t>
            </w:r>
            <w:r>
              <w:rPr>
                <w:color w:val="231F20"/>
                <w:sz w:val="16"/>
              </w:rPr>
              <w:t>specialised</w:t>
            </w:r>
            <w:r w:rsidRPr="003D263F">
              <w:rPr>
                <w:color w:val="231F20"/>
                <w:sz w:val="16"/>
              </w:rPr>
              <w:t xml:space="preserve"> </w:t>
            </w:r>
            <w:r>
              <w:rPr>
                <w:color w:val="231F20"/>
                <w:sz w:val="16"/>
              </w:rPr>
              <w:t>knowledge,</w:t>
            </w:r>
            <w:r w:rsidRPr="003D263F">
              <w:rPr>
                <w:color w:val="231F20"/>
                <w:sz w:val="16"/>
              </w:rPr>
              <w:t xml:space="preserve"> </w:t>
            </w:r>
            <w:r w:rsidRPr="00593B12">
              <w:rPr>
                <w:color w:val="231F20"/>
                <w:sz w:val="16"/>
              </w:rPr>
              <w:t>professional</w:t>
            </w:r>
            <w:r w:rsidRPr="003D263F">
              <w:rPr>
                <w:color w:val="231F20"/>
                <w:sz w:val="16"/>
              </w:rPr>
              <w:t xml:space="preserve"> </w:t>
            </w:r>
            <w:r w:rsidR="00F907D8">
              <w:rPr>
                <w:color w:val="231F20"/>
                <w:sz w:val="16"/>
              </w:rPr>
              <w:t>practice and technology</w:t>
            </w:r>
            <w:r w:rsidR="00E93033">
              <w:rPr>
                <w:color w:val="231F20"/>
                <w:sz w:val="16"/>
              </w:rPr>
              <w:t>,</w:t>
            </w:r>
            <w:r w:rsidRPr="00593B12">
              <w:rPr>
                <w:color w:val="231F20"/>
                <w:sz w:val="16"/>
              </w:rPr>
              <w:t xml:space="preserve"> and</w:t>
            </w:r>
          </w:p>
          <w:p w14:paraId="4BED8979" w14:textId="77777777" w:rsidR="000A1300" w:rsidRPr="008B79B5" w:rsidRDefault="000A1300" w:rsidP="008A2254">
            <w:pPr>
              <w:pStyle w:val="TableParagraph"/>
              <w:numPr>
                <w:ilvl w:val="0"/>
                <w:numId w:val="21"/>
              </w:numPr>
              <w:tabs>
                <w:tab w:val="left" w:pos="816"/>
                <w:tab w:val="left" w:pos="817"/>
              </w:tabs>
              <w:spacing w:before="59"/>
              <w:ind w:right="859" w:hanging="360"/>
              <w:rPr>
                <w:rFonts w:eastAsia="Times New Roman" w:cs="Times New Roman"/>
                <w:b/>
                <w:sz w:val="18"/>
                <w:szCs w:val="20"/>
                <w:lang w:val="en-AU" w:eastAsia="en-AU"/>
              </w:rPr>
            </w:pPr>
            <w:r>
              <w:rPr>
                <w:color w:val="231F20"/>
                <w:sz w:val="16"/>
              </w:rPr>
              <w:t>ensuring</w:t>
            </w:r>
            <w:r w:rsidRPr="003D263F">
              <w:rPr>
                <w:color w:val="231F20"/>
                <w:sz w:val="16"/>
              </w:rPr>
              <w:t xml:space="preserve"> </w:t>
            </w:r>
            <w:r>
              <w:rPr>
                <w:color w:val="231F20"/>
                <w:sz w:val="16"/>
              </w:rPr>
              <w:t>ANAO audits</w:t>
            </w:r>
            <w:r w:rsidRPr="003D263F">
              <w:rPr>
                <w:color w:val="231F20"/>
                <w:sz w:val="16"/>
              </w:rPr>
              <w:t xml:space="preserve"> </w:t>
            </w:r>
            <w:r>
              <w:rPr>
                <w:color w:val="231F20"/>
                <w:sz w:val="16"/>
              </w:rPr>
              <w:t>are</w:t>
            </w:r>
            <w:r w:rsidRPr="003D263F">
              <w:rPr>
                <w:color w:val="231F20"/>
                <w:sz w:val="16"/>
              </w:rPr>
              <w:t xml:space="preserve"> </w:t>
            </w:r>
            <w:r>
              <w:rPr>
                <w:color w:val="231F20"/>
                <w:sz w:val="16"/>
              </w:rPr>
              <w:t>of</w:t>
            </w:r>
            <w:r w:rsidRPr="003D263F">
              <w:rPr>
                <w:color w:val="231F20"/>
                <w:sz w:val="16"/>
              </w:rPr>
              <w:t xml:space="preserve"> </w:t>
            </w:r>
            <w:r>
              <w:rPr>
                <w:color w:val="231F20"/>
                <w:sz w:val="16"/>
              </w:rPr>
              <w:t>high quality</w:t>
            </w:r>
            <w:r w:rsidRPr="003D263F">
              <w:rPr>
                <w:color w:val="231F20"/>
                <w:sz w:val="16"/>
              </w:rPr>
              <w:t xml:space="preserve"> </w:t>
            </w:r>
            <w:r>
              <w:rPr>
                <w:color w:val="231F20"/>
                <w:sz w:val="16"/>
              </w:rPr>
              <w:t>and</w:t>
            </w:r>
            <w:r w:rsidRPr="003D263F">
              <w:rPr>
                <w:color w:val="231F20"/>
                <w:sz w:val="16"/>
              </w:rPr>
              <w:t xml:space="preserve"> </w:t>
            </w:r>
            <w:r>
              <w:rPr>
                <w:color w:val="231F20"/>
                <w:sz w:val="16"/>
              </w:rPr>
              <w:t>compliant</w:t>
            </w:r>
            <w:r w:rsidRPr="003D263F">
              <w:rPr>
                <w:color w:val="231F20"/>
                <w:sz w:val="16"/>
              </w:rPr>
              <w:t xml:space="preserve"> </w:t>
            </w:r>
            <w:r>
              <w:rPr>
                <w:color w:val="231F20"/>
                <w:sz w:val="16"/>
              </w:rPr>
              <w:t>with</w:t>
            </w:r>
            <w:r w:rsidRPr="003D263F">
              <w:rPr>
                <w:color w:val="231F20"/>
                <w:sz w:val="16"/>
              </w:rPr>
              <w:t xml:space="preserve"> </w:t>
            </w:r>
            <w:r>
              <w:rPr>
                <w:color w:val="231F20"/>
                <w:sz w:val="16"/>
              </w:rPr>
              <w:t>auditing</w:t>
            </w:r>
            <w:r w:rsidRPr="003D263F">
              <w:rPr>
                <w:color w:val="231F20"/>
                <w:sz w:val="16"/>
              </w:rPr>
              <w:t xml:space="preserve"> </w:t>
            </w:r>
            <w:r>
              <w:rPr>
                <w:color w:val="231F20"/>
                <w:sz w:val="16"/>
              </w:rPr>
              <w:t>standards.</w:t>
            </w:r>
          </w:p>
        </w:tc>
      </w:tr>
      <w:tr w:rsidR="000A1300" w:rsidRPr="001B2F81" w14:paraId="7099EBAA" w14:textId="77777777" w:rsidTr="00F404CC">
        <w:trPr>
          <w:trHeight w:val="694"/>
        </w:trPr>
        <w:tc>
          <w:tcPr>
            <w:tcW w:w="1507" w:type="dxa"/>
            <w:tcBorders>
              <w:bottom w:val="double" w:sz="4" w:space="0" w:color="auto"/>
            </w:tcBorders>
          </w:tcPr>
          <w:p w14:paraId="4023717D" w14:textId="77777777" w:rsidR="000A1300" w:rsidRPr="00160C23" w:rsidRDefault="000A1300" w:rsidP="00F404CC">
            <w:pPr>
              <w:tabs>
                <w:tab w:val="left" w:pos="709"/>
              </w:tabs>
              <w:spacing w:before="60"/>
              <w:rPr>
                <w:rFonts w:ascii="Arial" w:hAnsi="Arial" w:cs="Arial"/>
                <w:b/>
                <w:sz w:val="16"/>
                <w:szCs w:val="16"/>
              </w:rPr>
            </w:pPr>
            <w:r w:rsidRPr="00160C23">
              <w:rPr>
                <w:rFonts w:ascii="Arial" w:hAnsi="Arial" w:cs="Arial"/>
                <w:b/>
                <w:sz w:val="16"/>
                <w:szCs w:val="16"/>
              </w:rPr>
              <w:t>Key Activities (a)</w:t>
            </w:r>
          </w:p>
        </w:tc>
        <w:tc>
          <w:tcPr>
            <w:tcW w:w="6289" w:type="dxa"/>
            <w:gridSpan w:val="2"/>
            <w:tcBorders>
              <w:bottom w:val="double" w:sz="4" w:space="0" w:color="auto"/>
            </w:tcBorders>
          </w:tcPr>
          <w:p w14:paraId="2AC5B0A3" w14:textId="77777777" w:rsidR="000A1300" w:rsidRPr="00593B12" w:rsidRDefault="000A1300" w:rsidP="00F404CC">
            <w:pPr>
              <w:pStyle w:val="TableParagraph"/>
              <w:spacing w:before="57"/>
              <w:ind w:left="107" w:right="98"/>
              <w:rPr>
                <w:color w:val="231F20"/>
                <w:sz w:val="16"/>
              </w:rPr>
            </w:pPr>
            <w:r>
              <w:rPr>
                <w:color w:val="231F20"/>
                <w:sz w:val="16"/>
              </w:rPr>
              <w:t>Providing</w:t>
            </w:r>
            <w:r>
              <w:rPr>
                <w:color w:val="231F20"/>
                <w:spacing w:val="20"/>
                <w:sz w:val="16"/>
              </w:rPr>
              <w:t xml:space="preserve"> </w:t>
            </w:r>
            <w:r>
              <w:rPr>
                <w:color w:val="231F20"/>
                <w:sz w:val="16"/>
              </w:rPr>
              <w:t>independent</w:t>
            </w:r>
            <w:r>
              <w:rPr>
                <w:color w:val="231F20"/>
                <w:spacing w:val="20"/>
                <w:sz w:val="16"/>
              </w:rPr>
              <w:t xml:space="preserve"> </w:t>
            </w:r>
            <w:r>
              <w:rPr>
                <w:color w:val="231F20"/>
                <w:sz w:val="16"/>
              </w:rPr>
              <w:t>assurance</w:t>
            </w:r>
            <w:r>
              <w:rPr>
                <w:color w:val="231F20"/>
                <w:spacing w:val="21"/>
                <w:sz w:val="16"/>
              </w:rPr>
              <w:t xml:space="preserve"> </w:t>
            </w:r>
            <w:r>
              <w:rPr>
                <w:color w:val="231F20"/>
                <w:sz w:val="16"/>
              </w:rPr>
              <w:t>to</w:t>
            </w:r>
            <w:r>
              <w:rPr>
                <w:color w:val="231F20"/>
                <w:spacing w:val="20"/>
                <w:sz w:val="16"/>
              </w:rPr>
              <w:t xml:space="preserve"> </w:t>
            </w:r>
            <w:r>
              <w:rPr>
                <w:color w:val="231F20"/>
                <w:sz w:val="16"/>
              </w:rPr>
              <w:t>the</w:t>
            </w:r>
            <w:r>
              <w:rPr>
                <w:color w:val="231F20"/>
                <w:spacing w:val="20"/>
                <w:sz w:val="16"/>
              </w:rPr>
              <w:t xml:space="preserve"> </w:t>
            </w:r>
            <w:r>
              <w:rPr>
                <w:color w:val="231F20"/>
                <w:sz w:val="16"/>
              </w:rPr>
              <w:t>Parliament</w:t>
            </w:r>
            <w:r>
              <w:rPr>
                <w:color w:val="231F20"/>
                <w:spacing w:val="20"/>
                <w:sz w:val="16"/>
              </w:rPr>
              <w:t xml:space="preserve"> </w:t>
            </w:r>
            <w:r>
              <w:rPr>
                <w:color w:val="231F20"/>
                <w:sz w:val="16"/>
              </w:rPr>
              <w:t>and</w:t>
            </w:r>
            <w:r>
              <w:rPr>
                <w:color w:val="231F20"/>
                <w:spacing w:val="20"/>
                <w:sz w:val="16"/>
              </w:rPr>
              <w:t xml:space="preserve"> </w:t>
            </w:r>
            <w:r>
              <w:rPr>
                <w:color w:val="231F20"/>
                <w:sz w:val="16"/>
              </w:rPr>
              <w:t>improving</w:t>
            </w:r>
            <w:r>
              <w:rPr>
                <w:color w:val="231F20"/>
                <w:spacing w:val="20"/>
                <w:sz w:val="16"/>
              </w:rPr>
              <w:t xml:space="preserve"> </w:t>
            </w:r>
            <w:r>
              <w:rPr>
                <w:color w:val="231F20"/>
                <w:sz w:val="16"/>
              </w:rPr>
              <w:t>public</w:t>
            </w:r>
            <w:r>
              <w:rPr>
                <w:color w:val="231F20"/>
                <w:spacing w:val="20"/>
                <w:sz w:val="16"/>
              </w:rPr>
              <w:t xml:space="preserve"> </w:t>
            </w:r>
            <w:r>
              <w:rPr>
                <w:color w:val="231F20"/>
                <w:sz w:val="16"/>
              </w:rPr>
              <w:t xml:space="preserve">sector </w:t>
            </w:r>
            <w:r>
              <w:rPr>
                <w:color w:val="231F20"/>
                <w:spacing w:val="-42"/>
                <w:sz w:val="16"/>
              </w:rPr>
              <w:t xml:space="preserve"> </w:t>
            </w:r>
            <w:r>
              <w:rPr>
                <w:color w:val="231F20"/>
                <w:sz w:val="16"/>
              </w:rPr>
              <w:t>performance</w:t>
            </w:r>
            <w:r>
              <w:rPr>
                <w:color w:val="231F20"/>
                <w:spacing w:val="-2"/>
                <w:sz w:val="16"/>
              </w:rPr>
              <w:t xml:space="preserve"> </w:t>
            </w:r>
            <w:r>
              <w:rPr>
                <w:color w:val="231F20"/>
                <w:sz w:val="16"/>
              </w:rPr>
              <w:t>by:</w:t>
            </w:r>
          </w:p>
          <w:p w14:paraId="7D162A16" w14:textId="77777777" w:rsidR="000A1300" w:rsidRPr="00593B12" w:rsidRDefault="000A1300" w:rsidP="008A2254">
            <w:pPr>
              <w:pStyle w:val="TableParagraph"/>
              <w:numPr>
                <w:ilvl w:val="0"/>
                <w:numId w:val="22"/>
              </w:numPr>
              <w:tabs>
                <w:tab w:val="left" w:pos="467"/>
                <w:tab w:val="left" w:pos="468"/>
              </w:tabs>
              <w:ind w:right="876"/>
              <w:rPr>
                <w:sz w:val="16"/>
              </w:rPr>
            </w:pPr>
            <w:r>
              <w:rPr>
                <w:color w:val="231F20"/>
                <w:sz w:val="16"/>
              </w:rPr>
              <w:t>providing</w:t>
            </w:r>
            <w:r>
              <w:rPr>
                <w:color w:val="231F20"/>
                <w:spacing w:val="-3"/>
                <w:sz w:val="16"/>
              </w:rPr>
              <w:t xml:space="preserve"> </w:t>
            </w:r>
            <w:r>
              <w:rPr>
                <w:color w:val="231F20"/>
                <w:sz w:val="16"/>
              </w:rPr>
              <w:t>information</w:t>
            </w:r>
            <w:r>
              <w:rPr>
                <w:color w:val="231F20"/>
                <w:spacing w:val="-3"/>
                <w:sz w:val="16"/>
              </w:rPr>
              <w:t xml:space="preserve"> </w:t>
            </w:r>
            <w:r>
              <w:rPr>
                <w:color w:val="231F20"/>
                <w:sz w:val="16"/>
              </w:rPr>
              <w:t>to</w:t>
            </w:r>
            <w:r>
              <w:rPr>
                <w:color w:val="231F20"/>
                <w:spacing w:val="-3"/>
                <w:sz w:val="16"/>
              </w:rPr>
              <w:t xml:space="preserve"> </w:t>
            </w:r>
            <w:r>
              <w:rPr>
                <w:color w:val="231F20"/>
                <w:sz w:val="16"/>
              </w:rPr>
              <w:t>Members</w:t>
            </w:r>
            <w:r>
              <w:rPr>
                <w:color w:val="231F20"/>
                <w:spacing w:val="-2"/>
                <w:sz w:val="16"/>
              </w:rPr>
              <w:t xml:space="preserve"> </w:t>
            </w:r>
            <w:r>
              <w:rPr>
                <w:color w:val="231F20"/>
                <w:sz w:val="16"/>
              </w:rPr>
              <w:t>of</w:t>
            </w:r>
            <w:r>
              <w:rPr>
                <w:color w:val="231F20"/>
                <w:spacing w:val="-3"/>
                <w:sz w:val="16"/>
              </w:rPr>
              <w:t xml:space="preserve"> </w:t>
            </w:r>
            <w:r>
              <w:rPr>
                <w:color w:val="231F20"/>
                <w:sz w:val="16"/>
              </w:rPr>
              <w:t>Parliament</w:t>
            </w:r>
            <w:r>
              <w:rPr>
                <w:color w:val="231F20"/>
                <w:spacing w:val="-3"/>
                <w:sz w:val="16"/>
              </w:rPr>
              <w:t xml:space="preserve"> </w:t>
            </w:r>
            <w:r>
              <w:rPr>
                <w:color w:val="231F20"/>
                <w:sz w:val="16"/>
              </w:rPr>
              <w:t>and</w:t>
            </w:r>
            <w:r>
              <w:rPr>
                <w:color w:val="231F20"/>
                <w:spacing w:val="-4"/>
                <w:sz w:val="16"/>
              </w:rPr>
              <w:t xml:space="preserve"> </w:t>
            </w:r>
            <w:r>
              <w:rPr>
                <w:color w:val="231F20"/>
                <w:sz w:val="16"/>
              </w:rPr>
              <w:t>parliamentary</w:t>
            </w:r>
            <w:r>
              <w:rPr>
                <w:color w:val="231F20"/>
                <w:spacing w:val="-41"/>
                <w:sz w:val="16"/>
              </w:rPr>
              <w:t xml:space="preserve"> </w:t>
            </w:r>
            <w:r>
              <w:rPr>
                <w:sz w:val="16"/>
              </w:rPr>
              <w:t xml:space="preserve"> </w:t>
            </w:r>
            <w:r w:rsidR="00F907D8">
              <w:rPr>
                <w:color w:val="231F20"/>
                <w:sz w:val="16"/>
              </w:rPr>
              <w:t>committees</w:t>
            </w:r>
          </w:p>
          <w:p w14:paraId="56599C21" w14:textId="77777777" w:rsidR="000A1300" w:rsidRDefault="000A1300" w:rsidP="008A2254">
            <w:pPr>
              <w:pStyle w:val="TableParagraph"/>
              <w:numPr>
                <w:ilvl w:val="0"/>
                <w:numId w:val="22"/>
              </w:numPr>
              <w:tabs>
                <w:tab w:val="left" w:pos="467"/>
                <w:tab w:val="left" w:pos="468"/>
              </w:tabs>
              <w:spacing w:line="194" w:lineRule="exact"/>
              <w:rPr>
                <w:sz w:val="16"/>
              </w:rPr>
            </w:pPr>
            <w:r>
              <w:rPr>
                <w:color w:val="231F20"/>
                <w:sz w:val="16"/>
              </w:rPr>
              <w:t>undertaking</w:t>
            </w:r>
            <w:r>
              <w:rPr>
                <w:color w:val="231F20"/>
                <w:spacing w:val="-2"/>
                <w:sz w:val="16"/>
              </w:rPr>
              <w:t xml:space="preserve"> </w:t>
            </w:r>
            <w:r>
              <w:rPr>
                <w:color w:val="231F20"/>
                <w:sz w:val="16"/>
              </w:rPr>
              <w:t>an</w:t>
            </w:r>
            <w:r>
              <w:rPr>
                <w:color w:val="231F20"/>
                <w:spacing w:val="-2"/>
                <w:sz w:val="16"/>
              </w:rPr>
              <w:t xml:space="preserve"> </w:t>
            </w:r>
            <w:r>
              <w:rPr>
                <w:color w:val="231F20"/>
                <w:sz w:val="16"/>
              </w:rPr>
              <w:t>audit</w:t>
            </w:r>
            <w:r>
              <w:rPr>
                <w:color w:val="231F20"/>
                <w:spacing w:val="-2"/>
                <w:sz w:val="16"/>
              </w:rPr>
              <w:t xml:space="preserve"> </w:t>
            </w:r>
            <w:r w:rsidR="00E93033">
              <w:rPr>
                <w:color w:val="231F20"/>
                <w:sz w:val="16"/>
              </w:rPr>
              <w:t>q</w:t>
            </w:r>
            <w:r>
              <w:rPr>
                <w:color w:val="231F20"/>
                <w:sz w:val="16"/>
              </w:rPr>
              <w:t>uality</w:t>
            </w:r>
            <w:r>
              <w:rPr>
                <w:color w:val="231F20"/>
                <w:spacing w:val="-3"/>
                <w:sz w:val="16"/>
              </w:rPr>
              <w:t xml:space="preserve"> </w:t>
            </w:r>
            <w:r w:rsidR="00E93033">
              <w:rPr>
                <w:color w:val="231F20"/>
                <w:sz w:val="16"/>
              </w:rPr>
              <w:t>assurance p</w:t>
            </w:r>
            <w:r w:rsidR="00F907D8">
              <w:rPr>
                <w:color w:val="231F20"/>
                <w:sz w:val="16"/>
              </w:rPr>
              <w:t>rogram</w:t>
            </w:r>
            <w:r>
              <w:rPr>
                <w:color w:val="231F20"/>
                <w:spacing w:val="-1"/>
                <w:sz w:val="16"/>
              </w:rPr>
              <w:t xml:space="preserve"> </w:t>
            </w:r>
            <w:r>
              <w:rPr>
                <w:color w:val="231F20"/>
                <w:sz w:val="16"/>
              </w:rPr>
              <w:t>and</w:t>
            </w:r>
          </w:p>
          <w:p w14:paraId="46C78DDB" w14:textId="77777777" w:rsidR="000A1300" w:rsidRPr="00160C23" w:rsidRDefault="000A1300" w:rsidP="008A2254">
            <w:pPr>
              <w:pStyle w:val="TableParagraph"/>
              <w:numPr>
                <w:ilvl w:val="0"/>
                <w:numId w:val="22"/>
              </w:numPr>
              <w:tabs>
                <w:tab w:val="left" w:pos="467"/>
                <w:tab w:val="left" w:pos="468"/>
              </w:tabs>
              <w:spacing w:line="194" w:lineRule="exact"/>
              <w:ind w:hanging="361"/>
              <w:rPr>
                <w:i/>
                <w:sz w:val="16"/>
                <w:szCs w:val="16"/>
              </w:rPr>
            </w:pPr>
            <w:r>
              <w:rPr>
                <w:color w:val="231F20"/>
                <w:sz w:val="16"/>
              </w:rPr>
              <w:t>publishing</w:t>
            </w:r>
            <w:r>
              <w:rPr>
                <w:color w:val="231F20"/>
                <w:spacing w:val="-2"/>
                <w:sz w:val="16"/>
              </w:rPr>
              <w:t xml:space="preserve"> </w:t>
            </w:r>
            <w:r>
              <w:rPr>
                <w:color w:val="231F20"/>
                <w:sz w:val="16"/>
              </w:rPr>
              <w:t>insights</w:t>
            </w:r>
            <w:r>
              <w:rPr>
                <w:color w:val="231F20"/>
                <w:spacing w:val="-1"/>
                <w:sz w:val="16"/>
              </w:rPr>
              <w:t xml:space="preserve"> </w:t>
            </w:r>
            <w:r>
              <w:rPr>
                <w:color w:val="231F20"/>
                <w:sz w:val="16"/>
              </w:rPr>
              <w:t>and</w:t>
            </w:r>
            <w:r>
              <w:rPr>
                <w:color w:val="231F20"/>
                <w:spacing w:val="-1"/>
                <w:sz w:val="16"/>
              </w:rPr>
              <w:t xml:space="preserve"> </w:t>
            </w:r>
            <w:r>
              <w:rPr>
                <w:color w:val="231F20"/>
                <w:sz w:val="16"/>
              </w:rPr>
              <w:t>key</w:t>
            </w:r>
            <w:r>
              <w:rPr>
                <w:color w:val="231F20"/>
                <w:spacing w:val="-3"/>
                <w:sz w:val="16"/>
              </w:rPr>
              <w:t xml:space="preserve"> </w:t>
            </w:r>
            <w:r>
              <w:rPr>
                <w:color w:val="231F20"/>
                <w:sz w:val="16"/>
              </w:rPr>
              <w:t>learnings</w:t>
            </w:r>
            <w:r>
              <w:rPr>
                <w:color w:val="231F20"/>
                <w:spacing w:val="-1"/>
                <w:sz w:val="16"/>
              </w:rPr>
              <w:t xml:space="preserve"> </w:t>
            </w:r>
            <w:r>
              <w:rPr>
                <w:color w:val="231F20"/>
                <w:sz w:val="16"/>
              </w:rPr>
              <w:t>from</w:t>
            </w:r>
            <w:r>
              <w:rPr>
                <w:color w:val="231F20"/>
                <w:spacing w:val="-1"/>
                <w:sz w:val="16"/>
              </w:rPr>
              <w:t xml:space="preserve"> </w:t>
            </w:r>
            <w:r>
              <w:rPr>
                <w:color w:val="231F20"/>
                <w:sz w:val="16"/>
              </w:rPr>
              <w:t>audits.</w:t>
            </w:r>
          </w:p>
        </w:tc>
      </w:tr>
      <w:tr w:rsidR="000A1300" w:rsidRPr="001B2F81" w14:paraId="39D4D4A8" w14:textId="77777777" w:rsidTr="00E93033">
        <w:trPr>
          <w:trHeight w:val="76"/>
        </w:trPr>
        <w:tc>
          <w:tcPr>
            <w:tcW w:w="1507" w:type="dxa"/>
            <w:tcBorders>
              <w:top w:val="double" w:sz="4" w:space="0" w:color="auto"/>
              <w:bottom w:val="single" w:sz="4" w:space="0" w:color="auto"/>
              <w:right w:val="single" w:sz="4" w:space="0" w:color="auto"/>
            </w:tcBorders>
          </w:tcPr>
          <w:p w14:paraId="5BF2C22E" w14:textId="77777777" w:rsidR="000A1300" w:rsidRPr="00160C23" w:rsidRDefault="00E93033" w:rsidP="00F404CC">
            <w:pPr>
              <w:pStyle w:val="TableTextBase"/>
              <w:rPr>
                <w:b/>
                <w:sz w:val="16"/>
                <w:szCs w:val="16"/>
              </w:rPr>
            </w:pPr>
            <w:r>
              <w:rPr>
                <w:b/>
                <w:sz w:val="16"/>
                <w:szCs w:val="16"/>
              </w:rPr>
              <w:t>Year</w:t>
            </w:r>
          </w:p>
        </w:tc>
        <w:tc>
          <w:tcPr>
            <w:tcW w:w="3281" w:type="dxa"/>
            <w:tcBorders>
              <w:top w:val="double" w:sz="4" w:space="0" w:color="auto"/>
              <w:left w:val="single" w:sz="4" w:space="0" w:color="auto"/>
              <w:bottom w:val="single" w:sz="4" w:space="0" w:color="auto"/>
              <w:right w:val="single" w:sz="4" w:space="0" w:color="auto"/>
            </w:tcBorders>
          </w:tcPr>
          <w:p w14:paraId="0B104E6F" w14:textId="77777777" w:rsidR="000A1300" w:rsidRPr="00160C23" w:rsidRDefault="000A1300" w:rsidP="00F404CC">
            <w:pPr>
              <w:pStyle w:val="TableTextBase"/>
              <w:rPr>
                <w:rFonts w:cs="Arial"/>
                <w:b/>
                <w:sz w:val="16"/>
                <w:szCs w:val="16"/>
              </w:rPr>
            </w:pPr>
            <w:r w:rsidRPr="00160C23">
              <w:rPr>
                <w:rFonts w:cs="Arial"/>
                <w:b/>
                <w:sz w:val="16"/>
                <w:szCs w:val="16"/>
              </w:rPr>
              <w:t>Performance measures</w:t>
            </w:r>
          </w:p>
        </w:tc>
        <w:tc>
          <w:tcPr>
            <w:tcW w:w="3008" w:type="dxa"/>
            <w:tcBorders>
              <w:top w:val="double" w:sz="4" w:space="0" w:color="auto"/>
              <w:left w:val="single" w:sz="4" w:space="0" w:color="auto"/>
              <w:bottom w:val="single" w:sz="4" w:space="0" w:color="auto"/>
            </w:tcBorders>
          </w:tcPr>
          <w:p w14:paraId="0B9DA523" w14:textId="77777777" w:rsidR="000A1300" w:rsidRPr="00160C23" w:rsidRDefault="000A1300" w:rsidP="00F404CC">
            <w:pPr>
              <w:pStyle w:val="TableTextBase"/>
              <w:rPr>
                <w:rFonts w:cs="Arial"/>
                <w:b/>
                <w:sz w:val="16"/>
                <w:szCs w:val="16"/>
              </w:rPr>
            </w:pPr>
            <w:r w:rsidRPr="00160C23">
              <w:rPr>
                <w:rFonts w:cs="Arial"/>
                <w:b/>
                <w:sz w:val="16"/>
                <w:szCs w:val="16"/>
              </w:rPr>
              <w:t>Expected Performance Results</w:t>
            </w:r>
          </w:p>
        </w:tc>
      </w:tr>
      <w:tr w:rsidR="000A1300" w:rsidRPr="002B1E57" w14:paraId="57D52B9C" w14:textId="77777777" w:rsidTr="00F404CC">
        <w:trPr>
          <w:trHeight w:val="642"/>
        </w:trPr>
        <w:tc>
          <w:tcPr>
            <w:tcW w:w="1507" w:type="dxa"/>
            <w:tcBorders>
              <w:top w:val="single" w:sz="4" w:space="0" w:color="auto"/>
              <w:bottom w:val="dotted" w:sz="4" w:space="0" w:color="auto"/>
              <w:right w:val="single" w:sz="4" w:space="0" w:color="auto"/>
            </w:tcBorders>
          </w:tcPr>
          <w:p w14:paraId="34EEF990" w14:textId="77777777" w:rsidR="000A1300" w:rsidRPr="00E93033" w:rsidRDefault="000A1300" w:rsidP="00F404CC">
            <w:pPr>
              <w:pStyle w:val="TableTextBase"/>
              <w:rPr>
                <w:sz w:val="16"/>
                <w:szCs w:val="16"/>
              </w:rPr>
            </w:pPr>
            <w:r w:rsidRPr="00E93033">
              <w:rPr>
                <w:sz w:val="16"/>
                <w:szCs w:val="16"/>
              </w:rPr>
              <w:t xml:space="preserve">Current year </w:t>
            </w:r>
          </w:p>
          <w:p w14:paraId="4EE8DC8F" w14:textId="77777777" w:rsidR="000A1300" w:rsidRPr="00E93033" w:rsidRDefault="000A1300" w:rsidP="00F404CC">
            <w:pPr>
              <w:pStyle w:val="TableTextBase"/>
              <w:rPr>
                <w:sz w:val="16"/>
                <w:szCs w:val="16"/>
              </w:rPr>
            </w:pPr>
            <w:r w:rsidRPr="00E93033">
              <w:rPr>
                <w:sz w:val="16"/>
                <w:szCs w:val="16"/>
              </w:rPr>
              <w:t>2021-22</w:t>
            </w:r>
          </w:p>
        </w:tc>
        <w:tc>
          <w:tcPr>
            <w:tcW w:w="3281" w:type="dxa"/>
            <w:tcBorders>
              <w:top w:val="single" w:sz="4" w:space="0" w:color="auto"/>
              <w:left w:val="single" w:sz="4" w:space="0" w:color="auto"/>
              <w:bottom w:val="dotted" w:sz="4" w:space="0" w:color="auto"/>
              <w:right w:val="single" w:sz="4" w:space="0" w:color="auto"/>
            </w:tcBorders>
          </w:tcPr>
          <w:p w14:paraId="56622C38" w14:textId="77777777" w:rsidR="000A1300" w:rsidRPr="00EA5D24" w:rsidRDefault="000A1300" w:rsidP="008A2254">
            <w:pPr>
              <w:pStyle w:val="TableParagraph"/>
              <w:numPr>
                <w:ilvl w:val="0"/>
                <w:numId w:val="22"/>
              </w:numPr>
              <w:tabs>
                <w:tab w:val="left" w:pos="467"/>
                <w:tab w:val="left" w:pos="468"/>
              </w:tabs>
              <w:ind w:right="101"/>
              <w:rPr>
                <w:i/>
                <w:iCs/>
                <w:color w:val="231F20"/>
                <w:sz w:val="16"/>
              </w:rPr>
            </w:pPr>
            <w:r w:rsidRPr="00EA5D24">
              <w:rPr>
                <w:color w:val="231F20"/>
                <w:sz w:val="16"/>
              </w:rPr>
              <w:t>Number of appearances and submissions to parliamentary committee</w:t>
            </w:r>
            <w:r>
              <w:rPr>
                <w:color w:val="231F20"/>
                <w:sz w:val="16"/>
              </w:rPr>
              <w:t>s</w:t>
            </w:r>
          </w:p>
          <w:p w14:paraId="0F474B1F" w14:textId="77777777" w:rsidR="000A1300" w:rsidRPr="007C7774" w:rsidRDefault="000A1300" w:rsidP="008A2254">
            <w:pPr>
              <w:pStyle w:val="TableParagraph"/>
              <w:numPr>
                <w:ilvl w:val="0"/>
                <w:numId w:val="22"/>
              </w:numPr>
              <w:tabs>
                <w:tab w:val="left" w:pos="467"/>
                <w:tab w:val="left" w:pos="468"/>
              </w:tabs>
              <w:ind w:right="101"/>
              <w:rPr>
                <w:i/>
                <w:iCs/>
                <w:color w:val="231F20"/>
                <w:sz w:val="16"/>
              </w:rPr>
            </w:pPr>
            <w:r w:rsidRPr="00EA5D24">
              <w:rPr>
                <w:color w:val="231F20"/>
                <w:sz w:val="16"/>
              </w:rPr>
              <w:t>Percentage of private briefings undertaken at request of parliamentarians</w:t>
            </w:r>
          </w:p>
          <w:p w14:paraId="3D199185" w14:textId="77777777" w:rsidR="000A1300" w:rsidRPr="00A23004" w:rsidRDefault="000A1300" w:rsidP="008A2254">
            <w:pPr>
              <w:pStyle w:val="TableParagraph"/>
              <w:numPr>
                <w:ilvl w:val="0"/>
                <w:numId w:val="22"/>
              </w:numPr>
              <w:tabs>
                <w:tab w:val="left" w:pos="467"/>
                <w:tab w:val="left" w:pos="468"/>
              </w:tabs>
              <w:ind w:right="101"/>
              <w:rPr>
                <w:i/>
                <w:iCs/>
                <w:color w:val="231F20"/>
                <w:sz w:val="16"/>
              </w:rPr>
            </w:pPr>
            <w:r w:rsidRPr="00EA5D24">
              <w:rPr>
                <w:color w:val="231F20"/>
                <w:sz w:val="16"/>
              </w:rPr>
              <w:t>Number of published audit insights and key learnings from across ANAO activities</w:t>
            </w:r>
          </w:p>
          <w:p w14:paraId="18F06A12" w14:textId="77777777" w:rsidR="000A1300" w:rsidRPr="00EA5D24" w:rsidRDefault="000A1300" w:rsidP="008A2254">
            <w:pPr>
              <w:pStyle w:val="TableParagraph"/>
              <w:numPr>
                <w:ilvl w:val="0"/>
                <w:numId w:val="22"/>
              </w:numPr>
              <w:tabs>
                <w:tab w:val="left" w:pos="467"/>
                <w:tab w:val="left" w:pos="468"/>
              </w:tabs>
              <w:ind w:right="101"/>
              <w:rPr>
                <w:i/>
                <w:iCs/>
                <w:color w:val="231F20"/>
                <w:sz w:val="16"/>
              </w:rPr>
            </w:pPr>
            <w:r w:rsidRPr="00EA5D24">
              <w:rPr>
                <w:color w:val="231F20"/>
                <w:sz w:val="16"/>
              </w:rPr>
              <w:t xml:space="preserve">The ANAO </w:t>
            </w:r>
            <w:r>
              <w:rPr>
                <w:color w:val="231F20"/>
                <w:sz w:val="16"/>
              </w:rPr>
              <w:t>q</w:t>
            </w:r>
            <w:r w:rsidRPr="00EA5D24">
              <w:rPr>
                <w:color w:val="231F20"/>
                <w:sz w:val="16"/>
              </w:rPr>
              <w:t xml:space="preserve">uality </w:t>
            </w:r>
            <w:r>
              <w:rPr>
                <w:color w:val="231F20"/>
                <w:sz w:val="16"/>
              </w:rPr>
              <w:t>a</w:t>
            </w:r>
            <w:r w:rsidRPr="00EA5D24">
              <w:rPr>
                <w:color w:val="231F20"/>
                <w:sz w:val="16"/>
              </w:rPr>
              <w:t xml:space="preserve">ssurance </w:t>
            </w:r>
            <w:r>
              <w:rPr>
                <w:color w:val="231F20"/>
                <w:sz w:val="16"/>
              </w:rPr>
              <w:t>p</w:t>
            </w:r>
            <w:r w:rsidRPr="00EA5D24">
              <w:rPr>
                <w:color w:val="231F20"/>
                <w:sz w:val="16"/>
              </w:rPr>
              <w:t>rogram indicates that audit opinions and conclusions are appropriate</w:t>
            </w:r>
          </w:p>
          <w:p w14:paraId="5A21E458" w14:textId="77777777" w:rsidR="000A1300" w:rsidRPr="00EA5D24" w:rsidRDefault="000A1300" w:rsidP="008A2254">
            <w:pPr>
              <w:pStyle w:val="TableParagraph"/>
              <w:numPr>
                <w:ilvl w:val="0"/>
                <w:numId w:val="22"/>
              </w:numPr>
              <w:tabs>
                <w:tab w:val="left" w:pos="467"/>
                <w:tab w:val="left" w:pos="468"/>
              </w:tabs>
              <w:ind w:right="101"/>
              <w:rPr>
                <w:i/>
                <w:iCs/>
                <w:color w:val="231F20"/>
                <w:sz w:val="16"/>
              </w:rPr>
            </w:pPr>
            <w:r w:rsidRPr="00EA5D24">
              <w:rPr>
                <w:color w:val="231F20"/>
                <w:sz w:val="16"/>
              </w:rPr>
              <w:t>Percentage of inquiries and audit requests from parliamentarians finalised within 28 days</w:t>
            </w:r>
          </w:p>
          <w:p w14:paraId="6141D976" w14:textId="77777777" w:rsidR="000A1300" w:rsidRPr="00EA5D24" w:rsidRDefault="000A1300" w:rsidP="008A2254">
            <w:pPr>
              <w:pStyle w:val="TableParagraph"/>
              <w:numPr>
                <w:ilvl w:val="0"/>
                <w:numId w:val="22"/>
              </w:numPr>
              <w:tabs>
                <w:tab w:val="left" w:pos="467"/>
                <w:tab w:val="left" w:pos="468"/>
              </w:tabs>
              <w:ind w:right="101"/>
              <w:rPr>
                <w:i/>
                <w:iCs/>
                <w:color w:val="231F20"/>
                <w:sz w:val="16"/>
              </w:rPr>
            </w:pPr>
            <w:r w:rsidRPr="00EA5D24">
              <w:rPr>
                <w:color w:val="231F20"/>
                <w:sz w:val="16"/>
              </w:rPr>
              <w:t>Percentage of Joint Committee of Public Accounts and Audit (JCPAA) members surveyed who were satisfied that the ANAO improved public sector performance and supported accountability and transparency</w:t>
            </w:r>
          </w:p>
          <w:p w14:paraId="3640675F" w14:textId="77777777" w:rsidR="000A1300" w:rsidRPr="006E1D7A" w:rsidRDefault="000A1300" w:rsidP="00F404CC">
            <w:pPr>
              <w:pStyle w:val="TableParagraph"/>
              <w:tabs>
                <w:tab w:val="left" w:pos="467"/>
                <w:tab w:val="left" w:pos="468"/>
              </w:tabs>
              <w:ind w:left="467" w:right="101"/>
              <w:rPr>
                <w:i/>
                <w:iCs/>
                <w:color w:val="231F20"/>
                <w:sz w:val="16"/>
              </w:rPr>
            </w:pPr>
          </w:p>
        </w:tc>
        <w:tc>
          <w:tcPr>
            <w:tcW w:w="3008" w:type="dxa"/>
            <w:tcBorders>
              <w:top w:val="single" w:sz="4" w:space="0" w:color="auto"/>
              <w:left w:val="single" w:sz="4" w:space="0" w:color="auto"/>
              <w:bottom w:val="dotted" w:sz="4" w:space="0" w:color="auto"/>
            </w:tcBorders>
          </w:tcPr>
          <w:p w14:paraId="5FCA89BE"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 xml:space="preserve">40 appearances and submissions to </w:t>
            </w:r>
            <w:r>
              <w:rPr>
                <w:color w:val="231F20"/>
                <w:sz w:val="16"/>
              </w:rPr>
              <w:t>p</w:t>
            </w:r>
            <w:r w:rsidRPr="00EA5D24">
              <w:rPr>
                <w:color w:val="231F20"/>
                <w:sz w:val="16"/>
              </w:rPr>
              <w:t>arliamentary committees</w:t>
            </w:r>
          </w:p>
          <w:p w14:paraId="78131CE1" w14:textId="77777777" w:rsidR="000A1300"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 xml:space="preserve">100% of private briefings undertaken </w:t>
            </w:r>
            <w:r>
              <w:rPr>
                <w:color w:val="231F20"/>
                <w:sz w:val="16"/>
              </w:rPr>
              <w:t>at</w:t>
            </w:r>
            <w:r w:rsidRPr="00EA5D24">
              <w:rPr>
                <w:color w:val="231F20"/>
                <w:sz w:val="16"/>
              </w:rPr>
              <w:t xml:space="preserve"> request of </w:t>
            </w:r>
            <w:r>
              <w:rPr>
                <w:color w:val="231F20"/>
                <w:sz w:val="16"/>
              </w:rPr>
              <w:t>p</w:t>
            </w:r>
            <w:r w:rsidRPr="00EA5D24">
              <w:rPr>
                <w:color w:val="231F20"/>
                <w:sz w:val="16"/>
              </w:rPr>
              <w:t>arliamentarians</w:t>
            </w:r>
          </w:p>
          <w:p w14:paraId="1047E24C"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 xml:space="preserve">4 papers </w:t>
            </w:r>
            <w:r>
              <w:rPr>
                <w:color w:val="231F20"/>
                <w:sz w:val="16"/>
              </w:rPr>
              <w:t xml:space="preserve">published </w:t>
            </w:r>
            <w:r w:rsidRPr="00EA5D24">
              <w:rPr>
                <w:color w:val="231F20"/>
                <w:sz w:val="16"/>
              </w:rPr>
              <w:t>on audit insights and key learnings from across ANAO activities</w:t>
            </w:r>
          </w:p>
          <w:p w14:paraId="30C12925"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 xml:space="preserve">The ANAO </w:t>
            </w:r>
            <w:r>
              <w:rPr>
                <w:color w:val="231F20"/>
                <w:sz w:val="16"/>
              </w:rPr>
              <w:t>q</w:t>
            </w:r>
            <w:r w:rsidRPr="00EA5D24">
              <w:rPr>
                <w:color w:val="231F20"/>
                <w:sz w:val="16"/>
              </w:rPr>
              <w:t xml:space="preserve">uality </w:t>
            </w:r>
            <w:r>
              <w:rPr>
                <w:color w:val="231F20"/>
                <w:sz w:val="16"/>
              </w:rPr>
              <w:t>a</w:t>
            </w:r>
            <w:r w:rsidRPr="00EA5D24">
              <w:rPr>
                <w:color w:val="231F20"/>
                <w:sz w:val="16"/>
              </w:rPr>
              <w:t xml:space="preserve">ssurance </w:t>
            </w:r>
            <w:r>
              <w:rPr>
                <w:color w:val="231F20"/>
                <w:sz w:val="16"/>
              </w:rPr>
              <w:t>p</w:t>
            </w:r>
            <w:r w:rsidRPr="00EA5D24">
              <w:rPr>
                <w:color w:val="231F20"/>
                <w:sz w:val="16"/>
              </w:rPr>
              <w:t>rogram indicates that 100% of audit opinions and conclusions are appropriate (against a target of 100%)</w:t>
            </w:r>
          </w:p>
          <w:p w14:paraId="7D54385F" w14:textId="77777777" w:rsidR="000A1300" w:rsidRPr="00EA5D24"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90% of inquiries and audit requests from parliamentarians finalised within 28 days</w:t>
            </w:r>
          </w:p>
          <w:p w14:paraId="23037CBD" w14:textId="77777777" w:rsidR="000A1300" w:rsidRPr="00100FE3" w:rsidRDefault="000A1300" w:rsidP="008A2254">
            <w:pPr>
              <w:pStyle w:val="TableParagraph"/>
              <w:numPr>
                <w:ilvl w:val="0"/>
                <w:numId w:val="22"/>
              </w:numPr>
              <w:tabs>
                <w:tab w:val="left" w:pos="467"/>
                <w:tab w:val="left" w:pos="468"/>
              </w:tabs>
              <w:ind w:right="101"/>
              <w:rPr>
                <w:color w:val="231F20"/>
                <w:sz w:val="16"/>
              </w:rPr>
            </w:pPr>
            <w:r w:rsidRPr="00EA5D24">
              <w:rPr>
                <w:color w:val="231F20"/>
                <w:sz w:val="16"/>
              </w:rPr>
              <w:t>90% of JCPAA members surveyed are satisfied that the ANAO improved public sector performance and supported accountability and transparency</w:t>
            </w:r>
          </w:p>
        </w:tc>
      </w:tr>
      <w:tr w:rsidR="000A1300" w:rsidRPr="001B2F81" w14:paraId="7B123BBA" w14:textId="77777777" w:rsidTr="00F404CC">
        <w:trPr>
          <w:trHeight w:val="100"/>
        </w:trPr>
        <w:tc>
          <w:tcPr>
            <w:tcW w:w="1507" w:type="dxa"/>
            <w:tcBorders>
              <w:top w:val="single" w:sz="4" w:space="0" w:color="auto"/>
              <w:bottom w:val="dotted" w:sz="4" w:space="0" w:color="auto"/>
              <w:right w:val="single" w:sz="4" w:space="0" w:color="auto"/>
            </w:tcBorders>
          </w:tcPr>
          <w:p w14:paraId="27F6EE6B" w14:textId="77777777" w:rsidR="000A1300" w:rsidRPr="00E93033" w:rsidRDefault="00E93033" w:rsidP="00F404CC">
            <w:pPr>
              <w:pStyle w:val="TableTextBase"/>
              <w:rPr>
                <w:b/>
                <w:sz w:val="16"/>
                <w:szCs w:val="16"/>
              </w:rPr>
            </w:pPr>
            <w:r>
              <w:rPr>
                <w:b/>
                <w:sz w:val="16"/>
                <w:szCs w:val="16"/>
              </w:rPr>
              <w:t>Year</w:t>
            </w:r>
          </w:p>
        </w:tc>
        <w:tc>
          <w:tcPr>
            <w:tcW w:w="3281" w:type="dxa"/>
            <w:tcBorders>
              <w:top w:val="single" w:sz="4" w:space="0" w:color="auto"/>
              <w:left w:val="single" w:sz="4" w:space="0" w:color="auto"/>
              <w:bottom w:val="dotted" w:sz="4" w:space="0" w:color="auto"/>
              <w:right w:val="single" w:sz="4" w:space="0" w:color="auto"/>
            </w:tcBorders>
          </w:tcPr>
          <w:p w14:paraId="4725442E" w14:textId="77777777" w:rsidR="000A1300" w:rsidRPr="00605CE4" w:rsidRDefault="000A1300" w:rsidP="00F404CC">
            <w:pPr>
              <w:pStyle w:val="TableTextBase"/>
              <w:rPr>
                <w:b/>
                <w:sz w:val="16"/>
                <w:szCs w:val="16"/>
              </w:rPr>
            </w:pPr>
            <w:r w:rsidRPr="00605CE4">
              <w:rPr>
                <w:b/>
                <w:sz w:val="16"/>
                <w:szCs w:val="16"/>
              </w:rPr>
              <w:t>Performance measures</w:t>
            </w:r>
          </w:p>
        </w:tc>
        <w:tc>
          <w:tcPr>
            <w:tcW w:w="3008" w:type="dxa"/>
            <w:tcBorders>
              <w:top w:val="single" w:sz="4" w:space="0" w:color="auto"/>
              <w:left w:val="single" w:sz="4" w:space="0" w:color="auto"/>
              <w:bottom w:val="dotted" w:sz="4" w:space="0" w:color="auto"/>
            </w:tcBorders>
          </w:tcPr>
          <w:p w14:paraId="7BB57339" w14:textId="77777777" w:rsidR="000A1300" w:rsidRPr="00160C23" w:rsidRDefault="000A1300" w:rsidP="00F404CC">
            <w:pPr>
              <w:pStyle w:val="TableTextBase"/>
              <w:rPr>
                <w:b/>
                <w:sz w:val="16"/>
                <w:szCs w:val="16"/>
              </w:rPr>
            </w:pPr>
            <w:r w:rsidRPr="00160C23">
              <w:rPr>
                <w:b/>
                <w:sz w:val="16"/>
                <w:szCs w:val="16"/>
              </w:rPr>
              <w:t>Expected Performance Results</w:t>
            </w:r>
          </w:p>
        </w:tc>
      </w:tr>
      <w:tr w:rsidR="000A1300" w:rsidRPr="001B2F81" w14:paraId="63CFF83F" w14:textId="77777777" w:rsidTr="00F404CC">
        <w:trPr>
          <w:trHeight w:val="100"/>
        </w:trPr>
        <w:tc>
          <w:tcPr>
            <w:tcW w:w="1507" w:type="dxa"/>
            <w:tcBorders>
              <w:top w:val="single" w:sz="4" w:space="0" w:color="auto"/>
              <w:bottom w:val="dotted" w:sz="4" w:space="0" w:color="auto"/>
              <w:right w:val="single" w:sz="4" w:space="0" w:color="auto"/>
            </w:tcBorders>
          </w:tcPr>
          <w:p w14:paraId="058A4FAD" w14:textId="77777777" w:rsidR="000A1300" w:rsidRDefault="000A1300" w:rsidP="00F404CC">
            <w:pPr>
              <w:pStyle w:val="TableTextBase"/>
              <w:rPr>
                <w:sz w:val="16"/>
                <w:szCs w:val="16"/>
              </w:rPr>
            </w:pPr>
            <w:r w:rsidRPr="00E93033">
              <w:rPr>
                <w:sz w:val="16"/>
                <w:szCs w:val="16"/>
              </w:rPr>
              <w:t>Budget Year     2022-23</w:t>
            </w:r>
          </w:p>
          <w:p w14:paraId="261F5220" w14:textId="77777777" w:rsidR="00E93033" w:rsidRDefault="00E93033" w:rsidP="00F404CC">
            <w:pPr>
              <w:pStyle w:val="TableTextBase"/>
              <w:rPr>
                <w:sz w:val="16"/>
                <w:szCs w:val="16"/>
              </w:rPr>
            </w:pPr>
          </w:p>
          <w:p w14:paraId="1A9E6AE5" w14:textId="77777777" w:rsidR="00E93033" w:rsidRDefault="00E93033" w:rsidP="00F404CC">
            <w:pPr>
              <w:pStyle w:val="TableTextBase"/>
              <w:rPr>
                <w:sz w:val="16"/>
                <w:szCs w:val="16"/>
              </w:rPr>
            </w:pPr>
          </w:p>
          <w:p w14:paraId="4A77A1CA" w14:textId="77777777" w:rsidR="00E93033" w:rsidRDefault="00E93033" w:rsidP="00F404CC">
            <w:pPr>
              <w:pStyle w:val="TableTextBase"/>
              <w:rPr>
                <w:sz w:val="16"/>
                <w:szCs w:val="16"/>
              </w:rPr>
            </w:pPr>
          </w:p>
          <w:p w14:paraId="6A86B0FA" w14:textId="77777777" w:rsidR="00E93033" w:rsidRDefault="00E93033" w:rsidP="00F404CC">
            <w:pPr>
              <w:pStyle w:val="TableTextBase"/>
              <w:rPr>
                <w:sz w:val="16"/>
                <w:szCs w:val="16"/>
              </w:rPr>
            </w:pPr>
          </w:p>
          <w:p w14:paraId="4C40448E" w14:textId="77777777" w:rsidR="00E93033" w:rsidRDefault="00E93033" w:rsidP="00F404CC">
            <w:pPr>
              <w:pStyle w:val="TableTextBase"/>
              <w:rPr>
                <w:sz w:val="16"/>
                <w:szCs w:val="16"/>
              </w:rPr>
            </w:pPr>
          </w:p>
          <w:p w14:paraId="5892DE57" w14:textId="77777777" w:rsidR="00E93033" w:rsidRDefault="00E93033" w:rsidP="00F404CC">
            <w:pPr>
              <w:pStyle w:val="TableTextBase"/>
              <w:rPr>
                <w:sz w:val="16"/>
                <w:szCs w:val="16"/>
              </w:rPr>
            </w:pPr>
          </w:p>
          <w:p w14:paraId="156898E2" w14:textId="77777777" w:rsidR="00FE6B28" w:rsidRDefault="00FE6B28" w:rsidP="00F404CC">
            <w:pPr>
              <w:pStyle w:val="TableTextBase"/>
              <w:rPr>
                <w:sz w:val="16"/>
                <w:szCs w:val="16"/>
              </w:rPr>
            </w:pPr>
          </w:p>
          <w:p w14:paraId="68BDD171" w14:textId="77777777" w:rsidR="00FE6B28" w:rsidRDefault="00FE6B28" w:rsidP="00F404CC">
            <w:pPr>
              <w:pStyle w:val="TableTextBase"/>
              <w:rPr>
                <w:sz w:val="16"/>
                <w:szCs w:val="16"/>
              </w:rPr>
            </w:pPr>
          </w:p>
          <w:p w14:paraId="5518D6DB" w14:textId="77777777" w:rsidR="00E93033" w:rsidRPr="00E93033" w:rsidRDefault="00E93033" w:rsidP="00F404CC">
            <w:pPr>
              <w:pStyle w:val="TableTextBase"/>
              <w:rPr>
                <w:sz w:val="16"/>
                <w:szCs w:val="16"/>
              </w:rPr>
            </w:pPr>
            <w:r>
              <w:rPr>
                <w:b/>
                <w:sz w:val="16"/>
                <w:szCs w:val="16"/>
              </w:rPr>
              <w:t>Year</w:t>
            </w:r>
          </w:p>
        </w:tc>
        <w:tc>
          <w:tcPr>
            <w:tcW w:w="3281" w:type="dxa"/>
            <w:tcBorders>
              <w:top w:val="single" w:sz="4" w:space="0" w:color="auto"/>
              <w:left w:val="single" w:sz="4" w:space="0" w:color="auto"/>
              <w:bottom w:val="dotted" w:sz="4" w:space="0" w:color="auto"/>
              <w:right w:val="single" w:sz="4" w:space="0" w:color="auto"/>
            </w:tcBorders>
          </w:tcPr>
          <w:p w14:paraId="34F78499" w14:textId="77777777" w:rsidR="000A1300" w:rsidRDefault="000A1300" w:rsidP="008A2254">
            <w:pPr>
              <w:pStyle w:val="TableParagraph"/>
              <w:numPr>
                <w:ilvl w:val="0"/>
                <w:numId w:val="22"/>
              </w:numPr>
              <w:tabs>
                <w:tab w:val="left" w:pos="467"/>
                <w:tab w:val="left" w:pos="468"/>
              </w:tabs>
              <w:ind w:right="101"/>
              <w:rPr>
                <w:i/>
                <w:iCs/>
                <w:color w:val="231F20"/>
                <w:sz w:val="16"/>
              </w:rPr>
            </w:pPr>
            <w:r w:rsidRPr="00E86744">
              <w:rPr>
                <w:i/>
                <w:iCs/>
                <w:color w:val="231F20"/>
                <w:sz w:val="16"/>
              </w:rPr>
              <w:t>The ANAO supports the Parliament to carry out it</w:t>
            </w:r>
            <w:r>
              <w:rPr>
                <w:i/>
                <w:iCs/>
                <w:color w:val="231F20"/>
                <w:sz w:val="16"/>
              </w:rPr>
              <w:t>s</w:t>
            </w:r>
            <w:r w:rsidRPr="00E86744">
              <w:rPr>
                <w:i/>
                <w:iCs/>
                <w:color w:val="231F20"/>
                <w:sz w:val="16"/>
              </w:rPr>
              <w:t xml:space="preserve"> functions on the operations of the Australian Government sector</w:t>
            </w:r>
          </w:p>
          <w:p w14:paraId="16A6B0C9" w14:textId="77777777" w:rsidR="000A1300" w:rsidRPr="00605CE4" w:rsidRDefault="000A1300" w:rsidP="008A2254">
            <w:pPr>
              <w:pStyle w:val="TableParagraph"/>
              <w:numPr>
                <w:ilvl w:val="0"/>
                <w:numId w:val="22"/>
              </w:numPr>
              <w:tabs>
                <w:tab w:val="left" w:pos="467"/>
                <w:tab w:val="left" w:pos="468"/>
              </w:tabs>
              <w:ind w:right="101"/>
              <w:rPr>
                <w:i/>
                <w:iCs/>
                <w:color w:val="231F20"/>
                <w:sz w:val="16"/>
              </w:rPr>
            </w:pPr>
            <w:r w:rsidRPr="00E86744">
              <w:rPr>
                <w:i/>
                <w:iCs/>
                <w:color w:val="231F20"/>
                <w:sz w:val="16"/>
              </w:rPr>
              <w:t>The ANAO supports the Aust</w:t>
            </w:r>
            <w:r w:rsidRPr="00605CE4">
              <w:rPr>
                <w:i/>
                <w:iCs/>
                <w:color w:val="231F20"/>
                <w:sz w:val="16"/>
              </w:rPr>
              <w:t>ralian Government sector to improve public sector performance</w:t>
            </w:r>
          </w:p>
          <w:p w14:paraId="13D8C246" w14:textId="77777777" w:rsidR="000A1300" w:rsidRPr="00FE6B28" w:rsidRDefault="00E93033" w:rsidP="008A2254">
            <w:pPr>
              <w:pStyle w:val="TableParagraph"/>
              <w:numPr>
                <w:ilvl w:val="0"/>
                <w:numId w:val="22"/>
              </w:numPr>
              <w:tabs>
                <w:tab w:val="left" w:pos="467"/>
                <w:tab w:val="left" w:pos="468"/>
              </w:tabs>
              <w:ind w:right="101"/>
              <w:rPr>
                <w:color w:val="231F20"/>
                <w:sz w:val="16"/>
              </w:rPr>
            </w:pPr>
            <w:r>
              <w:rPr>
                <w:i/>
                <w:iCs/>
                <w:color w:val="231F20"/>
                <w:sz w:val="16"/>
              </w:rPr>
              <w:t>The ANAO independent quality assurance p</w:t>
            </w:r>
            <w:r w:rsidR="000A1300" w:rsidRPr="007C7774">
              <w:rPr>
                <w:i/>
                <w:iCs/>
                <w:color w:val="231F20"/>
                <w:sz w:val="16"/>
              </w:rPr>
              <w:t xml:space="preserve">rogram </w:t>
            </w:r>
            <w:r w:rsidR="000A1300">
              <w:rPr>
                <w:i/>
                <w:iCs/>
                <w:color w:val="231F20"/>
                <w:sz w:val="16"/>
              </w:rPr>
              <w:t>indicates</w:t>
            </w:r>
            <w:r w:rsidR="000A1300" w:rsidRPr="007C7774">
              <w:rPr>
                <w:i/>
                <w:iCs/>
                <w:color w:val="231F20"/>
                <w:sz w:val="16"/>
              </w:rPr>
              <w:t xml:space="preserve"> that audit opinions and conclusions are appropriate</w:t>
            </w:r>
          </w:p>
          <w:p w14:paraId="7DA1B431" w14:textId="77777777" w:rsidR="00FE6B28" w:rsidRDefault="00FE6B28" w:rsidP="00FE6B28">
            <w:pPr>
              <w:pStyle w:val="TableParagraph"/>
              <w:tabs>
                <w:tab w:val="left" w:pos="467"/>
                <w:tab w:val="left" w:pos="468"/>
              </w:tabs>
              <w:ind w:right="101"/>
              <w:rPr>
                <w:i/>
                <w:iCs/>
                <w:color w:val="231F20"/>
                <w:sz w:val="16"/>
              </w:rPr>
            </w:pPr>
          </w:p>
          <w:p w14:paraId="3F8AC7EB" w14:textId="77777777" w:rsidR="00FE6B28" w:rsidRPr="00E93033" w:rsidRDefault="00FE6B28" w:rsidP="00FE6B28">
            <w:pPr>
              <w:pStyle w:val="TableParagraph"/>
              <w:tabs>
                <w:tab w:val="left" w:pos="467"/>
                <w:tab w:val="left" w:pos="468"/>
              </w:tabs>
              <w:ind w:right="101"/>
              <w:rPr>
                <w:color w:val="231F20"/>
                <w:sz w:val="16"/>
              </w:rPr>
            </w:pPr>
          </w:p>
          <w:p w14:paraId="4A244F9F" w14:textId="77777777" w:rsidR="00E93033" w:rsidRPr="00C830A4" w:rsidRDefault="00E93033" w:rsidP="00E93033">
            <w:pPr>
              <w:pStyle w:val="TableParagraph"/>
              <w:tabs>
                <w:tab w:val="left" w:pos="467"/>
                <w:tab w:val="left" w:pos="468"/>
              </w:tabs>
              <w:ind w:left="107" w:right="101"/>
              <w:rPr>
                <w:color w:val="231F20"/>
                <w:sz w:val="16"/>
              </w:rPr>
            </w:pPr>
            <w:r w:rsidRPr="00605CE4">
              <w:rPr>
                <w:b/>
                <w:sz w:val="16"/>
                <w:szCs w:val="16"/>
              </w:rPr>
              <w:t>Performance measures</w:t>
            </w:r>
          </w:p>
        </w:tc>
        <w:tc>
          <w:tcPr>
            <w:tcW w:w="3008" w:type="dxa"/>
            <w:tcBorders>
              <w:top w:val="single" w:sz="4" w:space="0" w:color="auto"/>
              <w:left w:val="single" w:sz="4" w:space="0" w:color="auto"/>
              <w:bottom w:val="dotted" w:sz="4" w:space="0" w:color="auto"/>
            </w:tcBorders>
          </w:tcPr>
          <w:p w14:paraId="6E0F6B03" w14:textId="77777777" w:rsidR="000A1300" w:rsidRPr="00F907D8" w:rsidRDefault="000A1300" w:rsidP="008A2254">
            <w:pPr>
              <w:pStyle w:val="TableParagraph"/>
              <w:numPr>
                <w:ilvl w:val="0"/>
                <w:numId w:val="22"/>
              </w:numPr>
              <w:tabs>
                <w:tab w:val="left" w:pos="467"/>
                <w:tab w:val="left" w:pos="468"/>
              </w:tabs>
              <w:ind w:right="101"/>
              <w:rPr>
                <w:i/>
                <w:color w:val="0070C0"/>
              </w:rPr>
            </w:pPr>
            <w:r w:rsidRPr="00E86744">
              <w:rPr>
                <w:i/>
                <w:iCs/>
                <w:color w:val="231F20"/>
                <w:sz w:val="16"/>
              </w:rPr>
              <w:t>Achieved</w:t>
            </w:r>
          </w:p>
          <w:p w14:paraId="608953A4" w14:textId="77777777" w:rsidR="00F907D8" w:rsidRDefault="00F907D8" w:rsidP="00F907D8">
            <w:pPr>
              <w:pStyle w:val="TableParagraph"/>
              <w:tabs>
                <w:tab w:val="left" w:pos="467"/>
                <w:tab w:val="left" w:pos="468"/>
              </w:tabs>
              <w:ind w:left="467" w:right="101"/>
              <w:rPr>
                <w:i/>
                <w:iCs/>
                <w:color w:val="231F20"/>
                <w:sz w:val="16"/>
              </w:rPr>
            </w:pPr>
          </w:p>
          <w:p w14:paraId="0F5A96AB" w14:textId="77777777" w:rsidR="00F907D8" w:rsidRPr="00E86744" w:rsidRDefault="00F907D8" w:rsidP="00F907D8">
            <w:pPr>
              <w:pStyle w:val="TableParagraph"/>
              <w:tabs>
                <w:tab w:val="left" w:pos="467"/>
                <w:tab w:val="left" w:pos="468"/>
              </w:tabs>
              <w:ind w:left="467" w:right="101"/>
              <w:rPr>
                <w:i/>
                <w:color w:val="0070C0"/>
              </w:rPr>
            </w:pPr>
          </w:p>
          <w:p w14:paraId="2152DAAA" w14:textId="77777777" w:rsidR="000A1300" w:rsidRDefault="000A1300" w:rsidP="008A2254">
            <w:pPr>
              <w:pStyle w:val="TableParagraph"/>
              <w:numPr>
                <w:ilvl w:val="0"/>
                <w:numId w:val="22"/>
              </w:numPr>
              <w:tabs>
                <w:tab w:val="left" w:pos="467"/>
                <w:tab w:val="left" w:pos="468"/>
              </w:tabs>
              <w:ind w:right="101"/>
              <w:rPr>
                <w:i/>
                <w:iCs/>
                <w:color w:val="231F20"/>
                <w:sz w:val="16"/>
              </w:rPr>
            </w:pPr>
            <w:r w:rsidRPr="00E86744">
              <w:rPr>
                <w:i/>
                <w:iCs/>
                <w:color w:val="231F20"/>
                <w:sz w:val="16"/>
              </w:rPr>
              <w:t>Achieved</w:t>
            </w:r>
          </w:p>
          <w:p w14:paraId="029B7C9C" w14:textId="77777777" w:rsidR="00F907D8" w:rsidRDefault="00F907D8" w:rsidP="00F907D8">
            <w:pPr>
              <w:pStyle w:val="TableParagraph"/>
              <w:tabs>
                <w:tab w:val="left" w:pos="467"/>
                <w:tab w:val="left" w:pos="468"/>
              </w:tabs>
              <w:ind w:right="101"/>
              <w:rPr>
                <w:i/>
                <w:iCs/>
                <w:color w:val="231F20"/>
                <w:sz w:val="16"/>
              </w:rPr>
            </w:pPr>
          </w:p>
          <w:p w14:paraId="22081FC6" w14:textId="77777777" w:rsidR="00F907D8" w:rsidRPr="00E86744" w:rsidRDefault="00F907D8" w:rsidP="00F907D8">
            <w:pPr>
              <w:pStyle w:val="TableParagraph"/>
              <w:tabs>
                <w:tab w:val="left" w:pos="467"/>
                <w:tab w:val="left" w:pos="468"/>
              </w:tabs>
              <w:ind w:right="101"/>
              <w:rPr>
                <w:i/>
                <w:iCs/>
                <w:color w:val="231F20"/>
                <w:sz w:val="16"/>
              </w:rPr>
            </w:pPr>
          </w:p>
          <w:p w14:paraId="2CB7C421" w14:textId="77777777" w:rsidR="000A1300" w:rsidRPr="00E93033" w:rsidRDefault="000A1300" w:rsidP="008A2254">
            <w:pPr>
              <w:pStyle w:val="TableParagraph"/>
              <w:numPr>
                <w:ilvl w:val="0"/>
                <w:numId w:val="22"/>
              </w:numPr>
              <w:tabs>
                <w:tab w:val="left" w:pos="467"/>
                <w:tab w:val="left" w:pos="468"/>
              </w:tabs>
              <w:ind w:right="101"/>
              <w:rPr>
                <w:i/>
                <w:color w:val="0070C0"/>
              </w:rPr>
            </w:pPr>
            <w:r w:rsidRPr="00E86744">
              <w:rPr>
                <w:i/>
                <w:iCs/>
                <w:color w:val="231F20"/>
                <w:sz w:val="16"/>
              </w:rPr>
              <w:t>Achieved</w:t>
            </w:r>
          </w:p>
          <w:p w14:paraId="20EBDE43" w14:textId="77777777" w:rsidR="00E93033" w:rsidRDefault="00E93033" w:rsidP="00E93033">
            <w:pPr>
              <w:pStyle w:val="TableParagraph"/>
              <w:tabs>
                <w:tab w:val="left" w:pos="467"/>
                <w:tab w:val="left" w:pos="468"/>
              </w:tabs>
              <w:ind w:right="101"/>
              <w:rPr>
                <w:i/>
                <w:iCs/>
                <w:color w:val="231F20"/>
                <w:sz w:val="16"/>
              </w:rPr>
            </w:pPr>
          </w:p>
          <w:p w14:paraId="13BA73A1" w14:textId="77777777" w:rsidR="00FE6B28" w:rsidRDefault="00FE6B28" w:rsidP="00E93033">
            <w:pPr>
              <w:pStyle w:val="TableParagraph"/>
              <w:tabs>
                <w:tab w:val="left" w:pos="467"/>
                <w:tab w:val="left" w:pos="468"/>
              </w:tabs>
              <w:ind w:right="101"/>
              <w:rPr>
                <w:i/>
                <w:iCs/>
                <w:color w:val="231F20"/>
                <w:sz w:val="16"/>
              </w:rPr>
            </w:pPr>
          </w:p>
          <w:p w14:paraId="72F29F4F" w14:textId="77777777" w:rsidR="00FE6B28" w:rsidRDefault="00FE6B28" w:rsidP="00E93033">
            <w:pPr>
              <w:pStyle w:val="TableParagraph"/>
              <w:tabs>
                <w:tab w:val="left" w:pos="467"/>
                <w:tab w:val="left" w:pos="468"/>
              </w:tabs>
              <w:ind w:right="101"/>
              <w:rPr>
                <w:i/>
                <w:iCs/>
                <w:color w:val="231F20"/>
                <w:sz w:val="16"/>
              </w:rPr>
            </w:pPr>
          </w:p>
          <w:p w14:paraId="60D67FE6" w14:textId="77777777" w:rsidR="00FE6B28" w:rsidRDefault="00FE6B28" w:rsidP="00E93033">
            <w:pPr>
              <w:pStyle w:val="TableParagraph"/>
              <w:tabs>
                <w:tab w:val="left" w:pos="467"/>
                <w:tab w:val="left" w:pos="468"/>
              </w:tabs>
              <w:ind w:right="101"/>
              <w:rPr>
                <w:i/>
                <w:iCs/>
                <w:color w:val="231F20"/>
                <w:sz w:val="16"/>
              </w:rPr>
            </w:pPr>
          </w:p>
          <w:p w14:paraId="1FF59178" w14:textId="77777777" w:rsidR="00E93033" w:rsidRDefault="00E93033" w:rsidP="00E93033">
            <w:pPr>
              <w:pStyle w:val="TableParagraph"/>
              <w:tabs>
                <w:tab w:val="left" w:pos="467"/>
                <w:tab w:val="left" w:pos="468"/>
              </w:tabs>
              <w:ind w:right="101"/>
              <w:rPr>
                <w:i/>
                <w:iCs/>
                <w:color w:val="231F20"/>
                <w:sz w:val="16"/>
              </w:rPr>
            </w:pPr>
          </w:p>
          <w:p w14:paraId="2ADA6630" w14:textId="77777777" w:rsidR="00E93033" w:rsidRDefault="00E93033" w:rsidP="00E93033">
            <w:pPr>
              <w:pStyle w:val="TableParagraph"/>
              <w:tabs>
                <w:tab w:val="left" w:pos="467"/>
                <w:tab w:val="left" w:pos="468"/>
              </w:tabs>
              <w:ind w:right="101"/>
              <w:rPr>
                <w:i/>
                <w:iCs/>
                <w:color w:val="231F20"/>
                <w:sz w:val="16"/>
              </w:rPr>
            </w:pPr>
          </w:p>
          <w:p w14:paraId="178EFEC1" w14:textId="77777777" w:rsidR="00E93033" w:rsidRPr="00E86744" w:rsidRDefault="00E93033" w:rsidP="00E93033">
            <w:pPr>
              <w:pStyle w:val="TableParagraph"/>
              <w:tabs>
                <w:tab w:val="left" w:pos="467"/>
                <w:tab w:val="left" w:pos="468"/>
              </w:tabs>
              <w:ind w:right="101"/>
              <w:rPr>
                <w:i/>
                <w:color w:val="0070C0"/>
              </w:rPr>
            </w:pPr>
            <w:r w:rsidRPr="00160C23">
              <w:rPr>
                <w:b/>
                <w:sz w:val="16"/>
                <w:szCs w:val="16"/>
              </w:rPr>
              <w:t>Expected Performance Results</w:t>
            </w:r>
          </w:p>
        </w:tc>
      </w:tr>
      <w:tr w:rsidR="000A1300" w:rsidRPr="001B2F81" w14:paraId="40877980" w14:textId="77777777" w:rsidTr="00F404CC">
        <w:trPr>
          <w:trHeight w:val="491"/>
        </w:trPr>
        <w:tc>
          <w:tcPr>
            <w:tcW w:w="1507" w:type="dxa"/>
            <w:tcBorders>
              <w:top w:val="dotted" w:sz="4" w:space="0" w:color="auto"/>
              <w:bottom w:val="dotted" w:sz="4" w:space="0" w:color="auto"/>
              <w:right w:val="single" w:sz="4" w:space="0" w:color="auto"/>
            </w:tcBorders>
          </w:tcPr>
          <w:p w14:paraId="3C736353" w14:textId="77777777" w:rsidR="000A1300" w:rsidRPr="00E93033" w:rsidRDefault="000A1300" w:rsidP="00F404CC">
            <w:pPr>
              <w:pStyle w:val="TableTextBase"/>
              <w:rPr>
                <w:sz w:val="16"/>
                <w:szCs w:val="16"/>
              </w:rPr>
            </w:pPr>
            <w:r w:rsidRPr="00E93033">
              <w:rPr>
                <w:sz w:val="16"/>
                <w:szCs w:val="16"/>
              </w:rPr>
              <w:t xml:space="preserve">Forward Estimates </w:t>
            </w:r>
          </w:p>
          <w:p w14:paraId="31B64A35" w14:textId="77777777" w:rsidR="000A1300" w:rsidRPr="00E93033" w:rsidRDefault="000A1300" w:rsidP="00F404CC">
            <w:pPr>
              <w:pStyle w:val="TableTextBase"/>
              <w:rPr>
                <w:b/>
                <w:sz w:val="16"/>
                <w:szCs w:val="16"/>
              </w:rPr>
            </w:pPr>
            <w:r w:rsidRPr="00E93033">
              <w:rPr>
                <w:sz w:val="16"/>
                <w:szCs w:val="16"/>
              </w:rPr>
              <w:t>2023-26</w:t>
            </w:r>
          </w:p>
        </w:tc>
        <w:tc>
          <w:tcPr>
            <w:tcW w:w="3281" w:type="dxa"/>
            <w:tcBorders>
              <w:top w:val="dotted" w:sz="4" w:space="0" w:color="auto"/>
              <w:left w:val="single" w:sz="4" w:space="0" w:color="auto"/>
              <w:bottom w:val="dotted" w:sz="4" w:space="0" w:color="auto"/>
              <w:right w:val="single" w:sz="4" w:space="0" w:color="auto"/>
            </w:tcBorders>
          </w:tcPr>
          <w:p w14:paraId="3949B20A" w14:textId="77777777" w:rsidR="000A1300" w:rsidRPr="00E93033" w:rsidRDefault="000A1300" w:rsidP="00F404CC">
            <w:pPr>
              <w:pStyle w:val="TableTextBase"/>
              <w:rPr>
                <w:i/>
                <w:sz w:val="16"/>
                <w:szCs w:val="16"/>
              </w:rPr>
            </w:pPr>
            <w:r w:rsidRPr="00E93033">
              <w:rPr>
                <w:i/>
                <w:sz w:val="16"/>
                <w:szCs w:val="16"/>
              </w:rPr>
              <w:t>As per 2022-23.</w:t>
            </w:r>
          </w:p>
        </w:tc>
        <w:tc>
          <w:tcPr>
            <w:tcW w:w="3008" w:type="dxa"/>
            <w:tcBorders>
              <w:top w:val="dotted" w:sz="4" w:space="0" w:color="auto"/>
              <w:left w:val="single" w:sz="4" w:space="0" w:color="auto"/>
              <w:bottom w:val="dotted" w:sz="4" w:space="0" w:color="auto"/>
            </w:tcBorders>
          </w:tcPr>
          <w:p w14:paraId="5B3FFADB" w14:textId="77777777" w:rsidR="000A1300" w:rsidRPr="00E93033" w:rsidRDefault="000A1300" w:rsidP="00F404CC">
            <w:pPr>
              <w:pStyle w:val="TableTextBase"/>
              <w:rPr>
                <w:i/>
                <w:sz w:val="16"/>
                <w:szCs w:val="16"/>
              </w:rPr>
            </w:pPr>
            <w:r w:rsidRPr="00E93033">
              <w:rPr>
                <w:i/>
                <w:sz w:val="16"/>
                <w:szCs w:val="16"/>
              </w:rPr>
              <w:t>As per 2022-23.</w:t>
            </w:r>
          </w:p>
        </w:tc>
      </w:tr>
    </w:tbl>
    <w:p w14:paraId="284D0A74" w14:textId="77777777" w:rsidR="00F907D8" w:rsidRDefault="00F907D8" w:rsidP="00392A48">
      <w:pPr>
        <w:pStyle w:val="ChartandTableFootnoteAlpha"/>
        <w:numPr>
          <w:ilvl w:val="0"/>
          <w:numId w:val="105"/>
        </w:numPr>
      </w:pPr>
      <w:r w:rsidRPr="001B2F81">
        <w:t xml:space="preserve">New or modified performance </w:t>
      </w:r>
      <w:r w:rsidRPr="00E12264">
        <w:t>measures</w:t>
      </w:r>
      <w:r w:rsidRPr="001B2F81">
        <w:t xml:space="preserve"> that reflect new or materially changed programs are shown in </w:t>
      </w:r>
      <w:r w:rsidRPr="005B6A94">
        <w:t>italics.</w:t>
      </w:r>
      <w:r w:rsidRPr="001B2F81">
        <w:t xml:space="preserve"> </w:t>
      </w:r>
      <w:r w:rsidRPr="005B6A94">
        <w:t>Where new programs are established in the 2022-23 Budget, all of the performance measures related to that new program need to be shown</w:t>
      </w:r>
      <w:r>
        <w:t>.</w:t>
      </w:r>
    </w:p>
    <w:p w14:paraId="2E96CDA6" w14:textId="77777777" w:rsidR="000A1300" w:rsidRDefault="000A1300" w:rsidP="000A1300">
      <w:pPr>
        <w:spacing w:after="0" w:line="240" w:lineRule="auto"/>
        <w:jc w:val="left"/>
        <w:rPr>
          <w:rFonts w:ascii="Arial Bold" w:hAnsi="Arial Bold"/>
          <w:bCs/>
          <w:sz w:val="26"/>
        </w:rPr>
      </w:pPr>
      <w:r>
        <w:rPr>
          <w:b/>
          <w:bCs/>
        </w:rPr>
        <w:br w:type="page"/>
      </w:r>
    </w:p>
    <w:p w14:paraId="6A5C140C" w14:textId="77777777" w:rsidR="000A1300" w:rsidRPr="0032786A" w:rsidRDefault="000A1300" w:rsidP="000A1300">
      <w:pPr>
        <w:pStyle w:val="Heading2"/>
        <w:rPr>
          <w:b w:val="0"/>
          <w:bCs/>
        </w:rPr>
      </w:pPr>
      <w:bookmarkStart w:id="351" w:name="_Toc98766377"/>
      <w:bookmarkStart w:id="352" w:name="_Toc98856124"/>
      <w:bookmarkStart w:id="353" w:name="_Toc98932876"/>
      <w:bookmarkStart w:id="354" w:name="_Toc99008133"/>
      <w:bookmarkStart w:id="355" w:name="_Toc99009495"/>
      <w:bookmarkStart w:id="356" w:name="_Toc99010723"/>
      <w:bookmarkStart w:id="357" w:name="_Toc99013958"/>
      <w:bookmarkStart w:id="358" w:name="_Toc99187535"/>
      <w:bookmarkStart w:id="359" w:name="_Toc99269644"/>
      <w:r w:rsidRPr="0032786A">
        <w:rPr>
          <w:b w:val="0"/>
          <w:bCs/>
        </w:rPr>
        <w:t>Section 3: Budgeted financial statements</w:t>
      </w:r>
      <w:bookmarkEnd w:id="351"/>
      <w:bookmarkEnd w:id="352"/>
      <w:bookmarkEnd w:id="353"/>
      <w:bookmarkEnd w:id="354"/>
      <w:bookmarkEnd w:id="355"/>
      <w:bookmarkEnd w:id="356"/>
      <w:bookmarkEnd w:id="357"/>
      <w:bookmarkEnd w:id="358"/>
      <w:bookmarkEnd w:id="359"/>
    </w:p>
    <w:p w14:paraId="6979F9C8" w14:textId="77777777" w:rsidR="000A1300" w:rsidRPr="0032786A" w:rsidRDefault="000A1300" w:rsidP="000A1300">
      <w:pPr>
        <w:rPr>
          <w:bCs/>
        </w:rPr>
      </w:pPr>
      <w:r w:rsidRPr="0032786A">
        <w:rPr>
          <w:bCs/>
        </w:rPr>
        <w:t xml:space="preserve">Section 3 presents budgeted financial statements </w:t>
      </w:r>
      <w:r w:rsidR="00E93033">
        <w:rPr>
          <w:bCs/>
        </w:rPr>
        <w:t>that</w:t>
      </w:r>
      <w:r w:rsidRPr="0032786A">
        <w:rPr>
          <w:bCs/>
        </w:rPr>
        <w:t xml:space="preserve"> provide a comprehensive snapshot of </w:t>
      </w:r>
      <w:r w:rsidR="00E93033">
        <w:rPr>
          <w:bCs/>
        </w:rPr>
        <w:t>ANAO’s</w:t>
      </w:r>
      <w:r w:rsidRPr="0032786A">
        <w:rPr>
          <w:bCs/>
        </w:rPr>
        <w:t xml:space="preserve"> finances for the 2022-23</w:t>
      </w:r>
      <w:r w:rsidRPr="0032786A">
        <w:rPr>
          <w:bCs/>
          <w:color w:val="00B050"/>
        </w:rPr>
        <w:t xml:space="preserve"> </w:t>
      </w:r>
      <w:r w:rsidR="004C12AF">
        <w:rPr>
          <w:bCs/>
        </w:rPr>
        <w:t>Budget year</w:t>
      </w:r>
      <w:r w:rsidRPr="0032786A">
        <w:rPr>
          <w:bCs/>
        </w:rPr>
        <w:t>, including the impact of budget measures and resourcing on financial statements.</w:t>
      </w:r>
    </w:p>
    <w:p w14:paraId="07705D4E" w14:textId="77777777" w:rsidR="000A1300" w:rsidRPr="0032786A" w:rsidRDefault="000A1300" w:rsidP="000A1300">
      <w:pPr>
        <w:pStyle w:val="Heading3"/>
        <w:rPr>
          <w:b w:val="0"/>
          <w:bCs/>
        </w:rPr>
      </w:pPr>
      <w:bookmarkStart w:id="360" w:name="_Toc98766378"/>
      <w:bookmarkStart w:id="361" w:name="_Toc98856125"/>
      <w:bookmarkStart w:id="362" w:name="_Toc98932877"/>
      <w:bookmarkStart w:id="363" w:name="_Toc99008134"/>
      <w:bookmarkStart w:id="364" w:name="_Toc99009496"/>
      <w:bookmarkStart w:id="365" w:name="_Toc99010724"/>
      <w:bookmarkStart w:id="366" w:name="_Toc99013959"/>
      <w:bookmarkStart w:id="367" w:name="_Toc99187536"/>
      <w:bookmarkStart w:id="368" w:name="_Toc99269645"/>
      <w:r w:rsidRPr="0032786A">
        <w:rPr>
          <w:b w:val="0"/>
          <w:bCs/>
        </w:rPr>
        <w:t>3.1</w:t>
      </w:r>
      <w:r w:rsidRPr="0032786A">
        <w:rPr>
          <w:b w:val="0"/>
          <w:bCs/>
        </w:rPr>
        <w:tab/>
        <w:t>Budgeted financial statements</w:t>
      </w:r>
      <w:bookmarkEnd w:id="360"/>
      <w:bookmarkEnd w:id="361"/>
      <w:bookmarkEnd w:id="362"/>
      <w:bookmarkEnd w:id="363"/>
      <w:bookmarkEnd w:id="364"/>
      <w:bookmarkEnd w:id="365"/>
      <w:bookmarkEnd w:id="366"/>
      <w:bookmarkEnd w:id="367"/>
      <w:bookmarkEnd w:id="368"/>
    </w:p>
    <w:p w14:paraId="7CB81F2C" w14:textId="77777777" w:rsidR="000A1300" w:rsidRPr="0032786A" w:rsidRDefault="000A1300" w:rsidP="000A1300">
      <w:pPr>
        <w:pStyle w:val="Heading4"/>
        <w:rPr>
          <w:b w:val="0"/>
          <w:bCs/>
        </w:rPr>
      </w:pPr>
      <w:r w:rsidRPr="0032786A">
        <w:rPr>
          <w:b w:val="0"/>
          <w:bCs/>
        </w:rPr>
        <w:t>3.1.1</w:t>
      </w:r>
      <w:r w:rsidRPr="0032786A">
        <w:rPr>
          <w:b w:val="0"/>
          <w:bCs/>
        </w:rPr>
        <w:tab/>
        <w:t>Differences between entity resourcing and financial statements</w:t>
      </w:r>
    </w:p>
    <w:p w14:paraId="3E90D0C6" w14:textId="77777777" w:rsidR="000A1300" w:rsidRDefault="000A1300" w:rsidP="000A1300">
      <w:r w:rsidRPr="00593B12">
        <w:t xml:space="preserve">The entity resource statement (Table 1.1) provides a consolidated view of all the resources available to the ANAO in </w:t>
      </w:r>
      <w:r>
        <w:t>2022-23</w:t>
      </w:r>
      <w:r w:rsidRPr="00593B12">
        <w:t xml:space="preserve">. This includes appropriation receivable that is yet to be drawn down to cover payables and provisions on the balance sheet. The comprehensive income statement (Table 3.1) shows the operating appropriation provided in </w:t>
      </w:r>
      <w:r>
        <w:t>2022-23.</w:t>
      </w:r>
    </w:p>
    <w:p w14:paraId="54A60416" w14:textId="77777777" w:rsidR="000A1300" w:rsidRDefault="000A1300" w:rsidP="000A1300">
      <w:pPr>
        <w:pStyle w:val="Heading4"/>
      </w:pPr>
      <w:r>
        <w:t>3.1.2</w:t>
      </w:r>
      <w:r>
        <w:tab/>
        <w:t>Explanatory notes and analysis of budgeted financial statements</w:t>
      </w:r>
    </w:p>
    <w:p w14:paraId="7FF796C1" w14:textId="77777777" w:rsidR="000A1300" w:rsidRPr="004E586A" w:rsidRDefault="000A1300" w:rsidP="000A1300">
      <w:pPr>
        <w:rPr>
          <w:rFonts w:cs="Arial"/>
          <w:b/>
        </w:rPr>
      </w:pPr>
      <w:r w:rsidRPr="004E586A">
        <w:rPr>
          <w:rFonts w:cs="Arial"/>
          <w:b/>
        </w:rPr>
        <w:t>Comprehensive income statement</w:t>
      </w:r>
    </w:p>
    <w:p w14:paraId="585F775A" w14:textId="77777777" w:rsidR="000A1300" w:rsidRDefault="00E93033" w:rsidP="000A1300">
      <w:r>
        <w:t>Revenue from g</w:t>
      </w:r>
      <w:r w:rsidR="000A1300" w:rsidRPr="00593B12">
        <w:t xml:space="preserve">overnment (annual departmental appropriation and special appropriation funding) </w:t>
      </w:r>
      <w:r w:rsidR="000A1300">
        <w:t>in 2022-23</w:t>
      </w:r>
      <w:r w:rsidR="000A1300" w:rsidRPr="00593B12">
        <w:t xml:space="preserve"> is budgeted at $</w:t>
      </w:r>
      <w:r w:rsidR="000A1300">
        <w:t>84.2</w:t>
      </w:r>
      <w:r w:rsidR="000A1300" w:rsidRPr="00593B12">
        <w:t xml:space="preserve"> million</w:t>
      </w:r>
      <w:r w:rsidR="000A1300">
        <w:t xml:space="preserve"> (2021-22:</w:t>
      </w:r>
      <w:r w:rsidR="000A1300" w:rsidRPr="00593B12">
        <w:t xml:space="preserve"> </w:t>
      </w:r>
      <w:r w:rsidR="000A1300">
        <w:t>$81.1 million), increasing in line with funding received at the 2021-22 Budget.</w:t>
      </w:r>
    </w:p>
    <w:p w14:paraId="6172A0AB" w14:textId="77777777" w:rsidR="000A1300" w:rsidRDefault="000A1300" w:rsidP="000A1300">
      <w:r w:rsidRPr="00593B12">
        <w:t>Other revenue is expected to be $4.1 million (</w:t>
      </w:r>
      <w:r>
        <w:t>2021-22</w:t>
      </w:r>
      <w:r w:rsidRPr="00593B12">
        <w:t>: $4.1 million). This revenue relates to:</w:t>
      </w:r>
    </w:p>
    <w:p w14:paraId="058AAC52" w14:textId="77777777" w:rsidR="000A1300" w:rsidRPr="00593B12" w:rsidRDefault="000A1300" w:rsidP="008A2254">
      <w:pPr>
        <w:pStyle w:val="ListParagraph"/>
        <w:widowControl w:val="0"/>
        <w:numPr>
          <w:ilvl w:val="0"/>
          <w:numId w:val="20"/>
        </w:numPr>
        <w:tabs>
          <w:tab w:val="left" w:pos="701"/>
        </w:tabs>
        <w:autoSpaceDE w:val="0"/>
        <w:autoSpaceDN w:val="0"/>
        <w:spacing w:after="0" w:line="252" w:lineRule="auto"/>
        <w:ind w:left="700" w:right="420" w:hanging="285"/>
        <w:contextualSpacing w:val="0"/>
        <w:rPr>
          <w:rFonts w:ascii="Book Antiqua" w:hAnsi="Book Antiqua"/>
          <w:sz w:val="20"/>
          <w:szCs w:val="20"/>
        </w:rPr>
      </w:pPr>
      <w:r w:rsidRPr="00593B12">
        <w:rPr>
          <w:rFonts w:ascii="Book Antiqua" w:hAnsi="Book Antiqua"/>
          <w:sz w:val="20"/>
          <w:szCs w:val="20"/>
        </w:rPr>
        <w:t xml:space="preserve">international project funding of $1.3 million to support the Indonesian Board of Audit and the Papua New </w:t>
      </w:r>
      <w:r w:rsidR="00E93033">
        <w:rPr>
          <w:rFonts w:ascii="Book Antiqua" w:hAnsi="Book Antiqua"/>
          <w:sz w:val="20"/>
          <w:szCs w:val="20"/>
        </w:rPr>
        <w:t>Guinea Auditor-General’s Office,</w:t>
      </w:r>
      <w:r w:rsidRPr="00593B12">
        <w:rPr>
          <w:rFonts w:ascii="Book Antiqua" w:hAnsi="Book Antiqua"/>
          <w:sz w:val="20"/>
          <w:szCs w:val="20"/>
        </w:rPr>
        <w:t xml:space="preserve"> and</w:t>
      </w:r>
    </w:p>
    <w:p w14:paraId="3401845B" w14:textId="77777777" w:rsidR="000A1300" w:rsidRPr="00593B12" w:rsidRDefault="000A1300" w:rsidP="000A1300">
      <w:pPr>
        <w:pStyle w:val="ListParagraph"/>
        <w:widowControl w:val="0"/>
        <w:tabs>
          <w:tab w:val="left" w:pos="701"/>
        </w:tabs>
        <w:autoSpaceDE w:val="0"/>
        <w:autoSpaceDN w:val="0"/>
        <w:spacing w:after="0" w:line="252" w:lineRule="auto"/>
        <w:ind w:left="700" w:right="420"/>
        <w:contextualSpacing w:val="0"/>
        <w:rPr>
          <w:rFonts w:ascii="Book Antiqua" w:hAnsi="Book Antiqua"/>
          <w:sz w:val="20"/>
          <w:szCs w:val="20"/>
        </w:rPr>
      </w:pPr>
    </w:p>
    <w:p w14:paraId="393F643C" w14:textId="77777777" w:rsidR="000A1300" w:rsidRDefault="000A1300" w:rsidP="008A2254">
      <w:pPr>
        <w:pStyle w:val="ListParagraph"/>
        <w:widowControl w:val="0"/>
        <w:numPr>
          <w:ilvl w:val="0"/>
          <w:numId w:val="20"/>
        </w:numPr>
        <w:tabs>
          <w:tab w:val="left" w:pos="701"/>
        </w:tabs>
        <w:autoSpaceDE w:val="0"/>
        <w:autoSpaceDN w:val="0"/>
        <w:spacing w:after="0" w:line="252" w:lineRule="auto"/>
        <w:ind w:left="700" w:right="420" w:hanging="285"/>
        <w:contextualSpacing w:val="0"/>
        <w:rPr>
          <w:i/>
        </w:rPr>
      </w:pPr>
      <w:r w:rsidRPr="00593B12">
        <w:rPr>
          <w:rFonts w:ascii="Book Antiqua" w:hAnsi="Book Antiqua"/>
          <w:sz w:val="20"/>
          <w:szCs w:val="20"/>
        </w:rPr>
        <w:t>own</w:t>
      </w:r>
      <w:r>
        <w:rPr>
          <w:rFonts w:ascii="Book Antiqua" w:hAnsi="Book Antiqua"/>
          <w:sz w:val="20"/>
          <w:szCs w:val="20"/>
        </w:rPr>
        <w:t>-</w:t>
      </w:r>
      <w:r w:rsidRPr="00593B12">
        <w:rPr>
          <w:rFonts w:ascii="Book Antiqua" w:hAnsi="Book Antiqua"/>
          <w:sz w:val="20"/>
          <w:szCs w:val="20"/>
        </w:rPr>
        <w:t xml:space="preserve">sourced revenue of $2.8 million for </w:t>
      </w:r>
      <w:r w:rsidRPr="00593B12">
        <w:rPr>
          <w:rFonts w:ascii="Book Antiqua" w:hAnsi="Book Antiqua"/>
          <w:color w:val="231F20"/>
          <w:sz w:val="20"/>
          <w:szCs w:val="20"/>
        </w:rPr>
        <w:t>‘audits</w:t>
      </w:r>
      <w:r w:rsidRPr="00727BC1">
        <w:rPr>
          <w:rFonts w:ascii="Book Antiqua" w:hAnsi="Book Antiqua"/>
          <w:color w:val="231F20"/>
          <w:sz w:val="20"/>
        </w:rPr>
        <w:t xml:space="preserve"> by arrangement’ under section 20(2) of the </w:t>
      </w:r>
      <w:r w:rsidRPr="007C7774">
        <w:rPr>
          <w:rFonts w:ascii="Book Antiqua" w:hAnsi="Book Antiqua"/>
          <w:i/>
          <w:iCs/>
          <w:color w:val="231F20"/>
          <w:sz w:val="20"/>
        </w:rPr>
        <w:t>Auditor-General Act 1997</w:t>
      </w:r>
      <w:r w:rsidRPr="00727BC1">
        <w:rPr>
          <w:rFonts w:ascii="Book Antiqua" w:hAnsi="Book Antiqua"/>
          <w:color w:val="231F20"/>
          <w:sz w:val="20"/>
        </w:rPr>
        <w:t xml:space="preserve"> and other miscellaneous income.</w:t>
      </w:r>
    </w:p>
    <w:p w14:paraId="4FF52F15" w14:textId="77777777" w:rsidR="000A1300" w:rsidRPr="00593B12" w:rsidRDefault="000A1300" w:rsidP="000A1300">
      <w:pPr>
        <w:pStyle w:val="ListParagraph"/>
        <w:widowControl w:val="0"/>
        <w:tabs>
          <w:tab w:val="left" w:pos="701"/>
        </w:tabs>
        <w:autoSpaceDE w:val="0"/>
        <w:autoSpaceDN w:val="0"/>
        <w:spacing w:after="0" w:line="252" w:lineRule="auto"/>
        <w:ind w:left="700" w:right="420"/>
        <w:contextualSpacing w:val="0"/>
        <w:rPr>
          <w:i/>
        </w:rPr>
      </w:pPr>
    </w:p>
    <w:p w14:paraId="0C1C17F1" w14:textId="77777777" w:rsidR="000A1300" w:rsidRPr="004E586A" w:rsidRDefault="000A1300" w:rsidP="000A1300">
      <w:pPr>
        <w:rPr>
          <w:rFonts w:cs="Arial"/>
          <w:b/>
        </w:rPr>
      </w:pPr>
      <w:r w:rsidRPr="004E586A">
        <w:rPr>
          <w:rFonts w:cs="Arial"/>
          <w:b/>
        </w:rPr>
        <w:t>Statement of cash flows</w:t>
      </w:r>
    </w:p>
    <w:p w14:paraId="2CCF2DD4" w14:textId="77777777" w:rsidR="000A1300" w:rsidRDefault="000A1300" w:rsidP="000A1300">
      <w:r w:rsidRPr="003B052E">
        <w:t xml:space="preserve">The cash flow is consistent with, and representative of, the transactions reported in the comprehensive income statement, adjusted for non-cash items and anticipated capital </w:t>
      </w:r>
      <w:r w:rsidRPr="00593B12">
        <w:t>purchases.</w:t>
      </w:r>
    </w:p>
    <w:p w14:paraId="231DD71D" w14:textId="77777777" w:rsidR="000A1300" w:rsidRPr="004E586A" w:rsidRDefault="000A1300" w:rsidP="000A1300">
      <w:pPr>
        <w:rPr>
          <w:rFonts w:cs="Arial"/>
          <w:b/>
        </w:rPr>
      </w:pPr>
      <w:r w:rsidRPr="004E586A">
        <w:rPr>
          <w:rFonts w:cs="Arial"/>
          <w:b/>
        </w:rPr>
        <w:t>Capital budget statement</w:t>
      </w:r>
    </w:p>
    <w:p w14:paraId="4AD236BF" w14:textId="77777777" w:rsidR="000A1300" w:rsidRDefault="000A1300" w:rsidP="000A1300">
      <w:r w:rsidRPr="00593B12">
        <w:t xml:space="preserve">The departmental capital budget statement shows the expected capital works program for the current and forward years. Total capital expenditure in </w:t>
      </w:r>
      <w:r>
        <w:t xml:space="preserve">2022-23 </w:t>
      </w:r>
      <w:r w:rsidRPr="00593B12">
        <w:t>is estimated to be $1.0 million. In addition, the ANAO forecasts spending a further $</w:t>
      </w:r>
      <w:r w:rsidRPr="001D42DD">
        <w:t>2.9</w:t>
      </w:r>
      <w:r w:rsidRPr="00593B12">
        <w:t xml:space="preserve"> million on capital works over the forward estimates.</w:t>
      </w:r>
    </w:p>
    <w:p w14:paraId="7D8B149A" w14:textId="77777777" w:rsidR="000A1300" w:rsidRDefault="000A1300" w:rsidP="000A1300">
      <w:pPr>
        <w:jc w:val="left"/>
      </w:pPr>
      <w:r>
        <w:br w:type="page"/>
      </w:r>
      <w:r w:rsidRPr="00D232B7">
        <w:rPr>
          <w:rStyle w:val="TableHeadingChar"/>
        </w:rPr>
        <w:t>3.2.</w:t>
      </w:r>
      <w:r w:rsidRPr="00D232B7">
        <w:rPr>
          <w:rStyle w:val="TableHeadingChar"/>
        </w:rPr>
        <w:tab/>
        <w:t>Budgeted financial statements tables</w:t>
      </w:r>
    </w:p>
    <w:p w14:paraId="5BA24244" w14:textId="77777777" w:rsidR="000A1300" w:rsidRDefault="000A1300" w:rsidP="000A1300">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7AD52150" w14:textId="77777777" w:rsidR="000A1300" w:rsidRDefault="00E93033" w:rsidP="000A1300">
      <w:pPr>
        <w:pStyle w:val="TableGraphic"/>
      </w:pPr>
      <w:r w:rsidRPr="00E93033">
        <w:rPr>
          <w:noProof/>
        </w:rPr>
        <w:drawing>
          <wp:inline distT="0" distB="0" distL="0" distR="0" wp14:anchorId="76D3AAF1" wp14:editId="3151CF7F">
            <wp:extent cx="4895850" cy="5438463"/>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95850" cy="5438463"/>
                    </a:xfrm>
                    <a:prstGeom prst="rect">
                      <a:avLst/>
                    </a:prstGeom>
                    <a:noFill/>
                    <a:ln>
                      <a:noFill/>
                    </a:ln>
                  </pic:spPr>
                </pic:pic>
              </a:graphicData>
            </a:graphic>
          </wp:inline>
        </w:drawing>
      </w:r>
    </w:p>
    <w:p w14:paraId="5D6BE881" w14:textId="77777777" w:rsidR="000A1300" w:rsidRPr="00F907D8" w:rsidRDefault="000A1300" w:rsidP="000A1300">
      <w:pPr>
        <w:pStyle w:val="TableGraphic"/>
      </w:pPr>
      <w:r w:rsidRPr="00477C67">
        <w:rPr>
          <w:rFonts w:ascii="Arial" w:hAnsi="Arial" w:cs="Arial"/>
          <w:sz w:val="16"/>
        </w:rPr>
        <w:t>Prepared on Australian Accounting Standards basis.</w:t>
      </w:r>
    </w:p>
    <w:p w14:paraId="0FC3932E" w14:textId="77777777" w:rsidR="000A1300" w:rsidRPr="00F907D8" w:rsidRDefault="000A1300" w:rsidP="00392A48">
      <w:pPr>
        <w:pStyle w:val="ChartandTableFootnoteAlpha"/>
        <w:numPr>
          <w:ilvl w:val="0"/>
          <w:numId w:val="106"/>
        </w:numPr>
        <w:rPr>
          <w:rFonts w:cs="Arial"/>
        </w:rPr>
      </w:pPr>
      <w:r w:rsidRPr="00F907D8">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5CF1F7EB" w14:textId="77777777" w:rsidR="000A1300" w:rsidRPr="002A0F2E" w:rsidRDefault="00A75066" w:rsidP="00392A48">
      <w:pPr>
        <w:pStyle w:val="ChartandTableFootnoteAlpha"/>
        <w:numPr>
          <w:ilvl w:val="0"/>
          <w:numId w:val="120"/>
        </w:numPr>
      </w:pPr>
      <w:r>
        <w:t>Applies to leases</w:t>
      </w:r>
      <w:r w:rsidR="000A1300" w:rsidRPr="00D52088">
        <w:t xml:space="preserve"> under AASB 16 Leases.</w:t>
      </w:r>
    </w:p>
    <w:p w14:paraId="49C0D2A7" w14:textId="77777777" w:rsidR="000A1300" w:rsidRDefault="000A1300" w:rsidP="000A1300">
      <w:pPr>
        <w:pStyle w:val="Source"/>
        <w:rPr>
          <w:rFonts w:cs="Arial"/>
        </w:rPr>
      </w:pPr>
    </w:p>
    <w:p w14:paraId="055E3A2C" w14:textId="77777777" w:rsidR="000A1300" w:rsidRDefault="000A1300" w:rsidP="000A1300">
      <w:pPr>
        <w:pStyle w:val="Source"/>
        <w:rPr>
          <w:rFonts w:cs="Arial"/>
        </w:rPr>
      </w:pPr>
    </w:p>
    <w:p w14:paraId="0AEA53DF" w14:textId="77777777" w:rsidR="000A1300" w:rsidRDefault="000A1300" w:rsidP="000A1300">
      <w:pPr>
        <w:pStyle w:val="TableHeading"/>
      </w:pPr>
      <w:r>
        <w:br w:type="page"/>
      </w:r>
      <w:r w:rsidRPr="00E4582E">
        <w:t>Table</w:t>
      </w:r>
      <w:r>
        <w:t xml:space="preserve"> 3.</w:t>
      </w:r>
      <w:r w:rsidRPr="00E4582E">
        <w:t>2: Budg</w:t>
      </w:r>
      <w:r>
        <w:t xml:space="preserve">eted departmental balance sheet </w:t>
      </w:r>
      <w:r w:rsidRPr="00E4582E">
        <w:t>(as at 30 June)</w:t>
      </w:r>
    </w:p>
    <w:p w14:paraId="5AA05A17" w14:textId="77777777" w:rsidR="000A1300" w:rsidRPr="00152EF5" w:rsidRDefault="00E93033" w:rsidP="000A1300">
      <w:pPr>
        <w:pStyle w:val="TableGraphic"/>
      </w:pPr>
      <w:r w:rsidRPr="00E93033">
        <w:rPr>
          <w:noProof/>
        </w:rPr>
        <w:drawing>
          <wp:inline distT="0" distB="0" distL="0" distR="0" wp14:anchorId="2A91FD00" wp14:editId="3DA3B5E0">
            <wp:extent cx="4895850" cy="4562883"/>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95850" cy="4562883"/>
                    </a:xfrm>
                    <a:prstGeom prst="rect">
                      <a:avLst/>
                    </a:prstGeom>
                    <a:noFill/>
                    <a:ln>
                      <a:noFill/>
                    </a:ln>
                  </pic:spPr>
                </pic:pic>
              </a:graphicData>
            </a:graphic>
          </wp:inline>
        </w:drawing>
      </w:r>
    </w:p>
    <w:p w14:paraId="54AD1A84" w14:textId="77777777" w:rsidR="000A1300" w:rsidRPr="007F1951" w:rsidRDefault="000A1300" w:rsidP="000A1300">
      <w:pPr>
        <w:pStyle w:val="TableGraphic"/>
        <w:rPr>
          <w:rFonts w:cs="Arial"/>
        </w:rPr>
      </w:pPr>
      <w:r w:rsidRPr="007F1951">
        <w:rPr>
          <w:rFonts w:ascii="Arial" w:hAnsi="Arial" w:cs="Arial"/>
          <w:sz w:val="16"/>
        </w:rPr>
        <w:t>Prepared on Australian Accounting Standards basis.</w:t>
      </w:r>
    </w:p>
    <w:p w14:paraId="0FDF24F4" w14:textId="77777777" w:rsidR="000A1300" w:rsidRPr="00152B2B" w:rsidRDefault="000A1300" w:rsidP="000A1300">
      <w:pPr>
        <w:pStyle w:val="ChartandTableFootnote"/>
      </w:pPr>
      <w:r w:rsidRPr="00132F9E">
        <w:rPr>
          <w:rFonts w:cs="Arial"/>
        </w:rPr>
        <w:t>*</w:t>
      </w:r>
      <w:r w:rsidRPr="00132F9E">
        <w:rPr>
          <w:rFonts w:cs="Arial"/>
          <w:lang w:val="en-AU"/>
        </w:rPr>
        <w:t>‘</w:t>
      </w:r>
      <w:r w:rsidRPr="00132F9E">
        <w:rPr>
          <w:rFonts w:cs="Arial"/>
        </w:rPr>
        <w:t>Equity’ is the residual interest in assets after deduction of liabilities.</w:t>
      </w:r>
    </w:p>
    <w:p w14:paraId="7E9966CC" w14:textId="77777777" w:rsidR="000A1300" w:rsidRDefault="000A1300" w:rsidP="000A1300">
      <w:pPr>
        <w:pStyle w:val="TableHeading"/>
      </w:pPr>
      <w:r>
        <w:br w:type="page"/>
      </w:r>
      <w:r w:rsidRPr="00AD42E2">
        <w:t>Table 3.3: Departmental statement of changes in equity — summary of</w:t>
      </w:r>
      <w:r>
        <w:t xml:space="preserve"> movement (Budget year </w:t>
      </w:r>
      <w:r>
        <w:rPr>
          <w:lang w:val="en-AU"/>
        </w:rPr>
        <w:t>2022-23</w:t>
      </w:r>
      <w:r w:rsidRPr="00D30CBA">
        <w:t>)</w:t>
      </w:r>
    </w:p>
    <w:p w14:paraId="5E09AF39" w14:textId="77777777" w:rsidR="000A1300" w:rsidRPr="00152EF5" w:rsidRDefault="00E93033" w:rsidP="000A1300">
      <w:pPr>
        <w:pStyle w:val="TableGraphic"/>
      </w:pPr>
      <w:r w:rsidRPr="00E93033">
        <w:rPr>
          <w:noProof/>
        </w:rPr>
        <w:drawing>
          <wp:inline distT="0" distB="0" distL="0" distR="0" wp14:anchorId="4C853A26" wp14:editId="2E14B399">
            <wp:extent cx="4895850" cy="3234869"/>
            <wp:effectExtent l="0" t="0" r="0" b="381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95850" cy="3234869"/>
                    </a:xfrm>
                    <a:prstGeom prst="rect">
                      <a:avLst/>
                    </a:prstGeom>
                    <a:noFill/>
                    <a:ln>
                      <a:noFill/>
                    </a:ln>
                  </pic:spPr>
                </pic:pic>
              </a:graphicData>
            </a:graphic>
          </wp:inline>
        </w:drawing>
      </w:r>
    </w:p>
    <w:p w14:paraId="3493F526" w14:textId="77777777" w:rsidR="000A1300" w:rsidRPr="00132F9E" w:rsidRDefault="000A1300" w:rsidP="000A1300">
      <w:pPr>
        <w:pStyle w:val="TableGraphic"/>
        <w:rPr>
          <w:rFonts w:ascii="Arial" w:hAnsi="Arial" w:cs="Arial"/>
          <w:sz w:val="16"/>
          <w:szCs w:val="16"/>
        </w:rPr>
      </w:pPr>
      <w:r w:rsidRPr="007C7774">
        <w:rPr>
          <w:rFonts w:ascii="Arial" w:hAnsi="Arial" w:cs="Arial"/>
          <w:bCs/>
          <w:sz w:val="16"/>
        </w:rPr>
        <w:t>Prepared on Australian Accounting Standards basis</w:t>
      </w:r>
      <w:r w:rsidR="00F12BE6">
        <w:rPr>
          <w:rFonts w:ascii="Arial" w:hAnsi="Arial" w:cs="Arial"/>
          <w:bCs/>
          <w:sz w:val="16"/>
        </w:rPr>
        <w:t>.</w:t>
      </w:r>
    </w:p>
    <w:p w14:paraId="2B308BAC" w14:textId="77777777" w:rsidR="000A1300" w:rsidRPr="00152B2B" w:rsidRDefault="000A1300" w:rsidP="000A1300"/>
    <w:p w14:paraId="006B094C" w14:textId="77777777" w:rsidR="000A1300" w:rsidRDefault="000A1300" w:rsidP="000A1300">
      <w:pPr>
        <w:pStyle w:val="TableHeading"/>
        <w:spacing w:after="120"/>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25506AD9" w14:textId="77777777" w:rsidR="000A1300" w:rsidRDefault="00E93033" w:rsidP="000A1300">
      <w:pPr>
        <w:pStyle w:val="TableGraphic"/>
        <w:rPr>
          <w:lang w:val="x-none" w:eastAsia="x-none"/>
        </w:rPr>
      </w:pPr>
      <w:r w:rsidRPr="00E93033">
        <w:rPr>
          <w:noProof/>
        </w:rPr>
        <w:drawing>
          <wp:inline distT="0" distB="0" distL="0" distR="0" wp14:anchorId="6B3ACEB8" wp14:editId="4A195663">
            <wp:extent cx="4895850" cy="4828023"/>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95850" cy="4828023"/>
                    </a:xfrm>
                    <a:prstGeom prst="rect">
                      <a:avLst/>
                    </a:prstGeom>
                    <a:noFill/>
                    <a:ln>
                      <a:noFill/>
                    </a:ln>
                  </pic:spPr>
                </pic:pic>
              </a:graphicData>
            </a:graphic>
          </wp:inline>
        </w:drawing>
      </w:r>
    </w:p>
    <w:p w14:paraId="191FD031" w14:textId="77777777" w:rsidR="000A1300" w:rsidRPr="00132F9E" w:rsidRDefault="000A1300" w:rsidP="000A1300">
      <w:pPr>
        <w:pStyle w:val="TableGraphic"/>
        <w:tabs>
          <w:tab w:val="left" w:pos="6237"/>
        </w:tabs>
        <w:rPr>
          <w:rFonts w:ascii="Arial" w:hAnsi="Arial" w:cs="Arial"/>
          <w:sz w:val="16"/>
          <w:szCs w:val="16"/>
        </w:rPr>
      </w:pPr>
      <w:r w:rsidRPr="00132F9E">
        <w:rPr>
          <w:rFonts w:ascii="Arial" w:hAnsi="Arial" w:cs="Arial"/>
          <w:sz w:val="16"/>
          <w:szCs w:val="16"/>
        </w:rPr>
        <w:t>Prepared on Australian Accounting Standards basis.</w:t>
      </w:r>
    </w:p>
    <w:p w14:paraId="7482A01B" w14:textId="77777777" w:rsidR="000A1300" w:rsidRPr="00132F9E" w:rsidRDefault="000A1300" w:rsidP="000A1300">
      <w:pPr>
        <w:pStyle w:val="NoSpacing"/>
        <w:rPr>
          <w:rFonts w:ascii="Arial" w:hAnsi="Arial" w:cs="Arial"/>
          <w:sz w:val="16"/>
          <w:szCs w:val="16"/>
        </w:rPr>
      </w:pPr>
    </w:p>
    <w:p w14:paraId="52452C1F" w14:textId="77777777" w:rsidR="000A1300" w:rsidRDefault="000A1300" w:rsidP="000A1300">
      <w:pPr>
        <w:pStyle w:val="TableHeading"/>
      </w:pPr>
      <w:r>
        <w:br w:type="page"/>
      </w:r>
      <w:r w:rsidRPr="00D30CBA">
        <w:t>Table</w:t>
      </w:r>
      <w:r>
        <w:t xml:space="preserve"> 3.5</w:t>
      </w:r>
      <w:r w:rsidRPr="00D30CBA">
        <w:t xml:space="preserve">: </w:t>
      </w:r>
      <w:r>
        <w:t>Departmental capital budget statement (for the period ended 30 June)</w:t>
      </w:r>
    </w:p>
    <w:p w14:paraId="42BA90AE" w14:textId="77777777" w:rsidR="000A1300" w:rsidRPr="00152EF5" w:rsidRDefault="00E93033" w:rsidP="000A1300">
      <w:pPr>
        <w:pStyle w:val="TableGraphic"/>
      </w:pPr>
      <w:r w:rsidRPr="00E93033">
        <w:rPr>
          <w:noProof/>
        </w:rPr>
        <w:drawing>
          <wp:inline distT="0" distB="0" distL="0" distR="0" wp14:anchorId="49140362" wp14:editId="1FD2A444">
            <wp:extent cx="4895850" cy="2725398"/>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95850" cy="2725398"/>
                    </a:xfrm>
                    <a:prstGeom prst="rect">
                      <a:avLst/>
                    </a:prstGeom>
                    <a:noFill/>
                    <a:ln>
                      <a:noFill/>
                    </a:ln>
                  </pic:spPr>
                </pic:pic>
              </a:graphicData>
            </a:graphic>
          </wp:inline>
        </w:drawing>
      </w:r>
    </w:p>
    <w:p w14:paraId="0A4D40E0" w14:textId="77777777" w:rsidR="000A1300" w:rsidRPr="00132F9E" w:rsidRDefault="000A1300" w:rsidP="000A1300">
      <w:pPr>
        <w:pStyle w:val="TableGraphic"/>
        <w:rPr>
          <w:rFonts w:ascii="Arial" w:hAnsi="Arial" w:cs="Arial"/>
          <w:sz w:val="16"/>
          <w:szCs w:val="16"/>
        </w:rPr>
      </w:pPr>
      <w:r w:rsidRPr="00132F9E">
        <w:rPr>
          <w:rFonts w:ascii="Arial" w:hAnsi="Arial" w:cs="Arial"/>
          <w:sz w:val="16"/>
          <w:szCs w:val="16"/>
        </w:rPr>
        <w:t>Prepared on Australian Accounting Standards basis.</w:t>
      </w:r>
    </w:p>
    <w:p w14:paraId="50BE86CC" w14:textId="77777777" w:rsidR="000A1300" w:rsidRPr="00F907D8" w:rsidRDefault="000A1300" w:rsidP="00392A48">
      <w:pPr>
        <w:pStyle w:val="ChartandTableFootnoteAlpha"/>
        <w:numPr>
          <w:ilvl w:val="0"/>
          <w:numId w:val="107"/>
        </w:numPr>
        <w:rPr>
          <w:rFonts w:cs="Arial"/>
          <w:szCs w:val="16"/>
        </w:rPr>
      </w:pPr>
      <w:r w:rsidRPr="00F907D8">
        <w:rPr>
          <w:rFonts w:cs="Arial"/>
          <w:szCs w:val="16"/>
        </w:rPr>
        <w:t xml:space="preserve">Includes purchases from current and previous years’ </w:t>
      </w:r>
      <w:r w:rsidR="00F907D8" w:rsidRPr="00F907D8">
        <w:rPr>
          <w:rFonts w:cs="Arial"/>
          <w:szCs w:val="16"/>
        </w:rPr>
        <w:t>DCBs</w:t>
      </w:r>
      <w:r w:rsidRPr="00F907D8">
        <w:rPr>
          <w:rFonts w:cs="Arial"/>
          <w:szCs w:val="16"/>
        </w:rPr>
        <w:t>.</w:t>
      </w:r>
    </w:p>
    <w:p w14:paraId="38462D81" w14:textId="77777777" w:rsidR="000A1300" w:rsidRDefault="000A1300" w:rsidP="000A1300">
      <w:pPr>
        <w:pStyle w:val="ChartandTableFootnote-Dash"/>
      </w:pPr>
    </w:p>
    <w:p w14:paraId="774C8F31" w14:textId="77777777" w:rsidR="00183A23" w:rsidRDefault="00183A23" w:rsidP="00183A23">
      <w:pPr>
        <w:pStyle w:val="ChartandTableFootnote-Dash"/>
        <w:ind w:left="0" w:firstLine="0"/>
      </w:pPr>
    </w:p>
    <w:p w14:paraId="4F1E4921" w14:textId="77777777" w:rsidR="00183A23" w:rsidRDefault="00183A23">
      <w:pPr>
        <w:spacing w:after="0" w:line="240" w:lineRule="auto"/>
        <w:jc w:val="left"/>
        <w:rPr>
          <w:rFonts w:ascii="Arial" w:hAnsi="Arial"/>
          <w:b/>
          <w:color w:val="000000"/>
          <w:lang w:val="x-none" w:eastAsia="x-none"/>
        </w:rPr>
      </w:pPr>
      <w:r>
        <w:br w:type="page"/>
      </w:r>
    </w:p>
    <w:p w14:paraId="57E85A6B" w14:textId="77777777" w:rsidR="00F12BE6" w:rsidRPr="00132F9E" w:rsidRDefault="00183A23" w:rsidP="00F12BE6">
      <w:pPr>
        <w:pStyle w:val="TableGraphic"/>
        <w:jc w:val="left"/>
        <w:rPr>
          <w:rFonts w:ascii="Arial" w:hAnsi="Arial" w:cs="Arial"/>
          <w:sz w:val="16"/>
          <w:szCs w:val="16"/>
        </w:rPr>
      </w:pPr>
      <w:r w:rsidRPr="00F12BE6">
        <w:rPr>
          <w:rFonts w:ascii="Arial" w:hAnsi="Arial" w:cs="Arial"/>
          <w:b/>
        </w:rPr>
        <w:t>Table 3.6: Statement of departmental asset movements (Budget year 2022-23)</w:t>
      </w:r>
      <w:r w:rsidRPr="00102406">
        <w:rPr>
          <w:noProof/>
        </w:rPr>
        <w:t xml:space="preserve"> </w:t>
      </w:r>
      <w:r w:rsidR="00E93033" w:rsidRPr="00E93033">
        <w:rPr>
          <w:noProof/>
        </w:rPr>
        <w:drawing>
          <wp:inline distT="0" distB="0" distL="0" distR="0" wp14:anchorId="6EF47A20" wp14:editId="33FE0B05">
            <wp:extent cx="4895850" cy="3993515"/>
            <wp:effectExtent l="0" t="0" r="0" b="698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95850" cy="3993515"/>
                    </a:xfrm>
                    <a:prstGeom prst="rect">
                      <a:avLst/>
                    </a:prstGeom>
                    <a:noFill/>
                    <a:ln>
                      <a:noFill/>
                    </a:ln>
                  </pic:spPr>
                </pic:pic>
              </a:graphicData>
            </a:graphic>
          </wp:inline>
        </w:drawing>
      </w:r>
      <w:r w:rsidR="00F12BE6" w:rsidRPr="00F12BE6">
        <w:rPr>
          <w:rFonts w:ascii="Arial" w:hAnsi="Arial" w:cs="Arial"/>
          <w:bCs/>
          <w:sz w:val="16"/>
        </w:rPr>
        <w:t xml:space="preserve"> </w:t>
      </w:r>
      <w:r w:rsidR="00F12BE6" w:rsidRPr="007C7774">
        <w:rPr>
          <w:rFonts w:ascii="Arial" w:hAnsi="Arial" w:cs="Arial"/>
          <w:bCs/>
          <w:sz w:val="16"/>
        </w:rPr>
        <w:t>Prepared on Australian Accounting Standards basis</w:t>
      </w:r>
      <w:r w:rsidR="00F12BE6">
        <w:rPr>
          <w:rFonts w:ascii="Arial" w:hAnsi="Arial" w:cs="Arial"/>
          <w:bCs/>
          <w:sz w:val="16"/>
        </w:rPr>
        <w:t>.</w:t>
      </w:r>
    </w:p>
    <w:p w14:paraId="07E19623" w14:textId="77777777" w:rsidR="000D3617" w:rsidRPr="00E93033" w:rsidRDefault="00183A23" w:rsidP="00392A48">
      <w:pPr>
        <w:pStyle w:val="ListParagraph"/>
        <w:numPr>
          <w:ilvl w:val="0"/>
          <w:numId w:val="131"/>
        </w:numPr>
        <w:spacing w:after="0" w:line="240" w:lineRule="auto"/>
        <w:rPr>
          <w:rFonts w:ascii="Arial" w:hAnsi="Arial" w:cs="Arial"/>
          <w:sz w:val="16"/>
          <w:szCs w:val="16"/>
        </w:rPr>
      </w:pPr>
      <w:r w:rsidRPr="00E93033">
        <w:rPr>
          <w:rFonts w:ascii="Arial" w:hAnsi="Arial" w:cs="Arial"/>
          <w:sz w:val="16"/>
          <w:szCs w:val="16"/>
        </w:rPr>
        <w:t xml:space="preserve">'Appropriation ordinary annual services' refers to funding provided through </w:t>
      </w:r>
      <w:r w:rsidR="00E93033">
        <w:rPr>
          <w:rFonts w:ascii="Arial" w:hAnsi="Arial" w:cs="Arial"/>
          <w:sz w:val="16"/>
          <w:szCs w:val="16"/>
        </w:rPr>
        <w:t>Appropriation Bill (No.1) </w:t>
      </w:r>
      <w:r w:rsidRPr="00E93033">
        <w:rPr>
          <w:rFonts w:ascii="Arial" w:hAnsi="Arial" w:cs="Arial"/>
          <w:sz w:val="16"/>
          <w:szCs w:val="16"/>
        </w:rPr>
        <w:t>2022</w:t>
      </w:r>
      <w:r w:rsidRPr="00E93033">
        <w:rPr>
          <w:rFonts w:ascii="Arial" w:hAnsi="Arial" w:cs="Arial"/>
          <w:sz w:val="16"/>
          <w:szCs w:val="16"/>
        </w:rPr>
        <w:noBreakHyphen/>
        <w:t>23 for depreciation/amortisation expenses, DCB or other operational expenses.</w:t>
      </w:r>
    </w:p>
    <w:p w14:paraId="74497954" w14:textId="77777777" w:rsidR="000D3617" w:rsidRDefault="000D3617" w:rsidP="000D3617">
      <w:pPr>
        <w:rPr>
          <w:rFonts w:ascii="Arial" w:hAnsi="Arial" w:cs="Arial"/>
          <w:sz w:val="16"/>
          <w:szCs w:val="16"/>
        </w:rPr>
      </w:pPr>
    </w:p>
    <w:p w14:paraId="41C089B2" w14:textId="77777777" w:rsidR="00183A23" w:rsidRPr="000D3617" w:rsidRDefault="00183A23" w:rsidP="000D3617">
      <w:pPr>
        <w:jc w:val="center"/>
        <w:rPr>
          <w:rFonts w:ascii="Arial" w:hAnsi="Arial" w:cs="Arial"/>
          <w:sz w:val="16"/>
          <w:szCs w:val="16"/>
        </w:rPr>
      </w:pPr>
    </w:p>
    <w:p w14:paraId="126F4703" w14:textId="77777777" w:rsidR="000A1300" w:rsidRDefault="000A1300" w:rsidP="000A1300">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5203ED4B" w14:textId="77777777" w:rsidR="000A1300" w:rsidRPr="00431D37" w:rsidRDefault="00E93033" w:rsidP="000A1300">
      <w:pPr>
        <w:pStyle w:val="TableGraphic"/>
      </w:pPr>
      <w:r w:rsidRPr="00E93033">
        <w:rPr>
          <w:noProof/>
        </w:rPr>
        <w:drawing>
          <wp:inline distT="0" distB="0" distL="0" distR="0" wp14:anchorId="33F9A026" wp14:editId="0A81A9C6">
            <wp:extent cx="4895850" cy="2719232"/>
            <wp:effectExtent l="0" t="0" r="0" b="508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95850" cy="2719232"/>
                    </a:xfrm>
                    <a:prstGeom prst="rect">
                      <a:avLst/>
                    </a:prstGeom>
                    <a:noFill/>
                    <a:ln>
                      <a:noFill/>
                    </a:ln>
                  </pic:spPr>
                </pic:pic>
              </a:graphicData>
            </a:graphic>
          </wp:inline>
        </w:drawing>
      </w:r>
    </w:p>
    <w:p w14:paraId="7BB340B7" w14:textId="77777777" w:rsidR="000A1300" w:rsidRPr="000E07E8" w:rsidRDefault="000A1300" w:rsidP="000A1300">
      <w:pPr>
        <w:pStyle w:val="TableGraphic"/>
        <w:rPr>
          <w:rFonts w:cs="Arial"/>
          <w:szCs w:val="16"/>
        </w:rPr>
      </w:pPr>
      <w:r w:rsidRPr="007C7774">
        <w:rPr>
          <w:rFonts w:ascii="Arial" w:hAnsi="Arial" w:cs="Arial"/>
          <w:sz w:val="16"/>
          <w:szCs w:val="16"/>
        </w:rPr>
        <w:t>Prepared on Australian Accounting Standards basis.</w:t>
      </w:r>
    </w:p>
    <w:p w14:paraId="26C6B0F5" w14:textId="77777777" w:rsidR="000A1300" w:rsidRPr="00FD522D" w:rsidRDefault="000A1300" w:rsidP="000A1300"/>
    <w:p w14:paraId="2F7F5FE0" w14:textId="77777777" w:rsidR="00382561" w:rsidRDefault="00382561" w:rsidP="000A1300">
      <w:pPr>
        <w:pStyle w:val="TableHeading"/>
      </w:pPr>
    </w:p>
    <w:p w14:paraId="448DE90B" w14:textId="77777777" w:rsidR="00382561" w:rsidRPr="00382561" w:rsidRDefault="00382561" w:rsidP="00382561">
      <w:pPr>
        <w:rPr>
          <w:lang w:val="x-none" w:eastAsia="x-none"/>
        </w:rPr>
      </w:pPr>
    </w:p>
    <w:p w14:paraId="13322E94" w14:textId="77777777" w:rsidR="00382561" w:rsidRPr="00382561" w:rsidRDefault="00382561" w:rsidP="00382561">
      <w:pPr>
        <w:rPr>
          <w:lang w:val="x-none" w:eastAsia="x-none"/>
        </w:rPr>
      </w:pPr>
    </w:p>
    <w:p w14:paraId="0731A69B" w14:textId="77777777" w:rsidR="00382561" w:rsidRPr="00382561" w:rsidRDefault="00382561" w:rsidP="00382561">
      <w:pPr>
        <w:rPr>
          <w:lang w:val="x-none" w:eastAsia="x-none"/>
        </w:rPr>
      </w:pPr>
    </w:p>
    <w:p w14:paraId="16D13CB0" w14:textId="77777777" w:rsidR="00382561" w:rsidRDefault="00382561" w:rsidP="000A1300">
      <w:pPr>
        <w:pStyle w:val="TableHeading"/>
      </w:pPr>
    </w:p>
    <w:p w14:paraId="7411DE23" w14:textId="77777777" w:rsidR="00382561" w:rsidRDefault="00382561" w:rsidP="000A1300">
      <w:pPr>
        <w:pStyle w:val="TableHeading"/>
      </w:pPr>
    </w:p>
    <w:p w14:paraId="6C83D960" w14:textId="77777777" w:rsidR="000A1300" w:rsidRDefault="000A1300" w:rsidP="000A1300">
      <w:pPr>
        <w:pStyle w:val="TableHeading"/>
      </w:pPr>
      <w:r w:rsidRPr="00382561">
        <w:br w:type="page"/>
      </w: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19373109" w14:textId="77777777" w:rsidR="000A1300" w:rsidRDefault="00E93033" w:rsidP="000A1300">
      <w:pPr>
        <w:pStyle w:val="TableGraphic"/>
        <w:rPr>
          <w:lang w:val="x-none" w:eastAsia="x-none"/>
        </w:rPr>
      </w:pPr>
      <w:r w:rsidRPr="00E93033">
        <w:rPr>
          <w:noProof/>
        </w:rPr>
        <w:drawing>
          <wp:inline distT="0" distB="0" distL="0" distR="0" wp14:anchorId="2B5ACDD9" wp14:editId="5597CB28">
            <wp:extent cx="4895850" cy="2170452"/>
            <wp:effectExtent l="0" t="0" r="0"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95850" cy="2170452"/>
                    </a:xfrm>
                    <a:prstGeom prst="rect">
                      <a:avLst/>
                    </a:prstGeom>
                    <a:noFill/>
                    <a:ln>
                      <a:noFill/>
                    </a:ln>
                  </pic:spPr>
                </pic:pic>
              </a:graphicData>
            </a:graphic>
          </wp:inline>
        </w:drawing>
      </w:r>
    </w:p>
    <w:p w14:paraId="7560F52B" w14:textId="77777777" w:rsidR="000A1300" w:rsidRPr="00B7521F" w:rsidRDefault="000A1300" w:rsidP="000A1300">
      <w:pPr>
        <w:pStyle w:val="ChartandTableFootnote"/>
      </w:pPr>
      <w:r w:rsidRPr="00B7521F">
        <w:t>Prepared on Australian Accounting Standards basis.</w:t>
      </w:r>
    </w:p>
    <w:p w14:paraId="23AA56BA" w14:textId="77777777" w:rsidR="000A1300" w:rsidRPr="00B7521F" w:rsidRDefault="000A1300" w:rsidP="000A1300">
      <w:pPr>
        <w:pStyle w:val="SingleParagraph"/>
        <w:spacing w:line="240" w:lineRule="auto"/>
        <w:rPr>
          <w:rFonts w:ascii="Arial" w:hAnsi="Arial" w:cs="Arial"/>
          <w:sz w:val="16"/>
          <w:szCs w:val="16"/>
        </w:rPr>
      </w:pPr>
    </w:p>
    <w:p w14:paraId="58CDEAD2" w14:textId="77777777" w:rsidR="000A1300" w:rsidRDefault="000A1300" w:rsidP="000A1300">
      <w:pPr>
        <w:pStyle w:val="TableHeading"/>
      </w:pPr>
      <w:r>
        <w:br w:type="page"/>
        <w:t xml:space="preserve">Table 3.9: </w:t>
      </w:r>
      <w:r w:rsidRPr="00C41D55">
        <w:t xml:space="preserve">Schedule of </w:t>
      </w:r>
      <w:r>
        <w:t xml:space="preserve">budgeted administered cash flows </w:t>
      </w:r>
      <w:r w:rsidRPr="00C41D55">
        <w:t>(for</w:t>
      </w:r>
      <w:r>
        <w:t> the </w:t>
      </w:r>
      <w:r w:rsidRPr="00C41D55">
        <w:t>period ended 30 June)</w:t>
      </w:r>
    </w:p>
    <w:p w14:paraId="6EB65E8A" w14:textId="77777777" w:rsidR="000A1300" w:rsidRDefault="00E93033" w:rsidP="000A1300">
      <w:pPr>
        <w:pStyle w:val="TableGraphic"/>
        <w:rPr>
          <w:lang w:val="x-none" w:eastAsia="x-none"/>
        </w:rPr>
      </w:pPr>
      <w:r w:rsidRPr="00E93033">
        <w:rPr>
          <w:noProof/>
        </w:rPr>
        <w:drawing>
          <wp:inline distT="0" distB="0" distL="0" distR="0" wp14:anchorId="3B59A8C1" wp14:editId="79ABCB2D">
            <wp:extent cx="4895850" cy="2528084"/>
            <wp:effectExtent l="0" t="0" r="0" b="571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95850" cy="2528084"/>
                    </a:xfrm>
                    <a:prstGeom prst="rect">
                      <a:avLst/>
                    </a:prstGeom>
                    <a:noFill/>
                    <a:ln>
                      <a:noFill/>
                    </a:ln>
                  </pic:spPr>
                </pic:pic>
              </a:graphicData>
            </a:graphic>
          </wp:inline>
        </w:drawing>
      </w:r>
    </w:p>
    <w:p w14:paraId="6555D5AF" w14:textId="77777777" w:rsidR="000A1300" w:rsidRDefault="000A1300" w:rsidP="000A1300">
      <w:pPr>
        <w:pStyle w:val="ChartandTableFootnote"/>
      </w:pPr>
      <w:r>
        <w:t>Prepared on Australian Accounting Standards basis.</w:t>
      </w:r>
    </w:p>
    <w:p w14:paraId="28F376AA" w14:textId="77777777" w:rsidR="00D80A4C" w:rsidRDefault="00D80A4C" w:rsidP="002C285B">
      <w:pPr>
        <w:pStyle w:val="PartHeading"/>
        <w:sectPr w:rsidR="00D80A4C" w:rsidSect="00A62A0C">
          <w:headerReference w:type="even" r:id="rId158"/>
          <w:headerReference w:type="default" r:id="rId159"/>
          <w:footerReference w:type="even" r:id="rId160"/>
          <w:footerReference w:type="default" r:id="rId161"/>
          <w:footerReference w:type="first" r:id="rId162"/>
          <w:type w:val="oddPage"/>
          <w:pgSz w:w="11906" w:h="16838" w:code="9"/>
          <w:pgMar w:top="2835" w:right="2098" w:bottom="2466" w:left="2098" w:header="1814" w:footer="1814" w:gutter="0"/>
          <w:cols w:space="708"/>
          <w:titlePg/>
          <w:docGrid w:linePitch="360"/>
        </w:sectPr>
      </w:pPr>
    </w:p>
    <w:p w14:paraId="1F1C144D" w14:textId="77777777" w:rsidR="00382348" w:rsidRDefault="00382348" w:rsidP="002C285B">
      <w:pPr>
        <w:pStyle w:val="PartHeading"/>
      </w:pPr>
    </w:p>
    <w:p w14:paraId="13439ED3" w14:textId="77777777" w:rsidR="00382348" w:rsidRDefault="00382348" w:rsidP="00382348">
      <w:pPr>
        <w:rPr>
          <w:rFonts w:ascii="Arial Bold" w:hAnsi="Arial Bold" w:cs="Arial"/>
          <w:kern w:val="28"/>
          <w:sz w:val="52"/>
          <w:szCs w:val="32"/>
        </w:rPr>
      </w:pPr>
      <w:r>
        <w:br w:type="page"/>
      </w:r>
    </w:p>
    <w:p w14:paraId="2430B7C1" w14:textId="77777777" w:rsidR="00A62A0C" w:rsidRDefault="00A62A0C" w:rsidP="002C285B">
      <w:pPr>
        <w:pStyle w:val="PartHeading"/>
      </w:pPr>
    </w:p>
    <w:p w14:paraId="7C063C4E" w14:textId="77777777" w:rsidR="00A62A0C" w:rsidRDefault="00A62A0C">
      <w:pPr>
        <w:spacing w:after="0" w:line="240" w:lineRule="auto"/>
        <w:jc w:val="left"/>
        <w:rPr>
          <w:rFonts w:ascii="Arial Bold" w:hAnsi="Arial Bold" w:cs="Arial"/>
          <w:b/>
          <w:bCs/>
          <w:kern w:val="28"/>
          <w:sz w:val="52"/>
          <w:szCs w:val="32"/>
        </w:rPr>
      </w:pPr>
      <w:r>
        <w:br w:type="page"/>
      </w:r>
    </w:p>
    <w:p w14:paraId="16446A55" w14:textId="77777777" w:rsidR="002C285B" w:rsidRPr="005A7C0B" w:rsidRDefault="002C285B" w:rsidP="002C285B">
      <w:pPr>
        <w:pStyle w:val="PartHeading"/>
      </w:pPr>
      <w:r>
        <w:t>Australian Public Service Commission</w:t>
      </w:r>
    </w:p>
    <w:p w14:paraId="59B00B3B" w14:textId="77777777" w:rsidR="002C285B" w:rsidRDefault="002C285B" w:rsidP="002C285B">
      <w:pPr>
        <w:pStyle w:val="PartHeading"/>
      </w:pPr>
    </w:p>
    <w:p w14:paraId="51ABB3CB" w14:textId="77777777" w:rsidR="002C285B" w:rsidRDefault="002C285B" w:rsidP="002C285B">
      <w:pPr>
        <w:pStyle w:val="PartHeading"/>
      </w:pPr>
    </w:p>
    <w:p w14:paraId="431D5906" w14:textId="77777777" w:rsidR="002C285B" w:rsidRDefault="002C285B" w:rsidP="002C285B">
      <w:pPr>
        <w:pStyle w:val="PartHeading-TOC"/>
      </w:pPr>
      <w:bookmarkStart w:id="369" w:name="_Toc99201046"/>
      <w:r>
        <w:t>Entity resources and planned performance</w:t>
      </w:r>
      <w:bookmarkEnd w:id="369"/>
    </w:p>
    <w:p w14:paraId="57ED12B2" w14:textId="77777777" w:rsidR="002C285B" w:rsidRDefault="002C285B" w:rsidP="002C285B">
      <w:pPr>
        <w:pStyle w:val="PartHeading"/>
      </w:pPr>
    </w:p>
    <w:p w14:paraId="3CF3167F" w14:textId="77777777" w:rsidR="002C285B" w:rsidRDefault="002C285B" w:rsidP="002C285B">
      <w:pPr>
        <w:spacing w:after="0" w:line="240" w:lineRule="auto"/>
        <w:jc w:val="left"/>
        <w:rPr>
          <w:rFonts w:ascii="Arial Bold" w:hAnsi="Arial Bold" w:cs="Arial"/>
          <w:b/>
          <w:bCs/>
          <w:kern w:val="28"/>
          <w:sz w:val="52"/>
          <w:szCs w:val="32"/>
        </w:rPr>
      </w:pPr>
      <w:r>
        <w:br w:type="page"/>
      </w:r>
    </w:p>
    <w:p w14:paraId="54B2EC30" w14:textId="77777777" w:rsidR="002C285B" w:rsidRDefault="002C285B" w:rsidP="002C285B">
      <w:pPr>
        <w:pStyle w:val="PartHeading"/>
      </w:pPr>
    </w:p>
    <w:p w14:paraId="6F1BD669" w14:textId="77777777" w:rsidR="002C285B" w:rsidRDefault="002C285B" w:rsidP="002C285B">
      <w:pPr>
        <w:spacing w:after="0" w:line="240" w:lineRule="auto"/>
        <w:jc w:val="left"/>
        <w:rPr>
          <w:rFonts w:ascii="Arial Bold" w:hAnsi="Arial Bold" w:cs="Arial"/>
          <w:b/>
          <w:bCs/>
          <w:kern w:val="28"/>
          <w:sz w:val="52"/>
          <w:szCs w:val="32"/>
        </w:rPr>
      </w:pPr>
      <w:r>
        <w:br w:type="page"/>
      </w:r>
    </w:p>
    <w:p w14:paraId="19FD6658" w14:textId="77777777" w:rsidR="002C285B" w:rsidRPr="00767223" w:rsidRDefault="002C285B" w:rsidP="002C285B">
      <w:pPr>
        <w:pStyle w:val="ContentsHeading"/>
      </w:pPr>
      <w:r>
        <w:t>Australian Public Service Commission</w:t>
      </w:r>
    </w:p>
    <w:p w14:paraId="294BFC89" w14:textId="77777777" w:rsidR="005A5957" w:rsidRDefault="002C285B">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99269646" w:history="1">
        <w:r w:rsidR="005A5957" w:rsidRPr="00483654">
          <w:rPr>
            <w:rStyle w:val="Hyperlink"/>
            <w:noProof/>
          </w:rPr>
          <w:t>Section 1: Entity overview and resources</w:t>
        </w:r>
        <w:r w:rsidR="005A5957">
          <w:rPr>
            <w:noProof/>
            <w:webHidden/>
          </w:rPr>
          <w:tab/>
        </w:r>
        <w:r w:rsidR="005A5957">
          <w:rPr>
            <w:noProof/>
            <w:webHidden/>
          </w:rPr>
          <w:fldChar w:fldCharType="begin"/>
        </w:r>
        <w:r w:rsidR="005A5957">
          <w:rPr>
            <w:noProof/>
            <w:webHidden/>
          </w:rPr>
          <w:instrText xml:space="preserve"> PAGEREF _Toc99269646 \h </w:instrText>
        </w:r>
        <w:r w:rsidR="005A5957">
          <w:rPr>
            <w:noProof/>
            <w:webHidden/>
          </w:rPr>
        </w:r>
        <w:r w:rsidR="005A5957">
          <w:rPr>
            <w:noProof/>
            <w:webHidden/>
          </w:rPr>
          <w:fldChar w:fldCharType="separate"/>
        </w:r>
        <w:r w:rsidR="00AC2929">
          <w:rPr>
            <w:noProof/>
            <w:webHidden/>
          </w:rPr>
          <w:t>121</w:t>
        </w:r>
        <w:r w:rsidR="005A5957">
          <w:rPr>
            <w:noProof/>
            <w:webHidden/>
          </w:rPr>
          <w:fldChar w:fldCharType="end"/>
        </w:r>
      </w:hyperlink>
    </w:p>
    <w:p w14:paraId="6323E0F2" w14:textId="77777777" w:rsidR="005A5957" w:rsidRDefault="00A76B91">
      <w:pPr>
        <w:pStyle w:val="TOC2"/>
        <w:tabs>
          <w:tab w:val="left" w:pos="800"/>
        </w:tabs>
        <w:rPr>
          <w:rFonts w:asciiTheme="minorHAnsi" w:eastAsiaTheme="minorEastAsia" w:hAnsiTheme="minorHAnsi" w:cstheme="minorBidi"/>
          <w:noProof/>
          <w:sz w:val="22"/>
          <w:szCs w:val="22"/>
        </w:rPr>
      </w:pPr>
      <w:hyperlink w:anchor="_Toc99269647" w:history="1">
        <w:r w:rsidR="005A5957" w:rsidRPr="00483654">
          <w:rPr>
            <w:rStyle w:val="Hyperlink"/>
            <w:noProof/>
          </w:rPr>
          <w:t>1.1</w:t>
        </w:r>
        <w:r w:rsidR="005A5957">
          <w:rPr>
            <w:rFonts w:asciiTheme="minorHAnsi" w:eastAsiaTheme="minorEastAsia" w:hAnsiTheme="minorHAnsi" w:cstheme="minorBidi"/>
            <w:noProof/>
            <w:sz w:val="22"/>
            <w:szCs w:val="22"/>
          </w:rPr>
          <w:tab/>
        </w:r>
        <w:r w:rsidR="005A5957" w:rsidRPr="00483654">
          <w:rPr>
            <w:rStyle w:val="Hyperlink"/>
            <w:noProof/>
          </w:rPr>
          <w:t>Strategic direction statement</w:t>
        </w:r>
        <w:r w:rsidR="005A5957">
          <w:rPr>
            <w:noProof/>
            <w:webHidden/>
          </w:rPr>
          <w:tab/>
        </w:r>
        <w:r w:rsidR="005A5957">
          <w:rPr>
            <w:noProof/>
            <w:webHidden/>
          </w:rPr>
          <w:fldChar w:fldCharType="begin"/>
        </w:r>
        <w:r w:rsidR="005A5957">
          <w:rPr>
            <w:noProof/>
            <w:webHidden/>
          </w:rPr>
          <w:instrText xml:space="preserve"> PAGEREF _Toc99269647 \h </w:instrText>
        </w:r>
        <w:r w:rsidR="005A5957">
          <w:rPr>
            <w:noProof/>
            <w:webHidden/>
          </w:rPr>
        </w:r>
        <w:r w:rsidR="005A5957">
          <w:rPr>
            <w:noProof/>
            <w:webHidden/>
          </w:rPr>
          <w:fldChar w:fldCharType="separate"/>
        </w:r>
        <w:r w:rsidR="00AC2929">
          <w:rPr>
            <w:noProof/>
            <w:webHidden/>
          </w:rPr>
          <w:t>121</w:t>
        </w:r>
        <w:r w:rsidR="005A5957">
          <w:rPr>
            <w:noProof/>
            <w:webHidden/>
          </w:rPr>
          <w:fldChar w:fldCharType="end"/>
        </w:r>
      </w:hyperlink>
    </w:p>
    <w:p w14:paraId="72798132" w14:textId="77777777" w:rsidR="005A5957" w:rsidRDefault="00A76B91">
      <w:pPr>
        <w:pStyle w:val="TOC2"/>
        <w:tabs>
          <w:tab w:val="left" w:pos="800"/>
        </w:tabs>
        <w:rPr>
          <w:rFonts w:asciiTheme="minorHAnsi" w:eastAsiaTheme="minorEastAsia" w:hAnsiTheme="minorHAnsi" w:cstheme="minorBidi"/>
          <w:noProof/>
          <w:sz w:val="22"/>
          <w:szCs w:val="22"/>
        </w:rPr>
      </w:pPr>
      <w:hyperlink w:anchor="_Toc99269648" w:history="1">
        <w:r w:rsidR="005A5957" w:rsidRPr="00483654">
          <w:rPr>
            <w:rStyle w:val="Hyperlink"/>
            <w:noProof/>
          </w:rPr>
          <w:t>1.2</w:t>
        </w:r>
        <w:r w:rsidR="005A5957">
          <w:rPr>
            <w:rFonts w:asciiTheme="minorHAnsi" w:eastAsiaTheme="minorEastAsia" w:hAnsiTheme="minorHAnsi" w:cstheme="minorBidi"/>
            <w:noProof/>
            <w:sz w:val="22"/>
            <w:szCs w:val="22"/>
          </w:rPr>
          <w:tab/>
        </w:r>
        <w:r w:rsidR="005A5957" w:rsidRPr="00483654">
          <w:rPr>
            <w:rStyle w:val="Hyperlink"/>
            <w:noProof/>
          </w:rPr>
          <w:t>Entity resource statement</w:t>
        </w:r>
        <w:r w:rsidR="005A5957">
          <w:rPr>
            <w:noProof/>
            <w:webHidden/>
          </w:rPr>
          <w:tab/>
        </w:r>
        <w:r w:rsidR="005A5957">
          <w:rPr>
            <w:noProof/>
            <w:webHidden/>
          </w:rPr>
          <w:fldChar w:fldCharType="begin"/>
        </w:r>
        <w:r w:rsidR="005A5957">
          <w:rPr>
            <w:noProof/>
            <w:webHidden/>
          </w:rPr>
          <w:instrText xml:space="preserve"> PAGEREF _Toc99269648 \h </w:instrText>
        </w:r>
        <w:r w:rsidR="005A5957">
          <w:rPr>
            <w:noProof/>
            <w:webHidden/>
          </w:rPr>
        </w:r>
        <w:r w:rsidR="005A5957">
          <w:rPr>
            <w:noProof/>
            <w:webHidden/>
          </w:rPr>
          <w:fldChar w:fldCharType="separate"/>
        </w:r>
        <w:r w:rsidR="00AC2929">
          <w:rPr>
            <w:noProof/>
            <w:webHidden/>
          </w:rPr>
          <w:t>122</w:t>
        </w:r>
        <w:r w:rsidR="005A5957">
          <w:rPr>
            <w:noProof/>
            <w:webHidden/>
          </w:rPr>
          <w:fldChar w:fldCharType="end"/>
        </w:r>
      </w:hyperlink>
    </w:p>
    <w:p w14:paraId="3A5E60D6" w14:textId="77777777" w:rsidR="005A5957" w:rsidRDefault="00A76B91">
      <w:pPr>
        <w:pStyle w:val="TOC2"/>
        <w:tabs>
          <w:tab w:val="left" w:pos="800"/>
        </w:tabs>
        <w:rPr>
          <w:rFonts w:asciiTheme="minorHAnsi" w:eastAsiaTheme="minorEastAsia" w:hAnsiTheme="minorHAnsi" w:cstheme="minorBidi"/>
          <w:noProof/>
          <w:sz w:val="22"/>
          <w:szCs w:val="22"/>
        </w:rPr>
      </w:pPr>
      <w:hyperlink w:anchor="_Toc99269649" w:history="1">
        <w:r w:rsidR="005A5957" w:rsidRPr="00483654">
          <w:rPr>
            <w:rStyle w:val="Hyperlink"/>
            <w:noProof/>
          </w:rPr>
          <w:t>1.3</w:t>
        </w:r>
        <w:r w:rsidR="005A5957">
          <w:rPr>
            <w:rFonts w:asciiTheme="minorHAnsi" w:eastAsiaTheme="minorEastAsia" w:hAnsiTheme="minorHAnsi" w:cstheme="minorBidi"/>
            <w:noProof/>
            <w:sz w:val="22"/>
            <w:szCs w:val="22"/>
          </w:rPr>
          <w:tab/>
        </w:r>
        <w:r w:rsidR="005A5957" w:rsidRPr="00483654">
          <w:rPr>
            <w:rStyle w:val="Hyperlink"/>
            <w:noProof/>
          </w:rPr>
          <w:t>Budget measures</w:t>
        </w:r>
        <w:r w:rsidR="005A5957">
          <w:rPr>
            <w:noProof/>
            <w:webHidden/>
          </w:rPr>
          <w:tab/>
        </w:r>
        <w:r w:rsidR="005A5957">
          <w:rPr>
            <w:noProof/>
            <w:webHidden/>
          </w:rPr>
          <w:fldChar w:fldCharType="begin"/>
        </w:r>
        <w:r w:rsidR="005A5957">
          <w:rPr>
            <w:noProof/>
            <w:webHidden/>
          </w:rPr>
          <w:instrText xml:space="preserve"> PAGEREF _Toc99269649 \h </w:instrText>
        </w:r>
        <w:r w:rsidR="005A5957">
          <w:rPr>
            <w:noProof/>
            <w:webHidden/>
          </w:rPr>
        </w:r>
        <w:r w:rsidR="005A5957">
          <w:rPr>
            <w:noProof/>
            <w:webHidden/>
          </w:rPr>
          <w:fldChar w:fldCharType="separate"/>
        </w:r>
        <w:r w:rsidR="00AC2929">
          <w:rPr>
            <w:noProof/>
            <w:webHidden/>
          </w:rPr>
          <w:t>124</w:t>
        </w:r>
        <w:r w:rsidR="005A5957">
          <w:rPr>
            <w:noProof/>
            <w:webHidden/>
          </w:rPr>
          <w:fldChar w:fldCharType="end"/>
        </w:r>
      </w:hyperlink>
    </w:p>
    <w:p w14:paraId="51B5CD61" w14:textId="77777777" w:rsidR="005A5957" w:rsidRDefault="00A76B91">
      <w:pPr>
        <w:pStyle w:val="TOC1"/>
        <w:rPr>
          <w:rFonts w:asciiTheme="minorHAnsi" w:eastAsiaTheme="minorEastAsia" w:hAnsiTheme="minorHAnsi" w:cstheme="minorBidi"/>
          <w:b w:val="0"/>
          <w:caps w:val="0"/>
          <w:noProof/>
          <w:sz w:val="22"/>
          <w:szCs w:val="22"/>
        </w:rPr>
      </w:pPr>
      <w:hyperlink w:anchor="_Toc99269650" w:history="1">
        <w:r w:rsidR="005A5957" w:rsidRPr="00483654">
          <w:rPr>
            <w:rStyle w:val="Hyperlink"/>
            <w:noProof/>
          </w:rPr>
          <w:t>Section 2: Outcomes and planned performance</w:t>
        </w:r>
        <w:r w:rsidR="005A5957">
          <w:rPr>
            <w:noProof/>
            <w:webHidden/>
          </w:rPr>
          <w:tab/>
        </w:r>
        <w:r w:rsidR="005A5957">
          <w:rPr>
            <w:noProof/>
            <w:webHidden/>
          </w:rPr>
          <w:fldChar w:fldCharType="begin"/>
        </w:r>
        <w:r w:rsidR="005A5957">
          <w:rPr>
            <w:noProof/>
            <w:webHidden/>
          </w:rPr>
          <w:instrText xml:space="preserve"> PAGEREF _Toc99269650 \h </w:instrText>
        </w:r>
        <w:r w:rsidR="005A5957">
          <w:rPr>
            <w:noProof/>
            <w:webHidden/>
          </w:rPr>
        </w:r>
        <w:r w:rsidR="005A5957">
          <w:rPr>
            <w:noProof/>
            <w:webHidden/>
          </w:rPr>
          <w:fldChar w:fldCharType="separate"/>
        </w:r>
        <w:r w:rsidR="00AC2929">
          <w:rPr>
            <w:noProof/>
            <w:webHidden/>
          </w:rPr>
          <w:t>125</w:t>
        </w:r>
        <w:r w:rsidR="005A5957">
          <w:rPr>
            <w:noProof/>
            <w:webHidden/>
          </w:rPr>
          <w:fldChar w:fldCharType="end"/>
        </w:r>
      </w:hyperlink>
    </w:p>
    <w:p w14:paraId="4694E1B2" w14:textId="77777777" w:rsidR="005A5957" w:rsidRDefault="00A76B91">
      <w:pPr>
        <w:pStyle w:val="TOC2"/>
        <w:tabs>
          <w:tab w:val="left" w:pos="800"/>
        </w:tabs>
        <w:rPr>
          <w:rFonts w:asciiTheme="minorHAnsi" w:eastAsiaTheme="minorEastAsia" w:hAnsiTheme="minorHAnsi" w:cstheme="minorBidi"/>
          <w:noProof/>
          <w:sz w:val="22"/>
          <w:szCs w:val="22"/>
        </w:rPr>
      </w:pPr>
      <w:hyperlink w:anchor="_Toc99269651" w:history="1">
        <w:r w:rsidR="005A5957" w:rsidRPr="00483654">
          <w:rPr>
            <w:rStyle w:val="Hyperlink"/>
            <w:noProof/>
          </w:rPr>
          <w:t xml:space="preserve">2.1 </w:t>
        </w:r>
        <w:r w:rsidR="005A5957">
          <w:rPr>
            <w:rFonts w:asciiTheme="minorHAnsi" w:eastAsiaTheme="minorEastAsia" w:hAnsiTheme="minorHAnsi" w:cstheme="minorBidi"/>
            <w:noProof/>
            <w:sz w:val="22"/>
            <w:szCs w:val="22"/>
          </w:rPr>
          <w:tab/>
        </w:r>
        <w:r w:rsidR="005A5957" w:rsidRPr="00483654">
          <w:rPr>
            <w:rStyle w:val="Hyperlink"/>
            <w:noProof/>
          </w:rPr>
          <w:t>Budgeted expenses and performance for Outcome 1</w:t>
        </w:r>
        <w:r w:rsidR="005A5957">
          <w:rPr>
            <w:noProof/>
            <w:webHidden/>
          </w:rPr>
          <w:tab/>
        </w:r>
        <w:r w:rsidR="005A5957">
          <w:rPr>
            <w:noProof/>
            <w:webHidden/>
          </w:rPr>
          <w:fldChar w:fldCharType="begin"/>
        </w:r>
        <w:r w:rsidR="005A5957">
          <w:rPr>
            <w:noProof/>
            <w:webHidden/>
          </w:rPr>
          <w:instrText xml:space="preserve"> PAGEREF _Toc99269651 \h </w:instrText>
        </w:r>
        <w:r w:rsidR="005A5957">
          <w:rPr>
            <w:noProof/>
            <w:webHidden/>
          </w:rPr>
        </w:r>
        <w:r w:rsidR="005A5957">
          <w:rPr>
            <w:noProof/>
            <w:webHidden/>
          </w:rPr>
          <w:fldChar w:fldCharType="separate"/>
        </w:r>
        <w:r w:rsidR="00AC2929">
          <w:rPr>
            <w:noProof/>
            <w:webHidden/>
          </w:rPr>
          <w:t>126</w:t>
        </w:r>
        <w:r w:rsidR="005A5957">
          <w:rPr>
            <w:noProof/>
            <w:webHidden/>
          </w:rPr>
          <w:fldChar w:fldCharType="end"/>
        </w:r>
      </w:hyperlink>
    </w:p>
    <w:p w14:paraId="58A3533D" w14:textId="77777777" w:rsidR="005A5957" w:rsidRDefault="00A76B91">
      <w:pPr>
        <w:pStyle w:val="TOC1"/>
        <w:rPr>
          <w:rFonts w:asciiTheme="minorHAnsi" w:eastAsiaTheme="minorEastAsia" w:hAnsiTheme="minorHAnsi" w:cstheme="minorBidi"/>
          <w:b w:val="0"/>
          <w:caps w:val="0"/>
          <w:noProof/>
          <w:sz w:val="22"/>
          <w:szCs w:val="22"/>
        </w:rPr>
      </w:pPr>
      <w:hyperlink w:anchor="_Toc99269652" w:history="1">
        <w:r w:rsidR="005A5957" w:rsidRPr="00483654">
          <w:rPr>
            <w:rStyle w:val="Hyperlink"/>
            <w:noProof/>
          </w:rPr>
          <w:t>Section 3: Budgeted financial statements</w:t>
        </w:r>
        <w:r w:rsidR="005A5957">
          <w:rPr>
            <w:noProof/>
            <w:webHidden/>
          </w:rPr>
          <w:tab/>
        </w:r>
        <w:r w:rsidR="005A5957">
          <w:rPr>
            <w:noProof/>
            <w:webHidden/>
          </w:rPr>
          <w:fldChar w:fldCharType="begin"/>
        </w:r>
        <w:r w:rsidR="005A5957">
          <w:rPr>
            <w:noProof/>
            <w:webHidden/>
          </w:rPr>
          <w:instrText xml:space="preserve"> PAGEREF _Toc99269652 \h </w:instrText>
        </w:r>
        <w:r w:rsidR="005A5957">
          <w:rPr>
            <w:noProof/>
            <w:webHidden/>
          </w:rPr>
        </w:r>
        <w:r w:rsidR="005A5957">
          <w:rPr>
            <w:noProof/>
            <w:webHidden/>
          </w:rPr>
          <w:fldChar w:fldCharType="separate"/>
        </w:r>
        <w:r w:rsidR="00AC2929">
          <w:rPr>
            <w:noProof/>
            <w:webHidden/>
          </w:rPr>
          <w:t>129</w:t>
        </w:r>
        <w:r w:rsidR="005A5957">
          <w:rPr>
            <w:noProof/>
            <w:webHidden/>
          </w:rPr>
          <w:fldChar w:fldCharType="end"/>
        </w:r>
      </w:hyperlink>
    </w:p>
    <w:p w14:paraId="0CBD2261" w14:textId="77777777" w:rsidR="005A5957" w:rsidRDefault="00A76B91">
      <w:pPr>
        <w:pStyle w:val="TOC2"/>
        <w:tabs>
          <w:tab w:val="left" w:pos="800"/>
        </w:tabs>
        <w:rPr>
          <w:rFonts w:asciiTheme="minorHAnsi" w:eastAsiaTheme="minorEastAsia" w:hAnsiTheme="minorHAnsi" w:cstheme="minorBidi"/>
          <w:noProof/>
          <w:sz w:val="22"/>
          <w:szCs w:val="22"/>
        </w:rPr>
      </w:pPr>
      <w:hyperlink w:anchor="_Toc99269653" w:history="1">
        <w:r w:rsidR="005A5957" w:rsidRPr="00483654">
          <w:rPr>
            <w:rStyle w:val="Hyperlink"/>
            <w:noProof/>
          </w:rPr>
          <w:t>3.1</w:t>
        </w:r>
        <w:r w:rsidR="005A5957">
          <w:rPr>
            <w:rFonts w:asciiTheme="minorHAnsi" w:eastAsiaTheme="minorEastAsia" w:hAnsiTheme="minorHAnsi" w:cstheme="minorBidi"/>
            <w:noProof/>
            <w:sz w:val="22"/>
            <w:szCs w:val="22"/>
          </w:rPr>
          <w:tab/>
        </w:r>
        <w:r w:rsidR="005A5957" w:rsidRPr="00483654">
          <w:rPr>
            <w:rStyle w:val="Hyperlink"/>
            <w:noProof/>
          </w:rPr>
          <w:t>Budgeted financial statements</w:t>
        </w:r>
        <w:r w:rsidR="005A5957">
          <w:rPr>
            <w:noProof/>
            <w:webHidden/>
          </w:rPr>
          <w:tab/>
        </w:r>
        <w:r w:rsidR="005A5957">
          <w:rPr>
            <w:noProof/>
            <w:webHidden/>
          </w:rPr>
          <w:fldChar w:fldCharType="begin"/>
        </w:r>
        <w:r w:rsidR="005A5957">
          <w:rPr>
            <w:noProof/>
            <w:webHidden/>
          </w:rPr>
          <w:instrText xml:space="preserve"> PAGEREF _Toc99269653 \h </w:instrText>
        </w:r>
        <w:r w:rsidR="005A5957">
          <w:rPr>
            <w:noProof/>
            <w:webHidden/>
          </w:rPr>
        </w:r>
        <w:r w:rsidR="005A5957">
          <w:rPr>
            <w:noProof/>
            <w:webHidden/>
          </w:rPr>
          <w:fldChar w:fldCharType="separate"/>
        </w:r>
        <w:r w:rsidR="00AC2929">
          <w:rPr>
            <w:noProof/>
            <w:webHidden/>
          </w:rPr>
          <w:t>129</w:t>
        </w:r>
        <w:r w:rsidR="005A5957">
          <w:rPr>
            <w:noProof/>
            <w:webHidden/>
          </w:rPr>
          <w:fldChar w:fldCharType="end"/>
        </w:r>
      </w:hyperlink>
    </w:p>
    <w:p w14:paraId="4EDCA733" w14:textId="77777777" w:rsidR="002C285B" w:rsidRDefault="002C285B" w:rsidP="002C285B">
      <w:pPr>
        <w:pStyle w:val="TOC1"/>
      </w:pPr>
      <w:r>
        <w:fldChar w:fldCharType="end"/>
      </w:r>
    </w:p>
    <w:p w14:paraId="02071FB4" w14:textId="77777777" w:rsidR="002C285B" w:rsidRPr="008B5AFD" w:rsidRDefault="002C285B" w:rsidP="002C285B"/>
    <w:p w14:paraId="6657FD80" w14:textId="77777777" w:rsidR="002C285B" w:rsidRDefault="002C285B" w:rsidP="002C285B"/>
    <w:p w14:paraId="58A511C9" w14:textId="77777777" w:rsidR="002C285B" w:rsidRDefault="002C285B" w:rsidP="002C285B">
      <w:pPr>
        <w:spacing w:after="0" w:line="240" w:lineRule="auto"/>
        <w:jc w:val="left"/>
      </w:pPr>
      <w:r>
        <w:br w:type="page"/>
      </w:r>
    </w:p>
    <w:p w14:paraId="4FA82748" w14:textId="77777777" w:rsidR="009531A4" w:rsidRDefault="009531A4" w:rsidP="009531A4">
      <w:pPr>
        <w:spacing w:after="0" w:line="240" w:lineRule="auto"/>
        <w:jc w:val="left"/>
        <w:sectPr w:rsidR="009531A4" w:rsidSect="00D80A4C">
          <w:headerReference w:type="even" r:id="rId163"/>
          <w:headerReference w:type="default" r:id="rId164"/>
          <w:footerReference w:type="even" r:id="rId165"/>
          <w:footerReference w:type="default" r:id="rId166"/>
          <w:type w:val="continuous"/>
          <w:pgSz w:w="11906" w:h="16838" w:code="9"/>
          <w:pgMar w:top="2835" w:right="2098" w:bottom="2466" w:left="2098" w:header="1814" w:footer="1814" w:gutter="0"/>
          <w:cols w:space="708"/>
          <w:vAlign w:val="center"/>
          <w:titlePg/>
          <w:docGrid w:linePitch="360"/>
        </w:sectPr>
      </w:pPr>
    </w:p>
    <w:p w14:paraId="00F7D824" w14:textId="77777777" w:rsidR="005A6E70" w:rsidRDefault="005A6E70" w:rsidP="002C285B">
      <w:pPr>
        <w:sectPr w:rsidR="005A6E70" w:rsidSect="009531A4">
          <w:footerReference w:type="first" r:id="rId167"/>
          <w:type w:val="continuous"/>
          <w:pgSz w:w="11906" w:h="16838" w:code="9"/>
          <w:pgMar w:top="2835" w:right="2098" w:bottom="2466" w:left="2098" w:header="1814" w:footer="1814" w:gutter="0"/>
          <w:cols w:space="708"/>
          <w:titlePg/>
          <w:docGrid w:linePitch="360"/>
        </w:sectPr>
      </w:pPr>
    </w:p>
    <w:p w14:paraId="3F2B8E88" w14:textId="77777777" w:rsidR="002C285B" w:rsidRPr="006A7CFC" w:rsidRDefault="002C285B" w:rsidP="002C285B">
      <w:pPr>
        <w:keepNext/>
        <w:spacing w:after="360" w:line="240" w:lineRule="auto"/>
        <w:jc w:val="center"/>
        <w:outlineLvl w:val="0"/>
        <w:rPr>
          <w:rFonts w:ascii="Arial Bold" w:hAnsi="Arial Bold"/>
          <w:b/>
          <w:kern w:val="28"/>
          <w:sz w:val="36"/>
        </w:rPr>
      </w:pPr>
      <w:bookmarkStart w:id="370" w:name="_Toc65243502"/>
      <w:r w:rsidRPr="006A7CFC">
        <w:rPr>
          <w:rFonts w:ascii="Arial Bold" w:hAnsi="Arial Bold"/>
          <w:b/>
          <w:kern w:val="28"/>
          <w:sz w:val="36"/>
        </w:rPr>
        <w:t>Australian Public Service Commission</w:t>
      </w:r>
    </w:p>
    <w:p w14:paraId="0507CCC1" w14:textId="77777777" w:rsidR="002C285B" w:rsidRPr="002C4D41" w:rsidRDefault="002C285B" w:rsidP="002C285B">
      <w:pPr>
        <w:pStyle w:val="Heading2"/>
      </w:pPr>
      <w:bookmarkStart w:id="371" w:name="_Toc98932878"/>
      <w:bookmarkStart w:id="372" w:name="_Toc99008135"/>
      <w:bookmarkStart w:id="373" w:name="_Toc99010725"/>
      <w:bookmarkStart w:id="374" w:name="_Toc99013960"/>
      <w:bookmarkStart w:id="375" w:name="_Toc99187537"/>
      <w:bookmarkStart w:id="376" w:name="_Toc99269646"/>
      <w:bookmarkEnd w:id="370"/>
      <w:r w:rsidRPr="002C4D41">
        <w:t xml:space="preserve">Section 1: Entity overview and </w:t>
      </w:r>
      <w:r>
        <w:t>reso</w:t>
      </w:r>
      <w:r w:rsidRPr="002C4D41">
        <w:t>urces</w:t>
      </w:r>
      <w:bookmarkEnd w:id="371"/>
      <w:bookmarkEnd w:id="372"/>
      <w:bookmarkEnd w:id="373"/>
      <w:bookmarkEnd w:id="374"/>
      <w:bookmarkEnd w:id="375"/>
      <w:bookmarkEnd w:id="376"/>
    </w:p>
    <w:p w14:paraId="1746C2C9" w14:textId="77777777" w:rsidR="002C285B" w:rsidRDefault="002C285B" w:rsidP="002C285B">
      <w:pPr>
        <w:pStyle w:val="Heading3"/>
      </w:pPr>
      <w:bookmarkStart w:id="377" w:name="_Toc98932879"/>
      <w:bookmarkStart w:id="378" w:name="_Toc99008136"/>
      <w:bookmarkStart w:id="379" w:name="_Toc99010726"/>
      <w:bookmarkStart w:id="380" w:name="_Toc99013961"/>
      <w:bookmarkStart w:id="381" w:name="_Toc99187538"/>
      <w:bookmarkStart w:id="382" w:name="_Toc99269647"/>
      <w:r>
        <w:t>1.1</w:t>
      </w:r>
      <w:r>
        <w:tab/>
        <w:t>Strategic direction statement</w:t>
      </w:r>
      <w:bookmarkEnd w:id="377"/>
      <w:bookmarkEnd w:id="378"/>
      <w:bookmarkEnd w:id="379"/>
      <w:bookmarkEnd w:id="380"/>
      <w:bookmarkEnd w:id="381"/>
      <w:bookmarkEnd w:id="382"/>
    </w:p>
    <w:p w14:paraId="10AB551E" w14:textId="77777777" w:rsidR="002C285B" w:rsidRDefault="002C285B" w:rsidP="002C285B">
      <w:r w:rsidRPr="00873EF2">
        <w:t>The outcome of the Australian Public Service Commission (APSC) is to increase awareness and adoption of best practice public service administration by</w:t>
      </w:r>
      <w:r w:rsidR="00105361">
        <w:t xml:space="preserve"> the Australian Public Service </w:t>
      </w:r>
      <w:r w:rsidRPr="00873EF2">
        <w:t xml:space="preserve"> through leadership, promotion, advice and professional development, drawing on research and evaluation. The APSC takes a central leadership role in providing expertise, guidance and performance monitoring on wo</w:t>
      </w:r>
      <w:r>
        <w:t>rkforce management strategies.</w:t>
      </w:r>
    </w:p>
    <w:p w14:paraId="17ED06F0" w14:textId="77777777" w:rsidR="002C285B" w:rsidRDefault="002C285B" w:rsidP="002C285B">
      <w:r w:rsidRPr="00873EF2">
        <w:t>The APSC supports the Australian Public Ser</w:t>
      </w:r>
      <w:r>
        <w:t>vice Commissioner and the Merit </w:t>
      </w:r>
      <w:r w:rsidRPr="00873EF2">
        <w:t xml:space="preserve">Protection Commissioner to undertake statutory functions under the </w:t>
      </w:r>
      <w:r>
        <w:rPr>
          <w:i/>
        </w:rPr>
        <w:t>Public Service </w:t>
      </w:r>
      <w:r w:rsidRPr="00873EF2">
        <w:rPr>
          <w:i/>
        </w:rPr>
        <w:t>Act 1999</w:t>
      </w:r>
      <w:r w:rsidRPr="00873EF2">
        <w:t xml:space="preserve">, including functions to uphold high standards of integrity and conduct in the APS, and to review employment decisions. </w:t>
      </w:r>
    </w:p>
    <w:p w14:paraId="7B2FF103" w14:textId="77777777" w:rsidR="002C285B" w:rsidRDefault="002C285B" w:rsidP="002C285B">
      <w:pPr>
        <w:rPr>
          <w:i/>
        </w:rPr>
      </w:pPr>
      <w:r w:rsidRPr="00873EF2">
        <w:t xml:space="preserve">The APSC supports the Parliamentary Service Commissioner </w:t>
      </w:r>
      <w:r>
        <w:t>and the Parliamentary </w:t>
      </w:r>
      <w:r w:rsidRPr="00873EF2">
        <w:t xml:space="preserve">Service Merit Protection Commissioner to undertake statutory functions under the </w:t>
      </w:r>
      <w:r w:rsidRPr="00873EF2">
        <w:rPr>
          <w:i/>
        </w:rPr>
        <w:t>Parliamentary Service Act 1999.</w:t>
      </w:r>
    </w:p>
    <w:p w14:paraId="793DF965" w14:textId="77777777" w:rsidR="002C285B" w:rsidRDefault="002C285B" w:rsidP="002C285B">
      <w:pPr>
        <w:rPr>
          <w:i/>
        </w:rPr>
      </w:pPr>
    </w:p>
    <w:p w14:paraId="59959AE4" w14:textId="77777777" w:rsidR="005A6E70" w:rsidRDefault="005A6E70" w:rsidP="002C285B"/>
    <w:p w14:paraId="5B63F8C4" w14:textId="77777777" w:rsidR="005A6E70" w:rsidRPr="005A6E70" w:rsidRDefault="005A6E70" w:rsidP="005A6E70"/>
    <w:p w14:paraId="254B4C2C" w14:textId="77777777" w:rsidR="005A6E70" w:rsidRDefault="005A6E70" w:rsidP="002C285B"/>
    <w:p w14:paraId="54B60D13" w14:textId="77777777" w:rsidR="005A6E70" w:rsidRDefault="005A6E70" w:rsidP="005A6E70">
      <w:pPr>
        <w:tabs>
          <w:tab w:val="left" w:pos="6799"/>
        </w:tabs>
      </w:pPr>
      <w:r>
        <w:tab/>
      </w:r>
    </w:p>
    <w:p w14:paraId="67206A9E" w14:textId="77777777" w:rsidR="002C285B" w:rsidRDefault="002C285B" w:rsidP="005A5957">
      <w:pPr>
        <w:pStyle w:val="Heading3"/>
      </w:pPr>
      <w:r w:rsidRPr="005A6E70">
        <w:br w:type="page"/>
      </w:r>
      <w:bookmarkStart w:id="383" w:name="_Toc99269648"/>
      <w:r w:rsidRPr="00B03DC9">
        <w:rPr>
          <w:b w:val="0"/>
        </w:rPr>
        <w:t>1.2</w:t>
      </w:r>
      <w:r w:rsidRPr="00B03DC9">
        <w:rPr>
          <w:b w:val="0"/>
        </w:rPr>
        <w:tab/>
        <w:t>Entity resource statement</w:t>
      </w:r>
      <w:bookmarkEnd w:id="383"/>
    </w:p>
    <w:p w14:paraId="61A70BA2" w14:textId="77777777" w:rsidR="002C285B" w:rsidRDefault="002C285B" w:rsidP="002C285B">
      <w:r>
        <w:t>Table 1.1 shows the total funding from all sources available to the entity for its operations and to deliver programs and services on behalf of the Government.</w:t>
      </w:r>
    </w:p>
    <w:p w14:paraId="607636B1" w14:textId="77777777" w:rsidR="002C285B" w:rsidRDefault="002C285B" w:rsidP="002C285B">
      <w:r>
        <w:t>The table summarises how resources will be applied by outcome (Government strategic policy objectives) and by administered (on behalf of the Government or the public) and departmental (for the entity’s operations) classification.</w:t>
      </w:r>
    </w:p>
    <w:p w14:paraId="321D1345" w14:textId="77777777" w:rsidR="002C285B" w:rsidRDefault="002C285B" w:rsidP="002C285B">
      <w:r>
        <w:t>For more detailed information on special appropriations, please refer to Budget Paper No. 4 – Agency Resourcing.</w:t>
      </w:r>
    </w:p>
    <w:p w14:paraId="20791848" w14:textId="77777777" w:rsidR="002C285B" w:rsidRDefault="002C285B" w:rsidP="002C285B">
      <w:r>
        <w:t xml:space="preserve">Information in this table is presented on a resourcing (that is, appropriations/cash available) basis, whilst the ‘Budgeted expenses for Outcome 1’ table in Section 2 and the financial statements in Section 3 are presented on an accrual basis. </w:t>
      </w:r>
    </w:p>
    <w:p w14:paraId="60A5504E" w14:textId="77777777" w:rsidR="005A6E70" w:rsidRDefault="002C285B" w:rsidP="002C285B">
      <w:pPr>
        <w:spacing w:after="0" w:line="240" w:lineRule="auto"/>
        <w:jc w:val="left"/>
        <w:rPr>
          <w:rFonts w:ascii="Arial" w:hAnsi="Arial"/>
          <w:b/>
          <w:color w:val="000000"/>
          <w:lang w:val="x-none" w:eastAsia="x-none"/>
        </w:rPr>
      </w:pPr>
      <w:r>
        <w:br w:type="page"/>
      </w:r>
    </w:p>
    <w:p w14:paraId="4106AB7C" w14:textId="77777777" w:rsidR="002C285B" w:rsidRPr="005A6E70" w:rsidRDefault="002C285B" w:rsidP="005A6E70">
      <w:pPr>
        <w:rPr>
          <w:rFonts w:ascii="Arial" w:hAnsi="Arial"/>
          <w:lang w:val="x-none" w:eastAsia="x-none"/>
        </w:rPr>
      </w:pPr>
    </w:p>
    <w:p w14:paraId="37ED8425" w14:textId="77777777" w:rsidR="00AF1353" w:rsidRDefault="002C285B" w:rsidP="00AF1353">
      <w:pPr>
        <w:pStyle w:val="Heading4"/>
        <w:spacing w:after="0"/>
      </w:pPr>
      <w:bookmarkStart w:id="384" w:name="_Toc98932880"/>
      <w:r w:rsidRPr="00173E4A">
        <w:t>Table 1.1: APSC resource statement — Budget estimates for 2022-23 as at Budget March 2022</w:t>
      </w:r>
      <w:bookmarkEnd w:id="384"/>
      <w:r w:rsidRPr="00F43896">
        <w:rPr>
          <w:rStyle w:val="CommentReference"/>
          <w:sz w:val="20"/>
          <w:lang w:eastAsia="x-none"/>
        </w:rPr>
        <w:t xml:space="preserve"> </w:t>
      </w:r>
      <w:bookmarkStart w:id="385" w:name="_Toc98932881"/>
      <w:r w:rsidR="00105361" w:rsidRPr="00105361">
        <w:t xml:space="preserve"> </w:t>
      </w:r>
      <w:r w:rsidR="00E7089F" w:rsidRPr="00E7089F">
        <w:rPr>
          <w:noProof/>
        </w:rPr>
        <w:drawing>
          <wp:inline distT="0" distB="0" distL="0" distR="0" wp14:anchorId="4E9E8019" wp14:editId="31A51793">
            <wp:extent cx="4895850" cy="2345346"/>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95850" cy="2345346"/>
                    </a:xfrm>
                    <a:prstGeom prst="rect">
                      <a:avLst/>
                    </a:prstGeom>
                    <a:noFill/>
                    <a:ln>
                      <a:noFill/>
                    </a:ln>
                  </pic:spPr>
                </pic:pic>
              </a:graphicData>
            </a:graphic>
          </wp:inline>
        </w:drawing>
      </w:r>
    </w:p>
    <w:p w14:paraId="2DF35FF3" w14:textId="77777777" w:rsidR="00AF1353" w:rsidRDefault="00AF1353" w:rsidP="00AF1353">
      <w:pPr>
        <w:pStyle w:val="Heading4"/>
        <w:spacing w:after="0"/>
        <w:rPr>
          <w:rFonts w:ascii="Arial" w:hAnsi="Arial" w:cs="Arial"/>
          <w:b w:val="0"/>
          <w:color w:val="000000"/>
          <w:sz w:val="16"/>
          <w:szCs w:val="16"/>
        </w:rPr>
      </w:pPr>
      <w:r w:rsidRPr="00AF1353">
        <w:rPr>
          <w:rFonts w:ascii="Arial" w:hAnsi="Arial" w:cs="Arial"/>
          <w:b w:val="0"/>
          <w:color w:val="000000"/>
          <w:sz w:val="16"/>
          <w:szCs w:val="16"/>
        </w:rPr>
        <w:t>All figures shown above are GST exclusive - these may not match figures in the cash flow statement.</w:t>
      </w:r>
      <w:r w:rsidRPr="00AF1353">
        <w:rPr>
          <w:rFonts w:ascii="Arial" w:hAnsi="Arial" w:cs="Arial"/>
          <w:b w:val="0"/>
          <w:color w:val="000000"/>
          <w:sz w:val="16"/>
          <w:szCs w:val="16"/>
        </w:rPr>
        <w:br/>
        <w:t>Prepared on a resourcing (i.e. appropriations available) basis.</w:t>
      </w:r>
    </w:p>
    <w:p w14:paraId="6CB4C551" w14:textId="77777777" w:rsidR="00E224CB" w:rsidRPr="00AF1353" w:rsidRDefault="00A810C3" w:rsidP="00392A48">
      <w:pPr>
        <w:pStyle w:val="Heading4"/>
        <w:numPr>
          <w:ilvl w:val="0"/>
          <w:numId w:val="169"/>
        </w:numPr>
        <w:spacing w:after="0"/>
        <w:rPr>
          <w:rFonts w:ascii="Arial" w:hAnsi="Arial" w:cs="Arial"/>
          <w:b w:val="0"/>
          <w:sz w:val="16"/>
          <w:szCs w:val="16"/>
        </w:rPr>
      </w:pPr>
      <w:r w:rsidRPr="00AF1353">
        <w:rPr>
          <w:rFonts w:ascii="Arial" w:hAnsi="Arial" w:cs="Arial"/>
          <w:b w:val="0"/>
          <w:sz w:val="16"/>
          <w:szCs w:val="16"/>
        </w:rPr>
        <w:t xml:space="preserve">Annual appropriation amounts appearing for the 2021-22 estimated actual exclude </w:t>
      </w:r>
      <w:r w:rsidR="00AF1353">
        <w:rPr>
          <w:rFonts w:ascii="Arial" w:hAnsi="Arial" w:cs="Arial"/>
          <w:b w:val="0"/>
          <w:sz w:val="16"/>
          <w:szCs w:val="16"/>
        </w:rPr>
        <w:t>amounts in Appropriation Bill (N</w:t>
      </w:r>
      <w:r w:rsidRPr="00AF1353">
        <w:rPr>
          <w:rFonts w:ascii="Arial" w:hAnsi="Arial" w:cs="Arial"/>
          <w:b w:val="0"/>
          <w:sz w:val="16"/>
          <w:szCs w:val="16"/>
        </w:rPr>
        <w:t>o.3) 2021-22, which is yet to receive Royal Assent.</w:t>
      </w:r>
    </w:p>
    <w:p w14:paraId="6E029EAC" w14:textId="77777777" w:rsidR="00E224CB" w:rsidRPr="00AF1353" w:rsidRDefault="00105361" w:rsidP="00392A48">
      <w:pPr>
        <w:pStyle w:val="ChartandTableFootnoteAlpha"/>
        <w:numPr>
          <w:ilvl w:val="0"/>
          <w:numId w:val="169"/>
        </w:numPr>
        <w:rPr>
          <w:rFonts w:cs="Arial"/>
          <w:color w:val="000000"/>
          <w:szCs w:val="16"/>
        </w:rPr>
      </w:pPr>
      <w:r w:rsidRPr="00AF1353">
        <w:rPr>
          <w:rFonts w:cs="Arial"/>
          <w:iCs/>
          <w:color w:val="000000"/>
          <w:szCs w:val="16"/>
        </w:rPr>
        <w:t>Appropriation Bill (No. 1) 2022-23</w:t>
      </w:r>
      <w:r w:rsidR="00E224CB" w:rsidRPr="00AF1353">
        <w:rPr>
          <w:rFonts w:cs="Arial"/>
          <w:iCs/>
          <w:color w:val="000000"/>
          <w:szCs w:val="16"/>
        </w:rPr>
        <w:t>.</w:t>
      </w:r>
    </w:p>
    <w:p w14:paraId="758E1C33" w14:textId="77777777" w:rsidR="00E224CB" w:rsidRPr="00AF1353" w:rsidRDefault="00E224CB" w:rsidP="00392A48">
      <w:pPr>
        <w:pStyle w:val="ChartandTableFootnoteAlpha"/>
        <w:numPr>
          <w:ilvl w:val="0"/>
          <w:numId w:val="169"/>
        </w:numPr>
        <w:rPr>
          <w:rFonts w:cs="Arial"/>
          <w:color w:val="000000"/>
          <w:szCs w:val="16"/>
        </w:rPr>
      </w:pPr>
      <w:r w:rsidRPr="00AF1353">
        <w:rPr>
          <w:rFonts w:cs="Arial"/>
          <w:iCs/>
          <w:color w:val="000000"/>
          <w:szCs w:val="16"/>
        </w:rPr>
        <w:t>Exclud</w:t>
      </w:r>
      <w:r w:rsidR="00AF1353">
        <w:rPr>
          <w:rFonts w:cs="Arial"/>
          <w:iCs/>
          <w:color w:val="000000"/>
          <w:szCs w:val="16"/>
        </w:rPr>
        <w:t>es departmental capital budget (</w:t>
      </w:r>
      <w:r w:rsidRPr="00AF1353">
        <w:rPr>
          <w:rFonts w:cs="Arial"/>
          <w:iCs/>
          <w:color w:val="000000"/>
          <w:szCs w:val="16"/>
        </w:rPr>
        <w:t>DCB)</w:t>
      </w:r>
      <w:r w:rsidR="00105361" w:rsidRPr="00AF1353">
        <w:rPr>
          <w:rFonts w:cs="Arial"/>
          <w:color w:val="000000"/>
          <w:szCs w:val="16"/>
        </w:rPr>
        <w:t>.</w:t>
      </w:r>
      <w:r w:rsidRPr="00AF1353">
        <w:rPr>
          <w:rFonts w:cs="Arial"/>
          <w:color w:val="000000"/>
          <w:szCs w:val="16"/>
        </w:rPr>
        <w:t xml:space="preserve"> </w:t>
      </w:r>
    </w:p>
    <w:p w14:paraId="67DCCA22" w14:textId="77777777" w:rsidR="00105361" w:rsidRPr="00AF1353" w:rsidRDefault="00105361" w:rsidP="00392A48">
      <w:pPr>
        <w:pStyle w:val="ChartandTableFootnoteAlpha"/>
        <w:numPr>
          <w:ilvl w:val="0"/>
          <w:numId w:val="169"/>
        </w:numPr>
        <w:rPr>
          <w:rFonts w:cs="Arial"/>
          <w:szCs w:val="16"/>
        </w:rPr>
      </w:pPr>
      <w:r w:rsidRPr="00AF1353">
        <w:rPr>
          <w:rFonts w:cs="Arial"/>
          <w:szCs w:val="16"/>
        </w:rPr>
        <w:t xml:space="preserve">Estimated external revenue receipts under section 74 of the </w:t>
      </w:r>
      <w:r w:rsidRPr="00AF1353">
        <w:rPr>
          <w:rFonts w:cs="Arial"/>
          <w:i/>
          <w:iCs/>
          <w:szCs w:val="16"/>
        </w:rPr>
        <w:t xml:space="preserve">Public Governance, Performance and </w:t>
      </w:r>
      <w:r w:rsidRPr="00AF1353">
        <w:rPr>
          <w:rFonts w:cs="Arial"/>
          <w:i/>
          <w:iCs/>
          <w:szCs w:val="16"/>
        </w:rPr>
        <w:br/>
        <w:t>Accountability Act 2013</w:t>
      </w:r>
      <w:r w:rsidRPr="00AF1353">
        <w:rPr>
          <w:rFonts w:cs="Arial"/>
          <w:szCs w:val="16"/>
        </w:rPr>
        <w:t xml:space="preserve"> (PGPA Act). The 2022-23 Budget receipt measure </w:t>
      </w:r>
      <w:r w:rsidRPr="00AF1353">
        <w:rPr>
          <w:rFonts w:cs="Arial"/>
          <w:iCs/>
          <w:szCs w:val="16"/>
        </w:rPr>
        <w:t xml:space="preserve">Australian Public Service </w:t>
      </w:r>
      <w:r w:rsidRPr="00AF1353">
        <w:rPr>
          <w:rFonts w:cs="Arial"/>
          <w:i/>
          <w:iCs/>
          <w:szCs w:val="16"/>
        </w:rPr>
        <w:br/>
        <w:t>Hubs Pilot in Regional Australia</w:t>
      </w:r>
      <w:r w:rsidRPr="00AF1353">
        <w:rPr>
          <w:rFonts w:cs="Arial"/>
          <w:szCs w:val="16"/>
        </w:rPr>
        <w:t xml:space="preserve"> does not include s74 external revenue.</w:t>
      </w:r>
    </w:p>
    <w:p w14:paraId="1C437310" w14:textId="77777777" w:rsidR="00105361" w:rsidRPr="00AF1353" w:rsidRDefault="00AF1353" w:rsidP="00392A48">
      <w:pPr>
        <w:pStyle w:val="ChartandTableFootnoteAlpha"/>
        <w:numPr>
          <w:ilvl w:val="0"/>
          <w:numId w:val="169"/>
        </w:numPr>
        <w:rPr>
          <w:rFonts w:cs="Arial"/>
          <w:szCs w:val="16"/>
        </w:rPr>
      </w:pPr>
      <w:r>
        <w:rPr>
          <w:rFonts w:cs="Arial"/>
          <w:color w:val="000000"/>
          <w:szCs w:val="16"/>
        </w:rPr>
        <w:t xml:space="preserve">DCBs </w:t>
      </w:r>
      <w:r w:rsidR="00105361" w:rsidRPr="00AF1353">
        <w:rPr>
          <w:rFonts w:cs="Arial"/>
          <w:color w:val="000000"/>
          <w:szCs w:val="16"/>
        </w:rPr>
        <w:t xml:space="preserve">are not separately identified in </w:t>
      </w:r>
      <w:r w:rsidR="00105361" w:rsidRPr="00AF1353">
        <w:rPr>
          <w:rFonts w:cs="Arial"/>
          <w:iCs/>
          <w:color w:val="000000"/>
          <w:szCs w:val="16"/>
        </w:rPr>
        <w:t>Appropriation Bill (No. 1)</w:t>
      </w:r>
      <w:r w:rsidR="00105361" w:rsidRPr="00AF1353">
        <w:rPr>
          <w:rFonts w:cs="Arial"/>
          <w:color w:val="000000"/>
          <w:szCs w:val="16"/>
        </w:rPr>
        <w:t xml:space="preserve"> 2022-23 and form </w:t>
      </w:r>
      <w:r w:rsidR="00105361" w:rsidRPr="00AF1353">
        <w:rPr>
          <w:rFonts w:cs="Arial"/>
          <w:color w:val="000000"/>
          <w:szCs w:val="16"/>
        </w:rPr>
        <w:br/>
        <w:t xml:space="preserve"> part of ordinary annual services items. Please refer to Table 3.5 for further details. For accounting </w:t>
      </w:r>
      <w:r w:rsidR="00105361" w:rsidRPr="00AF1353">
        <w:rPr>
          <w:rFonts w:cs="Arial"/>
          <w:color w:val="000000"/>
          <w:szCs w:val="16"/>
        </w:rPr>
        <w:br/>
        <w:t xml:space="preserve"> purposes, this amount has been designated as a 'contribution by owner'. </w:t>
      </w:r>
    </w:p>
    <w:p w14:paraId="62A1F830" w14:textId="77777777" w:rsidR="00105361" w:rsidRDefault="00105361" w:rsidP="00105361">
      <w:pPr>
        <w:spacing w:after="0" w:line="240" w:lineRule="auto"/>
        <w:rPr>
          <w:rFonts w:ascii="Arial" w:hAnsi="Arial" w:cs="Arial"/>
          <w:sz w:val="16"/>
          <w:szCs w:val="16"/>
        </w:rPr>
      </w:pPr>
    </w:p>
    <w:p w14:paraId="7ABB3F4C" w14:textId="77777777" w:rsidR="00105361" w:rsidRPr="00105361" w:rsidRDefault="00105361" w:rsidP="00105361">
      <w:pPr>
        <w:spacing w:after="0" w:line="240" w:lineRule="auto"/>
        <w:rPr>
          <w:rFonts w:ascii="Arial" w:hAnsi="Arial" w:cs="Arial"/>
          <w:sz w:val="16"/>
          <w:szCs w:val="16"/>
        </w:rPr>
      </w:pPr>
    </w:p>
    <w:p w14:paraId="7C783C18" w14:textId="77777777" w:rsidR="00105361" w:rsidRPr="00105361" w:rsidRDefault="00105361" w:rsidP="00105361"/>
    <w:p w14:paraId="2BA65DBB" w14:textId="77777777" w:rsidR="002C285B" w:rsidRPr="005A7C0B" w:rsidRDefault="002C285B" w:rsidP="002C285B">
      <w:pPr>
        <w:pStyle w:val="Heading3"/>
        <w:spacing w:before="0"/>
      </w:pPr>
      <w:r w:rsidRPr="009B4E15">
        <w:br w:type="page"/>
      </w:r>
      <w:bookmarkStart w:id="386" w:name="_Toc99008137"/>
      <w:bookmarkStart w:id="387" w:name="_Toc99010727"/>
      <w:bookmarkStart w:id="388" w:name="_Toc99013962"/>
      <w:bookmarkStart w:id="389" w:name="_Toc99187539"/>
      <w:bookmarkStart w:id="390" w:name="_Toc99269649"/>
      <w:r w:rsidRPr="005A7C0B">
        <w:t>1.3</w:t>
      </w:r>
      <w:r w:rsidRPr="005A7C0B">
        <w:tab/>
        <w:t>Budget measures</w:t>
      </w:r>
      <w:bookmarkEnd w:id="385"/>
      <w:bookmarkEnd w:id="386"/>
      <w:bookmarkEnd w:id="387"/>
      <w:bookmarkEnd w:id="388"/>
      <w:bookmarkEnd w:id="389"/>
      <w:bookmarkEnd w:id="390"/>
    </w:p>
    <w:p w14:paraId="28668FE6" w14:textId="77777777" w:rsidR="002C285B" w:rsidRDefault="002C285B" w:rsidP="002C285B">
      <w:r w:rsidRPr="00DC32EC">
        <w:t xml:space="preserve">Budget measures </w:t>
      </w:r>
      <w:r>
        <w:t xml:space="preserve">in Part 1 </w:t>
      </w:r>
      <w:r w:rsidRPr="00DC32EC">
        <w:t>relating to</w:t>
      </w:r>
      <w:r>
        <w:t xml:space="preserve"> the APSC</w:t>
      </w:r>
      <w:r w:rsidRPr="00DC32EC">
        <w:t xml:space="preserve"> a</w:t>
      </w:r>
      <w:r>
        <w:t>re detailed in Budget Paper No. </w:t>
      </w:r>
      <w:r w:rsidRPr="00DC32EC">
        <w:t>2</w:t>
      </w:r>
      <w:r>
        <w:t xml:space="preserve"> and are summarised below.</w:t>
      </w:r>
    </w:p>
    <w:p w14:paraId="01AB308B" w14:textId="77777777" w:rsidR="002C285B" w:rsidRPr="009A40DD" w:rsidRDefault="002C285B" w:rsidP="002C285B">
      <w:pPr>
        <w:pStyle w:val="TableHeading"/>
      </w:pPr>
      <w:r w:rsidRPr="00FE4E39">
        <w:t xml:space="preserve">Table 1.2: </w:t>
      </w:r>
      <w:r w:rsidRPr="00FE4E39">
        <w:rPr>
          <w:lang w:val="en-AU"/>
        </w:rPr>
        <w:t xml:space="preserve">APSC 2022-23 </w:t>
      </w:r>
      <w:r w:rsidRPr="00FE4E39">
        <w:t>Budget measures</w:t>
      </w:r>
    </w:p>
    <w:p w14:paraId="1F71EAA3" w14:textId="77777777" w:rsidR="002C285B" w:rsidRDefault="002C285B" w:rsidP="002C285B">
      <w:pPr>
        <w:pStyle w:val="TableGraphic"/>
        <w:spacing w:after="120"/>
        <w:jc w:val="left"/>
      </w:pP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2021-22 Mid-Year Economic and Fiscal Outlook (MYEFO)</w:t>
      </w:r>
      <w:r w:rsidRPr="00E86C17">
        <w:rPr>
          <w:rStyle w:val="CommentReference"/>
        </w:rPr>
        <w:t xml:space="preserve"> </w:t>
      </w:r>
    </w:p>
    <w:p w14:paraId="70433426" w14:textId="77777777" w:rsidR="00937423" w:rsidRPr="00937423" w:rsidRDefault="00D80A4C" w:rsidP="00937423">
      <w:pPr>
        <w:spacing w:after="0" w:line="240" w:lineRule="auto"/>
        <w:jc w:val="left"/>
        <w:rPr>
          <w:rFonts w:ascii="Arial" w:hAnsi="Arial" w:cs="Arial"/>
          <w:color w:val="000000"/>
          <w:sz w:val="16"/>
          <w:szCs w:val="16"/>
        </w:rPr>
      </w:pPr>
      <w:r w:rsidRPr="00D80A4C">
        <w:rPr>
          <w:noProof/>
        </w:rPr>
        <w:drawing>
          <wp:inline distT="0" distB="0" distL="0" distR="0" wp14:anchorId="258629BC" wp14:editId="26FBE824">
            <wp:extent cx="4895850" cy="2912877"/>
            <wp:effectExtent l="0" t="0" r="0" b="190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95850" cy="2912877"/>
                    </a:xfrm>
                    <a:prstGeom prst="rect">
                      <a:avLst/>
                    </a:prstGeom>
                    <a:noFill/>
                    <a:ln>
                      <a:noFill/>
                    </a:ln>
                  </pic:spPr>
                </pic:pic>
              </a:graphicData>
            </a:graphic>
          </wp:inline>
        </w:drawing>
      </w:r>
      <w:r w:rsidR="00937423" w:rsidRPr="00937423">
        <w:rPr>
          <w:rFonts w:ascii="Arial" w:hAnsi="Arial" w:cs="Arial"/>
          <w:color w:val="000000"/>
          <w:sz w:val="16"/>
          <w:szCs w:val="16"/>
        </w:rPr>
        <w:t>Prepared on a Government Finance Statistics (Underlying Cash) basis. Figures displayed as a negative (-) represent a decrease in funds and a positive (+) represent an increase in funds.</w:t>
      </w:r>
    </w:p>
    <w:p w14:paraId="5D348AD7" w14:textId="77777777" w:rsidR="00E224CB" w:rsidRPr="00D80A4C" w:rsidRDefault="00E224CB" w:rsidP="00392A48">
      <w:pPr>
        <w:pStyle w:val="ChartandTableFootnoteAlpha"/>
        <w:numPr>
          <w:ilvl w:val="0"/>
          <w:numId w:val="141"/>
        </w:numPr>
        <w:rPr>
          <w:rFonts w:cs="Arial"/>
          <w:iCs/>
          <w:color w:val="000000"/>
          <w:szCs w:val="16"/>
        </w:rPr>
      </w:pPr>
      <w:r w:rsidRPr="00E224CB">
        <w:rPr>
          <w:rFonts w:cs="Arial"/>
          <w:iCs/>
          <w:color w:val="000000"/>
          <w:szCs w:val="16"/>
        </w:rPr>
        <w:t>The lead entity for the Stronger Regional Futures Package is the Department of Infrastructure,</w:t>
      </w:r>
      <w:r w:rsidR="00127656">
        <w:rPr>
          <w:rFonts w:cs="Arial"/>
          <w:iCs/>
          <w:color w:val="000000"/>
          <w:szCs w:val="16"/>
        </w:rPr>
        <w:t xml:space="preserve"> </w:t>
      </w:r>
      <w:r w:rsidRPr="00E224CB">
        <w:rPr>
          <w:rFonts w:cs="Arial"/>
          <w:iCs/>
          <w:color w:val="000000"/>
          <w:szCs w:val="16"/>
        </w:rPr>
        <w:t xml:space="preserve">Transport, Regional Development and Communications. The full measure description and package </w:t>
      </w:r>
      <w:r w:rsidRPr="00D80A4C">
        <w:rPr>
          <w:rFonts w:cs="Arial"/>
          <w:iCs/>
          <w:color w:val="000000"/>
          <w:szCs w:val="16"/>
        </w:rPr>
        <w:t xml:space="preserve">details appear in Budget Paper No. 2 under the Infrastructure, Transport, Regional </w:t>
      </w:r>
      <w:r w:rsidR="00D80A4C">
        <w:rPr>
          <w:rFonts w:cs="Arial"/>
          <w:iCs/>
          <w:color w:val="000000"/>
          <w:szCs w:val="16"/>
        </w:rPr>
        <w:t>Development and Communications p</w:t>
      </w:r>
      <w:r w:rsidRPr="00D80A4C">
        <w:rPr>
          <w:rFonts w:cs="Arial"/>
          <w:iCs/>
          <w:color w:val="000000"/>
          <w:szCs w:val="16"/>
        </w:rPr>
        <w:t>ortfolio.</w:t>
      </w:r>
    </w:p>
    <w:p w14:paraId="43BF4FD1" w14:textId="77777777" w:rsidR="00E224CB" w:rsidRPr="00E224CB" w:rsidRDefault="00E224CB" w:rsidP="00392A48">
      <w:pPr>
        <w:pStyle w:val="ChartandTableFootnoteAlpha"/>
        <w:numPr>
          <w:ilvl w:val="0"/>
          <w:numId w:val="141"/>
        </w:numPr>
        <w:rPr>
          <w:rFonts w:cs="Arial"/>
          <w:iCs/>
          <w:color w:val="000000"/>
          <w:szCs w:val="16"/>
        </w:rPr>
      </w:pPr>
      <w:r w:rsidRPr="00E224CB">
        <w:rPr>
          <w:rFonts w:cs="Arial"/>
          <w:iCs/>
          <w:color w:val="000000"/>
          <w:szCs w:val="16"/>
        </w:rPr>
        <w:t>The lead entity for the measure titled Comprehensive Strategic Partnership with India - new initiatives is the Department of Foreign Affairs and Trade. The full measure description and package details appear in Budget Paper No. 2 under the Foreign Affairs and Trade portfolio.</w:t>
      </w:r>
      <w:r w:rsidRPr="00E224CB">
        <w:t xml:space="preserve"> </w:t>
      </w:r>
    </w:p>
    <w:p w14:paraId="1D65EC7B" w14:textId="77777777" w:rsidR="00E224CB" w:rsidRDefault="00E224CB" w:rsidP="00392A48">
      <w:pPr>
        <w:pStyle w:val="ChartandTableFootnoteAlpha"/>
        <w:numPr>
          <w:ilvl w:val="0"/>
          <w:numId w:val="141"/>
        </w:numPr>
        <w:rPr>
          <w:rFonts w:cs="Arial"/>
          <w:iCs/>
          <w:color w:val="000000"/>
          <w:szCs w:val="16"/>
        </w:rPr>
      </w:pPr>
      <w:r w:rsidRPr="00E224CB">
        <w:rPr>
          <w:rFonts w:cs="Arial"/>
          <w:iCs/>
          <w:color w:val="000000"/>
          <w:szCs w:val="16"/>
        </w:rPr>
        <w:t xml:space="preserve">The lead entity for the measure titled Prioritising Mental Health is the Department </w:t>
      </w:r>
      <w:r w:rsidR="00D80A4C">
        <w:rPr>
          <w:rFonts w:cs="Arial"/>
          <w:iCs/>
          <w:color w:val="000000"/>
          <w:szCs w:val="16"/>
        </w:rPr>
        <w:t xml:space="preserve">of </w:t>
      </w:r>
      <w:r w:rsidRPr="00E224CB">
        <w:rPr>
          <w:rFonts w:cs="Arial"/>
          <w:iCs/>
          <w:color w:val="000000"/>
          <w:szCs w:val="16"/>
        </w:rPr>
        <w:t>Health. The full measure description and package details appear in Budget Paper No. 2 under the Health portfolio.  The costs for APSC associated with this measure have been absorbed within existing resources</w:t>
      </w:r>
      <w:r w:rsidR="00D80A4C">
        <w:rPr>
          <w:rFonts w:cs="Arial"/>
          <w:iCs/>
          <w:color w:val="000000"/>
          <w:szCs w:val="16"/>
        </w:rPr>
        <w:t>.</w:t>
      </w:r>
    </w:p>
    <w:p w14:paraId="6A2DDF35" w14:textId="77777777" w:rsidR="00E224CB" w:rsidRPr="00E224CB" w:rsidRDefault="00E224CB" w:rsidP="00392A48">
      <w:pPr>
        <w:pStyle w:val="ChartandTableFootnoteAlpha"/>
        <w:numPr>
          <w:ilvl w:val="0"/>
          <w:numId w:val="141"/>
        </w:numPr>
        <w:rPr>
          <w:rFonts w:cs="Arial"/>
          <w:iCs/>
          <w:color w:val="000000"/>
          <w:szCs w:val="16"/>
        </w:rPr>
      </w:pPr>
      <w:r w:rsidRPr="00E224CB">
        <w:rPr>
          <w:rFonts w:cs="Arial"/>
          <w:iCs/>
          <w:color w:val="000000"/>
          <w:szCs w:val="16"/>
        </w:rPr>
        <w:t>The measure titled Response to the Independent Review into Commonwealth Parliamentary Workplaces - additional resourcing is a cross portfolio measure. The full measure description and package details appe</w:t>
      </w:r>
      <w:r w:rsidR="00D80A4C">
        <w:rPr>
          <w:rFonts w:cs="Arial"/>
          <w:iCs/>
          <w:color w:val="000000"/>
          <w:szCs w:val="16"/>
        </w:rPr>
        <w:t>ar in Budget Paper No. 2 under Cross P</w:t>
      </w:r>
      <w:r w:rsidRPr="00E224CB">
        <w:rPr>
          <w:rFonts w:cs="Arial"/>
          <w:iCs/>
          <w:color w:val="000000"/>
          <w:szCs w:val="16"/>
        </w:rPr>
        <w:t>ortfolio.</w:t>
      </w:r>
    </w:p>
    <w:p w14:paraId="7CD8DAC1" w14:textId="77777777" w:rsidR="00F11C20" w:rsidRPr="00A23CB1" w:rsidRDefault="00F11C20" w:rsidP="00392A48">
      <w:pPr>
        <w:pStyle w:val="ChartandTableFootnoteAlpha"/>
        <w:numPr>
          <w:ilvl w:val="0"/>
          <w:numId w:val="141"/>
        </w:numPr>
        <w:rPr>
          <w:rFonts w:cs="Arial"/>
          <w:iCs/>
          <w:color w:val="000000"/>
          <w:szCs w:val="16"/>
        </w:rPr>
      </w:pPr>
      <w:r w:rsidRPr="00A23CB1">
        <w:rPr>
          <w:rFonts w:cs="Arial"/>
          <w:iCs/>
          <w:color w:val="000000"/>
          <w:szCs w:val="16"/>
        </w:rPr>
        <w:t xml:space="preserve">The lead entity for the measure titled India Comprehensive Strategic Partnership is the </w:t>
      </w:r>
      <w:r w:rsidRPr="00A23CB1">
        <w:rPr>
          <w:rFonts w:cs="Arial"/>
          <w:iCs/>
          <w:color w:val="000000"/>
          <w:szCs w:val="16"/>
        </w:rPr>
        <w:br/>
        <w:t xml:space="preserve">Department of Foreign Affairs and Trade. The full measure description and package details appear in </w:t>
      </w:r>
      <w:r w:rsidRPr="00A23CB1">
        <w:rPr>
          <w:rFonts w:cs="Arial"/>
          <w:iCs/>
          <w:color w:val="000000"/>
          <w:szCs w:val="16"/>
        </w:rPr>
        <w:br/>
        <w:t>Budget Paper No. 2 under the Foreign Affairs and Trade portfolio.</w:t>
      </w:r>
    </w:p>
    <w:p w14:paraId="264D0A89" w14:textId="77777777" w:rsidR="00937423" w:rsidRPr="00937423" w:rsidRDefault="00937423" w:rsidP="00937423"/>
    <w:p w14:paraId="7499FD50" w14:textId="77777777" w:rsidR="002C285B" w:rsidRDefault="002C285B" w:rsidP="002C285B">
      <w:pPr>
        <w:spacing w:after="0" w:line="240" w:lineRule="auto"/>
        <w:jc w:val="left"/>
        <w:rPr>
          <w:rFonts w:ascii="Arial Bold" w:hAnsi="Arial Bold"/>
          <w:b/>
        </w:rPr>
      </w:pPr>
      <w:r>
        <w:br w:type="page"/>
      </w:r>
    </w:p>
    <w:p w14:paraId="5297D435" w14:textId="77777777" w:rsidR="002C285B" w:rsidRPr="00810C6A" w:rsidRDefault="002C285B" w:rsidP="002C285B">
      <w:pPr>
        <w:pStyle w:val="Heading2"/>
      </w:pPr>
      <w:bookmarkStart w:id="391" w:name="_Toc98932882"/>
      <w:bookmarkStart w:id="392" w:name="_Toc99008138"/>
      <w:bookmarkStart w:id="393" w:name="_Toc99010728"/>
      <w:bookmarkStart w:id="394" w:name="_Toc99013963"/>
      <w:bookmarkStart w:id="395" w:name="_Toc99187540"/>
      <w:bookmarkStart w:id="396" w:name="_Toc99269650"/>
      <w:r w:rsidRPr="00810C6A">
        <w:t>Section 2: Outcomes and planned performance</w:t>
      </w:r>
      <w:bookmarkEnd w:id="391"/>
      <w:bookmarkEnd w:id="392"/>
      <w:bookmarkEnd w:id="393"/>
      <w:bookmarkEnd w:id="394"/>
      <w:bookmarkEnd w:id="395"/>
      <w:bookmarkEnd w:id="396"/>
    </w:p>
    <w:p w14:paraId="25B4CFB2" w14:textId="77777777" w:rsidR="002C285B" w:rsidRPr="005E6F2B" w:rsidRDefault="002C285B" w:rsidP="002C285B">
      <w:r w:rsidRPr="005E6F2B">
        <w:t xml:space="preserve">Government outcomes are the intended results, impacts or consequences of actions by the Government on the Australian community. Commonwealth programs are the primary vehicle by which </w:t>
      </w:r>
      <w:r>
        <w:t>G</w:t>
      </w:r>
      <w:r w:rsidRPr="005E6F2B">
        <w:t>overnment entities achieve the intended results of their outcome statements. Entities are required to identify the programs which contribute to government outcomes over the Budget and forward years.</w:t>
      </w:r>
    </w:p>
    <w:p w14:paraId="24909C5C" w14:textId="77777777" w:rsidR="002C285B" w:rsidRDefault="002C285B" w:rsidP="002C285B">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2C285B" w14:paraId="52DCC2D3" w14:textId="77777777" w:rsidTr="002F7A80">
        <w:tc>
          <w:tcPr>
            <w:tcW w:w="7700" w:type="dxa"/>
          </w:tcPr>
          <w:p w14:paraId="5ACB2DD7" w14:textId="77777777" w:rsidR="002C285B" w:rsidRPr="006906E4" w:rsidRDefault="002C285B" w:rsidP="002F7A80">
            <w:pPr>
              <w:spacing w:before="120" w:after="120" w:line="240" w:lineRule="auto"/>
              <w:rPr>
                <w:b/>
              </w:rPr>
            </w:pPr>
            <w:r w:rsidRPr="006906E4">
              <w:rPr>
                <w:b/>
              </w:rPr>
              <w:t>Note:</w:t>
            </w:r>
          </w:p>
          <w:p w14:paraId="3FAA88B1" w14:textId="77777777" w:rsidR="002C285B" w:rsidRDefault="002C285B" w:rsidP="002F7A80">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measures described in Portfolio Budget Statements will be read with broader information provided in an entity’s corporate plan and annual performance statements – included in Annual Reports - to provide a complete picture of an entity’s planned and actual performance.</w:t>
            </w:r>
          </w:p>
          <w:p w14:paraId="0C4AC43F" w14:textId="77777777" w:rsidR="002C285B" w:rsidRDefault="002C285B" w:rsidP="002F7A80">
            <w:pPr>
              <w:jc w:val="left"/>
            </w:pPr>
            <w:r>
              <w:t xml:space="preserve">The most recent corporate plan for the APSC can be found at: </w:t>
            </w:r>
            <w:r w:rsidRPr="003252B3">
              <w:t>www.apsc.gov.au/publication/corporate-plan-2021-22</w:t>
            </w:r>
          </w:p>
          <w:p w14:paraId="2B57657A" w14:textId="77777777" w:rsidR="002C285B" w:rsidRDefault="002C285B" w:rsidP="00B64779">
            <w:pPr>
              <w:jc w:val="left"/>
            </w:pPr>
            <w:r>
              <w:t xml:space="preserve">The most recent annual performance statement can be found at:   </w:t>
            </w:r>
            <w:r w:rsidRPr="00B94A77">
              <w:t>www.apsc.gov.au/annual-report/australian-public-service-commission-annual-report-2020-21</w:t>
            </w:r>
          </w:p>
        </w:tc>
      </w:tr>
    </w:tbl>
    <w:p w14:paraId="7A2AF9C2" w14:textId="77777777" w:rsidR="002C285B" w:rsidRDefault="002C285B" w:rsidP="002C285B">
      <w:pPr>
        <w:rPr>
          <w:highlight w:val="yellow"/>
        </w:rPr>
      </w:pPr>
    </w:p>
    <w:p w14:paraId="5DBC70E6" w14:textId="77777777" w:rsidR="00CC5FDB" w:rsidRDefault="00CC5FDB">
      <w:pPr>
        <w:spacing w:after="0" w:line="240" w:lineRule="auto"/>
        <w:jc w:val="left"/>
        <w:rPr>
          <w:rFonts w:ascii="Arial Bold" w:hAnsi="Arial Bold"/>
          <w:b/>
          <w:sz w:val="22"/>
        </w:rPr>
      </w:pPr>
      <w:bookmarkStart w:id="397" w:name="_Toc98932883"/>
      <w:r>
        <w:br w:type="page"/>
      </w:r>
    </w:p>
    <w:p w14:paraId="21441746" w14:textId="77777777" w:rsidR="002C285B" w:rsidRDefault="002C285B" w:rsidP="002C285B">
      <w:pPr>
        <w:pStyle w:val="Heading3"/>
      </w:pPr>
      <w:bookmarkStart w:id="398" w:name="_Toc99008139"/>
      <w:bookmarkStart w:id="399" w:name="_Toc99010729"/>
      <w:bookmarkStart w:id="400" w:name="_Toc99013964"/>
      <w:bookmarkStart w:id="401" w:name="_Toc99187541"/>
      <w:bookmarkStart w:id="402" w:name="_Toc99269651"/>
      <w:r>
        <w:t>2.1</w:t>
      </w:r>
      <w:r w:rsidRPr="00F743D8">
        <w:t xml:space="preserve"> </w:t>
      </w:r>
      <w:r w:rsidRPr="00F743D8">
        <w:tab/>
        <w:t xml:space="preserve">Budgeted expenses and performance for Outcome </w:t>
      </w:r>
      <w:r>
        <w:t>1</w:t>
      </w:r>
      <w:bookmarkEnd w:id="397"/>
      <w:bookmarkEnd w:id="398"/>
      <w:bookmarkEnd w:id="399"/>
      <w:bookmarkEnd w:id="400"/>
      <w:bookmarkEnd w:id="401"/>
      <w:bookmarkEnd w:id="40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2C285B" w:rsidRPr="005E6F2B" w14:paraId="74ECFE3F" w14:textId="77777777" w:rsidTr="002F7A80">
        <w:tc>
          <w:tcPr>
            <w:tcW w:w="7713" w:type="dxa"/>
            <w:shd w:val="clear" w:color="auto" w:fill="E6E6E6"/>
          </w:tcPr>
          <w:p w14:paraId="4C3DAB9A" w14:textId="77777777" w:rsidR="002C285B" w:rsidRPr="005E6F2B" w:rsidRDefault="002C285B" w:rsidP="002F7A80">
            <w:pPr>
              <w:pStyle w:val="TableColumnHeadingLeft"/>
              <w:jc w:val="both"/>
            </w:pPr>
            <w:r w:rsidRPr="005E6F2B">
              <w:t xml:space="preserve">Outcome </w:t>
            </w:r>
            <w:r>
              <w:t>1</w:t>
            </w:r>
            <w:r w:rsidRPr="005E6F2B">
              <w:t xml:space="preserve">: </w:t>
            </w:r>
            <w:r w:rsidRPr="00B3230B">
              <w:t>Increased awareness and adoption of best practice public administration by the public service through leadership, promotion, advice and professional development, drawing on research and evaluation</w:t>
            </w:r>
            <w:r>
              <w:t>.</w:t>
            </w:r>
          </w:p>
        </w:tc>
      </w:tr>
    </w:tbl>
    <w:p w14:paraId="42E2A5C8" w14:textId="77777777" w:rsidR="002C285B" w:rsidRPr="00831489" w:rsidRDefault="002C285B" w:rsidP="002C285B">
      <w:pPr>
        <w:pStyle w:val="Exampletext"/>
        <w:spacing w:after="0"/>
        <w:rPr>
          <w:lang w:val="en-AU"/>
        </w:rPr>
      </w:pPr>
    </w:p>
    <w:p w14:paraId="0BFEBCE8" w14:textId="77777777" w:rsidR="002C285B" w:rsidRPr="00446612" w:rsidRDefault="002C285B" w:rsidP="002C285B">
      <w:pPr>
        <w:pStyle w:val="Heading5"/>
      </w:pPr>
      <w:r w:rsidRPr="00446612">
        <w:t xml:space="preserve">Budgeted expenses for Outcome </w:t>
      </w:r>
      <w:r>
        <w:t>1</w:t>
      </w:r>
    </w:p>
    <w:p w14:paraId="46A1BC30" w14:textId="77777777" w:rsidR="002C285B" w:rsidRDefault="002C285B" w:rsidP="002C285B">
      <w:r w:rsidRPr="00950281">
        <w:t xml:space="preserve">This table shows how much the </w:t>
      </w:r>
      <w:r w:rsidR="00C03CE1">
        <w:t>APSC</w:t>
      </w:r>
      <w:r w:rsidRPr="00950281">
        <w:t xml:space="preserve"> intends to spend (on an accrual basis) on achieving the outcome, broken down by program, as well as by </w:t>
      </w:r>
      <w:r>
        <w:t>a</w:t>
      </w:r>
      <w:r w:rsidRPr="00950281">
        <w:t>dministered an</w:t>
      </w:r>
      <w:r>
        <w:t>d departmental funding sources.</w:t>
      </w:r>
    </w:p>
    <w:p w14:paraId="45BD6836" w14:textId="77777777" w:rsidR="002C285B" w:rsidRDefault="002C285B" w:rsidP="00E7089F">
      <w:pPr>
        <w:pStyle w:val="Heading5"/>
        <w:spacing w:after="0"/>
      </w:pPr>
      <w:r w:rsidRPr="00622F31">
        <w:rPr>
          <w:b/>
        </w:rPr>
        <w:t>Table 2.1.1: Budgeted expenses for Outcome 1</w:t>
      </w:r>
      <w:r w:rsidR="007C4E66" w:rsidRPr="007C4E66">
        <w:rPr>
          <w:b/>
          <w:bCs w:val="0"/>
          <w:iCs w:val="0"/>
        </w:rPr>
        <w:t xml:space="preserve"> </w:t>
      </w:r>
      <w:r w:rsidR="00E7089F" w:rsidRPr="00E7089F">
        <w:rPr>
          <w:noProof/>
        </w:rPr>
        <w:drawing>
          <wp:inline distT="0" distB="0" distL="0" distR="0" wp14:anchorId="29057490" wp14:editId="515576BA">
            <wp:extent cx="4895850" cy="401000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95850" cy="4010008"/>
                    </a:xfrm>
                    <a:prstGeom prst="rect">
                      <a:avLst/>
                    </a:prstGeom>
                    <a:noFill/>
                    <a:ln>
                      <a:noFill/>
                    </a:ln>
                  </pic:spPr>
                </pic:pic>
              </a:graphicData>
            </a:graphic>
          </wp:inline>
        </w:drawing>
      </w:r>
    </w:p>
    <w:p w14:paraId="0E53B33E" w14:textId="77777777" w:rsidR="00C03CE1" w:rsidRPr="00C03CE1" w:rsidRDefault="00C03CE1" w:rsidP="00C03CE1">
      <w:pPr>
        <w:spacing w:after="0" w:line="240" w:lineRule="auto"/>
        <w:jc w:val="left"/>
        <w:rPr>
          <w:rFonts w:ascii="Arial" w:hAnsi="Arial" w:cs="Arial"/>
          <w:sz w:val="16"/>
          <w:szCs w:val="16"/>
        </w:rPr>
      </w:pPr>
      <w:r w:rsidRPr="00C03CE1">
        <w:rPr>
          <w:rFonts w:ascii="Arial" w:hAnsi="Arial" w:cs="Arial"/>
          <w:sz w:val="16"/>
          <w:szCs w:val="16"/>
        </w:rPr>
        <w:t>Note: Departmental appropriation splits and totals are indicative estimates and may change in the course of the budget year as government priorities change.</w:t>
      </w:r>
    </w:p>
    <w:p w14:paraId="3C0FF9E9" w14:textId="77777777" w:rsidR="00C03CE1" w:rsidRPr="00C03CE1" w:rsidRDefault="00C03CE1" w:rsidP="00392A48">
      <w:pPr>
        <w:pStyle w:val="ChartandTableFootnoteAlpha"/>
        <w:numPr>
          <w:ilvl w:val="0"/>
          <w:numId w:val="114"/>
        </w:numPr>
        <w:rPr>
          <w:rFonts w:cs="Arial"/>
          <w:color w:val="000000"/>
          <w:szCs w:val="16"/>
        </w:rPr>
      </w:pPr>
      <w:r w:rsidRPr="00C03CE1">
        <w:rPr>
          <w:rFonts w:cs="Arial"/>
          <w:szCs w:val="16"/>
        </w:rPr>
        <w:t xml:space="preserve">Estimated expenses incurred in relation to receipts retained under section 74 of the </w:t>
      </w:r>
      <w:r w:rsidRPr="00CC5FDB">
        <w:rPr>
          <w:rFonts w:cs="Arial"/>
          <w:iCs/>
          <w:szCs w:val="16"/>
        </w:rPr>
        <w:t>PGPA Act</w:t>
      </w:r>
      <w:r w:rsidRPr="00C03CE1">
        <w:rPr>
          <w:rFonts w:cs="Arial"/>
          <w:i/>
          <w:iCs/>
          <w:szCs w:val="16"/>
        </w:rPr>
        <w:t>.</w:t>
      </w:r>
    </w:p>
    <w:p w14:paraId="4BF335D0" w14:textId="77777777" w:rsidR="00CC5FDB" w:rsidRPr="00C43411" w:rsidRDefault="00C03CE1" w:rsidP="00392A48">
      <w:pPr>
        <w:pStyle w:val="ChartandTableFootnoteAlpha"/>
        <w:numPr>
          <w:ilvl w:val="0"/>
          <w:numId w:val="114"/>
        </w:numPr>
        <w:rPr>
          <w:rFonts w:cs="Arial"/>
          <w:color w:val="000000"/>
          <w:szCs w:val="16"/>
        </w:rPr>
      </w:pPr>
      <w:r w:rsidRPr="00C03CE1">
        <w:rPr>
          <w:rFonts w:cs="Arial"/>
          <w:szCs w:val="16"/>
        </w:rPr>
        <w:t>Expenses not requiring appropriation in the Budget year are made up of depreciation expenses,</w:t>
      </w:r>
      <w:r w:rsidRPr="00C03CE1">
        <w:rPr>
          <w:rFonts w:cs="Arial"/>
          <w:szCs w:val="16"/>
        </w:rPr>
        <w:br/>
        <w:t>amortisation expenses, make good expenses, and audi</w:t>
      </w:r>
      <w:r w:rsidR="00C43411">
        <w:rPr>
          <w:rFonts w:cs="Arial"/>
          <w:szCs w:val="16"/>
        </w:rPr>
        <w:t>t fees</w:t>
      </w:r>
    </w:p>
    <w:p w14:paraId="4C64420E" w14:textId="77777777" w:rsidR="00E7089F" w:rsidRDefault="00E7089F" w:rsidP="002C285B">
      <w:pPr>
        <w:pStyle w:val="TableHeading"/>
        <w:spacing w:after="120"/>
      </w:pPr>
    </w:p>
    <w:p w14:paraId="3D46F697" w14:textId="77777777" w:rsidR="00E7089F" w:rsidRDefault="00E7089F">
      <w:pPr>
        <w:spacing w:after="0" w:line="240" w:lineRule="auto"/>
        <w:jc w:val="left"/>
        <w:rPr>
          <w:rFonts w:ascii="Arial" w:hAnsi="Arial"/>
          <w:b/>
          <w:color w:val="000000"/>
          <w:lang w:val="x-none" w:eastAsia="x-none"/>
        </w:rPr>
      </w:pPr>
      <w:r>
        <w:br w:type="page"/>
      </w:r>
    </w:p>
    <w:p w14:paraId="666EE116" w14:textId="77777777" w:rsidR="002C285B" w:rsidRPr="00F71634" w:rsidRDefault="002C285B" w:rsidP="002C285B">
      <w:pPr>
        <w:pStyle w:val="TableHeading"/>
        <w:spacing w:after="120"/>
      </w:pPr>
      <w:r w:rsidRPr="00F71634">
        <w:t>Table 2.</w:t>
      </w:r>
      <w:r>
        <w:rPr>
          <w:lang w:val="en-AU"/>
        </w:rPr>
        <w:t>1</w:t>
      </w:r>
      <w:r w:rsidRPr="00F71634">
        <w:t>.</w:t>
      </w:r>
      <w:r>
        <w:rPr>
          <w:lang w:val="en-AU"/>
        </w:rPr>
        <w:t>2</w:t>
      </w:r>
      <w:r w:rsidRPr="00F71634">
        <w:t xml:space="preserve">: Performance </w:t>
      </w:r>
      <w:r>
        <w:rPr>
          <w:lang w:val="en-AU"/>
        </w:rPr>
        <w:t>measures</w:t>
      </w:r>
      <w:r w:rsidRPr="00F71634">
        <w:t xml:space="preserve"> for Outcome </w:t>
      </w:r>
      <w:r>
        <w:rPr>
          <w:lang w:val="en-AU"/>
        </w:rPr>
        <w:t>1</w:t>
      </w:r>
    </w:p>
    <w:p w14:paraId="46BDE7DA" w14:textId="77777777" w:rsidR="002C285B" w:rsidRPr="007A02C2" w:rsidRDefault="002C285B" w:rsidP="002C285B">
      <w:r w:rsidRPr="007A02C2">
        <w:t>Table 2.</w:t>
      </w:r>
      <w:r>
        <w:t>1</w:t>
      </w:r>
      <w:r w:rsidRPr="007A02C2">
        <w:t>.</w:t>
      </w:r>
      <w:r>
        <w:t>2</w:t>
      </w:r>
      <w:r w:rsidRPr="007A02C2">
        <w:t xml:space="preserve"> </w:t>
      </w:r>
      <w:r>
        <w:t xml:space="preserve">below </w:t>
      </w:r>
      <w:r w:rsidRPr="007A02C2">
        <w:t>details the performance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2022-23 Budget measures that have created new programs or materially changed existing programs are provided.</w:t>
      </w:r>
    </w:p>
    <w:tbl>
      <w:tblPr>
        <w:tblpPr w:leftFromText="180" w:rightFromText="180" w:vertAnchor="text" w:tblpXSpec="right" w:tblpY="1"/>
        <w:tblOverlap w:val="never"/>
        <w:tblW w:w="7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400"/>
        <w:gridCol w:w="3578"/>
      </w:tblGrid>
      <w:tr w:rsidR="002C285B" w:rsidRPr="007A02C2" w14:paraId="53BB9DC9" w14:textId="77777777" w:rsidTr="002F7A80">
        <w:trPr>
          <w:trHeight w:val="569"/>
          <w:tblHeader/>
        </w:trPr>
        <w:tc>
          <w:tcPr>
            <w:tcW w:w="768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E746E62" w14:textId="77777777" w:rsidR="002C285B" w:rsidRPr="00D91B5A" w:rsidRDefault="002C285B" w:rsidP="002F7A80">
            <w:pPr>
              <w:pStyle w:val="TableColumnHeadingLeft"/>
              <w:spacing w:before="120" w:after="120"/>
              <w:rPr>
                <w:rFonts w:cs="Arial"/>
              </w:rPr>
            </w:pPr>
            <w:r w:rsidRPr="00D91B5A">
              <w:rPr>
                <w:rFonts w:cs="Arial"/>
              </w:rPr>
              <w:t>Outcome 1 – Increased awareness and adoption of best practice public administration by the public service through leadership, promotion, advice and professional development, drawing on research and evaluation</w:t>
            </w:r>
            <w:r w:rsidRPr="00D91B5A">
              <w:rPr>
                <w:rFonts w:cs="Arial"/>
                <w:color w:val="1F497D"/>
              </w:rPr>
              <w:t>.</w:t>
            </w:r>
          </w:p>
        </w:tc>
      </w:tr>
      <w:tr w:rsidR="002C285B" w:rsidRPr="007A02C2" w14:paraId="40D68F51" w14:textId="77777777" w:rsidTr="002F7A80">
        <w:trPr>
          <w:trHeight w:val="522"/>
          <w:tblHeader/>
        </w:trPr>
        <w:tc>
          <w:tcPr>
            <w:tcW w:w="768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5FA10F58" w14:textId="77777777" w:rsidR="002C285B" w:rsidRPr="00D91B5A" w:rsidRDefault="002C285B" w:rsidP="002F7A80">
            <w:pPr>
              <w:spacing w:before="120" w:after="120"/>
              <w:jc w:val="left"/>
              <w:rPr>
                <w:rFonts w:ascii="Arial" w:hAnsi="Arial" w:cs="Arial"/>
                <w:b/>
                <w:bCs/>
                <w:sz w:val="18"/>
                <w:szCs w:val="18"/>
              </w:rPr>
            </w:pPr>
            <w:r w:rsidRPr="00D91B5A">
              <w:rPr>
                <w:rFonts w:ascii="Arial" w:hAnsi="Arial" w:cs="Arial"/>
                <w:b/>
                <w:bCs/>
                <w:sz w:val="18"/>
                <w:szCs w:val="18"/>
              </w:rPr>
              <w:t>Program</w:t>
            </w:r>
            <w:r>
              <w:rPr>
                <w:rFonts w:ascii="Arial" w:hAnsi="Arial" w:cs="Arial"/>
                <w:b/>
                <w:bCs/>
                <w:sz w:val="18"/>
                <w:szCs w:val="18"/>
              </w:rPr>
              <w:t xml:space="preserve"> </w:t>
            </w:r>
            <w:r w:rsidRPr="00D91B5A">
              <w:rPr>
                <w:rFonts w:ascii="Arial" w:hAnsi="Arial" w:cs="Arial"/>
                <w:b/>
                <w:bCs/>
                <w:sz w:val="18"/>
                <w:szCs w:val="18"/>
              </w:rPr>
              <w:t>1.1</w:t>
            </w:r>
            <w:r w:rsidRPr="00D91B5A">
              <w:rPr>
                <w:rFonts w:ascii="Arial" w:hAnsi="Arial" w:cs="Arial"/>
                <w:sz w:val="18"/>
                <w:szCs w:val="18"/>
              </w:rPr>
              <w:t xml:space="preserve"> </w:t>
            </w:r>
            <w:r w:rsidRPr="008F4B60">
              <w:rPr>
                <w:rFonts w:ascii="Arial" w:hAnsi="Arial" w:cs="Arial"/>
                <w:b/>
                <w:sz w:val="18"/>
                <w:szCs w:val="18"/>
              </w:rPr>
              <w:t>– Australian Public Service Commission</w:t>
            </w:r>
            <w:r w:rsidRPr="00D91B5A">
              <w:rPr>
                <w:rFonts w:ascii="Arial" w:hAnsi="Arial" w:cs="Arial"/>
                <w:sz w:val="18"/>
                <w:szCs w:val="18"/>
              </w:rPr>
              <w:br/>
              <w:t xml:space="preserve">This program contributes to the outcome through building capacity, driving productivity and performance, streamlining processes and reducing red tape and promoting integrity and accountability among the APS. </w:t>
            </w:r>
          </w:p>
        </w:tc>
      </w:tr>
      <w:tr w:rsidR="002C285B" w:rsidRPr="007A02C2" w14:paraId="55D08B94" w14:textId="77777777" w:rsidTr="002F7A80">
        <w:trPr>
          <w:trHeight w:val="694"/>
        </w:trPr>
        <w:tc>
          <w:tcPr>
            <w:tcW w:w="1706" w:type="dxa"/>
            <w:tcBorders>
              <w:top w:val="single" w:sz="4" w:space="0" w:color="auto"/>
              <w:left w:val="single" w:sz="4" w:space="0" w:color="auto"/>
              <w:bottom w:val="double" w:sz="4" w:space="0" w:color="auto"/>
              <w:right w:val="single" w:sz="4" w:space="0" w:color="auto"/>
            </w:tcBorders>
            <w:hideMark/>
          </w:tcPr>
          <w:p w14:paraId="0244E2EF" w14:textId="77777777" w:rsidR="002C285B" w:rsidRPr="00D91B5A" w:rsidRDefault="00CC5FDB" w:rsidP="002F7A80">
            <w:pPr>
              <w:tabs>
                <w:tab w:val="left" w:pos="709"/>
              </w:tabs>
              <w:spacing w:before="60" w:after="60"/>
              <w:rPr>
                <w:rFonts w:ascii="Arial" w:hAnsi="Arial" w:cs="Arial"/>
                <w:b/>
                <w:sz w:val="16"/>
                <w:szCs w:val="16"/>
              </w:rPr>
            </w:pPr>
            <w:r>
              <w:rPr>
                <w:rFonts w:ascii="Arial" w:hAnsi="Arial" w:cs="Arial"/>
                <w:b/>
                <w:sz w:val="16"/>
                <w:szCs w:val="16"/>
              </w:rPr>
              <w:t>Key Activities</w:t>
            </w:r>
          </w:p>
        </w:tc>
        <w:tc>
          <w:tcPr>
            <w:tcW w:w="5978" w:type="dxa"/>
            <w:gridSpan w:val="2"/>
            <w:tcBorders>
              <w:top w:val="single" w:sz="4" w:space="0" w:color="auto"/>
              <w:left w:val="single" w:sz="4" w:space="0" w:color="auto"/>
              <w:bottom w:val="double" w:sz="4" w:space="0" w:color="auto"/>
              <w:right w:val="single" w:sz="4" w:space="0" w:color="auto"/>
            </w:tcBorders>
            <w:hideMark/>
          </w:tcPr>
          <w:p w14:paraId="27C28966"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Provide strategic direction </w:t>
            </w:r>
          </w:p>
          <w:p w14:paraId="6D1DC5BA"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Facilitate collaboration </w:t>
            </w:r>
          </w:p>
          <w:p w14:paraId="2A375FD7"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Develop, implement, maintain and reform policy and guidance </w:t>
            </w:r>
          </w:p>
          <w:p w14:paraId="29648AE8"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Enable learning and development opportunities</w:t>
            </w:r>
          </w:p>
          <w:p w14:paraId="1131AAEB"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Collect and share important information about the APS</w:t>
            </w:r>
          </w:p>
          <w:p w14:paraId="3976BB89"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Provide key, APS-wide platforms and services</w:t>
            </w:r>
          </w:p>
          <w:p w14:paraId="1B053929"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Provide advice and assistance </w:t>
            </w:r>
          </w:p>
          <w:p w14:paraId="326E8AD3"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Provide strategic and secretariat support to key forums</w:t>
            </w:r>
          </w:p>
        </w:tc>
      </w:tr>
      <w:tr w:rsidR="002C285B" w:rsidRPr="007A02C2" w14:paraId="5583B722" w14:textId="77777777" w:rsidTr="002F7A80">
        <w:trPr>
          <w:trHeight w:val="434"/>
        </w:trPr>
        <w:tc>
          <w:tcPr>
            <w:tcW w:w="1706" w:type="dxa"/>
            <w:tcBorders>
              <w:top w:val="double" w:sz="4" w:space="0" w:color="auto"/>
              <w:left w:val="single" w:sz="4" w:space="0" w:color="auto"/>
              <w:bottom w:val="single" w:sz="4" w:space="0" w:color="auto"/>
              <w:right w:val="single" w:sz="4" w:space="0" w:color="auto"/>
            </w:tcBorders>
            <w:hideMark/>
          </w:tcPr>
          <w:p w14:paraId="3C879F2F" w14:textId="77777777" w:rsidR="002C285B" w:rsidRPr="00D91B5A" w:rsidRDefault="002C285B" w:rsidP="002F7A80">
            <w:pPr>
              <w:tabs>
                <w:tab w:val="left" w:pos="709"/>
              </w:tabs>
              <w:spacing w:before="60" w:after="60" w:line="240" w:lineRule="auto"/>
              <w:rPr>
                <w:rFonts w:ascii="Arial" w:hAnsi="Arial" w:cs="Arial"/>
                <w:b/>
                <w:sz w:val="16"/>
                <w:szCs w:val="16"/>
              </w:rPr>
            </w:pPr>
            <w:r w:rsidRPr="00D91B5A">
              <w:rPr>
                <w:rFonts w:ascii="Arial" w:hAnsi="Arial" w:cs="Arial"/>
                <w:b/>
                <w:sz w:val="16"/>
                <w:szCs w:val="16"/>
              </w:rPr>
              <w:t>Year</w:t>
            </w:r>
          </w:p>
        </w:tc>
        <w:tc>
          <w:tcPr>
            <w:tcW w:w="2400" w:type="dxa"/>
            <w:tcBorders>
              <w:top w:val="double" w:sz="4" w:space="0" w:color="auto"/>
              <w:left w:val="single" w:sz="4" w:space="0" w:color="auto"/>
              <w:bottom w:val="single" w:sz="4" w:space="0" w:color="auto"/>
              <w:right w:val="single" w:sz="4" w:space="0" w:color="auto"/>
            </w:tcBorders>
            <w:hideMark/>
          </w:tcPr>
          <w:p w14:paraId="39F28F90" w14:textId="77777777" w:rsidR="002C285B" w:rsidRPr="00D91B5A" w:rsidRDefault="002C285B" w:rsidP="002F7A80">
            <w:pPr>
              <w:tabs>
                <w:tab w:val="left" w:pos="709"/>
                <w:tab w:val="center" w:pos="1818"/>
              </w:tabs>
              <w:spacing w:before="60" w:after="60" w:line="240" w:lineRule="auto"/>
              <w:rPr>
                <w:rFonts w:ascii="Arial" w:hAnsi="Arial" w:cs="Arial"/>
                <w:b/>
                <w:sz w:val="16"/>
                <w:szCs w:val="16"/>
              </w:rPr>
            </w:pPr>
            <w:r w:rsidRPr="00D91B5A">
              <w:rPr>
                <w:rFonts w:ascii="Arial" w:hAnsi="Arial" w:cs="Arial"/>
                <w:b/>
                <w:sz w:val="16"/>
                <w:szCs w:val="16"/>
              </w:rPr>
              <w:t>Performance measures</w:t>
            </w:r>
          </w:p>
        </w:tc>
        <w:tc>
          <w:tcPr>
            <w:tcW w:w="3578" w:type="dxa"/>
            <w:tcBorders>
              <w:top w:val="double" w:sz="4" w:space="0" w:color="auto"/>
              <w:left w:val="single" w:sz="4" w:space="0" w:color="auto"/>
              <w:bottom w:val="single" w:sz="4" w:space="0" w:color="auto"/>
              <w:right w:val="single" w:sz="4" w:space="0" w:color="auto"/>
            </w:tcBorders>
            <w:hideMark/>
          </w:tcPr>
          <w:p w14:paraId="297A57B6" w14:textId="77777777" w:rsidR="002C285B" w:rsidRPr="00D91B5A" w:rsidRDefault="002C285B" w:rsidP="002F7A80">
            <w:pPr>
              <w:tabs>
                <w:tab w:val="left" w:pos="709"/>
              </w:tabs>
              <w:spacing w:before="60" w:after="60" w:line="240" w:lineRule="auto"/>
              <w:rPr>
                <w:rFonts w:ascii="Arial" w:hAnsi="Arial" w:cs="Arial"/>
                <w:b/>
                <w:sz w:val="16"/>
                <w:szCs w:val="16"/>
              </w:rPr>
            </w:pPr>
            <w:r w:rsidRPr="00D91B5A">
              <w:rPr>
                <w:rFonts w:ascii="Arial" w:hAnsi="Arial" w:cs="Arial"/>
                <w:b/>
                <w:sz w:val="16"/>
                <w:szCs w:val="16"/>
              </w:rPr>
              <w:t xml:space="preserve">Expected </w:t>
            </w:r>
            <w:r>
              <w:rPr>
                <w:rFonts w:ascii="Arial" w:hAnsi="Arial" w:cs="Arial"/>
                <w:b/>
                <w:sz w:val="16"/>
                <w:szCs w:val="16"/>
              </w:rPr>
              <w:t>P</w:t>
            </w:r>
            <w:r w:rsidRPr="00D91B5A">
              <w:rPr>
                <w:rFonts w:ascii="Arial" w:hAnsi="Arial" w:cs="Arial"/>
                <w:b/>
                <w:sz w:val="16"/>
                <w:szCs w:val="16"/>
              </w:rPr>
              <w:t xml:space="preserve">erformance </w:t>
            </w:r>
            <w:r>
              <w:rPr>
                <w:rFonts w:ascii="Arial" w:hAnsi="Arial" w:cs="Arial"/>
                <w:b/>
                <w:sz w:val="16"/>
                <w:szCs w:val="16"/>
              </w:rPr>
              <w:t>R</w:t>
            </w:r>
            <w:r w:rsidRPr="00D91B5A">
              <w:rPr>
                <w:rFonts w:ascii="Arial" w:hAnsi="Arial" w:cs="Arial"/>
                <w:b/>
                <w:sz w:val="16"/>
                <w:szCs w:val="16"/>
              </w:rPr>
              <w:t>esults</w:t>
            </w:r>
          </w:p>
        </w:tc>
      </w:tr>
      <w:tr w:rsidR="002C285B" w:rsidRPr="007A02C2" w14:paraId="10C04FD7" w14:textId="77777777" w:rsidTr="002F7A80">
        <w:trPr>
          <w:trHeight w:val="642"/>
        </w:trPr>
        <w:tc>
          <w:tcPr>
            <w:tcW w:w="1706" w:type="dxa"/>
            <w:tcBorders>
              <w:top w:val="single" w:sz="4" w:space="0" w:color="auto"/>
              <w:left w:val="single" w:sz="4" w:space="0" w:color="auto"/>
              <w:bottom w:val="dotted" w:sz="4" w:space="0" w:color="auto"/>
              <w:right w:val="single" w:sz="4" w:space="0" w:color="auto"/>
            </w:tcBorders>
            <w:hideMark/>
          </w:tcPr>
          <w:p w14:paraId="39158146" w14:textId="77777777" w:rsidR="002C285B" w:rsidRPr="00D91B5A" w:rsidRDefault="002C285B" w:rsidP="002F7A80">
            <w:pPr>
              <w:tabs>
                <w:tab w:val="left" w:pos="709"/>
              </w:tabs>
              <w:spacing w:before="60" w:after="60"/>
              <w:rPr>
                <w:rFonts w:ascii="Arial" w:hAnsi="Arial" w:cs="Arial"/>
                <w:sz w:val="16"/>
                <w:szCs w:val="16"/>
              </w:rPr>
            </w:pPr>
            <w:r w:rsidRPr="00D91B5A">
              <w:rPr>
                <w:rFonts w:ascii="Arial" w:hAnsi="Arial" w:cs="Arial"/>
                <w:sz w:val="16"/>
                <w:szCs w:val="16"/>
              </w:rPr>
              <w:t xml:space="preserve">Current year </w:t>
            </w:r>
          </w:p>
          <w:p w14:paraId="090D1FD1" w14:textId="77777777" w:rsidR="002C285B" w:rsidRPr="00D91B5A" w:rsidRDefault="002C285B" w:rsidP="002F7A80">
            <w:pPr>
              <w:tabs>
                <w:tab w:val="left" w:pos="709"/>
              </w:tabs>
              <w:spacing w:before="60" w:after="60"/>
              <w:rPr>
                <w:rFonts w:ascii="Arial" w:hAnsi="Arial" w:cs="Arial"/>
                <w:sz w:val="16"/>
                <w:szCs w:val="16"/>
              </w:rPr>
            </w:pPr>
            <w:r w:rsidRPr="00D91B5A">
              <w:rPr>
                <w:rFonts w:ascii="Arial" w:hAnsi="Arial" w:cs="Arial"/>
                <w:sz w:val="16"/>
                <w:szCs w:val="16"/>
              </w:rPr>
              <w:t>2021-22</w:t>
            </w:r>
          </w:p>
        </w:tc>
        <w:tc>
          <w:tcPr>
            <w:tcW w:w="2400" w:type="dxa"/>
            <w:tcBorders>
              <w:top w:val="single" w:sz="4" w:space="0" w:color="auto"/>
              <w:left w:val="single" w:sz="4" w:space="0" w:color="auto"/>
              <w:bottom w:val="dotted" w:sz="4" w:space="0" w:color="auto"/>
              <w:right w:val="single" w:sz="4" w:space="0" w:color="auto"/>
            </w:tcBorders>
          </w:tcPr>
          <w:p w14:paraId="578A500B"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Ensuring good governance</w:t>
            </w:r>
          </w:p>
          <w:p w14:paraId="702D9BE5"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Lifting the capability of the APS  </w:t>
            </w:r>
          </w:p>
          <w:p w14:paraId="20C2A198"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Building leadership for the future  </w:t>
            </w:r>
          </w:p>
          <w:p w14:paraId="65BE125E"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Preserving and enhancing the reputation of the APS </w:t>
            </w:r>
          </w:p>
          <w:p w14:paraId="47D38B4C" w14:textId="77777777" w:rsidR="002C285B" w:rsidRPr="00D91B5A" w:rsidRDefault="002C285B" w:rsidP="002F7A80">
            <w:pPr>
              <w:pStyle w:val="Bulletedtext"/>
              <w:rPr>
                <w:rFonts w:ascii="Arial" w:hAnsi="Arial" w:cs="Arial"/>
                <w:sz w:val="16"/>
                <w:szCs w:val="16"/>
              </w:rPr>
            </w:pPr>
            <w:r w:rsidRPr="00D91B5A">
              <w:rPr>
                <w:rFonts w:ascii="Arial" w:hAnsi="Arial" w:cs="Arial"/>
                <w:sz w:val="16"/>
                <w:szCs w:val="16"/>
              </w:rPr>
              <w:t xml:space="preserve">Upholding the integrity of the APS </w:t>
            </w:r>
          </w:p>
          <w:p w14:paraId="1993B2B6" w14:textId="77777777" w:rsidR="002C285B" w:rsidRPr="00D91B5A" w:rsidRDefault="002C285B" w:rsidP="002F7A80">
            <w:pPr>
              <w:tabs>
                <w:tab w:val="left" w:pos="709"/>
              </w:tabs>
              <w:spacing w:before="60" w:after="60"/>
              <w:rPr>
                <w:rFonts w:ascii="Arial" w:hAnsi="Arial" w:cs="Arial"/>
                <w:sz w:val="16"/>
                <w:szCs w:val="16"/>
              </w:rPr>
            </w:pPr>
          </w:p>
        </w:tc>
        <w:tc>
          <w:tcPr>
            <w:tcW w:w="3578" w:type="dxa"/>
            <w:tcBorders>
              <w:top w:val="single" w:sz="4" w:space="0" w:color="auto"/>
              <w:left w:val="single" w:sz="4" w:space="0" w:color="auto"/>
              <w:bottom w:val="dotted" w:sz="4" w:space="0" w:color="auto"/>
              <w:right w:val="single" w:sz="4" w:space="0" w:color="auto"/>
            </w:tcBorders>
            <w:hideMark/>
          </w:tcPr>
          <w:p w14:paraId="523BAA43" w14:textId="77777777" w:rsidR="002C285B" w:rsidRPr="00D91B5A" w:rsidRDefault="002C285B" w:rsidP="002F7A80">
            <w:pPr>
              <w:tabs>
                <w:tab w:val="left" w:pos="709"/>
              </w:tabs>
              <w:spacing w:before="60" w:after="60" w:line="240" w:lineRule="auto"/>
              <w:rPr>
                <w:rFonts w:ascii="Arial" w:hAnsi="Arial" w:cs="Arial"/>
                <w:i/>
                <w:sz w:val="16"/>
                <w:szCs w:val="16"/>
              </w:rPr>
            </w:pPr>
            <w:r w:rsidRPr="00D91B5A">
              <w:rPr>
                <w:rFonts w:ascii="Arial" w:hAnsi="Arial" w:cs="Arial"/>
                <w:sz w:val="16"/>
                <w:szCs w:val="16"/>
              </w:rPr>
              <w:t xml:space="preserve">All targets are expected to be achieved. </w:t>
            </w:r>
          </w:p>
          <w:p w14:paraId="55FFA461" w14:textId="77777777" w:rsidR="002C285B" w:rsidRPr="00D91B5A" w:rsidRDefault="002C285B" w:rsidP="002F7A80">
            <w:pPr>
              <w:pStyle w:val="Bulletedtext"/>
              <w:rPr>
                <w:rFonts w:ascii="Arial" w:hAnsi="Arial" w:cs="Arial"/>
                <w:i/>
                <w:sz w:val="16"/>
                <w:szCs w:val="16"/>
              </w:rPr>
            </w:pPr>
            <w:r w:rsidRPr="00D91B5A">
              <w:rPr>
                <w:rFonts w:ascii="Arial" w:hAnsi="Arial" w:cs="Arial"/>
                <w:sz w:val="16"/>
                <w:szCs w:val="16"/>
              </w:rPr>
              <w:t xml:space="preserve">100% of new Commonwealth workplace arrangements made are compliant with the Government’s prevailing bargaining policy </w:t>
            </w:r>
          </w:p>
          <w:p w14:paraId="4B52077C" w14:textId="77777777" w:rsidR="002C285B" w:rsidRPr="00D91B5A" w:rsidRDefault="002C285B" w:rsidP="002F7A80">
            <w:pPr>
              <w:pStyle w:val="Bulletedtext"/>
              <w:rPr>
                <w:rFonts w:ascii="Arial" w:hAnsi="Arial" w:cs="Arial"/>
                <w:i/>
                <w:sz w:val="16"/>
                <w:szCs w:val="16"/>
              </w:rPr>
            </w:pPr>
            <w:r w:rsidRPr="00D91B5A">
              <w:rPr>
                <w:rFonts w:ascii="Arial" w:hAnsi="Arial" w:cs="Arial"/>
                <w:sz w:val="16"/>
                <w:szCs w:val="16"/>
              </w:rPr>
              <w:t xml:space="preserve">Evaluation data from leadership development initiatives indicate an increase in participants’ self-assessment of leadership capability </w:t>
            </w:r>
          </w:p>
          <w:p w14:paraId="24F60F9E" w14:textId="77777777" w:rsidR="002C285B" w:rsidRPr="00D91B5A" w:rsidRDefault="002C285B" w:rsidP="002F7A80">
            <w:pPr>
              <w:pStyle w:val="Bulletedtext"/>
              <w:rPr>
                <w:rFonts w:ascii="Arial" w:hAnsi="Arial" w:cs="Arial"/>
                <w:i/>
                <w:sz w:val="16"/>
                <w:szCs w:val="16"/>
              </w:rPr>
            </w:pPr>
            <w:r w:rsidRPr="00D91B5A">
              <w:rPr>
                <w:rFonts w:ascii="Arial" w:hAnsi="Arial" w:cs="Arial"/>
                <w:sz w:val="16"/>
                <w:szCs w:val="16"/>
              </w:rPr>
              <w:t>Build digital capability and support digital ways of working in the APS through delivery of the Digital Profession</w:t>
            </w:r>
          </w:p>
          <w:p w14:paraId="0EC1E5A3" w14:textId="77777777" w:rsidR="002C285B" w:rsidRPr="00D91B5A" w:rsidRDefault="002C285B" w:rsidP="002F7A80">
            <w:pPr>
              <w:pStyle w:val="Bulletedtext"/>
              <w:rPr>
                <w:rFonts w:ascii="Arial" w:hAnsi="Arial" w:cs="Arial"/>
                <w:i/>
                <w:sz w:val="16"/>
                <w:szCs w:val="16"/>
              </w:rPr>
            </w:pPr>
            <w:r w:rsidRPr="00D91B5A">
              <w:rPr>
                <w:rFonts w:ascii="Arial" w:hAnsi="Arial" w:cs="Arial"/>
                <w:sz w:val="16"/>
                <w:szCs w:val="16"/>
              </w:rPr>
              <w:t>Curate and/or share regular social media posts every week across the Commission’s and the APS social media platforms (LinkedIn, Facebook and Twitter)</w:t>
            </w:r>
          </w:p>
          <w:p w14:paraId="3F934B66" w14:textId="77777777" w:rsidR="002C285B" w:rsidRPr="00D91B5A" w:rsidRDefault="002C285B" w:rsidP="002F7A80">
            <w:pPr>
              <w:pStyle w:val="Bulletedtext"/>
              <w:rPr>
                <w:rFonts w:ascii="Arial" w:hAnsi="Arial" w:cs="Arial"/>
                <w:i/>
                <w:sz w:val="16"/>
                <w:szCs w:val="16"/>
              </w:rPr>
            </w:pPr>
            <w:r w:rsidRPr="00D91B5A">
              <w:rPr>
                <w:rFonts w:ascii="Arial" w:hAnsi="Arial" w:cs="Arial"/>
                <w:sz w:val="16"/>
                <w:szCs w:val="16"/>
              </w:rPr>
              <w:t>Implementation of renewed integrity training</w:t>
            </w:r>
          </w:p>
        </w:tc>
      </w:tr>
      <w:tr w:rsidR="002C285B" w:rsidRPr="007A02C2" w14:paraId="1E7C9DBB" w14:textId="77777777" w:rsidTr="002F7A80">
        <w:trPr>
          <w:trHeight w:val="427"/>
        </w:trPr>
        <w:tc>
          <w:tcPr>
            <w:tcW w:w="1706" w:type="dxa"/>
            <w:tcBorders>
              <w:top w:val="single" w:sz="4" w:space="0" w:color="auto"/>
              <w:left w:val="single" w:sz="4" w:space="0" w:color="auto"/>
              <w:bottom w:val="dotted" w:sz="4" w:space="0" w:color="auto"/>
              <w:right w:val="single" w:sz="4" w:space="0" w:color="auto"/>
            </w:tcBorders>
            <w:hideMark/>
          </w:tcPr>
          <w:p w14:paraId="3CC39F08" w14:textId="77777777" w:rsidR="002C285B" w:rsidRPr="00D80A4C" w:rsidRDefault="002C285B" w:rsidP="002F7A80">
            <w:pPr>
              <w:tabs>
                <w:tab w:val="left" w:pos="709"/>
              </w:tabs>
              <w:spacing w:before="60" w:after="60" w:line="240" w:lineRule="auto"/>
              <w:rPr>
                <w:rFonts w:ascii="Arial" w:hAnsi="Arial" w:cs="Arial"/>
                <w:sz w:val="16"/>
                <w:szCs w:val="16"/>
              </w:rPr>
            </w:pPr>
            <w:r w:rsidRPr="00D80A4C">
              <w:rPr>
                <w:rFonts w:ascii="Arial" w:hAnsi="Arial" w:cs="Arial"/>
                <w:b/>
                <w:sz w:val="16"/>
                <w:szCs w:val="16"/>
              </w:rPr>
              <w:t>Year</w:t>
            </w:r>
          </w:p>
        </w:tc>
        <w:tc>
          <w:tcPr>
            <w:tcW w:w="2400" w:type="dxa"/>
            <w:tcBorders>
              <w:top w:val="single" w:sz="4" w:space="0" w:color="auto"/>
              <w:left w:val="single" w:sz="4" w:space="0" w:color="auto"/>
              <w:bottom w:val="dotted" w:sz="4" w:space="0" w:color="auto"/>
              <w:right w:val="single" w:sz="4" w:space="0" w:color="auto"/>
            </w:tcBorders>
            <w:hideMark/>
          </w:tcPr>
          <w:p w14:paraId="37B8CB07" w14:textId="77777777" w:rsidR="002C285B" w:rsidRPr="00D80A4C" w:rsidRDefault="002C285B" w:rsidP="002F7A80">
            <w:pPr>
              <w:tabs>
                <w:tab w:val="left" w:pos="709"/>
              </w:tabs>
              <w:spacing w:before="60" w:after="60" w:line="240" w:lineRule="auto"/>
              <w:rPr>
                <w:rFonts w:ascii="Arial" w:hAnsi="Arial" w:cs="Arial"/>
                <w:sz w:val="16"/>
                <w:szCs w:val="16"/>
              </w:rPr>
            </w:pPr>
            <w:r w:rsidRPr="00D80A4C">
              <w:rPr>
                <w:rFonts w:ascii="Arial" w:hAnsi="Arial" w:cs="Arial"/>
                <w:b/>
                <w:sz w:val="16"/>
                <w:szCs w:val="16"/>
              </w:rPr>
              <w:t xml:space="preserve">Performance measures </w:t>
            </w:r>
          </w:p>
        </w:tc>
        <w:tc>
          <w:tcPr>
            <w:tcW w:w="3578" w:type="dxa"/>
            <w:tcBorders>
              <w:top w:val="single" w:sz="4" w:space="0" w:color="auto"/>
              <w:left w:val="single" w:sz="4" w:space="0" w:color="auto"/>
              <w:bottom w:val="dotted" w:sz="4" w:space="0" w:color="auto"/>
              <w:right w:val="single" w:sz="4" w:space="0" w:color="auto"/>
            </w:tcBorders>
            <w:hideMark/>
          </w:tcPr>
          <w:p w14:paraId="47518C35" w14:textId="77777777" w:rsidR="002C285B" w:rsidRPr="00D80A4C" w:rsidRDefault="002C285B" w:rsidP="002F7A80">
            <w:pPr>
              <w:tabs>
                <w:tab w:val="left" w:pos="709"/>
              </w:tabs>
              <w:spacing w:before="60" w:after="60" w:line="240" w:lineRule="auto"/>
              <w:rPr>
                <w:rFonts w:ascii="Arial" w:hAnsi="Arial" w:cs="Arial"/>
                <w:i/>
                <w:sz w:val="16"/>
                <w:szCs w:val="16"/>
              </w:rPr>
            </w:pPr>
            <w:r w:rsidRPr="00D80A4C">
              <w:rPr>
                <w:rFonts w:ascii="Arial" w:hAnsi="Arial" w:cs="Arial"/>
                <w:b/>
                <w:sz w:val="16"/>
                <w:szCs w:val="16"/>
              </w:rPr>
              <w:t>Expected Performance Results</w:t>
            </w:r>
          </w:p>
        </w:tc>
      </w:tr>
      <w:tr w:rsidR="002C285B" w:rsidRPr="007A02C2" w14:paraId="1DCA382B" w14:textId="77777777" w:rsidTr="002F7A80">
        <w:trPr>
          <w:trHeight w:val="1074"/>
        </w:trPr>
        <w:tc>
          <w:tcPr>
            <w:tcW w:w="1706" w:type="dxa"/>
            <w:vMerge w:val="restart"/>
            <w:tcBorders>
              <w:top w:val="single" w:sz="4" w:space="0" w:color="auto"/>
              <w:left w:val="single" w:sz="4" w:space="0" w:color="auto"/>
              <w:right w:val="single" w:sz="4" w:space="0" w:color="auto"/>
            </w:tcBorders>
            <w:hideMark/>
          </w:tcPr>
          <w:p w14:paraId="2DBBC58F" w14:textId="77777777" w:rsidR="002C285B" w:rsidRPr="00D80A4C" w:rsidRDefault="002C285B" w:rsidP="002F7A80">
            <w:pPr>
              <w:tabs>
                <w:tab w:val="left" w:pos="709"/>
              </w:tabs>
              <w:spacing w:before="60" w:after="60"/>
              <w:jc w:val="left"/>
              <w:rPr>
                <w:rFonts w:ascii="Arial" w:hAnsi="Arial" w:cs="Arial"/>
                <w:sz w:val="16"/>
                <w:szCs w:val="16"/>
              </w:rPr>
            </w:pPr>
            <w:r w:rsidRPr="00D80A4C">
              <w:rPr>
                <w:rFonts w:ascii="Arial" w:hAnsi="Arial" w:cs="Arial"/>
                <w:sz w:val="16"/>
                <w:szCs w:val="16"/>
              </w:rPr>
              <w:t>Budget Year     2022-23</w:t>
            </w:r>
          </w:p>
        </w:tc>
        <w:tc>
          <w:tcPr>
            <w:tcW w:w="2400" w:type="dxa"/>
            <w:tcBorders>
              <w:top w:val="single" w:sz="4" w:space="0" w:color="auto"/>
              <w:left w:val="single" w:sz="4" w:space="0" w:color="auto"/>
              <w:bottom w:val="dotted" w:sz="4" w:space="0" w:color="auto"/>
              <w:right w:val="single" w:sz="4" w:space="0" w:color="auto"/>
            </w:tcBorders>
            <w:hideMark/>
          </w:tcPr>
          <w:p w14:paraId="1796C263" w14:textId="77777777" w:rsidR="002C285B" w:rsidRPr="00D80A4C" w:rsidRDefault="002C285B" w:rsidP="002F7A80">
            <w:pPr>
              <w:pStyle w:val="Bulletedtext"/>
              <w:numPr>
                <w:ilvl w:val="0"/>
                <w:numId w:val="0"/>
              </w:numPr>
              <w:rPr>
                <w:rFonts w:ascii="Arial" w:hAnsi="Arial" w:cs="Arial"/>
                <w:sz w:val="16"/>
                <w:szCs w:val="16"/>
              </w:rPr>
            </w:pPr>
            <w:r w:rsidRPr="00D80A4C">
              <w:rPr>
                <w:rFonts w:ascii="Arial" w:hAnsi="Arial" w:cs="Arial"/>
                <w:sz w:val="16"/>
                <w:szCs w:val="16"/>
              </w:rPr>
              <w:t>Support quality public service workforce management</w:t>
            </w:r>
          </w:p>
        </w:tc>
        <w:tc>
          <w:tcPr>
            <w:tcW w:w="3578" w:type="dxa"/>
            <w:tcBorders>
              <w:top w:val="single" w:sz="4" w:space="0" w:color="auto"/>
              <w:left w:val="single" w:sz="4" w:space="0" w:color="auto"/>
              <w:bottom w:val="dotted" w:sz="4" w:space="0" w:color="auto"/>
              <w:right w:val="single" w:sz="4" w:space="0" w:color="auto"/>
            </w:tcBorders>
          </w:tcPr>
          <w:p w14:paraId="0DAC15BA" w14:textId="77777777" w:rsidR="002C285B" w:rsidRPr="00D80A4C" w:rsidRDefault="002C285B" w:rsidP="002F7A80">
            <w:pPr>
              <w:pStyle w:val="Bulletedtext"/>
              <w:numPr>
                <w:ilvl w:val="0"/>
                <w:numId w:val="0"/>
              </w:numPr>
              <w:rPr>
                <w:rFonts w:ascii="Arial" w:hAnsi="Arial" w:cs="Arial"/>
                <w:i/>
                <w:sz w:val="16"/>
                <w:szCs w:val="16"/>
              </w:rPr>
            </w:pPr>
            <w:r w:rsidRPr="00D80A4C">
              <w:rPr>
                <w:rFonts w:ascii="Arial" w:hAnsi="Arial" w:cs="Arial"/>
                <w:sz w:val="16"/>
                <w:szCs w:val="16"/>
              </w:rPr>
              <w:t>Engage with Commonwealth agencies to ensure proposed collective workplace arrangements are compliant with the public sector workplace relations policy.</w:t>
            </w:r>
          </w:p>
        </w:tc>
      </w:tr>
      <w:tr w:rsidR="002C285B" w:rsidRPr="007A02C2" w14:paraId="69E753F7" w14:textId="77777777" w:rsidTr="002F7A80">
        <w:trPr>
          <w:trHeight w:val="1072"/>
        </w:trPr>
        <w:tc>
          <w:tcPr>
            <w:tcW w:w="1706" w:type="dxa"/>
            <w:vMerge/>
            <w:tcBorders>
              <w:left w:val="single" w:sz="4" w:space="0" w:color="auto"/>
              <w:right w:val="single" w:sz="4" w:space="0" w:color="auto"/>
            </w:tcBorders>
          </w:tcPr>
          <w:p w14:paraId="71D99AEA" w14:textId="77777777" w:rsidR="002C285B" w:rsidRPr="00D80A4C" w:rsidRDefault="002C285B" w:rsidP="002F7A80">
            <w:pPr>
              <w:tabs>
                <w:tab w:val="left" w:pos="709"/>
              </w:tabs>
              <w:spacing w:before="60" w:after="60"/>
              <w:rPr>
                <w:rFonts w:ascii="Arial" w:hAnsi="Arial" w:cs="Arial"/>
                <w:sz w:val="16"/>
                <w:szCs w:val="16"/>
              </w:rPr>
            </w:pPr>
          </w:p>
        </w:tc>
        <w:tc>
          <w:tcPr>
            <w:tcW w:w="2400" w:type="dxa"/>
            <w:tcBorders>
              <w:top w:val="single" w:sz="4" w:space="0" w:color="auto"/>
              <w:left w:val="single" w:sz="4" w:space="0" w:color="auto"/>
              <w:bottom w:val="dotted" w:sz="4" w:space="0" w:color="auto"/>
              <w:right w:val="single" w:sz="4" w:space="0" w:color="auto"/>
            </w:tcBorders>
          </w:tcPr>
          <w:p w14:paraId="44190648" w14:textId="77777777" w:rsidR="002C285B" w:rsidRPr="00D80A4C" w:rsidRDefault="002C285B" w:rsidP="00CC5FDB">
            <w:pPr>
              <w:pStyle w:val="Bulletedtext"/>
              <w:numPr>
                <w:ilvl w:val="0"/>
                <w:numId w:val="0"/>
              </w:numPr>
              <w:rPr>
                <w:rFonts w:ascii="Arial" w:hAnsi="Arial" w:cs="Arial"/>
                <w:sz w:val="16"/>
                <w:szCs w:val="16"/>
              </w:rPr>
            </w:pPr>
            <w:r w:rsidRPr="00D80A4C">
              <w:rPr>
                <w:rFonts w:ascii="Arial" w:hAnsi="Arial" w:cs="Arial"/>
                <w:sz w:val="16"/>
                <w:szCs w:val="16"/>
              </w:rPr>
              <w:t>Build leadership for th</w:t>
            </w:r>
            <w:r w:rsidR="00CC5FDB" w:rsidRPr="00D80A4C">
              <w:rPr>
                <w:rFonts w:ascii="Arial" w:hAnsi="Arial" w:cs="Arial"/>
                <w:sz w:val="16"/>
                <w:szCs w:val="16"/>
              </w:rPr>
              <w:t xml:space="preserve">e </w:t>
            </w:r>
            <w:r w:rsidRPr="00D80A4C">
              <w:rPr>
                <w:rFonts w:ascii="Arial" w:hAnsi="Arial" w:cs="Arial"/>
                <w:sz w:val="16"/>
                <w:szCs w:val="16"/>
              </w:rPr>
              <w:t>future</w:t>
            </w:r>
          </w:p>
          <w:p w14:paraId="0F12DAFD" w14:textId="77777777" w:rsidR="00CC5FDB" w:rsidRPr="00D80A4C" w:rsidRDefault="00CC5FDB" w:rsidP="002F7A80">
            <w:pPr>
              <w:pStyle w:val="Bulletedtext"/>
              <w:numPr>
                <w:ilvl w:val="0"/>
                <w:numId w:val="0"/>
              </w:numPr>
              <w:ind w:left="227" w:hanging="227"/>
              <w:rPr>
                <w:rFonts w:ascii="Arial" w:hAnsi="Arial" w:cs="Arial"/>
                <w:sz w:val="16"/>
                <w:szCs w:val="16"/>
              </w:rPr>
            </w:pPr>
          </w:p>
        </w:tc>
        <w:tc>
          <w:tcPr>
            <w:tcW w:w="3578" w:type="dxa"/>
            <w:tcBorders>
              <w:top w:val="single" w:sz="4" w:space="0" w:color="auto"/>
              <w:left w:val="single" w:sz="4" w:space="0" w:color="auto"/>
              <w:bottom w:val="dotted" w:sz="4" w:space="0" w:color="auto"/>
              <w:right w:val="single" w:sz="4" w:space="0" w:color="auto"/>
            </w:tcBorders>
          </w:tcPr>
          <w:p w14:paraId="6167E5CA" w14:textId="77777777" w:rsidR="002C285B" w:rsidRPr="00D80A4C" w:rsidRDefault="002C285B" w:rsidP="002F7A80">
            <w:pPr>
              <w:pStyle w:val="Bulletedtext"/>
              <w:numPr>
                <w:ilvl w:val="0"/>
                <w:numId w:val="0"/>
              </w:numPr>
              <w:rPr>
                <w:rFonts w:ascii="Arial" w:hAnsi="Arial" w:cs="Arial"/>
                <w:sz w:val="16"/>
                <w:szCs w:val="16"/>
              </w:rPr>
            </w:pPr>
            <w:r w:rsidRPr="00D80A4C">
              <w:rPr>
                <w:rFonts w:ascii="Arial" w:hAnsi="Arial" w:cs="Arial"/>
                <w:sz w:val="16"/>
                <w:szCs w:val="16"/>
              </w:rPr>
              <w:t>Support Secretaries Board to build a strong and diverse leadership pipeline via the Secretaries Talent Council and the Deputy Secretaries Talent Council.</w:t>
            </w:r>
          </w:p>
        </w:tc>
      </w:tr>
      <w:tr w:rsidR="002C285B" w:rsidRPr="007A02C2" w14:paraId="6B222718" w14:textId="77777777" w:rsidTr="002F7A80">
        <w:trPr>
          <w:trHeight w:val="1072"/>
        </w:trPr>
        <w:tc>
          <w:tcPr>
            <w:tcW w:w="1706" w:type="dxa"/>
            <w:vMerge/>
            <w:tcBorders>
              <w:left w:val="single" w:sz="4" w:space="0" w:color="auto"/>
              <w:right w:val="single" w:sz="4" w:space="0" w:color="auto"/>
            </w:tcBorders>
          </w:tcPr>
          <w:p w14:paraId="6A8D25E9" w14:textId="77777777" w:rsidR="002C285B" w:rsidRPr="00D80A4C" w:rsidRDefault="002C285B" w:rsidP="002F7A80">
            <w:pPr>
              <w:tabs>
                <w:tab w:val="left" w:pos="709"/>
              </w:tabs>
              <w:spacing w:before="60" w:after="60"/>
              <w:rPr>
                <w:rFonts w:ascii="Arial" w:hAnsi="Arial" w:cs="Arial"/>
                <w:sz w:val="16"/>
                <w:szCs w:val="16"/>
              </w:rPr>
            </w:pPr>
          </w:p>
        </w:tc>
        <w:tc>
          <w:tcPr>
            <w:tcW w:w="2400" w:type="dxa"/>
            <w:tcBorders>
              <w:top w:val="single" w:sz="4" w:space="0" w:color="auto"/>
              <w:left w:val="single" w:sz="4" w:space="0" w:color="auto"/>
              <w:bottom w:val="dotted" w:sz="4" w:space="0" w:color="auto"/>
              <w:right w:val="single" w:sz="4" w:space="0" w:color="auto"/>
            </w:tcBorders>
          </w:tcPr>
          <w:p w14:paraId="43F44D29" w14:textId="77777777" w:rsidR="002C285B" w:rsidRPr="00D80A4C" w:rsidRDefault="002C285B" w:rsidP="002F7A80">
            <w:pPr>
              <w:pStyle w:val="Bulletedtext"/>
              <w:numPr>
                <w:ilvl w:val="0"/>
                <w:numId w:val="0"/>
              </w:numPr>
              <w:ind w:left="227" w:hanging="227"/>
              <w:rPr>
                <w:rFonts w:ascii="Arial" w:hAnsi="Arial" w:cs="Arial"/>
                <w:sz w:val="16"/>
                <w:szCs w:val="16"/>
              </w:rPr>
            </w:pPr>
            <w:r w:rsidRPr="00D80A4C">
              <w:rPr>
                <w:rFonts w:ascii="Arial" w:hAnsi="Arial" w:cs="Arial"/>
                <w:sz w:val="16"/>
                <w:szCs w:val="16"/>
              </w:rPr>
              <w:t>Lift public service capability</w:t>
            </w:r>
          </w:p>
        </w:tc>
        <w:tc>
          <w:tcPr>
            <w:tcW w:w="3578" w:type="dxa"/>
            <w:tcBorders>
              <w:top w:val="single" w:sz="4" w:space="0" w:color="auto"/>
              <w:left w:val="single" w:sz="4" w:space="0" w:color="auto"/>
              <w:bottom w:val="dotted" w:sz="4" w:space="0" w:color="auto"/>
              <w:right w:val="single" w:sz="4" w:space="0" w:color="auto"/>
            </w:tcBorders>
          </w:tcPr>
          <w:p w14:paraId="0E40FEDB" w14:textId="77777777" w:rsidR="002C285B" w:rsidRPr="00D80A4C" w:rsidRDefault="002C285B" w:rsidP="002F7A80">
            <w:pPr>
              <w:pStyle w:val="Bulletedtext"/>
              <w:numPr>
                <w:ilvl w:val="0"/>
                <w:numId w:val="0"/>
              </w:numPr>
              <w:rPr>
                <w:rFonts w:ascii="Arial" w:hAnsi="Arial" w:cs="Arial"/>
                <w:sz w:val="16"/>
                <w:szCs w:val="16"/>
              </w:rPr>
            </w:pPr>
            <w:r w:rsidRPr="00D80A4C">
              <w:rPr>
                <w:rFonts w:ascii="Arial" w:hAnsi="Arial" w:cs="Arial"/>
                <w:sz w:val="16"/>
                <w:szCs w:val="16"/>
              </w:rPr>
              <w:t>APS Academy offers quality APS Craft learning, drawn from across the APS, leveraging expertise from within APS, and from industry and academia where required.</w:t>
            </w:r>
          </w:p>
          <w:p w14:paraId="6E7DCCAE" w14:textId="77777777" w:rsidR="002C285B" w:rsidRPr="00D80A4C" w:rsidRDefault="002C285B" w:rsidP="002F7A80">
            <w:pPr>
              <w:pStyle w:val="Bulletedtext"/>
              <w:numPr>
                <w:ilvl w:val="0"/>
                <w:numId w:val="0"/>
              </w:numPr>
              <w:rPr>
                <w:rFonts w:ascii="Arial" w:hAnsi="Arial" w:cs="Arial"/>
                <w:sz w:val="16"/>
                <w:szCs w:val="16"/>
              </w:rPr>
            </w:pPr>
            <w:r w:rsidRPr="00D80A4C">
              <w:rPr>
                <w:rFonts w:ascii="Arial" w:hAnsi="Arial" w:cs="Arial"/>
                <w:sz w:val="16"/>
                <w:szCs w:val="16"/>
              </w:rPr>
              <w:t>Build digital capability in the APS workforce and support digital ways of working in the APS through the Digital Profession.</w:t>
            </w:r>
          </w:p>
        </w:tc>
      </w:tr>
      <w:tr w:rsidR="002C285B" w:rsidRPr="007A02C2" w14:paraId="7919B22A" w14:textId="77777777" w:rsidTr="002F7A80">
        <w:trPr>
          <w:trHeight w:val="50"/>
        </w:trPr>
        <w:tc>
          <w:tcPr>
            <w:tcW w:w="1706" w:type="dxa"/>
            <w:vMerge/>
            <w:tcBorders>
              <w:left w:val="single" w:sz="4" w:space="0" w:color="auto"/>
              <w:bottom w:val="dotted" w:sz="4" w:space="0" w:color="auto"/>
              <w:right w:val="single" w:sz="4" w:space="0" w:color="auto"/>
            </w:tcBorders>
          </w:tcPr>
          <w:p w14:paraId="1842B58A" w14:textId="77777777" w:rsidR="002C285B" w:rsidRPr="00D80A4C" w:rsidRDefault="002C285B" w:rsidP="002F7A80">
            <w:pPr>
              <w:tabs>
                <w:tab w:val="left" w:pos="709"/>
              </w:tabs>
              <w:spacing w:before="60" w:after="60"/>
              <w:rPr>
                <w:rFonts w:cstheme="minorHAnsi"/>
                <w:sz w:val="16"/>
                <w:szCs w:val="16"/>
              </w:rPr>
            </w:pPr>
          </w:p>
        </w:tc>
        <w:tc>
          <w:tcPr>
            <w:tcW w:w="2400" w:type="dxa"/>
            <w:tcBorders>
              <w:top w:val="single" w:sz="4" w:space="0" w:color="auto"/>
              <w:left w:val="single" w:sz="4" w:space="0" w:color="auto"/>
              <w:bottom w:val="dotted" w:sz="4" w:space="0" w:color="auto"/>
              <w:right w:val="single" w:sz="4" w:space="0" w:color="auto"/>
            </w:tcBorders>
          </w:tcPr>
          <w:p w14:paraId="523B1F50" w14:textId="77777777" w:rsidR="002C285B" w:rsidRPr="00D80A4C" w:rsidRDefault="00CC5FDB" w:rsidP="00CC5FDB">
            <w:pPr>
              <w:pStyle w:val="Bulletedtext"/>
              <w:numPr>
                <w:ilvl w:val="0"/>
                <w:numId w:val="0"/>
              </w:numPr>
              <w:rPr>
                <w:rFonts w:ascii="Arial" w:hAnsi="Arial" w:cs="Arial"/>
                <w:i/>
                <w:sz w:val="16"/>
                <w:szCs w:val="16"/>
              </w:rPr>
            </w:pPr>
            <w:r w:rsidRPr="00D80A4C">
              <w:rPr>
                <w:rFonts w:ascii="Arial" w:hAnsi="Arial" w:cs="Arial"/>
                <w:sz w:val="16"/>
                <w:szCs w:val="16"/>
              </w:rPr>
              <w:t xml:space="preserve">Foster trust in public </w:t>
            </w:r>
            <w:r w:rsidR="002C285B" w:rsidRPr="00D80A4C">
              <w:rPr>
                <w:rFonts w:ascii="Arial" w:hAnsi="Arial" w:cs="Arial"/>
                <w:sz w:val="16"/>
                <w:szCs w:val="16"/>
              </w:rPr>
              <w:t>service integrity</w:t>
            </w:r>
          </w:p>
        </w:tc>
        <w:tc>
          <w:tcPr>
            <w:tcW w:w="3578" w:type="dxa"/>
            <w:tcBorders>
              <w:top w:val="single" w:sz="4" w:space="0" w:color="auto"/>
              <w:left w:val="single" w:sz="4" w:space="0" w:color="auto"/>
              <w:bottom w:val="dotted" w:sz="4" w:space="0" w:color="auto"/>
              <w:right w:val="single" w:sz="4" w:space="0" w:color="auto"/>
            </w:tcBorders>
          </w:tcPr>
          <w:p w14:paraId="412D1209" w14:textId="77777777" w:rsidR="002C285B" w:rsidRPr="00D80A4C" w:rsidRDefault="002C285B" w:rsidP="002F7A80">
            <w:pPr>
              <w:pStyle w:val="Bulletedtext"/>
              <w:numPr>
                <w:ilvl w:val="0"/>
                <w:numId w:val="0"/>
              </w:numPr>
              <w:rPr>
                <w:rFonts w:ascii="Arial" w:hAnsi="Arial" w:cs="Arial"/>
                <w:sz w:val="16"/>
                <w:szCs w:val="16"/>
              </w:rPr>
            </w:pPr>
            <w:r w:rsidRPr="00D80A4C">
              <w:rPr>
                <w:rFonts w:ascii="Arial" w:hAnsi="Arial" w:cs="Arial"/>
                <w:sz w:val="16"/>
                <w:szCs w:val="16"/>
              </w:rPr>
              <w:t>Develop and implement initiatives to strengthen integrity culture in the APS.</w:t>
            </w:r>
          </w:p>
        </w:tc>
      </w:tr>
      <w:tr w:rsidR="002C285B" w:rsidRPr="007A02C2" w14:paraId="3BC66F96" w14:textId="77777777" w:rsidTr="00E7089F">
        <w:trPr>
          <w:trHeight w:val="46"/>
        </w:trPr>
        <w:tc>
          <w:tcPr>
            <w:tcW w:w="1706" w:type="dxa"/>
            <w:tcBorders>
              <w:top w:val="dotted" w:sz="4" w:space="0" w:color="auto"/>
              <w:left w:val="single" w:sz="4" w:space="0" w:color="auto"/>
              <w:bottom w:val="single" w:sz="4" w:space="0" w:color="auto"/>
              <w:right w:val="single" w:sz="4" w:space="0" w:color="auto"/>
            </w:tcBorders>
            <w:hideMark/>
          </w:tcPr>
          <w:p w14:paraId="69D4FFB9" w14:textId="77777777" w:rsidR="002C285B" w:rsidRPr="00D80A4C" w:rsidRDefault="00E7089F" w:rsidP="002F7A80">
            <w:pPr>
              <w:tabs>
                <w:tab w:val="left" w:pos="709"/>
              </w:tabs>
              <w:spacing w:before="60" w:after="60"/>
              <w:rPr>
                <w:rFonts w:ascii="Arial" w:hAnsi="Arial" w:cs="Arial"/>
                <w:sz w:val="16"/>
                <w:szCs w:val="16"/>
              </w:rPr>
            </w:pPr>
            <w:r>
              <w:rPr>
                <w:rFonts w:ascii="Arial" w:hAnsi="Arial" w:cs="Arial"/>
                <w:sz w:val="16"/>
                <w:szCs w:val="16"/>
              </w:rPr>
              <w:t>Forward e</w:t>
            </w:r>
            <w:r w:rsidR="002C285B" w:rsidRPr="00D80A4C">
              <w:rPr>
                <w:rFonts w:ascii="Arial" w:hAnsi="Arial" w:cs="Arial"/>
                <w:sz w:val="16"/>
                <w:szCs w:val="16"/>
              </w:rPr>
              <w:t xml:space="preserve">stimates </w:t>
            </w:r>
          </w:p>
          <w:p w14:paraId="2B634FD3" w14:textId="77777777" w:rsidR="002C285B" w:rsidRPr="00D80A4C" w:rsidRDefault="002C285B" w:rsidP="002F7A80">
            <w:pPr>
              <w:tabs>
                <w:tab w:val="left" w:pos="709"/>
              </w:tabs>
              <w:spacing w:before="60" w:after="60"/>
              <w:rPr>
                <w:rFonts w:ascii="Arial" w:hAnsi="Arial" w:cs="Arial"/>
                <w:b/>
                <w:sz w:val="16"/>
                <w:szCs w:val="16"/>
              </w:rPr>
            </w:pPr>
            <w:r w:rsidRPr="00D80A4C">
              <w:rPr>
                <w:rFonts w:ascii="Arial" w:hAnsi="Arial" w:cs="Arial"/>
                <w:sz w:val="16"/>
                <w:szCs w:val="16"/>
              </w:rPr>
              <w:t>2023-26</w:t>
            </w:r>
          </w:p>
        </w:tc>
        <w:tc>
          <w:tcPr>
            <w:tcW w:w="2400" w:type="dxa"/>
            <w:tcBorders>
              <w:top w:val="dotted" w:sz="4" w:space="0" w:color="auto"/>
              <w:left w:val="single" w:sz="4" w:space="0" w:color="auto"/>
              <w:bottom w:val="single" w:sz="4" w:space="0" w:color="auto"/>
              <w:right w:val="single" w:sz="4" w:space="0" w:color="auto"/>
            </w:tcBorders>
            <w:hideMark/>
          </w:tcPr>
          <w:p w14:paraId="1BFA0F8C" w14:textId="77777777" w:rsidR="002C285B" w:rsidRPr="00D80A4C" w:rsidRDefault="002C285B" w:rsidP="002F7A80">
            <w:pPr>
              <w:tabs>
                <w:tab w:val="left" w:pos="709"/>
              </w:tabs>
              <w:spacing w:before="60" w:after="60"/>
              <w:rPr>
                <w:rFonts w:ascii="Arial" w:hAnsi="Arial" w:cs="Arial"/>
                <w:b/>
                <w:sz w:val="16"/>
                <w:szCs w:val="16"/>
              </w:rPr>
            </w:pPr>
            <w:r w:rsidRPr="00D80A4C">
              <w:rPr>
                <w:rFonts w:ascii="Arial" w:hAnsi="Arial" w:cs="Arial"/>
                <w:sz w:val="16"/>
                <w:szCs w:val="16"/>
              </w:rPr>
              <w:t>As per 2022-23</w:t>
            </w:r>
          </w:p>
        </w:tc>
        <w:tc>
          <w:tcPr>
            <w:tcW w:w="3578" w:type="dxa"/>
            <w:tcBorders>
              <w:top w:val="dotted" w:sz="4" w:space="0" w:color="auto"/>
              <w:left w:val="single" w:sz="4" w:space="0" w:color="auto"/>
              <w:bottom w:val="single" w:sz="4" w:space="0" w:color="auto"/>
              <w:right w:val="single" w:sz="4" w:space="0" w:color="auto"/>
            </w:tcBorders>
            <w:hideMark/>
          </w:tcPr>
          <w:p w14:paraId="633322AF" w14:textId="77777777" w:rsidR="002C285B" w:rsidRPr="00D80A4C" w:rsidRDefault="002C285B" w:rsidP="002F7A80">
            <w:pPr>
              <w:tabs>
                <w:tab w:val="left" w:pos="709"/>
              </w:tabs>
              <w:spacing w:before="60" w:after="60"/>
              <w:rPr>
                <w:rFonts w:ascii="Arial" w:hAnsi="Arial" w:cs="Arial"/>
                <w:b/>
                <w:sz w:val="16"/>
                <w:szCs w:val="16"/>
              </w:rPr>
            </w:pPr>
            <w:r w:rsidRPr="00D80A4C">
              <w:rPr>
                <w:rFonts w:ascii="Arial" w:hAnsi="Arial" w:cs="Arial"/>
                <w:sz w:val="16"/>
                <w:szCs w:val="16"/>
              </w:rPr>
              <w:t>As per 2022-23</w:t>
            </w:r>
          </w:p>
        </w:tc>
      </w:tr>
    </w:tbl>
    <w:p w14:paraId="46B3A96E" w14:textId="77777777" w:rsidR="002C285B" w:rsidRPr="00F71634" w:rsidRDefault="002C285B" w:rsidP="002C285B"/>
    <w:p w14:paraId="7577B5ED" w14:textId="77777777" w:rsidR="002C285B" w:rsidRPr="00AD42E2" w:rsidRDefault="002C285B" w:rsidP="002C285B">
      <w:pPr>
        <w:pStyle w:val="Heading2"/>
      </w:pPr>
      <w:r w:rsidRPr="005B6A94">
        <w:br w:type="page"/>
      </w:r>
      <w:bookmarkStart w:id="403" w:name="_Toc98932884"/>
      <w:bookmarkStart w:id="404" w:name="_Toc99008140"/>
      <w:bookmarkStart w:id="405" w:name="_Toc99010730"/>
      <w:bookmarkStart w:id="406" w:name="_Toc99013965"/>
      <w:bookmarkStart w:id="407" w:name="_Toc99187542"/>
      <w:bookmarkStart w:id="408" w:name="_Toc99269652"/>
      <w:r w:rsidRPr="00AD42E2">
        <w:t>Section 3: Budgeted financial statements</w:t>
      </w:r>
      <w:bookmarkEnd w:id="403"/>
      <w:bookmarkEnd w:id="404"/>
      <w:bookmarkEnd w:id="405"/>
      <w:bookmarkEnd w:id="406"/>
      <w:bookmarkEnd w:id="407"/>
      <w:bookmarkEnd w:id="408"/>
    </w:p>
    <w:p w14:paraId="0C8B448E" w14:textId="77777777" w:rsidR="002C285B" w:rsidRDefault="002C285B" w:rsidP="002C285B">
      <w:r>
        <w:t>Section 3 presents budgeted financial statements which provide a comprehensive snapshot of entity finances for the 2022-23</w:t>
      </w:r>
      <w:r>
        <w:rPr>
          <w:color w:val="00B050"/>
        </w:rPr>
        <w:t xml:space="preserve"> </w:t>
      </w:r>
      <w:r w:rsidR="004C12AF">
        <w:t>Budget year</w:t>
      </w:r>
      <w:r>
        <w:t>, including the impact of budget measures and resourcing on financial statements.</w:t>
      </w:r>
    </w:p>
    <w:p w14:paraId="55D1AE03" w14:textId="77777777" w:rsidR="002C285B" w:rsidRPr="005328A9" w:rsidRDefault="002C285B" w:rsidP="002C285B">
      <w:pPr>
        <w:pStyle w:val="Heading3"/>
      </w:pPr>
      <w:bookmarkStart w:id="409" w:name="_Toc98932885"/>
      <w:bookmarkStart w:id="410" w:name="_Toc99008141"/>
      <w:bookmarkStart w:id="411" w:name="_Toc99010731"/>
      <w:bookmarkStart w:id="412" w:name="_Toc99013966"/>
      <w:bookmarkStart w:id="413" w:name="_Toc99187543"/>
      <w:bookmarkStart w:id="414" w:name="_Toc99269653"/>
      <w:r w:rsidRPr="005328A9">
        <w:t>3.1</w:t>
      </w:r>
      <w:r w:rsidRPr="005328A9">
        <w:tab/>
        <w:t>Budgeted financial statements</w:t>
      </w:r>
      <w:bookmarkEnd w:id="409"/>
      <w:bookmarkEnd w:id="410"/>
      <w:bookmarkEnd w:id="411"/>
      <w:bookmarkEnd w:id="412"/>
      <w:bookmarkEnd w:id="413"/>
      <w:bookmarkEnd w:id="414"/>
    </w:p>
    <w:p w14:paraId="680D8C4B" w14:textId="77777777" w:rsidR="002C285B" w:rsidRDefault="002C285B" w:rsidP="002C285B">
      <w:pPr>
        <w:pStyle w:val="Heading4"/>
      </w:pPr>
      <w:r>
        <w:t>3.1.1</w:t>
      </w:r>
      <w:r>
        <w:tab/>
        <w:t>Differences between entity resourcing and financial statements</w:t>
      </w:r>
    </w:p>
    <w:p w14:paraId="6ACC05F7" w14:textId="77777777" w:rsidR="002C285B" w:rsidRPr="00195EA1" w:rsidRDefault="002C285B" w:rsidP="002C285B">
      <w:pPr>
        <w:pStyle w:val="ExampleText0"/>
        <w:jc w:val="both"/>
        <w:rPr>
          <w:i w:val="0"/>
          <w:color w:val="auto"/>
        </w:rPr>
      </w:pPr>
      <w:r w:rsidRPr="00195EA1">
        <w:rPr>
          <w:i w:val="0"/>
          <w:color w:val="auto"/>
        </w:rPr>
        <w:t xml:space="preserve">The entity resource statement (Table 1.1) provides a consolidated view of all the resources available to the APSC in </w:t>
      </w:r>
      <w:r>
        <w:rPr>
          <w:i w:val="0"/>
          <w:color w:val="auto"/>
        </w:rPr>
        <w:t>2022-23</w:t>
      </w:r>
      <w:r w:rsidRPr="00195EA1">
        <w:rPr>
          <w:i w:val="0"/>
          <w:color w:val="auto"/>
        </w:rPr>
        <w:t xml:space="preserve"> including both departmental and administered funding. This includes appropriations that are yet to be drawn down to cover departmental payables and provisions on the balance sheet. The departmental comprehensive income statement (Table 3.1) shows only the departmental operating appropriation provided in each year.</w:t>
      </w:r>
    </w:p>
    <w:p w14:paraId="300DC413" w14:textId="77777777" w:rsidR="002C285B" w:rsidRDefault="002C285B" w:rsidP="002C285B">
      <w:pPr>
        <w:pStyle w:val="Heading4"/>
      </w:pPr>
      <w:r>
        <w:t>3.1.2</w:t>
      </w:r>
      <w:r>
        <w:tab/>
        <w:t>Explanatory notes and analysis of budgeted financial statements</w:t>
      </w:r>
    </w:p>
    <w:p w14:paraId="1B27E3BF" w14:textId="77777777" w:rsidR="002C285B" w:rsidRPr="004E586A" w:rsidRDefault="002C285B" w:rsidP="002C285B">
      <w:pPr>
        <w:pStyle w:val="H7"/>
        <w:rPr>
          <w:rFonts w:ascii="Book Antiqua" w:hAnsi="Book Antiqua"/>
          <w:b/>
          <w:i w:val="0"/>
        </w:rPr>
      </w:pPr>
      <w:r w:rsidRPr="004E586A">
        <w:rPr>
          <w:rFonts w:ascii="Book Antiqua" w:hAnsi="Book Antiqua"/>
          <w:b/>
          <w:i w:val="0"/>
        </w:rPr>
        <w:t>Comprehensive income statement</w:t>
      </w:r>
    </w:p>
    <w:p w14:paraId="6458DDDE" w14:textId="77777777" w:rsidR="002C285B" w:rsidRDefault="002C285B" w:rsidP="002C285B">
      <w:pPr>
        <w:pStyle w:val="ExampleText0"/>
        <w:spacing w:after="120"/>
        <w:jc w:val="both"/>
        <w:rPr>
          <w:i w:val="0"/>
          <w:color w:val="auto"/>
        </w:rPr>
      </w:pPr>
      <w:r w:rsidRPr="00BD3F15">
        <w:rPr>
          <w:i w:val="0"/>
          <w:color w:val="auto"/>
        </w:rPr>
        <w:t xml:space="preserve">In all </w:t>
      </w:r>
      <w:r w:rsidR="004C12AF">
        <w:rPr>
          <w:i w:val="0"/>
          <w:color w:val="auto"/>
        </w:rPr>
        <w:t>Budget year</w:t>
      </w:r>
      <w:r w:rsidRPr="00BD3F15">
        <w:rPr>
          <w:i w:val="0"/>
          <w:color w:val="auto"/>
        </w:rPr>
        <w:t xml:space="preserve">s the APSC is budgeting for a </w:t>
      </w:r>
      <w:r>
        <w:rPr>
          <w:i w:val="0"/>
          <w:color w:val="auto"/>
        </w:rPr>
        <w:t xml:space="preserve">break-even </w:t>
      </w:r>
      <w:r w:rsidRPr="00BD3F15">
        <w:rPr>
          <w:i w:val="0"/>
          <w:color w:val="auto"/>
        </w:rPr>
        <w:t>operating result, adjusted for depreciation and amortisation expense. Appropriation revenue f</w:t>
      </w:r>
      <w:r w:rsidR="00D80A4C">
        <w:rPr>
          <w:i w:val="0"/>
          <w:color w:val="auto"/>
        </w:rPr>
        <w:t>rom g</w:t>
      </w:r>
      <w:r w:rsidRPr="00BD3F15">
        <w:rPr>
          <w:i w:val="0"/>
          <w:color w:val="auto"/>
        </w:rPr>
        <w:t>overnment has increased in 202</w:t>
      </w:r>
      <w:r w:rsidRPr="00A30DDC">
        <w:rPr>
          <w:i w:val="0"/>
          <w:color w:val="auto"/>
        </w:rPr>
        <w:t>2</w:t>
      </w:r>
      <w:r w:rsidRPr="00BD3F15">
        <w:rPr>
          <w:i w:val="0"/>
          <w:color w:val="auto"/>
        </w:rPr>
        <w:t>-2</w:t>
      </w:r>
      <w:r w:rsidRPr="00A30DDC">
        <w:rPr>
          <w:i w:val="0"/>
          <w:color w:val="auto"/>
        </w:rPr>
        <w:t>3</w:t>
      </w:r>
      <w:r w:rsidRPr="00BD3F15">
        <w:rPr>
          <w:i w:val="0"/>
          <w:color w:val="auto"/>
        </w:rPr>
        <w:t xml:space="preserve"> due to the new budget measures announced.</w:t>
      </w:r>
      <w:r>
        <w:rPr>
          <w:i w:val="0"/>
          <w:color w:val="auto"/>
        </w:rPr>
        <w:t xml:space="preserve"> Own-source revenue has increased as a result of the establishment of the APS Academy.</w:t>
      </w:r>
    </w:p>
    <w:p w14:paraId="4044726D" w14:textId="77777777" w:rsidR="002C285B" w:rsidRPr="004E586A" w:rsidRDefault="002C285B" w:rsidP="002C285B">
      <w:pPr>
        <w:pStyle w:val="H7"/>
        <w:rPr>
          <w:rFonts w:ascii="Book Antiqua" w:hAnsi="Book Antiqua"/>
          <w:b/>
          <w:i w:val="0"/>
        </w:rPr>
      </w:pPr>
      <w:r w:rsidRPr="004E586A">
        <w:rPr>
          <w:rFonts w:ascii="Book Antiqua" w:hAnsi="Book Antiqua"/>
          <w:b/>
          <w:i w:val="0"/>
        </w:rPr>
        <w:t>Budgeted departmental balance sheet</w:t>
      </w:r>
    </w:p>
    <w:p w14:paraId="1CE6A534" w14:textId="77777777" w:rsidR="002C285B" w:rsidRPr="007C4AC4" w:rsidRDefault="002C285B" w:rsidP="002C285B">
      <w:pPr>
        <w:spacing w:after="120"/>
      </w:pPr>
      <w:r w:rsidRPr="007C4AC4">
        <w:t xml:space="preserve">Cash holdings above </w:t>
      </w:r>
      <w:r>
        <w:t xml:space="preserve">agreed working level limits </w:t>
      </w:r>
      <w:r w:rsidRPr="007C4AC4">
        <w:t>are transferred as a receivable held in the Official Public Account.</w:t>
      </w:r>
    </w:p>
    <w:p w14:paraId="575C7B0E" w14:textId="77777777" w:rsidR="002C285B" w:rsidRPr="007C4AC4" w:rsidRDefault="002C285B" w:rsidP="002C285B">
      <w:pPr>
        <w:spacing w:after="120"/>
        <w:rPr>
          <w:lang w:val="en-GB"/>
        </w:rPr>
      </w:pPr>
      <w:r w:rsidRPr="007C4AC4">
        <w:rPr>
          <w:lang w:val="en-GB"/>
        </w:rPr>
        <w:t>Receivables vary in line with the APSC’s capi</w:t>
      </w:r>
      <w:r>
        <w:rPr>
          <w:lang w:val="en-GB"/>
        </w:rPr>
        <w:t xml:space="preserve">tal investment cycle for </w:t>
      </w:r>
      <w:r w:rsidRPr="000A7DCB">
        <w:rPr>
          <w:lang w:val="en-GB"/>
        </w:rPr>
        <w:t>fee for service activities</w:t>
      </w:r>
      <w:r>
        <w:rPr>
          <w:lang w:val="en-GB"/>
        </w:rPr>
        <w:t xml:space="preserve">. </w:t>
      </w:r>
    </w:p>
    <w:p w14:paraId="11E9A6A6" w14:textId="77777777" w:rsidR="002C285B" w:rsidRDefault="002C285B" w:rsidP="002C285B">
      <w:pPr>
        <w:spacing w:after="120"/>
        <w:rPr>
          <w:lang w:val="en-GB"/>
        </w:rPr>
      </w:pPr>
      <w:r w:rsidRPr="00431A02">
        <w:rPr>
          <w:lang w:val="en-GB"/>
        </w:rPr>
        <w:t xml:space="preserve">Total equity will </w:t>
      </w:r>
      <w:r>
        <w:rPr>
          <w:lang w:val="en-GB"/>
        </w:rPr>
        <w:t xml:space="preserve">increase in </w:t>
      </w:r>
      <w:r w:rsidRPr="00431A02">
        <w:rPr>
          <w:lang w:val="en-GB"/>
        </w:rPr>
        <w:t xml:space="preserve">the Budget </w:t>
      </w:r>
      <w:r>
        <w:rPr>
          <w:lang w:val="en-GB"/>
        </w:rPr>
        <w:t xml:space="preserve">year </w:t>
      </w:r>
      <w:r w:rsidRPr="00431A02">
        <w:rPr>
          <w:lang w:val="en-GB"/>
        </w:rPr>
        <w:t xml:space="preserve">and </w:t>
      </w:r>
      <w:r>
        <w:rPr>
          <w:lang w:val="en-GB"/>
        </w:rPr>
        <w:t xml:space="preserve">the 2023-24 </w:t>
      </w:r>
      <w:r w:rsidRPr="00431A02">
        <w:rPr>
          <w:lang w:val="en-GB"/>
        </w:rPr>
        <w:t>forward year</w:t>
      </w:r>
      <w:r>
        <w:rPr>
          <w:lang w:val="en-GB"/>
        </w:rPr>
        <w:t xml:space="preserve"> as a result of departmental capital budget included in Budget measures, then it will reduce over the forward years </w:t>
      </w:r>
      <w:r w:rsidRPr="00431A02">
        <w:rPr>
          <w:lang w:val="en-GB"/>
        </w:rPr>
        <w:t xml:space="preserve">as the level of departmental capital </w:t>
      </w:r>
      <w:r>
        <w:rPr>
          <w:lang w:val="en-GB"/>
        </w:rPr>
        <w:t>budget</w:t>
      </w:r>
      <w:r w:rsidRPr="00431A02">
        <w:rPr>
          <w:lang w:val="en-GB"/>
        </w:rPr>
        <w:t xml:space="preserve"> is lower than the loss incurred due to net cash appropriation arrangements.</w:t>
      </w:r>
    </w:p>
    <w:p w14:paraId="4BAAEA9F" w14:textId="77777777" w:rsidR="002C285B" w:rsidRPr="004E586A" w:rsidRDefault="002C285B" w:rsidP="002C285B">
      <w:pPr>
        <w:pStyle w:val="H66"/>
        <w:rPr>
          <w:rFonts w:ascii="Book Antiqua" w:hAnsi="Book Antiqua"/>
        </w:rPr>
      </w:pPr>
      <w:r w:rsidRPr="004E586A">
        <w:rPr>
          <w:rFonts w:ascii="Book Antiqua" w:hAnsi="Book Antiqua"/>
        </w:rPr>
        <w:t>Administered financial statements</w:t>
      </w:r>
    </w:p>
    <w:p w14:paraId="76F7B811" w14:textId="77777777" w:rsidR="002C285B" w:rsidRDefault="002C285B" w:rsidP="002C285B">
      <w:r w:rsidRPr="00311357">
        <w:t xml:space="preserve">The administered statements report payments of </w:t>
      </w:r>
      <w:r>
        <w:t>J</w:t>
      </w:r>
      <w:r w:rsidRPr="00311357">
        <w:t>udicial Office Holders’ remuneration and entitlements.</w:t>
      </w:r>
      <w:r>
        <w:t xml:space="preserve"> Payments are only made by the Attorney-General’s Department.</w:t>
      </w:r>
    </w:p>
    <w:p w14:paraId="185D4A02" w14:textId="77777777" w:rsidR="002C285B" w:rsidRDefault="002C285B" w:rsidP="002C285B">
      <w:pPr>
        <w:tabs>
          <w:tab w:val="left" w:pos="1515"/>
        </w:tabs>
        <w:jc w:val="left"/>
      </w:pPr>
    </w:p>
    <w:p w14:paraId="4DECDC82" w14:textId="77777777" w:rsidR="002C285B" w:rsidRPr="00C26D4C" w:rsidRDefault="002C285B" w:rsidP="002C285B">
      <w:pPr>
        <w:jc w:val="left"/>
      </w:pPr>
      <w:r w:rsidRPr="00C21E3C">
        <w:br w:type="page"/>
      </w:r>
      <w:r w:rsidRPr="00D232B7">
        <w:rPr>
          <w:rStyle w:val="TableHeadingChar"/>
        </w:rPr>
        <w:t>3.2.</w:t>
      </w:r>
      <w:r w:rsidRPr="00D232B7">
        <w:rPr>
          <w:rStyle w:val="TableHeadingChar"/>
        </w:rPr>
        <w:tab/>
        <w:t>Budgeted financial statements tables</w:t>
      </w:r>
    </w:p>
    <w:p w14:paraId="12D44065" w14:textId="77777777" w:rsidR="002C285B" w:rsidRDefault="002C285B" w:rsidP="00293991">
      <w:pPr>
        <w:pStyle w:val="TableHeading"/>
        <w:spacing w:after="120"/>
      </w:pPr>
      <w:r w:rsidRPr="00CF3B20">
        <w:t xml:space="preserve">Table 3.1: Comprehensive income statement (showing net cost of services) </w:t>
      </w:r>
      <w:r w:rsidRPr="00CF3B20">
        <w:rPr>
          <w:snapToGrid w:val="0"/>
        </w:rPr>
        <w:t>for the period ended 30 June</w:t>
      </w:r>
    </w:p>
    <w:p w14:paraId="73B71C02" w14:textId="77777777" w:rsidR="002C285B" w:rsidRDefault="00E7089F" w:rsidP="002C285B">
      <w:pPr>
        <w:pStyle w:val="TableHeadingcontinued"/>
      </w:pPr>
      <w:r w:rsidRPr="00E7089F">
        <w:rPr>
          <w:noProof/>
        </w:rPr>
        <w:drawing>
          <wp:inline distT="0" distB="0" distL="0" distR="0" wp14:anchorId="56B8A32C" wp14:editId="0458B484">
            <wp:extent cx="4895850" cy="5323491"/>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95850" cy="5323491"/>
                    </a:xfrm>
                    <a:prstGeom prst="rect">
                      <a:avLst/>
                    </a:prstGeom>
                    <a:noFill/>
                    <a:ln>
                      <a:noFill/>
                    </a:ln>
                  </pic:spPr>
                </pic:pic>
              </a:graphicData>
            </a:graphic>
          </wp:inline>
        </w:drawing>
      </w:r>
    </w:p>
    <w:p w14:paraId="52BA7734" w14:textId="77777777" w:rsidR="00061720" w:rsidRPr="00061720" w:rsidRDefault="00061720" w:rsidP="00061720">
      <w:pPr>
        <w:spacing w:after="0" w:line="240" w:lineRule="auto"/>
        <w:rPr>
          <w:rFonts w:ascii="Arial" w:hAnsi="Arial" w:cs="Arial"/>
          <w:color w:val="000000"/>
          <w:sz w:val="16"/>
          <w:szCs w:val="16"/>
        </w:rPr>
      </w:pPr>
      <w:r w:rsidRPr="00061720">
        <w:rPr>
          <w:rFonts w:ascii="Arial" w:hAnsi="Arial" w:cs="Arial"/>
          <w:color w:val="000000"/>
          <w:sz w:val="16"/>
          <w:szCs w:val="16"/>
        </w:rPr>
        <w:t xml:space="preserve">Prepared on Australian Accounting Standards basis. </w:t>
      </w:r>
    </w:p>
    <w:p w14:paraId="567BF71B" w14:textId="77777777" w:rsidR="00772970" w:rsidRPr="00772970" w:rsidRDefault="00772970" w:rsidP="00392A48">
      <w:pPr>
        <w:pStyle w:val="ChartandTableFootnoteAlpha"/>
        <w:numPr>
          <w:ilvl w:val="0"/>
          <w:numId w:val="115"/>
        </w:numPr>
        <w:rPr>
          <w:rFonts w:cs="Arial"/>
          <w:color w:val="000000"/>
          <w:szCs w:val="16"/>
        </w:rPr>
      </w:pPr>
      <w:r w:rsidRPr="00772970">
        <w:rPr>
          <w:rFonts w:cs="Arial"/>
          <w:color w:val="000000"/>
          <w:szCs w:val="16"/>
        </w:rPr>
        <w:t xml:space="preserve">From 2010-11, the Government introduced net cash appropriation arrangements where Bill 1 revenue </w:t>
      </w:r>
      <w:r w:rsidRPr="00772970">
        <w:rPr>
          <w:rFonts w:cs="Arial"/>
          <w:color w:val="000000"/>
          <w:szCs w:val="16"/>
        </w:rPr>
        <w:br/>
        <w:t xml:space="preserve">appropriations for the depreciation/amortisation expenses of non-corporate Commonwealth entities </w:t>
      </w:r>
      <w:r w:rsidRPr="00772970">
        <w:rPr>
          <w:rFonts w:cs="Arial"/>
          <w:color w:val="000000"/>
          <w:szCs w:val="16"/>
        </w:rPr>
        <w:br/>
        <w:t xml:space="preserve">(and select corporate Commonwealth entities) were replaced with a separate capital budget (the </w:t>
      </w:r>
      <w:r w:rsidRPr="00772970">
        <w:rPr>
          <w:rFonts w:cs="Arial"/>
          <w:color w:val="000000"/>
          <w:szCs w:val="16"/>
        </w:rPr>
        <w:br/>
        <w:t xml:space="preserve">departmental capital budget (DCB)) provided through Bill 1 equity appropriations. For information </w:t>
      </w:r>
      <w:r w:rsidRPr="00772970">
        <w:rPr>
          <w:rFonts w:cs="Arial"/>
          <w:color w:val="000000"/>
          <w:szCs w:val="16"/>
        </w:rPr>
        <w:br/>
        <w:t>regarding DCBs, please refer to Table 3.5 Departmental Capital Budget Statement.</w:t>
      </w:r>
    </w:p>
    <w:p w14:paraId="6CC3B241" w14:textId="77777777" w:rsidR="00772970" w:rsidRPr="00772970" w:rsidRDefault="00A75066" w:rsidP="00392A48">
      <w:pPr>
        <w:pStyle w:val="ChartandTableFootnoteAlpha"/>
        <w:numPr>
          <w:ilvl w:val="0"/>
          <w:numId w:val="114"/>
        </w:numPr>
        <w:rPr>
          <w:rFonts w:cs="Arial"/>
          <w:color w:val="000000"/>
          <w:szCs w:val="16"/>
        </w:rPr>
      </w:pPr>
      <w:r>
        <w:rPr>
          <w:rFonts w:cs="Arial"/>
          <w:color w:val="000000"/>
          <w:szCs w:val="16"/>
        </w:rPr>
        <w:t>Applies to leases</w:t>
      </w:r>
      <w:r w:rsidR="00772970" w:rsidRPr="00772970">
        <w:rPr>
          <w:rFonts w:cs="Arial"/>
          <w:color w:val="000000"/>
          <w:szCs w:val="16"/>
        </w:rPr>
        <w:t xml:space="preserve"> under AASB 16 Leases.</w:t>
      </w:r>
    </w:p>
    <w:p w14:paraId="2A9A5396" w14:textId="77777777" w:rsidR="002C285B" w:rsidRDefault="002C285B" w:rsidP="002C285B">
      <w:pPr>
        <w:pStyle w:val="TableHeading"/>
        <w:spacing w:after="120"/>
      </w:pPr>
      <w:r w:rsidRPr="009207E5">
        <w:t xml:space="preserve"> </w:t>
      </w:r>
      <w:r w:rsidRPr="00E4582E">
        <w:t>Table</w:t>
      </w:r>
      <w:r>
        <w:t xml:space="preserve"> 3.</w:t>
      </w:r>
      <w:r w:rsidRPr="00E4582E">
        <w:t>2: Budg</w:t>
      </w:r>
      <w:r>
        <w:t xml:space="preserve">eted departmental balance sheet </w:t>
      </w:r>
      <w:r w:rsidRPr="00E4582E">
        <w:t>(as at 30 June)</w:t>
      </w:r>
    </w:p>
    <w:p w14:paraId="7D857196" w14:textId="77777777" w:rsidR="005E0475" w:rsidRPr="005E0475" w:rsidRDefault="007C4E66" w:rsidP="005E0475">
      <w:pPr>
        <w:spacing w:after="0" w:line="240" w:lineRule="auto"/>
        <w:rPr>
          <w:rFonts w:ascii="Arial" w:hAnsi="Arial" w:cs="Arial"/>
          <w:color w:val="000000"/>
          <w:sz w:val="16"/>
          <w:szCs w:val="16"/>
        </w:rPr>
      </w:pPr>
      <w:r w:rsidRPr="007C4E66">
        <w:rPr>
          <w:noProof/>
        </w:rPr>
        <w:drawing>
          <wp:inline distT="0" distB="0" distL="0" distR="0" wp14:anchorId="5A11E426" wp14:editId="7B6A687B">
            <wp:extent cx="4822190" cy="54343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22190" cy="5434330"/>
                    </a:xfrm>
                    <a:prstGeom prst="rect">
                      <a:avLst/>
                    </a:prstGeom>
                    <a:noFill/>
                    <a:ln>
                      <a:noFill/>
                    </a:ln>
                  </pic:spPr>
                </pic:pic>
              </a:graphicData>
            </a:graphic>
          </wp:inline>
        </w:drawing>
      </w:r>
      <w:r w:rsidR="005E0475" w:rsidRPr="005E0475">
        <w:rPr>
          <w:rFonts w:ascii="Arial" w:hAnsi="Arial" w:cs="Arial"/>
          <w:color w:val="000000"/>
          <w:sz w:val="16"/>
          <w:szCs w:val="16"/>
        </w:rPr>
        <w:t>Prepared on Australian Accounting Standards basis.</w:t>
      </w:r>
    </w:p>
    <w:p w14:paraId="03638E5E" w14:textId="77777777" w:rsidR="005E0475" w:rsidRPr="005E0475" w:rsidRDefault="005E0475" w:rsidP="005E0475">
      <w:pPr>
        <w:spacing w:after="0" w:line="240" w:lineRule="auto"/>
        <w:rPr>
          <w:rFonts w:ascii="Arial" w:hAnsi="Arial" w:cs="Arial"/>
          <w:color w:val="000000"/>
          <w:sz w:val="16"/>
          <w:szCs w:val="16"/>
        </w:rPr>
      </w:pPr>
      <w:r w:rsidRPr="005E0475">
        <w:rPr>
          <w:rFonts w:ascii="Arial" w:hAnsi="Arial" w:cs="Arial"/>
          <w:color w:val="000000"/>
          <w:sz w:val="16"/>
          <w:szCs w:val="16"/>
        </w:rPr>
        <w:t xml:space="preserve">* Equity is the residual interest in assets after the deduction of liabilities. </w:t>
      </w:r>
    </w:p>
    <w:p w14:paraId="1D595DD4" w14:textId="77777777" w:rsidR="005E0475" w:rsidRPr="005E0475" w:rsidRDefault="005E0475" w:rsidP="005E0475">
      <w:pPr>
        <w:pStyle w:val="TableGraphic"/>
        <w:rPr>
          <w:lang w:val="x-none" w:eastAsia="x-none"/>
        </w:rPr>
      </w:pPr>
    </w:p>
    <w:p w14:paraId="087151E8" w14:textId="77777777" w:rsidR="002C285B" w:rsidRDefault="002C285B" w:rsidP="002C285B">
      <w:pPr>
        <w:pStyle w:val="TableHeading"/>
        <w:spacing w:after="120"/>
        <w:rPr>
          <w:rFonts w:ascii="Times New Roman" w:hAnsi="Times New Roman"/>
        </w:rPr>
      </w:pPr>
      <w:r>
        <w:br w:type="page"/>
      </w:r>
      <w:r w:rsidRPr="00AD42E2">
        <w:t>Table 3.3: Departmental statement of changes in equity — summary of</w:t>
      </w:r>
      <w:r>
        <w:t xml:space="preserve"> movement (Budget year </w:t>
      </w:r>
      <w:r>
        <w:rPr>
          <w:lang w:val="en-AU"/>
        </w:rPr>
        <w:t>2022-23</w:t>
      </w:r>
      <w:r w:rsidRPr="00D30CBA">
        <w:t>)</w:t>
      </w:r>
    </w:p>
    <w:p w14:paraId="7E5FD41F" w14:textId="77777777" w:rsidR="002C285B" w:rsidRPr="00E7089F" w:rsidRDefault="002C285B" w:rsidP="002C285B">
      <w:pPr>
        <w:pStyle w:val="TableGraphic"/>
        <w:rPr>
          <w:b/>
        </w:rPr>
      </w:pPr>
      <w:r w:rsidRPr="002376AD">
        <w:t xml:space="preserve"> </w:t>
      </w:r>
      <w:r w:rsidR="00E7089F" w:rsidRPr="00E7089F">
        <w:rPr>
          <w:b/>
          <w:noProof/>
        </w:rPr>
        <w:drawing>
          <wp:inline distT="0" distB="0" distL="0" distR="0" wp14:anchorId="3C373F5A" wp14:editId="2E864586">
            <wp:extent cx="4612640" cy="2945765"/>
            <wp:effectExtent l="0" t="0" r="0" b="69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12640" cy="2945765"/>
                    </a:xfrm>
                    <a:prstGeom prst="rect">
                      <a:avLst/>
                    </a:prstGeom>
                    <a:noFill/>
                    <a:ln>
                      <a:noFill/>
                    </a:ln>
                  </pic:spPr>
                </pic:pic>
              </a:graphicData>
            </a:graphic>
          </wp:inline>
        </w:drawing>
      </w:r>
    </w:p>
    <w:p w14:paraId="3D5994DC" w14:textId="77777777" w:rsidR="002C285B" w:rsidRPr="00152B2B" w:rsidRDefault="005E0475" w:rsidP="002C285B">
      <w:r w:rsidRPr="005E0475">
        <w:rPr>
          <w:rFonts w:ascii="Arial" w:hAnsi="Arial" w:cs="Arial"/>
          <w:color w:val="000000"/>
          <w:sz w:val="16"/>
          <w:szCs w:val="16"/>
        </w:rPr>
        <w:t>Prepared on Australian Accounting Standards basis</w:t>
      </w:r>
    </w:p>
    <w:p w14:paraId="30B08F78" w14:textId="77777777" w:rsidR="002C285B" w:rsidRPr="00A00283" w:rsidRDefault="002C285B" w:rsidP="002C285B">
      <w:pPr>
        <w:pStyle w:val="TableHeading"/>
        <w:spacing w:after="120"/>
      </w:pPr>
      <w:r>
        <w:br w:type="page"/>
        <w:t xml:space="preserve">Table </w:t>
      </w:r>
      <w:r w:rsidRPr="00E752FA">
        <w:t>3.4: Budgeted departmental statement</w:t>
      </w:r>
      <w:r>
        <w:t xml:space="preserve"> of cash flows </w:t>
      </w:r>
      <w:r w:rsidRPr="00D30CBA">
        <w:t>(</w:t>
      </w:r>
      <w:r>
        <w:t>for the period ended</w:t>
      </w:r>
      <w:r w:rsidRPr="00D30CBA">
        <w:t xml:space="preserve"> 30 June)</w:t>
      </w:r>
    </w:p>
    <w:p w14:paraId="007CB661" w14:textId="77777777" w:rsidR="002C285B" w:rsidRPr="00F10305" w:rsidRDefault="002C285B" w:rsidP="002C285B">
      <w:pPr>
        <w:pStyle w:val="TableGraphic"/>
        <w:tabs>
          <w:tab w:val="left" w:pos="6237"/>
        </w:tabs>
      </w:pPr>
      <w:r w:rsidRPr="0077100B" w:rsidDel="003E53A7">
        <w:t xml:space="preserve"> </w:t>
      </w:r>
      <w:r w:rsidR="00E7089F" w:rsidRPr="00E7089F">
        <w:rPr>
          <w:noProof/>
        </w:rPr>
        <w:drawing>
          <wp:inline distT="0" distB="0" distL="0" distR="0" wp14:anchorId="7025F9BF" wp14:editId="7BEB0CF1">
            <wp:extent cx="4895850" cy="5334367"/>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95850" cy="5334367"/>
                    </a:xfrm>
                    <a:prstGeom prst="rect">
                      <a:avLst/>
                    </a:prstGeom>
                    <a:noFill/>
                    <a:ln>
                      <a:noFill/>
                    </a:ln>
                  </pic:spPr>
                </pic:pic>
              </a:graphicData>
            </a:graphic>
          </wp:inline>
        </w:drawing>
      </w:r>
    </w:p>
    <w:p w14:paraId="4B6D5B2A" w14:textId="77777777" w:rsidR="005E0475" w:rsidRPr="005E0475" w:rsidRDefault="005E0475" w:rsidP="005E0475">
      <w:pPr>
        <w:spacing w:after="0" w:line="240" w:lineRule="auto"/>
        <w:rPr>
          <w:rFonts w:ascii="Arial" w:hAnsi="Arial" w:cs="Arial"/>
          <w:color w:val="000000"/>
          <w:sz w:val="16"/>
          <w:szCs w:val="16"/>
        </w:rPr>
      </w:pPr>
      <w:r w:rsidRPr="005E0475">
        <w:rPr>
          <w:rFonts w:ascii="Arial" w:hAnsi="Arial" w:cs="Arial"/>
          <w:color w:val="000000"/>
          <w:sz w:val="16"/>
          <w:szCs w:val="16"/>
        </w:rPr>
        <w:t>Prepared on Australian Accounting Standards basis.</w:t>
      </w:r>
    </w:p>
    <w:p w14:paraId="3D4F2F61" w14:textId="77777777" w:rsidR="002C285B" w:rsidRDefault="002C285B" w:rsidP="002C285B">
      <w:pPr>
        <w:pStyle w:val="TableHeadingcontinued"/>
        <w:spacing w:after="120"/>
        <w:rPr>
          <w:noProof/>
        </w:rPr>
      </w:pPr>
      <w:r>
        <w:br w:type="page"/>
      </w:r>
      <w:r w:rsidRPr="00D30CBA">
        <w:t>Table</w:t>
      </w:r>
      <w:r>
        <w:t xml:space="preserve"> 3.5</w:t>
      </w:r>
      <w:r w:rsidRPr="00D30CBA">
        <w:t xml:space="preserve">: </w:t>
      </w:r>
      <w:r>
        <w:t>Departmental capital budget statement (for the period ended 30 June)</w:t>
      </w:r>
      <w:r w:rsidRPr="008A20C3">
        <w:rPr>
          <w:noProof/>
        </w:rPr>
        <w:t xml:space="preserve"> </w:t>
      </w:r>
    </w:p>
    <w:p w14:paraId="21D9685E" w14:textId="77777777" w:rsidR="005E0475" w:rsidRPr="00061720" w:rsidRDefault="007C4E66" w:rsidP="005E0475">
      <w:pPr>
        <w:spacing w:after="0" w:line="240" w:lineRule="auto"/>
        <w:rPr>
          <w:rFonts w:ascii="Arial" w:hAnsi="Arial" w:cs="Arial"/>
          <w:color w:val="000000"/>
          <w:sz w:val="16"/>
          <w:szCs w:val="16"/>
        </w:rPr>
      </w:pPr>
      <w:r w:rsidRPr="007C4E66">
        <w:rPr>
          <w:noProof/>
        </w:rPr>
        <w:drawing>
          <wp:inline distT="0" distB="0" distL="0" distR="0" wp14:anchorId="035C83CC" wp14:editId="0F38E189">
            <wp:extent cx="4895850" cy="30343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95850" cy="3034367"/>
                    </a:xfrm>
                    <a:prstGeom prst="rect">
                      <a:avLst/>
                    </a:prstGeom>
                    <a:noFill/>
                    <a:ln>
                      <a:noFill/>
                    </a:ln>
                  </pic:spPr>
                </pic:pic>
              </a:graphicData>
            </a:graphic>
          </wp:inline>
        </w:drawing>
      </w:r>
      <w:r w:rsidR="005E0475" w:rsidRPr="00061720">
        <w:rPr>
          <w:rFonts w:ascii="Arial" w:hAnsi="Arial" w:cs="Arial"/>
          <w:color w:val="000000"/>
          <w:sz w:val="16"/>
          <w:szCs w:val="16"/>
        </w:rPr>
        <w:t xml:space="preserve">Prepared on Australian Accounting Standards basis. </w:t>
      </w:r>
    </w:p>
    <w:p w14:paraId="2C85A69B" w14:textId="77777777" w:rsidR="00E7089F" w:rsidRDefault="00D80A4C" w:rsidP="00E7089F">
      <w:pPr>
        <w:pStyle w:val="ChartandTableFootnoteAlpha"/>
        <w:numPr>
          <w:ilvl w:val="0"/>
          <w:numId w:val="172"/>
        </w:numPr>
        <w:jc w:val="left"/>
        <w:rPr>
          <w:rFonts w:cs="Arial"/>
          <w:color w:val="000000"/>
          <w:szCs w:val="16"/>
        </w:rPr>
      </w:pPr>
      <w:r w:rsidRPr="00E7089F">
        <w:rPr>
          <w:rFonts w:cs="Arial"/>
          <w:color w:val="000000"/>
          <w:szCs w:val="16"/>
        </w:rPr>
        <w:t>In</w:t>
      </w:r>
      <w:r w:rsidR="005E0475" w:rsidRPr="00E7089F">
        <w:rPr>
          <w:rFonts w:cs="Arial"/>
          <w:color w:val="000000"/>
          <w:szCs w:val="16"/>
        </w:rPr>
        <w:t xml:space="preserve">cludes purchases from current and previous years' </w:t>
      </w:r>
      <w:r w:rsidR="001A54F9" w:rsidRPr="00E7089F">
        <w:rPr>
          <w:rFonts w:cs="Arial"/>
          <w:color w:val="000000"/>
          <w:szCs w:val="16"/>
        </w:rPr>
        <w:t>DCBs</w:t>
      </w:r>
      <w:r w:rsidR="005E0475" w:rsidRPr="00E7089F">
        <w:rPr>
          <w:rFonts w:cs="Arial"/>
          <w:color w:val="000000"/>
          <w:szCs w:val="16"/>
        </w:rPr>
        <w:t>.</w:t>
      </w:r>
      <w:r w:rsidRPr="00E7089F">
        <w:rPr>
          <w:rFonts w:cs="Arial"/>
          <w:color w:val="000000"/>
          <w:szCs w:val="16"/>
        </w:rPr>
        <w:t xml:space="preserve"> </w:t>
      </w:r>
    </w:p>
    <w:p w14:paraId="1E555497" w14:textId="77777777" w:rsidR="005E0475" w:rsidRPr="00E7089F" w:rsidRDefault="005E0475" w:rsidP="00E7089F">
      <w:pPr>
        <w:pStyle w:val="ChartandTableFootnoteAlpha"/>
        <w:numPr>
          <w:ilvl w:val="0"/>
          <w:numId w:val="172"/>
        </w:numPr>
        <w:jc w:val="left"/>
        <w:rPr>
          <w:rFonts w:cs="Arial"/>
          <w:color w:val="000000"/>
          <w:szCs w:val="16"/>
        </w:rPr>
      </w:pPr>
      <w:r w:rsidRPr="00E7089F">
        <w:rPr>
          <w:rFonts w:cs="Arial"/>
          <w:szCs w:val="16"/>
        </w:rPr>
        <w:t>Includes the following sources of funding:</w:t>
      </w:r>
      <w:r w:rsidRPr="00E7089F">
        <w:rPr>
          <w:rFonts w:cs="Arial"/>
          <w:szCs w:val="16"/>
        </w:rPr>
        <w:br/>
        <w:t xml:space="preserve">        - current Bill 1 and prior year Act 1/3/5 appropriations (excluding amounts from the DCB);</w:t>
      </w:r>
      <w:r w:rsidRPr="00E7089F">
        <w:rPr>
          <w:rFonts w:cs="Arial"/>
          <w:szCs w:val="16"/>
        </w:rPr>
        <w:br/>
        <w:t xml:space="preserve">        - internally devel</w:t>
      </w:r>
      <w:r w:rsidR="00D80A4C" w:rsidRPr="00E7089F">
        <w:rPr>
          <w:rFonts w:cs="Arial"/>
          <w:szCs w:val="16"/>
        </w:rPr>
        <w:t>oped assets; and</w:t>
      </w:r>
      <w:r w:rsidR="00D80A4C" w:rsidRPr="00E7089F">
        <w:rPr>
          <w:rFonts w:cs="Arial"/>
          <w:szCs w:val="16"/>
        </w:rPr>
        <w:br/>
        <w:t xml:space="preserve">        - s74 external r</w:t>
      </w:r>
      <w:r w:rsidRPr="00E7089F">
        <w:rPr>
          <w:rFonts w:cs="Arial"/>
          <w:szCs w:val="16"/>
        </w:rPr>
        <w:t>evenue.</w:t>
      </w:r>
    </w:p>
    <w:p w14:paraId="4A9AD4E2" w14:textId="77777777" w:rsidR="005E0475" w:rsidRDefault="005E0475" w:rsidP="005E0475">
      <w:pPr>
        <w:pStyle w:val="ChartandTableFootnoteAlpha"/>
        <w:rPr>
          <w:rFonts w:cs="Arial"/>
          <w:color w:val="000000"/>
          <w:szCs w:val="16"/>
        </w:rPr>
      </w:pPr>
    </w:p>
    <w:p w14:paraId="30E5CC80" w14:textId="77777777" w:rsidR="005E0475" w:rsidRPr="005E0475" w:rsidRDefault="005E0475" w:rsidP="005E0475"/>
    <w:p w14:paraId="7AE321A3" w14:textId="77777777" w:rsidR="002C285B" w:rsidRDefault="002C285B" w:rsidP="005E0475">
      <w:pPr>
        <w:pStyle w:val="TableHeadingcontinued"/>
        <w:spacing w:after="120"/>
        <w:jc w:val="both"/>
      </w:pPr>
    </w:p>
    <w:p w14:paraId="768E73EE" w14:textId="77777777" w:rsidR="002C285B" w:rsidRDefault="002C285B" w:rsidP="002C285B">
      <w:pPr>
        <w:spacing w:after="0" w:line="240" w:lineRule="auto"/>
        <w:jc w:val="left"/>
        <w:rPr>
          <w:i/>
          <w:color w:val="FF0000"/>
        </w:rPr>
      </w:pPr>
      <w:r>
        <w:br w:type="page"/>
      </w:r>
    </w:p>
    <w:p w14:paraId="52026C45" w14:textId="77777777" w:rsidR="009531A4" w:rsidRDefault="002C285B" w:rsidP="009531A4">
      <w:pPr>
        <w:pStyle w:val="TableHeading"/>
        <w:spacing w:after="120"/>
      </w:pP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420061D1" w14:textId="77777777" w:rsidR="009531A4" w:rsidRPr="00061720" w:rsidRDefault="00D80A4C" w:rsidP="009531A4">
      <w:pPr>
        <w:spacing w:after="0" w:line="240" w:lineRule="auto"/>
        <w:rPr>
          <w:rFonts w:ascii="Arial" w:hAnsi="Arial" w:cs="Arial"/>
          <w:color w:val="000000"/>
          <w:sz w:val="16"/>
          <w:szCs w:val="16"/>
        </w:rPr>
      </w:pPr>
      <w:r w:rsidRPr="00D80A4C">
        <w:rPr>
          <w:noProof/>
        </w:rPr>
        <w:drawing>
          <wp:inline distT="0" distB="0" distL="0" distR="0" wp14:anchorId="1430EFA2" wp14:editId="3465C96F">
            <wp:extent cx="4730750" cy="3994150"/>
            <wp:effectExtent l="0" t="0" r="0" b="635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30750" cy="3994150"/>
                    </a:xfrm>
                    <a:prstGeom prst="rect">
                      <a:avLst/>
                    </a:prstGeom>
                    <a:noFill/>
                    <a:ln>
                      <a:noFill/>
                    </a:ln>
                  </pic:spPr>
                </pic:pic>
              </a:graphicData>
            </a:graphic>
          </wp:inline>
        </w:drawing>
      </w:r>
      <w:r w:rsidR="009531A4" w:rsidRPr="009531A4">
        <w:rPr>
          <w:rFonts w:ascii="Arial" w:hAnsi="Arial" w:cs="Arial"/>
          <w:color w:val="000000"/>
          <w:sz w:val="16"/>
          <w:szCs w:val="16"/>
        </w:rPr>
        <w:t xml:space="preserve"> </w:t>
      </w:r>
      <w:r w:rsidR="009531A4" w:rsidRPr="00061720">
        <w:rPr>
          <w:rFonts w:ascii="Arial" w:hAnsi="Arial" w:cs="Arial"/>
          <w:color w:val="000000"/>
          <w:sz w:val="16"/>
          <w:szCs w:val="16"/>
        </w:rPr>
        <w:t xml:space="preserve">Prepared on Australian Accounting Standards basis. </w:t>
      </w:r>
    </w:p>
    <w:p w14:paraId="23B56518" w14:textId="77777777" w:rsidR="009531A4" w:rsidRDefault="009531A4" w:rsidP="00392A48">
      <w:pPr>
        <w:pStyle w:val="ChartandTableFootnoteAlpha"/>
        <w:numPr>
          <w:ilvl w:val="0"/>
          <w:numId w:val="170"/>
        </w:numPr>
        <w:jc w:val="left"/>
        <w:rPr>
          <w:rFonts w:cs="Arial"/>
          <w:szCs w:val="16"/>
        </w:rPr>
      </w:pPr>
      <w:r w:rsidRPr="009531A4">
        <w:rPr>
          <w:rFonts w:cs="Arial"/>
          <w:szCs w:val="16"/>
        </w:rPr>
        <w:t xml:space="preserve">'Appropriation equity' refers to equity injections </w:t>
      </w:r>
      <w:r w:rsidR="00D80A4C">
        <w:rPr>
          <w:rFonts w:cs="Arial"/>
          <w:szCs w:val="16"/>
        </w:rPr>
        <w:t xml:space="preserve">provided through </w:t>
      </w:r>
      <w:r w:rsidRPr="009531A4">
        <w:rPr>
          <w:rFonts w:cs="Arial"/>
          <w:iCs/>
          <w:szCs w:val="16"/>
        </w:rPr>
        <w:t>Appropriation Bill (No. 2) 2022-23</w:t>
      </w:r>
      <w:r w:rsidRPr="009531A4">
        <w:rPr>
          <w:rFonts w:cs="Arial"/>
          <w:szCs w:val="16"/>
        </w:rPr>
        <w:t>, incl</w:t>
      </w:r>
      <w:r w:rsidR="00D80A4C">
        <w:rPr>
          <w:rFonts w:cs="Arial"/>
          <w:szCs w:val="16"/>
        </w:rPr>
        <w:t>uding c</w:t>
      </w:r>
      <w:r w:rsidRPr="009531A4">
        <w:rPr>
          <w:rFonts w:cs="Arial"/>
          <w:szCs w:val="16"/>
        </w:rPr>
        <w:t xml:space="preserve">ollection </w:t>
      </w:r>
      <w:r w:rsidR="00D80A4C">
        <w:rPr>
          <w:rFonts w:cs="Arial"/>
          <w:szCs w:val="16"/>
        </w:rPr>
        <w:t>development acquisition b</w:t>
      </w:r>
      <w:r w:rsidRPr="009531A4">
        <w:rPr>
          <w:rFonts w:cs="Arial"/>
          <w:szCs w:val="16"/>
        </w:rPr>
        <w:t>udget.</w:t>
      </w:r>
    </w:p>
    <w:p w14:paraId="00F41F37" w14:textId="77777777" w:rsidR="009531A4" w:rsidRDefault="009531A4" w:rsidP="009531A4">
      <w:pPr>
        <w:rPr>
          <w:rFonts w:ascii="Arial" w:hAnsi="Arial"/>
          <w:sz w:val="16"/>
        </w:rPr>
      </w:pPr>
      <w:r>
        <w:br w:type="page"/>
      </w:r>
    </w:p>
    <w:p w14:paraId="305E3E20" w14:textId="77777777" w:rsidR="009531A4" w:rsidRPr="009531A4" w:rsidRDefault="002C285B" w:rsidP="00E7089F">
      <w:pPr>
        <w:pStyle w:val="TableHeading"/>
        <w:spacing w:after="120"/>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00E7089F" w:rsidRPr="00E7089F">
        <w:rPr>
          <w:noProof/>
          <w:lang w:val="en-AU" w:eastAsia="en-AU"/>
        </w:rPr>
        <w:drawing>
          <wp:inline distT="0" distB="0" distL="0" distR="0" wp14:anchorId="3FED67EA" wp14:editId="11B84584">
            <wp:extent cx="4895850" cy="1231055"/>
            <wp:effectExtent l="0" t="0" r="0" b="762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95850" cy="1231055"/>
                    </a:xfrm>
                    <a:prstGeom prst="rect">
                      <a:avLst/>
                    </a:prstGeom>
                    <a:noFill/>
                    <a:ln>
                      <a:noFill/>
                    </a:ln>
                  </pic:spPr>
                </pic:pic>
              </a:graphicData>
            </a:graphic>
          </wp:inline>
        </w:drawing>
      </w:r>
      <w:r w:rsidR="009531A4" w:rsidRPr="009531A4">
        <w:rPr>
          <w:rFonts w:cs="Arial"/>
          <w:sz w:val="16"/>
          <w:szCs w:val="16"/>
        </w:rPr>
        <w:t xml:space="preserve"> </w:t>
      </w:r>
      <w:r w:rsidR="009531A4" w:rsidRPr="00E7089F">
        <w:rPr>
          <w:rFonts w:cs="Arial"/>
          <w:b w:val="0"/>
          <w:sz w:val="16"/>
          <w:szCs w:val="16"/>
        </w:rPr>
        <w:t>Prepared on Australian Accounting Standards basis.</w:t>
      </w:r>
    </w:p>
    <w:p w14:paraId="2A820D7F" w14:textId="77777777" w:rsidR="002C285B" w:rsidRDefault="002C285B" w:rsidP="002C285B">
      <w:pPr>
        <w:pStyle w:val="ExampleText0"/>
      </w:pPr>
    </w:p>
    <w:p w14:paraId="5A4C8522" w14:textId="77777777" w:rsidR="002C285B" w:rsidRDefault="002C285B" w:rsidP="002C285B">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 xml:space="preserve">n behalf of </w:t>
      </w:r>
      <w:r>
        <w:rPr>
          <w:lang w:val="en-AU"/>
        </w:rPr>
        <w:t>G</w:t>
      </w:r>
      <w:r w:rsidRPr="00D30CBA">
        <w:t>overnment (as at 30 June)</w:t>
      </w:r>
    </w:p>
    <w:p w14:paraId="449C5031" w14:textId="77777777" w:rsidR="002C285B" w:rsidRPr="007A238A" w:rsidRDefault="002C285B" w:rsidP="002C285B">
      <w:pPr>
        <w:pStyle w:val="TableGraphic"/>
        <w:rPr>
          <w:lang w:val="x-none" w:eastAsia="x-none"/>
        </w:rPr>
      </w:pPr>
    </w:p>
    <w:p w14:paraId="3BBD3A13" w14:textId="77777777" w:rsidR="002C285B" w:rsidRDefault="002C285B" w:rsidP="002C285B">
      <w:pPr>
        <w:spacing w:after="0" w:line="240" w:lineRule="auto"/>
        <w:jc w:val="left"/>
      </w:pPr>
      <w:r>
        <w:t>The APSC has no assets or liabilities administered on behalf of the Government.</w:t>
      </w:r>
    </w:p>
    <w:p w14:paraId="6569AF4F" w14:textId="77777777" w:rsidR="002C285B" w:rsidRPr="009763C1" w:rsidRDefault="002C285B" w:rsidP="002C285B">
      <w:pPr>
        <w:pStyle w:val="TableGraphic"/>
        <w:rPr>
          <w:lang w:val="x-none" w:eastAsia="x-none"/>
        </w:rPr>
      </w:pPr>
    </w:p>
    <w:p w14:paraId="227763AF" w14:textId="77777777" w:rsidR="002C285B" w:rsidRPr="007A238A" w:rsidRDefault="002C285B" w:rsidP="002C285B">
      <w:pPr>
        <w:pStyle w:val="TableGraphic"/>
        <w:rPr>
          <w:lang w:val="x-none" w:eastAsia="x-none"/>
        </w:rPr>
      </w:pPr>
    </w:p>
    <w:p w14:paraId="5937FF53" w14:textId="77777777" w:rsidR="002C285B" w:rsidRDefault="002C285B" w:rsidP="002C285B">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tbl>
      <w:tblPr>
        <w:tblW w:w="7620" w:type="dxa"/>
        <w:tblLook w:val="04A0" w:firstRow="1" w:lastRow="0" w:firstColumn="1" w:lastColumn="0" w:noHBand="0" w:noVBand="1"/>
      </w:tblPr>
      <w:tblGrid>
        <w:gridCol w:w="3220"/>
        <w:gridCol w:w="928"/>
        <w:gridCol w:w="880"/>
        <w:gridCol w:w="880"/>
        <w:gridCol w:w="880"/>
        <w:gridCol w:w="880"/>
      </w:tblGrid>
      <w:tr w:rsidR="007C4E66" w:rsidRPr="007C4E66" w14:paraId="426901AB" w14:textId="77777777" w:rsidTr="007C4E66">
        <w:trPr>
          <w:trHeight w:val="900"/>
        </w:trPr>
        <w:tc>
          <w:tcPr>
            <w:tcW w:w="3220" w:type="dxa"/>
            <w:tcBorders>
              <w:top w:val="single" w:sz="4" w:space="0" w:color="auto"/>
              <w:left w:val="nil"/>
              <w:bottom w:val="nil"/>
              <w:right w:val="nil"/>
            </w:tcBorders>
            <w:shd w:val="clear" w:color="auto" w:fill="auto"/>
            <w:noWrap/>
            <w:hideMark/>
          </w:tcPr>
          <w:p w14:paraId="544AE952" w14:textId="77777777" w:rsidR="007C4E66" w:rsidRPr="007C4E66" w:rsidRDefault="007C4E66" w:rsidP="007C4E66">
            <w:pPr>
              <w:spacing w:after="0" w:line="240" w:lineRule="auto"/>
              <w:jc w:val="left"/>
              <w:rPr>
                <w:rFonts w:ascii="Arial" w:hAnsi="Arial" w:cs="Arial"/>
                <w:b/>
                <w:bCs/>
                <w:sz w:val="16"/>
                <w:szCs w:val="16"/>
              </w:rPr>
            </w:pPr>
            <w:r w:rsidRPr="007C4E66">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58E5C448" w14:textId="77777777" w:rsidR="007C4E66" w:rsidRPr="007C4E66" w:rsidRDefault="007C4E66" w:rsidP="007C4E66">
            <w:pPr>
              <w:spacing w:after="0" w:line="240" w:lineRule="auto"/>
              <w:jc w:val="right"/>
              <w:rPr>
                <w:rFonts w:ascii="Arial" w:hAnsi="Arial" w:cs="Arial"/>
                <w:sz w:val="16"/>
                <w:szCs w:val="16"/>
              </w:rPr>
            </w:pPr>
            <w:r w:rsidRPr="007C4E66">
              <w:rPr>
                <w:rFonts w:ascii="Arial" w:hAnsi="Arial" w:cs="Arial"/>
                <w:sz w:val="16"/>
                <w:szCs w:val="16"/>
              </w:rPr>
              <w:t>2021-22 Estimated actual</w:t>
            </w:r>
            <w:r w:rsidRPr="007C4E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01A7E1AA" w14:textId="77777777" w:rsidR="007C4E66" w:rsidRPr="007C4E66" w:rsidRDefault="007C4E66" w:rsidP="007C4E66">
            <w:pPr>
              <w:spacing w:after="0" w:line="240" w:lineRule="auto"/>
              <w:jc w:val="right"/>
              <w:rPr>
                <w:rFonts w:ascii="Arial" w:hAnsi="Arial" w:cs="Arial"/>
                <w:sz w:val="16"/>
                <w:szCs w:val="16"/>
              </w:rPr>
            </w:pPr>
            <w:r w:rsidRPr="007C4E66">
              <w:rPr>
                <w:rFonts w:ascii="Arial" w:hAnsi="Arial" w:cs="Arial"/>
                <w:sz w:val="16"/>
                <w:szCs w:val="16"/>
              </w:rPr>
              <w:t>2022-23</w:t>
            </w:r>
            <w:r w:rsidRPr="007C4E66">
              <w:rPr>
                <w:rFonts w:ascii="Arial" w:hAnsi="Arial" w:cs="Arial"/>
                <w:sz w:val="16"/>
                <w:szCs w:val="16"/>
              </w:rPr>
              <w:br/>
              <w:t>Budget</w:t>
            </w:r>
            <w:r w:rsidRPr="007C4E66">
              <w:rPr>
                <w:rFonts w:ascii="Arial" w:hAnsi="Arial" w:cs="Arial"/>
                <w:sz w:val="16"/>
                <w:szCs w:val="16"/>
              </w:rPr>
              <w:br/>
            </w:r>
            <w:r w:rsidRPr="007C4E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2088F2A1" w14:textId="77777777" w:rsidR="007C4E66" w:rsidRPr="007C4E66" w:rsidRDefault="007C4E66" w:rsidP="007C4E66">
            <w:pPr>
              <w:spacing w:after="0" w:line="240" w:lineRule="auto"/>
              <w:jc w:val="right"/>
              <w:rPr>
                <w:rFonts w:ascii="Arial" w:hAnsi="Arial" w:cs="Arial"/>
                <w:sz w:val="16"/>
                <w:szCs w:val="16"/>
              </w:rPr>
            </w:pPr>
            <w:r w:rsidRPr="007C4E66">
              <w:rPr>
                <w:rFonts w:ascii="Arial" w:hAnsi="Arial" w:cs="Arial"/>
                <w:sz w:val="16"/>
                <w:szCs w:val="16"/>
              </w:rPr>
              <w:t>2023-24 Forward estimate</w:t>
            </w:r>
            <w:r w:rsidRPr="007C4E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0D0C2FC" w14:textId="77777777" w:rsidR="007C4E66" w:rsidRPr="007C4E66" w:rsidRDefault="007C4E66" w:rsidP="007C4E66">
            <w:pPr>
              <w:spacing w:after="0" w:line="240" w:lineRule="auto"/>
              <w:jc w:val="right"/>
              <w:rPr>
                <w:rFonts w:ascii="Arial" w:hAnsi="Arial" w:cs="Arial"/>
                <w:sz w:val="16"/>
                <w:szCs w:val="16"/>
              </w:rPr>
            </w:pPr>
            <w:r w:rsidRPr="007C4E66">
              <w:rPr>
                <w:rFonts w:ascii="Arial" w:hAnsi="Arial" w:cs="Arial"/>
                <w:sz w:val="16"/>
                <w:szCs w:val="16"/>
              </w:rPr>
              <w:t>2024-25 Forward estimate</w:t>
            </w:r>
            <w:r w:rsidRPr="007C4E6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23D5213E" w14:textId="77777777" w:rsidR="007C4E66" w:rsidRPr="007C4E66" w:rsidRDefault="007C4E66" w:rsidP="007C4E66">
            <w:pPr>
              <w:spacing w:after="0" w:line="240" w:lineRule="auto"/>
              <w:jc w:val="right"/>
              <w:rPr>
                <w:rFonts w:ascii="Arial" w:hAnsi="Arial" w:cs="Arial"/>
                <w:sz w:val="16"/>
                <w:szCs w:val="16"/>
              </w:rPr>
            </w:pPr>
            <w:r w:rsidRPr="007C4E66">
              <w:rPr>
                <w:rFonts w:ascii="Arial" w:hAnsi="Arial" w:cs="Arial"/>
                <w:sz w:val="16"/>
                <w:szCs w:val="16"/>
              </w:rPr>
              <w:t>2025-26</w:t>
            </w:r>
            <w:r w:rsidRPr="007C4E66">
              <w:rPr>
                <w:rFonts w:ascii="Arial" w:hAnsi="Arial" w:cs="Arial"/>
                <w:sz w:val="16"/>
                <w:szCs w:val="16"/>
              </w:rPr>
              <w:br/>
              <w:t>Forward estimate</w:t>
            </w:r>
            <w:r w:rsidRPr="007C4E66">
              <w:rPr>
                <w:rFonts w:ascii="Arial" w:hAnsi="Arial" w:cs="Arial"/>
                <w:sz w:val="16"/>
                <w:szCs w:val="16"/>
              </w:rPr>
              <w:br/>
              <w:t>$'000</w:t>
            </w:r>
          </w:p>
        </w:tc>
      </w:tr>
      <w:tr w:rsidR="007C4E66" w:rsidRPr="007C4E66" w14:paraId="4A74E290" w14:textId="77777777" w:rsidTr="007C4E66">
        <w:trPr>
          <w:trHeight w:val="225"/>
        </w:trPr>
        <w:tc>
          <w:tcPr>
            <w:tcW w:w="3220" w:type="dxa"/>
            <w:tcBorders>
              <w:top w:val="nil"/>
              <w:left w:val="nil"/>
              <w:bottom w:val="nil"/>
              <w:right w:val="nil"/>
            </w:tcBorders>
            <w:shd w:val="clear" w:color="auto" w:fill="auto"/>
            <w:noWrap/>
            <w:vAlign w:val="center"/>
            <w:hideMark/>
          </w:tcPr>
          <w:p w14:paraId="5171D529" w14:textId="77777777" w:rsidR="007C4E66" w:rsidRPr="007C4E66" w:rsidRDefault="007C4E66" w:rsidP="007C4E66">
            <w:pPr>
              <w:spacing w:after="0" w:line="240" w:lineRule="auto"/>
              <w:jc w:val="left"/>
              <w:rPr>
                <w:rFonts w:ascii="Arial" w:hAnsi="Arial" w:cs="Arial"/>
                <w:b/>
                <w:bCs/>
                <w:color w:val="000000"/>
                <w:sz w:val="16"/>
                <w:szCs w:val="16"/>
              </w:rPr>
            </w:pPr>
            <w:r w:rsidRPr="007C4E66">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14:paraId="170B7025" w14:textId="77777777" w:rsidR="007C4E66" w:rsidRPr="007C4E66" w:rsidRDefault="007C4E66" w:rsidP="007C4E6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2CDA04A6" w14:textId="77777777" w:rsidR="007C4E66" w:rsidRPr="007C4E66" w:rsidRDefault="007C4E66" w:rsidP="007C4E66">
            <w:pPr>
              <w:spacing w:after="0" w:line="240" w:lineRule="auto"/>
              <w:jc w:val="left"/>
              <w:rPr>
                <w:rFonts w:ascii="Arial" w:hAnsi="Arial" w:cs="Arial"/>
                <w:color w:val="000000"/>
                <w:sz w:val="16"/>
                <w:szCs w:val="16"/>
              </w:rPr>
            </w:pPr>
            <w:r w:rsidRPr="007C4E6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42F1198A" w14:textId="77777777" w:rsidR="007C4E66" w:rsidRPr="007C4E66" w:rsidRDefault="007C4E66" w:rsidP="007C4E6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366D96AE" w14:textId="77777777" w:rsidR="007C4E66" w:rsidRPr="007C4E66" w:rsidRDefault="007C4E66" w:rsidP="007C4E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53A58FF" w14:textId="77777777" w:rsidR="007C4E66" w:rsidRPr="007C4E66" w:rsidRDefault="007C4E66" w:rsidP="007C4E66">
            <w:pPr>
              <w:spacing w:after="0" w:line="240" w:lineRule="auto"/>
              <w:jc w:val="left"/>
              <w:rPr>
                <w:rFonts w:ascii="Times New Roman" w:hAnsi="Times New Roman"/>
              </w:rPr>
            </w:pPr>
          </w:p>
        </w:tc>
      </w:tr>
      <w:tr w:rsidR="007C4E66" w:rsidRPr="007C4E66" w14:paraId="7913F98C" w14:textId="77777777" w:rsidTr="007C4E66">
        <w:trPr>
          <w:trHeight w:val="225"/>
        </w:trPr>
        <w:tc>
          <w:tcPr>
            <w:tcW w:w="3220" w:type="dxa"/>
            <w:tcBorders>
              <w:top w:val="nil"/>
              <w:left w:val="nil"/>
              <w:bottom w:val="nil"/>
              <w:right w:val="nil"/>
            </w:tcBorders>
            <w:shd w:val="clear" w:color="auto" w:fill="auto"/>
            <w:noWrap/>
            <w:vAlign w:val="center"/>
            <w:hideMark/>
          </w:tcPr>
          <w:p w14:paraId="0124836F" w14:textId="77777777" w:rsidR="007C4E66" w:rsidRPr="007C4E66" w:rsidRDefault="007C4E66" w:rsidP="007C4E66">
            <w:pPr>
              <w:spacing w:after="0" w:line="240" w:lineRule="auto"/>
              <w:jc w:val="left"/>
              <w:rPr>
                <w:rFonts w:ascii="Arial" w:hAnsi="Arial" w:cs="Arial"/>
                <w:b/>
                <w:bCs/>
                <w:color w:val="000000"/>
                <w:sz w:val="16"/>
                <w:szCs w:val="16"/>
              </w:rPr>
            </w:pPr>
            <w:r w:rsidRPr="007C4E66">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0D2F9FC" w14:textId="77777777" w:rsidR="007C4E66" w:rsidRPr="007C4E66" w:rsidRDefault="007C4E66" w:rsidP="007C4E6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68CD2F62" w14:textId="77777777" w:rsidR="007C4E66" w:rsidRPr="007C4E66" w:rsidRDefault="007C4E66" w:rsidP="007C4E66">
            <w:pPr>
              <w:spacing w:after="0" w:line="240" w:lineRule="auto"/>
              <w:jc w:val="left"/>
              <w:rPr>
                <w:rFonts w:ascii="Arial" w:hAnsi="Arial" w:cs="Arial"/>
                <w:color w:val="000000"/>
                <w:sz w:val="16"/>
                <w:szCs w:val="16"/>
              </w:rPr>
            </w:pPr>
            <w:r w:rsidRPr="007C4E6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229FAB21" w14:textId="77777777" w:rsidR="007C4E66" w:rsidRPr="007C4E66" w:rsidRDefault="007C4E66" w:rsidP="007C4E6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6274D35F" w14:textId="77777777" w:rsidR="007C4E66" w:rsidRPr="007C4E66" w:rsidRDefault="007C4E66" w:rsidP="007C4E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6DDE12B" w14:textId="77777777" w:rsidR="007C4E66" w:rsidRPr="007C4E66" w:rsidRDefault="007C4E66" w:rsidP="007C4E66">
            <w:pPr>
              <w:spacing w:after="0" w:line="240" w:lineRule="auto"/>
              <w:jc w:val="left"/>
              <w:rPr>
                <w:rFonts w:ascii="Times New Roman" w:hAnsi="Times New Roman"/>
              </w:rPr>
            </w:pPr>
          </w:p>
        </w:tc>
      </w:tr>
      <w:tr w:rsidR="007C4E66" w:rsidRPr="007C4E66" w14:paraId="0768204C" w14:textId="77777777" w:rsidTr="007C4E66">
        <w:trPr>
          <w:trHeight w:val="225"/>
        </w:trPr>
        <w:tc>
          <w:tcPr>
            <w:tcW w:w="3220" w:type="dxa"/>
            <w:tcBorders>
              <w:top w:val="nil"/>
              <w:left w:val="nil"/>
              <w:bottom w:val="nil"/>
              <w:right w:val="nil"/>
            </w:tcBorders>
            <w:shd w:val="clear" w:color="auto" w:fill="auto"/>
            <w:noWrap/>
            <w:vAlign w:val="center"/>
            <w:hideMark/>
          </w:tcPr>
          <w:p w14:paraId="0E596247" w14:textId="77777777" w:rsidR="007C4E66" w:rsidRPr="007C4E66" w:rsidRDefault="007C4E66" w:rsidP="007C4E66">
            <w:pPr>
              <w:spacing w:after="0" w:line="240" w:lineRule="auto"/>
              <w:ind w:firstLineChars="100" w:firstLine="160"/>
              <w:jc w:val="left"/>
              <w:rPr>
                <w:rFonts w:ascii="Arial" w:hAnsi="Arial" w:cs="Arial"/>
                <w:sz w:val="16"/>
                <w:szCs w:val="16"/>
              </w:rPr>
            </w:pPr>
            <w:r w:rsidRPr="007C4E66">
              <w:rPr>
                <w:rFonts w:ascii="Arial" w:hAnsi="Arial" w:cs="Arial"/>
                <w:sz w:val="16"/>
                <w:szCs w:val="16"/>
              </w:rPr>
              <w:t>Employees</w:t>
            </w:r>
          </w:p>
        </w:tc>
        <w:tc>
          <w:tcPr>
            <w:tcW w:w="880" w:type="dxa"/>
            <w:tcBorders>
              <w:top w:val="nil"/>
              <w:left w:val="nil"/>
              <w:bottom w:val="nil"/>
              <w:right w:val="nil"/>
            </w:tcBorders>
            <w:shd w:val="clear" w:color="auto" w:fill="auto"/>
            <w:noWrap/>
            <w:vAlign w:val="bottom"/>
            <w:hideMark/>
          </w:tcPr>
          <w:p w14:paraId="161BFF5C"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4,361 </w:t>
            </w:r>
          </w:p>
        </w:tc>
        <w:tc>
          <w:tcPr>
            <w:tcW w:w="880" w:type="dxa"/>
            <w:tcBorders>
              <w:top w:val="nil"/>
              <w:left w:val="nil"/>
              <w:bottom w:val="nil"/>
              <w:right w:val="nil"/>
            </w:tcBorders>
            <w:shd w:val="clear" w:color="000000" w:fill="E6E6E6"/>
            <w:noWrap/>
            <w:vAlign w:val="bottom"/>
            <w:hideMark/>
          </w:tcPr>
          <w:p w14:paraId="4B201D6D"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4,444 </w:t>
            </w:r>
          </w:p>
        </w:tc>
        <w:tc>
          <w:tcPr>
            <w:tcW w:w="880" w:type="dxa"/>
            <w:tcBorders>
              <w:top w:val="nil"/>
              <w:left w:val="nil"/>
              <w:bottom w:val="nil"/>
              <w:right w:val="nil"/>
            </w:tcBorders>
            <w:shd w:val="clear" w:color="auto" w:fill="auto"/>
            <w:noWrap/>
            <w:vAlign w:val="bottom"/>
            <w:hideMark/>
          </w:tcPr>
          <w:p w14:paraId="2A15B07F"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4,533 </w:t>
            </w:r>
          </w:p>
        </w:tc>
        <w:tc>
          <w:tcPr>
            <w:tcW w:w="880" w:type="dxa"/>
            <w:tcBorders>
              <w:top w:val="nil"/>
              <w:left w:val="nil"/>
              <w:bottom w:val="nil"/>
              <w:right w:val="nil"/>
            </w:tcBorders>
            <w:shd w:val="clear" w:color="auto" w:fill="auto"/>
            <w:noWrap/>
            <w:vAlign w:val="bottom"/>
            <w:hideMark/>
          </w:tcPr>
          <w:p w14:paraId="1D20C012"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4,615 </w:t>
            </w:r>
          </w:p>
        </w:tc>
        <w:tc>
          <w:tcPr>
            <w:tcW w:w="880" w:type="dxa"/>
            <w:tcBorders>
              <w:top w:val="nil"/>
              <w:left w:val="nil"/>
              <w:bottom w:val="nil"/>
              <w:right w:val="nil"/>
            </w:tcBorders>
            <w:shd w:val="clear" w:color="auto" w:fill="auto"/>
            <w:noWrap/>
            <w:vAlign w:val="bottom"/>
            <w:hideMark/>
          </w:tcPr>
          <w:p w14:paraId="0C753468"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4,693 </w:t>
            </w:r>
          </w:p>
        </w:tc>
      </w:tr>
      <w:tr w:rsidR="007C4E66" w:rsidRPr="007C4E66" w14:paraId="14DB6620" w14:textId="77777777" w:rsidTr="007C4E66">
        <w:trPr>
          <w:trHeight w:val="225"/>
        </w:trPr>
        <w:tc>
          <w:tcPr>
            <w:tcW w:w="3220" w:type="dxa"/>
            <w:tcBorders>
              <w:top w:val="nil"/>
              <w:left w:val="nil"/>
              <w:bottom w:val="nil"/>
              <w:right w:val="nil"/>
            </w:tcBorders>
            <w:shd w:val="clear" w:color="auto" w:fill="auto"/>
            <w:noWrap/>
            <w:vAlign w:val="center"/>
            <w:hideMark/>
          </w:tcPr>
          <w:p w14:paraId="40ABC506" w14:textId="77777777" w:rsidR="007C4E66" w:rsidRPr="007C4E66" w:rsidRDefault="007C4E66" w:rsidP="007C4E66">
            <w:pPr>
              <w:spacing w:after="0" w:line="240" w:lineRule="auto"/>
              <w:jc w:val="left"/>
              <w:rPr>
                <w:rFonts w:ascii="Arial" w:hAnsi="Arial" w:cs="Arial"/>
                <w:b/>
                <w:bCs/>
                <w:color w:val="000000"/>
                <w:sz w:val="16"/>
                <w:szCs w:val="16"/>
              </w:rPr>
            </w:pPr>
            <w:r w:rsidRPr="007C4E66">
              <w:rPr>
                <w:rFonts w:ascii="Arial" w:hAnsi="Arial" w:cs="Arial"/>
                <w:b/>
                <w:b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14:paraId="18B2409D"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4,361 </w:t>
            </w:r>
          </w:p>
        </w:tc>
        <w:tc>
          <w:tcPr>
            <w:tcW w:w="880" w:type="dxa"/>
            <w:tcBorders>
              <w:top w:val="single" w:sz="4" w:space="0" w:color="000000"/>
              <w:left w:val="nil"/>
              <w:bottom w:val="single" w:sz="4" w:space="0" w:color="000000"/>
              <w:right w:val="nil"/>
            </w:tcBorders>
            <w:shd w:val="clear" w:color="000000" w:fill="E6E6E6"/>
            <w:noWrap/>
            <w:vAlign w:val="bottom"/>
            <w:hideMark/>
          </w:tcPr>
          <w:p w14:paraId="09657AD0"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4,444 </w:t>
            </w:r>
          </w:p>
        </w:tc>
        <w:tc>
          <w:tcPr>
            <w:tcW w:w="880" w:type="dxa"/>
            <w:tcBorders>
              <w:top w:val="single" w:sz="4" w:space="0" w:color="000000"/>
              <w:left w:val="nil"/>
              <w:bottom w:val="single" w:sz="4" w:space="0" w:color="000000"/>
              <w:right w:val="nil"/>
            </w:tcBorders>
            <w:shd w:val="clear" w:color="auto" w:fill="auto"/>
            <w:noWrap/>
            <w:vAlign w:val="bottom"/>
            <w:hideMark/>
          </w:tcPr>
          <w:p w14:paraId="152544BF"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4,533 </w:t>
            </w:r>
          </w:p>
        </w:tc>
        <w:tc>
          <w:tcPr>
            <w:tcW w:w="880" w:type="dxa"/>
            <w:tcBorders>
              <w:top w:val="single" w:sz="4" w:space="0" w:color="000000"/>
              <w:left w:val="nil"/>
              <w:bottom w:val="single" w:sz="4" w:space="0" w:color="000000"/>
              <w:right w:val="nil"/>
            </w:tcBorders>
            <w:shd w:val="clear" w:color="auto" w:fill="auto"/>
            <w:noWrap/>
            <w:vAlign w:val="bottom"/>
            <w:hideMark/>
          </w:tcPr>
          <w:p w14:paraId="51CB1C4B"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4,615 </w:t>
            </w:r>
          </w:p>
        </w:tc>
        <w:tc>
          <w:tcPr>
            <w:tcW w:w="880" w:type="dxa"/>
            <w:tcBorders>
              <w:top w:val="single" w:sz="4" w:space="0" w:color="000000"/>
              <w:left w:val="nil"/>
              <w:bottom w:val="single" w:sz="4" w:space="0" w:color="000000"/>
              <w:right w:val="nil"/>
            </w:tcBorders>
            <w:shd w:val="clear" w:color="auto" w:fill="auto"/>
            <w:noWrap/>
            <w:vAlign w:val="bottom"/>
            <w:hideMark/>
          </w:tcPr>
          <w:p w14:paraId="780938F7"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4,693 </w:t>
            </w:r>
          </w:p>
        </w:tc>
      </w:tr>
      <w:tr w:rsidR="007C4E66" w:rsidRPr="007C4E66" w14:paraId="434B600E" w14:textId="77777777" w:rsidTr="007C4E66">
        <w:trPr>
          <w:trHeight w:val="450"/>
        </w:trPr>
        <w:tc>
          <w:tcPr>
            <w:tcW w:w="3220" w:type="dxa"/>
            <w:tcBorders>
              <w:top w:val="nil"/>
              <w:left w:val="nil"/>
              <w:bottom w:val="nil"/>
              <w:right w:val="nil"/>
            </w:tcBorders>
            <w:shd w:val="clear" w:color="auto" w:fill="auto"/>
            <w:vAlign w:val="center"/>
            <w:hideMark/>
          </w:tcPr>
          <w:p w14:paraId="3FE99FFC" w14:textId="77777777" w:rsidR="007C4E66" w:rsidRPr="007C4E66" w:rsidRDefault="007C4E66" w:rsidP="007C4E66">
            <w:pPr>
              <w:spacing w:after="0" w:line="240" w:lineRule="auto"/>
              <w:jc w:val="left"/>
              <w:rPr>
                <w:rFonts w:ascii="Arial" w:hAnsi="Arial" w:cs="Arial"/>
                <w:b/>
                <w:bCs/>
                <w:color w:val="000000"/>
                <w:sz w:val="16"/>
                <w:szCs w:val="16"/>
              </w:rPr>
            </w:pPr>
            <w:r w:rsidRPr="007C4E66">
              <w:rPr>
                <w:rFonts w:ascii="Arial" w:hAnsi="Arial" w:cs="Arial"/>
                <w:b/>
                <w:bCs/>
                <w:color w:val="000000"/>
                <w:sz w:val="16"/>
                <w:szCs w:val="16"/>
              </w:rPr>
              <w:t>Net cash from/(used by)</w:t>
            </w:r>
            <w:r w:rsidRPr="007C4E66">
              <w:rPr>
                <w:rFonts w:ascii="Arial" w:hAnsi="Arial" w:cs="Arial"/>
                <w:b/>
                <w:bCs/>
                <w:color w:val="000000"/>
                <w:sz w:val="16"/>
                <w:szCs w:val="16"/>
              </w:rPr>
              <w:br/>
              <w:t xml:space="preserve">  operating activities</w:t>
            </w:r>
          </w:p>
        </w:tc>
        <w:tc>
          <w:tcPr>
            <w:tcW w:w="880" w:type="dxa"/>
            <w:tcBorders>
              <w:top w:val="nil"/>
              <w:left w:val="nil"/>
              <w:bottom w:val="single" w:sz="4" w:space="0" w:color="000000"/>
              <w:right w:val="nil"/>
            </w:tcBorders>
            <w:shd w:val="clear" w:color="auto" w:fill="auto"/>
            <w:noWrap/>
            <w:vAlign w:val="bottom"/>
            <w:hideMark/>
          </w:tcPr>
          <w:p w14:paraId="00AB4F88"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(4,361)</w:t>
            </w:r>
          </w:p>
        </w:tc>
        <w:tc>
          <w:tcPr>
            <w:tcW w:w="880" w:type="dxa"/>
            <w:tcBorders>
              <w:top w:val="nil"/>
              <w:left w:val="nil"/>
              <w:bottom w:val="single" w:sz="4" w:space="0" w:color="000000"/>
              <w:right w:val="nil"/>
            </w:tcBorders>
            <w:shd w:val="clear" w:color="000000" w:fill="E6E6E6"/>
            <w:noWrap/>
            <w:vAlign w:val="bottom"/>
            <w:hideMark/>
          </w:tcPr>
          <w:p w14:paraId="4716C4BC"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(4,444)</w:t>
            </w:r>
          </w:p>
        </w:tc>
        <w:tc>
          <w:tcPr>
            <w:tcW w:w="880" w:type="dxa"/>
            <w:tcBorders>
              <w:top w:val="nil"/>
              <w:left w:val="nil"/>
              <w:bottom w:val="single" w:sz="4" w:space="0" w:color="000000"/>
              <w:right w:val="nil"/>
            </w:tcBorders>
            <w:shd w:val="clear" w:color="auto" w:fill="auto"/>
            <w:noWrap/>
            <w:vAlign w:val="bottom"/>
            <w:hideMark/>
          </w:tcPr>
          <w:p w14:paraId="4F864035"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(4,533)</w:t>
            </w:r>
          </w:p>
        </w:tc>
        <w:tc>
          <w:tcPr>
            <w:tcW w:w="880" w:type="dxa"/>
            <w:tcBorders>
              <w:top w:val="nil"/>
              <w:left w:val="nil"/>
              <w:bottom w:val="single" w:sz="4" w:space="0" w:color="000000"/>
              <w:right w:val="nil"/>
            </w:tcBorders>
            <w:shd w:val="clear" w:color="auto" w:fill="auto"/>
            <w:noWrap/>
            <w:vAlign w:val="bottom"/>
            <w:hideMark/>
          </w:tcPr>
          <w:p w14:paraId="6C5A035F"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(4,615)</w:t>
            </w:r>
          </w:p>
        </w:tc>
        <w:tc>
          <w:tcPr>
            <w:tcW w:w="880" w:type="dxa"/>
            <w:tcBorders>
              <w:top w:val="nil"/>
              <w:left w:val="nil"/>
              <w:bottom w:val="single" w:sz="4" w:space="0" w:color="000000"/>
              <w:right w:val="nil"/>
            </w:tcBorders>
            <w:shd w:val="clear" w:color="auto" w:fill="auto"/>
            <w:noWrap/>
            <w:vAlign w:val="bottom"/>
            <w:hideMark/>
          </w:tcPr>
          <w:p w14:paraId="544056B6"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(4,693)</w:t>
            </w:r>
          </w:p>
        </w:tc>
      </w:tr>
      <w:tr w:rsidR="007C4E66" w:rsidRPr="007C4E66" w14:paraId="0E54676E" w14:textId="77777777" w:rsidTr="007C4E66">
        <w:trPr>
          <w:trHeight w:val="450"/>
        </w:trPr>
        <w:tc>
          <w:tcPr>
            <w:tcW w:w="3220" w:type="dxa"/>
            <w:tcBorders>
              <w:top w:val="nil"/>
              <w:left w:val="nil"/>
              <w:bottom w:val="nil"/>
              <w:right w:val="nil"/>
            </w:tcBorders>
            <w:shd w:val="clear" w:color="auto" w:fill="auto"/>
            <w:vAlign w:val="center"/>
            <w:hideMark/>
          </w:tcPr>
          <w:p w14:paraId="3DB0CE0E" w14:textId="77777777" w:rsidR="007C4E66" w:rsidRPr="007C4E66" w:rsidRDefault="007C4E66" w:rsidP="007C4E66">
            <w:pPr>
              <w:spacing w:after="0" w:line="240" w:lineRule="auto"/>
              <w:jc w:val="left"/>
              <w:rPr>
                <w:rFonts w:ascii="Arial" w:hAnsi="Arial" w:cs="Arial"/>
                <w:b/>
                <w:bCs/>
                <w:color w:val="000000"/>
                <w:sz w:val="16"/>
                <w:szCs w:val="16"/>
              </w:rPr>
            </w:pPr>
            <w:r w:rsidRPr="007C4E66">
              <w:rPr>
                <w:rFonts w:ascii="Arial" w:hAnsi="Arial" w:cs="Arial"/>
                <w:b/>
                <w:bCs/>
                <w:color w:val="000000"/>
                <w:sz w:val="16"/>
                <w:szCs w:val="16"/>
              </w:rPr>
              <w:t>Net increase/(decrease) in cash</w:t>
            </w:r>
            <w:r w:rsidRPr="007C4E66">
              <w:rPr>
                <w:rFonts w:ascii="Arial" w:hAnsi="Arial" w:cs="Arial"/>
                <w:b/>
                <w:bCs/>
                <w:color w:val="000000"/>
                <w:sz w:val="16"/>
                <w:szCs w:val="16"/>
              </w:rPr>
              <w:br/>
              <w:t xml:space="preserve">  held</w:t>
            </w:r>
          </w:p>
        </w:tc>
        <w:tc>
          <w:tcPr>
            <w:tcW w:w="880" w:type="dxa"/>
            <w:tcBorders>
              <w:top w:val="nil"/>
              <w:left w:val="nil"/>
              <w:bottom w:val="single" w:sz="4" w:space="0" w:color="auto"/>
              <w:right w:val="nil"/>
            </w:tcBorders>
            <w:shd w:val="clear" w:color="auto" w:fill="auto"/>
            <w:noWrap/>
            <w:vAlign w:val="bottom"/>
            <w:hideMark/>
          </w:tcPr>
          <w:p w14:paraId="42DDC82D"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(4,361)</w:t>
            </w:r>
          </w:p>
        </w:tc>
        <w:tc>
          <w:tcPr>
            <w:tcW w:w="880" w:type="dxa"/>
            <w:tcBorders>
              <w:top w:val="nil"/>
              <w:left w:val="nil"/>
              <w:bottom w:val="single" w:sz="4" w:space="0" w:color="auto"/>
              <w:right w:val="nil"/>
            </w:tcBorders>
            <w:shd w:val="clear" w:color="000000" w:fill="E6E6E6"/>
            <w:noWrap/>
            <w:vAlign w:val="bottom"/>
            <w:hideMark/>
          </w:tcPr>
          <w:p w14:paraId="51553F10"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(4,444)</w:t>
            </w:r>
          </w:p>
        </w:tc>
        <w:tc>
          <w:tcPr>
            <w:tcW w:w="880" w:type="dxa"/>
            <w:tcBorders>
              <w:top w:val="nil"/>
              <w:left w:val="nil"/>
              <w:bottom w:val="single" w:sz="4" w:space="0" w:color="auto"/>
              <w:right w:val="nil"/>
            </w:tcBorders>
            <w:shd w:val="clear" w:color="auto" w:fill="auto"/>
            <w:noWrap/>
            <w:vAlign w:val="bottom"/>
            <w:hideMark/>
          </w:tcPr>
          <w:p w14:paraId="4E61250C"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(4,533)</w:t>
            </w:r>
          </w:p>
        </w:tc>
        <w:tc>
          <w:tcPr>
            <w:tcW w:w="880" w:type="dxa"/>
            <w:tcBorders>
              <w:top w:val="nil"/>
              <w:left w:val="nil"/>
              <w:bottom w:val="single" w:sz="4" w:space="0" w:color="auto"/>
              <w:right w:val="nil"/>
            </w:tcBorders>
            <w:shd w:val="clear" w:color="auto" w:fill="auto"/>
            <w:noWrap/>
            <w:vAlign w:val="bottom"/>
            <w:hideMark/>
          </w:tcPr>
          <w:p w14:paraId="7FD72E33"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(4,615)</w:t>
            </w:r>
          </w:p>
        </w:tc>
        <w:tc>
          <w:tcPr>
            <w:tcW w:w="880" w:type="dxa"/>
            <w:tcBorders>
              <w:top w:val="nil"/>
              <w:left w:val="nil"/>
              <w:bottom w:val="single" w:sz="4" w:space="0" w:color="auto"/>
              <w:right w:val="nil"/>
            </w:tcBorders>
            <w:shd w:val="clear" w:color="auto" w:fill="auto"/>
            <w:noWrap/>
            <w:vAlign w:val="bottom"/>
            <w:hideMark/>
          </w:tcPr>
          <w:p w14:paraId="7D14497E"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(4,693)</w:t>
            </w:r>
          </w:p>
        </w:tc>
      </w:tr>
      <w:tr w:rsidR="007C4E66" w:rsidRPr="007C4E66" w14:paraId="5716939B" w14:textId="77777777" w:rsidTr="007C4E66">
        <w:trPr>
          <w:trHeight w:val="450"/>
        </w:trPr>
        <w:tc>
          <w:tcPr>
            <w:tcW w:w="3220" w:type="dxa"/>
            <w:tcBorders>
              <w:top w:val="nil"/>
              <w:left w:val="nil"/>
              <w:bottom w:val="nil"/>
              <w:right w:val="nil"/>
            </w:tcBorders>
            <w:shd w:val="clear" w:color="auto" w:fill="auto"/>
            <w:vAlign w:val="center"/>
            <w:hideMark/>
          </w:tcPr>
          <w:p w14:paraId="571095CA" w14:textId="77777777" w:rsidR="007C4E66" w:rsidRPr="007C4E66" w:rsidRDefault="007C4E66" w:rsidP="007C4E66">
            <w:pPr>
              <w:spacing w:after="0" w:line="240" w:lineRule="auto"/>
              <w:ind w:firstLineChars="100" w:firstLine="160"/>
              <w:jc w:val="left"/>
              <w:rPr>
                <w:rFonts w:ascii="Arial" w:hAnsi="Arial" w:cs="Arial"/>
                <w:color w:val="000000"/>
                <w:sz w:val="16"/>
                <w:szCs w:val="16"/>
              </w:rPr>
            </w:pPr>
            <w:r w:rsidRPr="007C4E66">
              <w:rPr>
                <w:rFonts w:ascii="Arial" w:hAnsi="Arial" w:cs="Arial"/>
                <w:color w:val="000000"/>
                <w:sz w:val="16"/>
                <w:szCs w:val="16"/>
              </w:rPr>
              <w:t>Cash and cash equivalents at</w:t>
            </w:r>
            <w:r w:rsidRPr="007C4E66">
              <w:rPr>
                <w:rFonts w:ascii="Arial" w:hAnsi="Arial" w:cs="Arial"/>
                <w:color w:val="000000"/>
                <w:sz w:val="16"/>
                <w:szCs w:val="16"/>
              </w:rPr>
              <w:br/>
              <w:t xml:space="preserve">  beginning of reporting period</w:t>
            </w:r>
          </w:p>
        </w:tc>
        <w:tc>
          <w:tcPr>
            <w:tcW w:w="880" w:type="dxa"/>
            <w:tcBorders>
              <w:top w:val="nil"/>
              <w:left w:val="nil"/>
              <w:bottom w:val="nil"/>
              <w:right w:val="nil"/>
            </w:tcBorders>
            <w:shd w:val="clear" w:color="auto" w:fill="auto"/>
            <w:noWrap/>
            <w:vAlign w:val="center"/>
            <w:hideMark/>
          </w:tcPr>
          <w:p w14:paraId="324F5461"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2864D998"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3FFC5337"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4E114B42"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0880FA7F"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 </w:t>
            </w:r>
          </w:p>
        </w:tc>
      </w:tr>
      <w:tr w:rsidR="007C4E66" w:rsidRPr="007C4E66" w14:paraId="5CE34822" w14:textId="77777777" w:rsidTr="007C4E66">
        <w:trPr>
          <w:trHeight w:val="225"/>
        </w:trPr>
        <w:tc>
          <w:tcPr>
            <w:tcW w:w="3220" w:type="dxa"/>
            <w:tcBorders>
              <w:top w:val="nil"/>
              <w:left w:val="nil"/>
              <w:bottom w:val="nil"/>
              <w:right w:val="nil"/>
            </w:tcBorders>
            <w:shd w:val="clear" w:color="auto" w:fill="auto"/>
            <w:vAlign w:val="center"/>
            <w:hideMark/>
          </w:tcPr>
          <w:p w14:paraId="1829875D" w14:textId="77777777" w:rsidR="007C4E66" w:rsidRPr="007C4E66" w:rsidRDefault="007C4E66" w:rsidP="007C4E66">
            <w:pPr>
              <w:spacing w:after="0" w:line="240" w:lineRule="auto"/>
              <w:ind w:firstLineChars="200" w:firstLine="320"/>
              <w:jc w:val="left"/>
              <w:rPr>
                <w:rFonts w:ascii="Arial" w:hAnsi="Arial" w:cs="Arial"/>
                <w:color w:val="000000"/>
                <w:sz w:val="16"/>
                <w:szCs w:val="16"/>
              </w:rPr>
            </w:pPr>
            <w:r w:rsidRPr="007C4E66">
              <w:rPr>
                <w:rFonts w:ascii="Arial" w:hAnsi="Arial" w:cs="Arial"/>
                <w:color w:val="000000"/>
                <w:sz w:val="16"/>
                <w:szCs w:val="16"/>
              </w:rPr>
              <w:t>Cash from Official Public Account for:</w:t>
            </w:r>
          </w:p>
        </w:tc>
        <w:tc>
          <w:tcPr>
            <w:tcW w:w="880" w:type="dxa"/>
            <w:tcBorders>
              <w:top w:val="nil"/>
              <w:left w:val="nil"/>
              <w:bottom w:val="nil"/>
              <w:right w:val="nil"/>
            </w:tcBorders>
            <w:shd w:val="clear" w:color="auto" w:fill="auto"/>
            <w:noWrap/>
            <w:vAlign w:val="center"/>
            <w:hideMark/>
          </w:tcPr>
          <w:p w14:paraId="0C3ABD66" w14:textId="77777777" w:rsidR="007C4E66" w:rsidRPr="007C4E66" w:rsidRDefault="007C4E66" w:rsidP="007C4E66">
            <w:pPr>
              <w:spacing w:after="0" w:line="240" w:lineRule="auto"/>
              <w:ind w:firstLineChars="200" w:firstLine="320"/>
              <w:jc w:val="lef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14:paraId="4480B7E3" w14:textId="77777777" w:rsidR="007C4E66" w:rsidRPr="007C4E66" w:rsidRDefault="007C4E66" w:rsidP="007C4E66">
            <w:pPr>
              <w:spacing w:after="0" w:line="240" w:lineRule="auto"/>
              <w:jc w:val="left"/>
              <w:rPr>
                <w:rFonts w:ascii="Arial" w:hAnsi="Arial" w:cs="Arial"/>
                <w:color w:val="000000"/>
                <w:sz w:val="16"/>
                <w:szCs w:val="16"/>
              </w:rPr>
            </w:pPr>
            <w:r w:rsidRPr="007C4E6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191B6465" w14:textId="77777777" w:rsidR="007C4E66" w:rsidRPr="007C4E66" w:rsidRDefault="007C4E66" w:rsidP="007C4E6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4AE743DE" w14:textId="77777777" w:rsidR="007C4E66" w:rsidRPr="007C4E66" w:rsidRDefault="007C4E66" w:rsidP="007C4E6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52378F0" w14:textId="77777777" w:rsidR="007C4E66" w:rsidRPr="007C4E66" w:rsidRDefault="007C4E66" w:rsidP="007C4E66">
            <w:pPr>
              <w:spacing w:after="0" w:line="240" w:lineRule="auto"/>
              <w:jc w:val="left"/>
              <w:rPr>
                <w:rFonts w:ascii="Times New Roman" w:hAnsi="Times New Roman"/>
              </w:rPr>
            </w:pPr>
          </w:p>
        </w:tc>
      </w:tr>
      <w:tr w:rsidR="007C4E66" w:rsidRPr="007C4E66" w14:paraId="109F6ABE" w14:textId="77777777" w:rsidTr="007C4E66">
        <w:trPr>
          <w:trHeight w:val="225"/>
        </w:trPr>
        <w:tc>
          <w:tcPr>
            <w:tcW w:w="3220" w:type="dxa"/>
            <w:tcBorders>
              <w:top w:val="nil"/>
              <w:left w:val="nil"/>
              <w:bottom w:val="nil"/>
              <w:right w:val="nil"/>
            </w:tcBorders>
            <w:shd w:val="clear" w:color="auto" w:fill="auto"/>
            <w:noWrap/>
            <w:vAlign w:val="center"/>
            <w:hideMark/>
          </w:tcPr>
          <w:p w14:paraId="16531BFE" w14:textId="77777777" w:rsidR="007C4E66" w:rsidRPr="007C4E66" w:rsidRDefault="007C4E66" w:rsidP="007C4E66">
            <w:pPr>
              <w:spacing w:after="0" w:line="240" w:lineRule="auto"/>
              <w:ind w:firstLineChars="300" w:firstLine="480"/>
              <w:jc w:val="left"/>
              <w:rPr>
                <w:rFonts w:ascii="Arial" w:hAnsi="Arial" w:cs="Arial"/>
                <w:color w:val="000000"/>
                <w:sz w:val="16"/>
                <w:szCs w:val="16"/>
              </w:rPr>
            </w:pPr>
            <w:r w:rsidRPr="007C4E66">
              <w:rPr>
                <w:rFonts w:ascii="Arial" w:hAnsi="Arial" w:cs="Arial"/>
                <w:color w:val="000000"/>
                <w:sz w:val="16"/>
                <w:szCs w:val="16"/>
              </w:rPr>
              <w:t>- Appropriations</w:t>
            </w:r>
          </w:p>
        </w:tc>
        <w:tc>
          <w:tcPr>
            <w:tcW w:w="880" w:type="dxa"/>
            <w:tcBorders>
              <w:top w:val="nil"/>
              <w:left w:val="nil"/>
              <w:bottom w:val="nil"/>
              <w:right w:val="nil"/>
            </w:tcBorders>
            <w:shd w:val="clear" w:color="auto" w:fill="auto"/>
            <w:noWrap/>
            <w:vAlign w:val="bottom"/>
            <w:hideMark/>
          </w:tcPr>
          <w:p w14:paraId="0D65985F"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4,361 </w:t>
            </w:r>
          </w:p>
        </w:tc>
        <w:tc>
          <w:tcPr>
            <w:tcW w:w="880" w:type="dxa"/>
            <w:tcBorders>
              <w:top w:val="nil"/>
              <w:left w:val="nil"/>
              <w:bottom w:val="nil"/>
              <w:right w:val="nil"/>
            </w:tcBorders>
            <w:shd w:val="clear" w:color="000000" w:fill="E6E6E6"/>
            <w:noWrap/>
            <w:vAlign w:val="bottom"/>
            <w:hideMark/>
          </w:tcPr>
          <w:p w14:paraId="0D9337BA"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4,444 </w:t>
            </w:r>
          </w:p>
        </w:tc>
        <w:tc>
          <w:tcPr>
            <w:tcW w:w="880" w:type="dxa"/>
            <w:tcBorders>
              <w:top w:val="nil"/>
              <w:left w:val="nil"/>
              <w:bottom w:val="nil"/>
              <w:right w:val="nil"/>
            </w:tcBorders>
            <w:shd w:val="clear" w:color="auto" w:fill="auto"/>
            <w:noWrap/>
            <w:vAlign w:val="bottom"/>
            <w:hideMark/>
          </w:tcPr>
          <w:p w14:paraId="63CD8B6C"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4,533 </w:t>
            </w:r>
          </w:p>
        </w:tc>
        <w:tc>
          <w:tcPr>
            <w:tcW w:w="880" w:type="dxa"/>
            <w:tcBorders>
              <w:top w:val="nil"/>
              <w:left w:val="nil"/>
              <w:bottom w:val="nil"/>
              <w:right w:val="nil"/>
            </w:tcBorders>
            <w:shd w:val="clear" w:color="auto" w:fill="auto"/>
            <w:noWrap/>
            <w:vAlign w:val="bottom"/>
            <w:hideMark/>
          </w:tcPr>
          <w:p w14:paraId="5F6A988E"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4,615 </w:t>
            </w:r>
          </w:p>
        </w:tc>
        <w:tc>
          <w:tcPr>
            <w:tcW w:w="880" w:type="dxa"/>
            <w:tcBorders>
              <w:top w:val="nil"/>
              <w:left w:val="nil"/>
              <w:bottom w:val="nil"/>
              <w:right w:val="nil"/>
            </w:tcBorders>
            <w:shd w:val="clear" w:color="auto" w:fill="auto"/>
            <w:noWrap/>
            <w:vAlign w:val="bottom"/>
            <w:hideMark/>
          </w:tcPr>
          <w:p w14:paraId="176B7620"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4,693 </w:t>
            </w:r>
          </w:p>
        </w:tc>
      </w:tr>
      <w:tr w:rsidR="007C4E66" w:rsidRPr="007C4E66" w14:paraId="6729306F" w14:textId="77777777" w:rsidTr="007C4E66">
        <w:trPr>
          <w:trHeight w:val="225"/>
        </w:trPr>
        <w:tc>
          <w:tcPr>
            <w:tcW w:w="3220" w:type="dxa"/>
            <w:tcBorders>
              <w:top w:val="nil"/>
              <w:left w:val="nil"/>
              <w:bottom w:val="nil"/>
              <w:right w:val="nil"/>
            </w:tcBorders>
            <w:shd w:val="clear" w:color="auto" w:fill="auto"/>
            <w:vAlign w:val="center"/>
            <w:hideMark/>
          </w:tcPr>
          <w:p w14:paraId="4ECEA894" w14:textId="77777777" w:rsidR="007C4E66" w:rsidRPr="007C4E66" w:rsidRDefault="007C4E66" w:rsidP="007C4E66">
            <w:pPr>
              <w:spacing w:after="0" w:line="240" w:lineRule="auto"/>
              <w:ind w:firstLineChars="200" w:firstLine="320"/>
              <w:jc w:val="left"/>
              <w:rPr>
                <w:rFonts w:ascii="Arial" w:hAnsi="Arial" w:cs="Arial"/>
                <w:color w:val="000000"/>
                <w:sz w:val="16"/>
                <w:szCs w:val="16"/>
              </w:rPr>
            </w:pPr>
            <w:r w:rsidRPr="007C4E66">
              <w:rPr>
                <w:rFonts w:ascii="Arial" w:hAnsi="Arial" w:cs="Arial"/>
                <w:color w:val="000000"/>
                <w:sz w:val="16"/>
                <w:szCs w:val="16"/>
              </w:rPr>
              <w:t>Total cash from Official Public Account</w:t>
            </w:r>
          </w:p>
        </w:tc>
        <w:tc>
          <w:tcPr>
            <w:tcW w:w="880" w:type="dxa"/>
            <w:tcBorders>
              <w:top w:val="single" w:sz="4" w:space="0" w:color="000000"/>
              <w:left w:val="nil"/>
              <w:bottom w:val="nil"/>
              <w:right w:val="nil"/>
            </w:tcBorders>
            <w:shd w:val="clear" w:color="000000" w:fill="FFFFFF"/>
            <w:noWrap/>
            <w:vAlign w:val="bottom"/>
            <w:hideMark/>
          </w:tcPr>
          <w:p w14:paraId="69262063"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4,361 </w:t>
            </w:r>
          </w:p>
        </w:tc>
        <w:tc>
          <w:tcPr>
            <w:tcW w:w="880" w:type="dxa"/>
            <w:tcBorders>
              <w:top w:val="single" w:sz="4" w:space="0" w:color="000000"/>
              <w:left w:val="nil"/>
              <w:bottom w:val="nil"/>
              <w:right w:val="nil"/>
            </w:tcBorders>
            <w:shd w:val="clear" w:color="000000" w:fill="E6E6E6"/>
            <w:noWrap/>
            <w:vAlign w:val="bottom"/>
            <w:hideMark/>
          </w:tcPr>
          <w:p w14:paraId="76B56202"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4,444 </w:t>
            </w:r>
          </w:p>
        </w:tc>
        <w:tc>
          <w:tcPr>
            <w:tcW w:w="880" w:type="dxa"/>
            <w:tcBorders>
              <w:top w:val="single" w:sz="4" w:space="0" w:color="000000"/>
              <w:left w:val="nil"/>
              <w:bottom w:val="nil"/>
              <w:right w:val="nil"/>
            </w:tcBorders>
            <w:shd w:val="clear" w:color="auto" w:fill="auto"/>
            <w:noWrap/>
            <w:vAlign w:val="bottom"/>
            <w:hideMark/>
          </w:tcPr>
          <w:p w14:paraId="277DE415"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4,533 </w:t>
            </w:r>
          </w:p>
        </w:tc>
        <w:tc>
          <w:tcPr>
            <w:tcW w:w="880" w:type="dxa"/>
            <w:tcBorders>
              <w:top w:val="single" w:sz="4" w:space="0" w:color="000000"/>
              <w:left w:val="nil"/>
              <w:bottom w:val="nil"/>
              <w:right w:val="nil"/>
            </w:tcBorders>
            <w:shd w:val="clear" w:color="auto" w:fill="auto"/>
            <w:noWrap/>
            <w:vAlign w:val="bottom"/>
            <w:hideMark/>
          </w:tcPr>
          <w:p w14:paraId="23A3CF20"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4,615 </w:t>
            </w:r>
          </w:p>
        </w:tc>
        <w:tc>
          <w:tcPr>
            <w:tcW w:w="880" w:type="dxa"/>
            <w:tcBorders>
              <w:top w:val="single" w:sz="4" w:space="0" w:color="000000"/>
              <w:left w:val="nil"/>
              <w:bottom w:val="nil"/>
              <w:right w:val="nil"/>
            </w:tcBorders>
            <w:shd w:val="clear" w:color="auto" w:fill="auto"/>
            <w:noWrap/>
            <w:vAlign w:val="bottom"/>
            <w:hideMark/>
          </w:tcPr>
          <w:p w14:paraId="5E4DBBC4" w14:textId="77777777" w:rsidR="007C4E66" w:rsidRPr="007C4E66" w:rsidRDefault="007C4E66" w:rsidP="007C4E66">
            <w:pPr>
              <w:spacing w:after="0" w:line="240" w:lineRule="auto"/>
              <w:jc w:val="right"/>
              <w:rPr>
                <w:rFonts w:ascii="Arial" w:hAnsi="Arial" w:cs="Arial"/>
                <w:color w:val="000000"/>
                <w:sz w:val="16"/>
                <w:szCs w:val="16"/>
              </w:rPr>
            </w:pPr>
            <w:r w:rsidRPr="007C4E66">
              <w:rPr>
                <w:rFonts w:ascii="Arial" w:hAnsi="Arial" w:cs="Arial"/>
                <w:color w:val="000000"/>
                <w:sz w:val="16"/>
                <w:szCs w:val="16"/>
              </w:rPr>
              <w:t xml:space="preserve">4,693 </w:t>
            </w:r>
          </w:p>
        </w:tc>
      </w:tr>
      <w:tr w:rsidR="007C4E66" w:rsidRPr="007C4E66" w14:paraId="114DEC97" w14:textId="77777777" w:rsidTr="007C4E66">
        <w:trPr>
          <w:trHeight w:val="450"/>
        </w:trPr>
        <w:tc>
          <w:tcPr>
            <w:tcW w:w="3220" w:type="dxa"/>
            <w:tcBorders>
              <w:top w:val="nil"/>
              <w:left w:val="nil"/>
              <w:bottom w:val="single" w:sz="4" w:space="0" w:color="auto"/>
              <w:right w:val="nil"/>
            </w:tcBorders>
            <w:shd w:val="clear" w:color="auto" w:fill="auto"/>
            <w:vAlign w:val="center"/>
            <w:hideMark/>
          </w:tcPr>
          <w:p w14:paraId="3233F12F" w14:textId="77777777" w:rsidR="007C4E66" w:rsidRPr="007C4E66" w:rsidRDefault="007C4E66" w:rsidP="007C4E66">
            <w:pPr>
              <w:spacing w:after="0" w:line="240" w:lineRule="auto"/>
              <w:jc w:val="left"/>
              <w:rPr>
                <w:rFonts w:ascii="Arial" w:hAnsi="Arial" w:cs="Arial"/>
                <w:b/>
                <w:bCs/>
                <w:color w:val="000000"/>
                <w:sz w:val="16"/>
                <w:szCs w:val="16"/>
              </w:rPr>
            </w:pPr>
            <w:r w:rsidRPr="007C4E66">
              <w:rPr>
                <w:rFonts w:ascii="Arial" w:hAnsi="Arial" w:cs="Arial"/>
                <w:b/>
                <w:bCs/>
                <w:color w:val="000000"/>
                <w:sz w:val="16"/>
                <w:szCs w:val="16"/>
              </w:rPr>
              <w:t>Cash and cash equivalents at</w:t>
            </w:r>
            <w:r w:rsidRPr="007C4E66">
              <w:rPr>
                <w:rFonts w:ascii="Arial" w:hAnsi="Arial" w:cs="Arial"/>
                <w:b/>
                <w:bCs/>
                <w:color w:val="000000"/>
                <w:sz w:val="16"/>
                <w:szCs w:val="16"/>
              </w:rPr>
              <w:br/>
              <w:t xml:space="preserve">  end of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0DB87045"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 </w:t>
            </w:r>
          </w:p>
        </w:tc>
        <w:tc>
          <w:tcPr>
            <w:tcW w:w="880" w:type="dxa"/>
            <w:tcBorders>
              <w:top w:val="single" w:sz="4" w:space="0" w:color="000000"/>
              <w:left w:val="nil"/>
              <w:bottom w:val="single" w:sz="4" w:space="0" w:color="auto"/>
              <w:right w:val="nil"/>
            </w:tcBorders>
            <w:shd w:val="clear" w:color="000000" w:fill="E6E6E6"/>
            <w:noWrap/>
            <w:vAlign w:val="bottom"/>
            <w:hideMark/>
          </w:tcPr>
          <w:p w14:paraId="77B7B286"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 </w:t>
            </w:r>
          </w:p>
        </w:tc>
        <w:tc>
          <w:tcPr>
            <w:tcW w:w="880" w:type="dxa"/>
            <w:tcBorders>
              <w:top w:val="single" w:sz="4" w:space="0" w:color="000000"/>
              <w:left w:val="nil"/>
              <w:bottom w:val="single" w:sz="4" w:space="0" w:color="auto"/>
              <w:right w:val="nil"/>
            </w:tcBorders>
            <w:shd w:val="clear" w:color="auto" w:fill="auto"/>
            <w:noWrap/>
            <w:vAlign w:val="bottom"/>
            <w:hideMark/>
          </w:tcPr>
          <w:p w14:paraId="5D48A601"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 </w:t>
            </w:r>
          </w:p>
        </w:tc>
        <w:tc>
          <w:tcPr>
            <w:tcW w:w="880" w:type="dxa"/>
            <w:tcBorders>
              <w:top w:val="single" w:sz="4" w:space="0" w:color="000000"/>
              <w:left w:val="nil"/>
              <w:bottom w:val="single" w:sz="4" w:space="0" w:color="auto"/>
              <w:right w:val="nil"/>
            </w:tcBorders>
            <w:shd w:val="clear" w:color="auto" w:fill="auto"/>
            <w:noWrap/>
            <w:vAlign w:val="bottom"/>
            <w:hideMark/>
          </w:tcPr>
          <w:p w14:paraId="471560C9"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 </w:t>
            </w:r>
          </w:p>
        </w:tc>
        <w:tc>
          <w:tcPr>
            <w:tcW w:w="880" w:type="dxa"/>
            <w:tcBorders>
              <w:top w:val="single" w:sz="4" w:space="0" w:color="000000"/>
              <w:left w:val="nil"/>
              <w:bottom w:val="single" w:sz="4" w:space="0" w:color="auto"/>
              <w:right w:val="nil"/>
            </w:tcBorders>
            <w:shd w:val="clear" w:color="auto" w:fill="auto"/>
            <w:noWrap/>
            <w:vAlign w:val="bottom"/>
            <w:hideMark/>
          </w:tcPr>
          <w:p w14:paraId="1A2ED27E" w14:textId="77777777" w:rsidR="007C4E66" w:rsidRPr="007C4E66" w:rsidRDefault="007C4E66" w:rsidP="007C4E66">
            <w:pPr>
              <w:spacing w:after="0" w:line="240" w:lineRule="auto"/>
              <w:jc w:val="right"/>
              <w:rPr>
                <w:rFonts w:ascii="Arial" w:hAnsi="Arial" w:cs="Arial"/>
                <w:b/>
                <w:bCs/>
                <w:color w:val="000000"/>
                <w:sz w:val="16"/>
                <w:szCs w:val="16"/>
              </w:rPr>
            </w:pPr>
            <w:r w:rsidRPr="007C4E66">
              <w:rPr>
                <w:rFonts w:ascii="Arial" w:hAnsi="Arial" w:cs="Arial"/>
                <w:b/>
                <w:bCs/>
                <w:color w:val="000000"/>
                <w:sz w:val="16"/>
                <w:szCs w:val="16"/>
              </w:rPr>
              <w:t xml:space="preserve">- </w:t>
            </w:r>
          </w:p>
        </w:tc>
      </w:tr>
    </w:tbl>
    <w:p w14:paraId="757A14E6" w14:textId="77777777" w:rsidR="009531A4" w:rsidRPr="009531A4" w:rsidRDefault="009531A4" w:rsidP="009531A4">
      <w:pPr>
        <w:pStyle w:val="TableGraphic"/>
        <w:rPr>
          <w:lang w:val="x-none" w:eastAsia="x-none"/>
        </w:rPr>
      </w:pPr>
      <w:r w:rsidRPr="009531A4">
        <w:rPr>
          <w:rFonts w:ascii="Arial" w:hAnsi="Arial" w:cs="Arial"/>
          <w:color w:val="000000"/>
          <w:sz w:val="16"/>
          <w:szCs w:val="16"/>
        </w:rPr>
        <w:t xml:space="preserve"> </w:t>
      </w:r>
      <w:r w:rsidRPr="00061720">
        <w:rPr>
          <w:rFonts w:ascii="Arial" w:hAnsi="Arial" w:cs="Arial"/>
          <w:color w:val="000000"/>
          <w:sz w:val="16"/>
          <w:szCs w:val="16"/>
        </w:rPr>
        <w:t>Prepared on Australian Accounting Standards basis.</w:t>
      </w:r>
    </w:p>
    <w:p w14:paraId="6780B6A9" w14:textId="77777777" w:rsidR="009531A4" w:rsidRPr="009531A4" w:rsidRDefault="009531A4" w:rsidP="009531A4">
      <w:pPr>
        <w:pStyle w:val="TableGraphic"/>
        <w:rPr>
          <w:lang w:val="x-none" w:eastAsia="x-none"/>
        </w:rPr>
      </w:pPr>
    </w:p>
    <w:p w14:paraId="4FEC5C04" w14:textId="77777777" w:rsidR="002C285B" w:rsidRPr="000C3B86" w:rsidRDefault="002C285B" w:rsidP="002C285B">
      <w:pPr>
        <w:pStyle w:val="TableHeading"/>
      </w:pPr>
    </w:p>
    <w:bookmarkEnd w:id="293"/>
    <w:p w14:paraId="3992F180" w14:textId="77777777" w:rsidR="00154F73" w:rsidRDefault="00154F73" w:rsidP="00154F73">
      <w:pPr>
        <w:spacing w:after="0" w:line="240" w:lineRule="auto"/>
        <w:jc w:val="left"/>
        <w:sectPr w:rsidR="00154F73" w:rsidSect="00A62A0C">
          <w:headerReference w:type="even" r:id="rId178"/>
          <w:headerReference w:type="default" r:id="rId179"/>
          <w:footerReference w:type="even" r:id="rId180"/>
          <w:footerReference w:type="default" r:id="rId181"/>
          <w:headerReference w:type="first" r:id="rId182"/>
          <w:footerReference w:type="first" r:id="rId183"/>
          <w:type w:val="oddPage"/>
          <w:pgSz w:w="11906" w:h="16838" w:code="9"/>
          <w:pgMar w:top="2835" w:right="2098" w:bottom="2466" w:left="2098" w:header="1814" w:footer="1814" w:gutter="0"/>
          <w:cols w:space="708"/>
          <w:titlePg/>
          <w:docGrid w:linePitch="360"/>
        </w:sectPr>
      </w:pPr>
    </w:p>
    <w:p w14:paraId="5547927E" w14:textId="77777777" w:rsidR="00C371B2" w:rsidRDefault="00C371B2" w:rsidP="00C43411">
      <w:pPr>
        <w:rPr>
          <w:rFonts w:ascii="Arial" w:hAnsi="Arial" w:cs="Arial"/>
          <w:b/>
          <w:sz w:val="52"/>
        </w:rPr>
      </w:pPr>
      <w:bookmarkStart w:id="415" w:name="_Toc99011799"/>
    </w:p>
    <w:p w14:paraId="35CBC131" w14:textId="77777777" w:rsidR="00C371B2" w:rsidRDefault="00C371B2" w:rsidP="00C43411">
      <w:pPr>
        <w:rPr>
          <w:rFonts w:ascii="Arial" w:hAnsi="Arial" w:cs="Arial"/>
          <w:b/>
          <w:sz w:val="52"/>
        </w:rPr>
      </w:pPr>
    </w:p>
    <w:p w14:paraId="64BF5156" w14:textId="77777777" w:rsidR="00C371B2" w:rsidRDefault="00C371B2" w:rsidP="00C43411">
      <w:pPr>
        <w:rPr>
          <w:rFonts w:ascii="Arial" w:hAnsi="Arial" w:cs="Arial"/>
          <w:b/>
          <w:sz w:val="52"/>
        </w:rPr>
      </w:pPr>
    </w:p>
    <w:p w14:paraId="1AA03699" w14:textId="77777777" w:rsidR="00C371B2" w:rsidRDefault="00C371B2" w:rsidP="009828D2">
      <w:pPr>
        <w:pStyle w:val="PartHeading-TOC"/>
      </w:pPr>
      <w:bookmarkStart w:id="416" w:name="_Toc99201047"/>
      <w:r>
        <w:t>Digital Transformation Agency</w:t>
      </w:r>
      <w:bookmarkEnd w:id="416"/>
    </w:p>
    <w:p w14:paraId="0F5B43B5" w14:textId="77777777" w:rsidR="00C371B2" w:rsidRDefault="00C371B2" w:rsidP="009828D2">
      <w:pPr>
        <w:pStyle w:val="PartHeading-TOC"/>
      </w:pPr>
    </w:p>
    <w:p w14:paraId="3B412C1A" w14:textId="77777777" w:rsidR="00C371B2" w:rsidRDefault="00C371B2" w:rsidP="009828D2">
      <w:pPr>
        <w:pStyle w:val="PartHeading-TOC"/>
      </w:pPr>
    </w:p>
    <w:p w14:paraId="4E45C7DF" w14:textId="77777777" w:rsidR="009828D2" w:rsidRDefault="009828D2" w:rsidP="009828D2">
      <w:pPr>
        <w:pStyle w:val="PartHeading-TOC"/>
      </w:pPr>
      <w:bookmarkStart w:id="417" w:name="_Toc99201048"/>
      <w:r>
        <w:t>Entity resources and planned performance</w:t>
      </w:r>
      <w:bookmarkEnd w:id="415"/>
      <w:bookmarkEnd w:id="417"/>
    </w:p>
    <w:p w14:paraId="66119B76" w14:textId="77777777" w:rsidR="00154F73" w:rsidRDefault="00154F73" w:rsidP="009828D2">
      <w:pPr>
        <w:pStyle w:val="PartHeading"/>
      </w:pPr>
    </w:p>
    <w:p w14:paraId="4C85FBD2" w14:textId="77777777" w:rsidR="0083297D" w:rsidRDefault="00154F73" w:rsidP="00154F73">
      <w:pPr>
        <w:sectPr w:rsidR="0083297D" w:rsidSect="00C371B2">
          <w:headerReference w:type="even" r:id="rId184"/>
          <w:headerReference w:type="default" r:id="rId185"/>
          <w:footerReference w:type="even" r:id="rId186"/>
          <w:footerReference w:type="default" r:id="rId187"/>
          <w:footerReference w:type="first" r:id="rId188"/>
          <w:pgSz w:w="11906" w:h="16838" w:code="9"/>
          <w:pgMar w:top="2835" w:right="2098" w:bottom="2466" w:left="2098" w:header="1814" w:footer="1814" w:gutter="0"/>
          <w:cols w:space="708"/>
          <w:vAlign w:val="center"/>
          <w:titlePg/>
          <w:docGrid w:linePitch="360"/>
        </w:sectPr>
      </w:pPr>
      <w:r>
        <w:br w:type="page"/>
      </w:r>
    </w:p>
    <w:p w14:paraId="4B1A8E17" w14:textId="77777777" w:rsidR="00154F73" w:rsidRDefault="00154F73" w:rsidP="00154F73">
      <w:pPr>
        <w:rPr>
          <w:rFonts w:ascii="Arial Bold" w:hAnsi="Arial Bold" w:cs="Arial"/>
          <w:kern w:val="28"/>
          <w:sz w:val="52"/>
          <w:szCs w:val="32"/>
        </w:rPr>
      </w:pPr>
    </w:p>
    <w:p w14:paraId="54C9EA49" w14:textId="77777777" w:rsidR="00154F73" w:rsidRDefault="00154F73" w:rsidP="00154F73">
      <w:pPr>
        <w:rPr>
          <w:rFonts w:ascii="Arial Bold" w:hAnsi="Arial Bold"/>
          <w:sz w:val="36"/>
        </w:rPr>
      </w:pPr>
    </w:p>
    <w:p w14:paraId="612DDBDE" w14:textId="77777777" w:rsidR="00154F73" w:rsidRDefault="00154F73" w:rsidP="00154F73">
      <w:r>
        <w:br w:type="page"/>
      </w:r>
    </w:p>
    <w:p w14:paraId="3758BC53" w14:textId="77777777" w:rsidR="00154F73" w:rsidRPr="00C371B2" w:rsidRDefault="009828D2" w:rsidP="00C371B2">
      <w:pPr>
        <w:pStyle w:val="ContentsHeading"/>
        <w:rPr>
          <w:noProof/>
        </w:rPr>
      </w:pPr>
      <w:r>
        <w:t>Digital Transformation Agency</w:t>
      </w:r>
      <w:r>
        <w:fldChar w:fldCharType="begin"/>
      </w:r>
      <w:r>
        <w:instrText xml:space="preserve"> TOC \h \z \t "Heading 2,1,Heading 3,2" </w:instrText>
      </w:r>
      <w:r>
        <w:fldChar w:fldCharType="separate"/>
      </w:r>
    </w:p>
    <w:p w14:paraId="623D8C79" w14:textId="77777777" w:rsidR="00154F73" w:rsidRDefault="00A76B91">
      <w:pPr>
        <w:pStyle w:val="TOC1"/>
        <w:rPr>
          <w:rFonts w:asciiTheme="minorHAnsi" w:eastAsiaTheme="minorEastAsia" w:hAnsiTheme="minorHAnsi" w:cstheme="minorBidi"/>
          <w:b w:val="0"/>
          <w:caps w:val="0"/>
          <w:noProof/>
          <w:sz w:val="22"/>
          <w:szCs w:val="22"/>
        </w:rPr>
      </w:pPr>
      <w:hyperlink w:anchor="_Toc99013967" w:history="1">
        <w:r w:rsidR="00154F73" w:rsidRPr="005D6221">
          <w:rPr>
            <w:rStyle w:val="Hyperlink"/>
            <w:noProof/>
          </w:rPr>
          <w:t>Section 1: Entity overview and resources</w:t>
        </w:r>
        <w:r w:rsidR="00154F73">
          <w:rPr>
            <w:noProof/>
            <w:webHidden/>
          </w:rPr>
          <w:tab/>
        </w:r>
        <w:r w:rsidR="00154F73">
          <w:rPr>
            <w:noProof/>
            <w:webHidden/>
          </w:rPr>
          <w:fldChar w:fldCharType="begin"/>
        </w:r>
        <w:r w:rsidR="00154F73">
          <w:rPr>
            <w:noProof/>
            <w:webHidden/>
          </w:rPr>
          <w:instrText xml:space="preserve"> PAGEREF _Toc99013967 \h </w:instrText>
        </w:r>
        <w:r w:rsidR="00154F73">
          <w:rPr>
            <w:noProof/>
            <w:webHidden/>
          </w:rPr>
        </w:r>
        <w:r w:rsidR="00154F73">
          <w:rPr>
            <w:noProof/>
            <w:webHidden/>
          </w:rPr>
          <w:fldChar w:fldCharType="separate"/>
        </w:r>
        <w:r w:rsidR="00AC2929">
          <w:rPr>
            <w:noProof/>
            <w:webHidden/>
          </w:rPr>
          <w:t>141</w:t>
        </w:r>
        <w:r w:rsidR="00154F73">
          <w:rPr>
            <w:noProof/>
            <w:webHidden/>
          </w:rPr>
          <w:fldChar w:fldCharType="end"/>
        </w:r>
      </w:hyperlink>
    </w:p>
    <w:p w14:paraId="6E42F35E" w14:textId="77777777" w:rsidR="00154F73" w:rsidRDefault="00A76B91">
      <w:pPr>
        <w:pStyle w:val="TOC2"/>
        <w:tabs>
          <w:tab w:val="left" w:pos="800"/>
        </w:tabs>
        <w:rPr>
          <w:rFonts w:asciiTheme="minorHAnsi" w:eastAsiaTheme="minorEastAsia" w:hAnsiTheme="minorHAnsi" w:cstheme="minorBidi"/>
          <w:noProof/>
          <w:sz w:val="22"/>
          <w:szCs w:val="22"/>
        </w:rPr>
      </w:pPr>
      <w:hyperlink w:anchor="_Toc99013968" w:history="1">
        <w:r w:rsidR="00154F73" w:rsidRPr="005D6221">
          <w:rPr>
            <w:rStyle w:val="Hyperlink"/>
            <w:noProof/>
          </w:rPr>
          <w:t>1.1</w:t>
        </w:r>
        <w:r w:rsidR="00154F73">
          <w:rPr>
            <w:rFonts w:asciiTheme="minorHAnsi" w:eastAsiaTheme="minorEastAsia" w:hAnsiTheme="minorHAnsi" w:cstheme="minorBidi"/>
            <w:noProof/>
            <w:sz w:val="22"/>
            <w:szCs w:val="22"/>
          </w:rPr>
          <w:tab/>
        </w:r>
        <w:r w:rsidR="00154F73" w:rsidRPr="005D6221">
          <w:rPr>
            <w:rStyle w:val="Hyperlink"/>
            <w:noProof/>
          </w:rPr>
          <w:t>Strategic direction statement</w:t>
        </w:r>
        <w:r w:rsidR="00154F73">
          <w:rPr>
            <w:noProof/>
            <w:webHidden/>
          </w:rPr>
          <w:tab/>
        </w:r>
        <w:r w:rsidR="00154F73">
          <w:rPr>
            <w:noProof/>
            <w:webHidden/>
          </w:rPr>
          <w:fldChar w:fldCharType="begin"/>
        </w:r>
        <w:r w:rsidR="00154F73">
          <w:rPr>
            <w:noProof/>
            <w:webHidden/>
          </w:rPr>
          <w:instrText xml:space="preserve"> PAGEREF _Toc99013968 \h </w:instrText>
        </w:r>
        <w:r w:rsidR="00154F73">
          <w:rPr>
            <w:noProof/>
            <w:webHidden/>
          </w:rPr>
        </w:r>
        <w:r w:rsidR="00154F73">
          <w:rPr>
            <w:noProof/>
            <w:webHidden/>
          </w:rPr>
          <w:fldChar w:fldCharType="separate"/>
        </w:r>
        <w:r w:rsidR="00AC2929">
          <w:rPr>
            <w:noProof/>
            <w:webHidden/>
          </w:rPr>
          <w:t>141</w:t>
        </w:r>
        <w:r w:rsidR="00154F73">
          <w:rPr>
            <w:noProof/>
            <w:webHidden/>
          </w:rPr>
          <w:fldChar w:fldCharType="end"/>
        </w:r>
      </w:hyperlink>
    </w:p>
    <w:p w14:paraId="197F4F31" w14:textId="77777777" w:rsidR="00154F73" w:rsidRDefault="00A76B91">
      <w:pPr>
        <w:pStyle w:val="TOC2"/>
        <w:tabs>
          <w:tab w:val="left" w:pos="800"/>
        </w:tabs>
        <w:rPr>
          <w:rFonts w:asciiTheme="minorHAnsi" w:eastAsiaTheme="minorEastAsia" w:hAnsiTheme="minorHAnsi" w:cstheme="minorBidi"/>
          <w:noProof/>
          <w:sz w:val="22"/>
          <w:szCs w:val="22"/>
        </w:rPr>
      </w:pPr>
      <w:hyperlink w:anchor="_Toc99013969" w:history="1">
        <w:r w:rsidR="00154F73" w:rsidRPr="005D6221">
          <w:rPr>
            <w:rStyle w:val="Hyperlink"/>
            <w:noProof/>
          </w:rPr>
          <w:t>1.2</w:t>
        </w:r>
        <w:r w:rsidR="00154F73">
          <w:rPr>
            <w:rFonts w:asciiTheme="minorHAnsi" w:eastAsiaTheme="minorEastAsia" w:hAnsiTheme="minorHAnsi" w:cstheme="minorBidi"/>
            <w:noProof/>
            <w:sz w:val="22"/>
            <w:szCs w:val="22"/>
          </w:rPr>
          <w:tab/>
        </w:r>
        <w:r w:rsidR="00522AD0">
          <w:rPr>
            <w:rStyle w:val="Hyperlink"/>
            <w:noProof/>
          </w:rPr>
          <w:t>Entity</w:t>
        </w:r>
        <w:r w:rsidR="00154F73" w:rsidRPr="005D6221">
          <w:rPr>
            <w:rStyle w:val="Hyperlink"/>
            <w:noProof/>
          </w:rPr>
          <w:t xml:space="preserve"> resource statement</w:t>
        </w:r>
        <w:r w:rsidR="00154F73">
          <w:rPr>
            <w:noProof/>
            <w:webHidden/>
          </w:rPr>
          <w:tab/>
        </w:r>
        <w:r w:rsidR="00154F73">
          <w:rPr>
            <w:noProof/>
            <w:webHidden/>
          </w:rPr>
          <w:fldChar w:fldCharType="begin"/>
        </w:r>
        <w:r w:rsidR="00154F73">
          <w:rPr>
            <w:noProof/>
            <w:webHidden/>
          </w:rPr>
          <w:instrText xml:space="preserve"> PAGEREF _Toc99013969 \h </w:instrText>
        </w:r>
        <w:r w:rsidR="00154F73">
          <w:rPr>
            <w:noProof/>
            <w:webHidden/>
          </w:rPr>
        </w:r>
        <w:r w:rsidR="00154F73">
          <w:rPr>
            <w:noProof/>
            <w:webHidden/>
          </w:rPr>
          <w:fldChar w:fldCharType="separate"/>
        </w:r>
        <w:r w:rsidR="00AC2929">
          <w:rPr>
            <w:noProof/>
            <w:webHidden/>
          </w:rPr>
          <w:t>142</w:t>
        </w:r>
        <w:r w:rsidR="00154F73">
          <w:rPr>
            <w:noProof/>
            <w:webHidden/>
          </w:rPr>
          <w:fldChar w:fldCharType="end"/>
        </w:r>
      </w:hyperlink>
    </w:p>
    <w:p w14:paraId="440DCFF6" w14:textId="77777777" w:rsidR="00154F73" w:rsidRDefault="00A76B91">
      <w:pPr>
        <w:pStyle w:val="TOC2"/>
        <w:tabs>
          <w:tab w:val="left" w:pos="800"/>
        </w:tabs>
        <w:rPr>
          <w:rFonts w:asciiTheme="minorHAnsi" w:eastAsiaTheme="minorEastAsia" w:hAnsiTheme="minorHAnsi" w:cstheme="minorBidi"/>
          <w:noProof/>
          <w:sz w:val="22"/>
          <w:szCs w:val="22"/>
        </w:rPr>
      </w:pPr>
      <w:hyperlink w:anchor="_Toc99013970" w:history="1">
        <w:r w:rsidR="00154F73" w:rsidRPr="005D6221">
          <w:rPr>
            <w:rStyle w:val="Hyperlink"/>
            <w:noProof/>
          </w:rPr>
          <w:t>1.3</w:t>
        </w:r>
        <w:r w:rsidR="00154F73">
          <w:rPr>
            <w:rFonts w:asciiTheme="minorHAnsi" w:eastAsiaTheme="minorEastAsia" w:hAnsiTheme="minorHAnsi" w:cstheme="minorBidi"/>
            <w:noProof/>
            <w:sz w:val="22"/>
            <w:szCs w:val="22"/>
          </w:rPr>
          <w:tab/>
        </w:r>
        <w:r w:rsidR="00154F73" w:rsidRPr="005D6221">
          <w:rPr>
            <w:rStyle w:val="Hyperlink"/>
            <w:noProof/>
          </w:rPr>
          <w:t>Budget measures</w:t>
        </w:r>
        <w:r w:rsidR="00154F73">
          <w:rPr>
            <w:noProof/>
            <w:webHidden/>
          </w:rPr>
          <w:tab/>
        </w:r>
        <w:r w:rsidR="00154F73">
          <w:rPr>
            <w:noProof/>
            <w:webHidden/>
          </w:rPr>
          <w:fldChar w:fldCharType="begin"/>
        </w:r>
        <w:r w:rsidR="00154F73">
          <w:rPr>
            <w:noProof/>
            <w:webHidden/>
          </w:rPr>
          <w:instrText xml:space="preserve"> PAGEREF _Toc99013970 \h </w:instrText>
        </w:r>
        <w:r w:rsidR="00154F73">
          <w:rPr>
            <w:noProof/>
            <w:webHidden/>
          </w:rPr>
        </w:r>
        <w:r w:rsidR="00154F73">
          <w:rPr>
            <w:noProof/>
            <w:webHidden/>
          </w:rPr>
          <w:fldChar w:fldCharType="separate"/>
        </w:r>
        <w:r w:rsidR="00AC2929">
          <w:rPr>
            <w:noProof/>
            <w:webHidden/>
          </w:rPr>
          <w:t>144</w:t>
        </w:r>
        <w:r w:rsidR="00154F73">
          <w:rPr>
            <w:noProof/>
            <w:webHidden/>
          </w:rPr>
          <w:fldChar w:fldCharType="end"/>
        </w:r>
      </w:hyperlink>
    </w:p>
    <w:p w14:paraId="60EFDCF1" w14:textId="77777777" w:rsidR="00154F73" w:rsidRDefault="00A76B91">
      <w:pPr>
        <w:pStyle w:val="TOC1"/>
        <w:rPr>
          <w:rFonts w:asciiTheme="minorHAnsi" w:eastAsiaTheme="minorEastAsia" w:hAnsiTheme="minorHAnsi" w:cstheme="minorBidi"/>
          <w:b w:val="0"/>
          <w:caps w:val="0"/>
          <w:noProof/>
          <w:sz w:val="22"/>
          <w:szCs w:val="22"/>
        </w:rPr>
      </w:pPr>
      <w:hyperlink w:anchor="_Toc99013971" w:history="1">
        <w:r w:rsidR="00154F73" w:rsidRPr="005D6221">
          <w:rPr>
            <w:rStyle w:val="Hyperlink"/>
            <w:noProof/>
          </w:rPr>
          <w:t>Section 2: Outcomes and planned performance</w:t>
        </w:r>
        <w:r w:rsidR="00154F73">
          <w:rPr>
            <w:noProof/>
            <w:webHidden/>
          </w:rPr>
          <w:tab/>
        </w:r>
        <w:r w:rsidR="00154F73">
          <w:rPr>
            <w:noProof/>
            <w:webHidden/>
          </w:rPr>
          <w:fldChar w:fldCharType="begin"/>
        </w:r>
        <w:r w:rsidR="00154F73">
          <w:rPr>
            <w:noProof/>
            <w:webHidden/>
          </w:rPr>
          <w:instrText xml:space="preserve"> PAGEREF _Toc99013971 \h </w:instrText>
        </w:r>
        <w:r w:rsidR="00154F73">
          <w:rPr>
            <w:noProof/>
            <w:webHidden/>
          </w:rPr>
        </w:r>
        <w:r w:rsidR="00154F73">
          <w:rPr>
            <w:noProof/>
            <w:webHidden/>
          </w:rPr>
          <w:fldChar w:fldCharType="separate"/>
        </w:r>
        <w:r w:rsidR="00AC2929">
          <w:rPr>
            <w:noProof/>
            <w:webHidden/>
          </w:rPr>
          <w:t>145</w:t>
        </w:r>
        <w:r w:rsidR="00154F73">
          <w:rPr>
            <w:noProof/>
            <w:webHidden/>
          </w:rPr>
          <w:fldChar w:fldCharType="end"/>
        </w:r>
      </w:hyperlink>
    </w:p>
    <w:p w14:paraId="6CFBFBD0" w14:textId="77777777" w:rsidR="00154F73" w:rsidRDefault="00A76B91">
      <w:pPr>
        <w:pStyle w:val="TOC2"/>
        <w:tabs>
          <w:tab w:val="left" w:pos="800"/>
        </w:tabs>
        <w:rPr>
          <w:rFonts w:asciiTheme="minorHAnsi" w:eastAsiaTheme="minorEastAsia" w:hAnsiTheme="minorHAnsi" w:cstheme="minorBidi"/>
          <w:noProof/>
          <w:sz w:val="22"/>
          <w:szCs w:val="22"/>
        </w:rPr>
      </w:pPr>
      <w:hyperlink w:anchor="_Toc99013972" w:history="1">
        <w:r w:rsidR="00154F73" w:rsidRPr="005D6221">
          <w:rPr>
            <w:rStyle w:val="Hyperlink"/>
            <w:noProof/>
          </w:rPr>
          <w:t xml:space="preserve">2.1 </w:t>
        </w:r>
        <w:r w:rsidR="00154F73">
          <w:rPr>
            <w:rFonts w:asciiTheme="minorHAnsi" w:eastAsiaTheme="minorEastAsia" w:hAnsiTheme="minorHAnsi" w:cstheme="minorBidi"/>
            <w:noProof/>
            <w:sz w:val="22"/>
            <w:szCs w:val="22"/>
          </w:rPr>
          <w:tab/>
        </w:r>
        <w:r w:rsidR="00154F73" w:rsidRPr="005D6221">
          <w:rPr>
            <w:rStyle w:val="Hyperlink"/>
            <w:noProof/>
          </w:rPr>
          <w:t>Budgeted expenses and performance for Outcome 1</w:t>
        </w:r>
        <w:r w:rsidR="00154F73">
          <w:rPr>
            <w:noProof/>
            <w:webHidden/>
          </w:rPr>
          <w:tab/>
        </w:r>
        <w:r w:rsidR="00154F73">
          <w:rPr>
            <w:noProof/>
            <w:webHidden/>
          </w:rPr>
          <w:fldChar w:fldCharType="begin"/>
        </w:r>
        <w:r w:rsidR="00154F73">
          <w:rPr>
            <w:noProof/>
            <w:webHidden/>
          </w:rPr>
          <w:instrText xml:space="preserve"> PAGEREF _Toc99013972 \h </w:instrText>
        </w:r>
        <w:r w:rsidR="00154F73">
          <w:rPr>
            <w:noProof/>
            <w:webHidden/>
          </w:rPr>
        </w:r>
        <w:r w:rsidR="00154F73">
          <w:rPr>
            <w:noProof/>
            <w:webHidden/>
          </w:rPr>
          <w:fldChar w:fldCharType="separate"/>
        </w:r>
        <w:r w:rsidR="00AC2929">
          <w:rPr>
            <w:noProof/>
            <w:webHidden/>
          </w:rPr>
          <w:t>146</w:t>
        </w:r>
        <w:r w:rsidR="00154F73">
          <w:rPr>
            <w:noProof/>
            <w:webHidden/>
          </w:rPr>
          <w:fldChar w:fldCharType="end"/>
        </w:r>
      </w:hyperlink>
    </w:p>
    <w:p w14:paraId="19F85AD8" w14:textId="77777777" w:rsidR="00154F73" w:rsidRDefault="00A76B91">
      <w:pPr>
        <w:pStyle w:val="TOC1"/>
        <w:rPr>
          <w:rFonts w:asciiTheme="minorHAnsi" w:eastAsiaTheme="minorEastAsia" w:hAnsiTheme="minorHAnsi" w:cstheme="minorBidi"/>
          <w:b w:val="0"/>
          <w:caps w:val="0"/>
          <w:noProof/>
          <w:sz w:val="22"/>
          <w:szCs w:val="22"/>
        </w:rPr>
      </w:pPr>
      <w:hyperlink w:anchor="_Toc99013973" w:history="1">
        <w:r w:rsidR="00154F73" w:rsidRPr="005D6221">
          <w:rPr>
            <w:rStyle w:val="Hyperlink"/>
            <w:noProof/>
          </w:rPr>
          <w:t>Section 3: Budgeted financial statements</w:t>
        </w:r>
        <w:r w:rsidR="00154F73">
          <w:rPr>
            <w:noProof/>
            <w:webHidden/>
          </w:rPr>
          <w:tab/>
        </w:r>
        <w:r w:rsidR="00154F73">
          <w:rPr>
            <w:noProof/>
            <w:webHidden/>
          </w:rPr>
          <w:fldChar w:fldCharType="begin"/>
        </w:r>
        <w:r w:rsidR="00154F73">
          <w:rPr>
            <w:noProof/>
            <w:webHidden/>
          </w:rPr>
          <w:instrText xml:space="preserve"> PAGEREF _Toc99013973 \h </w:instrText>
        </w:r>
        <w:r w:rsidR="00154F73">
          <w:rPr>
            <w:noProof/>
            <w:webHidden/>
          </w:rPr>
        </w:r>
        <w:r w:rsidR="00154F73">
          <w:rPr>
            <w:noProof/>
            <w:webHidden/>
          </w:rPr>
          <w:fldChar w:fldCharType="separate"/>
        </w:r>
        <w:r w:rsidR="00AC2929">
          <w:rPr>
            <w:noProof/>
            <w:webHidden/>
          </w:rPr>
          <w:t>149</w:t>
        </w:r>
        <w:r w:rsidR="00154F73">
          <w:rPr>
            <w:noProof/>
            <w:webHidden/>
          </w:rPr>
          <w:fldChar w:fldCharType="end"/>
        </w:r>
      </w:hyperlink>
    </w:p>
    <w:p w14:paraId="67C1C2BE" w14:textId="77777777" w:rsidR="00154F73" w:rsidRDefault="00A76B91">
      <w:pPr>
        <w:pStyle w:val="TOC2"/>
        <w:tabs>
          <w:tab w:val="left" w:pos="800"/>
        </w:tabs>
        <w:rPr>
          <w:rFonts w:asciiTheme="minorHAnsi" w:eastAsiaTheme="minorEastAsia" w:hAnsiTheme="minorHAnsi" w:cstheme="minorBidi"/>
          <w:noProof/>
          <w:sz w:val="22"/>
          <w:szCs w:val="22"/>
        </w:rPr>
      </w:pPr>
      <w:hyperlink w:anchor="_Toc99013974" w:history="1">
        <w:r w:rsidR="00154F73" w:rsidRPr="005D6221">
          <w:rPr>
            <w:rStyle w:val="Hyperlink"/>
            <w:noProof/>
          </w:rPr>
          <w:t>3.1</w:t>
        </w:r>
        <w:r w:rsidR="00154F73">
          <w:rPr>
            <w:rFonts w:asciiTheme="minorHAnsi" w:eastAsiaTheme="minorEastAsia" w:hAnsiTheme="minorHAnsi" w:cstheme="minorBidi"/>
            <w:noProof/>
            <w:sz w:val="22"/>
            <w:szCs w:val="22"/>
          </w:rPr>
          <w:tab/>
        </w:r>
        <w:r w:rsidR="00154F73" w:rsidRPr="005D6221">
          <w:rPr>
            <w:rStyle w:val="Hyperlink"/>
            <w:noProof/>
          </w:rPr>
          <w:t>Budgeted financial statements</w:t>
        </w:r>
        <w:r w:rsidR="00154F73">
          <w:rPr>
            <w:noProof/>
            <w:webHidden/>
          </w:rPr>
          <w:tab/>
        </w:r>
        <w:r w:rsidR="00154F73">
          <w:rPr>
            <w:noProof/>
            <w:webHidden/>
          </w:rPr>
          <w:fldChar w:fldCharType="begin"/>
        </w:r>
        <w:r w:rsidR="00154F73">
          <w:rPr>
            <w:noProof/>
            <w:webHidden/>
          </w:rPr>
          <w:instrText xml:space="preserve"> PAGEREF _Toc99013974 \h </w:instrText>
        </w:r>
        <w:r w:rsidR="00154F73">
          <w:rPr>
            <w:noProof/>
            <w:webHidden/>
          </w:rPr>
        </w:r>
        <w:r w:rsidR="00154F73">
          <w:rPr>
            <w:noProof/>
            <w:webHidden/>
          </w:rPr>
          <w:fldChar w:fldCharType="separate"/>
        </w:r>
        <w:r w:rsidR="00AC2929">
          <w:rPr>
            <w:noProof/>
            <w:webHidden/>
          </w:rPr>
          <w:t>149</w:t>
        </w:r>
        <w:r w:rsidR="00154F73">
          <w:rPr>
            <w:noProof/>
            <w:webHidden/>
          </w:rPr>
          <w:fldChar w:fldCharType="end"/>
        </w:r>
      </w:hyperlink>
    </w:p>
    <w:p w14:paraId="0F58EEA9" w14:textId="77777777" w:rsidR="009828D2" w:rsidRDefault="009828D2" w:rsidP="009828D2">
      <w:pPr>
        <w:pStyle w:val="TOC1"/>
      </w:pPr>
      <w:r>
        <w:fldChar w:fldCharType="end"/>
      </w:r>
    </w:p>
    <w:p w14:paraId="61C871A1" w14:textId="77777777" w:rsidR="009828D2" w:rsidRPr="008B5AFD" w:rsidRDefault="009828D2" w:rsidP="009828D2"/>
    <w:p w14:paraId="61BC1C15" w14:textId="77777777" w:rsidR="00154F73" w:rsidRDefault="00154F73">
      <w:pPr>
        <w:spacing w:after="0" w:line="240" w:lineRule="auto"/>
        <w:jc w:val="left"/>
      </w:pPr>
      <w:r>
        <w:br w:type="page"/>
      </w:r>
    </w:p>
    <w:p w14:paraId="088E2F5E" w14:textId="77777777" w:rsidR="00154F73" w:rsidRDefault="00154F73" w:rsidP="009828D2"/>
    <w:p w14:paraId="51BBE58A" w14:textId="77777777" w:rsidR="00F22051" w:rsidRDefault="00F22051" w:rsidP="00154F73">
      <w:pPr>
        <w:sectPr w:rsidR="00F22051" w:rsidSect="0083297D">
          <w:headerReference w:type="even" r:id="rId189"/>
          <w:pgSz w:w="11906" w:h="16838" w:code="9"/>
          <w:pgMar w:top="2835" w:right="2098" w:bottom="2466" w:left="2098" w:header="1814" w:footer="1814" w:gutter="0"/>
          <w:cols w:space="708"/>
          <w:titlePg/>
          <w:docGrid w:linePitch="360"/>
        </w:sectPr>
      </w:pPr>
    </w:p>
    <w:p w14:paraId="3061C869" w14:textId="77777777" w:rsidR="009828D2" w:rsidRDefault="009828D2" w:rsidP="009828D2">
      <w:pPr>
        <w:pStyle w:val="Heading1"/>
      </w:pPr>
      <w:bookmarkStart w:id="418" w:name="_Toc99201049"/>
      <w:r>
        <w:t>Digital Transformation Agency</w:t>
      </w:r>
      <w:bookmarkEnd w:id="418"/>
    </w:p>
    <w:p w14:paraId="32521F7D" w14:textId="77777777" w:rsidR="009828D2" w:rsidRPr="002C4D41" w:rsidRDefault="009828D2" w:rsidP="009828D2">
      <w:pPr>
        <w:pStyle w:val="Heading2"/>
      </w:pPr>
      <w:bookmarkStart w:id="419" w:name="_Toc98932886"/>
      <w:bookmarkStart w:id="420" w:name="_Toc99008142"/>
      <w:bookmarkStart w:id="421" w:name="_Toc99009504"/>
      <w:bookmarkStart w:id="422" w:name="_Toc99010732"/>
      <w:bookmarkStart w:id="423" w:name="_Toc99013967"/>
      <w:bookmarkStart w:id="424" w:name="_Toc99187544"/>
      <w:bookmarkStart w:id="425" w:name="_Toc99269654"/>
      <w:r w:rsidRPr="002C4D41">
        <w:t xml:space="preserve">Section 1: Entity overview and </w:t>
      </w:r>
      <w:r>
        <w:t>reso</w:t>
      </w:r>
      <w:r w:rsidRPr="002C4D41">
        <w:t>urces</w:t>
      </w:r>
      <w:bookmarkEnd w:id="419"/>
      <w:bookmarkEnd w:id="420"/>
      <w:bookmarkEnd w:id="421"/>
      <w:bookmarkEnd w:id="422"/>
      <w:bookmarkEnd w:id="423"/>
      <w:bookmarkEnd w:id="424"/>
      <w:bookmarkEnd w:id="425"/>
    </w:p>
    <w:p w14:paraId="138ED2DB" w14:textId="77777777" w:rsidR="009828D2" w:rsidRDefault="009828D2" w:rsidP="009828D2">
      <w:pPr>
        <w:pStyle w:val="Heading3"/>
      </w:pPr>
      <w:bookmarkStart w:id="426" w:name="_Toc98932887"/>
      <w:bookmarkStart w:id="427" w:name="_Toc99008143"/>
      <w:bookmarkStart w:id="428" w:name="_Toc99009505"/>
      <w:bookmarkStart w:id="429" w:name="_Toc99010733"/>
      <w:bookmarkStart w:id="430" w:name="_Toc99013968"/>
      <w:bookmarkStart w:id="431" w:name="_Toc99187545"/>
      <w:bookmarkStart w:id="432" w:name="_Toc99269655"/>
      <w:r>
        <w:t>1.1</w:t>
      </w:r>
      <w:r>
        <w:tab/>
        <w:t>Strategic direction statement</w:t>
      </w:r>
      <w:bookmarkEnd w:id="426"/>
      <w:bookmarkEnd w:id="427"/>
      <w:bookmarkEnd w:id="428"/>
      <w:bookmarkEnd w:id="429"/>
      <w:bookmarkEnd w:id="430"/>
      <w:bookmarkEnd w:id="431"/>
      <w:bookmarkEnd w:id="432"/>
    </w:p>
    <w:p w14:paraId="693BEA3B" w14:textId="77777777" w:rsidR="009828D2" w:rsidRPr="001145B6" w:rsidRDefault="009828D2" w:rsidP="009828D2">
      <w:pPr>
        <w:spacing w:line="240" w:lineRule="auto"/>
        <w:rPr>
          <w:lang w:val="en-US"/>
        </w:rPr>
      </w:pPr>
      <w:r w:rsidRPr="001145B6">
        <w:rPr>
          <w:lang w:val="en-US"/>
        </w:rPr>
        <w:t xml:space="preserve">The purpose of the Digital Transformation Agency (DTA) is to provide digital and ICT strategy and policy leadership, investment advice, delivery oversight, and strategic sourcing to drive government’s digital transformation and deliver benefits to all Australians. </w:t>
      </w:r>
    </w:p>
    <w:p w14:paraId="3A95CEFF" w14:textId="77777777" w:rsidR="009828D2" w:rsidRPr="001145B6" w:rsidRDefault="009828D2" w:rsidP="001145B6">
      <w:pPr>
        <w:spacing w:afterLines="20" w:after="48" w:line="240" w:lineRule="auto"/>
      </w:pPr>
      <w:r w:rsidRPr="001145B6">
        <w:t>The DTA:</w:t>
      </w:r>
    </w:p>
    <w:p w14:paraId="2032E641" w14:textId="77777777" w:rsidR="009828D2" w:rsidRPr="001145B6" w:rsidRDefault="009828D2" w:rsidP="001145B6">
      <w:pPr>
        <w:numPr>
          <w:ilvl w:val="0"/>
          <w:numId w:val="56"/>
        </w:numPr>
        <w:spacing w:afterLines="20" w:after="48" w:line="240" w:lineRule="auto"/>
        <w:ind w:left="714" w:hanging="357"/>
      </w:pPr>
      <w:r w:rsidRPr="001145B6">
        <w:t>provides strategic leadership on whole-of-government and shared digital and ICT services, including sourcing and capability development</w:t>
      </w:r>
    </w:p>
    <w:p w14:paraId="5BB80861" w14:textId="77777777" w:rsidR="009828D2" w:rsidRPr="001145B6" w:rsidRDefault="009828D2" w:rsidP="001145B6">
      <w:pPr>
        <w:numPr>
          <w:ilvl w:val="0"/>
          <w:numId w:val="56"/>
        </w:numPr>
        <w:spacing w:after="120" w:line="240" w:lineRule="auto"/>
        <w:ind w:left="714" w:hanging="357"/>
      </w:pPr>
      <w:r w:rsidRPr="001145B6">
        <w:t>delivers architectural policies, standards, and platforms for whole-of-government and shared digital</w:t>
      </w:r>
      <w:r w:rsidR="001145B6" w:rsidRPr="001145B6">
        <w:t>,</w:t>
      </w:r>
      <w:r w:rsidRPr="001145B6">
        <w:t xml:space="preserve"> and ICT service delivery</w:t>
      </w:r>
    </w:p>
    <w:p w14:paraId="3E2656FE" w14:textId="77777777" w:rsidR="009828D2" w:rsidRPr="001145B6" w:rsidRDefault="009828D2" w:rsidP="001145B6">
      <w:pPr>
        <w:numPr>
          <w:ilvl w:val="0"/>
          <w:numId w:val="56"/>
        </w:numPr>
        <w:spacing w:after="120" w:line="240" w:lineRule="auto"/>
        <w:ind w:left="714" w:hanging="357"/>
      </w:pPr>
      <w:r w:rsidRPr="001145B6">
        <w:t>provides advice to agencies and the Government on digital and ICT investment proposals</w:t>
      </w:r>
    </w:p>
    <w:p w14:paraId="5FE41B5F" w14:textId="77777777" w:rsidR="009828D2" w:rsidRPr="001145B6" w:rsidRDefault="001145B6" w:rsidP="001145B6">
      <w:pPr>
        <w:numPr>
          <w:ilvl w:val="0"/>
          <w:numId w:val="56"/>
        </w:numPr>
        <w:spacing w:after="120" w:line="240" w:lineRule="auto"/>
        <w:ind w:left="714" w:hanging="357"/>
      </w:pPr>
      <w:r w:rsidRPr="001145B6">
        <w:t xml:space="preserve">providing assurance of </w:t>
      </w:r>
      <w:r w:rsidR="009828D2" w:rsidRPr="001145B6">
        <w:t>assure significant digital and ICT investments through the digital oversight framework and monitor</w:t>
      </w:r>
      <w:r w:rsidRPr="001145B6">
        <w:t>s</w:t>
      </w:r>
      <w:r w:rsidR="009828D2" w:rsidRPr="001145B6">
        <w:t xml:space="preserve"> and advise</w:t>
      </w:r>
      <w:r w:rsidRPr="001145B6">
        <w:t>d</w:t>
      </w:r>
      <w:r w:rsidR="009828D2" w:rsidRPr="001145B6">
        <w:t xml:space="preserve"> of the effectiveness of the whole-of-government digital portfolio.</w:t>
      </w:r>
    </w:p>
    <w:p w14:paraId="4CFB0831" w14:textId="77777777" w:rsidR="009828D2" w:rsidRPr="001145B6" w:rsidRDefault="009828D2" w:rsidP="009828D2">
      <w:pPr>
        <w:spacing w:line="240" w:lineRule="auto"/>
        <w:rPr>
          <w:lang w:val="en-US"/>
        </w:rPr>
      </w:pPr>
      <w:r w:rsidRPr="001145B6">
        <w:rPr>
          <w:lang w:val="en-US"/>
        </w:rPr>
        <w:t xml:space="preserve">In </w:t>
      </w:r>
      <w:r w:rsidR="001145B6" w:rsidRPr="001145B6">
        <w:rPr>
          <w:lang w:val="en-US"/>
        </w:rPr>
        <w:t>2022-23, the DTA will focus on two</w:t>
      </w:r>
      <w:r w:rsidRPr="001145B6">
        <w:rPr>
          <w:lang w:val="en-US"/>
        </w:rPr>
        <w:t xml:space="preserve"> strategic priorities:</w:t>
      </w:r>
    </w:p>
    <w:p w14:paraId="5576233B" w14:textId="77777777" w:rsidR="008B777D" w:rsidRDefault="008B777D" w:rsidP="001145B6">
      <w:pPr>
        <w:spacing w:afterLines="20" w:after="48" w:line="240" w:lineRule="auto"/>
        <w:jc w:val="left"/>
        <w:rPr>
          <w:b/>
          <w:bCs/>
        </w:rPr>
      </w:pPr>
      <w:r>
        <w:rPr>
          <w:b/>
          <w:bCs/>
        </w:rPr>
        <w:t>Direction setting</w:t>
      </w:r>
    </w:p>
    <w:p w14:paraId="303269B3" w14:textId="77777777" w:rsidR="009828D2" w:rsidRPr="001145B6" w:rsidRDefault="009828D2" w:rsidP="001145B6">
      <w:pPr>
        <w:spacing w:afterLines="20" w:after="48" w:line="240" w:lineRule="auto"/>
        <w:jc w:val="left"/>
        <w:rPr>
          <w:b/>
          <w:bCs/>
        </w:rPr>
      </w:pPr>
      <w:r w:rsidRPr="001145B6">
        <w:t>The DTA will:</w:t>
      </w:r>
    </w:p>
    <w:p w14:paraId="190DB4A6" w14:textId="77777777" w:rsidR="009828D2" w:rsidRPr="001145B6" w:rsidRDefault="001145B6" w:rsidP="001145B6">
      <w:pPr>
        <w:pStyle w:val="ListParagraph"/>
        <w:numPr>
          <w:ilvl w:val="0"/>
          <w:numId w:val="57"/>
        </w:numPr>
        <w:spacing w:afterLines="20" w:after="48" w:line="240" w:lineRule="auto"/>
        <w:rPr>
          <w:rFonts w:ascii="Book Antiqua" w:hAnsi="Book Antiqua"/>
          <w:sz w:val="20"/>
          <w:szCs w:val="20"/>
        </w:rPr>
      </w:pPr>
      <w:r w:rsidRPr="001145B6">
        <w:rPr>
          <w:rFonts w:ascii="Book Antiqua" w:hAnsi="Book Antiqua"/>
          <w:sz w:val="20"/>
          <w:szCs w:val="20"/>
        </w:rPr>
        <w:t>d</w:t>
      </w:r>
      <w:r w:rsidR="009828D2" w:rsidRPr="001145B6">
        <w:rPr>
          <w:rFonts w:ascii="Book Antiqua" w:hAnsi="Book Antiqua"/>
          <w:sz w:val="20"/>
          <w:szCs w:val="20"/>
        </w:rPr>
        <w:t>rive whole-of-gove</w:t>
      </w:r>
      <w:r w:rsidRPr="001145B6">
        <w:rPr>
          <w:rFonts w:ascii="Book Antiqua" w:hAnsi="Book Antiqua"/>
          <w:sz w:val="20"/>
          <w:szCs w:val="20"/>
        </w:rPr>
        <w:t>rnment digital strategy, policy</w:t>
      </w:r>
      <w:r w:rsidR="009828D2" w:rsidRPr="001145B6">
        <w:rPr>
          <w:rFonts w:ascii="Book Antiqua" w:hAnsi="Book Antiqua"/>
          <w:sz w:val="20"/>
          <w:szCs w:val="20"/>
        </w:rPr>
        <w:t xml:space="preserve">  and advice</w:t>
      </w:r>
      <w:r w:rsidRPr="001145B6">
        <w:rPr>
          <w:rFonts w:ascii="Book Antiqua" w:hAnsi="Book Antiqua"/>
          <w:sz w:val="20"/>
          <w:szCs w:val="20"/>
        </w:rPr>
        <w:t>, and</w:t>
      </w:r>
    </w:p>
    <w:p w14:paraId="3DD7F5C2" w14:textId="77777777" w:rsidR="009828D2" w:rsidRPr="001145B6" w:rsidRDefault="001145B6" w:rsidP="001145B6">
      <w:pPr>
        <w:pStyle w:val="ListParagraph"/>
        <w:numPr>
          <w:ilvl w:val="0"/>
          <w:numId w:val="57"/>
        </w:numPr>
        <w:spacing w:line="240" w:lineRule="auto"/>
        <w:rPr>
          <w:rFonts w:ascii="Book Antiqua" w:hAnsi="Book Antiqua"/>
          <w:sz w:val="20"/>
          <w:szCs w:val="20"/>
        </w:rPr>
      </w:pPr>
      <w:r w:rsidRPr="001145B6">
        <w:rPr>
          <w:rFonts w:ascii="Book Antiqua" w:hAnsi="Book Antiqua"/>
          <w:sz w:val="20"/>
          <w:szCs w:val="20"/>
        </w:rPr>
        <w:t>b</w:t>
      </w:r>
      <w:r w:rsidR="009828D2" w:rsidRPr="001145B6">
        <w:rPr>
          <w:rFonts w:ascii="Book Antiqua" w:hAnsi="Book Antiqua"/>
          <w:sz w:val="20"/>
          <w:szCs w:val="20"/>
        </w:rPr>
        <w:t>ecome a trusted advisor on digital and ICT investment decisions</w:t>
      </w:r>
      <w:r w:rsidRPr="001145B6">
        <w:rPr>
          <w:rFonts w:ascii="Book Antiqua" w:hAnsi="Book Antiqua"/>
          <w:sz w:val="20"/>
          <w:szCs w:val="20"/>
        </w:rPr>
        <w:t>.</w:t>
      </w:r>
    </w:p>
    <w:p w14:paraId="20FBE8D2" w14:textId="77777777" w:rsidR="008B777D" w:rsidRDefault="008B777D" w:rsidP="008B777D">
      <w:pPr>
        <w:spacing w:after="20" w:line="240" w:lineRule="auto"/>
        <w:rPr>
          <w:b/>
          <w:bCs/>
        </w:rPr>
      </w:pPr>
      <w:r>
        <w:rPr>
          <w:b/>
          <w:bCs/>
        </w:rPr>
        <w:t>Implementation oversight</w:t>
      </w:r>
    </w:p>
    <w:p w14:paraId="7B1F95DB" w14:textId="77777777" w:rsidR="009828D2" w:rsidRPr="008B777D" w:rsidRDefault="009828D2" w:rsidP="008B777D">
      <w:pPr>
        <w:spacing w:after="20" w:line="240" w:lineRule="auto"/>
        <w:rPr>
          <w:b/>
          <w:bCs/>
        </w:rPr>
      </w:pPr>
      <w:r w:rsidRPr="001145B6">
        <w:t>The DTA will:</w:t>
      </w:r>
    </w:p>
    <w:p w14:paraId="05C4DD09" w14:textId="77777777" w:rsidR="009828D2" w:rsidRPr="001145B6" w:rsidRDefault="001145B6" w:rsidP="001145B6">
      <w:pPr>
        <w:pStyle w:val="ListParagraph"/>
        <w:numPr>
          <w:ilvl w:val="0"/>
          <w:numId w:val="57"/>
        </w:numPr>
        <w:spacing w:afterLines="20" w:after="48" w:line="240" w:lineRule="auto"/>
        <w:rPr>
          <w:rFonts w:ascii="Book Antiqua" w:hAnsi="Book Antiqua"/>
          <w:sz w:val="20"/>
          <w:szCs w:val="20"/>
        </w:rPr>
      </w:pPr>
      <w:r>
        <w:rPr>
          <w:rFonts w:ascii="Book Antiqua" w:hAnsi="Book Antiqua"/>
          <w:sz w:val="20"/>
          <w:szCs w:val="20"/>
        </w:rPr>
        <w:t>o</w:t>
      </w:r>
      <w:r w:rsidR="009828D2" w:rsidRPr="001145B6">
        <w:rPr>
          <w:rFonts w:ascii="Book Antiqua" w:hAnsi="Book Antiqua"/>
          <w:sz w:val="20"/>
          <w:szCs w:val="20"/>
        </w:rPr>
        <w:t>versee the digital and ICT investment portfolio to ensure digital and ICT strategies, policies, and</w:t>
      </w:r>
      <w:r>
        <w:rPr>
          <w:rFonts w:ascii="Book Antiqua" w:hAnsi="Book Antiqua"/>
          <w:sz w:val="20"/>
          <w:szCs w:val="20"/>
        </w:rPr>
        <w:t xml:space="preserve"> priorities are met in delivery, and</w:t>
      </w:r>
    </w:p>
    <w:p w14:paraId="6C605A17" w14:textId="77777777" w:rsidR="009828D2" w:rsidRPr="001145B6" w:rsidRDefault="001145B6" w:rsidP="008A2254">
      <w:pPr>
        <w:pStyle w:val="ListParagraph"/>
        <w:numPr>
          <w:ilvl w:val="0"/>
          <w:numId w:val="57"/>
        </w:numPr>
        <w:spacing w:line="240" w:lineRule="auto"/>
        <w:rPr>
          <w:rFonts w:ascii="Book Antiqua" w:hAnsi="Book Antiqua"/>
          <w:sz w:val="20"/>
          <w:szCs w:val="20"/>
        </w:rPr>
      </w:pPr>
      <w:r>
        <w:rPr>
          <w:rFonts w:ascii="Book Antiqua" w:hAnsi="Book Antiqua"/>
          <w:sz w:val="20"/>
          <w:szCs w:val="20"/>
        </w:rPr>
        <w:t>s</w:t>
      </w:r>
      <w:r w:rsidR="009828D2" w:rsidRPr="001145B6">
        <w:rPr>
          <w:rFonts w:ascii="Book Antiqua" w:hAnsi="Book Antiqua"/>
          <w:sz w:val="20"/>
          <w:szCs w:val="20"/>
        </w:rPr>
        <w:t>implify digital and ICT procurement to maximise value, savings, and reuse.</w:t>
      </w:r>
    </w:p>
    <w:p w14:paraId="476D0A8F" w14:textId="77777777" w:rsidR="001145B6" w:rsidRDefault="009828D2" w:rsidP="009828D2">
      <w:pPr>
        <w:spacing w:line="240" w:lineRule="auto"/>
        <w:rPr>
          <w:rStyle w:val="Hyperlink"/>
        </w:rPr>
      </w:pPr>
      <w:r w:rsidRPr="001145B6">
        <w:t xml:space="preserve">Further details on how we will deliver these priorities can be found in our Corporate Plan located at: </w:t>
      </w:r>
      <w:hyperlink r:id="rId190" w:history="1">
        <w:r w:rsidRPr="001145B6">
          <w:rPr>
            <w:rStyle w:val="Hyperlink"/>
          </w:rPr>
          <w:t>www.dta.gov.au/about-us/reporting-and-plans/corporate-plans</w:t>
        </w:r>
      </w:hyperlink>
      <w:r w:rsidR="001145B6">
        <w:rPr>
          <w:rStyle w:val="Hyperlink"/>
        </w:rPr>
        <w:t>.</w:t>
      </w:r>
    </w:p>
    <w:p w14:paraId="3D3AE07F" w14:textId="77777777" w:rsidR="001145B6" w:rsidRDefault="001145B6">
      <w:pPr>
        <w:spacing w:after="0" w:line="240" w:lineRule="auto"/>
        <w:jc w:val="left"/>
        <w:rPr>
          <w:rStyle w:val="Hyperlink"/>
        </w:rPr>
      </w:pPr>
      <w:r>
        <w:rPr>
          <w:rStyle w:val="Hyperlink"/>
        </w:rPr>
        <w:br w:type="page"/>
      </w:r>
    </w:p>
    <w:p w14:paraId="16C34C18" w14:textId="77777777" w:rsidR="009828D2" w:rsidRDefault="009828D2" w:rsidP="009828D2">
      <w:pPr>
        <w:pStyle w:val="Heading3"/>
      </w:pPr>
      <w:bookmarkStart w:id="433" w:name="_Toc98932888"/>
      <w:bookmarkStart w:id="434" w:name="_Toc99008144"/>
      <w:bookmarkStart w:id="435" w:name="_Toc99009506"/>
      <w:bookmarkStart w:id="436" w:name="_Toc99010734"/>
      <w:bookmarkStart w:id="437" w:name="_Toc99013969"/>
      <w:bookmarkStart w:id="438" w:name="_Toc99187546"/>
      <w:bookmarkStart w:id="439" w:name="_Toc99269656"/>
      <w:r>
        <w:t>1.2</w:t>
      </w:r>
      <w:r>
        <w:tab/>
      </w:r>
      <w:r w:rsidR="00522AD0">
        <w:t>Entity</w:t>
      </w:r>
      <w:r>
        <w:t xml:space="preserve"> resource statement</w:t>
      </w:r>
      <w:bookmarkEnd w:id="433"/>
      <w:bookmarkEnd w:id="434"/>
      <w:bookmarkEnd w:id="435"/>
      <w:bookmarkEnd w:id="436"/>
      <w:bookmarkEnd w:id="437"/>
      <w:bookmarkEnd w:id="438"/>
      <w:bookmarkEnd w:id="439"/>
    </w:p>
    <w:p w14:paraId="5D4AF408" w14:textId="77777777" w:rsidR="009828D2" w:rsidRDefault="009828D2" w:rsidP="001145B6">
      <w:r>
        <w:t xml:space="preserve">Table 1.1 shows the total funding from all sources available to the </w:t>
      </w:r>
      <w:r w:rsidR="001145B6">
        <w:t>DTA</w:t>
      </w:r>
      <w:r>
        <w:t xml:space="preserve"> for its operations and to deliver programs and services on behalf of the Government.</w:t>
      </w:r>
    </w:p>
    <w:p w14:paraId="1F80C368" w14:textId="77777777" w:rsidR="009828D2" w:rsidRDefault="009828D2" w:rsidP="001145B6">
      <w:r>
        <w:t>The table summarises how resources will be applied by outcome (government strategic policy objectives) and by administered (on behalf of the Government or the public) and departmental (for the entity’s operations) classification.</w:t>
      </w:r>
    </w:p>
    <w:p w14:paraId="29D520DC" w14:textId="77777777" w:rsidR="009828D2" w:rsidRDefault="009828D2" w:rsidP="001145B6">
      <w:r>
        <w:t xml:space="preserve">For more detailed information on special accounts and special appropriations, please refer to </w:t>
      </w:r>
      <w:r w:rsidRPr="00A816FA">
        <w:t>Budget Paper No. 4 – Agency Resourcing.</w:t>
      </w:r>
    </w:p>
    <w:p w14:paraId="705A549C" w14:textId="77777777" w:rsidR="009828D2" w:rsidRDefault="009828D2" w:rsidP="001145B6">
      <w:r>
        <w:t xml:space="preserve">Information in this table is presented on a resourcing (that is, appropriations/cash available) basis, </w:t>
      </w:r>
      <w:r w:rsidR="001145B6">
        <w:t>while</w:t>
      </w:r>
      <w:r>
        <w:t xml:space="preserve"> the</w:t>
      </w:r>
      <w:r w:rsidR="001145B6">
        <w:t xml:space="preserve"> ‘Budgeted expenses by Outcome 1</w:t>
      </w:r>
      <w:r>
        <w:t>’ tables in Section 2 and the financial statements in Section 3 are presented on an accrual basis.</w:t>
      </w:r>
    </w:p>
    <w:p w14:paraId="546CE9D2" w14:textId="77777777" w:rsidR="009828D2" w:rsidRPr="00FE1091" w:rsidRDefault="009828D2" w:rsidP="009828D2">
      <w:pPr>
        <w:pStyle w:val="TableHeading"/>
        <w:rPr>
          <w:b w:val="0"/>
          <w:lang w:val="en-AU"/>
        </w:rPr>
      </w:pPr>
      <w:r>
        <w:br w:type="page"/>
      </w:r>
      <w:r w:rsidRPr="00D44150">
        <w:t xml:space="preserve">Table 1.1: </w:t>
      </w:r>
      <w:r w:rsidR="007C29A7">
        <w:rPr>
          <w:lang w:val="en-GB"/>
        </w:rPr>
        <w:t>DTA</w:t>
      </w:r>
      <w:r w:rsidRPr="00D44150">
        <w:t xml:space="preserve"> resource statement</w:t>
      </w:r>
      <w:r>
        <w:t xml:space="preserve"> — Budget 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7152EE95" w14:textId="77777777" w:rsidR="009828D2" w:rsidRPr="001145B6" w:rsidRDefault="008B777D" w:rsidP="001145B6">
      <w:pPr>
        <w:pStyle w:val="TableGraphic"/>
        <w:rPr>
          <w:rFonts w:ascii="Arial" w:hAnsi="Arial"/>
          <w:color w:val="000000"/>
          <w:lang w:val="x-none" w:eastAsia="x-none"/>
        </w:rPr>
      </w:pPr>
      <w:r w:rsidRPr="008B777D">
        <w:rPr>
          <w:noProof/>
        </w:rPr>
        <w:drawing>
          <wp:inline distT="0" distB="0" distL="0" distR="0" wp14:anchorId="654F93B2" wp14:editId="38E1FD17">
            <wp:extent cx="4895850" cy="3330465"/>
            <wp:effectExtent l="0" t="0" r="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95850" cy="3330465"/>
                    </a:xfrm>
                    <a:prstGeom prst="rect">
                      <a:avLst/>
                    </a:prstGeom>
                    <a:noFill/>
                    <a:ln>
                      <a:noFill/>
                    </a:ln>
                  </pic:spPr>
                </pic:pic>
              </a:graphicData>
            </a:graphic>
          </wp:inline>
        </w:drawing>
      </w:r>
    </w:p>
    <w:p w14:paraId="1597CD68" w14:textId="77777777" w:rsidR="009828D2" w:rsidRDefault="009828D2" w:rsidP="009828D2">
      <w:pPr>
        <w:pStyle w:val="TableHeading"/>
      </w:pPr>
    </w:p>
    <w:p w14:paraId="7BAFCB3F" w14:textId="77777777" w:rsidR="009828D2" w:rsidRDefault="009828D2" w:rsidP="009828D2">
      <w:pPr>
        <w:pStyle w:val="TableHeading"/>
      </w:pPr>
      <w:r w:rsidRPr="005C4BEE">
        <w:t xml:space="preserve">Third party payments from and on behalf of other </w:t>
      </w:r>
      <w:r>
        <w:t>entities</w:t>
      </w:r>
    </w:p>
    <w:p w14:paraId="22152022" w14:textId="77777777" w:rsidR="001145B6" w:rsidRPr="001145B6" w:rsidRDefault="001145B6" w:rsidP="001145B6">
      <w:pPr>
        <w:pStyle w:val="ChartandTableFootnote"/>
        <w:rPr>
          <w:rFonts w:cs="Arial"/>
          <w:szCs w:val="16"/>
        </w:rPr>
      </w:pPr>
      <w:bookmarkStart w:id="440" w:name="_Toc99187547"/>
      <w:r w:rsidRPr="001145B6">
        <w:rPr>
          <w:noProof/>
          <w:lang w:val="en-AU" w:eastAsia="en-AU"/>
        </w:rPr>
        <w:drawing>
          <wp:inline distT="0" distB="0" distL="0" distR="0" wp14:anchorId="50B724A2" wp14:editId="1D054D6B">
            <wp:extent cx="4895850" cy="737656"/>
            <wp:effectExtent l="0" t="0" r="0" b="571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895850" cy="737656"/>
                    </a:xfrm>
                    <a:prstGeom prst="rect">
                      <a:avLst/>
                    </a:prstGeom>
                    <a:noFill/>
                    <a:ln>
                      <a:noFill/>
                    </a:ln>
                  </pic:spPr>
                </pic:pic>
              </a:graphicData>
            </a:graphic>
          </wp:inline>
        </w:drawing>
      </w:r>
      <w:r w:rsidRPr="001145B6">
        <w:rPr>
          <w:rFonts w:cs="Arial"/>
          <w:szCs w:val="16"/>
        </w:rPr>
        <w:t xml:space="preserve"> All figures shown above are GST exclusive - these may not match figures in the cash flow statement.</w:t>
      </w:r>
    </w:p>
    <w:p w14:paraId="1F7E6FBA" w14:textId="77777777" w:rsidR="001145B6" w:rsidRPr="001145B6" w:rsidRDefault="001145B6" w:rsidP="001145B6">
      <w:pPr>
        <w:pStyle w:val="ChartandTableFootnote"/>
        <w:rPr>
          <w:rFonts w:cs="Arial"/>
          <w:szCs w:val="16"/>
        </w:rPr>
      </w:pPr>
      <w:r w:rsidRPr="001145B6">
        <w:rPr>
          <w:rFonts w:cs="Arial"/>
          <w:szCs w:val="16"/>
        </w:rPr>
        <w:t>Prepared on a resourcing (</w:t>
      </w:r>
      <w:r w:rsidRPr="001145B6">
        <w:rPr>
          <w:rFonts w:cs="Arial"/>
          <w:szCs w:val="16"/>
          <w:lang w:val="en-AU"/>
        </w:rPr>
        <w:t>that is,</w:t>
      </w:r>
      <w:r w:rsidRPr="001145B6">
        <w:rPr>
          <w:rFonts w:cs="Arial"/>
          <w:szCs w:val="16"/>
        </w:rPr>
        <w:t xml:space="preserve"> appropriations available) basis.</w:t>
      </w:r>
    </w:p>
    <w:p w14:paraId="5090EEF6" w14:textId="77777777" w:rsidR="001145B6" w:rsidRPr="001145B6" w:rsidRDefault="001145B6" w:rsidP="00392A48">
      <w:pPr>
        <w:pStyle w:val="ListParagraph"/>
        <w:numPr>
          <w:ilvl w:val="0"/>
          <w:numId w:val="158"/>
        </w:numPr>
        <w:rPr>
          <w:rFonts w:ascii="Arial" w:hAnsi="Arial" w:cs="Arial"/>
          <w:sz w:val="16"/>
          <w:szCs w:val="16"/>
          <w:lang w:val="x-none" w:eastAsia="x-none"/>
        </w:rPr>
      </w:pPr>
      <w:r w:rsidRPr="001145B6">
        <w:rPr>
          <w:rFonts w:ascii="Arial" w:hAnsi="Arial" w:cs="Arial"/>
          <w:sz w:val="16"/>
          <w:szCs w:val="16"/>
          <w:lang w:val="x-none" w:eastAsia="x-none"/>
        </w:rPr>
        <w:t>Annual appropriation amounts appearing for the 2021-22 estimated actual exclude amounts in Appropriation Bill (no.3) 2021-22, which is yet to receive Royal Assent.</w:t>
      </w:r>
    </w:p>
    <w:p w14:paraId="632C3CA4" w14:textId="77777777" w:rsidR="008B777D" w:rsidRDefault="001145B6" w:rsidP="00392A48">
      <w:pPr>
        <w:pStyle w:val="ListParagraph"/>
        <w:numPr>
          <w:ilvl w:val="0"/>
          <w:numId w:val="158"/>
        </w:numPr>
        <w:rPr>
          <w:rFonts w:ascii="Arial" w:hAnsi="Arial" w:cs="Arial"/>
          <w:sz w:val="16"/>
          <w:szCs w:val="16"/>
          <w:lang w:val="x-none" w:eastAsia="x-none"/>
        </w:rPr>
      </w:pPr>
      <w:r w:rsidRPr="001145B6">
        <w:rPr>
          <w:rFonts w:ascii="Arial" w:hAnsi="Arial" w:cs="Arial"/>
          <w:sz w:val="16"/>
          <w:szCs w:val="16"/>
          <w:lang w:val="x-none" w:eastAsia="x-none"/>
        </w:rPr>
        <w:t>Appropriation Bill (No. 1) 2022-23.</w:t>
      </w:r>
    </w:p>
    <w:p w14:paraId="331F4149" w14:textId="77777777" w:rsidR="001145B6" w:rsidRPr="001145B6" w:rsidRDefault="001145B6" w:rsidP="00392A48">
      <w:pPr>
        <w:pStyle w:val="ListParagraph"/>
        <w:numPr>
          <w:ilvl w:val="0"/>
          <w:numId w:val="158"/>
        </w:numPr>
        <w:rPr>
          <w:rFonts w:ascii="Arial" w:hAnsi="Arial" w:cs="Arial"/>
          <w:sz w:val="16"/>
          <w:szCs w:val="16"/>
          <w:lang w:val="x-none" w:eastAsia="x-none"/>
        </w:rPr>
      </w:pPr>
      <w:r w:rsidRPr="001145B6">
        <w:rPr>
          <w:rFonts w:ascii="Arial" w:hAnsi="Arial" w:cs="Arial"/>
          <w:sz w:val="16"/>
          <w:szCs w:val="16"/>
          <w:lang w:val="x-none" w:eastAsia="x-none"/>
        </w:rPr>
        <w:t xml:space="preserve">Excludes departmental capital buget (DCB). </w:t>
      </w:r>
    </w:p>
    <w:p w14:paraId="511861F7" w14:textId="77777777" w:rsidR="007C29A7" w:rsidRPr="007C29A7" w:rsidRDefault="001145B6" w:rsidP="00392A48">
      <w:pPr>
        <w:pStyle w:val="ListParagraph"/>
        <w:numPr>
          <w:ilvl w:val="0"/>
          <w:numId w:val="158"/>
        </w:numPr>
        <w:rPr>
          <w:rFonts w:ascii="Arial" w:hAnsi="Arial" w:cs="Arial"/>
          <w:sz w:val="16"/>
          <w:szCs w:val="16"/>
          <w:lang w:val="x-none" w:eastAsia="x-none"/>
        </w:rPr>
      </w:pPr>
      <w:r w:rsidRPr="001145B6">
        <w:rPr>
          <w:rFonts w:ascii="Arial" w:hAnsi="Arial" w:cs="Arial"/>
          <w:sz w:val="16"/>
          <w:szCs w:val="16"/>
          <w:lang w:val="en-AU" w:eastAsia="x-none"/>
        </w:rPr>
        <w:t>E</w:t>
      </w:r>
      <w:r w:rsidRPr="001145B6">
        <w:rPr>
          <w:rFonts w:ascii="Arial" w:hAnsi="Arial" w:cs="Arial"/>
          <w:sz w:val="16"/>
          <w:szCs w:val="16"/>
          <w:lang w:val="x-none" w:eastAsia="x-none"/>
        </w:rPr>
        <w:t xml:space="preserve">stimated external revenue receipts under section 74 of the </w:t>
      </w:r>
      <w:r w:rsidRPr="00151321">
        <w:rPr>
          <w:rFonts w:ascii="Arial" w:hAnsi="Arial" w:cs="Arial"/>
          <w:i/>
          <w:color w:val="000000"/>
          <w:sz w:val="16"/>
          <w:szCs w:val="16"/>
        </w:rPr>
        <w:t>Public Governance Performance and Accountability Act 2013</w:t>
      </w:r>
      <w:r w:rsidRPr="001145B6">
        <w:rPr>
          <w:rFonts w:ascii="Arial" w:hAnsi="Arial" w:cs="Arial"/>
          <w:color w:val="000000"/>
          <w:sz w:val="16"/>
          <w:szCs w:val="16"/>
        </w:rPr>
        <w:t xml:space="preserve"> (PGPA Act).</w:t>
      </w:r>
    </w:p>
    <w:p w14:paraId="2F730F68" w14:textId="77777777" w:rsidR="007C29A7" w:rsidRPr="007C29A7" w:rsidRDefault="001145B6" w:rsidP="00392A48">
      <w:pPr>
        <w:pStyle w:val="ListParagraph"/>
        <w:numPr>
          <w:ilvl w:val="0"/>
          <w:numId w:val="158"/>
        </w:numPr>
        <w:rPr>
          <w:rFonts w:ascii="Arial" w:hAnsi="Arial" w:cs="Arial"/>
          <w:sz w:val="16"/>
          <w:szCs w:val="16"/>
          <w:lang w:val="x-none" w:eastAsia="x-none"/>
        </w:rPr>
      </w:pPr>
      <w:r w:rsidRPr="007C29A7">
        <w:rPr>
          <w:rFonts w:ascii="Arial" w:hAnsi="Arial" w:cs="Arial"/>
          <w:sz w:val="16"/>
          <w:szCs w:val="16"/>
          <w:lang w:val="x-none" w:eastAsia="x-none"/>
        </w:rPr>
        <w:t>Includes cash received by related entities for pass through costs.</w:t>
      </w:r>
      <w:r w:rsidRPr="007C29A7">
        <w:rPr>
          <w:rFonts w:ascii="Arial" w:hAnsi="Arial" w:cs="Arial"/>
          <w:sz w:val="16"/>
          <w:szCs w:val="16"/>
          <w:lang w:val="x-none" w:eastAsia="x-none"/>
        </w:rPr>
        <w:tab/>
      </w:r>
    </w:p>
    <w:p w14:paraId="6C22D7FA" w14:textId="77777777" w:rsidR="009828D2" w:rsidRPr="007C29A7" w:rsidRDefault="009828D2" w:rsidP="007C29A7">
      <w:pPr>
        <w:pStyle w:val="Heading3"/>
        <w:rPr>
          <w:rFonts w:ascii="Arial" w:hAnsi="Arial" w:cs="Arial"/>
          <w:sz w:val="16"/>
          <w:szCs w:val="16"/>
          <w:lang w:val="x-none" w:eastAsia="x-none"/>
        </w:rPr>
      </w:pPr>
      <w:r>
        <w:br w:type="page"/>
      </w:r>
      <w:bookmarkStart w:id="441" w:name="_Toc98932889"/>
      <w:bookmarkStart w:id="442" w:name="_Toc99008145"/>
      <w:bookmarkStart w:id="443" w:name="_Toc99009507"/>
      <w:bookmarkStart w:id="444" w:name="_Toc99010735"/>
      <w:bookmarkStart w:id="445" w:name="_Toc99013970"/>
      <w:bookmarkStart w:id="446" w:name="_Toc99269657"/>
      <w:r w:rsidRPr="005A7C0B">
        <w:t>1.3</w:t>
      </w:r>
      <w:r w:rsidRPr="005A7C0B">
        <w:tab/>
        <w:t>Budget measures</w:t>
      </w:r>
      <w:bookmarkEnd w:id="440"/>
      <w:bookmarkEnd w:id="441"/>
      <w:bookmarkEnd w:id="442"/>
      <w:bookmarkEnd w:id="443"/>
      <w:bookmarkEnd w:id="444"/>
      <w:bookmarkEnd w:id="445"/>
      <w:bookmarkEnd w:id="446"/>
    </w:p>
    <w:p w14:paraId="0FC491CD" w14:textId="77777777" w:rsidR="009828D2" w:rsidRDefault="009828D2" w:rsidP="009828D2">
      <w:r w:rsidRPr="00DC32EC">
        <w:t xml:space="preserve">Budget measures </w:t>
      </w:r>
      <w:r>
        <w:t xml:space="preserve">in Part 1 </w:t>
      </w:r>
      <w:r w:rsidRPr="00DC32EC">
        <w:t>relating to</w:t>
      </w:r>
      <w:r>
        <w:t xml:space="preserve"> Digital Transformation Agency</w:t>
      </w:r>
      <w:r w:rsidR="007C29A7">
        <w:t xml:space="preserve"> (DTA)</w:t>
      </w:r>
      <w:r>
        <w:t xml:space="preserve"> </w:t>
      </w:r>
      <w:r w:rsidRPr="00DC32EC">
        <w:t>a</w:t>
      </w:r>
      <w:r>
        <w:t>re detailed in Budget Paper No. </w:t>
      </w:r>
      <w:r w:rsidRPr="00DC32EC">
        <w:t>2</w:t>
      </w:r>
      <w:r>
        <w:t xml:space="preserve"> and are summarised below.</w:t>
      </w:r>
    </w:p>
    <w:p w14:paraId="031A223E" w14:textId="77777777" w:rsidR="009828D2" w:rsidRPr="009A40DD" w:rsidRDefault="009828D2" w:rsidP="009828D2">
      <w:pPr>
        <w:pStyle w:val="TableHeading"/>
      </w:pPr>
      <w:r w:rsidRPr="009A40DD">
        <w:t xml:space="preserve">Table 1.2: </w:t>
      </w:r>
      <w:r w:rsidR="007C29A7">
        <w:rPr>
          <w:lang w:val="en-GB"/>
        </w:rPr>
        <w:t>DTA</w:t>
      </w:r>
      <w:r w:rsidRPr="009A40DD">
        <w:t xml:space="preserve"> </w:t>
      </w:r>
      <w:r>
        <w:rPr>
          <w:lang w:val="en-AU"/>
        </w:rPr>
        <w:t xml:space="preserve">2022-23 </w:t>
      </w:r>
      <w:r w:rsidRPr="009A40DD">
        <w:t>Budget measures</w:t>
      </w:r>
    </w:p>
    <w:p w14:paraId="1CA063EA" w14:textId="77777777" w:rsidR="009828D2" w:rsidRDefault="009828D2" w:rsidP="009828D2">
      <w:pPr>
        <w:pStyle w:val="TableGraphic"/>
        <w:jc w:val="left"/>
      </w:pPr>
      <w:r>
        <w:rPr>
          <w:rFonts w:ascii="Arial Bold" w:hAnsi="Arial Bold"/>
          <w:b/>
        </w:rPr>
        <w:t xml:space="preserve">Part 1: </w:t>
      </w: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2021-22 Mid-Year Economic and Fiscal Outlook (MYEFO)</w:t>
      </w:r>
    </w:p>
    <w:p w14:paraId="5025D51C" w14:textId="77777777" w:rsidR="009828D2" w:rsidRDefault="007C29A7" w:rsidP="009828D2">
      <w:pPr>
        <w:pStyle w:val="ChartandTableFootnote"/>
      </w:pPr>
      <w:r w:rsidRPr="007C29A7">
        <w:rPr>
          <w:noProof/>
          <w:lang w:val="en-AU" w:eastAsia="en-AU"/>
        </w:rPr>
        <w:drawing>
          <wp:inline distT="0" distB="0" distL="0" distR="0" wp14:anchorId="6F77D14B" wp14:editId="62A518C3">
            <wp:extent cx="4895850" cy="1123191"/>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95850" cy="1123191"/>
                    </a:xfrm>
                    <a:prstGeom prst="rect">
                      <a:avLst/>
                    </a:prstGeom>
                    <a:noFill/>
                    <a:ln>
                      <a:noFill/>
                    </a:ln>
                  </pic:spPr>
                </pic:pic>
              </a:graphicData>
            </a:graphic>
          </wp:inline>
        </w:drawing>
      </w:r>
    </w:p>
    <w:p w14:paraId="566D807E" w14:textId="77777777" w:rsidR="009828D2" w:rsidRPr="00704BB6" w:rsidRDefault="009828D2" w:rsidP="009828D2">
      <w:pPr>
        <w:pStyle w:val="ChartandTableFootnote"/>
      </w:pPr>
      <w:r w:rsidRPr="00704BB6">
        <w:t>Prepared on a Government Finance Statistics (Underlying Cash) basis. Figures displayed as a negative (-) represent a decrease in funds and a positive (+) represent an increase in funds.</w:t>
      </w:r>
    </w:p>
    <w:p w14:paraId="41E73C23" w14:textId="77777777" w:rsidR="008B777D" w:rsidRDefault="008B777D" w:rsidP="008B777D">
      <w:pPr>
        <w:pStyle w:val="ListParagraph"/>
        <w:numPr>
          <w:ilvl w:val="4"/>
          <w:numId w:val="108"/>
        </w:numPr>
        <w:spacing w:after="0" w:line="240" w:lineRule="auto"/>
        <w:rPr>
          <w:rFonts w:ascii="Arial" w:hAnsi="Arial" w:cs="Arial"/>
          <w:color w:val="000000"/>
          <w:sz w:val="16"/>
          <w:szCs w:val="16"/>
        </w:rPr>
      </w:pPr>
      <w:r w:rsidRPr="003F4258">
        <w:rPr>
          <w:rFonts w:ascii="Arial" w:hAnsi="Arial" w:cs="Arial"/>
          <w:color w:val="000000"/>
          <w:sz w:val="16"/>
          <w:szCs w:val="16"/>
        </w:rPr>
        <w:t xml:space="preserve">The </w:t>
      </w:r>
      <w:r>
        <w:rPr>
          <w:rFonts w:ascii="Arial" w:hAnsi="Arial" w:cs="Arial"/>
          <w:color w:val="000000"/>
          <w:sz w:val="16"/>
          <w:szCs w:val="16"/>
        </w:rPr>
        <w:t>lead entity for the measure titled Digital Economy Strategy is the Department of the Prime Minister and Cabinet</w:t>
      </w:r>
      <w:r w:rsidRPr="003F4258">
        <w:rPr>
          <w:rFonts w:ascii="Arial" w:hAnsi="Arial" w:cs="Arial"/>
          <w:color w:val="000000"/>
          <w:sz w:val="16"/>
          <w:szCs w:val="16"/>
        </w:rPr>
        <w:t xml:space="preserve">. The full measure description and package details appear in Budget Paper No. </w:t>
      </w:r>
      <w:r>
        <w:rPr>
          <w:rFonts w:ascii="Arial" w:hAnsi="Arial" w:cs="Arial"/>
          <w:color w:val="000000"/>
          <w:sz w:val="16"/>
          <w:szCs w:val="16"/>
        </w:rPr>
        <w:t>2 under the Department of the Prime Minister and Cabinet.</w:t>
      </w:r>
    </w:p>
    <w:p w14:paraId="5EFAE6CD" w14:textId="77777777" w:rsidR="009828D2" w:rsidRDefault="009828D2" w:rsidP="009828D2">
      <w:pPr>
        <w:spacing w:after="0" w:line="240" w:lineRule="auto"/>
        <w:jc w:val="left"/>
        <w:rPr>
          <w:rFonts w:ascii="Arial Bold" w:hAnsi="Arial Bold"/>
          <w:b/>
        </w:rPr>
      </w:pPr>
      <w:r>
        <w:br w:type="page"/>
      </w:r>
    </w:p>
    <w:p w14:paraId="5A752960" w14:textId="77777777" w:rsidR="009828D2" w:rsidRPr="00810C6A" w:rsidRDefault="009828D2" w:rsidP="009828D2">
      <w:pPr>
        <w:pStyle w:val="Heading2"/>
      </w:pPr>
      <w:bookmarkStart w:id="447" w:name="_Toc98932890"/>
      <w:bookmarkStart w:id="448" w:name="_Toc99008146"/>
      <w:bookmarkStart w:id="449" w:name="_Toc99009508"/>
      <w:bookmarkStart w:id="450" w:name="_Toc99010736"/>
      <w:bookmarkStart w:id="451" w:name="_Toc99013971"/>
      <w:bookmarkStart w:id="452" w:name="_Toc99187548"/>
      <w:bookmarkStart w:id="453" w:name="_Toc99269658"/>
      <w:r w:rsidRPr="00810C6A">
        <w:t>Section 2: Outcomes and planned performance</w:t>
      </w:r>
      <w:bookmarkEnd w:id="447"/>
      <w:bookmarkEnd w:id="448"/>
      <w:bookmarkEnd w:id="449"/>
      <w:bookmarkEnd w:id="450"/>
      <w:bookmarkEnd w:id="451"/>
      <w:bookmarkEnd w:id="452"/>
      <w:bookmarkEnd w:id="453"/>
    </w:p>
    <w:p w14:paraId="5BC13F16" w14:textId="77777777" w:rsidR="009828D2" w:rsidRPr="005E6F2B" w:rsidRDefault="009828D2" w:rsidP="009828D2">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F9E0875" w14:textId="77777777" w:rsidR="009828D2" w:rsidRDefault="009828D2" w:rsidP="009828D2">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9828D2" w14:paraId="5CF01F88" w14:textId="77777777" w:rsidTr="002F7A80">
        <w:tc>
          <w:tcPr>
            <w:tcW w:w="7700" w:type="dxa"/>
          </w:tcPr>
          <w:p w14:paraId="0CB745B3" w14:textId="77777777" w:rsidR="009828D2" w:rsidRPr="006906E4" w:rsidRDefault="009828D2" w:rsidP="002F7A80">
            <w:pPr>
              <w:spacing w:before="120" w:after="120" w:line="240" w:lineRule="auto"/>
              <w:rPr>
                <w:b/>
              </w:rPr>
            </w:pPr>
            <w:r w:rsidRPr="006906E4">
              <w:rPr>
                <w:b/>
              </w:rPr>
              <w:t>Note:</w:t>
            </w:r>
          </w:p>
          <w:p w14:paraId="6DF9ABA8" w14:textId="77777777" w:rsidR="009828D2" w:rsidRDefault="009828D2" w:rsidP="002F7A80">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1E3B3EC0" w14:textId="77777777" w:rsidR="009828D2" w:rsidRDefault="009828D2" w:rsidP="002F7A80">
            <w:r>
              <w:t xml:space="preserve">The most recent corporate plan for </w:t>
            </w:r>
            <w:r w:rsidR="007C29A7">
              <w:t>the DTA</w:t>
            </w:r>
            <w:r>
              <w:t xml:space="preserve"> Agency can be found at: </w:t>
            </w:r>
            <w:hyperlink r:id="rId194" w:history="1">
              <w:r>
                <w:rPr>
                  <w:rStyle w:val="Hyperlink"/>
                </w:rPr>
                <w:t>www.dta.gov.au</w:t>
              </w:r>
            </w:hyperlink>
            <w:r>
              <w:t>.</w:t>
            </w:r>
          </w:p>
          <w:p w14:paraId="61E302D2" w14:textId="77777777" w:rsidR="009828D2" w:rsidRDefault="009828D2" w:rsidP="002F7A80">
            <w:r>
              <w:t xml:space="preserve">The most recent annual performance statement can be found at: </w:t>
            </w:r>
            <w:hyperlink r:id="rId195" w:history="1">
              <w:r>
                <w:rPr>
                  <w:rStyle w:val="Hyperlink"/>
                </w:rPr>
                <w:t>www.dta.gov.au</w:t>
              </w:r>
            </w:hyperlink>
            <w:r>
              <w:t>.</w:t>
            </w:r>
          </w:p>
        </w:tc>
      </w:tr>
    </w:tbl>
    <w:p w14:paraId="02F69E2B" w14:textId="77777777" w:rsidR="009828D2" w:rsidRDefault="009828D2" w:rsidP="009828D2">
      <w:pPr>
        <w:rPr>
          <w:highlight w:val="yellow"/>
        </w:rPr>
      </w:pPr>
    </w:p>
    <w:p w14:paraId="4A1E9177" w14:textId="77777777" w:rsidR="009828D2" w:rsidRDefault="009828D2" w:rsidP="009828D2">
      <w:pPr>
        <w:pStyle w:val="Heading3"/>
        <w:sectPr w:rsidR="009828D2" w:rsidSect="00154F73">
          <w:headerReference w:type="even" r:id="rId196"/>
          <w:headerReference w:type="default" r:id="rId197"/>
          <w:footerReference w:type="even" r:id="rId198"/>
          <w:footerReference w:type="default" r:id="rId199"/>
          <w:footerReference w:type="first" r:id="rId200"/>
          <w:pgSz w:w="11906" w:h="16838" w:code="9"/>
          <w:pgMar w:top="2835" w:right="2098" w:bottom="2466" w:left="2098" w:header="1814" w:footer="1814" w:gutter="0"/>
          <w:cols w:space="708"/>
          <w:titlePg/>
          <w:docGrid w:linePitch="360"/>
        </w:sectPr>
      </w:pPr>
    </w:p>
    <w:p w14:paraId="11BF64C4" w14:textId="77777777" w:rsidR="009828D2" w:rsidRPr="00F743D8" w:rsidRDefault="009828D2" w:rsidP="009828D2">
      <w:pPr>
        <w:pStyle w:val="Heading3"/>
      </w:pPr>
      <w:bookmarkStart w:id="454" w:name="_Toc98932891"/>
      <w:bookmarkStart w:id="455" w:name="_Toc99008147"/>
      <w:bookmarkStart w:id="456" w:name="_Toc99009509"/>
      <w:bookmarkStart w:id="457" w:name="_Toc99010737"/>
      <w:bookmarkStart w:id="458" w:name="_Toc99013972"/>
      <w:bookmarkStart w:id="459" w:name="_Toc99187549"/>
      <w:bookmarkStart w:id="460" w:name="_Toc99269659"/>
      <w:r>
        <w:t>2.1</w:t>
      </w:r>
      <w:r w:rsidRPr="00F743D8">
        <w:t xml:space="preserve"> </w:t>
      </w:r>
      <w:r w:rsidRPr="00F743D8">
        <w:tab/>
        <w:t xml:space="preserve">Budgeted expenses and performance for Outcome </w:t>
      </w:r>
      <w:r>
        <w:t>1</w:t>
      </w:r>
      <w:bookmarkEnd w:id="454"/>
      <w:bookmarkEnd w:id="455"/>
      <w:bookmarkEnd w:id="456"/>
      <w:bookmarkEnd w:id="457"/>
      <w:bookmarkEnd w:id="458"/>
      <w:bookmarkEnd w:id="459"/>
      <w:bookmarkEnd w:id="46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9828D2" w:rsidRPr="005E6F2B" w14:paraId="12D594A0" w14:textId="77777777" w:rsidTr="002F7A80">
        <w:tc>
          <w:tcPr>
            <w:tcW w:w="7704" w:type="dxa"/>
            <w:shd w:val="clear" w:color="auto" w:fill="E6E6E6"/>
          </w:tcPr>
          <w:p w14:paraId="76897836" w14:textId="77777777" w:rsidR="009828D2" w:rsidRPr="005E6F2B" w:rsidRDefault="009828D2" w:rsidP="002F7A80">
            <w:pPr>
              <w:pStyle w:val="TableColumnHeadingLeft"/>
            </w:pPr>
            <w:r w:rsidRPr="002A49B8">
              <w:t>Outcome 1: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r w:rsidR="00E7089F">
              <w:t>.</w:t>
            </w:r>
          </w:p>
        </w:tc>
      </w:tr>
    </w:tbl>
    <w:p w14:paraId="26B36BE8" w14:textId="77777777" w:rsidR="009828D2" w:rsidRPr="005E6F2B" w:rsidRDefault="009828D2" w:rsidP="009828D2">
      <w:pPr>
        <w:pStyle w:val="NoSpacing"/>
      </w:pPr>
    </w:p>
    <w:p w14:paraId="4C3F7C72" w14:textId="77777777" w:rsidR="009828D2" w:rsidRPr="00446612" w:rsidRDefault="009828D2" w:rsidP="009828D2">
      <w:pPr>
        <w:pStyle w:val="Heading5"/>
      </w:pPr>
      <w:r w:rsidRPr="00446612">
        <w:t xml:space="preserve">Budgeted expenses for Outcome </w:t>
      </w:r>
      <w:r>
        <w:t>1</w:t>
      </w:r>
    </w:p>
    <w:p w14:paraId="3A960119" w14:textId="77777777" w:rsidR="009828D2" w:rsidRDefault="009828D2" w:rsidP="009828D2">
      <w:r w:rsidRPr="00950281">
        <w:t xml:space="preserve">This table shows how much the </w:t>
      </w:r>
      <w:r>
        <w:t>DTA</w:t>
      </w:r>
      <w:r w:rsidRPr="00950281">
        <w:t xml:space="preserve"> intends to spend (on an accrual basis) on achieving the outcome, broken </w:t>
      </w:r>
      <w:r w:rsidR="007C29A7">
        <w:t>down by program, as well as by a</w:t>
      </w:r>
      <w:r w:rsidRPr="00950281">
        <w:t>dministered an</w:t>
      </w:r>
      <w:r w:rsidR="007C29A7">
        <w:t>d d</w:t>
      </w:r>
      <w:r>
        <w:t>epartmental funding sources.</w:t>
      </w:r>
    </w:p>
    <w:p w14:paraId="27B4F433" w14:textId="77777777" w:rsidR="009828D2" w:rsidRPr="00F66C6C" w:rsidRDefault="009828D2" w:rsidP="009828D2">
      <w:pPr>
        <w:spacing w:after="0"/>
        <w:rPr>
          <w:rFonts w:ascii="Arial" w:hAnsi="Arial" w:cs="Arial"/>
          <w:b/>
        </w:rPr>
      </w:pPr>
      <w:r w:rsidRPr="00F66C6C">
        <w:rPr>
          <w:rFonts w:ascii="Arial" w:hAnsi="Arial" w:cs="Arial"/>
          <w:b/>
        </w:rPr>
        <w:t>Table 2.1.1: Budgeted expenses for Outcome 1</w:t>
      </w:r>
    </w:p>
    <w:p w14:paraId="64091361" w14:textId="77777777" w:rsidR="009828D2" w:rsidRDefault="00E7089F" w:rsidP="009828D2">
      <w:pPr>
        <w:pStyle w:val="TableHeading"/>
      </w:pPr>
      <w:r w:rsidRPr="00E7089F">
        <w:rPr>
          <w:noProof/>
          <w:lang w:val="en-AU" w:eastAsia="en-AU"/>
        </w:rPr>
        <w:drawing>
          <wp:inline distT="0" distB="0" distL="0" distR="0" wp14:anchorId="72B3EE0B" wp14:editId="7BC009D6">
            <wp:extent cx="4895850" cy="2135844"/>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95850" cy="2135844"/>
                    </a:xfrm>
                    <a:prstGeom prst="rect">
                      <a:avLst/>
                    </a:prstGeom>
                    <a:noFill/>
                    <a:ln>
                      <a:noFill/>
                    </a:ln>
                  </pic:spPr>
                </pic:pic>
              </a:graphicData>
            </a:graphic>
          </wp:inline>
        </w:drawing>
      </w:r>
    </w:p>
    <w:p w14:paraId="4B395BAF" w14:textId="77777777" w:rsidR="009828D2" w:rsidRDefault="009828D2" w:rsidP="008A2254">
      <w:pPr>
        <w:pStyle w:val="TableHeading"/>
        <w:numPr>
          <w:ilvl w:val="0"/>
          <w:numId w:val="58"/>
        </w:numPr>
        <w:ind w:left="284" w:hanging="284"/>
        <w:rPr>
          <w:b w:val="0"/>
          <w:sz w:val="16"/>
        </w:rPr>
      </w:pPr>
      <w:r w:rsidRPr="00887BC9">
        <w:rPr>
          <w:b w:val="0"/>
          <w:sz w:val="16"/>
        </w:rPr>
        <w:t>Estimated expenses incurred in relation to receipts retained under section 74 of the PGPA Act.</w:t>
      </w:r>
    </w:p>
    <w:p w14:paraId="727F348B" w14:textId="77777777" w:rsidR="009828D2" w:rsidRPr="00807B30" w:rsidRDefault="009828D2" w:rsidP="008A2254">
      <w:pPr>
        <w:pStyle w:val="TableHeading"/>
        <w:numPr>
          <w:ilvl w:val="0"/>
          <w:numId w:val="58"/>
        </w:numPr>
        <w:ind w:left="284" w:hanging="284"/>
        <w:rPr>
          <w:b w:val="0"/>
          <w:sz w:val="16"/>
        </w:rPr>
      </w:pPr>
      <w:r w:rsidRPr="00E94098">
        <w:rPr>
          <w:b w:val="0"/>
          <w:sz w:val="16"/>
        </w:rPr>
        <w:t>Expenses not requiring appropriation in the Budget year are made up of depreciation and amortisation expenses, resources received free of charge and expenses where funding has been provided in a prior year</w:t>
      </w:r>
      <w:r w:rsidRPr="00702E4C">
        <w:rPr>
          <w:b w:val="0"/>
          <w:sz w:val="16"/>
        </w:rPr>
        <w:t>.</w:t>
      </w:r>
    </w:p>
    <w:p w14:paraId="150FAEE3" w14:textId="77777777" w:rsidR="009828D2" w:rsidRPr="00E94098" w:rsidRDefault="009828D2" w:rsidP="009828D2">
      <w:pPr>
        <w:pStyle w:val="ChartandTableFootnote"/>
      </w:pPr>
      <w:r w:rsidRPr="00446612">
        <w:t xml:space="preserve">Note: Departmental appropriation splits and totals are indicative estimates and may change in the course of the </w:t>
      </w:r>
      <w:r w:rsidR="004C12AF">
        <w:t>Budget year</w:t>
      </w:r>
      <w:r w:rsidRPr="00446612">
        <w:t xml:space="preserve"> as government priorities change.</w:t>
      </w:r>
    </w:p>
    <w:p w14:paraId="15B4EDA5" w14:textId="77777777" w:rsidR="009828D2" w:rsidRDefault="009828D2" w:rsidP="009828D2"/>
    <w:p w14:paraId="590D88BD" w14:textId="77777777" w:rsidR="009828D2" w:rsidRPr="00133396" w:rsidRDefault="009828D2" w:rsidP="009828D2">
      <w:pPr>
        <w:pStyle w:val="TableHeading"/>
      </w:pPr>
      <w:r>
        <w:br w:type="page"/>
      </w:r>
    </w:p>
    <w:p w14:paraId="7743A488" w14:textId="77777777" w:rsidR="009828D2" w:rsidRPr="002B2E6E" w:rsidRDefault="009828D2" w:rsidP="009828D2">
      <w:pPr>
        <w:pStyle w:val="TableHeading"/>
        <w:rPr>
          <w:rFonts w:cs="Arial"/>
          <w:b w:val="0"/>
          <w:color w:val="auto"/>
          <w:sz w:val="16"/>
          <w:szCs w:val="16"/>
          <w:bdr w:val="none" w:sz="0" w:space="0" w:color="auto" w:frame="1"/>
          <w:lang w:val="en-AU" w:eastAsia="en-AU"/>
        </w:rPr>
      </w:pPr>
      <w:r w:rsidRPr="00133396">
        <w:t>Table 2.1.2: Performance measure for Outcome 1</w:t>
      </w:r>
    </w:p>
    <w:p w14:paraId="790BE87E" w14:textId="77777777" w:rsidR="009828D2" w:rsidRPr="007C29A7" w:rsidRDefault="009828D2" w:rsidP="009828D2">
      <w:pPr>
        <w:rPr>
          <w:rFonts w:cs="Arial"/>
          <w:szCs w:val="16"/>
          <w:bdr w:val="none" w:sz="0" w:space="0" w:color="auto" w:frame="1"/>
        </w:rPr>
      </w:pPr>
      <w:r w:rsidRPr="007C29A7">
        <w:rPr>
          <w:rFonts w:cs="Arial"/>
          <w:szCs w:val="16"/>
          <w:bdr w:val="none" w:sz="0" w:space="0" w:color="auto" w:frame="1"/>
        </w:rPr>
        <w:t xml:space="preserve">Table 2.1.2 details the performance measures for each </w:t>
      </w:r>
      <w:r w:rsidR="00E7089F">
        <w:rPr>
          <w:rFonts w:cs="Arial"/>
          <w:szCs w:val="16"/>
          <w:bdr w:val="none" w:sz="0" w:space="0" w:color="auto" w:frame="1"/>
        </w:rPr>
        <w:t>program associated with Outcome </w:t>
      </w:r>
      <w:r w:rsidRPr="007C29A7">
        <w:rPr>
          <w:rFonts w:cs="Arial"/>
          <w:szCs w:val="16"/>
          <w:bdr w:val="none" w:sz="0" w:space="0" w:color="auto" w:frame="1"/>
        </w:rPr>
        <w:t xml:space="preserve">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2022-23 Budget measures that have created new programs or materially changed existing programs are provided.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9828D2" w:rsidRPr="002B2E6E" w14:paraId="1DCE2D92" w14:textId="77777777" w:rsidTr="002F7A80">
        <w:trPr>
          <w:trHeight w:val="569"/>
          <w:tblHeader/>
        </w:trPr>
        <w:tc>
          <w:tcPr>
            <w:tcW w:w="7796" w:type="dxa"/>
            <w:gridSpan w:val="3"/>
            <w:shd w:val="clear" w:color="auto" w:fill="F2F2F2"/>
          </w:tcPr>
          <w:p w14:paraId="58E329F9" w14:textId="77777777" w:rsidR="009828D2" w:rsidRPr="007C29A7" w:rsidRDefault="009828D2" w:rsidP="002F7A80">
            <w:pPr>
              <w:pStyle w:val="TableColumnHeadingLeft"/>
              <w:rPr>
                <w:rFonts w:cs="Arial"/>
                <w:sz w:val="16"/>
                <w:szCs w:val="16"/>
                <w:bdr w:val="none" w:sz="0" w:space="0" w:color="auto" w:frame="1"/>
              </w:rPr>
            </w:pPr>
            <w:r w:rsidRPr="00E7089F">
              <w:rPr>
                <w:rFonts w:cs="Arial"/>
                <w:sz w:val="18"/>
                <w:szCs w:val="16"/>
                <w:bdr w:val="none" w:sz="0" w:space="0" w:color="auto" w:frame="1"/>
              </w:rPr>
              <w:t xml:space="preserve">Outcome 1 – </w:t>
            </w:r>
            <w:r w:rsidR="007C29A7" w:rsidRPr="00E7089F">
              <w:rPr>
                <w:rFonts w:cs="Arial"/>
                <w:sz w:val="18"/>
                <w:szCs w:val="16"/>
                <w:bdr w:val="none" w:sz="0" w:space="0" w:color="auto" w:frame="1"/>
              </w:rPr>
              <w:t>Support the G</w:t>
            </w:r>
            <w:r w:rsidRPr="00E7089F">
              <w:rPr>
                <w:rFonts w:cs="Arial"/>
                <w:sz w:val="18"/>
                <w:szCs w:val="16"/>
                <w:bdr w:val="none" w:sz="0" w:space="0" w:color="auto" w:frame="1"/>
              </w:rPr>
              <w:t>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9828D2" w:rsidRPr="002B2E6E" w14:paraId="4ABCC760" w14:textId="77777777" w:rsidTr="002F7A80">
        <w:trPr>
          <w:trHeight w:val="522"/>
          <w:tblHeader/>
        </w:trPr>
        <w:tc>
          <w:tcPr>
            <w:tcW w:w="7796" w:type="dxa"/>
            <w:gridSpan w:val="3"/>
            <w:shd w:val="clear" w:color="auto" w:fill="F2F2F2"/>
          </w:tcPr>
          <w:p w14:paraId="09B6F40A" w14:textId="77777777" w:rsidR="009828D2" w:rsidRPr="002B2E6E" w:rsidRDefault="009828D2" w:rsidP="002F7A80">
            <w:pPr>
              <w:pStyle w:val="TableTextLeft"/>
              <w:rPr>
                <w:rFonts w:cs="Arial"/>
                <w:sz w:val="16"/>
                <w:szCs w:val="16"/>
                <w:bdr w:val="none" w:sz="0" w:space="0" w:color="auto" w:frame="1"/>
              </w:rPr>
            </w:pPr>
            <w:r w:rsidRPr="00E7089F">
              <w:rPr>
                <w:rFonts w:cs="Arial"/>
                <w:b/>
                <w:szCs w:val="16"/>
                <w:bdr w:val="none" w:sz="0" w:space="0" w:color="auto" w:frame="1"/>
              </w:rPr>
              <w:t>Program 1.1</w:t>
            </w:r>
            <w:r w:rsidRPr="00E7089F">
              <w:rPr>
                <w:rFonts w:cs="Arial"/>
                <w:szCs w:val="16"/>
                <w:bdr w:val="none" w:sz="0" w:space="0" w:color="auto" w:frame="1"/>
              </w:rPr>
              <w:t xml:space="preserve"> - The objective of this program is to provide strategic and policy leadership and investment advice as a trusted advisor on digital and ICT investment decisions through oversight to drive government digital transformation that delivers benefits to all Australians.</w:t>
            </w:r>
          </w:p>
        </w:tc>
      </w:tr>
      <w:tr w:rsidR="009828D2" w:rsidRPr="002B2E6E" w14:paraId="3B658491" w14:textId="77777777" w:rsidTr="002F7A80">
        <w:trPr>
          <w:trHeight w:val="694"/>
        </w:trPr>
        <w:tc>
          <w:tcPr>
            <w:tcW w:w="1560" w:type="dxa"/>
            <w:tcBorders>
              <w:bottom w:val="double" w:sz="4" w:space="0" w:color="auto"/>
            </w:tcBorders>
          </w:tcPr>
          <w:p w14:paraId="47397A01" w14:textId="77777777" w:rsidR="009828D2" w:rsidRPr="007C29A7" w:rsidRDefault="00A816FA" w:rsidP="007C29A7">
            <w:pPr>
              <w:tabs>
                <w:tab w:val="left" w:pos="709"/>
              </w:tabs>
              <w:spacing w:before="60"/>
              <w:rPr>
                <w:rFonts w:ascii="Arial" w:hAnsi="Arial" w:cs="Arial"/>
                <w:b/>
                <w:sz w:val="16"/>
                <w:szCs w:val="16"/>
                <w:bdr w:val="none" w:sz="0" w:space="0" w:color="auto" w:frame="1"/>
              </w:rPr>
            </w:pPr>
            <w:r w:rsidRPr="007C29A7">
              <w:rPr>
                <w:rFonts w:ascii="Arial" w:hAnsi="Arial" w:cs="Arial"/>
                <w:b/>
                <w:sz w:val="16"/>
                <w:szCs w:val="16"/>
                <w:bdr w:val="none" w:sz="0" w:space="0" w:color="auto" w:frame="1"/>
              </w:rPr>
              <w:t xml:space="preserve">Key </w:t>
            </w:r>
            <w:r w:rsidR="007C29A7" w:rsidRPr="007C29A7">
              <w:rPr>
                <w:rFonts w:ascii="Arial" w:hAnsi="Arial" w:cs="Arial"/>
                <w:b/>
                <w:sz w:val="16"/>
                <w:szCs w:val="16"/>
                <w:bdr w:val="none" w:sz="0" w:space="0" w:color="auto" w:frame="1"/>
              </w:rPr>
              <w:t>a</w:t>
            </w:r>
            <w:r w:rsidRPr="007C29A7">
              <w:rPr>
                <w:rFonts w:ascii="Arial" w:hAnsi="Arial" w:cs="Arial"/>
                <w:b/>
                <w:sz w:val="16"/>
                <w:szCs w:val="16"/>
                <w:bdr w:val="none" w:sz="0" w:space="0" w:color="auto" w:frame="1"/>
              </w:rPr>
              <w:t>ctivities</w:t>
            </w:r>
          </w:p>
        </w:tc>
        <w:tc>
          <w:tcPr>
            <w:tcW w:w="6236" w:type="dxa"/>
            <w:gridSpan w:val="2"/>
            <w:tcBorders>
              <w:bottom w:val="double" w:sz="4" w:space="0" w:color="auto"/>
            </w:tcBorders>
          </w:tcPr>
          <w:p w14:paraId="030A40D3" w14:textId="77777777" w:rsidR="009828D2" w:rsidRPr="002B2E6E" w:rsidRDefault="009828D2" w:rsidP="002F7A80">
            <w:pPr>
              <w:tabs>
                <w:tab w:val="left" w:pos="709"/>
              </w:tabs>
              <w:spacing w:before="60"/>
              <w:rPr>
                <w:rFonts w:ascii="Arial" w:hAnsi="Arial" w:cs="Arial"/>
                <w:sz w:val="16"/>
                <w:szCs w:val="16"/>
                <w:bdr w:val="none" w:sz="0" w:space="0" w:color="auto" w:frame="1"/>
              </w:rPr>
            </w:pPr>
            <w:r w:rsidRPr="002B2E6E">
              <w:rPr>
                <w:rFonts w:ascii="Arial" w:hAnsi="Arial" w:cs="Arial"/>
                <w:sz w:val="16"/>
                <w:szCs w:val="16"/>
                <w:bdr w:val="none" w:sz="0" w:space="0" w:color="auto" w:frame="1"/>
              </w:rPr>
              <w:t>Key activities reported in the current corporate plan that relate to this program.</w:t>
            </w:r>
          </w:p>
        </w:tc>
      </w:tr>
      <w:tr w:rsidR="009828D2" w:rsidRPr="002B2E6E" w14:paraId="695959BD" w14:textId="77777777" w:rsidTr="002F7A80">
        <w:trPr>
          <w:trHeight w:val="258"/>
        </w:trPr>
        <w:tc>
          <w:tcPr>
            <w:tcW w:w="1560" w:type="dxa"/>
            <w:tcBorders>
              <w:top w:val="double" w:sz="4" w:space="0" w:color="auto"/>
              <w:bottom w:val="single" w:sz="4" w:space="0" w:color="auto"/>
              <w:right w:val="single" w:sz="4" w:space="0" w:color="auto"/>
            </w:tcBorders>
          </w:tcPr>
          <w:p w14:paraId="409B8512" w14:textId="77777777" w:rsidR="009828D2" w:rsidRPr="007C29A7" w:rsidRDefault="009828D2" w:rsidP="002F7A80">
            <w:pPr>
              <w:pStyle w:val="TableTextBase"/>
              <w:rPr>
                <w:rFonts w:cs="Arial"/>
                <w:b/>
                <w:sz w:val="16"/>
                <w:szCs w:val="16"/>
                <w:bdr w:val="none" w:sz="0" w:space="0" w:color="auto" w:frame="1"/>
              </w:rPr>
            </w:pPr>
            <w:r w:rsidRPr="007C29A7">
              <w:rPr>
                <w:rFonts w:cs="Arial"/>
                <w:b/>
                <w:sz w:val="16"/>
                <w:szCs w:val="16"/>
                <w:bdr w:val="none" w:sz="0" w:space="0" w:color="auto" w:frame="1"/>
              </w:rPr>
              <w:t>Year</w:t>
            </w:r>
          </w:p>
          <w:p w14:paraId="294CDE94" w14:textId="77777777" w:rsidR="009828D2" w:rsidRPr="007C29A7" w:rsidRDefault="009828D2" w:rsidP="002F7A80">
            <w:pPr>
              <w:pStyle w:val="TableTextBase"/>
              <w:rPr>
                <w:rFonts w:cs="Arial"/>
                <w:b/>
                <w:sz w:val="16"/>
                <w:szCs w:val="16"/>
                <w:bdr w:val="none" w:sz="0" w:space="0" w:color="auto" w:frame="1"/>
              </w:rPr>
            </w:pPr>
          </w:p>
        </w:tc>
        <w:tc>
          <w:tcPr>
            <w:tcW w:w="3118" w:type="dxa"/>
            <w:tcBorders>
              <w:top w:val="double" w:sz="4" w:space="0" w:color="auto"/>
              <w:left w:val="single" w:sz="4" w:space="0" w:color="auto"/>
              <w:bottom w:val="single" w:sz="4" w:space="0" w:color="auto"/>
              <w:right w:val="single" w:sz="4" w:space="0" w:color="auto"/>
            </w:tcBorders>
          </w:tcPr>
          <w:p w14:paraId="0503A1D8" w14:textId="77777777" w:rsidR="009828D2" w:rsidRPr="007C29A7" w:rsidRDefault="009828D2" w:rsidP="002F7A80">
            <w:pPr>
              <w:pStyle w:val="TableTextBase"/>
              <w:rPr>
                <w:rFonts w:cs="Arial"/>
                <w:b/>
                <w:sz w:val="16"/>
                <w:szCs w:val="16"/>
                <w:bdr w:val="none" w:sz="0" w:space="0" w:color="auto" w:frame="1"/>
              </w:rPr>
            </w:pPr>
            <w:r w:rsidRPr="007C29A7">
              <w:rPr>
                <w:rFonts w:cs="Arial"/>
                <w:b/>
                <w:sz w:val="16"/>
                <w:szCs w:val="16"/>
                <w:bdr w:val="none" w:sz="0" w:space="0" w:color="auto" w:frame="1"/>
              </w:rPr>
              <w:t>Performance measures</w:t>
            </w:r>
          </w:p>
        </w:tc>
        <w:tc>
          <w:tcPr>
            <w:tcW w:w="3118" w:type="dxa"/>
            <w:tcBorders>
              <w:top w:val="double" w:sz="4" w:space="0" w:color="auto"/>
              <w:left w:val="single" w:sz="4" w:space="0" w:color="auto"/>
              <w:bottom w:val="single" w:sz="4" w:space="0" w:color="auto"/>
            </w:tcBorders>
          </w:tcPr>
          <w:p w14:paraId="77649948" w14:textId="77777777" w:rsidR="009828D2" w:rsidRPr="007C29A7" w:rsidRDefault="007C29A7" w:rsidP="002F7A80">
            <w:pPr>
              <w:pStyle w:val="TableTextBase"/>
              <w:rPr>
                <w:rFonts w:cs="Arial"/>
                <w:b/>
                <w:sz w:val="16"/>
                <w:szCs w:val="16"/>
                <w:bdr w:val="none" w:sz="0" w:space="0" w:color="auto" w:frame="1"/>
              </w:rPr>
            </w:pPr>
            <w:r w:rsidRPr="007C29A7">
              <w:rPr>
                <w:rFonts w:cs="Arial"/>
                <w:b/>
                <w:sz w:val="16"/>
                <w:szCs w:val="16"/>
                <w:bdr w:val="none" w:sz="0" w:space="0" w:color="auto" w:frame="1"/>
              </w:rPr>
              <w:t>Expected performance r</w:t>
            </w:r>
            <w:r w:rsidR="009828D2" w:rsidRPr="007C29A7">
              <w:rPr>
                <w:rFonts w:cs="Arial"/>
                <w:b/>
                <w:sz w:val="16"/>
                <w:szCs w:val="16"/>
                <w:bdr w:val="none" w:sz="0" w:space="0" w:color="auto" w:frame="1"/>
              </w:rPr>
              <w:t>esults</w:t>
            </w:r>
          </w:p>
        </w:tc>
      </w:tr>
      <w:tr w:rsidR="009828D2" w:rsidRPr="002B2E6E" w14:paraId="7DB33331" w14:textId="77777777" w:rsidTr="002F7A80">
        <w:trPr>
          <w:trHeight w:val="642"/>
        </w:trPr>
        <w:tc>
          <w:tcPr>
            <w:tcW w:w="1560" w:type="dxa"/>
            <w:vMerge w:val="restart"/>
            <w:tcBorders>
              <w:top w:val="single" w:sz="4" w:space="0" w:color="auto"/>
              <w:right w:val="single" w:sz="4" w:space="0" w:color="auto"/>
            </w:tcBorders>
          </w:tcPr>
          <w:p w14:paraId="23D487CC" w14:textId="77777777" w:rsidR="009828D2" w:rsidRPr="002B2E6E" w:rsidRDefault="009828D2" w:rsidP="002F7A80">
            <w:pPr>
              <w:pStyle w:val="TableTextBase"/>
              <w:rPr>
                <w:rFonts w:cs="Arial"/>
                <w:sz w:val="16"/>
                <w:szCs w:val="16"/>
                <w:bdr w:val="none" w:sz="0" w:space="0" w:color="auto" w:frame="1"/>
              </w:rPr>
            </w:pPr>
            <w:r w:rsidRPr="002B2E6E">
              <w:rPr>
                <w:rFonts w:cs="Arial"/>
                <w:sz w:val="16"/>
                <w:szCs w:val="16"/>
                <w:bdr w:val="none" w:sz="0" w:space="0" w:color="auto" w:frame="1"/>
              </w:rPr>
              <w:t xml:space="preserve">Current year </w:t>
            </w:r>
          </w:p>
          <w:p w14:paraId="2B6A524F" w14:textId="77777777" w:rsidR="009828D2" w:rsidRPr="002B2E6E" w:rsidRDefault="009828D2" w:rsidP="002F7A80">
            <w:pPr>
              <w:pStyle w:val="TableTextBase"/>
              <w:rPr>
                <w:rFonts w:cs="Arial"/>
                <w:sz w:val="16"/>
                <w:szCs w:val="16"/>
                <w:bdr w:val="none" w:sz="0" w:space="0" w:color="auto" w:frame="1"/>
              </w:rPr>
            </w:pPr>
            <w:r w:rsidRPr="002B2E6E">
              <w:rPr>
                <w:rFonts w:cs="Arial"/>
                <w:sz w:val="16"/>
                <w:szCs w:val="16"/>
                <w:bdr w:val="none" w:sz="0" w:space="0" w:color="auto" w:frame="1"/>
              </w:rPr>
              <w:t>2021-22</w:t>
            </w:r>
          </w:p>
        </w:tc>
        <w:tc>
          <w:tcPr>
            <w:tcW w:w="3118" w:type="dxa"/>
            <w:tcBorders>
              <w:top w:val="single" w:sz="4" w:space="0" w:color="auto"/>
              <w:left w:val="single" w:sz="4" w:space="0" w:color="auto"/>
              <w:bottom w:val="nil"/>
              <w:right w:val="single" w:sz="4" w:space="0" w:color="auto"/>
            </w:tcBorders>
          </w:tcPr>
          <w:p w14:paraId="28E47931" w14:textId="77777777" w:rsidR="009828D2" w:rsidRPr="000052EA"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Stakeholders and partners receive high quality and timely advice on strategies and policies to facilitate modern, efficient, and joined-up government services.</w:t>
            </w:r>
          </w:p>
        </w:tc>
        <w:tc>
          <w:tcPr>
            <w:tcW w:w="3118" w:type="dxa"/>
            <w:tcBorders>
              <w:top w:val="single" w:sz="4" w:space="0" w:color="auto"/>
              <w:left w:val="single" w:sz="4" w:space="0" w:color="auto"/>
              <w:bottom w:val="nil"/>
            </w:tcBorders>
          </w:tcPr>
          <w:p w14:paraId="600A1422" w14:textId="77777777" w:rsidR="009828D2" w:rsidRPr="000052EA"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Our leadership drives digital transformation in government and increased user-focus in digital government service delivery.</w:t>
            </w:r>
          </w:p>
        </w:tc>
      </w:tr>
      <w:tr w:rsidR="009828D2" w:rsidRPr="002B2E6E" w14:paraId="247C70E0" w14:textId="77777777" w:rsidTr="002F7A80">
        <w:trPr>
          <w:trHeight w:val="100"/>
        </w:trPr>
        <w:tc>
          <w:tcPr>
            <w:tcW w:w="1560" w:type="dxa"/>
            <w:vMerge/>
            <w:tcBorders>
              <w:right w:val="single" w:sz="4" w:space="0" w:color="auto"/>
            </w:tcBorders>
          </w:tcPr>
          <w:p w14:paraId="5EBFCCA5" w14:textId="77777777" w:rsidR="009828D2" w:rsidRPr="002B2E6E" w:rsidRDefault="009828D2" w:rsidP="002F7A80">
            <w:pPr>
              <w:pStyle w:val="TableTextBase"/>
              <w:rPr>
                <w:rFonts w:cs="Arial"/>
                <w:sz w:val="16"/>
                <w:szCs w:val="16"/>
                <w:bdr w:val="none" w:sz="0" w:space="0" w:color="auto" w:frame="1"/>
              </w:rPr>
            </w:pPr>
          </w:p>
        </w:tc>
        <w:tc>
          <w:tcPr>
            <w:tcW w:w="3118" w:type="dxa"/>
            <w:tcBorders>
              <w:top w:val="nil"/>
              <w:left w:val="single" w:sz="4" w:space="0" w:color="auto"/>
              <w:bottom w:val="nil"/>
              <w:right w:val="single" w:sz="4" w:space="0" w:color="auto"/>
            </w:tcBorders>
          </w:tcPr>
          <w:p w14:paraId="7F1ABADE" w14:textId="77777777" w:rsidR="009828D2" w:rsidRPr="000052EA"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Whole-of-government digital platforms, technologies and services reduce costs and duplication, provide better infrastructure for Commonwealth entities, and enhance the user experience.</w:t>
            </w:r>
          </w:p>
        </w:tc>
        <w:tc>
          <w:tcPr>
            <w:tcW w:w="3118" w:type="dxa"/>
            <w:tcBorders>
              <w:top w:val="nil"/>
              <w:left w:val="single" w:sz="4" w:space="0" w:color="auto"/>
              <w:bottom w:val="nil"/>
            </w:tcBorders>
          </w:tcPr>
          <w:p w14:paraId="3F7FCA30" w14:textId="77777777" w:rsidR="009828D2" w:rsidRPr="000052EA"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Increase in, or enhancement of, digital platforms, technologies and services that make government simple, clear and fast.</w:t>
            </w:r>
          </w:p>
        </w:tc>
      </w:tr>
      <w:tr w:rsidR="009828D2" w:rsidRPr="002B2E6E" w14:paraId="653BCF3E" w14:textId="77777777" w:rsidTr="002F7A80">
        <w:trPr>
          <w:trHeight w:val="100"/>
        </w:trPr>
        <w:tc>
          <w:tcPr>
            <w:tcW w:w="1560" w:type="dxa"/>
            <w:vMerge/>
            <w:tcBorders>
              <w:right w:val="single" w:sz="4" w:space="0" w:color="auto"/>
            </w:tcBorders>
          </w:tcPr>
          <w:p w14:paraId="55030842" w14:textId="77777777" w:rsidR="009828D2" w:rsidRPr="002B2E6E" w:rsidRDefault="009828D2" w:rsidP="002F7A80">
            <w:pPr>
              <w:pStyle w:val="TableTextBase"/>
              <w:rPr>
                <w:rFonts w:cs="Arial"/>
                <w:sz w:val="16"/>
                <w:szCs w:val="16"/>
                <w:bdr w:val="none" w:sz="0" w:space="0" w:color="auto" w:frame="1"/>
              </w:rPr>
            </w:pPr>
          </w:p>
        </w:tc>
        <w:tc>
          <w:tcPr>
            <w:tcW w:w="3118" w:type="dxa"/>
            <w:tcBorders>
              <w:top w:val="nil"/>
              <w:left w:val="single" w:sz="4" w:space="0" w:color="auto"/>
              <w:bottom w:val="nil"/>
              <w:right w:val="single" w:sz="4" w:space="0" w:color="auto"/>
            </w:tcBorders>
          </w:tcPr>
          <w:p w14:paraId="70609F5E" w14:textId="77777777" w:rsidR="009828D2" w:rsidRPr="000052EA" w:rsidRDefault="009828D2" w:rsidP="002F7A80">
            <w:pPr>
              <w:tabs>
                <w:tab w:val="left" w:pos="709"/>
              </w:tabs>
              <w:spacing w:before="60" w:after="60" w:line="240" w:lineRule="auto"/>
              <w:jc w:val="left"/>
              <w:rPr>
                <w:rFonts w:ascii="Arial" w:hAnsi="Arial" w:cs="Arial"/>
                <w:sz w:val="16"/>
                <w:szCs w:val="16"/>
                <w:bdr w:val="none" w:sz="0" w:space="0" w:color="auto" w:frame="1"/>
              </w:rPr>
            </w:pPr>
            <w:r w:rsidRPr="000052EA">
              <w:rPr>
                <w:rFonts w:ascii="Arial" w:hAnsi="Arial" w:cs="Arial"/>
                <w:sz w:val="16"/>
                <w:szCs w:val="16"/>
                <w:bdr w:val="none" w:sz="0" w:space="0" w:color="auto" w:frame="1"/>
              </w:rPr>
              <w:t>Sourcing improvements enhance the experience for buyers and sellers of government digital products and services.</w:t>
            </w:r>
          </w:p>
          <w:p w14:paraId="45CEDFB8" w14:textId="77777777" w:rsidR="009828D2" w:rsidRPr="000052EA" w:rsidRDefault="009828D2" w:rsidP="002F7A80">
            <w:pPr>
              <w:pStyle w:val="TableTextBase"/>
              <w:rPr>
                <w:rFonts w:cs="Arial"/>
                <w:sz w:val="16"/>
                <w:szCs w:val="16"/>
                <w:bdr w:val="none" w:sz="0" w:space="0" w:color="auto" w:frame="1"/>
              </w:rPr>
            </w:pPr>
          </w:p>
        </w:tc>
        <w:tc>
          <w:tcPr>
            <w:tcW w:w="3118" w:type="dxa"/>
            <w:tcBorders>
              <w:top w:val="nil"/>
              <w:left w:val="single" w:sz="4" w:space="0" w:color="auto"/>
              <w:bottom w:val="nil"/>
            </w:tcBorders>
          </w:tcPr>
          <w:p w14:paraId="2C697860" w14:textId="77777777" w:rsidR="009828D2" w:rsidRPr="000052EA"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Improvements to sourcing of digital products and services drive greater value for money for the APS and more opportunities for Australian businesses, including Small and Medium-sized Enterprises.</w:t>
            </w:r>
          </w:p>
        </w:tc>
      </w:tr>
      <w:tr w:rsidR="009828D2" w:rsidRPr="002B2E6E" w14:paraId="6C2F3240" w14:textId="77777777" w:rsidTr="002F7A80">
        <w:trPr>
          <w:trHeight w:val="100"/>
        </w:trPr>
        <w:tc>
          <w:tcPr>
            <w:tcW w:w="1560" w:type="dxa"/>
            <w:vMerge/>
            <w:tcBorders>
              <w:right w:val="single" w:sz="4" w:space="0" w:color="auto"/>
            </w:tcBorders>
          </w:tcPr>
          <w:p w14:paraId="428A6B98" w14:textId="77777777" w:rsidR="009828D2" w:rsidRPr="002B2E6E" w:rsidRDefault="009828D2" w:rsidP="002F7A80">
            <w:pPr>
              <w:pStyle w:val="TableTextBase"/>
              <w:rPr>
                <w:rFonts w:cs="Arial"/>
                <w:sz w:val="16"/>
                <w:szCs w:val="16"/>
                <w:bdr w:val="none" w:sz="0" w:space="0" w:color="auto" w:frame="1"/>
              </w:rPr>
            </w:pPr>
          </w:p>
        </w:tc>
        <w:tc>
          <w:tcPr>
            <w:tcW w:w="3118" w:type="dxa"/>
            <w:tcBorders>
              <w:top w:val="nil"/>
              <w:left w:val="single" w:sz="4" w:space="0" w:color="auto"/>
              <w:bottom w:val="nil"/>
              <w:right w:val="single" w:sz="4" w:space="0" w:color="auto"/>
            </w:tcBorders>
          </w:tcPr>
          <w:p w14:paraId="534E798A" w14:textId="77777777" w:rsidR="009828D2" w:rsidRPr="000052EA" w:rsidRDefault="009828D2" w:rsidP="002F7A80">
            <w:pPr>
              <w:tabs>
                <w:tab w:val="left" w:pos="709"/>
              </w:tabs>
              <w:spacing w:before="60" w:after="60" w:line="240" w:lineRule="auto"/>
              <w:jc w:val="left"/>
              <w:rPr>
                <w:rFonts w:ascii="Arial" w:hAnsi="Arial" w:cs="Arial"/>
                <w:sz w:val="16"/>
                <w:szCs w:val="16"/>
                <w:bdr w:val="none" w:sz="0" w:space="0" w:color="auto" w:frame="1"/>
              </w:rPr>
            </w:pPr>
            <w:r w:rsidRPr="000052EA">
              <w:rPr>
                <w:rFonts w:ascii="Arial" w:hAnsi="Arial" w:cs="Arial"/>
                <w:sz w:val="16"/>
                <w:szCs w:val="16"/>
                <w:bdr w:val="none" w:sz="0" w:space="0" w:color="auto" w:frame="1"/>
              </w:rPr>
              <w:t>Advice, programs, training and resources delivered improve the digital capability of the APS.</w:t>
            </w:r>
          </w:p>
          <w:p w14:paraId="04997C60" w14:textId="77777777" w:rsidR="009828D2" w:rsidRPr="000052EA" w:rsidRDefault="009828D2" w:rsidP="002F7A80">
            <w:pPr>
              <w:pStyle w:val="TableTextBase"/>
              <w:rPr>
                <w:rFonts w:cs="Arial"/>
                <w:sz w:val="16"/>
                <w:szCs w:val="16"/>
                <w:bdr w:val="none" w:sz="0" w:space="0" w:color="auto" w:frame="1"/>
              </w:rPr>
            </w:pPr>
          </w:p>
        </w:tc>
        <w:tc>
          <w:tcPr>
            <w:tcW w:w="3118" w:type="dxa"/>
            <w:tcBorders>
              <w:top w:val="nil"/>
              <w:left w:val="single" w:sz="4" w:space="0" w:color="auto"/>
              <w:bottom w:val="nil"/>
            </w:tcBorders>
          </w:tcPr>
          <w:p w14:paraId="0F452F2B" w14:textId="77777777" w:rsidR="009828D2" w:rsidRPr="000052EA"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Quality of advice, programs, training and resources supports and builds digital leadership, attracts emerging talent, and increases capability of staff across the APS.</w:t>
            </w:r>
          </w:p>
        </w:tc>
      </w:tr>
      <w:tr w:rsidR="009828D2" w:rsidRPr="002B2E6E" w14:paraId="1D1ADD73" w14:textId="77777777" w:rsidTr="002F7A80">
        <w:trPr>
          <w:trHeight w:val="100"/>
        </w:trPr>
        <w:tc>
          <w:tcPr>
            <w:tcW w:w="1560" w:type="dxa"/>
            <w:vMerge/>
            <w:tcBorders>
              <w:bottom w:val="dotted" w:sz="4" w:space="0" w:color="auto"/>
              <w:right w:val="single" w:sz="4" w:space="0" w:color="auto"/>
            </w:tcBorders>
          </w:tcPr>
          <w:p w14:paraId="69A7B2D7" w14:textId="77777777" w:rsidR="009828D2" w:rsidRPr="002B2E6E" w:rsidRDefault="009828D2" w:rsidP="002F7A80">
            <w:pPr>
              <w:pStyle w:val="TableTextBase"/>
              <w:rPr>
                <w:rFonts w:cs="Arial"/>
                <w:sz w:val="16"/>
                <w:szCs w:val="16"/>
                <w:bdr w:val="none" w:sz="0" w:space="0" w:color="auto" w:frame="1"/>
              </w:rPr>
            </w:pPr>
          </w:p>
        </w:tc>
        <w:tc>
          <w:tcPr>
            <w:tcW w:w="3118" w:type="dxa"/>
            <w:tcBorders>
              <w:top w:val="nil"/>
              <w:left w:val="single" w:sz="4" w:space="0" w:color="auto"/>
              <w:bottom w:val="dotted" w:sz="4" w:space="0" w:color="auto"/>
              <w:right w:val="single" w:sz="4" w:space="0" w:color="auto"/>
            </w:tcBorders>
          </w:tcPr>
          <w:p w14:paraId="6184CA07" w14:textId="77777777" w:rsidR="009828D2" w:rsidRPr="000052EA"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Collaboration and partnerships nationally and internationally promote digital transformation to improve government services.</w:t>
            </w:r>
          </w:p>
        </w:tc>
        <w:tc>
          <w:tcPr>
            <w:tcW w:w="3118" w:type="dxa"/>
            <w:tcBorders>
              <w:top w:val="nil"/>
              <w:left w:val="single" w:sz="4" w:space="0" w:color="auto"/>
              <w:bottom w:val="dotted" w:sz="4" w:space="0" w:color="auto"/>
            </w:tcBorders>
          </w:tcPr>
          <w:p w14:paraId="3E476C46" w14:textId="77777777" w:rsidR="009828D2" w:rsidRDefault="009828D2" w:rsidP="002F7A80">
            <w:pPr>
              <w:pStyle w:val="TableTextBase"/>
              <w:rPr>
                <w:rFonts w:cs="Arial"/>
                <w:sz w:val="16"/>
                <w:szCs w:val="16"/>
                <w:bdr w:val="none" w:sz="0" w:space="0" w:color="auto" w:frame="1"/>
              </w:rPr>
            </w:pPr>
            <w:r w:rsidRPr="000052EA">
              <w:rPr>
                <w:rFonts w:cs="Arial"/>
                <w:sz w:val="16"/>
                <w:szCs w:val="16"/>
                <w:bdr w:val="none" w:sz="0" w:space="0" w:color="auto" w:frame="1"/>
              </w:rPr>
              <w:t>Our work increases cooperation and consistent approaches across all levels of government, and increases collaboration nationally and internationally, as well as with industry and other stakeholder groups.</w:t>
            </w:r>
          </w:p>
          <w:p w14:paraId="55118B53" w14:textId="77777777" w:rsidR="00A816FA" w:rsidRPr="000052EA" w:rsidRDefault="00A816FA" w:rsidP="002F7A80">
            <w:pPr>
              <w:pStyle w:val="TableTextBase"/>
              <w:rPr>
                <w:rFonts w:cs="Arial"/>
                <w:sz w:val="16"/>
                <w:szCs w:val="16"/>
                <w:bdr w:val="none" w:sz="0" w:space="0" w:color="auto" w:frame="1"/>
              </w:rPr>
            </w:pPr>
          </w:p>
        </w:tc>
      </w:tr>
      <w:tr w:rsidR="009828D2" w:rsidRPr="002B2E6E" w14:paraId="2A5643E1" w14:textId="77777777" w:rsidTr="002F7A80">
        <w:trPr>
          <w:trHeight w:val="100"/>
        </w:trPr>
        <w:tc>
          <w:tcPr>
            <w:tcW w:w="1560" w:type="dxa"/>
            <w:tcBorders>
              <w:top w:val="single" w:sz="4" w:space="0" w:color="auto"/>
              <w:bottom w:val="dotted" w:sz="4" w:space="0" w:color="auto"/>
              <w:right w:val="single" w:sz="4" w:space="0" w:color="auto"/>
            </w:tcBorders>
          </w:tcPr>
          <w:p w14:paraId="2AAE46A4" w14:textId="77777777" w:rsidR="009828D2" w:rsidRPr="007C29A7" w:rsidRDefault="007C29A7" w:rsidP="002F7A80">
            <w:pPr>
              <w:pStyle w:val="TableTextBase"/>
              <w:rPr>
                <w:rFonts w:cs="Arial"/>
                <w:b/>
                <w:sz w:val="16"/>
                <w:szCs w:val="16"/>
                <w:bdr w:val="none" w:sz="0" w:space="0" w:color="auto" w:frame="1"/>
              </w:rPr>
            </w:pPr>
            <w:r>
              <w:rPr>
                <w:rFonts w:cs="Arial"/>
                <w:b/>
                <w:sz w:val="16"/>
                <w:szCs w:val="16"/>
                <w:bdr w:val="none" w:sz="0" w:space="0" w:color="auto" w:frame="1"/>
              </w:rPr>
              <w:t>Year</w:t>
            </w:r>
          </w:p>
        </w:tc>
        <w:tc>
          <w:tcPr>
            <w:tcW w:w="3118" w:type="dxa"/>
            <w:tcBorders>
              <w:top w:val="single" w:sz="4" w:space="0" w:color="auto"/>
              <w:left w:val="single" w:sz="4" w:space="0" w:color="auto"/>
              <w:bottom w:val="dotted" w:sz="4" w:space="0" w:color="auto"/>
              <w:right w:val="single" w:sz="4" w:space="0" w:color="auto"/>
            </w:tcBorders>
          </w:tcPr>
          <w:p w14:paraId="7AD8CE74" w14:textId="77777777" w:rsidR="009828D2" w:rsidRPr="007C29A7" w:rsidRDefault="009828D2" w:rsidP="002F7A80">
            <w:pPr>
              <w:pStyle w:val="TableTextBase"/>
              <w:rPr>
                <w:rFonts w:cs="Arial"/>
                <w:b/>
                <w:sz w:val="16"/>
                <w:szCs w:val="16"/>
                <w:bdr w:val="none" w:sz="0" w:space="0" w:color="auto" w:frame="1"/>
              </w:rPr>
            </w:pPr>
            <w:r w:rsidRPr="007C29A7">
              <w:rPr>
                <w:rFonts w:cs="Arial"/>
                <w:b/>
                <w:sz w:val="16"/>
                <w:szCs w:val="16"/>
                <w:bdr w:val="none" w:sz="0" w:space="0" w:color="auto" w:frame="1"/>
              </w:rPr>
              <w:t>Performance measures</w:t>
            </w:r>
          </w:p>
        </w:tc>
        <w:tc>
          <w:tcPr>
            <w:tcW w:w="3118" w:type="dxa"/>
            <w:tcBorders>
              <w:top w:val="single" w:sz="4" w:space="0" w:color="auto"/>
              <w:left w:val="single" w:sz="4" w:space="0" w:color="auto"/>
              <w:bottom w:val="dotted" w:sz="4" w:space="0" w:color="auto"/>
            </w:tcBorders>
          </w:tcPr>
          <w:p w14:paraId="6A751FEA" w14:textId="77777777" w:rsidR="009828D2" w:rsidRPr="007C29A7" w:rsidRDefault="007C29A7" w:rsidP="002F7A80">
            <w:pPr>
              <w:pStyle w:val="TableTextBase"/>
              <w:rPr>
                <w:rFonts w:cs="Arial"/>
                <w:b/>
                <w:sz w:val="16"/>
                <w:szCs w:val="16"/>
                <w:bdr w:val="none" w:sz="0" w:space="0" w:color="auto" w:frame="1"/>
              </w:rPr>
            </w:pPr>
            <w:r>
              <w:rPr>
                <w:rFonts w:cs="Arial"/>
                <w:b/>
                <w:sz w:val="16"/>
                <w:szCs w:val="16"/>
                <w:bdr w:val="none" w:sz="0" w:space="0" w:color="auto" w:frame="1"/>
              </w:rPr>
              <w:t>Planned performance r</w:t>
            </w:r>
            <w:r w:rsidR="009828D2" w:rsidRPr="007C29A7">
              <w:rPr>
                <w:rFonts w:cs="Arial"/>
                <w:b/>
                <w:sz w:val="16"/>
                <w:szCs w:val="16"/>
                <w:bdr w:val="none" w:sz="0" w:space="0" w:color="auto" w:frame="1"/>
              </w:rPr>
              <w:t>esults</w:t>
            </w:r>
          </w:p>
        </w:tc>
      </w:tr>
      <w:tr w:rsidR="009828D2" w:rsidRPr="00EE471F" w14:paraId="79796257" w14:textId="77777777" w:rsidTr="002F7A80">
        <w:trPr>
          <w:trHeight w:val="100"/>
        </w:trPr>
        <w:tc>
          <w:tcPr>
            <w:tcW w:w="1560" w:type="dxa"/>
            <w:tcBorders>
              <w:top w:val="single" w:sz="4" w:space="0" w:color="auto"/>
              <w:bottom w:val="nil"/>
              <w:right w:val="single" w:sz="4" w:space="0" w:color="auto"/>
            </w:tcBorders>
          </w:tcPr>
          <w:p w14:paraId="4A76C97B" w14:textId="77777777" w:rsidR="009828D2" w:rsidRPr="007C29A7" w:rsidRDefault="007C29A7" w:rsidP="002F7A80">
            <w:pPr>
              <w:pStyle w:val="TableTextBase"/>
              <w:rPr>
                <w:rFonts w:cs="Arial"/>
                <w:sz w:val="16"/>
                <w:szCs w:val="16"/>
                <w:bdr w:val="none" w:sz="0" w:space="0" w:color="auto" w:frame="1"/>
              </w:rPr>
            </w:pPr>
            <w:r>
              <w:rPr>
                <w:rFonts w:cs="Arial"/>
                <w:sz w:val="16"/>
                <w:szCs w:val="16"/>
                <w:bdr w:val="none" w:sz="0" w:space="0" w:color="auto" w:frame="1"/>
              </w:rPr>
              <w:t>Budget y</w:t>
            </w:r>
            <w:r w:rsidR="009828D2" w:rsidRPr="007C29A7">
              <w:rPr>
                <w:rFonts w:cs="Arial"/>
                <w:sz w:val="16"/>
                <w:szCs w:val="16"/>
                <w:bdr w:val="none" w:sz="0" w:space="0" w:color="auto" w:frame="1"/>
              </w:rPr>
              <w:t>ear     2022-23</w:t>
            </w:r>
          </w:p>
        </w:tc>
        <w:tc>
          <w:tcPr>
            <w:tcW w:w="3118" w:type="dxa"/>
            <w:tcBorders>
              <w:top w:val="single" w:sz="4" w:space="0" w:color="auto"/>
              <w:left w:val="single" w:sz="4" w:space="0" w:color="auto"/>
              <w:bottom w:val="nil"/>
              <w:right w:val="single" w:sz="4" w:space="0" w:color="auto"/>
            </w:tcBorders>
          </w:tcPr>
          <w:p w14:paraId="4A1C5D1B"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Stakeholders and partners receive high quality and timely advice on strategies and policies to facilitate simple, helpful, respectful and transparent government services.</w:t>
            </w:r>
          </w:p>
        </w:tc>
        <w:tc>
          <w:tcPr>
            <w:tcW w:w="3118" w:type="dxa"/>
            <w:tcBorders>
              <w:top w:val="single" w:sz="4" w:space="0" w:color="auto"/>
              <w:left w:val="single" w:sz="4" w:space="0" w:color="auto"/>
              <w:bottom w:val="nil"/>
            </w:tcBorders>
          </w:tcPr>
          <w:p w14:paraId="3D2CC474"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Our leadership drives digital transformation in government and increased user-focus in digital government service delivery.</w:t>
            </w:r>
          </w:p>
        </w:tc>
      </w:tr>
      <w:tr w:rsidR="009828D2" w:rsidRPr="00EE471F" w14:paraId="770D9A9B" w14:textId="77777777" w:rsidTr="002F7A80">
        <w:trPr>
          <w:trHeight w:val="100"/>
        </w:trPr>
        <w:tc>
          <w:tcPr>
            <w:tcW w:w="1560" w:type="dxa"/>
            <w:tcBorders>
              <w:top w:val="nil"/>
              <w:bottom w:val="nil"/>
              <w:right w:val="single" w:sz="4" w:space="0" w:color="auto"/>
            </w:tcBorders>
          </w:tcPr>
          <w:p w14:paraId="40BE9965" w14:textId="77777777" w:rsidR="009828D2" w:rsidRPr="007C29A7" w:rsidRDefault="009828D2" w:rsidP="002F7A80">
            <w:pPr>
              <w:pStyle w:val="TableTextBase"/>
              <w:rPr>
                <w:rFonts w:cs="Arial"/>
                <w:sz w:val="16"/>
                <w:szCs w:val="16"/>
                <w:bdr w:val="none" w:sz="0" w:space="0" w:color="auto" w:frame="1"/>
              </w:rPr>
            </w:pPr>
          </w:p>
        </w:tc>
        <w:tc>
          <w:tcPr>
            <w:tcW w:w="3118" w:type="dxa"/>
            <w:tcBorders>
              <w:top w:val="nil"/>
              <w:left w:val="single" w:sz="4" w:space="0" w:color="auto"/>
              <w:bottom w:val="nil"/>
              <w:right w:val="single" w:sz="4" w:space="0" w:color="auto"/>
            </w:tcBorders>
          </w:tcPr>
          <w:p w14:paraId="6B0F7FD8"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Whole-of-government digital platforms, technologies and services are aligne</w:t>
            </w:r>
            <w:r w:rsidR="007C29A7">
              <w:rPr>
                <w:rFonts w:cs="Arial"/>
                <w:sz w:val="16"/>
                <w:szCs w:val="16"/>
                <w:bdr w:val="none" w:sz="0" w:space="0" w:color="auto" w:frame="1"/>
              </w:rPr>
              <w:t>d to the Australian Government a</w:t>
            </w:r>
            <w:r w:rsidRPr="007C29A7">
              <w:rPr>
                <w:rFonts w:cs="Arial"/>
                <w:sz w:val="16"/>
                <w:szCs w:val="16"/>
                <w:bdr w:val="none" w:sz="0" w:space="0" w:color="auto" w:frame="1"/>
              </w:rPr>
              <w:t>rchitecture, to support reduced costs and duplication, providing better infrastructure for Commonwealth entities, and enhancing the user experience.</w:t>
            </w:r>
          </w:p>
        </w:tc>
        <w:tc>
          <w:tcPr>
            <w:tcW w:w="3118" w:type="dxa"/>
            <w:tcBorders>
              <w:top w:val="nil"/>
              <w:left w:val="single" w:sz="4" w:space="0" w:color="auto"/>
              <w:bottom w:val="nil"/>
            </w:tcBorders>
          </w:tcPr>
          <w:p w14:paraId="4CA87E99"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Increase in, and enhancement of, digital platforms, technologies and services that are aligned to the Australian Government Architecture and make government services easy to use, accessible and connected</w:t>
            </w:r>
          </w:p>
        </w:tc>
      </w:tr>
      <w:tr w:rsidR="009828D2" w:rsidRPr="005321F6" w14:paraId="7AAA8ACE" w14:textId="77777777" w:rsidTr="002F7A80">
        <w:trPr>
          <w:trHeight w:val="491"/>
        </w:trPr>
        <w:tc>
          <w:tcPr>
            <w:tcW w:w="1560" w:type="dxa"/>
            <w:tcBorders>
              <w:top w:val="nil"/>
              <w:bottom w:val="nil"/>
              <w:right w:val="single" w:sz="4" w:space="0" w:color="auto"/>
            </w:tcBorders>
          </w:tcPr>
          <w:p w14:paraId="5FF12325" w14:textId="77777777" w:rsidR="009828D2" w:rsidRPr="007C29A7" w:rsidRDefault="009828D2" w:rsidP="002F7A80">
            <w:pPr>
              <w:pStyle w:val="TableTextBase"/>
              <w:rPr>
                <w:sz w:val="16"/>
                <w:szCs w:val="16"/>
              </w:rPr>
            </w:pPr>
          </w:p>
        </w:tc>
        <w:tc>
          <w:tcPr>
            <w:tcW w:w="3118" w:type="dxa"/>
            <w:tcBorders>
              <w:top w:val="nil"/>
              <w:left w:val="single" w:sz="4" w:space="0" w:color="auto"/>
              <w:bottom w:val="nil"/>
              <w:right w:val="single" w:sz="4" w:space="0" w:color="auto"/>
            </w:tcBorders>
          </w:tcPr>
          <w:p w14:paraId="40DE1F94"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Manage whole of government digital procurement arrangements and systems.</w:t>
            </w:r>
          </w:p>
        </w:tc>
        <w:tc>
          <w:tcPr>
            <w:tcW w:w="3118" w:type="dxa"/>
            <w:tcBorders>
              <w:top w:val="nil"/>
              <w:left w:val="single" w:sz="4" w:space="0" w:color="auto"/>
              <w:bottom w:val="nil"/>
            </w:tcBorders>
          </w:tcPr>
          <w:p w14:paraId="246E4224"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Up-to-date digital procurement arrangements that meet governmen</w:t>
            </w:r>
            <w:r w:rsidR="007C29A7">
              <w:rPr>
                <w:rFonts w:cs="Arial"/>
                <w:sz w:val="16"/>
                <w:szCs w:val="16"/>
                <w:bdr w:val="none" w:sz="0" w:space="0" w:color="auto" w:frame="1"/>
              </w:rPr>
              <w:t>t agencies needs with at least one new or renewed whole-</w:t>
            </w:r>
            <w:r w:rsidRPr="007C29A7">
              <w:rPr>
                <w:rFonts w:cs="Arial"/>
                <w:sz w:val="16"/>
                <w:szCs w:val="16"/>
                <w:bdr w:val="none" w:sz="0" w:space="0" w:color="auto" w:frame="1"/>
              </w:rPr>
              <w:t>of</w:t>
            </w:r>
            <w:r w:rsidR="007C29A7">
              <w:rPr>
                <w:rFonts w:cs="Arial"/>
                <w:sz w:val="16"/>
                <w:szCs w:val="16"/>
                <w:bdr w:val="none" w:sz="0" w:space="0" w:color="auto" w:frame="1"/>
              </w:rPr>
              <w:t>-</w:t>
            </w:r>
            <w:r w:rsidRPr="007C29A7">
              <w:rPr>
                <w:rFonts w:cs="Arial"/>
                <w:sz w:val="16"/>
                <w:szCs w:val="16"/>
                <w:bdr w:val="none" w:sz="0" w:space="0" w:color="auto" w:frame="1"/>
              </w:rPr>
              <w:t>government arrangement put in place that delivers improved value.</w:t>
            </w:r>
          </w:p>
          <w:p w14:paraId="34EC1C98" w14:textId="77777777" w:rsidR="009828D2" w:rsidRPr="007C29A7" w:rsidRDefault="009828D2" w:rsidP="002F7A80">
            <w:pPr>
              <w:pStyle w:val="TableTextBase"/>
              <w:rPr>
                <w:rFonts w:cs="Arial"/>
                <w:sz w:val="16"/>
                <w:szCs w:val="16"/>
                <w:bdr w:val="none" w:sz="0" w:space="0" w:color="auto" w:frame="1"/>
              </w:rPr>
            </w:pPr>
          </w:p>
          <w:p w14:paraId="6111D1ED"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Whole-of-government digital procurement arrangements comply, where relevant, to the Australian Government Architecture and Reuse Policy.</w:t>
            </w:r>
          </w:p>
          <w:p w14:paraId="03AF61B8" w14:textId="77777777" w:rsidR="009828D2" w:rsidRPr="007C29A7" w:rsidRDefault="009828D2" w:rsidP="002F7A80">
            <w:pPr>
              <w:pStyle w:val="TableTextBase"/>
              <w:rPr>
                <w:rFonts w:cs="Arial"/>
                <w:sz w:val="16"/>
                <w:szCs w:val="16"/>
                <w:bdr w:val="none" w:sz="0" w:space="0" w:color="auto" w:frame="1"/>
              </w:rPr>
            </w:pPr>
          </w:p>
          <w:p w14:paraId="7A44838B"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 xml:space="preserve">Centrally managed DTA whole-of-government contracts are reported on AusTender. </w:t>
            </w:r>
          </w:p>
          <w:p w14:paraId="31775213" w14:textId="77777777" w:rsidR="009828D2" w:rsidRPr="007C29A7" w:rsidRDefault="009828D2" w:rsidP="002F7A80">
            <w:pPr>
              <w:pStyle w:val="TableTextBase"/>
              <w:rPr>
                <w:rFonts w:cs="Arial"/>
                <w:sz w:val="16"/>
                <w:szCs w:val="16"/>
                <w:bdr w:val="none" w:sz="0" w:space="0" w:color="auto" w:frame="1"/>
              </w:rPr>
            </w:pPr>
          </w:p>
          <w:p w14:paraId="49947001"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70% of government users report a customer satisfaction measure of neutral or above.</w:t>
            </w:r>
          </w:p>
          <w:p w14:paraId="5E99ACAE" w14:textId="77777777" w:rsidR="009828D2" w:rsidRPr="007C29A7" w:rsidRDefault="009828D2" w:rsidP="002F7A80">
            <w:pPr>
              <w:pStyle w:val="TableTextBase"/>
              <w:rPr>
                <w:rFonts w:cs="Arial"/>
                <w:sz w:val="16"/>
                <w:szCs w:val="16"/>
                <w:bdr w:val="none" w:sz="0" w:space="0" w:color="auto" w:frame="1"/>
              </w:rPr>
            </w:pPr>
          </w:p>
          <w:p w14:paraId="488272A4"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BuyICT platform including the Reuse Catalogue is available to buyers and sellers 99.5% of the time</w:t>
            </w:r>
          </w:p>
          <w:p w14:paraId="4F74D8D7" w14:textId="77777777" w:rsidR="009828D2" w:rsidRPr="007C29A7" w:rsidRDefault="009828D2" w:rsidP="002F7A80">
            <w:pPr>
              <w:pStyle w:val="TableTextBase"/>
              <w:rPr>
                <w:rFonts w:cs="Arial"/>
                <w:sz w:val="16"/>
                <w:szCs w:val="16"/>
                <w:bdr w:val="none" w:sz="0" w:space="0" w:color="auto" w:frame="1"/>
              </w:rPr>
            </w:pPr>
          </w:p>
          <w:p w14:paraId="50AF9316" w14:textId="77777777" w:rsidR="009828D2" w:rsidRPr="007C29A7" w:rsidRDefault="009828D2" w:rsidP="001A2C93">
            <w:pPr>
              <w:pStyle w:val="TableTextBase"/>
              <w:rPr>
                <w:rFonts w:cs="Arial"/>
                <w:sz w:val="16"/>
                <w:szCs w:val="16"/>
                <w:bdr w:val="none" w:sz="0" w:space="0" w:color="auto" w:frame="1"/>
              </w:rPr>
            </w:pPr>
            <w:r w:rsidRPr="007C29A7">
              <w:rPr>
                <w:rFonts w:cs="Arial"/>
                <w:sz w:val="16"/>
                <w:szCs w:val="16"/>
                <w:bdr w:val="none" w:sz="0" w:space="0" w:color="auto" w:frame="1"/>
              </w:rPr>
              <w:t>The Customer Service Desk for digital procurement is available from 8.30am to 5.00pm A</w:t>
            </w:r>
            <w:r w:rsidR="007C29A7">
              <w:rPr>
                <w:rFonts w:cs="Arial"/>
                <w:sz w:val="16"/>
                <w:szCs w:val="16"/>
                <w:bdr w:val="none" w:sz="0" w:space="0" w:color="auto" w:frame="1"/>
              </w:rPr>
              <w:t>ustra</w:t>
            </w:r>
            <w:r w:rsidR="001A2C93">
              <w:rPr>
                <w:rFonts w:cs="Arial"/>
                <w:sz w:val="16"/>
                <w:szCs w:val="16"/>
                <w:bdr w:val="none" w:sz="0" w:space="0" w:color="auto" w:frame="1"/>
              </w:rPr>
              <w:t xml:space="preserve">lian Eastern Standard Time </w:t>
            </w:r>
            <w:r w:rsidRPr="007C29A7">
              <w:rPr>
                <w:rFonts w:cs="Arial"/>
                <w:sz w:val="16"/>
                <w:szCs w:val="16"/>
                <w:bdr w:val="none" w:sz="0" w:space="0" w:color="auto" w:frame="1"/>
              </w:rPr>
              <w:t>(A</w:t>
            </w:r>
            <w:r w:rsidR="001A2C93">
              <w:rPr>
                <w:rFonts w:cs="Arial"/>
                <w:sz w:val="16"/>
                <w:szCs w:val="16"/>
                <w:bdr w:val="none" w:sz="0" w:space="0" w:color="auto" w:frame="1"/>
              </w:rPr>
              <w:t xml:space="preserve">ustralian </w:t>
            </w:r>
            <w:r w:rsidRPr="007C29A7">
              <w:rPr>
                <w:rFonts w:cs="Arial"/>
                <w:sz w:val="16"/>
                <w:szCs w:val="16"/>
                <w:bdr w:val="none" w:sz="0" w:space="0" w:color="auto" w:frame="1"/>
              </w:rPr>
              <w:t>C</w:t>
            </w:r>
            <w:r w:rsidR="001A2C93">
              <w:rPr>
                <w:rFonts w:cs="Arial"/>
                <w:sz w:val="16"/>
                <w:szCs w:val="16"/>
                <w:bdr w:val="none" w:sz="0" w:space="0" w:color="auto" w:frame="1"/>
              </w:rPr>
              <w:t xml:space="preserve">apital </w:t>
            </w:r>
            <w:r w:rsidRPr="007C29A7">
              <w:rPr>
                <w:rFonts w:cs="Arial"/>
                <w:sz w:val="16"/>
                <w:szCs w:val="16"/>
                <w:bdr w:val="none" w:sz="0" w:space="0" w:color="auto" w:frame="1"/>
              </w:rPr>
              <w:t>T</w:t>
            </w:r>
            <w:r w:rsidR="001A2C93">
              <w:rPr>
                <w:rFonts w:cs="Arial"/>
                <w:sz w:val="16"/>
                <w:szCs w:val="16"/>
                <w:bdr w:val="none" w:sz="0" w:space="0" w:color="auto" w:frame="1"/>
              </w:rPr>
              <w:t>erritory</w:t>
            </w:r>
            <w:r w:rsidRPr="007C29A7">
              <w:rPr>
                <w:rFonts w:cs="Arial"/>
                <w:sz w:val="16"/>
                <w:szCs w:val="16"/>
                <w:bdr w:val="none" w:sz="0" w:space="0" w:color="auto" w:frame="1"/>
              </w:rPr>
              <w:t xml:space="preserve"> business days).</w:t>
            </w:r>
          </w:p>
        </w:tc>
      </w:tr>
      <w:tr w:rsidR="009828D2" w:rsidRPr="001B2F81" w14:paraId="2E4DBC73" w14:textId="77777777" w:rsidTr="002F7A80">
        <w:trPr>
          <w:trHeight w:val="491"/>
        </w:trPr>
        <w:tc>
          <w:tcPr>
            <w:tcW w:w="1560" w:type="dxa"/>
            <w:tcBorders>
              <w:top w:val="dotted" w:sz="4" w:space="0" w:color="auto"/>
              <w:bottom w:val="dotted" w:sz="4" w:space="0" w:color="auto"/>
              <w:right w:val="single" w:sz="4" w:space="0" w:color="auto"/>
            </w:tcBorders>
          </w:tcPr>
          <w:p w14:paraId="7B9BFC8A" w14:textId="77777777" w:rsidR="009828D2" w:rsidRPr="007C29A7" w:rsidRDefault="009828D2" w:rsidP="002F7A80">
            <w:pPr>
              <w:pStyle w:val="TableTextBase"/>
              <w:rPr>
                <w:sz w:val="16"/>
                <w:szCs w:val="16"/>
              </w:rPr>
            </w:pPr>
            <w:r w:rsidRPr="007C29A7">
              <w:rPr>
                <w:sz w:val="16"/>
                <w:szCs w:val="16"/>
              </w:rPr>
              <w:t xml:space="preserve">Forward </w:t>
            </w:r>
            <w:r w:rsidR="007C29A7">
              <w:rPr>
                <w:sz w:val="16"/>
                <w:szCs w:val="16"/>
              </w:rPr>
              <w:t>e</w:t>
            </w:r>
            <w:r w:rsidRPr="007C29A7">
              <w:rPr>
                <w:sz w:val="16"/>
                <w:szCs w:val="16"/>
              </w:rPr>
              <w:t xml:space="preserve">stimates </w:t>
            </w:r>
          </w:p>
          <w:p w14:paraId="2A343624" w14:textId="77777777" w:rsidR="009828D2" w:rsidRPr="007C29A7" w:rsidRDefault="009828D2" w:rsidP="002F7A80">
            <w:pPr>
              <w:pStyle w:val="TableTextBase"/>
              <w:rPr>
                <w:b/>
                <w:sz w:val="16"/>
                <w:szCs w:val="16"/>
              </w:rPr>
            </w:pPr>
            <w:r w:rsidRPr="007C29A7">
              <w:rPr>
                <w:sz w:val="16"/>
                <w:szCs w:val="16"/>
              </w:rPr>
              <w:t>2023-26</w:t>
            </w:r>
          </w:p>
        </w:tc>
        <w:tc>
          <w:tcPr>
            <w:tcW w:w="3118" w:type="dxa"/>
            <w:tcBorders>
              <w:top w:val="dotted" w:sz="4" w:space="0" w:color="auto"/>
              <w:left w:val="single" w:sz="4" w:space="0" w:color="auto"/>
              <w:bottom w:val="dotted" w:sz="4" w:space="0" w:color="auto"/>
              <w:right w:val="single" w:sz="4" w:space="0" w:color="auto"/>
            </w:tcBorders>
          </w:tcPr>
          <w:p w14:paraId="300DCE3C"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As per 2022-23</w:t>
            </w:r>
          </w:p>
          <w:p w14:paraId="1CAD8E65" w14:textId="77777777" w:rsidR="009828D2" w:rsidRPr="007C29A7" w:rsidRDefault="009828D2" w:rsidP="002F7A80">
            <w:pPr>
              <w:pStyle w:val="TableTextBase"/>
              <w:rPr>
                <w:rFonts w:cs="Arial"/>
                <w:sz w:val="16"/>
                <w:szCs w:val="16"/>
                <w:bdr w:val="none" w:sz="0" w:space="0" w:color="auto" w:frame="1"/>
              </w:rPr>
            </w:pPr>
          </w:p>
        </w:tc>
        <w:tc>
          <w:tcPr>
            <w:tcW w:w="3118" w:type="dxa"/>
            <w:tcBorders>
              <w:top w:val="dotted" w:sz="4" w:space="0" w:color="auto"/>
              <w:left w:val="single" w:sz="4" w:space="0" w:color="auto"/>
              <w:bottom w:val="dotted" w:sz="4" w:space="0" w:color="auto"/>
            </w:tcBorders>
          </w:tcPr>
          <w:p w14:paraId="493C6DD1" w14:textId="77777777" w:rsidR="009828D2" w:rsidRPr="007C29A7" w:rsidRDefault="009828D2" w:rsidP="002F7A80">
            <w:pPr>
              <w:pStyle w:val="TableTextBase"/>
              <w:rPr>
                <w:rFonts w:cs="Arial"/>
                <w:sz w:val="16"/>
                <w:szCs w:val="16"/>
                <w:bdr w:val="none" w:sz="0" w:space="0" w:color="auto" w:frame="1"/>
              </w:rPr>
            </w:pPr>
            <w:r w:rsidRPr="007C29A7">
              <w:rPr>
                <w:rFonts w:cs="Arial"/>
                <w:sz w:val="16"/>
                <w:szCs w:val="16"/>
                <w:bdr w:val="none" w:sz="0" w:space="0" w:color="auto" w:frame="1"/>
              </w:rPr>
              <w:t>As per 2022-23</w:t>
            </w:r>
          </w:p>
        </w:tc>
      </w:tr>
    </w:tbl>
    <w:p w14:paraId="7743533A" w14:textId="77777777" w:rsidR="009828D2" w:rsidRPr="00AD42E2" w:rsidRDefault="009828D2" w:rsidP="009828D2">
      <w:pPr>
        <w:pStyle w:val="Heading2"/>
      </w:pPr>
      <w:bookmarkStart w:id="461" w:name="_Toc98932892"/>
      <w:bookmarkStart w:id="462" w:name="_Toc99008148"/>
      <w:bookmarkStart w:id="463" w:name="_Toc99009510"/>
      <w:bookmarkStart w:id="464" w:name="_Toc99010738"/>
      <w:bookmarkStart w:id="465" w:name="_Toc99013973"/>
      <w:bookmarkStart w:id="466" w:name="_Toc99187550"/>
      <w:bookmarkStart w:id="467" w:name="_Toc99269660"/>
      <w:r w:rsidRPr="00AD42E2">
        <w:t>Section 3: Budgeted financial statements</w:t>
      </w:r>
      <w:bookmarkEnd w:id="461"/>
      <w:bookmarkEnd w:id="462"/>
      <w:bookmarkEnd w:id="463"/>
      <w:bookmarkEnd w:id="464"/>
      <w:bookmarkEnd w:id="465"/>
      <w:bookmarkEnd w:id="466"/>
      <w:bookmarkEnd w:id="467"/>
    </w:p>
    <w:p w14:paraId="6CDCD4E6" w14:textId="77777777" w:rsidR="009828D2" w:rsidRDefault="009828D2" w:rsidP="00A816FA">
      <w:r>
        <w:t xml:space="preserve">Section 3 presents budgeted financial statements which provide a comprehensive snapshot of </w:t>
      </w:r>
      <w:r w:rsidR="001A2C93">
        <w:t>DTA’s</w:t>
      </w:r>
      <w:r>
        <w:t xml:space="preserve"> finances for the 2022-23</w:t>
      </w:r>
      <w:r>
        <w:rPr>
          <w:color w:val="00B050"/>
        </w:rPr>
        <w:t xml:space="preserve"> </w:t>
      </w:r>
      <w:r w:rsidR="004C12AF">
        <w:t>Budget year</w:t>
      </w:r>
      <w:r>
        <w:t>, including the impact of budget measures and resourcing on financial statements.</w:t>
      </w:r>
    </w:p>
    <w:p w14:paraId="6EE06D12" w14:textId="77777777" w:rsidR="009828D2" w:rsidRPr="005328A9" w:rsidRDefault="009828D2" w:rsidP="00A816FA">
      <w:pPr>
        <w:pStyle w:val="Heading3"/>
        <w:jc w:val="both"/>
      </w:pPr>
      <w:bookmarkStart w:id="468" w:name="_Toc98932893"/>
      <w:bookmarkStart w:id="469" w:name="_Toc99008149"/>
      <w:bookmarkStart w:id="470" w:name="_Toc99009511"/>
      <w:bookmarkStart w:id="471" w:name="_Toc99010739"/>
      <w:bookmarkStart w:id="472" w:name="_Toc99013974"/>
      <w:bookmarkStart w:id="473" w:name="_Toc99187551"/>
      <w:bookmarkStart w:id="474" w:name="_Toc99269661"/>
      <w:r w:rsidRPr="005328A9">
        <w:t>3.1</w:t>
      </w:r>
      <w:r w:rsidRPr="005328A9">
        <w:tab/>
        <w:t>Budgeted financial statements</w:t>
      </w:r>
      <w:bookmarkEnd w:id="468"/>
      <w:bookmarkEnd w:id="469"/>
      <w:bookmarkEnd w:id="470"/>
      <w:bookmarkEnd w:id="471"/>
      <w:bookmarkEnd w:id="472"/>
      <w:bookmarkEnd w:id="473"/>
      <w:bookmarkEnd w:id="474"/>
    </w:p>
    <w:p w14:paraId="32C52C93" w14:textId="77777777" w:rsidR="009828D2" w:rsidRDefault="009828D2" w:rsidP="00A816FA">
      <w:pPr>
        <w:pStyle w:val="Heading4"/>
        <w:jc w:val="both"/>
      </w:pPr>
      <w:r>
        <w:t>3.1.1</w:t>
      </w:r>
      <w:r>
        <w:tab/>
        <w:t>Differences between entity resourcing and financial statements</w:t>
      </w:r>
    </w:p>
    <w:p w14:paraId="514BBF92" w14:textId="77777777" w:rsidR="009828D2" w:rsidRPr="007348D3" w:rsidRDefault="009828D2" w:rsidP="00A816FA">
      <w:pPr>
        <w:pBdr>
          <w:top w:val="nil"/>
          <w:left w:val="nil"/>
          <w:bottom w:val="nil"/>
          <w:right w:val="nil"/>
          <w:between w:val="nil"/>
          <w:bar w:val="nil"/>
        </w:pBdr>
      </w:pPr>
      <w:r w:rsidRPr="007348D3">
        <w:t>The entity resource statement (Table 1.1) provides a consolidated view of all the resources available to the DTA in 202</w:t>
      </w:r>
      <w:r>
        <w:t>2</w:t>
      </w:r>
      <w:r w:rsidRPr="007348D3">
        <w:t>­2</w:t>
      </w:r>
      <w:r>
        <w:t>3</w:t>
      </w:r>
      <w:r w:rsidRPr="007348D3">
        <w:t>. This includes appropriation receivable that is yet to be drawn to cover payables and provisions on the balance sheet. The comprehensive income statement (Table 3.1) shows the operating appropriation provided in 202</w:t>
      </w:r>
      <w:r>
        <w:t>2</w:t>
      </w:r>
      <w:r w:rsidRPr="007348D3">
        <w:t>­2</w:t>
      </w:r>
      <w:r>
        <w:t>3</w:t>
      </w:r>
      <w:r w:rsidRPr="007348D3">
        <w:t>.</w:t>
      </w:r>
    </w:p>
    <w:p w14:paraId="62011868" w14:textId="77777777" w:rsidR="009828D2" w:rsidRPr="00A96135" w:rsidRDefault="009828D2" w:rsidP="00A816FA">
      <w:pPr>
        <w:pStyle w:val="Heading4"/>
        <w:jc w:val="both"/>
      </w:pPr>
      <w:r w:rsidRPr="00A96135">
        <w:t>3.1.2</w:t>
      </w:r>
      <w:r w:rsidRPr="00A96135">
        <w:tab/>
        <w:t>Explanatory notes and analysis of budgeted financial statements</w:t>
      </w:r>
    </w:p>
    <w:p w14:paraId="5F123BD9" w14:textId="77777777" w:rsidR="009828D2" w:rsidRPr="00BE6E8F" w:rsidRDefault="009828D2" w:rsidP="00A816FA">
      <w:pPr>
        <w:pBdr>
          <w:top w:val="nil"/>
          <w:left w:val="nil"/>
          <w:bottom w:val="nil"/>
          <w:right w:val="nil"/>
          <w:between w:val="nil"/>
          <w:bar w:val="nil"/>
        </w:pBdr>
        <w:rPr>
          <w:bdr w:val="nil"/>
        </w:rPr>
      </w:pPr>
      <w:r w:rsidRPr="00A96135">
        <w:rPr>
          <w:bdr w:val="nil"/>
        </w:rPr>
        <w:t>Budgeted revenue from government in 2022­23 is estimated at $</w:t>
      </w:r>
      <w:r>
        <w:rPr>
          <w:bdr w:val="nil"/>
        </w:rPr>
        <w:t>71.1</w:t>
      </w:r>
      <w:r w:rsidRPr="00A96135">
        <w:rPr>
          <w:bdr w:val="nil"/>
        </w:rPr>
        <w:t xml:space="preserve"> million, an increase of $</w:t>
      </w:r>
      <w:r>
        <w:rPr>
          <w:bdr w:val="nil"/>
        </w:rPr>
        <w:t>31.3</w:t>
      </w:r>
      <w:r w:rsidRPr="00A96135">
        <w:rPr>
          <w:bdr w:val="nil"/>
        </w:rPr>
        <w:t xml:space="preserve"> million compared to the estimate for 2022­23 reported in the 2021­22 Portfolio Budget Statements.</w:t>
      </w:r>
      <w:r w:rsidRPr="00BE6E8F">
        <w:rPr>
          <w:bdr w:val="nil"/>
        </w:rPr>
        <w:t xml:space="preserve"> </w:t>
      </w:r>
    </w:p>
    <w:p w14:paraId="598EED84" w14:textId="77777777" w:rsidR="009828D2" w:rsidRDefault="009828D2" w:rsidP="00A816FA">
      <w:pPr>
        <w:pBdr>
          <w:top w:val="nil"/>
          <w:left w:val="nil"/>
          <w:bottom w:val="nil"/>
          <w:right w:val="nil"/>
          <w:between w:val="nil"/>
          <w:bar w:val="nil"/>
        </w:pBdr>
        <w:rPr>
          <w:bdr w:val="nil"/>
        </w:rPr>
      </w:pPr>
      <w:r w:rsidRPr="00A25A80">
        <w:rPr>
          <w:bdr w:val="nil"/>
        </w:rPr>
        <w:t>Budgeted sales of goods and rendering of services in 2022­23 is estimated at $9.</w:t>
      </w:r>
      <w:r w:rsidR="00FA10DB">
        <w:rPr>
          <w:bdr w:val="nil"/>
        </w:rPr>
        <w:t>4 million, a reduction of $1.3</w:t>
      </w:r>
      <w:r w:rsidRPr="00A25A80">
        <w:rPr>
          <w:bdr w:val="nil"/>
        </w:rPr>
        <w:t xml:space="preserve"> million compared to the estimate for 2022­23 reported in the 2</w:t>
      </w:r>
      <w:r w:rsidR="00E7089F">
        <w:rPr>
          <w:bdr w:val="nil"/>
        </w:rPr>
        <w:t>021­22 </w:t>
      </w:r>
      <w:r w:rsidRPr="00A25A80">
        <w:rPr>
          <w:bdr w:val="nil"/>
        </w:rPr>
        <w:t>Portfolio Budget Statements.</w:t>
      </w:r>
    </w:p>
    <w:p w14:paraId="5B3ABA31" w14:textId="77777777" w:rsidR="009828D2" w:rsidRDefault="009828D2" w:rsidP="009828D2">
      <w:pPr>
        <w:jc w:val="left"/>
      </w:pPr>
      <w:r>
        <w:br w:type="page"/>
      </w:r>
      <w:r w:rsidRPr="00D232B7">
        <w:rPr>
          <w:rStyle w:val="TableHeadingChar"/>
        </w:rPr>
        <w:t>3.2.</w:t>
      </w:r>
      <w:r w:rsidRPr="00D232B7">
        <w:rPr>
          <w:rStyle w:val="TableHeadingChar"/>
        </w:rPr>
        <w:tab/>
        <w:t>Budgeted financial statements tables</w:t>
      </w:r>
    </w:p>
    <w:p w14:paraId="7705D073" w14:textId="77777777" w:rsidR="009828D2" w:rsidRDefault="009828D2" w:rsidP="009828D2">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351AC623" w14:textId="77777777" w:rsidR="009828D2" w:rsidRPr="00FA10DB" w:rsidRDefault="009828D2" w:rsidP="00FA10DB">
      <w:pPr>
        <w:pStyle w:val="TableGraphic"/>
      </w:pPr>
      <w:r w:rsidRPr="00D52088">
        <w:rPr>
          <w:noProof/>
        </w:rPr>
        <w:t xml:space="preserve"> </w:t>
      </w:r>
      <w:r w:rsidR="001A2C93" w:rsidRPr="001A2C93">
        <w:rPr>
          <w:noProof/>
        </w:rPr>
        <w:drawing>
          <wp:inline distT="0" distB="0" distL="0" distR="0" wp14:anchorId="11466209" wp14:editId="542BC085">
            <wp:extent cx="4895850" cy="5691372"/>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95850" cy="5691372"/>
                    </a:xfrm>
                    <a:prstGeom prst="rect">
                      <a:avLst/>
                    </a:prstGeom>
                    <a:noFill/>
                    <a:ln>
                      <a:noFill/>
                    </a:ln>
                  </pic:spPr>
                </pic:pic>
              </a:graphicData>
            </a:graphic>
          </wp:inline>
        </w:drawing>
      </w:r>
    </w:p>
    <w:p w14:paraId="5F2FF804" w14:textId="77777777" w:rsidR="001A2C93" w:rsidRDefault="001A2C93" w:rsidP="001A2C93">
      <w:pPr>
        <w:pStyle w:val="Source"/>
        <w:rPr>
          <w:rFonts w:cs="Arial"/>
        </w:rPr>
      </w:pPr>
      <w:r w:rsidRPr="009D54F3">
        <w:rPr>
          <w:rFonts w:cs="Arial"/>
        </w:rPr>
        <w:t>Prepared on Australian Accounting Standards basis.</w:t>
      </w:r>
    </w:p>
    <w:p w14:paraId="4E4AA059" w14:textId="77777777" w:rsidR="009828D2" w:rsidRDefault="009828D2" w:rsidP="00392A48">
      <w:pPr>
        <w:pStyle w:val="ChartandTableFootnoteAlpha"/>
        <w:numPr>
          <w:ilvl w:val="0"/>
          <w:numId w:val="130"/>
        </w:numPr>
        <w:rPr>
          <w:rFonts w:cs="Arial"/>
        </w:rPr>
      </w:pPr>
      <w:r w:rsidRPr="009D54F3">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1FF64994" w14:textId="77777777" w:rsidR="009828D2" w:rsidRPr="002A0F2E" w:rsidRDefault="00A75066" w:rsidP="00392A48">
      <w:pPr>
        <w:pStyle w:val="ChartandTableFootnoteAlpha"/>
        <w:numPr>
          <w:ilvl w:val="0"/>
          <w:numId w:val="130"/>
        </w:numPr>
      </w:pPr>
      <w:r>
        <w:t>Applies to leases</w:t>
      </w:r>
      <w:r w:rsidR="009828D2" w:rsidRPr="00D52088">
        <w:t xml:space="preserve"> under AASB 16 Leases.</w:t>
      </w:r>
    </w:p>
    <w:p w14:paraId="46718509" w14:textId="77777777" w:rsidR="009828D2" w:rsidRDefault="009828D2" w:rsidP="009828D2">
      <w:pPr>
        <w:pStyle w:val="TableHeading"/>
      </w:pPr>
      <w:r w:rsidRPr="00E4582E">
        <w:t>Table</w:t>
      </w:r>
      <w:r>
        <w:t xml:space="preserve"> 3.</w:t>
      </w:r>
      <w:r w:rsidRPr="00E4582E">
        <w:t>2: Budg</w:t>
      </w:r>
      <w:r>
        <w:t xml:space="preserve">eted departmental balance sheet </w:t>
      </w:r>
      <w:r w:rsidRPr="00E4582E">
        <w:t>(as at 30 June)</w:t>
      </w:r>
    </w:p>
    <w:p w14:paraId="0C09950C" w14:textId="77777777" w:rsidR="009828D2" w:rsidRPr="00F626C2" w:rsidRDefault="00E7089F" w:rsidP="009828D2">
      <w:pPr>
        <w:pStyle w:val="TableGraphic"/>
      </w:pPr>
      <w:r w:rsidRPr="00E7089F">
        <w:rPr>
          <w:noProof/>
        </w:rPr>
        <w:drawing>
          <wp:inline distT="0" distB="0" distL="0" distR="0" wp14:anchorId="2D859292" wp14:editId="7854C639">
            <wp:extent cx="4895850" cy="469355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95850" cy="4693552"/>
                    </a:xfrm>
                    <a:prstGeom prst="rect">
                      <a:avLst/>
                    </a:prstGeom>
                    <a:noFill/>
                    <a:ln>
                      <a:noFill/>
                    </a:ln>
                  </pic:spPr>
                </pic:pic>
              </a:graphicData>
            </a:graphic>
          </wp:inline>
        </w:drawing>
      </w:r>
    </w:p>
    <w:p w14:paraId="66A79A9D" w14:textId="77777777" w:rsidR="009828D2" w:rsidRPr="00132F9E" w:rsidRDefault="009828D2" w:rsidP="009828D2">
      <w:pPr>
        <w:pStyle w:val="Source"/>
        <w:rPr>
          <w:rFonts w:cs="Arial"/>
        </w:rPr>
      </w:pPr>
      <w:r w:rsidRPr="00132F9E">
        <w:rPr>
          <w:rFonts w:cs="Arial"/>
        </w:rPr>
        <w:t>Prepared on Australian Accounting Standards basis.</w:t>
      </w:r>
    </w:p>
    <w:p w14:paraId="46E36E26" w14:textId="77777777" w:rsidR="009828D2" w:rsidRPr="00132F9E" w:rsidRDefault="009828D2" w:rsidP="009828D2">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1E057DFA" w14:textId="77777777" w:rsidR="009828D2" w:rsidRPr="00152B2B" w:rsidRDefault="009828D2" w:rsidP="009828D2"/>
    <w:p w14:paraId="53BE8EF3" w14:textId="77777777" w:rsidR="009828D2" w:rsidRPr="00152B2B" w:rsidRDefault="009828D2" w:rsidP="009828D2"/>
    <w:p w14:paraId="507EE3C8" w14:textId="77777777" w:rsidR="009828D2" w:rsidRDefault="009828D2" w:rsidP="009828D2">
      <w:pPr>
        <w:pStyle w:val="TableHeading"/>
        <w:rPr>
          <w:rFonts w:ascii="Times New Roman" w:hAnsi="Times New Roman"/>
        </w:rPr>
      </w:pPr>
      <w:r>
        <w:br w:type="page"/>
      </w:r>
      <w:r w:rsidRPr="00AD42E2">
        <w:t>Table 3.3: Departmental statement of changes in equity — summary of</w:t>
      </w:r>
      <w:r>
        <w:t xml:space="preserve"> movement (Budget year </w:t>
      </w:r>
      <w:r>
        <w:rPr>
          <w:lang w:val="en-AU"/>
        </w:rPr>
        <w:t>2022-23</w:t>
      </w:r>
      <w:r w:rsidRPr="00D30CBA">
        <w:t>)</w:t>
      </w:r>
    </w:p>
    <w:p w14:paraId="2EF551E3" w14:textId="77777777" w:rsidR="009828D2" w:rsidRDefault="009828D2" w:rsidP="009828D2">
      <w:pPr>
        <w:pStyle w:val="TableGraphic"/>
      </w:pPr>
      <w:r w:rsidRPr="002376AD">
        <w:t xml:space="preserve"> </w:t>
      </w:r>
      <w:r w:rsidR="00EC336F" w:rsidRPr="00EC336F">
        <w:rPr>
          <w:noProof/>
        </w:rPr>
        <w:drawing>
          <wp:inline distT="0" distB="0" distL="0" distR="0" wp14:anchorId="67457B15" wp14:editId="6F8FB090">
            <wp:extent cx="4826000" cy="2499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26000" cy="2499995"/>
                    </a:xfrm>
                    <a:prstGeom prst="rect">
                      <a:avLst/>
                    </a:prstGeom>
                    <a:noFill/>
                    <a:ln>
                      <a:noFill/>
                    </a:ln>
                  </pic:spPr>
                </pic:pic>
              </a:graphicData>
            </a:graphic>
          </wp:inline>
        </w:drawing>
      </w:r>
    </w:p>
    <w:p w14:paraId="14535054" w14:textId="77777777" w:rsidR="00A816FA" w:rsidRDefault="009828D2" w:rsidP="00A816FA">
      <w:pPr>
        <w:pStyle w:val="TableGraphic"/>
        <w:rPr>
          <w:rFonts w:ascii="Arial" w:hAnsi="Arial" w:cs="Arial"/>
          <w:sz w:val="16"/>
        </w:rPr>
      </w:pPr>
      <w:r w:rsidRPr="00D606C2">
        <w:rPr>
          <w:rFonts w:ascii="Arial" w:hAnsi="Arial" w:cs="Arial"/>
          <w:sz w:val="16"/>
        </w:rPr>
        <w:t>Prepared on Australian Accounting Standards basis</w:t>
      </w:r>
    </w:p>
    <w:p w14:paraId="5B3D5857" w14:textId="77777777" w:rsidR="00A816FA" w:rsidRDefault="00A816FA">
      <w:pPr>
        <w:spacing w:after="0" w:line="240" w:lineRule="auto"/>
        <w:jc w:val="left"/>
        <w:rPr>
          <w:rFonts w:ascii="Arial" w:hAnsi="Arial" w:cs="Arial"/>
          <w:sz w:val="16"/>
        </w:rPr>
      </w:pPr>
      <w:r>
        <w:rPr>
          <w:rFonts w:ascii="Arial" w:hAnsi="Arial" w:cs="Arial"/>
          <w:sz w:val="16"/>
        </w:rPr>
        <w:br w:type="page"/>
      </w:r>
    </w:p>
    <w:p w14:paraId="5B72F9CA" w14:textId="77777777" w:rsidR="009828D2" w:rsidRPr="00A816FA" w:rsidRDefault="009828D2" w:rsidP="00A816FA">
      <w:pPr>
        <w:pStyle w:val="TableGraphic"/>
        <w:rPr>
          <w:rFonts w:ascii="Arial" w:hAnsi="Arial" w:cs="Arial"/>
          <w:b/>
          <w:sz w:val="16"/>
          <w:szCs w:val="16"/>
        </w:rPr>
      </w:pPr>
      <w:r w:rsidRPr="00A816FA">
        <w:rPr>
          <w:rFonts w:ascii="Arial" w:hAnsi="Arial" w:cs="Arial"/>
          <w:b/>
        </w:rPr>
        <w:t>Table 3.4: Budgeted departmental statement of cash flows (for the period ended 30 June)</w:t>
      </w:r>
    </w:p>
    <w:p w14:paraId="64E5A1B5" w14:textId="77777777" w:rsidR="009828D2" w:rsidRPr="00F10305" w:rsidRDefault="00E7089F" w:rsidP="009828D2">
      <w:pPr>
        <w:pStyle w:val="TableGraphic"/>
        <w:tabs>
          <w:tab w:val="left" w:pos="6237"/>
        </w:tabs>
      </w:pPr>
      <w:r w:rsidRPr="00E7089F">
        <w:rPr>
          <w:noProof/>
        </w:rPr>
        <w:drawing>
          <wp:inline distT="0" distB="0" distL="0" distR="0" wp14:anchorId="76757FA4" wp14:editId="14AEB62F">
            <wp:extent cx="4895850" cy="4176707"/>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95850" cy="4176707"/>
                    </a:xfrm>
                    <a:prstGeom prst="rect">
                      <a:avLst/>
                    </a:prstGeom>
                    <a:noFill/>
                    <a:ln>
                      <a:noFill/>
                    </a:ln>
                  </pic:spPr>
                </pic:pic>
              </a:graphicData>
            </a:graphic>
          </wp:inline>
        </w:drawing>
      </w:r>
    </w:p>
    <w:p w14:paraId="58798919" w14:textId="77777777" w:rsidR="009828D2" w:rsidRPr="00C310FD" w:rsidRDefault="009828D2" w:rsidP="009828D2">
      <w:pPr>
        <w:pStyle w:val="TableGraphic"/>
        <w:rPr>
          <w:rFonts w:ascii="Arial" w:hAnsi="Arial" w:cs="Arial"/>
          <w:sz w:val="16"/>
          <w:szCs w:val="16"/>
        </w:rPr>
      </w:pPr>
      <w:r w:rsidRPr="00D606C2">
        <w:rPr>
          <w:rFonts w:ascii="Arial" w:hAnsi="Arial" w:cs="Arial"/>
          <w:sz w:val="16"/>
        </w:rPr>
        <w:t>Prepared on Australian Accounting Standards basis</w:t>
      </w:r>
    </w:p>
    <w:p w14:paraId="498D76F2" w14:textId="77777777" w:rsidR="009828D2" w:rsidRPr="00132F9E" w:rsidRDefault="009828D2" w:rsidP="009828D2">
      <w:pPr>
        <w:pStyle w:val="TableHeadingcontinued"/>
        <w:rPr>
          <w:rFonts w:ascii="Arial" w:hAnsi="Arial" w:cs="Arial"/>
          <w:sz w:val="16"/>
          <w:szCs w:val="16"/>
        </w:rPr>
      </w:pPr>
    </w:p>
    <w:p w14:paraId="53190D36" w14:textId="77777777" w:rsidR="009828D2" w:rsidRPr="00132F9E" w:rsidRDefault="009828D2" w:rsidP="009828D2">
      <w:pPr>
        <w:pStyle w:val="NoSpacing"/>
        <w:rPr>
          <w:rFonts w:ascii="Arial" w:hAnsi="Arial" w:cs="Arial"/>
          <w:sz w:val="16"/>
          <w:szCs w:val="16"/>
        </w:rPr>
      </w:pPr>
    </w:p>
    <w:p w14:paraId="031CAEA8" w14:textId="77777777" w:rsidR="009828D2" w:rsidRDefault="009828D2" w:rsidP="009828D2">
      <w:pPr>
        <w:pStyle w:val="TableHeading"/>
        <w:sectPr w:rsidR="009828D2" w:rsidSect="00A816FA">
          <w:headerReference w:type="first" r:id="rId206"/>
          <w:footerReference w:type="first" r:id="rId207"/>
          <w:pgSz w:w="11906" w:h="16838" w:code="9"/>
          <w:pgMar w:top="2835" w:right="2098" w:bottom="2466" w:left="2098" w:header="1814" w:footer="1814" w:gutter="0"/>
          <w:cols w:space="708"/>
          <w:titlePg/>
          <w:docGrid w:linePitch="360"/>
        </w:sectPr>
      </w:pPr>
    </w:p>
    <w:p w14:paraId="7E6514EE" w14:textId="77777777" w:rsidR="00A816FA" w:rsidRDefault="00A816FA" w:rsidP="00A816FA">
      <w:pPr>
        <w:pStyle w:val="TableHeading"/>
      </w:pPr>
    </w:p>
    <w:p w14:paraId="06E0ED9F" w14:textId="77777777" w:rsidR="009828D2" w:rsidRPr="006943D1" w:rsidRDefault="009828D2" w:rsidP="00A816FA">
      <w:pPr>
        <w:pStyle w:val="TableHeading"/>
      </w:pPr>
      <w:r w:rsidRPr="00D30CBA">
        <w:t>Table</w:t>
      </w:r>
      <w:r>
        <w:t xml:space="preserve"> 3.</w:t>
      </w:r>
      <w:r>
        <w:rPr>
          <w:lang w:val="en-GB"/>
        </w:rPr>
        <w:t>5</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7E089A3D" w14:textId="77777777" w:rsidR="009828D2" w:rsidRDefault="00E7089F" w:rsidP="009828D2">
      <w:pPr>
        <w:pStyle w:val="TableGraphic"/>
      </w:pPr>
      <w:r w:rsidRPr="00E7089F">
        <w:rPr>
          <w:noProof/>
        </w:rPr>
        <w:drawing>
          <wp:inline distT="0" distB="0" distL="0" distR="0" wp14:anchorId="0D8FE971" wp14:editId="64FB48A6">
            <wp:extent cx="4895850" cy="3534232"/>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95850" cy="3534232"/>
                    </a:xfrm>
                    <a:prstGeom prst="rect">
                      <a:avLst/>
                    </a:prstGeom>
                    <a:noFill/>
                    <a:ln>
                      <a:noFill/>
                    </a:ln>
                  </pic:spPr>
                </pic:pic>
              </a:graphicData>
            </a:graphic>
          </wp:inline>
        </w:drawing>
      </w:r>
    </w:p>
    <w:p w14:paraId="2B12202E" w14:textId="77777777" w:rsidR="009828D2" w:rsidRPr="002E5D24" w:rsidRDefault="009828D2" w:rsidP="009828D2">
      <w:pPr>
        <w:pStyle w:val="ChartandTableFootnote"/>
      </w:pPr>
      <w:r w:rsidRPr="00132F9E">
        <w:t>Prepared on Australian Accounting Standards basis.</w:t>
      </w:r>
    </w:p>
    <w:p w14:paraId="71694EAA" w14:textId="77777777" w:rsidR="009828D2" w:rsidRPr="00152B2B" w:rsidRDefault="009828D2" w:rsidP="009828D2">
      <w:pPr>
        <w:sectPr w:rsidR="009828D2" w:rsidRPr="00152B2B" w:rsidSect="00A816FA">
          <w:headerReference w:type="even" r:id="rId209"/>
          <w:headerReference w:type="default" r:id="rId210"/>
          <w:footerReference w:type="even" r:id="rId211"/>
          <w:footerReference w:type="default" r:id="rId212"/>
          <w:headerReference w:type="first" r:id="rId213"/>
          <w:footerReference w:type="first" r:id="rId214"/>
          <w:pgSz w:w="11906" w:h="16838" w:code="9"/>
          <w:pgMar w:top="2466" w:right="2098" w:bottom="2835" w:left="2098" w:header="1814" w:footer="1814" w:gutter="0"/>
          <w:cols w:space="708"/>
          <w:titlePg/>
          <w:docGrid w:linePitch="360"/>
        </w:sectPr>
      </w:pPr>
    </w:p>
    <w:p w14:paraId="6FFBB44F" w14:textId="77777777" w:rsidR="009828D2" w:rsidRPr="000C3B86" w:rsidRDefault="009828D2" w:rsidP="009828D2">
      <w:pPr>
        <w:pStyle w:val="TableHeading"/>
      </w:pPr>
    </w:p>
    <w:p w14:paraId="264131E9" w14:textId="77777777" w:rsidR="00556B4B" w:rsidRPr="000C3B86" w:rsidRDefault="00556B4B" w:rsidP="00556B4B">
      <w:pPr>
        <w:pStyle w:val="TableHeading"/>
      </w:pPr>
    </w:p>
    <w:p w14:paraId="2E24912F" w14:textId="77777777" w:rsidR="00102406" w:rsidRPr="005A7C0B" w:rsidRDefault="00102406" w:rsidP="00102406">
      <w:pPr>
        <w:pStyle w:val="PartHeading"/>
      </w:pPr>
      <w:r>
        <w:t>Indigenous</w:t>
      </w:r>
      <w:r w:rsidRPr="005A7C0B">
        <w:t xml:space="preserve"> </w:t>
      </w:r>
      <w:r>
        <w:t>Business Australia</w:t>
      </w:r>
    </w:p>
    <w:p w14:paraId="4BE2943C" w14:textId="77777777" w:rsidR="00102406" w:rsidRDefault="00102406" w:rsidP="00102406">
      <w:pPr>
        <w:pStyle w:val="PartHeading"/>
      </w:pPr>
    </w:p>
    <w:p w14:paraId="4E5DABAC" w14:textId="77777777" w:rsidR="00102406" w:rsidRDefault="00102406" w:rsidP="00102406">
      <w:pPr>
        <w:pStyle w:val="PartHeading"/>
      </w:pPr>
    </w:p>
    <w:p w14:paraId="7A8FB235" w14:textId="77777777" w:rsidR="00102406" w:rsidRDefault="00102406" w:rsidP="00102406">
      <w:pPr>
        <w:pStyle w:val="PartHeading-TOC"/>
      </w:pPr>
      <w:bookmarkStart w:id="475" w:name="_Toc98496277"/>
      <w:bookmarkStart w:id="476" w:name="_Toc98765316"/>
      <w:bookmarkStart w:id="477" w:name="_Toc99011801"/>
      <w:bookmarkStart w:id="478" w:name="_Toc99201050"/>
      <w:r>
        <w:t>Entity resources and planned performance</w:t>
      </w:r>
      <w:bookmarkEnd w:id="475"/>
      <w:bookmarkEnd w:id="476"/>
      <w:bookmarkEnd w:id="477"/>
      <w:bookmarkEnd w:id="478"/>
    </w:p>
    <w:p w14:paraId="75B49B74" w14:textId="77777777" w:rsidR="006728AB" w:rsidRDefault="006728AB" w:rsidP="00102406">
      <w:pPr>
        <w:pStyle w:val="PartHeading"/>
      </w:pPr>
    </w:p>
    <w:p w14:paraId="2CBCA941" w14:textId="77777777" w:rsidR="006728AB" w:rsidRDefault="006728AB">
      <w:pPr>
        <w:spacing w:after="0" w:line="240" w:lineRule="auto"/>
        <w:jc w:val="left"/>
        <w:rPr>
          <w:rFonts w:ascii="Arial Bold" w:hAnsi="Arial Bold" w:cs="Arial"/>
          <w:b/>
          <w:bCs/>
          <w:kern w:val="28"/>
          <w:sz w:val="52"/>
          <w:szCs w:val="32"/>
        </w:rPr>
      </w:pPr>
      <w:r>
        <w:br w:type="page"/>
      </w:r>
    </w:p>
    <w:p w14:paraId="5CB5DCAE" w14:textId="77777777" w:rsidR="006728AB" w:rsidRDefault="006728AB" w:rsidP="00102406">
      <w:pPr>
        <w:pStyle w:val="PartHeading"/>
      </w:pPr>
    </w:p>
    <w:p w14:paraId="47DFF6A5" w14:textId="77777777" w:rsidR="006728AB" w:rsidRDefault="006728AB">
      <w:pPr>
        <w:spacing w:after="0" w:line="240" w:lineRule="auto"/>
        <w:jc w:val="left"/>
        <w:rPr>
          <w:rFonts w:ascii="Arial Bold" w:hAnsi="Arial Bold" w:cs="Arial"/>
          <w:b/>
          <w:bCs/>
          <w:kern w:val="28"/>
          <w:sz w:val="52"/>
          <w:szCs w:val="32"/>
        </w:rPr>
      </w:pPr>
      <w:r>
        <w:br w:type="page"/>
      </w:r>
    </w:p>
    <w:p w14:paraId="7606064F" w14:textId="77777777" w:rsidR="00102406" w:rsidRDefault="00102406" w:rsidP="00102406">
      <w:pPr>
        <w:pStyle w:val="PartHeading"/>
        <w:sectPr w:rsidR="00102406" w:rsidSect="00782467">
          <w:footerReference w:type="even" r:id="rId215"/>
          <w:headerReference w:type="first" r:id="rId216"/>
          <w:footerReference w:type="first" r:id="rId217"/>
          <w:type w:val="oddPage"/>
          <w:pgSz w:w="11906" w:h="16838" w:code="9"/>
          <w:pgMar w:top="2835" w:right="2098" w:bottom="2466" w:left="2098" w:header="1814" w:footer="1814" w:gutter="0"/>
          <w:cols w:space="708"/>
          <w:vAlign w:val="center"/>
          <w:titlePg/>
          <w:docGrid w:linePitch="360"/>
        </w:sectPr>
      </w:pPr>
    </w:p>
    <w:p w14:paraId="602CF3E4" w14:textId="77777777" w:rsidR="00102406" w:rsidRPr="002A32FD" w:rsidRDefault="00102406" w:rsidP="00102406">
      <w:pPr>
        <w:pStyle w:val="ContentsHeading"/>
      </w:pPr>
      <w:r>
        <w:t>Indigenous Business Australia</w:t>
      </w:r>
    </w:p>
    <w:p w14:paraId="379560F3" w14:textId="77777777" w:rsidR="005F4B42" w:rsidRDefault="00A76B91" w:rsidP="005F4B42">
      <w:pPr>
        <w:pStyle w:val="TOC1"/>
        <w:rPr>
          <w:rFonts w:asciiTheme="minorHAnsi" w:eastAsiaTheme="minorEastAsia" w:hAnsiTheme="minorHAnsi" w:cstheme="minorBidi"/>
          <w:b w:val="0"/>
          <w:caps w:val="0"/>
          <w:noProof/>
          <w:sz w:val="22"/>
          <w:szCs w:val="22"/>
        </w:rPr>
      </w:pPr>
      <w:hyperlink w:anchor="_Toc98766395" w:history="1">
        <w:r w:rsidR="005F4B42" w:rsidRPr="00F15159">
          <w:rPr>
            <w:rStyle w:val="Hyperlink"/>
            <w:noProof/>
          </w:rPr>
          <w:t>Section 1: Entity overview and resources</w:t>
        </w:r>
        <w:r w:rsidR="005F4B42">
          <w:rPr>
            <w:noProof/>
            <w:webHidden/>
          </w:rPr>
          <w:tab/>
        </w:r>
        <w:r w:rsidR="005F4B42">
          <w:rPr>
            <w:noProof/>
            <w:webHidden/>
          </w:rPr>
          <w:fldChar w:fldCharType="begin"/>
        </w:r>
        <w:r w:rsidR="005F4B42">
          <w:rPr>
            <w:noProof/>
            <w:webHidden/>
          </w:rPr>
          <w:instrText xml:space="preserve"> PAGEREF _Toc98766395 \h </w:instrText>
        </w:r>
        <w:r w:rsidR="005F4B42">
          <w:rPr>
            <w:noProof/>
            <w:webHidden/>
          </w:rPr>
        </w:r>
        <w:r w:rsidR="005F4B42">
          <w:rPr>
            <w:noProof/>
            <w:webHidden/>
          </w:rPr>
          <w:fldChar w:fldCharType="separate"/>
        </w:r>
        <w:r w:rsidR="00AC2929">
          <w:rPr>
            <w:noProof/>
            <w:webHidden/>
          </w:rPr>
          <w:t>159</w:t>
        </w:r>
        <w:r w:rsidR="005F4B42">
          <w:rPr>
            <w:noProof/>
            <w:webHidden/>
          </w:rPr>
          <w:fldChar w:fldCharType="end"/>
        </w:r>
      </w:hyperlink>
    </w:p>
    <w:p w14:paraId="78B50C10" w14:textId="77777777" w:rsidR="005F4B42" w:rsidRDefault="00A76B91" w:rsidP="005F4B42">
      <w:pPr>
        <w:pStyle w:val="TOC2"/>
        <w:tabs>
          <w:tab w:val="left" w:pos="800"/>
        </w:tabs>
        <w:rPr>
          <w:rFonts w:asciiTheme="minorHAnsi" w:eastAsiaTheme="minorEastAsia" w:hAnsiTheme="minorHAnsi" w:cstheme="minorBidi"/>
          <w:noProof/>
          <w:sz w:val="22"/>
          <w:szCs w:val="22"/>
        </w:rPr>
      </w:pPr>
      <w:hyperlink w:anchor="_Toc98766396" w:history="1">
        <w:r w:rsidR="005F4B42" w:rsidRPr="00F15159">
          <w:rPr>
            <w:rStyle w:val="Hyperlink"/>
            <w:noProof/>
          </w:rPr>
          <w:t>1.1</w:t>
        </w:r>
        <w:r w:rsidR="005F4B42">
          <w:rPr>
            <w:rFonts w:asciiTheme="minorHAnsi" w:eastAsiaTheme="minorEastAsia" w:hAnsiTheme="minorHAnsi" w:cstheme="minorBidi"/>
            <w:noProof/>
            <w:sz w:val="22"/>
            <w:szCs w:val="22"/>
          </w:rPr>
          <w:tab/>
        </w:r>
        <w:r w:rsidR="005F4B42" w:rsidRPr="00F15159">
          <w:rPr>
            <w:rStyle w:val="Hyperlink"/>
            <w:noProof/>
          </w:rPr>
          <w:t>Strategic direction statement</w:t>
        </w:r>
        <w:r w:rsidR="005F4B42">
          <w:rPr>
            <w:noProof/>
            <w:webHidden/>
          </w:rPr>
          <w:tab/>
        </w:r>
        <w:r w:rsidR="005F4B42">
          <w:rPr>
            <w:noProof/>
            <w:webHidden/>
          </w:rPr>
          <w:fldChar w:fldCharType="begin"/>
        </w:r>
        <w:r w:rsidR="005F4B42">
          <w:rPr>
            <w:noProof/>
            <w:webHidden/>
          </w:rPr>
          <w:instrText xml:space="preserve"> PAGEREF _Toc98766396 \h </w:instrText>
        </w:r>
        <w:r w:rsidR="005F4B42">
          <w:rPr>
            <w:noProof/>
            <w:webHidden/>
          </w:rPr>
        </w:r>
        <w:r w:rsidR="005F4B42">
          <w:rPr>
            <w:noProof/>
            <w:webHidden/>
          </w:rPr>
          <w:fldChar w:fldCharType="separate"/>
        </w:r>
        <w:r w:rsidR="00AC2929">
          <w:rPr>
            <w:noProof/>
            <w:webHidden/>
          </w:rPr>
          <w:t>159</w:t>
        </w:r>
        <w:r w:rsidR="005F4B42">
          <w:rPr>
            <w:noProof/>
            <w:webHidden/>
          </w:rPr>
          <w:fldChar w:fldCharType="end"/>
        </w:r>
      </w:hyperlink>
    </w:p>
    <w:p w14:paraId="549CAE15" w14:textId="77777777" w:rsidR="005F4B42" w:rsidRDefault="00A76B91" w:rsidP="005F4B42">
      <w:pPr>
        <w:pStyle w:val="TOC2"/>
        <w:tabs>
          <w:tab w:val="left" w:pos="800"/>
        </w:tabs>
        <w:rPr>
          <w:rFonts w:asciiTheme="minorHAnsi" w:eastAsiaTheme="minorEastAsia" w:hAnsiTheme="minorHAnsi" w:cstheme="minorBidi"/>
          <w:noProof/>
          <w:sz w:val="22"/>
          <w:szCs w:val="22"/>
        </w:rPr>
      </w:pPr>
      <w:hyperlink w:anchor="_Toc98766397" w:history="1">
        <w:r w:rsidR="005F4B42" w:rsidRPr="00F15159">
          <w:rPr>
            <w:rStyle w:val="Hyperlink"/>
            <w:noProof/>
          </w:rPr>
          <w:t>1.2</w:t>
        </w:r>
        <w:r w:rsidR="005F4B42">
          <w:rPr>
            <w:rFonts w:asciiTheme="minorHAnsi" w:eastAsiaTheme="minorEastAsia" w:hAnsiTheme="minorHAnsi" w:cstheme="minorBidi"/>
            <w:noProof/>
            <w:sz w:val="22"/>
            <w:szCs w:val="22"/>
          </w:rPr>
          <w:tab/>
        </w:r>
        <w:r w:rsidR="005F4B42" w:rsidRPr="00F15159">
          <w:rPr>
            <w:rStyle w:val="Hyperlink"/>
            <w:noProof/>
          </w:rPr>
          <w:t>Entity resource statement</w:t>
        </w:r>
        <w:r w:rsidR="005F4B42">
          <w:rPr>
            <w:noProof/>
            <w:webHidden/>
          </w:rPr>
          <w:tab/>
        </w:r>
        <w:r w:rsidR="005F4B42">
          <w:rPr>
            <w:noProof/>
            <w:webHidden/>
          </w:rPr>
          <w:fldChar w:fldCharType="begin"/>
        </w:r>
        <w:r w:rsidR="005F4B42">
          <w:rPr>
            <w:noProof/>
            <w:webHidden/>
          </w:rPr>
          <w:instrText xml:space="preserve"> PAGEREF _Toc98766397 \h </w:instrText>
        </w:r>
        <w:r w:rsidR="005F4B42">
          <w:rPr>
            <w:noProof/>
            <w:webHidden/>
          </w:rPr>
        </w:r>
        <w:r w:rsidR="005F4B42">
          <w:rPr>
            <w:noProof/>
            <w:webHidden/>
          </w:rPr>
          <w:fldChar w:fldCharType="separate"/>
        </w:r>
        <w:r w:rsidR="00AC2929">
          <w:rPr>
            <w:noProof/>
            <w:webHidden/>
          </w:rPr>
          <w:t>161</w:t>
        </w:r>
        <w:r w:rsidR="005F4B42">
          <w:rPr>
            <w:noProof/>
            <w:webHidden/>
          </w:rPr>
          <w:fldChar w:fldCharType="end"/>
        </w:r>
      </w:hyperlink>
    </w:p>
    <w:p w14:paraId="19CF479A" w14:textId="77777777" w:rsidR="005F4B42" w:rsidRDefault="00A76B91" w:rsidP="005F4B42">
      <w:pPr>
        <w:pStyle w:val="TOC2"/>
        <w:tabs>
          <w:tab w:val="left" w:pos="800"/>
        </w:tabs>
        <w:rPr>
          <w:rFonts w:asciiTheme="minorHAnsi" w:eastAsiaTheme="minorEastAsia" w:hAnsiTheme="minorHAnsi" w:cstheme="minorBidi"/>
          <w:noProof/>
          <w:sz w:val="22"/>
          <w:szCs w:val="22"/>
        </w:rPr>
      </w:pPr>
      <w:hyperlink w:anchor="_Toc98766398" w:history="1">
        <w:r w:rsidR="005F4B42" w:rsidRPr="00F15159">
          <w:rPr>
            <w:rStyle w:val="Hyperlink"/>
            <w:noProof/>
          </w:rPr>
          <w:t>1.3</w:t>
        </w:r>
        <w:r w:rsidR="005F4B42">
          <w:rPr>
            <w:rFonts w:asciiTheme="minorHAnsi" w:eastAsiaTheme="minorEastAsia" w:hAnsiTheme="minorHAnsi" w:cstheme="minorBidi"/>
            <w:noProof/>
            <w:sz w:val="22"/>
            <w:szCs w:val="22"/>
          </w:rPr>
          <w:tab/>
        </w:r>
        <w:r w:rsidR="005F4B42" w:rsidRPr="00F15159">
          <w:rPr>
            <w:rStyle w:val="Hyperlink"/>
            <w:noProof/>
          </w:rPr>
          <w:t>Budget measures</w:t>
        </w:r>
        <w:r w:rsidR="005F4B42">
          <w:rPr>
            <w:noProof/>
            <w:webHidden/>
          </w:rPr>
          <w:tab/>
        </w:r>
        <w:r w:rsidR="005F4B42">
          <w:rPr>
            <w:noProof/>
            <w:webHidden/>
          </w:rPr>
          <w:fldChar w:fldCharType="begin"/>
        </w:r>
        <w:r w:rsidR="005F4B42">
          <w:rPr>
            <w:noProof/>
            <w:webHidden/>
          </w:rPr>
          <w:instrText xml:space="preserve"> PAGEREF _Toc98766398 \h </w:instrText>
        </w:r>
        <w:r w:rsidR="005F4B42">
          <w:rPr>
            <w:noProof/>
            <w:webHidden/>
          </w:rPr>
        </w:r>
        <w:r w:rsidR="005F4B42">
          <w:rPr>
            <w:noProof/>
            <w:webHidden/>
          </w:rPr>
          <w:fldChar w:fldCharType="separate"/>
        </w:r>
        <w:r w:rsidR="00AC2929">
          <w:rPr>
            <w:noProof/>
            <w:webHidden/>
          </w:rPr>
          <w:t>163</w:t>
        </w:r>
        <w:r w:rsidR="005F4B42">
          <w:rPr>
            <w:noProof/>
            <w:webHidden/>
          </w:rPr>
          <w:fldChar w:fldCharType="end"/>
        </w:r>
      </w:hyperlink>
    </w:p>
    <w:p w14:paraId="3FFAAEF8" w14:textId="77777777" w:rsidR="005F4B42" w:rsidRDefault="00A76B91" w:rsidP="005F4B42">
      <w:pPr>
        <w:pStyle w:val="TOC1"/>
        <w:rPr>
          <w:rFonts w:asciiTheme="minorHAnsi" w:eastAsiaTheme="minorEastAsia" w:hAnsiTheme="minorHAnsi" w:cstheme="minorBidi"/>
          <w:b w:val="0"/>
          <w:caps w:val="0"/>
          <w:noProof/>
          <w:sz w:val="22"/>
          <w:szCs w:val="22"/>
        </w:rPr>
      </w:pPr>
      <w:hyperlink w:anchor="_Toc98766399" w:history="1">
        <w:r w:rsidR="005F4B42" w:rsidRPr="00F15159">
          <w:rPr>
            <w:rStyle w:val="Hyperlink"/>
            <w:noProof/>
          </w:rPr>
          <w:t>Section 2: Outcomes and planned performance</w:t>
        </w:r>
        <w:r w:rsidR="005F4B42">
          <w:rPr>
            <w:noProof/>
            <w:webHidden/>
          </w:rPr>
          <w:tab/>
        </w:r>
        <w:r w:rsidR="005F4B42">
          <w:rPr>
            <w:noProof/>
            <w:webHidden/>
          </w:rPr>
          <w:fldChar w:fldCharType="begin"/>
        </w:r>
        <w:r w:rsidR="005F4B42">
          <w:rPr>
            <w:noProof/>
            <w:webHidden/>
          </w:rPr>
          <w:instrText xml:space="preserve"> PAGEREF _Toc98766399 \h </w:instrText>
        </w:r>
        <w:r w:rsidR="005F4B42">
          <w:rPr>
            <w:noProof/>
            <w:webHidden/>
          </w:rPr>
        </w:r>
        <w:r w:rsidR="005F4B42">
          <w:rPr>
            <w:noProof/>
            <w:webHidden/>
          </w:rPr>
          <w:fldChar w:fldCharType="separate"/>
        </w:r>
        <w:r w:rsidR="00AC2929">
          <w:rPr>
            <w:noProof/>
            <w:webHidden/>
          </w:rPr>
          <w:t>164</w:t>
        </w:r>
        <w:r w:rsidR="005F4B42">
          <w:rPr>
            <w:noProof/>
            <w:webHidden/>
          </w:rPr>
          <w:fldChar w:fldCharType="end"/>
        </w:r>
      </w:hyperlink>
    </w:p>
    <w:p w14:paraId="0F1739A3" w14:textId="77777777" w:rsidR="005F4B42" w:rsidRDefault="00A76B91" w:rsidP="005F4B42">
      <w:pPr>
        <w:pStyle w:val="TOC2"/>
        <w:tabs>
          <w:tab w:val="left" w:pos="800"/>
        </w:tabs>
        <w:rPr>
          <w:rFonts w:asciiTheme="minorHAnsi" w:eastAsiaTheme="minorEastAsia" w:hAnsiTheme="minorHAnsi" w:cstheme="minorBidi"/>
          <w:noProof/>
          <w:sz w:val="22"/>
          <w:szCs w:val="22"/>
        </w:rPr>
      </w:pPr>
      <w:hyperlink w:anchor="_Toc98766400" w:history="1">
        <w:r w:rsidR="005F4B42" w:rsidRPr="00F15159">
          <w:rPr>
            <w:rStyle w:val="Hyperlink"/>
            <w:noProof/>
          </w:rPr>
          <w:t xml:space="preserve">2.1 </w:t>
        </w:r>
        <w:r w:rsidR="005F4B42">
          <w:rPr>
            <w:rFonts w:asciiTheme="minorHAnsi" w:eastAsiaTheme="minorEastAsia" w:hAnsiTheme="minorHAnsi" w:cstheme="minorBidi"/>
            <w:noProof/>
            <w:sz w:val="22"/>
            <w:szCs w:val="22"/>
          </w:rPr>
          <w:tab/>
        </w:r>
        <w:r w:rsidR="005F4B42" w:rsidRPr="00F15159">
          <w:rPr>
            <w:rStyle w:val="Hyperlink"/>
            <w:noProof/>
          </w:rPr>
          <w:t>Budgeted expenses and performance for Outcome 1</w:t>
        </w:r>
        <w:r w:rsidR="005F4B42">
          <w:rPr>
            <w:noProof/>
            <w:webHidden/>
          </w:rPr>
          <w:tab/>
        </w:r>
        <w:r w:rsidR="005F4B42">
          <w:rPr>
            <w:noProof/>
            <w:webHidden/>
          </w:rPr>
          <w:fldChar w:fldCharType="begin"/>
        </w:r>
        <w:r w:rsidR="005F4B42">
          <w:rPr>
            <w:noProof/>
            <w:webHidden/>
          </w:rPr>
          <w:instrText xml:space="preserve"> PAGEREF _Toc98766400 \h </w:instrText>
        </w:r>
        <w:r w:rsidR="005F4B42">
          <w:rPr>
            <w:noProof/>
            <w:webHidden/>
          </w:rPr>
        </w:r>
        <w:r w:rsidR="005F4B42">
          <w:rPr>
            <w:noProof/>
            <w:webHidden/>
          </w:rPr>
          <w:fldChar w:fldCharType="separate"/>
        </w:r>
        <w:r w:rsidR="00AC2929">
          <w:rPr>
            <w:noProof/>
            <w:webHidden/>
          </w:rPr>
          <w:t>165</w:t>
        </w:r>
        <w:r w:rsidR="005F4B42">
          <w:rPr>
            <w:noProof/>
            <w:webHidden/>
          </w:rPr>
          <w:fldChar w:fldCharType="end"/>
        </w:r>
      </w:hyperlink>
    </w:p>
    <w:p w14:paraId="090AD804" w14:textId="77777777" w:rsidR="005F4B42" w:rsidRDefault="00A76B91" w:rsidP="005F4B42">
      <w:pPr>
        <w:pStyle w:val="TOC1"/>
        <w:rPr>
          <w:rFonts w:asciiTheme="minorHAnsi" w:eastAsiaTheme="minorEastAsia" w:hAnsiTheme="minorHAnsi" w:cstheme="minorBidi"/>
          <w:b w:val="0"/>
          <w:caps w:val="0"/>
          <w:noProof/>
          <w:sz w:val="22"/>
          <w:szCs w:val="22"/>
        </w:rPr>
      </w:pPr>
      <w:hyperlink w:anchor="_Toc98766401" w:history="1">
        <w:r w:rsidR="005F4B42" w:rsidRPr="00F15159">
          <w:rPr>
            <w:rStyle w:val="Hyperlink"/>
            <w:noProof/>
          </w:rPr>
          <w:t>Section 3: Budgeted financial statements</w:t>
        </w:r>
        <w:r w:rsidR="005F4B42">
          <w:rPr>
            <w:noProof/>
            <w:webHidden/>
          </w:rPr>
          <w:tab/>
        </w:r>
        <w:r w:rsidR="005F4B42">
          <w:rPr>
            <w:noProof/>
            <w:webHidden/>
          </w:rPr>
          <w:fldChar w:fldCharType="begin"/>
        </w:r>
        <w:r w:rsidR="005F4B42">
          <w:rPr>
            <w:noProof/>
            <w:webHidden/>
          </w:rPr>
          <w:instrText xml:space="preserve"> PAGEREF _Toc98766401 \h </w:instrText>
        </w:r>
        <w:r w:rsidR="005F4B42">
          <w:rPr>
            <w:noProof/>
            <w:webHidden/>
          </w:rPr>
        </w:r>
        <w:r w:rsidR="005F4B42">
          <w:rPr>
            <w:noProof/>
            <w:webHidden/>
          </w:rPr>
          <w:fldChar w:fldCharType="separate"/>
        </w:r>
        <w:r w:rsidR="00AC2929">
          <w:rPr>
            <w:noProof/>
            <w:webHidden/>
          </w:rPr>
          <w:t>172</w:t>
        </w:r>
        <w:r w:rsidR="005F4B42">
          <w:rPr>
            <w:noProof/>
            <w:webHidden/>
          </w:rPr>
          <w:fldChar w:fldCharType="end"/>
        </w:r>
      </w:hyperlink>
    </w:p>
    <w:p w14:paraId="000DD4F8" w14:textId="77777777" w:rsidR="005F4B42" w:rsidRDefault="00A76B91" w:rsidP="005F4B42">
      <w:pPr>
        <w:pStyle w:val="TOC2"/>
        <w:tabs>
          <w:tab w:val="left" w:pos="800"/>
        </w:tabs>
        <w:rPr>
          <w:rFonts w:asciiTheme="minorHAnsi" w:eastAsiaTheme="minorEastAsia" w:hAnsiTheme="minorHAnsi" w:cstheme="minorBidi"/>
          <w:noProof/>
          <w:sz w:val="22"/>
          <w:szCs w:val="22"/>
        </w:rPr>
      </w:pPr>
      <w:hyperlink w:anchor="_Toc98766402" w:history="1">
        <w:r w:rsidR="005F4B42" w:rsidRPr="00F15159">
          <w:rPr>
            <w:rStyle w:val="Hyperlink"/>
            <w:noProof/>
          </w:rPr>
          <w:t>3.1</w:t>
        </w:r>
        <w:r w:rsidR="005F4B42">
          <w:rPr>
            <w:rFonts w:asciiTheme="minorHAnsi" w:eastAsiaTheme="minorEastAsia" w:hAnsiTheme="minorHAnsi" w:cstheme="minorBidi"/>
            <w:noProof/>
            <w:sz w:val="22"/>
            <w:szCs w:val="22"/>
          </w:rPr>
          <w:tab/>
        </w:r>
        <w:r w:rsidR="005F4B42" w:rsidRPr="00F15159">
          <w:rPr>
            <w:rStyle w:val="Hyperlink"/>
            <w:noProof/>
          </w:rPr>
          <w:t>Budgeted financial statements</w:t>
        </w:r>
        <w:r w:rsidR="005F4B42">
          <w:rPr>
            <w:noProof/>
            <w:webHidden/>
          </w:rPr>
          <w:tab/>
        </w:r>
        <w:r w:rsidR="005F4B42">
          <w:rPr>
            <w:noProof/>
            <w:webHidden/>
          </w:rPr>
          <w:fldChar w:fldCharType="begin"/>
        </w:r>
        <w:r w:rsidR="005F4B42">
          <w:rPr>
            <w:noProof/>
            <w:webHidden/>
          </w:rPr>
          <w:instrText xml:space="preserve"> PAGEREF _Toc98766402 \h </w:instrText>
        </w:r>
        <w:r w:rsidR="005F4B42">
          <w:rPr>
            <w:noProof/>
            <w:webHidden/>
          </w:rPr>
        </w:r>
        <w:r w:rsidR="005F4B42">
          <w:rPr>
            <w:noProof/>
            <w:webHidden/>
          </w:rPr>
          <w:fldChar w:fldCharType="separate"/>
        </w:r>
        <w:r w:rsidR="00AC2929">
          <w:rPr>
            <w:noProof/>
            <w:webHidden/>
          </w:rPr>
          <w:t>172</w:t>
        </w:r>
        <w:r w:rsidR="005F4B42">
          <w:rPr>
            <w:noProof/>
            <w:webHidden/>
          </w:rPr>
          <w:fldChar w:fldCharType="end"/>
        </w:r>
      </w:hyperlink>
    </w:p>
    <w:p w14:paraId="2DAFD475" w14:textId="77777777" w:rsidR="00102406" w:rsidRDefault="00102406" w:rsidP="00102406">
      <w:pPr>
        <w:pStyle w:val="TOC1"/>
      </w:pPr>
    </w:p>
    <w:p w14:paraId="4D766658" w14:textId="77777777" w:rsidR="00102406" w:rsidRPr="008B5AFD" w:rsidRDefault="00102406" w:rsidP="00102406"/>
    <w:p w14:paraId="52411D47" w14:textId="77777777" w:rsidR="006728AB" w:rsidRDefault="006728AB" w:rsidP="00102406"/>
    <w:p w14:paraId="270D086F" w14:textId="77777777" w:rsidR="006728AB" w:rsidRDefault="006728AB">
      <w:pPr>
        <w:spacing w:after="0" w:line="240" w:lineRule="auto"/>
        <w:jc w:val="left"/>
      </w:pPr>
      <w:r>
        <w:br w:type="page"/>
      </w:r>
    </w:p>
    <w:p w14:paraId="3A09436C" w14:textId="77777777" w:rsidR="006728AB" w:rsidRDefault="006728AB" w:rsidP="00102406"/>
    <w:p w14:paraId="106C4973" w14:textId="77777777" w:rsidR="006728AB" w:rsidRDefault="006728AB">
      <w:pPr>
        <w:spacing w:after="0" w:line="240" w:lineRule="auto"/>
        <w:jc w:val="left"/>
      </w:pPr>
      <w:r>
        <w:br w:type="page"/>
      </w:r>
    </w:p>
    <w:p w14:paraId="254A71A2" w14:textId="77777777" w:rsidR="00102406" w:rsidRDefault="00102406" w:rsidP="00102406">
      <w:pPr>
        <w:sectPr w:rsidR="00102406" w:rsidSect="00782467">
          <w:footerReference w:type="first" r:id="rId218"/>
          <w:type w:val="oddPage"/>
          <w:pgSz w:w="11906" w:h="16838" w:code="9"/>
          <w:pgMar w:top="2835" w:right="2098" w:bottom="2466" w:left="2098" w:header="1814" w:footer="1814" w:gutter="0"/>
          <w:cols w:space="708"/>
          <w:titlePg/>
          <w:docGrid w:linePitch="360"/>
        </w:sectPr>
      </w:pPr>
    </w:p>
    <w:p w14:paraId="33F617D0" w14:textId="77777777" w:rsidR="00102406" w:rsidRDefault="00102406" w:rsidP="00102406">
      <w:pPr>
        <w:pStyle w:val="Heading1"/>
      </w:pPr>
      <w:bookmarkStart w:id="479" w:name="_Toc99201051"/>
      <w:r>
        <w:t>Indigenous Business Australia</w:t>
      </w:r>
      <w:bookmarkEnd w:id="479"/>
    </w:p>
    <w:p w14:paraId="02FC56BD" w14:textId="77777777" w:rsidR="00102406" w:rsidRPr="002C4D41" w:rsidRDefault="00102406" w:rsidP="00102406">
      <w:pPr>
        <w:pStyle w:val="Heading2"/>
      </w:pPr>
      <w:bookmarkStart w:id="480" w:name="_Toc98766395"/>
      <w:bookmarkStart w:id="481" w:name="_Toc98856142"/>
      <w:bookmarkStart w:id="482" w:name="_Toc98932894"/>
      <w:bookmarkStart w:id="483" w:name="_Toc99008150"/>
      <w:bookmarkStart w:id="484" w:name="_Toc99009512"/>
      <w:bookmarkStart w:id="485" w:name="_Toc99010740"/>
      <w:bookmarkStart w:id="486" w:name="_Toc99013975"/>
      <w:bookmarkStart w:id="487" w:name="_Toc99187552"/>
      <w:bookmarkStart w:id="488" w:name="_Toc99269662"/>
      <w:r w:rsidRPr="002C4D41">
        <w:t xml:space="preserve">Section 1: Entity overview and </w:t>
      </w:r>
      <w:r>
        <w:t>reso</w:t>
      </w:r>
      <w:r w:rsidRPr="002C4D41">
        <w:t>urces</w:t>
      </w:r>
      <w:bookmarkEnd w:id="480"/>
      <w:bookmarkEnd w:id="481"/>
      <w:bookmarkEnd w:id="482"/>
      <w:bookmarkEnd w:id="483"/>
      <w:bookmarkEnd w:id="484"/>
      <w:bookmarkEnd w:id="485"/>
      <w:bookmarkEnd w:id="486"/>
      <w:bookmarkEnd w:id="487"/>
      <w:bookmarkEnd w:id="488"/>
    </w:p>
    <w:p w14:paraId="259851C6" w14:textId="77777777" w:rsidR="00102406" w:rsidRDefault="00102406" w:rsidP="00102406">
      <w:pPr>
        <w:pStyle w:val="Heading3"/>
      </w:pPr>
      <w:bookmarkStart w:id="489" w:name="_Toc98766396"/>
      <w:bookmarkStart w:id="490" w:name="_Toc98856143"/>
      <w:bookmarkStart w:id="491" w:name="_Toc98932895"/>
      <w:bookmarkStart w:id="492" w:name="_Toc99008151"/>
      <w:bookmarkStart w:id="493" w:name="_Toc99009513"/>
      <w:bookmarkStart w:id="494" w:name="_Toc99010741"/>
      <w:bookmarkStart w:id="495" w:name="_Toc99013976"/>
      <w:bookmarkStart w:id="496" w:name="_Toc99187553"/>
      <w:bookmarkStart w:id="497" w:name="_Toc99269663"/>
      <w:r>
        <w:t>1.1</w:t>
      </w:r>
      <w:r>
        <w:tab/>
        <w:t>Strategic direction statement</w:t>
      </w:r>
      <w:bookmarkEnd w:id="489"/>
      <w:bookmarkEnd w:id="490"/>
      <w:bookmarkEnd w:id="491"/>
      <w:bookmarkEnd w:id="492"/>
      <w:bookmarkEnd w:id="493"/>
      <w:bookmarkEnd w:id="494"/>
      <w:bookmarkEnd w:id="495"/>
      <w:bookmarkEnd w:id="496"/>
      <w:bookmarkEnd w:id="497"/>
    </w:p>
    <w:p w14:paraId="5F85ECDA" w14:textId="77777777" w:rsidR="00102406" w:rsidRPr="00E43CCC" w:rsidRDefault="00102406" w:rsidP="00102406">
      <w:pPr>
        <w:keepNext/>
        <w:widowControl w:val="0"/>
        <w:autoSpaceDE w:val="0"/>
        <w:autoSpaceDN w:val="0"/>
        <w:adjustRightInd w:val="0"/>
        <w:spacing w:after="120"/>
      </w:pPr>
      <w:r w:rsidRPr="00E43CCC">
        <w:rPr>
          <w:rFonts w:cs="Arial"/>
        </w:rPr>
        <w:t xml:space="preserve">Indigenous Business </w:t>
      </w:r>
      <w:r w:rsidRPr="00E43CCC">
        <w:t xml:space="preserve">Australia's (IBA) vision is for a nation in which Aboriginal and Torres Strait Islander Australians are economically independent and an integral part of the economy. </w:t>
      </w:r>
      <w:r w:rsidRPr="00405E17">
        <w:t>The</w:t>
      </w:r>
      <w:r w:rsidRPr="00B2059C">
        <w:rPr>
          <w:i/>
        </w:rPr>
        <w:t xml:space="preserve"> Aboriginal and Torres Strait Islander Act 2005</w:t>
      </w:r>
      <w:r w:rsidRPr="00E43CCC">
        <w:t xml:space="preserve"> set</w:t>
      </w:r>
      <w:r>
        <w:t>s out IBA’s purposes, functions</w:t>
      </w:r>
      <w:r w:rsidRPr="00E43CCC">
        <w:t xml:space="preserve"> and powers. Section 146 of that Act sets out IBA’s purposes:</w:t>
      </w:r>
    </w:p>
    <w:p w14:paraId="2FDC4276" w14:textId="77777777" w:rsidR="00102406" w:rsidRPr="00E43CCC" w:rsidRDefault="00102406" w:rsidP="008A2254">
      <w:pPr>
        <w:keepNext/>
        <w:widowControl w:val="0"/>
        <w:numPr>
          <w:ilvl w:val="0"/>
          <w:numId w:val="24"/>
        </w:numPr>
        <w:autoSpaceDE w:val="0"/>
        <w:autoSpaceDN w:val="0"/>
        <w:adjustRightInd w:val="0"/>
        <w:spacing w:after="120" w:line="240" w:lineRule="auto"/>
        <w:ind w:left="714" w:hanging="357"/>
        <w:contextualSpacing/>
      </w:pPr>
      <w:r w:rsidRPr="00E43CCC">
        <w:t>to assist and enhance Aboriginal and Torres Strait Islander self-management and economic self-sufficiency, and</w:t>
      </w:r>
    </w:p>
    <w:p w14:paraId="2FEE657C" w14:textId="77777777" w:rsidR="00102406" w:rsidRPr="00E43CCC" w:rsidRDefault="00102406" w:rsidP="008A2254">
      <w:pPr>
        <w:keepNext/>
        <w:widowControl w:val="0"/>
        <w:numPr>
          <w:ilvl w:val="0"/>
          <w:numId w:val="24"/>
        </w:numPr>
        <w:autoSpaceDE w:val="0"/>
        <w:autoSpaceDN w:val="0"/>
        <w:adjustRightInd w:val="0"/>
        <w:spacing w:line="240" w:lineRule="auto"/>
        <w:ind w:left="714" w:hanging="357"/>
      </w:pPr>
      <w:r w:rsidRPr="00E43CCC">
        <w:t>to advance the commercial and economic interests of Aboriginal persons and Torres Strait Islanders by accumulating and using a substantial capital base for the benefit of the Aboriginal and Torres Strait Islander peoples.</w:t>
      </w:r>
    </w:p>
    <w:p w14:paraId="67B81DDC" w14:textId="77777777" w:rsidR="00102406" w:rsidRPr="00E43CCC" w:rsidRDefault="00102406" w:rsidP="00102406">
      <w:pPr>
        <w:keepNext/>
        <w:widowControl w:val="0"/>
        <w:autoSpaceDE w:val="0"/>
        <w:autoSpaceDN w:val="0"/>
        <w:adjustRightInd w:val="0"/>
        <w:spacing w:after="120"/>
      </w:pPr>
      <w:r w:rsidRPr="00E43CCC">
        <w:t>To achieve its purpose, IBA has three core functions that deliver positive customer outcomes:</w:t>
      </w:r>
    </w:p>
    <w:p w14:paraId="1D5E7CA2" w14:textId="77777777" w:rsidR="00102406" w:rsidRPr="00E43CCC" w:rsidRDefault="00102406" w:rsidP="008A2254">
      <w:pPr>
        <w:pStyle w:val="ListParagraph"/>
        <w:keepNext/>
        <w:widowControl w:val="0"/>
        <w:numPr>
          <w:ilvl w:val="0"/>
          <w:numId w:val="23"/>
        </w:numPr>
        <w:autoSpaceDE w:val="0"/>
        <w:autoSpaceDN w:val="0"/>
        <w:adjustRightInd w:val="0"/>
        <w:spacing w:after="120" w:line="240" w:lineRule="auto"/>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Housing Solutions: support Aboriginal and Torres Strait Islander people to own a home and build home equity</w:t>
      </w:r>
      <w:r w:rsidR="00405E17">
        <w:rPr>
          <w:rFonts w:ascii="Book Antiqua" w:eastAsia="Times New Roman" w:hAnsi="Book Antiqua"/>
          <w:sz w:val="20"/>
          <w:szCs w:val="20"/>
          <w:lang w:val="en-AU" w:eastAsia="en-AU"/>
        </w:rPr>
        <w:t>.</w:t>
      </w:r>
    </w:p>
    <w:p w14:paraId="4CE0020E" w14:textId="77777777" w:rsidR="00102406" w:rsidRPr="00E43CCC" w:rsidRDefault="00102406" w:rsidP="008A2254">
      <w:pPr>
        <w:pStyle w:val="ListParagraph"/>
        <w:keepNext/>
        <w:widowControl w:val="0"/>
        <w:numPr>
          <w:ilvl w:val="0"/>
          <w:numId w:val="23"/>
        </w:numPr>
        <w:autoSpaceDE w:val="0"/>
        <w:autoSpaceDN w:val="0"/>
        <w:adjustRightInd w:val="0"/>
        <w:spacing w:after="120" w:line="240" w:lineRule="auto"/>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Business Solutions: support Aboriginal and Torres Strait Islander people to start and grow a business that supports income, employm</w:t>
      </w:r>
      <w:r w:rsidR="00405E17">
        <w:rPr>
          <w:rFonts w:ascii="Book Antiqua" w:eastAsia="Times New Roman" w:hAnsi="Book Antiqua"/>
          <w:sz w:val="20"/>
          <w:szCs w:val="20"/>
          <w:lang w:val="en-AU" w:eastAsia="en-AU"/>
        </w:rPr>
        <w:t>ent, and economic independence.</w:t>
      </w:r>
    </w:p>
    <w:p w14:paraId="48BBBD8F" w14:textId="77777777" w:rsidR="00102406" w:rsidRPr="00E43CCC" w:rsidRDefault="00102406" w:rsidP="008A2254">
      <w:pPr>
        <w:pStyle w:val="ListParagraph"/>
        <w:keepNext/>
        <w:widowControl w:val="0"/>
        <w:numPr>
          <w:ilvl w:val="0"/>
          <w:numId w:val="23"/>
        </w:numPr>
        <w:autoSpaceDE w:val="0"/>
        <w:autoSpaceDN w:val="0"/>
        <w:adjustRightInd w:val="0"/>
        <w:spacing w:after="120" w:line="240" w:lineRule="auto"/>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Investments and Asset Management: support Aboriginal and Torres Strait Islander organisations to invest, grow their capital and build commercial capability.</w:t>
      </w:r>
    </w:p>
    <w:p w14:paraId="6563F50F" w14:textId="77777777" w:rsidR="00102406" w:rsidRPr="00E43CCC" w:rsidRDefault="00102406" w:rsidP="00102406">
      <w:pPr>
        <w:keepNext/>
        <w:widowControl w:val="0"/>
        <w:autoSpaceDE w:val="0"/>
        <w:autoSpaceDN w:val="0"/>
        <w:adjustRightInd w:val="0"/>
      </w:pPr>
      <w:r w:rsidRPr="00E43CCC">
        <w:t>Throughout the 2021-22 financial year IBA continued to support its customers to stabilise, manage and recover from the economic impacts of COVID-19. Further, IBA increased its understanding of the social, cultural, and economic impacts experienced by customers through its Impact Report and in 2022-23 will expand on t</w:t>
      </w:r>
      <w:r w:rsidR="00311280">
        <w:t>his knowledge by expanding its evaluation and i</w:t>
      </w:r>
      <w:r w:rsidRPr="00E43CCC">
        <w:t xml:space="preserve">mpact research capability. </w:t>
      </w:r>
    </w:p>
    <w:p w14:paraId="46BD1FAF" w14:textId="77777777" w:rsidR="00102406" w:rsidRPr="00E43CCC" w:rsidRDefault="00102406" w:rsidP="00102406">
      <w:pPr>
        <w:keepLines/>
        <w:widowControl w:val="0"/>
        <w:autoSpaceDE w:val="0"/>
        <w:autoSpaceDN w:val="0"/>
        <w:adjustRightInd w:val="0"/>
      </w:pPr>
      <w:r w:rsidRPr="00E43CCC">
        <w:t xml:space="preserve">With the ongoing pandemic and the two years of lessons as context, IBA is positioned to meet increasing customer demand in 2022-23, </w:t>
      </w:r>
      <w:bookmarkStart w:id="498" w:name="_Hlk95465328"/>
      <w:r w:rsidRPr="00E43CCC">
        <w:t xml:space="preserve">but over the longer term IBA will need to significantly increase its lending capacity to keep pace with projected demand. </w:t>
      </w:r>
      <w:r w:rsidR="00405E17" w:rsidRPr="00C371B2">
        <w:t>As a result of outdated legislation, IBA notes that it faces an ongoing barrier to increasing its lending capacity through prudent borrowing. It also notes the urgent need to align its borrowing arrangements with other Corporate Commonwealth entities.</w:t>
      </w:r>
      <w:bookmarkEnd w:id="498"/>
      <w:r w:rsidR="00405E17">
        <w:t xml:space="preserve"> The </w:t>
      </w:r>
      <w:r w:rsidRPr="00E43CCC">
        <w:t xml:space="preserve">IBA is poised to update its strategic plan in 2022 outlining the future of the agency out to at least 2025. At its core, IBA continues to work with customers to adjust to living and working in the context of a global pandemic whilst also meeting our mandate in a culturally informed way. </w:t>
      </w:r>
    </w:p>
    <w:p w14:paraId="6075513E" w14:textId="77777777" w:rsidR="00102406" w:rsidRDefault="00102406" w:rsidP="00102406">
      <w:pPr>
        <w:keepNext/>
        <w:widowControl w:val="0"/>
        <w:autoSpaceDE w:val="0"/>
        <w:autoSpaceDN w:val="0"/>
        <w:adjustRightInd w:val="0"/>
        <w:spacing w:after="0"/>
      </w:pPr>
      <w:r w:rsidRPr="00E43CCC">
        <w:t>Areas of focus for IBA in 2022-23 will include:</w:t>
      </w:r>
    </w:p>
    <w:p w14:paraId="0FBA9B1B" w14:textId="77777777" w:rsidR="00405E17" w:rsidRPr="00E43CCC" w:rsidRDefault="00405E17" w:rsidP="00102406">
      <w:pPr>
        <w:keepNext/>
        <w:widowControl w:val="0"/>
        <w:autoSpaceDE w:val="0"/>
        <w:autoSpaceDN w:val="0"/>
        <w:adjustRightInd w:val="0"/>
        <w:spacing w:after="0"/>
      </w:pPr>
    </w:p>
    <w:p w14:paraId="04DD1DA6"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strict financial management to meet demand, given demand continues to exceed available capital</w:t>
      </w:r>
    </w:p>
    <w:p w14:paraId="31C71DAE"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bookmarkStart w:id="499" w:name="_Hlk95465422"/>
      <w:r w:rsidRPr="00E43CCC">
        <w:rPr>
          <w:rFonts w:ascii="Book Antiqua" w:eastAsia="Times New Roman" w:hAnsi="Book Antiqua"/>
          <w:sz w:val="20"/>
          <w:szCs w:val="20"/>
          <w:lang w:val="en-AU" w:eastAsia="en-AU"/>
        </w:rPr>
        <w:t xml:space="preserve">positioning IBA to meet customer demand in the future through support for modernising IBA’s legislative borrowing arrangements </w:t>
      </w:r>
    </w:p>
    <w:bookmarkEnd w:id="499"/>
    <w:p w14:paraId="3ECA74C7"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investment in and update of IBA’s new core business IT system, customer facing portal</w:t>
      </w:r>
      <w:r w:rsidR="00405E17">
        <w:rPr>
          <w:rFonts w:ascii="Book Antiqua" w:eastAsia="Times New Roman" w:hAnsi="Book Antiqua"/>
          <w:sz w:val="20"/>
          <w:szCs w:val="20"/>
          <w:lang w:val="en-AU" w:eastAsia="en-AU"/>
        </w:rPr>
        <w:t>,</w:t>
      </w:r>
      <w:r w:rsidRPr="00E43CCC">
        <w:rPr>
          <w:rFonts w:ascii="Book Antiqua" w:eastAsia="Times New Roman" w:hAnsi="Book Antiqua"/>
          <w:sz w:val="20"/>
          <w:szCs w:val="20"/>
          <w:lang w:val="en-AU" w:eastAsia="en-AU"/>
        </w:rPr>
        <w:t xml:space="preserve"> and data warehouse to improve customer experiences</w:t>
      </w:r>
    </w:p>
    <w:p w14:paraId="77EEC497"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investment in the development of staff capability to use the new systems to help customer response time and customer service</w:t>
      </w:r>
    </w:p>
    <w:p w14:paraId="1DF8CDF1"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ensuring customers’ finance needs are met in a responsible fashion</w:t>
      </w:r>
    </w:p>
    <w:p w14:paraId="6D015E68"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 xml:space="preserve">continuing to support Indigenous Australians to build new houses in regional Australia </w:t>
      </w:r>
    </w:p>
    <w:p w14:paraId="688F9D09"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understanding structural shifts in the economy and the impact of regional house prices on IBA’s home lending customer base and what IBA can do to support these customers</w:t>
      </w:r>
    </w:p>
    <w:p w14:paraId="688859C7"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supporting our business clients who continue to be affected by the economic impacts of the COVID-19 pandemic, particularly those in the tourism, accommodation and hospitality sectors</w:t>
      </w:r>
    </w:p>
    <w:p w14:paraId="51E91CA1"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finding opportunities to co-invest with Indigenous organisations in a rebounding economy, to further grow the Indigenous estate and generate wealth for customers</w:t>
      </w:r>
    </w:p>
    <w:p w14:paraId="76FC378F"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 xml:space="preserve">updating IBA’s strategic plan in line with the Enhanced Commonwealth Performance Framework, informed by experiences of the past </w:t>
      </w:r>
      <w:r w:rsidR="006774D8">
        <w:rPr>
          <w:rFonts w:ascii="Book Antiqua" w:eastAsia="Times New Roman" w:hAnsi="Book Antiqua"/>
          <w:sz w:val="20"/>
          <w:szCs w:val="20"/>
          <w:lang w:val="en-AU" w:eastAsia="en-AU"/>
        </w:rPr>
        <w:t>five</w:t>
      </w:r>
      <w:r w:rsidRPr="00E43CCC">
        <w:rPr>
          <w:rFonts w:ascii="Book Antiqua" w:eastAsia="Times New Roman" w:hAnsi="Book Antiqua"/>
          <w:sz w:val="20"/>
          <w:szCs w:val="20"/>
          <w:lang w:val="en-AU" w:eastAsia="en-AU"/>
        </w:rPr>
        <w:t xml:space="preserve"> years and customer impact feedback</w:t>
      </w:r>
    </w:p>
    <w:p w14:paraId="44EC5871"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 xml:space="preserve">continuing to strengthen IBA’s capability and approach to evaluation, measuring and assessing performance, and reporting in line with the </w:t>
      </w:r>
      <w:r w:rsidRPr="00405E17">
        <w:rPr>
          <w:rFonts w:ascii="Book Antiqua" w:eastAsia="Times New Roman" w:hAnsi="Book Antiqua"/>
          <w:i/>
          <w:sz w:val="20"/>
          <w:szCs w:val="20"/>
          <w:lang w:val="en-AU" w:eastAsia="en-AU"/>
        </w:rPr>
        <w:t>P</w:t>
      </w:r>
      <w:r w:rsidR="006774D8" w:rsidRPr="00405E17">
        <w:rPr>
          <w:rFonts w:ascii="Book Antiqua" w:eastAsia="Times New Roman" w:hAnsi="Book Antiqua"/>
          <w:i/>
          <w:sz w:val="20"/>
          <w:szCs w:val="20"/>
          <w:lang w:val="en-AU" w:eastAsia="en-AU"/>
        </w:rPr>
        <w:t xml:space="preserve">ublic, </w:t>
      </w:r>
      <w:r w:rsidRPr="00405E17">
        <w:rPr>
          <w:rFonts w:ascii="Book Antiqua" w:eastAsia="Times New Roman" w:hAnsi="Book Antiqua"/>
          <w:i/>
          <w:sz w:val="20"/>
          <w:szCs w:val="20"/>
          <w:lang w:val="en-AU" w:eastAsia="en-AU"/>
        </w:rPr>
        <w:t>G</w:t>
      </w:r>
      <w:r w:rsidR="006774D8" w:rsidRPr="00405E17">
        <w:rPr>
          <w:rFonts w:ascii="Book Antiqua" w:eastAsia="Times New Roman" w:hAnsi="Book Antiqua"/>
          <w:i/>
          <w:sz w:val="20"/>
          <w:szCs w:val="20"/>
          <w:lang w:val="en-AU" w:eastAsia="en-AU"/>
        </w:rPr>
        <w:t xml:space="preserve">overnance, </w:t>
      </w:r>
      <w:r w:rsidRPr="00405E17">
        <w:rPr>
          <w:rFonts w:ascii="Book Antiqua" w:eastAsia="Times New Roman" w:hAnsi="Book Antiqua"/>
          <w:i/>
          <w:sz w:val="20"/>
          <w:szCs w:val="20"/>
          <w:lang w:val="en-AU" w:eastAsia="en-AU"/>
        </w:rPr>
        <w:t>P</w:t>
      </w:r>
      <w:r w:rsidR="006774D8" w:rsidRPr="00405E17">
        <w:rPr>
          <w:rFonts w:ascii="Book Antiqua" w:eastAsia="Times New Roman" w:hAnsi="Book Antiqua"/>
          <w:i/>
          <w:sz w:val="20"/>
          <w:szCs w:val="20"/>
          <w:lang w:val="en-AU" w:eastAsia="en-AU"/>
        </w:rPr>
        <w:t xml:space="preserve">erformance and </w:t>
      </w:r>
      <w:r w:rsidRPr="00405E17">
        <w:rPr>
          <w:rFonts w:ascii="Book Antiqua" w:eastAsia="Times New Roman" w:hAnsi="Book Antiqua"/>
          <w:i/>
          <w:sz w:val="20"/>
          <w:szCs w:val="20"/>
          <w:lang w:val="en-AU" w:eastAsia="en-AU"/>
        </w:rPr>
        <w:t>A</w:t>
      </w:r>
      <w:r w:rsidR="006774D8" w:rsidRPr="00405E17">
        <w:rPr>
          <w:rFonts w:ascii="Book Antiqua" w:eastAsia="Times New Roman" w:hAnsi="Book Antiqua"/>
          <w:i/>
          <w:sz w:val="20"/>
          <w:szCs w:val="20"/>
          <w:lang w:val="en-AU" w:eastAsia="en-AU"/>
        </w:rPr>
        <w:t>ccountability</w:t>
      </w:r>
      <w:r w:rsidRPr="00405E17">
        <w:rPr>
          <w:rFonts w:ascii="Book Antiqua" w:eastAsia="Times New Roman" w:hAnsi="Book Antiqua"/>
          <w:i/>
          <w:sz w:val="20"/>
          <w:szCs w:val="20"/>
          <w:lang w:val="en-AU" w:eastAsia="en-AU"/>
        </w:rPr>
        <w:t xml:space="preserve"> Act</w:t>
      </w:r>
      <w:r w:rsidR="006774D8" w:rsidRPr="00405E17">
        <w:rPr>
          <w:rFonts w:ascii="Book Antiqua" w:eastAsia="Times New Roman" w:hAnsi="Book Antiqua"/>
          <w:i/>
          <w:sz w:val="20"/>
          <w:szCs w:val="20"/>
          <w:lang w:val="en-AU" w:eastAsia="en-AU"/>
        </w:rPr>
        <w:t xml:space="preserve"> 2013</w:t>
      </w:r>
      <w:r w:rsidR="006774D8">
        <w:rPr>
          <w:rFonts w:ascii="Book Antiqua" w:eastAsia="Times New Roman" w:hAnsi="Book Antiqua"/>
          <w:sz w:val="20"/>
          <w:szCs w:val="20"/>
          <w:lang w:val="en-AU" w:eastAsia="en-AU"/>
        </w:rPr>
        <w:t xml:space="preserve"> (PGPA Act)</w:t>
      </w:r>
      <w:r w:rsidRPr="00E43CCC">
        <w:rPr>
          <w:rFonts w:ascii="Book Antiqua" w:eastAsia="Times New Roman" w:hAnsi="Book Antiqua"/>
          <w:sz w:val="20"/>
          <w:szCs w:val="20"/>
          <w:lang w:val="en-AU" w:eastAsia="en-AU"/>
        </w:rPr>
        <w:t xml:space="preserve"> and</w:t>
      </w:r>
    </w:p>
    <w:p w14:paraId="3A09CBAE" w14:textId="77777777" w:rsidR="00102406" w:rsidRPr="00E43CCC" w:rsidRDefault="00102406" w:rsidP="008A2254">
      <w:pPr>
        <w:pStyle w:val="ListParagraph"/>
        <w:keepNext/>
        <w:widowControl w:val="0"/>
        <w:numPr>
          <w:ilvl w:val="0"/>
          <w:numId w:val="25"/>
        </w:numPr>
        <w:autoSpaceDE w:val="0"/>
        <w:autoSpaceDN w:val="0"/>
        <w:adjustRightInd w:val="0"/>
        <w:rPr>
          <w:rFonts w:ascii="Book Antiqua" w:eastAsia="Times New Roman" w:hAnsi="Book Antiqua"/>
          <w:sz w:val="20"/>
          <w:szCs w:val="20"/>
          <w:lang w:val="en-AU" w:eastAsia="en-AU"/>
        </w:rPr>
      </w:pPr>
      <w:r w:rsidRPr="00E43CCC">
        <w:rPr>
          <w:rFonts w:ascii="Book Antiqua" w:eastAsia="Times New Roman" w:hAnsi="Book Antiqua"/>
          <w:sz w:val="20"/>
          <w:szCs w:val="20"/>
          <w:lang w:val="en-AU" w:eastAsia="en-AU"/>
        </w:rPr>
        <w:t>evolving our approach to partnerships to better info</w:t>
      </w:r>
      <w:r>
        <w:rPr>
          <w:rFonts w:ascii="Book Antiqua" w:eastAsia="Times New Roman" w:hAnsi="Book Antiqua"/>
          <w:sz w:val="20"/>
          <w:szCs w:val="20"/>
          <w:lang w:val="en-AU" w:eastAsia="en-AU"/>
        </w:rPr>
        <w:t>rm research, evaluation, policy</w:t>
      </w:r>
      <w:r w:rsidRPr="00E43CCC">
        <w:rPr>
          <w:rFonts w:ascii="Book Antiqua" w:eastAsia="Times New Roman" w:hAnsi="Book Antiqua"/>
          <w:sz w:val="20"/>
          <w:szCs w:val="20"/>
          <w:lang w:val="en-AU" w:eastAsia="en-AU"/>
        </w:rPr>
        <w:t xml:space="preserve"> and product development.  </w:t>
      </w:r>
    </w:p>
    <w:p w14:paraId="24D7A9E1" w14:textId="77777777" w:rsidR="00102406" w:rsidRDefault="00102406" w:rsidP="00102406">
      <w:pPr>
        <w:pStyle w:val="Exampletext"/>
        <w:rPr>
          <w:highlight w:val="yellow"/>
        </w:rPr>
      </w:pPr>
    </w:p>
    <w:p w14:paraId="009CE426" w14:textId="77777777" w:rsidR="00102406" w:rsidRDefault="00102406" w:rsidP="00102406">
      <w:pPr>
        <w:pStyle w:val="Heading3"/>
      </w:pPr>
      <w:r w:rsidRPr="0079797F">
        <w:br w:type="page"/>
      </w:r>
      <w:bookmarkStart w:id="500" w:name="_Toc98766397"/>
      <w:bookmarkStart w:id="501" w:name="_Toc98856144"/>
      <w:bookmarkStart w:id="502" w:name="_Toc98932896"/>
      <w:bookmarkStart w:id="503" w:name="_Toc99008152"/>
      <w:bookmarkStart w:id="504" w:name="_Toc99009514"/>
      <w:bookmarkStart w:id="505" w:name="_Toc99010742"/>
      <w:bookmarkStart w:id="506" w:name="_Toc99013977"/>
      <w:bookmarkStart w:id="507" w:name="_Toc99187554"/>
      <w:bookmarkStart w:id="508" w:name="_Toc99269664"/>
      <w:r>
        <w:t>1.2</w:t>
      </w:r>
      <w:r>
        <w:tab/>
        <w:t>Entity resource statement</w:t>
      </w:r>
      <w:bookmarkEnd w:id="500"/>
      <w:bookmarkEnd w:id="501"/>
      <w:bookmarkEnd w:id="502"/>
      <w:bookmarkEnd w:id="503"/>
      <w:bookmarkEnd w:id="504"/>
      <w:bookmarkEnd w:id="505"/>
      <w:bookmarkEnd w:id="506"/>
      <w:bookmarkEnd w:id="507"/>
      <w:bookmarkEnd w:id="508"/>
    </w:p>
    <w:p w14:paraId="1DE93D41" w14:textId="77777777" w:rsidR="00102406" w:rsidRDefault="00102406" w:rsidP="00102406">
      <w:r>
        <w:t xml:space="preserve">Table 1.1 shows the total funding from all sources available to </w:t>
      </w:r>
      <w:r w:rsidR="00405E17">
        <w:t>IBA</w:t>
      </w:r>
      <w:r>
        <w:t xml:space="preserve"> for its operations and to deliver programs and services on behalf of the Government.</w:t>
      </w:r>
    </w:p>
    <w:p w14:paraId="17DFA9FA" w14:textId="77777777" w:rsidR="00102406" w:rsidRDefault="00102406" w:rsidP="00102406">
      <w:r>
        <w:t xml:space="preserve">The table summarises how resources will be applied by outcome (government strategic policy objectives) and </w:t>
      </w:r>
      <w:r w:rsidRPr="0055251C">
        <w:t>by administered (on behalf of the Government or the public) and</w:t>
      </w:r>
      <w:r>
        <w:t xml:space="preserve"> departmental (for the entity’s operations) classification.</w:t>
      </w:r>
    </w:p>
    <w:p w14:paraId="7A88A61C" w14:textId="77777777" w:rsidR="00102406" w:rsidRDefault="00102406" w:rsidP="00102406">
      <w:r>
        <w:t xml:space="preserve">For more detailed information on special accounts and special appropriations, please refer to </w:t>
      </w:r>
      <w:r w:rsidRPr="00405E17">
        <w:t>Budget Paper No. 4 – Agency Resourcing.</w:t>
      </w:r>
    </w:p>
    <w:p w14:paraId="675970E6" w14:textId="77777777" w:rsidR="00102406" w:rsidRDefault="00102406" w:rsidP="00102406">
      <w:r>
        <w:t xml:space="preserve">Information in this table is presented on a resourcing (that is, appropriations/cash available) basis, </w:t>
      </w:r>
      <w:r w:rsidR="00405E17">
        <w:t>while</w:t>
      </w:r>
      <w:r>
        <w:t xml:space="preserve"> the ‘Budgeted expenses by Outcome 1’ table in Section 2 and the financial statements in Section 3 are presented on an accrual basis.</w:t>
      </w:r>
    </w:p>
    <w:p w14:paraId="6D4D1F5D" w14:textId="77777777" w:rsidR="00102406" w:rsidRPr="00FE1091" w:rsidRDefault="00102406" w:rsidP="00102406">
      <w:pPr>
        <w:pStyle w:val="TableHeading"/>
        <w:rPr>
          <w:b w:val="0"/>
          <w:lang w:val="en-AU"/>
        </w:rPr>
      </w:pPr>
      <w:r>
        <w:br w:type="page"/>
      </w:r>
      <w:r w:rsidRPr="00D44150">
        <w:t xml:space="preserve">Table 1.1: </w:t>
      </w:r>
      <w:r>
        <w:rPr>
          <w:lang w:val="en-AU"/>
        </w:rPr>
        <w:t>IBA</w:t>
      </w:r>
      <w:r w:rsidRPr="00D44150">
        <w:t xml:space="preserve"> resource statement</w:t>
      </w:r>
      <w:r>
        <w:t xml:space="preserve"> — Budget 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42B91DA2" w14:textId="77777777" w:rsidR="00102406" w:rsidRDefault="00405E17" w:rsidP="00102406">
      <w:pPr>
        <w:pStyle w:val="TableGraphic"/>
        <w:rPr>
          <w:rFonts w:ascii="Arial" w:hAnsi="Arial"/>
          <w:color w:val="000000"/>
          <w:lang w:val="x-none" w:eastAsia="x-none"/>
        </w:rPr>
      </w:pPr>
      <w:r w:rsidRPr="00405E17">
        <w:rPr>
          <w:noProof/>
        </w:rPr>
        <w:drawing>
          <wp:inline distT="0" distB="0" distL="0" distR="0" wp14:anchorId="171EF5C7" wp14:editId="19C7953C">
            <wp:extent cx="4895850" cy="3081898"/>
            <wp:effectExtent l="0" t="0" r="0" b="444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95850" cy="3081898"/>
                    </a:xfrm>
                    <a:prstGeom prst="rect">
                      <a:avLst/>
                    </a:prstGeom>
                    <a:noFill/>
                    <a:ln>
                      <a:noFill/>
                    </a:ln>
                  </pic:spPr>
                </pic:pic>
              </a:graphicData>
            </a:graphic>
          </wp:inline>
        </w:drawing>
      </w:r>
    </w:p>
    <w:p w14:paraId="52B2AA97" w14:textId="77777777" w:rsidR="00102406" w:rsidRPr="00AF0FC6" w:rsidRDefault="00102406" w:rsidP="00102406">
      <w:pPr>
        <w:pStyle w:val="ChartandTableFootnote"/>
      </w:pPr>
      <w:r w:rsidRPr="00AF0FC6">
        <w:t>All figures shown above are GST exclusive - these may not match figures in the cash flow statement.</w:t>
      </w:r>
    </w:p>
    <w:p w14:paraId="2B473B6C" w14:textId="77777777" w:rsidR="006774D8" w:rsidRPr="006774D8" w:rsidRDefault="00102406" w:rsidP="00392A48">
      <w:pPr>
        <w:pStyle w:val="ChartandTableFootnoteAlpha"/>
        <w:numPr>
          <w:ilvl w:val="0"/>
          <w:numId w:val="112"/>
        </w:numPr>
        <w:rPr>
          <w:color w:val="000000"/>
        </w:rPr>
      </w:pPr>
      <w:r w:rsidRPr="00AF0FC6">
        <w:t>Appropriation Bill (No. 1) 2022-23.</w:t>
      </w:r>
    </w:p>
    <w:p w14:paraId="66BF6C88" w14:textId="77777777" w:rsidR="00AC1051" w:rsidRDefault="00102406" w:rsidP="00392A48">
      <w:pPr>
        <w:pStyle w:val="ChartandTableFootnoteAlpha"/>
        <w:numPr>
          <w:ilvl w:val="0"/>
          <w:numId w:val="112"/>
        </w:numPr>
        <w:rPr>
          <w:color w:val="000000"/>
        </w:rPr>
      </w:pPr>
      <w:r w:rsidRPr="006774D8">
        <w:rPr>
          <w:color w:val="000000"/>
        </w:rPr>
        <w:t>Appropriation Bill (No. 2) 2022-23.</w:t>
      </w:r>
    </w:p>
    <w:p w14:paraId="58B3967D" w14:textId="77777777" w:rsidR="00102406" w:rsidRPr="00AC1051" w:rsidRDefault="00102406" w:rsidP="00392A48">
      <w:pPr>
        <w:pStyle w:val="ChartandTableFootnoteAlpha"/>
        <w:numPr>
          <w:ilvl w:val="0"/>
          <w:numId w:val="112"/>
        </w:numPr>
        <w:rPr>
          <w:color w:val="000000"/>
        </w:rPr>
      </w:pPr>
      <w:r w:rsidRPr="00AC1051">
        <w:rPr>
          <w:color w:val="000000"/>
        </w:rPr>
        <w:t>Funding provided by the National Indigenous Australians Agency th</w:t>
      </w:r>
      <w:r w:rsidR="00405E17" w:rsidRPr="00AC1051">
        <w:rPr>
          <w:color w:val="000000"/>
        </w:rPr>
        <w:t>at is not specified within the annual appropriation b</w:t>
      </w:r>
      <w:r w:rsidRPr="00AC1051">
        <w:rPr>
          <w:color w:val="000000"/>
        </w:rPr>
        <w:t>ills as a payment to the C</w:t>
      </w:r>
      <w:r w:rsidR="006774D8" w:rsidRPr="00AC1051">
        <w:rPr>
          <w:color w:val="000000"/>
        </w:rPr>
        <w:t xml:space="preserve">orporate </w:t>
      </w:r>
      <w:r w:rsidRPr="00AC1051">
        <w:rPr>
          <w:color w:val="000000"/>
        </w:rPr>
        <w:t>C</w:t>
      </w:r>
      <w:r w:rsidR="006774D8" w:rsidRPr="00AC1051">
        <w:rPr>
          <w:color w:val="000000"/>
        </w:rPr>
        <w:t xml:space="preserve">ommonwealth </w:t>
      </w:r>
      <w:r w:rsidRPr="00AC1051">
        <w:rPr>
          <w:color w:val="000000"/>
        </w:rPr>
        <w:t>E</w:t>
      </w:r>
      <w:r w:rsidR="006774D8" w:rsidRPr="00AC1051">
        <w:rPr>
          <w:color w:val="000000"/>
        </w:rPr>
        <w:t>ntity (CCE)</w:t>
      </w:r>
      <w:r w:rsidRPr="00AC1051">
        <w:rPr>
          <w:color w:val="000000"/>
        </w:rPr>
        <w:t xml:space="preserve"> (for example, a grant awarded to a CCE from one of its portfolio department’s administered programs).  </w:t>
      </w:r>
    </w:p>
    <w:p w14:paraId="7CA127A0" w14:textId="77777777" w:rsidR="00102406" w:rsidRPr="005A7C0B" w:rsidRDefault="00102406" w:rsidP="00102406">
      <w:pPr>
        <w:pStyle w:val="Heading3"/>
        <w:spacing w:before="0"/>
      </w:pPr>
      <w:r>
        <w:br w:type="page"/>
      </w:r>
      <w:bookmarkStart w:id="509" w:name="_Toc98766398"/>
      <w:bookmarkStart w:id="510" w:name="_Toc98856145"/>
      <w:bookmarkStart w:id="511" w:name="_Toc98932897"/>
      <w:bookmarkStart w:id="512" w:name="_Toc99008153"/>
      <w:bookmarkStart w:id="513" w:name="_Toc99009515"/>
      <w:bookmarkStart w:id="514" w:name="_Toc99010743"/>
      <w:bookmarkStart w:id="515" w:name="_Toc99013978"/>
      <w:bookmarkStart w:id="516" w:name="_Toc99187555"/>
      <w:bookmarkStart w:id="517" w:name="_Toc99269665"/>
      <w:r w:rsidRPr="005A7C0B">
        <w:t>1.3</w:t>
      </w:r>
      <w:r w:rsidRPr="005A7C0B">
        <w:tab/>
        <w:t>Budget measures</w:t>
      </w:r>
      <w:bookmarkEnd w:id="509"/>
      <w:bookmarkEnd w:id="510"/>
      <w:bookmarkEnd w:id="511"/>
      <w:bookmarkEnd w:id="512"/>
      <w:bookmarkEnd w:id="513"/>
      <w:bookmarkEnd w:id="514"/>
      <w:bookmarkEnd w:id="515"/>
      <w:bookmarkEnd w:id="516"/>
      <w:bookmarkEnd w:id="517"/>
    </w:p>
    <w:p w14:paraId="4D7A2CBF" w14:textId="77777777" w:rsidR="00906722" w:rsidRDefault="009F0BEB" w:rsidP="00906722">
      <w:r w:rsidRPr="00DC32EC">
        <w:t xml:space="preserve">Budget measures </w:t>
      </w:r>
      <w:r>
        <w:t>r</w:t>
      </w:r>
      <w:r w:rsidRPr="00DC32EC">
        <w:t>elating to</w:t>
      </w:r>
      <w:r>
        <w:t xml:space="preserve"> IBA</w:t>
      </w:r>
      <w:r w:rsidRPr="00DC32EC">
        <w:t xml:space="preserve"> a</w:t>
      </w:r>
      <w:r>
        <w:t>re detailed in Budget Paper No. </w:t>
      </w:r>
      <w:r w:rsidRPr="00DC32EC">
        <w:t>2</w:t>
      </w:r>
      <w:r>
        <w:t xml:space="preserve"> and are summarised below.</w:t>
      </w:r>
      <w:r w:rsidRPr="009F0BEB">
        <w:t xml:space="preserve"> </w:t>
      </w:r>
    </w:p>
    <w:p w14:paraId="63136C88" w14:textId="77777777" w:rsidR="00A23CB1" w:rsidRPr="00A23CB1" w:rsidRDefault="00906722" w:rsidP="00A23CB1">
      <w:pPr>
        <w:spacing w:after="0" w:line="240" w:lineRule="auto"/>
        <w:rPr>
          <w:rFonts w:ascii="Arial" w:hAnsi="Arial" w:cs="Arial"/>
          <w:b/>
        </w:rPr>
      </w:pPr>
      <w:r w:rsidRPr="00906722">
        <w:rPr>
          <w:rFonts w:ascii="Arial" w:hAnsi="Arial" w:cs="Arial"/>
          <w:b/>
        </w:rPr>
        <w:t xml:space="preserve">Table 1.2:  </w:t>
      </w:r>
      <w:r w:rsidR="00AC1051">
        <w:rPr>
          <w:rFonts w:ascii="Arial" w:hAnsi="Arial" w:cs="Arial"/>
          <w:b/>
        </w:rPr>
        <w:t>IBA 2022-23</w:t>
      </w:r>
      <w:r w:rsidRPr="00906722">
        <w:rPr>
          <w:rFonts w:ascii="Arial" w:hAnsi="Arial" w:cs="Arial"/>
          <w:b/>
        </w:rPr>
        <w:t xml:space="preserve"> Budget measures</w:t>
      </w:r>
      <w:r w:rsidRPr="00906722">
        <w:rPr>
          <w:rFonts w:ascii="Arial" w:hAnsi="Arial" w:cs="Arial"/>
          <w:b/>
        </w:rPr>
        <w:tab/>
      </w:r>
      <w:r w:rsidRPr="00906722">
        <w:rPr>
          <w:rFonts w:ascii="Arial" w:hAnsi="Arial" w:cs="Arial"/>
          <w:b/>
        </w:rPr>
        <w:tab/>
      </w:r>
      <w:r w:rsidRPr="00906722">
        <w:rPr>
          <w:rFonts w:ascii="Arial" w:hAnsi="Arial" w:cs="Arial"/>
          <w:b/>
        </w:rPr>
        <w:tab/>
      </w:r>
      <w:r w:rsidRPr="00906722">
        <w:rPr>
          <w:rFonts w:ascii="Arial" w:hAnsi="Arial" w:cs="Arial"/>
          <w:b/>
        </w:rPr>
        <w:tab/>
      </w:r>
      <w:r w:rsidRPr="00906722">
        <w:rPr>
          <w:rFonts w:ascii="Arial" w:hAnsi="Arial" w:cs="Arial"/>
          <w:b/>
        </w:rPr>
        <w:tab/>
      </w:r>
      <w:r w:rsidRPr="00906722">
        <w:rPr>
          <w:rFonts w:ascii="Arial" w:hAnsi="Arial" w:cs="Arial"/>
          <w:b/>
        </w:rPr>
        <w:br/>
        <w:t>Measures announced since the 202</w:t>
      </w:r>
      <w:r w:rsidR="00AC1051">
        <w:rPr>
          <w:rFonts w:ascii="Arial" w:hAnsi="Arial" w:cs="Arial"/>
          <w:b/>
        </w:rPr>
        <w:t>1-22</w:t>
      </w:r>
      <w:r w:rsidRPr="00906722">
        <w:rPr>
          <w:rFonts w:ascii="Arial" w:hAnsi="Arial" w:cs="Arial"/>
          <w:b/>
        </w:rPr>
        <w:t xml:space="preserve"> Mid-Year Economic and Fiscal Outlook (MYEFO)  </w:t>
      </w:r>
      <w:r w:rsidRPr="00906722">
        <w:rPr>
          <w:rFonts w:ascii="Arial" w:hAnsi="Arial" w:cs="Arial"/>
          <w:b/>
        </w:rPr>
        <w:tab/>
      </w:r>
      <w:r w:rsidRPr="00906722">
        <w:rPr>
          <w:rFonts w:ascii="Arial" w:hAnsi="Arial" w:cs="Arial"/>
          <w:b/>
        </w:rPr>
        <w:tab/>
      </w:r>
      <w:r w:rsidRPr="00906722">
        <w:rPr>
          <w:rFonts w:ascii="Arial" w:hAnsi="Arial" w:cs="Arial"/>
          <w:b/>
        </w:rPr>
        <w:tab/>
      </w:r>
      <w:r w:rsidRPr="00906722">
        <w:rPr>
          <w:rFonts w:ascii="Arial" w:hAnsi="Arial" w:cs="Arial"/>
          <w:b/>
        </w:rPr>
        <w:tab/>
      </w:r>
      <w:r w:rsidRPr="00906722">
        <w:rPr>
          <w:rFonts w:ascii="Arial" w:hAnsi="Arial" w:cs="Arial"/>
          <w:b/>
          <w:sz w:val="22"/>
        </w:rPr>
        <w:tab/>
      </w:r>
      <w:r w:rsidRPr="00906722">
        <w:rPr>
          <w:rFonts w:ascii="Arial" w:hAnsi="Arial" w:cs="Arial"/>
          <w:b/>
          <w:sz w:val="22"/>
        </w:rPr>
        <w:tab/>
      </w:r>
      <w:r w:rsidRPr="00906722">
        <w:rPr>
          <w:rFonts w:ascii="Arial" w:hAnsi="Arial" w:cs="Arial"/>
          <w:b/>
          <w:sz w:val="22"/>
        </w:rPr>
        <w:tab/>
      </w:r>
      <w:r w:rsidRPr="00906722">
        <w:rPr>
          <w:rFonts w:ascii="Arial" w:hAnsi="Arial" w:cs="Arial"/>
          <w:b/>
          <w:sz w:val="22"/>
        </w:rPr>
        <w:tab/>
      </w:r>
      <w:r w:rsidR="00A23CB1">
        <w:rPr>
          <w:rFonts w:ascii="Arial" w:hAnsi="Arial" w:cs="Arial"/>
          <w:b/>
        </w:rPr>
        <w:tab/>
      </w:r>
      <w:r w:rsidR="00A23CB1">
        <w:rPr>
          <w:rFonts w:ascii="Arial" w:hAnsi="Arial" w:cs="Arial"/>
          <w:b/>
        </w:rPr>
        <w:tab/>
      </w:r>
      <w:r w:rsidR="00A23CB1">
        <w:rPr>
          <w:rFonts w:ascii="Arial" w:hAnsi="Arial" w:cs="Arial"/>
          <w:b/>
        </w:rPr>
        <w:tab/>
      </w:r>
      <w:r w:rsidR="00A23CB1">
        <w:rPr>
          <w:rFonts w:ascii="Arial" w:hAnsi="Arial" w:cs="Arial"/>
          <w:b/>
        </w:rPr>
        <w:br/>
      </w:r>
      <w:r w:rsidRPr="009F0BEB">
        <w:rPr>
          <w:noProof/>
        </w:rPr>
        <w:drawing>
          <wp:inline distT="0" distB="0" distL="0" distR="0" wp14:anchorId="18B4CC48" wp14:editId="6B0DA372">
            <wp:extent cx="4895850" cy="1423670"/>
            <wp:effectExtent l="0" t="0" r="0" b="508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95850" cy="1423670"/>
                    </a:xfrm>
                    <a:prstGeom prst="rect">
                      <a:avLst/>
                    </a:prstGeom>
                    <a:noFill/>
                    <a:ln>
                      <a:noFill/>
                    </a:ln>
                  </pic:spPr>
                </pic:pic>
              </a:graphicData>
            </a:graphic>
          </wp:inline>
        </w:drawing>
      </w:r>
      <w:r w:rsidR="00A23CB1" w:rsidRPr="00937423">
        <w:rPr>
          <w:rFonts w:ascii="Arial" w:hAnsi="Arial" w:cs="Arial"/>
          <w:color w:val="000000"/>
          <w:sz w:val="16"/>
          <w:szCs w:val="16"/>
        </w:rPr>
        <w:t>Prepared on a Government Finance Statistics (Underlying Cash) basis. Figures displayed as a negative (-) represent a decrease in funds and a positive (+) represent an increase in funds.</w:t>
      </w:r>
    </w:p>
    <w:p w14:paraId="7B3792BE" w14:textId="77777777" w:rsidR="00102406" w:rsidRPr="00AC1051" w:rsidRDefault="00102406" w:rsidP="00AC1051">
      <w:pPr>
        <w:pStyle w:val="Heading2"/>
        <w:rPr>
          <w:rFonts w:ascii="Arial" w:hAnsi="Arial" w:cs="Arial"/>
        </w:rPr>
      </w:pPr>
      <w:r>
        <w:br w:type="page"/>
      </w:r>
      <w:bookmarkStart w:id="518" w:name="_Toc98766399"/>
      <w:bookmarkStart w:id="519" w:name="_Toc98856146"/>
      <w:bookmarkStart w:id="520" w:name="_Toc98932898"/>
      <w:bookmarkStart w:id="521" w:name="_Toc99008154"/>
      <w:bookmarkStart w:id="522" w:name="_Toc99009516"/>
      <w:bookmarkStart w:id="523" w:name="_Toc99010744"/>
      <w:bookmarkStart w:id="524" w:name="_Toc99013979"/>
      <w:bookmarkStart w:id="525" w:name="_Toc99269666"/>
      <w:r w:rsidRPr="00AC1051">
        <w:rPr>
          <w:rFonts w:ascii="Arial" w:hAnsi="Arial" w:cs="Arial"/>
        </w:rPr>
        <w:t>Section 2: Outcomes and planned performance</w:t>
      </w:r>
      <w:bookmarkEnd w:id="518"/>
      <w:bookmarkEnd w:id="519"/>
      <w:bookmarkEnd w:id="520"/>
      <w:bookmarkEnd w:id="521"/>
      <w:bookmarkEnd w:id="522"/>
      <w:bookmarkEnd w:id="523"/>
      <w:bookmarkEnd w:id="524"/>
      <w:bookmarkEnd w:id="525"/>
    </w:p>
    <w:p w14:paraId="1E056E19" w14:textId="77777777" w:rsidR="00102406" w:rsidRPr="005E6F2B" w:rsidRDefault="00102406" w:rsidP="00102406">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15D7E49" w14:textId="77777777" w:rsidR="00102406" w:rsidRDefault="00102406" w:rsidP="00102406">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102406" w14:paraId="2DA89043" w14:textId="77777777" w:rsidTr="00E315A5">
        <w:tc>
          <w:tcPr>
            <w:tcW w:w="7700" w:type="dxa"/>
          </w:tcPr>
          <w:p w14:paraId="0AC2A21F" w14:textId="77777777" w:rsidR="00102406" w:rsidRPr="006906E4" w:rsidRDefault="00102406" w:rsidP="00E315A5">
            <w:pPr>
              <w:spacing w:before="120" w:after="120" w:line="240" w:lineRule="auto"/>
              <w:rPr>
                <w:b/>
              </w:rPr>
            </w:pPr>
            <w:r w:rsidRPr="006906E4">
              <w:rPr>
                <w:b/>
              </w:rPr>
              <w:t>Note:</w:t>
            </w:r>
          </w:p>
          <w:p w14:paraId="67D22C71" w14:textId="77777777" w:rsidR="00102406" w:rsidRDefault="00102406" w:rsidP="00E315A5">
            <w:r>
              <w:t xml:space="preserve">Performance reporting requirements in the Portfolio Budget Statements are part of the Commonwealth performance framework established by the </w:t>
            </w:r>
            <w:r w:rsidRPr="00801EF6">
              <w:rPr>
                <w:i/>
              </w:rPr>
              <w:t>Public Governance, Performance and Accountability Act 2013</w:t>
            </w:r>
            <w:r>
              <w:t xml:space="preserve">. It is anticipated that the </w:t>
            </w:r>
            <w:r w:rsidRPr="00424E65">
              <w:t>performance measure</w:t>
            </w:r>
            <w:r>
              <w:t xml:space="preserve"> described in Portfolio Budget Statements will be read with broader information provided in an entity’s corporate plans and annual performance statements – included in Annual Reports – to provide a complete picture of an entity’s planned and actual performance.</w:t>
            </w:r>
          </w:p>
          <w:p w14:paraId="04FFD933" w14:textId="77777777" w:rsidR="00102406" w:rsidRDefault="00102406" w:rsidP="00E315A5">
            <w:pPr>
              <w:jc w:val="left"/>
            </w:pPr>
            <w:r>
              <w:t xml:space="preserve">The most recent corporate plan for IBA can be found at:                                 </w:t>
            </w:r>
            <w:r w:rsidRPr="00BF6609">
              <w:t>www.iba.gov.au/about-us/publications.</w:t>
            </w:r>
          </w:p>
          <w:p w14:paraId="663C2D73" w14:textId="77777777" w:rsidR="00102406" w:rsidRDefault="00102406" w:rsidP="00E315A5">
            <w:pPr>
              <w:jc w:val="left"/>
            </w:pPr>
            <w:r>
              <w:t xml:space="preserve">The most recent annual performance statement can be found at: </w:t>
            </w:r>
            <w:r w:rsidRPr="00424E65">
              <w:t>www.iba.gov.au/about-us/publications</w:t>
            </w:r>
            <w:r>
              <w:t>.</w:t>
            </w:r>
          </w:p>
        </w:tc>
      </w:tr>
    </w:tbl>
    <w:p w14:paraId="36B31B01" w14:textId="77777777" w:rsidR="00102406" w:rsidRDefault="00102406" w:rsidP="00102406">
      <w:pPr>
        <w:rPr>
          <w:highlight w:val="yellow"/>
        </w:rPr>
      </w:pPr>
    </w:p>
    <w:p w14:paraId="101FC5D7" w14:textId="77777777" w:rsidR="00E875D0" w:rsidRDefault="00E875D0">
      <w:pPr>
        <w:spacing w:after="0" w:line="240" w:lineRule="auto"/>
        <w:jc w:val="left"/>
        <w:rPr>
          <w:rFonts w:ascii="Arial Bold" w:hAnsi="Arial Bold"/>
          <w:b/>
          <w:sz w:val="22"/>
        </w:rPr>
      </w:pPr>
      <w:r>
        <w:br w:type="page"/>
      </w:r>
    </w:p>
    <w:p w14:paraId="2DF57FBB" w14:textId="77777777" w:rsidR="00102406" w:rsidRDefault="00102406" w:rsidP="00102406">
      <w:pPr>
        <w:pStyle w:val="Heading3"/>
        <w:sectPr w:rsidR="00102406" w:rsidSect="00503FD8">
          <w:headerReference w:type="even" r:id="rId221"/>
          <w:headerReference w:type="default" r:id="rId222"/>
          <w:footerReference w:type="even" r:id="rId223"/>
          <w:footerReference w:type="default" r:id="rId224"/>
          <w:headerReference w:type="first" r:id="rId225"/>
          <w:footerReference w:type="first" r:id="rId226"/>
          <w:type w:val="oddPage"/>
          <w:pgSz w:w="11906" w:h="16838" w:code="9"/>
          <w:pgMar w:top="2835" w:right="2098" w:bottom="2466" w:left="2098" w:header="1814" w:footer="1814" w:gutter="0"/>
          <w:cols w:space="708"/>
          <w:titlePg/>
          <w:docGrid w:linePitch="360"/>
        </w:sectPr>
      </w:pPr>
    </w:p>
    <w:p w14:paraId="3E31EC5F" w14:textId="77777777" w:rsidR="00102406" w:rsidRPr="00831489" w:rsidRDefault="00102406" w:rsidP="00102406">
      <w:pPr>
        <w:pStyle w:val="Heading3"/>
      </w:pPr>
      <w:bookmarkStart w:id="526" w:name="_Toc98766400"/>
      <w:bookmarkStart w:id="527" w:name="_Toc98856147"/>
      <w:bookmarkStart w:id="528" w:name="_Toc98932899"/>
      <w:bookmarkStart w:id="529" w:name="_Toc99008155"/>
      <w:bookmarkStart w:id="530" w:name="_Toc99009517"/>
      <w:bookmarkStart w:id="531" w:name="_Toc99010745"/>
      <w:bookmarkStart w:id="532" w:name="_Toc99013980"/>
      <w:bookmarkStart w:id="533" w:name="_Toc99187556"/>
      <w:bookmarkStart w:id="534" w:name="_Toc99269667"/>
      <w:r>
        <w:t>2.1</w:t>
      </w:r>
      <w:r w:rsidRPr="00F743D8">
        <w:t xml:space="preserve"> </w:t>
      </w:r>
      <w:r w:rsidRPr="00F743D8">
        <w:tab/>
        <w:t xml:space="preserve">Budgeted expenses and performance for Outcome </w:t>
      </w:r>
      <w:r>
        <w:t>1</w:t>
      </w:r>
      <w:bookmarkEnd w:id="526"/>
      <w:bookmarkEnd w:id="527"/>
      <w:bookmarkEnd w:id="528"/>
      <w:bookmarkEnd w:id="529"/>
      <w:bookmarkEnd w:id="530"/>
      <w:bookmarkEnd w:id="531"/>
      <w:bookmarkEnd w:id="532"/>
      <w:bookmarkEnd w:id="533"/>
      <w:bookmarkEnd w:id="534"/>
      <w: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102406" w:rsidRPr="005E6F2B" w14:paraId="3AA13B07" w14:textId="77777777" w:rsidTr="00E315A5">
        <w:tc>
          <w:tcPr>
            <w:tcW w:w="7713" w:type="dxa"/>
            <w:shd w:val="clear" w:color="auto" w:fill="E6E6E6"/>
          </w:tcPr>
          <w:p w14:paraId="1C45BE46" w14:textId="77777777" w:rsidR="00102406" w:rsidRPr="005E6F2B" w:rsidRDefault="00102406" w:rsidP="00E315A5">
            <w:pPr>
              <w:pStyle w:val="TableColumnHeadingLeft"/>
            </w:pPr>
            <w:r w:rsidRPr="005E6F2B">
              <w:t xml:space="preserve">Outcome </w:t>
            </w:r>
            <w:r>
              <w:t>1</w:t>
            </w:r>
            <w:r w:rsidRPr="005E6F2B">
              <w:t xml:space="preserve">: </w:t>
            </w:r>
            <w:r w:rsidRPr="00424E65">
              <w:t xml:space="preserve"> Improved wealth acquisition to support the economic independence of Aboriginal and Torres Strait Islander peoples through commercial enterprise, asset acquisition, construction and access to concessional home and business loans.</w:t>
            </w:r>
            <w:r w:rsidRPr="005E6F2B">
              <w:t xml:space="preserve"> </w:t>
            </w:r>
          </w:p>
        </w:tc>
      </w:tr>
    </w:tbl>
    <w:p w14:paraId="56624CD7" w14:textId="77777777" w:rsidR="00102406" w:rsidRPr="005B27A0" w:rsidRDefault="00906722" w:rsidP="00102406">
      <w:pPr>
        <w:pStyle w:val="Heading4"/>
        <w:rPr>
          <w:rFonts w:ascii="Arial" w:hAnsi="Arial" w:cs="Arial"/>
          <w:b w:val="0"/>
          <w:bCs/>
        </w:rPr>
      </w:pPr>
      <w:r>
        <w:rPr>
          <w:rFonts w:ascii="Arial" w:hAnsi="Arial" w:cs="Arial"/>
          <w:b w:val="0"/>
          <w:bCs/>
        </w:rPr>
        <w:br/>
      </w:r>
      <w:r w:rsidR="00102406" w:rsidRPr="005B27A0">
        <w:rPr>
          <w:rFonts w:ascii="Arial" w:hAnsi="Arial" w:cs="Arial"/>
          <w:b w:val="0"/>
          <w:bCs/>
        </w:rPr>
        <w:t>Budgeted expenses for Outcome 1</w:t>
      </w:r>
    </w:p>
    <w:p w14:paraId="142AB105" w14:textId="77777777" w:rsidR="00102406" w:rsidRDefault="00102406" w:rsidP="00102406">
      <w:r w:rsidRPr="00950281">
        <w:t xml:space="preserve">This table shows how much </w:t>
      </w:r>
      <w:r>
        <w:t>IBA</w:t>
      </w:r>
      <w:r w:rsidRPr="00950281">
        <w:t xml:space="preserve"> intends to spend (on an accrual basis) on achieving the outcome, broken down by program</w:t>
      </w:r>
      <w:r>
        <w:t>.</w:t>
      </w:r>
    </w:p>
    <w:p w14:paraId="44D5C949" w14:textId="77777777" w:rsidR="00102406" w:rsidRPr="00CC379E" w:rsidRDefault="00102406" w:rsidP="00102406">
      <w:pPr>
        <w:spacing w:after="0"/>
        <w:rPr>
          <w:rFonts w:ascii="Arial" w:hAnsi="Arial" w:cs="Arial"/>
          <w:b/>
        </w:rPr>
      </w:pPr>
      <w:r w:rsidRPr="00CC379E">
        <w:rPr>
          <w:rFonts w:ascii="Arial" w:hAnsi="Arial" w:cs="Arial"/>
          <w:b/>
        </w:rPr>
        <w:t xml:space="preserve">Table 2.1.1: Budgeted expenses for Outcome </w:t>
      </w:r>
      <w:r w:rsidR="006774D8" w:rsidRPr="00CC379E">
        <w:rPr>
          <w:rFonts w:ascii="Arial" w:hAnsi="Arial" w:cs="Arial"/>
          <w:b/>
        </w:rPr>
        <w:t>1</w:t>
      </w:r>
    </w:p>
    <w:p w14:paraId="5897BF66" w14:textId="77777777" w:rsidR="00102406" w:rsidRPr="00F502DF" w:rsidRDefault="001E2B5D" w:rsidP="006774D8">
      <w:pPr>
        <w:spacing w:after="0" w:line="240" w:lineRule="auto"/>
        <w:rPr>
          <w:rFonts w:ascii="Arial" w:hAnsi="Arial" w:cs="Arial"/>
          <w:bCs/>
          <w:sz w:val="16"/>
          <w:szCs w:val="16"/>
        </w:rPr>
      </w:pPr>
      <w:r w:rsidRPr="001E2B5D">
        <w:rPr>
          <w:noProof/>
        </w:rPr>
        <w:drawing>
          <wp:inline distT="0" distB="0" distL="0" distR="0" wp14:anchorId="05443C96" wp14:editId="25D4F6D3">
            <wp:extent cx="4895850" cy="195081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95850" cy="1950816"/>
                    </a:xfrm>
                    <a:prstGeom prst="rect">
                      <a:avLst/>
                    </a:prstGeom>
                    <a:noFill/>
                    <a:ln>
                      <a:noFill/>
                    </a:ln>
                  </pic:spPr>
                </pic:pic>
              </a:graphicData>
            </a:graphic>
          </wp:inline>
        </w:drawing>
      </w:r>
      <w:r w:rsidR="00102406" w:rsidRPr="00F502DF">
        <w:rPr>
          <w:rFonts w:ascii="Arial" w:hAnsi="Arial" w:cs="Arial"/>
          <w:bCs/>
          <w:sz w:val="16"/>
          <w:szCs w:val="16"/>
        </w:rPr>
        <w:t xml:space="preserve">Note: Departmental appropriation splits and totals are indicative estimates and may change in the course of the </w:t>
      </w:r>
      <w:r w:rsidR="004C12AF">
        <w:rPr>
          <w:rFonts w:ascii="Arial" w:hAnsi="Arial" w:cs="Arial"/>
          <w:bCs/>
          <w:sz w:val="16"/>
          <w:szCs w:val="16"/>
        </w:rPr>
        <w:t>Budget year</w:t>
      </w:r>
      <w:r w:rsidR="00102406" w:rsidRPr="00F502DF">
        <w:rPr>
          <w:rFonts w:ascii="Arial" w:hAnsi="Arial" w:cs="Arial"/>
          <w:bCs/>
          <w:sz w:val="16"/>
          <w:szCs w:val="16"/>
        </w:rPr>
        <w:t xml:space="preserve"> as government priorities change.</w:t>
      </w:r>
    </w:p>
    <w:p w14:paraId="509689A4" w14:textId="77777777" w:rsidR="00102406" w:rsidRPr="00F71634" w:rsidRDefault="00102406" w:rsidP="00102406">
      <w:pPr>
        <w:pStyle w:val="TableHeading"/>
      </w:pPr>
      <w:r>
        <w:rPr>
          <w:highlight w:val="yellow"/>
          <w:lang w:val="en-US"/>
        </w:rPr>
        <w:br w:type="page"/>
      </w:r>
      <w:r w:rsidRPr="00F71634">
        <w:t>Table 2.</w:t>
      </w:r>
      <w:r>
        <w:rPr>
          <w:lang w:val="en-AU"/>
        </w:rPr>
        <w:t>1</w:t>
      </w:r>
      <w:r w:rsidRPr="00F71634">
        <w:t>.</w:t>
      </w:r>
      <w:r>
        <w:rPr>
          <w:lang w:val="en-AU"/>
        </w:rPr>
        <w:t>2</w:t>
      </w:r>
      <w:r w:rsidRPr="00F71634">
        <w:t xml:space="preserve">: Performance </w:t>
      </w:r>
      <w:r w:rsidRPr="00513634">
        <w:rPr>
          <w:lang w:val="en-AU"/>
        </w:rPr>
        <w:t>measure</w:t>
      </w:r>
      <w:r w:rsidRPr="00F71634">
        <w:t xml:space="preserve"> for Outcome </w:t>
      </w:r>
      <w:r>
        <w:rPr>
          <w:lang w:val="en-AU"/>
        </w:rPr>
        <w:t>1</w:t>
      </w:r>
    </w:p>
    <w:p w14:paraId="3A2B2D66" w14:textId="77777777" w:rsidR="00102406" w:rsidRDefault="00102406" w:rsidP="00102406">
      <w:pPr>
        <w:keepNext/>
      </w:pPr>
      <w:r w:rsidRPr="001B2F81">
        <w:t>Table 2.</w:t>
      </w:r>
      <w:r>
        <w:t>1.2</w:t>
      </w:r>
      <w:r w:rsidRPr="001B2F81">
        <w:t xml:space="preserve"> details the performance measures for each program associated with Outcome</w:t>
      </w:r>
      <w:r>
        <w:t> 1</w:t>
      </w:r>
      <w:r w:rsidRPr="001B2F81">
        <w:t xml:space="preserve">. </w:t>
      </w:r>
      <w:r w:rsidRPr="00C82C09">
        <w:t xml:space="preserve">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712"/>
      </w:tblGrid>
      <w:tr w:rsidR="00102406" w:rsidRPr="00DE1122" w14:paraId="3E5F6B36" w14:textId="77777777" w:rsidTr="00E315A5">
        <w:tc>
          <w:tcPr>
            <w:tcW w:w="7700" w:type="dxa"/>
            <w:gridSpan w:val="2"/>
            <w:shd w:val="clear" w:color="auto" w:fill="F2F2F2"/>
          </w:tcPr>
          <w:p w14:paraId="25796D36" w14:textId="77777777" w:rsidR="00102406" w:rsidRPr="00DE1122" w:rsidRDefault="00102406" w:rsidP="00E315A5">
            <w:pPr>
              <w:spacing w:before="60" w:after="60" w:line="240" w:lineRule="auto"/>
              <w:jc w:val="left"/>
              <w:rPr>
                <w:rFonts w:ascii="Arial" w:hAnsi="Arial"/>
                <w:b/>
              </w:rPr>
            </w:pPr>
            <w:r w:rsidRPr="00DE1122">
              <w:rPr>
                <w:rFonts w:ascii="Arial" w:hAnsi="Arial"/>
                <w:b/>
              </w:rPr>
              <w:t>Outcome 1: Improved wealth acquisition to support the economic independence of Aboriginal and Torres Strait Islander peoples through commercial enterprise, asset acquisition, construction and access to concessional home and business loans.</w:t>
            </w:r>
          </w:p>
        </w:tc>
      </w:tr>
      <w:tr w:rsidR="00102406" w:rsidRPr="00DE1122" w14:paraId="0304CADB" w14:textId="77777777" w:rsidTr="00E315A5">
        <w:trPr>
          <w:tblHeader/>
        </w:trPr>
        <w:tc>
          <w:tcPr>
            <w:tcW w:w="7700" w:type="dxa"/>
            <w:gridSpan w:val="2"/>
            <w:shd w:val="clear" w:color="auto" w:fill="F2F2F2"/>
          </w:tcPr>
          <w:p w14:paraId="6DA0D21A" w14:textId="77777777" w:rsidR="00102406" w:rsidRPr="00DE1122" w:rsidRDefault="00102406" w:rsidP="00E315A5">
            <w:pPr>
              <w:tabs>
                <w:tab w:val="left" w:pos="709"/>
              </w:tabs>
              <w:spacing w:before="120" w:after="60" w:line="240" w:lineRule="auto"/>
              <w:jc w:val="left"/>
              <w:rPr>
                <w:rFonts w:ascii="Arial" w:hAnsi="Arial" w:cs="Arial"/>
                <w:sz w:val="16"/>
                <w:szCs w:val="16"/>
              </w:rPr>
            </w:pPr>
            <w:r w:rsidRPr="00DE1122">
              <w:rPr>
                <w:rFonts w:ascii="Arial" w:hAnsi="Arial" w:cs="Arial"/>
                <w:b/>
                <w:sz w:val="16"/>
                <w:szCs w:val="16"/>
              </w:rPr>
              <w:t>Program 1.1</w:t>
            </w:r>
            <w:r w:rsidRPr="00DE1122">
              <w:rPr>
                <w:rFonts w:ascii="Arial" w:hAnsi="Arial" w:cs="Arial"/>
                <w:sz w:val="16"/>
                <w:szCs w:val="16"/>
              </w:rPr>
              <w:t xml:space="preserve"> – </w:t>
            </w:r>
            <w:r w:rsidRPr="00DE1122">
              <w:rPr>
                <w:rFonts w:ascii="Arial" w:hAnsi="Arial" w:cs="Arial"/>
                <w:b/>
                <w:sz w:val="16"/>
                <w:szCs w:val="16"/>
              </w:rPr>
              <w:t>Indigenous Economic Participation and Wealth Creation</w:t>
            </w:r>
          </w:p>
          <w:p w14:paraId="4DA92754" w14:textId="77777777" w:rsidR="00102406" w:rsidRPr="00DE1122" w:rsidRDefault="00102406" w:rsidP="00E315A5">
            <w:pPr>
              <w:tabs>
                <w:tab w:val="left" w:pos="709"/>
              </w:tabs>
              <w:spacing w:before="120" w:after="120" w:line="240" w:lineRule="auto"/>
              <w:jc w:val="left"/>
              <w:rPr>
                <w:rFonts w:ascii="Arial" w:hAnsi="Arial" w:cs="Arial"/>
                <w:sz w:val="16"/>
                <w:szCs w:val="16"/>
              </w:rPr>
            </w:pPr>
            <w:r w:rsidRPr="00DE1122">
              <w:rPr>
                <w:rFonts w:ascii="Arial" w:hAnsi="Arial" w:cs="Arial"/>
                <w:sz w:val="16"/>
                <w:szCs w:val="16"/>
              </w:rPr>
              <w:t>This program contributes to the above outcome through the following objectives:</w:t>
            </w:r>
          </w:p>
          <w:p w14:paraId="6D56B354" w14:textId="77777777" w:rsidR="00102406" w:rsidRPr="00DE1122" w:rsidRDefault="00102406" w:rsidP="008A2254">
            <w:pPr>
              <w:pStyle w:val="ListParagraph"/>
              <w:numPr>
                <w:ilvl w:val="0"/>
                <w:numId w:val="26"/>
              </w:numPr>
              <w:tabs>
                <w:tab w:val="left" w:pos="709"/>
              </w:tabs>
              <w:spacing w:before="60" w:after="60" w:line="240" w:lineRule="auto"/>
              <w:rPr>
                <w:rFonts w:ascii="Arial" w:hAnsi="Arial" w:cs="Arial"/>
                <w:sz w:val="16"/>
                <w:szCs w:val="16"/>
              </w:rPr>
            </w:pPr>
            <w:r w:rsidRPr="00DE1122">
              <w:rPr>
                <w:rFonts w:ascii="Arial" w:hAnsi="Arial" w:cs="Arial"/>
                <w:sz w:val="16"/>
                <w:szCs w:val="16"/>
              </w:rPr>
              <w:t>Support Aboriginal and Torres Strait Islander people to own a home and build home equity.</w:t>
            </w:r>
          </w:p>
          <w:p w14:paraId="322A9A59" w14:textId="77777777" w:rsidR="00102406" w:rsidRPr="00DE1122" w:rsidRDefault="00102406" w:rsidP="008A2254">
            <w:pPr>
              <w:pStyle w:val="ListParagraph"/>
              <w:numPr>
                <w:ilvl w:val="0"/>
                <w:numId w:val="26"/>
              </w:numPr>
              <w:tabs>
                <w:tab w:val="left" w:pos="709"/>
              </w:tabs>
              <w:spacing w:before="60" w:after="60" w:line="240" w:lineRule="auto"/>
              <w:rPr>
                <w:rFonts w:ascii="Arial" w:hAnsi="Arial" w:cs="Arial"/>
                <w:sz w:val="16"/>
                <w:szCs w:val="16"/>
              </w:rPr>
            </w:pPr>
            <w:r w:rsidRPr="00DE1122">
              <w:rPr>
                <w:rFonts w:ascii="Arial" w:hAnsi="Arial" w:cs="Arial"/>
                <w:sz w:val="16"/>
                <w:szCs w:val="16"/>
              </w:rPr>
              <w:t>Support Aboriginal and Torres Strait Islander people to start and grow a business that supports income, employment and economic independence.</w:t>
            </w:r>
          </w:p>
          <w:p w14:paraId="2770137D" w14:textId="77777777" w:rsidR="00102406" w:rsidRPr="00DE1122" w:rsidRDefault="00102406" w:rsidP="008A2254">
            <w:pPr>
              <w:pStyle w:val="ListParagraph"/>
              <w:numPr>
                <w:ilvl w:val="0"/>
                <w:numId w:val="26"/>
              </w:numPr>
              <w:tabs>
                <w:tab w:val="left" w:pos="709"/>
              </w:tabs>
              <w:spacing w:before="60" w:after="60" w:line="240" w:lineRule="auto"/>
              <w:rPr>
                <w:rFonts w:ascii="Arial" w:hAnsi="Arial" w:cs="Arial"/>
                <w:sz w:val="16"/>
                <w:szCs w:val="16"/>
              </w:rPr>
            </w:pPr>
            <w:r w:rsidRPr="00DE1122">
              <w:rPr>
                <w:rFonts w:ascii="Arial" w:hAnsi="Arial" w:cs="Arial"/>
                <w:sz w:val="16"/>
                <w:szCs w:val="16"/>
              </w:rPr>
              <w:t>Support Aboriginal and Torres Strait Islander organisations to invest, grow capital and build commercial capability.</w:t>
            </w:r>
          </w:p>
          <w:p w14:paraId="11A85D02" w14:textId="77777777" w:rsidR="00102406" w:rsidRPr="00DE1122" w:rsidRDefault="00102406" w:rsidP="00E315A5">
            <w:pPr>
              <w:tabs>
                <w:tab w:val="left" w:pos="709"/>
              </w:tabs>
              <w:spacing w:before="60" w:after="120" w:line="240" w:lineRule="auto"/>
              <w:jc w:val="left"/>
              <w:rPr>
                <w:rFonts w:ascii="Arial" w:hAnsi="Arial" w:cs="Arial"/>
                <w:sz w:val="16"/>
                <w:szCs w:val="16"/>
              </w:rPr>
            </w:pPr>
            <w:r w:rsidRPr="00DE1122">
              <w:rPr>
                <w:rFonts w:ascii="Arial" w:hAnsi="Arial" w:cs="Arial"/>
                <w:sz w:val="16"/>
                <w:szCs w:val="16"/>
              </w:rPr>
              <w:t>The program recognises the unique circumstances of Australia’s Indigenous peoples and delivers outcomes against the above objectives in a culturally sensitive and informed way.</w:t>
            </w:r>
          </w:p>
        </w:tc>
      </w:tr>
      <w:tr w:rsidR="00102406" w:rsidRPr="00DE1122" w14:paraId="5B159FF8" w14:textId="77777777" w:rsidTr="00E315A5">
        <w:tc>
          <w:tcPr>
            <w:tcW w:w="988" w:type="dxa"/>
            <w:tcBorders>
              <w:bottom w:val="double" w:sz="4" w:space="0" w:color="auto"/>
            </w:tcBorders>
          </w:tcPr>
          <w:p w14:paraId="69E6DEB7" w14:textId="77777777" w:rsidR="00102406" w:rsidRPr="00DE1122" w:rsidRDefault="00102406" w:rsidP="00E315A5">
            <w:pPr>
              <w:tabs>
                <w:tab w:val="left" w:pos="709"/>
              </w:tabs>
              <w:spacing w:before="60" w:after="60" w:line="240" w:lineRule="auto"/>
              <w:jc w:val="left"/>
              <w:rPr>
                <w:rFonts w:ascii="Arial" w:hAnsi="Arial" w:cs="Arial"/>
                <w:b/>
                <w:sz w:val="16"/>
                <w:szCs w:val="16"/>
              </w:rPr>
            </w:pPr>
            <w:r w:rsidRPr="00DE1122">
              <w:rPr>
                <w:rFonts w:ascii="Arial" w:hAnsi="Arial" w:cs="Arial"/>
                <w:b/>
                <w:sz w:val="16"/>
                <w:szCs w:val="16"/>
              </w:rPr>
              <w:t>Delivery</w:t>
            </w:r>
          </w:p>
        </w:tc>
        <w:tc>
          <w:tcPr>
            <w:tcW w:w="6712" w:type="dxa"/>
            <w:tcBorders>
              <w:bottom w:val="double" w:sz="4" w:space="0" w:color="auto"/>
            </w:tcBorders>
          </w:tcPr>
          <w:p w14:paraId="58FB044C" w14:textId="77777777" w:rsidR="00102406" w:rsidRPr="00DE1122" w:rsidRDefault="00102406" w:rsidP="00E315A5">
            <w:pPr>
              <w:tabs>
                <w:tab w:val="left" w:pos="709"/>
              </w:tabs>
              <w:spacing w:before="120" w:after="60" w:line="240" w:lineRule="auto"/>
              <w:jc w:val="left"/>
              <w:rPr>
                <w:rFonts w:ascii="Arial" w:hAnsi="Arial" w:cs="Arial"/>
                <w:sz w:val="16"/>
                <w:szCs w:val="16"/>
              </w:rPr>
            </w:pPr>
            <w:r w:rsidRPr="00DE1122">
              <w:rPr>
                <w:rFonts w:ascii="Arial" w:hAnsi="Arial" w:cs="Arial"/>
                <w:sz w:val="16"/>
                <w:szCs w:val="16"/>
              </w:rPr>
              <w:t>IBA increases wealth and economic independence for Aboriginal and Torres Strait Islander people by delivering:</w:t>
            </w:r>
          </w:p>
          <w:p w14:paraId="30E0C515" w14:textId="77777777" w:rsidR="00102406" w:rsidRPr="00DE1122" w:rsidRDefault="00102406" w:rsidP="008A2254">
            <w:pPr>
              <w:pStyle w:val="ListParagraph"/>
              <w:numPr>
                <w:ilvl w:val="0"/>
                <w:numId w:val="27"/>
              </w:numPr>
              <w:tabs>
                <w:tab w:val="left" w:pos="709"/>
              </w:tabs>
              <w:spacing w:before="60" w:after="60" w:line="240" w:lineRule="auto"/>
              <w:rPr>
                <w:rFonts w:ascii="Arial" w:hAnsi="Arial" w:cs="Arial"/>
                <w:sz w:val="16"/>
                <w:szCs w:val="16"/>
              </w:rPr>
            </w:pPr>
            <w:r w:rsidRPr="00DE1122">
              <w:rPr>
                <w:rFonts w:ascii="Arial" w:hAnsi="Arial" w:cs="Arial"/>
                <w:sz w:val="16"/>
                <w:szCs w:val="16"/>
              </w:rPr>
              <w:t>finance products and tailored support for home ownership.</w:t>
            </w:r>
          </w:p>
          <w:p w14:paraId="39F57891" w14:textId="77777777" w:rsidR="00102406" w:rsidRPr="00DE1122" w:rsidRDefault="00102406" w:rsidP="008A2254">
            <w:pPr>
              <w:pStyle w:val="ListParagraph"/>
              <w:numPr>
                <w:ilvl w:val="0"/>
                <w:numId w:val="27"/>
              </w:numPr>
              <w:tabs>
                <w:tab w:val="left" w:pos="709"/>
              </w:tabs>
              <w:spacing w:before="60" w:after="60" w:line="240" w:lineRule="auto"/>
              <w:rPr>
                <w:rFonts w:ascii="Arial" w:hAnsi="Arial" w:cs="Arial"/>
                <w:sz w:val="16"/>
                <w:szCs w:val="16"/>
              </w:rPr>
            </w:pPr>
            <w:r w:rsidRPr="00DE1122">
              <w:rPr>
                <w:rFonts w:ascii="Arial" w:hAnsi="Arial" w:cs="Arial"/>
                <w:sz w:val="16"/>
                <w:szCs w:val="16"/>
              </w:rPr>
              <w:t>finance products and tailored support to help start, acquire or grow a business.</w:t>
            </w:r>
          </w:p>
          <w:p w14:paraId="191F2686" w14:textId="77777777" w:rsidR="00102406" w:rsidRPr="00DE1122" w:rsidRDefault="00102406" w:rsidP="008A2254">
            <w:pPr>
              <w:pStyle w:val="ListParagraph"/>
              <w:numPr>
                <w:ilvl w:val="0"/>
                <w:numId w:val="27"/>
              </w:numPr>
              <w:tabs>
                <w:tab w:val="left" w:pos="709"/>
              </w:tabs>
              <w:spacing w:before="60" w:after="60" w:line="240" w:lineRule="auto"/>
              <w:rPr>
                <w:rFonts w:ascii="Arial" w:hAnsi="Arial" w:cs="Arial"/>
                <w:sz w:val="16"/>
                <w:szCs w:val="16"/>
              </w:rPr>
            </w:pPr>
            <w:r w:rsidRPr="00DE1122">
              <w:rPr>
                <w:rFonts w:ascii="Arial" w:hAnsi="Arial" w:cs="Arial"/>
                <w:sz w:val="16"/>
                <w:szCs w:val="16"/>
              </w:rPr>
              <w:t>investment and direct management of businesses and assets as well as commercial capability development.</w:t>
            </w:r>
          </w:p>
        </w:tc>
      </w:tr>
    </w:tbl>
    <w:p w14:paraId="67A6DD42" w14:textId="77777777" w:rsidR="00974B3C" w:rsidRDefault="00974B3C" w:rsidP="00102406">
      <w:pPr>
        <w:keepNext/>
        <w:spacing w:after="20" w:line="240" w:lineRule="auto"/>
        <w:jc w:val="left"/>
        <w:rPr>
          <w:rFonts w:ascii="Arial" w:hAnsi="Arial"/>
          <w:b/>
          <w:color w:val="000000"/>
          <w:lang w:val="x-none" w:eastAsia="x-none"/>
        </w:rPr>
      </w:pPr>
    </w:p>
    <w:p w14:paraId="078329F6" w14:textId="77777777" w:rsidR="00974B3C" w:rsidRDefault="00974B3C">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4DED74F1" w14:textId="77777777" w:rsidR="001E2B5D" w:rsidRPr="00DE1122" w:rsidRDefault="00102406" w:rsidP="00102406">
      <w:pPr>
        <w:keepNext/>
        <w:spacing w:after="20" w:line="240" w:lineRule="auto"/>
        <w:jc w:val="left"/>
        <w:rPr>
          <w:rFonts w:ascii="Arial" w:hAnsi="Arial"/>
          <w:b/>
          <w:color w:val="000000"/>
          <w:lang w:eastAsia="x-none"/>
        </w:rPr>
      </w:pPr>
      <w:r w:rsidRPr="00DE1122">
        <w:rPr>
          <w:rFonts w:ascii="Arial" w:hAnsi="Arial"/>
          <w:b/>
          <w:color w:val="000000"/>
          <w:lang w:val="x-none" w:eastAsia="x-none"/>
        </w:rPr>
        <w:t>Table 2.1.</w:t>
      </w:r>
      <w:r>
        <w:rPr>
          <w:rFonts w:ascii="Arial" w:hAnsi="Arial"/>
          <w:b/>
          <w:color w:val="000000"/>
          <w:lang w:eastAsia="x-none"/>
        </w:rPr>
        <w:t>2</w:t>
      </w:r>
      <w:r w:rsidRPr="00DE1122">
        <w:rPr>
          <w:rFonts w:ascii="Arial" w:hAnsi="Arial"/>
          <w:b/>
          <w:color w:val="000000"/>
          <w:lang w:val="x-none" w:eastAsia="x-none"/>
        </w:rPr>
        <w:t xml:space="preserve">: Performance </w:t>
      </w:r>
      <w:r>
        <w:rPr>
          <w:rFonts w:ascii="Arial" w:hAnsi="Arial"/>
          <w:b/>
          <w:color w:val="000000"/>
          <w:lang w:eastAsia="x-none"/>
        </w:rPr>
        <w:t>measure</w:t>
      </w:r>
      <w:r w:rsidRPr="00DE1122">
        <w:rPr>
          <w:rFonts w:ascii="Arial" w:hAnsi="Arial"/>
          <w:b/>
          <w:color w:val="000000"/>
          <w:lang w:val="x-none" w:eastAsia="x-none"/>
        </w:rPr>
        <w:t xml:space="preserve"> for Outcome 1</w:t>
      </w:r>
      <w:r w:rsidRPr="00DE1122">
        <w:rPr>
          <w:rFonts w:ascii="Arial" w:hAnsi="Arial"/>
          <w:b/>
          <w:color w:val="000000"/>
          <w:lang w:eastAsia="x-none"/>
        </w:rPr>
        <w:t xml:space="preserve"> (continued)</w:t>
      </w:r>
    </w:p>
    <w:tbl>
      <w:tblPr>
        <w:tblStyle w:val="TableGrid11"/>
        <w:tblpPr w:leftFromText="180" w:rightFromText="180" w:vertAnchor="text" w:tblpY="1"/>
        <w:tblOverlap w:val="never"/>
        <w:tblW w:w="0" w:type="auto"/>
        <w:tblLook w:val="04A0" w:firstRow="1" w:lastRow="0" w:firstColumn="1" w:lastColumn="0" w:noHBand="0" w:noVBand="1"/>
      </w:tblPr>
      <w:tblGrid>
        <w:gridCol w:w="1731"/>
        <w:gridCol w:w="3086"/>
        <w:gridCol w:w="2863"/>
      </w:tblGrid>
      <w:tr w:rsidR="00102406" w:rsidRPr="00DE1122" w14:paraId="4C04E85B" w14:textId="77777777" w:rsidTr="00E315A5">
        <w:trPr>
          <w:tblHeader/>
        </w:trPr>
        <w:tc>
          <w:tcPr>
            <w:tcW w:w="1731" w:type="dxa"/>
          </w:tcPr>
          <w:p w14:paraId="29AC32B2" w14:textId="77777777" w:rsidR="00102406" w:rsidRPr="00DE1122" w:rsidRDefault="00102406" w:rsidP="00E315A5">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Key Activities </w:t>
            </w:r>
          </w:p>
        </w:tc>
        <w:tc>
          <w:tcPr>
            <w:tcW w:w="5949" w:type="dxa"/>
            <w:gridSpan w:val="2"/>
          </w:tcPr>
          <w:p w14:paraId="4E2194C7" w14:textId="77777777" w:rsidR="00102406" w:rsidRDefault="00102406" w:rsidP="00E315A5">
            <w:pPr>
              <w:tabs>
                <w:tab w:val="left" w:pos="709"/>
              </w:tabs>
              <w:spacing w:before="60" w:after="60" w:line="240" w:lineRule="auto"/>
              <w:jc w:val="left"/>
              <w:rPr>
                <w:rFonts w:ascii="Arial" w:hAnsi="Arial" w:cs="Arial"/>
                <w:bCs/>
                <w:sz w:val="16"/>
                <w:szCs w:val="16"/>
              </w:rPr>
            </w:pPr>
            <w:r>
              <w:rPr>
                <w:rFonts w:ascii="Arial" w:hAnsi="Arial" w:cs="Arial"/>
                <w:bCs/>
                <w:sz w:val="16"/>
                <w:szCs w:val="16"/>
              </w:rPr>
              <w:t>IBA’s k</w:t>
            </w:r>
            <w:r w:rsidRPr="00160C23">
              <w:rPr>
                <w:rFonts w:ascii="Arial" w:hAnsi="Arial" w:cs="Arial"/>
                <w:bCs/>
                <w:sz w:val="16"/>
                <w:szCs w:val="16"/>
              </w:rPr>
              <w:t xml:space="preserve">ey activities </w:t>
            </w:r>
            <w:r>
              <w:rPr>
                <w:rFonts w:ascii="Arial" w:hAnsi="Arial" w:cs="Arial"/>
                <w:bCs/>
                <w:sz w:val="16"/>
                <w:szCs w:val="16"/>
              </w:rPr>
              <w:t xml:space="preserve">are guided by its five-year strategy (2018-2023) that articulates the long, medium and short term economic, social and cultural impacts to be achieved through the core program areas which are: </w:t>
            </w:r>
          </w:p>
          <w:p w14:paraId="79558662" w14:textId="77777777" w:rsidR="00102406" w:rsidRDefault="007E4214" w:rsidP="008A2254">
            <w:pPr>
              <w:pStyle w:val="ListParagraph"/>
              <w:numPr>
                <w:ilvl w:val="0"/>
                <w:numId w:val="28"/>
              </w:numPr>
              <w:tabs>
                <w:tab w:val="left" w:pos="709"/>
              </w:tabs>
              <w:spacing w:before="60" w:after="60" w:line="240" w:lineRule="auto"/>
              <w:rPr>
                <w:rFonts w:ascii="Arial" w:hAnsi="Arial" w:cs="Arial"/>
                <w:bCs/>
                <w:sz w:val="16"/>
                <w:szCs w:val="16"/>
              </w:rPr>
            </w:pPr>
            <w:r>
              <w:rPr>
                <w:rFonts w:ascii="Arial" w:hAnsi="Arial" w:cs="Arial"/>
                <w:bCs/>
                <w:sz w:val="16"/>
                <w:szCs w:val="16"/>
              </w:rPr>
              <w:t>home o</w:t>
            </w:r>
            <w:r w:rsidR="00102406">
              <w:rPr>
                <w:rFonts w:ascii="Arial" w:hAnsi="Arial" w:cs="Arial"/>
                <w:bCs/>
                <w:sz w:val="16"/>
                <w:szCs w:val="16"/>
              </w:rPr>
              <w:t>wnership</w:t>
            </w:r>
          </w:p>
          <w:p w14:paraId="6111539D" w14:textId="77777777" w:rsidR="00102406" w:rsidRDefault="007E4214" w:rsidP="008A2254">
            <w:pPr>
              <w:pStyle w:val="ListParagraph"/>
              <w:numPr>
                <w:ilvl w:val="0"/>
                <w:numId w:val="28"/>
              </w:numPr>
              <w:tabs>
                <w:tab w:val="left" w:pos="709"/>
              </w:tabs>
              <w:spacing w:before="60" w:after="60" w:line="240" w:lineRule="auto"/>
              <w:rPr>
                <w:rFonts w:ascii="Arial" w:hAnsi="Arial" w:cs="Arial"/>
                <w:bCs/>
                <w:sz w:val="16"/>
                <w:szCs w:val="16"/>
              </w:rPr>
            </w:pPr>
            <w:r>
              <w:rPr>
                <w:rFonts w:ascii="Arial" w:hAnsi="Arial" w:cs="Arial"/>
                <w:bCs/>
                <w:sz w:val="16"/>
                <w:szCs w:val="16"/>
              </w:rPr>
              <w:t>business s</w:t>
            </w:r>
            <w:r w:rsidR="00102406">
              <w:rPr>
                <w:rFonts w:ascii="Arial" w:hAnsi="Arial" w:cs="Arial"/>
                <w:bCs/>
                <w:sz w:val="16"/>
                <w:szCs w:val="16"/>
              </w:rPr>
              <w:t>olutions</w:t>
            </w:r>
          </w:p>
          <w:p w14:paraId="70C18B2B" w14:textId="77777777" w:rsidR="00102406" w:rsidRPr="00DE1122" w:rsidRDefault="007E4214" w:rsidP="008A2254">
            <w:pPr>
              <w:pStyle w:val="ListParagraph"/>
              <w:numPr>
                <w:ilvl w:val="0"/>
                <w:numId w:val="28"/>
              </w:numPr>
              <w:tabs>
                <w:tab w:val="left" w:pos="709"/>
              </w:tabs>
              <w:spacing w:before="60" w:after="60" w:line="240" w:lineRule="auto"/>
              <w:rPr>
                <w:rFonts w:ascii="Arial" w:hAnsi="Arial" w:cs="Arial"/>
                <w:b/>
                <w:sz w:val="16"/>
                <w:szCs w:val="16"/>
              </w:rPr>
            </w:pPr>
            <w:r>
              <w:rPr>
                <w:rFonts w:ascii="Arial" w:hAnsi="Arial" w:cs="Arial"/>
                <w:bCs/>
                <w:sz w:val="16"/>
                <w:szCs w:val="16"/>
              </w:rPr>
              <w:t>investments and asset m</w:t>
            </w:r>
            <w:r w:rsidR="00102406">
              <w:rPr>
                <w:rFonts w:ascii="Arial" w:hAnsi="Arial" w:cs="Arial"/>
                <w:bCs/>
                <w:sz w:val="16"/>
                <w:szCs w:val="16"/>
              </w:rPr>
              <w:t xml:space="preserve">anagement </w:t>
            </w:r>
          </w:p>
        </w:tc>
      </w:tr>
      <w:tr w:rsidR="00102406" w:rsidRPr="00DE1122" w14:paraId="15DED697" w14:textId="77777777" w:rsidTr="00E315A5">
        <w:trPr>
          <w:tblHeader/>
        </w:trPr>
        <w:tc>
          <w:tcPr>
            <w:tcW w:w="1731" w:type="dxa"/>
          </w:tcPr>
          <w:p w14:paraId="7352CF16" w14:textId="77777777" w:rsidR="00102406" w:rsidRPr="00DE1122" w:rsidRDefault="00102406" w:rsidP="00E315A5">
            <w:pPr>
              <w:tabs>
                <w:tab w:val="left" w:pos="709"/>
              </w:tabs>
              <w:spacing w:before="60" w:after="60" w:line="240" w:lineRule="auto"/>
              <w:jc w:val="left"/>
              <w:rPr>
                <w:rFonts w:ascii="Arial" w:hAnsi="Arial" w:cs="Arial"/>
                <w:b/>
                <w:sz w:val="16"/>
                <w:szCs w:val="16"/>
              </w:rPr>
            </w:pPr>
            <w:r w:rsidRPr="00DE1122">
              <w:rPr>
                <w:rFonts w:ascii="Arial" w:hAnsi="Arial" w:cs="Arial"/>
                <w:b/>
                <w:sz w:val="16"/>
                <w:szCs w:val="16"/>
              </w:rPr>
              <w:t>Year</w:t>
            </w:r>
          </w:p>
        </w:tc>
        <w:tc>
          <w:tcPr>
            <w:tcW w:w="3086" w:type="dxa"/>
            <w:tcBorders>
              <w:bottom w:val="single" w:sz="4" w:space="0" w:color="auto"/>
            </w:tcBorders>
          </w:tcPr>
          <w:p w14:paraId="4ADF6BA3" w14:textId="77777777" w:rsidR="00102406" w:rsidRPr="00DE1122" w:rsidRDefault="00102406" w:rsidP="00E315A5">
            <w:pPr>
              <w:tabs>
                <w:tab w:val="left" w:pos="709"/>
              </w:tabs>
              <w:spacing w:before="60" w:after="60" w:line="240" w:lineRule="auto"/>
              <w:jc w:val="left"/>
              <w:rPr>
                <w:rFonts w:ascii="Arial" w:hAnsi="Arial" w:cs="Arial"/>
                <w:b/>
                <w:sz w:val="16"/>
                <w:szCs w:val="16"/>
              </w:rPr>
            </w:pPr>
            <w:r w:rsidRPr="00DE1122">
              <w:rPr>
                <w:rFonts w:ascii="Arial" w:hAnsi="Arial" w:cs="Arial"/>
                <w:b/>
                <w:sz w:val="16"/>
                <w:szCs w:val="16"/>
              </w:rPr>
              <w:t xml:space="preserve">Performance </w:t>
            </w:r>
            <w:r>
              <w:rPr>
                <w:rFonts w:ascii="Arial" w:hAnsi="Arial" w:cs="Arial"/>
                <w:b/>
                <w:sz w:val="16"/>
                <w:szCs w:val="16"/>
              </w:rPr>
              <w:t>measures</w:t>
            </w:r>
          </w:p>
        </w:tc>
        <w:tc>
          <w:tcPr>
            <w:tcW w:w="2863" w:type="dxa"/>
            <w:tcBorders>
              <w:bottom w:val="single" w:sz="4" w:space="0" w:color="auto"/>
            </w:tcBorders>
          </w:tcPr>
          <w:p w14:paraId="783134BD" w14:textId="77777777" w:rsidR="00102406" w:rsidRDefault="00102406" w:rsidP="00E315A5">
            <w:pPr>
              <w:tabs>
                <w:tab w:val="left" w:pos="709"/>
              </w:tabs>
              <w:spacing w:before="60" w:after="60" w:line="240" w:lineRule="auto"/>
              <w:jc w:val="left"/>
              <w:rPr>
                <w:rFonts w:ascii="Arial" w:hAnsi="Arial" w:cs="Arial"/>
                <w:b/>
                <w:sz w:val="16"/>
                <w:szCs w:val="16"/>
              </w:rPr>
            </w:pPr>
            <w:r w:rsidRPr="00DE1122">
              <w:rPr>
                <w:rFonts w:ascii="Arial" w:hAnsi="Arial" w:cs="Arial"/>
                <w:b/>
                <w:sz w:val="16"/>
                <w:szCs w:val="16"/>
              </w:rPr>
              <w:t xml:space="preserve">Expected </w:t>
            </w:r>
            <w:r w:rsidR="007E4214">
              <w:rPr>
                <w:rFonts w:ascii="Arial" w:hAnsi="Arial" w:cs="Arial"/>
                <w:b/>
                <w:sz w:val="16"/>
                <w:szCs w:val="16"/>
              </w:rPr>
              <w:t>performance r</w:t>
            </w:r>
            <w:r>
              <w:rPr>
                <w:rFonts w:ascii="Arial" w:hAnsi="Arial" w:cs="Arial"/>
                <w:b/>
                <w:sz w:val="16"/>
                <w:szCs w:val="16"/>
              </w:rPr>
              <w:t xml:space="preserve">esults </w:t>
            </w:r>
          </w:p>
          <w:p w14:paraId="12C11F6A" w14:textId="77777777" w:rsidR="00102406" w:rsidRPr="00DE1122" w:rsidRDefault="00102406" w:rsidP="00E315A5">
            <w:pPr>
              <w:tabs>
                <w:tab w:val="left" w:pos="709"/>
              </w:tabs>
              <w:spacing w:before="60" w:after="60" w:line="240" w:lineRule="auto"/>
              <w:jc w:val="left"/>
              <w:rPr>
                <w:rFonts w:ascii="Arial" w:hAnsi="Arial" w:cs="Arial"/>
                <w:b/>
                <w:sz w:val="16"/>
                <w:szCs w:val="16"/>
              </w:rPr>
            </w:pPr>
          </w:p>
        </w:tc>
      </w:tr>
      <w:tr w:rsidR="00102406" w:rsidRPr="00DE1122" w14:paraId="70C0F99E" w14:textId="77777777" w:rsidTr="00E315A5">
        <w:trPr>
          <w:trHeight w:val="512"/>
          <w:tblHeader/>
        </w:trPr>
        <w:tc>
          <w:tcPr>
            <w:tcW w:w="1731" w:type="dxa"/>
            <w:vMerge w:val="restart"/>
            <w:tcBorders>
              <w:right w:val="single" w:sz="4" w:space="0" w:color="auto"/>
            </w:tcBorders>
          </w:tcPr>
          <w:p w14:paraId="20DB115C" w14:textId="77777777" w:rsidR="00102406" w:rsidRPr="00DE1122" w:rsidRDefault="00102406" w:rsidP="00E315A5">
            <w:pPr>
              <w:spacing w:after="0" w:line="240" w:lineRule="auto"/>
              <w:jc w:val="left"/>
              <w:rPr>
                <w:rFonts w:ascii="Arial" w:hAnsi="Arial" w:cs="Arial"/>
                <w:sz w:val="16"/>
                <w:szCs w:val="16"/>
              </w:rPr>
            </w:pPr>
            <w:r w:rsidRPr="00DE1122">
              <w:rPr>
                <w:rFonts w:ascii="Arial" w:hAnsi="Arial" w:cs="Arial"/>
                <w:sz w:val="16"/>
                <w:szCs w:val="16"/>
              </w:rPr>
              <w:t xml:space="preserve">Current year </w:t>
            </w:r>
          </w:p>
          <w:p w14:paraId="0F35BA3C" w14:textId="77777777" w:rsidR="00102406" w:rsidRPr="00DE1122" w:rsidRDefault="00102406" w:rsidP="00E315A5">
            <w:pPr>
              <w:spacing w:after="0" w:line="240" w:lineRule="auto"/>
              <w:jc w:val="left"/>
              <w:rPr>
                <w:rFonts w:asciiTheme="minorHAnsi" w:hAnsiTheme="minorHAnsi"/>
              </w:rPr>
            </w:pPr>
            <w:r w:rsidRPr="00DE1122">
              <w:rPr>
                <w:rFonts w:ascii="Arial" w:hAnsi="Arial" w:cs="Arial"/>
                <w:sz w:val="16"/>
                <w:szCs w:val="16"/>
              </w:rPr>
              <w:t>2021-22</w:t>
            </w:r>
          </w:p>
          <w:p w14:paraId="1B365209" w14:textId="77777777" w:rsidR="00102406" w:rsidRPr="00DE1122" w:rsidRDefault="00102406" w:rsidP="00E315A5">
            <w:pPr>
              <w:rPr>
                <w:rFonts w:asciiTheme="minorHAnsi" w:hAnsiTheme="minorHAnsi"/>
              </w:rPr>
            </w:pPr>
          </w:p>
          <w:p w14:paraId="0DF5ECA1" w14:textId="77777777" w:rsidR="00102406" w:rsidRPr="00DE1122" w:rsidRDefault="00102406" w:rsidP="00E315A5">
            <w:pPr>
              <w:rPr>
                <w:rFonts w:asciiTheme="minorHAnsi" w:hAnsiTheme="minorHAnsi"/>
              </w:rPr>
            </w:pPr>
          </w:p>
          <w:p w14:paraId="2E83894C" w14:textId="77777777" w:rsidR="00102406" w:rsidRPr="00DE1122" w:rsidRDefault="00102406" w:rsidP="00E315A5">
            <w:pPr>
              <w:rPr>
                <w:rFonts w:asciiTheme="minorHAnsi" w:hAnsiTheme="minorHAnsi"/>
              </w:rPr>
            </w:pPr>
          </w:p>
          <w:p w14:paraId="0736F3EB" w14:textId="77777777" w:rsidR="00102406" w:rsidRPr="00DE1122" w:rsidRDefault="00102406" w:rsidP="00E315A5">
            <w:pPr>
              <w:rPr>
                <w:rFonts w:asciiTheme="minorHAnsi" w:hAnsiTheme="minorHAnsi"/>
              </w:rPr>
            </w:pPr>
          </w:p>
          <w:p w14:paraId="62382089" w14:textId="77777777" w:rsidR="00102406" w:rsidRPr="00DE1122" w:rsidRDefault="00102406" w:rsidP="00E315A5">
            <w:pPr>
              <w:rPr>
                <w:rFonts w:asciiTheme="minorHAnsi" w:hAnsiTheme="minorHAnsi"/>
              </w:rPr>
            </w:pPr>
          </w:p>
          <w:p w14:paraId="1E452161" w14:textId="77777777" w:rsidR="00102406" w:rsidRPr="00DE1122" w:rsidRDefault="00102406" w:rsidP="00E315A5">
            <w:pPr>
              <w:rPr>
                <w:rFonts w:asciiTheme="minorHAnsi" w:hAnsiTheme="minorHAnsi"/>
              </w:rPr>
            </w:pPr>
          </w:p>
        </w:tc>
        <w:tc>
          <w:tcPr>
            <w:tcW w:w="3086" w:type="dxa"/>
            <w:tcBorders>
              <w:top w:val="single" w:sz="4" w:space="0" w:color="auto"/>
              <w:left w:val="single" w:sz="4" w:space="0" w:color="auto"/>
              <w:bottom w:val="nil"/>
              <w:right w:val="single" w:sz="4" w:space="0" w:color="auto"/>
            </w:tcBorders>
          </w:tcPr>
          <w:p w14:paraId="5D1E5882" w14:textId="77777777" w:rsidR="00102406" w:rsidRPr="009867C5" w:rsidRDefault="00102406" w:rsidP="008A2254">
            <w:pPr>
              <w:numPr>
                <w:ilvl w:val="0"/>
                <w:numId w:val="30"/>
              </w:numPr>
              <w:spacing w:before="120" w:after="120" w:line="240" w:lineRule="auto"/>
              <w:ind w:left="348" w:right="142"/>
              <w:contextualSpacing/>
              <w:jc w:val="left"/>
              <w:rPr>
                <w:rFonts w:ascii="Arial" w:hAnsi="Arial" w:cs="Arial"/>
                <w:sz w:val="16"/>
                <w:szCs w:val="16"/>
                <w:lang w:val="en-US"/>
              </w:rPr>
            </w:pPr>
            <w:r w:rsidRPr="00AE4187">
              <w:rPr>
                <w:rFonts w:ascii="Arial" w:hAnsi="Arial" w:cs="Arial"/>
                <w:sz w:val="16"/>
                <w:szCs w:val="16"/>
              </w:rPr>
              <w:t>Number of home ownership outcomes approved</w:t>
            </w:r>
          </w:p>
        </w:tc>
        <w:tc>
          <w:tcPr>
            <w:tcW w:w="2863" w:type="dxa"/>
            <w:tcBorders>
              <w:top w:val="single" w:sz="4" w:space="0" w:color="auto"/>
              <w:left w:val="single" w:sz="4" w:space="0" w:color="auto"/>
              <w:bottom w:val="nil"/>
              <w:right w:val="single" w:sz="4" w:space="0" w:color="auto"/>
            </w:tcBorders>
          </w:tcPr>
          <w:p w14:paraId="70365DFF" w14:textId="77777777" w:rsidR="00102406" w:rsidRPr="00DE1122" w:rsidRDefault="00102406" w:rsidP="008A2254">
            <w:pPr>
              <w:numPr>
                <w:ilvl w:val="0"/>
                <w:numId w:val="29"/>
              </w:numPr>
              <w:tabs>
                <w:tab w:val="left" w:pos="555"/>
              </w:tabs>
              <w:spacing w:before="120" w:after="120" w:line="276" w:lineRule="auto"/>
              <w:contextualSpacing/>
              <w:jc w:val="left"/>
              <w:rPr>
                <w:rFonts w:ascii="Arial" w:hAnsi="Arial" w:cs="Arial"/>
                <w:sz w:val="16"/>
                <w:szCs w:val="16"/>
                <w:lang w:val="en-US"/>
              </w:rPr>
            </w:pPr>
            <w:r w:rsidRPr="00D700A7">
              <w:rPr>
                <w:rFonts w:ascii="Arial" w:hAnsi="Arial" w:cs="Arial"/>
                <w:sz w:val="16"/>
                <w:szCs w:val="16"/>
                <w:lang w:val="en-US"/>
              </w:rPr>
              <w:t>56</w:t>
            </w:r>
            <w:r>
              <w:rPr>
                <w:rFonts w:ascii="Arial" w:hAnsi="Arial" w:cs="Arial"/>
                <w:sz w:val="16"/>
                <w:szCs w:val="16"/>
                <w:lang w:val="en-US"/>
              </w:rPr>
              <w:t>7</w:t>
            </w:r>
            <w:r w:rsidRPr="00D700A7">
              <w:rPr>
                <w:rFonts w:ascii="Arial" w:hAnsi="Arial" w:cs="Arial"/>
                <w:sz w:val="16"/>
                <w:szCs w:val="16"/>
                <w:lang w:val="en-US"/>
              </w:rPr>
              <w:t xml:space="preserve"> (against a target of 56</w:t>
            </w:r>
            <w:r>
              <w:rPr>
                <w:rFonts w:ascii="Arial" w:hAnsi="Arial" w:cs="Arial"/>
                <w:sz w:val="16"/>
                <w:szCs w:val="16"/>
                <w:lang w:val="en-US"/>
              </w:rPr>
              <w:t>0</w:t>
            </w:r>
            <w:r w:rsidRPr="00D700A7">
              <w:rPr>
                <w:rFonts w:ascii="Arial" w:hAnsi="Arial" w:cs="Arial"/>
                <w:sz w:val="16"/>
                <w:szCs w:val="16"/>
                <w:lang w:val="en-US"/>
              </w:rPr>
              <w:t>)</w:t>
            </w:r>
          </w:p>
        </w:tc>
      </w:tr>
      <w:tr w:rsidR="00102406" w:rsidRPr="00DE1122" w14:paraId="2B55447E" w14:textId="77777777" w:rsidTr="00E315A5">
        <w:trPr>
          <w:trHeight w:val="562"/>
          <w:tblHeader/>
        </w:trPr>
        <w:tc>
          <w:tcPr>
            <w:tcW w:w="1731" w:type="dxa"/>
            <w:vMerge/>
            <w:tcBorders>
              <w:right w:val="single" w:sz="4" w:space="0" w:color="auto"/>
            </w:tcBorders>
          </w:tcPr>
          <w:p w14:paraId="36351783"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2DD3D2D5" w14:textId="77777777" w:rsidR="00102406" w:rsidRPr="00DE1122" w:rsidRDefault="00102406" w:rsidP="008A2254">
            <w:pPr>
              <w:numPr>
                <w:ilvl w:val="0"/>
                <w:numId w:val="30"/>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Percentage of approved customers that are first home buyers</w:t>
            </w:r>
          </w:p>
        </w:tc>
        <w:tc>
          <w:tcPr>
            <w:tcW w:w="2863" w:type="dxa"/>
            <w:tcBorders>
              <w:top w:val="nil"/>
              <w:left w:val="single" w:sz="4" w:space="0" w:color="auto"/>
              <w:bottom w:val="nil"/>
              <w:right w:val="single" w:sz="4" w:space="0" w:color="auto"/>
            </w:tcBorders>
          </w:tcPr>
          <w:p w14:paraId="324C11D7" w14:textId="77777777" w:rsidR="00102406" w:rsidRPr="00DE1122" w:rsidRDefault="00102406" w:rsidP="008A2254">
            <w:pPr>
              <w:numPr>
                <w:ilvl w:val="0"/>
                <w:numId w:val="29"/>
              </w:numPr>
              <w:tabs>
                <w:tab w:val="left" w:pos="555"/>
              </w:tabs>
              <w:spacing w:before="120" w:after="120" w:line="276" w:lineRule="auto"/>
              <w:contextualSpacing/>
              <w:jc w:val="left"/>
              <w:rPr>
                <w:rFonts w:ascii="Arial" w:hAnsi="Arial" w:cs="Arial"/>
                <w:sz w:val="16"/>
                <w:szCs w:val="16"/>
                <w:lang w:val="en-US"/>
              </w:rPr>
            </w:pPr>
            <w:r w:rsidRPr="00DE1122">
              <w:rPr>
                <w:rFonts w:ascii="Arial" w:hAnsi="Arial" w:cs="Arial"/>
                <w:sz w:val="16"/>
                <w:szCs w:val="16"/>
                <w:lang w:val="en-US"/>
              </w:rPr>
              <w:t>9</w:t>
            </w:r>
            <w:r>
              <w:rPr>
                <w:rFonts w:ascii="Arial" w:hAnsi="Arial" w:cs="Arial"/>
                <w:sz w:val="16"/>
                <w:szCs w:val="16"/>
                <w:lang w:val="en-US"/>
              </w:rPr>
              <w:t>5</w:t>
            </w:r>
            <w:r w:rsidRPr="00DE1122">
              <w:rPr>
                <w:rFonts w:ascii="Arial" w:hAnsi="Arial" w:cs="Arial"/>
                <w:sz w:val="16"/>
                <w:szCs w:val="16"/>
                <w:lang w:val="en-US"/>
              </w:rPr>
              <w:t xml:space="preserve">% (against a target of 90%) </w:t>
            </w:r>
          </w:p>
        </w:tc>
      </w:tr>
      <w:tr w:rsidR="00102406" w:rsidRPr="00DE1122" w14:paraId="3EFE5D0A" w14:textId="77777777" w:rsidTr="00E315A5">
        <w:trPr>
          <w:tblHeader/>
        </w:trPr>
        <w:tc>
          <w:tcPr>
            <w:tcW w:w="1731" w:type="dxa"/>
            <w:vMerge/>
            <w:tcBorders>
              <w:right w:val="single" w:sz="4" w:space="0" w:color="auto"/>
            </w:tcBorders>
          </w:tcPr>
          <w:p w14:paraId="01315205"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5C243ECA" w14:textId="77777777" w:rsidR="00102406" w:rsidRPr="00DE1122" w:rsidRDefault="00102406" w:rsidP="008A2254">
            <w:pPr>
              <w:numPr>
                <w:ilvl w:val="0"/>
                <w:numId w:val="30"/>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 xml:space="preserve">Percentage of Indigenous home customers who transition or are supported into mainstream lending </w:t>
            </w:r>
          </w:p>
        </w:tc>
        <w:tc>
          <w:tcPr>
            <w:tcW w:w="2863" w:type="dxa"/>
            <w:tcBorders>
              <w:top w:val="nil"/>
              <w:left w:val="single" w:sz="4" w:space="0" w:color="auto"/>
              <w:bottom w:val="nil"/>
              <w:right w:val="single" w:sz="4" w:space="0" w:color="auto"/>
            </w:tcBorders>
          </w:tcPr>
          <w:p w14:paraId="7589B554" w14:textId="77777777" w:rsidR="00102406" w:rsidRPr="00DE1122" w:rsidRDefault="00102406" w:rsidP="008A2254">
            <w:pPr>
              <w:numPr>
                <w:ilvl w:val="0"/>
                <w:numId w:val="29"/>
              </w:numPr>
              <w:tabs>
                <w:tab w:val="left" w:pos="555"/>
              </w:tabs>
              <w:spacing w:before="120" w:after="120" w:line="276" w:lineRule="auto"/>
              <w:contextualSpacing/>
              <w:jc w:val="left"/>
              <w:rPr>
                <w:rFonts w:ascii="Arial" w:hAnsi="Arial" w:cs="Arial"/>
                <w:sz w:val="16"/>
                <w:szCs w:val="16"/>
                <w:lang w:val="en-US"/>
              </w:rPr>
            </w:pPr>
            <w:r>
              <w:rPr>
                <w:rFonts w:ascii="Arial" w:hAnsi="Arial" w:cs="Arial"/>
                <w:sz w:val="16"/>
                <w:szCs w:val="16"/>
                <w:lang w:val="en-US"/>
              </w:rPr>
              <w:t>9.6</w:t>
            </w:r>
            <w:r w:rsidRPr="00DE1122">
              <w:rPr>
                <w:rFonts w:ascii="Arial" w:hAnsi="Arial" w:cs="Arial"/>
                <w:sz w:val="16"/>
                <w:szCs w:val="16"/>
                <w:lang w:val="en-US"/>
              </w:rPr>
              <w:t>% (against a target of 4.5%)</w:t>
            </w:r>
          </w:p>
        </w:tc>
      </w:tr>
      <w:tr w:rsidR="00102406" w:rsidRPr="00DE1122" w14:paraId="6FEC8771" w14:textId="77777777" w:rsidTr="00E315A5">
        <w:trPr>
          <w:tblHeader/>
        </w:trPr>
        <w:tc>
          <w:tcPr>
            <w:tcW w:w="1731" w:type="dxa"/>
            <w:vMerge/>
            <w:tcBorders>
              <w:right w:val="single" w:sz="4" w:space="0" w:color="auto"/>
            </w:tcBorders>
          </w:tcPr>
          <w:p w14:paraId="3F44167C"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321F6252" w14:textId="77777777" w:rsidR="00102406" w:rsidRPr="00DE1122" w:rsidRDefault="00102406" w:rsidP="008A2254">
            <w:pPr>
              <w:numPr>
                <w:ilvl w:val="0"/>
                <w:numId w:val="30"/>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Number of people attending housing capability workshops</w:t>
            </w:r>
          </w:p>
        </w:tc>
        <w:tc>
          <w:tcPr>
            <w:tcW w:w="2863" w:type="dxa"/>
            <w:tcBorders>
              <w:top w:val="nil"/>
              <w:left w:val="single" w:sz="4" w:space="0" w:color="auto"/>
              <w:bottom w:val="nil"/>
              <w:right w:val="single" w:sz="4" w:space="0" w:color="auto"/>
            </w:tcBorders>
          </w:tcPr>
          <w:p w14:paraId="790BC45E" w14:textId="77777777" w:rsidR="00102406" w:rsidRPr="00DE1122" w:rsidRDefault="00102406" w:rsidP="008A2254">
            <w:pPr>
              <w:numPr>
                <w:ilvl w:val="0"/>
                <w:numId w:val="29"/>
              </w:numPr>
              <w:tabs>
                <w:tab w:val="left" w:pos="555"/>
              </w:tabs>
              <w:spacing w:before="120" w:after="120" w:line="276" w:lineRule="auto"/>
              <w:contextualSpacing/>
              <w:jc w:val="left"/>
              <w:rPr>
                <w:rFonts w:ascii="Arial" w:hAnsi="Arial" w:cs="Arial"/>
                <w:sz w:val="16"/>
                <w:szCs w:val="16"/>
                <w:lang w:val="en-US"/>
              </w:rPr>
            </w:pPr>
            <w:r w:rsidRPr="00DE1122">
              <w:rPr>
                <w:rFonts w:ascii="Arial" w:hAnsi="Arial" w:cs="Arial"/>
                <w:sz w:val="16"/>
                <w:szCs w:val="16"/>
                <w:lang w:val="en-US"/>
              </w:rPr>
              <w:t>5</w:t>
            </w:r>
            <w:r>
              <w:rPr>
                <w:rFonts w:ascii="Arial" w:hAnsi="Arial" w:cs="Arial"/>
                <w:sz w:val="16"/>
                <w:szCs w:val="16"/>
                <w:lang w:val="en-US"/>
              </w:rPr>
              <w:t>1</w:t>
            </w:r>
            <w:r w:rsidRPr="00DE1122">
              <w:rPr>
                <w:rFonts w:ascii="Arial" w:hAnsi="Arial" w:cs="Arial"/>
                <w:sz w:val="16"/>
                <w:szCs w:val="16"/>
                <w:lang w:val="en-US"/>
              </w:rPr>
              <w:t>0 (against a target of 500)</w:t>
            </w:r>
          </w:p>
          <w:p w14:paraId="53794F85" w14:textId="77777777" w:rsidR="00102406" w:rsidRPr="00DE1122" w:rsidRDefault="00102406" w:rsidP="00E315A5">
            <w:pPr>
              <w:tabs>
                <w:tab w:val="left" w:pos="555"/>
              </w:tabs>
              <w:spacing w:before="120" w:after="120" w:line="276" w:lineRule="auto"/>
              <w:contextualSpacing/>
              <w:jc w:val="left"/>
              <w:rPr>
                <w:rFonts w:ascii="Arial" w:hAnsi="Arial" w:cs="Arial"/>
                <w:sz w:val="16"/>
                <w:szCs w:val="16"/>
                <w:lang w:val="en-US"/>
              </w:rPr>
            </w:pPr>
          </w:p>
        </w:tc>
      </w:tr>
      <w:tr w:rsidR="00102406" w:rsidRPr="00DE1122" w14:paraId="6B06D618" w14:textId="77777777" w:rsidTr="00E315A5">
        <w:trPr>
          <w:trHeight w:val="657"/>
          <w:tblHeader/>
        </w:trPr>
        <w:tc>
          <w:tcPr>
            <w:tcW w:w="1731" w:type="dxa"/>
            <w:vMerge/>
            <w:tcBorders>
              <w:right w:val="single" w:sz="4" w:space="0" w:color="auto"/>
            </w:tcBorders>
          </w:tcPr>
          <w:p w14:paraId="6014E9FE"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1D619D80" w14:textId="77777777" w:rsidR="00102406" w:rsidRPr="00DE1122" w:rsidRDefault="00102406" w:rsidP="008A2254">
            <w:pPr>
              <w:numPr>
                <w:ilvl w:val="0"/>
                <w:numId w:val="30"/>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Percentage of home customers satisfied or very satisfied with IBA’s service</w:t>
            </w:r>
          </w:p>
        </w:tc>
        <w:tc>
          <w:tcPr>
            <w:tcW w:w="2863" w:type="dxa"/>
            <w:tcBorders>
              <w:top w:val="nil"/>
              <w:left w:val="single" w:sz="4" w:space="0" w:color="auto"/>
              <w:bottom w:val="nil"/>
              <w:right w:val="single" w:sz="4" w:space="0" w:color="auto"/>
            </w:tcBorders>
          </w:tcPr>
          <w:p w14:paraId="44E40460" w14:textId="77777777" w:rsidR="00102406" w:rsidRPr="00DE1122" w:rsidRDefault="00102406" w:rsidP="008A2254">
            <w:pPr>
              <w:numPr>
                <w:ilvl w:val="0"/>
                <w:numId w:val="29"/>
              </w:numPr>
              <w:tabs>
                <w:tab w:val="left" w:pos="555"/>
              </w:tabs>
              <w:spacing w:before="120" w:after="120" w:line="276" w:lineRule="auto"/>
              <w:contextualSpacing/>
              <w:jc w:val="left"/>
              <w:rPr>
                <w:rFonts w:ascii="Calibri" w:hAnsi="Calibri"/>
                <w:lang w:val="en-US"/>
              </w:rPr>
            </w:pPr>
            <w:r w:rsidRPr="00DE1122">
              <w:rPr>
                <w:rFonts w:ascii="Arial" w:hAnsi="Arial" w:cs="Arial"/>
                <w:sz w:val="16"/>
                <w:szCs w:val="16"/>
                <w:lang w:val="en-US"/>
              </w:rPr>
              <w:t>9</w:t>
            </w:r>
            <w:r>
              <w:rPr>
                <w:rFonts w:ascii="Arial" w:hAnsi="Arial" w:cs="Arial"/>
                <w:sz w:val="16"/>
                <w:szCs w:val="16"/>
                <w:lang w:val="en-US"/>
              </w:rPr>
              <w:t>2</w:t>
            </w:r>
            <w:r w:rsidRPr="00DE1122">
              <w:rPr>
                <w:rFonts w:ascii="Arial" w:hAnsi="Arial" w:cs="Arial"/>
                <w:sz w:val="16"/>
                <w:szCs w:val="16"/>
                <w:lang w:val="en-US"/>
              </w:rPr>
              <w:t>% (against a target of 80%)</w:t>
            </w:r>
          </w:p>
          <w:p w14:paraId="7A88BEA6" w14:textId="77777777" w:rsidR="00102406" w:rsidRPr="00DE1122" w:rsidRDefault="00102406" w:rsidP="00E315A5">
            <w:pPr>
              <w:tabs>
                <w:tab w:val="left" w:pos="555"/>
              </w:tabs>
              <w:spacing w:before="120" w:after="120" w:line="276" w:lineRule="auto"/>
              <w:contextualSpacing/>
              <w:jc w:val="left"/>
              <w:rPr>
                <w:rFonts w:ascii="Calibri" w:hAnsi="Calibri"/>
                <w:lang w:val="en-US"/>
              </w:rPr>
            </w:pPr>
          </w:p>
        </w:tc>
      </w:tr>
      <w:tr w:rsidR="00102406" w:rsidRPr="00DE1122" w14:paraId="4BA3074C" w14:textId="77777777" w:rsidTr="00E315A5">
        <w:trPr>
          <w:trHeight w:val="509"/>
          <w:tblHeader/>
        </w:trPr>
        <w:tc>
          <w:tcPr>
            <w:tcW w:w="1731" w:type="dxa"/>
            <w:vMerge/>
            <w:tcBorders>
              <w:right w:val="single" w:sz="4" w:space="0" w:color="auto"/>
            </w:tcBorders>
          </w:tcPr>
          <w:p w14:paraId="0050573A"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252EECF7" w14:textId="77777777" w:rsidR="00102406" w:rsidRPr="00DE1122" w:rsidRDefault="00102406" w:rsidP="008A2254">
            <w:pPr>
              <w:numPr>
                <w:ilvl w:val="0"/>
                <w:numId w:val="30"/>
              </w:numPr>
              <w:spacing w:before="240" w:after="120" w:line="240" w:lineRule="auto"/>
              <w:ind w:left="346" w:right="142" w:hanging="357"/>
              <w:contextualSpacing/>
              <w:jc w:val="left"/>
              <w:rPr>
                <w:rFonts w:ascii="Arial" w:hAnsi="Arial" w:cs="Arial"/>
                <w:sz w:val="16"/>
                <w:szCs w:val="16"/>
                <w:lang w:val="en-US"/>
              </w:rPr>
            </w:pPr>
            <w:r w:rsidRPr="00DE1122">
              <w:rPr>
                <w:rFonts w:ascii="Arial" w:hAnsi="Arial" w:cs="Arial"/>
                <w:sz w:val="16"/>
                <w:szCs w:val="16"/>
                <w:lang w:val="en-US"/>
              </w:rPr>
              <w:t>Cost per dollar lent efficiency ratio</w:t>
            </w:r>
            <w:r>
              <w:rPr>
                <w:rFonts w:ascii="Arial" w:hAnsi="Arial" w:cs="Arial"/>
                <w:sz w:val="16"/>
                <w:szCs w:val="16"/>
                <w:lang w:val="en-US"/>
              </w:rPr>
              <w:t xml:space="preserve"> for the </w:t>
            </w:r>
            <w:r w:rsidRPr="00DE1122">
              <w:rPr>
                <w:rFonts w:ascii="Arial" w:hAnsi="Arial" w:cs="Arial"/>
                <w:sz w:val="16"/>
                <w:szCs w:val="16"/>
                <w:lang w:val="en-US"/>
              </w:rPr>
              <w:t>home loan</w:t>
            </w:r>
            <w:r>
              <w:rPr>
                <w:rFonts w:ascii="Arial" w:hAnsi="Arial" w:cs="Arial"/>
                <w:sz w:val="16"/>
                <w:szCs w:val="16"/>
                <w:lang w:val="en-US"/>
              </w:rPr>
              <w:t xml:space="preserve"> portfolio</w:t>
            </w:r>
            <w:r w:rsidRPr="00DE1122">
              <w:rPr>
                <w:rFonts w:ascii="Arial" w:hAnsi="Arial" w:cs="Arial"/>
                <w:sz w:val="16"/>
                <w:szCs w:val="16"/>
                <w:lang w:val="en-US"/>
              </w:rPr>
              <w:t xml:space="preserve"> </w:t>
            </w:r>
          </w:p>
        </w:tc>
        <w:tc>
          <w:tcPr>
            <w:tcW w:w="2863" w:type="dxa"/>
            <w:tcBorders>
              <w:top w:val="nil"/>
              <w:left w:val="single" w:sz="4" w:space="0" w:color="auto"/>
              <w:bottom w:val="nil"/>
              <w:right w:val="single" w:sz="4" w:space="0" w:color="auto"/>
            </w:tcBorders>
          </w:tcPr>
          <w:p w14:paraId="14458F9C" w14:textId="77777777" w:rsidR="00102406" w:rsidRPr="00DE1122" w:rsidRDefault="00102406" w:rsidP="008A2254">
            <w:pPr>
              <w:numPr>
                <w:ilvl w:val="0"/>
                <w:numId w:val="29"/>
              </w:numPr>
              <w:tabs>
                <w:tab w:val="left" w:pos="555"/>
              </w:tabs>
              <w:spacing w:before="120" w:after="120" w:line="276" w:lineRule="auto"/>
              <w:contextualSpacing/>
              <w:jc w:val="left"/>
              <w:rPr>
                <w:rFonts w:ascii="Arial" w:hAnsi="Arial" w:cs="Arial"/>
                <w:sz w:val="16"/>
                <w:szCs w:val="16"/>
                <w:lang w:val="en-US"/>
              </w:rPr>
            </w:pPr>
            <w:r>
              <w:rPr>
                <w:rFonts w:ascii="Arial" w:hAnsi="Arial" w:cs="Arial"/>
                <w:sz w:val="16"/>
                <w:szCs w:val="16"/>
                <w:lang w:val="en-US"/>
              </w:rPr>
              <w:t>0.95% (against a target of less than 1.11%)</w:t>
            </w:r>
          </w:p>
        </w:tc>
      </w:tr>
      <w:tr w:rsidR="00102406" w:rsidRPr="00DE1122" w14:paraId="2F2A0100" w14:textId="77777777" w:rsidTr="00E315A5">
        <w:trPr>
          <w:tblHeader/>
        </w:trPr>
        <w:tc>
          <w:tcPr>
            <w:tcW w:w="1731" w:type="dxa"/>
            <w:vMerge/>
            <w:tcBorders>
              <w:right w:val="single" w:sz="4" w:space="0" w:color="auto"/>
            </w:tcBorders>
          </w:tcPr>
          <w:p w14:paraId="485BCE38"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05030B7F" w14:textId="77777777" w:rsidR="00102406" w:rsidRPr="00DE1122" w:rsidRDefault="00102406" w:rsidP="008A2254">
            <w:pPr>
              <w:numPr>
                <w:ilvl w:val="0"/>
                <w:numId w:val="30"/>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Four-year survivability of IBA supported business loan customers</w:t>
            </w:r>
          </w:p>
          <w:p w14:paraId="60DCAFBF" w14:textId="77777777" w:rsidR="00102406" w:rsidRPr="00DE1122" w:rsidRDefault="00102406" w:rsidP="00E315A5">
            <w:pPr>
              <w:spacing w:before="120" w:after="120" w:line="240" w:lineRule="auto"/>
              <w:ind w:right="142"/>
              <w:contextualSpacing/>
              <w:jc w:val="left"/>
              <w:rPr>
                <w:rFonts w:ascii="Arial" w:hAnsi="Arial" w:cs="Arial"/>
                <w:sz w:val="16"/>
                <w:szCs w:val="16"/>
                <w:lang w:val="en-US"/>
              </w:rPr>
            </w:pPr>
          </w:p>
        </w:tc>
        <w:tc>
          <w:tcPr>
            <w:tcW w:w="2863" w:type="dxa"/>
            <w:tcBorders>
              <w:top w:val="nil"/>
              <w:left w:val="single" w:sz="4" w:space="0" w:color="auto"/>
              <w:bottom w:val="nil"/>
              <w:right w:val="single" w:sz="4" w:space="0" w:color="auto"/>
            </w:tcBorders>
          </w:tcPr>
          <w:p w14:paraId="0D4F1D76" w14:textId="77777777" w:rsidR="00102406" w:rsidRPr="00DE1122" w:rsidRDefault="00102406" w:rsidP="008A2254">
            <w:pPr>
              <w:numPr>
                <w:ilvl w:val="0"/>
                <w:numId w:val="29"/>
              </w:numPr>
              <w:tabs>
                <w:tab w:val="left" w:pos="555"/>
              </w:tabs>
              <w:spacing w:before="120" w:after="120" w:line="276" w:lineRule="auto"/>
              <w:contextualSpacing/>
              <w:jc w:val="left"/>
              <w:rPr>
                <w:rFonts w:ascii="Arial" w:hAnsi="Arial" w:cs="Arial"/>
                <w:sz w:val="16"/>
                <w:szCs w:val="16"/>
                <w:lang w:val="en-US"/>
              </w:rPr>
            </w:pPr>
            <w:r w:rsidRPr="00DE1122">
              <w:rPr>
                <w:rFonts w:ascii="Arial" w:hAnsi="Arial" w:cs="Arial"/>
                <w:sz w:val="16"/>
                <w:szCs w:val="16"/>
                <w:lang w:val="en-US"/>
              </w:rPr>
              <w:t xml:space="preserve">0-4 employees: </w:t>
            </w:r>
            <w:r>
              <w:rPr>
                <w:rFonts w:ascii="Arial" w:hAnsi="Arial" w:cs="Arial"/>
                <w:sz w:val="16"/>
                <w:szCs w:val="16"/>
                <w:lang w:val="en-US"/>
              </w:rPr>
              <w:t>83</w:t>
            </w:r>
            <w:r w:rsidRPr="00DE1122">
              <w:rPr>
                <w:rFonts w:ascii="Arial" w:hAnsi="Arial" w:cs="Arial"/>
                <w:sz w:val="16"/>
                <w:szCs w:val="16"/>
                <w:lang w:val="en-US"/>
              </w:rPr>
              <w:t>% (target of 63%); 5-19 employees: 9</w:t>
            </w:r>
            <w:r>
              <w:rPr>
                <w:rFonts w:ascii="Arial" w:hAnsi="Arial" w:cs="Arial"/>
                <w:sz w:val="16"/>
                <w:szCs w:val="16"/>
                <w:lang w:val="en-US"/>
              </w:rPr>
              <w:t>2</w:t>
            </w:r>
            <w:r w:rsidRPr="00DE1122">
              <w:rPr>
                <w:rFonts w:ascii="Arial" w:hAnsi="Arial" w:cs="Arial"/>
                <w:sz w:val="16"/>
                <w:szCs w:val="16"/>
                <w:lang w:val="en-US"/>
              </w:rPr>
              <w:t>% (target of 78%); 20-199 employees: 100% (target of 83%); 200+ employees: IBA had no such customers</w:t>
            </w:r>
          </w:p>
        </w:tc>
      </w:tr>
      <w:tr w:rsidR="00102406" w:rsidRPr="00DE1122" w14:paraId="35CDD138" w14:textId="77777777" w:rsidTr="00E315A5">
        <w:trPr>
          <w:trHeight w:val="452"/>
          <w:tblHeader/>
        </w:trPr>
        <w:tc>
          <w:tcPr>
            <w:tcW w:w="1731" w:type="dxa"/>
            <w:vMerge/>
            <w:tcBorders>
              <w:right w:val="single" w:sz="4" w:space="0" w:color="auto"/>
            </w:tcBorders>
          </w:tcPr>
          <w:p w14:paraId="79751B43"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1CA3D75F" w14:textId="77777777" w:rsidR="00102406" w:rsidRPr="00EE79EA" w:rsidRDefault="00102406" w:rsidP="008A2254">
            <w:pPr>
              <w:pStyle w:val="ListParagraph"/>
              <w:numPr>
                <w:ilvl w:val="0"/>
                <w:numId w:val="29"/>
              </w:numPr>
              <w:spacing w:after="0" w:line="240" w:lineRule="auto"/>
              <w:ind w:left="357" w:right="142" w:hanging="357"/>
              <w:rPr>
                <w:rFonts w:ascii="Arial" w:hAnsi="Arial" w:cs="Arial"/>
                <w:sz w:val="16"/>
                <w:szCs w:val="16"/>
              </w:rPr>
            </w:pPr>
            <w:r w:rsidRPr="00EE79EA">
              <w:rPr>
                <w:rFonts w:ascii="Arial" w:hAnsi="Arial" w:cs="Arial"/>
                <w:sz w:val="16"/>
                <w:szCs w:val="16"/>
              </w:rPr>
              <w:t>Number of business customers financed</w:t>
            </w:r>
            <w:r w:rsidRPr="00EE79EA" w:rsidDel="000048EC">
              <w:rPr>
                <w:rFonts w:ascii="Arial" w:hAnsi="Arial" w:cs="Arial"/>
                <w:sz w:val="16"/>
                <w:szCs w:val="16"/>
              </w:rPr>
              <w:t xml:space="preserve"> </w:t>
            </w:r>
          </w:p>
        </w:tc>
        <w:tc>
          <w:tcPr>
            <w:tcW w:w="2863" w:type="dxa"/>
            <w:tcBorders>
              <w:top w:val="nil"/>
              <w:left w:val="single" w:sz="4" w:space="0" w:color="auto"/>
              <w:bottom w:val="nil"/>
              <w:right w:val="single" w:sz="4" w:space="0" w:color="auto"/>
            </w:tcBorders>
          </w:tcPr>
          <w:p w14:paraId="548A1F11" w14:textId="77777777" w:rsidR="00102406" w:rsidRPr="00DE1122" w:rsidRDefault="00102406" w:rsidP="008A2254">
            <w:pPr>
              <w:numPr>
                <w:ilvl w:val="0"/>
                <w:numId w:val="31"/>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220</w:t>
            </w:r>
            <w:r w:rsidRPr="00DE1122">
              <w:rPr>
                <w:rFonts w:ascii="Arial" w:hAnsi="Arial" w:cs="Arial"/>
                <w:sz w:val="16"/>
                <w:szCs w:val="16"/>
                <w:lang w:val="en-US"/>
              </w:rPr>
              <w:t xml:space="preserve"> (against a target of </w:t>
            </w:r>
            <w:r>
              <w:rPr>
                <w:rFonts w:ascii="Arial" w:hAnsi="Arial" w:cs="Arial"/>
                <w:sz w:val="16"/>
                <w:szCs w:val="16"/>
                <w:lang w:val="en-US"/>
              </w:rPr>
              <w:t>193</w:t>
            </w:r>
            <w:r w:rsidRPr="00DE1122">
              <w:rPr>
                <w:rFonts w:ascii="Arial" w:hAnsi="Arial" w:cs="Arial"/>
                <w:sz w:val="16"/>
                <w:szCs w:val="16"/>
                <w:lang w:val="en-US"/>
              </w:rPr>
              <w:t>)</w:t>
            </w:r>
          </w:p>
          <w:p w14:paraId="51D6BAEC" w14:textId="77777777" w:rsidR="00102406" w:rsidRPr="00DE1122" w:rsidRDefault="00102406" w:rsidP="00E315A5">
            <w:pPr>
              <w:tabs>
                <w:tab w:val="left" w:pos="555"/>
              </w:tabs>
              <w:spacing w:before="120" w:after="120" w:line="276" w:lineRule="auto"/>
              <w:ind w:left="360"/>
              <w:contextualSpacing/>
              <w:jc w:val="left"/>
              <w:rPr>
                <w:rFonts w:ascii="Arial" w:hAnsi="Arial" w:cs="Arial"/>
                <w:sz w:val="16"/>
                <w:szCs w:val="16"/>
                <w:lang w:val="en-US"/>
              </w:rPr>
            </w:pPr>
          </w:p>
        </w:tc>
      </w:tr>
      <w:tr w:rsidR="00102406" w:rsidRPr="00DE1122" w14:paraId="4165D459" w14:textId="77777777" w:rsidTr="00E315A5">
        <w:trPr>
          <w:trHeight w:val="512"/>
          <w:tblHeader/>
        </w:trPr>
        <w:tc>
          <w:tcPr>
            <w:tcW w:w="1731" w:type="dxa"/>
            <w:vMerge/>
            <w:tcBorders>
              <w:right w:val="single" w:sz="4" w:space="0" w:color="auto"/>
            </w:tcBorders>
          </w:tcPr>
          <w:p w14:paraId="33E010E2"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35F48924" w14:textId="77777777" w:rsidR="00102406" w:rsidRPr="00DE1122" w:rsidRDefault="00102406" w:rsidP="008A2254">
            <w:pPr>
              <w:pStyle w:val="ListParagraph"/>
              <w:numPr>
                <w:ilvl w:val="0"/>
                <w:numId w:val="29"/>
              </w:numPr>
              <w:spacing w:after="0" w:line="240" w:lineRule="auto"/>
              <w:ind w:left="357" w:right="142" w:hanging="357"/>
              <w:rPr>
                <w:rFonts w:ascii="Arial" w:hAnsi="Arial" w:cs="Arial"/>
                <w:sz w:val="16"/>
                <w:szCs w:val="16"/>
              </w:rPr>
            </w:pPr>
            <w:r w:rsidRPr="00DE1122">
              <w:rPr>
                <w:rFonts w:ascii="Arial" w:hAnsi="Arial" w:cs="Arial"/>
                <w:sz w:val="16"/>
                <w:szCs w:val="16"/>
              </w:rPr>
              <w:t>Number of people attending business capability workshops</w:t>
            </w:r>
          </w:p>
        </w:tc>
        <w:tc>
          <w:tcPr>
            <w:tcW w:w="2863" w:type="dxa"/>
            <w:tcBorders>
              <w:top w:val="nil"/>
              <w:left w:val="single" w:sz="4" w:space="0" w:color="auto"/>
              <w:bottom w:val="nil"/>
              <w:right w:val="single" w:sz="4" w:space="0" w:color="auto"/>
            </w:tcBorders>
          </w:tcPr>
          <w:p w14:paraId="013DF828" w14:textId="77777777" w:rsidR="00102406" w:rsidRPr="00DE1122" w:rsidRDefault="00102406" w:rsidP="008A2254">
            <w:pPr>
              <w:numPr>
                <w:ilvl w:val="0"/>
                <w:numId w:val="32"/>
              </w:numPr>
              <w:tabs>
                <w:tab w:val="left" w:pos="555"/>
              </w:tabs>
              <w:spacing w:after="120" w:line="276" w:lineRule="auto"/>
              <w:ind w:left="357" w:hanging="357"/>
              <w:contextualSpacing/>
              <w:jc w:val="left"/>
              <w:rPr>
                <w:rFonts w:ascii="Arial" w:hAnsi="Arial" w:cs="Arial"/>
                <w:sz w:val="16"/>
                <w:szCs w:val="16"/>
                <w:lang w:val="en-US"/>
              </w:rPr>
            </w:pPr>
            <w:r w:rsidRPr="00DE1122">
              <w:rPr>
                <w:rFonts w:ascii="Arial" w:hAnsi="Arial" w:cs="Arial"/>
                <w:sz w:val="16"/>
                <w:szCs w:val="16"/>
                <w:lang w:val="en-US"/>
              </w:rPr>
              <w:t>500 (against a target of 500)</w:t>
            </w:r>
          </w:p>
        </w:tc>
      </w:tr>
      <w:tr w:rsidR="00102406" w:rsidRPr="00DE1122" w14:paraId="780970F7" w14:textId="77777777" w:rsidTr="00E315A5">
        <w:trPr>
          <w:trHeight w:val="702"/>
          <w:tblHeader/>
        </w:trPr>
        <w:tc>
          <w:tcPr>
            <w:tcW w:w="1731" w:type="dxa"/>
            <w:vMerge/>
            <w:tcBorders>
              <w:right w:val="single" w:sz="4" w:space="0" w:color="auto"/>
            </w:tcBorders>
          </w:tcPr>
          <w:p w14:paraId="7A902E8D"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0856C2D3" w14:textId="77777777" w:rsidR="00102406" w:rsidRPr="00DE1122" w:rsidRDefault="00102406" w:rsidP="008A2254">
            <w:pPr>
              <w:numPr>
                <w:ilvl w:val="0"/>
                <w:numId w:val="38"/>
              </w:numPr>
              <w:spacing w:after="60" w:line="240" w:lineRule="auto"/>
              <w:ind w:right="142" w:hanging="357"/>
              <w:contextualSpacing/>
              <w:jc w:val="left"/>
              <w:rPr>
                <w:rFonts w:ascii="Arial" w:hAnsi="Arial" w:cs="Arial"/>
                <w:sz w:val="16"/>
                <w:szCs w:val="16"/>
                <w:lang w:val="en-US"/>
              </w:rPr>
            </w:pPr>
            <w:r w:rsidRPr="00DE1122">
              <w:rPr>
                <w:rFonts w:ascii="Arial" w:hAnsi="Arial" w:cs="Arial"/>
                <w:sz w:val="16"/>
                <w:szCs w:val="16"/>
                <w:lang w:val="en-US"/>
              </w:rPr>
              <w:t>Percentage of business customers satisfied or very satisfied with IBA’s service</w:t>
            </w:r>
          </w:p>
        </w:tc>
        <w:tc>
          <w:tcPr>
            <w:tcW w:w="2863" w:type="dxa"/>
            <w:tcBorders>
              <w:top w:val="nil"/>
              <w:left w:val="single" w:sz="4" w:space="0" w:color="auto"/>
              <w:bottom w:val="nil"/>
              <w:right w:val="single" w:sz="4" w:space="0" w:color="auto"/>
            </w:tcBorders>
          </w:tcPr>
          <w:p w14:paraId="037CC5D7" w14:textId="77777777" w:rsidR="00102406" w:rsidRPr="00DE1122" w:rsidRDefault="00102406" w:rsidP="008A2254">
            <w:pPr>
              <w:numPr>
                <w:ilvl w:val="0"/>
                <w:numId w:val="32"/>
              </w:numPr>
              <w:tabs>
                <w:tab w:val="left" w:pos="555"/>
              </w:tabs>
              <w:spacing w:before="120" w:after="120" w:line="276" w:lineRule="auto"/>
              <w:contextualSpacing/>
              <w:jc w:val="left"/>
              <w:rPr>
                <w:rFonts w:ascii="Arial" w:hAnsi="Arial" w:cs="Arial"/>
                <w:sz w:val="16"/>
                <w:szCs w:val="16"/>
                <w:lang w:val="en-US"/>
              </w:rPr>
            </w:pPr>
            <w:r>
              <w:rPr>
                <w:rFonts w:ascii="Arial" w:hAnsi="Arial" w:cs="Arial"/>
                <w:sz w:val="16"/>
                <w:szCs w:val="16"/>
                <w:lang w:val="en-US"/>
              </w:rPr>
              <w:t>86</w:t>
            </w:r>
            <w:r w:rsidRPr="00DE1122">
              <w:rPr>
                <w:rFonts w:ascii="Arial" w:hAnsi="Arial" w:cs="Arial"/>
                <w:sz w:val="16"/>
                <w:szCs w:val="16"/>
                <w:lang w:val="en-US"/>
              </w:rPr>
              <w:t>% (against a target of 80%)</w:t>
            </w:r>
          </w:p>
          <w:p w14:paraId="64BE6A86" w14:textId="77777777" w:rsidR="00102406" w:rsidRPr="00DE1122" w:rsidRDefault="00102406" w:rsidP="00E315A5">
            <w:pPr>
              <w:tabs>
                <w:tab w:val="left" w:pos="555"/>
              </w:tabs>
              <w:spacing w:before="120" w:after="120" w:line="276" w:lineRule="auto"/>
              <w:ind w:left="360"/>
              <w:contextualSpacing/>
              <w:jc w:val="left"/>
              <w:rPr>
                <w:rFonts w:ascii="Arial" w:hAnsi="Arial" w:cs="Arial"/>
                <w:sz w:val="16"/>
                <w:szCs w:val="16"/>
                <w:lang w:val="en-US"/>
              </w:rPr>
            </w:pPr>
          </w:p>
        </w:tc>
      </w:tr>
      <w:tr w:rsidR="00102406" w:rsidRPr="00DE1122" w14:paraId="5F33BA7E" w14:textId="77777777" w:rsidTr="00E315A5">
        <w:trPr>
          <w:trHeight w:val="699"/>
          <w:tblHeader/>
        </w:trPr>
        <w:tc>
          <w:tcPr>
            <w:tcW w:w="1731" w:type="dxa"/>
            <w:vMerge/>
            <w:tcBorders>
              <w:right w:val="single" w:sz="4" w:space="0" w:color="auto"/>
            </w:tcBorders>
          </w:tcPr>
          <w:p w14:paraId="1D3FAF37"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2F3191A5" w14:textId="77777777" w:rsidR="00102406" w:rsidRPr="00DE1122" w:rsidRDefault="00102406" w:rsidP="008A2254">
            <w:pPr>
              <w:numPr>
                <w:ilvl w:val="0"/>
                <w:numId w:val="38"/>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 xml:space="preserve">Cost per dollar lent efficiency ratio </w:t>
            </w:r>
            <w:r>
              <w:rPr>
                <w:rFonts w:ascii="Arial" w:hAnsi="Arial" w:cs="Arial"/>
                <w:sz w:val="16"/>
                <w:szCs w:val="16"/>
                <w:lang w:val="en-US"/>
              </w:rPr>
              <w:t xml:space="preserve">for the </w:t>
            </w:r>
            <w:r w:rsidRPr="00DE1122">
              <w:rPr>
                <w:rFonts w:ascii="Arial" w:hAnsi="Arial" w:cs="Arial"/>
                <w:sz w:val="16"/>
                <w:szCs w:val="16"/>
                <w:lang w:val="en-US"/>
              </w:rPr>
              <w:t xml:space="preserve">business loan </w:t>
            </w:r>
            <w:r>
              <w:rPr>
                <w:rFonts w:ascii="Arial" w:hAnsi="Arial" w:cs="Arial"/>
                <w:sz w:val="16"/>
                <w:szCs w:val="16"/>
                <w:lang w:val="en-US"/>
              </w:rPr>
              <w:t>portfolio</w:t>
            </w:r>
          </w:p>
        </w:tc>
        <w:tc>
          <w:tcPr>
            <w:tcW w:w="2863" w:type="dxa"/>
            <w:tcBorders>
              <w:top w:val="nil"/>
              <w:left w:val="single" w:sz="4" w:space="0" w:color="auto"/>
              <w:bottom w:val="nil"/>
              <w:right w:val="single" w:sz="4" w:space="0" w:color="auto"/>
            </w:tcBorders>
          </w:tcPr>
          <w:p w14:paraId="1BAD376B" w14:textId="77777777" w:rsidR="00102406" w:rsidRPr="00DE1122" w:rsidRDefault="00102406" w:rsidP="008A2254">
            <w:pPr>
              <w:numPr>
                <w:ilvl w:val="0"/>
                <w:numId w:val="32"/>
              </w:numPr>
              <w:tabs>
                <w:tab w:val="left" w:pos="555"/>
              </w:tabs>
              <w:spacing w:before="120" w:after="120" w:line="276" w:lineRule="auto"/>
              <w:contextualSpacing/>
              <w:jc w:val="left"/>
              <w:rPr>
                <w:rFonts w:ascii="Arial" w:hAnsi="Arial" w:cs="Arial"/>
                <w:sz w:val="16"/>
                <w:szCs w:val="16"/>
                <w:lang w:val="en-US"/>
              </w:rPr>
            </w:pPr>
            <w:r>
              <w:rPr>
                <w:rFonts w:ascii="Arial" w:hAnsi="Arial" w:cs="Arial"/>
                <w:sz w:val="16"/>
                <w:szCs w:val="16"/>
                <w:lang w:val="en-US"/>
              </w:rPr>
              <w:t>9.5% (against a target of less than 10%)</w:t>
            </w:r>
          </w:p>
        </w:tc>
      </w:tr>
      <w:tr w:rsidR="00102406" w:rsidRPr="00DE1122" w14:paraId="1327088C" w14:textId="77777777" w:rsidTr="00E315A5">
        <w:trPr>
          <w:tblHeader/>
        </w:trPr>
        <w:tc>
          <w:tcPr>
            <w:tcW w:w="1731" w:type="dxa"/>
            <w:vMerge/>
            <w:tcBorders>
              <w:right w:val="single" w:sz="4" w:space="0" w:color="auto"/>
            </w:tcBorders>
          </w:tcPr>
          <w:p w14:paraId="5E865D92"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3C09629" w14:textId="77777777" w:rsidR="00102406" w:rsidRPr="00DE1122" w:rsidRDefault="00102406" w:rsidP="008A2254">
            <w:pPr>
              <w:numPr>
                <w:ilvl w:val="0"/>
                <w:numId w:val="38"/>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Total value of Indigenous co-investments with IBA (cumulative since 1 July 2015)</w:t>
            </w:r>
          </w:p>
        </w:tc>
        <w:tc>
          <w:tcPr>
            <w:tcW w:w="2863" w:type="dxa"/>
            <w:tcBorders>
              <w:top w:val="nil"/>
              <w:left w:val="single" w:sz="4" w:space="0" w:color="auto"/>
              <w:bottom w:val="nil"/>
              <w:right w:val="single" w:sz="4" w:space="0" w:color="auto"/>
            </w:tcBorders>
          </w:tcPr>
          <w:p w14:paraId="6E4D80DA" w14:textId="77777777" w:rsidR="00102406" w:rsidRPr="00DE1122" w:rsidRDefault="00102406" w:rsidP="008A2254">
            <w:pPr>
              <w:numPr>
                <w:ilvl w:val="0"/>
                <w:numId w:val="32"/>
              </w:numPr>
              <w:tabs>
                <w:tab w:val="left" w:pos="555"/>
              </w:tabs>
              <w:spacing w:before="120" w:after="120" w:line="276" w:lineRule="auto"/>
              <w:contextualSpacing/>
              <w:jc w:val="left"/>
              <w:rPr>
                <w:rFonts w:ascii="Arial" w:hAnsi="Arial" w:cs="Arial"/>
                <w:sz w:val="16"/>
                <w:szCs w:val="16"/>
                <w:lang w:val="en-US"/>
              </w:rPr>
            </w:pPr>
            <w:r w:rsidRPr="00DE1122">
              <w:rPr>
                <w:rFonts w:ascii="Arial" w:hAnsi="Arial" w:cs="Arial"/>
                <w:sz w:val="16"/>
                <w:szCs w:val="16"/>
                <w:lang w:val="en-US"/>
              </w:rPr>
              <w:t>$1</w:t>
            </w:r>
            <w:r>
              <w:rPr>
                <w:rFonts w:ascii="Arial" w:hAnsi="Arial" w:cs="Arial"/>
                <w:sz w:val="16"/>
                <w:szCs w:val="16"/>
                <w:lang w:val="en-US"/>
              </w:rPr>
              <w:t>90</w:t>
            </w:r>
            <w:r w:rsidRPr="00DE1122">
              <w:rPr>
                <w:rFonts w:ascii="Arial" w:hAnsi="Arial" w:cs="Arial"/>
                <w:sz w:val="16"/>
                <w:szCs w:val="16"/>
                <w:lang w:val="en-US"/>
              </w:rPr>
              <w:t>m (against a target of $1</w:t>
            </w:r>
            <w:r>
              <w:rPr>
                <w:rFonts w:ascii="Arial" w:hAnsi="Arial" w:cs="Arial"/>
                <w:sz w:val="16"/>
                <w:szCs w:val="16"/>
                <w:lang w:val="en-US"/>
              </w:rPr>
              <w:t>67</w:t>
            </w:r>
            <w:r w:rsidRPr="00DE1122">
              <w:rPr>
                <w:rFonts w:ascii="Arial" w:hAnsi="Arial" w:cs="Arial"/>
                <w:sz w:val="16"/>
                <w:szCs w:val="16"/>
                <w:lang w:val="en-US"/>
              </w:rPr>
              <w:t>m)</w:t>
            </w:r>
          </w:p>
          <w:p w14:paraId="2E5522DB" w14:textId="77777777" w:rsidR="00102406" w:rsidRPr="00DE1122" w:rsidRDefault="00102406" w:rsidP="00E315A5">
            <w:pPr>
              <w:tabs>
                <w:tab w:val="left" w:pos="555"/>
              </w:tabs>
              <w:spacing w:before="120" w:after="120" w:line="276" w:lineRule="auto"/>
              <w:contextualSpacing/>
              <w:jc w:val="left"/>
              <w:rPr>
                <w:rFonts w:ascii="Arial" w:hAnsi="Arial" w:cs="Arial"/>
                <w:sz w:val="16"/>
                <w:szCs w:val="16"/>
                <w:lang w:val="en-US"/>
              </w:rPr>
            </w:pPr>
          </w:p>
        </w:tc>
      </w:tr>
      <w:tr w:rsidR="00102406" w:rsidRPr="00DE1122" w14:paraId="7C7F1677" w14:textId="77777777" w:rsidTr="00E315A5">
        <w:trPr>
          <w:tblHeader/>
        </w:trPr>
        <w:tc>
          <w:tcPr>
            <w:tcW w:w="1731" w:type="dxa"/>
            <w:vMerge/>
            <w:tcBorders>
              <w:right w:val="single" w:sz="4" w:space="0" w:color="auto"/>
            </w:tcBorders>
          </w:tcPr>
          <w:p w14:paraId="5B7FA64B"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single" w:sz="4" w:space="0" w:color="auto"/>
              <w:right w:val="single" w:sz="4" w:space="0" w:color="auto"/>
            </w:tcBorders>
          </w:tcPr>
          <w:p w14:paraId="4B1B775E" w14:textId="77777777" w:rsidR="00102406" w:rsidRPr="00DE1122" w:rsidRDefault="00102406" w:rsidP="008A2254">
            <w:pPr>
              <w:numPr>
                <w:ilvl w:val="0"/>
                <w:numId w:val="38"/>
              </w:numPr>
              <w:spacing w:before="120" w:after="120" w:line="240" w:lineRule="auto"/>
              <w:ind w:left="348" w:right="142"/>
              <w:contextualSpacing/>
              <w:jc w:val="left"/>
              <w:rPr>
                <w:rFonts w:ascii="Arial" w:eastAsia="Calibri" w:hAnsi="Arial" w:cs="Arial"/>
                <w:sz w:val="16"/>
                <w:szCs w:val="16"/>
                <w:lang w:val="en-US"/>
              </w:rPr>
            </w:pPr>
            <w:r w:rsidRPr="00DE1122">
              <w:rPr>
                <w:rFonts w:ascii="Arial" w:hAnsi="Arial" w:cs="Arial"/>
                <w:sz w:val="16"/>
                <w:szCs w:val="16"/>
                <w:lang w:val="en-US"/>
              </w:rPr>
              <w:t xml:space="preserve">Five-year average annual portfolio returns to Indigenous co-investors </w:t>
            </w:r>
          </w:p>
        </w:tc>
        <w:tc>
          <w:tcPr>
            <w:tcW w:w="2863" w:type="dxa"/>
            <w:tcBorders>
              <w:top w:val="nil"/>
              <w:left w:val="single" w:sz="4" w:space="0" w:color="auto"/>
              <w:bottom w:val="single" w:sz="4" w:space="0" w:color="auto"/>
              <w:right w:val="single" w:sz="4" w:space="0" w:color="auto"/>
            </w:tcBorders>
          </w:tcPr>
          <w:p w14:paraId="77BF2F1B" w14:textId="77777777" w:rsidR="00102406" w:rsidRPr="00DE1122" w:rsidRDefault="00102406" w:rsidP="008A2254">
            <w:pPr>
              <w:numPr>
                <w:ilvl w:val="0"/>
                <w:numId w:val="32"/>
              </w:numPr>
              <w:tabs>
                <w:tab w:val="left" w:pos="555"/>
              </w:tabs>
              <w:spacing w:before="120" w:after="120" w:line="276" w:lineRule="auto"/>
              <w:contextualSpacing/>
              <w:jc w:val="left"/>
              <w:rPr>
                <w:rFonts w:ascii="Arial" w:hAnsi="Arial" w:cs="Arial"/>
                <w:sz w:val="16"/>
                <w:szCs w:val="16"/>
                <w:lang w:val="en-US"/>
              </w:rPr>
            </w:pPr>
            <w:r w:rsidRPr="00DE1122">
              <w:rPr>
                <w:rFonts w:ascii="Arial" w:hAnsi="Arial" w:cs="Arial"/>
                <w:sz w:val="16"/>
                <w:szCs w:val="16"/>
                <w:lang w:val="en-US"/>
              </w:rPr>
              <w:t>5</w:t>
            </w:r>
            <w:r>
              <w:rPr>
                <w:rFonts w:ascii="Arial" w:hAnsi="Arial" w:cs="Arial"/>
                <w:sz w:val="16"/>
                <w:szCs w:val="16"/>
                <w:lang w:val="en-US"/>
              </w:rPr>
              <w:t>.0</w:t>
            </w:r>
            <w:r w:rsidRPr="00DE1122">
              <w:rPr>
                <w:rFonts w:ascii="Arial" w:hAnsi="Arial" w:cs="Arial"/>
                <w:sz w:val="16"/>
                <w:szCs w:val="16"/>
                <w:lang w:val="en-US"/>
              </w:rPr>
              <w:t>% (against a target of CPI + 3.5%</w:t>
            </w:r>
            <w:r>
              <w:rPr>
                <w:rFonts w:ascii="Arial" w:hAnsi="Arial" w:cs="Arial"/>
                <w:sz w:val="16"/>
                <w:szCs w:val="16"/>
                <w:lang w:val="en-US"/>
              </w:rPr>
              <w:t xml:space="preserve"> = 4.98% as at                 31 December 2021)</w:t>
            </w:r>
          </w:p>
        </w:tc>
      </w:tr>
    </w:tbl>
    <w:p w14:paraId="328DD695" w14:textId="77777777" w:rsidR="00102406" w:rsidRPr="00DE1122" w:rsidRDefault="00102406" w:rsidP="00102406">
      <w:pPr>
        <w:spacing w:after="0" w:line="240" w:lineRule="auto"/>
        <w:jc w:val="left"/>
        <w:rPr>
          <w:i/>
          <w:color w:val="FF0000"/>
        </w:rPr>
      </w:pPr>
    </w:p>
    <w:p w14:paraId="066DD5A5" w14:textId="77777777" w:rsidR="00102406" w:rsidRPr="00DE1122" w:rsidRDefault="00102406" w:rsidP="00102406">
      <w:pPr>
        <w:keepNext/>
        <w:spacing w:after="20" w:line="240" w:lineRule="auto"/>
        <w:jc w:val="left"/>
        <w:rPr>
          <w:rFonts w:ascii="Arial" w:hAnsi="Arial"/>
          <w:b/>
          <w:color w:val="000000"/>
          <w:lang w:eastAsia="x-none"/>
        </w:rPr>
      </w:pPr>
      <w:r w:rsidRPr="00DE1122">
        <w:rPr>
          <w:rFonts w:ascii="Arial" w:hAnsi="Arial"/>
          <w:b/>
          <w:color w:val="000000"/>
          <w:lang w:val="x-none" w:eastAsia="x-none"/>
        </w:rPr>
        <w:t>Table 2.1.</w:t>
      </w:r>
      <w:r>
        <w:rPr>
          <w:rFonts w:ascii="Arial" w:hAnsi="Arial"/>
          <w:b/>
          <w:color w:val="000000"/>
          <w:lang w:eastAsia="x-none"/>
        </w:rPr>
        <w:t>2</w:t>
      </w:r>
      <w:r w:rsidRPr="00DE1122">
        <w:rPr>
          <w:rFonts w:ascii="Arial" w:hAnsi="Arial"/>
          <w:b/>
          <w:color w:val="000000"/>
          <w:lang w:val="x-none" w:eastAsia="x-none"/>
        </w:rPr>
        <w:t xml:space="preserve">: Performance </w:t>
      </w:r>
      <w:r>
        <w:rPr>
          <w:rFonts w:ascii="Arial" w:hAnsi="Arial"/>
          <w:b/>
          <w:color w:val="000000"/>
          <w:lang w:eastAsia="x-none"/>
        </w:rPr>
        <w:t>measure</w:t>
      </w:r>
      <w:r w:rsidRPr="00DE1122">
        <w:rPr>
          <w:rFonts w:ascii="Arial" w:hAnsi="Arial"/>
          <w:b/>
          <w:color w:val="000000"/>
          <w:lang w:val="x-none" w:eastAsia="x-none"/>
        </w:rPr>
        <w:t xml:space="preserve"> for Outcome 1</w:t>
      </w:r>
      <w:r w:rsidRPr="00DE1122">
        <w:rPr>
          <w:rFonts w:ascii="Arial" w:hAnsi="Arial"/>
          <w:b/>
          <w:color w:val="000000"/>
          <w:lang w:eastAsia="x-none"/>
        </w:rPr>
        <w:t xml:space="preserve"> (continued)</w:t>
      </w:r>
    </w:p>
    <w:tbl>
      <w:tblPr>
        <w:tblStyle w:val="TableGrid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1"/>
        <w:gridCol w:w="3086"/>
        <w:gridCol w:w="2863"/>
      </w:tblGrid>
      <w:tr w:rsidR="00102406" w:rsidRPr="00DE1122" w14:paraId="1DC80835" w14:textId="77777777" w:rsidTr="007E4214">
        <w:trPr>
          <w:tblHeader/>
        </w:trPr>
        <w:tc>
          <w:tcPr>
            <w:tcW w:w="1731" w:type="dxa"/>
            <w:tcBorders>
              <w:top w:val="single" w:sz="4" w:space="0" w:color="auto"/>
              <w:left w:val="single" w:sz="4" w:space="0" w:color="auto"/>
              <w:bottom w:val="single" w:sz="4" w:space="0" w:color="auto"/>
              <w:right w:val="single" w:sz="4" w:space="0" w:color="auto"/>
            </w:tcBorders>
            <w:vAlign w:val="center"/>
          </w:tcPr>
          <w:p w14:paraId="3EA9C14E" w14:textId="77777777" w:rsidR="00102406" w:rsidRPr="00DE1122" w:rsidRDefault="00102406" w:rsidP="007E4214">
            <w:pPr>
              <w:tabs>
                <w:tab w:val="left" w:pos="709"/>
              </w:tabs>
              <w:spacing w:before="60" w:after="60" w:line="240" w:lineRule="auto"/>
              <w:jc w:val="left"/>
              <w:rPr>
                <w:rFonts w:ascii="Arial" w:hAnsi="Arial" w:cs="Arial"/>
                <w:b/>
                <w:sz w:val="16"/>
                <w:szCs w:val="16"/>
              </w:rPr>
            </w:pPr>
            <w:r w:rsidRPr="00DE1122">
              <w:rPr>
                <w:rFonts w:ascii="Arial" w:hAnsi="Arial" w:cs="Arial"/>
                <w:b/>
                <w:sz w:val="16"/>
                <w:szCs w:val="16"/>
              </w:rPr>
              <w:t>Year</w:t>
            </w:r>
          </w:p>
        </w:tc>
        <w:tc>
          <w:tcPr>
            <w:tcW w:w="3086" w:type="dxa"/>
            <w:tcBorders>
              <w:top w:val="single" w:sz="4" w:space="0" w:color="auto"/>
              <w:left w:val="single" w:sz="4" w:space="0" w:color="auto"/>
              <w:bottom w:val="single" w:sz="4" w:space="0" w:color="auto"/>
              <w:right w:val="single" w:sz="4" w:space="0" w:color="auto"/>
            </w:tcBorders>
            <w:vAlign w:val="center"/>
          </w:tcPr>
          <w:p w14:paraId="1169A72E" w14:textId="77777777" w:rsidR="00102406" w:rsidRPr="00DE1122" w:rsidRDefault="007E4214" w:rsidP="007E4214">
            <w:pPr>
              <w:spacing w:after="360" w:line="240" w:lineRule="auto"/>
              <w:contextualSpacing/>
              <w:jc w:val="left"/>
              <w:rPr>
                <w:rFonts w:ascii="Arial" w:hAnsi="Arial" w:cs="Arial"/>
                <w:b/>
                <w:sz w:val="16"/>
                <w:szCs w:val="16"/>
              </w:rPr>
            </w:pPr>
            <w:r>
              <w:rPr>
                <w:rFonts w:ascii="Arial" w:hAnsi="Arial" w:cs="Arial"/>
                <w:b/>
                <w:sz w:val="16"/>
                <w:szCs w:val="16"/>
              </w:rPr>
              <w:t>Performance measures</w:t>
            </w:r>
          </w:p>
        </w:tc>
        <w:tc>
          <w:tcPr>
            <w:tcW w:w="2863" w:type="dxa"/>
            <w:tcBorders>
              <w:top w:val="single" w:sz="4" w:space="0" w:color="auto"/>
              <w:left w:val="single" w:sz="4" w:space="0" w:color="auto"/>
              <w:bottom w:val="single" w:sz="4" w:space="0" w:color="auto"/>
              <w:right w:val="single" w:sz="4" w:space="0" w:color="auto"/>
            </w:tcBorders>
            <w:vAlign w:val="center"/>
          </w:tcPr>
          <w:p w14:paraId="1D3F3B06" w14:textId="77777777" w:rsidR="00102406" w:rsidRPr="00DE1122" w:rsidRDefault="00102406" w:rsidP="007E4214">
            <w:pPr>
              <w:tabs>
                <w:tab w:val="left" w:pos="709"/>
              </w:tabs>
              <w:spacing w:after="60" w:line="240" w:lineRule="auto"/>
              <w:jc w:val="left"/>
              <w:rPr>
                <w:rFonts w:ascii="Arial" w:hAnsi="Arial" w:cs="Arial"/>
                <w:b/>
                <w:sz w:val="16"/>
                <w:szCs w:val="16"/>
              </w:rPr>
            </w:pPr>
            <w:r w:rsidRPr="00DE1122">
              <w:rPr>
                <w:rFonts w:ascii="Arial" w:hAnsi="Arial" w:cs="Arial"/>
                <w:b/>
                <w:sz w:val="16"/>
                <w:szCs w:val="16"/>
              </w:rPr>
              <w:t xml:space="preserve">Expected Performance Results </w:t>
            </w:r>
          </w:p>
        </w:tc>
      </w:tr>
      <w:tr w:rsidR="00102406" w:rsidRPr="00DE1122" w14:paraId="2DB1C719" w14:textId="77777777" w:rsidTr="00E315A5">
        <w:trPr>
          <w:tblHeader/>
        </w:trPr>
        <w:tc>
          <w:tcPr>
            <w:tcW w:w="1731" w:type="dxa"/>
            <w:vMerge w:val="restart"/>
            <w:tcBorders>
              <w:top w:val="single" w:sz="4" w:space="0" w:color="auto"/>
              <w:left w:val="single" w:sz="4" w:space="0" w:color="auto"/>
              <w:right w:val="single" w:sz="4" w:space="0" w:color="auto"/>
            </w:tcBorders>
          </w:tcPr>
          <w:p w14:paraId="1DEFA77B" w14:textId="77777777" w:rsidR="00102406" w:rsidRPr="00DE1122" w:rsidRDefault="00102406" w:rsidP="00E315A5">
            <w:pPr>
              <w:rPr>
                <w:rFonts w:asciiTheme="minorHAnsi" w:hAnsiTheme="minorHAnsi"/>
              </w:rPr>
            </w:pPr>
          </w:p>
          <w:p w14:paraId="0DF8E571" w14:textId="77777777" w:rsidR="00102406" w:rsidRPr="00DE1122" w:rsidRDefault="00102406" w:rsidP="00E315A5">
            <w:pPr>
              <w:spacing w:after="0" w:line="240" w:lineRule="auto"/>
              <w:jc w:val="left"/>
              <w:rPr>
                <w:rFonts w:asciiTheme="minorHAnsi" w:hAnsiTheme="minorHAnsi"/>
              </w:rPr>
            </w:pPr>
          </w:p>
        </w:tc>
        <w:tc>
          <w:tcPr>
            <w:tcW w:w="3086" w:type="dxa"/>
            <w:tcBorders>
              <w:top w:val="single" w:sz="4" w:space="0" w:color="auto"/>
              <w:left w:val="single" w:sz="4" w:space="0" w:color="auto"/>
              <w:bottom w:val="nil"/>
              <w:right w:val="single" w:sz="4" w:space="0" w:color="auto"/>
            </w:tcBorders>
          </w:tcPr>
          <w:p w14:paraId="2086C5AB" w14:textId="77777777" w:rsidR="00102406" w:rsidRPr="00DE1122" w:rsidRDefault="00102406" w:rsidP="008A2254">
            <w:pPr>
              <w:pStyle w:val="ListParagraph"/>
              <w:numPr>
                <w:ilvl w:val="0"/>
                <w:numId w:val="38"/>
              </w:numPr>
              <w:spacing w:after="60" w:line="240" w:lineRule="auto"/>
              <w:ind w:left="348"/>
              <w:rPr>
                <w:rFonts w:ascii="Arial" w:hAnsi="Arial" w:cs="Arial"/>
                <w:sz w:val="16"/>
                <w:szCs w:val="16"/>
              </w:rPr>
            </w:pPr>
            <w:r w:rsidRPr="00DE1122">
              <w:rPr>
                <w:rFonts w:ascii="Arial" w:hAnsi="Arial" w:cs="Arial"/>
                <w:sz w:val="16"/>
                <w:szCs w:val="16"/>
              </w:rPr>
              <w:t>Number of Indigenous co-investor partnerships (cumulative since 1 July 2015)</w:t>
            </w:r>
          </w:p>
        </w:tc>
        <w:tc>
          <w:tcPr>
            <w:tcW w:w="2863" w:type="dxa"/>
            <w:tcBorders>
              <w:top w:val="single" w:sz="4" w:space="0" w:color="auto"/>
              <w:left w:val="single" w:sz="4" w:space="0" w:color="auto"/>
              <w:bottom w:val="nil"/>
              <w:right w:val="single" w:sz="4" w:space="0" w:color="auto"/>
            </w:tcBorders>
          </w:tcPr>
          <w:p w14:paraId="6D59EBA3" w14:textId="77777777" w:rsidR="00102406" w:rsidRPr="00DE1122" w:rsidRDefault="00102406" w:rsidP="008A2254">
            <w:pPr>
              <w:numPr>
                <w:ilvl w:val="0"/>
                <w:numId w:val="32"/>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65</w:t>
            </w:r>
            <w:r w:rsidRPr="00DE1122">
              <w:rPr>
                <w:rFonts w:ascii="Arial" w:hAnsi="Arial" w:cs="Arial"/>
                <w:sz w:val="16"/>
                <w:szCs w:val="16"/>
                <w:lang w:val="en-US"/>
              </w:rPr>
              <w:t xml:space="preserve"> (against a target of 6</w:t>
            </w:r>
            <w:r>
              <w:rPr>
                <w:rFonts w:ascii="Arial" w:hAnsi="Arial" w:cs="Arial"/>
                <w:sz w:val="16"/>
                <w:szCs w:val="16"/>
                <w:lang w:val="en-US"/>
              </w:rPr>
              <w:t>5</w:t>
            </w:r>
            <w:r w:rsidRPr="00DE1122">
              <w:rPr>
                <w:rFonts w:ascii="Arial" w:hAnsi="Arial" w:cs="Arial"/>
                <w:sz w:val="16"/>
                <w:szCs w:val="16"/>
                <w:lang w:val="en-US"/>
              </w:rPr>
              <w:t>)</w:t>
            </w:r>
          </w:p>
        </w:tc>
      </w:tr>
      <w:tr w:rsidR="00102406" w:rsidRPr="00DE1122" w14:paraId="6BFF83ED" w14:textId="77777777" w:rsidTr="00E315A5">
        <w:trPr>
          <w:tblHeader/>
        </w:trPr>
        <w:tc>
          <w:tcPr>
            <w:tcW w:w="1731" w:type="dxa"/>
            <w:vMerge/>
            <w:tcBorders>
              <w:left w:val="single" w:sz="4" w:space="0" w:color="auto"/>
              <w:right w:val="single" w:sz="4" w:space="0" w:color="auto"/>
            </w:tcBorders>
          </w:tcPr>
          <w:p w14:paraId="182FDFBA"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7FA6ADA5" w14:textId="77777777" w:rsidR="00102406" w:rsidRPr="00DE1122" w:rsidRDefault="00102406" w:rsidP="008A2254">
            <w:pPr>
              <w:pStyle w:val="ListParagraph"/>
              <w:numPr>
                <w:ilvl w:val="0"/>
                <w:numId w:val="38"/>
              </w:numPr>
              <w:spacing w:after="60" w:line="240" w:lineRule="auto"/>
              <w:ind w:left="348"/>
              <w:rPr>
                <w:rFonts w:ascii="Arial" w:hAnsi="Arial" w:cs="Arial"/>
                <w:sz w:val="16"/>
                <w:szCs w:val="16"/>
              </w:rPr>
            </w:pPr>
            <w:r w:rsidRPr="00DE1122">
              <w:rPr>
                <w:rFonts w:ascii="Arial" w:hAnsi="Arial" w:cs="Arial"/>
                <w:sz w:val="16"/>
                <w:szCs w:val="16"/>
              </w:rPr>
              <w:t xml:space="preserve">Value of goods and services procured from Indigenous suppliers by </w:t>
            </w:r>
            <w:r>
              <w:rPr>
                <w:rFonts w:ascii="Arial" w:hAnsi="Arial" w:cs="Arial"/>
                <w:sz w:val="16"/>
                <w:szCs w:val="16"/>
              </w:rPr>
              <w:t xml:space="preserve">IBA’s </w:t>
            </w:r>
            <w:r w:rsidRPr="00DE1122">
              <w:rPr>
                <w:rFonts w:ascii="Arial" w:hAnsi="Arial" w:cs="Arial"/>
                <w:sz w:val="16"/>
                <w:szCs w:val="16"/>
              </w:rPr>
              <w:t>subsidiaries and associates</w:t>
            </w:r>
          </w:p>
        </w:tc>
        <w:tc>
          <w:tcPr>
            <w:tcW w:w="2863" w:type="dxa"/>
            <w:tcBorders>
              <w:top w:val="nil"/>
              <w:left w:val="single" w:sz="4" w:space="0" w:color="auto"/>
              <w:bottom w:val="nil"/>
              <w:right w:val="single" w:sz="4" w:space="0" w:color="auto"/>
            </w:tcBorders>
          </w:tcPr>
          <w:p w14:paraId="3860934B" w14:textId="77777777" w:rsidR="00102406" w:rsidRPr="00DE1122" w:rsidRDefault="00102406" w:rsidP="008A2254">
            <w:pPr>
              <w:numPr>
                <w:ilvl w:val="0"/>
                <w:numId w:val="32"/>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w:t>
            </w:r>
            <w:r>
              <w:rPr>
                <w:rFonts w:ascii="Arial" w:hAnsi="Arial" w:cs="Arial"/>
                <w:sz w:val="16"/>
                <w:szCs w:val="16"/>
                <w:lang w:val="en-US"/>
              </w:rPr>
              <w:t>4.5</w:t>
            </w:r>
            <w:r w:rsidRPr="00DE1122">
              <w:rPr>
                <w:rFonts w:ascii="Arial" w:hAnsi="Arial" w:cs="Arial"/>
                <w:sz w:val="16"/>
                <w:szCs w:val="16"/>
                <w:lang w:val="en-US"/>
              </w:rPr>
              <w:t>m (against a target of $</w:t>
            </w:r>
            <w:r>
              <w:rPr>
                <w:rFonts w:ascii="Arial" w:hAnsi="Arial" w:cs="Arial"/>
                <w:sz w:val="16"/>
                <w:szCs w:val="16"/>
                <w:lang w:val="en-US"/>
              </w:rPr>
              <w:t>3</w:t>
            </w:r>
            <w:r w:rsidRPr="00DE1122">
              <w:rPr>
                <w:rFonts w:ascii="Arial" w:hAnsi="Arial" w:cs="Arial"/>
                <w:sz w:val="16"/>
                <w:szCs w:val="16"/>
                <w:lang w:val="en-US"/>
              </w:rPr>
              <w:t>.0m)</w:t>
            </w:r>
          </w:p>
        </w:tc>
      </w:tr>
      <w:tr w:rsidR="00102406" w:rsidRPr="00DE1122" w14:paraId="7A66B770" w14:textId="77777777" w:rsidTr="00E315A5">
        <w:trPr>
          <w:tblHeader/>
        </w:trPr>
        <w:tc>
          <w:tcPr>
            <w:tcW w:w="1731" w:type="dxa"/>
            <w:vMerge/>
            <w:tcBorders>
              <w:left w:val="single" w:sz="4" w:space="0" w:color="auto"/>
              <w:right w:val="single" w:sz="4" w:space="0" w:color="auto"/>
            </w:tcBorders>
          </w:tcPr>
          <w:p w14:paraId="44751994"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5B630D9E" w14:textId="77777777" w:rsidR="00102406" w:rsidRPr="00DE1122" w:rsidRDefault="00102406" w:rsidP="008A2254">
            <w:pPr>
              <w:pStyle w:val="ListParagraph"/>
              <w:numPr>
                <w:ilvl w:val="0"/>
                <w:numId w:val="38"/>
              </w:numPr>
              <w:spacing w:after="60" w:line="240" w:lineRule="auto"/>
              <w:ind w:left="348"/>
              <w:rPr>
                <w:rFonts w:ascii="Arial" w:hAnsi="Arial" w:cs="Arial"/>
                <w:sz w:val="16"/>
                <w:szCs w:val="16"/>
              </w:rPr>
            </w:pPr>
            <w:r w:rsidRPr="00DE1122">
              <w:rPr>
                <w:rFonts w:ascii="Arial" w:hAnsi="Arial" w:cs="Arial"/>
                <w:sz w:val="16"/>
                <w:szCs w:val="16"/>
              </w:rPr>
              <w:t xml:space="preserve">Percentage of jobs supported by IBA’s subsidiaries and associates held by Indigenous Australians </w:t>
            </w:r>
          </w:p>
        </w:tc>
        <w:tc>
          <w:tcPr>
            <w:tcW w:w="2863" w:type="dxa"/>
            <w:tcBorders>
              <w:top w:val="nil"/>
              <w:left w:val="single" w:sz="4" w:space="0" w:color="auto"/>
              <w:bottom w:val="nil"/>
              <w:right w:val="single" w:sz="4" w:space="0" w:color="auto"/>
            </w:tcBorders>
          </w:tcPr>
          <w:p w14:paraId="020E51DA" w14:textId="77777777" w:rsidR="00102406" w:rsidRPr="00DE1122" w:rsidRDefault="00102406" w:rsidP="008A2254">
            <w:pPr>
              <w:numPr>
                <w:ilvl w:val="0"/>
                <w:numId w:val="32"/>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2</w:t>
            </w:r>
            <w:r>
              <w:rPr>
                <w:rFonts w:ascii="Arial" w:hAnsi="Arial" w:cs="Arial"/>
                <w:sz w:val="16"/>
                <w:szCs w:val="16"/>
                <w:lang w:val="en-US"/>
              </w:rPr>
              <w:t>3</w:t>
            </w:r>
            <w:r w:rsidRPr="00DE1122">
              <w:rPr>
                <w:rFonts w:ascii="Arial" w:hAnsi="Arial" w:cs="Arial"/>
                <w:sz w:val="16"/>
                <w:szCs w:val="16"/>
                <w:lang w:val="en-US"/>
              </w:rPr>
              <w:t>% (against a target of 2</w:t>
            </w:r>
            <w:r>
              <w:rPr>
                <w:rFonts w:ascii="Arial" w:hAnsi="Arial" w:cs="Arial"/>
                <w:sz w:val="16"/>
                <w:szCs w:val="16"/>
                <w:lang w:val="en-US"/>
              </w:rPr>
              <w:t>3</w:t>
            </w:r>
            <w:r w:rsidRPr="00DE1122">
              <w:rPr>
                <w:rFonts w:ascii="Arial" w:hAnsi="Arial" w:cs="Arial"/>
                <w:sz w:val="16"/>
                <w:szCs w:val="16"/>
                <w:lang w:val="en-US"/>
              </w:rPr>
              <w:t>%)</w:t>
            </w:r>
          </w:p>
        </w:tc>
      </w:tr>
      <w:tr w:rsidR="00102406" w:rsidRPr="00DE1122" w14:paraId="04C70AD2" w14:textId="77777777" w:rsidTr="00E315A5">
        <w:trPr>
          <w:tblHeader/>
        </w:trPr>
        <w:tc>
          <w:tcPr>
            <w:tcW w:w="1731" w:type="dxa"/>
            <w:vMerge/>
            <w:tcBorders>
              <w:left w:val="single" w:sz="4" w:space="0" w:color="auto"/>
              <w:right w:val="single" w:sz="4" w:space="0" w:color="auto"/>
            </w:tcBorders>
          </w:tcPr>
          <w:p w14:paraId="51983A13"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57F8DB85" w14:textId="77777777" w:rsidR="00102406" w:rsidRPr="00DE1122" w:rsidRDefault="00102406" w:rsidP="008A2254">
            <w:pPr>
              <w:pStyle w:val="ListParagraph"/>
              <w:numPr>
                <w:ilvl w:val="0"/>
                <w:numId w:val="38"/>
              </w:numPr>
              <w:spacing w:after="60" w:line="240" w:lineRule="auto"/>
              <w:ind w:left="348"/>
              <w:rPr>
                <w:rFonts w:ascii="Arial" w:hAnsi="Arial" w:cs="Arial"/>
                <w:sz w:val="16"/>
                <w:szCs w:val="16"/>
              </w:rPr>
            </w:pPr>
            <w:r w:rsidRPr="00DE1122">
              <w:rPr>
                <w:rFonts w:ascii="Arial" w:hAnsi="Arial" w:cs="Arial"/>
                <w:sz w:val="16"/>
                <w:szCs w:val="16"/>
              </w:rPr>
              <w:t>Percentage of investors satisfied or very satisfied with IBA’s service</w:t>
            </w:r>
          </w:p>
        </w:tc>
        <w:tc>
          <w:tcPr>
            <w:tcW w:w="2863" w:type="dxa"/>
            <w:tcBorders>
              <w:top w:val="nil"/>
              <w:left w:val="single" w:sz="4" w:space="0" w:color="auto"/>
              <w:bottom w:val="nil"/>
              <w:right w:val="single" w:sz="4" w:space="0" w:color="auto"/>
            </w:tcBorders>
          </w:tcPr>
          <w:p w14:paraId="010A5762" w14:textId="77777777" w:rsidR="00102406" w:rsidRPr="00DE1122" w:rsidRDefault="00102406" w:rsidP="008A2254">
            <w:pPr>
              <w:numPr>
                <w:ilvl w:val="0"/>
                <w:numId w:val="32"/>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89</w:t>
            </w:r>
            <w:r w:rsidRPr="00DE1122">
              <w:rPr>
                <w:rFonts w:ascii="Arial" w:hAnsi="Arial" w:cs="Arial"/>
                <w:sz w:val="16"/>
                <w:szCs w:val="16"/>
                <w:lang w:val="en-US"/>
              </w:rPr>
              <w:t xml:space="preserve">% (against a target of </w:t>
            </w:r>
            <w:r>
              <w:rPr>
                <w:rFonts w:ascii="Arial" w:hAnsi="Arial" w:cs="Arial"/>
                <w:sz w:val="16"/>
                <w:szCs w:val="16"/>
                <w:lang w:val="en-US"/>
              </w:rPr>
              <w:t>8</w:t>
            </w:r>
            <w:r w:rsidRPr="00DE1122">
              <w:rPr>
                <w:rFonts w:ascii="Arial" w:hAnsi="Arial" w:cs="Arial"/>
                <w:sz w:val="16"/>
                <w:szCs w:val="16"/>
                <w:lang w:val="en-US"/>
              </w:rPr>
              <w:t>0%)</w:t>
            </w:r>
          </w:p>
        </w:tc>
      </w:tr>
      <w:tr w:rsidR="00102406" w:rsidRPr="00DE1122" w14:paraId="42A7CB50" w14:textId="77777777" w:rsidTr="00E315A5">
        <w:trPr>
          <w:tblHeader/>
        </w:trPr>
        <w:tc>
          <w:tcPr>
            <w:tcW w:w="1731" w:type="dxa"/>
            <w:vMerge/>
            <w:tcBorders>
              <w:left w:val="single" w:sz="4" w:space="0" w:color="auto"/>
              <w:right w:val="single" w:sz="4" w:space="0" w:color="auto"/>
            </w:tcBorders>
          </w:tcPr>
          <w:p w14:paraId="62F6C0F4"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2F552B7D" w14:textId="77777777" w:rsidR="00102406" w:rsidRPr="00DE1122" w:rsidRDefault="00102406" w:rsidP="008A2254">
            <w:pPr>
              <w:pStyle w:val="ListParagraph"/>
              <w:numPr>
                <w:ilvl w:val="0"/>
                <w:numId w:val="38"/>
              </w:numPr>
              <w:spacing w:after="60" w:line="240" w:lineRule="auto"/>
              <w:ind w:left="348"/>
              <w:rPr>
                <w:rFonts w:ascii="Arial" w:hAnsi="Arial" w:cs="Arial"/>
                <w:sz w:val="16"/>
                <w:szCs w:val="16"/>
              </w:rPr>
            </w:pPr>
            <w:r w:rsidRPr="00DE1122">
              <w:rPr>
                <w:rFonts w:ascii="Arial" w:hAnsi="Arial" w:cs="Arial"/>
                <w:sz w:val="16"/>
                <w:szCs w:val="16"/>
              </w:rPr>
              <w:t xml:space="preserve">Asset management expense ratio </w:t>
            </w:r>
          </w:p>
        </w:tc>
        <w:tc>
          <w:tcPr>
            <w:tcW w:w="2863" w:type="dxa"/>
            <w:tcBorders>
              <w:top w:val="nil"/>
              <w:left w:val="single" w:sz="4" w:space="0" w:color="auto"/>
              <w:bottom w:val="nil"/>
              <w:right w:val="single" w:sz="4" w:space="0" w:color="auto"/>
            </w:tcBorders>
          </w:tcPr>
          <w:p w14:paraId="717222A3" w14:textId="77777777" w:rsidR="00102406" w:rsidRPr="00DE1122" w:rsidRDefault="00102406" w:rsidP="008A2254">
            <w:pPr>
              <w:numPr>
                <w:ilvl w:val="0"/>
                <w:numId w:val="32"/>
              </w:numPr>
              <w:tabs>
                <w:tab w:val="left" w:pos="555"/>
              </w:tabs>
              <w:spacing w:after="0" w:line="276" w:lineRule="auto"/>
              <w:contextualSpacing/>
              <w:jc w:val="left"/>
              <w:rPr>
                <w:rFonts w:ascii="Arial" w:hAnsi="Arial" w:cs="Arial"/>
                <w:sz w:val="16"/>
                <w:szCs w:val="16"/>
                <w:lang w:val="en-US"/>
              </w:rPr>
            </w:pPr>
            <w:r>
              <w:rPr>
                <w:rFonts w:ascii="Arial" w:hAnsi="Arial" w:cs="Arial"/>
                <w:sz w:val="16"/>
                <w:szCs w:val="16"/>
                <w:lang w:val="en-US"/>
              </w:rPr>
              <w:t>2</w:t>
            </w:r>
            <w:r w:rsidRPr="00DE1122">
              <w:rPr>
                <w:rFonts w:ascii="Arial" w:hAnsi="Arial" w:cs="Arial"/>
                <w:sz w:val="16"/>
                <w:szCs w:val="16"/>
                <w:lang w:val="en-US"/>
              </w:rPr>
              <w:t>% (against a target of less than 3%)</w:t>
            </w:r>
          </w:p>
        </w:tc>
      </w:tr>
      <w:tr w:rsidR="00102406" w:rsidRPr="00DE1122" w14:paraId="13623972" w14:textId="77777777" w:rsidTr="00E315A5">
        <w:trPr>
          <w:tblHeader/>
        </w:trPr>
        <w:tc>
          <w:tcPr>
            <w:tcW w:w="1731" w:type="dxa"/>
            <w:vMerge/>
            <w:tcBorders>
              <w:left w:val="single" w:sz="4" w:space="0" w:color="auto"/>
              <w:bottom w:val="nil"/>
              <w:right w:val="single" w:sz="4" w:space="0" w:color="auto"/>
            </w:tcBorders>
          </w:tcPr>
          <w:p w14:paraId="3A2F9EE5"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4FEF8112" w14:textId="77777777" w:rsidR="00102406" w:rsidRPr="00DE1122" w:rsidRDefault="00102406" w:rsidP="008A2254">
            <w:pPr>
              <w:pStyle w:val="ListParagraph"/>
              <w:numPr>
                <w:ilvl w:val="0"/>
                <w:numId w:val="38"/>
              </w:numPr>
              <w:spacing w:after="60" w:line="240" w:lineRule="auto"/>
              <w:ind w:left="348"/>
              <w:rPr>
                <w:rFonts w:ascii="Arial" w:hAnsi="Arial" w:cs="Arial"/>
                <w:sz w:val="16"/>
                <w:szCs w:val="16"/>
              </w:rPr>
            </w:pPr>
            <w:r w:rsidRPr="00DE1122">
              <w:rPr>
                <w:rFonts w:ascii="Arial" w:hAnsi="Arial" w:cs="Arial"/>
                <w:sz w:val="16"/>
                <w:szCs w:val="16"/>
                <w:lang w:val="en-AU"/>
              </w:rPr>
              <w:t xml:space="preserve">Value of goods and services procured from Indigenous suppliers </w:t>
            </w:r>
          </w:p>
        </w:tc>
        <w:tc>
          <w:tcPr>
            <w:tcW w:w="2863" w:type="dxa"/>
            <w:tcBorders>
              <w:top w:val="nil"/>
              <w:left w:val="single" w:sz="4" w:space="0" w:color="auto"/>
              <w:bottom w:val="nil"/>
              <w:right w:val="single" w:sz="4" w:space="0" w:color="auto"/>
            </w:tcBorders>
          </w:tcPr>
          <w:p w14:paraId="32376D20" w14:textId="77777777" w:rsidR="00102406" w:rsidRPr="00DE1122" w:rsidRDefault="00102406" w:rsidP="008A2254">
            <w:pPr>
              <w:numPr>
                <w:ilvl w:val="0"/>
                <w:numId w:val="32"/>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$4.</w:t>
            </w:r>
            <w:r>
              <w:rPr>
                <w:rFonts w:ascii="Arial" w:hAnsi="Arial" w:cs="Arial"/>
                <w:sz w:val="16"/>
                <w:szCs w:val="16"/>
                <w:lang w:val="en-US"/>
              </w:rPr>
              <w:t>6</w:t>
            </w:r>
            <w:r w:rsidRPr="00DE1122">
              <w:rPr>
                <w:rFonts w:ascii="Arial" w:hAnsi="Arial" w:cs="Arial"/>
                <w:sz w:val="16"/>
                <w:szCs w:val="16"/>
                <w:lang w:val="en-US"/>
              </w:rPr>
              <w:t>m (against a target of $4.</w:t>
            </w:r>
            <w:r w:rsidR="007E4214">
              <w:rPr>
                <w:rFonts w:ascii="Arial" w:hAnsi="Arial" w:cs="Arial"/>
                <w:sz w:val="16"/>
                <w:szCs w:val="16"/>
                <w:lang w:val="en-US"/>
              </w:rPr>
              <w:t>8</w:t>
            </w:r>
            <w:r w:rsidRPr="00DE1122">
              <w:rPr>
                <w:rFonts w:ascii="Arial" w:hAnsi="Arial" w:cs="Arial"/>
                <w:sz w:val="16"/>
                <w:szCs w:val="16"/>
                <w:lang w:val="en-US"/>
              </w:rPr>
              <w:t>m)</w:t>
            </w:r>
          </w:p>
        </w:tc>
      </w:tr>
      <w:tr w:rsidR="00102406" w:rsidRPr="00DE1122" w14:paraId="70F2D120" w14:textId="77777777" w:rsidTr="00E315A5">
        <w:trPr>
          <w:tblHeader/>
        </w:trPr>
        <w:tc>
          <w:tcPr>
            <w:tcW w:w="1731" w:type="dxa"/>
            <w:tcBorders>
              <w:top w:val="nil"/>
              <w:left w:val="single" w:sz="4" w:space="0" w:color="auto"/>
              <w:bottom w:val="single" w:sz="4" w:space="0" w:color="auto"/>
              <w:right w:val="single" w:sz="4" w:space="0" w:color="auto"/>
            </w:tcBorders>
          </w:tcPr>
          <w:p w14:paraId="3A429591"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single" w:sz="4" w:space="0" w:color="auto"/>
              <w:right w:val="single" w:sz="4" w:space="0" w:color="auto"/>
            </w:tcBorders>
          </w:tcPr>
          <w:p w14:paraId="2770BCA3" w14:textId="77777777" w:rsidR="00102406" w:rsidRPr="00DE1122" w:rsidRDefault="00102406" w:rsidP="008A2254">
            <w:pPr>
              <w:pStyle w:val="ListParagraph"/>
              <w:numPr>
                <w:ilvl w:val="0"/>
                <w:numId w:val="38"/>
              </w:numPr>
              <w:spacing w:before="120" w:after="0" w:line="240" w:lineRule="auto"/>
              <w:ind w:left="348"/>
              <w:rPr>
                <w:rFonts w:ascii="Arial" w:hAnsi="Arial" w:cs="Arial"/>
                <w:sz w:val="16"/>
                <w:szCs w:val="16"/>
              </w:rPr>
            </w:pPr>
            <w:r w:rsidRPr="00DE1122">
              <w:rPr>
                <w:rFonts w:ascii="Arial" w:hAnsi="Arial" w:cs="Arial"/>
                <w:sz w:val="16"/>
                <w:szCs w:val="16"/>
              </w:rPr>
              <w:t xml:space="preserve">Implementation of IBA’s </w:t>
            </w:r>
            <w:r w:rsidR="007E4214">
              <w:rPr>
                <w:rFonts w:ascii="Arial" w:hAnsi="Arial" w:cs="Arial"/>
                <w:sz w:val="16"/>
                <w:szCs w:val="16"/>
              </w:rPr>
              <w:t>i</w:t>
            </w:r>
            <w:r w:rsidRPr="00DE1122">
              <w:rPr>
                <w:rFonts w:ascii="Arial" w:hAnsi="Arial" w:cs="Arial"/>
                <w:sz w:val="16"/>
                <w:szCs w:val="16"/>
              </w:rPr>
              <w:t xml:space="preserve">mpact </w:t>
            </w:r>
            <w:r w:rsidR="007E4214">
              <w:rPr>
                <w:rFonts w:ascii="Arial" w:hAnsi="Arial" w:cs="Arial"/>
                <w:sz w:val="16"/>
                <w:szCs w:val="16"/>
              </w:rPr>
              <w:t>f</w:t>
            </w:r>
            <w:r w:rsidRPr="00DE1122">
              <w:rPr>
                <w:rFonts w:ascii="Arial" w:hAnsi="Arial" w:cs="Arial"/>
                <w:sz w:val="16"/>
                <w:szCs w:val="16"/>
              </w:rPr>
              <w:t>ramework</w:t>
            </w:r>
          </w:p>
        </w:tc>
        <w:tc>
          <w:tcPr>
            <w:tcW w:w="2863" w:type="dxa"/>
            <w:tcBorders>
              <w:top w:val="nil"/>
              <w:left w:val="single" w:sz="4" w:space="0" w:color="auto"/>
              <w:bottom w:val="single" w:sz="4" w:space="0" w:color="auto"/>
              <w:right w:val="single" w:sz="4" w:space="0" w:color="auto"/>
            </w:tcBorders>
          </w:tcPr>
          <w:p w14:paraId="2B016E57" w14:textId="77777777" w:rsidR="00102406" w:rsidRPr="00DE1122" w:rsidRDefault="00102406" w:rsidP="008A2254">
            <w:pPr>
              <w:numPr>
                <w:ilvl w:val="0"/>
                <w:numId w:val="32"/>
              </w:numPr>
              <w:tabs>
                <w:tab w:val="left" w:pos="555"/>
              </w:tabs>
              <w:spacing w:before="120" w:after="120" w:line="276" w:lineRule="auto"/>
              <w:contextualSpacing/>
              <w:jc w:val="left"/>
              <w:rPr>
                <w:rFonts w:ascii="Arial" w:hAnsi="Arial" w:cs="Arial"/>
                <w:sz w:val="16"/>
                <w:szCs w:val="16"/>
                <w:lang w:val="en-US"/>
              </w:rPr>
            </w:pPr>
            <w:r w:rsidRPr="00DE1122">
              <w:rPr>
                <w:rFonts w:ascii="Arial" w:hAnsi="Arial" w:cs="Arial"/>
                <w:sz w:val="16"/>
                <w:szCs w:val="16"/>
              </w:rPr>
              <w:t>The target</w:t>
            </w:r>
            <w:r>
              <w:rPr>
                <w:rFonts w:ascii="Arial" w:hAnsi="Arial" w:cs="Arial"/>
                <w:sz w:val="16"/>
                <w:szCs w:val="16"/>
              </w:rPr>
              <w:t>s</w:t>
            </w:r>
            <w:r w:rsidRPr="00DE1122">
              <w:rPr>
                <w:rFonts w:ascii="Arial" w:hAnsi="Arial" w:cs="Arial"/>
                <w:sz w:val="16"/>
                <w:szCs w:val="16"/>
              </w:rPr>
              <w:t xml:space="preserve"> to publish Annual Impact Report </w:t>
            </w:r>
            <w:r>
              <w:rPr>
                <w:rFonts w:ascii="Arial" w:hAnsi="Arial" w:cs="Arial"/>
                <w:sz w:val="16"/>
                <w:szCs w:val="16"/>
              </w:rPr>
              <w:t>and respond to all previous recommendations have been met.</w:t>
            </w:r>
          </w:p>
        </w:tc>
      </w:tr>
      <w:tr w:rsidR="00102406" w:rsidRPr="00DE1122" w14:paraId="31DDBADA" w14:textId="77777777" w:rsidTr="00E315A5">
        <w:trPr>
          <w:tblHeader/>
        </w:trPr>
        <w:tc>
          <w:tcPr>
            <w:tcW w:w="1731" w:type="dxa"/>
            <w:tcBorders>
              <w:top w:val="single" w:sz="4" w:space="0" w:color="auto"/>
              <w:left w:val="single" w:sz="4" w:space="0" w:color="auto"/>
              <w:bottom w:val="single" w:sz="4" w:space="0" w:color="auto"/>
              <w:right w:val="single" w:sz="4" w:space="0" w:color="auto"/>
            </w:tcBorders>
          </w:tcPr>
          <w:p w14:paraId="2E4DAA71" w14:textId="77777777" w:rsidR="00102406" w:rsidRPr="00DE1122" w:rsidRDefault="007E4214" w:rsidP="00E315A5">
            <w:pPr>
              <w:spacing w:after="360" w:line="240" w:lineRule="auto"/>
              <w:contextualSpacing/>
              <w:jc w:val="left"/>
              <w:rPr>
                <w:rFonts w:asciiTheme="minorHAnsi" w:hAnsiTheme="minorHAnsi"/>
              </w:rPr>
            </w:pPr>
            <w:r>
              <w:rPr>
                <w:rFonts w:ascii="Arial" w:hAnsi="Arial" w:cs="Arial"/>
                <w:b/>
                <w:sz w:val="16"/>
                <w:szCs w:val="16"/>
              </w:rPr>
              <w:t>Year</w:t>
            </w:r>
          </w:p>
        </w:tc>
        <w:tc>
          <w:tcPr>
            <w:tcW w:w="3086" w:type="dxa"/>
            <w:tcBorders>
              <w:top w:val="single" w:sz="4" w:space="0" w:color="auto"/>
              <w:left w:val="single" w:sz="4" w:space="0" w:color="auto"/>
              <w:bottom w:val="single" w:sz="4" w:space="0" w:color="auto"/>
              <w:right w:val="single" w:sz="4" w:space="0" w:color="auto"/>
            </w:tcBorders>
          </w:tcPr>
          <w:p w14:paraId="74908797" w14:textId="77777777" w:rsidR="00102406" w:rsidRPr="00DE1122" w:rsidRDefault="00102406" w:rsidP="007E4214">
            <w:pPr>
              <w:spacing w:after="360" w:line="240" w:lineRule="auto"/>
              <w:contextualSpacing/>
              <w:rPr>
                <w:rFonts w:ascii="Arial" w:hAnsi="Arial" w:cs="Arial"/>
                <w:sz w:val="16"/>
                <w:szCs w:val="16"/>
              </w:rPr>
            </w:pPr>
            <w:r w:rsidRPr="00DE1122">
              <w:rPr>
                <w:rFonts w:ascii="Arial" w:hAnsi="Arial" w:cs="Arial"/>
                <w:b/>
                <w:sz w:val="16"/>
                <w:szCs w:val="16"/>
              </w:rPr>
              <w:t>Performance measures</w:t>
            </w:r>
          </w:p>
        </w:tc>
        <w:tc>
          <w:tcPr>
            <w:tcW w:w="2863" w:type="dxa"/>
            <w:tcBorders>
              <w:top w:val="single" w:sz="4" w:space="0" w:color="auto"/>
              <w:left w:val="single" w:sz="4" w:space="0" w:color="auto"/>
              <w:bottom w:val="single" w:sz="4" w:space="0" w:color="auto"/>
              <w:right w:val="single" w:sz="4" w:space="0" w:color="auto"/>
            </w:tcBorders>
          </w:tcPr>
          <w:p w14:paraId="67AEA430" w14:textId="77777777" w:rsidR="00102406" w:rsidRPr="00DE1122" w:rsidRDefault="00102406" w:rsidP="00E315A5">
            <w:pPr>
              <w:tabs>
                <w:tab w:val="left" w:pos="555"/>
              </w:tabs>
              <w:spacing w:after="360" w:line="276" w:lineRule="auto"/>
              <w:contextualSpacing/>
              <w:jc w:val="left"/>
              <w:rPr>
                <w:rFonts w:ascii="Arial" w:hAnsi="Arial" w:cs="Arial"/>
                <w:sz w:val="16"/>
                <w:szCs w:val="16"/>
              </w:rPr>
            </w:pPr>
            <w:r w:rsidRPr="00DE1122">
              <w:rPr>
                <w:rFonts w:ascii="Arial" w:hAnsi="Arial" w:cs="Arial"/>
                <w:b/>
                <w:sz w:val="16"/>
                <w:szCs w:val="16"/>
              </w:rPr>
              <w:t xml:space="preserve">Expected Performance Results </w:t>
            </w:r>
          </w:p>
        </w:tc>
      </w:tr>
      <w:tr w:rsidR="00102406" w:rsidRPr="00DE1122" w14:paraId="5D987F05" w14:textId="77777777" w:rsidTr="00E315A5">
        <w:trPr>
          <w:tblHeader/>
        </w:trPr>
        <w:tc>
          <w:tcPr>
            <w:tcW w:w="1731" w:type="dxa"/>
            <w:vMerge w:val="restart"/>
            <w:tcBorders>
              <w:top w:val="single" w:sz="4" w:space="0" w:color="auto"/>
              <w:left w:val="single" w:sz="4" w:space="0" w:color="auto"/>
              <w:right w:val="single" w:sz="4" w:space="0" w:color="auto"/>
            </w:tcBorders>
          </w:tcPr>
          <w:p w14:paraId="225608E0" w14:textId="77777777" w:rsidR="00102406" w:rsidRPr="00DE1122" w:rsidRDefault="00102406" w:rsidP="00E315A5">
            <w:pPr>
              <w:spacing w:before="60" w:after="0" w:line="240" w:lineRule="auto"/>
              <w:jc w:val="left"/>
              <w:rPr>
                <w:rFonts w:ascii="Arial" w:hAnsi="Arial" w:cs="Arial"/>
                <w:sz w:val="16"/>
                <w:szCs w:val="16"/>
              </w:rPr>
            </w:pPr>
            <w:r w:rsidRPr="00DE1122">
              <w:rPr>
                <w:rFonts w:ascii="Arial" w:hAnsi="Arial" w:cs="Arial"/>
                <w:sz w:val="16"/>
                <w:szCs w:val="16"/>
              </w:rPr>
              <w:t xml:space="preserve">Budget Year </w:t>
            </w:r>
          </w:p>
          <w:p w14:paraId="599F3E62" w14:textId="77777777" w:rsidR="00102406" w:rsidRDefault="00102406" w:rsidP="00E315A5">
            <w:pPr>
              <w:spacing w:before="60" w:after="0" w:line="240" w:lineRule="auto"/>
              <w:jc w:val="left"/>
              <w:rPr>
                <w:rFonts w:ascii="Arial" w:hAnsi="Arial" w:cs="Arial"/>
                <w:sz w:val="16"/>
                <w:szCs w:val="16"/>
              </w:rPr>
            </w:pPr>
          </w:p>
          <w:p w14:paraId="4D291A9B" w14:textId="77777777" w:rsidR="00102406" w:rsidRPr="00DE1122" w:rsidRDefault="00102406" w:rsidP="00E315A5">
            <w:pPr>
              <w:spacing w:before="60" w:after="0" w:line="240" w:lineRule="auto"/>
              <w:jc w:val="left"/>
              <w:rPr>
                <w:rFonts w:asciiTheme="minorHAnsi" w:hAnsiTheme="minorHAnsi"/>
              </w:rPr>
            </w:pPr>
            <w:r w:rsidRPr="009E3081">
              <w:rPr>
                <w:rFonts w:ascii="Arial" w:hAnsi="Arial" w:cs="Arial"/>
                <w:sz w:val="16"/>
                <w:szCs w:val="16"/>
              </w:rPr>
              <w:t>2022-23</w:t>
            </w:r>
          </w:p>
        </w:tc>
        <w:tc>
          <w:tcPr>
            <w:tcW w:w="3086" w:type="dxa"/>
            <w:tcBorders>
              <w:top w:val="single" w:sz="4" w:space="0" w:color="auto"/>
              <w:left w:val="single" w:sz="4" w:space="0" w:color="auto"/>
              <w:bottom w:val="nil"/>
              <w:right w:val="single" w:sz="4" w:space="0" w:color="auto"/>
            </w:tcBorders>
          </w:tcPr>
          <w:p w14:paraId="3CEE8074" w14:textId="77777777" w:rsidR="00102406" w:rsidRPr="00AE4187" w:rsidRDefault="00102406" w:rsidP="008A2254">
            <w:pPr>
              <w:pStyle w:val="ListParagraph"/>
              <w:numPr>
                <w:ilvl w:val="0"/>
                <w:numId w:val="34"/>
              </w:numPr>
              <w:spacing w:before="60" w:after="60" w:line="240" w:lineRule="auto"/>
              <w:rPr>
                <w:rFonts w:ascii="Arial" w:hAnsi="Arial" w:cs="Arial"/>
                <w:sz w:val="16"/>
                <w:szCs w:val="16"/>
              </w:rPr>
            </w:pPr>
            <w:r w:rsidRPr="00AE4187">
              <w:rPr>
                <w:rFonts w:ascii="Arial" w:hAnsi="Arial" w:cs="Arial"/>
                <w:sz w:val="16"/>
                <w:szCs w:val="16"/>
              </w:rPr>
              <w:t>Number of home ownership outcomes approved</w:t>
            </w:r>
          </w:p>
        </w:tc>
        <w:tc>
          <w:tcPr>
            <w:tcW w:w="2863" w:type="dxa"/>
            <w:tcBorders>
              <w:top w:val="single" w:sz="4" w:space="0" w:color="auto"/>
              <w:left w:val="single" w:sz="4" w:space="0" w:color="auto"/>
              <w:bottom w:val="nil"/>
              <w:right w:val="single" w:sz="4" w:space="0" w:color="auto"/>
            </w:tcBorders>
          </w:tcPr>
          <w:p w14:paraId="24C2BB4F" w14:textId="77777777" w:rsidR="00102406" w:rsidRPr="00AE4187"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AE4187">
              <w:rPr>
                <w:rFonts w:ascii="Arial" w:hAnsi="Arial" w:cs="Arial"/>
                <w:sz w:val="16"/>
                <w:szCs w:val="16"/>
                <w:lang w:val="en-US"/>
              </w:rPr>
              <w:t>575</w:t>
            </w:r>
          </w:p>
        </w:tc>
      </w:tr>
      <w:tr w:rsidR="00102406" w:rsidRPr="00DE1122" w14:paraId="5BB1F637" w14:textId="77777777" w:rsidTr="00E315A5">
        <w:trPr>
          <w:tblHeader/>
        </w:trPr>
        <w:tc>
          <w:tcPr>
            <w:tcW w:w="1731" w:type="dxa"/>
            <w:vMerge/>
            <w:tcBorders>
              <w:left w:val="single" w:sz="4" w:space="0" w:color="auto"/>
              <w:right w:val="single" w:sz="4" w:space="0" w:color="auto"/>
            </w:tcBorders>
          </w:tcPr>
          <w:p w14:paraId="3E4DBAEF"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47092DAD"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Percentage of approved customers that are first home buyers</w:t>
            </w:r>
          </w:p>
        </w:tc>
        <w:tc>
          <w:tcPr>
            <w:tcW w:w="2863" w:type="dxa"/>
            <w:tcBorders>
              <w:top w:val="nil"/>
              <w:left w:val="single" w:sz="4" w:space="0" w:color="auto"/>
              <w:bottom w:val="nil"/>
              <w:right w:val="single" w:sz="4" w:space="0" w:color="auto"/>
            </w:tcBorders>
          </w:tcPr>
          <w:p w14:paraId="462A314B" w14:textId="77777777" w:rsidR="00102406" w:rsidRPr="00DE1122" w:rsidRDefault="00102406" w:rsidP="008A2254">
            <w:pPr>
              <w:numPr>
                <w:ilvl w:val="0"/>
                <w:numId w:val="35"/>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90%</w:t>
            </w:r>
          </w:p>
        </w:tc>
      </w:tr>
      <w:tr w:rsidR="00102406" w:rsidRPr="00DE1122" w14:paraId="711FF5F5" w14:textId="77777777" w:rsidTr="00E315A5">
        <w:trPr>
          <w:tblHeader/>
        </w:trPr>
        <w:tc>
          <w:tcPr>
            <w:tcW w:w="1731" w:type="dxa"/>
            <w:vMerge/>
            <w:tcBorders>
              <w:left w:val="single" w:sz="4" w:space="0" w:color="auto"/>
              <w:right w:val="single" w:sz="4" w:space="0" w:color="auto"/>
            </w:tcBorders>
          </w:tcPr>
          <w:p w14:paraId="553F925E"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02DEF9B1"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 xml:space="preserve">Percentage of Indigenous home customers who transition or are supported into mainstream lending </w:t>
            </w:r>
          </w:p>
        </w:tc>
        <w:tc>
          <w:tcPr>
            <w:tcW w:w="2863" w:type="dxa"/>
            <w:tcBorders>
              <w:top w:val="nil"/>
              <w:left w:val="single" w:sz="4" w:space="0" w:color="auto"/>
              <w:bottom w:val="nil"/>
              <w:right w:val="single" w:sz="4" w:space="0" w:color="auto"/>
            </w:tcBorders>
          </w:tcPr>
          <w:p w14:paraId="3F1DB11A" w14:textId="77777777" w:rsidR="00102406" w:rsidRPr="00DE1122" w:rsidRDefault="00102406" w:rsidP="008A2254">
            <w:pPr>
              <w:numPr>
                <w:ilvl w:val="0"/>
                <w:numId w:val="35"/>
              </w:numPr>
              <w:tabs>
                <w:tab w:val="left" w:pos="555"/>
              </w:tabs>
              <w:spacing w:before="120" w:after="0" w:line="276" w:lineRule="auto"/>
              <w:contextualSpacing/>
              <w:jc w:val="left"/>
              <w:rPr>
                <w:rFonts w:ascii="Arial" w:hAnsi="Arial" w:cs="Arial"/>
                <w:sz w:val="16"/>
                <w:szCs w:val="16"/>
                <w:lang w:val="en-US"/>
              </w:rPr>
            </w:pPr>
            <w:r w:rsidRPr="00DE1122">
              <w:rPr>
                <w:rFonts w:ascii="Arial" w:hAnsi="Arial" w:cs="Arial"/>
                <w:sz w:val="16"/>
                <w:szCs w:val="16"/>
                <w:lang w:val="en-US"/>
              </w:rPr>
              <w:t>4.5%</w:t>
            </w:r>
          </w:p>
        </w:tc>
      </w:tr>
      <w:tr w:rsidR="00102406" w:rsidRPr="00DE1122" w14:paraId="11A27959" w14:textId="77777777" w:rsidTr="00E315A5">
        <w:trPr>
          <w:tblHeader/>
        </w:trPr>
        <w:tc>
          <w:tcPr>
            <w:tcW w:w="1731" w:type="dxa"/>
            <w:vMerge/>
            <w:tcBorders>
              <w:left w:val="single" w:sz="4" w:space="0" w:color="auto"/>
              <w:right w:val="single" w:sz="4" w:space="0" w:color="auto"/>
            </w:tcBorders>
          </w:tcPr>
          <w:p w14:paraId="722B9BBB"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0E024C26"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Number of people attending housing capability workshops</w:t>
            </w:r>
          </w:p>
        </w:tc>
        <w:tc>
          <w:tcPr>
            <w:tcW w:w="2863" w:type="dxa"/>
            <w:tcBorders>
              <w:top w:val="nil"/>
              <w:left w:val="single" w:sz="4" w:space="0" w:color="auto"/>
              <w:bottom w:val="nil"/>
              <w:right w:val="single" w:sz="4" w:space="0" w:color="auto"/>
            </w:tcBorders>
          </w:tcPr>
          <w:p w14:paraId="093000FC" w14:textId="77777777" w:rsidR="00102406" w:rsidRPr="00DE1122" w:rsidRDefault="00102406" w:rsidP="008A2254">
            <w:pPr>
              <w:numPr>
                <w:ilvl w:val="0"/>
                <w:numId w:val="35"/>
              </w:numPr>
              <w:tabs>
                <w:tab w:val="left" w:pos="555"/>
              </w:tabs>
              <w:spacing w:after="100" w:afterAutospacing="1" w:line="276" w:lineRule="auto"/>
              <w:contextualSpacing/>
              <w:jc w:val="left"/>
              <w:rPr>
                <w:rFonts w:ascii="Arial" w:hAnsi="Arial" w:cs="Arial"/>
                <w:sz w:val="16"/>
                <w:szCs w:val="16"/>
                <w:lang w:val="en-US"/>
              </w:rPr>
            </w:pPr>
            <w:r w:rsidRPr="00DE1122">
              <w:rPr>
                <w:rFonts w:ascii="Arial" w:hAnsi="Arial" w:cs="Arial"/>
                <w:sz w:val="16"/>
                <w:szCs w:val="16"/>
                <w:lang w:val="en-US"/>
              </w:rPr>
              <w:t>5</w:t>
            </w:r>
            <w:r>
              <w:rPr>
                <w:rFonts w:ascii="Arial" w:hAnsi="Arial" w:cs="Arial"/>
                <w:sz w:val="16"/>
                <w:szCs w:val="16"/>
                <w:lang w:val="en-US"/>
              </w:rPr>
              <w:t>25</w:t>
            </w:r>
          </w:p>
        </w:tc>
      </w:tr>
      <w:tr w:rsidR="00102406" w:rsidRPr="00DE1122" w14:paraId="2514F909" w14:textId="77777777" w:rsidTr="00E315A5">
        <w:trPr>
          <w:tblHeader/>
        </w:trPr>
        <w:tc>
          <w:tcPr>
            <w:tcW w:w="1731" w:type="dxa"/>
            <w:vMerge/>
            <w:tcBorders>
              <w:left w:val="single" w:sz="4" w:space="0" w:color="auto"/>
              <w:right w:val="single" w:sz="4" w:space="0" w:color="auto"/>
            </w:tcBorders>
          </w:tcPr>
          <w:p w14:paraId="21160ED8"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6444131"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Percentage of home customers satisfied or very satisfied with IBA’s service</w:t>
            </w:r>
          </w:p>
        </w:tc>
        <w:tc>
          <w:tcPr>
            <w:tcW w:w="2863" w:type="dxa"/>
            <w:tcBorders>
              <w:top w:val="nil"/>
              <w:left w:val="single" w:sz="4" w:space="0" w:color="auto"/>
              <w:bottom w:val="nil"/>
              <w:right w:val="single" w:sz="4" w:space="0" w:color="auto"/>
            </w:tcBorders>
          </w:tcPr>
          <w:p w14:paraId="6385F500" w14:textId="77777777" w:rsidR="00102406" w:rsidRPr="00DE1122" w:rsidRDefault="00102406" w:rsidP="008A2254">
            <w:pPr>
              <w:numPr>
                <w:ilvl w:val="0"/>
                <w:numId w:val="35"/>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80%</w:t>
            </w:r>
          </w:p>
        </w:tc>
      </w:tr>
      <w:tr w:rsidR="00102406" w:rsidRPr="00DE1122" w14:paraId="27FA8302" w14:textId="77777777" w:rsidTr="00E315A5">
        <w:trPr>
          <w:tblHeader/>
        </w:trPr>
        <w:tc>
          <w:tcPr>
            <w:tcW w:w="1731" w:type="dxa"/>
            <w:vMerge/>
            <w:tcBorders>
              <w:left w:val="single" w:sz="4" w:space="0" w:color="auto"/>
              <w:right w:val="single" w:sz="4" w:space="0" w:color="auto"/>
            </w:tcBorders>
          </w:tcPr>
          <w:p w14:paraId="30A2A7A9"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B06CC9E"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eastAsiaTheme="minorHAnsi" w:hAnsi="Arial" w:cs="Arial"/>
                <w:sz w:val="16"/>
                <w:szCs w:val="16"/>
              </w:rPr>
              <w:t>Cost per dollar lent efficiency ratio for the home loan portfolio</w:t>
            </w:r>
          </w:p>
        </w:tc>
        <w:tc>
          <w:tcPr>
            <w:tcW w:w="2863" w:type="dxa"/>
            <w:tcBorders>
              <w:top w:val="nil"/>
              <w:left w:val="single" w:sz="4" w:space="0" w:color="auto"/>
              <w:bottom w:val="nil"/>
              <w:right w:val="single" w:sz="4" w:space="0" w:color="auto"/>
            </w:tcBorders>
          </w:tcPr>
          <w:p w14:paraId="7EE4BB83" w14:textId="77777777" w:rsidR="00102406" w:rsidRPr="00DE1122" w:rsidRDefault="00102406" w:rsidP="008A2254">
            <w:pPr>
              <w:numPr>
                <w:ilvl w:val="0"/>
                <w:numId w:val="35"/>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Less than 1.</w:t>
            </w:r>
            <w:r>
              <w:rPr>
                <w:rFonts w:ascii="Arial" w:hAnsi="Arial" w:cs="Arial"/>
                <w:sz w:val="16"/>
                <w:szCs w:val="16"/>
                <w:lang w:val="en-US"/>
              </w:rPr>
              <w:t>0</w:t>
            </w:r>
            <w:r w:rsidRPr="00DE1122">
              <w:rPr>
                <w:rFonts w:ascii="Arial" w:hAnsi="Arial" w:cs="Arial"/>
                <w:sz w:val="16"/>
                <w:szCs w:val="16"/>
                <w:lang w:val="en-US"/>
              </w:rPr>
              <w:t>%</w:t>
            </w:r>
          </w:p>
        </w:tc>
      </w:tr>
      <w:tr w:rsidR="00102406" w:rsidRPr="00DE1122" w14:paraId="5AB7B5CF" w14:textId="77777777" w:rsidTr="00E315A5">
        <w:trPr>
          <w:tblHeader/>
        </w:trPr>
        <w:tc>
          <w:tcPr>
            <w:tcW w:w="1731" w:type="dxa"/>
            <w:vMerge/>
            <w:tcBorders>
              <w:left w:val="single" w:sz="4" w:space="0" w:color="auto"/>
              <w:right w:val="single" w:sz="4" w:space="0" w:color="auto"/>
            </w:tcBorders>
          </w:tcPr>
          <w:p w14:paraId="5080A54A"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7251DF3F" w14:textId="77777777" w:rsidR="00102406" w:rsidRPr="00DE1122" w:rsidRDefault="00102406" w:rsidP="008A2254">
            <w:pPr>
              <w:pStyle w:val="ListParagraph"/>
              <w:numPr>
                <w:ilvl w:val="0"/>
                <w:numId w:val="34"/>
              </w:numPr>
              <w:spacing w:before="60" w:after="0" w:line="240" w:lineRule="auto"/>
              <w:ind w:left="348"/>
              <w:rPr>
                <w:rFonts w:ascii="Arial" w:hAnsi="Arial" w:cs="Arial"/>
                <w:sz w:val="16"/>
                <w:szCs w:val="16"/>
              </w:rPr>
            </w:pPr>
            <w:r w:rsidRPr="00DE1122">
              <w:rPr>
                <w:rFonts w:ascii="Arial" w:hAnsi="Arial" w:cs="Arial"/>
                <w:sz w:val="16"/>
                <w:szCs w:val="16"/>
              </w:rPr>
              <w:t>Four-year survivability of IBA supported business loan customers</w:t>
            </w:r>
          </w:p>
        </w:tc>
        <w:tc>
          <w:tcPr>
            <w:tcW w:w="2863" w:type="dxa"/>
            <w:tcBorders>
              <w:top w:val="nil"/>
              <w:left w:val="single" w:sz="4" w:space="0" w:color="auto"/>
              <w:bottom w:val="nil"/>
              <w:right w:val="single" w:sz="4" w:space="0" w:color="auto"/>
            </w:tcBorders>
          </w:tcPr>
          <w:p w14:paraId="49EE6C25" w14:textId="77777777" w:rsidR="00102406" w:rsidRPr="00DE1122" w:rsidRDefault="00102406" w:rsidP="008A2254">
            <w:pPr>
              <w:numPr>
                <w:ilvl w:val="0"/>
                <w:numId w:val="35"/>
              </w:numPr>
              <w:tabs>
                <w:tab w:val="left" w:pos="555"/>
              </w:tabs>
              <w:spacing w:before="120" w:after="0" w:line="276" w:lineRule="auto"/>
              <w:contextualSpacing/>
              <w:jc w:val="left"/>
              <w:rPr>
                <w:rFonts w:ascii="Arial" w:hAnsi="Arial" w:cs="Arial"/>
                <w:sz w:val="16"/>
                <w:szCs w:val="16"/>
                <w:lang w:val="en-US"/>
              </w:rPr>
            </w:pPr>
            <w:r w:rsidRPr="00DE1122">
              <w:rPr>
                <w:rFonts w:ascii="Arial" w:hAnsi="Arial" w:cs="Arial"/>
                <w:sz w:val="16"/>
                <w:szCs w:val="16"/>
                <w:lang w:val="en-US"/>
              </w:rPr>
              <w:t>Australian average business survivability by employment category as reported by the ABS</w:t>
            </w:r>
          </w:p>
        </w:tc>
      </w:tr>
      <w:tr w:rsidR="00102406" w:rsidRPr="00DE1122" w14:paraId="37497596" w14:textId="77777777" w:rsidTr="00E315A5">
        <w:trPr>
          <w:tblHeader/>
        </w:trPr>
        <w:tc>
          <w:tcPr>
            <w:tcW w:w="1731" w:type="dxa"/>
            <w:vMerge/>
            <w:tcBorders>
              <w:left w:val="single" w:sz="4" w:space="0" w:color="auto"/>
              <w:right w:val="single" w:sz="4" w:space="0" w:color="auto"/>
            </w:tcBorders>
          </w:tcPr>
          <w:p w14:paraId="54C6B564"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629AC72"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Number of business customers financed</w:t>
            </w:r>
          </w:p>
        </w:tc>
        <w:tc>
          <w:tcPr>
            <w:tcW w:w="2863" w:type="dxa"/>
            <w:tcBorders>
              <w:top w:val="nil"/>
              <w:left w:val="single" w:sz="4" w:space="0" w:color="auto"/>
              <w:bottom w:val="nil"/>
              <w:right w:val="single" w:sz="4" w:space="0" w:color="auto"/>
            </w:tcBorders>
          </w:tcPr>
          <w:p w14:paraId="67C97990" w14:textId="77777777" w:rsidR="00102406" w:rsidRPr="00DE1122" w:rsidRDefault="00102406" w:rsidP="008A2254">
            <w:pPr>
              <w:numPr>
                <w:ilvl w:val="0"/>
                <w:numId w:val="35"/>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1</w:t>
            </w:r>
            <w:r>
              <w:rPr>
                <w:rFonts w:ascii="Arial" w:hAnsi="Arial" w:cs="Arial"/>
                <w:sz w:val="16"/>
                <w:szCs w:val="16"/>
                <w:lang w:val="en-US"/>
              </w:rPr>
              <w:t>60</w:t>
            </w:r>
          </w:p>
        </w:tc>
      </w:tr>
      <w:tr w:rsidR="00102406" w:rsidRPr="00DE1122" w14:paraId="4911E74F" w14:textId="77777777" w:rsidTr="00E315A5">
        <w:trPr>
          <w:tblHeader/>
        </w:trPr>
        <w:tc>
          <w:tcPr>
            <w:tcW w:w="1731" w:type="dxa"/>
            <w:vMerge/>
            <w:tcBorders>
              <w:left w:val="single" w:sz="4" w:space="0" w:color="auto"/>
              <w:bottom w:val="single" w:sz="4" w:space="0" w:color="auto"/>
              <w:right w:val="single" w:sz="4" w:space="0" w:color="auto"/>
            </w:tcBorders>
          </w:tcPr>
          <w:p w14:paraId="1830C107"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single" w:sz="4" w:space="0" w:color="auto"/>
              <w:right w:val="single" w:sz="4" w:space="0" w:color="auto"/>
            </w:tcBorders>
          </w:tcPr>
          <w:p w14:paraId="2169F29A"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Number of people attending business capability workshops</w:t>
            </w:r>
          </w:p>
        </w:tc>
        <w:tc>
          <w:tcPr>
            <w:tcW w:w="2863" w:type="dxa"/>
            <w:tcBorders>
              <w:top w:val="nil"/>
              <w:left w:val="single" w:sz="4" w:space="0" w:color="auto"/>
              <w:bottom w:val="single" w:sz="4" w:space="0" w:color="auto"/>
              <w:right w:val="single" w:sz="4" w:space="0" w:color="auto"/>
            </w:tcBorders>
          </w:tcPr>
          <w:p w14:paraId="788CB53D" w14:textId="77777777" w:rsidR="00102406" w:rsidRPr="00DE1122" w:rsidRDefault="00102406" w:rsidP="008A2254">
            <w:pPr>
              <w:numPr>
                <w:ilvl w:val="0"/>
                <w:numId w:val="35"/>
              </w:numPr>
              <w:tabs>
                <w:tab w:val="left" w:pos="555"/>
              </w:tabs>
              <w:spacing w:after="120" w:line="276" w:lineRule="auto"/>
              <w:contextualSpacing/>
              <w:jc w:val="left"/>
              <w:rPr>
                <w:rFonts w:ascii="Arial" w:hAnsi="Arial" w:cs="Arial"/>
                <w:sz w:val="16"/>
                <w:szCs w:val="16"/>
                <w:lang w:val="en-US"/>
              </w:rPr>
            </w:pPr>
            <w:r w:rsidRPr="00DE1122">
              <w:rPr>
                <w:rFonts w:ascii="Arial" w:hAnsi="Arial" w:cs="Arial"/>
                <w:sz w:val="16"/>
                <w:szCs w:val="16"/>
                <w:lang w:val="en-US"/>
              </w:rPr>
              <w:t>5</w:t>
            </w:r>
            <w:r>
              <w:rPr>
                <w:rFonts w:ascii="Arial" w:hAnsi="Arial" w:cs="Arial"/>
                <w:sz w:val="16"/>
                <w:szCs w:val="16"/>
                <w:lang w:val="en-US"/>
              </w:rPr>
              <w:t>15</w:t>
            </w:r>
          </w:p>
        </w:tc>
      </w:tr>
    </w:tbl>
    <w:p w14:paraId="4EE3AF2B" w14:textId="77777777" w:rsidR="00102406" w:rsidRPr="00DE1122" w:rsidRDefault="00102406" w:rsidP="00102406">
      <w:pPr>
        <w:keepNext/>
        <w:spacing w:after="20" w:line="240" w:lineRule="auto"/>
        <w:jc w:val="left"/>
        <w:rPr>
          <w:rFonts w:ascii="Arial" w:hAnsi="Arial"/>
          <w:b/>
          <w:color w:val="000000"/>
          <w:lang w:eastAsia="x-none"/>
        </w:rPr>
      </w:pPr>
      <w:r w:rsidRPr="00DE1122">
        <w:rPr>
          <w:rFonts w:ascii="Arial" w:hAnsi="Arial"/>
          <w:b/>
          <w:color w:val="000000"/>
          <w:lang w:val="x-none" w:eastAsia="x-none"/>
        </w:rPr>
        <w:t>Table 2.1.</w:t>
      </w:r>
      <w:r>
        <w:rPr>
          <w:rFonts w:ascii="Arial" w:hAnsi="Arial"/>
          <w:b/>
          <w:color w:val="000000"/>
          <w:lang w:eastAsia="x-none"/>
        </w:rPr>
        <w:t>2</w:t>
      </w:r>
      <w:r w:rsidRPr="00DE1122">
        <w:rPr>
          <w:rFonts w:ascii="Arial" w:hAnsi="Arial"/>
          <w:b/>
          <w:color w:val="000000"/>
          <w:lang w:val="x-none" w:eastAsia="x-none"/>
        </w:rPr>
        <w:t xml:space="preserve">: Performance </w:t>
      </w:r>
      <w:r>
        <w:rPr>
          <w:rFonts w:ascii="Arial" w:hAnsi="Arial"/>
          <w:b/>
          <w:color w:val="000000"/>
          <w:lang w:eastAsia="x-none"/>
        </w:rPr>
        <w:t>measure</w:t>
      </w:r>
      <w:r w:rsidRPr="00DE1122">
        <w:rPr>
          <w:rFonts w:ascii="Arial" w:hAnsi="Arial"/>
          <w:b/>
          <w:color w:val="000000"/>
          <w:lang w:val="x-none" w:eastAsia="x-none"/>
        </w:rPr>
        <w:t xml:space="preserve"> for Outcome 1</w:t>
      </w:r>
      <w:r w:rsidRPr="00DE1122">
        <w:rPr>
          <w:rFonts w:ascii="Arial" w:hAnsi="Arial"/>
          <w:b/>
          <w:color w:val="000000"/>
          <w:lang w:eastAsia="x-none"/>
        </w:rPr>
        <w:t xml:space="preserve"> (continued)</w:t>
      </w:r>
    </w:p>
    <w:tbl>
      <w:tblPr>
        <w:tblStyle w:val="TableGrid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1"/>
        <w:gridCol w:w="3086"/>
        <w:gridCol w:w="2863"/>
      </w:tblGrid>
      <w:tr w:rsidR="00102406" w:rsidRPr="00DE1122" w14:paraId="0A973B0B" w14:textId="77777777" w:rsidTr="007E4214">
        <w:trPr>
          <w:tblHeader/>
        </w:trPr>
        <w:tc>
          <w:tcPr>
            <w:tcW w:w="1731" w:type="dxa"/>
            <w:tcBorders>
              <w:top w:val="single" w:sz="4" w:space="0" w:color="auto"/>
              <w:left w:val="single" w:sz="4" w:space="0" w:color="auto"/>
              <w:bottom w:val="single" w:sz="4" w:space="0" w:color="auto"/>
            </w:tcBorders>
            <w:vAlign w:val="center"/>
          </w:tcPr>
          <w:p w14:paraId="0FC3ECED" w14:textId="77777777" w:rsidR="00102406" w:rsidRPr="00DE1122" w:rsidRDefault="00102406" w:rsidP="007E4214">
            <w:pPr>
              <w:tabs>
                <w:tab w:val="left" w:pos="709"/>
              </w:tabs>
              <w:spacing w:after="60" w:line="240" w:lineRule="auto"/>
              <w:jc w:val="left"/>
              <w:rPr>
                <w:rFonts w:ascii="Arial" w:hAnsi="Arial" w:cs="Arial"/>
                <w:b/>
                <w:sz w:val="16"/>
                <w:szCs w:val="16"/>
              </w:rPr>
            </w:pPr>
            <w:r w:rsidRPr="00DE1122">
              <w:rPr>
                <w:rFonts w:ascii="Arial" w:hAnsi="Arial" w:cs="Arial"/>
                <w:b/>
                <w:sz w:val="16"/>
                <w:szCs w:val="16"/>
              </w:rPr>
              <w:t>Year</w:t>
            </w:r>
          </w:p>
        </w:tc>
        <w:tc>
          <w:tcPr>
            <w:tcW w:w="3086" w:type="dxa"/>
            <w:tcBorders>
              <w:top w:val="single" w:sz="4" w:space="0" w:color="auto"/>
              <w:bottom w:val="single" w:sz="4" w:space="0" w:color="auto"/>
            </w:tcBorders>
            <w:vAlign w:val="center"/>
          </w:tcPr>
          <w:p w14:paraId="6A64ED94" w14:textId="77777777" w:rsidR="00102406" w:rsidRPr="00DE1122" w:rsidRDefault="007E4214" w:rsidP="007E4214">
            <w:pPr>
              <w:spacing w:after="360" w:line="240" w:lineRule="auto"/>
              <w:contextualSpacing/>
              <w:jc w:val="left"/>
              <w:rPr>
                <w:rFonts w:ascii="Arial" w:hAnsi="Arial" w:cs="Arial"/>
                <w:b/>
                <w:sz w:val="16"/>
                <w:szCs w:val="16"/>
              </w:rPr>
            </w:pPr>
            <w:r>
              <w:rPr>
                <w:rFonts w:ascii="Arial" w:hAnsi="Arial" w:cs="Arial"/>
                <w:b/>
                <w:sz w:val="16"/>
                <w:szCs w:val="16"/>
              </w:rPr>
              <w:t>Performance measures</w:t>
            </w:r>
          </w:p>
        </w:tc>
        <w:tc>
          <w:tcPr>
            <w:tcW w:w="2863" w:type="dxa"/>
            <w:tcBorders>
              <w:top w:val="single" w:sz="4" w:space="0" w:color="auto"/>
              <w:bottom w:val="single" w:sz="4" w:space="0" w:color="auto"/>
              <w:right w:val="single" w:sz="4" w:space="0" w:color="auto"/>
            </w:tcBorders>
            <w:vAlign w:val="center"/>
          </w:tcPr>
          <w:p w14:paraId="3CFB2A6C" w14:textId="77777777" w:rsidR="00102406" w:rsidRPr="00DE1122" w:rsidRDefault="00102406" w:rsidP="007E4214">
            <w:pPr>
              <w:tabs>
                <w:tab w:val="left" w:pos="709"/>
              </w:tabs>
              <w:spacing w:after="60" w:line="240" w:lineRule="auto"/>
              <w:jc w:val="left"/>
              <w:rPr>
                <w:rFonts w:ascii="Arial" w:hAnsi="Arial" w:cs="Arial"/>
                <w:b/>
                <w:sz w:val="16"/>
                <w:szCs w:val="16"/>
              </w:rPr>
            </w:pPr>
            <w:r w:rsidRPr="00DE1122">
              <w:rPr>
                <w:rFonts w:ascii="Arial" w:hAnsi="Arial" w:cs="Arial"/>
                <w:b/>
                <w:sz w:val="16"/>
                <w:szCs w:val="16"/>
              </w:rPr>
              <w:t xml:space="preserve">Expected Performance Results </w:t>
            </w:r>
          </w:p>
        </w:tc>
      </w:tr>
      <w:tr w:rsidR="00102406" w:rsidRPr="00DE1122" w14:paraId="4E79353E" w14:textId="77777777" w:rsidTr="00E315A5">
        <w:trPr>
          <w:tblHeader/>
        </w:trPr>
        <w:tc>
          <w:tcPr>
            <w:tcW w:w="1731" w:type="dxa"/>
            <w:vMerge w:val="restart"/>
            <w:tcBorders>
              <w:top w:val="single" w:sz="4" w:space="0" w:color="auto"/>
              <w:left w:val="single" w:sz="4" w:space="0" w:color="auto"/>
              <w:right w:val="single" w:sz="4" w:space="0" w:color="auto"/>
            </w:tcBorders>
          </w:tcPr>
          <w:p w14:paraId="66C0C53F" w14:textId="77777777" w:rsidR="00102406" w:rsidRPr="00DE1122" w:rsidRDefault="00102406" w:rsidP="00E315A5">
            <w:pPr>
              <w:spacing w:after="0" w:line="240" w:lineRule="auto"/>
              <w:jc w:val="left"/>
              <w:rPr>
                <w:rFonts w:asciiTheme="minorHAnsi" w:hAnsiTheme="minorHAnsi"/>
              </w:rPr>
            </w:pPr>
          </w:p>
        </w:tc>
        <w:tc>
          <w:tcPr>
            <w:tcW w:w="3086" w:type="dxa"/>
            <w:tcBorders>
              <w:top w:val="single" w:sz="4" w:space="0" w:color="auto"/>
              <w:left w:val="single" w:sz="4" w:space="0" w:color="auto"/>
              <w:bottom w:val="nil"/>
              <w:right w:val="single" w:sz="4" w:space="0" w:color="auto"/>
            </w:tcBorders>
          </w:tcPr>
          <w:p w14:paraId="0C5C0132"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Percentage of business customers satisfied or very satisfied with IBA’s service</w:t>
            </w:r>
          </w:p>
        </w:tc>
        <w:tc>
          <w:tcPr>
            <w:tcW w:w="2863" w:type="dxa"/>
            <w:tcBorders>
              <w:top w:val="single" w:sz="4" w:space="0" w:color="auto"/>
              <w:left w:val="single" w:sz="4" w:space="0" w:color="auto"/>
              <w:bottom w:val="nil"/>
              <w:right w:val="single" w:sz="4" w:space="0" w:color="auto"/>
            </w:tcBorders>
          </w:tcPr>
          <w:p w14:paraId="40A67F94"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80%</w:t>
            </w:r>
          </w:p>
        </w:tc>
      </w:tr>
      <w:tr w:rsidR="00102406" w:rsidRPr="00DE1122" w14:paraId="477BEAA3" w14:textId="77777777" w:rsidTr="00E315A5">
        <w:trPr>
          <w:tblHeader/>
        </w:trPr>
        <w:tc>
          <w:tcPr>
            <w:tcW w:w="1731" w:type="dxa"/>
            <w:vMerge/>
            <w:tcBorders>
              <w:left w:val="single" w:sz="4" w:space="0" w:color="auto"/>
              <w:right w:val="single" w:sz="4" w:space="0" w:color="auto"/>
            </w:tcBorders>
          </w:tcPr>
          <w:p w14:paraId="1AFC7B9E"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31F2C0C"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 xml:space="preserve">Cost per dollar </w:t>
            </w:r>
            <w:r>
              <w:rPr>
                <w:rFonts w:ascii="Arial" w:hAnsi="Arial" w:cs="Arial"/>
                <w:sz w:val="16"/>
                <w:szCs w:val="16"/>
              </w:rPr>
              <w:t>lent</w:t>
            </w:r>
            <w:r w:rsidRPr="00DE1122">
              <w:rPr>
                <w:rFonts w:ascii="Arial" w:hAnsi="Arial" w:cs="Arial"/>
                <w:sz w:val="16"/>
                <w:szCs w:val="16"/>
              </w:rPr>
              <w:t xml:space="preserve"> efficiency ratio for the business finance portfolio</w:t>
            </w:r>
          </w:p>
        </w:tc>
        <w:tc>
          <w:tcPr>
            <w:tcW w:w="2863" w:type="dxa"/>
            <w:tcBorders>
              <w:top w:val="nil"/>
              <w:left w:val="single" w:sz="4" w:space="0" w:color="auto"/>
              <w:bottom w:val="nil"/>
              <w:right w:val="single" w:sz="4" w:space="0" w:color="auto"/>
            </w:tcBorders>
          </w:tcPr>
          <w:p w14:paraId="3DE9A56C"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Less than 10%</w:t>
            </w:r>
          </w:p>
        </w:tc>
      </w:tr>
      <w:tr w:rsidR="00102406" w:rsidRPr="00DE1122" w14:paraId="1C9EAF12" w14:textId="77777777" w:rsidTr="00E315A5">
        <w:trPr>
          <w:tblHeader/>
        </w:trPr>
        <w:tc>
          <w:tcPr>
            <w:tcW w:w="1731" w:type="dxa"/>
            <w:vMerge/>
            <w:tcBorders>
              <w:left w:val="single" w:sz="4" w:space="0" w:color="auto"/>
              <w:right w:val="single" w:sz="4" w:space="0" w:color="auto"/>
            </w:tcBorders>
          </w:tcPr>
          <w:p w14:paraId="77E55736"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344FB751"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Total value of Indigenous co</w:t>
            </w:r>
            <w:r w:rsidRPr="00DE1122">
              <w:rPr>
                <w:rFonts w:ascii="Arial" w:hAnsi="Arial" w:cs="Arial"/>
                <w:sz w:val="16"/>
                <w:szCs w:val="16"/>
              </w:rPr>
              <w:noBreakHyphen/>
              <w:t>investments with IBA</w:t>
            </w:r>
            <w:r>
              <w:rPr>
                <w:rFonts w:ascii="Arial" w:hAnsi="Arial" w:cs="Arial"/>
                <w:sz w:val="16"/>
                <w:szCs w:val="16"/>
              </w:rPr>
              <w:t xml:space="preserve"> </w:t>
            </w:r>
            <w:r w:rsidRPr="00DE1122">
              <w:rPr>
                <w:rFonts w:ascii="Arial" w:hAnsi="Arial" w:cs="Arial"/>
                <w:sz w:val="16"/>
                <w:szCs w:val="16"/>
              </w:rPr>
              <w:t>(cumulative since 1 July 2015)</w:t>
            </w:r>
          </w:p>
        </w:tc>
        <w:tc>
          <w:tcPr>
            <w:tcW w:w="2863" w:type="dxa"/>
            <w:tcBorders>
              <w:top w:val="nil"/>
              <w:left w:val="single" w:sz="4" w:space="0" w:color="auto"/>
              <w:bottom w:val="nil"/>
              <w:right w:val="single" w:sz="4" w:space="0" w:color="auto"/>
            </w:tcBorders>
          </w:tcPr>
          <w:p w14:paraId="71386C46"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w:t>
            </w:r>
            <w:r>
              <w:rPr>
                <w:rFonts w:ascii="Arial" w:hAnsi="Arial" w:cs="Arial"/>
                <w:sz w:val="16"/>
                <w:szCs w:val="16"/>
                <w:lang w:val="en-US"/>
              </w:rPr>
              <w:t>205</w:t>
            </w:r>
            <w:r w:rsidR="007E4214">
              <w:rPr>
                <w:rFonts w:ascii="Arial" w:hAnsi="Arial" w:cs="Arial"/>
                <w:sz w:val="16"/>
                <w:szCs w:val="16"/>
                <w:lang w:val="en-US"/>
              </w:rPr>
              <w:t>.0</w:t>
            </w:r>
            <w:r w:rsidRPr="00DE1122">
              <w:rPr>
                <w:rFonts w:ascii="Arial" w:hAnsi="Arial" w:cs="Arial"/>
                <w:sz w:val="16"/>
                <w:szCs w:val="16"/>
                <w:lang w:val="en-US"/>
              </w:rPr>
              <w:t>m</w:t>
            </w:r>
          </w:p>
        </w:tc>
      </w:tr>
      <w:tr w:rsidR="00102406" w:rsidRPr="00DE1122" w14:paraId="6FDC0B55" w14:textId="77777777" w:rsidTr="00E315A5">
        <w:trPr>
          <w:tblHeader/>
        </w:trPr>
        <w:tc>
          <w:tcPr>
            <w:tcW w:w="1731" w:type="dxa"/>
            <w:vMerge/>
            <w:tcBorders>
              <w:left w:val="single" w:sz="4" w:space="0" w:color="auto"/>
              <w:right w:val="single" w:sz="4" w:space="0" w:color="auto"/>
            </w:tcBorders>
          </w:tcPr>
          <w:p w14:paraId="0EAEFFE9"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A9C543A"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 xml:space="preserve">Five-year average annual portfolio returns to Indigenous co-investors </w:t>
            </w:r>
          </w:p>
        </w:tc>
        <w:tc>
          <w:tcPr>
            <w:tcW w:w="2863" w:type="dxa"/>
            <w:tcBorders>
              <w:top w:val="nil"/>
              <w:left w:val="single" w:sz="4" w:space="0" w:color="auto"/>
              <w:bottom w:val="nil"/>
              <w:right w:val="single" w:sz="4" w:space="0" w:color="auto"/>
            </w:tcBorders>
          </w:tcPr>
          <w:p w14:paraId="0A5812F6"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CPI</w:t>
            </w:r>
            <w:r>
              <w:rPr>
                <w:rFonts w:ascii="Arial" w:hAnsi="Arial" w:cs="Arial"/>
                <w:sz w:val="16"/>
                <w:szCs w:val="16"/>
                <w:lang w:val="en-US"/>
              </w:rPr>
              <w:t xml:space="preserve"> +</w:t>
            </w:r>
            <w:r w:rsidRPr="00DE1122">
              <w:rPr>
                <w:rFonts w:ascii="Arial" w:hAnsi="Arial" w:cs="Arial"/>
                <w:sz w:val="16"/>
                <w:szCs w:val="16"/>
                <w:lang w:val="en-US"/>
              </w:rPr>
              <w:t xml:space="preserve"> 3.0%</w:t>
            </w:r>
          </w:p>
        </w:tc>
      </w:tr>
      <w:tr w:rsidR="00102406" w:rsidRPr="00DE1122" w14:paraId="1B0B658D" w14:textId="77777777" w:rsidTr="00E315A5">
        <w:trPr>
          <w:tblHeader/>
        </w:trPr>
        <w:tc>
          <w:tcPr>
            <w:tcW w:w="1731" w:type="dxa"/>
            <w:vMerge/>
            <w:tcBorders>
              <w:left w:val="single" w:sz="4" w:space="0" w:color="auto"/>
              <w:right w:val="single" w:sz="4" w:space="0" w:color="auto"/>
            </w:tcBorders>
          </w:tcPr>
          <w:p w14:paraId="67AB9CE9"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3DAF792D"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Number of Indigenous co-investor partnerships (cumulative since 1</w:t>
            </w:r>
            <w:r w:rsidR="007E4214">
              <w:rPr>
                <w:rFonts w:ascii="Arial" w:hAnsi="Arial" w:cs="Arial"/>
                <w:sz w:val="16"/>
                <w:szCs w:val="16"/>
              </w:rPr>
              <w:t> </w:t>
            </w:r>
            <w:r w:rsidRPr="00DE1122">
              <w:rPr>
                <w:rFonts w:ascii="Arial" w:hAnsi="Arial" w:cs="Arial"/>
                <w:sz w:val="16"/>
                <w:szCs w:val="16"/>
              </w:rPr>
              <w:t>July 2015)</w:t>
            </w:r>
          </w:p>
        </w:tc>
        <w:tc>
          <w:tcPr>
            <w:tcW w:w="2863" w:type="dxa"/>
            <w:tcBorders>
              <w:top w:val="nil"/>
              <w:left w:val="single" w:sz="4" w:space="0" w:color="auto"/>
              <w:bottom w:val="nil"/>
              <w:right w:val="single" w:sz="4" w:space="0" w:color="auto"/>
            </w:tcBorders>
          </w:tcPr>
          <w:p w14:paraId="0FC887B8"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Pr>
                <w:rFonts w:ascii="Arial" w:hAnsi="Arial" w:cs="Arial"/>
                <w:sz w:val="16"/>
                <w:szCs w:val="16"/>
                <w:lang w:val="en-US"/>
              </w:rPr>
              <w:t>70</w:t>
            </w:r>
          </w:p>
        </w:tc>
      </w:tr>
      <w:tr w:rsidR="00102406" w:rsidRPr="00DE1122" w14:paraId="432CD646" w14:textId="77777777" w:rsidTr="00E315A5">
        <w:trPr>
          <w:tblHeader/>
        </w:trPr>
        <w:tc>
          <w:tcPr>
            <w:tcW w:w="1731" w:type="dxa"/>
            <w:vMerge/>
            <w:tcBorders>
              <w:left w:val="single" w:sz="4" w:space="0" w:color="auto"/>
              <w:bottom w:val="nil"/>
              <w:right w:val="single" w:sz="4" w:space="0" w:color="auto"/>
            </w:tcBorders>
          </w:tcPr>
          <w:p w14:paraId="1F43A58C"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01329EBD"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Value of goods and services procured from Indigenous suppliers by IBA’s subsidiaries and associates</w:t>
            </w:r>
          </w:p>
        </w:tc>
        <w:tc>
          <w:tcPr>
            <w:tcW w:w="2863" w:type="dxa"/>
            <w:tcBorders>
              <w:top w:val="nil"/>
              <w:left w:val="single" w:sz="4" w:space="0" w:color="auto"/>
              <w:bottom w:val="nil"/>
              <w:right w:val="single" w:sz="4" w:space="0" w:color="auto"/>
            </w:tcBorders>
          </w:tcPr>
          <w:p w14:paraId="0E0078F4"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$3.</w:t>
            </w:r>
            <w:r>
              <w:rPr>
                <w:rFonts w:ascii="Arial" w:hAnsi="Arial" w:cs="Arial"/>
                <w:sz w:val="16"/>
                <w:szCs w:val="16"/>
                <w:lang w:val="en-US"/>
              </w:rPr>
              <w:t>5</w:t>
            </w:r>
            <w:r w:rsidRPr="00DE1122">
              <w:rPr>
                <w:rFonts w:ascii="Arial" w:hAnsi="Arial" w:cs="Arial"/>
                <w:sz w:val="16"/>
                <w:szCs w:val="16"/>
                <w:lang w:val="en-US"/>
              </w:rPr>
              <w:t>m</w:t>
            </w:r>
          </w:p>
        </w:tc>
      </w:tr>
      <w:tr w:rsidR="00102406" w:rsidRPr="00DE1122" w14:paraId="656158A9" w14:textId="77777777" w:rsidTr="00E315A5">
        <w:trPr>
          <w:tblHeader/>
        </w:trPr>
        <w:tc>
          <w:tcPr>
            <w:tcW w:w="1731" w:type="dxa"/>
            <w:tcBorders>
              <w:top w:val="nil"/>
              <w:left w:val="single" w:sz="4" w:space="0" w:color="auto"/>
              <w:bottom w:val="nil"/>
              <w:right w:val="single" w:sz="4" w:space="0" w:color="auto"/>
            </w:tcBorders>
          </w:tcPr>
          <w:p w14:paraId="2A251229"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B367F11"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Percentage of jobs supported by IBA’s subsidiaries and associates held by Indigenous Australians.</w:t>
            </w:r>
          </w:p>
        </w:tc>
        <w:tc>
          <w:tcPr>
            <w:tcW w:w="2863" w:type="dxa"/>
            <w:tcBorders>
              <w:top w:val="nil"/>
              <w:left w:val="single" w:sz="4" w:space="0" w:color="auto"/>
              <w:bottom w:val="nil"/>
              <w:right w:val="single" w:sz="4" w:space="0" w:color="auto"/>
            </w:tcBorders>
          </w:tcPr>
          <w:p w14:paraId="24B596A7"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2</w:t>
            </w:r>
            <w:r>
              <w:rPr>
                <w:rFonts w:ascii="Arial" w:hAnsi="Arial" w:cs="Arial"/>
                <w:sz w:val="16"/>
                <w:szCs w:val="16"/>
                <w:lang w:val="en-US"/>
              </w:rPr>
              <w:t>1</w:t>
            </w:r>
            <w:r w:rsidRPr="00DE1122">
              <w:rPr>
                <w:rFonts w:ascii="Arial" w:hAnsi="Arial" w:cs="Arial"/>
                <w:sz w:val="16"/>
                <w:szCs w:val="16"/>
                <w:lang w:val="en-US"/>
              </w:rPr>
              <w:t>%</w:t>
            </w:r>
          </w:p>
        </w:tc>
      </w:tr>
      <w:tr w:rsidR="00102406" w:rsidRPr="00DE1122" w14:paraId="4E17260C" w14:textId="77777777" w:rsidTr="00E315A5">
        <w:trPr>
          <w:tblHeader/>
        </w:trPr>
        <w:tc>
          <w:tcPr>
            <w:tcW w:w="1731" w:type="dxa"/>
            <w:tcBorders>
              <w:top w:val="nil"/>
              <w:left w:val="single" w:sz="4" w:space="0" w:color="auto"/>
              <w:bottom w:val="nil"/>
              <w:right w:val="single" w:sz="4" w:space="0" w:color="auto"/>
            </w:tcBorders>
          </w:tcPr>
          <w:p w14:paraId="62933CFC"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45977779"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Percentage of investors satisfied or very satisfied with IBA’s service</w:t>
            </w:r>
          </w:p>
        </w:tc>
        <w:tc>
          <w:tcPr>
            <w:tcW w:w="2863" w:type="dxa"/>
            <w:tcBorders>
              <w:top w:val="nil"/>
              <w:left w:val="single" w:sz="4" w:space="0" w:color="auto"/>
              <w:bottom w:val="nil"/>
              <w:right w:val="single" w:sz="4" w:space="0" w:color="auto"/>
            </w:tcBorders>
          </w:tcPr>
          <w:p w14:paraId="5ECF3452"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80%</w:t>
            </w:r>
          </w:p>
        </w:tc>
      </w:tr>
      <w:tr w:rsidR="00102406" w:rsidRPr="00DE1122" w14:paraId="04E8DFF5" w14:textId="77777777" w:rsidTr="00E315A5">
        <w:trPr>
          <w:tblHeader/>
        </w:trPr>
        <w:tc>
          <w:tcPr>
            <w:tcW w:w="1731" w:type="dxa"/>
            <w:vMerge w:val="restart"/>
            <w:tcBorders>
              <w:top w:val="nil"/>
              <w:left w:val="single" w:sz="4" w:space="0" w:color="auto"/>
              <w:right w:val="single" w:sz="4" w:space="0" w:color="auto"/>
            </w:tcBorders>
          </w:tcPr>
          <w:p w14:paraId="691B88A7"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605656E4" w14:textId="77777777" w:rsidR="00102406" w:rsidRPr="00DE1122" w:rsidRDefault="00102406" w:rsidP="008A2254">
            <w:pPr>
              <w:pStyle w:val="ListParagraph"/>
              <w:numPr>
                <w:ilvl w:val="0"/>
                <w:numId w:val="34"/>
              </w:numPr>
              <w:spacing w:after="60" w:line="240" w:lineRule="auto"/>
              <w:ind w:left="348"/>
              <w:rPr>
                <w:rFonts w:ascii="Arial" w:hAnsi="Arial" w:cs="Arial"/>
                <w:sz w:val="16"/>
                <w:szCs w:val="16"/>
              </w:rPr>
            </w:pPr>
            <w:r w:rsidRPr="00DE1122">
              <w:rPr>
                <w:rFonts w:ascii="Arial" w:hAnsi="Arial" w:cs="Arial"/>
                <w:sz w:val="16"/>
                <w:szCs w:val="16"/>
              </w:rPr>
              <w:t>Investments asset management expense ratio</w:t>
            </w:r>
          </w:p>
        </w:tc>
        <w:tc>
          <w:tcPr>
            <w:tcW w:w="2863" w:type="dxa"/>
            <w:tcBorders>
              <w:top w:val="nil"/>
              <w:left w:val="single" w:sz="4" w:space="0" w:color="auto"/>
              <w:bottom w:val="nil"/>
              <w:right w:val="single" w:sz="4" w:space="0" w:color="auto"/>
            </w:tcBorders>
          </w:tcPr>
          <w:p w14:paraId="6B505C11"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Less than 3%</w:t>
            </w:r>
          </w:p>
        </w:tc>
      </w:tr>
      <w:tr w:rsidR="00102406" w:rsidRPr="00DE1122" w14:paraId="45902AE0" w14:textId="77777777" w:rsidTr="00E315A5">
        <w:trPr>
          <w:tblHeader/>
        </w:trPr>
        <w:tc>
          <w:tcPr>
            <w:tcW w:w="1731" w:type="dxa"/>
            <w:vMerge/>
            <w:tcBorders>
              <w:left w:val="single" w:sz="4" w:space="0" w:color="auto"/>
              <w:right w:val="single" w:sz="4" w:space="0" w:color="auto"/>
            </w:tcBorders>
          </w:tcPr>
          <w:p w14:paraId="74E45D24"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nil"/>
              <w:right w:val="single" w:sz="4" w:space="0" w:color="auto"/>
            </w:tcBorders>
          </w:tcPr>
          <w:p w14:paraId="77D6358C" w14:textId="77777777" w:rsidR="00102406" w:rsidRPr="00DE1122" w:rsidRDefault="00102406" w:rsidP="008A2254">
            <w:pPr>
              <w:pStyle w:val="ListParagraph"/>
              <w:numPr>
                <w:ilvl w:val="0"/>
                <w:numId w:val="34"/>
              </w:numPr>
              <w:spacing w:after="120" w:line="240" w:lineRule="auto"/>
              <w:ind w:left="348"/>
              <w:rPr>
                <w:rFonts w:ascii="Arial" w:hAnsi="Arial" w:cs="Arial"/>
                <w:sz w:val="16"/>
                <w:szCs w:val="16"/>
              </w:rPr>
            </w:pPr>
            <w:r w:rsidRPr="00DE1122">
              <w:rPr>
                <w:rFonts w:ascii="Arial" w:hAnsi="Arial" w:cs="Arial"/>
                <w:sz w:val="16"/>
                <w:szCs w:val="16"/>
              </w:rPr>
              <w:t>Value of goods and services procured from Indigenous suppliers by IBA</w:t>
            </w:r>
            <w:r>
              <w:rPr>
                <w:rFonts w:ascii="Arial" w:hAnsi="Arial" w:cs="Arial"/>
                <w:sz w:val="16"/>
                <w:szCs w:val="16"/>
              </w:rPr>
              <w:t xml:space="preserve"> (</w:t>
            </w:r>
            <w:r w:rsidRPr="00DE1122">
              <w:rPr>
                <w:rFonts w:ascii="Arial" w:hAnsi="Arial" w:cs="Arial"/>
                <w:sz w:val="16"/>
                <w:szCs w:val="16"/>
              </w:rPr>
              <w:t>not including subsidiaries</w:t>
            </w:r>
            <w:r>
              <w:rPr>
                <w:rFonts w:ascii="Arial" w:hAnsi="Arial" w:cs="Arial"/>
                <w:sz w:val="16"/>
                <w:szCs w:val="16"/>
              </w:rPr>
              <w:t>)</w:t>
            </w:r>
          </w:p>
        </w:tc>
        <w:tc>
          <w:tcPr>
            <w:tcW w:w="2863" w:type="dxa"/>
            <w:tcBorders>
              <w:top w:val="nil"/>
              <w:left w:val="single" w:sz="4" w:space="0" w:color="auto"/>
              <w:bottom w:val="nil"/>
              <w:right w:val="single" w:sz="4" w:space="0" w:color="auto"/>
            </w:tcBorders>
          </w:tcPr>
          <w:p w14:paraId="6FD12548" w14:textId="77777777" w:rsidR="00102406" w:rsidRPr="00DE1122" w:rsidRDefault="00102406" w:rsidP="008A2254">
            <w:pPr>
              <w:numPr>
                <w:ilvl w:val="0"/>
                <w:numId w:val="35"/>
              </w:numPr>
              <w:tabs>
                <w:tab w:val="left" w:pos="555"/>
              </w:tabs>
              <w:spacing w:before="60" w:after="120" w:line="276" w:lineRule="auto"/>
              <w:contextualSpacing/>
              <w:jc w:val="left"/>
              <w:rPr>
                <w:rFonts w:ascii="Arial" w:hAnsi="Arial" w:cs="Arial"/>
                <w:sz w:val="16"/>
                <w:szCs w:val="16"/>
                <w:lang w:val="en-US"/>
              </w:rPr>
            </w:pPr>
            <w:r w:rsidRPr="00DE1122">
              <w:rPr>
                <w:rFonts w:ascii="Arial" w:hAnsi="Arial" w:cs="Arial"/>
                <w:sz w:val="16"/>
                <w:szCs w:val="16"/>
                <w:lang w:val="en-US"/>
              </w:rPr>
              <w:t>$</w:t>
            </w:r>
            <w:r>
              <w:rPr>
                <w:rFonts w:ascii="Arial" w:hAnsi="Arial" w:cs="Arial"/>
                <w:sz w:val="16"/>
                <w:szCs w:val="16"/>
                <w:lang w:val="en-US"/>
              </w:rPr>
              <w:t>5.0</w:t>
            </w:r>
            <w:r w:rsidRPr="00DE1122">
              <w:rPr>
                <w:rFonts w:ascii="Arial" w:hAnsi="Arial" w:cs="Arial"/>
                <w:sz w:val="16"/>
                <w:szCs w:val="16"/>
                <w:lang w:val="en-US"/>
              </w:rPr>
              <w:t>m</w:t>
            </w:r>
          </w:p>
        </w:tc>
      </w:tr>
      <w:tr w:rsidR="00102406" w:rsidRPr="00DE1122" w14:paraId="7D8A03D4" w14:textId="77777777" w:rsidTr="00E315A5">
        <w:trPr>
          <w:tblHeader/>
        </w:trPr>
        <w:tc>
          <w:tcPr>
            <w:tcW w:w="1731" w:type="dxa"/>
            <w:vMerge/>
            <w:tcBorders>
              <w:left w:val="single" w:sz="4" w:space="0" w:color="auto"/>
              <w:bottom w:val="single" w:sz="6" w:space="0" w:color="auto"/>
              <w:right w:val="single" w:sz="4" w:space="0" w:color="auto"/>
            </w:tcBorders>
          </w:tcPr>
          <w:p w14:paraId="46C9A69F" w14:textId="77777777" w:rsidR="00102406" w:rsidRPr="00DE1122" w:rsidRDefault="00102406" w:rsidP="00E315A5">
            <w:pPr>
              <w:spacing w:after="0" w:line="240" w:lineRule="auto"/>
              <w:jc w:val="left"/>
              <w:rPr>
                <w:rFonts w:asciiTheme="minorHAnsi" w:hAnsiTheme="minorHAnsi"/>
              </w:rPr>
            </w:pPr>
          </w:p>
        </w:tc>
        <w:tc>
          <w:tcPr>
            <w:tcW w:w="3086" w:type="dxa"/>
            <w:tcBorders>
              <w:top w:val="nil"/>
              <w:left w:val="single" w:sz="4" w:space="0" w:color="auto"/>
              <w:bottom w:val="single" w:sz="4" w:space="0" w:color="auto"/>
              <w:right w:val="single" w:sz="4" w:space="0" w:color="auto"/>
            </w:tcBorders>
          </w:tcPr>
          <w:p w14:paraId="4109F409" w14:textId="77777777" w:rsidR="00102406" w:rsidRPr="00DE1122" w:rsidRDefault="00102406" w:rsidP="008A2254">
            <w:pPr>
              <w:pStyle w:val="ListParagraph"/>
              <w:numPr>
                <w:ilvl w:val="0"/>
                <w:numId w:val="34"/>
              </w:numPr>
              <w:spacing w:after="0" w:line="240" w:lineRule="auto"/>
              <w:rPr>
                <w:rFonts w:ascii="Arial" w:hAnsi="Arial" w:cs="Arial"/>
                <w:sz w:val="16"/>
                <w:szCs w:val="16"/>
              </w:rPr>
            </w:pPr>
            <w:r w:rsidRPr="00DE1122">
              <w:rPr>
                <w:rFonts w:ascii="Arial" w:hAnsi="Arial" w:cs="Arial"/>
                <w:sz w:val="16"/>
                <w:szCs w:val="16"/>
              </w:rPr>
              <w:t xml:space="preserve">Implementation of IBA’s </w:t>
            </w:r>
            <w:r w:rsidR="007E4214">
              <w:rPr>
                <w:rFonts w:ascii="Arial" w:hAnsi="Arial" w:cs="Arial"/>
                <w:sz w:val="16"/>
                <w:szCs w:val="16"/>
              </w:rPr>
              <w:t>i</w:t>
            </w:r>
            <w:r w:rsidRPr="00DE1122">
              <w:rPr>
                <w:rFonts w:ascii="Arial" w:hAnsi="Arial" w:cs="Arial"/>
                <w:sz w:val="16"/>
                <w:szCs w:val="16"/>
              </w:rPr>
              <w:t>mpact</w:t>
            </w:r>
            <w:r w:rsidR="007E4214">
              <w:rPr>
                <w:rFonts w:ascii="Arial" w:hAnsi="Arial" w:cs="Arial"/>
                <w:sz w:val="16"/>
                <w:szCs w:val="16"/>
              </w:rPr>
              <w:t>, evaluation and p</w:t>
            </w:r>
            <w:r>
              <w:rPr>
                <w:rFonts w:ascii="Arial" w:hAnsi="Arial" w:cs="Arial"/>
                <w:sz w:val="16"/>
                <w:szCs w:val="16"/>
              </w:rPr>
              <w:t xml:space="preserve">erformance </w:t>
            </w:r>
            <w:r w:rsidR="007E4214">
              <w:rPr>
                <w:rFonts w:ascii="Arial" w:hAnsi="Arial" w:cs="Arial"/>
                <w:sz w:val="16"/>
                <w:szCs w:val="16"/>
              </w:rPr>
              <w:t>f</w:t>
            </w:r>
            <w:r w:rsidRPr="00DE1122">
              <w:rPr>
                <w:rFonts w:ascii="Arial" w:hAnsi="Arial" w:cs="Arial"/>
                <w:sz w:val="16"/>
                <w:szCs w:val="16"/>
              </w:rPr>
              <w:t>ramework</w:t>
            </w:r>
            <w:r>
              <w:rPr>
                <w:rFonts w:ascii="Arial" w:hAnsi="Arial" w:cs="Arial"/>
                <w:sz w:val="16"/>
                <w:szCs w:val="16"/>
              </w:rPr>
              <w:t>s</w:t>
            </w:r>
          </w:p>
        </w:tc>
        <w:tc>
          <w:tcPr>
            <w:tcW w:w="2863" w:type="dxa"/>
            <w:tcBorders>
              <w:top w:val="nil"/>
              <w:left w:val="single" w:sz="4" w:space="0" w:color="auto"/>
              <w:bottom w:val="single" w:sz="6" w:space="0" w:color="auto"/>
              <w:right w:val="single" w:sz="4" w:space="0" w:color="auto"/>
            </w:tcBorders>
          </w:tcPr>
          <w:p w14:paraId="35E3C1AE" w14:textId="77777777" w:rsidR="00102406" w:rsidRPr="00DE1122" w:rsidRDefault="00102406" w:rsidP="008A2254">
            <w:pPr>
              <w:numPr>
                <w:ilvl w:val="0"/>
                <w:numId w:val="35"/>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Undertake impact research in line with IBA’s impact, Evaluation and Performance frameworks that deliver recommendations with a clear path to improving customer outcomes</w:t>
            </w:r>
          </w:p>
        </w:tc>
      </w:tr>
    </w:tbl>
    <w:p w14:paraId="32C1D121" w14:textId="77777777" w:rsidR="00102406" w:rsidRPr="00DE1122" w:rsidRDefault="00102406" w:rsidP="00102406">
      <w:pPr>
        <w:keepNext/>
        <w:spacing w:after="20" w:line="240" w:lineRule="auto"/>
        <w:jc w:val="left"/>
        <w:rPr>
          <w:rFonts w:ascii="Arial" w:hAnsi="Arial"/>
          <w:b/>
          <w:color w:val="000000"/>
          <w:lang w:val="x-none" w:eastAsia="x-none"/>
        </w:rPr>
      </w:pPr>
    </w:p>
    <w:p w14:paraId="5080B53B" w14:textId="77777777" w:rsidR="00102406" w:rsidRPr="00DE1122" w:rsidRDefault="00102406" w:rsidP="00102406">
      <w:pPr>
        <w:spacing w:after="0" w:line="240" w:lineRule="auto"/>
        <w:jc w:val="left"/>
        <w:rPr>
          <w:rFonts w:ascii="Arial" w:hAnsi="Arial"/>
          <w:b/>
          <w:color w:val="000000"/>
          <w:lang w:eastAsia="x-none"/>
        </w:rPr>
      </w:pPr>
      <w:r w:rsidRPr="00DE1122">
        <w:rPr>
          <w:rFonts w:ascii="Arial" w:hAnsi="Arial"/>
          <w:b/>
          <w:color w:val="000000"/>
          <w:lang w:val="x-none" w:eastAsia="x-none"/>
        </w:rPr>
        <w:br w:type="page"/>
      </w:r>
    </w:p>
    <w:p w14:paraId="74B574E4" w14:textId="77777777" w:rsidR="00102406" w:rsidRPr="00DE1122" w:rsidRDefault="00102406" w:rsidP="00102406">
      <w:pPr>
        <w:keepNext/>
        <w:spacing w:after="20" w:line="240" w:lineRule="auto"/>
        <w:jc w:val="left"/>
        <w:rPr>
          <w:rFonts w:ascii="Arial" w:hAnsi="Arial"/>
          <w:b/>
          <w:color w:val="000000"/>
          <w:lang w:eastAsia="x-none"/>
        </w:rPr>
      </w:pPr>
      <w:r w:rsidRPr="00DE1122">
        <w:rPr>
          <w:rFonts w:ascii="Arial" w:hAnsi="Arial"/>
          <w:b/>
          <w:color w:val="000000"/>
          <w:lang w:val="x-none" w:eastAsia="x-none"/>
        </w:rPr>
        <w:t>Table 2.1.</w:t>
      </w:r>
      <w:r>
        <w:rPr>
          <w:rFonts w:ascii="Arial" w:hAnsi="Arial"/>
          <w:b/>
          <w:color w:val="000000"/>
          <w:lang w:eastAsia="x-none"/>
        </w:rPr>
        <w:t>2</w:t>
      </w:r>
      <w:r w:rsidRPr="00DE1122">
        <w:rPr>
          <w:rFonts w:ascii="Arial" w:hAnsi="Arial"/>
          <w:b/>
          <w:color w:val="000000"/>
          <w:lang w:val="x-none" w:eastAsia="x-none"/>
        </w:rPr>
        <w:t xml:space="preserve">: Performance </w:t>
      </w:r>
      <w:r>
        <w:rPr>
          <w:rFonts w:ascii="Arial" w:hAnsi="Arial"/>
          <w:b/>
          <w:color w:val="000000"/>
          <w:lang w:eastAsia="x-none"/>
        </w:rPr>
        <w:t>measure</w:t>
      </w:r>
      <w:r w:rsidRPr="00DE1122">
        <w:rPr>
          <w:rFonts w:ascii="Arial" w:hAnsi="Arial"/>
          <w:b/>
          <w:color w:val="000000"/>
          <w:lang w:val="x-none" w:eastAsia="x-none"/>
        </w:rPr>
        <w:t xml:space="preserve"> for Outcome 1</w:t>
      </w:r>
      <w:r w:rsidRPr="00DE1122">
        <w:rPr>
          <w:rFonts w:ascii="Arial" w:hAnsi="Arial"/>
          <w:b/>
          <w:color w:val="000000"/>
          <w:lang w:eastAsia="x-none"/>
        </w:rPr>
        <w:t xml:space="preserve"> (continued)</w:t>
      </w:r>
    </w:p>
    <w:tbl>
      <w:tblPr>
        <w:tblStyle w:val="TableGrid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1"/>
        <w:gridCol w:w="3086"/>
        <w:gridCol w:w="2863"/>
      </w:tblGrid>
      <w:tr w:rsidR="007E4214" w:rsidRPr="00DE1122" w14:paraId="3B777F86" w14:textId="77777777" w:rsidTr="007E4214">
        <w:trPr>
          <w:tblHeader/>
        </w:trPr>
        <w:tc>
          <w:tcPr>
            <w:tcW w:w="1731" w:type="dxa"/>
            <w:tcBorders>
              <w:top w:val="single" w:sz="6" w:space="0" w:color="auto"/>
              <w:left w:val="single" w:sz="4" w:space="0" w:color="auto"/>
              <w:bottom w:val="single" w:sz="6" w:space="0" w:color="auto"/>
            </w:tcBorders>
            <w:vAlign w:val="center"/>
          </w:tcPr>
          <w:p w14:paraId="70525493" w14:textId="77777777" w:rsidR="007E4214" w:rsidRPr="00DE1122" w:rsidRDefault="007E4214" w:rsidP="007E4214">
            <w:pPr>
              <w:spacing w:after="0" w:line="240" w:lineRule="auto"/>
              <w:jc w:val="left"/>
              <w:rPr>
                <w:rFonts w:ascii="Arial" w:hAnsi="Arial" w:cs="Arial"/>
                <w:sz w:val="16"/>
                <w:szCs w:val="16"/>
              </w:rPr>
            </w:pPr>
            <w:r w:rsidRPr="00DE1122">
              <w:rPr>
                <w:rFonts w:ascii="Arial" w:hAnsi="Arial" w:cs="Arial"/>
                <w:b/>
                <w:sz w:val="16"/>
                <w:szCs w:val="16"/>
              </w:rPr>
              <w:t>Year</w:t>
            </w:r>
          </w:p>
        </w:tc>
        <w:tc>
          <w:tcPr>
            <w:tcW w:w="3086" w:type="dxa"/>
            <w:tcBorders>
              <w:top w:val="single" w:sz="6" w:space="0" w:color="auto"/>
              <w:bottom w:val="nil"/>
            </w:tcBorders>
            <w:vAlign w:val="center"/>
          </w:tcPr>
          <w:p w14:paraId="21836E16" w14:textId="77777777" w:rsidR="007E4214" w:rsidRPr="00DE1122" w:rsidRDefault="007E4214" w:rsidP="007E4214">
            <w:pPr>
              <w:spacing w:before="120" w:after="120" w:line="240" w:lineRule="auto"/>
              <w:ind w:right="142"/>
              <w:contextualSpacing/>
              <w:jc w:val="left"/>
              <w:rPr>
                <w:rFonts w:ascii="Arial" w:hAnsi="Arial" w:cs="Arial"/>
                <w:sz w:val="16"/>
                <w:szCs w:val="16"/>
                <w:lang w:val="en-US"/>
              </w:rPr>
            </w:pPr>
            <w:r>
              <w:rPr>
                <w:rFonts w:ascii="Arial" w:hAnsi="Arial" w:cs="Arial"/>
                <w:b/>
                <w:sz w:val="16"/>
                <w:szCs w:val="16"/>
              </w:rPr>
              <w:t>Performance measures</w:t>
            </w:r>
          </w:p>
        </w:tc>
        <w:tc>
          <w:tcPr>
            <w:tcW w:w="2863" w:type="dxa"/>
            <w:tcBorders>
              <w:top w:val="single" w:sz="6" w:space="0" w:color="auto"/>
              <w:bottom w:val="nil"/>
              <w:right w:val="single" w:sz="4" w:space="0" w:color="auto"/>
            </w:tcBorders>
            <w:vAlign w:val="center"/>
          </w:tcPr>
          <w:p w14:paraId="4A22FE02" w14:textId="77777777" w:rsidR="007E4214" w:rsidRPr="007E4214" w:rsidRDefault="007E4214" w:rsidP="007E4214">
            <w:pPr>
              <w:tabs>
                <w:tab w:val="left" w:pos="555"/>
              </w:tabs>
              <w:spacing w:before="60" w:after="0"/>
              <w:jc w:val="left"/>
              <w:rPr>
                <w:rFonts w:ascii="Arial" w:hAnsi="Arial" w:cs="Arial"/>
                <w:sz w:val="16"/>
                <w:szCs w:val="16"/>
              </w:rPr>
            </w:pPr>
            <w:r w:rsidRPr="00DE1122">
              <w:rPr>
                <w:rFonts w:ascii="Arial" w:hAnsi="Arial" w:cs="Arial"/>
                <w:b/>
                <w:sz w:val="16"/>
                <w:szCs w:val="16"/>
              </w:rPr>
              <w:t>Expected Performance Results</w:t>
            </w:r>
          </w:p>
        </w:tc>
      </w:tr>
      <w:tr w:rsidR="00102406" w:rsidRPr="00DE1122" w14:paraId="66D220EA" w14:textId="77777777" w:rsidTr="00E315A5">
        <w:trPr>
          <w:tblHeader/>
        </w:trPr>
        <w:tc>
          <w:tcPr>
            <w:tcW w:w="1731" w:type="dxa"/>
            <w:vMerge w:val="restart"/>
            <w:tcBorders>
              <w:top w:val="single" w:sz="6" w:space="0" w:color="auto"/>
              <w:left w:val="single" w:sz="4" w:space="0" w:color="auto"/>
              <w:bottom w:val="single" w:sz="6" w:space="0" w:color="auto"/>
            </w:tcBorders>
          </w:tcPr>
          <w:p w14:paraId="726407A0" w14:textId="77777777" w:rsidR="00102406" w:rsidRPr="00DE1122" w:rsidRDefault="00102406" w:rsidP="00E315A5">
            <w:pPr>
              <w:spacing w:after="0" w:line="240" w:lineRule="auto"/>
              <w:jc w:val="left"/>
              <w:rPr>
                <w:rFonts w:ascii="Arial" w:hAnsi="Arial" w:cs="Arial"/>
                <w:sz w:val="16"/>
                <w:szCs w:val="16"/>
              </w:rPr>
            </w:pPr>
            <w:r w:rsidRPr="00DE1122">
              <w:rPr>
                <w:rFonts w:ascii="Arial" w:hAnsi="Arial" w:cs="Arial"/>
                <w:sz w:val="16"/>
                <w:szCs w:val="16"/>
              </w:rPr>
              <w:t xml:space="preserve">Forward </w:t>
            </w:r>
          </w:p>
          <w:p w14:paraId="02857E10" w14:textId="77777777" w:rsidR="00102406" w:rsidRPr="00DE1122" w:rsidRDefault="00102406" w:rsidP="00E315A5">
            <w:pPr>
              <w:spacing w:after="0" w:line="240" w:lineRule="auto"/>
              <w:jc w:val="left"/>
              <w:rPr>
                <w:rFonts w:ascii="Arial" w:hAnsi="Arial" w:cs="Arial"/>
                <w:sz w:val="16"/>
                <w:szCs w:val="16"/>
              </w:rPr>
            </w:pPr>
            <w:r w:rsidRPr="00DE1122">
              <w:rPr>
                <w:rFonts w:ascii="Arial" w:hAnsi="Arial" w:cs="Arial"/>
                <w:sz w:val="16"/>
                <w:szCs w:val="16"/>
              </w:rPr>
              <w:t>Estimates</w:t>
            </w:r>
          </w:p>
          <w:p w14:paraId="5641E5E2" w14:textId="77777777" w:rsidR="00102406" w:rsidRDefault="00102406" w:rsidP="00E315A5">
            <w:pPr>
              <w:spacing w:after="0" w:line="240" w:lineRule="auto"/>
              <w:jc w:val="left"/>
              <w:rPr>
                <w:rFonts w:ascii="Arial" w:hAnsi="Arial" w:cs="Arial"/>
                <w:sz w:val="16"/>
                <w:szCs w:val="16"/>
              </w:rPr>
            </w:pPr>
          </w:p>
          <w:p w14:paraId="391CE02D" w14:textId="77777777" w:rsidR="00102406" w:rsidRPr="00DE1122" w:rsidRDefault="00102406" w:rsidP="00E315A5">
            <w:pPr>
              <w:spacing w:after="0" w:line="240" w:lineRule="auto"/>
              <w:jc w:val="left"/>
              <w:rPr>
                <w:rFonts w:asciiTheme="minorHAnsi" w:hAnsiTheme="minorHAnsi"/>
              </w:rPr>
            </w:pPr>
            <w:r w:rsidRPr="00DE1122">
              <w:rPr>
                <w:rFonts w:ascii="Arial" w:hAnsi="Arial" w:cs="Arial"/>
                <w:sz w:val="16"/>
                <w:szCs w:val="16"/>
              </w:rPr>
              <w:t>2023-26</w:t>
            </w:r>
          </w:p>
          <w:p w14:paraId="23D0FD5C" w14:textId="77777777" w:rsidR="00102406" w:rsidRPr="00DE1122" w:rsidRDefault="00102406" w:rsidP="00E315A5">
            <w:pPr>
              <w:rPr>
                <w:rFonts w:asciiTheme="minorHAnsi" w:hAnsiTheme="minorHAnsi"/>
              </w:rPr>
            </w:pPr>
          </w:p>
          <w:p w14:paraId="23947230" w14:textId="77777777" w:rsidR="00102406" w:rsidRPr="00DE1122" w:rsidRDefault="00102406" w:rsidP="00E315A5">
            <w:pPr>
              <w:rPr>
                <w:rFonts w:asciiTheme="minorHAnsi" w:hAnsiTheme="minorHAnsi"/>
              </w:rPr>
            </w:pPr>
          </w:p>
          <w:p w14:paraId="10ED6505" w14:textId="77777777" w:rsidR="00102406" w:rsidRPr="00DE1122" w:rsidRDefault="00102406" w:rsidP="00E315A5">
            <w:pPr>
              <w:rPr>
                <w:rFonts w:asciiTheme="minorHAnsi" w:hAnsiTheme="minorHAnsi"/>
              </w:rPr>
            </w:pPr>
          </w:p>
          <w:p w14:paraId="7E493286" w14:textId="77777777" w:rsidR="00102406" w:rsidRPr="00DE1122" w:rsidRDefault="00102406" w:rsidP="00E315A5">
            <w:pPr>
              <w:rPr>
                <w:rFonts w:asciiTheme="minorHAnsi" w:hAnsiTheme="minorHAnsi"/>
              </w:rPr>
            </w:pPr>
          </w:p>
          <w:p w14:paraId="59244A58" w14:textId="77777777" w:rsidR="00102406" w:rsidRPr="00DE1122" w:rsidRDefault="00102406" w:rsidP="00E315A5">
            <w:pPr>
              <w:rPr>
                <w:rFonts w:asciiTheme="minorHAnsi" w:hAnsiTheme="minorHAnsi"/>
              </w:rPr>
            </w:pPr>
          </w:p>
          <w:p w14:paraId="604501FC" w14:textId="77777777" w:rsidR="00102406" w:rsidRPr="00DE1122" w:rsidRDefault="00102406" w:rsidP="00E315A5">
            <w:pPr>
              <w:rPr>
                <w:rFonts w:asciiTheme="minorHAnsi" w:hAnsiTheme="minorHAnsi"/>
              </w:rPr>
            </w:pPr>
          </w:p>
        </w:tc>
        <w:tc>
          <w:tcPr>
            <w:tcW w:w="3086" w:type="dxa"/>
            <w:tcBorders>
              <w:top w:val="single" w:sz="6" w:space="0" w:color="auto"/>
              <w:bottom w:val="nil"/>
            </w:tcBorders>
          </w:tcPr>
          <w:p w14:paraId="526A0F97"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Number of home ownership outcomes approved</w:t>
            </w:r>
          </w:p>
        </w:tc>
        <w:tc>
          <w:tcPr>
            <w:tcW w:w="2863" w:type="dxa"/>
            <w:tcBorders>
              <w:top w:val="single" w:sz="6" w:space="0" w:color="auto"/>
              <w:bottom w:val="nil"/>
              <w:right w:val="single" w:sz="4" w:space="0" w:color="auto"/>
            </w:tcBorders>
          </w:tcPr>
          <w:p w14:paraId="49E4F50A" w14:textId="77777777" w:rsidR="00102406" w:rsidRPr="00DE1122" w:rsidRDefault="00102406" w:rsidP="008A2254">
            <w:pPr>
              <w:pStyle w:val="ListParagraph"/>
              <w:numPr>
                <w:ilvl w:val="0"/>
                <w:numId w:val="37"/>
              </w:numPr>
              <w:tabs>
                <w:tab w:val="left" w:pos="555"/>
              </w:tabs>
              <w:spacing w:before="60" w:after="0"/>
              <w:rPr>
                <w:rFonts w:ascii="Arial" w:hAnsi="Arial" w:cs="Arial"/>
                <w:sz w:val="16"/>
                <w:szCs w:val="16"/>
              </w:rPr>
            </w:pPr>
            <w:r w:rsidRPr="00DE1122">
              <w:rPr>
                <w:rFonts w:ascii="Arial" w:hAnsi="Arial" w:cs="Arial"/>
                <w:sz w:val="16"/>
                <w:szCs w:val="16"/>
              </w:rPr>
              <w:t>5</w:t>
            </w:r>
            <w:r>
              <w:rPr>
                <w:rFonts w:ascii="Arial" w:hAnsi="Arial" w:cs="Arial"/>
                <w:sz w:val="16"/>
                <w:szCs w:val="16"/>
              </w:rPr>
              <w:t>8</w:t>
            </w:r>
            <w:r w:rsidRPr="00DE1122">
              <w:rPr>
                <w:rFonts w:ascii="Arial" w:hAnsi="Arial" w:cs="Arial"/>
                <w:sz w:val="16"/>
                <w:szCs w:val="16"/>
              </w:rPr>
              <w:t>5 (</w:t>
            </w:r>
            <w:r>
              <w:rPr>
                <w:rFonts w:ascii="Arial" w:hAnsi="Arial" w:cs="Arial"/>
                <w:sz w:val="16"/>
                <w:szCs w:val="16"/>
              </w:rPr>
              <w:t>2023-24</w:t>
            </w:r>
            <w:r w:rsidRPr="00DE1122">
              <w:rPr>
                <w:rFonts w:ascii="Arial" w:hAnsi="Arial" w:cs="Arial"/>
                <w:sz w:val="16"/>
                <w:szCs w:val="16"/>
              </w:rPr>
              <w:t xml:space="preserve">), </w:t>
            </w:r>
            <w:r>
              <w:rPr>
                <w:rFonts w:ascii="Arial" w:hAnsi="Arial" w:cs="Arial"/>
                <w:sz w:val="16"/>
                <w:szCs w:val="16"/>
              </w:rPr>
              <w:t>600</w:t>
            </w:r>
            <w:r w:rsidRPr="00DE1122">
              <w:rPr>
                <w:rFonts w:ascii="Arial" w:hAnsi="Arial" w:cs="Arial"/>
                <w:sz w:val="16"/>
                <w:szCs w:val="16"/>
              </w:rPr>
              <w:t xml:space="preserve"> (</w:t>
            </w:r>
            <w:r>
              <w:rPr>
                <w:rFonts w:ascii="Arial" w:hAnsi="Arial" w:cs="Arial"/>
                <w:sz w:val="16"/>
                <w:szCs w:val="16"/>
              </w:rPr>
              <w:t>2024-25</w:t>
            </w:r>
            <w:r w:rsidRPr="00DE1122">
              <w:rPr>
                <w:rFonts w:ascii="Arial" w:hAnsi="Arial" w:cs="Arial"/>
                <w:sz w:val="16"/>
                <w:szCs w:val="16"/>
              </w:rPr>
              <w:t>), 6</w:t>
            </w:r>
            <w:r>
              <w:rPr>
                <w:rFonts w:ascii="Arial" w:hAnsi="Arial" w:cs="Arial"/>
                <w:sz w:val="16"/>
                <w:szCs w:val="16"/>
              </w:rPr>
              <w:t>20</w:t>
            </w:r>
            <w:r w:rsidRPr="00DE1122">
              <w:rPr>
                <w:rFonts w:ascii="Arial" w:hAnsi="Arial" w:cs="Arial"/>
                <w:sz w:val="16"/>
                <w:szCs w:val="16"/>
              </w:rPr>
              <w:t xml:space="preserve"> (</w:t>
            </w:r>
            <w:r>
              <w:rPr>
                <w:rFonts w:ascii="Arial" w:hAnsi="Arial" w:cs="Arial"/>
                <w:sz w:val="16"/>
                <w:szCs w:val="16"/>
              </w:rPr>
              <w:t>2025-26</w:t>
            </w:r>
            <w:r w:rsidRPr="00DE1122">
              <w:rPr>
                <w:rFonts w:ascii="Arial" w:hAnsi="Arial" w:cs="Arial"/>
                <w:sz w:val="16"/>
                <w:szCs w:val="16"/>
              </w:rPr>
              <w:t>)</w:t>
            </w:r>
          </w:p>
          <w:p w14:paraId="6F994AA9" w14:textId="77777777" w:rsidR="00102406" w:rsidRPr="00DE1122" w:rsidRDefault="00102406" w:rsidP="00E315A5">
            <w:pPr>
              <w:tabs>
                <w:tab w:val="left" w:pos="555"/>
              </w:tabs>
              <w:spacing w:before="60" w:after="0" w:line="276" w:lineRule="auto"/>
              <w:ind w:left="360"/>
              <w:contextualSpacing/>
              <w:jc w:val="left"/>
              <w:rPr>
                <w:rFonts w:ascii="Arial" w:eastAsia="Calibri" w:hAnsi="Arial" w:cs="Arial"/>
                <w:sz w:val="16"/>
                <w:szCs w:val="16"/>
                <w:lang w:val="en-US"/>
              </w:rPr>
            </w:pPr>
          </w:p>
        </w:tc>
      </w:tr>
      <w:tr w:rsidR="00102406" w:rsidRPr="00DE1122" w14:paraId="2CB2A4D8" w14:textId="77777777" w:rsidTr="00E315A5">
        <w:trPr>
          <w:tblHeader/>
        </w:trPr>
        <w:tc>
          <w:tcPr>
            <w:tcW w:w="1731" w:type="dxa"/>
            <w:vMerge/>
            <w:tcBorders>
              <w:top w:val="single" w:sz="6" w:space="0" w:color="auto"/>
              <w:left w:val="single" w:sz="4" w:space="0" w:color="auto"/>
              <w:bottom w:val="single" w:sz="6" w:space="0" w:color="auto"/>
            </w:tcBorders>
          </w:tcPr>
          <w:p w14:paraId="2645A406"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58B24D0D"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Percentage of approved customers that are first home buyers</w:t>
            </w:r>
          </w:p>
          <w:p w14:paraId="4B42C184" w14:textId="77777777" w:rsidR="00102406" w:rsidRPr="00DE1122" w:rsidRDefault="00102406" w:rsidP="00E315A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5B06BDF7" w14:textId="77777777" w:rsidR="00102406" w:rsidRPr="00DE1122" w:rsidRDefault="00102406" w:rsidP="008A2254">
            <w:pPr>
              <w:pStyle w:val="ListParagraph"/>
              <w:numPr>
                <w:ilvl w:val="0"/>
                <w:numId w:val="37"/>
              </w:numPr>
              <w:tabs>
                <w:tab w:val="left" w:pos="555"/>
              </w:tabs>
              <w:spacing w:before="60" w:after="0"/>
              <w:rPr>
                <w:rFonts w:ascii="Arial" w:hAnsi="Arial" w:cs="Arial"/>
                <w:sz w:val="16"/>
                <w:szCs w:val="16"/>
              </w:rPr>
            </w:pPr>
            <w:r w:rsidRPr="00DE1122">
              <w:rPr>
                <w:rFonts w:ascii="Arial" w:hAnsi="Arial" w:cs="Arial"/>
                <w:sz w:val="16"/>
                <w:szCs w:val="16"/>
              </w:rPr>
              <w:t>90%</w:t>
            </w:r>
          </w:p>
        </w:tc>
      </w:tr>
      <w:tr w:rsidR="00102406" w:rsidRPr="00DE1122" w14:paraId="2413585F" w14:textId="77777777" w:rsidTr="00E315A5">
        <w:trPr>
          <w:tblHeader/>
        </w:trPr>
        <w:tc>
          <w:tcPr>
            <w:tcW w:w="1731" w:type="dxa"/>
            <w:vMerge/>
            <w:tcBorders>
              <w:top w:val="single" w:sz="6" w:space="0" w:color="auto"/>
              <w:left w:val="single" w:sz="4" w:space="0" w:color="auto"/>
              <w:bottom w:val="single" w:sz="6" w:space="0" w:color="auto"/>
            </w:tcBorders>
          </w:tcPr>
          <w:p w14:paraId="5C6AAC76"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03671B57"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 xml:space="preserve">Percentage of Indigenous home customers who transition or are supported into mainstream lending </w:t>
            </w:r>
          </w:p>
          <w:p w14:paraId="25907E5F" w14:textId="77777777" w:rsidR="00102406" w:rsidRPr="00DE1122" w:rsidRDefault="00102406" w:rsidP="00E315A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334CCAF8" w14:textId="77777777" w:rsidR="00102406" w:rsidRPr="00DE1122" w:rsidRDefault="00102406" w:rsidP="008A2254">
            <w:pPr>
              <w:pStyle w:val="ListParagraph"/>
              <w:numPr>
                <w:ilvl w:val="0"/>
                <w:numId w:val="37"/>
              </w:numPr>
              <w:tabs>
                <w:tab w:val="left" w:pos="555"/>
              </w:tabs>
              <w:spacing w:before="60" w:after="0"/>
              <w:rPr>
                <w:rFonts w:ascii="Arial" w:hAnsi="Arial" w:cs="Arial"/>
                <w:sz w:val="16"/>
                <w:szCs w:val="16"/>
              </w:rPr>
            </w:pPr>
            <w:r w:rsidRPr="00DE1122">
              <w:rPr>
                <w:rFonts w:ascii="Arial" w:hAnsi="Arial" w:cs="Arial"/>
                <w:sz w:val="16"/>
                <w:szCs w:val="16"/>
              </w:rPr>
              <w:t>4.5%</w:t>
            </w:r>
          </w:p>
        </w:tc>
      </w:tr>
      <w:tr w:rsidR="00102406" w:rsidRPr="00DE1122" w14:paraId="580950A1" w14:textId="77777777" w:rsidTr="00E315A5">
        <w:trPr>
          <w:tblHeader/>
        </w:trPr>
        <w:tc>
          <w:tcPr>
            <w:tcW w:w="1731" w:type="dxa"/>
            <w:vMerge/>
            <w:tcBorders>
              <w:top w:val="single" w:sz="6" w:space="0" w:color="auto"/>
              <w:left w:val="single" w:sz="4" w:space="0" w:color="auto"/>
              <w:bottom w:val="single" w:sz="6" w:space="0" w:color="auto"/>
            </w:tcBorders>
          </w:tcPr>
          <w:p w14:paraId="15320AE8"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3BD92A51"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Number of people attending housing capability workshops</w:t>
            </w:r>
          </w:p>
          <w:p w14:paraId="15393C92" w14:textId="77777777" w:rsidR="00102406" w:rsidRPr="00DE1122" w:rsidRDefault="00102406" w:rsidP="00E315A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4FD56A08"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5</w:t>
            </w:r>
            <w:r>
              <w:rPr>
                <w:rFonts w:ascii="Arial" w:hAnsi="Arial" w:cs="Arial"/>
                <w:sz w:val="16"/>
                <w:szCs w:val="16"/>
              </w:rPr>
              <w:t>50</w:t>
            </w:r>
            <w:r w:rsidRPr="00DE1122">
              <w:rPr>
                <w:rFonts w:ascii="Arial" w:hAnsi="Arial" w:cs="Arial"/>
                <w:sz w:val="16"/>
                <w:szCs w:val="16"/>
              </w:rPr>
              <w:t xml:space="preserve"> (</w:t>
            </w:r>
            <w:r>
              <w:rPr>
                <w:rFonts w:ascii="Arial" w:hAnsi="Arial" w:cs="Arial"/>
                <w:sz w:val="16"/>
                <w:szCs w:val="16"/>
              </w:rPr>
              <w:t>2023-24</w:t>
            </w:r>
            <w:r w:rsidRPr="00DE1122">
              <w:rPr>
                <w:rFonts w:ascii="Arial" w:hAnsi="Arial" w:cs="Arial"/>
                <w:sz w:val="16"/>
                <w:szCs w:val="16"/>
              </w:rPr>
              <w:t>), 5</w:t>
            </w:r>
            <w:r>
              <w:rPr>
                <w:rFonts w:ascii="Arial" w:hAnsi="Arial" w:cs="Arial"/>
                <w:sz w:val="16"/>
                <w:szCs w:val="16"/>
              </w:rPr>
              <w:t>75</w:t>
            </w:r>
            <w:r w:rsidRPr="00DE1122">
              <w:rPr>
                <w:rFonts w:ascii="Arial" w:hAnsi="Arial" w:cs="Arial"/>
                <w:sz w:val="16"/>
                <w:szCs w:val="16"/>
              </w:rPr>
              <w:t xml:space="preserve"> (</w:t>
            </w:r>
            <w:r>
              <w:rPr>
                <w:rFonts w:ascii="Arial" w:hAnsi="Arial" w:cs="Arial"/>
                <w:sz w:val="16"/>
                <w:szCs w:val="16"/>
              </w:rPr>
              <w:t>2024-25</w:t>
            </w:r>
            <w:r w:rsidRPr="00DE1122">
              <w:rPr>
                <w:rFonts w:ascii="Arial" w:hAnsi="Arial" w:cs="Arial"/>
                <w:sz w:val="16"/>
                <w:szCs w:val="16"/>
              </w:rPr>
              <w:t xml:space="preserve">), </w:t>
            </w:r>
            <w:r>
              <w:rPr>
                <w:rFonts w:ascii="Arial" w:hAnsi="Arial" w:cs="Arial"/>
                <w:sz w:val="16"/>
                <w:szCs w:val="16"/>
              </w:rPr>
              <w:t>600</w:t>
            </w:r>
            <w:r w:rsidRPr="00DE1122">
              <w:rPr>
                <w:rFonts w:ascii="Arial" w:hAnsi="Arial" w:cs="Arial"/>
                <w:sz w:val="16"/>
                <w:szCs w:val="16"/>
              </w:rPr>
              <w:t xml:space="preserve"> (</w:t>
            </w:r>
            <w:r>
              <w:rPr>
                <w:rFonts w:ascii="Arial" w:hAnsi="Arial" w:cs="Arial"/>
                <w:sz w:val="16"/>
                <w:szCs w:val="16"/>
              </w:rPr>
              <w:t>2025-26</w:t>
            </w:r>
            <w:r w:rsidRPr="00DE1122">
              <w:rPr>
                <w:rFonts w:ascii="Arial" w:hAnsi="Arial" w:cs="Arial"/>
                <w:sz w:val="16"/>
                <w:szCs w:val="16"/>
              </w:rPr>
              <w:t>)</w:t>
            </w:r>
          </w:p>
          <w:p w14:paraId="49518933" w14:textId="77777777" w:rsidR="00102406" w:rsidRPr="00DE1122" w:rsidRDefault="00102406" w:rsidP="00E315A5">
            <w:pPr>
              <w:pStyle w:val="ListParagraph"/>
              <w:tabs>
                <w:tab w:val="left" w:pos="555"/>
              </w:tabs>
              <w:spacing w:before="60" w:after="60"/>
              <w:ind w:left="360"/>
              <w:rPr>
                <w:rFonts w:ascii="Arial" w:hAnsi="Arial" w:cs="Arial"/>
                <w:sz w:val="16"/>
                <w:szCs w:val="16"/>
              </w:rPr>
            </w:pPr>
          </w:p>
        </w:tc>
      </w:tr>
      <w:tr w:rsidR="00102406" w:rsidRPr="00DE1122" w14:paraId="39F9C87F" w14:textId="77777777" w:rsidTr="00E315A5">
        <w:trPr>
          <w:trHeight w:val="626"/>
          <w:tblHeader/>
        </w:trPr>
        <w:tc>
          <w:tcPr>
            <w:tcW w:w="1731" w:type="dxa"/>
            <w:vMerge/>
            <w:tcBorders>
              <w:top w:val="single" w:sz="6" w:space="0" w:color="auto"/>
              <w:left w:val="single" w:sz="4" w:space="0" w:color="auto"/>
              <w:bottom w:val="single" w:sz="6" w:space="0" w:color="auto"/>
            </w:tcBorders>
          </w:tcPr>
          <w:p w14:paraId="786707ED"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23A80E54"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Percentage of home customers satisfied or very satisfied with IBA’s service</w:t>
            </w:r>
          </w:p>
        </w:tc>
        <w:tc>
          <w:tcPr>
            <w:tcW w:w="2863" w:type="dxa"/>
            <w:tcBorders>
              <w:top w:val="nil"/>
              <w:bottom w:val="nil"/>
              <w:right w:val="single" w:sz="4" w:space="0" w:color="auto"/>
            </w:tcBorders>
          </w:tcPr>
          <w:p w14:paraId="013A707B"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80%</w:t>
            </w:r>
          </w:p>
        </w:tc>
      </w:tr>
      <w:tr w:rsidR="00102406" w:rsidRPr="00DE1122" w14:paraId="1BF2C1C9" w14:textId="77777777" w:rsidTr="00E315A5">
        <w:trPr>
          <w:tblHeader/>
        </w:trPr>
        <w:tc>
          <w:tcPr>
            <w:tcW w:w="1731" w:type="dxa"/>
            <w:vMerge/>
            <w:tcBorders>
              <w:top w:val="single" w:sz="6" w:space="0" w:color="auto"/>
              <w:left w:val="single" w:sz="4" w:space="0" w:color="auto"/>
              <w:bottom w:val="single" w:sz="6" w:space="0" w:color="auto"/>
            </w:tcBorders>
          </w:tcPr>
          <w:p w14:paraId="3E8D7140"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533E83A2" w14:textId="77777777" w:rsidR="00102406" w:rsidRDefault="00102406" w:rsidP="008A2254">
            <w:pPr>
              <w:pStyle w:val="ListParagraph"/>
              <w:numPr>
                <w:ilvl w:val="0"/>
                <w:numId w:val="36"/>
              </w:numPr>
              <w:spacing w:before="240" w:after="120" w:line="240" w:lineRule="auto"/>
              <w:ind w:right="142"/>
              <w:rPr>
                <w:rFonts w:ascii="Arial" w:eastAsiaTheme="minorHAnsi" w:hAnsi="Arial" w:cs="Arial"/>
                <w:sz w:val="16"/>
                <w:szCs w:val="16"/>
              </w:rPr>
            </w:pPr>
            <w:r w:rsidRPr="00DE1122">
              <w:rPr>
                <w:rFonts w:ascii="Arial" w:eastAsiaTheme="minorHAnsi" w:hAnsi="Arial" w:cs="Arial"/>
                <w:sz w:val="16"/>
                <w:szCs w:val="16"/>
              </w:rPr>
              <w:t xml:space="preserve">Cost per dollar lent efficiency ratio for the home loan portfolio </w:t>
            </w:r>
          </w:p>
          <w:p w14:paraId="204CC076" w14:textId="77777777" w:rsidR="00102406" w:rsidRPr="00DE1122" w:rsidRDefault="00102406" w:rsidP="00E315A5">
            <w:pPr>
              <w:pStyle w:val="ListParagraph"/>
              <w:spacing w:before="240" w:after="120" w:line="240" w:lineRule="auto"/>
              <w:ind w:left="360" w:right="142"/>
              <w:rPr>
                <w:rFonts w:ascii="Arial" w:eastAsiaTheme="minorHAnsi" w:hAnsi="Arial" w:cs="Arial"/>
                <w:sz w:val="16"/>
                <w:szCs w:val="16"/>
              </w:rPr>
            </w:pPr>
          </w:p>
        </w:tc>
        <w:tc>
          <w:tcPr>
            <w:tcW w:w="2863" w:type="dxa"/>
            <w:tcBorders>
              <w:top w:val="nil"/>
              <w:bottom w:val="nil"/>
              <w:right w:val="single" w:sz="4" w:space="0" w:color="auto"/>
            </w:tcBorders>
          </w:tcPr>
          <w:p w14:paraId="3B8023D8" w14:textId="77777777" w:rsidR="00102406" w:rsidRPr="00DE1122" w:rsidRDefault="00102406" w:rsidP="00E315A5">
            <w:pPr>
              <w:pStyle w:val="ListParagraph"/>
              <w:tabs>
                <w:tab w:val="left" w:pos="555"/>
              </w:tabs>
              <w:spacing w:before="60" w:after="60"/>
              <w:ind w:left="360"/>
              <w:rPr>
                <w:rFonts w:ascii="Arial" w:hAnsi="Arial" w:cs="Arial"/>
                <w:sz w:val="16"/>
                <w:szCs w:val="16"/>
              </w:rPr>
            </w:pPr>
          </w:p>
          <w:p w14:paraId="3DEBD90E"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Less than 1.0</w:t>
            </w:r>
            <w:r>
              <w:rPr>
                <w:rFonts w:ascii="Arial" w:hAnsi="Arial" w:cs="Arial"/>
                <w:sz w:val="16"/>
                <w:szCs w:val="16"/>
              </w:rPr>
              <w:t>%</w:t>
            </w:r>
          </w:p>
        </w:tc>
      </w:tr>
      <w:tr w:rsidR="00102406" w:rsidRPr="00DE1122" w14:paraId="674B68D3" w14:textId="77777777" w:rsidTr="00E315A5">
        <w:trPr>
          <w:tblHeader/>
        </w:trPr>
        <w:tc>
          <w:tcPr>
            <w:tcW w:w="1731" w:type="dxa"/>
            <w:vMerge/>
            <w:tcBorders>
              <w:top w:val="single" w:sz="6" w:space="0" w:color="auto"/>
              <w:left w:val="single" w:sz="4" w:space="0" w:color="auto"/>
              <w:bottom w:val="single" w:sz="6" w:space="0" w:color="auto"/>
            </w:tcBorders>
          </w:tcPr>
          <w:p w14:paraId="4B00EB60"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7D5293EB"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Four-year survivability of IBA supported business loan customers</w:t>
            </w:r>
          </w:p>
          <w:p w14:paraId="64019A9A" w14:textId="77777777" w:rsidR="00102406" w:rsidRPr="00DE1122" w:rsidRDefault="00102406" w:rsidP="00E315A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2C94E614"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eastAsiaTheme="minorHAnsi" w:hAnsi="Arial" w:cs="Arial"/>
                <w:sz w:val="16"/>
                <w:szCs w:val="16"/>
              </w:rPr>
              <w:t>Australian average business survivability by employment category, as reported by the ABS</w:t>
            </w:r>
          </w:p>
        </w:tc>
      </w:tr>
      <w:tr w:rsidR="00102406" w:rsidRPr="00DE1122" w14:paraId="4E6F1FB8" w14:textId="77777777" w:rsidTr="00E315A5">
        <w:trPr>
          <w:tblHeader/>
        </w:trPr>
        <w:tc>
          <w:tcPr>
            <w:tcW w:w="1731" w:type="dxa"/>
            <w:vMerge/>
            <w:tcBorders>
              <w:top w:val="single" w:sz="6" w:space="0" w:color="auto"/>
              <w:left w:val="single" w:sz="4" w:space="0" w:color="auto"/>
              <w:bottom w:val="single" w:sz="6" w:space="0" w:color="auto"/>
            </w:tcBorders>
          </w:tcPr>
          <w:p w14:paraId="53016581"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779FF38E"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Number of business customers financed</w:t>
            </w:r>
          </w:p>
          <w:p w14:paraId="4E4F8BCA" w14:textId="77777777" w:rsidR="00102406" w:rsidRPr="00DE1122" w:rsidRDefault="00102406" w:rsidP="00E315A5">
            <w:pPr>
              <w:rPr>
                <w:rFonts w:ascii="Arial" w:hAnsi="Arial" w:cs="Arial"/>
                <w:sz w:val="16"/>
                <w:szCs w:val="16"/>
                <w:lang w:val="en-US"/>
              </w:rPr>
            </w:pPr>
          </w:p>
        </w:tc>
        <w:tc>
          <w:tcPr>
            <w:tcW w:w="2863" w:type="dxa"/>
            <w:tcBorders>
              <w:top w:val="nil"/>
              <w:bottom w:val="nil"/>
              <w:right w:val="single" w:sz="4" w:space="0" w:color="auto"/>
            </w:tcBorders>
          </w:tcPr>
          <w:p w14:paraId="5CB2B24D"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1</w:t>
            </w:r>
            <w:r>
              <w:rPr>
                <w:rFonts w:ascii="Arial" w:hAnsi="Arial" w:cs="Arial"/>
                <w:sz w:val="16"/>
                <w:szCs w:val="16"/>
              </w:rPr>
              <w:t>65</w:t>
            </w:r>
            <w:r w:rsidRPr="00DE1122">
              <w:rPr>
                <w:rFonts w:ascii="Arial" w:hAnsi="Arial" w:cs="Arial"/>
                <w:sz w:val="16"/>
                <w:szCs w:val="16"/>
              </w:rPr>
              <w:t xml:space="preserve"> (</w:t>
            </w:r>
            <w:r>
              <w:rPr>
                <w:rFonts w:ascii="Arial" w:hAnsi="Arial" w:cs="Arial"/>
                <w:sz w:val="16"/>
                <w:szCs w:val="16"/>
              </w:rPr>
              <w:t>2023-24</w:t>
            </w:r>
            <w:r w:rsidRPr="00DE1122">
              <w:rPr>
                <w:rFonts w:ascii="Arial" w:hAnsi="Arial" w:cs="Arial"/>
                <w:sz w:val="16"/>
                <w:szCs w:val="16"/>
              </w:rPr>
              <w:t xml:space="preserve">), </w:t>
            </w:r>
            <w:r>
              <w:rPr>
                <w:rFonts w:ascii="Arial" w:hAnsi="Arial" w:cs="Arial"/>
                <w:sz w:val="16"/>
                <w:szCs w:val="16"/>
              </w:rPr>
              <w:t>170</w:t>
            </w:r>
            <w:r w:rsidRPr="00DE1122">
              <w:rPr>
                <w:rFonts w:ascii="Arial" w:hAnsi="Arial" w:cs="Arial"/>
                <w:sz w:val="16"/>
                <w:szCs w:val="16"/>
              </w:rPr>
              <w:t xml:space="preserve"> (</w:t>
            </w:r>
            <w:r>
              <w:rPr>
                <w:rFonts w:ascii="Arial" w:hAnsi="Arial" w:cs="Arial"/>
                <w:sz w:val="16"/>
                <w:szCs w:val="16"/>
              </w:rPr>
              <w:t>2024-25</w:t>
            </w:r>
            <w:r w:rsidRPr="00DE1122">
              <w:rPr>
                <w:rFonts w:ascii="Arial" w:hAnsi="Arial" w:cs="Arial"/>
                <w:sz w:val="16"/>
                <w:szCs w:val="16"/>
              </w:rPr>
              <w:t xml:space="preserve">), </w:t>
            </w:r>
            <w:r>
              <w:rPr>
                <w:rFonts w:ascii="Arial" w:hAnsi="Arial" w:cs="Arial"/>
                <w:sz w:val="16"/>
                <w:szCs w:val="16"/>
              </w:rPr>
              <w:t>175</w:t>
            </w:r>
            <w:r w:rsidRPr="00DE1122">
              <w:rPr>
                <w:rFonts w:ascii="Arial" w:hAnsi="Arial" w:cs="Arial"/>
                <w:sz w:val="16"/>
                <w:szCs w:val="16"/>
              </w:rPr>
              <w:t xml:space="preserve"> (</w:t>
            </w:r>
            <w:r>
              <w:rPr>
                <w:rFonts w:ascii="Arial" w:hAnsi="Arial" w:cs="Arial"/>
                <w:sz w:val="16"/>
                <w:szCs w:val="16"/>
              </w:rPr>
              <w:t>2025-26</w:t>
            </w:r>
            <w:r w:rsidRPr="00DE1122">
              <w:rPr>
                <w:rFonts w:ascii="Arial" w:hAnsi="Arial" w:cs="Arial"/>
                <w:sz w:val="16"/>
                <w:szCs w:val="16"/>
              </w:rPr>
              <w:t>)</w:t>
            </w:r>
          </w:p>
        </w:tc>
      </w:tr>
      <w:tr w:rsidR="00102406" w:rsidRPr="00DE1122" w14:paraId="5328F535" w14:textId="77777777" w:rsidTr="00E315A5">
        <w:trPr>
          <w:tblHeader/>
        </w:trPr>
        <w:tc>
          <w:tcPr>
            <w:tcW w:w="1731" w:type="dxa"/>
            <w:vMerge/>
            <w:tcBorders>
              <w:top w:val="single" w:sz="6" w:space="0" w:color="auto"/>
              <w:left w:val="single" w:sz="4" w:space="0" w:color="auto"/>
              <w:bottom w:val="single" w:sz="6" w:space="0" w:color="auto"/>
            </w:tcBorders>
          </w:tcPr>
          <w:p w14:paraId="1820B754"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3A25D10E"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Number of people attending business capability workshops</w:t>
            </w:r>
          </w:p>
          <w:p w14:paraId="57D1E11F" w14:textId="77777777" w:rsidR="00102406" w:rsidRPr="00DE1122" w:rsidRDefault="00102406" w:rsidP="00E315A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29B656B4"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5</w:t>
            </w:r>
            <w:r>
              <w:rPr>
                <w:rFonts w:ascii="Arial" w:hAnsi="Arial" w:cs="Arial"/>
                <w:sz w:val="16"/>
                <w:szCs w:val="16"/>
              </w:rPr>
              <w:t>30</w:t>
            </w:r>
            <w:r w:rsidRPr="00DE1122">
              <w:rPr>
                <w:rFonts w:ascii="Arial" w:hAnsi="Arial" w:cs="Arial"/>
                <w:sz w:val="16"/>
                <w:szCs w:val="16"/>
              </w:rPr>
              <w:t xml:space="preserve"> (</w:t>
            </w:r>
            <w:r>
              <w:rPr>
                <w:rFonts w:ascii="Arial" w:hAnsi="Arial" w:cs="Arial"/>
                <w:sz w:val="16"/>
                <w:szCs w:val="16"/>
              </w:rPr>
              <w:t>2023-24</w:t>
            </w:r>
            <w:r w:rsidRPr="00DE1122">
              <w:rPr>
                <w:rFonts w:ascii="Arial" w:hAnsi="Arial" w:cs="Arial"/>
                <w:sz w:val="16"/>
                <w:szCs w:val="16"/>
              </w:rPr>
              <w:t>), 5</w:t>
            </w:r>
            <w:r>
              <w:rPr>
                <w:rFonts w:ascii="Arial" w:hAnsi="Arial" w:cs="Arial"/>
                <w:sz w:val="16"/>
                <w:szCs w:val="16"/>
              </w:rPr>
              <w:t>45</w:t>
            </w:r>
            <w:r w:rsidRPr="00DE1122">
              <w:rPr>
                <w:rFonts w:ascii="Arial" w:hAnsi="Arial" w:cs="Arial"/>
                <w:sz w:val="16"/>
                <w:szCs w:val="16"/>
              </w:rPr>
              <w:t xml:space="preserve"> (</w:t>
            </w:r>
            <w:r>
              <w:rPr>
                <w:rFonts w:ascii="Arial" w:hAnsi="Arial" w:cs="Arial"/>
                <w:sz w:val="16"/>
                <w:szCs w:val="16"/>
              </w:rPr>
              <w:t>2024-25</w:t>
            </w:r>
            <w:r w:rsidRPr="00DE1122">
              <w:rPr>
                <w:rFonts w:ascii="Arial" w:hAnsi="Arial" w:cs="Arial"/>
                <w:sz w:val="16"/>
                <w:szCs w:val="16"/>
              </w:rPr>
              <w:t>), 5</w:t>
            </w:r>
            <w:r>
              <w:rPr>
                <w:rFonts w:ascii="Arial" w:hAnsi="Arial" w:cs="Arial"/>
                <w:sz w:val="16"/>
                <w:szCs w:val="16"/>
              </w:rPr>
              <w:t>6</w:t>
            </w:r>
            <w:r w:rsidRPr="00DE1122">
              <w:rPr>
                <w:rFonts w:ascii="Arial" w:hAnsi="Arial" w:cs="Arial"/>
                <w:sz w:val="16"/>
                <w:szCs w:val="16"/>
              </w:rPr>
              <w:t>0 (</w:t>
            </w:r>
            <w:r>
              <w:rPr>
                <w:rFonts w:ascii="Arial" w:hAnsi="Arial" w:cs="Arial"/>
                <w:sz w:val="16"/>
                <w:szCs w:val="16"/>
              </w:rPr>
              <w:t>2025-26</w:t>
            </w:r>
            <w:r w:rsidRPr="00DE1122">
              <w:rPr>
                <w:rFonts w:ascii="Arial" w:hAnsi="Arial" w:cs="Arial"/>
                <w:sz w:val="16"/>
                <w:szCs w:val="16"/>
              </w:rPr>
              <w:t>)</w:t>
            </w:r>
          </w:p>
        </w:tc>
      </w:tr>
      <w:tr w:rsidR="00102406" w:rsidRPr="00DE1122" w14:paraId="6EBC7D9D" w14:textId="77777777" w:rsidTr="00E315A5">
        <w:trPr>
          <w:tblHeader/>
        </w:trPr>
        <w:tc>
          <w:tcPr>
            <w:tcW w:w="1731" w:type="dxa"/>
            <w:vMerge/>
            <w:tcBorders>
              <w:top w:val="single" w:sz="6" w:space="0" w:color="auto"/>
              <w:left w:val="single" w:sz="4" w:space="0" w:color="auto"/>
              <w:bottom w:val="single" w:sz="6" w:space="0" w:color="auto"/>
            </w:tcBorders>
          </w:tcPr>
          <w:p w14:paraId="6553C679"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59F1F017"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Percentage of business customers satisfied or very satisfied with IBA’s service</w:t>
            </w:r>
          </w:p>
          <w:p w14:paraId="31947DEB" w14:textId="77777777" w:rsidR="00102406" w:rsidRPr="00DE1122" w:rsidRDefault="00102406" w:rsidP="00E315A5">
            <w:pPr>
              <w:spacing w:before="120" w:after="120" w:line="240" w:lineRule="auto"/>
              <w:ind w:left="360"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28AF78DD"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80%</w:t>
            </w:r>
          </w:p>
        </w:tc>
      </w:tr>
      <w:tr w:rsidR="00102406" w:rsidRPr="00DE1122" w14:paraId="03597693" w14:textId="77777777" w:rsidTr="00E315A5">
        <w:trPr>
          <w:tblHeader/>
        </w:trPr>
        <w:tc>
          <w:tcPr>
            <w:tcW w:w="1731" w:type="dxa"/>
            <w:vMerge/>
            <w:tcBorders>
              <w:top w:val="single" w:sz="6" w:space="0" w:color="auto"/>
              <w:left w:val="single" w:sz="4" w:space="0" w:color="auto"/>
              <w:bottom w:val="nil"/>
            </w:tcBorders>
          </w:tcPr>
          <w:p w14:paraId="502BED3D"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40392B15"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 xml:space="preserve">Cost per dollar lent efficiency ratio for the business finance portfolio </w:t>
            </w:r>
          </w:p>
        </w:tc>
        <w:tc>
          <w:tcPr>
            <w:tcW w:w="2863" w:type="dxa"/>
            <w:tcBorders>
              <w:top w:val="nil"/>
              <w:bottom w:val="nil"/>
              <w:right w:val="single" w:sz="4" w:space="0" w:color="auto"/>
            </w:tcBorders>
          </w:tcPr>
          <w:p w14:paraId="6C368A03"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 xml:space="preserve">Less than </w:t>
            </w:r>
            <w:r>
              <w:rPr>
                <w:rFonts w:ascii="Arial" w:hAnsi="Arial" w:cs="Arial"/>
                <w:sz w:val="16"/>
                <w:szCs w:val="16"/>
              </w:rPr>
              <w:t>10%</w:t>
            </w:r>
          </w:p>
        </w:tc>
      </w:tr>
      <w:tr w:rsidR="00102406" w:rsidRPr="00DE1122" w14:paraId="57C1EF2A" w14:textId="77777777" w:rsidTr="00E315A5">
        <w:trPr>
          <w:tblHeader/>
        </w:trPr>
        <w:tc>
          <w:tcPr>
            <w:tcW w:w="1731" w:type="dxa"/>
            <w:tcBorders>
              <w:top w:val="nil"/>
              <w:left w:val="single" w:sz="4" w:space="0" w:color="auto"/>
              <w:bottom w:val="nil"/>
            </w:tcBorders>
          </w:tcPr>
          <w:p w14:paraId="1A26A505"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nil"/>
            </w:tcBorders>
          </w:tcPr>
          <w:p w14:paraId="57956C75"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Total value of Indigenous co-investments with IBA (cumulative since 1 July 2015)</w:t>
            </w:r>
          </w:p>
        </w:tc>
        <w:tc>
          <w:tcPr>
            <w:tcW w:w="2863" w:type="dxa"/>
            <w:tcBorders>
              <w:top w:val="nil"/>
              <w:bottom w:val="nil"/>
              <w:right w:val="single" w:sz="4" w:space="0" w:color="auto"/>
            </w:tcBorders>
          </w:tcPr>
          <w:p w14:paraId="1A6EB4D3"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w:t>
            </w:r>
            <w:r>
              <w:rPr>
                <w:rFonts w:ascii="Arial" w:hAnsi="Arial" w:cs="Arial"/>
                <w:sz w:val="16"/>
                <w:szCs w:val="16"/>
              </w:rPr>
              <w:t>220</w:t>
            </w:r>
            <w:r w:rsidR="007E4214">
              <w:rPr>
                <w:rFonts w:ascii="Arial" w:hAnsi="Arial" w:cs="Arial"/>
                <w:sz w:val="16"/>
                <w:szCs w:val="16"/>
              </w:rPr>
              <w:t>.0</w:t>
            </w:r>
            <w:r w:rsidRPr="00DE1122">
              <w:rPr>
                <w:rFonts w:ascii="Arial" w:hAnsi="Arial" w:cs="Arial"/>
                <w:sz w:val="16"/>
                <w:szCs w:val="16"/>
              </w:rPr>
              <w:t>m (</w:t>
            </w:r>
            <w:r>
              <w:rPr>
                <w:rFonts w:ascii="Arial" w:hAnsi="Arial" w:cs="Arial"/>
                <w:sz w:val="16"/>
                <w:szCs w:val="16"/>
              </w:rPr>
              <w:t>2023-24</w:t>
            </w:r>
            <w:r w:rsidRPr="00DE1122">
              <w:rPr>
                <w:rFonts w:ascii="Arial" w:hAnsi="Arial" w:cs="Arial"/>
                <w:sz w:val="16"/>
                <w:szCs w:val="16"/>
              </w:rPr>
              <w:t>), $2</w:t>
            </w:r>
            <w:r>
              <w:rPr>
                <w:rFonts w:ascii="Arial" w:hAnsi="Arial" w:cs="Arial"/>
                <w:sz w:val="16"/>
                <w:szCs w:val="16"/>
              </w:rPr>
              <w:t>35</w:t>
            </w:r>
            <w:r w:rsidR="007E4214">
              <w:rPr>
                <w:rFonts w:ascii="Arial" w:hAnsi="Arial" w:cs="Arial"/>
                <w:sz w:val="16"/>
                <w:szCs w:val="16"/>
              </w:rPr>
              <w:t>.0</w:t>
            </w:r>
            <w:r w:rsidRPr="00DE1122">
              <w:rPr>
                <w:rFonts w:ascii="Arial" w:hAnsi="Arial" w:cs="Arial"/>
                <w:sz w:val="16"/>
                <w:szCs w:val="16"/>
              </w:rPr>
              <w:t>m (</w:t>
            </w:r>
            <w:r>
              <w:rPr>
                <w:rFonts w:ascii="Arial" w:hAnsi="Arial" w:cs="Arial"/>
                <w:sz w:val="16"/>
                <w:szCs w:val="16"/>
              </w:rPr>
              <w:t>2024-25</w:t>
            </w:r>
            <w:r w:rsidRPr="00DE1122">
              <w:rPr>
                <w:rFonts w:ascii="Arial" w:hAnsi="Arial" w:cs="Arial"/>
                <w:sz w:val="16"/>
                <w:szCs w:val="16"/>
              </w:rPr>
              <w:t>), $</w:t>
            </w:r>
            <w:r>
              <w:rPr>
                <w:rFonts w:ascii="Arial" w:hAnsi="Arial" w:cs="Arial"/>
                <w:sz w:val="16"/>
                <w:szCs w:val="16"/>
              </w:rPr>
              <w:t>250</w:t>
            </w:r>
            <w:r w:rsidR="007E4214">
              <w:rPr>
                <w:rFonts w:ascii="Arial" w:hAnsi="Arial" w:cs="Arial"/>
                <w:sz w:val="16"/>
                <w:szCs w:val="16"/>
              </w:rPr>
              <w:t>.0</w:t>
            </w:r>
            <w:r w:rsidRPr="00DE1122">
              <w:rPr>
                <w:rFonts w:ascii="Arial" w:hAnsi="Arial" w:cs="Arial"/>
                <w:sz w:val="16"/>
                <w:szCs w:val="16"/>
              </w:rPr>
              <w:t>m (</w:t>
            </w:r>
            <w:r>
              <w:rPr>
                <w:rFonts w:ascii="Arial" w:hAnsi="Arial" w:cs="Arial"/>
                <w:sz w:val="16"/>
                <w:szCs w:val="16"/>
              </w:rPr>
              <w:t>2025-26</w:t>
            </w:r>
            <w:r w:rsidRPr="00DE1122">
              <w:rPr>
                <w:rFonts w:ascii="Arial" w:hAnsi="Arial" w:cs="Arial"/>
                <w:sz w:val="16"/>
                <w:szCs w:val="16"/>
              </w:rPr>
              <w:t>)</w:t>
            </w:r>
          </w:p>
          <w:p w14:paraId="241BC0D8" w14:textId="77777777" w:rsidR="00102406" w:rsidRPr="00DE1122" w:rsidRDefault="00102406" w:rsidP="00E315A5">
            <w:pPr>
              <w:pStyle w:val="ListParagraph"/>
              <w:tabs>
                <w:tab w:val="left" w:pos="555"/>
              </w:tabs>
              <w:spacing w:before="60" w:after="60"/>
              <w:ind w:left="360"/>
              <w:rPr>
                <w:rFonts w:ascii="Arial" w:hAnsi="Arial" w:cs="Arial"/>
                <w:sz w:val="16"/>
                <w:szCs w:val="16"/>
              </w:rPr>
            </w:pPr>
          </w:p>
        </w:tc>
      </w:tr>
      <w:tr w:rsidR="00102406" w:rsidRPr="00DE1122" w14:paraId="41512D2D" w14:textId="77777777" w:rsidTr="00E315A5">
        <w:trPr>
          <w:tblHeader/>
        </w:trPr>
        <w:tc>
          <w:tcPr>
            <w:tcW w:w="1731" w:type="dxa"/>
            <w:tcBorders>
              <w:top w:val="nil"/>
              <w:left w:val="single" w:sz="4" w:space="0" w:color="auto"/>
              <w:bottom w:val="single" w:sz="6" w:space="0" w:color="auto"/>
            </w:tcBorders>
          </w:tcPr>
          <w:p w14:paraId="46011026" w14:textId="77777777" w:rsidR="00102406" w:rsidRPr="00DE1122" w:rsidRDefault="00102406" w:rsidP="00E315A5">
            <w:pPr>
              <w:spacing w:after="0" w:line="240" w:lineRule="auto"/>
              <w:jc w:val="left"/>
              <w:rPr>
                <w:rFonts w:asciiTheme="minorHAnsi" w:hAnsiTheme="minorHAnsi"/>
              </w:rPr>
            </w:pPr>
          </w:p>
        </w:tc>
        <w:tc>
          <w:tcPr>
            <w:tcW w:w="3086" w:type="dxa"/>
            <w:tcBorders>
              <w:top w:val="nil"/>
              <w:bottom w:val="single" w:sz="6" w:space="0" w:color="auto"/>
            </w:tcBorders>
          </w:tcPr>
          <w:p w14:paraId="31D55F3E"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 xml:space="preserve">Five-year average annual portfolio returns to Indigenous co-investors </w:t>
            </w:r>
          </w:p>
        </w:tc>
        <w:tc>
          <w:tcPr>
            <w:tcW w:w="2863" w:type="dxa"/>
            <w:tcBorders>
              <w:top w:val="nil"/>
              <w:bottom w:val="single" w:sz="6" w:space="0" w:color="auto"/>
              <w:right w:val="single" w:sz="4" w:space="0" w:color="auto"/>
            </w:tcBorders>
          </w:tcPr>
          <w:p w14:paraId="61B39467"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CPI + 3.0%</w:t>
            </w:r>
          </w:p>
        </w:tc>
      </w:tr>
    </w:tbl>
    <w:p w14:paraId="623EF78E" w14:textId="77777777" w:rsidR="00102406" w:rsidRPr="00DE1122" w:rsidRDefault="00102406" w:rsidP="00102406">
      <w:pPr>
        <w:keepNext/>
        <w:spacing w:after="20" w:line="240" w:lineRule="auto"/>
        <w:jc w:val="left"/>
        <w:rPr>
          <w:rFonts w:ascii="Arial" w:hAnsi="Arial"/>
          <w:b/>
          <w:color w:val="000000"/>
          <w:lang w:eastAsia="x-none"/>
        </w:rPr>
      </w:pPr>
      <w:r w:rsidRPr="00DE1122">
        <w:rPr>
          <w:rFonts w:ascii="Arial" w:hAnsi="Arial"/>
          <w:b/>
          <w:color w:val="000000"/>
          <w:lang w:val="x-none" w:eastAsia="x-none"/>
        </w:rPr>
        <w:t>Table 2.1.</w:t>
      </w:r>
      <w:r>
        <w:rPr>
          <w:rFonts w:ascii="Arial" w:hAnsi="Arial"/>
          <w:b/>
          <w:color w:val="000000"/>
          <w:lang w:eastAsia="x-none"/>
        </w:rPr>
        <w:t>2</w:t>
      </w:r>
      <w:r w:rsidRPr="00DE1122">
        <w:rPr>
          <w:rFonts w:ascii="Arial" w:hAnsi="Arial"/>
          <w:b/>
          <w:color w:val="000000"/>
          <w:lang w:val="x-none" w:eastAsia="x-none"/>
        </w:rPr>
        <w:t xml:space="preserve">: Performance </w:t>
      </w:r>
      <w:r>
        <w:rPr>
          <w:rFonts w:ascii="Arial" w:hAnsi="Arial"/>
          <w:b/>
          <w:color w:val="000000"/>
          <w:lang w:eastAsia="x-none"/>
        </w:rPr>
        <w:t>measure</w:t>
      </w:r>
      <w:r w:rsidRPr="00DE1122">
        <w:rPr>
          <w:rFonts w:ascii="Arial" w:hAnsi="Arial"/>
          <w:b/>
          <w:color w:val="000000"/>
          <w:lang w:val="x-none" w:eastAsia="x-none"/>
        </w:rPr>
        <w:t xml:space="preserve"> for Outcome 1</w:t>
      </w:r>
      <w:r w:rsidRPr="00DE1122">
        <w:rPr>
          <w:rFonts w:ascii="Arial" w:hAnsi="Arial"/>
          <w:b/>
          <w:color w:val="000000"/>
          <w:lang w:eastAsia="x-none"/>
        </w:rPr>
        <w:t xml:space="preserve"> (continued)</w:t>
      </w:r>
    </w:p>
    <w:tbl>
      <w:tblPr>
        <w:tblStyle w:val="TableGrid11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6"/>
        <w:gridCol w:w="3094"/>
        <w:gridCol w:w="2870"/>
      </w:tblGrid>
      <w:tr w:rsidR="00102406" w:rsidRPr="00DE1122" w14:paraId="1A290954" w14:textId="77777777" w:rsidTr="00E315A5">
        <w:trPr>
          <w:tblHeader/>
        </w:trPr>
        <w:tc>
          <w:tcPr>
            <w:tcW w:w="1736" w:type="dxa"/>
            <w:tcBorders>
              <w:top w:val="single" w:sz="6" w:space="0" w:color="auto"/>
              <w:left w:val="single" w:sz="4" w:space="0" w:color="auto"/>
              <w:bottom w:val="single" w:sz="6" w:space="0" w:color="auto"/>
            </w:tcBorders>
          </w:tcPr>
          <w:p w14:paraId="24ABE51E" w14:textId="77777777" w:rsidR="00102406" w:rsidRPr="00DE1122" w:rsidRDefault="00102406" w:rsidP="00E315A5">
            <w:pPr>
              <w:tabs>
                <w:tab w:val="left" w:pos="709"/>
              </w:tabs>
              <w:spacing w:after="60" w:line="240" w:lineRule="auto"/>
              <w:jc w:val="left"/>
              <w:rPr>
                <w:rFonts w:ascii="Arial" w:hAnsi="Arial" w:cs="Arial"/>
                <w:b/>
                <w:sz w:val="16"/>
                <w:szCs w:val="16"/>
              </w:rPr>
            </w:pPr>
            <w:r w:rsidRPr="00DE1122">
              <w:rPr>
                <w:rFonts w:ascii="Arial" w:hAnsi="Arial" w:cs="Arial"/>
                <w:b/>
                <w:sz w:val="16"/>
                <w:szCs w:val="16"/>
              </w:rPr>
              <w:t>Year</w:t>
            </w:r>
          </w:p>
        </w:tc>
        <w:tc>
          <w:tcPr>
            <w:tcW w:w="3094" w:type="dxa"/>
            <w:tcBorders>
              <w:top w:val="single" w:sz="6" w:space="0" w:color="auto"/>
              <w:bottom w:val="single" w:sz="6" w:space="0" w:color="auto"/>
            </w:tcBorders>
          </w:tcPr>
          <w:p w14:paraId="71818444" w14:textId="77777777" w:rsidR="00102406" w:rsidRPr="00DE1122" w:rsidRDefault="00102406" w:rsidP="007E4214">
            <w:pPr>
              <w:spacing w:after="360" w:line="240" w:lineRule="auto"/>
              <w:contextualSpacing/>
              <w:rPr>
                <w:rFonts w:ascii="Arial" w:hAnsi="Arial" w:cs="Arial"/>
                <w:b/>
                <w:sz w:val="16"/>
                <w:szCs w:val="16"/>
              </w:rPr>
            </w:pPr>
            <w:r w:rsidRPr="00DE1122">
              <w:rPr>
                <w:rFonts w:ascii="Arial" w:hAnsi="Arial" w:cs="Arial"/>
                <w:b/>
                <w:sz w:val="16"/>
                <w:szCs w:val="16"/>
              </w:rPr>
              <w:t>Performance measures</w:t>
            </w:r>
          </w:p>
        </w:tc>
        <w:tc>
          <w:tcPr>
            <w:tcW w:w="2870" w:type="dxa"/>
            <w:tcBorders>
              <w:top w:val="single" w:sz="6" w:space="0" w:color="auto"/>
              <w:bottom w:val="single" w:sz="6" w:space="0" w:color="auto"/>
              <w:right w:val="single" w:sz="4" w:space="0" w:color="auto"/>
            </w:tcBorders>
          </w:tcPr>
          <w:p w14:paraId="10BC12C7" w14:textId="77777777" w:rsidR="00102406" w:rsidRPr="00DE1122" w:rsidRDefault="00102406" w:rsidP="00E315A5">
            <w:pPr>
              <w:tabs>
                <w:tab w:val="left" w:pos="709"/>
              </w:tabs>
              <w:spacing w:after="60" w:line="240" w:lineRule="auto"/>
              <w:jc w:val="left"/>
              <w:rPr>
                <w:rFonts w:ascii="Arial" w:hAnsi="Arial" w:cs="Arial"/>
                <w:b/>
                <w:sz w:val="16"/>
                <w:szCs w:val="16"/>
              </w:rPr>
            </w:pPr>
            <w:r w:rsidRPr="00DE1122">
              <w:rPr>
                <w:rFonts w:ascii="Arial" w:hAnsi="Arial" w:cs="Arial"/>
                <w:b/>
                <w:sz w:val="16"/>
                <w:szCs w:val="16"/>
              </w:rPr>
              <w:t xml:space="preserve">Expected Performance Results </w:t>
            </w:r>
          </w:p>
        </w:tc>
      </w:tr>
      <w:tr w:rsidR="00102406" w:rsidRPr="00DE1122" w14:paraId="1A4A17CD" w14:textId="77777777" w:rsidTr="00E315A5">
        <w:trPr>
          <w:trHeight w:val="797"/>
          <w:tblHeader/>
        </w:trPr>
        <w:tc>
          <w:tcPr>
            <w:tcW w:w="1736" w:type="dxa"/>
            <w:tcBorders>
              <w:top w:val="nil"/>
              <w:left w:val="single" w:sz="4" w:space="0" w:color="auto"/>
              <w:bottom w:val="nil"/>
            </w:tcBorders>
          </w:tcPr>
          <w:p w14:paraId="3357955D" w14:textId="77777777" w:rsidR="00102406" w:rsidRPr="00DE1122" w:rsidRDefault="00102406" w:rsidP="00E315A5">
            <w:pPr>
              <w:spacing w:after="0" w:line="240" w:lineRule="auto"/>
              <w:jc w:val="left"/>
              <w:rPr>
                <w:rFonts w:ascii="Arial" w:hAnsi="Arial" w:cs="Arial"/>
                <w:sz w:val="16"/>
                <w:szCs w:val="16"/>
              </w:rPr>
            </w:pPr>
          </w:p>
        </w:tc>
        <w:tc>
          <w:tcPr>
            <w:tcW w:w="3094" w:type="dxa"/>
            <w:tcBorders>
              <w:top w:val="nil"/>
              <w:bottom w:val="nil"/>
            </w:tcBorders>
          </w:tcPr>
          <w:p w14:paraId="4209CCF4" w14:textId="77777777" w:rsidR="00102406" w:rsidRPr="00DE1122" w:rsidRDefault="00102406" w:rsidP="008A2254">
            <w:pPr>
              <w:numPr>
                <w:ilvl w:val="0"/>
                <w:numId w:val="36"/>
              </w:numPr>
              <w:spacing w:before="120" w:after="120" w:line="240" w:lineRule="auto"/>
              <w:ind w:right="142"/>
              <w:contextualSpacing/>
              <w:jc w:val="left"/>
              <w:rPr>
                <w:rFonts w:ascii="Arial" w:hAnsi="Arial" w:cs="Arial"/>
                <w:sz w:val="16"/>
                <w:szCs w:val="16"/>
                <w:lang w:val="en-US"/>
              </w:rPr>
            </w:pPr>
            <w:r w:rsidRPr="00DE1122">
              <w:rPr>
                <w:rFonts w:ascii="Arial" w:hAnsi="Arial" w:cs="Arial"/>
                <w:sz w:val="16"/>
                <w:szCs w:val="16"/>
                <w:lang w:val="en-US"/>
              </w:rPr>
              <w:t>Number of Indigenous co-investor partnerships (cumulative since 1 July 2015)</w:t>
            </w:r>
          </w:p>
        </w:tc>
        <w:tc>
          <w:tcPr>
            <w:tcW w:w="2870" w:type="dxa"/>
            <w:tcBorders>
              <w:top w:val="nil"/>
              <w:bottom w:val="nil"/>
              <w:right w:val="single" w:sz="4" w:space="0" w:color="auto"/>
            </w:tcBorders>
          </w:tcPr>
          <w:p w14:paraId="0D088103"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7</w:t>
            </w:r>
            <w:r>
              <w:rPr>
                <w:rFonts w:ascii="Arial" w:hAnsi="Arial" w:cs="Arial"/>
                <w:sz w:val="16"/>
                <w:szCs w:val="16"/>
              </w:rPr>
              <w:t>7</w:t>
            </w:r>
            <w:r w:rsidRPr="00DE1122">
              <w:rPr>
                <w:rFonts w:ascii="Arial" w:hAnsi="Arial" w:cs="Arial"/>
                <w:sz w:val="16"/>
                <w:szCs w:val="16"/>
              </w:rPr>
              <w:t xml:space="preserve"> (</w:t>
            </w:r>
            <w:r>
              <w:rPr>
                <w:rFonts w:ascii="Arial" w:hAnsi="Arial" w:cs="Arial"/>
                <w:sz w:val="16"/>
                <w:szCs w:val="16"/>
              </w:rPr>
              <w:t>2023-24</w:t>
            </w:r>
            <w:r w:rsidRPr="00DE1122">
              <w:rPr>
                <w:rFonts w:ascii="Arial" w:hAnsi="Arial" w:cs="Arial"/>
                <w:sz w:val="16"/>
                <w:szCs w:val="16"/>
              </w:rPr>
              <w:t>), 8</w:t>
            </w:r>
            <w:r>
              <w:rPr>
                <w:rFonts w:ascii="Arial" w:hAnsi="Arial" w:cs="Arial"/>
                <w:sz w:val="16"/>
                <w:szCs w:val="16"/>
              </w:rPr>
              <w:t>4</w:t>
            </w:r>
            <w:r w:rsidRPr="00DE1122">
              <w:rPr>
                <w:rFonts w:ascii="Arial" w:hAnsi="Arial" w:cs="Arial"/>
                <w:sz w:val="16"/>
                <w:szCs w:val="16"/>
              </w:rPr>
              <w:t xml:space="preserve"> (</w:t>
            </w:r>
            <w:r>
              <w:rPr>
                <w:rFonts w:ascii="Arial" w:hAnsi="Arial" w:cs="Arial"/>
                <w:sz w:val="16"/>
                <w:szCs w:val="16"/>
              </w:rPr>
              <w:t>2024-25</w:t>
            </w:r>
            <w:r w:rsidRPr="00DE1122">
              <w:rPr>
                <w:rFonts w:ascii="Arial" w:hAnsi="Arial" w:cs="Arial"/>
                <w:sz w:val="16"/>
                <w:szCs w:val="16"/>
              </w:rPr>
              <w:t>), 9</w:t>
            </w:r>
            <w:r>
              <w:rPr>
                <w:rFonts w:ascii="Arial" w:hAnsi="Arial" w:cs="Arial"/>
                <w:sz w:val="16"/>
                <w:szCs w:val="16"/>
              </w:rPr>
              <w:t>1</w:t>
            </w:r>
            <w:r w:rsidR="007E4214">
              <w:rPr>
                <w:rFonts w:ascii="Arial" w:hAnsi="Arial" w:cs="Arial"/>
                <w:sz w:val="16"/>
                <w:szCs w:val="16"/>
              </w:rPr>
              <w:t> </w:t>
            </w:r>
            <w:r w:rsidRPr="00DE1122">
              <w:rPr>
                <w:rFonts w:ascii="Arial" w:hAnsi="Arial" w:cs="Arial"/>
                <w:sz w:val="16"/>
                <w:szCs w:val="16"/>
              </w:rPr>
              <w:t>(</w:t>
            </w:r>
            <w:r>
              <w:rPr>
                <w:rFonts w:ascii="Arial" w:hAnsi="Arial" w:cs="Arial"/>
                <w:sz w:val="16"/>
                <w:szCs w:val="16"/>
              </w:rPr>
              <w:t>2025-26</w:t>
            </w:r>
            <w:r w:rsidRPr="00DE1122">
              <w:rPr>
                <w:rFonts w:ascii="Arial" w:hAnsi="Arial" w:cs="Arial"/>
                <w:sz w:val="16"/>
                <w:szCs w:val="16"/>
              </w:rPr>
              <w:t>)</w:t>
            </w:r>
          </w:p>
        </w:tc>
      </w:tr>
      <w:tr w:rsidR="00102406" w:rsidRPr="00DE1122" w14:paraId="27EE0EBA" w14:textId="77777777" w:rsidTr="00E315A5">
        <w:trPr>
          <w:trHeight w:val="797"/>
          <w:tblHeader/>
        </w:trPr>
        <w:tc>
          <w:tcPr>
            <w:tcW w:w="1736" w:type="dxa"/>
            <w:tcBorders>
              <w:top w:val="nil"/>
              <w:left w:val="single" w:sz="4" w:space="0" w:color="auto"/>
              <w:bottom w:val="nil"/>
            </w:tcBorders>
          </w:tcPr>
          <w:p w14:paraId="277FC06E" w14:textId="77777777" w:rsidR="00102406" w:rsidRPr="00DE1122" w:rsidRDefault="00102406" w:rsidP="00E315A5">
            <w:pPr>
              <w:spacing w:after="0" w:line="240" w:lineRule="auto"/>
              <w:jc w:val="left"/>
              <w:rPr>
                <w:rFonts w:ascii="Arial" w:hAnsi="Arial" w:cs="Arial"/>
                <w:sz w:val="16"/>
                <w:szCs w:val="16"/>
              </w:rPr>
            </w:pPr>
          </w:p>
        </w:tc>
        <w:tc>
          <w:tcPr>
            <w:tcW w:w="3094" w:type="dxa"/>
            <w:tcBorders>
              <w:top w:val="nil"/>
              <w:bottom w:val="nil"/>
            </w:tcBorders>
          </w:tcPr>
          <w:p w14:paraId="6B061533" w14:textId="77777777" w:rsidR="00102406" w:rsidRDefault="00102406" w:rsidP="008A2254">
            <w:pPr>
              <w:pStyle w:val="ListParagraph"/>
              <w:numPr>
                <w:ilvl w:val="0"/>
                <w:numId w:val="33"/>
              </w:numPr>
              <w:spacing w:after="0" w:line="240" w:lineRule="auto"/>
              <w:ind w:right="142"/>
              <w:rPr>
                <w:rFonts w:ascii="Arial" w:hAnsi="Arial" w:cs="Arial"/>
                <w:sz w:val="16"/>
                <w:szCs w:val="16"/>
              </w:rPr>
            </w:pPr>
            <w:r w:rsidRPr="00DE1122">
              <w:rPr>
                <w:rFonts w:ascii="Arial" w:hAnsi="Arial" w:cs="Arial"/>
                <w:sz w:val="16"/>
                <w:szCs w:val="16"/>
              </w:rPr>
              <w:t>Value of goods and services procured from Indigenous suppliers by IBA’s subsidiaries and associates</w:t>
            </w:r>
          </w:p>
          <w:p w14:paraId="63682C2D" w14:textId="77777777" w:rsidR="00102406" w:rsidRPr="00DE1122" w:rsidRDefault="00102406" w:rsidP="00E315A5">
            <w:pPr>
              <w:pStyle w:val="ListParagraph"/>
              <w:spacing w:after="0" w:line="240" w:lineRule="auto"/>
              <w:ind w:left="360" w:right="142"/>
              <w:rPr>
                <w:rFonts w:ascii="Arial" w:hAnsi="Arial" w:cs="Arial"/>
                <w:sz w:val="16"/>
                <w:szCs w:val="16"/>
              </w:rPr>
            </w:pPr>
          </w:p>
        </w:tc>
        <w:tc>
          <w:tcPr>
            <w:tcW w:w="2870" w:type="dxa"/>
            <w:tcBorders>
              <w:top w:val="nil"/>
              <w:bottom w:val="nil"/>
              <w:right w:val="single" w:sz="4" w:space="0" w:color="auto"/>
            </w:tcBorders>
          </w:tcPr>
          <w:p w14:paraId="2E73B4DB"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w:t>
            </w:r>
            <w:r>
              <w:rPr>
                <w:rFonts w:ascii="Arial" w:hAnsi="Arial" w:cs="Arial"/>
                <w:sz w:val="16"/>
                <w:szCs w:val="16"/>
              </w:rPr>
              <w:t>2</w:t>
            </w:r>
            <w:r w:rsidRPr="00DE1122">
              <w:rPr>
                <w:rFonts w:ascii="Arial" w:hAnsi="Arial" w:cs="Arial"/>
                <w:sz w:val="16"/>
                <w:szCs w:val="16"/>
              </w:rPr>
              <w:t>.5m (</w:t>
            </w:r>
            <w:r>
              <w:rPr>
                <w:rFonts w:ascii="Arial" w:hAnsi="Arial" w:cs="Arial"/>
                <w:sz w:val="16"/>
                <w:szCs w:val="16"/>
              </w:rPr>
              <w:t>2023-24</w:t>
            </w:r>
            <w:r w:rsidRPr="00DE1122">
              <w:rPr>
                <w:rFonts w:ascii="Arial" w:hAnsi="Arial" w:cs="Arial"/>
                <w:sz w:val="16"/>
                <w:szCs w:val="16"/>
              </w:rPr>
              <w:t>), $</w:t>
            </w:r>
            <w:r w:rsidR="007E4214">
              <w:rPr>
                <w:rFonts w:ascii="Arial" w:hAnsi="Arial" w:cs="Arial"/>
                <w:sz w:val="16"/>
                <w:szCs w:val="16"/>
              </w:rPr>
              <w:t>2.8m </w:t>
            </w:r>
            <w:r w:rsidRPr="00DE1122">
              <w:rPr>
                <w:rFonts w:ascii="Arial" w:hAnsi="Arial" w:cs="Arial"/>
                <w:sz w:val="16"/>
                <w:szCs w:val="16"/>
              </w:rPr>
              <w:t>(</w:t>
            </w:r>
            <w:r w:rsidR="007E4214">
              <w:rPr>
                <w:rFonts w:ascii="Arial" w:hAnsi="Arial" w:cs="Arial"/>
                <w:sz w:val="16"/>
                <w:szCs w:val="16"/>
              </w:rPr>
              <w:t>2024</w:t>
            </w:r>
            <w:r w:rsidR="007E4214">
              <w:rPr>
                <w:rFonts w:ascii="Arial" w:hAnsi="Arial" w:cs="Arial"/>
                <w:sz w:val="16"/>
                <w:szCs w:val="16"/>
              </w:rPr>
              <w:noBreakHyphen/>
            </w:r>
            <w:r>
              <w:rPr>
                <w:rFonts w:ascii="Arial" w:hAnsi="Arial" w:cs="Arial"/>
                <w:sz w:val="16"/>
                <w:szCs w:val="16"/>
              </w:rPr>
              <w:t>25</w:t>
            </w:r>
            <w:r w:rsidRPr="00DE1122">
              <w:rPr>
                <w:rFonts w:ascii="Arial" w:hAnsi="Arial" w:cs="Arial"/>
                <w:sz w:val="16"/>
                <w:szCs w:val="16"/>
              </w:rPr>
              <w:t>), $</w:t>
            </w:r>
            <w:r>
              <w:rPr>
                <w:rFonts w:ascii="Arial" w:hAnsi="Arial" w:cs="Arial"/>
                <w:sz w:val="16"/>
                <w:szCs w:val="16"/>
              </w:rPr>
              <w:t>3.0</w:t>
            </w:r>
            <w:r w:rsidR="007E4214">
              <w:rPr>
                <w:rFonts w:ascii="Arial" w:hAnsi="Arial" w:cs="Arial"/>
                <w:sz w:val="16"/>
                <w:szCs w:val="16"/>
              </w:rPr>
              <w:t>m </w:t>
            </w:r>
            <w:r w:rsidRPr="00DE1122">
              <w:rPr>
                <w:rFonts w:ascii="Arial" w:hAnsi="Arial" w:cs="Arial"/>
                <w:sz w:val="16"/>
                <w:szCs w:val="16"/>
              </w:rPr>
              <w:t>(</w:t>
            </w:r>
            <w:r w:rsidR="007E4214">
              <w:rPr>
                <w:rFonts w:ascii="Arial" w:hAnsi="Arial" w:cs="Arial"/>
                <w:sz w:val="16"/>
                <w:szCs w:val="16"/>
              </w:rPr>
              <w:t>2025</w:t>
            </w:r>
            <w:r w:rsidR="007E4214">
              <w:rPr>
                <w:rFonts w:ascii="Arial" w:hAnsi="Arial" w:cs="Arial"/>
                <w:sz w:val="16"/>
                <w:szCs w:val="16"/>
              </w:rPr>
              <w:noBreakHyphen/>
            </w:r>
            <w:r>
              <w:rPr>
                <w:rFonts w:ascii="Arial" w:hAnsi="Arial" w:cs="Arial"/>
                <w:sz w:val="16"/>
                <w:szCs w:val="16"/>
              </w:rPr>
              <w:t>26</w:t>
            </w:r>
            <w:r w:rsidRPr="00DE1122">
              <w:rPr>
                <w:rFonts w:ascii="Arial" w:hAnsi="Arial" w:cs="Arial"/>
                <w:sz w:val="16"/>
                <w:szCs w:val="16"/>
              </w:rPr>
              <w:t>)</w:t>
            </w:r>
          </w:p>
        </w:tc>
      </w:tr>
      <w:tr w:rsidR="00102406" w:rsidRPr="00DE1122" w14:paraId="75F958A6" w14:textId="77777777" w:rsidTr="00E315A5">
        <w:trPr>
          <w:trHeight w:val="797"/>
          <w:tblHeader/>
        </w:trPr>
        <w:tc>
          <w:tcPr>
            <w:tcW w:w="1736" w:type="dxa"/>
            <w:tcBorders>
              <w:top w:val="nil"/>
              <w:left w:val="single" w:sz="4" w:space="0" w:color="auto"/>
              <w:bottom w:val="nil"/>
            </w:tcBorders>
          </w:tcPr>
          <w:p w14:paraId="72B7AEE3" w14:textId="77777777" w:rsidR="00102406" w:rsidRPr="00DE1122" w:rsidRDefault="00102406" w:rsidP="00E315A5">
            <w:pPr>
              <w:spacing w:after="0" w:line="240" w:lineRule="auto"/>
              <w:jc w:val="left"/>
              <w:rPr>
                <w:rFonts w:ascii="Arial" w:hAnsi="Arial" w:cs="Arial"/>
                <w:sz w:val="16"/>
                <w:szCs w:val="16"/>
              </w:rPr>
            </w:pPr>
          </w:p>
        </w:tc>
        <w:tc>
          <w:tcPr>
            <w:tcW w:w="3094" w:type="dxa"/>
            <w:tcBorders>
              <w:top w:val="nil"/>
              <w:bottom w:val="nil"/>
            </w:tcBorders>
          </w:tcPr>
          <w:p w14:paraId="0BBD38F3" w14:textId="77777777" w:rsidR="00102406" w:rsidRPr="00DE1122" w:rsidRDefault="00102406" w:rsidP="008A2254">
            <w:pPr>
              <w:pStyle w:val="ListParagraph"/>
              <w:numPr>
                <w:ilvl w:val="0"/>
                <w:numId w:val="33"/>
              </w:numPr>
              <w:spacing w:after="0" w:line="240" w:lineRule="auto"/>
              <w:ind w:right="142"/>
              <w:rPr>
                <w:rFonts w:ascii="Arial" w:hAnsi="Arial" w:cs="Arial"/>
                <w:sz w:val="16"/>
                <w:szCs w:val="16"/>
              </w:rPr>
            </w:pPr>
            <w:r w:rsidRPr="00DE1122">
              <w:rPr>
                <w:rFonts w:ascii="Arial" w:hAnsi="Arial" w:cs="Arial"/>
                <w:sz w:val="16"/>
                <w:szCs w:val="16"/>
              </w:rPr>
              <w:t>Percentage of jobs supported by IBA’s subsidiaries and associates held by Indigenous Australians</w:t>
            </w:r>
          </w:p>
        </w:tc>
        <w:tc>
          <w:tcPr>
            <w:tcW w:w="2870" w:type="dxa"/>
            <w:tcBorders>
              <w:top w:val="nil"/>
              <w:bottom w:val="nil"/>
              <w:right w:val="single" w:sz="4" w:space="0" w:color="auto"/>
            </w:tcBorders>
          </w:tcPr>
          <w:p w14:paraId="753E66C4"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2</w:t>
            </w:r>
            <w:r>
              <w:rPr>
                <w:rFonts w:ascii="Arial" w:hAnsi="Arial" w:cs="Arial"/>
                <w:sz w:val="16"/>
                <w:szCs w:val="16"/>
              </w:rPr>
              <w:t>0</w:t>
            </w:r>
            <w:r w:rsidRPr="00DE1122">
              <w:rPr>
                <w:rFonts w:ascii="Arial" w:hAnsi="Arial" w:cs="Arial"/>
                <w:sz w:val="16"/>
                <w:szCs w:val="16"/>
              </w:rPr>
              <w:t>% (</w:t>
            </w:r>
            <w:r>
              <w:rPr>
                <w:rFonts w:ascii="Arial" w:hAnsi="Arial" w:cs="Arial"/>
                <w:sz w:val="16"/>
                <w:szCs w:val="16"/>
              </w:rPr>
              <w:t>2023-24</w:t>
            </w:r>
            <w:r w:rsidRPr="00DE1122">
              <w:rPr>
                <w:rFonts w:ascii="Arial" w:hAnsi="Arial" w:cs="Arial"/>
                <w:sz w:val="16"/>
                <w:szCs w:val="16"/>
              </w:rPr>
              <w:t>), 2</w:t>
            </w:r>
            <w:r>
              <w:rPr>
                <w:rFonts w:ascii="Arial" w:hAnsi="Arial" w:cs="Arial"/>
                <w:sz w:val="16"/>
                <w:szCs w:val="16"/>
              </w:rPr>
              <w:t>1</w:t>
            </w:r>
            <w:r w:rsidRPr="00DE1122">
              <w:rPr>
                <w:rFonts w:ascii="Arial" w:hAnsi="Arial" w:cs="Arial"/>
                <w:sz w:val="16"/>
                <w:szCs w:val="16"/>
              </w:rPr>
              <w:t>% (</w:t>
            </w:r>
            <w:r>
              <w:rPr>
                <w:rFonts w:ascii="Arial" w:hAnsi="Arial" w:cs="Arial"/>
                <w:sz w:val="16"/>
                <w:szCs w:val="16"/>
              </w:rPr>
              <w:t>2024-25</w:t>
            </w:r>
            <w:r w:rsidRPr="00DE1122">
              <w:rPr>
                <w:rFonts w:ascii="Arial" w:hAnsi="Arial" w:cs="Arial"/>
                <w:sz w:val="16"/>
                <w:szCs w:val="16"/>
              </w:rPr>
              <w:t>), 2</w:t>
            </w:r>
            <w:r>
              <w:rPr>
                <w:rFonts w:ascii="Arial" w:hAnsi="Arial" w:cs="Arial"/>
                <w:sz w:val="16"/>
                <w:szCs w:val="16"/>
              </w:rPr>
              <w:t>2</w:t>
            </w:r>
            <w:r w:rsidRPr="00DE1122">
              <w:rPr>
                <w:rFonts w:ascii="Arial" w:hAnsi="Arial" w:cs="Arial"/>
                <w:sz w:val="16"/>
                <w:szCs w:val="16"/>
              </w:rPr>
              <w:t>% (</w:t>
            </w:r>
            <w:r>
              <w:rPr>
                <w:rFonts w:ascii="Arial" w:hAnsi="Arial" w:cs="Arial"/>
                <w:sz w:val="16"/>
                <w:szCs w:val="16"/>
              </w:rPr>
              <w:t>2025-26</w:t>
            </w:r>
            <w:r w:rsidRPr="00DE1122">
              <w:rPr>
                <w:rFonts w:ascii="Arial" w:hAnsi="Arial" w:cs="Arial"/>
                <w:sz w:val="16"/>
                <w:szCs w:val="16"/>
              </w:rPr>
              <w:t>)</w:t>
            </w:r>
          </w:p>
        </w:tc>
      </w:tr>
      <w:tr w:rsidR="00102406" w:rsidRPr="00DE1122" w14:paraId="35D459A3" w14:textId="77777777" w:rsidTr="00E315A5">
        <w:trPr>
          <w:trHeight w:val="797"/>
          <w:tblHeader/>
        </w:trPr>
        <w:tc>
          <w:tcPr>
            <w:tcW w:w="1736" w:type="dxa"/>
            <w:tcBorders>
              <w:top w:val="nil"/>
              <w:left w:val="single" w:sz="4" w:space="0" w:color="auto"/>
              <w:bottom w:val="nil"/>
            </w:tcBorders>
          </w:tcPr>
          <w:p w14:paraId="79CAC46C" w14:textId="77777777" w:rsidR="00102406" w:rsidRPr="00DE1122" w:rsidRDefault="00102406" w:rsidP="00E315A5">
            <w:pPr>
              <w:spacing w:after="0" w:line="240" w:lineRule="auto"/>
              <w:jc w:val="left"/>
              <w:rPr>
                <w:rFonts w:ascii="Arial" w:hAnsi="Arial" w:cs="Arial"/>
                <w:sz w:val="16"/>
                <w:szCs w:val="16"/>
              </w:rPr>
            </w:pPr>
          </w:p>
        </w:tc>
        <w:tc>
          <w:tcPr>
            <w:tcW w:w="3094" w:type="dxa"/>
            <w:tcBorders>
              <w:top w:val="nil"/>
              <w:bottom w:val="nil"/>
            </w:tcBorders>
          </w:tcPr>
          <w:p w14:paraId="72DE67A1" w14:textId="77777777" w:rsidR="00102406" w:rsidRPr="00DE1122" w:rsidRDefault="00102406" w:rsidP="008A2254">
            <w:pPr>
              <w:pStyle w:val="ListParagraph"/>
              <w:numPr>
                <w:ilvl w:val="0"/>
                <w:numId w:val="33"/>
              </w:numPr>
              <w:spacing w:after="0" w:line="240" w:lineRule="auto"/>
              <w:ind w:right="142"/>
              <w:rPr>
                <w:rFonts w:ascii="Arial" w:hAnsi="Arial" w:cs="Arial"/>
                <w:sz w:val="16"/>
                <w:szCs w:val="16"/>
              </w:rPr>
            </w:pPr>
            <w:r w:rsidRPr="00DE1122">
              <w:rPr>
                <w:rFonts w:ascii="Arial" w:hAnsi="Arial" w:cs="Arial"/>
                <w:sz w:val="16"/>
                <w:szCs w:val="16"/>
              </w:rPr>
              <w:t>Percentage of investors satisfied or very satisfied with IBA’s service</w:t>
            </w:r>
          </w:p>
        </w:tc>
        <w:tc>
          <w:tcPr>
            <w:tcW w:w="2870" w:type="dxa"/>
            <w:tcBorders>
              <w:top w:val="nil"/>
              <w:bottom w:val="nil"/>
              <w:right w:val="single" w:sz="4" w:space="0" w:color="auto"/>
            </w:tcBorders>
          </w:tcPr>
          <w:p w14:paraId="593A8A31"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80%</w:t>
            </w:r>
          </w:p>
        </w:tc>
      </w:tr>
      <w:tr w:rsidR="00102406" w:rsidRPr="00DE1122" w14:paraId="3916E11C" w14:textId="77777777" w:rsidTr="00E315A5">
        <w:trPr>
          <w:trHeight w:val="616"/>
          <w:tblHeader/>
        </w:trPr>
        <w:tc>
          <w:tcPr>
            <w:tcW w:w="1736" w:type="dxa"/>
            <w:tcBorders>
              <w:top w:val="nil"/>
              <w:left w:val="single" w:sz="4" w:space="0" w:color="auto"/>
              <w:bottom w:val="nil"/>
            </w:tcBorders>
          </w:tcPr>
          <w:p w14:paraId="2E7F81E8" w14:textId="77777777" w:rsidR="00102406" w:rsidRPr="00DE1122" w:rsidRDefault="00102406" w:rsidP="00E315A5">
            <w:pPr>
              <w:spacing w:after="0" w:line="240" w:lineRule="auto"/>
              <w:jc w:val="left"/>
              <w:rPr>
                <w:rFonts w:ascii="Arial" w:hAnsi="Arial" w:cs="Arial"/>
                <w:sz w:val="16"/>
                <w:szCs w:val="16"/>
              </w:rPr>
            </w:pPr>
          </w:p>
        </w:tc>
        <w:tc>
          <w:tcPr>
            <w:tcW w:w="3094" w:type="dxa"/>
            <w:tcBorders>
              <w:top w:val="nil"/>
              <w:bottom w:val="nil"/>
            </w:tcBorders>
          </w:tcPr>
          <w:p w14:paraId="6CA763E4" w14:textId="77777777" w:rsidR="00102406" w:rsidRPr="00DE1122" w:rsidRDefault="00102406" w:rsidP="008A2254">
            <w:pPr>
              <w:pStyle w:val="ListParagraph"/>
              <w:numPr>
                <w:ilvl w:val="0"/>
                <w:numId w:val="33"/>
              </w:numPr>
              <w:spacing w:after="0" w:line="240" w:lineRule="auto"/>
              <w:ind w:right="142"/>
              <w:rPr>
                <w:rFonts w:ascii="Arial" w:hAnsi="Arial" w:cs="Arial"/>
                <w:sz w:val="16"/>
                <w:szCs w:val="16"/>
              </w:rPr>
            </w:pPr>
            <w:r w:rsidRPr="00DE1122">
              <w:rPr>
                <w:rFonts w:ascii="Arial" w:hAnsi="Arial" w:cs="Arial"/>
                <w:sz w:val="16"/>
                <w:szCs w:val="16"/>
              </w:rPr>
              <w:t xml:space="preserve">Investments asset management expense ratio </w:t>
            </w:r>
          </w:p>
        </w:tc>
        <w:tc>
          <w:tcPr>
            <w:tcW w:w="2870" w:type="dxa"/>
            <w:tcBorders>
              <w:top w:val="nil"/>
              <w:bottom w:val="nil"/>
              <w:right w:val="single" w:sz="4" w:space="0" w:color="auto"/>
            </w:tcBorders>
          </w:tcPr>
          <w:p w14:paraId="6CB00E06"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Less than 3%</w:t>
            </w:r>
          </w:p>
        </w:tc>
      </w:tr>
      <w:tr w:rsidR="00102406" w:rsidRPr="00DE1122" w14:paraId="1AD14929" w14:textId="77777777" w:rsidTr="00E315A5">
        <w:trPr>
          <w:tblHeader/>
        </w:trPr>
        <w:tc>
          <w:tcPr>
            <w:tcW w:w="1736" w:type="dxa"/>
            <w:tcBorders>
              <w:top w:val="nil"/>
              <w:left w:val="single" w:sz="4" w:space="0" w:color="auto"/>
              <w:bottom w:val="nil"/>
            </w:tcBorders>
          </w:tcPr>
          <w:p w14:paraId="3DC6BC6C" w14:textId="77777777" w:rsidR="00102406" w:rsidRPr="00DE1122" w:rsidRDefault="00102406" w:rsidP="00E315A5">
            <w:pPr>
              <w:spacing w:after="0" w:line="240" w:lineRule="auto"/>
              <w:jc w:val="left"/>
              <w:rPr>
                <w:rFonts w:ascii="Arial" w:hAnsi="Arial" w:cs="Arial"/>
                <w:sz w:val="16"/>
                <w:szCs w:val="16"/>
              </w:rPr>
            </w:pPr>
          </w:p>
        </w:tc>
        <w:tc>
          <w:tcPr>
            <w:tcW w:w="3094" w:type="dxa"/>
            <w:tcBorders>
              <w:top w:val="nil"/>
              <w:bottom w:val="nil"/>
            </w:tcBorders>
          </w:tcPr>
          <w:p w14:paraId="0C375F7E" w14:textId="77777777" w:rsidR="00102406" w:rsidRPr="00DE1122" w:rsidRDefault="00102406" w:rsidP="008A2254">
            <w:pPr>
              <w:numPr>
                <w:ilvl w:val="0"/>
                <w:numId w:val="33"/>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Value of goods and services procured from Indigenous suppliers by IBA</w:t>
            </w:r>
            <w:r>
              <w:rPr>
                <w:rFonts w:ascii="Arial" w:hAnsi="Arial" w:cs="Arial"/>
                <w:sz w:val="16"/>
                <w:szCs w:val="16"/>
                <w:lang w:val="en-US"/>
              </w:rPr>
              <w:t xml:space="preserve"> (not including subsidiaries)</w:t>
            </w:r>
          </w:p>
          <w:p w14:paraId="43571999" w14:textId="77777777" w:rsidR="00102406" w:rsidRPr="00DE1122" w:rsidRDefault="00102406" w:rsidP="00E315A5">
            <w:pPr>
              <w:spacing w:before="120" w:after="120" w:line="240" w:lineRule="auto"/>
              <w:ind w:left="348" w:right="142"/>
              <w:contextualSpacing/>
              <w:jc w:val="left"/>
              <w:rPr>
                <w:rFonts w:ascii="Arial" w:hAnsi="Arial" w:cs="Arial"/>
                <w:sz w:val="16"/>
                <w:szCs w:val="16"/>
                <w:lang w:val="en-US"/>
              </w:rPr>
            </w:pPr>
          </w:p>
        </w:tc>
        <w:tc>
          <w:tcPr>
            <w:tcW w:w="2870" w:type="dxa"/>
            <w:tcBorders>
              <w:top w:val="nil"/>
              <w:left w:val="single" w:sz="4" w:space="0" w:color="auto"/>
              <w:bottom w:val="nil"/>
              <w:right w:val="single" w:sz="4" w:space="0" w:color="auto"/>
            </w:tcBorders>
          </w:tcPr>
          <w:p w14:paraId="7F7DDE97" w14:textId="77777777" w:rsidR="00102406" w:rsidRPr="00DE1122" w:rsidRDefault="00102406" w:rsidP="008A2254">
            <w:pPr>
              <w:pStyle w:val="ListParagraph"/>
              <w:numPr>
                <w:ilvl w:val="0"/>
                <w:numId w:val="37"/>
              </w:numPr>
              <w:tabs>
                <w:tab w:val="left" w:pos="555"/>
              </w:tabs>
              <w:spacing w:before="60" w:after="60"/>
              <w:rPr>
                <w:rFonts w:ascii="Arial" w:hAnsi="Arial" w:cs="Arial"/>
                <w:sz w:val="16"/>
                <w:szCs w:val="16"/>
              </w:rPr>
            </w:pPr>
            <w:r w:rsidRPr="00DE1122">
              <w:rPr>
                <w:rFonts w:ascii="Arial" w:hAnsi="Arial" w:cs="Arial"/>
                <w:sz w:val="16"/>
                <w:szCs w:val="16"/>
              </w:rPr>
              <w:t>$5.</w:t>
            </w:r>
            <w:r w:rsidR="007E4214">
              <w:rPr>
                <w:rFonts w:ascii="Arial" w:hAnsi="Arial" w:cs="Arial"/>
                <w:sz w:val="16"/>
                <w:szCs w:val="16"/>
              </w:rPr>
              <w:t>3</w:t>
            </w:r>
            <w:r w:rsidRPr="00DE1122">
              <w:rPr>
                <w:rFonts w:ascii="Arial" w:hAnsi="Arial" w:cs="Arial"/>
                <w:sz w:val="16"/>
                <w:szCs w:val="16"/>
              </w:rPr>
              <w:t>m (</w:t>
            </w:r>
            <w:r>
              <w:rPr>
                <w:rFonts w:ascii="Arial" w:hAnsi="Arial" w:cs="Arial"/>
                <w:sz w:val="16"/>
                <w:szCs w:val="16"/>
              </w:rPr>
              <w:t>2023-24</w:t>
            </w:r>
            <w:r w:rsidRPr="00DE1122">
              <w:rPr>
                <w:rFonts w:ascii="Arial" w:hAnsi="Arial" w:cs="Arial"/>
                <w:sz w:val="16"/>
                <w:szCs w:val="16"/>
              </w:rPr>
              <w:t>), $5.</w:t>
            </w:r>
            <w:r>
              <w:rPr>
                <w:rFonts w:ascii="Arial" w:hAnsi="Arial" w:cs="Arial"/>
                <w:sz w:val="16"/>
                <w:szCs w:val="16"/>
              </w:rPr>
              <w:t>5</w:t>
            </w:r>
            <w:r w:rsidRPr="00DE1122">
              <w:rPr>
                <w:rFonts w:ascii="Arial" w:hAnsi="Arial" w:cs="Arial"/>
                <w:sz w:val="16"/>
                <w:szCs w:val="16"/>
              </w:rPr>
              <w:t>m (</w:t>
            </w:r>
            <w:r>
              <w:rPr>
                <w:rFonts w:ascii="Arial" w:hAnsi="Arial" w:cs="Arial"/>
                <w:sz w:val="16"/>
                <w:szCs w:val="16"/>
              </w:rPr>
              <w:t>2024-25</w:t>
            </w:r>
            <w:r w:rsidRPr="00DE1122">
              <w:rPr>
                <w:rFonts w:ascii="Arial" w:hAnsi="Arial" w:cs="Arial"/>
                <w:sz w:val="16"/>
                <w:szCs w:val="16"/>
              </w:rPr>
              <w:t>), $5.</w:t>
            </w:r>
            <w:r w:rsidR="007E4214">
              <w:rPr>
                <w:rFonts w:ascii="Arial" w:hAnsi="Arial" w:cs="Arial"/>
                <w:sz w:val="16"/>
                <w:szCs w:val="16"/>
              </w:rPr>
              <w:t>8m</w:t>
            </w:r>
            <w:r w:rsidRPr="00DE1122">
              <w:rPr>
                <w:rFonts w:ascii="Arial" w:hAnsi="Arial" w:cs="Arial"/>
                <w:sz w:val="16"/>
                <w:szCs w:val="16"/>
              </w:rPr>
              <w:t xml:space="preserve"> (</w:t>
            </w:r>
            <w:r>
              <w:rPr>
                <w:rFonts w:ascii="Arial" w:hAnsi="Arial" w:cs="Arial"/>
                <w:sz w:val="16"/>
                <w:szCs w:val="16"/>
              </w:rPr>
              <w:t>2025-26</w:t>
            </w:r>
            <w:r w:rsidRPr="00DE1122">
              <w:rPr>
                <w:rFonts w:ascii="Arial" w:hAnsi="Arial" w:cs="Arial"/>
                <w:sz w:val="16"/>
                <w:szCs w:val="16"/>
              </w:rPr>
              <w:t>)</w:t>
            </w:r>
          </w:p>
        </w:tc>
      </w:tr>
      <w:tr w:rsidR="00102406" w:rsidRPr="00B22C66" w14:paraId="470A397A" w14:textId="77777777" w:rsidTr="00E315A5">
        <w:trPr>
          <w:tblHeader/>
        </w:trPr>
        <w:tc>
          <w:tcPr>
            <w:tcW w:w="1736" w:type="dxa"/>
            <w:tcBorders>
              <w:top w:val="nil"/>
              <w:left w:val="single" w:sz="4" w:space="0" w:color="auto"/>
              <w:bottom w:val="single" w:sz="4" w:space="0" w:color="auto"/>
            </w:tcBorders>
          </w:tcPr>
          <w:p w14:paraId="69F05893" w14:textId="77777777" w:rsidR="00102406" w:rsidRPr="00DE1122" w:rsidRDefault="00102406" w:rsidP="00E315A5">
            <w:pPr>
              <w:spacing w:after="0" w:line="240" w:lineRule="auto"/>
              <w:jc w:val="left"/>
              <w:rPr>
                <w:rFonts w:ascii="Arial" w:hAnsi="Arial" w:cs="Arial"/>
                <w:sz w:val="16"/>
                <w:szCs w:val="16"/>
              </w:rPr>
            </w:pPr>
          </w:p>
        </w:tc>
        <w:tc>
          <w:tcPr>
            <w:tcW w:w="3094" w:type="dxa"/>
            <w:tcBorders>
              <w:top w:val="nil"/>
              <w:bottom w:val="single" w:sz="4" w:space="0" w:color="auto"/>
            </w:tcBorders>
          </w:tcPr>
          <w:p w14:paraId="4482DF76" w14:textId="77777777" w:rsidR="00102406" w:rsidRPr="00DE1122" w:rsidRDefault="00102406" w:rsidP="008A2254">
            <w:pPr>
              <w:numPr>
                <w:ilvl w:val="0"/>
                <w:numId w:val="33"/>
              </w:numPr>
              <w:spacing w:before="120" w:after="120" w:line="240" w:lineRule="auto"/>
              <w:ind w:left="348" w:right="142"/>
              <w:contextualSpacing/>
              <w:jc w:val="left"/>
              <w:rPr>
                <w:rFonts w:ascii="Arial" w:hAnsi="Arial" w:cs="Arial"/>
                <w:sz w:val="16"/>
                <w:szCs w:val="16"/>
                <w:lang w:val="en-US"/>
              </w:rPr>
            </w:pPr>
            <w:r w:rsidRPr="00DE1122">
              <w:rPr>
                <w:rFonts w:ascii="Arial" w:hAnsi="Arial" w:cs="Arial"/>
                <w:sz w:val="16"/>
                <w:szCs w:val="16"/>
                <w:lang w:val="en-US"/>
              </w:rPr>
              <w:t xml:space="preserve">Implementation of IBA’s </w:t>
            </w:r>
            <w:r w:rsidR="007E4214" w:rsidRPr="00DE1122">
              <w:rPr>
                <w:rFonts w:ascii="Arial" w:hAnsi="Arial" w:cs="Arial"/>
                <w:sz w:val="16"/>
                <w:szCs w:val="16"/>
                <w:lang w:val="en-US"/>
              </w:rPr>
              <w:t>impact</w:t>
            </w:r>
            <w:r w:rsidR="007E4214">
              <w:rPr>
                <w:rFonts w:ascii="Arial" w:hAnsi="Arial" w:cs="Arial"/>
                <w:sz w:val="16"/>
                <w:szCs w:val="16"/>
                <w:lang w:val="en-US"/>
              </w:rPr>
              <w:t xml:space="preserve">, evaluation and performance </w:t>
            </w:r>
            <w:r w:rsidR="007E4214" w:rsidRPr="00DE1122">
              <w:rPr>
                <w:rFonts w:ascii="Arial" w:hAnsi="Arial" w:cs="Arial"/>
                <w:sz w:val="16"/>
                <w:szCs w:val="16"/>
                <w:lang w:val="en-US"/>
              </w:rPr>
              <w:t>framework</w:t>
            </w:r>
            <w:r w:rsidR="007E4214">
              <w:rPr>
                <w:rFonts w:ascii="Arial" w:hAnsi="Arial" w:cs="Arial"/>
                <w:sz w:val="16"/>
                <w:szCs w:val="16"/>
                <w:lang w:val="en-US"/>
              </w:rPr>
              <w:t>s</w:t>
            </w:r>
          </w:p>
        </w:tc>
        <w:tc>
          <w:tcPr>
            <w:tcW w:w="2870" w:type="dxa"/>
            <w:tcBorders>
              <w:top w:val="nil"/>
              <w:bottom w:val="single" w:sz="4" w:space="0" w:color="auto"/>
              <w:right w:val="single" w:sz="4" w:space="0" w:color="auto"/>
            </w:tcBorders>
          </w:tcPr>
          <w:p w14:paraId="6BC38675" w14:textId="77777777" w:rsidR="00102406" w:rsidRPr="00DE1122" w:rsidRDefault="00102406" w:rsidP="008A2254">
            <w:pPr>
              <w:pStyle w:val="ListParagraph"/>
              <w:numPr>
                <w:ilvl w:val="0"/>
                <w:numId w:val="37"/>
              </w:numPr>
              <w:tabs>
                <w:tab w:val="left" w:pos="555"/>
              </w:tabs>
              <w:spacing w:after="60"/>
              <w:rPr>
                <w:rFonts w:ascii="Arial" w:hAnsi="Arial" w:cs="Arial"/>
                <w:sz w:val="16"/>
                <w:szCs w:val="16"/>
              </w:rPr>
            </w:pPr>
            <w:r>
              <w:rPr>
                <w:rFonts w:ascii="Arial" w:hAnsi="Arial" w:cs="Arial"/>
                <w:sz w:val="16"/>
                <w:szCs w:val="16"/>
              </w:rPr>
              <w:t xml:space="preserve">Undertake impact research in line with IBA’s </w:t>
            </w:r>
            <w:r w:rsidR="007E4214">
              <w:rPr>
                <w:rFonts w:ascii="Arial" w:hAnsi="Arial" w:cs="Arial"/>
                <w:sz w:val="16"/>
                <w:szCs w:val="16"/>
              </w:rPr>
              <w:t>impact, evaluation and performance frameworks that deliver recommendations with a clear path to improving customer outcomes</w:t>
            </w:r>
          </w:p>
        </w:tc>
      </w:tr>
    </w:tbl>
    <w:p w14:paraId="6E4BEAA3" w14:textId="77777777" w:rsidR="00102406" w:rsidRDefault="00102406" w:rsidP="00102406"/>
    <w:p w14:paraId="71756FF0" w14:textId="77777777" w:rsidR="00102406" w:rsidRPr="001C575F" w:rsidRDefault="00102406" w:rsidP="00102406">
      <w:pPr>
        <w:rPr>
          <w:highlight w:val="yellow"/>
        </w:rPr>
      </w:pPr>
      <w:r>
        <w:t xml:space="preserve"> </w:t>
      </w:r>
    </w:p>
    <w:p w14:paraId="41544CCA" w14:textId="77777777" w:rsidR="00102406" w:rsidRPr="00AD42E2" w:rsidRDefault="00102406" w:rsidP="00102406">
      <w:pPr>
        <w:pStyle w:val="Heading2"/>
      </w:pPr>
      <w:r w:rsidRPr="005B6A94">
        <w:br w:type="page"/>
      </w:r>
      <w:bookmarkStart w:id="535" w:name="_Toc98766401"/>
      <w:bookmarkStart w:id="536" w:name="_Toc98856148"/>
      <w:bookmarkStart w:id="537" w:name="_Toc98932900"/>
      <w:bookmarkStart w:id="538" w:name="_Toc99008156"/>
      <w:bookmarkStart w:id="539" w:name="_Toc99009518"/>
      <w:bookmarkStart w:id="540" w:name="_Toc99010746"/>
      <w:bookmarkStart w:id="541" w:name="_Toc99013981"/>
      <w:bookmarkStart w:id="542" w:name="_Toc99187557"/>
      <w:bookmarkStart w:id="543" w:name="_Toc99269668"/>
      <w:r w:rsidRPr="00AD42E2">
        <w:t>Section 3: Budgeted financial statements</w:t>
      </w:r>
      <w:bookmarkEnd w:id="535"/>
      <w:bookmarkEnd w:id="536"/>
      <w:bookmarkEnd w:id="537"/>
      <w:bookmarkEnd w:id="538"/>
      <w:bookmarkEnd w:id="539"/>
      <w:bookmarkEnd w:id="540"/>
      <w:bookmarkEnd w:id="541"/>
      <w:bookmarkEnd w:id="542"/>
      <w:bookmarkEnd w:id="543"/>
    </w:p>
    <w:p w14:paraId="5A12ABEF" w14:textId="77777777" w:rsidR="00102406" w:rsidRDefault="00102406" w:rsidP="00102406">
      <w:r>
        <w:t xml:space="preserve">Section 3 presents budgeted financial statements which provide a comprehensive snapshot of </w:t>
      </w:r>
      <w:r w:rsidR="00974B3C">
        <w:t>IBA’s</w:t>
      </w:r>
      <w:r>
        <w:t xml:space="preserve"> finances for the 2022-23</w:t>
      </w:r>
      <w:r>
        <w:rPr>
          <w:color w:val="00B050"/>
        </w:rPr>
        <w:t xml:space="preserve"> </w:t>
      </w:r>
      <w:r w:rsidR="004C12AF">
        <w:t>Budget year</w:t>
      </w:r>
      <w:r>
        <w:t>, including the impact of budget measures and resourcing on financial statements.</w:t>
      </w:r>
    </w:p>
    <w:p w14:paraId="195AE5C4" w14:textId="77777777" w:rsidR="00102406" w:rsidRPr="005328A9" w:rsidRDefault="00102406" w:rsidP="00102406">
      <w:pPr>
        <w:pStyle w:val="Heading3"/>
      </w:pPr>
      <w:bookmarkStart w:id="544" w:name="_Toc98766402"/>
      <w:bookmarkStart w:id="545" w:name="_Toc98856149"/>
      <w:bookmarkStart w:id="546" w:name="_Toc98932901"/>
      <w:bookmarkStart w:id="547" w:name="_Toc99008157"/>
      <w:bookmarkStart w:id="548" w:name="_Toc99009519"/>
      <w:bookmarkStart w:id="549" w:name="_Toc99010747"/>
      <w:bookmarkStart w:id="550" w:name="_Toc99013982"/>
      <w:bookmarkStart w:id="551" w:name="_Toc99187558"/>
      <w:bookmarkStart w:id="552" w:name="_Toc99269669"/>
      <w:r w:rsidRPr="005328A9">
        <w:t>3.1</w:t>
      </w:r>
      <w:r w:rsidRPr="005328A9">
        <w:tab/>
        <w:t>Budgeted financial statements</w:t>
      </w:r>
      <w:bookmarkEnd w:id="544"/>
      <w:bookmarkEnd w:id="545"/>
      <w:bookmarkEnd w:id="546"/>
      <w:bookmarkEnd w:id="547"/>
      <w:bookmarkEnd w:id="548"/>
      <w:bookmarkEnd w:id="549"/>
      <w:bookmarkEnd w:id="550"/>
      <w:bookmarkEnd w:id="551"/>
      <w:bookmarkEnd w:id="552"/>
    </w:p>
    <w:p w14:paraId="4F2D3FEF" w14:textId="77777777" w:rsidR="00102406" w:rsidRDefault="00102406" w:rsidP="00102406">
      <w:pPr>
        <w:pStyle w:val="Heading4"/>
      </w:pPr>
      <w:r>
        <w:t>3.1.1</w:t>
      </w:r>
      <w:r>
        <w:tab/>
        <w:t>Explanatory notes and analysis of budgeted financial statements</w:t>
      </w:r>
    </w:p>
    <w:p w14:paraId="15FA825A" w14:textId="77777777" w:rsidR="00102406" w:rsidRPr="0019162C" w:rsidRDefault="007E4214" w:rsidP="00102406">
      <w:pPr>
        <w:rPr>
          <w:rFonts w:cs="Arial"/>
        </w:rPr>
      </w:pPr>
      <w:r>
        <w:rPr>
          <w:rFonts w:cs="Arial"/>
        </w:rPr>
        <w:t xml:space="preserve">The </w:t>
      </w:r>
      <w:r w:rsidR="00102406" w:rsidRPr="0019162C">
        <w:rPr>
          <w:rFonts w:cs="Arial"/>
        </w:rPr>
        <w:t xml:space="preserve">IBA budgets are prepared on a consolidated basis for the agency and its </w:t>
      </w:r>
      <w:r w:rsidR="00102406" w:rsidRPr="00644290">
        <w:rPr>
          <w:rFonts w:cs="Arial"/>
        </w:rPr>
        <w:t>3</w:t>
      </w:r>
      <w:r w:rsidR="00102406" w:rsidRPr="0055251C">
        <w:rPr>
          <w:rFonts w:cs="Arial"/>
        </w:rPr>
        <w:t>8</w:t>
      </w:r>
      <w:r w:rsidR="00102406" w:rsidRPr="00595953">
        <w:rPr>
          <w:rFonts w:cs="Arial"/>
        </w:rPr>
        <w:t> </w:t>
      </w:r>
      <w:r w:rsidR="00102406" w:rsidRPr="00644290">
        <w:rPr>
          <w:rFonts w:cs="Arial"/>
        </w:rPr>
        <w:t xml:space="preserve">subsidiaries, </w:t>
      </w:r>
      <w:r w:rsidR="00102406" w:rsidRPr="0055251C">
        <w:rPr>
          <w:rFonts w:cs="Arial"/>
        </w:rPr>
        <w:t>25</w:t>
      </w:r>
      <w:r w:rsidR="00102406" w:rsidRPr="0019162C">
        <w:rPr>
          <w:rFonts w:cs="Arial"/>
        </w:rPr>
        <w:t xml:space="preserve"> </w:t>
      </w:r>
      <w:r w:rsidR="00102406">
        <w:rPr>
          <w:rFonts w:cs="Arial"/>
        </w:rPr>
        <w:t xml:space="preserve">of which </w:t>
      </w:r>
      <w:r w:rsidR="00102406" w:rsidRPr="0019162C">
        <w:rPr>
          <w:rFonts w:cs="Arial"/>
        </w:rPr>
        <w:t>are trading. On consolidation, assets, liabilities, income and expenditure of all subsidiaries flow through to individual line items in the consolidated budget.</w:t>
      </w:r>
    </w:p>
    <w:p w14:paraId="466777F5" w14:textId="77777777" w:rsidR="00102406" w:rsidRPr="004E586A" w:rsidRDefault="00102406" w:rsidP="00102406">
      <w:pPr>
        <w:pStyle w:val="H7"/>
        <w:rPr>
          <w:rFonts w:ascii="Book Antiqua" w:hAnsi="Book Antiqua"/>
          <w:b/>
          <w:i w:val="0"/>
        </w:rPr>
      </w:pPr>
      <w:r w:rsidRPr="004E586A">
        <w:rPr>
          <w:rFonts w:ascii="Book Antiqua" w:hAnsi="Book Antiqua"/>
          <w:b/>
          <w:i w:val="0"/>
        </w:rPr>
        <w:t>Comprehensive income statement</w:t>
      </w:r>
    </w:p>
    <w:p w14:paraId="0A71D3DD" w14:textId="77777777" w:rsidR="00102406" w:rsidRPr="0019162C" w:rsidRDefault="007E4214" w:rsidP="00102406">
      <w:pPr>
        <w:rPr>
          <w:rFonts w:cs="Arial"/>
        </w:rPr>
      </w:pPr>
      <w:r>
        <w:rPr>
          <w:rFonts w:cs="Arial"/>
        </w:rPr>
        <w:t xml:space="preserve">The </w:t>
      </w:r>
      <w:r w:rsidR="00102406" w:rsidRPr="0019162C">
        <w:rPr>
          <w:rFonts w:cs="Arial"/>
        </w:rPr>
        <w:t>IBA is budgeting for a</w:t>
      </w:r>
      <w:r w:rsidR="00102406">
        <w:rPr>
          <w:rFonts w:cs="Arial"/>
        </w:rPr>
        <w:t xml:space="preserve"> </w:t>
      </w:r>
      <w:r w:rsidR="00102406" w:rsidRPr="0019162C">
        <w:rPr>
          <w:rFonts w:cs="Arial"/>
        </w:rPr>
        <w:t>surplus of $</w:t>
      </w:r>
      <w:r w:rsidR="00102406">
        <w:rPr>
          <w:rFonts w:cs="Arial"/>
        </w:rPr>
        <w:t>22 </w:t>
      </w:r>
      <w:r w:rsidR="00102406" w:rsidRPr="0019162C">
        <w:rPr>
          <w:rFonts w:cs="Arial"/>
        </w:rPr>
        <w:t>million in 202</w:t>
      </w:r>
      <w:r w:rsidR="00102406">
        <w:rPr>
          <w:rFonts w:cs="Arial"/>
        </w:rPr>
        <w:t>2</w:t>
      </w:r>
      <w:r w:rsidR="00102406" w:rsidRPr="0019162C">
        <w:rPr>
          <w:rFonts w:cs="Arial"/>
        </w:rPr>
        <w:t>-2</w:t>
      </w:r>
      <w:r w:rsidR="00102406">
        <w:rPr>
          <w:rFonts w:cs="Arial"/>
        </w:rPr>
        <w:t>3</w:t>
      </w:r>
      <w:r w:rsidR="00102406" w:rsidRPr="0019162C">
        <w:rPr>
          <w:rFonts w:cs="Arial"/>
        </w:rPr>
        <w:t xml:space="preserve"> compared with an estimated </w:t>
      </w:r>
      <w:r w:rsidR="00102406">
        <w:rPr>
          <w:rFonts w:cs="Arial"/>
        </w:rPr>
        <w:t>actual surplus of $78 </w:t>
      </w:r>
      <w:r w:rsidR="00102406" w:rsidRPr="0019162C">
        <w:rPr>
          <w:rFonts w:cs="Arial"/>
        </w:rPr>
        <w:t>million in 202</w:t>
      </w:r>
      <w:r w:rsidR="00102406">
        <w:rPr>
          <w:rFonts w:cs="Arial"/>
        </w:rPr>
        <w:t>1</w:t>
      </w:r>
      <w:r w:rsidR="00102406" w:rsidRPr="0019162C">
        <w:rPr>
          <w:rFonts w:cs="Arial"/>
        </w:rPr>
        <w:t>-2</w:t>
      </w:r>
      <w:r w:rsidR="00102406">
        <w:rPr>
          <w:rFonts w:cs="Arial"/>
        </w:rPr>
        <w:t>2</w:t>
      </w:r>
      <w:r w:rsidR="00102406" w:rsidRPr="0019162C">
        <w:rPr>
          <w:rFonts w:cs="Arial"/>
        </w:rPr>
        <w:t>.</w:t>
      </w:r>
    </w:p>
    <w:p w14:paraId="4BD9814D" w14:textId="77777777" w:rsidR="00102406" w:rsidRPr="004E586A" w:rsidRDefault="00102406" w:rsidP="00102406">
      <w:pPr>
        <w:pStyle w:val="H7"/>
        <w:rPr>
          <w:rFonts w:ascii="Book Antiqua" w:hAnsi="Book Antiqua"/>
          <w:b/>
          <w:i w:val="0"/>
        </w:rPr>
      </w:pPr>
      <w:r w:rsidRPr="004E586A">
        <w:rPr>
          <w:rFonts w:ascii="Book Antiqua" w:hAnsi="Book Antiqua"/>
          <w:b/>
          <w:i w:val="0"/>
        </w:rPr>
        <w:t>Budgeted departmental balance sheet</w:t>
      </w:r>
    </w:p>
    <w:p w14:paraId="724253C4" w14:textId="77777777" w:rsidR="00102406" w:rsidRPr="0019162C" w:rsidRDefault="00102406" w:rsidP="00102406">
      <w:pPr>
        <w:spacing w:after="120" w:line="240" w:lineRule="auto"/>
        <w:rPr>
          <w:rFonts w:cs="Arial"/>
        </w:rPr>
      </w:pPr>
      <w:r w:rsidRPr="0019162C">
        <w:rPr>
          <w:rFonts w:cs="Arial"/>
        </w:rPr>
        <w:t>Budgeted net asse</w:t>
      </w:r>
      <w:r>
        <w:rPr>
          <w:rFonts w:cs="Arial"/>
        </w:rPr>
        <w:t xml:space="preserve">ts as at 30 June 2023 of $2,008 </w:t>
      </w:r>
      <w:r w:rsidRPr="0019162C">
        <w:rPr>
          <w:rFonts w:cs="Arial"/>
        </w:rPr>
        <w:t>millio</w:t>
      </w:r>
      <w:r>
        <w:rPr>
          <w:rFonts w:cs="Arial"/>
        </w:rPr>
        <w:t xml:space="preserve">n represents an </w:t>
      </w:r>
      <w:r w:rsidRPr="00E34230">
        <w:rPr>
          <w:rFonts w:cs="Arial"/>
        </w:rPr>
        <w:t>increase</w:t>
      </w:r>
      <w:r>
        <w:rPr>
          <w:rFonts w:cs="Arial"/>
        </w:rPr>
        <w:t xml:space="preserve"> of $75 </w:t>
      </w:r>
      <w:r w:rsidRPr="0019162C">
        <w:rPr>
          <w:rFonts w:cs="Arial"/>
        </w:rPr>
        <w:t>million over the</w:t>
      </w:r>
      <w:r>
        <w:rPr>
          <w:rFonts w:cs="Arial"/>
        </w:rPr>
        <w:t xml:space="preserve"> estimated net assets of $1,933 </w:t>
      </w:r>
      <w:r w:rsidRPr="0019162C">
        <w:rPr>
          <w:rFonts w:cs="Arial"/>
        </w:rPr>
        <w:t>million as at 30 June 202</w:t>
      </w:r>
      <w:r>
        <w:rPr>
          <w:rFonts w:cs="Arial"/>
        </w:rPr>
        <w:t>2</w:t>
      </w:r>
      <w:r w:rsidRPr="0019162C">
        <w:rPr>
          <w:rFonts w:cs="Arial"/>
        </w:rPr>
        <w:t>. The main drivers of the increase are:</w:t>
      </w:r>
    </w:p>
    <w:p w14:paraId="75947C83" w14:textId="77777777" w:rsidR="00102406" w:rsidRPr="0019162C" w:rsidRDefault="00102406" w:rsidP="008A2254">
      <w:pPr>
        <w:numPr>
          <w:ilvl w:val="0"/>
          <w:numId w:val="13"/>
        </w:numPr>
        <w:spacing w:afterLines="40" w:after="96" w:line="240" w:lineRule="auto"/>
        <w:ind w:left="714" w:hanging="357"/>
        <w:jc w:val="left"/>
        <w:rPr>
          <w:rFonts w:cs="Arial"/>
        </w:rPr>
      </w:pPr>
      <w:r w:rsidRPr="0019162C">
        <w:rPr>
          <w:rFonts w:cs="Arial"/>
        </w:rPr>
        <w:t>continuing capital injections fro</w:t>
      </w:r>
      <w:r>
        <w:rPr>
          <w:rFonts w:cs="Arial"/>
        </w:rPr>
        <w:t>m the Government of $23 million;</w:t>
      </w:r>
    </w:p>
    <w:p w14:paraId="5C79A699" w14:textId="77777777" w:rsidR="00102406" w:rsidRPr="0019162C" w:rsidRDefault="00102406" w:rsidP="008A2254">
      <w:pPr>
        <w:numPr>
          <w:ilvl w:val="0"/>
          <w:numId w:val="13"/>
        </w:numPr>
        <w:spacing w:afterLines="40" w:after="96" w:line="240" w:lineRule="auto"/>
        <w:ind w:left="714" w:hanging="357"/>
        <w:jc w:val="left"/>
        <w:rPr>
          <w:rFonts w:cs="Arial"/>
        </w:rPr>
      </w:pPr>
      <w:r>
        <w:rPr>
          <w:rFonts w:cs="Arial"/>
        </w:rPr>
        <w:t xml:space="preserve">final </w:t>
      </w:r>
      <w:r w:rsidRPr="0019162C">
        <w:rPr>
          <w:rFonts w:cs="Arial"/>
        </w:rPr>
        <w:t>equity injection of $</w:t>
      </w:r>
      <w:r>
        <w:rPr>
          <w:rFonts w:cs="Arial"/>
        </w:rPr>
        <w:t>19</w:t>
      </w:r>
      <w:r w:rsidRPr="0019162C">
        <w:rPr>
          <w:rFonts w:cs="Arial"/>
        </w:rPr>
        <w:t xml:space="preserve"> million for Regional Construction Loan funding ($1</w:t>
      </w:r>
      <w:r>
        <w:rPr>
          <w:rFonts w:cs="Arial"/>
        </w:rPr>
        <w:t>50 </w:t>
      </w:r>
      <w:r w:rsidRPr="0019162C">
        <w:rPr>
          <w:rFonts w:cs="Arial"/>
        </w:rPr>
        <w:t>million funding ove</w:t>
      </w:r>
      <w:r w:rsidR="00CC379E">
        <w:rPr>
          <w:rFonts w:cs="Arial"/>
        </w:rPr>
        <w:t>r three</w:t>
      </w:r>
      <w:r>
        <w:rPr>
          <w:rFonts w:cs="Arial"/>
        </w:rPr>
        <w:t xml:space="preserve"> years, ending 30 June 2023)</w:t>
      </w:r>
    </w:p>
    <w:p w14:paraId="41F922E9" w14:textId="77777777" w:rsidR="00102406" w:rsidRPr="0019162C" w:rsidRDefault="00102406" w:rsidP="008A2254">
      <w:pPr>
        <w:numPr>
          <w:ilvl w:val="0"/>
          <w:numId w:val="13"/>
        </w:numPr>
        <w:spacing w:afterLines="40" w:after="96" w:line="240" w:lineRule="auto"/>
        <w:ind w:left="714" w:hanging="357"/>
        <w:jc w:val="left"/>
        <w:rPr>
          <w:rFonts w:cs="Arial"/>
        </w:rPr>
      </w:pPr>
      <w:r w:rsidRPr="0019162C">
        <w:rPr>
          <w:rFonts w:cs="Arial"/>
        </w:rPr>
        <w:t>estimate</w:t>
      </w:r>
      <w:r w:rsidR="007E4214">
        <w:rPr>
          <w:rFonts w:cs="Arial"/>
        </w:rPr>
        <w:t>d contributions of equity from I</w:t>
      </w:r>
      <w:r w:rsidRPr="0019162C">
        <w:rPr>
          <w:rFonts w:cs="Arial"/>
        </w:rPr>
        <w:t>n</w:t>
      </w:r>
      <w:r>
        <w:rPr>
          <w:rFonts w:cs="Arial"/>
        </w:rPr>
        <w:t>digenous partners of $12 million, and</w:t>
      </w:r>
    </w:p>
    <w:p w14:paraId="0DBD0AA2" w14:textId="77777777" w:rsidR="00102406" w:rsidRPr="0019162C" w:rsidRDefault="00102406" w:rsidP="008A2254">
      <w:pPr>
        <w:numPr>
          <w:ilvl w:val="0"/>
          <w:numId w:val="13"/>
        </w:numPr>
        <w:spacing w:afterLines="40" w:after="96"/>
        <w:ind w:left="714" w:hanging="357"/>
        <w:jc w:val="left"/>
        <w:rPr>
          <w:rFonts w:cs="Arial"/>
        </w:rPr>
      </w:pPr>
      <w:r w:rsidRPr="0019162C">
        <w:rPr>
          <w:rFonts w:cs="Arial"/>
        </w:rPr>
        <w:t>the est</w:t>
      </w:r>
      <w:r>
        <w:rPr>
          <w:rFonts w:cs="Arial"/>
        </w:rPr>
        <w:t>imated surplus of $22 </w:t>
      </w:r>
      <w:r w:rsidRPr="0019162C">
        <w:rPr>
          <w:rFonts w:cs="Arial"/>
        </w:rPr>
        <w:t>million.</w:t>
      </w:r>
    </w:p>
    <w:p w14:paraId="284D8EFE" w14:textId="77777777" w:rsidR="00102406" w:rsidRPr="004E586A" w:rsidRDefault="00102406" w:rsidP="00102406">
      <w:pPr>
        <w:pStyle w:val="H7"/>
        <w:spacing w:before="240"/>
        <w:rPr>
          <w:rFonts w:ascii="Book Antiqua" w:hAnsi="Book Antiqua"/>
          <w:b/>
          <w:i w:val="0"/>
        </w:rPr>
      </w:pPr>
      <w:r w:rsidRPr="004E586A">
        <w:rPr>
          <w:rFonts w:ascii="Book Antiqua" w:hAnsi="Book Antiqua"/>
          <w:b/>
          <w:i w:val="0"/>
        </w:rPr>
        <w:t>Budgeted departmental statement of cash flows</w:t>
      </w:r>
    </w:p>
    <w:p w14:paraId="42736B35" w14:textId="77777777" w:rsidR="00102406" w:rsidRPr="0019162C" w:rsidRDefault="00102406" w:rsidP="00102406">
      <w:pPr>
        <w:rPr>
          <w:rFonts w:cs="Arial"/>
        </w:rPr>
      </w:pPr>
      <w:r w:rsidRPr="0019162C">
        <w:rPr>
          <w:rFonts w:cs="Arial"/>
        </w:rPr>
        <w:t>Net lending activity</w:t>
      </w:r>
      <w:r>
        <w:rPr>
          <w:rFonts w:cs="Arial"/>
        </w:rPr>
        <w:t xml:space="preserve"> is expected to be $69 </w:t>
      </w:r>
      <w:r w:rsidRPr="0019162C">
        <w:rPr>
          <w:rFonts w:cs="Arial"/>
        </w:rPr>
        <w:t>million in 202</w:t>
      </w:r>
      <w:r>
        <w:rPr>
          <w:rFonts w:cs="Arial"/>
        </w:rPr>
        <w:t>2</w:t>
      </w:r>
      <w:r w:rsidRPr="0019162C">
        <w:rPr>
          <w:rFonts w:cs="Arial"/>
        </w:rPr>
        <w:t>-2</w:t>
      </w:r>
      <w:r>
        <w:rPr>
          <w:rFonts w:cs="Arial"/>
        </w:rPr>
        <w:t>3</w:t>
      </w:r>
      <w:r w:rsidRPr="0019162C">
        <w:rPr>
          <w:rFonts w:cs="Arial"/>
        </w:rPr>
        <w:t xml:space="preserve">. </w:t>
      </w:r>
    </w:p>
    <w:p w14:paraId="60E4AE4A" w14:textId="77777777" w:rsidR="00102406" w:rsidRPr="004E586A" w:rsidRDefault="00102406" w:rsidP="00102406">
      <w:pPr>
        <w:pStyle w:val="H7"/>
        <w:rPr>
          <w:rFonts w:ascii="Book Antiqua" w:hAnsi="Book Antiqua"/>
          <w:b/>
          <w:i w:val="0"/>
        </w:rPr>
      </w:pPr>
      <w:r w:rsidRPr="004E586A">
        <w:rPr>
          <w:rFonts w:ascii="Book Antiqua" w:hAnsi="Book Antiqua"/>
          <w:b/>
          <w:i w:val="0"/>
        </w:rPr>
        <w:t>Departmental statement of changes in equity</w:t>
      </w:r>
    </w:p>
    <w:p w14:paraId="3FFF2526" w14:textId="77777777" w:rsidR="00102406" w:rsidRDefault="00102406" w:rsidP="00102406">
      <w:pPr>
        <w:rPr>
          <w:rFonts w:cs="Arial"/>
        </w:rPr>
      </w:pPr>
      <w:r w:rsidRPr="0019162C">
        <w:rPr>
          <w:rFonts w:cs="Arial"/>
        </w:rPr>
        <w:t>Total equity</w:t>
      </w:r>
      <w:r>
        <w:rPr>
          <w:rFonts w:cs="Arial"/>
        </w:rPr>
        <w:t xml:space="preserve"> is expected </w:t>
      </w:r>
      <w:r w:rsidRPr="00E34230">
        <w:rPr>
          <w:rFonts w:cs="Arial"/>
        </w:rPr>
        <w:t>to increase</w:t>
      </w:r>
      <w:r>
        <w:rPr>
          <w:rFonts w:cs="Arial"/>
        </w:rPr>
        <w:t xml:space="preserve"> by $75 million to $2,008 </w:t>
      </w:r>
      <w:r w:rsidRPr="0019162C">
        <w:rPr>
          <w:rFonts w:cs="Arial"/>
        </w:rPr>
        <w:t>million as at 30 June 202</w:t>
      </w:r>
      <w:r>
        <w:rPr>
          <w:rFonts w:cs="Arial"/>
        </w:rPr>
        <w:t>3</w:t>
      </w:r>
      <w:r w:rsidRPr="0019162C">
        <w:rPr>
          <w:rFonts w:cs="Arial"/>
        </w:rPr>
        <w:t>, with the continuing add</w:t>
      </w:r>
      <w:r>
        <w:rPr>
          <w:rFonts w:cs="Arial"/>
        </w:rPr>
        <w:t>itional equity injection of $23 </w:t>
      </w:r>
      <w:r w:rsidRPr="0019162C">
        <w:rPr>
          <w:rFonts w:cs="Arial"/>
        </w:rPr>
        <w:t>million from the Comm</w:t>
      </w:r>
      <w:r>
        <w:rPr>
          <w:rFonts w:cs="Arial"/>
        </w:rPr>
        <w:t>onwealth, plus the $19 </w:t>
      </w:r>
      <w:r w:rsidRPr="0019162C">
        <w:rPr>
          <w:rFonts w:cs="Arial"/>
        </w:rPr>
        <w:t xml:space="preserve">million </w:t>
      </w:r>
      <w:r>
        <w:rPr>
          <w:rFonts w:cs="Arial"/>
        </w:rPr>
        <w:t>final</w:t>
      </w:r>
      <w:r w:rsidRPr="0019162C">
        <w:rPr>
          <w:rFonts w:cs="Arial"/>
        </w:rPr>
        <w:t xml:space="preserve"> instalment of the </w:t>
      </w:r>
      <w:r>
        <w:rPr>
          <w:rFonts w:cs="Arial"/>
        </w:rPr>
        <w:t xml:space="preserve">construction lending </w:t>
      </w:r>
      <w:r w:rsidRPr="0019162C">
        <w:rPr>
          <w:rFonts w:cs="Arial"/>
        </w:rPr>
        <w:t>fundi</w:t>
      </w:r>
      <w:r w:rsidRPr="00AF73EE">
        <w:rPr>
          <w:rFonts w:cs="Arial"/>
        </w:rPr>
        <w:t>ng</w:t>
      </w:r>
      <w:r w:rsidRPr="001536B4">
        <w:rPr>
          <w:rFonts w:cs="Arial"/>
        </w:rPr>
        <w:t xml:space="preserve"> </w:t>
      </w:r>
      <w:r>
        <w:rPr>
          <w:rFonts w:cs="Arial"/>
        </w:rPr>
        <w:t>($150 </w:t>
      </w:r>
      <w:r w:rsidRPr="00AF73EE">
        <w:rPr>
          <w:rFonts w:cs="Arial"/>
        </w:rPr>
        <w:t>mil</w:t>
      </w:r>
      <w:r w:rsidR="00CC379E">
        <w:rPr>
          <w:rFonts w:cs="Arial"/>
        </w:rPr>
        <w:t>lion over three</w:t>
      </w:r>
      <w:r>
        <w:rPr>
          <w:rFonts w:cs="Arial"/>
        </w:rPr>
        <w:t> </w:t>
      </w:r>
      <w:r w:rsidRPr="0019162C">
        <w:rPr>
          <w:rFonts w:cs="Arial"/>
        </w:rPr>
        <w:t>years),</w:t>
      </w:r>
      <w:r w:rsidR="007E4214">
        <w:rPr>
          <w:rFonts w:cs="Arial"/>
        </w:rPr>
        <w:t xml:space="preserve"> I</w:t>
      </w:r>
      <w:r>
        <w:rPr>
          <w:rFonts w:cs="Arial"/>
        </w:rPr>
        <w:t>ndigenous co-investment of $12 </w:t>
      </w:r>
      <w:r w:rsidRPr="0019162C">
        <w:rPr>
          <w:rFonts w:cs="Arial"/>
        </w:rPr>
        <w:t>million and the Budget year surplus of $</w:t>
      </w:r>
      <w:r>
        <w:rPr>
          <w:rFonts w:cs="Arial"/>
        </w:rPr>
        <w:t>22</w:t>
      </w:r>
      <w:r w:rsidRPr="0019162C">
        <w:rPr>
          <w:rFonts w:cs="Arial"/>
        </w:rPr>
        <w:t xml:space="preserve"> million.</w:t>
      </w:r>
    </w:p>
    <w:p w14:paraId="3A40FB98" w14:textId="77777777" w:rsidR="00102406" w:rsidRDefault="00102406" w:rsidP="00102406">
      <w:pPr>
        <w:spacing w:after="0" w:line="240" w:lineRule="auto"/>
        <w:jc w:val="left"/>
        <w:rPr>
          <w:rFonts w:cs="Arial"/>
        </w:rPr>
      </w:pPr>
      <w:r>
        <w:rPr>
          <w:rFonts w:cs="Arial"/>
        </w:rPr>
        <w:br w:type="page"/>
      </w:r>
    </w:p>
    <w:p w14:paraId="6A00D96C" w14:textId="77777777" w:rsidR="00102406" w:rsidRPr="0019162C" w:rsidRDefault="00102406" w:rsidP="00102406">
      <w:pPr>
        <w:keepNext/>
        <w:tabs>
          <w:tab w:val="left" w:pos="709"/>
        </w:tabs>
        <w:spacing w:before="120" w:after="120" w:line="240" w:lineRule="auto"/>
        <w:jc w:val="left"/>
        <w:outlineLvl w:val="3"/>
        <w:rPr>
          <w:rFonts w:ascii="Arial" w:hAnsi="Arial"/>
          <w:b/>
        </w:rPr>
      </w:pPr>
      <w:bookmarkStart w:id="553" w:name="_Hlk97044760"/>
      <w:r w:rsidRPr="0019162C">
        <w:rPr>
          <w:rFonts w:ascii="Arial" w:hAnsi="Arial"/>
          <w:b/>
        </w:rPr>
        <w:t>3.1.1</w:t>
      </w:r>
      <w:r w:rsidRPr="0019162C">
        <w:rPr>
          <w:rFonts w:ascii="Arial" w:hAnsi="Arial"/>
          <w:b/>
        </w:rPr>
        <w:tab/>
        <w:t>Explanatory notes and analysis of budgeted financial statements (continued)</w:t>
      </w:r>
    </w:p>
    <w:p w14:paraId="3DA1F0F5" w14:textId="77777777" w:rsidR="00102406" w:rsidRPr="004E586A" w:rsidRDefault="00102406" w:rsidP="00102406">
      <w:pPr>
        <w:pStyle w:val="H7"/>
        <w:rPr>
          <w:rFonts w:ascii="Book Antiqua" w:hAnsi="Book Antiqua"/>
          <w:b/>
          <w:bCs w:val="0"/>
          <w:i w:val="0"/>
        </w:rPr>
      </w:pPr>
      <w:r w:rsidRPr="004E586A">
        <w:rPr>
          <w:rFonts w:ascii="Book Antiqua" w:hAnsi="Book Antiqua"/>
          <w:b/>
          <w:i w:val="0"/>
        </w:rPr>
        <w:t>Concessional loan discount</w:t>
      </w:r>
    </w:p>
    <w:p w14:paraId="08A5AFFD" w14:textId="77777777" w:rsidR="00102406" w:rsidRPr="0019162C" w:rsidRDefault="007E4214" w:rsidP="00102406">
      <w:pPr>
        <w:widowControl w:val="0"/>
        <w:autoSpaceDE w:val="0"/>
        <w:autoSpaceDN w:val="0"/>
        <w:adjustRightInd w:val="0"/>
        <w:rPr>
          <w:rFonts w:cs="Arial"/>
        </w:rPr>
      </w:pPr>
      <w:r>
        <w:rPr>
          <w:rFonts w:cs="Arial"/>
        </w:rPr>
        <w:t xml:space="preserve">The </w:t>
      </w:r>
      <w:r w:rsidR="00102406" w:rsidRPr="0019162C">
        <w:rPr>
          <w:rFonts w:cs="Arial"/>
        </w:rPr>
        <w:t>IBA continues to designate its loan portfolio in accordance with applicable accounting standards.  In line with updated accounting standards, IBA amortises the concessional loan discount over the course of its estimated remaining life.</w:t>
      </w:r>
    </w:p>
    <w:p w14:paraId="575D2D3D" w14:textId="77777777" w:rsidR="00102406" w:rsidRPr="004E586A" w:rsidRDefault="00102406" w:rsidP="00102406">
      <w:pPr>
        <w:pStyle w:val="H7"/>
        <w:rPr>
          <w:rFonts w:ascii="Book Antiqua" w:hAnsi="Book Antiqua"/>
          <w:b/>
          <w:bCs w:val="0"/>
          <w:i w:val="0"/>
        </w:rPr>
      </w:pPr>
      <w:r w:rsidRPr="004E586A">
        <w:rPr>
          <w:rFonts w:ascii="Book Antiqua" w:hAnsi="Book Antiqua"/>
          <w:b/>
          <w:i w:val="0"/>
        </w:rPr>
        <w:t>Financial assets – trade and other receivables</w:t>
      </w:r>
    </w:p>
    <w:p w14:paraId="2C9D5D12" w14:textId="77777777" w:rsidR="00102406" w:rsidRPr="0019162C" w:rsidRDefault="00102406" w:rsidP="00102406">
      <w:pPr>
        <w:widowControl w:val="0"/>
        <w:autoSpaceDE w:val="0"/>
        <w:autoSpaceDN w:val="0"/>
        <w:adjustRightInd w:val="0"/>
        <w:spacing w:line="260" w:lineRule="atLeast"/>
        <w:rPr>
          <w:rFonts w:cs="Arial"/>
        </w:rPr>
      </w:pPr>
      <w:r w:rsidRPr="0019162C">
        <w:rPr>
          <w:rFonts w:cs="Arial"/>
        </w:rPr>
        <w:t>This includes loans and advances made by IBA to clients in the delivery of its outputs, in addition to amounts owing to IBA for delivery of goods and services, and dividends owed to IBA from investments. Loans receivable are amortised over the course of their estimated remaining lives in accordance with applicable accounting standards.</w:t>
      </w:r>
    </w:p>
    <w:p w14:paraId="2C084233" w14:textId="77777777" w:rsidR="00102406" w:rsidRPr="004E586A" w:rsidRDefault="00102406" w:rsidP="00102406">
      <w:pPr>
        <w:pStyle w:val="H7"/>
        <w:rPr>
          <w:rFonts w:ascii="Book Antiqua" w:hAnsi="Book Antiqua"/>
          <w:b/>
          <w:bCs w:val="0"/>
          <w:i w:val="0"/>
        </w:rPr>
      </w:pPr>
      <w:r w:rsidRPr="004E586A">
        <w:rPr>
          <w:rFonts w:ascii="Book Antiqua" w:hAnsi="Book Antiqua"/>
          <w:b/>
          <w:i w:val="0"/>
        </w:rPr>
        <w:t>Non-financial assets</w:t>
      </w:r>
    </w:p>
    <w:p w14:paraId="53E05D04" w14:textId="77777777" w:rsidR="00102406" w:rsidRPr="0019162C" w:rsidRDefault="00102406" w:rsidP="00102406">
      <w:pPr>
        <w:widowControl w:val="0"/>
        <w:autoSpaceDE w:val="0"/>
        <w:autoSpaceDN w:val="0"/>
        <w:adjustRightInd w:val="0"/>
        <w:spacing w:line="260" w:lineRule="atLeast"/>
        <w:rPr>
          <w:rFonts w:cs="Arial"/>
        </w:rPr>
      </w:pPr>
      <w:r>
        <w:rPr>
          <w:rFonts w:cs="Arial"/>
        </w:rPr>
        <w:t>Except for any re</w:t>
      </w:r>
      <w:r w:rsidRPr="0019162C">
        <w:rPr>
          <w:rFonts w:cs="Arial"/>
        </w:rPr>
        <w:t>valued assets, reported value of plant and equipment represents the purchase price paid less depreciation incurred. Land and building held for investment are carried at fair value.</w:t>
      </w:r>
    </w:p>
    <w:bookmarkEnd w:id="553"/>
    <w:p w14:paraId="615D4F06" w14:textId="77777777" w:rsidR="00102406" w:rsidRDefault="00102406" w:rsidP="00102406">
      <w:pPr>
        <w:jc w:val="left"/>
      </w:pPr>
    </w:p>
    <w:p w14:paraId="53AD7A96" w14:textId="77777777" w:rsidR="00102406" w:rsidRDefault="00102406" w:rsidP="00102406">
      <w:pPr>
        <w:jc w:val="left"/>
      </w:pPr>
      <w:r>
        <w:br w:type="page"/>
      </w:r>
      <w:r w:rsidRPr="00D232B7">
        <w:rPr>
          <w:rStyle w:val="TableHeadingChar"/>
        </w:rPr>
        <w:t>3.2.</w:t>
      </w:r>
      <w:r w:rsidRPr="00D232B7">
        <w:rPr>
          <w:rStyle w:val="TableHeadingChar"/>
        </w:rPr>
        <w:tab/>
        <w:t>Budgeted financial statements tables</w:t>
      </w:r>
    </w:p>
    <w:p w14:paraId="4144AB6D" w14:textId="77777777" w:rsidR="00102406" w:rsidRDefault="00102406" w:rsidP="00102406">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027153C3" w14:textId="77777777" w:rsidR="00102406" w:rsidRPr="00CC379E" w:rsidRDefault="00102406" w:rsidP="00102406">
      <w:pPr>
        <w:pStyle w:val="TableGraphic"/>
        <w:rPr>
          <w:b/>
        </w:rPr>
      </w:pPr>
      <w:r w:rsidRPr="00D52088">
        <w:rPr>
          <w:noProof/>
        </w:rPr>
        <w:t xml:space="preserve"> </w:t>
      </w:r>
      <w:r w:rsidR="007E4214" w:rsidRPr="007E4214">
        <w:rPr>
          <w:noProof/>
        </w:rPr>
        <w:drawing>
          <wp:inline distT="0" distB="0" distL="0" distR="0" wp14:anchorId="760DB632" wp14:editId="07138930">
            <wp:extent cx="4895850" cy="5173323"/>
            <wp:effectExtent l="0" t="0" r="0" b="889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95850" cy="5173323"/>
                    </a:xfrm>
                    <a:prstGeom prst="rect">
                      <a:avLst/>
                    </a:prstGeom>
                    <a:noFill/>
                    <a:ln>
                      <a:noFill/>
                    </a:ln>
                  </pic:spPr>
                </pic:pic>
              </a:graphicData>
            </a:graphic>
          </wp:inline>
        </w:drawing>
      </w:r>
    </w:p>
    <w:p w14:paraId="50A7072D" w14:textId="77777777" w:rsidR="00102406" w:rsidRDefault="00102406" w:rsidP="00CC379E">
      <w:pPr>
        <w:pStyle w:val="TableHeadingcontinued"/>
        <w:rPr>
          <w:snapToGrid w:val="0"/>
        </w:rPr>
      </w:pPr>
      <w:r>
        <w:br w:type="page"/>
      </w: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w:t>
      </w:r>
      <w:r w:rsidR="00CC379E">
        <w:rPr>
          <w:snapToGrid w:val="0"/>
        </w:rPr>
        <w:t>eriod ended 30 June (continued)</w:t>
      </w:r>
    </w:p>
    <w:p w14:paraId="32CB310D" w14:textId="77777777" w:rsidR="00974B3C" w:rsidRDefault="00974B3C" w:rsidP="00974B3C">
      <w:pPr>
        <w:pStyle w:val="TableHeadingNoTable"/>
        <w:spacing w:after="0"/>
        <w:rPr>
          <w:rFonts w:ascii="Times New Roman" w:hAnsi="Times New Roman"/>
        </w:rPr>
      </w:pPr>
      <w:r w:rsidRPr="003819E1">
        <w:t xml:space="preserve">Note: Impact of net </w:t>
      </w:r>
      <w:r>
        <w:t>cash appropriation arrangements</w:t>
      </w:r>
    </w:p>
    <w:p w14:paraId="38259930" w14:textId="77777777" w:rsidR="00CC379E" w:rsidRPr="00CC379E" w:rsidRDefault="00974B3C" w:rsidP="00CC379E">
      <w:pPr>
        <w:pStyle w:val="ChartandTableFootnoteAlpha"/>
        <w:ind w:left="284" w:hanging="284"/>
        <w:rPr>
          <w:rFonts w:cs="Arial"/>
        </w:rPr>
      </w:pPr>
      <w:r w:rsidRPr="00974B3C">
        <w:rPr>
          <w:noProof/>
        </w:rPr>
        <w:drawing>
          <wp:inline distT="0" distB="0" distL="0" distR="0" wp14:anchorId="1382B501" wp14:editId="1866B48B">
            <wp:extent cx="4895850" cy="1388329"/>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95850" cy="1388329"/>
                    </a:xfrm>
                    <a:prstGeom prst="rect">
                      <a:avLst/>
                    </a:prstGeom>
                    <a:noFill/>
                    <a:ln>
                      <a:noFill/>
                    </a:ln>
                  </pic:spPr>
                </pic:pic>
              </a:graphicData>
            </a:graphic>
          </wp:inline>
        </w:drawing>
      </w:r>
      <w:r w:rsidR="00CC379E" w:rsidRPr="00CC379E">
        <w:rPr>
          <w:rFonts w:cs="Arial"/>
        </w:rPr>
        <w:t>Prepared on Australian Accounting Standards basis.</w:t>
      </w:r>
    </w:p>
    <w:p w14:paraId="15729BA2" w14:textId="77777777" w:rsidR="00102406" w:rsidRPr="002A0F2E" w:rsidRDefault="00A75066" w:rsidP="00392A48">
      <w:pPr>
        <w:pStyle w:val="ChartandTableFootnoteAlpha"/>
        <w:numPr>
          <w:ilvl w:val="0"/>
          <w:numId w:val="113"/>
        </w:numPr>
      </w:pPr>
      <w:r>
        <w:t>Applies to leases</w:t>
      </w:r>
      <w:r w:rsidR="00102406" w:rsidRPr="00D52088">
        <w:t xml:space="preserve"> under AASB 16 Leases.</w:t>
      </w:r>
    </w:p>
    <w:p w14:paraId="68C95D7B" w14:textId="77777777" w:rsidR="00102406" w:rsidRDefault="00102406" w:rsidP="00102406">
      <w:pPr>
        <w:pStyle w:val="Source"/>
        <w:rPr>
          <w:rFonts w:cs="Arial"/>
        </w:rPr>
      </w:pPr>
    </w:p>
    <w:p w14:paraId="10142A67" w14:textId="77777777" w:rsidR="00102406" w:rsidRDefault="00102406" w:rsidP="00102406">
      <w:pPr>
        <w:pStyle w:val="TableHeading"/>
      </w:pPr>
      <w:r>
        <w:br w:type="page"/>
      </w:r>
      <w:r w:rsidRPr="00E4582E">
        <w:t>Table</w:t>
      </w:r>
      <w:r>
        <w:t xml:space="preserve"> 3.</w:t>
      </w:r>
      <w:r w:rsidRPr="00E4582E">
        <w:t>2: Budg</w:t>
      </w:r>
      <w:r>
        <w:t xml:space="preserve">eted departmental balance sheet </w:t>
      </w:r>
      <w:r w:rsidRPr="00E4582E">
        <w:t>(as at 30 June)</w:t>
      </w:r>
    </w:p>
    <w:p w14:paraId="70AB686A" w14:textId="77777777" w:rsidR="00102406" w:rsidRPr="00F626C2" w:rsidRDefault="007E4214" w:rsidP="00102406">
      <w:pPr>
        <w:pStyle w:val="TableGraphic"/>
      </w:pPr>
      <w:r w:rsidRPr="007E4214">
        <w:rPr>
          <w:noProof/>
        </w:rPr>
        <w:drawing>
          <wp:inline distT="0" distB="0" distL="0" distR="0" wp14:anchorId="3728EF6B" wp14:editId="3875BB2E">
            <wp:extent cx="5308600" cy="4927600"/>
            <wp:effectExtent l="0" t="0" r="6350" b="635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308600" cy="4927600"/>
                    </a:xfrm>
                    <a:prstGeom prst="rect">
                      <a:avLst/>
                    </a:prstGeom>
                    <a:noFill/>
                    <a:ln>
                      <a:noFill/>
                    </a:ln>
                  </pic:spPr>
                </pic:pic>
              </a:graphicData>
            </a:graphic>
          </wp:inline>
        </w:drawing>
      </w:r>
      <w:r w:rsidRPr="007E4214">
        <w:t xml:space="preserve"> </w:t>
      </w:r>
    </w:p>
    <w:p w14:paraId="7AD190C8" w14:textId="77777777" w:rsidR="00102406" w:rsidRDefault="00102406" w:rsidP="00102406">
      <w:pPr>
        <w:pStyle w:val="TableHeadingcontinued"/>
      </w:pPr>
      <w:r>
        <w:br w:type="page"/>
      </w:r>
      <w:r w:rsidRPr="00BD210E">
        <w:t>Table</w:t>
      </w:r>
      <w:r>
        <w:t xml:space="preserve"> 3.</w:t>
      </w:r>
      <w:r w:rsidRPr="00BD210E">
        <w:t>2: Budgeted departmental balance sheet</w:t>
      </w:r>
      <w:r>
        <w:t xml:space="preserve"> </w:t>
      </w:r>
      <w:r w:rsidRPr="00BD210E">
        <w:t>(as at 30 June) (continued)</w:t>
      </w:r>
    </w:p>
    <w:p w14:paraId="54AC469C" w14:textId="77777777" w:rsidR="00102406" w:rsidRDefault="007E4214" w:rsidP="00102406">
      <w:pPr>
        <w:pStyle w:val="TableGraphic"/>
      </w:pPr>
      <w:r w:rsidRPr="007E4214">
        <w:rPr>
          <w:noProof/>
        </w:rPr>
        <w:drawing>
          <wp:inline distT="0" distB="0" distL="0" distR="0" wp14:anchorId="179AAF5A" wp14:editId="2445C8CB">
            <wp:extent cx="5308600" cy="2463800"/>
            <wp:effectExtent l="0" t="0" r="635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308600" cy="2463800"/>
                    </a:xfrm>
                    <a:prstGeom prst="rect">
                      <a:avLst/>
                    </a:prstGeom>
                    <a:noFill/>
                    <a:ln>
                      <a:noFill/>
                    </a:ln>
                  </pic:spPr>
                </pic:pic>
              </a:graphicData>
            </a:graphic>
          </wp:inline>
        </w:drawing>
      </w:r>
      <w:r w:rsidRPr="007E4214">
        <w:t xml:space="preserve"> </w:t>
      </w:r>
    </w:p>
    <w:p w14:paraId="701DB58C" w14:textId="77777777" w:rsidR="00102406" w:rsidRPr="00132F9E" w:rsidRDefault="00102406" w:rsidP="00102406">
      <w:pPr>
        <w:pStyle w:val="Source"/>
        <w:rPr>
          <w:rFonts w:cs="Arial"/>
        </w:rPr>
      </w:pPr>
      <w:r w:rsidRPr="00132F9E">
        <w:rPr>
          <w:rFonts w:cs="Arial"/>
        </w:rPr>
        <w:t>Prepared on Australian Accounting Standards basis.</w:t>
      </w:r>
    </w:p>
    <w:p w14:paraId="3ECAA4C2" w14:textId="77777777" w:rsidR="00102406" w:rsidRPr="00132F9E" w:rsidRDefault="00102406" w:rsidP="00102406">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7F1F8BB3" w14:textId="77777777" w:rsidR="00102406" w:rsidRPr="00152B2B" w:rsidRDefault="00102406" w:rsidP="00102406"/>
    <w:p w14:paraId="783F6170" w14:textId="77777777" w:rsidR="00102406" w:rsidRPr="00152B2B" w:rsidRDefault="00102406" w:rsidP="00102406"/>
    <w:p w14:paraId="3289F901" w14:textId="77777777" w:rsidR="00102406" w:rsidRDefault="00102406" w:rsidP="00102406">
      <w:pPr>
        <w:pStyle w:val="TableHeading"/>
        <w:rPr>
          <w:rFonts w:ascii="Times New Roman" w:hAnsi="Times New Roman"/>
        </w:rPr>
      </w:pPr>
      <w:r>
        <w:br w:type="page"/>
      </w:r>
      <w:r w:rsidRPr="00AD42E2">
        <w:t>Table 3.3: Departmental statement of changes in equity — summary of</w:t>
      </w:r>
      <w:r>
        <w:t xml:space="preserve"> movement (Budget year </w:t>
      </w:r>
      <w:r>
        <w:rPr>
          <w:lang w:val="en-AU"/>
        </w:rPr>
        <w:t>2022-23</w:t>
      </w:r>
      <w:r w:rsidRPr="00D30CBA">
        <w:t>)</w:t>
      </w:r>
    </w:p>
    <w:p w14:paraId="722263D1" w14:textId="77777777" w:rsidR="00102406" w:rsidRDefault="00102406" w:rsidP="00102406">
      <w:pPr>
        <w:pStyle w:val="TableGraphic"/>
      </w:pPr>
      <w:r w:rsidRPr="002376AD">
        <w:t xml:space="preserve"> </w:t>
      </w:r>
      <w:r w:rsidR="00974B3C" w:rsidRPr="00974B3C">
        <w:rPr>
          <w:noProof/>
        </w:rPr>
        <w:drawing>
          <wp:inline distT="0" distB="0" distL="0" distR="0" wp14:anchorId="2434D6F5" wp14:editId="1A274C39">
            <wp:extent cx="4711065" cy="35648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11065" cy="3564890"/>
                    </a:xfrm>
                    <a:prstGeom prst="rect">
                      <a:avLst/>
                    </a:prstGeom>
                    <a:noFill/>
                    <a:ln>
                      <a:noFill/>
                    </a:ln>
                  </pic:spPr>
                </pic:pic>
              </a:graphicData>
            </a:graphic>
          </wp:inline>
        </w:drawing>
      </w:r>
    </w:p>
    <w:p w14:paraId="2C5C3B91" w14:textId="77777777" w:rsidR="00102406" w:rsidRPr="00132F9E" w:rsidRDefault="00102406" w:rsidP="00102406">
      <w:pPr>
        <w:pStyle w:val="TableGraphic"/>
        <w:rPr>
          <w:rFonts w:ascii="Arial" w:hAnsi="Arial" w:cs="Arial"/>
          <w:sz w:val="16"/>
          <w:szCs w:val="16"/>
        </w:rPr>
      </w:pPr>
      <w:r w:rsidRPr="00D606C2">
        <w:rPr>
          <w:rFonts w:ascii="Arial" w:hAnsi="Arial" w:cs="Arial"/>
          <w:sz w:val="16"/>
        </w:rPr>
        <w:t>Prepared on Australian Accounting Standards basis</w:t>
      </w:r>
    </w:p>
    <w:p w14:paraId="69660037" w14:textId="77777777" w:rsidR="00102406" w:rsidRPr="00152B2B" w:rsidRDefault="00102406" w:rsidP="00102406"/>
    <w:p w14:paraId="09233652" w14:textId="77777777" w:rsidR="00102406" w:rsidRDefault="00102406" w:rsidP="00102406">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26E79054" w14:textId="77777777" w:rsidR="00102406" w:rsidRDefault="00AE3785" w:rsidP="00102406">
      <w:pPr>
        <w:pStyle w:val="TableGraphic"/>
        <w:rPr>
          <w:lang w:val="x-none" w:eastAsia="x-none"/>
        </w:rPr>
      </w:pPr>
      <w:r w:rsidRPr="00AE3785">
        <w:rPr>
          <w:noProof/>
        </w:rPr>
        <w:drawing>
          <wp:inline distT="0" distB="0" distL="0" distR="0" wp14:anchorId="70A3EAAA" wp14:editId="5B6E724B">
            <wp:extent cx="4895850" cy="4902016"/>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95850" cy="4902016"/>
                    </a:xfrm>
                    <a:prstGeom prst="rect">
                      <a:avLst/>
                    </a:prstGeom>
                    <a:noFill/>
                    <a:ln>
                      <a:noFill/>
                    </a:ln>
                  </pic:spPr>
                </pic:pic>
              </a:graphicData>
            </a:graphic>
          </wp:inline>
        </w:drawing>
      </w:r>
    </w:p>
    <w:p w14:paraId="1C98A442" w14:textId="77777777" w:rsidR="00102406" w:rsidRPr="00A63DAB" w:rsidRDefault="00102406" w:rsidP="00102406">
      <w:pPr>
        <w:rPr>
          <w:lang w:val="x-none" w:eastAsia="x-none"/>
        </w:rPr>
      </w:pPr>
    </w:p>
    <w:p w14:paraId="26E2453B" w14:textId="77777777" w:rsidR="00102406" w:rsidRPr="00F10305" w:rsidRDefault="00102406" w:rsidP="00102406">
      <w:pPr>
        <w:pStyle w:val="TableGraphic"/>
        <w:tabs>
          <w:tab w:val="left" w:pos="6237"/>
        </w:tabs>
      </w:pPr>
    </w:p>
    <w:p w14:paraId="5186A653" w14:textId="77777777" w:rsidR="00102406" w:rsidRDefault="00102406" w:rsidP="00102406">
      <w:pPr>
        <w:pStyle w:val="TableHeadingcontinued"/>
      </w:pPr>
      <w:r>
        <w:br w:type="page"/>
      </w:r>
      <w:r w:rsidRPr="00BD210E">
        <w:t>Table</w:t>
      </w:r>
      <w:r>
        <w:t xml:space="preserve"> 3.</w:t>
      </w:r>
      <w:r w:rsidRPr="00BD210E">
        <w:t>4: Budgeted departmental statement of cash flows</w:t>
      </w:r>
      <w:r>
        <w:t xml:space="preserve"> </w:t>
      </w:r>
      <w:r w:rsidRPr="00BD210E">
        <w:t>(for the period ended 30 June) (continued)</w:t>
      </w:r>
    </w:p>
    <w:p w14:paraId="35A79957" w14:textId="77777777" w:rsidR="00102406" w:rsidRDefault="00974B3C" w:rsidP="00102406">
      <w:pPr>
        <w:pStyle w:val="TableGraphic"/>
      </w:pPr>
      <w:r w:rsidRPr="00974B3C">
        <w:rPr>
          <w:noProof/>
        </w:rPr>
        <w:drawing>
          <wp:inline distT="0" distB="0" distL="0" distR="0" wp14:anchorId="37238EDF" wp14:editId="6A2CE2DE">
            <wp:extent cx="4895850" cy="254043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95850" cy="2540439"/>
                    </a:xfrm>
                    <a:prstGeom prst="rect">
                      <a:avLst/>
                    </a:prstGeom>
                    <a:noFill/>
                    <a:ln>
                      <a:noFill/>
                    </a:ln>
                  </pic:spPr>
                </pic:pic>
              </a:graphicData>
            </a:graphic>
          </wp:inline>
        </w:drawing>
      </w:r>
    </w:p>
    <w:p w14:paraId="79B27A9D" w14:textId="77777777" w:rsidR="00102406" w:rsidRPr="00132F9E" w:rsidRDefault="00102406" w:rsidP="00102406">
      <w:pPr>
        <w:pStyle w:val="TableGraphic"/>
        <w:rPr>
          <w:rFonts w:ascii="Arial" w:hAnsi="Arial" w:cs="Arial"/>
          <w:sz w:val="16"/>
          <w:szCs w:val="16"/>
        </w:rPr>
      </w:pPr>
      <w:r w:rsidRPr="00132F9E">
        <w:rPr>
          <w:rFonts w:ascii="Arial" w:hAnsi="Arial" w:cs="Arial"/>
          <w:sz w:val="16"/>
          <w:szCs w:val="16"/>
        </w:rPr>
        <w:t>Prepared on Australian Accounting Standards basis.</w:t>
      </w:r>
    </w:p>
    <w:p w14:paraId="4F16DB56" w14:textId="77777777" w:rsidR="00102406" w:rsidRPr="00132F9E" w:rsidRDefault="00102406" w:rsidP="00102406">
      <w:pPr>
        <w:pStyle w:val="NoSpacing"/>
        <w:rPr>
          <w:rFonts w:ascii="Arial" w:hAnsi="Arial" w:cs="Arial"/>
          <w:sz w:val="16"/>
          <w:szCs w:val="16"/>
        </w:rPr>
      </w:pPr>
    </w:p>
    <w:p w14:paraId="3AE94749" w14:textId="77777777" w:rsidR="00102406" w:rsidRPr="00A00283" w:rsidRDefault="00102406" w:rsidP="00102406">
      <w:pPr>
        <w:pStyle w:val="TableHeading"/>
      </w:pPr>
      <w:r>
        <w:br w:type="page"/>
      </w:r>
      <w:r w:rsidRPr="00D30CBA">
        <w:t>Table</w:t>
      </w:r>
      <w:r>
        <w:t xml:space="preserve"> 3.5</w:t>
      </w:r>
      <w:r w:rsidRPr="00D30CBA">
        <w:t xml:space="preserve">: </w:t>
      </w:r>
      <w:r>
        <w:t>Departmental capital budget statement (for the period ended 30 June)</w:t>
      </w:r>
    </w:p>
    <w:p w14:paraId="22609B94" w14:textId="77777777" w:rsidR="00102406" w:rsidRDefault="00AE3785" w:rsidP="00102406">
      <w:pPr>
        <w:pStyle w:val="TableGraphic"/>
      </w:pPr>
      <w:r w:rsidRPr="00AE3785">
        <w:rPr>
          <w:noProof/>
        </w:rPr>
        <w:drawing>
          <wp:inline distT="0" distB="0" distL="0" distR="0" wp14:anchorId="57084107" wp14:editId="72B39656">
            <wp:extent cx="4895850" cy="2669903"/>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95850" cy="2669903"/>
                    </a:xfrm>
                    <a:prstGeom prst="rect">
                      <a:avLst/>
                    </a:prstGeom>
                    <a:noFill/>
                    <a:ln>
                      <a:noFill/>
                    </a:ln>
                  </pic:spPr>
                </pic:pic>
              </a:graphicData>
            </a:graphic>
          </wp:inline>
        </w:drawing>
      </w:r>
    </w:p>
    <w:p w14:paraId="6F3D515B" w14:textId="77777777" w:rsidR="00102406" w:rsidRPr="00132F9E" w:rsidRDefault="00102406" w:rsidP="00102406">
      <w:pPr>
        <w:pStyle w:val="TableGraphic"/>
        <w:rPr>
          <w:rFonts w:ascii="Arial" w:hAnsi="Arial" w:cs="Arial"/>
          <w:sz w:val="16"/>
          <w:szCs w:val="16"/>
        </w:rPr>
      </w:pPr>
      <w:r w:rsidRPr="00132F9E">
        <w:rPr>
          <w:rFonts w:ascii="Arial" w:hAnsi="Arial" w:cs="Arial"/>
          <w:sz w:val="16"/>
          <w:szCs w:val="16"/>
        </w:rPr>
        <w:t>Prepared on Australian Accounting Standards basis.</w:t>
      </w:r>
    </w:p>
    <w:p w14:paraId="1E671309" w14:textId="77777777" w:rsidR="00102406" w:rsidRPr="004C3058" w:rsidRDefault="00102406" w:rsidP="00392A48">
      <w:pPr>
        <w:pStyle w:val="ChartandTableFootnoteAlpha"/>
        <w:numPr>
          <w:ilvl w:val="0"/>
          <w:numId w:val="139"/>
        </w:numPr>
        <w:spacing w:after="20"/>
      </w:pPr>
      <w:r w:rsidRPr="004C3058">
        <w:t>May include the following s74 external</w:t>
      </w:r>
      <w:r w:rsidRPr="004C3058" w:rsidDel="005013B5">
        <w:t xml:space="preserve"> </w:t>
      </w:r>
      <w:r w:rsidRPr="004C3058">
        <w:t>receipts:</w:t>
      </w:r>
    </w:p>
    <w:p w14:paraId="73520739" w14:textId="77777777" w:rsidR="00102406" w:rsidRPr="004C3058" w:rsidRDefault="00102406" w:rsidP="00102406">
      <w:pPr>
        <w:pStyle w:val="ChartandTableFootnote-Dash"/>
      </w:pPr>
      <w:r w:rsidRPr="004C3058">
        <w:t>- sponsorship, subsidy, gifts or s</w:t>
      </w:r>
      <w:r w:rsidR="00605BC3">
        <w:t>imilar contribution</w:t>
      </w:r>
    </w:p>
    <w:p w14:paraId="2CEC166F" w14:textId="77777777" w:rsidR="00102406" w:rsidRPr="004C3058" w:rsidRDefault="00102406" w:rsidP="00102406">
      <w:pPr>
        <w:pStyle w:val="ChartandTableFootnote-Dash"/>
      </w:pPr>
      <w:r w:rsidRPr="004C3058">
        <w:t>- internally developed assets and</w:t>
      </w:r>
    </w:p>
    <w:p w14:paraId="78257C8F" w14:textId="77777777" w:rsidR="00102406" w:rsidRDefault="00102406" w:rsidP="00102406">
      <w:pPr>
        <w:pStyle w:val="ChartandTableFootnote-Dash"/>
      </w:pPr>
      <w:r w:rsidRPr="004C3058">
        <w:t>- proceeds from the sale of assets.</w:t>
      </w:r>
      <w:r>
        <w:t xml:space="preserve"> </w:t>
      </w:r>
    </w:p>
    <w:p w14:paraId="51286ACA" w14:textId="77777777" w:rsidR="00EB3118" w:rsidRPr="000F37E6" w:rsidRDefault="00EB3118" w:rsidP="00102406">
      <w:pPr>
        <w:pStyle w:val="ChartandTableFootnote-Dash"/>
      </w:pPr>
    </w:p>
    <w:p w14:paraId="1695B681" w14:textId="77777777" w:rsidR="00EB3118" w:rsidRDefault="00EB3118">
      <w:pPr>
        <w:spacing w:after="0" w:line="240" w:lineRule="auto"/>
        <w:jc w:val="left"/>
        <w:rPr>
          <w:rFonts w:ascii="Arial" w:hAnsi="Arial"/>
          <w:b/>
          <w:color w:val="000000"/>
          <w:lang w:val="x-none" w:eastAsia="x-none"/>
        </w:rPr>
      </w:pPr>
      <w:r>
        <w:br w:type="page"/>
      </w:r>
    </w:p>
    <w:p w14:paraId="088734A7" w14:textId="77777777" w:rsidR="00102406" w:rsidRDefault="00102406" w:rsidP="00102406">
      <w:pPr>
        <w:pStyle w:val="TableHeading"/>
      </w:pP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45FBB093" w14:textId="77777777" w:rsidR="00102406" w:rsidRPr="00473975" w:rsidRDefault="00AE3785" w:rsidP="00102406">
      <w:pPr>
        <w:pStyle w:val="TableGraphic"/>
        <w:rPr>
          <w:lang w:val="x-none" w:eastAsia="x-none"/>
        </w:rPr>
      </w:pPr>
      <w:r>
        <w:rPr>
          <w:noProof/>
        </w:rPr>
        <w:t xml:space="preserve"> </w:t>
      </w:r>
      <w:r w:rsidR="00605BC3" w:rsidRPr="00605BC3">
        <w:rPr>
          <w:noProof/>
        </w:rPr>
        <w:drawing>
          <wp:inline distT="0" distB="0" distL="0" distR="0" wp14:anchorId="6E9B578D" wp14:editId="587AB53B">
            <wp:extent cx="4895850" cy="392719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95850" cy="3927193"/>
                    </a:xfrm>
                    <a:prstGeom prst="rect">
                      <a:avLst/>
                    </a:prstGeom>
                    <a:noFill/>
                    <a:ln>
                      <a:noFill/>
                    </a:ln>
                  </pic:spPr>
                </pic:pic>
              </a:graphicData>
            </a:graphic>
          </wp:inline>
        </w:drawing>
      </w:r>
    </w:p>
    <w:p w14:paraId="63B1E34C" w14:textId="77777777" w:rsidR="00AB7C5D" w:rsidRDefault="00102406" w:rsidP="00804E8F">
      <w:pPr>
        <w:pStyle w:val="ChartandTableFootnote"/>
        <w:rPr>
          <w:lang w:val="en-US"/>
        </w:rPr>
      </w:pPr>
      <w:r w:rsidRPr="00132F9E">
        <w:t>Prepared on Austra</w:t>
      </w:r>
      <w:r w:rsidR="00804E8F">
        <w:t>lian Accounting Standards bas</w:t>
      </w:r>
      <w:r w:rsidR="00804E8F">
        <w:rPr>
          <w:lang w:val="en-US"/>
        </w:rPr>
        <w:t>is.</w:t>
      </w:r>
    </w:p>
    <w:p w14:paraId="3A69CA07" w14:textId="77777777" w:rsidR="00AB7C5D" w:rsidRDefault="00AB7C5D" w:rsidP="00AB7C5D">
      <w:pPr>
        <w:rPr>
          <w:rFonts w:ascii="Arial" w:hAnsi="Arial"/>
          <w:color w:val="000000"/>
          <w:sz w:val="16"/>
          <w:lang w:val="en-US" w:eastAsia="x-none"/>
        </w:rPr>
      </w:pPr>
      <w:r>
        <w:rPr>
          <w:lang w:val="en-US"/>
        </w:rPr>
        <w:br w:type="page"/>
      </w:r>
    </w:p>
    <w:p w14:paraId="07784C35" w14:textId="77777777" w:rsidR="00804E8F" w:rsidRDefault="00804E8F" w:rsidP="00804E8F">
      <w:pPr>
        <w:pStyle w:val="ChartandTableFootnote"/>
        <w:rPr>
          <w:lang w:val="en-US"/>
        </w:rPr>
        <w:sectPr w:rsidR="00804E8F" w:rsidSect="00AB7C5D">
          <w:headerReference w:type="first" r:id="rId237"/>
          <w:footerReference w:type="first" r:id="rId238"/>
          <w:type w:val="continuous"/>
          <w:pgSz w:w="11906" w:h="16838" w:code="9"/>
          <w:pgMar w:top="2835" w:right="2098" w:bottom="2466" w:left="2098" w:header="1814" w:footer="1814" w:gutter="0"/>
          <w:cols w:space="708"/>
          <w:titlePg/>
          <w:docGrid w:linePitch="360"/>
        </w:sectPr>
      </w:pPr>
    </w:p>
    <w:p w14:paraId="2D1042AE" w14:textId="77777777" w:rsidR="00CC7466" w:rsidRDefault="00CC7466" w:rsidP="00CC7466">
      <w:pPr>
        <w:pStyle w:val="PartHeading-TOC"/>
      </w:pPr>
      <w:bookmarkStart w:id="554" w:name="_Toc99201052"/>
      <w:bookmarkStart w:id="555" w:name="_Toc98496279"/>
    </w:p>
    <w:p w14:paraId="63DAD43E" w14:textId="77777777" w:rsidR="00CC7466" w:rsidRDefault="00CC7466" w:rsidP="00CC7466">
      <w:pPr>
        <w:pStyle w:val="PartHeading-TOC"/>
      </w:pPr>
    </w:p>
    <w:p w14:paraId="5D0D2FDB" w14:textId="77777777" w:rsidR="000E1881" w:rsidRDefault="000E1881" w:rsidP="00CC7466">
      <w:pPr>
        <w:pStyle w:val="PartHeading-TOC"/>
      </w:pPr>
      <w:r>
        <w:t>Indigenous Land and Sea Corporation</w:t>
      </w:r>
      <w:bookmarkEnd w:id="554"/>
    </w:p>
    <w:p w14:paraId="5DF1BC86" w14:textId="77777777" w:rsidR="009B34BC" w:rsidRDefault="009B34BC" w:rsidP="00CC7466">
      <w:pPr>
        <w:pStyle w:val="PartHeading-TOC"/>
      </w:pPr>
    </w:p>
    <w:p w14:paraId="1DDA43F6" w14:textId="77777777" w:rsidR="009B34BC" w:rsidRDefault="009B34BC" w:rsidP="00CC7466">
      <w:pPr>
        <w:pStyle w:val="PartHeading-TOC"/>
      </w:pPr>
    </w:p>
    <w:p w14:paraId="596E01B1" w14:textId="77777777" w:rsidR="00CB359A" w:rsidRDefault="00CB359A" w:rsidP="00CC7466">
      <w:pPr>
        <w:pStyle w:val="PartHeading-TOC"/>
      </w:pPr>
      <w:bookmarkStart w:id="556" w:name="_Toc98765319"/>
      <w:bookmarkStart w:id="557" w:name="_Toc99011804"/>
      <w:bookmarkStart w:id="558" w:name="_Toc99201053"/>
      <w:r>
        <w:t>Entity resources and planned performance</w:t>
      </w:r>
      <w:bookmarkEnd w:id="555"/>
      <w:bookmarkEnd w:id="556"/>
      <w:bookmarkEnd w:id="557"/>
      <w:bookmarkEnd w:id="558"/>
    </w:p>
    <w:p w14:paraId="6C43CE85" w14:textId="77777777" w:rsidR="00BC4CD8" w:rsidRDefault="00A1302F">
      <w:pPr>
        <w:spacing w:after="0" w:line="240" w:lineRule="auto"/>
        <w:jc w:val="left"/>
        <w:sectPr w:rsidR="00BC4CD8" w:rsidSect="00CC7466">
          <w:headerReference w:type="even" r:id="rId239"/>
          <w:headerReference w:type="default" r:id="rId240"/>
          <w:footerReference w:type="even" r:id="rId241"/>
          <w:footerReference w:type="default" r:id="rId242"/>
          <w:headerReference w:type="first" r:id="rId243"/>
          <w:footerReference w:type="first" r:id="rId244"/>
          <w:type w:val="oddPage"/>
          <w:pgSz w:w="11906" w:h="16838" w:code="9"/>
          <w:pgMar w:top="2466" w:right="2098" w:bottom="2466" w:left="2098" w:header="1899" w:footer="1899" w:gutter="0"/>
          <w:pgNumType w:start="183"/>
          <w:cols w:space="708"/>
          <w:vAlign w:val="center"/>
          <w:titlePg/>
          <w:docGrid w:linePitch="360"/>
        </w:sectPr>
      </w:pPr>
      <w:r>
        <w:br w:type="page"/>
      </w:r>
    </w:p>
    <w:p w14:paraId="0056C1C0" w14:textId="77777777" w:rsidR="00A1302F" w:rsidRDefault="00A1302F">
      <w:pPr>
        <w:spacing w:after="0" w:line="240" w:lineRule="auto"/>
        <w:jc w:val="left"/>
        <w:rPr>
          <w:rFonts w:ascii="Arial Bold" w:hAnsi="Arial Bold" w:cs="Arial"/>
          <w:b/>
          <w:bCs/>
          <w:kern w:val="28"/>
          <w:sz w:val="52"/>
          <w:szCs w:val="32"/>
        </w:rPr>
      </w:pPr>
    </w:p>
    <w:p w14:paraId="1B5398ED" w14:textId="77777777" w:rsidR="00A1302F" w:rsidRDefault="00A1302F" w:rsidP="00CB359A">
      <w:pPr>
        <w:pStyle w:val="PartHeading"/>
      </w:pPr>
    </w:p>
    <w:p w14:paraId="711E7C16" w14:textId="77777777" w:rsidR="00A1302F" w:rsidRDefault="00A1302F">
      <w:pPr>
        <w:spacing w:after="0" w:line="240" w:lineRule="auto"/>
        <w:jc w:val="left"/>
        <w:rPr>
          <w:rFonts w:ascii="Arial Bold" w:hAnsi="Arial Bold" w:cs="Arial"/>
          <w:b/>
          <w:bCs/>
          <w:kern w:val="28"/>
          <w:sz w:val="52"/>
          <w:szCs w:val="32"/>
        </w:rPr>
      </w:pPr>
      <w:r>
        <w:br w:type="page"/>
      </w:r>
    </w:p>
    <w:p w14:paraId="398B44DD" w14:textId="77777777" w:rsidR="00CB359A" w:rsidRPr="002A32FD" w:rsidRDefault="00CB359A" w:rsidP="00CB359A">
      <w:pPr>
        <w:pStyle w:val="ContentsHeading"/>
      </w:pPr>
      <w:r>
        <w:t>Indigenous Land and Sea Corporation</w:t>
      </w:r>
    </w:p>
    <w:p w14:paraId="2EDDA947" w14:textId="77777777" w:rsidR="00AC2929" w:rsidRDefault="00AC2929" w:rsidP="00AC2929">
      <w:pPr>
        <w:pStyle w:val="TOC1"/>
        <w:rPr>
          <w:rFonts w:asciiTheme="minorHAnsi" w:eastAsiaTheme="minorEastAsia" w:hAnsiTheme="minorHAnsi" w:cstheme="minorBidi"/>
          <w:b w:val="0"/>
          <w:caps w:val="0"/>
          <w:noProof/>
          <w:sz w:val="22"/>
          <w:szCs w:val="22"/>
        </w:rPr>
      </w:pPr>
      <w:r w:rsidRPr="00AC2929">
        <w:rPr>
          <w:rStyle w:val="Hyperlink"/>
          <w:noProof/>
        </w:rPr>
        <w:t>Section 1: Entity overview and resources</w:t>
      </w:r>
      <w:r>
        <w:rPr>
          <w:noProof/>
          <w:webHidden/>
        </w:rPr>
        <w:tab/>
        <w:t>187</w:t>
      </w:r>
    </w:p>
    <w:p w14:paraId="08B3DE37"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1.1</w:t>
      </w:r>
      <w:r>
        <w:rPr>
          <w:rFonts w:asciiTheme="minorHAnsi" w:eastAsiaTheme="minorEastAsia" w:hAnsiTheme="minorHAnsi" w:cstheme="minorBidi"/>
          <w:noProof/>
          <w:sz w:val="22"/>
          <w:szCs w:val="22"/>
        </w:rPr>
        <w:tab/>
      </w:r>
      <w:r w:rsidRPr="00AC2929">
        <w:rPr>
          <w:rStyle w:val="Hyperlink"/>
          <w:noProof/>
        </w:rPr>
        <w:t>Strategic direction statement</w:t>
      </w:r>
      <w:r>
        <w:rPr>
          <w:noProof/>
          <w:webHidden/>
        </w:rPr>
        <w:tab/>
        <w:t>187</w:t>
      </w:r>
    </w:p>
    <w:p w14:paraId="77609A27"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1.2</w:t>
      </w:r>
      <w:r>
        <w:rPr>
          <w:rFonts w:asciiTheme="minorHAnsi" w:eastAsiaTheme="minorEastAsia" w:hAnsiTheme="minorHAnsi" w:cstheme="minorBidi"/>
          <w:noProof/>
          <w:sz w:val="22"/>
          <w:szCs w:val="22"/>
        </w:rPr>
        <w:tab/>
      </w:r>
      <w:r w:rsidRPr="00AC2929">
        <w:rPr>
          <w:rStyle w:val="Hyperlink"/>
          <w:noProof/>
        </w:rPr>
        <w:t>Entity resource statement</w:t>
      </w:r>
      <w:r>
        <w:rPr>
          <w:noProof/>
          <w:webHidden/>
        </w:rPr>
        <w:tab/>
        <w:t>190</w:t>
      </w:r>
    </w:p>
    <w:p w14:paraId="5006B085"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1.3</w:t>
      </w:r>
      <w:r>
        <w:rPr>
          <w:rFonts w:asciiTheme="minorHAnsi" w:eastAsiaTheme="minorEastAsia" w:hAnsiTheme="minorHAnsi" w:cstheme="minorBidi"/>
          <w:noProof/>
          <w:sz w:val="22"/>
          <w:szCs w:val="22"/>
        </w:rPr>
        <w:tab/>
      </w:r>
      <w:r w:rsidRPr="00AC2929">
        <w:rPr>
          <w:rStyle w:val="Hyperlink"/>
          <w:noProof/>
        </w:rPr>
        <w:t>Budget measures</w:t>
      </w:r>
      <w:r>
        <w:rPr>
          <w:noProof/>
          <w:webHidden/>
        </w:rPr>
        <w:tab/>
        <w:t>192</w:t>
      </w:r>
    </w:p>
    <w:p w14:paraId="2BAEBCF4" w14:textId="77777777" w:rsidR="00AC2929" w:rsidRDefault="00AC2929" w:rsidP="00AC2929">
      <w:pPr>
        <w:pStyle w:val="TOC1"/>
        <w:rPr>
          <w:rFonts w:asciiTheme="minorHAnsi" w:eastAsiaTheme="minorEastAsia" w:hAnsiTheme="minorHAnsi" w:cstheme="minorBidi"/>
          <w:b w:val="0"/>
          <w:caps w:val="0"/>
          <w:noProof/>
          <w:sz w:val="22"/>
          <w:szCs w:val="22"/>
        </w:rPr>
      </w:pPr>
      <w:r w:rsidRPr="00AC2929">
        <w:rPr>
          <w:rStyle w:val="Hyperlink"/>
          <w:noProof/>
        </w:rPr>
        <w:t>Section 2: Outcomes and planned performance</w:t>
      </w:r>
      <w:r>
        <w:rPr>
          <w:noProof/>
          <w:webHidden/>
        </w:rPr>
        <w:tab/>
        <w:t>193</w:t>
      </w:r>
    </w:p>
    <w:p w14:paraId="69939FED"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 xml:space="preserve">2.1 </w:t>
      </w:r>
      <w:r>
        <w:rPr>
          <w:rFonts w:asciiTheme="minorHAnsi" w:eastAsiaTheme="minorEastAsia" w:hAnsiTheme="minorHAnsi" w:cstheme="minorBidi"/>
          <w:noProof/>
          <w:sz w:val="22"/>
          <w:szCs w:val="22"/>
        </w:rPr>
        <w:tab/>
      </w:r>
      <w:r w:rsidRPr="00AC2929">
        <w:rPr>
          <w:rStyle w:val="Hyperlink"/>
          <w:noProof/>
        </w:rPr>
        <w:t xml:space="preserve">Budgeted expenses and performance for Outcome </w:t>
      </w:r>
      <w:r>
        <w:rPr>
          <w:rStyle w:val="Hyperlink"/>
          <w:noProof/>
        </w:rPr>
        <w:t>1</w:t>
      </w:r>
      <w:r>
        <w:rPr>
          <w:noProof/>
          <w:webHidden/>
        </w:rPr>
        <w:tab/>
        <w:t>194</w:t>
      </w:r>
    </w:p>
    <w:p w14:paraId="5F6B2548" w14:textId="77777777" w:rsidR="00AC2929" w:rsidRDefault="00AC2929" w:rsidP="00AC2929">
      <w:pPr>
        <w:pStyle w:val="TOC1"/>
        <w:rPr>
          <w:rFonts w:asciiTheme="minorHAnsi" w:eastAsiaTheme="minorEastAsia" w:hAnsiTheme="minorHAnsi" w:cstheme="minorBidi"/>
          <w:b w:val="0"/>
          <w:caps w:val="0"/>
          <w:noProof/>
          <w:sz w:val="22"/>
          <w:szCs w:val="22"/>
        </w:rPr>
      </w:pPr>
      <w:r w:rsidRPr="00AC2929">
        <w:rPr>
          <w:rStyle w:val="Hyperlink"/>
          <w:noProof/>
        </w:rPr>
        <w:t>Section 3: Budgeted financial statements</w:t>
      </w:r>
      <w:r>
        <w:rPr>
          <w:noProof/>
          <w:webHidden/>
        </w:rPr>
        <w:tab/>
        <w:t>198</w:t>
      </w:r>
    </w:p>
    <w:p w14:paraId="2C82215C"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3.1</w:t>
      </w:r>
      <w:r>
        <w:rPr>
          <w:rFonts w:asciiTheme="minorHAnsi" w:eastAsiaTheme="minorEastAsia" w:hAnsiTheme="minorHAnsi" w:cstheme="minorBidi"/>
          <w:noProof/>
          <w:sz w:val="22"/>
          <w:szCs w:val="22"/>
        </w:rPr>
        <w:tab/>
      </w:r>
      <w:r w:rsidRPr="00AC2929">
        <w:rPr>
          <w:rStyle w:val="Hyperlink"/>
          <w:noProof/>
        </w:rPr>
        <w:t>Budgeted financial statements</w:t>
      </w:r>
      <w:r>
        <w:rPr>
          <w:noProof/>
          <w:webHidden/>
        </w:rPr>
        <w:tab/>
        <w:t>198</w:t>
      </w:r>
    </w:p>
    <w:p w14:paraId="174696F9" w14:textId="77777777" w:rsidR="00CB359A" w:rsidRDefault="00CB359A" w:rsidP="005F4B42">
      <w:pPr>
        <w:pStyle w:val="TOC1"/>
      </w:pPr>
      <w:r>
        <w:fldChar w:fldCharType="begin"/>
      </w:r>
      <w:r>
        <w:instrText xml:space="preserve"> TOC \h \z \t "Heading 2,1,Heading 3,2" </w:instrText>
      </w:r>
      <w:r>
        <w:fldChar w:fldCharType="end"/>
      </w:r>
    </w:p>
    <w:p w14:paraId="0A1A8C0D" w14:textId="77777777" w:rsidR="00CB359A" w:rsidRPr="008B5AFD" w:rsidRDefault="00CB359A" w:rsidP="00CB359A"/>
    <w:p w14:paraId="377B8E0A" w14:textId="77777777" w:rsidR="00A1302F" w:rsidRDefault="00A1302F" w:rsidP="00CB359A"/>
    <w:p w14:paraId="1A04DBC5" w14:textId="77777777" w:rsidR="00A1302F" w:rsidRDefault="00A1302F">
      <w:pPr>
        <w:spacing w:after="0" w:line="240" w:lineRule="auto"/>
        <w:jc w:val="left"/>
      </w:pPr>
      <w:r>
        <w:br w:type="page"/>
      </w:r>
    </w:p>
    <w:p w14:paraId="476FC8A4" w14:textId="77777777" w:rsidR="00A1302F" w:rsidRDefault="00A1302F" w:rsidP="00CB359A"/>
    <w:p w14:paraId="26711EA3" w14:textId="77777777" w:rsidR="00CC7466" w:rsidRDefault="00A1302F">
      <w:pPr>
        <w:spacing w:after="0" w:line="240" w:lineRule="auto"/>
        <w:jc w:val="left"/>
        <w:sectPr w:rsidR="00CC7466" w:rsidSect="00BC4CD8">
          <w:headerReference w:type="even" r:id="rId245"/>
          <w:headerReference w:type="default" r:id="rId246"/>
          <w:footerReference w:type="even" r:id="rId247"/>
          <w:footerReference w:type="default" r:id="rId248"/>
          <w:type w:val="continuous"/>
          <w:pgSz w:w="11906" w:h="16838" w:code="9"/>
          <w:pgMar w:top="2466" w:right="2098" w:bottom="2466" w:left="2098" w:header="1899" w:footer="1899" w:gutter="0"/>
          <w:cols w:space="708"/>
          <w:titlePg/>
          <w:docGrid w:linePitch="360"/>
        </w:sectPr>
      </w:pPr>
      <w:r>
        <w:br w:type="page"/>
      </w:r>
    </w:p>
    <w:p w14:paraId="5CB10BA2" w14:textId="77777777" w:rsidR="00A1302F" w:rsidRDefault="00A1302F">
      <w:pPr>
        <w:spacing w:after="0" w:line="240" w:lineRule="auto"/>
        <w:jc w:val="left"/>
      </w:pPr>
    </w:p>
    <w:p w14:paraId="0F183D71" w14:textId="77777777" w:rsidR="00CB359A" w:rsidRDefault="00CB359A" w:rsidP="00CB359A">
      <w:pPr>
        <w:pStyle w:val="Heading1"/>
      </w:pPr>
      <w:bookmarkStart w:id="559" w:name="_Toc98765320"/>
      <w:bookmarkStart w:id="560" w:name="_Toc99011805"/>
      <w:bookmarkStart w:id="561" w:name="_Toc99201054"/>
      <w:r>
        <w:t>Indigenous Land and Sea Corporation</w:t>
      </w:r>
      <w:bookmarkEnd w:id="559"/>
      <w:bookmarkEnd w:id="560"/>
      <w:bookmarkEnd w:id="561"/>
    </w:p>
    <w:p w14:paraId="2FF9C7A2" w14:textId="77777777" w:rsidR="00CB359A" w:rsidRPr="002C4D41" w:rsidRDefault="00CB359A" w:rsidP="00CB359A">
      <w:pPr>
        <w:pStyle w:val="Heading2"/>
      </w:pPr>
      <w:bookmarkStart w:id="562" w:name="_Toc98856150"/>
      <w:bookmarkStart w:id="563" w:name="_Toc98932902"/>
      <w:bookmarkStart w:id="564" w:name="_Toc99008158"/>
      <w:bookmarkStart w:id="565" w:name="_Toc99009520"/>
      <w:bookmarkStart w:id="566" w:name="_Toc99010748"/>
      <w:bookmarkStart w:id="567" w:name="_Toc99013983"/>
      <w:bookmarkStart w:id="568" w:name="_Toc99187559"/>
      <w:bookmarkStart w:id="569" w:name="_Toc99269670"/>
      <w:r w:rsidRPr="002C4D41">
        <w:t xml:space="preserve">Section 1: Entity overview and </w:t>
      </w:r>
      <w:r>
        <w:t>reso</w:t>
      </w:r>
      <w:r w:rsidRPr="002C4D41">
        <w:t>urces</w:t>
      </w:r>
      <w:bookmarkEnd w:id="562"/>
      <w:bookmarkEnd w:id="563"/>
      <w:bookmarkEnd w:id="564"/>
      <w:bookmarkEnd w:id="565"/>
      <w:bookmarkEnd w:id="566"/>
      <w:bookmarkEnd w:id="567"/>
      <w:bookmarkEnd w:id="568"/>
      <w:bookmarkEnd w:id="569"/>
    </w:p>
    <w:p w14:paraId="1C6C5271" w14:textId="77777777" w:rsidR="00CB359A" w:rsidRDefault="00CB359A" w:rsidP="00CB359A">
      <w:pPr>
        <w:pStyle w:val="Heading3"/>
      </w:pPr>
      <w:bookmarkStart w:id="570" w:name="_Toc98766404"/>
      <w:bookmarkStart w:id="571" w:name="_Toc98856151"/>
      <w:bookmarkStart w:id="572" w:name="_Toc98932903"/>
      <w:bookmarkStart w:id="573" w:name="_Toc99008159"/>
      <w:bookmarkStart w:id="574" w:name="_Toc99009521"/>
      <w:bookmarkStart w:id="575" w:name="_Toc99010749"/>
      <w:bookmarkStart w:id="576" w:name="_Toc99013984"/>
      <w:bookmarkStart w:id="577" w:name="_Toc99187560"/>
      <w:bookmarkStart w:id="578" w:name="_Toc99269671"/>
      <w:r>
        <w:t>1.1</w:t>
      </w:r>
      <w:r>
        <w:tab/>
        <w:t>Strategic direction statement</w:t>
      </w:r>
      <w:bookmarkEnd w:id="570"/>
      <w:bookmarkEnd w:id="571"/>
      <w:bookmarkEnd w:id="572"/>
      <w:bookmarkEnd w:id="573"/>
      <w:bookmarkEnd w:id="574"/>
      <w:bookmarkEnd w:id="575"/>
      <w:bookmarkEnd w:id="576"/>
      <w:bookmarkEnd w:id="577"/>
      <w:bookmarkEnd w:id="578"/>
    </w:p>
    <w:p w14:paraId="02A3828F" w14:textId="77777777" w:rsidR="002030E8" w:rsidRPr="002030E8" w:rsidRDefault="002030E8" w:rsidP="002030E8">
      <w:pPr>
        <w:rPr>
          <w:lang w:val="en-US" w:eastAsia="x-none"/>
        </w:rPr>
      </w:pPr>
      <w:r w:rsidRPr="002030E8">
        <w:rPr>
          <w:lang w:val="x-none" w:eastAsia="x-none"/>
        </w:rPr>
        <w:t>The I</w:t>
      </w:r>
      <w:r w:rsidR="00F0461A">
        <w:rPr>
          <w:lang w:eastAsia="x-none"/>
        </w:rPr>
        <w:t xml:space="preserve">ndigenous </w:t>
      </w:r>
      <w:r w:rsidRPr="002030E8">
        <w:rPr>
          <w:lang w:val="x-none" w:eastAsia="x-none"/>
        </w:rPr>
        <w:t>L</w:t>
      </w:r>
      <w:r w:rsidR="00F0461A">
        <w:rPr>
          <w:lang w:eastAsia="x-none"/>
        </w:rPr>
        <w:t xml:space="preserve">and and </w:t>
      </w:r>
      <w:r w:rsidRPr="002030E8">
        <w:rPr>
          <w:lang w:val="x-none" w:eastAsia="x-none"/>
        </w:rPr>
        <w:t>S</w:t>
      </w:r>
      <w:r w:rsidR="00F0461A">
        <w:rPr>
          <w:lang w:eastAsia="x-none"/>
        </w:rPr>
        <w:t xml:space="preserve">ea </w:t>
      </w:r>
      <w:r w:rsidRPr="002030E8">
        <w:rPr>
          <w:lang w:val="x-none" w:eastAsia="x-none"/>
        </w:rPr>
        <w:t>C</w:t>
      </w:r>
      <w:r w:rsidR="00F0461A">
        <w:rPr>
          <w:lang w:eastAsia="x-none"/>
        </w:rPr>
        <w:t>orporation</w:t>
      </w:r>
      <w:r w:rsidRPr="002030E8">
        <w:rPr>
          <w:lang w:val="x-none" w:eastAsia="x-none"/>
        </w:rPr>
        <w:t>’s</w:t>
      </w:r>
      <w:r w:rsidR="00F0461A">
        <w:rPr>
          <w:lang w:eastAsia="x-none"/>
        </w:rPr>
        <w:t xml:space="preserve"> (ILSC)</w:t>
      </w:r>
      <w:r w:rsidRPr="002030E8">
        <w:rPr>
          <w:lang w:val="x-none" w:eastAsia="x-none"/>
        </w:rPr>
        <w:t xml:space="preserve"> long term vision is for Indigenous people to enjoy the rightful entitlements, opportunities and benefits that the return of country and its management brings</w:t>
      </w:r>
      <w:r w:rsidRPr="002030E8">
        <w:rPr>
          <w:lang w:val="en-US" w:eastAsia="x-none"/>
        </w:rPr>
        <w:t>. Under its governing legislation, the</w:t>
      </w:r>
      <w:r w:rsidRPr="002030E8">
        <w:rPr>
          <w:lang w:val="x-none" w:eastAsia="x-none"/>
        </w:rPr>
        <w:t xml:space="preserve"> </w:t>
      </w:r>
      <w:r w:rsidRPr="002030E8">
        <w:rPr>
          <w:i/>
          <w:lang w:val="x-none" w:eastAsia="x-none"/>
        </w:rPr>
        <w:t>Aboriginal and Torres Strait Islander Act 2005</w:t>
      </w:r>
      <w:r w:rsidRPr="002030E8">
        <w:rPr>
          <w:lang w:val="x-none" w:eastAsia="x-none"/>
        </w:rPr>
        <w:t xml:space="preserve"> (ATSI</w:t>
      </w:r>
      <w:r w:rsidRPr="002030E8">
        <w:rPr>
          <w:lang w:eastAsia="x-none"/>
        </w:rPr>
        <w:t> </w:t>
      </w:r>
      <w:r w:rsidRPr="002030E8">
        <w:rPr>
          <w:lang w:val="x-none" w:eastAsia="x-none"/>
        </w:rPr>
        <w:t>Act)</w:t>
      </w:r>
      <w:r w:rsidRPr="002030E8">
        <w:rPr>
          <w:lang w:val="en-US" w:eastAsia="x-none"/>
        </w:rPr>
        <w:t xml:space="preserve"> the ILSC’s purpose is to: </w:t>
      </w:r>
    </w:p>
    <w:p w14:paraId="55D462B1" w14:textId="77777777" w:rsidR="002030E8" w:rsidRPr="002030E8" w:rsidRDefault="002030E8" w:rsidP="008A2254">
      <w:pPr>
        <w:numPr>
          <w:ilvl w:val="0"/>
          <w:numId w:val="59"/>
        </w:numPr>
        <w:rPr>
          <w:lang w:val="en-US" w:eastAsia="x-none"/>
        </w:rPr>
      </w:pPr>
      <w:r w:rsidRPr="002030E8">
        <w:rPr>
          <w:lang w:val="en-US" w:eastAsia="x-none"/>
        </w:rPr>
        <w:t>assist Aboriginal persons and Torres Strait Islanders to acquire land and water related rights</w:t>
      </w:r>
      <w:r w:rsidR="00F0461A">
        <w:rPr>
          <w:lang w:val="en-US" w:eastAsia="x-none"/>
        </w:rPr>
        <w:t>, and</w:t>
      </w:r>
    </w:p>
    <w:p w14:paraId="4FDB09BA" w14:textId="77777777" w:rsidR="002030E8" w:rsidRPr="00F0461A" w:rsidRDefault="002030E8" w:rsidP="008A2254">
      <w:pPr>
        <w:numPr>
          <w:ilvl w:val="0"/>
          <w:numId w:val="59"/>
        </w:numPr>
        <w:rPr>
          <w:lang w:val="en-US" w:eastAsia="x-none"/>
        </w:rPr>
      </w:pPr>
      <w:r w:rsidRPr="002030E8">
        <w:rPr>
          <w:lang w:val="en-US" w:eastAsia="x-none"/>
        </w:rPr>
        <w:t>assist Aboriginal persons and Torres Strait Islanders to manage I</w:t>
      </w:r>
      <w:r w:rsidR="00F0461A">
        <w:rPr>
          <w:lang w:val="en-US" w:eastAsia="x-none"/>
        </w:rPr>
        <w:t xml:space="preserve">ndigenous held land and waters </w:t>
      </w:r>
      <w:r w:rsidRPr="00F0461A">
        <w:rPr>
          <w:lang w:val="x-none" w:eastAsia="x-none"/>
        </w:rPr>
        <w:t>so as to provide economic, environmental, social or cultural benefits for Aboriginal persons and Torres Strait Islander people.</w:t>
      </w:r>
    </w:p>
    <w:p w14:paraId="211104DB" w14:textId="77777777" w:rsidR="002030E8" w:rsidRPr="002030E8" w:rsidRDefault="002030E8" w:rsidP="002030E8">
      <w:pPr>
        <w:rPr>
          <w:lang w:eastAsia="x-none"/>
        </w:rPr>
      </w:pPr>
      <w:r w:rsidRPr="002030E8">
        <w:rPr>
          <w:lang w:eastAsia="x-none"/>
        </w:rPr>
        <w:t>To achieve its vision and deliver on its purpose, the ILSC:</w:t>
      </w:r>
    </w:p>
    <w:p w14:paraId="24F408B2" w14:textId="77777777" w:rsidR="002030E8" w:rsidRPr="002030E8" w:rsidRDefault="002030E8" w:rsidP="008A2254">
      <w:pPr>
        <w:numPr>
          <w:ilvl w:val="0"/>
          <w:numId w:val="60"/>
        </w:numPr>
        <w:rPr>
          <w:lang w:val="x-none" w:eastAsia="x-none"/>
        </w:rPr>
      </w:pPr>
      <w:r w:rsidRPr="002030E8">
        <w:rPr>
          <w:lang w:eastAsia="x-none"/>
        </w:rPr>
        <w:t>a</w:t>
      </w:r>
      <w:r w:rsidRPr="002030E8">
        <w:rPr>
          <w:lang w:val="x-none" w:eastAsia="x-none"/>
        </w:rPr>
        <w:t xml:space="preserve">cquires and divests land and water-related interests to </w:t>
      </w:r>
      <w:r w:rsidRPr="002030E8">
        <w:rPr>
          <w:lang w:val="en-US" w:eastAsia="x-none"/>
        </w:rPr>
        <w:t>Aboriginal and Torres Strait Islander corporations</w:t>
      </w:r>
    </w:p>
    <w:p w14:paraId="40FE64EA" w14:textId="77777777" w:rsidR="002030E8" w:rsidRPr="002030E8" w:rsidRDefault="002030E8" w:rsidP="008A2254">
      <w:pPr>
        <w:numPr>
          <w:ilvl w:val="0"/>
          <w:numId w:val="60"/>
        </w:numPr>
        <w:rPr>
          <w:lang w:val="x-none" w:eastAsia="x-none"/>
        </w:rPr>
      </w:pPr>
      <w:r w:rsidRPr="002030E8">
        <w:rPr>
          <w:lang w:eastAsia="x-none"/>
        </w:rPr>
        <w:t>s</w:t>
      </w:r>
      <w:r w:rsidRPr="002030E8">
        <w:rPr>
          <w:lang w:val="x-none" w:eastAsia="x-none"/>
        </w:rPr>
        <w:t>upports Aboriginal and Torres Strait Islander</w:t>
      </w:r>
      <w:r w:rsidRPr="002030E8">
        <w:rPr>
          <w:lang w:val="en-US" w:eastAsia="x-none"/>
        </w:rPr>
        <w:t xml:space="preserve"> people</w:t>
      </w:r>
      <w:r w:rsidRPr="002030E8">
        <w:rPr>
          <w:lang w:val="x-none" w:eastAsia="x-none"/>
        </w:rPr>
        <w:t xml:space="preserve"> to preserve and protect culture through reconnection with country</w:t>
      </w:r>
    </w:p>
    <w:p w14:paraId="7A722D16" w14:textId="77777777" w:rsidR="002030E8" w:rsidRPr="002030E8" w:rsidRDefault="002030E8" w:rsidP="008A2254">
      <w:pPr>
        <w:numPr>
          <w:ilvl w:val="0"/>
          <w:numId w:val="60"/>
        </w:numPr>
        <w:rPr>
          <w:lang w:val="x-none" w:eastAsia="x-none"/>
        </w:rPr>
      </w:pPr>
      <w:r w:rsidRPr="002030E8">
        <w:rPr>
          <w:lang w:eastAsia="x-none"/>
        </w:rPr>
        <w:t>p</w:t>
      </w:r>
      <w:r w:rsidRPr="002030E8">
        <w:rPr>
          <w:lang w:val="x-none" w:eastAsia="x-none"/>
        </w:rPr>
        <w:t>artners with Aboriginal and Torres Strait Islander</w:t>
      </w:r>
      <w:r w:rsidRPr="002030E8">
        <w:rPr>
          <w:lang w:val="en-US" w:eastAsia="x-none"/>
        </w:rPr>
        <w:t xml:space="preserve"> people</w:t>
      </w:r>
      <w:r w:rsidRPr="002030E8">
        <w:rPr>
          <w:lang w:val="x-none" w:eastAsia="x-none"/>
        </w:rPr>
        <w:t xml:space="preserve"> to drive and influence opportunities for their country</w:t>
      </w:r>
      <w:r w:rsidRPr="002030E8">
        <w:rPr>
          <w:lang w:eastAsia="x-none"/>
        </w:rPr>
        <w:t>, and</w:t>
      </w:r>
      <w:r w:rsidRPr="002030E8">
        <w:rPr>
          <w:lang w:val="x-none" w:eastAsia="x-none"/>
        </w:rPr>
        <w:t xml:space="preserve"> </w:t>
      </w:r>
    </w:p>
    <w:p w14:paraId="09389B28" w14:textId="77777777" w:rsidR="002030E8" w:rsidRPr="002030E8" w:rsidRDefault="002030E8" w:rsidP="008A2254">
      <w:pPr>
        <w:numPr>
          <w:ilvl w:val="0"/>
          <w:numId w:val="60"/>
        </w:numPr>
        <w:rPr>
          <w:lang w:val="x-none" w:eastAsia="x-none"/>
        </w:rPr>
      </w:pPr>
      <w:r w:rsidRPr="002030E8">
        <w:rPr>
          <w:lang w:eastAsia="x-none"/>
        </w:rPr>
        <w:t>i</w:t>
      </w:r>
      <w:r w:rsidRPr="002030E8">
        <w:rPr>
          <w:lang w:val="x-none" w:eastAsia="x-none"/>
        </w:rPr>
        <w:t>nvests in the capacity and capability of Aboriginal and Torres Strait Islander</w:t>
      </w:r>
      <w:r w:rsidRPr="002030E8">
        <w:rPr>
          <w:lang w:val="en-US" w:eastAsia="x-none"/>
        </w:rPr>
        <w:t xml:space="preserve"> people and corporations</w:t>
      </w:r>
      <w:r w:rsidRPr="002030E8">
        <w:rPr>
          <w:lang w:val="x-none" w:eastAsia="x-none"/>
        </w:rPr>
        <w:t xml:space="preserve"> to sustainably manage and protect country.</w:t>
      </w:r>
    </w:p>
    <w:p w14:paraId="5BA5123D" w14:textId="77777777" w:rsidR="002030E8" w:rsidRPr="002030E8" w:rsidRDefault="002030E8" w:rsidP="002030E8">
      <w:pPr>
        <w:rPr>
          <w:lang w:val="en-GB" w:eastAsia="x-none"/>
        </w:rPr>
      </w:pPr>
      <w:r w:rsidRPr="002030E8">
        <w:rPr>
          <w:lang w:val="en-US" w:eastAsia="x-none"/>
        </w:rPr>
        <w:t>The ILSC operates across the Country held by Aboriginal and To</w:t>
      </w:r>
      <w:r w:rsidR="00F0461A">
        <w:rPr>
          <w:lang w:val="en-US" w:eastAsia="x-none"/>
        </w:rPr>
        <w:t>r</w:t>
      </w:r>
      <w:r w:rsidRPr="002030E8">
        <w:rPr>
          <w:lang w:val="en-US" w:eastAsia="x-none"/>
        </w:rPr>
        <w:t>res Strait Islander peoples, inclusive of the tangible and intangible</w:t>
      </w:r>
      <w:r w:rsidRPr="002030E8">
        <w:rPr>
          <w:lang w:val="en-GB" w:eastAsia="x-none"/>
        </w:rPr>
        <w:t xml:space="preserve"> aspects of culture, knowledge and identity. Physically, this refers to the land, fresh and salt water country under the care and control of Aboriginal and Torres Strait Islander people, communities and Corporations.  Less tangibly, it refers to the cultural assets, cultural knowledge and intellectual property held collectively in association with the physical aspects of country.</w:t>
      </w:r>
    </w:p>
    <w:p w14:paraId="66B99DA7" w14:textId="77777777" w:rsidR="00F0461A" w:rsidRDefault="00F0461A">
      <w:pPr>
        <w:spacing w:after="0" w:line="240" w:lineRule="auto"/>
        <w:jc w:val="left"/>
        <w:rPr>
          <w:lang w:eastAsia="x-none"/>
        </w:rPr>
      </w:pPr>
      <w:r>
        <w:rPr>
          <w:lang w:eastAsia="x-none"/>
        </w:rPr>
        <w:br w:type="page"/>
      </w:r>
    </w:p>
    <w:p w14:paraId="79E1F44B" w14:textId="77777777" w:rsidR="002030E8" w:rsidRPr="002030E8" w:rsidRDefault="002030E8" w:rsidP="002030E8">
      <w:pPr>
        <w:keepLines/>
        <w:rPr>
          <w:lang w:eastAsia="x-none"/>
        </w:rPr>
      </w:pPr>
      <w:r w:rsidRPr="002030E8">
        <w:rPr>
          <w:lang w:eastAsia="x-none"/>
        </w:rPr>
        <w:t>In the year ahead, the ILSC will focus on:</w:t>
      </w:r>
    </w:p>
    <w:p w14:paraId="6C65DF46" w14:textId="77777777" w:rsidR="002030E8" w:rsidRPr="002030E8" w:rsidRDefault="002030E8" w:rsidP="008A2254">
      <w:pPr>
        <w:keepLines/>
        <w:numPr>
          <w:ilvl w:val="0"/>
          <w:numId w:val="60"/>
        </w:numPr>
        <w:rPr>
          <w:lang w:eastAsia="x-none"/>
        </w:rPr>
      </w:pPr>
      <w:r w:rsidRPr="002030E8">
        <w:rPr>
          <w:lang w:eastAsia="x-none"/>
        </w:rPr>
        <w:t>in the 2022-23 period, the ILSC will finalise and publish its 2022-2027 National Indigenous</w:t>
      </w:r>
      <w:r w:rsidR="00A34094">
        <w:rPr>
          <w:lang w:eastAsia="x-none"/>
        </w:rPr>
        <w:t xml:space="preserve"> Land and Sea Strategy (NILSS).</w:t>
      </w:r>
      <w:r w:rsidRPr="002030E8">
        <w:rPr>
          <w:lang w:eastAsia="x-none"/>
        </w:rPr>
        <w:t xml:space="preserve"> Based on engagement with Aboriginal and Torres Strait Islander Australians, the strategy will set out how the ILSC will deliver its functions to 2027.  </w:t>
      </w:r>
    </w:p>
    <w:p w14:paraId="1B336E5A" w14:textId="77777777" w:rsidR="002030E8" w:rsidRPr="002030E8" w:rsidRDefault="002030E8" w:rsidP="008A2254">
      <w:pPr>
        <w:numPr>
          <w:ilvl w:val="0"/>
          <w:numId w:val="60"/>
        </w:numPr>
        <w:rPr>
          <w:lang w:eastAsia="x-none"/>
        </w:rPr>
      </w:pPr>
      <w:r w:rsidRPr="002030E8">
        <w:rPr>
          <w:lang w:eastAsia="x-none"/>
        </w:rPr>
        <w:t xml:space="preserve"> The continued maturation of the ILSC’s measurement of performance. The ILSC will employ the principles of the Indigenous Evaluation Framework to establish an approach to the measurement of impact and outcomes from the perspective of Aboriginal and Torres Strait Islander users of its services and programs.  This work will be published in the form of an annual ‘Year in Review’ document to complement the ILSC’s Annual Performance Statement, tracking our progress against the priorities set in the NILSS </w:t>
      </w:r>
    </w:p>
    <w:p w14:paraId="1F1D3828" w14:textId="77777777" w:rsidR="002030E8" w:rsidRPr="002030E8" w:rsidRDefault="002030E8" w:rsidP="008A2254">
      <w:pPr>
        <w:numPr>
          <w:ilvl w:val="0"/>
          <w:numId w:val="60"/>
        </w:numPr>
        <w:rPr>
          <w:lang w:eastAsia="x-none"/>
        </w:rPr>
      </w:pPr>
      <w:r w:rsidRPr="002030E8">
        <w:rPr>
          <w:lang w:eastAsia="x-none"/>
        </w:rPr>
        <w:t>The ILSC will continue to work closely with Aboriginal and Torres Strait Islander holders of Country to respond to the risks and opportunities of living with COVID-19</w:t>
      </w:r>
    </w:p>
    <w:p w14:paraId="3F00189E" w14:textId="77777777" w:rsidR="002030E8" w:rsidRPr="002030E8" w:rsidRDefault="002030E8" w:rsidP="008A2254">
      <w:pPr>
        <w:numPr>
          <w:ilvl w:val="0"/>
          <w:numId w:val="60"/>
        </w:numPr>
        <w:rPr>
          <w:lang w:eastAsia="x-none"/>
        </w:rPr>
      </w:pPr>
      <w:r w:rsidRPr="002030E8">
        <w:rPr>
          <w:lang w:eastAsia="x-none"/>
        </w:rPr>
        <w:t xml:space="preserve">The ILSC will support Aboriginal and Torres Strait Islander holders of Country to respond to and recover from the flooding and extreme </w:t>
      </w:r>
      <w:r w:rsidR="00127656" w:rsidRPr="002030E8">
        <w:rPr>
          <w:lang w:eastAsia="x-none"/>
        </w:rPr>
        <w:t>weather</w:t>
      </w:r>
      <w:r w:rsidRPr="002030E8">
        <w:rPr>
          <w:lang w:eastAsia="x-none"/>
        </w:rPr>
        <w:t xml:space="preserve"> in the Eastern states in 2022. </w:t>
      </w:r>
    </w:p>
    <w:p w14:paraId="01BD472F" w14:textId="77777777" w:rsidR="002030E8" w:rsidRPr="002030E8" w:rsidRDefault="002030E8" w:rsidP="002030E8">
      <w:pPr>
        <w:rPr>
          <w:iCs/>
          <w:lang w:val="en-US" w:eastAsia="x-none"/>
        </w:rPr>
      </w:pPr>
      <w:r w:rsidRPr="002030E8">
        <w:rPr>
          <w:iCs/>
          <w:lang w:val="en-US" w:eastAsia="x-none"/>
        </w:rPr>
        <w:t>The ILSC’s operations are funded through the Aboriginal and Torres Strait Islander Land and Sea Future Fund (ATSILSFF) — a dedicated fund established (initially as the Aboriginal and Torres Strait Islander Land Account) to support the purpose of the ILSC.</w:t>
      </w:r>
    </w:p>
    <w:p w14:paraId="55608B1F" w14:textId="77777777" w:rsidR="002030E8" w:rsidRPr="002030E8" w:rsidRDefault="002030E8" w:rsidP="002030E8">
      <w:pPr>
        <w:rPr>
          <w:iCs/>
          <w:lang w:val="en-US" w:eastAsia="x-none"/>
        </w:rPr>
      </w:pPr>
      <w:r w:rsidRPr="002030E8">
        <w:rPr>
          <w:iCs/>
          <w:lang w:val="en-US" w:eastAsia="x-none"/>
        </w:rPr>
        <w:t xml:space="preserve">Revenue from the ATSILSFF supports the ILSC’s operations, with the ILSC receiving $45 million (in 2010 values) annually. </w:t>
      </w:r>
    </w:p>
    <w:p w14:paraId="73C6152E" w14:textId="77777777" w:rsidR="002030E8" w:rsidRPr="002030E8" w:rsidRDefault="002030E8" w:rsidP="002030E8">
      <w:pPr>
        <w:rPr>
          <w:iCs/>
          <w:lang w:val="en-US" w:eastAsia="x-none"/>
        </w:rPr>
      </w:pPr>
      <w:r w:rsidRPr="002030E8">
        <w:rPr>
          <w:iCs/>
          <w:lang w:val="en-US" w:eastAsia="x-none"/>
        </w:rPr>
        <w:t xml:space="preserve">The ILSC delivers its operations through: </w:t>
      </w:r>
    </w:p>
    <w:p w14:paraId="11276C4A" w14:textId="77777777" w:rsidR="002030E8" w:rsidRPr="00A12D45" w:rsidRDefault="002030E8" w:rsidP="00A12D45">
      <w:pPr>
        <w:pStyle w:val="ListParagraph"/>
        <w:numPr>
          <w:ilvl w:val="0"/>
          <w:numId w:val="173"/>
        </w:numPr>
        <w:rPr>
          <w:rFonts w:ascii="Book Antiqua" w:hAnsi="Book Antiqua"/>
          <w:iCs/>
          <w:sz w:val="20"/>
          <w:lang w:eastAsia="x-none"/>
        </w:rPr>
      </w:pPr>
      <w:r w:rsidRPr="00A12D45">
        <w:rPr>
          <w:rFonts w:ascii="Book Antiqua" w:hAnsi="Book Antiqua"/>
          <w:iCs/>
          <w:sz w:val="20"/>
          <w:lang w:eastAsia="x-none"/>
        </w:rPr>
        <w:t>its principal grants program – Our Country Our Future – delivered from three Divisional offices: Western (Perth), Central (Adelaide) and Eastern (Brisbane) where new land and water acquisition and management projects are developed and delivered with Indigenous groups</w:t>
      </w:r>
    </w:p>
    <w:p w14:paraId="30721FFC" w14:textId="77777777" w:rsidR="002030E8" w:rsidRPr="002030E8" w:rsidRDefault="002030E8" w:rsidP="00392A48">
      <w:pPr>
        <w:numPr>
          <w:ilvl w:val="0"/>
          <w:numId w:val="127"/>
        </w:numPr>
        <w:rPr>
          <w:iCs/>
          <w:lang w:val="en-US" w:eastAsia="x-none"/>
        </w:rPr>
      </w:pPr>
      <w:r w:rsidRPr="002030E8">
        <w:rPr>
          <w:iCs/>
          <w:lang w:val="en-US" w:eastAsia="x-none"/>
        </w:rPr>
        <w:t xml:space="preserve">its subsidiaries, which are specifically structured and geared to generate outcomes through operating commercially in industry sectors in which Indigenous peoples hold a competitive advantage: </w:t>
      </w:r>
    </w:p>
    <w:p w14:paraId="2541DCDE" w14:textId="77777777" w:rsidR="002030E8" w:rsidRPr="002030E8" w:rsidRDefault="002030E8" w:rsidP="00392A48">
      <w:pPr>
        <w:numPr>
          <w:ilvl w:val="0"/>
          <w:numId w:val="127"/>
        </w:numPr>
        <w:rPr>
          <w:iCs/>
          <w:lang w:val="en-US" w:eastAsia="x-none"/>
        </w:rPr>
      </w:pPr>
      <w:r w:rsidRPr="002030E8">
        <w:rPr>
          <w:iCs/>
          <w:lang w:val="en-US" w:eastAsia="x-none"/>
        </w:rPr>
        <w:t>Voyages Indigenous Tourism Australia (Voyages) Pty Ltd, which owns and manages Ayers Rock Resort, Northern Territory (NT), and manages one other tourism enterprise developed by the ILSC</w:t>
      </w:r>
    </w:p>
    <w:p w14:paraId="6AC2EDB6" w14:textId="77777777" w:rsidR="002030E8" w:rsidRPr="002030E8" w:rsidRDefault="002030E8" w:rsidP="00392A48">
      <w:pPr>
        <w:numPr>
          <w:ilvl w:val="0"/>
          <w:numId w:val="127"/>
        </w:numPr>
        <w:rPr>
          <w:lang w:val="en-US" w:eastAsia="x-none"/>
        </w:rPr>
      </w:pPr>
      <w:r w:rsidRPr="002030E8">
        <w:rPr>
          <w:lang w:val="en-US" w:eastAsia="x-none"/>
        </w:rPr>
        <w:t>Primary Partners Ltd (formerly Australian Indigenous Agribusiness Company (AIA) Pty Ltd), which employs labour on a number of agribusinesses developed by the ILSC on ILSC-owned land, and</w:t>
      </w:r>
    </w:p>
    <w:p w14:paraId="532660BE" w14:textId="77777777" w:rsidR="002030E8" w:rsidRPr="002030E8" w:rsidRDefault="002030E8" w:rsidP="00392A48">
      <w:pPr>
        <w:numPr>
          <w:ilvl w:val="0"/>
          <w:numId w:val="127"/>
        </w:numPr>
        <w:rPr>
          <w:lang w:val="en-US" w:eastAsia="x-none"/>
        </w:rPr>
      </w:pPr>
      <w:r w:rsidRPr="002030E8">
        <w:rPr>
          <w:lang w:val="en-US" w:eastAsia="x-none"/>
        </w:rPr>
        <w:t xml:space="preserve">National Centre of Indigenous Excellence (NCIE) Ltd, which manages the ILSC-developed social enterprise of the same name in Redfern, Sydney, NSW.  </w:t>
      </w:r>
    </w:p>
    <w:p w14:paraId="025A3C02" w14:textId="77777777" w:rsidR="002030E8" w:rsidRPr="002030E8" w:rsidRDefault="002030E8" w:rsidP="002030E8">
      <w:pPr>
        <w:rPr>
          <w:lang w:eastAsia="x-none"/>
        </w:rPr>
      </w:pPr>
      <w:r w:rsidRPr="002030E8">
        <w:rPr>
          <w:lang w:eastAsia="x-none"/>
        </w:rPr>
        <w:t>The ILSC anticipates the divestment of the NCIE site within the forward estimates period. This will lead the ILSC to adjust its performance expectations from 2023 to capture the performance impacts of a refreshed operational model for the NCIE.</w:t>
      </w:r>
    </w:p>
    <w:p w14:paraId="5ABCCA2E" w14:textId="77777777" w:rsidR="00CB359A" w:rsidRPr="0079797F" w:rsidRDefault="00CB359A" w:rsidP="00CB359A"/>
    <w:p w14:paraId="17A51C0F" w14:textId="77777777" w:rsidR="00CB359A" w:rsidRDefault="00CB359A" w:rsidP="00CB359A">
      <w:pPr>
        <w:pStyle w:val="Heading3"/>
      </w:pPr>
      <w:r w:rsidRPr="0079797F">
        <w:br w:type="page"/>
      </w:r>
      <w:bookmarkStart w:id="579" w:name="_Toc98766405"/>
      <w:bookmarkStart w:id="580" w:name="_Toc98856152"/>
      <w:bookmarkStart w:id="581" w:name="_Toc98932904"/>
      <w:bookmarkStart w:id="582" w:name="_Toc99008160"/>
      <w:bookmarkStart w:id="583" w:name="_Toc99009522"/>
      <w:bookmarkStart w:id="584" w:name="_Toc99010750"/>
      <w:bookmarkStart w:id="585" w:name="_Toc99013985"/>
      <w:bookmarkStart w:id="586" w:name="_Toc99187561"/>
      <w:bookmarkStart w:id="587" w:name="_Toc99269672"/>
      <w:r>
        <w:t>1.2</w:t>
      </w:r>
      <w:r>
        <w:tab/>
        <w:t>Entity resource statement</w:t>
      </w:r>
      <w:bookmarkEnd w:id="579"/>
      <w:bookmarkEnd w:id="580"/>
      <w:bookmarkEnd w:id="581"/>
      <w:bookmarkEnd w:id="582"/>
      <w:bookmarkEnd w:id="583"/>
      <w:bookmarkEnd w:id="584"/>
      <w:bookmarkEnd w:id="585"/>
      <w:bookmarkEnd w:id="586"/>
      <w:bookmarkEnd w:id="587"/>
    </w:p>
    <w:p w14:paraId="343231A8" w14:textId="77777777" w:rsidR="00CB359A" w:rsidRDefault="00CB359A" w:rsidP="00CB359A">
      <w:r>
        <w:t xml:space="preserve">Table 1.1 shows the total funding from all sources available to the </w:t>
      </w:r>
      <w:r w:rsidR="00BC4CD8">
        <w:t>ILSC</w:t>
      </w:r>
      <w:r>
        <w:t xml:space="preserve"> for its operations and to deliver programs and services on behalf of the Government.</w:t>
      </w:r>
    </w:p>
    <w:p w14:paraId="04A7DB71" w14:textId="77777777" w:rsidR="00CB359A" w:rsidRDefault="00CB359A" w:rsidP="00CB359A">
      <w:r>
        <w:t>The table summarises how resources will be applied by outcome (government strategic policy objectives) and by administered (on behalf of the Government or the public) and departmental (for the entity’s operations) classification.</w:t>
      </w:r>
    </w:p>
    <w:p w14:paraId="369A369F" w14:textId="77777777" w:rsidR="00CB359A" w:rsidRDefault="00CB359A" w:rsidP="00CB359A">
      <w:r>
        <w:t>For more detailed information on special accounts and special appropriations, please refer to</w:t>
      </w:r>
      <w:r w:rsidRPr="00F0461A">
        <w:rPr>
          <w:i/>
        </w:rPr>
        <w:t xml:space="preserve"> </w:t>
      </w:r>
      <w:r w:rsidRPr="00F0461A">
        <w:t>Budget Paper No. 4 – Agency Resourcing.</w:t>
      </w:r>
    </w:p>
    <w:p w14:paraId="552E50EB" w14:textId="77777777" w:rsidR="00CB359A" w:rsidRDefault="00CB359A" w:rsidP="00CB359A">
      <w:r>
        <w:t>Information in this table is presented on a resourcing (that is, appropriations/cash available) basis, whilst the</w:t>
      </w:r>
      <w:r w:rsidR="00F0461A">
        <w:t xml:space="preserve"> ‘Budgeted expenses by Outcome 1</w:t>
      </w:r>
      <w:r>
        <w:t>’ tables in Section 2 and the financial statements in Section 3 are presented on an accrual basis.</w:t>
      </w:r>
    </w:p>
    <w:p w14:paraId="6CE33B6F" w14:textId="77777777" w:rsidR="00CB359A" w:rsidRPr="00FE1091" w:rsidRDefault="00CB359A" w:rsidP="00CB359A">
      <w:pPr>
        <w:pStyle w:val="TableHeading"/>
        <w:rPr>
          <w:b w:val="0"/>
          <w:lang w:val="en-AU"/>
        </w:rPr>
      </w:pPr>
      <w:r>
        <w:br w:type="page"/>
      </w:r>
      <w:r w:rsidRPr="00D44150">
        <w:t xml:space="preserve">Table 1.1: </w:t>
      </w:r>
      <w:r>
        <w:rPr>
          <w:lang w:val="en-US"/>
        </w:rPr>
        <w:t>Indigenous Land and Sea Corporation</w:t>
      </w:r>
      <w:r w:rsidRPr="00D44150">
        <w:t xml:space="preserve"> resource statement</w:t>
      </w:r>
      <w:r>
        <w:t xml:space="preserve"> — Budget 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646BF906" w14:textId="77777777" w:rsidR="00BC4CD8" w:rsidRPr="00AF0FC6" w:rsidRDefault="00A65087" w:rsidP="00BC4CD8">
      <w:pPr>
        <w:pStyle w:val="ChartandTableFootnote"/>
      </w:pPr>
      <w:r w:rsidRPr="00A65087">
        <w:rPr>
          <w:noProof/>
          <w:lang w:val="en-AU" w:eastAsia="en-AU"/>
        </w:rPr>
        <w:drawing>
          <wp:inline distT="0" distB="0" distL="0" distR="0" wp14:anchorId="76877FC2" wp14:editId="473D21D3">
            <wp:extent cx="4895850" cy="270034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95850" cy="2700340"/>
                    </a:xfrm>
                    <a:prstGeom prst="rect">
                      <a:avLst/>
                    </a:prstGeom>
                    <a:noFill/>
                    <a:ln>
                      <a:noFill/>
                    </a:ln>
                  </pic:spPr>
                </pic:pic>
              </a:graphicData>
            </a:graphic>
          </wp:inline>
        </w:drawing>
      </w:r>
      <w:r w:rsidR="00BC4CD8" w:rsidRPr="00BC4CD8">
        <w:t xml:space="preserve"> </w:t>
      </w:r>
      <w:r w:rsidR="00BC4CD8" w:rsidRPr="00AF0FC6">
        <w:t>All figures shown above are GST exclusive - these may not match figures in the cash flow statement.</w:t>
      </w:r>
    </w:p>
    <w:p w14:paraId="1D3D4402" w14:textId="77777777" w:rsidR="00127307" w:rsidRDefault="00127307" w:rsidP="00392A48">
      <w:pPr>
        <w:pStyle w:val="ChartandTableFootnoteAlpha"/>
        <w:numPr>
          <w:ilvl w:val="0"/>
          <w:numId w:val="128"/>
        </w:numPr>
        <w:rPr>
          <w:rFonts w:cs="Arial"/>
          <w:color w:val="000000"/>
          <w:szCs w:val="16"/>
        </w:rPr>
      </w:pPr>
      <w:r w:rsidRPr="00127307">
        <w:rPr>
          <w:rFonts w:cs="Arial"/>
          <w:color w:val="000000"/>
          <w:szCs w:val="16"/>
        </w:rPr>
        <w:t>Appropriation Bill (No. 1) 2022-23.</w:t>
      </w:r>
    </w:p>
    <w:p w14:paraId="5266B89F" w14:textId="77777777" w:rsidR="00127307" w:rsidRPr="00127307" w:rsidRDefault="00127307" w:rsidP="00392A48">
      <w:pPr>
        <w:pStyle w:val="ChartandTableFootnoteAlpha"/>
        <w:numPr>
          <w:ilvl w:val="0"/>
          <w:numId w:val="128"/>
        </w:numPr>
        <w:rPr>
          <w:rFonts w:cs="Arial"/>
          <w:color w:val="000000"/>
          <w:szCs w:val="16"/>
        </w:rPr>
      </w:pPr>
      <w:r w:rsidRPr="00127307">
        <w:t xml:space="preserve">Commonwealth Corporate Entity (CCE) may receive payment from </w:t>
      </w:r>
      <w:r>
        <w:t xml:space="preserve">a special account held by a Non </w:t>
      </w:r>
      <w:r w:rsidRPr="00127307">
        <w:t>Corporate Commonwealth Entity (NCCE). The CCE does not hold the special ac</w:t>
      </w:r>
      <w:r>
        <w:t xml:space="preserve">count itself and therefore does </w:t>
      </w:r>
      <w:r w:rsidRPr="00127307">
        <w:t>not have a balance carried forward from earlier years.</w:t>
      </w:r>
    </w:p>
    <w:p w14:paraId="49C598EF" w14:textId="77777777" w:rsidR="00CB359A" w:rsidRPr="00127307" w:rsidRDefault="00127307" w:rsidP="00392A48">
      <w:pPr>
        <w:pStyle w:val="ChartandTableFootnoteAlpha"/>
        <w:numPr>
          <w:ilvl w:val="0"/>
          <w:numId w:val="128"/>
        </w:numPr>
        <w:rPr>
          <w:rFonts w:cs="Arial"/>
          <w:color w:val="000000"/>
          <w:szCs w:val="16"/>
        </w:rPr>
      </w:pPr>
      <w:r w:rsidRPr="00127307">
        <w:t xml:space="preserve">Amounts received from other entities within the portfolio, or from other portfolios.  </w:t>
      </w:r>
      <w:r w:rsidR="00CB359A">
        <w:br w:type="page"/>
      </w:r>
    </w:p>
    <w:p w14:paraId="3C88D540" w14:textId="77777777" w:rsidR="00CB359A" w:rsidRPr="005A7C0B" w:rsidRDefault="00CB359A" w:rsidP="00CB359A">
      <w:pPr>
        <w:pStyle w:val="Heading3"/>
        <w:spacing w:before="0"/>
      </w:pPr>
      <w:bookmarkStart w:id="588" w:name="_Toc98766406"/>
      <w:bookmarkStart w:id="589" w:name="_Toc98856153"/>
      <w:bookmarkStart w:id="590" w:name="_Toc98932905"/>
      <w:bookmarkStart w:id="591" w:name="_Toc99008161"/>
      <w:bookmarkStart w:id="592" w:name="_Toc99009523"/>
      <w:bookmarkStart w:id="593" w:name="_Toc99010751"/>
      <w:bookmarkStart w:id="594" w:name="_Toc99013986"/>
      <w:bookmarkStart w:id="595" w:name="_Toc99187562"/>
      <w:bookmarkStart w:id="596" w:name="_Toc99269673"/>
      <w:r w:rsidRPr="005A7C0B">
        <w:t>1.3</w:t>
      </w:r>
      <w:r w:rsidRPr="005A7C0B">
        <w:tab/>
        <w:t>Budget measures</w:t>
      </w:r>
      <w:bookmarkEnd w:id="588"/>
      <w:bookmarkEnd w:id="589"/>
      <w:bookmarkEnd w:id="590"/>
      <w:bookmarkEnd w:id="591"/>
      <w:bookmarkEnd w:id="592"/>
      <w:bookmarkEnd w:id="593"/>
      <w:bookmarkEnd w:id="594"/>
      <w:bookmarkEnd w:id="595"/>
      <w:bookmarkEnd w:id="596"/>
    </w:p>
    <w:p w14:paraId="6869DC94" w14:textId="77777777" w:rsidR="00CB359A" w:rsidRDefault="00CB359A" w:rsidP="00CB359A">
      <w:r>
        <w:t>ILSC has no budget measures in the 2022-23 Budget.</w:t>
      </w:r>
    </w:p>
    <w:p w14:paraId="403FFBEC" w14:textId="77777777" w:rsidR="00CB359A" w:rsidRPr="00587C83" w:rsidRDefault="00CB359A" w:rsidP="00CB359A"/>
    <w:p w14:paraId="71B0649F" w14:textId="77777777" w:rsidR="00CB359A" w:rsidRDefault="00CB359A" w:rsidP="00CB359A">
      <w:pPr>
        <w:spacing w:after="0" w:line="240" w:lineRule="auto"/>
        <w:jc w:val="left"/>
        <w:rPr>
          <w:rFonts w:ascii="Arial Bold" w:hAnsi="Arial Bold"/>
          <w:b/>
        </w:rPr>
      </w:pPr>
      <w:r>
        <w:br w:type="page"/>
      </w:r>
    </w:p>
    <w:p w14:paraId="17112A71" w14:textId="77777777" w:rsidR="00CB359A" w:rsidRPr="00810C6A" w:rsidRDefault="00CB359A" w:rsidP="00CB359A">
      <w:pPr>
        <w:pStyle w:val="Heading2"/>
      </w:pPr>
      <w:bookmarkStart w:id="597" w:name="_Toc98766407"/>
      <w:bookmarkStart w:id="598" w:name="_Toc98856154"/>
      <w:bookmarkStart w:id="599" w:name="_Toc98932906"/>
      <w:bookmarkStart w:id="600" w:name="_Toc99008162"/>
      <w:bookmarkStart w:id="601" w:name="_Toc99009524"/>
      <w:bookmarkStart w:id="602" w:name="_Toc99010752"/>
      <w:bookmarkStart w:id="603" w:name="_Toc99013987"/>
      <w:bookmarkStart w:id="604" w:name="_Toc99187563"/>
      <w:bookmarkStart w:id="605" w:name="_Toc99269674"/>
      <w:r w:rsidRPr="00810C6A">
        <w:t>Section 2: Outcomes and planned performance</w:t>
      </w:r>
      <w:bookmarkEnd w:id="597"/>
      <w:bookmarkEnd w:id="598"/>
      <w:bookmarkEnd w:id="599"/>
      <w:bookmarkEnd w:id="600"/>
      <w:bookmarkEnd w:id="601"/>
      <w:bookmarkEnd w:id="602"/>
      <w:bookmarkEnd w:id="603"/>
      <w:bookmarkEnd w:id="604"/>
      <w:bookmarkEnd w:id="605"/>
    </w:p>
    <w:p w14:paraId="0895DC23" w14:textId="77777777" w:rsidR="00CB359A" w:rsidRPr="005E6F2B" w:rsidRDefault="00CB359A" w:rsidP="00CB359A">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82AEF32" w14:textId="77777777" w:rsidR="00CB359A" w:rsidRDefault="00CB359A" w:rsidP="00CB359A">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CB359A" w14:paraId="447F4855" w14:textId="77777777" w:rsidTr="00A929E1">
        <w:tc>
          <w:tcPr>
            <w:tcW w:w="7700" w:type="dxa"/>
          </w:tcPr>
          <w:p w14:paraId="2227521E" w14:textId="77777777" w:rsidR="00CB359A" w:rsidRPr="006906E4" w:rsidRDefault="00CB359A" w:rsidP="00A929E1">
            <w:pPr>
              <w:spacing w:before="120" w:after="120" w:line="240" w:lineRule="auto"/>
              <w:rPr>
                <w:b/>
              </w:rPr>
            </w:pPr>
            <w:r w:rsidRPr="006906E4">
              <w:rPr>
                <w:b/>
              </w:rPr>
              <w:t>Note:</w:t>
            </w:r>
          </w:p>
          <w:p w14:paraId="5986139A" w14:textId="77777777" w:rsidR="00CB359A" w:rsidRDefault="00CB359A" w:rsidP="00A929E1">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07AAD876" w14:textId="77777777" w:rsidR="00CB359A" w:rsidRDefault="00CB359A" w:rsidP="00A929E1">
            <w:r>
              <w:t>The most recent corporate plan for the Indigenous Land and S</w:t>
            </w:r>
            <w:r w:rsidR="00A521C0">
              <w:t xml:space="preserve">ea Corporation  can be found at </w:t>
            </w:r>
            <w:r w:rsidRPr="00E6013B">
              <w:t>www.ilsc.gov.au/about/ilsc-publications/corporate-plan/</w:t>
            </w:r>
          </w:p>
          <w:p w14:paraId="403ECE5B" w14:textId="77777777" w:rsidR="00CB359A" w:rsidRDefault="00CB359A" w:rsidP="00A521C0">
            <w:r>
              <w:t>The most recent annual perfor</w:t>
            </w:r>
            <w:r w:rsidR="00A521C0">
              <w:t xml:space="preserve">mance statement can be found at </w:t>
            </w:r>
            <w:r w:rsidRPr="00702E35">
              <w:t>www.ilsc.gov.au/about/ilsc-publications/annual-reports/</w:t>
            </w:r>
          </w:p>
        </w:tc>
      </w:tr>
    </w:tbl>
    <w:p w14:paraId="6206C576" w14:textId="77777777" w:rsidR="00CB359A" w:rsidRDefault="00CB359A" w:rsidP="00CB359A">
      <w:pPr>
        <w:rPr>
          <w:highlight w:val="yellow"/>
        </w:rPr>
      </w:pPr>
    </w:p>
    <w:p w14:paraId="38D21EE1" w14:textId="77777777" w:rsidR="00BC4CD8" w:rsidRDefault="00BC4CD8">
      <w:pPr>
        <w:spacing w:after="0" w:line="240" w:lineRule="auto"/>
        <w:jc w:val="left"/>
        <w:rPr>
          <w:rFonts w:ascii="Arial Bold" w:hAnsi="Arial Bold"/>
          <w:b/>
          <w:sz w:val="22"/>
        </w:rPr>
      </w:pPr>
      <w:bookmarkStart w:id="606" w:name="_Toc98766408"/>
      <w:bookmarkStart w:id="607" w:name="_Toc98856155"/>
      <w:bookmarkStart w:id="608" w:name="_Toc98932907"/>
      <w:bookmarkStart w:id="609" w:name="_Toc99008163"/>
      <w:bookmarkStart w:id="610" w:name="_Toc99009525"/>
      <w:bookmarkStart w:id="611" w:name="_Toc99010753"/>
      <w:bookmarkStart w:id="612" w:name="_Toc99013988"/>
      <w:bookmarkStart w:id="613" w:name="_Toc99187564"/>
      <w:bookmarkStart w:id="614" w:name="_Toc99269675"/>
      <w:r>
        <w:br w:type="page"/>
      </w:r>
    </w:p>
    <w:p w14:paraId="6FF75D80" w14:textId="77777777" w:rsidR="00CB359A" w:rsidRPr="00F743D8" w:rsidRDefault="00CB359A" w:rsidP="00CB359A">
      <w:pPr>
        <w:pStyle w:val="Heading3"/>
      </w:pPr>
      <w:r>
        <w:t>2.1</w:t>
      </w:r>
      <w:r w:rsidRPr="00F743D8">
        <w:t xml:space="preserve"> </w:t>
      </w:r>
      <w:r w:rsidRPr="00F743D8">
        <w:tab/>
        <w:t xml:space="preserve">Budgeted expenses and performance for Outcome </w:t>
      </w:r>
      <w:bookmarkEnd w:id="606"/>
      <w:bookmarkEnd w:id="607"/>
      <w:bookmarkEnd w:id="608"/>
      <w:bookmarkEnd w:id="609"/>
      <w:bookmarkEnd w:id="610"/>
      <w:bookmarkEnd w:id="611"/>
      <w:bookmarkEnd w:id="612"/>
      <w:bookmarkEnd w:id="613"/>
      <w:bookmarkEnd w:id="614"/>
      <w:r w:rsidR="00AC2929">
        <w:t>1</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CB359A" w:rsidRPr="005E6F2B" w14:paraId="261DC247" w14:textId="77777777" w:rsidTr="00A521C0">
        <w:tc>
          <w:tcPr>
            <w:tcW w:w="7704" w:type="dxa"/>
            <w:shd w:val="clear" w:color="auto" w:fill="E6E6E6"/>
          </w:tcPr>
          <w:p w14:paraId="7FCAE770" w14:textId="77777777" w:rsidR="00CB359A" w:rsidRPr="005E6F2B" w:rsidRDefault="00CB359A" w:rsidP="00A929E1">
            <w:pPr>
              <w:pStyle w:val="TableColumnHeadingLeft"/>
            </w:pPr>
            <w:r w:rsidRPr="005E6F2B">
              <w:t xml:space="preserve">Outcome </w:t>
            </w:r>
            <w:r>
              <w:t>1</w:t>
            </w:r>
            <w:r w:rsidRPr="005E6F2B">
              <w:t xml:space="preserve"> </w:t>
            </w:r>
            <w:r w:rsidRPr="006C3F8B">
              <w:rPr>
                <w:rFonts w:cs="Arial"/>
              </w:rPr>
              <w:t>Enhanced socio-economic development, maintenance of cultural identity and protection of the environment by Indigenous Australians through the acquisition and management of land, water and water-related rights.</w:t>
            </w:r>
          </w:p>
        </w:tc>
      </w:tr>
    </w:tbl>
    <w:p w14:paraId="5EB2EABE" w14:textId="77777777" w:rsidR="00CB359A" w:rsidRDefault="00CB359A" w:rsidP="00CB359A">
      <w:pPr>
        <w:pStyle w:val="Heading5"/>
      </w:pPr>
    </w:p>
    <w:p w14:paraId="10E469C5" w14:textId="77777777" w:rsidR="00CB359A" w:rsidRPr="00446612" w:rsidRDefault="00CB359A" w:rsidP="00CB359A">
      <w:pPr>
        <w:pStyle w:val="Heading5"/>
      </w:pPr>
      <w:r w:rsidRPr="00446612">
        <w:t xml:space="preserve">Budgeted expenses for Outcome </w:t>
      </w:r>
      <w:r>
        <w:t>1</w:t>
      </w:r>
    </w:p>
    <w:p w14:paraId="25BA6FE1" w14:textId="77777777" w:rsidR="00CB359A" w:rsidRDefault="00CB359A" w:rsidP="00CB359A">
      <w:r w:rsidRPr="00950281">
        <w:t xml:space="preserve">This table shows how much the </w:t>
      </w:r>
      <w:r w:rsidR="00BC4CD8">
        <w:t>ILSC</w:t>
      </w:r>
      <w:r w:rsidRPr="00950281">
        <w:t xml:space="preserve"> intends to spend (on an accrual basis) on achieving the outcome, broken down by program, as well as by Administered an</w:t>
      </w:r>
      <w:r>
        <w:t>d Departmental funding sources.</w:t>
      </w:r>
    </w:p>
    <w:p w14:paraId="7C62BEE3" w14:textId="77777777" w:rsidR="00CB359A" w:rsidRDefault="00CB359A" w:rsidP="00CB359A">
      <w:pPr>
        <w:spacing w:after="0"/>
        <w:rPr>
          <w:rFonts w:ascii="Arial" w:hAnsi="Arial" w:cs="Arial"/>
          <w:b/>
        </w:rPr>
      </w:pPr>
      <w:r w:rsidRPr="00A521C0">
        <w:rPr>
          <w:rFonts w:ascii="Arial" w:hAnsi="Arial" w:cs="Arial"/>
          <w:b/>
        </w:rPr>
        <w:t>Table 2.1.1: Budgeted expenses for Outcome 1</w:t>
      </w:r>
    </w:p>
    <w:p w14:paraId="7341F47C" w14:textId="77777777" w:rsidR="00CB359A" w:rsidRPr="00F71634" w:rsidRDefault="00A521C0" w:rsidP="007E059F">
      <w:pPr>
        <w:pStyle w:val="TableHeading"/>
      </w:pPr>
      <w:r w:rsidRPr="00A521C0">
        <w:rPr>
          <w:noProof/>
          <w:lang w:val="en-AU" w:eastAsia="en-AU"/>
        </w:rPr>
        <w:drawing>
          <wp:inline distT="0" distB="0" distL="0" distR="0" wp14:anchorId="0F47684F" wp14:editId="41794B35">
            <wp:extent cx="4895850" cy="3536315"/>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95850" cy="3536315"/>
                    </a:xfrm>
                    <a:prstGeom prst="rect">
                      <a:avLst/>
                    </a:prstGeom>
                    <a:noFill/>
                    <a:ln>
                      <a:noFill/>
                    </a:ln>
                  </pic:spPr>
                </pic:pic>
              </a:graphicData>
            </a:graphic>
          </wp:inline>
        </w:drawing>
      </w:r>
      <w:r w:rsidR="00CB359A">
        <w:br w:type="page"/>
      </w:r>
      <w:r w:rsidR="00CB359A" w:rsidRPr="00F71634">
        <w:t>Table 2.</w:t>
      </w:r>
      <w:r w:rsidR="00CB359A">
        <w:rPr>
          <w:lang w:val="en-AU"/>
        </w:rPr>
        <w:t>1</w:t>
      </w:r>
      <w:r w:rsidR="00CB359A" w:rsidRPr="00F71634">
        <w:t xml:space="preserve">.3: Performance </w:t>
      </w:r>
      <w:r w:rsidR="00CB359A">
        <w:rPr>
          <w:lang w:val="en-AU"/>
        </w:rPr>
        <w:t>measure</w:t>
      </w:r>
      <w:r w:rsidR="00CB359A" w:rsidRPr="00F71634">
        <w:t xml:space="preserve"> for Outcome </w:t>
      </w:r>
      <w:r w:rsidR="00CB359A">
        <w:rPr>
          <w:lang w:val="en-AU"/>
        </w:rPr>
        <w:t>1</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B359A" w:rsidRPr="001B2F81" w14:paraId="61BC9C71" w14:textId="77777777" w:rsidTr="00A929E1">
        <w:trPr>
          <w:trHeight w:val="569"/>
          <w:tblHeader/>
        </w:trPr>
        <w:tc>
          <w:tcPr>
            <w:tcW w:w="7796" w:type="dxa"/>
            <w:gridSpan w:val="3"/>
            <w:shd w:val="clear" w:color="auto" w:fill="F2F2F2"/>
          </w:tcPr>
          <w:p w14:paraId="444D3A26" w14:textId="77777777" w:rsidR="00CB359A" w:rsidRPr="00C41058" w:rsidRDefault="00CB359A" w:rsidP="00A929E1">
            <w:pPr>
              <w:pStyle w:val="TableColumnHeadingLeft"/>
            </w:pPr>
            <w:r w:rsidRPr="00C41058">
              <w:rPr>
                <w:rStyle w:val="TableHeadingChar"/>
                <w:b/>
              </w:rPr>
              <w:t xml:space="preserve">Outcome </w:t>
            </w:r>
            <w:r w:rsidRPr="00083703">
              <w:t xml:space="preserve">1 – </w:t>
            </w:r>
            <w:r w:rsidRPr="00083703">
              <w:rPr>
                <w:rFonts w:cs="Arial"/>
              </w:rPr>
              <w:t>Enhanced socio-economic development, maintenance of cultural identity and protection of the environment by Indigenous Australians through the acquisition and management of land, water and water-related rights.</w:t>
            </w:r>
          </w:p>
        </w:tc>
      </w:tr>
      <w:tr w:rsidR="00CB359A" w:rsidRPr="001B2F81" w14:paraId="4603862D" w14:textId="77777777" w:rsidTr="00A929E1">
        <w:trPr>
          <w:trHeight w:val="522"/>
          <w:tblHeader/>
        </w:trPr>
        <w:tc>
          <w:tcPr>
            <w:tcW w:w="7796" w:type="dxa"/>
            <w:gridSpan w:val="3"/>
            <w:shd w:val="clear" w:color="auto" w:fill="F2F2F2"/>
          </w:tcPr>
          <w:p w14:paraId="1BCA96AF" w14:textId="77777777" w:rsidR="00CB359A" w:rsidRPr="001B2F81" w:rsidRDefault="00CB359A" w:rsidP="00A929E1">
            <w:pPr>
              <w:pStyle w:val="TableTextLeft"/>
            </w:pPr>
            <w:r w:rsidRPr="00C41058">
              <w:rPr>
                <w:b/>
              </w:rPr>
              <w:t xml:space="preserve">Program </w:t>
            </w:r>
            <w:r w:rsidRPr="00083703">
              <w:rPr>
                <w:rFonts w:cs="Arial"/>
                <w:b/>
                <w:sz w:val="16"/>
                <w:szCs w:val="16"/>
              </w:rPr>
              <w:t>1.1</w:t>
            </w:r>
            <w:r w:rsidRPr="00083703">
              <w:rPr>
                <w:rFonts w:cs="Arial"/>
                <w:sz w:val="16"/>
                <w:szCs w:val="16"/>
              </w:rPr>
              <w:t xml:space="preserve"> – The objective of this program is to acquire and manage Indigenous land and water-related interests.</w:t>
            </w:r>
          </w:p>
        </w:tc>
      </w:tr>
      <w:tr w:rsidR="00CB359A" w:rsidRPr="001B2F81" w14:paraId="2194382C" w14:textId="77777777" w:rsidTr="00A929E1">
        <w:trPr>
          <w:trHeight w:val="694"/>
        </w:trPr>
        <w:tc>
          <w:tcPr>
            <w:tcW w:w="1560" w:type="dxa"/>
            <w:tcBorders>
              <w:bottom w:val="double" w:sz="4" w:space="0" w:color="auto"/>
            </w:tcBorders>
          </w:tcPr>
          <w:p w14:paraId="103F3495" w14:textId="77777777" w:rsidR="00CB359A" w:rsidRPr="00BC4CD8" w:rsidRDefault="00D81438" w:rsidP="00A929E1">
            <w:pPr>
              <w:tabs>
                <w:tab w:val="left" w:pos="709"/>
              </w:tabs>
              <w:spacing w:before="60"/>
              <w:rPr>
                <w:rFonts w:ascii="Arial" w:hAnsi="Arial" w:cs="Arial"/>
                <w:b/>
                <w:sz w:val="16"/>
                <w:szCs w:val="16"/>
              </w:rPr>
            </w:pPr>
            <w:r w:rsidRPr="00BC4CD8">
              <w:rPr>
                <w:rFonts w:ascii="Arial" w:hAnsi="Arial" w:cs="Arial"/>
                <w:b/>
                <w:sz w:val="16"/>
                <w:szCs w:val="16"/>
              </w:rPr>
              <w:t>Key Activities</w:t>
            </w:r>
          </w:p>
        </w:tc>
        <w:tc>
          <w:tcPr>
            <w:tcW w:w="6236" w:type="dxa"/>
            <w:gridSpan w:val="2"/>
            <w:tcBorders>
              <w:bottom w:val="double" w:sz="4" w:space="0" w:color="auto"/>
            </w:tcBorders>
          </w:tcPr>
          <w:p w14:paraId="63D0EF80" w14:textId="77777777" w:rsidR="00CB359A" w:rsidRPr="00BC4CD8" w:rsidRDefault="00CB359A" w:rsidP="008A2254">
            <w:pPr>
              <w:pStyle w:val="ListParagraph"/>
              <w:numPr>
                <w:ilvl w:val="0"/>
                <w:numId w:val="62"/>
              </w:numPr>
              <w:tabs>
                <w:tab w:val="left" w:pos="709"/>
              </w:tabs>
              <w:spacing w:before="120" w:after="120" w:line="240" w:lineRule="auto"/>
              <w:rPr>
                <w:rFonts w:ascii="Arial" w:hAnsi="Arial" w:cs="Arial"/>
                <w:sz w:val="16"/>
                <w:szCs w:val="16"/>
              </w:rPr>
            </w:pPr>
            <w:r w:rsidRPr="00BC4CD8">
              <w:rPr>
                <w:rFonts w:ascii="Arial" w:hAnsi="Arial" w:cs="Arial"/>
                <w:sz w:val="16"/>
                <w:szCs w:val="16"/>
              </w:rPr>
              <w:t>acquiring and granting interests in land and water to Indigenous corporations to provide access to and protection of cultural and environmental values and to achieve socioeconomic development.</w:t>
            </w:r>
          </w:p>
          <w:p w14:paraId="6180E441" w14:textId="77777777" w:rsidR="00CB359A" w:rsidRPr="00BC4CD8" w:rsidRDefault="00CB359A" w:rsidP="008A2254">
            <w:pPr>
              <w:pStyle w:val="ListParagraph"/>
              <w:numPr>
                <w:ilvl w:val="0"/>
                <w:numId w:val="61"/>
              </w:numPr>
              <w:tabs>
                <w:tab w:val="left" w:pos="709"/>
              </w:tabs>
              <w:spacing w:before="120" w:after="120" w:line="240" w:lineRule="auto"/>
              <w:rPr>
                <w:rFonts w:ascii="Arial" w:hAnsi="Arial" w:cs="Arial"/>
                <w:sz w:val="16"/>
                <w:szCs w:val="16"/>
              </w:rPr>
            </w:pPr>
            <w:r w:rsidRPr="00BC4CD8">
              <w:rPr>
                <w:rFonts w:ascii="Arial" w:hAnsi="Arial" w:cs="Arial"/>
                <w:sz w:val="16"/>
                <w:szCs w:val="16"/>
              </w:rPr>
              <w:t>assisting Indigenous groups manage their land and water-based interests (through grants, guarantees, loans or provision of services) to manage their interests sustainably including the development of viable enterprises.</w:t>
            </w:r>
          </w:p>
          <w:p w14:paraId="28C17AE4" w14:textId="77777777" w:rsidR="00CB359A" w:rsidRPr="00BC4CD8" w:rsidRDefault="00CB359A" w:rsidP="008A2254">
            <w:pPr>
              <w:pStyle w:val="ListParagraph"/>
              <w:numPr>
                <w:ilvl w:val="0"/>
                <w:numId w:val="61"/>
              </w:numPr>
              <w:tabs>
                <w:tab w:val="left" w:pos="709"/>
              </w:tabs>
              <w:spacing w:before="120" w:after="120" w:line="240" w:lineRule="auto"/>
              <w:rPr>
                <w:rFonts w:ascii="Arial" w:hAnsi="Arial" w:cs="Arial"/>
                <w:i/>
                <w:sz w:val="16"/>
                <w:szCs w:val="16"/>
              </w:rPr>
            </w:pPr>
            <w:r w:rsidRPr="00BC4CD8">
              <w:rPr>
                <w:rFonts w:ascii="Arial" w:hAnsi="Arial" w:cs="Arial"/>
                <w:sz w:val="16"/>
                <w:szCs w:val="16"/>
              </w:rPr>
              <w:t>operating subsidiary companies that manage agricultural, tourism and community-based enterprises on lands and waters over which Indigenous Australians hold a legal interest; these enterprises provide training, employment and other opportunities for Indigenous communities and individuals.</w:t>
            </w:r>
          </w:p>
        </w:tc>
      </w:tr>
      <w:tr w:rsidR="00CB359A" w:rsidRPr="001B2F81" w14:paraId="1BFB6665" w14:textId="77777777" w:rsidTr="00D81438">
        <w:trPr>
          <w:trHeight w:val="258"/>
        </w:trPr>
        <w:tc>
          <w:tcPr>
            <w:tcW w:w="1560" w:type="dxa"/>
            <w:tcBorders>
              <w:top w:val="double" w:sz="4" w:space="0" w:color="auto"/>
              <w:bottom w:val="single" w:sz="4" w:space="0" w:color="auto"/>
              <w:right w:val="single" w:sz="4" w:space="0" w:color="auto"/>
            </w:tcBorders>
          </w:tcPr>
          <w:p w14:paraId="4E3BC46E" w14:textId="77777777" w:rsidR="00CB359A" w:rsidRPr="00BC4CD8" w:rsidRDefault="00CB359A" w:rsidP="00A929E1">
            <w:pPr>
              <w:pStyle w:val="TableTextBase"/>
              <w:rPr>
                <w:b/>
                <w:sz w:val="16"/>
                <w:szCs w:val="16"/>
              </w:rPr>
            </w:pPr>
            <w:r w:rsidRPr="00BC4CD8">
              <w:rPr>
                <w:b/>
                <w:sz w:val="16"/>
                <w:szCs w:val="16"/>
              </w:rPr>
              <w:t>Year</w:t>
            </w:r>
          </w:p>
          <w:p w14:paraId="65EB7EA2" w14:textId="77777777" w:rsidR="00CB359A" w:rsidRPr="00BC4CD8" w:rsidRDefault="00CB359A" w:rsidP="00A929E1">
            <w:pPr>
              <w:pStyle w:val="TableTextBase"/>
              <w:rPr>
                <w:b/>
                <w:sz w:val="16"/>
                <w:szCs w:val="16"/>
              </w:rPr>
            </w:pPr>
          </w:p>
        </w:tc>
        <w:tc>
          <w:tcPr>
            <w:tcW w:w="3118" w:type="dxa"/>
            <w:tcBorders>
              <w:top w:val="double" w:sz="4" w:space="0" w:color="auto"/>
              <w:left w:val="single" w:sz="4" w:space="0" w:color="auto"/>
              <w:bottom w:val="single" w:sz="4" w:space="0" w:color="auto"/>
              <w:right w:val="single" w:sz="4" w:space="0" w:color="auto"/>
            </w:tcBorders>
          </w:tcPr>
          <w:p w14:paraId="1666026B" w14:textId="77777777" w:rsidR="00CB359A" w:rsidRPr="00BC4CD8" w:rsidRDefault="00CB359A" w:rsidP="00A929E1">
            <w:pPr>
              <w:pStyle w:val="TableTextBase"/>
              <w:rPr>
                <w:rFonts w:cs="Arial"/>
                <w:b/>
                <w:sz w:val="16"/>
                <w:szCs w:val="16"/>
              </w:rPr>
            </w:pPr>
            <w:r w:rsidRPr="00BC4CD8">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6277761F" w14:textId="77777777" w:rsidR="00CB359A" w:rsidRPr="00BC4CD8" w:rsidRDefault="00CB359A" w:rsidP="00A929E1">
            <w:pPr>
              <w:pStyle w:val="TableTextBase"/>
              <w:rPr>
                <w:rFonts w:cs="Arial"/>
                <w:b/>
                <w:sz w:val="16"/>
                <w:szCs w:val="16"/>
              </w:rPr>
            </w:pPr>
            <w:r w:rsidRPr="00BC4CD8">
              <w:rPr>
                <w:rFonts w:cs="Arial"/>
                <w:b/>
                <w:sz w:val="16"/>
                <w:szCs w:val="16"/>
              </w:rPr>
              <w:t>Expected Performance Results</w:t>
            </w:r>
          </w:p>
        </w:tc>
      </w:tr>
      <w:tr w:rsidR="00CB359A" w:rsidRPr="001B2F81" w14:paraId="5F7CFF47" w14:textId="77777777" w:rsidTr="00D81438">
        <w:trPr>
          <w:trHeight w:val="642"/>
        </w:trPr>
        <w:tc>
          <w:tcPr>
            <w:tcW w:w="1560" w:type="dxa"/>
            <w:vMerge w:val="restart"/>
            <w:tcBorders>
              <w:top w:val="single" w:sz="4" w:space="0" w:color="auto"/>
              <w:left w:val="single" w:sz="4" w:space="0" w:color="auto"/>
              <w:bottom w:val="single" w:sz="4" w:space="0" w:color="auto"/>
              <w:right w:val="single" w:sz="4" w:space="0" w:color="auto"/>
            </w:tcBorders>
          </w:tcPr>
          <w:p w14:paraId="1693F015" w14:textId="77777777" w:rsidR="00CB359A" w:rsidRPr="00BC4CD8" w:rsidRDefault="00CB359A" w:rsidP="00A929E1">
            <w:pPr>
              <w:pStyle w:val="TableTextBase"/>
              <w:rPr>
                <w:sz w:val="16"/>
                <w:szCs w:val="16"/>
              </w:rPr>
            </w:pPr>
            <w:r w:rsidRPr="00BC4CD8">
              <w:rPr>
                <w:sz w:val="16"/>
                <w:szCs w:val="16"/>
              </w:rPr>
              <w:t xml:space="preserve">Current year </w:t>
            </w:r>
          </w:p>
          <w:p w14:paraId="446E22BB" w14:textId="77777777" w:rsidR="00CB359A" w:rsidRPr="00BC4CD8" w:rsidRDefault="00CB359A" w:rsidP="00A929E1">
            <w:pPr>
              <w:pStyle w:val="TableTextBase"/>
              <w:rPr>
                <w:sz w:val="16"/>
                <w:szCs w:val="16"/>
              </w:rPr>
            </w:pPr>
            <w:r w:rsidRPr="00BC4CD8">
              <w:rPr>
                <w:sz w:val="16"/>
                <w:szCs w:val="16"/>
              </w:rPr>
              <w:t>2021-22</w:t>
            </w:r>
          </w:p>
          <w:p w14:paraId="50373640" w14:textId="77777777" w:rsidR="00CB359A" w:rsidRPr="00BC4CD8" w:rsidRDefault="00CB359A" w:rsidP="00A929E1">
            <w:pPr>
              <w:pStyle w:val="TableTextBase"/>
              <w:rPr>
                <w:sz w:val="16"/>
                <w:szCs w:val="16"/>
              </w:rPr>
            </w:pPr>
          </w:p>
          <w:p w14:paraId="712918AD" w14:textId="77777777" w:rsidR="00CB359A" w:rsidRPr="00BC4CD8" w:rsidRDefault="00CB359A" w:rsidP="00A929E1">
            <w:pPr>
              <w:rPr>
                <w:sz w:val="16"/>
                <w:szCs w:val="16"/>
              </w:rPr>
            </w:pPr>
          </w:p>
          <w:p w14:paraId="50A4A679" w14:textId="77777777" w:rsidR="00CB359A" w:rsidRPr="00BC4CD8" w:rsidRDefault="00CB359A" w:rsidP="00A929E1">
            <w:pPr>
              <w:rPr>
                <w:sz w:val="16"/>
                <w:szCs w:val="16"/>
              </w:rPr>
            </w:pPr>
          </w:p>
          <w:p w14:paraId="57935316" w14:textId="77777777" w:rsidR="00CB359A" w:rsidRPr="00BC4CD8" w:rsidRDefault="00CB359A" w:rsidP="00A929E1">
            <w:pPr>
              <w:rPr>
                <w:sz w:val="16"/>
                <w:szCs w:val="16"/>
              </w:rPr>
            </w:pPr>
          </w:p>
          <w:p w14:paraId="49E758BF" w14:textId="77777777" w:rsidR="00CB359A" w:rsidRPr="00BC4CD8" w:rsidRDefault="00CB359A" w:rsidP="00A929E1">
            <w:pPr>
              <w:rPr>
                <w:sz w:val="16"/>
                <w:szCs w:val="16"/>
              </w:rPr>
            </w:pPr>
          </w:p>
          <w:p w14:paraId="4B44647D" w14:textId="77777777" w:rsidR="00CB359A" w:rsidRPr="00BC4CD8" w:rsidRDefault="00CB359A" w:rsidP="00A929E1">
            <w:pPr>
              <w:rPr>
                <w:sz w:val="16"/>
                <w:szCs w:val="16"/>
              </w:rPr>
            </w:pPr>
          </w:p>
          <w:p w14:paraId="19CFE5BB" w14:textId="77777777" w:rsidR="00CB359A" w:rsidRPr="00BC4CD8" w:rsidRDefault="00CB359A" w:rsidP="00A929E1">
            <w:pPr>
              <w:rPr>
                <w:sz w:val="16"/>
                <w:szCs w:val="16"/>
              </w:rPr>
            </w:pPr>
          </w:p>
          <w:p w14:paraId="57ACF400" w14:textId="77777777" w:rsidR="00CB359A" w:rsidRPr="00BC4CD8" w:rsidRDefault="00CB359A" w:rsidP="00A929E1">
            <w:pPr>
              <w:rPr>
                <w:sz w:val="16"/>
                <w:szCs w:val="16"/>
              </w:rPr>
            </w:pPr>
          </w:p>
          <w:p w14:paraId="21197F44" w14:textId="77777777" w:rsidR="00CB359A" w:rsidRPr="00BC4CD8" w:rsidRDefault="00CB359A" w:rsidP="00A929E1">
            <w:pPr>
              <w:rPr>
                <w:sz w:val="16"/>
                <w:szCs w:val="16"/>
              </w:rPr>
            </w:pPr>
          </w:p>
          <w:p w14:paraId="6A341051" w14:textId="77777777" w:rsidR="00CB359A" w:rsidRPr="00BC4CD8" w:rsidRDefault="00CB359A" w:rsidP="00A929E1">
            <w:pPr>
              <w:rPr>
                <w:sz w:val="16"/>
                <w:szCs w:val="16"/>
              </w:rPr>
            </w:pPr>
          </w:p>
          <w:p w14:paraId="6A62F19A" w14:textId="77777777" w:rsidR="00CB359A" w:rsidRPr="00BC4CD8" w:rsidRDefault="00CB359A" w:rsidP="00A929E1">
            <w:pPr>
              <w:rPr>
                <w:sz w:val="16"/>
                <w:szCs w:val="16"/>
              </w:rPr>
            </w:pPr>
          </w:p>
          <w:p w14:paraId="70DB9CA6" w14:textId="77777777" w:rsidR="00CB359A" w:rsidRPr="00BC4CD8" w:rsidRDefault="00CB359A" w:rsidP="00A929E1">
            <w:pPr>
              <w:jc w:val="center"/>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3415883D"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 xml:space="preserve">Deliverable 1 </w:t>
            </w:r>
          </w:p>
          <w:p w14:paraId="3918506C"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Interests in land and water/waters acquired</w:t>
            </w:r>
          </w:p>
          <w:p w14:paraId="74D204EA" w14:textId="77777777" w:rsidR="00CB359A" w:rsidRPr="00BC4CD8" w:rsidRDefault="00CB359A" w:rsidP="00A929E1">
            <w:pPr>
              <w:pStyle w:val="TableTextBase"/>
              <w:rPr>
                <w:i/>
                <w:color w:val="0070C0"/>
                <w:sz w:val="16"/>
                <w:szCs w:val="16"/>
              </w:rPr>
            </w:pPr>
          </w:p>
        </w:tc>
        <w:tc>
          <w:tcPr>
            <w:tcW w:w="3118" w:type="dxa"/>
            <w:tcBorders>
              <w:top w:val="single" w:sz="4" w:space="0" w:color="auto"/>
              <w:left w:val="single" w:sz="4" w:space="0" w:color="auto"/>
              <w:bottom w:val="dotted" w:sz="4" w:space="0" w:color="auto"/>
            </w:tcBorders>
          </w:tcPr>
          <w:p w14:paraId="3813825D" w14:textId="77777777" w:rsidR="00CB359A" w:rsidRPr="00BC4CD8" w:rsidRDefault="00CB359A" w:rsidP="00A929E1">
            <w:pPr>
              <w:pStyle w:val="TableTextBase"/>
              <w:rPr>
                <w:i/>
                <w:sz w:val="16"/>
                <w:szCs w:val="16"/>
              </w:rPr>
            </w:pPr>
            <w:r w:rsidRPr="00BC4CD8">
              <w:rPr>
                <w:i/>
                <w:sz w:val="16"/>
                <w:szCs w:val="16"/>
              </w:rPr>
              <w:t>Achieved</w:t>
            </w:r>
          </w:p>
        </w:tc>
      </w:tr>
      <w:tr w:rsidR="00CB359A" w:rsidRPr="001B2F81" w14:paraId="6DF3ADB1" w14:textId="77777777" w:rsidTr="00D81438">
        <w:trPr>
          <w:trHeight w:val="642"/>
        </w:trPr>
        <w:tc>
          <w:tcPr>
            <w:tcW w:w="1560" w:type="dxa"/>
            <w:vMerge/>
            <w:tcBorders>
              <w:top w:val="single" w:sz="4" w:space="0" w:color="auto"/>
              <w:left w:val="single" w:sz="4" w:space="0" w:color="auto"/>
              <w:bottom w:val="single" w:sz="4" w:space="0" w:color="auto"/>
              <w:right w:val="single" w:sz="4" w:space="0" w:color="auto"/>
            </w:tcBorders>
          </w:tcPr>
          <w:p w14:paraId="595A2A4C" w14:textId="77777777" w:rsidR="00CB359A" w:rsidRPr="00BC4CD8" w:rsidRDefault="00CB359A" w:rsidP="00A929E1">
            <w:pPr>
              <w:pStyle w:val="TableTextBase"/>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731587D6"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Deliverable 2</w:t>
            </w:r>
          </w:p>
          <w:p w14:paraId="1C0921F8"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Interests granted</w:t>
            </w:r>
          </w:p>
          <w:p w14:paraId="2568D913" w14:textId="77777777" w:rsidR="00CB359A" w:rsidRPr="00BC4CD8" w:rsidRDefault="00CB359A" w:rsidP="00A929E1">
            <w:pPr>
              <w:pStyle w:val="TableTextBase"/>
              <w:rPr>
                <w:i/>
                <w:color w:val="0070C0"/>
                <w:sz w:val="16"/>
                <w:szCs w:val="16"/>
              </w:rPr>
            </w:pPr>
          </w:p>
        </w:tc>
        <w:tc>
          <w:tcPr>
            <w:tcW w:w="3118" w:type="dxa"/>
            <w:tcBorders>
              <w:top w:val="single" w:sz="4" w:space="0" w:color="auto"/>
              <w:left w:val="single" w:sz="4" w:space="0" w:color="auto"/>
              <w:bottom w:val="dotted" w:sz="4" w:space="0" w:color="auto"/>
            </w:tcBorders>
          </w:tcPr>
          <w:p w14:paraId="425C674C" w14:textId="77777777" w:rsidR="00CB359A" w:rsidRPr="00BC4CD8" w:rsidRDefault="00CB359A" w:rsidP="00A929E1">
            <w:pPr>
              <w:pStyle w:val="TableTextBase"/>
              <w:rPr>
                <w:i/>
                <w:sz w:val="16"/>
                <w:szCs w:val="16"/>
              </w:rPr>
            </w:pPr>
            <w:r w:rsidRPr="00BC4CD8">
              <w:rPr>
                <w:i/>
                <w:sz w:val="16"/>
                <w:szCs w:val="16"/>
              </w:rPr>
              <w:t>Achieved</w:t>
            </w:r>
          </w:p>
        </w:tc>
      </w:tr>
      <w:tr w:rsidR="00CB359A" w:rsidRPr="001B2F81" w14:paraId="30EA5629" w14:textId="77777777" w:rsidTr="00D81438">
        <w:trPr>
          <w:trHeight w:val="642"/>
        </w:trPr>
        <w:tc>
          <w:tcPr>
            <w:tcW w:w="1560" w:type="dxa"/>
            <w:vMerge/>
            <w:tcBorders>
              <w:top w:val="single" w:sz="4" w:space="0" w:color="auto"/>
              <w:left w:val="single" w:sz="4" w:space="0" w:color="auto"/>
              <w:bottom w:val="single" w:sz="4" w:space="0" w:color="auto"/>
              <w:right w:val="single" w:sz="4" w:space="0" w:color="auto"/>
            </w:tcBorders>
          </w:tcPr>
          <w:p w14:paraId="385B4C66" w14:textId="77777777" w:rsidR="00CB359A" w:rsidRPr="00BC4CD8" w:rsidRDefault="00CB359A" w:rsidP="00A929E1">
            <w:pPr>
              <w:pStyle w:val="TableTextBase"/>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218EAA84"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Deliverable 3</w:t>
            </w:r>
          </w:p>
          <w:p w14:paraId="79304C09"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 xml:space="preserve">Number of active acquisition and management projects </w:t>
            </w:r>
          </w:p>
          <w:p w14:paraId="4CE1FD6A" w14:textId="77777777" w:rsidR="00CB359A" w:rsidRPr="00BC4CD8" w:rsidRDefault="00CB359A" w:rsidP="00A929E1">
            <w:pPr>
              <w:pStyle w:val="TableTextBase"/>
              <w:rPr>
                <w:i/>
                <w:color w:val="0070C0"/>
                <w:sz w:val="16"/>
                <w:szCs w:val="16"/>
              </w:rPr>
            </w:pPr>
          </w:p>
        </w:tc>
        <w:tc>
          <w:tcPr>
            <w:tcW w:w="3118" w:type="dxa"/>
            <w:tcBorders>
              <w:top w:val="single" w:sz="4" w:space="0" w:color="auto"/>
              <w:left w:val="single" w:sz="4" w:space="0" w:color="auto"/>
              <w:bottom w:val="dotted" w:sz="4" w:space="0" w:color="auto"/>
            </w:tcBorders>
          </w:tcPr>
          <w:p w14:paraId="14C3A700" w14:textId="77777777" w:rsidR="00CB359A" w:rsidRPr="00BC4CD8" w:rsidRDefault="00CB359A" w:rsidP="00A929E1">
            <w:pPr>
              <w:pStyle w:val="TableTextBase"/>
              <w:rPr>
                <w:i/>
                <w:sz w:val="16"/>
                <w:szCs w:val="16"/>
              </w:rPr>
            </w:pPr>
            <w:r w:rsidRPr="00BC4CD8">
              <w:rPr>
                <w:i/>
                <w:sz w:val="16"/>
                <w:szCs w:val="16"/>
              </w:rPr>
              <w:t>Exceeded</w:t>
            </w:r>
          </w:p>
        </w:tc>
      </w:tr>
      <w:tr w:rsidR="00CB359A" w:rsidRPr="001B2F81" w14:paraId="44638DC1" w14:textId="77777777" w:rsidTr="00D81438">
        <w:trPr>
          <w:trHeight w:val="642"/>
        </w:trPr>
        <w:tc>
          <w:tcPr>
            <w:tcW w:w="1560" w:type="dxa"/>
            <w:vMerge/>
            <w:tcBorders>
              <w:top w:val="single" w:sz="4" w:space="0" w:color="auto"/>
              <w:left w:val="single" w:sz="4" w:space="0" w:color="auto"/>
              <w:bottom w:val="single" w:sz="4" w:space="0" w:color="auto"/>
              <w:right w:val="single" w:sz="4" w:space="0" w:color="auto"/>
            </w:tcBorders>
          </w:tcPr>
          <w:p w14:paraId="28F82E59" w14:textId="77777777" w:rsidR="00CB359A" w:rsidRPr="00BC4CD8" w:rsidRDefault="00CB359A" w:rsidP="00A929E1">
            <w:pPr>
              <w:pStyle w:val="TableTextBase"/>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416E2CC"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KPI 1 - Indigenous employment</w:t>
            </w:r>
          </w:p>
          <w:p w14:paraId="0D079D7B" w14:textId="77777777" w:rsidR="00CB359A" w:rsidRPr="00BC4CD8" w:rsidRDefault="00CB359A" w:rsidP="008A2254">
            <w:pPr>
              <w:numPr>
                <w:ilvl w:val="0"/>
                <w:numId w:val="63"/>
              </w:numPr>
              <w:spacing w:after="0" w:line="240" w:lineRule="auto"/>
              <w:contextualSpacing/>
              <w:jc w:val="left"/>
              <w:rPr>
                <w:rFonts w:ascii="Arial" w:eastAsia="Calibri" w:hAnsi="Arial" w:cs="Arial"/>
                <w:sz w:val="16"/>
                <w:szCs w:val="16"/>
                <w:lang w:val="en-US" w:eastAsia="en-US"/>
              </w:rPr>
            </w:pPr>
            <w:r w:rsidRPr="00BC4CD8">
              <w:rPr>
                <w:rFonts w:ascii="Arial" w:eastAsia="Calibri" w:hAnsi="Arial" w:cs="Arial"/>
                <w:sz w:val="16"/>
                <w:szCs w:val="16"/>
                <w:lang w:val="en-US" w:eastAsia="en-US"/>
              </w:rPr>
              <w:t>Number of Indigenous staff directly employed across the ILSC Group</w:t>
            </w:r>
          </w:p>
          <w:p w14:paraId="78312456" w14:textId="77777777" w:rsidR="00CB359A" w:rsidRPr="00BC4CD8" w:rsidRDefault="00CB359A" w:rsidP="008A2254">
            <w:pPr>
              <w:numPr>
                <w:ilvl w:val="0"/>
                <w:numId w:val="63"/>
              </w:numPr>
              <w:spacing w:after="0" w:line="240" w:lineRule="auto"/>
              <w:contextualSpacing/>
              <w:jc w:val="left"/>
              <w:rPr>
                <w:rFonts w:ascii="Arial" w:eastAsia="Calibri" w:hAnsi="Arial" w:cs="Arial"/>
                <w:sz w:val="16"/>
                <w:szCs w:val="16"/>
                <w:lang w:val="en-US" w:eastAsia="en-US"/>
              </w:rPr>
            </w:pPr>
            <w:r w:rsidRPr="00BC4CD8">
              <w:rPr>
                <w:rFonts w:ascii="Arial" w:eastAsia="Calibri" w:hAnsi="Arial" w:cs="Arial"/>
                <w:sz w:val="16"/>
                <w:szCs w:val="16"/>
                <w:lang w:val="en-US" w:eastAsia="en-US"/>
              </w:rPr>
              <w:t>Number of Indigenous employment outcomes enabled by ILSC funded projects active in financial year</w:t>
            </w:r>
          </w:p>
          <w:p w14:paraId="104C0157" w14:textId="77777777" w:rsidR="00CB359A" w:rsidRPr="00BC4CD8" w:rsidRDefault="00CB359A" w:rsidP="00A929E1">
            <w:pPr>
              <w:pStyle w:val="TableTextBase"/>
              <w:rPr>
                <w:i/>
                <w:color w:val="0070C0"/>
                <w:sz w:val="16"/>
                <w:szCs w:val="16"/>
              </w:rPr>
            </w:pPr>
          </w:p>
        </w:tc>
        <w:tc>
          <w:tcPr>
            <w:tcW w:w="3118" w:type="dxa"/>
            <w:tcBorders>
              <w:top w:val="single" w:sz="4" w:space="0" w:color="auto"/>
              <w:left w:val="single" w:sz="4" w:space="0" w:color="auto"/>
              <w:bottom w:val="dotted" w:sz="4" w:space="0" w:color="auto"/>
            </w:tcBorders>
          </w:tcPr>
          <w:p w14:paraId="4EDC1117" w14:textId="77777777" w:rsidR="00CB359A" w:rsidRPr="00BC4CD8" w:rsidRDefault="00CB359A" w:rsidP="00A929E1">
            <w:pPr>
              <w:pStyle w:val="TableTextBase"/>
              <w:rPr>
                <w:i/>
                <w:sz w:val="16"/>
                <w:szCs w:val="16"/>
              </w:rPr>
            </w:pPr>
            <w:r w:rsidRPr="00BC4CD8">
              <w:rPr>
                <w:i/>
                <w:sz w:val="16"/>
                <w:szCs w:val="16"/>
              </w:rPr>
              <w:br/>
              <w:t>Exceeded</w:t>
            </w:r>
          </w:p>
          <w:p w14:paraId="6B8878D1" w14:textId="77777777" w:rsidR="00CB359A" w:rsidRPr="00BC4CD8" w:rsidRDefault="00CB359A" w:rsidP="00A929E1">
            <w:pPr>
              <w:pStyle w:val="TableTextBase"/>
              <w:rPr>
                <w:i/>
                <w:sz w:val="16"/>
                <w:szCs w:val="16"/>
              </w:rPr>
            </w:pPr>
          </w:p>
          <w:p w14:paraId="6D8FE57B" w14:textId="77777777" w:rsidR="00CB359A" w:rsidRPr="00BC4CD8" w:rsidRDefault="00127656" w:rsidP="00A929E1">
            <w:pPr>
              <w:pStyle w:val="TableTextBase"/>
              <w:rPr>
                <w:i/>
                <w:sz w:val="16"/>
                <w:szCs w:val="16"/>
              </w:rPr>
            </w:pPr>
            <w:r w:rsidRPr="00BC4CD8">
              <w:rPr>
                <w:i/>
                <w:sz w:val="16"/>
                <w:szCs w:val="16"/>
              </w:rPr>
              <w:t>Exceeded</w:t>
            </w:r>
          </w:p>
        </w:tc>
      </w:tr>
      <w:tr w:rsidR="00CB359A" w:rsidRPr="001B2F81" w14:paraId="3C9A27DD" w14:textId="77777777" w:rsidTr="00D81438">
        <w:trPr>
          <w:trHeight w:val="642"/>
        </w:trPr>
        <w:tc>
          <w:tcPr>
            <w:tcW w:w="1560" w:type="dxa"/>
            <w:vMerge/>
            <w:tcBorders>
              <w:top w:val="single" w:sz="4" w:space="0" w:color="auto"/>
              <w:left w:val="single" w:sz="4" w:space="0" w:color="auto"/>
              <w:bottom w:val="single" w:sz="4" w:space="0" w:color="auto"/>
              <w:right w:val="single" w:sz="4" w:space="0" w:color="auto"/>
            </w:tcBorders>
          </w:tcPr>
          <w:p w14:paraId="3A41F882" w14:textId="77777777" w:rsidR="00CB359A" w:rsidRPr="00BC4CD8" w:rsidRDefault="00CB359A" w:rsidP="00A929E1">
            <w:pPr>
              <w:pStyle w:val="TableTextBase"/>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0FE77370"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KPI 2 - Indigenous training</w:t>
            </w:r>
          </w:p>
          <w:p w14:paraId="3D444BDB" w14:textId="77777777" w:rsidR="00CB359A" w:rsidRPr="00BC4CD8" w:rsidRDefault="00CB359A" w:rsidP="008A2254">
            <w:pPr>
              <w:numPr>
                <w:ilvl w:val="0"/>
                <w:numId w:val="63"/>
              </w:numPr>
              <w:spacing w:after="0" w:line="240" w:lineRule="auto"/>
              <w:contextualSpacing/>
              <w:jc w:val="left"/>
              <w:rPr>
                <w:rFonts w:ascii="Arial" w:eastAsia="Calibri" w:hAnsi="Arial" w:cs="Arial"/>
                <w:sz w:val="16"/>
                <w:szCs w:val="16"/>
                <w:lang w:val="en-US" w:eastAsia="en-US"/>
              </w:rPr>
            </w:pPr>
            <w:r w:rsidRPr="00BC4CD8">
              <w:rPr>
                <w:rFonts w:ascii="Arial" w:eastAsia="Calibri" w:hAnsi="Arial" w:cs="Arial"/>
                <w:sz w:val="16"/>
                <w:szCs w:val="16"/>
                <w:lang w:val="en-US" w:eastAsia="en-US"/>
              </w:rPr>
              <w:t xml:space="preserve">Number of Indigenous trainees hosted/employed across the ILSC Group </w:t>
            </w:r>
          </w:p>
          <w:p w14:paraId="001EE4EF" w14:textId="77777777" w:rsidR="00CB359A" w:rsidRPr="00BC4CD8" w:rsidRDefault="00CB359A" w:rsidP="008A2254">
            <w:pPr>
              <w:numPr>
                <w:ilvl w:val="0"/>
                <w:numId w:val="63"/>
              </w:numPr>
              <w:spacing w:after="0" w:line="240" w:lineRule="auto"/>
              <w:contextualSpacing/>
              <w:jc w:val="left"/>
              <w:rPr>
                <w:rFonts w:ascii="Arial" w:eastAsia="Calibri" w:hAnsi="Arial" w:cs="Arial"/>
                <w:sz w:val="16"/>
                <w:szCs w:val="16"/>
                <w:lang w:val="en-US" w:eastAsia="en-US"/>
              </w:rPr>
            </w:pPr>
            <w:r w:rsidRPr="00BC4CD8">
              <w:rPr>
                <w:rFonts w:ascii="Arial" w:eastAsia="Calibri" w:hAnsi="Arial" w:cs="Arial"/>
                <w:sz w:val="16"/>
                <w:szCs w:val="16"/>
                <w:lang w:val="en-US" w:eastAsia="en-US"/>
              </w:rPr>
              <w:t>Number of Indigenous training completions enabled by ILSC funded projects active in financial year</w:t>
            </w:r>
          </w:p>
          <w:p w14:paraId="3C41462B" w14:textId="77777777" w:rsidR="00CB359A" w:rsidRPr="00BC4CD8" w:rsidRDefault="00CB359A" w:rsidP="00A929E1">
            <w:pPr>
              <w:pStyle w:val="TableTextBase"/>
              <w:rPr>
                <w:i/>
                <w:color w:val="0070C0"/>
                <w:sz w:val="16"/>
                <w:szCs w:val="16"/>
              </w:rPr>
            </w:pPr>
          </w:p>
        </w:tc>
        <w:tc>
          <w:tcPr>
            <w:tcW w:w="3118" w:type="dxa"/>
            <w:tcBorders>
              <w:top w:val="single" w:sz="4" w:space="0" w:color="auto"/>
              <w:left w:val="single" w:sz="4" w:space="0" w:color="auto"/>
              <w:bottom w:val="single" w:sz="4" w:space="0" w:color="auto"/>
            </w:tcBorders>
          </w:tcPr>
          <w:p w14:paraId="2F2DB2F2" w14:textId="77777777" w:rsidR="00CB359A" w:rsidRPr="00BC4CD8" w:rsidRDefault="00CB359A" w:rsidP="00A929E1">
            <w:pPr>
              <w:pStyle w:val="TableTextBase"/>
              <w:rPr>
                <w:i/>
                <w:sz w:val="16"/>
                <w:szCs w:val="16"/>
              </w:rPr>
            </w:pPr>
            <w:r w:rsidRPr="00BC4CD8">
              <w:rPr>
                <w:i/>
                <w:sz w:val="16"/>
                <w:szCs w:val="16"/>
              </w:rPr>
              <w:t>Achieved</w:t>
            </w:r>
          </w:p>
          <w:p w14:paraId="0736AF2E" w14:textId="77777777" w:rsidR="00CB359A" w:rsidRPr="00BC4CD8" w:rsidRDefault="00CB359A" w:rsidP="00A929E1">
            <w:pPr>
              <w:pStyle w:val="TableTextBase"/>
              <w:rPr>
                <w:i/>
                <w:sz w:val="16"/>
                <w:szCs w:val="16"/>
              </w:rPr>
            </w:pPr>
          </w:p>
          <w:p w14:paraId="57EB3334" w14:textId="77777777" w:rsidR="00CB359A" w:rsidRPr="00BC4CD8" w:rsidRDefault="00CB359A" w:rsidP="00A929E1">
            <w:pPr>
              <w:pStyle w:val="TableTextBase"/>
              <w:rPr>
                <w:i/>
                <w:sz w:val="16"/>
                <w:szCs w:val="16"/>
              </w:rPr>
            </w:pPr>
          </w:p>
          <w:p w14:paraId="75183445" w14:textId="77777777" w:rsidR="00CB359A" w:rsidRPr="00BC4CD8" w:rsidRDefault="00CB359A" w:rsidP="00A929E1">
            <w:pPr>
              <w:pStyle w:val="TableTextBase"/>
              <w:rPr>
                <w:i/>
                <w:sz w:val="16"/>
                <w:szCs w:val="16"/>
              </w:rPr>
            </w:pPr>
            <w:r w:rsidRPr="00BC4CD8">
              <w:rPr>
                <w:i/>
                <w:sz w:val="16"/>
                <w:szCs w:val="16"/>
              </w:rPr>
              <w:t>Achieved</w:t>
            </w:r>
          </w:p>
        </w:tc>
      </w:tr>
      <w:tr w:rsidR="00CB359A" w:rsidRPr="001B2F81" w14:paraId="732D7CA2" w14:textId="77777777" w:rsidTr="00D81438">
        <w:trPr>
          <w:trHeight w:val="642"/>
        </w:trPr>
        <w:tc>
          <w:tcPr>
            <w:tcW w:w="1560" w:type="dxa"/>
            <w:vMerge/>
            <w:tcBorders>
              <w:top w:val="single" w:sz="4" w:space="0" w:color="auto"/>
              <w:left w:val="single" w:sz="4" w:space="0" w:color="auto"/>
              <w:bottom w:val="single" w:sz="4" w:space="0" w:color="auto"/>
              <w:right w:val="single" w:sz="4" w:space="0" w:color="auto"/>
            </w:tcBorders>
          </w:tcPr>
          <w:p w14:paraId="00F8193D" w14:textId="77777777" w:rsidR="00CB359A" w:rsidRPr="00BC4CD8" w:rsidRDefault="00CB359A" w:rsidP="00A929E1">
            <w:pPr>
              <w:pStyle w:val="TableTextBase"/>
              <w:rPr>
                <w:sz w:val="16"/>
                <w:szCs w:val="16"/>
              </w:rPr>
            </w:pPr>
          </w:p>
        </w:tc>
        <w:tc>
          <w:tcPr>
            <w:tcW w:w="3118" w:type="dxa"/>
            <w:tcBorders>
              <w:top w:val="nil"/>
              <w:left w:val="single" w:sz="4" w:space="0" w:color="auto"/>
              <w:bottom w:val="single" w:sz="4" w:space="0" w:color="auto"/>
              <w:right w:val="single" w:sz="4" w:space="0" w:color="auto"/>
            </w:tcBorders>
          </w:tcPr>
          <w:p w14:paraId="48ECE55E"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KPI 3- Indigenous business development</w:t>
            </w:r>
          </w:p>
          <w:p w14:paraId="4328276F" w14:textId="77777777" w:rsidR="00CB359A" w:rsidRPr="00BC4CD8" w:rsidRDefault="00CB359A" w:rsidP="00A929E1">
            <w:pPr>
              <w:spacing w:after="0" w:line="240" w:lineRule="auto"/>
              <w:jc w:val="left"/>
              <w:rPr>
                <w:rFonts w:ascii="Arial" w:hAnsi="Arial" w:cs="Arial"/>
                <w:sz w:val="16"/>
                <w:szCs w:val="16"/>
              </w:rPr>
            </w:pPr>
            <w:r w:rsidRPr="00BC4CD8">
              <w:rPr>
                <w:rFonts w:ascii="Arial" w:hAnsi="Arial" w:cs="Arial"/>
                <w:sz w:val="16"/>
                <w:szCs w:val="16"/>
              </w:rPr>
              <w:t>Number of Indigenous enterprises assisted by ILSC Group projects</w:t>
            </w:r>
          </w:p>
          <w:p w14:paraId="767D9BEC" w14:textId="77777777" w:rsidR="00CB359A" w:rsidRPr="00BC4CD8" w:rsidRDefault="00CB359A" w:rsidP="00A929E1">
            <w:pPr>
              <w:spacing w:after="0" w:line="240" w:lineRule="auto"/>
              <w:jc w:val="left"/>
              <w:rPr>
                <w:rFonts w:ascii="Arial" w:hAnsi="Arial" w:cs="Arial"/>
                <w:sz w:val="16"/>
                <w:szCs w:val="16"/>
              </w:rPr>
            </w:pPr>
          </w:p>
        </w:tc>
        <w:tc>
          <w:tcPr>
            <w:tcW w:w="3118" w:type="dxa"/>
            <w:tcBorders>
              <w:top w:val="single" w:sz="4" w:space="0" w:color="auto"/>
              <w:left w:val="single" w:sz="4" w:space="0" w:color="auto"/>
              <w:bottom w:val="single" w:sz="4" w:space="0" w:color="auto"/>
            </w:tcBorders>
          </w:tcPr>
          <w:p w14:paraId="4BD39B54" w14:textId="77777777" w:rsidR="00CB359A" w:rsidRPr="00BC4CD8" w:rsidRDefault="00CB359A" w:rsidP="00A929E1">
            <w:pPr>
              <w:pStyle w:val="TableTextBase"/>
              <w:rPr>
                <w:i/>
                <w:sz w:val="16"/>
                <w:szCs w:val="16"/>
              </w:rPr>
            </w:pPr>
            <w:r w:rsidRPr="00BC4CD8">
              <w:rPr>
                <w:i/>
                <w:sz w:val="16"/>
                <w:szCs w:val="16"/>
              </w:rPr>
              <w:t>Achieved</w:t>
            </w:r>
          </w:p>
          <w:p w14:paraId="0FFAC341" w14:textId="77777777" w:rsidR="00CB359A" w:rsidRPr="00BC4CD8" w:rsidRDefault="00CB359A" w:rsidP="00CB359A">
            <w:pPr>
              <w:rPr>
                <w:sz w:val="16"/>
                <w:szCs w:val="16"/>
              </w:rPr>
            </w:pPr>
          </w:p>
          <w:p w14:paraId="22215102" w14:textId="77777777" w:rsidR="00CB359A" w:rsidRPr="00BC4CD8" w:rsidRDefault="00CB359A" w:rsidP="00CB359A">
            <w:pPr>
              <w:rPr>
                <w:sz w:val="16"/>
                <w:szCs w:val="16"/>
              </w:rPr>
            </w:pPr>
          </w:p>
        </w:tc>
      </w:tr>
      <w:tr w:rsidR="00CB359A" w:rsidRPr="001B2F81" w14:paraId="0A3E14E0" w14:textId="77777777" w:rsidTr="00D81438">
        <w:trPr>
          <w:trHeight w:val="100"/>
        </w:trPr>
        <w:tc>
          <w:tcPr>
            <w:tcW w:w="1560" w:type="dxa"/>
            <w:tcBorders>
              <w:top w:val="single" w:sz="4" w:space="0" w:color="auto"/>
              <w:bottom w:val="single" w:sz="4" w:space="0" w:color="auto"/>
              <w:right w:val="single" w:sz="4" w:space="0" w:color="auto"/>
            </w:tcBorders>
          </w:tcPr>
          <w:p w14:paraId="33135AEC" w14:textId="77777777" w:rsidR="00CB359A" w:rsidRPr="00BC4CD8" w:rsidRDefault="00CB359A" w:rsidP="00A929E1">
            <w:pPr>
              <w:pStyle w:val="TableTextBase"/>
              <w:rPr>
                <w:b/>
                <w:sz w:val="16"/>
                <w:szCs w:val="16"/>
              </w:rPr>
            </w:pPr>
            <w:r w:rsidRPr="00BC4CD8">
              <w:rPr>
                <w:b/>
                <w:sz w:val="16"/>
                <w:szCs w:val="16"/>
              </w:rPr>
              <w:t>Year</w:t>
            </w:r>
          </w:p>
          <w:p w14:paraId="0893E42F" w14:textId="77777777" w:rsidR="00CB359A" w:rsidRPr="00BC4CD8" w:rsidRDefault="00CB359A" w:rsidP="00A929E1">
            <w:pPr>
              <w:pStyle w:val="TableTextBase"/>
              <w:rPr>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2CA58763" w14:textId="77777777" w:rsidR="00CB359A" w:rsidRPr="00BC4CD8" w:rsidRDefault="00CB359A" w:rsidP="00A929E1">
            <w:pPr>
              <w:pStyle w:val="TableTextBase"/>
              <w:rPr>
                <w:b/>
                <w:sz w:val="16"/>
                <w:szCs w:val="16"/>
              </w:rPr>
            </w:pPr>
            <w:r w:rsidRPr="00BC4CD8">
              <w:rPr>
                <w:b/>
                <w:sz w:val="16"/>
                <w:szCs w:val="16"/>
              </w:rPr>
              <w:t>Performance measures</w:t>
            </w:r>
          </w:p>
        </w:tc>
        <w:tc>
          <w:tcPr>
            <w:tcW w:w="3118" w:type="dxa"/>
            <w:tcBorders>
              <w:top w:val="single" w:sz="4" w:space="0" w:color="auto"/>
              <w:left w:val="single" w:sz="4" w:space="0" w:color="auto"/>
              <w:bottom w:val="dotted" w:sz="4" w:space="0" w:color="auto"/>
            </w:tcBorders>
          </w:tcPr>
          <w:p w14:paraId="6547B029" w14:textId="77777777" w:rsidR="00CB359A" w:rsidRPr="00BC4CD8" w:rsidRDefault="00CB359A" w:rsidP="00A929E1">
            <w:pPr>
              <w:pStyle w:val="TableTextBase"/>
              <w:rPr>
                <w:b/>
                <w:sz w:val="16"/>
                <w:szCs w:val="16"/>
              </w:rPr>
            </w:pPr>
            <w:r w:rsidRPr="00BC4CD8">
              <w:rPr>
                <w:b/>
                <w:sz w:val="16"/>
                <w:szCs w:val="16"/>
              </w:rPr>
              <w:t>Expected Performance Results</w:t>
            </w:r>
          </w:p>
        </w:tc>
      </w:tr>
      <w:tr w:rsidR="00D81438" w:rsidRPr="001B2F81" w14:paraId="471F106E" w14:textId="77777777" w:rsidTr="00D81438">
        <w:trPr>
          <w:trHeight w:val="100"/>
        </w:trPr>
        <w:tc>
          <w:tcPr>
            <w:tcW w:w="1560" w:type="dxa"/>
            <w:tcBorders>
              <w:top w:val="single" w:sz="4" w:space="0" w:color="auto"/>
              <w:left w:val="single" w:sz="4" w:space="0" w:color="auto"/>
              <w:bottom w:val="nil"/>
              <w:right w:val="single" w:sz="4" w:space="0" w:color="auto"/>
            </w:tcBorders>
          </w:tcPr>
          <w:p w14:paraId="0AB39225" w14:textId="77777777" w:rsidR="00D81438" w:rsidRPr="00BC4CD8" w:rsidRDefault="00D81438" w:rsidP="00A929E1">
            <w:pPr>
              <w:pStyle w:val="TableTextBase"/>
              <w:rPr>
                <w:b/>
                <w:sz w:val="16"/>
                <w:szCs w:val="16"/>
              </w:rPr>
            </w:pPr>
            <w:r w:rsidRPr="00BC4CD8">
              <w:rPr>
                <w:sz w:val="16"/>
                <w:szCs w:val="16"/>
              </w:rPr>
              <w:t>Budget Year     2022-23</w:t>
            </w:r>
          </w:p>
        </w:tc>
        <w:tc>
          <w:tcPr>
            <w:tcW w:w="3118" w:type="dxa"/>
            <w:tcBorders>
              <w:top w:val="single" w:sz="4" w:space="0" w:color="auto"/>
              <w:left w:val="single" w:sz="4" w:space="0" w:color="auto"/>
              <w:bottom w:val="dotted" w:sz="4" w:space="0" w:color="auto"/>
              <w:right w:val="single" w:sz="4" w:space="0" w:color="auto"/>
            </w:tcBorders>
          </w:tcPr>
          <w:p w14:paraId="25FA54D5"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KPI 4- Protection of Indigenous culture, heritage and the environment</w:t>
            </w:r>
          </w:p>
          <w:p w14:paraId="0F953C7C"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Proportion of ILSC Group projects commenced in the reporting period that maintained or protected Indigenous culture, heritage and/or the environment</w:t>
            </w:r>
          </w:p>
        </w:tc>
        <w:tc>
          <w:tcPr>
            <w:tcW w:w="3118" w:type="dxa"/>
            <w:tcBorders>
              <w:top w:val="single" w:sz="4" w:space="0" w:color="auto"/>
              <w:left w:val="single" w:sz="4" w:space="0" w:color="auto"/>
              <w:bottom w:val="dotted" w:sz="4" w:space="0" w:color="auto"/>
            </w:tcBorders>
          </w:tcPr>
          <w:p w14:paraId="6B3E1100" w14:textId="77777777" w:rsidR="00D81438" w:rsidRPr="00BC4CD8" w:rsidRDefault="00D81438" w:rsidP="00A929E1">
            <w:pPr>
              <w:pStyle w:val="TableTextBase"/>
              <w:rPr>
                <w:b/>
                <w:sz w:val="16"/>
                <w:szCs w:val="16"/>
              </w:rPr>
            </w:pPr>
          </w:p>
        </w:tc>
      </w:tr>
      <w:tr w:rsidR="00D81438" w:rsidRPr="001B2F81" w14:paraId="74FF7970" w14:textId="77777777" w:rsidTr="00D81438">
        <w:trPr>
          <w:trHeight w:val="100"/>
        </w:trPr>
        <w:tc>
          <w:tcPr>
            <w:tcW w:w="1560" w:type="dxa"/>
            <w:tcBorders>
              <w:top w:val="nil"/>
              <w:left w:val="single" w:sz="4" w:space="0" w:color="auto"/>
              <w:bottom w:val="nil"/>
              <w:right w:val="single" w:sz="4" w:space="0" w:color="auto"/>
            </w:tcBorders>
          </w:tcPr>
          <w:p w14:paraId="0DC6274D" w14:textId="77777777" w:rsidR="00D81438" w:rsidRPr="00BC4CD8" w:rsidRDefault="00D81438" w:rsidP="00A929E1">
            <w:pPr>
              <w:pStyle w:val="TableTextBase"/>
              <w:rPr>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05DE7890"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KPI 5 - Collaboration</w:t>
            </w:r>
          </w:p>
          <w:p w14:paraId="42C3D9A5" w14:textId="77777777" w:rsidR="00D81438" w:rsidRPr="00BC4CD8" w:rsidRDefault="00D81438" w:rsidP="00D81438">
            <w:pPr>
              <w:spacing w:after="0" w:line="240" w:lineRule="auto"/>
              <w:jc w:val="left"/>
              <w:rPr>
                <w:rFonts w:ascii="Arial" w:eastAsia="Calibri" w:hAnsi="Arial" w:cs="Arial"/>
                <w:iCs/>
                <w:sz w:val="16"/>
                <w:szCs w:val="16"/>
                <w:lang w:val="en-US" w:eastAsia="en-US"/>
              </w:rPr>
            </w:pPr>
            <w:r w:rsidRPr="00BC4CD8">
              <w:rPr>
                <w:rFonts w:ascii="Arial" w:hAnsi="Arial" w:cs="Arial"/>
                <w:sz w:val="16"/>
                <w:szCs w:val="16"/>
              </w:rPr>
              <w:t xml:space="preserve">Proportion of </w:t>
            </w:r>
            <w:r w:rsidRPr="00BC4CD8">
              <w:rPr>
                <w:rFonts w:ascii="Arial" w:eastAsia="Calibri" w:hAnsi="Arial" w:cs="Arial"/>
                <w:iCs/>
                <w:sz w:val="16"/>
                <w:szCs w:val="16"/>
                <w:lang w:val="en-US" w:eastAsia="en-US"/>
              </w:rPr>
              <w:t>ILSC Group projects commenced in the reporting period that that involved contributions from third parties (beyond immediate beneficiary group)</w:t>
            </w:r>
          </w:p>
        </w:tc>
        <w:tc>
          <w:tcPr>
            <w:tcW w:w="3118" w:type="dxa"/>
            <w:tcBorders>
              <w:top w:val="single" w:sz="4" w:space="0" w:color="auto"/>
              <w:left w:val="single" w:sz="4" w:space="0" w:color="auto"/>
              <w:bottom w:val="dotted" w:sz="4" w:space="0" w:color="auto"/>
            </w:tcBorders>
          </w:tcPr>
          <w:p w14:paraId="6E8164A8" w14:textId="77777777" w:rsidR="00D81438" w:rsidRPr="00BC4CD8" w:rsidRDefault="00D81438" w:rsidP="00A929E1">
            <w:pPr>
              <w:pStyle w:val="TableTextBase"/>
              <w:rPr>
                <w:b/>
                <w:sz w:val="16"/>
                <w:szCs w:val="16"/>
              </w:rPr>
            </w:pPr>
          </w:p>
        </w:tc>
      </w:tr>
      <w:tr w:rsidR="00D81438" w:rsidRPr="001B2F81" w14:paraId="17A73067" w14:textId="77777777" w:rsidTr="00D81438">
        <w:trPr>
          <w:trHeight w:val="100"/>
        </w:trPr>
        <w:tc>
          <w:tcPr>
            <w:tcW w:w="1560" w:type="dxa"/>
            <w:tcBorders>
              <w:top w:val="nil"/>
              <w:left w:val="single" w:sz="4" w:space="0" w:color="auto"/>
              <w:bottom w:val="nil"/>
              <w:right w:val="single" w:sz="4" w:space="0" w:color="auto"/>
            </w:tcBorders>
          </w:tcPr>
          <w:p w14:paraId="07E2B9FF" w14:textId="77777777" w:rsidR="00D81438" w:rsidRPr="00BC4CD8" w:rsidRDefault="00D81438" w:rsidP="00A929E1">
            <w:pPr>
              <w:pStyle w:val="TableTextBase"/>
              <w:rPr>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20062C4D" w14:textId="77777777" w:rsidR="00D81438" w:rsidRPr="00BC4CD8" w:rsidRDefault="00D81438" w:rsidP="00A929E1">
            <w:pPr>
              <w:pStyle w:val="TableTextBase"/>
              <w:rPr>
                <w:rFonts w:cs="Arial"/>
                <w:sz w:val="16"/>
                <w:szCs w:val="16"/>
              </w:rPr>
            </w:pPr>
            <w:r w:rsidRPr="00BC4CD8">
              <w:rPr>
                <w:rFonts w:cs="Arial"/>
                <w:sz w:val="16"/>
                <w:szCs w:val="16"/>
              </w:rPr>
              <w:t>KPI 6 - ILSC Group contribution to the Indigenous Estate</w:t>
            </w:r>
          </w:p>
        </w:tc>
        <w:tc>
          <w:tcPr>
            <w:tcW w:w="3118" w:type="dxa"/>
            <w:tcBorders>
              <w:top w:val="single" w:sz="4" w:space="0" w:color="auto"/>
              <w:left w:val="single" w:sz="4" w:space="0" w:color="auto"/>
              <w:bottom w:val="dotted" w:sz="4" w:space="0" w:color="auto"/>
            </w:tcBorders>
          </w:tcPr>
          <w:p w14:paraId="27DE5673" w14:textId="77777777" w:rsidR="00D81438" w:rsidRPr="00BC4CD8" w:rsidRDefault="00D81438" w:rsidP="00A929E1">
            <w:pPr>
              <w:pStyle w:val="TableTextBase"/>
              <w:rPr>
                <w:b/>
                <w:sz w:val="16"/>
                <w:szCs w:val="16"/>
              </w:rPr>
            </w:pPr>
          </w:p>
        </w:tc>
      </w:tr>
      <w:tr w:rsidR="00D81438" w:rsidRPr="001B2F81" w14:paraId="2C574FFE" w14:textId="77777777" w:rsidTr="009A727A">
        <w:trPr>
          <w:trHeight w:val="100"/>
        </w:trPr>
        <w:tc>
          <w:tcPr>
            <w:tcW w:w="1560" w:type="dxa"/>
            <w:vMerge w:val="restart"/>
            <w:tcBorders>
              <w:top w:val="nil"/>
              <w:right w:val="single" w:sz="4" w:space="0" w:color="auto"/>
            </w:tcBorders>
          </w:tcPr>
          <w:p w14:paraId="03F8A2DC" w14:textId="77777777" w:rsidR="00D81438" w:rsidRPr="00BC4CD8" w:rsidRDefault="00D81438" w:rsidP="00A929E1">
            <w:pPr>
              <w:pStyle w:val="TableTextBase"/>
              <w:rPr>
                <w:color w:val="000000" w:themeColor="text1"/>
                <w:sz w:val="16"/>
                <w:szCs w:val="16"/>
              </w:rPr>
            </w:pPr>
          </w:p>
        </w:tc>
        <w:tc>
          <w:tcPr>
            <w:tcW w:w="3118" w:type="dxa"/>
            <w:tcBorders>
              <w:top w:val="single" w:sz="4" w:space="0" w:color="auto"/>
              <w:left w:val="single" w:sz="4" w:space="0" w:color="auto"/>
              <w:bottom w:val="dotted" w:sz="4" w:space="0" w:color="auto"/>
              <w:right w:val="single" w:sz="4" w:space="0" w:color="auto"/>
            </w:tcBorders>
          </w:tcPr>
          <w:p w14:paraId="748C7150" w14:textId="77777777" w:rsidR="00D81438" w:rsidRPr="00BC4CD8" w:rsidRDefault="00D81438" w:rsidP="00A929E1">
            <w:pPr>
              <w:spacing w:after="0" w:line="240" w:lineRule="auto"/>
              <w:jc w:val="left"/>
              <w:rPr>
                <w:rFonts w:ascii="Arial" w:hAnsi="Arial" w:cs="Arial"/>
                <w:color w:val="000000" w:themeColor="text1"/>
                <w:sz w:val="16"/>
                <w:szCs w:val="16"/>
              </w:rPr>
            </w:pPr>
            <w:r w:rsidRPr="00BC4CD8">
              <w:rPr>
                <w:rFonts w:ascii="Arial" w:hAnsi="Arial" w:cs="Arial"/>
                <w:color w:val="000000" w:themeColor="text1"/>
                <w:sz w:val="16"/>
                <w:szCs w:val="16"/>
              </w:rPr>
              <w:t xml:space="preserve">Deliverable 1 </w:t>
            </w:r>
          </w:p>
          <w:p w14:paraId="4AE40E63" w14:textId="77777777" w:rsidR="00D81438" w:rsidRPr="00BC4CD8" w:rsidRDefault="00D81438" w:rsidP="00A929E1">
            <w:pPr>
              <w:spacing w:after="0" w:line="240" w:lineRule="auto"/>
              <w:jc w:val="left"/>
              <w:rPr>
                <w:rFonts w:ascii="Arial" w:hAnsi="Arial" w:cs="Arial"/>
                <w:color w:val="000000" w:themeColor="text1"/>
                <w:sz w:val="16"/>
                <w:szCs w:val="16"/>
              </w:rPr>
            </w:pPr>
            <w:r w:rsidRPr="00BC4CD8">
              <w:rPr>
                <w:rFonts w:ascii="Arial" w:hAnsi="Arial" w:cs="Arial"/>
                <w:color w:val="000000" w:themeColor="text1"/>
                <w:sz w:val="16"/>
                <w:szCs w:val="16"/>
              </w:rPr>
              <w:t>Interests in land and water/waters acquired</w:t>
            </w:r>
          </w:p>
        </w:tc>
        <w:tc>
          <w:tcPr>
            <w:tcW w:w="3118" w:type="dxa"/>
            <w:tcBorders>
              <w:top w:val="single" w:sz="4" w:space="0" w:color="auto"/>
              <w:left w:val="single" w:sz="4" w:space="0" w:color="auto"/>
              <w:bottom w:val="dotted" w:sz="4" w:space="0" w:color="auto"/>
            </w:tcBorders>
          </w:tcPr>
          <w:p w14:paraId="2A08BD6A" w14:textId="77777777" w:rsidR="00D81438" w:rsidRPr="00BC4CD8" w:rsidRDefault="00D81438" w:rsidP="00A929E1">
            <w:pPr>
              <w:pStyle w:val="TableTextBase"/>
              <w:rPr>
                <w:i/>
                <w:sz w:val="16"/>
                <w:szCs w:val="16"/>
              </w:rPr>
            </w:pPr>
            <w:r w:rsidRPr="00BC4CD8">
              <w:rPr>
                <w:i/>
                <w:sz w:val="16"/>
                <w:szCs w:val="16"/>
              </w:rPr>
              <w:t>9</w:t>
            </w:r>
          </w:p>
        </w:tc>
      </w:tr>
      <w:tr w:rsidR="00D81438" w:rsidRPr="001B2F81" w14:paraId="7A57A80F" w14:textId="77777777" w:rsidTr="009A727A">
        <w:trPr>
          <w:trHeight w:val="100"/>
        </w:trPr>
        <w:tc>
          <w:tcPr>
            <w:tcW w:w="1560" w:type="dxa"/>
            <w:vMerge/>
            <w:tcBorders>
              <w:right w:val="single" w:sz="4" w:space="0" w:color="auto"/>
            </w:tcBorders>
          </w:tcPr>
          <w:p w14:paraId="2CA49DDD" w14:textId="77777777" w:rsidR="00D81438" w:rsidRPr="00BC4CD8" w:rsidRDefault="00D81438" w:rsidP="00A929E1">
            <w:pPr>
              <w:pStyle w:val="TableTextBase"/>
              <w:rPr>
                <w:color w:val="000000" w:themeColor="text1"/>
                <w:sz w:val="16"/>
                <w:szCs w:val="16"/>
              </w:rPr>
            </w:pPr>
          </w:p>
        </w:tc>
        <w:tc>
          <w:tcPr>
            <w:tcW w:w="3118" w:type="dxa"/>
            <w:tcBorders>
              <w:top w:val="single" w:sz="4" w:space="0" w:color="auto"/>
              <w:left w:val="single" w:sz="4" w:space="0" w:color="auto"/>
              <w:bottom w:val="dotted" w:sz="4" w:space="0" w:color="auto"/>
              <w:right w:val="single" w:sz="4" w:space="0" w:color="auto"/>
            </w:tcBorders>
          </w:tcPr>
          <w:p w14:paraId="4248F1EA" w14:textId="77777777" w:rsidR="00D81438" w:rsidRPr="00BC4CD8" w:rsidRDefault="00D81438" w:rsidP="00A929E1">
            <w:pPr>
              <w:spacing w:after="0" w:line="240" w:lineRule="auto"/>
              <w:jc w:val="left"/>
              <w:rPr>
                <w:rFonts w:ascii="Arial" w:hAnsi="Arial" w:cs="Arial"/>
                <w:color w:val="000000" w:themeColor="text1"/>
                <w:sz w:val="16"/>
                <w:szCs w:val="16"/>
              </w:rPr>
            </w:pPr>
            <w:r w:rsidRPr="00BC4CD8">
              <w:rPr>
                <w:rFonts w:ascii="Arial" w:hAnsi="Arial" w:cs="Arial"/>
                <w:color w:val="000000" w:themeColor="text1"/>
                <w:sz w:val="16"/>
                <w:szCs w:val="16"/>
              </w:rPr>
              <w:t>Deliverable 2</w:t>
            </w:r>
          </w:p>
          <w:p w14:paraId="0375748E" w14:textId="77777777" w:rsidR="00D81438" w:rsidRPr="00BC4CD8" w:rsidRDefault="00D81438" w:rsidP="00D81438">
            <w:pPr>
              <w:spacing w:after="0" w:line="240" w:lineRule="auto"/>
              <w:jc w:val="left"/>
              <w:rPr>
                <w:i/>
                <w:color w:val="000000" w:themeColor="text1"/>
                <w:sz w:val="16"/>
                <w:szCs w:val="16"/>
              </w:rPr>
            </w:pPr>
            <w:r w:rsidRPr="00BC4CD8">
              <w:rPr>
                <w:rFonts w:ascii="Arial" w:hAnsi="Arial" w:cs="Arial"/>
                <w:color w:val="000000" w:themeColor="text1"/>
                <w:sz w:val="16"/>
                <w:szCs w:val="16"/>
              </w:rPr>
              <w:t>Interests granted</w:t>
            </w:r>
          </w:p>
        </w:tc>
        <w:tc>
          <w:tcPr>
            <w:tcW w:w="3118" w:type="dxa"/>
            <w:tcBorders>
              <w:top w:val="single" w:sz="4" w:space="0" w:color="auto"/>
              <w:left w:val="single" w:sz="4" w:space="0" w:color="auto"/>
              <w:bottom w:val="dotted" w:sz="4" w:space="0" w:color="auto"/>
            </w:tcBorders>
          </w:tcPr>
          <w:p w14:paraId="4C051732" w14:textId="77777777" w:rsidR="00D81438" w:rsidRPr="00BC4CD8" w:rsidRDefault="00D81438" w:rsidP="00A929E1">
            <w:pPr>
              <w:pStyle w:val="TableTextBase"/>
              <w:rPr>
                <w:i/>
                <w:sz w:val="16"/>
                <w:szCs w:val="16"/>
              </w:rPr>
            </w:pPr>
            <w:r w:rsidRPr="00BC4CD8">
              <w:rPr>
                <w:i/>
                <w:sz w:val="16"/>
                <w:szCs w:val="16"/>
              </w:rPr>
              <w:t>8</w:t>
            </w:r>
          </w:p>
        </w:tc>
      </w:tr>
      <w:tr w:rsidR="00D81438" w:rsidRPr="001B2F81" w14:paraId="295D40AB" w14:textId="77777777" w:rsidTr="009A727A">
        <w:trPr>
          <w:trHeight w:val="100"/>
        </w:trPr>
        <w:tc>
          <w:tcPr>
            <w:tcW w:w="1560" w:type="dxa"/>
            <w:vMerge/>
            <w:tcBorders>
              <w:right w:val="single" w:sz="4" w:space="0" w:color="auto"/>
            </w:tcBorders>
          </w:tcPr>
          <w:p w14:paraId="0FD751EC" w14:textId="77777777" w:rsidR="00D81438" w:rsidRPr="00BC4CD8" w:rsidRDefault="00D81438" w:rsidP="00A929E1">
            <w:pPr>
              <w:pStyle w:val="TableTextBase"/>
              <w:rPr>
                <w:color w:val="000000" w:themeColor="text1"/>
                <w:sz w:val="16"/>
                <w:szCs w:val="16"/>
              </w:rPr>
            </w:pPr>
          </w:p>
        </w:tc>
        <w:tc>
          <w:tcPr>
            <w:tcW w:w="3118" w:type="dxa"/>
            <w:tcBorders>
              <w:top w:val="single" w:sz="4" w:space="0" w:color="auto"/>
              <w:left w:val="single" w:sz="4" w:space="0" w:color="auto"/>
              <w:bottom w:val="dotted" w:sz="4" w:space="0" w:color="auto"/>
              <w:right w:val="single" w:sz="4" w:space="0" w:color="auto"/>
            </w:tcBorders>
          </w:tcPr>
          <w:p w14:paraId="526E719F" w14:textId="77777777" w:rsidR="00D81438" w:rsidRPr="00BC4CD8" w:rsidRDefault="00D81438" w:rsidP="00A929E1">
            <w:pPr>
              <w:spacing w:after="0" w:line="240" w:lineRule="auto"/>
              <w:jc w:val="left"/>
              <w:rPr>
                <w:rFonts w:ascii="Arial" w:hAnsi="Arial" w:cs="Arial"/>
                <w:color w:val="000000" w:themeColor="text1"/>
                <w:sz w:val="16"/>
                <w:szCs w:val="16"/>
              </w:rPr>
            </w:pPr>
            <w:r w:rsidRPr="00BC4CD8">
              <w:rPr>
                <w:rFonts w:ascii="Arial" w:hAnsi="Arial" w:cs="Arial"/>
                <w:color w:val="000000" w:themeColor="text1"/>
                <w:sz w:val="16"/>
                <w:szCs w:val="16"/>
              </w:rPr>
              <w:t>Deliverable 3</w:t>
            </w:r>
          </w:p>
          <w:p w14:paraId="7209C503" w14:textId="77777777" w:rsidR="00D81438" w:rsidRPr="00BC4CD8" w:rsidRDefault="00D81438" w:rsidP="00D81438">
            <w:pPr>
              <w:spacing w:after="0" w:line="240" w:lineRule="auto"/>
              <w:jc w:val="left"/>
              <w:rPr>
                <w:i/>
                <w:color w:val="000000" w:themeColor="text1"/>
                <w:sz w:val="16"/>
                <w:szCs w:val="16"/>
              </w:rPr>
            </w:pPr>
            <w:r w:rsidRPr="00BC4CD8">
              <w:rPr>
                <w:rFonts w:ascii="Arial" w:hAnsi="Arial" w:cs="Arial"/>
                <w:color w:val="000000" w:themeColor="text1"/>
                <w:sz w:val="16"/>
                <w:szCs w:val="16"/>
              </w:rPr>
              <w:t xml:space="preserve">Number of active acquisition and management projects </w:t>
            </w:r>
          </w:p>
        </w:tc>
        <w:tc>
          <w:tcPr>
            <w:tcW w:w="3118" w:type="dxa"/>
            <w:tcBorders>
              <w:top w:val="single" w:sz="4" w:space="0" w:color="auto"/>
              <w:left w:val="single" w:sz="4" w:space="0" w:color="auto"/>
              <w:bottom w:val="dotted" w:sz="4" w:space="0" w:color="auto"/>
            </w:tcBorders>
          </w:tcPr>
          <w:p w14:paraId="7BD805A3" w14:textId="77777777" w:rsidR="00D81438" w:rsidRPr="00BC4CD8" w:rsidRDefault="00D81438" w:rsidP="00A929E1">
            <w:pPr>
              <w:pStyle w:val="TableTextBase"/>
              <w:rPr>
                <w:i/>
                <w:sz w:val="16"/>
                <w:szCs w:val="16"/>
              </w:rPr>
            </w:pPr>
            <w:r w:rsidRPr="00BC4CD8">
              <w:rPr>
                <w:i/>
                <w:sz w:val="16"/>
                <w:szCs w:val="16"/>
              </w:rPr>
              <w:t>80</w:t>
            </w:r>
          </w:p>
        </w:tc>
      </w:tr>
      <w:tr w:rsidR="00D81438" w:rsidRPr="001B2F81" w14:paraId="5BAD32FB" w14:textId="77777777" w:rsidTr="009A727A">
        <w:trPr>
          <w:trHeight w:val="100"/>
        </w:trPr>
        <w:tc>
          <w:tcPr>
            <w:tcW w:w="1560" w:type="dxa"/>
            <w:vMerge/>
            <w:tcBorders>
              <w:right w:val="single" w:sz="4" w:space="0" w:color="auto"/>
            </w:tcBorders>
          </w:tcPr>
          <w:p w14:paraId="79869CBC" w14:textId="77777777" w:rsidR="00D81438" w:rsidRPr="00BC4CD8" w:rsidRDefault="00D81438" w:rsidP="00D81438">
            <w:pPr>
              <w:pStyle w:val="TableTextBase"/>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tcPr>
          <w:p w14:paraId="3C37D67A" w14:textId="77777777" w:rsidR="00D81438" w:rsidRPr="00BC4CD8" w:rsidRDefault="00D81438" w:rsidP="00D81438">
            <w:pPr>
              <w:spacing w:after="0" w:line="240" w:lineRule="auto"/>
              <w:jc w:val="left"/>
              <w:rPr>
                <w:rFonts w:ascii="Arial" w:hAnsi="Arial" w:cs="Arial"/>
                <w:color w:val="000000" w:themeColor="text1"/>
                <w:sz w:val="16"/>
                <w:szCs w:val="16"/>
              </w:rPr>
            </w:pPr>
            <w:r w:rsidRPr="00BC4CD8">
              <w:rPr>
                <w:rFonts w:ascii="Arial" w:hAnsi="Arial" w:cs="Arial"/>
                <w:color w:val="000000" w:themeColor="text1"/>
                <w:sz w:val="16"/>
                <w:szCs w:val="16"/>
              </w:rPr>
              <w:t>KPI 1 - Indigenous employment</w:t>
            </w:r>
          </w:p>
          <w:p w14:paraId="452BDBAA" w14:textId="77777777" w:rsidR="00D81438" w:rsidRPr="00BC4CD8" w:rsidRDefault="00D81438" w:rsidP="008A2254">
            <w:pPr>
              <w:numPr>
                <w:ilvl w:val="0"/>
                <w:numId w:val="63"/>
              </w:numPr>
              <w:spacing w:after="0" w:line="240" w:lineRule="auto"/>
              <w:contextualSpacing/>
              <w:jc w:val="left"/>
              <w:rPr>
                <w:rFonts w:ascii="Arial" w:eastAsia="Calibri" w:hAnsi="Arial" w:cs="Arial"/>
                <w:color w:val="000000" w:themeColor="text1"/>
                <w:sz w:val="16"/>
                <w:szCs w:val="16"/>
                <w:lang w:val="en-US" w:eastAsia="en-US"/>
              </w:rPr>
            </w:pPr>
            <w:r w:rsidRPr="00BC4CD8">
              <w:rPr>
                <w:rFonts w:ascii="Arial" w:eastAsia="Calibri" w:hAnsi="Arial" w:cs="Arial"/>
                <w:color w:val="000000" w:themeColor="text1"/>
                <w:sz w:val="16"/>
                <w:szCs w:val="16"/>
                <w:lang w:val="en-US" w:eastAsia="en-US"/>
              </w:rPr>
              <w:t>A. Number of Indigenous staff directly employed across the ILSC Group</w:t>
            </w:r>
          </w:p>
          <w:p w14:paraId="3E96DE54" w14:textId="77777777" w:rsidR="00D81438" w:rsidRPr="00BC4CD8" w:rsidRDefault="00D81438" w:rsidP="008A2254">
            <w:pPr>
              <w:numPr>
                <w:ilvl w:val="0"/>
                <w:numId w:val="63"/>
              </w:numPr>
              <w:spacing w:after="0" w:line="240" w:lineRule="auto"/>
              <w:contextualSpacing/>
              <w:jc w:val="left"/>
              <w:rPr>
                <w:i/>
                <w:color w:val="000000" w:themeColor="text1"/>
                <w:sz w:val="16"/>
                <w:szCs w:val="16"/>
              </w:rPr>
            </w:pPr>
            <w:r w:rsidRPr="00BC4CD8">
              <w:rPr>
                <w:rFonts w:ascii="Arial" w:eastAsia="Calibri" w:hAnsi="Arial" w:cs="Arial"/>
                <w:color w:val="000000" w:themeColor="text1"/>
                <w:sz w:val="16"/>
                <w:szCs w:val="16"/>
                <w:lang w:val="en-US" w:eastAsia="en-US"/>
              </w:rPr>
              <w:t>B. Number of Indigenous employment outcomes enabled by ILSC funded projects active in financial year</w:t>
            </w:r>
          </w:p>
        </w:tc>
        <w:tc>
          <w:tcPr>
            <w:tcW w:w="3118" w:type="dxa"/>
            <w:tcBorders>
              <w:top w:val="single" w:sz="4" w:space="0" w:color="auto"/>
              <w:left w:val="single" w:sz="4" w:space="0" w:color="auto"/>
              <w:bottom w:val="single" w:sz="4" w:space="0" w:color="auto"/>
            </w:tcBorders>
          </w:tcPr>
          <w:p w14:paraId="3CDC00A0" w14:textId="77777777" w:rsidR="00D81438" w:rsidRPr="00BC4CD8" w:rsidRDefault="00D81438" w:rsidP="00D81438">
            <w:pPr>
              <w:pStyle w:val="TableTextBase"/>
              <w:rPr>
                <w:i/>
                <w:sz w:val="16"/>
                <w:szCs w:val="16"/>
              </w:rPr>
            </w:pPr>
          </w:p>
          <w:p w14:paraId="5F10D83C" w14:textId="77777777" w:rsidR="00D81438" w:rsidRPr="00BC4CD8" w:rsidRDefault="00D81438" w:rsidP="00D81438">
            <w:pPr>
              <w:pStyle w:val="TableTextBase"/>
              <w:rPr>
                <w:i/>
                <w:sz w:val="16"/>
                <w:szCs w:val="16"/>
              </w:rPr>
            </w:pPr>
            <w:r w:rsidRPr="00BC4CD8">
              <w:rPr>
                <w:i/>
                <w:sz w:val="16"/>
                <w:szCs w:val="16"/>
              </w:rPr>
              <w:t>440</w:t>
            </w:r>
          </w:p>
          <w:p w14:paraId="24445508" w14:textId="77777777" w:rsidR="00D81438" w:rsidRPr="00BC4CD8" w:rsidRDefault="00D81438" w:rsidP="00D81438">
            <w:pPr>
              <w:pStyle w:val="TableTextBase"/>
              <w:rPr>
                <w:i/>
                <w:sz w:val="16"/>
                <w:szCs w:val="16"/>
              </w:rPr>
            </w:pPr>
          </w:p>
          <w:p w14:paraId="6C7EE893" w14:textId="77777777" w:rsidR="00D81438" w:rsidRPr="00BC4CD8" w:rsidRDefault="00D81438" w:rsidP="00D81438">
            <w:pPr>
              <w:pStyle w:val="TableTextBase"/>
              <w:rPr>
                <w:i/>
                <w:sz w:val="16"/>
                <w:szCs w:val="16"/>
              </w:rPr>
            </w:pPr>
            <w:r w:rsidRPr="00BC4CD8">
              <w:rPr>
                <w:i/>
                <w:sz w:val="16"/>
                <w:szCs w:val="16"/>
              </w:rPr>
              <w:t>300</w:t>
            </w:r>
          </w:p>
        </w:tc>
      </w:tr>
      <w:tr w:rsidR="00D81438" w:rsidRPr="001B2F81" w14:paraId="1DD7584E" w14:textId="77777777" w:rsidTr="009A727A">
        <w:trPr>
          <w:trHeight w:val="100"/>
        </w:trPr>
        <w:tc>
          <w:tcPr>
            <w:tcW w:w="1560" w:type="dxa"/>
            <w:vMerge/>
            <w:tcBorders>
              <w:right w:val="single" w:sz="4" w:space="0" w:color="auto"/>
            </w:tcBorders>
          </w:tcPr>
          <w:p w14:paraId="1E89B076" w14:textId="77777777" w:rsidR="00D81438" w:rsidRPr="00BC4CD8" w:rsidRDefault="00D81438" w:rsidP="00D81438">
            <w:pPr>
              <w:pStyle w:val="TableTextBase"/>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tcPr>
          <w:p w14:paraId="23435A36" w14:textId="77777777" w:rsidR="00D81438" w:rsidRPr="00BC4CD8" w:rsidRDefault="00D81438" w:rsidP="00D81438">
            <w:pPr>
              <w:spacing w:after="0" w:line="240" w:lineRule="auto"/>
              <w:jc w:val="left"/>
              <w:rPr>
                <w:rFonts w:ascii="Arial" w:hAnsi="Arial" w:cs="Arial"/>
                <w:color w:val="000000" w:themeColor="text1"/>
                <w:sz w:val="16"/>
                <w:szCs w:val="16"/>
              </w:rPr>
            </w:pPr>
            <w:r w:rsidRPr="00BC4CD8">
              <w:rPr>
                <w:rFonts w:ascii="Arial" w:hAnsi="Arial" w:cs="Arial"/>
                <w:color w:val="000000" w:themeColor="text1"/>
                <w:sz w:val="16"/>
                <w:szCs w:val="16"/>
              </w:rPr>
              <w:t>KPI 2 - Indigenous training</w:t>
            </w:r>
          </w:p>
          <w:p w14:paraId="69E89E0F" w14:textId="77777777" w:rsidR="00D81438" w:rsidRPr="00BC4CD8" w:rsidRDefault="00D81438" w:rsidP="008A2254">
            <w:pPr>
              <w:numPr>
                <w:ilvl w:val="0"/>
                <w:numId w:val="63"/>
              </w:numPr>
              <w:spacing w:after="0" w:line="240" w:lineRule="auto"/>
              <w:contextualSpacing/>
              <w:jc w:val="left"/>
              <w:rPr>
                <w:rFonts w:ascii="Arial" w:eastAsia="Calibri" w:hAnsi="Arial" w:cs="Arial"/>
                <w:color w:val="000000" w:themeColor="text1"/>
                <w:sz w:val="16"/>
                <w:szCs w:val="16"/>
                <w:lang w:val="en-US" w:eastAsia="en-US"/>
              </w:rPr>
            </w:pPr>
            <w:r w:rsidRPr="00BC4CD8">
              <w:rPr>
                <w:rFonts w:ascii="Arial" w:eastAsia="Calibri" w:hAnsi="Arial" w:cs="Arial"/>
                <w:color w:val="000000" w:themeColor="text1"/>
                <w:sz w:val="16"/>
                <w:szCs w:val="16"/>
                <w:lang w:val="en-US" w:eastAsia="en-US"/>
              </w:rPr>
              <w:t xml:space="preserve">A. Number of Indigenous trainees hosted/employed across the ILSC Group </w:t>
            </w:r>
          </w:p>
          <w:p w14:paraId="1C049A7D" w14:textId="77777777" w:rsidR="00D81438" w:rsidRPr="00BC4CD8" w:rsidRDefault="00D81438" w:rsidP="008A2254">
            <w:pPr>
              <w:numPr>
                <w:ilvl w:val="0"/>
                <w:numId w:val="63"/>
              </w:numPr>
              <w:spacing w:after="0" w:line="240" w:lineRule="auto"/>
              <w:contextualSpacing/>
              <w:jc w:val="left"/>
              <w:rPr>
                <w:i/>
                <w:color w:val="000000" w:themeColor="text1"/>
                <w:sz w:val="16"/>
                <w:szCs w:val="16"/>
              </w:rPr>
            </w:pPr>
            <w:r w:rsidRPr="00BC4CD8">
              <w:rPr>
                <w:rFonts w:ascii="Arial" w:eastAsia="Calibri" w:hAnsi="Arial" w:cs="Arial"/>
                <w:color w:val="000000" w:themeColor="text1"/>
                <w:sz w:val="16"/>
                <w:szCs w:val="16"/>
                <w:lang w:val="en-US" w:eastAsia="en-US"/>
              </w:rPr>
              <w:t>B. Number of Indigenous training completions enabled by ILSC funded projects active in financial year</w:t>
            </w:r>
          </w:p>
        </w:tc>
        <w:tc>
          <w:tcPr>
            <w:tcW w:w="3118" w:type="dxa"/>
            <w:tcBorders>
              <w:top w:val="single" w:sz="4" w:space="0" w:color="auto"/>
              <w:left w:val="single" w:sz="4" w:space="0" w:color="auto"/>
              <w:bottom w:val="single" w:sz="4" w:space="0" w:color="auto"/>
              <w:right w:val="single" w:sz="4" w:space="0" w:color="auto"/>
            </w:tcBorders>
          </w:tcPr>
          <w:p w14:paraId="77A77C9B" w14:textId="77777777" w:rsidR="00D81438" w:rsidRPr="00BC4CD8" w:rsidRDefault="00D81438" w:rsidP="00D81438">
            <w:pPr>
              <w:pStyle w:val="TableTextBase"/>
              <w:rPr>
                <w:i/>
                <w:sz w:val="16"/>
                <w:szCs w:val="16"/>
              </w:rPr>
            </w:pPr>
          </w:p>
          <w:p w14:paraId="6F644649" w14:textId="77777777" w:rsidR="00D81438" w:rsidRPr="00BC4CD8" w:rsidRDefault="00D81438" w:rsidP="00D81438">
            <w:pPr>
              <w:pStyle w:val="TableTextBase"/>
              <w:rPr>
                <w:i/>
                <w:sz w:val="16"/>
                <w:szCs w:val="16"/>
              </w:rPr>
            </w:pPr>
            <w:r w:rsidRPr="00BC4CD8">
              <w:rPr>
                <w:i/>
                <w:sz w:val="16"/>
                <w:szCs w:val="16"/>
              </w:rPr>
              <w:t>180</w:t>
            </w:r>
          </w:p>
          <w:p w14:paraId="74E941A6" w14:textId="77777777" w:rsidR="00D81438" w:rsidRPr="00BC4CD8" w:rsidRDefault="00D81438" w:rsidP="00D81438">
            <w:pPr>
              <w:pStyle w:val="TableTextBase"/>
              <w:rPr>
                <w:i/>
                <w:sz w:val="16"/>
                <w:szCs w:val="16"/>
              </w:rPr>
            </w:pPr>
          </w:p>
          <w:p w14:paraId="33886322" w14:textId="77777777" w:rsidR="00D81438" w:rsidRPr="00BC4CD8" w:rsidRDefault="00D81438" w:rsidP="00D81438">
            <w:pPr>
              <w:pStyle w:val="TableTextBase"/>
              <w:rPr>
                <w:i/>
                <w:sz w:val="16"/>
                <w:szCs w:val="16"/>
              </w:rPr>
            </w:pPr>
            <w:r w:rsidRPr="00BC4CD8">
              <w:rPr>
                <w:i/>
                <w:sz w:val="16"/>
                <w:szCs w:val="16"/>
              </w:rPr>
              <w:t>1000</w:t>
            </w:r>
          </w:p>
          <w:p w14:paraId="124FE380" w14:textId="77777777" w:rsidR="00D81438" w:rsidRPr="00BC4CD8" w:rsidRDefault="00D81438" w:rsidP="00D81438">
            <w:pPr>
              <w:pStyle w:val="TableTextBase"/>
              <w:rPr>
                <w:i/>
                <w:sz w:val="16"/>
                <w:szCs w:val="16"/>
              </w:rPr>
            </w:pPr>
          </w:p>
        </w:tc>
      </w:tr>
      <w:tr w:rsidR="00D81438" w:rsidRPr="001B2F81" w14:paraId="0B64924C" w14:textId="77777777" w:rsidTr="009A727A">
        <w:trPr>
          <w:trHeight w:val="100"/>
        </w:trPr>
        <w:tc>
          <w:tcPr>
            <w:tcW w:w="1560" w:type="dxa"/>
            <w:vMerge/>
            <w:tcBorders>
              <w:right w:val="single" w:sz="4" w:space="0" w:color="auto"/>
            </w:tcBorders>
          </w:tcPr>
          <w:p w14:paraId="696361A7" w14:textId="77777777" w:rsidR="00D81438" w:rsidRPr="00BC4CD8" w:rsidRDefault="00D81438" w:rsidP="00D81438">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24A64226"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KPI 3- Indigenous business development</w:t>
            </w:r>
          </w:p>
          <w:p w14:paraId="194476A9"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Number of Indigenous enterprises assisted by ILSC Group projects</w:t>
            </w:r>
          </w:p>
        </w:tc>
        <w:tc>
          <w:tcPr>
            <w:tcW w:w="3118" w:type="dxa"/>
            <w:tcBorders>
              <w:top w:val="single" w:sz="4" w:space="0" w:color="auto"/>
              <w:left w:val="single" w:sz="4" w:space="0" w:color="auto"/>
              <w:bottom w:val="dotted" w:sz="4" w:space="0" w:color="auto"/>
            </w:tcBorders>
          </w:tcPr>
          <w:p w14:paraId="7288F67A" w14:textId="77777777" w:rsidR="00D81438" w:rsidRPr="00BC4CD8" w:rsidRDefault="00D81438" w:rsidP="00D81438">
            <w:pPr>
              <w:pStyle w:val="TableTextBase"/>
              <w:rPr>
                <w:i/>
                <w:sz w:val="16"/>
                <w:szCs w:val="16"/>
              </w:rPr>
            </w:pPr>
            <w:r w:rsidRPr="00BC4CD8">
              <w:rPr>
                <w:i/>
                <w:sz w:val="16"/>
                <w:szCs w:val="16"/>
              </w:rPr>
              <w:t>50</w:t>
            </w:r>
          </w:p>
        </w:tc>
      </w:tr>
      <w:tr w:rsidR="00D81438" w:rsidRPr="001B2F81" w14:paraId="62218F50" w14:textId="77777777" w:rsidTr="009A727A">
        <w:trPr>
          <w:trHeight w:val="100"/>
        </w:trPr>
        <w:tc>
          <w:tcPr>
            <w:tcW w:w="1560" w:type="dxa"/>
            <w:vMerge/>
            <w:tcBorders>
              <w:bottom w:val="dotted" w:sz="4" w:space="0" w:color="auto"/>
              <w:right w:val="single" w:sz="4" w:space="0" w:color="auto"/>
            </w:tcBorders>
          </w:tcPr>
          <w:p w14:paraId="2C4D1759" w14:textId="77777777" w:rsidR="00D81438" w:rsidRPr="00BC4CD8" w:rsidRDefault="00D81438" w:rsidP="00D81438">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24856B7A"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KPI 4- Protection of Indigenous culture, heritage and the environment</w:t>
            </w:r>
          </w:p>
          <w:p w14:paraId="2D78FF5D"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Proportion of ILSC Group projects commenced in the reporting period that maintained or protected Indigenous culture, heritage and/or the environment</w:t>
            </w:r>
          </w:p>
          <w:p w14:paraId="15E956AC" w14:textId="77777777" w:rsidR="00D81438" w:rsidRDefault="00D81438" w:rsidP="00D81438">
            <w:pPr>
              <w:spacing w:after="0" w:line="240" w:lineRule="auto"/>
              <w:jc w:val="left"/>
              <w:rPr>
                <w:rFonts w:ascii="Arial" w:hAnsi="Arial" w:cs="Arial"/>
                <w:sz w:val="16"/>
                <w:szCs w:val="16"/>
              </w:rPr>
            </w:pPr>
          </w:p>
          <w:p w14:paraId="33AECDB1" w14:textId="77777777" w:rsidR="00BC4CD8" w:rsidRPr="00BC4CD8" w:rsidRDefault="00BC4CD8" w:rsidP="00D81438">
            <w:pPr>
              <w:spacing w:after="0" w:line="240" w:lineRule="auto"/>
              <w:jc w:val="left"/>
              <w:rPr>
                <w:rFonts w:ascii="Arial" w:hAnsi="Arial" w:cs="Arial"/>
                <w:sz w:val="16"/>
                <w:szCs w:val="16"/>
              </w:rPr>
            </w:pPr>
          </w:p>
        </w:tc>
        <w:tc>
          <w:tcPr>
            <w:tcW w:w="3118" w:type="dxa"/>
            <w:tcBorders>
              <w:top w:val="single" w:sz="4" w:space="0" w:color="auto"/>
              <w:left w:val="single" w:sz="4" w:space="0" w:color="auto"/>
              <w:bottom w:val="dotted" w:sz="4" w:space="0" w:color="auto"/>
            </w:tcBorders>
          </w:tcPr>
          <w:p w14:paraId="5415C489" w14:textId="77777777" w:rsidR="00D81438" w:rsidRPr="00BC4CD8" w:rsidRDefault="00D81438" w:rsidP="00D81438">
            <w:pPr>
              <w:pStyle w:val="TableTextBase"/>
              <w:rPr>
                <w:i/>
                <w:sz w:val="16"/>
                <w:szCs w:val="16"/>
              </w:rPr>
            </w:pPr>
            <w:r w:rsidRPr="00BC4CD8">
              <w:rPr>
                <w:i/>
                <w:sz w:val="16"/>
                <w:szCs w:val="16"/>
              </w:rPr>
              <w:t>50%</w:t>
            </w:r>
          </w:p>
        </w:tc>
      </w:tr>
      <w:tr w:rsidR="00D81438" w:rsidRPr="001B2F81" w14:paraId="35AA8C10" w14:textId="77777777" w:rsidTr="00A929E1">
        <w:trPr>
          <w:trHeight w:val="100"/>
        </w:trPr>
        <w:tc>
          <w:tcPr>
            <w:tcW w:w="1560" w:type="dxa"/>
            <w:tcBorders>
              <w:top w:val="single" w:sz="4" w:space="0" w:color="auto"/>
              <w:bottom w:val="dotted" w:sz="4" w:space="0" w:color="auto"/>
              <w:right w:val="single" w:sz="4" w:space="0" w:color="auto"/>
            </w:tcBorders>
          </w:tcPr>
          <w:p w14:paraId="3C83DE35" w14:textId="77777777" w:rsidR="00D81438" w:rsidRPr="00BC4CD8" w:rsidRDefault="00D81438" w:rsidP="00D81438">
            <w:pPr>
              <w:pStyle w:val="TableTextBase"/>
              <w:rPr>
                <w:b/>
                <w:sz w:val="16"/>
                <w:szCs w:val="16"/>
              </w:rPr>
            </w:pPr>
            <w:r w:rsidRPr="00BC4CD8">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29F0718B" w14:textId="77777777" w:rsidR="00D81438" w:rsidRPr="00BC4CD8" w:rsidRDefault="00D81438" w:rsidP="00D81438">
            <w:pPr>
              <w:pStyle w:val="TableTextBase"/>
              <w:rPr>
                <w:b/>
                <w:color w:val="0070C0"/>
                <w:sz w:val="16"/>
                <w:szCs w:val="16"/>
              </w:rPr>
            </w:pPr>
            <w:r w:rsidRPr="00BC4CD8">
              <w:rPr>
                <w:b/>
                <w:color w:val="000000" w:themeColor="text1"/>
                <w:sz w:val="16"/>
                <w:szCs w:val="16"/>
              </w:rPr>
              <w:t>Performance Measures</w:t>
            </w:r>
          </w:p>
        </w:tc>
        <w:tc>
          <w:tcPr>
            <w:tcW w:w="3118" w:type="dxa"/>
            <w:tcBorders>
              <w:top w:val="single" w:sz="4" w:space="0" w:color="auto"/>
              <w:left w:val="single" w:sz="4" w:space="0" w:color="auto"/>
              <w:bottom w:val="dotted" w:sz="4" w:space="0" w:color="auto"/>
            </w:tcBorders>
          </w:tcPr>
          <w:p w14:paraId="0840B69E" w14:textId="77777777" w:rsidR="00D81438" w:rsidRPr="00BC4CD8" w:rsidRDefault="00D81438" w:rsidP="00D81438">
            <w:pPr>
              <w:pStyle w:val="TableTextBase"/>
              <w:rPr>
                <w:i/>
                <w:sz w:val="16"/>
                <w:szCs w:val="16"/>
              </w:rPr>
            </w:pPr>
            <w:r w:rsidRPr="00BC4CD8">
              <w:rPr>
                <w:b/>
                <w:sz w:val="16"/>
                <w:szCs w:val="16"/>
              </w:rPr>
              <w:t>Expected performance results</w:t>
            </w:r>
          </w:p>
        </w:tc>
      </w:tr>
      <w:tr w:rsidR="00D81438" w:rsidRPr="001B2F81" w14:paraId="7C7FD781" w14:textId="77777777" w:rsidTr="009A727A">
        <w:trPr>
          <w:trHeight w:val="100"/>
        </w:trPr>
        <w:tc>
          <w:tcPr>
            <w:tcW w:w="1560" w:type="dxa"/>
            <w:vMerge w:val="restart"/>
            <w:tcBorders>
              <w:top w:val="single" w:sz="4" w:space="0" w:color="auto"/>
              <w:right w:val="single" w:sz="4" w:space="0" w:color="auto"/>
            </w:tcBorders>
          </w:tcPr>
          <w:p w14:paraId="6ACC1248" w14:textId="77777777" w:rsidR="00D81438" w:rsidRPr="00BC4CD8" w:rsidRDefault="00BC4CD8" w:rsidP="00D81438">
            <w:pPr>
              <w:pStyle w:val="TableTextBase"/>
              <w:rPr>
                <w:sz w:val="16"/>
                <w:szCs w:val="16"/>
              </w:rPr>
            </w:pPr>
            <w:r w:rsidRPr="00BC4CD8">
              <w:rPr>
                <w:sz w:val="16"/>
                <w:szCs w:val="16"/>
              </w:rPr>
              <w:t>Budget y</w:t>
            </w:r>
            <w:r w:rsidR="00D81438" w:rsidRPr="00BC4CD8">
              <w:rPr>
                <w:sz w:val="16"/>
                <w:szCs w:val="16"/>
              </w:rPr>
              <w:t>ear     2022-23</w:t>
            </w:r>
          </w:p>
        </w:tc>
        <w:tc>
          <w:tcPr>
            <w:tcW w:w="3118" w:type="dxa"/>
            <w:tcBorders>
              <w:top w:val="single" w:sz="4" w:space="0" w:color="auto"/>
              <w:left w:val="single" w:sz="4" w:space="0" w:color="auto"/>
              <w:bottom w:val="dotted" w:sz="4" w:space="0" w:color="auto"/>
              <w:right w:val="single" w:sz="4" w:space="0" w:color="auto"/>
            </w:tcBorders>
          </w:tcPr>
          <w:p w14:paraId="31E65782" w14:textId="77777777" w:rsidR="00D81438" w:rsidRPr="00BC4CD8" w:rsidRDefault="00D81438" w:rsidP="00D81438">
            <w:pPr>
              <w:spacing w:after="0" w:line="240" w:lineRule="auto"/>
              <w:jc w:val="left"/>
              <w:rPr>
                <w:rFonts w:ascii="Arial" w:hAnsi="Arial" w:cs="Arial"/>
                <w:sz w:val="16"/>
                <w:szCs w:val="16"/>
              </w:rPr>
            </w:pPr>
            <w:r w:rsidRPr="00BC4CD8">
              <w:rPr>
                <w:rFonts w:ascii="Arial" w:hAnsi="Arial" w:cs="Arial"/>
                <w:sz w:val="16"/>
                <w:szCs w:val="16"/>
              </w:rPr>
              <w:t>KPI 5 - Collaboration</w:t>
            </w:r>
          </w:p>
          <w:p w14:paraId="6CB7D9BC" w14:textId="77777777" w:rsidR="00D81438" w:rsidRPr="00BC4CD8" w:rsidRDefault="00D81438" w:rsidP="00D81438">
            <w:pPr>
              <w:spacing w:after="0" w:line="240" w:lineRule="auto"/>
              <w:jc w:val="left"/>
              <w:rPr>
                <w:rFonts w:ascii="Arial" w:eastAsia="Calibri" w:hAnsi="Arial" w:cs="Arial"/>
                <w:iCs/>
                <w:sz w:val="16"/>
                <w:szCs w:val="16"/>
                <w:lang w:val="en-US" w:eastAsia="en-US"/>
              </w:rPr>
            </w:pPr>
            <w:r w:rsidRPr="00BC4CD8">
              <w:rPr>
                <w:rFonts w:ascii="Arial" w:hAnsi="Arial" w:cs="Arial"/>
                <w:sz w:val="16"/>
                <w:szCs w:val="16"/>
              </w:rPr>
              <w:t xml:space="preserve">Proportion of </w:t>
            </w:r>
            <w:r w:rsidRPr="00BC4CD8">
              <w:rPr>
                <w:rFonts w:ascii="Arial" w:eastAsia="Calibri" w:hAnsi="Arial" w:cs="Arial"/>
                <w:iCs/>
                <w:sz w:val="16"/>
                <w:szCs w:val="16"/>
                <w:lang w:val="en-US" w:eastAsia="en-US"/>
              </w:rPr>
              <w:t>ILSC Group projects commenced in the reporting period that that involved contributions from third parties (beyond immediate beneficiary group)</w:t>
            </w:r>
          </w:p>
          <w:p w14:paraId="6428F463" w14:textId="77777777" w:rsidR="00D81438" w:rsidRPr="00BC4CD8" w:rsidRDefault="00D81438" w:rsidP="00D81438">
            <w:pPr>
              <w:pStyle w:val="TableTextBase"/>
              <w:rPr>
                <w:i/>
                <w:color w:val="0070C0"/>
                <w:sz w:val="16"/>
                <w:szCs w:val="16"/>
              </w:rPr>
            </w:pPr>
          </w:p>
        </w:tc>
        <w:tc>
          <w:tcPr>
            <w:tcW w:w="3118" w:type="dxa"/>
            <w:tcBorders>
              <w:top w:val="single" w:sz="4" w:space="0" w:color="auto"/>
              <w:left w:val="single" w:sz="4" w:space="0" w:color="auto"/>
              <w:bottom w:val="dotted" w:sz="4" w:space="0" w:color="auto"/>
            </w:tcBorders>
          </w:tcPr>
          <w:p w14:paraId="123453CF" w14:textId="77777777" w:rsidR="00D81438" w:rsidRPr="00BC4CD8" w:rsidRDefault="00D81438" w:rsidP="00D81438">
            <w:pPr>
              <w:pStyle w:val="TableTextBase"/>
              <w:rPr>
                <w:i/>
                <w:sz w:val="16"/>
                <w:szCs w:val="16"/>
              </w:rPr>
            </w:pPr>
            <w:r w:rsidRPr="00BC4CD8">
              <w:rPr>
                <w:i/>
                <w:sz w:val="16"/>
                <w:szCs w:val="16"/>
              </w:rPr>
              <w:t>60%</w:t>
            </w:r>
          </w:p>
        </w:tc>
      </w:tr>
      <w:tr w:rsidR="00D81438" w:rsidRPr="001B2F81" w14:paraId="57A33C9B" w14:textId="77777777" w:rsidTr="009A727A">
        <w:trPr>
          <w:trHeight w:val="100"/>
        </w:trPr>
        <w:tc>
          <w:tcPr>
            <w:tcW w:w="1560" w:type="dxa"/>
            <w:vMerge/>
            <w:tcBorders>
              <w:bottom w:val="single" w:sz="4" w:space="0" w:color="auto"/>
              <w:right w:val="single" w:sz="4" w:space="0" w:color="auto"/>
            </w:tcBorders>
          </w:tcPr>
          <w:p w14:paraId="4F7B6F9E" w14:textId="77777777" w:rsidR="00D81438" w:rsidRPr="00BC4CD8" w:rsidRDefault="00D81438" w:rsidP="00D81438">
            <w:pPr>
              <w:pStyle w:val="TableTextBase"/>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4D75CEB3" w14:textId="77777777" w:rsidR="00D81438" w:rsidRPr="00BC4CD8" w:rsidRDefault="00D81438" w:rsidP="00D81438">
            <w:pPr>
              <w:pStyle w:val="TableTextBase"/>
              <w:rPr>
                <w:i/>
                <w:color w:val="0070C0"/>
                <w:sz w:val="16"/>
                <w:szCs w:val="16"/>
              </w:rPr>
            </w:pPr>
            <w:r w:rsidRPr="00BC4CD8">
              <w:rPr>
                <w:rFonts w:cs="Arial"/>
                <w:sz w:val="16"/>
                <w:szCs w:val="16"/>
              </w:rPr>
              <w:t>KPI 6 - ILSC Group contribution to the Indigenous Estate</w:t>
            </w:r>
          </w:p>
        </w:tc>
        <w:tc>
          <w:tcPr>
            <w:tcW w:w="3118" w:type="dxa"/>
            <w:tcBorders>
              <w:top w:val="single" w:sz="4" w:space="0" w:color="auto"/>
              <w:left w:val="single" w:sz="4" w:space="0" w:color="auto"/>
              <w:bottom w:val="single" w:sz="4" w:space="0" w:color="auto"/>
            </w:tcBorders>
          </w:tcPr>
          <w:p w14:paraId="3B877BC0" w14:textId="77777777" w:rsidR="00D81438" w:rsidRPr="00BC4CD8" w:rsidRDefault="00D81438" w:rsidP="00D81438">
            <w:pPr>
              <w:pStyle w:val="TableTextBase"/>
              <w:rPr>
                <w:i/>
                <w:sz w:val="16"/>
                <w:szCs w:val="16"/>
              </w:rPr>
            </w:pPr>
            <w:r w:rsidRPr="00BC4CD8">
              <w:rPr>
                <w:i/>
                <w:sz w:val="16"/>
                <w:szCs w:val="16"/>
              </w:rPr>
              <w:t>N/A</w:t>
            </w:r>
          </w:p>
        </w:tc>
      </w:tr>
      <w:tr w:rsidR="00D81438" w:rsidRPr="001B2F81" w14:paraId="70DC506A" w14:textId="77777777" w:rsidTr="000240CA">
        <w:trPr>
          <w:trHeight w:val="491"/>
        </w:trPr>
        <w:tc>
          <w:tcPr>
            <w:tcW w:w="1560" w:type="dxa"/>
            <w:tcBorders>
              <w:top w:val="single" w:sz="4" w:space="0" w:color="auto"/>
              <w:bottom w:val="single" w:sz="4" w:space="0" w:color="auto"/>
              <w:right w:val="single" w:sz="4" w:space="0" w:color="auto"/>
            </w:tcBorders>
          </w:tcPr>
          <w:p w14:paraId="2C58E791" w14:textId="77777777" w:rsidR="00D81438" w:rsidRPr="00BC4CD8" w:rsidRDefault="00BC4CD8" w:rsidP="00D81438">
            <w:pPr>
              <w:pStyle w:val="TableTextBase"/>
              <w:rPr>
                <w:sz w:val="16"/>
                <w:szCs w:val="16"/>
              </w:rPr>
            </w:pPr>
            <w:r w:rsidRPr="00BC4CD8">
              <w:rPr>
                <w:sz w:val="16"/>
                <w:szCs w:val="16"/>
              </w:rPr>
              <w:t>Forward e</w:t>
            </w:r>
            <w:r w:rsidR="009A727A" w:rsidRPr="00BC4CD8">
              <w:rPr>
                <w:sz w:val="16"/>
                <w:szCs w:val="16"/>
              </w:rPr>
              <w:t xml:space="preserve">stimates </w:t>
            </w:r>
            <w:r w:rsidR="00D81438" w:rsidRPr="00BC4CD8">
              <w:rPr>
                <w:sz w:val="16"/>
                <w:szCs w:val="16"/>
              </w:rPr>
              <w:t>2023</w:t>
            </w:r>
            <w:r w:rsidR="009A727A" w:rsidRPr="00BC4CD8">
              <w:rPr>
                <w:sz w:val="16"/>
                <w:szCs w:val="16"/>
              </w:rPr>
              <w:noBreakHyphen/>
            </w:r>
            <w:r w:rsidR="00D81438" w:rsidRPr="00BC4CD8">
              <w:rPr>
                <w:sz w:val="16"/>
                <w:szCs w:val="16"/>
              </w:rPr>
              <w:t>26</w:t>
            </w:r>
          </w:p>
        </w:tc>
        <w:tc>
          <w:tcPr>
            <w:tcW w:w="3118" w:type="dxa"/>
            <w:tcBorders>
              <w:top w:val="single" w:sz="4" w:space="0" w:color="auto"/>
              <w:left w:val="single" w:sz="4" w:space="0" w:color="auto"/>
              <w:bottom w:val="single" w:sz="4" w:space="0" w:color="auto"/>
              <w:right w:val="single" w:sz="4" w:space="0" w:color="auto"/>
            </w:tcBorders>
          </w:tcPr>
          <w:p w14:paraId="69B876AC" w14:textId="77777777" w:rsidR="00D81438" w:rsidRPr="00BC4CD8" w:rsidRDefault="00D81438" w:rsidP="00D81438">
            <w:pPr>
              <w:pStyle w:val="TableTextBase"/>
              <w:rPr>
                <w:b/>
                <w:sz w:val="16"/>
                <w:szCs w:val="16"/>
              </w:rPr>
            </w:pPr>
            <w:r w:rsidRPr="00BC4CD8">
              <w:rPr>
                <w:i/>
                <w:sz w:val="16"/>
                <w:szCs w:val="16"/>
              </w:rPr>
              <w:t>As per 2022-23</w:t>
            </w:r>
          </w:p>
        </w:tc>
        <w:tc>
          <w:tcPr>
            <w:tcW w:w="3118" w:type="dxa"/>
            <w:tcBorders>
              <w:top w:val="single" w:sz="4" w:space="0" w:color="auto"/>
              <w:left w:val="single" w:sz="4" w:space="0" w:color="auto"/>
              <w:bottom w:val="single" w:sz="4" w:space="0" w:color="auto"/>
            </w:tcBorders>
          </w:tcPr>
          <w:p w14:paraId="64AD8BE2" w14:textId="77777777" w:rsidR="00D81438" w:rsidRPr="00BC4CD8" w:rsidRDefault="00D81438" w:rsidP="00D81438">
            <w:pPr>
              <w:pStyle w:val="TableTextBase"/>
              <w:rPr>
                <w:b/>
                <w:sz w:val="16"/>
                <w:szCs w:val="16"/>
              </w:rPr>
            </w:pPr>
            <w:r w:rsidRPr="00BC4CD8">
              <w:rPr>
                <w:i/>
                <w:sz w:val="16"/>
                <w:szCs w:val="16"/>
              </w:rPr>
              <w:t>As per 2022-23</w:t>
            </w:r>
          </w:p>
        </w:tc>
      </w:tr>
    </w:tbl>
    <w:p w14:paraId="4F05E140" w14:textId="77777777" w:rsidR="00CB359A" w:rsidRPr="00AD42E2" w:rsidRDefault="00CB359A" w:rsidP="00CB359A">
      <w:pPr>
        <w:pStyle w:val="Heading2"/>
      </w:pPr>
      <w:r w:rsidRPr="005B6A94">
        <w:br w:type="page"/>
      </w:r>
      <w:bookmarkStart w:id="615" w:name="_Toc98766409"/>
      <w:bookmarkStart w:id="616" w:name="_Toc98856156"/>
      <w:bookmarkStart w:id="617" w:name="_Toc98932908"/>
      <w:bookmarkStart w:id="618" w:name="_Toc99008164"/>
      <w:bookmarkStart w:id="619" w:name="_Toc99009526"/>
      <w:bookmarkStart w:id="620" w:name="_Toc99010754"/>
      <w:bookmarkStart w:id="621" w:name="_Toc99013989"/>
      <w:bookmarkStart w:id="622" w:name="_Toc99187565"/>
      <w:bookmarkStart w:id="623" w:name="_Toc99269676"/>
      <w:r w:rsidRPr="00AD42E2">
        <w:t>Section 3: Budgeted financial statements</w:t>
      </w:r>
      <w:bookmarkEnd w:id="615"/>
      <w:bookmarkEnd w:id="616"/>
      <w:bookmarkEnd w:id="617"/>
      <w:bookmarkEnd w:id="618"/>
      <w:bookmarkEnd w:id="619"/>
      <w:bookmarkEnd w:id="620"/>
      <w:bookmarkEnd w:id="621"/>
      <w:bookmarkEnd w:id="622"/>
      <w:bookmarkEnd w:id="623"/>
    </w:p>
    <w:p w14:paraId="2F9F4013" w14:textId="77777777" w:rsidR="00CB359A" w:rsidRDefault="00CB359A" w:rsidP="00CB359A">
      <w:r>
        <w:t xml:space="preserve">Section 3 presents budgeted financial statements which provide a comprehensive snapshot of </w:t>
      </w:r>
      <w:r w:rsidR="00BC4CD8">
        <w:t>ILSC’s</w:t>
      </w:r>
      <w:r>
        <w:t xml:space="preserve"> finances for the 2022-23</w:t>
      </w:r>
      <w:r>
        <w:rPr>
          <w:color w:val="00B050"/>
        </w:rPr>
        <w:t xml:space="preserve"> </w:t>
      </w:r>
      <w:r w:rsidR="004C12AF">
        <w:t>Budget year</w:t>
      </w:r>
      <w:r>
        <w:t>, including the impact of budget measures and resourcing on financial statements.</w:t>
      </w:r>
    </w:p>
    <w:p w14:paraId="0B69DAFE" w14:textId="77777777" w:rsidR="00CB359A" w:rsidRPr="005328A9" w:rsidRDefault="00CB359A" w:rsidP="00CB359A">
      <w:pPr>
        <w:pStyle w:val="Heading3"/>
      </w:pPr>
      <w:bookmarkStart w:id="624" w:name="_Toc98766410"/>
      <w:bookmarkStart w:id="625" w:name="_Toc98856157"/>
      <w:bookmarkStart w:id="626" w:name="_Toc98932909"/>
      <w:bookmarkStart w:id="627" w:name="_Toc99008165"/>
      <w:bookmarkStart w:id="628" w:name="_Toc99009527"/>
      <w:bookmarkStart w:id="629" w:name="_Toc99010755"/>
      <w:bookmarkStart w:id="630" w:name="_Toc99013990"/>
      <w:bookmarkStart w:id="631" w:name="_Toc99187566"/>
      <w:bookmarkStart w:id="632" w:name="_Toc99269677"/>
      <w:r w:rsidRPr="005328A9">
        <w:t>3.1</w:t>
      </w:r>
      <w:r w:rsidRPr="005328A9">
        <w:tab/>
        <w:t>Budgeted financial statements</w:t>
      </w:r>
      <w:bookmarkEnd w:id="624"/>
      <w:bookmarkEnd w:id="625"/>
      <w:bookmarkEnd w:id="626"/>
      <w:bookmarkEnd w:id="627"/>
      <w:bookmarkEnd w:id="628"/>
      <w:bookmarkEnd w:id="629"/>
      <w:bookmarkEnd w:id="630"/>
      <w:bookmarkEnd w:id="631"/>
      <w:bookmarkEnd w:id="632"/>
    </w:p>
    <w:p w14:paraId="7702FDB0" w14:textId="77777777" w:rsidR="00CB359A" w:rsidRDefault="00CB359A" w:rsidP="00CB359A">
      <w:pPr>
        <w:pStyle w:val="Heading4"/>
      </w:pPr>
      <w:r>
        <w:t>3.1.2</w:t>
      </w:r>
      <w:r>
        <w:tab/>
        <w:t>Explanatory notes and analysis of budgeted financial statements</w:t>
      </w:r>
    </w:p>
    <w:p w14:paraId="48CB4AB7" w14:textId="77777777" w:rsidR="007E059F" w:rsidRDefault="007E059F" w:rsidP="007E059F">
      <w:pPr>
        <w:rPr>
          <w:rFonts w:ascii="Calibri" w:hAnsi="Calibri"/>
        </w:rPr>
      </w:pPr>
      <w:r>
        <w:rPr>
          <w:lang w:val="en-US"/>
        </w:rPr>
        <w:t xml:space="preserve">The financial statements included in the Portfolio Budget Statements are for the ILSC Group comprising the ILSC (the parent entity) and its wholly owned subsidiaries other than Voyages Indigenous Tourism Australia Pty Ltd </w:t>
      </w:r>
      <w:r w:rsidR="009A727A">
        <w:rPr>
          <w:lang w:val="en-US"/>
        </w:rPr>
        <w:t>which</w:t>
      </w:r>
      <w:r>
        <w:rPr>
          <w:lang w:val="en-US"/>
        </w:rPr>
        <w:t xml:space="preserve"> has been classified as a Public Non-Financial Corporation and is not a general government sector body.</w:t>
      </w:r>
    </w:p>
    <w:p w14:paraId="39FE1909" w14:textId="77777777" w:rsidR="007E059F" w:rsidRDefault="007E059F" w:rsidP="007E059F">
      <w:pPr>
        <w:spacing w:before="240"/>
        <w:rPr>
          <w:lang w:val="en-US"/>
        </w:rPr>
      </w:pPr>
      <w:r>
        <w:rPr>
          <w:lang w:val="en-US"/>
        </w:rPr>
        <w:t xml:space="preserve">The ILSC’s primary source of income is an annual minimum payment of $45 million (in 2010 values) from the ATSILSFF pursuant to section 193(2) of the ATSI Act. </w:t>
      </w:r>
      <w:r>
        <w:rPr>
          <w:lang w:val="en-GB"/>
        </w:rPr>
        <w:t xml:space="preserve">Indexation has been applied annually to the base amount of $45 million since 2010-11.  </w:t>
      </w:r>
      <w:r>
        <w:rPr>
          <w:lang w:val="en-US"/>
        </w:rPr>
        <w:t>Since February 2019, the ATSILSFF has been managed by the Department of Finance</w:t>
      </w:r>
      <w:r w:rsidR="009A727A">
        <w:rPr>
          <w:lang w:val="en-US"/>
        </w:rPr>
        <w:t>,</w:t>
      </w:r>
      <w:r>
        <w:rPr>
          <w:lang w:val="en-US"/>
        </w:rPr>
        <w:t xml:space="preserve"> with the legislated payments being made to the ILSC through the Indigenous Land and Sea Corporation Funding Special Account managed by </w:t>
      </w:r>
      <w:r w:rsidR="00DF29E2">
        <w:rPr>
          <w:lang w:val="en-US"/>
        </w:rPr>
        <w:t>the NIAA</w:t>
      </w:r>
      <w:r>
        <w:rPr>
          <w:lang w:val="en-US"/>
        </w:rPr>
        <w:t>. The total resources for the ILSC’s outcome include the income from the ATSILSFF and represent the funds available to ILSC to carry out its legislated functions. The ATSILSFF payment is recognised as income in the Comprehensive Income Statement (Table 3.1) in the period received.</w:t>
      </w:r>
    </w:p>
    <w:p w14:paraId="64133DD7" w14:textId="77777777" w:rsidR="007E059F" w:rsidRDefault="007E059F" w:rsidP="007E059F">
      <w:pPr>
        <w:spacing w:before="120"/>
        <w:rPr>
          <w:lang w:val="en-US"/>
        </w:rPr>
      </w:pPr>
      <w:r>
        <w:rPr>
          <w:lang w:val="en-US"/>
        </w:rPr>
        <w:t>Under its legislation, the ILSC has the flexibility to invest funds and to roll over funds not expended in previous years.</w:t>
      </w:r>
    </w:p>
    <w:p w14:paraId="51385D90" w14:textId="77777777" w:rsidR="007E059F" w:rsidRDefault="007E059F" w:rsidP="007E059F">
      <w:pPr>
        <w:spacing w:before="120"/>
        <w:rPr>
          <w:lang w:val="en-US"/>
        </w:rPr>
      </w:pPr>
      <w:r>
        <w:rPr>
          <w:lang w:val="en-US"/>
        </w:rPr>
        <w:t>Under section 191H of the ATSI Act, ILSC has the specific power to invest money. Earnings on these investments are represented in the Comprehensive Income Statement (Table 3.1).</w:t>
      </w:r>
    </w:p>
    <w:p w14:paraId="7A6A2BD6" w14:textId="77777777" w:rsidR="007E059F" w:rsidRDefault="007E059F" w:rsidP="007E059F">
      <w:pPr>
        <w:spacing w:before="120"/>
        <w:rPr>
          <w:lang w:val="en-US"/>
        </w:rPr>
      </w:pPr>
      <w:r>
        <w:rPr>
          <w:lang w:val="en-US"/>
        </w:rPr>
        <w:t>Under its legislation, the ILSC acquires interests in land, water and water-related rights for the specific purpose of granting those interests to an Aboriginal or Torres Strait Islander corporation. The ILSC capitalises the interest upon purchase and immediately records provision equivalent to the purchase price. In the Comprehensive Income Statement (Table 3.1), the expenses associated with the purchase and grant of interests are recognised in the period in which the interest is purchased. Expenses associated with projects providing for the management of Indigenous land and/or waters are recognised in the period in which the expenditure is incurred.</w:t>
      </w:r>
    </w:p>
    <w:p w14:paraId="5620985E" w14:textId="77777777" w:rsidR="007E059F" w:rsidRPr="00CF161E" w:rsidRDefault="007E059F" w:rsidP="007E059F">
      <w:pPr>
        <w:pStyle w:val="ExampleText0"/>
        <w:keepLines/>
        <w:spacing w:after="160"/>
        <w:rPr>
          <w:i w:val="0"/>
          <w:iCs/>
        </w:rPr>
      </w:pPr>
      <w:r w:rsidRPr="00CF161E">
        <w:rPr>
          <w:i w:val="0"/>
          <w:iCs/>
          <w:color w:val="auto"/>
          <w:lang w:val="en-US"/>
        </w:rPr>
        <w:t>The ILSC also holds properties for granting that have significant livestock on them. In accordance with Australian Accounting Standards, the ILSC values the livestock on a fair value basis. Accordingly, the change in fair value in any given period is recognised in the Comprehensive Income Statement (Table 3.1)</w:t>
      </w:r>
      <w:r w:rsidRPr="00CF161E">
        <w:rPr>
          <w:i w:val="0"/>
          <w:iCs/>
          <w:color w:val="auto"/>
        </w:rPr>
        <w:t>.</w:t>
      </w:r>
    </w:p>
    <w:p w14:paraId="3B823015" w14:textId="77777777" w:rsidR="00CB359A" w:rsidRPr="00DF29E2" w:rsidRDefault="00CB359A" w:rsidP="00DF29E2">
      <w:pPr>
        <w:pStyle w:val="Heading4"/>
        <w:rPr>
          <w:b w:val="0"/>
        </w:rPr>
      </w:pPr>
      <w:r>
        <w:br w:type="page"/>
      </w:r>
      <w:r w:rsidRPr="00DF29E2">
        <w:rPr>
          <w:rStyle w:val="TableHeadingChar"/>
          <w:b/>
        </w:rPr>
        <w:t>3.2.</w:t>
      </w:r>
      <w:r w:rsidRPr="00DF29E2">
        <w:rPr>
          <w:rStyle w:val="TableHeadingChar"/>
          <w:b/>
        </w:rPr>
        <w:tab/>
        <w:t>Budgeted financial statements tables</w:t>
      </w:r>
    </w:p>
    <w:p w14:paraId="0C7B589E" w14:textId="77777777" w:rsidR="00CB359A" w:rsidRDefault="00CB359A" w:rsidP="00DF29E2">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Pr="00D52088">
        <w:rPr>
          <w:noProof/>
        </w:rPr>
        <w:t xml:space="preserve"> </w:t>
      </w:r>
    </w:p>
    <w:p w14:paraId="730367B5" w14:textId="77777777" w:rsidR="00CB359A" w:rsidRPr="00E4582E" w:rsidRDefault="00BC4CD8" w:rsidP="00CB359A">
      <w:pPr>
        <w:pStyle w:val="TableHeadingcontinued"/>
      </w:pPr>
      <w:r w:rsidRPr="00BC4CD8">
        <w:rPr>
          <w:noProof/>
        </w:rPr>
        <w:drawing>
          <wp:inline distT="0" distB="0" distL="0" distR="0" wp14:anchorId="6547060B" wp14:editId="70BFD35F">
            <wp:extent cx="4895850" cy="4682451"/>
            <wp:effectExtent l="0" t="0" r="0" b="444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95850" cy="4682451"/>
                    </a:xfrm>
                    <a:prstGeom prst="rect">
                      <a:avLst/>
                    </a:prstGeom>
                    <a:noFill/>
                    <a:ln>
                      <a:noFill/>
                    </a:ln>
                  </pic:spPr>
                </pic:pic>
              </a:graphicData>
            </a:graphic>
          </wp:inline>
        </w:drawing>
      </w:r>
      <w:r w:rsidR="00CB359A">
        <w:br w:type="page"/>
      </w:r>
    </w:p>
    <w:p w14:paraId="64AE8170" w14:textId="77777777" w:rsidR="00CB359A" w:rsidRDefault="00CB359A" w:rsidP="00CB359A">
      <w:pPr>
        <w:pStyle w:val="TableHeading"/>
      </w:pPr>
      <w:r w:rsidRPr="00E4582E">
        <w:t>Table</w:t>
      </w:r>
      <w:r>
        <w:t xml:space="preserve"> 3.</w:t>
      </w:r>
      <w:r w:rsidRPr="00E4582E">
        <w:t>2: Budg</w:t>
      </w:r>
      <w:r>
        <w:t xml:space="preserve">eted departmental balance sheet </w:t>
      </w:r>
      <w:r w:rsidRPr="00E4582E">
        <w:t>(as at 30 June)</w:t>
      </w:r>
    </w:p>
    <w:p w14:paraId="15A89B1A" w14:textId="77777777" w:rsidR="00DF29E2" w:rsidRPr="00DF29E2" w:rsidRDefault="00BC4CD8" w:rsidP="00DF29E2">
      <w:pPr>
        <w:spacing w:after="0" w:line="240" w:lineRule="auto"/>
        <w:rPr>
          <w:rFonts w:ascii="Arial" w:hAnsi="Arial" w:cs="Arial"/>
          <w:color w:val="000000"/>
          <w:sz w:val="16"/>
          <w:szCs w:val="16"/>
        </w:rPr>
      </w:pPr>
      <w:r w:rsidRPr="00BC4CD8">
        <w:rPr>
          <w:noProof/>
        </w:rPr>
        <w:drawing>
          <wp:inline distT="0" distB="0" distL="0" distR="0" wp14:anchorId="0A1CDBA0" wp14:editId="10224333">
            <wp:extent cx="4895850" cy="4935323"/>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95850" cy="4935323"/>
                    </a:xfrm>
                    <a:prstGeom prst="rect">
                      <a:avLst/>
                    </a:prstGeom>
                    <a:noFill/>
                    <a:ln>
                      <a:noFill/>
                    </a:ln>
                  </pic:spPr>
                </pic:pic>
              </a:graphicData>
            </a:graphic>
          </wp:inline>
        </w:drawing>
      </w:r>
      <w:r w:rsidR="00DF29E2" w:rsidRPr="00DF29E2">
        <w:rPr>
          <w:rFonts w:ascii="Arial" w:hAnsi="Arial" w:cs="Arial"/>
          <w:color w:val="000000"/>
          <w:sz w:val="16"/>
          <w:szCs w:val="16"/>
        </w:rPr>
        <w:t xml:space="preserve"> Prepared on Australian Accounting Standards basis.</w:t>
      </w:r>
    </w:p>
    <w:p w14:paraId="00530021" w14:textId="77777777" w:rsidR="00DF29E2" w:rsidRPr="00DF29E2" w:rsidRDefault="00DF29E2" w:rsidP="00DF29E2">
      <w:pPr>
        <w:spacing w:after="0" w:line="240" w:lineRule="auto"/>
        <w:rPr>
          <w:rFonts w:ascii="Arial" w:hAnsi="Arial" w:cs="Arial"/>
          <w:color w:val="000000"/>
          <w:sz w:val="16"/>
          <w:szCs w:val="16"/>
        </w:rPr>
      </w:pPr>
      <w:r w:rsidRPr="00DF29E2">
        <w:rPr>
          <w:rFonts w:ascii="Arial" w:hAnsi="Arial" w:cs="Arial"/>
          <w:color w:val="000000"/>
          <w:sz w:val="16"/>
          <w:szCs w:val="16"/>
        </w:rPr>
        <w:t xml:space="preserve">*Equity is the residual interest in assets after the deduction of liabilities. </w:t>
      </w:r>
    </w:p>
    <w:p w14:paraId="0B3890A3" w14:textId="77777777" w:rsidR="00CB359A" w:rsidRPr="00F626C2" w:rsidRDefault="00CB359A" w:rsidP="00CB359A">
      <w:pPr>
        <w:pStyle w:val="TableGraphic"/>
      </w:pPr>
    </w:p>
    <w:p w14:paraId="14117BDC" w14:textId="77777777" w:rsidR="00CB359A" w:rsidRDefault="00CB359A" w:rsidP="00CB359A">
      <w:pPr>
        <w:pStyle w:val="TableHeadingcontinued"/>
        <w:rPr>
          <w:rFonts w:ascii="Times New Roman" w:hAnsi="Times New Roman"/>
        </w:rPr>
      </w:pPr>
      <w:r>
        <w:br w:type="page"/>
      </w:r>
      <w:r w:rsidRPr="00AD42E2">
        <w:t>Table 3.3: Departmental statement of changes in equity — summary of</w:t>
      </w:r>
      <w:r>
        <w:t xml:space="preserve"> movement (Budget year 2022-23</w:t>
      </w:r>
      <w:r w:rsidRPr="00D30CBA">
        <w:t>)</w:t>
      </w:r>
    </w:p>
    <w:p w14:paraId="7DC96314" w14:textId="77777777" w:rsidR="00CB359A" w:rsidRDefault="00CB359A" w:rsidP="00CB359A">
      <w:pPr>
        <w:pStyle w:val="TableGraphic"/>
      </w:pPr>
      <w:r w:rsidRPr="002376AD">
        <w:t xml:space="preserve"> </w:t>
      </w:r>
      <w:r w:rsidRPr="000C196E">
        <w:rPr>
          <w:noProof/>
        </w:rPr>
        <w:t xml:space="preserve"> </w:t>
      </w:r>
      <w:r w:rsidR="00BC4CD8" w:rsidRPr="00BC4CD8">
        <w:rPr>
          <w:noProof/>
        </w:rPr>
        <w:drawing>
          <wp:inline distT="0" distB="0" distL="0" distR="0" wp14:anchorId="0D78A63D" wp14:editId="688E3A2A">
            <wp:extent cx="4358005" cy="2315210"/>
            <wp:effectExtent l="0" t="0" r="4445" b="889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58005" cy="2315210"/>
                    </a:xfrm>
                    <a:prstGeom prst="rect">
                      <a:avLst/>
                    </a:prstGeom>
                    <a:noFill/>
                    <a:ln>
                      <a:noFill/>
                    </a:ln>
                  </pic:spPr>
                </pic:pic>
              </a:graphicData>
            </a:graphic>
          </wp:inline>
        </w:drawing>
      </w:r>
    </w:p>
    <w:p w14:paraId="31EAE1C0" w14:textId="77777777" w:rsidR="00DF29E2" w:rsidRPr="00DF29E2" w:rsidRDefault="00DF29E2" w:rsidP="00DF29E2">
      <w:pPr>
        <w:spacing w:after="0" w:line="240" w:lineRule="auto"/>
        <w:rPr>
          <w:rFonts w:ascii="Arial" w:hAnsi="Arial" w:cs="Arial"/>
          <w:color w:val="000000"/>
          <w:sz w:val="16"/>
          <w:szCs w:val="16"/>
        </w:rPr>
      </w:pPr>
      <w:r w:rsidRPr="00DF29E2">
        <w:rPr>
          <w:rFonts w:ascii="Arial" w:hAnsi="Arial" w:cs="Arial"/>
          <w:color w:val="000000"/>
          <w:sz w:val="16"/>
          <w:szCs w:val="16"/>
        </w:rPr>
        <w:t>Prepared on Australian Accounting Standards basis.</w:t>
      </w:r>
    </w:p>
    <w:p w14:paraId="1AE35F24" w14:textId="77777777" w:rsidR="00CB359A" w:rsidRDefault="00CB359A" w:rsidP="00CB359A">
      <w:pPr>
        <w:pStyle w:val="Source"/>
      </w:pPr>
    </w:p>
    <w:p w14:paraId="1FC59A22" w14:textId="77777777" w:rsidR="00CB359A" w:rsidRPr="00152B2B" w:rsidRDefault="00CB359A" w:rsidP="00CB359A"/>
    <w:p w14:paraId="7AB6CAB6" w14:textId="77777777" w:rsidR="00CB359A" w:rsidRPr="00A00283" w:rsidRDefault="00CB359A" w:rsidP="00CB359A">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518BA971" w14:textId="77777777" w:rsidR="00CB359A" w:rsidRPr="00F10305" w:rsidRDefault="00BC4CD8" w:rsidP="00CB359A">
      <w:pPr>
        <w:pStyle w:val="TableGraphic"/>
        <w:tabs>
          <w:tab w:val="left" w:pos="6237"/>
        </w:tabs>
      </w:pPr>
      <w:r w:rsidRPr="00BC4CD8">
        <w:rPr>
          <w:noProof/>
        </w:rPr>
        <w:drawing>
          <wp:inline distT="0" distB="0" distL="0" distR="0" wp14:anchorId="335A4C74" wp14:editId="2A33C6E6">
            <wp:extent cx="4895850" cy="430561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95850" cy="4305610"/>
                    </a:xfrm>
                    <a:prstGeom prst="rect">
                      <a:avLst/>
                    </a:prstGeom>
                    <a:noFill/>
                    <a:ln>
                      <a:noFill/>
                    </a:ln>
                  </pic:spPr>
                </pic:pic>
              </a:graphicData>
            </a:graphic>
          </wp:inline>
        </w:drawing>
      </w:r>
    </w:p>
    <w:p w14:paraId="75F041AB" w14:textId="77777777" w:rsidR="00CB359A" w:rsidRPr="00A00283" w:rsidRDefault="00CB359A" w:rsidP="00CB359A">
      <w:pPr>
        <w:pStyle w:val="TableHeadingcontinued"/>
      </w:pPr>
      <w:r>
        <w:br w:type="page"/>
      </w:r>
      <w:r w:rsidRPr="00BD210E">
        <w:t>Table</w:t>
      </w:r>
      <w:r>
        <w:t xml:space="preserve"> 3.</w:t>
      </w:r>
      <w:r w:rsidRPr="00BD210E">
        <w:t>4: Budgeted departmental statement of cash flows</w:t>
      </w:r>
      <w:r>
        <w:t xml:space="preserve"> </w:t>
      </w:r>
      <w:r w:rsidRPr="00BD210E">
        <w:t>(for the period ended 30 June) (continued)</w:t>
      </w:r>
    </w:p>
    <w:p w14:paraId="1D14335C" w14:textId="77777777" w:rsidR="00DF29E2" w:rsidRPr="00DF29E2" w:rsidRDefault="00DF29E2" w:rsidP="00DF29E2">
      <w:pPr>
        <w:spacing w:after="0" w:line="240" w:lineRule="auto"/>
        <w:rPr>
          <w:rFonts w:ascii="Arial" w:hAnsi="Arial" w:cs="Arial"/>
          <w:color w:val="000000"/>
          <w:sz w:val="16"/>
          <w:szCs w:val="16"/>
        </w:rPr>
      </w:pPr>
      <w:r w:rsidRPr="00DF29E2">
        <w:rPr>
          <w:noProof/>
        </w:rPr>
        <w:drawing>
          <wp:inline distT="0" distB="0" distL="0" distR="0" wp14:anchorId="1F622758" wp14:editId="138C20E1">
            <wp:extent cx="4895850" cy="243220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95850" cy="2432200"/>
                    </a:xfrm>
                    <a:prstGeom prst="rect">
                      <a:avLst/>
                    </a:prstGeom>
                    <a:noFill/>
                    <a:ln>
                      <a:noFill/>
                    </a:ln>
                  </pic:spPr>
                </pic:pic>
              </a:graphicData>
            </a:graphic>
          </wp:inline>
        </w:drawing>
      </w:r>
      <w:r w:rsidRPr="00DF29E2">
        <w:rPr>
          <w:rFonts w:ascii="Arial" w:hAnsi="Arial" w:cs="Arial"/>
          <w:color w:val="000000"/>
          <w:sz w:val="16"/>
          <w:szCs w:val="16"/>
        </w:rPr>
        <w:t xml:space="preserve"> Prepared on Australian Accounting Standards basis.</w:t>
      </w:r>
    </w:p>
    <w:p w14:paraId="2B031C2D" w14:textId="77777777" w:rsidR="00CB359A" w:rsidRPr="00132F9E" w:rsidRDefault="00CB359A" w:rsidP="00CB359A">
      <w:pPr>
        <w:pStyle w:val="NoSpacing"/>
        <w:rPr>
          <w:rFonts w:ascii="Arial" w:hAnsi="Arial" w:cs="Arial"/>
          <w:sz w:val="16"/>
          <w:szCs w:val="16"/>
        </w:rPr>
      </w:pPr>
    </w:p>
    <w:p w14:paraId="315CB653" w14:textId="77777777" w:rsidR="00CB359A" w:rsidRPr="00A00283" w:rsidRDefault="00CB359A" w:rsidP="00CB359A">
      <w:pPr>
        <w:pStyle w:val="TableHeading"/>
      </w:pPr>
      <w:r>
        <w:br w:type="page"/>
      </w:r>
      <w:r w:rsidRPr="00D30CBA">
        <w:t>Table</w:t>
      </w:r>
      <w:r>
        <w:t xml:space="preserve"> 3.5</w:t>
      </w:r>
      <w:r w:rsidRPr="00D30CBA">
        <w:t xml:space="preserve">: </w:t>
      </w:r>
      <w:r>
        <w:t>Departmental capital budget statement (for the period ended 30 June)</w:t>
      </w:r>
    </w:p>
    <w:p w14:paraId="4CCB6F09" w14:textId="77777777" w:rsidR="00293C6B" w:rsidRDefault="00BC4CD8" w:rsidP="00293C6B">
      <w:pPr>
        <w:spacing w:after="0" w:line="240" w:lineRule="auto"/>
        <w:rPr>
          <w:rFonts w:ascii="Arial" w:hAnsi="Arial" w:cs="Arial"/>
          <w:sz w:val="16"/>
          <w:szCs w:val="16"/>
        </w:rPr>
      </w:pPr>
      <w:r w:rsidRPr="00BC4CD8">
        <w:rPr>
          <w:noProof/>
        </w:rPr>
        <w:drawing>
          <wp:inline distT="0" distB="0" distL="0" distR="0" wp14:anchorId="01D61D47" wp14:editId="0E2DCF7D">
            <wp:extent cx="4895850" cy="2119191"/>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895850" cy="2119191"/>
                    </a:xfrm>
                    <a:prstGeom prst="rect">
                      <a:avLst/>
                    </a:prstGeom>
                    <a:noFill/>
                    <a:ln>
                      <a:noFill/>
                    </a:ln>
                  </pic:spPr>
                </pic:pic>
              </a:graphicData>
            </a:graphic>
          </wp:inline>
        </w:drawing>
      </w:r>
      <w:r w:rsidR="00293C6B" w:rsidRPr="00293C6B">
        <w:rPr>
          <w:rFonts w:ascii="Arial" w:hAnsi="Arial" w:cs="Arial"/>
          <w:sz w:val="16"/>
          <w:szCs w:val="16"/>
        </w:rPr>
        <w:t xml:space="preserve"> Prepared on Australian Accounting Standards basis.</w:t>
      </w:r>
    </w:p>
    <w:p w14:paraId="336F80CA" w14:textId="77777777" w:rsidR="00293C6B" w:rsidRPr="00293C6B" w:rsidRDefault="00293C6B" w:rsidP="00392A48">
      <w:pPr>
        <w:pStyle w:val="ListParagraph"/>
        <w:numPr>
          <w:ilvl w:val="0"/>
          <w:numId w:val="129"/>
        </w:numPr>
        <w:spacing w:after="0" w:line="240" w:lineRule="auto"/>
        <w:rPr>
          <w:rFonts w:ascii="Arial" w:hAnsi="Arial" w:cs="Arial"/>
          <w:sz w:val="16"/>
          <w:szCs w:val="16"/>
        </w:rPr>
      </w:pPr>
      <w:r w:rsidRPr="00293C6B">
        <w:rPr>
          <w:rFonts w:ascii="Arial" w:hAnsi="Arial" w:cs="Arial"/>
          <w:sz w:val="16"/>
          <w:szCs w:val="16"/>
        </w:rPr>
        <w:t>Includes the following s74 external receipts:</w:t>
      </w:r>
      <w:r w:rsidRPr="00293C6B">
        <w:rPr>
          <w:rFonts w:ascii="Arial" w:hAnsi="Arial" w:cs="Arial"/>
          <w:sz w:val="16"/>
          <w:szCs w:val="16"/>
        </w:rPr>
        <w:br/>
        <w:t>- sponsorship, subsidy, gifts or similar contribution;</w:t>
      </w:r>
      <w:r w:rsidRPr="00293C6B">
        <w:rPr>
          <w:rFonts w:ascii="Arial" w:hAnsi="Arial" w:cs="Arial"/>
          <w:sz w:val="16"/>
          <w:szCs w:val="16"/>
        </w:rPr>
        <w:br/>
        <w:t>- internally developed assets; and</w:t>
      </w:r>
      <w:r w:rsidRPr="00293C6B">
        <w:rPr>
          <w:rFonts w:ascii="Arial" w:hAnsi="Arial" w:cs="Arial"/>
          <w:sz w:val="16"/>
          <w:szCs w:val="16"/>
        </w:rPr>
        <w:br/>
        <w:t xml:space="preserve">- proceeds from the sale of assets. </w:t>
      </w:r>
    </w:p>
    <w:p w14:paraId="57AC9B06" w14:textId="77777777" w:rsidR="00CB359A" w:rsidRDefault="00CB359A" w:rsidP="00CB359A">
      <w:pPr>
        <w:pStyle w:val="TableGraphic"/>
      </w:pPr>
    </w:p>
    <w:p w14:paraId="13C426A0" w14:textId="77777777" w:rsidR="00CB359A" w:rsidRDefault="00CB359A" w:rsidP="00CB359A">
      <w:pPr>
        <w:pStyle w:val="ExampleText0"/>
      </w:pPr>
    </w:p>
    <w:p w14:paraId="670A7BC0" w14:textId="77777777" w:rsidR="00B8025D" w:rsidRDefault="00B8025D">
      <w:pPr>
        <w:spacing w:after="0" w:line="240" w:lineRule="auto"/>
        <w:jc w:val="left"/>
        <w:rPr>
          <w:i/>
          <w:color w:val="FF0000"/>
        </w:rPr>
      </w:pPr>
      <w:r>
        <w:br w:type="page"/>
      </w:r>
    </w:p>
    <w:p w14:paraId="183A545C" w14:textId="77777777" w:rsidR="00B8025D" w:rsidRDefault="00B8025D" w:rsidP="00B8025D">
      <w:pPr>
        <w:pStyle w:val="TableHeading"/>
      </w:pP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10C31E93" w14:textId="77777777" w:rsidR="00B8025D" w:rsidRPr="006943D1" w:rsidRDefault="00BC4CD8" w:rsidP="00B8025D">
      <w:pPr>
        <w:pStyle w:val="TableGraphic"/>
      </w:pPr>
      <w:r w:rsidRPr="00BC4CD8">
        <w:rPr>
          <w:noProof/>
        </w:rPr>
        <w:drawing>
          <wp:inline distT="0" distB="0" distL="0" distR="0" wp14:anchorId="0E7DA5B7" wp14:editId="054B038C">
            <wp:extent cx="4895850" cy="410008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95850" cy="4100080"/>
                    </a:xfrm>
                    <a:prstGeom prst="rect">
                      <a:avLst/>
                    </a:prstGeom>
                    <a:noFill/>
                    <a:ln>
                      <a:noFill/>
                    </a:ln>
                  </pic:spPr>
                </pic:pic>
              </a:graphicData>
            </a:graphic>
          </wp:inline>
        </w:drawing>
      </w:r>
    </w:p>
    <w:p w14:paraId="28789604" w14:textId="77777777" w:rsidR="00BC4CD8" w:rsidRDefault="00D917BE" w:rsidP="00BC4CD8">
      <w:pPr>
        <w:spacing w:after="0" w:line="240" w:lineRule="auto"/>
        <w:rPr>
          <w:rFonts w:ascii="Arial" w:hAnsi="Arial" w:cs="Arial"/>
          <w:color w:val="000000"/>
          <w:sz w:val="16"/>
          <w:szCs w:val="16"/>
        </w:rPr>
      </w:pPr>
      <w:r w:rsidRPr="00D917BE">
        <w:rPr>
          <w:rFonts w:ascii="Arial" w:hAnsi="Arial" w:cs="Arial"/>
          <w:color w:val="000000"/>
          <w:sz w:val="16"/>
          <w:szCs w:val="16"/>
        </w:rPr>
        <w:t>Prepared on Australian Accounting Standards basis.</w:t>
      </w:r>
      <w:bookmarkStart w:id="633" w:name="_Toc65243501"/>
      <w:bookmarkStart w:id="634" w:name="_Toc99011806"/>
      <w:bookmarkStart w:id="635" w:name="_Toc99201055"/>
    </w:p>
    <w:p w14:paraId="351FDC2A" w14:textId="77777777" w:rsidR="00BC4CD8" w:rsidRDefault="00BC4CD8">
      <w:pPr>
        <w:spacing w:after="0" w:line="240" w:lineRule="auto"/>
        <w:jc w:val="left"/>
        <w:rPr>
          <w:rFonts w:ascii="Arial" w:hAnsi="Arial" w:cs="Arial"/>
          <w:color w:val="000000"/>
          <w:sz w:val="16"/>
          <w:szCs w:val="16"/>
        </w:rPr>
      </w:pPr>
      <w:r>
        <w:rPr>
          <w:rFonts w:ascii="Arial" w:hAnsi="Arial" w:cs="Arial"/>
          <w:color w:val="000000"/>
          <w:sz w:val="16"/>
          <w:szCs w:val="16"/>
        </w:rPr>
        <w:br w:type="page"/>
      </w:r>
    </w:p>
    <w:p w14:paraId="224E0064" w14:textId="77777777" w:rsidR="00BC4CD8" w:rsidRDefault="00BC4CD8" w:rsidP="00BC4CD8">
      <w:pPr>
        <w:spacing w:after="0" w:line="240" w:lineRule="auto"/>
        <w:sectPr w:rsidR="00BC4CD8" w:rsidSect="00BC4CD8">
          <w:headerReference w:type="even" r:id="rId258"/>
          <w:headerReference w:type="default" r:id="rId259"/>
          <w:footerReference w:type="even" r:id="rId260"/>
          <w:footerReference w:type="default" r:id="rId261"/>
          <w:footerReference w:type="first" r:id="rId262"/>
          <w:type w:val="continuous"/>
          <w:pgSz w:w="11906" w:h="16838" w:code="9"/>
          <w:pgMar w:top="2466" w:right="2098" w:bottom="2466" w:left="2098" w:header="1899" w:footer="1899" w:gutter="0"/>
          <w:cols w:space="708"/>
          <w:titlePg/>
          <w:docGrid w:linePitch="360"/>
        </w:sectPr>
      </w:pPr>
    </w:p>
    <w:p w14:paraId="2571BA98" w14:textId="77777777" w:rsidR="00CC7466" w:rsidRDefault="00CC7466" w:rsidP="00BC4CD8">
      <w:pPr>
        <w:spacing w:after="0" w:line="240" w:lineRule="auto"/>
      </w:pPr>
    </w:p>
    <w:p w14:paraId="171030E3" w14:textId="77777777" w:rsidR="00CC7466" w:rsidRDefault="00CC7466">
      <w:pPr>
        <w:spacing w:after="0" w:line="240" w:lineRule="auto"/>
        <w:jc w:val="left"/>
      </w:pPr>
      <w:r>
        <w:br w:type="page"/>
      </w:r>
    </w:p>
    <w:p w14:paraId="63303BDF" w14:textId="77777777" w:rsidR="00E13C49" w:rsidRDefault="00BC4CD8" w:rsidP="00E13C49">
      <w:pPr>
        <w:spacing w:after="0" w:line="240" w:lineRule="auto"/>
        <w:jc w:val="center"/>
        <w:rPr>
          <w:rFonts w:ascii="Arial" w:hAnsi="Arial" w:cs="Arial"/>
          <w:b/>
          <w:sz w:val="52"/>
        </w:rPr>
      </w:pPr>
      <w:r w:rsidRPr="00E13C49">
        <w:rPr>
          <w:rFonts w:ascii="Arial" w:hAnsi="Arial" w:cs="Arial"/>
          <w:b/>
          <w:sz w:val="52"/>
        </w:rPr>
        <w:t>National Indigenous Australian Agency</w:t>
      </w:r>
    </w:p>
    <w:p w14:paraId="4C75B7D2" w14:textId="77777777" w:rsidR="00E13C49" w:rsidRDefault="00E13C49" w:rsidP="00E13C49">
      <w:pPr>
        <w:spacing w:after="0" w:line="240" w:lineRule="auto"/>
        <w:jc w:val="center"/>
        <w:rPr>
          <w:rFonts w:ascii="Arial" w:hAnsi="Arial" w:cs="Arial"/>
          <w:b/>
          <w:sz w:val="52"/>
        </w:rPr>
      </w:pPr>
    </w:p>
    <w:p w14:paraId="5B19DD03" w14:textId="77777777" w:rsidR="00E13C49" w:rsidRDefault="00E13C49" w:rsidP="00E13C49">
      <w:pPr>
        <w:spacing w:after="0" w:line="240" w:lineRule="auto"/>
        <w:jc w:val="center"/>
        <w:rPr>
          <w:rFonts w:ascii="Arial" w:hAnsi="Arial" w:cs="Arial"/>
          <w:b/>
          <w:sz w:val="52"/>
        </w:rPr>
      </w:pPr>
    </w:p>
    <w:p w14:paraId="0A40A13F" w14:textId="77777777" w:rsidR="00BC4CD8" w:rsidRPr="00E13C49" w:rsidRDefault="00490F43" w:rsidP="00E13C49">
      <w:pPr>
        <w:spacing w:after="0" w:line="240" w:lineRule="auto"/>
        <w:jc w:val="center"/>
        <w:rPr>
          <w:rFonts w:ascii="Arial" w:hAnsi="Arial" w:cs="Arial"/>
          <w:b/>
          <w:sz w:val="52"/>
        </w:rPr>
      </w:pPr>
      <w:r w:rsidRPr="00E13C49">
        <w:rPr>
          <w:rFonts w:ascii="Arial" w:hAnsi="Arial" w:cs="Arial"/>
          <w:b/>
          <w:sz w:val="52"/>
        </w:rPr>
        <w:t>Entity resources and planned performance</w:t>
      </w:r>
      <w:bookmarkEnd w:id="633"/>
      <w:bookmarkEnd w:id="634"/>
      <w:bookmarkEnd w:id="635"/>
    </w:p>
    <w:p w14:paraId="6C76A99A" w14:textId="77777777" w:rsidR="00BC4CD8" w:rsidRDefault="00490F43" w:rsidP="00BC4CD8">
      <w:pPr>
        <w:pStyle w:val="PartHeading-TOC"/>
      </w:pPr>
      <w:r>
        <w:br w:type="page"/>
      </w:r>
    </w:p>
    <w:p w14:paraId="1F55703C" w14:textId="77777777" w:rsidR="00BC4CD8" w:rsidRDefault="00BC4CD8">
      <w:pPr>
        <w:spacing w:after="0" w:line="240" w:lineRule="auto"/>
        <w:jc w:val="left"/>
        <w:sectPr w:rsidR="00BC4CD8" w:rsidSect="00BC4CD8">
          <w:headerReference w:type="even" r:id="rId263"/>
          <w:headerReference w:type="default" r:id="rId264"/>
          <w:footerReference w:type="even" r:id="rId265"/>
          <w:footerReference w:type="default" r:id="rId266"/>
          <w:footerReference w:type="first" r:id="rId267"/>
          <w:type w:val="continuous"/>
          <w:pgSz w:w="11906" w:h="16838" w:code="9"/>
          <w:pgMar w:top="2466" w:right="2098" w:bottom="2466" w:left="2098" w:header="1899" w:footer="1899" w:gutter="0"/>
          <w:cols w:space="708"/>
          <w:vAlign w:val="center"/>
          <w:titlePg/>
          <w:docGrid w:linePitch="360"/>
        </w:sectPr>
      </w:pPr>
      <w:r>
        <w:br w:type="page"/>
      </w:r>
    </w:p>
    <w:p w14:paraId="2BBF67DE" w14:textId="77777777" w:rsidR="00BC4CD8" w:rsidRDefault="00BC4CD8">
      <w:pPr>
        <w:spacing w:after="0" w:line="240" w:lineRule="auto"/>
        <w:jc w:val="left"/>
        <w:rPr>
          <w:rFonts w:ascii="Arial Bold" w:hAnsi="Arial Bold" w:cs="Arial"/>
          <w:b/>
          <w:bCs/>
          <w:kern w:val="28"/>
          <w:sz w:val="52"/>
          <w:szCs w:val="32"/>
        </w:rPr>
      </w:pPr>
    </w:p>
    <w:p w14:paraId="690080B8" w14:textId="77777777" w:rsidR="00BC4CD8" w:rsidRDefault="00BC4CD8" w:rsidP="00BC4CD8">
      <w:pPr>
        <w:pStyle w:val="PartHeading-TOC"/>
        <w:jc w:val="both"/>
        <w:sectPr w:rsidR="00BC4CD8" w:rsidSect="00BC4CD8">
          <w:headerReference w:type="first" r:id="rId268"/>
          <w:footerReference w:type="first" r:id="rId269"/>
          <w:type w:val="continuous"/>
          <w:pgSz w:w="11906" w:h="16838" w:code="9"/>
          <w:pgMar w:top="2466" w:right="2098" w:bottom="2466" w:left="2098" w:header="1899" w:footer="1899" w:gutter="0"/>
          <w:cols w:space="708"/>
          <w:vAlign w:val="center"/>
          <w:titlePg/>
          <w:docGrid w:linePitch="360"/>
        </w:sectPr>
      </w:pPr>
    </w:p>
    <w:p w14:paraId="53570136" w14:textId="77777777" w:rsidR="00490F43" w:rsidRPr="0025622C" w:rsidRDefault="00490F43" w:rsidP="0025622C">
      <w:pPr>
        <w:spacing w:after="0" w:line="240" w:lineRule="auto"/>
        <w:jc w:val="center"/>
        <w:rPr>
          <w:rFonts w:ascii="Arial" w:hAnsi="Arial" w:cs="Arial"/>
          <w:b/>
          <w:sz w:val="36"/>
          <w:szCs w:val="36"/>
        </w:rPr>
      </w:pPr>
      <w:r w:rsidRPr="0025622C">
        <w:rPr>
          <w:rFonts w:ascii="Arial" w:hAnsi="Arial" w:cs="Arial"/>
          <w:b/>
          <w:sz w:val="36"/>
          <w:szCs w:val="36"/>
        </w:rPr>
        <w:t>National Indigenous Australians Agency</w:t>
      </w:r>
    </w:p>
    <w:p w14:paraId="4BD663CF" w14:textId="77777777" w:rsidR="00011CC7" w:rsidRDefault="00490F43">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98856158" w:history="1">
        <w:r w:rsidR="00011CC7" w:rsidRPr="007A64F5">
          <w:rPr>
            <w:rStyle w:val="Hyperlink"/>
            <w:noProof/>
          </w:rPr>
          <w:t>Section 1: Entity overview and resources</w:t>
        </w:r>
        <w:r w:rsidR="00011CC7">
          <w:rPr>
            <w:noProof/>
            <w:webHidden/>
          </w:rPr>
          <w:tab/>
        </w:r>
        <w:r w:rsidR="00011CC7">
          <w:rPr>
            <w:noProof/>
            <w:webHidden/>
          </w:rPr>
          <w:fldChar w:fldCharType="begin"/>
        </w:r>
        <w:r w:rsidR="00011CC7">
          <w:rPr>
            <w:noProof/>
            <w:webHidden/>
          </w:rPr>
          <w:instrText xml:space="preserve"> PAGEREF _Toc98856158 \h </w:instrText>
        </w:r>
        <w:r w:rsidR="00011CC7">
          <w:rPr>
            <w:noProof/>
            <w:webHidden/>
          </w:rPr>
        </w:r>
        <w:r w:rsidR="00011CC7">
          <w:rPr>
            <w:noProof/>
            <w:webHidden/>
          </w:rPr>
          <w:fldChar w:fldCharType="separate"/>
        </w:r>
        <w:r w:rsidR="00AC2929">
          <w:rPr>
            <w:noProof/>
            <w:webHidden/>
          </w:rPr>
          <w:t>211</w:t>
        </w:r>
        <w:r w:rsidR="00011CC7">
          <w:rPr>
            <w:noProof/>
            <w:webHidden/>
          </w:rPr>
          <w:fldChar w:fldCharType="end"/>
        </w:r>
      </w:hyperlink>
    </w:p>
    <w:p w14:paraId="7ABFEB51" w14:textId="77777777" w:rsidR="00011CC7" w:rsidRDefault="00A76B91">
      <w:pPr>
        <w:pStyle w:val="TOC2"/>
        <w:tabs>
          <w:tab w:val="left" w:pos="800"/>
        </w:tabs>
        <w:rPr>
          <w:rFonts w:asciiTheme="minorHAnsi" w:eastAsiaTheme="minorEastAsia" w:hAnsiTheme="minorHAnsi" w:cstheme="minorBidi"/>
          <w:noProof/>
          <w:sz w:val="22"/>
          <w:szCs w:val="22"/>
        </w:rPr>
      </w:pPr>
      <w:hyperlink w:anchor="_Toc98856159" w:history="1">
        <w:r w:rsidR="00011CC7" w:rsidRPr="007A64F5">
          <w:rPr>
            <w:rStyle w:val="Hyperlink"/>
            <w:noProof/>
          </w:rPr>
          <w:t>1.1</w:t>
        </w:r>
        <w:r w:rsidR="00011CC7">
          <w:rPr>
            <w:rFonts w:asciiTheme="minorHAnsi" w:eastAsiaTheme="minorEastAsia" w:hAnsiTheme="minorHAnsi" w:cstheme="minorBidi"/>
            <w:noProof/>
            <w:sz w:val="22"/>
            <w:szCs w:val="22"/>
          </w:rPr>
          <w:tab/>
        </w:r>
        <w:r w:rsidR="00011CC7" w:rsidRPr="007A64F5">
          <w:rPr>
            <w:rStyle w:val="Hyperlink"/>
            <w:noProof/>
          </w:rPr>
          <w:t>Strategic direction statement</w:t>
        </w:r>
        <w:r w:rsidR="00011CC7">
          <w:rPr>
            <w:noProof/>
            <w:webHidden/>
          </w:rPr>
          <w:tab/>
        </w:r>
        <w:r w:rsidR="00011CC7">
          <w:rPr>
            <w:noProof/>
            <w:webHidden/>
          </w:rPr>
          <w:fldChar w:fldCharType="begin"/>
        </w:r>
        <w:r w:rsidR="00011CC7">
          <w:rPr>
            <w:noProof/>
            <w:webHidden/>
          </w:rPr>
          <w:instrText xml:space="preserve"> PAGEREF _Toc98856159 \h </w:instrText>
        </w:r>
        <w:r w:rsidR="00011CC7">
          <w:rPr>
            <w:noProof/>
            <w:webHidden/>
          </w:rPr>
        </w:r>
        <w:r w:rsidR="00011CC7">
          <w:rPr>
            <w:noProof/>
            <w:webHidden/>
          </w:rPr>
          <w:fldChar w:fldCharType="separate"/>
        </w:r>
        <w:r w:rsidR="00AC2929">
          <w:rPr>
            <w:noProof/>
            <w:webHidden/>
          </w:rPr>
          <w:t>211</w:t>
        </w:r>
        <w:r w:rsidR="00011CC7">
          <w:rPr>
            <w:noProof/>
            <w:webHidden/>
          </w:rPr>
          <w:fldChar w:fldCharType="end"/>
        </w:r>
      </w:hyperlink>
    </w:p>
    <w:p w14:paraId="2FB36A94" w14:textId="77777777" w:rsidR="00011CC7" w:rsidRDefault="00A76B91">
      <w:pPr>
        <w:pStyle w:val="TOC2"/>
        <w:tabs>
          <w:tab w:val="left" w:pos="800"/>
        </w:tabs>
        <w:rPr>
          <w:rFonts w:asciiTheme="minorHAnsi" w:eastAsiaTheme="minorEastAsia" w:hAnsiTheme="minorHAnsi" w:cstheme="minorBidi"/>
          <w:noProof/>
          <w:sz w:val="22"/>
          <w:szCs w:val="22"/>
        </w:rPr>
      </w:pPr>
      <w:hyperlink w:anchor="_Toc98856160" w:history="1">
        <w:r w:rsidR="00011CC7" w:rsidRPr="007A64F5">
          <w:rPr>
            <w:rStyle w:val="Hyperlink"/>
            <w:noProof/>
          </w:rPr>
          <w:t>1.2</w:t>
        </w:r>
        <w:r w:rsidR="00011CC7">
          <w:rPr>
            <w:rFonts w:asciiTheme="minorHAnsi" w:eastAsiaTheme="minorEastAsia" w:hAnsiTheme="minorHAnsi" w:cstheme="minorBidi"/>
            <w:noProof/>
            <w:sz w:val="22"/>
            <w:szCs w:val="22"/>
          </w:rPr>
          <w:tab/>
        </w:r>
        <w:r w:rsidR="00011CC7" w:rsidRPr="007A64F5">
          <w:rPr>
            <w:rStyle w:val="Hyperlink"/>
            <w:noProof/>
          </w:rPr>
          <w:t>Entity resource statement</w:t>
        </w:r>
        <w:r w:rsidR="00011CC7">
          <w:rPr>
            <w:noProof/>
            <w:webHidden/>
          </w:rPr>
          <w:tab/>
        </w:r>
        <w:r w:rsidR="00011CC7">
          <w:rPr>
            <w:noProof/>
            <w:webHidden/>
          </w:rPr>
          <w:fldChar w:fldCharType="begin"/>
        </w:r>
        <w:r w:rsidR="00011CC7">
          <w:rPr>
            <w:noProof/>
            <w:webHidden/>
          </w:rPr>
          <w:instrText xml:space="preserve"> PAGEREF _Toc98856160 \h </w:instrText>
        </w:r>
        <w:r w:rsidR="00011CC7">
          <w:rPr>
            <w:noProof/>
            <w:webHidden/>
          </w:rPr>
        </w:r>
        <w:r w:rsidR="00011CC7">
          <w:rPr>
            <w:noProof/>
            <w:webHidden/>
          </w:rPr>
          <w:fldChar w:fldCharType="separate"/>
        </w:r>
        <w:r w:rsidR="00AC2929">
          <w:rPr>
            <w:noProof/>
            <w:webHidden/>
          </w:rPr>
          <w:t>212</w:t>
        </w:r>
        <w:r w:rsidR="00011CC7">
          <w:rPr>
            <w:noProof/>
            <w:webHidden/>
          </w:rPr>
          <w:fldChar w:fldCharType="end"/>
        </w:r>
      </w:hyperlink>
    </w:p>
    <w:p w14:paraId="110C75D4" w14:textId="77777777" w:rsidR="00011CC7" w:rsidRDefault="00A76B91">
      <w:pPr>
        <w:pStyle w:val="TOC2"/>
        <w:tabs>
          <w:tab w:val="left" w:pos="800"/>
        </w:tabs>
        <w:rPr>
          <w:rFonts w:asciiTheme="minorHAnsi" w:eastAsiaTheme="minorEastAsia" w:hAnsiTheme="minorHAnsi" w:cstheme="minorBidi"/>
          <w:noProof/>
          <w:sz w:val="22"/>
          <w:szCs w:val="22"/>
        </w:rPr>
      </w:pPr>
      <w:hyperlink w:anchor="_Toc98856161" w:history="1">
        <w:r w:rsidR="00011CC7" w:rsidRPr="007A64F5">
          <w:rPr>
            <w:rStyle w:val="Hyperlink"/>
            <w:noProof/>
          </w:rPr>
          <w:t>1.3</w:t>
        </w:r>
        <w:r w:rsidR="00011CC7">
          <w:rPr>
            <w:rFonts w:asciiTheme="minorHAnsi" w:eastAsiaTheme="minorEastAsia" w:hAnsiTheme="minorHAnsi" w:cstheme="minorBidi"/>
            <w:noProof/>
            <w:sz w:val="22"/>
            <w:szCs w:val="22"/>
          </w:rPr>
          <w:tab/>
        </w:r>
        <w:r w:rsidR="00011CC7" w:rsidRPr="007A64F5">
          <w:rPr>
            <w:rStyle w:val="Hyperlink"/>
            <w:noProof/>
          </w:rPr>
          <w:t>Budget measures</w:t>
        </w:r>
        <w:r w:rsidR="00011CC7">
          <w:rPr>
            <w:noProof/>
            <w:webHidden/>
          </w:rPr>
          <w:tab/>
        </w:r>
        <w:r w:rsidR="00011CC7">
          <w:rPr>
            <w:noProof/>
            <w:webHidden/>
          </w:rPr>
          <w:fldChar w:fldCharType="begin"/>
        </w:r>
        <w:r w:rsidR="00011CC7">
          <w:rPr>
            <w:noProof/>
            <w:webHidden/>
          </w:rPr>
          <w:instrText xml:space="preserve"> PAGEREF _Toc98856161 \h </w:instrText>
        </w:r>
        <w:r w:rsidR="00011CC7">
          <w:rPr>
            <w:noProof/>
            <w:webHidden/>
          </w:rPr>
        </w:r>
        <w:r w:rsidR="00011CC7">
          <w:rPr>
            <w:noProof/>
            <w:webHidden/>
          </w:rPr>
          <w:fldChar w:fldCharType="separate"/>
        </w:r>
        <w:r w:rsidR="00AC2929">
          <w:rPr>
            <w:noProof/>
            <w:webHidden/>
          </w:rPr>
          <w:t>215</w:t>
        </w:r>
        <w:r w:rsidR="00011CC7">
          <w:rPr>
            <w:noProof/>
            <w:webHidden/>
          </w:rPr>
          <w:fldChar w:fldCharType="end"/>
        </w:r>
      </w:hyperlink>
    </w:p>
    <w:p w14:paraId="2610F320" w14:textId="77777777" w:rsidR="00011CC7" w:rsidRDefault="00A76B91">
      <w:pPr>
        <w:pStyle w:val="TOC1"/>
        <w:rPr>
          <w:rFonts w:asciiTheme="minorHAnsi" w:eastAsiaTheme="minorEastAsia" w:hAnsiTheme="minorHAnsi" w:cstheme="minorBidi"/>
          <w:b w:val="0"/>
          <w:caps w:val="0"/>
          <w:noProof/>
          <w:sz w:val="22"/>
          <w:szCs w:val="22"/>
        </w:rPr>
      </w:pPr>
      <w:hyperlink w:anchor="_Toc98856162" w:history="1">
        <w:r w:rsidR="00011CC7" w:rsidRPr="007A64F5">
          <w:rPr>
            <w:rStyle w:val="Hyperlink"/>
            <w:noProof/>
          </w:rPr>
          <w:t>Section 2: Outcomes and planned performance</w:t>
        </w:r>
        <w:r w:rsidR="00011CC7">
          <w:rPr>
            <w:noProof/>
            <w:webHidden/>
          </w:rPr>
          <w:tab/>
        </w:r>
        <w:r w:rsidR="00011CC7">
          <w:rPr>
            <w:noProof/>
            <w:webHidden/>
          </w:rPr>
          <w:fldChar w:fldCharType="begin"/>
        </w:r>
        <w:r w:rsidR="00011CC7">
          <w:rPr>
            <w:noProof/>
            <w:webHidden/>
          </w:rPr>
          <w:instrText xml:space="preserve"> PAGEREF _Toc98856162 \h </w:instrText>
        </w:r>
        <w:r w:rsidR="00011CC7">
          <w:rPr>
            <w:noProof/>
            <w:webHidden/>
          </w:rPr>
        </w:r>
        <w:r w:rsidR="00011CC7">
          <w:rPr>
            <w:noProof/>
            <w:webHidden/>
          </w:rPr>
          <w:fldChar w:fldCharType="separate"/>
        </w:r>
        <w:r w:rsidR="00AC2929">
          <w:rPr>
            <w:noProof/>
            <w:webHidden/>
          </w:rPr>
          <w:t>217</w:t>
        </w:r>
        <w:r w:rsidR="00011CC7">
          <w:rPr>
            <w:noProof/>
            <w:webHidden/>
          </w:rPr>
          <w:fldChar w:fldCharType="end"/>
        </w:r>
      </w:hyperlink>
    </w:p>
    <w:p w14:paraId="734BD36F" w14:textId="77777777" w:rsidR="00011CC7" w:rsidRDefault="00A76B91">
      <w:pPr>
        <w:pStyle w:val="TOC2"/>
        <w:tabs>
          <w:tab w:val="left" w:pos="800"/>
        </w:tabs>
        <w:rPr>
          <w:rFonts w:asciiTheme="minorHAnsi" w:eastAsiaTheme="minorEastAsia" w:hAnsiTheme="minorHAnsi" w:cstheme="minorBidi"/>
          <w:noProof/>
          <w:sz w:val="22"/>
          <w:szCs w:val="22"/>
        </w:rPr>
      </w:pPr>
      <w:hyperlink w:anchor="_Toc98856163" w:history="1">
        <w:r w:rsidR="00011CC7" w:rsidRPr="007A64F5">
          <w:rPr>
            <w:rStyle w:val="Hyperlink"/>
            <w:noProof/>
          </w:rPr>
          <w:t xml:space="preserve">2.1 </w:t>
        </w:r>
        <w:r w:rsidR="00011CC7">
          <w:rPr>
            <w:rFonts w:asciiTheme="minorHAnsi" w:eastAsiaTheme="minorEastAsia" w:hAnsiTheme="minorHAnsi" w:cstheme="minorBidi"/>
            <w:noProof/>
            <w:sz w:val="22"/>
            <w:szCs w:val="22"/>
          </w:rPr>
          <w:tab/>
        </w:r>
        <w:r w:rsidR="00011CC7" w:rsidRPr="007A64F5">
          <w:rPr>
            <w:rStyle w:val="Hyperlink"/>
            <w:noProof/>
          </w:rPr>
          <w:t>Budgeted expenses and performance for Outcome 1</w:t>
        </w:r>
        <w:r w:rsidR="00011CC7">
          <w:rPr>
            <w:noProof/>
            <w:webHidden/>
          </w:rPr>
          <w:tab/>
        </w:r>
        <w:r w:rsidR="00011CC7">
          <w:rPr>
            <w:noProof/>
            <w:webHidden/>
          </w:rPr>
          <w:fldChar w:fldCharType="begin"/>
        </w:r>
        <w:r w:rsidR="00011CC7">
          <w:rPr>
            <w:noProof/>
            <w:webHidden/>
          </w:rPr>
          <w:instrText xml:space="preserve"> PAGEREF _Toc98856163 \h </w:instrText>
        </w:r>
        <w:r w:rsidR="00011CC7">
          <w:rPr>
            <w:noProof/>
            <w:webHidden/>
          </w:rPr>
        </w:r>
        <w:r w:rsidR="00011CC7">
          <w:rPr>
            <w:noProof/>
            <w:webHidden/>
          </w:rPr>
          <w:fldChar w:fldCharType="separate"/>
        </w:r>
        <w:r w:rsidR="00AC2929">
          <w:rPr>
            <w:noProof/>
            <w:webHidden/>
          </w:rPr>
          <w:t>218</w:t>
        </w:r>
        <w:r w:rsidR="00011CC7">
          <w:rPr>
            <w:noProof/>
            <w:webHidden/>
          </w:rPr>
          <w:fldChar w:fldCharType="end"/>
        </w:r>
      </w:hyperlink>
    </w:p>
    <w:p w14:paraId="3EFB4E19" w14:textId="77777777" w:rsidR="00011CC7" w:rsidRDefault="00A76B91">
      <w:pPr>
        <w:pStyle w:val="TOC1"/>
        <w:rPr>
          <w:rFonts w:asciiTheme="minorHAnsi" w:eastAsiaTheme="minorEastAsia" w:hAnsiTheme="minorHAnsi" w:cstheme="minorBidi"/>
          <w:b w:val="0"/>
          <w:caps w:val="0"/>
          <w:noProof/>
          <w:sz w:val="22"/>
          <w:szCs w:val="22"/>
        </w:rPr>
      </w:pPr>
      <w:hyperlink w:anchor="_Toc98856164" w:history="1">
        <w:r w:rsidR="00011CC7" w:rsidRPr="007A64F5">
          <w:rPr>
            <w:rStyle w:val="Hyperlink"/>
            <w:noProof/>
          </w:rPr>
          <w:t>Section 3: Budgeted financial statements</w:t>
        </w:r>
        <w:r w:rsidR="00011CC7">
          <w:rPr>
            <w:noProof/>
            <w:webHidden/>
          </w:rPr>
          <w:tab/>
        </w:r>
        <w:r w:rsidR="00011CC7">
          <w:rPr>
            <w:noProof/>
            <w:webHidden/>
          </w:rPr>
          <w:fldChar w:fldCharType="begin"/>
        </w:r>
        <w:r w:rsidR="00011CC7">
          <w:rPr>
            <w:noProof/>
            <w:webHidden/>
          </w:rPr>
          <w:instrText xml:space="preserve"> PAGEREF _Toc98856164 \h </w:instrText>
        </w:r>
        <w:r w:rsidR="00011CC7">
          <w:rPr>
            <w:noProof/>
            <w:webHidden/>
          </w:rPr>
        </w:r>
        <w:r w:rsidR="00011CC7">
          <w:rPr>
            <w:noProof/>
            <w:webHidden/>
          </w:rPr>
          <w:fldChar w:fldCharType="separate"/>
        </w:r>
        <w:r w:rsidR="00AC2929">
          <w:rPr>
            <w:noProof/>
            <w:webHidden/>
          </w:rPr>
          <w:t>234</w:t>
        </w:r>
        <w:r w:rsidR="00011CC7">
          <w:rPr>
            <w:noProof/>
            <w:webHidden/>
          </w:rPr>
          <w:fldChar w:fldCharType="end"/>
        </w:r>
      </w:hyperlink>
    </w:p>
    <w:p w14:paraId="49EFE9D3" w14:textId="77777777" w:rsidR="00011CC7" w:rsidRDefault="00A76B91">
      <w:pPr>
        <w:pStyle w:val="TOC2"/>
        <w:tabs>
          <w:tab w:val="left" w:pos="800"/>
        </w:tabs>
        <w:rPr>
          <w:rFonts w:asciiTheme="minorHAnsi" w:eastAsiaTheme="minorEastAsia" w:hAnsiTheme="minorHAnsi" w:cstheme="minorBidi"/>
          <w:noProof/>
          <w:sz w:val="22"/>
          <w:szCs w:val="22"/>
        </w:rPr>
      </w:pPr>
      <w:hyperlink w:anchor="_Toc98856165" w:history="1">
        <w:r w:rsidR="00011CC7" w:rsidRPr="007A64F5">
          <w:rPr>
            <w:rStyle w:val="Hyperlink"/>
            <w:noProof/>
          </w:rPr>
          <w:t>3.1</w:t>
        </w:r>
        <w:r w:rsidR="00011CC7">
          <w:rPr>
            <w:rFonts w:asciiTheme="minorHAnsi" w:eastAsiaTheme="minorEastAsia" w:hAnsiTheme="minorHAnsi" w:cstheme="minorBidi"/>
            <w:noProof/>
            <w:sz w:val="22"/>
            <w:szCs w:val="22"/>
          </w:rPr>
          <w:tab/>
        </w:r>
        <w:r w:rsidR="00011CC7" w:rsidRPr="007A64F5">
          <w:rPr>
            <w:rStyle w:val="Hyperlink"/>
            <w:noProof/>
          </w:rPr>
          <w:t>Budgeted financial statements</w:t>
        </w:r>
        <w:r w:rsidR="00011CC7">
          <w:rPr>
            <w:noProof/>
            <w:webHidden/>
          </w:rPr>
          <w:tab/>
        </w:r>
        <w:r w:rsidR="00011CC7">
          <w:rPr>
            <w:noProof/>
            <w:webHidden/>
          </w:rPr>
          <w:fldChar w:fldCharType="begin"/>
        </w:r>
        <w:r w:rsidR="00011CC7">
          <w:rPr>
            <w:noProof/>
            <w:webHidden/>
          </w:rPr>
          <w:instrText xml:space="preserve"> PAGEREF _Toc98856165 \h </w:instrText>
        </w:r>
        <w:r w:rsidR="00011CC7">
          <w:rPr>
            <w:noProof/>
            <w:webHidden/>
          </w:rPr>
        </w:r>
        <w:r w:rsidR="00011CC7">
          <w:rPr>
            <w:noProof/>
            <w:webHidden/>
          </w:rPr>
          <w:fldChar w:fldCharType="separate"/>
        </w:r>
        <w:r w:rsidR="00AC2929">
          <w:rPr>
            <w:noProof/>
            <w:webHidden/>
          </w:rPr>
          <w:t>234</w:t>
        </w:r>
        <w:r w:rsidR="00011CC7">
          <w:rPr>
            <w:noProof/>
            <w:webHidden/>
          </w:rPr>
          <w:fldChar w:fldCharType="end"/>
        </w:r>
      </w:hyperlink>
    </w:p>
    <w:p w14:paraId="13EA2E34" w14:textId="77777777" w:rsidR="00732889" w:rsidRPr="00732889" w:rsidRDefault="00490F43" w:rsidP="00732889">
      <w:pPr>
        <w:pStyle w:val="TOC1"/>
        <w:rPr>
          <w:b w:val="0"/>
          <w:kern w:val="34"/>
          <w:sz w:val="36"/>
        </w:rPr>
      </w:pPr>
      <w:r>
        <w:fldChar w:fldCharType="end"/>
      </w:r>
    </w:p>
    <w:p w14:paraId="19FB3F9C" w14:textId="77777777" w:rsidR="00732889" w:rsidRDefault="00732889">
      <w:pPr>
        <w:spacing w:after="0" w:line="240" w:lineRule="auto"/>
        <w:jc w:val="left"/>
        <w:rPr>
          <w:rFonts w:ascii="Arial Bold" w:hAnsi="Arial Bold"/>
          <w:b/>
          <w:kern w:val="34"/>
          <w:sz w:val="36"/>
        </w:rPr>
        <w:sectPr w:rsidR="00732889" w:rsidSect="00BC4CD8">
          <w:type w:val="continuous"/>
          <w:pgSz w:w="11906" w:h="16838" w:code="9"/>
          <w:pgMar w:top="2466" w:right="2098" w:bottom="2466" w:left="2098" w:header="1899" w:footer="1899" w:gutter="0"/>
          <w:cols w:space="708"/>
          <w:titlePg/>
          <w:docGrid w:linePitch="360"/>
        </w:sectPr>
      </w:pPr>
    </w:p>
    <w:p w14:paraId="56C3F86C" w14:textId="77777777" w:rsidR="00732889" w:rsidRDefault="00732889" w:rsidP="00490F43">
      <w:pPr>
        <w:pStyle w:val="Heading1"/>
        <w:jc w:val="left"/>
        <w:sectPr w:rsidR="00732889" w:rsidSect="00732889">
          <w:footerReference w:type="first" r:id="rId270"/>
          <w:pgSz w:w="11906" w:h="16838" w:code="9"/>
          <w:pgMar w:top="2466" w:right="2098" w:bottom="2466" w:left="2098" w:header="1899" w:footer="1899" w:gutter="0"/>
          <w:cols w:space="708"/>
          <w:titlePg/>
          <w:docGrid w:linePitch="360"/>
        </w:sectPr>
      </w:pPr>
    </w:p>
    <w:p w14:paraId="371E1C47" w14:textId="77777777" w:rsidR="00490F43" w:rsidRDefault="00490F43" w:rsidP="007375F1">
      <w:pPr>
        <w:pStyle w:val="Heading1"/>
      </w:pPr>
      <w:bookmarkStart w:id="636" w:name="_Toc99201056"/>
      <w:r>
        <w:t>National Indigenous Australians Agency</w:t>
      </w:r>
      <w:bookmarkEnd w:id="636"/>
    </w:p>
    <w:p w14:paraId="192FAFDB" w14:textId="77777777" w:rsidR="00490F43" w:rsidRPr="002C4D41" w:rsidRDefault="00490F43" w:rsidP="00490F43">
      <w:pPr>
        <w:pStyle w:val="Heading2"/>
      </w:pPr>
      <w:bookmarkStart w:id="637" w:name="_Toc98856158"/>
      <w:bookmarkStart w:id="638" w:name="_Toc98932910"/>
      <w:bookmarkStart w:id="639" w:name="_Toc99008166"/>
      <w:bookmarkStart w:id="640" w:name="_Toc99009528"/>
      <w:bookmarkStart w:id="641" w:name="_Toc99010756"/>
      <w:bookmarkStart w:id="642" w:name="_Toc99013991"/>
      <w:bookmarkStart w:id="643" w:name="_Toc99187567"/>
      <w:bookmarkStart w:id="644" w:name="_Toc99269678"/>
      <w:r w:rsidRPr="002C4D41">
        <w:t>Section 1: Entity overview and resources</w:t>
      </w:r>
      <w:bookmarkEnd w:id="637"/>
      <w:bookmarkEnd w:id="638"/>
      <w:bookmarkEnd w:id="639"/>
      <w:bookmarkEnd w:id="640"/>
      <w:bookmarkEnd w:id="641"/>
      <w:bookmarkEnd w:id="642"/>
      <w:bookmarkEnd w:id="643"/>
      <w:bookmarkEnd w:id="644"/>
    </w:p>
    <w:p w14:paraId="557A12CA" w14:textId="77777777" w:rsidR="00490F43" w:rsidRPr="00B10E12" w:rsidRDefault="00490F43" w:rsidP="008A2254">
      <w:pPr>
        <w:pStyle w:val="Heading3"/>
        <w:numPr>
          <w:ilvl w:val="1"/>
          <w:numId w:val="75"/>
        </w:numPr>
        <w:spacing w:before="360"/>
      </w:pPr>
      <w:bookmarkStart w:id="645" w:name="_Toc98856159"/>
      <w:bookmarkStart w:id="646" w:name="_Toc98932911"/>
      <w:bookmarkStart w:id="647" w:name="_Toc99008167"/>
      <w:bookmarkStart w:id="648" w:name="_Toc99009529"/>
      <w:bookmarkStart w:id="649" w:name="_Toc99010757"/>
      <w:bookmarkStart w:id="650" w:name="_Toc99013992"/>
      <w:bookmarkStart w:id="651" w:name="_Toc99187568"/>
      <w:bookmarkStart w:id="652" w:name="_Toc99269679"/>
      <w:r>
        <w:t>Strategic direction statement</w:t>
      </w:r>
      <w:bookmarkEnd w:id="645"/>
      <w:bookmarkEnd w:id="646"/>
      <w:bookmarkEnd w:id="647"/>
      <w:bookmarkEnd w:id="648"/>
      <w:bookmarkEnd w:id="649"/>
      <w:bookmarkEnd w:id="650"/>
      <w:bookmarkEnd w:id="651"/>
      <w:bookmarkEnd w:id="652"/>
    </w:p>
    <w:p w14:paraId="472FABFE" w14:textId="77777777" w:rsidR="00A650F2" w:rsidRPr="002A3098" w:rsidRDefault="00A650F2" w:rsidP="00A650F2">
      <w:pPr>
        <w:pStyle w:val="Heading3"/>
        <w:rPr>
          <w:rFonts w:ascii="Book Antiqua" w:hAnsi="Book Antiqua" w:cstheme="minorHAnsi"/>
          <w:b w:val="0"/>
          <w:sz w:val="20"/>
        </w:rPr>
      </w:pPr>
      <w:bookmarkStart w:id="653" w:name="_Toc99269680"/>
      <w:r w:rsidRPr="002A3098">
        <w:rPr>
          <w:rFonts w:ascii="Book Antiqua" w:hAnsi="Book Antiqua" w:cstheme="minorHAnsi"/>
          <w:b w:val="0"/>
          <w:sz w:val="20"/>
        </w:rPr>
        <w:t xml:space="preserve">The National Indigenous Australians Agency (NIAA) was established on 1 July 2019, and is responsible for supporting the </w:t>
      </w:r>
      <w:r w:rsidR="00E13C49">
        <w:rPr>
          <w:rFonts w:ascii="Book Antiqua" w:hAnsi="Book Antiqua" w:cstheme="minorHAnsi"/>
          <w:b w:val="0"/>
          <w:sz w:val="20"/>
        </w:rPr>
        <w:t>Australian</w:t>
      </w:r>
      <w:r w:rsidRPr="002A3098">
        <w:rPr>
          <w:rFonts w:ascii="Book Antiqua" w:hAnsi="Book Antiqua" w:cstheme="minorHAnsi"/>
          <w:b w:val="0"/>
          <w:sz w:val="20"/>
        </w:rPr>
        <w:t xml:space="preserve"> Government’s efforts in working with Indigenous Australians by:</w:t>
      </w:r>
      <w:bookmarkEnd w:id="653"/>
    </w:p>
    <w:p w14:paraId="0AE61C99"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54" w:name="_Toc99269681"/>
      <w:r w:rsidRPr="00CA4FDE">
        <w:rPr>
          <w:rFonts w:ascii="Book Antiqua" w:hAnsi="Book Antiqua" w:cstheme="minorHAnsi"/>
          <w:b w:val="0"/>
          <w:sz w:val="20"/>
        </w:rPr>
        <w:t>providing advice to the Minister for Indigenous Australians o</w:t>
      </w:r>
      <w:r w:rsidR="00127656">
        <w:rPr>
          <w:rFonts w:ascii="Book Antiqua" w:hAnsi="Book Antiqua" w:cstheme="minorHAnsi"/>
          <w:b w:val="0"/>
          <w:sz w:val="20"/>
        </w:rPr>
        <w:t>n whole</w:t>
      </w:r>
      <w:r w:rsidR="00127656">
        <w:rPr>
          <w:rFonts w:ascii="Book Antiqua" w:hAnsi="Book Antiqua" w:cstheme="minorHAnsi"/>
          <w:b w:val="0"/>
          <w:sz w:val="20"/>
        </w:rPr>
        <w:noBreakHyphen/>
        <w:t>of</w:t>
      </w:r>
      <w:r w:rsidR="00127656">
        <w:rPr>
          <w:rFonts w:ascii="Book Antiqua" w:hAnsi="Book Antiqua" w:cstheme="minorHAnsi"/>
          <w:b w:val="0"/>
          <w:sz w:val="20"/>
        </w:rPr>
        <w:noBreakHyphen/>
      </w:r>
      <w:r w:rsidRPr="00CA4FDE">
        <w:rPr>
          <w:rFonts w:ascii="Book Antiqua" w:hAnsi="Book Antiqua" w:cstheme="minorHAnsi"/>
          <w:b w:val="0"/>
          <w:sz w:val="20"/>
        </w:rPr>
        <w:t>government priorities for Aboriginal an</w:t>
      </w:r>
      <w:r>
        <w:rPr>
          <w:rFonts w:ascii="Book Antiqua" w:hAnsi="Book Antiqua" w:cstheme="minorHAnsi"/>
          <w:b w:val="0"/>
          <w:sz w:val="20"/>
        </w:rPr>
        <w:t>d Torres Strait Islander people</w:t>
      </w:r>
      <w:bookmarkEnd w:id="654"/>
      <w:r w:rsidRPr="00CA4FDE">
        <w:rPr>
          <w:rFonts w:ascii="Book Antiqua" w:hAnsi="Book Antiqua" w:cstheme="minorHAnsi"/>
          <w:b w:val="0"/>
          <w:sz w:val="20"/>
        </w:rPr>
        <w:t xml:space="preserve"> </w:t>
      </w:r>
    </w:p>
    <w:p w14:paraId="38E3CD95"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55" w:name="_Toc99269682"/>
      <w:r w:rsidRPr="00CA4FDE">
        <w:rPr>
          <w:rFonts w:ascii="Book Antiqua" w:hAnsi="Book Antiqua" w:cstheme="minorHAnsi"/>
          <w:b w:val="0"/>
          <w:sz w:val="20"/>
        </w:rPr>
        <w:t>leading and coordinating the implementation of Australia’s Closing the Gap targets in partners</w:t>
      </w:r>
      <w:r>
        <w:rPr>
          <w:rFonts w:ascii="Book Antiqua" w:hAnsi="Book Antiqua" w:cstheme="minorHAnsi"/>
          <w:b w:val="0"/>
          <w:sz w:val="20"/>
        </w:rPr>
        <w:t>hip with Indigenous Australians,</w:t>
      </w:r>
      <w:r w:rsidRPr="00CA4FDE">
        <w:rPr>
          <w:rFonts w:ascii="Book Antiqua" w:hAnsi="Book Antiqua" w:cstheme="minorHAnsi"/>
          <w:b w:val="0"/>
          <w:sz w:val="20"/>
        </w:rPr>
        <w:t xml:space="preserve"> and</w:t>
      </w:r>
      <w:bookmarkEnd w:id="655"/>
    </w:p>
    <w:p w14:paraId="1652A938"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56" w:name="_Toc99269683"/>
      <w:r w:rsidRPr="00CA4FDE">
        <w:rPr>
          <w:rFonts w:ascii="Book Antiqua" w:hAnsi="Book Antiqua" w:cstheme="minorHAnsi"/>
          <w:b w:val="0"/>
          <w:sz w:val="20"/>
        </w:rPr>
        <w:t>building and maintaining effective partnerships with Aboriginal and Torres Strait Islander people, state and territory governments and other stakeholders.</w:t>
      </w:r>
      <w:bookmarkEnd w:id="656"/>
    </w:p>
    <w:p w14:paraId="7C3285E2" w14:textId="77777777" w:rsidR="00A650F2" w:rsidRPr="002A3098" w:rsidRDefault="00A650F2" w:rsidP="00A650F2">
      <w:pPr>
        <w:pStyle w:val="Heading3"/>
        <w:jc w:val="both"/>
        <w:rPr>
          <w:rFonts w:ascii="Book Antiqua" w:hAnsi="Book Antiqua" w:cstheme="minorHAnsi"/>
          <w:b w:val="0"/>
          <w:sz w:val="20"/>
        </w:rPr>
      </w:pPr>
      <w:bookmarkStart w:id="657" w:name="_Toc99269684"/>
      <w:r w:rsidRPr="002A3098">
        <w:rPr>
          <w:rFonts w:ascii="Book Antiqua" w:hAnsi="Book Antiqua" w:cstheme="minorHAnsi"/>
          <w:b w:val="0"/>
          <w:sz w:val="20"/>
        </w:rPr>
        <w:t>In service of these efforts, the NIAA leverages a strong regional footprint which helps us align our policies and our investments with the needs of communities. Through this local presence, and now with the implementation of the Government’s commitment to establish Local and Regional Indigenous Voices, the NIAA is supporting the Australian Government’s efforts to build and maintain effective partnerships with Aboriginal and Torres Strait Islander people – and to ensure the Commonwealth’s policies, programs and services are tailored to the needs of communities.</w:t>
      </w:r>
      <w:bookmarkEnd w:id="657"/>
    </w:p>
    <w:p w14:paraId="39472650" w14:textId="77777777" w:rsidR="00A650F2" w:rsidRPr="002A3098" w:rsidRDefault="00A650F2" w:rsidP="00A650F2">
      <w:pPr>
        <w:pStyle w:val="Heading3"/>
        <w:rPr>
          <w:rFonts w:ascii="Book Antiqua" w:hAnsi="Book Antiqua" w:cstheme="minorHAnsi"/>
          <w:b w:val="0"/>
          <w:sz w:val="20"/>
        </w:rPr>
      </w:pPr>
      <w:bookmarkStart w:id="658" w:name="_Toc99269685"/>
      <w:r>
        <w:rPr>
          <w:rFonts w:ascii="Book Antiqua" w:hAnsi="Book Antiqua" w:cstheme="minorHAnsi"/>
          <w:b w:val="0"/>
          <w:sz w:val="20"/>
        </w:rPr>
        <w:t>In 20</w:t>
      </w:r>
      <w:r w:rsidRPr="002A3098">
        <w:rPr>
          <w:rFonts w:ascii="Book Antiqua" w:hAnsi="Book Antiqua" w:cstheme="minorHAnsi"/>
          <w:b w:val="0"/>
          <w:sz w:val="20"/>
        </w:rPr>
        <w:t>22-23, the NIAA’s key priorities are:</w:t>
      </w:r>
      <w:bookmarkEnd w:id="658"/>
      <w:r w:rsidRPr="002A3098">
        <w:rPr>
          <w:rFonts w:ascii="Book Antiqua" w:hAnsi="Book Antiqua" w:cstheme="minorHAnsi"/>
          <w:b w:val="0"/>
          <w:sz w:val="20"/>
        </w:rPr>
        <w:t xml:space="preserve"> </w:t>
      </w:r>
    </w:p>
    <w:p w14:paraId="7995A499"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59" w:name="_Toc99269686"/>
      <w:r w:rsidRPr="00CA4FDE">
        <w:rPr>
          <w:rFonts w:ascii="Book Antiqua" w:hAnsi="Book Antiqua" w:cstheme="minorHAnsi"/>
          <w:b w:val="0"/>
          <w:sz w:val="20"/>
        </w:rPr>
        <w:t>to continue to implement the Government’s commitments under the National Agreement on Closing the Gap and the Commonwealth Closing the Gap Implementation Plan;</w:t>
      </w:r>
      <w:bookmarkEnd w:id="659"/>
      <w:r w:rsidRPr="00CA4FDE">
        <w:rPr>
          <w:rFonts w:ascii="Book Antiqua" w:hAnsi="Book Antiqua" w:cstheme="minorHAnsi"/>
          <w:b w:val="0"/>
          <w:sz w:val="20"/>
        </w:rPr>
        <w:t xml:space="preserve"> </w:t>
      </w:r>
    </w:p>
    <w:p w14:paraId="7CD8841B"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60" w:name="_Toc99269687"/>
      <w:r w:rsidRPr="00CA4FDE">
        <w:rPr>
          <w:rFonts w:ascii="Book Antiqua" w:hAnsi="Book Antiqua" w:cstheme="minorHAnsi"/>
          <w:b w:val="0"/>
          <w:sz w:val="20"/>
        </w:rPr>
        <w:t xml:space="preserve">to progress the establishment </w:t>
      </w:r>
      <w:r w:rsidR="00127656" w:rsidRPr="00CA4FDE">
        <w:rPr>
          <w:rFonts w:ascii="Book Antiqua" w:hAnsi="Book Antiqua" w:cstheme="minorHAnsi"/>
          <w:b w:val="0"/>
          <w:sz w:val="20"/>
        </w:rPr>
        <w:t>of Local</w:t>
      </w:r>
      <w:r w:rsidRPr="00CA4FDE">
        <w:rPr>
          <w:rFonts w:ascii="Book Antiqua" w:hAnsi="Book Antiqua" w:cstheme="minorHAnsi"/>
          <w:b w:val="0"/>
          <w:sz w:val="20"/>
        </w:rPr>
        <w:t xml:space="preserve"> and Regional Voices;</w:t>
      </w:r>
      <w:bookmarkEnd w:id="660"/>
    </w:p>
    <w:p w14:paraId="1950E9D6"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61" w:name="_Toc99269688"/>
      <w:r w:rsidRPr="00CA4FDE">
        <w:rPr>
          <w:rFonts w:ascii="Book Antiqua" w:hAnsi="Book Antiqua" w:cstheme="minorHAnsi"/>
          <w:b w:val="0"/>
          <w:sz w:val="20"/>
        </w:rPr>
        <w:t>continue to progress the development of a New Remote Engagement Program that will replace the Community Development Program;</w:t>
      </w:r>
      <w:bookmarkEnd w:id="661"/>
    </w:p>
    <w:p w14:paraId="50276B1E"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62" w:name="_Toc99269689"/>
      <w:r w:rsidRPr="00CA4FDE">
        <w:rPr>
          <w:rFonts w:ascii="Book Antiqua" w:hAnsi="Book Antiqua" w:cstheme="minorHAnsi"/>
          <w:b w:val="0"/>
          <w:sz w:val="20"/>
        </w:rPr>
        <w:t>establish the new Northern Territory Aboriginal Investment Corporation; and</w:t>
      </w:r>
      <w:bookmarkEnd w:id="662"/>
    </w:p>
    <w:p w14:paraId="13453677" w14:textId="77777777" w:rsidR="00A650F2" w:rsidRPr="00CA4FDE" w:rsidRDefault="00A650F2" w:rsidP="00392A48">
      <w:pPr>
        <w:pStyle w:val="Heading3"/>
        <w:numPr>
          <w:ilvl w:val="0"/>
          <w:numId w:val="159"/>
        </w:numPr>
        <w:ind w:left="714" w:hanging="357"/>
        <w:rPr>
          <w:rFonts w:ascii="Book Antiqua" w:hAnsi="Book Antiqua" w:cstheme="minorHAnsi"/>
          <w:b w:val="0"/>
          <w:sz w:val="20"/>
        </w:rPr>
      </w:pPr>
      <w:bookmarkStart w:id="663" w:name="_Toc99269690"/>
      <w:r w:rsidRPr="00CA4FDE">
        <w:rPr>
          <w:rFonts w:ascii="Book Antiqua" w:hAnsi="Book Antiqua" w:cstheme="minorHAnsi"/>
          <w:b w:val="0"/>
          <w:sz w:val="20"/>
        </w:rPr>
        <w:t>deliver a new Indigenous Skills and Employment Program.</w:t>
      </w:r>
      <w:bookmarkEnd w:id="663"/>
      <w:r w:rsidRPr="00CA4FDE">
        <w:rPr>
          <w:rFonts w:ascii="Book Antiqua" w:hAnsi="Book Antiqua" w:cstheme="minorHAnsi"/>
          <w:b w:val="0"/>
          <w:sz w:val="20"/>
        </w:rPr>
        <w:t xml:space="preserve">  </w:t>
      </w:r>
    </w:p>
    <w:p w14:paraId="61474187" w14:textId="77777777" w:rsidR="00490F43" w:rsidRDefault="00490F43" w:rsidP="00490F43">
      <w:pPr>
        <w:pStyle w:val="Heading3"/>
      </w:pPr>
      <w:r w:rsidRPr="0079797F">
        <w:br w:type="page"/>
      </w:r>
      <w:bookmarkStart w:id="664" w:name="_Toc98856160"/>
      <w:bookmarkStart w:id="665" w:name="_Toc98932912"/>
      <w:bookmarkStart w:id="666" w:name="_Toc99008168"/>
      <w:bookmarkStart w:id="667" w:name="_Toc99009530"/>
      <w:bookmarkStart w:id="668" w:name="_Toc99010758"/>
      <w:bookmarkStart w:id="669" w:name="_Toc99013993"/>
      <w:bookmarkStart w:id="670" w:name="_Toc99187569"/>
      <w:bookmarkStart w:id="671" w:name="_Toc99269691"/>
      <w:r>
        <w:t>1.2</w:t>
      </w:r>
      <w:r>
        <w:tab/>
        <w:t>Entity resource statement</w:t>
      </w:r>
      <w:bookmarkEnd w:id="664"/>
      <w:bookmarkEnd w:id="665"/>
      <w:bookmarkEnd w:id="666"/>
      <w:bookmarkEnd w:id="667"/>
      <w:bookmarkEnd w:id="668"/>
      <w:bookmarkEnd w:id="669"/>
      <w:bookmarkEnd w:id="670"/>
      <w:bookmarkEnd w:id="671"/>
    </w:p>
    <w:p w14:paraId="05A9D122" w14:textId="77777777" w:rsidR="00490F43" w:rsidRDefault="00490F43" w:rsidP="00490F43">
      <w:r>
        <w:t>Table 1.1 shows the total funding from all sources available to the NIAA for its operations and to deliver programs and services on behalf of the Government.</w:t>
      </w:r>
    </w:p>
    <w:p w14:paraId="5EC8A6D8" w14:textId="77777777" w:rsidR="00490F43" w:rsidRDefault="00490F43" w:rsidP="00490F43">
      <w:r>
        <w:t>The table summarises how resources will be applied by outcome (government strategic policy objectives) and by administered (on behalf of the Government or the public) and departmental (for the NIAA’s operations) classification.</w:t>
      </w:r>
    </w:p>
    <w:p w14:paraId="52B58DBA" w14:textId="77777777" w:rsidR="00490F43" w:rsidRDefault="00490F43" w:rsidP="00490F43">
      <w:r>
        <w:t xml:space="preserve">For more detailed information on special accounts and special appropriations, please refer to </w:t>
      </w:r>
      <w:r w:rsidRPr="00E26765">
        <w:t>Budget Paper No. 4 – Agency Resourcing.</w:t>
      </w:r>
    </w:p>
    <w:p w14:paraId="1A0AE992" w14:textId="77777777" w:rsidR="00490F43" w:rsidRDefault="00490F43" w:rsidP="00490F43">
      <w:r>
        <w:t>Information in this table is presented on a resourcing (that is, appropriations/cash available) basis, while the ‘Budgeted expenses by Outcome 1’ tables in Section 2 and the financial statements in Section 3 are presented on an accrual basis.</w:t>
      </w:r>
    </w:p>
    <w:p w14:paraId="2FAF4714" w14:textId="77777777" w:rsidR="00490F43" w:rsidRDefault="00490F43" w:rsidP="00490F43">
      <w:pPr>
        <w:pStyle w:val="ChartandTableFootnote"/>
        <w:spacing w:after="60"/>
        <w:rPr>
          <w:rFonts w:ascii="Times New Roman" w:hAnsi="Times New Roman"/>
          <w:color w:val="auto"/>
          <w:sz w:val="20"/>
          <w:lang w:val="en-AU" w:eastAsia="en-AU"/>
        </w:rPr>
      </w:pPr>
      <w:r>
        <w:br w:type="page"/>
      </w:r>
      <w:r w:rsidRPr="00147970">
        <w:rPr>
          <w:b/>
          <w:sz w:val="20"/>
        </w:rPr>
        <w:t xml:space="preserve">Table 1.1: NIAA resource statement — Budget estimates for </w:t>
      </w:r>
      <w:r>
        <w:rPr>
          <w:b/>
          <w:sz w:val="20"/>
        </w:rPr>
        <w:t>2022-</w:t>
      </w:r>
      <w:r>
        <w:rPr>
          <w:b/>
          <w:sz w:val="20"/>
          <w:lang w:val="en-AU"/>
        </w:rPr>
        <w:t>23</w:t>
      </w:r>
      <w:r w:rsidRPr="00147970">
        <w:rPr>
          <w:b/>
          <w:sz w:val="20"/>
        </w:rPr>
        <w:t xml:space="preserve"> as at Budget </w:t>
      </w:r>
      <w:r>
        <w:rPr>
          <w:b/>
          <w:sz w:val="20"/>
          <w:lang w:val="en-AU"/>
        </w:rPr>
        <w:t>March 2022</w:t>
      </w:r>
    </w:p>
    <w:p w14:paraId="72469737" w14:textId="77777777" w:rsidR="00490F43" w:rsidRDefault="00E13C49" w:rsidP="00490F43">
      <w:pPr>
        <w:pStyle w:val="ChartandTableFootnote"/>
        <w:spacing w:after="60"/>
      </w:pPr>
      <w:r w:rsidRPr="00E13C49">
        <w:rPr>
          <w:noProof/>
          <w:lang w:val="en-AU" w:eastAsia="en-AU"/>
        </w:rPr>
        <w:drawing>
          <wp:inline distT="0" distB="0" distL="0" distR="0" wp14:anchorId="29D3CFD4" wp14:editId="3DD8B3CF">
            <wp:extent cx="4895850" cy="5619951"/>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895850" cy="5619951"/>
                    </a:xfrm>
                    <a:prstGeom prst="rect">
                      <a:avLst/>
                    </a:prstGeom>
                    <a:noFill/>
                    <a:ln>
                      <a:noFill/>
                    </a:ln>
                  </pic:spPr>
                </pic:pic>
              </a:graphicData>
            </a:graphic>
          </wp:inline>
        </w:drawing>
      </w:r>
    </w:p>
    <w:p w14:paraId="192407BA" w14:textId="77777777" w:rsidR="003835D5" w:rsidRDefault="00490F43" w:rsidP="00E13C49">
      <w:pPr>
        <w:pStyle w:val="ChartandTableFootnote"/>
        <w:spacing w:after="60"/>
      </w:pPr>
      <w:r>
        <w:t xml:space="preserve">All figures shown above are GST </w:t>
      </w:r>
      <w:r w:rsidRPr="00696AA8">
        <w:t>exclusive</w:t>
      </w:r>
      <w:r>
        <w:rPr>
          <w:lang w:val="en-AU"/>
        </w:rPr>
        <w:t>,</w:t>
      </w:r>
      <w:r w:rsidRPr="00696AA8">
        <w:t xml:space="preserve"> </w:t>
      </w:r>
      <w:r>
        <w:t>subsequently</w:t>
      </w:r>
      <w:r w:rsidRPr="00696AA8">
        <w:t xml:space="preserve"> these may not match figures in the cash flow statement.</w:t>
      </w:r>
      <w:r w:rsidR="00E26765">
        <w:br/>
      </w:r>
      <w:r w:rsidRPr="00100FFA">
        <w:t>Prepared on a resourcing (i.e. appropriations available) basis.</w:t>
      </w:r>
    </w:p>
    <w:p w14:paraId="16493008" w14:textId="77777777" w:rsidR="003835D5" w:rsidRPr="003835D5" w:rsidRDefault="003835D5" w:rsidP="00E13C49">
      <w:pPr>
        <w:pStyle w:val="ListParagraph"/>
        <w:numPr>
          <w:ilvl w:val="0"/>
          <w:numId w:val="160"/>
        </w:numPr>
        <w:jc w:val="both"/>
        <w:rPr>
          <w:rFonts w:ascii="Arial" w:hAnsi="Arial" w:cs="Arial"/>
          <w:sz w:val="16"/>
          <w:szCs w:val="16"/>
        </w:rPr>
      </w:pPr>
      <w:r w:rsidRPr="003835D5">
        <w:rPr>
          <w:rFonts w:ascii="Arial" w:hAnsi="Arial" w:cs="Arial"/>
          <w:sz w:val="16"/>
          <w:szCs w:val="16"/>
        </w:rPr>
        <w:t>2021-22 annual appropriations exclude amounts in Appropriation Bill (No. 3) 2021-22 which is yet to</w:t>
      </w:r>
      <w:r w:rsidRPr="003835D5">
        <w:rPr>
          <w:rFonts w:ascii="Arial" w:hAnsi="Arial" w:cs="Arial"/>
          <w:sz w:val="16"/>
          <w:szCs w:val="16"/>
          <w:lang w:val="en-AU"/>
        </w:rPr>
        <w:t xml:space="preserve"> </w:t>
      </w:r>
      <w:r w:rsidRPr="003835D5">
        <w:rPr>
          <w:rFonts w:ascii="Arial" w:hAnsi="Arial" w:cs="Arial"/>
          <w:sz w:val="16"/>
          <w:szCs w:val="16"/>
        </w:rPr>
        <w:t>receive Royal Assent</w:t>
      </w:r>
    </w:p>
    <w:p w14:paraId="10C464FF" w14:textId="77777777" w:rsidR="00E26765" w:rsidRPr="003835D5" w:rsidRDefault="00E26765" w:rsidP="00E13C49">
      <w:pPr>
        <w:pStyle w:val="ListParagraph"/>
        <w:numPr>
          <w:ilvl w:val="0"/>
          <w:numId w:val="160"/>
        </w:numPr>
        <w:jc w:val="both"/>
        <w:rPr>
          <w:rFonts w:ascii="Arial" w:hAnsi="Arial" w:cs="Arial"/>
          <w:sz w:val="16"/>
          <w:szCs w:val="16"/>
        </w:rPr>
      </w:pPr>
      <w:r w:rsidRPr="003835D5">
        <w:rPr>
          <w:rFonts w:ascii="Arial" w:hAnsi="Arial" w:cs="Arial"/>
          <w:sz w:val="16"/>
          <w:szCs w:val="16"/>
        </w:rPr>
        <w:t>Appropriation Bill (No.</w:t>
      </w:r>
      <w:r w:rsidRPr="003835D5">
        <w:rPr>
          <w:rFonts w:ascii="Arial" w:hAnsi="Arial" w:cs="Arial"/>
          <w:sz w:val="16"/>
          <w:szCs w:val="16"/>
          <w:lang w:val="en-AU"/>
        </w:rPr>
        <w:t xml:space="preserve"> </w:t>
      </w:r>
      <w:r w:rsidRPr="003835D5">
        <w:rPr>
          <w:rFonts w:ascii="Arial" w:hAnsi="Arial" w:cs="Arial"/>
          <w:sz w:val="16"/>
          <w:szCs w:val="16"/>
        </w:rPr>
        <w:t xml:space="preserve">1) </w:t>
      </w:r>
      <w:r w:rsidRPr="003835D5">
        <w:rPr>
          <w:rFonts w:ascii="Arial" w:hAnsi="Arial" w:cs="Arial"/>
          <w:sz w:val="16"/>
          <w:szCs w:val="16"/>
          <w:lang w:val="en-AU"/>
        </w:rPr>
        <w:t>2022-23</w:t>
      </w:r>
      <w:r w:rsidRPr="003835D5">
        <w:rPr>
          <w:rFonts w:ascii="Arial" w:hAnsi="Arial" w:cs="Arial"/>
          <w:sz w:val="16"/>
          <w:szCs w:val="16"/>
        </w:rPr>
        <w:t>.</w:t>
      </w:r>
    </w:p>
    <w:p w14:paraId="5963460E" w14:textId="77777777" w:rsidR="00490F43" w:rsidRPr="003835D5" w:rsidRDefault="00490F43" w:rsidP="00E13C49">
      <w:pPr>
        <w:pStyle w:val="ListParagraph"/>
        <w:numPr>
          <w:ilvl w:val="0"/>
          <w:numId w:val="160"/>
        </w:numPr>
        <w:jc w:val="both"/>
        <w:rPr>
          <w:rFonts w:ascii="Arial" w:hAnsi="Arial" w:cs="Arial"/>
          <w:sz w:val="16"/>
          <w:szCs w:val="16"/>
        </w:rPr>
      </w:pPr>
      <w:r w:rsidRPr="003835D5">
        <w:rPr>
          <w:rFonts w:ascii="Arial" w:hAnsi="Arial" w:cs="Arial"/>
          <w:sz w:val="16"/>
          <w:szCs w:val="16"/>
        </w:rPr>
        <w:t>Represents unspent appropriations available from prior year due to the machinery of government changes.</w:t>
      </w:r>
    </w:p>
    <w:p w14:paraId="5083627F" w14:textId="77777777" w:rsidR="00490F43" w:rsidRPr="003835D5" w:rsidRDefault="00490F43" w:rsidP="00E13C49">
      <w:pPr>
        <w:pStyle w:val="ListParagraph"/>
        <w:numPr>
          <w:ilvl w:val="0"/>
          <w:numId w:val="160"/>
        </w:numPr>
        <w:jc w:val="both"/>
        <w:rPr>
          <w:rFonts w:ascii="Arial" w:hAnsi="Arial" w:cs="Arial"/>
          <w:color w:val="000000"/>
          <w:sz w:val="16"/>
          <w:szCs w:val="16"/>
        </w:rPr>
      </w:pPr>
      <w:r w:rsidRPr="003835D5">
        <w:rPr>
          <w:rFonts w:ascii="Arial" w:hAnsi="Arial" w:cs="Arial"/>
          <w:color w:val="000000"/>
          <w:sz w:val="16"/>
          <w:szCs w:val="16"/>
        </w:rPr>
        <w:t xml:space="preserve">Excludes $33.824 million subject to administrative quarantine by Finance or withheld under section 51 of the </w:t>
      </w:r>
      <w:r w:rsidRPr="003835D5">
        <w:rPr>
          <w:rFonts w:ascii="Arial" w:hAnsi="Arial" w:cs="Arial"/>
          <w:i/>
          <w:color w:val="000000"/>
          <w:sz w:val="16"/>
          <w:szCs w:val="16"/>
        </w:rPr>
        <w:t>Public Governance, Performance and Accountability Act 2013</w:t>
      </w:r>
      <w:r w:rsidRPr="003835D5">
        <w:rPr>
          <w:rFonts w:ascii="Arial" w:hAnsi="Arial" w:cs="Arial"/>
          <w:color w:val="000000"/>
          <w:sz w:val="16"/>
          <w:szCs w:val="16"/>
        </w:rPr>
        <w:t xml:space="preserve"> (PGPA Act).</w:t>
      </w:r>
    </w:p>
    <w:p w14:paraId="5B66930D" w14:textId="77777777" w:rsidR="00490F43" w:rsidRPr="003835D5" w:rsidRDefault="00490F43" w:rsidP="00E13C49">
      <w:pPr>
        <w:pStyle w:val="ListParagraph"/>
        <w:numPr>
          <w:ilvl w:val="0"/>
          <w:numId w:val="160"/>
        </w:numPr>
        <w:jc w:val="both"/>
        <w:rPr>
          <w:rFonts w:ascii="Arial" w:hAnsi="Arial" w:cs="Arial"/>
          <w:color w:val="000000"/>
          <w:sz w:val="16"/>
          <w:szCs w:val="16"/>
        </w:rPr>
      </w:pPr>
      <w:r w:rsidRPr="003835D5">
        <w:rPr>
          <w:rFonts w:ascii="Arial" w:hAnsi="Arial" w:cs="Arial"/>
          <w:color w:val="000000"/>
          <w:sz w:val="16"/>
          <w:szCs w:val="16"/>
        </w:rPr>
        <w:t>Exclud</w:t>
      </w:r>
      <w:r w:rsidR="00E26765" w:rsidRPr="003835D5">
        <w:rPr>
          <w:rFonts w:ascii="Arial" w:hAnsi="Arial" w:cs="Arial"/>
          <w:color w:val="000000"/>
          <w:sz w:val="16"/>
          <w:szCs w:val="16"/>
        </w:rPr>
        <w:t>es Departmental capital b</w:t>
      </w:r>
      <w:r w:rsidRPr="003835D5">
        <w:rPr>
          <w:rFonts w:ascii="Arial" w:hAnsi="Arial" w:cs="Arial"/>
          <w:color w:val="000000"/>
          <w:sz w:val="16"/>
          <w:szCs w:val="16"/>
        </w:rPr>
        <w:t xml:space="preserve">udget (DCB). </w:t>
      </w:r>
    </w:p>
    <w:p w14:paraId="09244FAA" w14:textId="77777777" w:rsidR="00E13C49" w:rsidRDefault="00E26765" w:rsidP="00E875D0">
      <w:pPr>
        <w:pStyle w:val="ListParagraph"/>
        <w:numPr>
          <w:ilvl w:val="0"/>
          <w:numId w:val="160"/>
        </w:numPr>
        <w:spacing w:after="0" w:line="240" w:lineRule="auto"/>
        <w:jc w:val="both"/>
        <w:rPr>
          <w:rFonts w:ascii="Arial" w:hAnsi="Arial" w:cs="Arial"/>
          <w:color w:val="000000"/>
          <w:sz w:val="16"/>
          <w:szCs w:val="16"/>
        </w:rPr>
      </w:pPr>
      <w:r w:rsidRPr="00E13C49">
        <w:rPr>
          <w:rFonts w:ascii="Arial" w:hAnsi="Arial" w:cs="Arial"/>
          <w:color w:val="000000"/>
          <w:sz w:val="16"/>
          <w:szCs w:val="16"/>
        </w:rPr>
        <w:t>Estimated external r</w:t>
      </w:r>
      <w:r w:rsidR="00490F43" w:rsidRPr="00E13C49">
        <w:rPr>
          <w:rFonts w:ascii="Arial" w:hAnsi="Arial" w:cs="Arial"/>
          <w:color w:val="000000"/>
          <w:sz w:val="16"/>
          <w:szCs w:val="16"/>
        </w:rPr>
        <w:t>evenue receipts under section 74 of the PGPA Act.</w:t>
      </w:r>
    </w:p>
    <w:p w14:paraId="5110DC7D" w14:textId="77777777" w:rsidR="00490F43" w:rsidRPr="00E13C49" w:rsidRDefault="00E26765" w:rsidP="00E875D0">
      <w:pPr>
        <w:pStyle w:val="ListParagraph"/>
        <w:numPr>
          <w:ilvl w:val="0"/>
          <w:numId w:val="160"/>
        </w:numPr>
        <w:spacing w:after="0" w:line="240" w:lineRule="auto"/>
        <w:jc w:val="both"/>
        <w:rPr>
          <w:rFonts w:ascii="Arial" w:hAnsi="Arial" w:cs="Arial"/>
          <w:color w:val="000000"/>
          <w:sz w:val="16"/>
          <w:szCs w:val="16"/>
        </w:rPr>
      </w:pPr>
      <w:r w:rsidRPr="00E13C49">
        <w:rPr>
          <w:rFonts w:ascii="Arial" w:hAnsi="Arial" w:cs="Arial"/>
          <w:color w:val="000000"/>
          <w:sz w:val="16"/>
          <w:szCs w:val="16"/>
        </w:rPr>
        <w:t>DCBs</w:t>
      </w:r>
      <w:r w:rsidR="00490F43" w:rsidRPr="00E13C49">
        <w:rPr>
          <w:rFonts w:ascii="Arial" w:hAnsi="Arial" w:cs="Arial"/>
          <w:color w:val="000000"/>
          <w:sz w:val="16"/>
          <w:szCs w:val="16"/>
        </w:rPr>
        <w:t xml:space="preserve"> are not separately identified in Appropriation Bill (No.1) and form part of ordinary annual services items. Please refer to Table 3.5 for further details. For accounting purposes, this amount has been designated as a 'contribution by owner'. </w:t>
      </w:r>
    </w:p>
    <w:p w14:paraId="0EE775F0" w14:textId="77777777" w:rsidR="00490F43" w:rsidRDefault="00490F43" w:rsidP="00E13C49">
      <w:pPr>
        <w:numPr>
          <w:ilvl w:val="0"/>
          <w:numId w:val="160"/>
        </w:numPr>
        <w:spacing w:after="0" w:line="240" w:lineRule="auto"/>
        <w:rPr>
          <w:rFonts w:ascii="Arial" w:hAnsi="Arial" w:cs="Arial"/>
          <w:color w:val="000000"/>
          <w:sz w:val="16"/>
          <w:szCs w:val="16"/>
        </w:rPr>
      </w:pPr>
      <w:r>
        <w:rPr>
          <w:rFonts w:ascii="Arial" w:hAnsi="Arial" w:cs="Arial"/>
          <w:color w:val="000000"/>
          <w:sz w:val="16"/>
          <w:szCs w:val="16"/>
        </w:rPr>
        <w:t>Appropriation Bill (No.2) 2022-23.</w:t>
      </w:r>
    </w:p>
    <w:p w14:paraId="60A43973" w14:textId="77777777" w:rsidR="00490F43" w:rsidRPr="009B2E01" w:rsidRDefault="00490F43" w:rsidP="00E13C49">
      <w:pPr>
        <w:pStyle w:val="ListParagraph"/>
        <w:numPr>
          <w:ilvl w:val="0"/>
          <w:numId w:val="160"/>
        </w:numPr>
        <w:spacing w:after="0" w:line="240" w:lineRule="auto"/>
        <w:jc w:val="both"/>
        <w:rPr>
          <w:rFonts w:ascii="Arial" w:hAnsi="Arial" w:cs="Arial"/>
          <w:color w:val="000000"/>
          <w:sz w:val="16"/>
          <w:szCs w:val="16"/>
        </w:rPr>
      </w:pPr>
      <w:r w:rsidRPr="009B2E01">
        <w:rPr>
          <w:rFonts w:ascii="Arial" w:hAnsi="Arial" w:cs="Arial"/>
          <w:color w:val="000000"/>
          <w:sz w:val="16"/>
          <w:szCs w:val="16"/>
        </w:rPr>
        <w:t>Relates to appropriations sought for payment to the States, Territories and local governments in Appropriation Bill (No.2) 2022-23. Outcome 1 - Program 1.2: Children and Schooling includes the National Partnership on Northern Territory Remote Aboriginal Investment (Non-Government Schools) with pay</w:t>
      </w:r>
      <w:r w:rsidR="00E26765">
        <w:rPr>
          <w:rFonts w:ascii="Arial" w:hAnsi="Arial" w:cs="Arial"/>
          <w:color w:val="000000"/>
          <w:sz w:val="16"/>
          <w:szCs w:val="16"/>
        </w:rPr>
        <w:t>ments of $3.6</w:t>
      </w:r>
      <w:r w:rsidRPr="009B2E01">
        <w:rPr>
          <w:rFonts w:ascii="Arial" w:hAnsi="Arial" w:cs="Arial"/>
          <w:color w:val="000000"/>
          <w:sz w:val="16"/>
          <w:szCs w:val="16"/>
        </w:rPr>
        <w:t xml:space="preserve"> million to the Northern Territory in 202</w:t>
      </w:r>
      <w:r w:rsidR="00E26765">
        <w:rPr>
          <w:rFonts w:ascii="Arial" w:hAnsi="Arial" w:cs="Arial"/>
          <w:color w:val="000000"/>
          <w:sz w:val="16"/>
          <w:szCs w:val="16"/>
        </w:rPr>
        <w:t>2</w:t>
      </w:r>
      <w:r>
        <w:rPr>
          <w:rFonts w:ascii="Arial" w:hAnsi="Arial" w:cs="Arial"/>
          <w:color w:val="000000"/>
          <w:sz w:val="16"/>
          <w:szCs w:val="16"/>
        </w:rPr>
        <w:t>-23</w:t>
      </w:r>
      <w:r w:rsidRPr="009B2E01">
        <w:rPr>
          <w:rFonts w:ascii="Arial" w:hAnsi="Arial" w:cs="Arial"/>
          <w:color w:val="000000"/>
          <w:sz w:val="16"/>
          <w:szCs w:val="16"/>
        </w:rPr>
        <w:t xml:space="preserve">. Information on the terms and conditions can be found in the National Partnership on Northern Territory Remote Aboriginal Investment </w:t>
      </w:r>
      <w:r w:rsidR="00E26765">
        <w:rPr>
          <w:rFonts w:ascii="Arial" w:hAnsi="Arial" w:cs="Arial"/>
          <w:sz w:val="16"/>
          <w:szCs w:val="16"/>
        </w:rPr>
        <w:t>–</w:t>
      </w:r>
      <w:r>
        <w:rPr>
          <w:rFonts w:ascii="Arial" w:hAnsi="Arial" w:cs="Arial"/>
          <w:sz w:val="16"/>
          <w:szCs w:val="16"/>
        </w:rPr>
        <w:t xml:space="preserve"> </w:t>
      </w:r>
      <w:hyperlink r:id="rId272" w:history="1">
        <w:r w:rsidR="00E26765" w:rsidRPr="00657D74">
          <w:rPr>
            <w:rStyle w:val="Hyperlink"/>
            <w:rFonts w:ascii="Arial" w:eastAsia="Times New Roman" w:hAnsi="Arial" w:cs="Arial"/>
            <w:sz w:val="16"/>
            <w:szCs w:val="16"/>
            <w:lang w:val="en-AU" w:eastAsia="en-AU"/>
          </w:rPr>
          <w:t>www.federalfinancialrelations.gov.au/sites/federalfinancialrelations.gov.au/files/2020-04/nt_remote_aboriginal_investment_np.pdf</w:t>
        </w:r>
      </w:hyperlink>
      <w:r w:rsidRPr="009B2E01">
        <w:rPr>
          <w:rFonts w:ascii="Arial" w:hAnsi="Arial" w:cs="Arial"/>
          <w:color w:val="000000"/>
          <w:sz w:val="16"/>
          <w:szCs w:val="16"/>
        </w:rPr>
        <w:t xml:space="preserve">. Terms and conditions are made under authority from section 7(2) of the COAG Reform Fund Act 2008 and the Intergovernmental Agreement on Federal Financial Relations. </w:t>
      </w:r>
    </w:p>
    <w:p w14:paraId="173CD2A3" w14:textId="77777777" w:rsidR="00490F43" w:rsidRPr="00AD2209" w:rsidRDefault="00490F43" w:rsidP="00E13C49">
      <w:pPr>
        <w:numPr>
          <w:ilvl w:val="0"/>
          <w:numId w:val="160"/>
        </w:numPr>
        <w:spacing w:after="0" w:line="240" w:lineRule="auto"/>
        <w:rPr>
          <w:rFonts w:ascii="Arial" w:hAnsi="Arial" w:cs="Arial"/>
          <w:color w:val="000000"/>
          <w:sz w:val="16"/>
          <w:szCs w:val="16"/>
        </w:rPr>
      </w:pPr>
      <w:r w:rsidRPr="004010A9">
        <w:rPr>
          <w:rFonts w:ascii="Arial" w:hAnsi="Arial" w:cs="Arial"/>
          <w:color w:val="000000"/>
          <w:sz w:val="16"/>
          <w:szCs w:val="16"/>
        </w:rPr>
        <w:t xml:space="preserve">For further information on special accounts, refer to Budget Paper No. 4 - </w:t>
      </w:r>
      <w:r>
        <w:rPr>
          <w:rFonts w:ascii="Arial" w:hAnsi="Arial" w:cs="Arial"/>
          <w:color w:val="000000"/>
          <w:sz w:val="16"/>
          <w:szCs w:val="16"/>
        </w:rPr>
        <w:t>Agency Resourcing. S</w:t>
      </w:r>
      <w:r w:rsidR="00E26765">
        <w:rPr>
          <w:rFonts w:ascii="Arial" w:hAnsi="Arial" w:cs="Arial"/>
          <w:color w:val="000000"/>
          <w:sz w:val="16"/>
          <w:szCs w:val="16"/>
        </w:rPr>
        <w:t>ee Table </w:t>
      </w:r>
      <w:r w:rsidRPr="004010A9">
        <w:rPr>
          <w:rFonts w:ascii="Arial" w:hAnsi="Arial" w:cs="Arial"/>
          <w:color w:val="000000"/>
          <w:sz w:val="16"/>
          <w:szCs w:val="16"/>
        </w:rPr>
        <w:t>2.1</w:t>
      </w:r>
      <w:r>
        <w:rPr>
          <w:rFonts w:ascii="Arial" w:hAnsi="Arial" w:cs="Arial"/>
          <w:color w:val="000000"/>
          <w:sz w:val="16"/>
          <w:szCs w:val="16"/>
        </w:rPr>
        <w:t>.1</w:t>
      </w:r>
      <w:r w:rsidRPr="004010A9">
        <w:rPr>
          <w:rFonts w:ascii="Arial" w:hAnsi="Arial" w:cs="Arial"/>
          <w:color w:val="000000"/>
          <w:sz w:val="16"/>
          <w:szCs w:val="16"/>
        </w:rPr>
        <w:t xml:space="preserve"> </w:t>
      </w:r>
      <w:r>
        <w:rPr>
          <w:rFonts w:ascii="Arial" w:hAnsi="Arial" w:cs="Arial"/>
          <w:color w:val="000000"/>
          <w:sz w:val="16"/>
          <w:szCs w:val="16"/>
        </w:rPr>
        <w:t>containing</w:t>
      </w:r>
      <w:r w:rsidRPr="004010A9">
        <w:rPr>
          <w:rFonts w:ascii="Arial" w:hAnsi="Arial" w:cs="Arial"/>
          <w:color w:val="000000"/>
          <w:sz w:val="16"/>
          <w:szCs w:val="16"/>
        </w:rPr>
        <w:t xml:space="preserve"> further information on outcome and program expenses broken down by various funding </w:t>
      </w:r>
      <w:r w:rsidRPr="00AD2209">
        <w:rPr>
          <w:rFonts w:ascii="Arial" w:hAnsi="Arial" w:cs="Arial"/>
          <w:color w:val="000000"/>
          <w:sz w:val="16"/>
          <w:szCs w:val="16"/>
        </w:rPr>
        <w:t>sources, e.g. annual appropriations, special appropriations and special accounts.</w:t>
      </w:r>
    </w:p>
    <w:p w14:paraId="1369733C" w14:textId="77777777" w:rsidR="00490F43" w:rsidRPr="009B2E01" w:rsidRDefault="00490F43" w:rsidP="00E13C49">
      <w:pPr>
        <w:pStyle w:val="ListParagraph"/>
        <w:numPr>
          <w:ilvl w:val="0"/>
          <w:numId w:val="160"/>
        </w:numPr>
        <w:jc w:val="both"/>
        <w:rPr>
          <w:rFonts w:ascii="Arial" w:eastAsia="Times New Roman" w:hAnsi="Arial" w:cs="Arial"/>
          <w:color w:val="000000"/>
          <w:sz w:val="16"/>
          <w:szCs w:val="16"/>
          <w:lang w:val="en-AU" w:eastAsia="en-AU"/>
        </w:rPr>
      </w:pPr>
      <w:r w:rsidRPr="00AD2209">
        <w:rPr>
          <w:rFonts w:ascii="Arial" w:hAnsi="Arial" w:cs="Arial"/>
          <w:color w:val="000000"/>
          <w:sz w:val="16"/>
          <w:szCs w:val="16"/>
        </w:rPr>
        <w:t>Amounts credited to the special accounts from administered special appropriation relating to the</w:t>
      </w:r>
      <w:r>
        <w:rPr>
          <w:rFonts w:ascii="Arial" w:hAnsi="Arial" w:cs="Arial"/>
          <w:color w:val="000000"/>
          <w:sz w:val="16"/>
          <w:szCs w:val="16"/>
        </w:rPr>
        <w:t xml:space="preserve"> </w:t>
      </w:r>
      <w:r w:rsidRPr="00AD2209">
        <w:rPr>
          <w:rFonts w:ascii="Arial" w:hAnsi="Arial" w:cs="Arial"/>
          <w:color w:val="000000"/>
          <w:sz w:val="16"/>
          <w:szCs w:val="16"/>
        </w:rPr>
        <w:t>Services for Other Entities and Trust Moneys, and Indigenous Remote Service Delivery Special Account</w:t>
      </w:r>
      <w:r>
        <w:rPr>
          <w:rFonts w:ascii="Arial" w:hAnsi="Arial" w:cs="Arial"/>
          <w:color w:val="000000"/>
          <w:sz w:val="16"/>
          <w:szCs w:val="16"/>
        </w:rPr>
        <w:t>s</w:t>
      </w:r>
      <w:r w:rsidRPr="00AD2209">
        <w:rPr>
          <w:rFonts w:ascii="Arial" w:hAnsi="Arial" w:cs="Arial"/>
          <w:color w:val="000000"/>
          <w:sz w:val="16"/>
          <w:szCs w:val="16"/>
        </w:rPr>
        <w:t xml:space="preserve">. </w:t>
      </w:r>
    </w:p>
    <w:p w14:paraId="4F768B3B" w14:textId="77777777" w:rsidR="00490F43" w:rsidRPr="009B3FD7" w:rsidRDefault="00490F43" w:rsidP="00490F43"/>
    <w:p w14:paraId="11C82663" w14:textId="77777777" w:rsidR="00490F43" w:rsidRPr="005A7C0B" w:rsidRDefault="00490F43" w:rsidP="00490F43">
      <w:pPr>
        <w:pStyle w:val="Heading3"/>
        <w:spacing w:before="0"/>
      </w:pPr>
      <w:r>
        <w:br w:type="page"/>
      </w:r>
      <w:bookmarkStart w:id="672" w:name="_Toc98856161"/>
      <w:bookmarkStart w:id="673" w:name="_Toc98932913"/>
      <w:bookmarkStart w:id="674" w:name="_Toc99008169"/>
      <w:bookmarkStart w:id="675" w:name="_Toc99009531"/>
      <w:bookmarkStart w:id="676" w:name="_Toc99010759"/>
      <w:bookmarkStart w:id="677" w:name="_Toc99013994"/>
      <w:bookmarkStart w:id="678" w:name="_Toc99187570"/>
      <w:bookmarkStart w:id="679" w:name="_Toc99269692"/>
      <w:r w:rsidRPr="005A7C0B">
        <w:t>1.</w:t>
      </w:r>
      <w:r>
        <w:t>3</w:t>
      </w:r>
      <w:r w:rsidRPr="005A7C0B">
        <w:tab/>
        <w:t>Budget measures</w:t>
      </w:r>
      <w:bookmarkEnd w:id="672"/>
      <w:bookmarkEnd w:id="673"/>
      <w:bookmarkEnd w:id="674"/>
      <w:bookmarkEnd w:id="675"/>
      <w:bookmarkEnd w:id="676"/>
      <w:bookmarkEnd w:id="677"/>
      <w:bookmarkEnd w:id="678"/>
      <w:bookmarkEnd w:id="679"/>
    </w:p>
    <w:p w14:paraId="4675502C" w14:textId="77777777" w:rsidR="00490F43" w:rsidRPr="00E26765" w:rsidRDefault="00490F43" w:rsidP="00E26765">
      <w:pPr>
        <w:pStyle w:val="ChartandTableFootnote"/>
        <w:spacing w:after="120"/>
        <w:rPr>
          <w:rFonts w:ascii="Book Antiqua" w:hAnsi="Book Antiqua"/>
          <w:sz w:val="18"/>
          <w:lang w:val="en-AU"/>
        </w:rPr>
      </w:pPr>
      <w:r w:rsidRPr="00E26765">
        <w:rPr>
          <w:rFonts w:ascii="Book Antiqua" w:hAnsi="Book Antiqua"/>
          <w:sz w:val="18"/>
          <w:lang w:val="en-AU"/>
        </w:rPr>
        <w:t>Budget measures in Part 1 relating to the NIAA are detailed in Budget Paper No. 2 and are summarised below.</w:t>
      </w:r>
    </w:p>
    <w:p w14:paraId="1D918845" w14:textId="77777777" w:rsidR="00490F43" w:rsidRPr="001C426E" w:rsidRDefault="00490F43" w:rsidP="00490F43">
      <w:pPr>
        <w:pStyle w:val="TableHeading"/>
      </w:pPr>
      <w:r w:rsidRPr="001C426E">
        <w:t>Table 1.2:</w:t>
      </w:r>
      <w:r>
        <w:rPr>
          <w:lang w:val="en-AU"/>
        </w:rPr>
        <w:t xml:space="preserve"> NIAA </w:t>
      </w:r>
      <w:r w:rsidRPr="001C426E">
        <w:t>2022-23 Budget measures</w:t>
      </w:r>
    </w:p>
    <w:p w14:paraId="73258233" w14:textId="77777777" w:rsidR="00490F43" w:rsidRDefault="00490F43" w:rsidP="007E6BF3">
      <w:pPr>
        <w:pStyle w:val="TableHeading"/>
      </w:pPr>
      <w:r w:rsidRPr="001C426E">
        <w:t>Measures announced since the 2021-22 Mid-Year Economic and Fiscal Outlook (MYEFO)</w:t>
      </w:r>
    </w:p>
    <w:p w14:paraId="0100D525" w14:textId="77777777" w:rsidR="00E875D0" w:rsidRPr="00E875D0" w:rsidRDefault="00E875D0" w:rsidP="00E875D0">
      <w:pPr>
        <w:pStyle w:val="TableGraphic"/>
        <w:rPr>
          <w:lang w:val="x-none" w:eastAsia="x-none"/>
        </w:rPr>
      </w:pPr>
      <w:r w:rsidRPr="00E875D0">
        <w:rPr>
          <w:noProof/>
        </w:rPr>
        <w:drawing>
          <wp:inline distT="0" distB="0" distL="0" distR="0" wp14:anchorId="3D76E417" wp14:editId="151922AC">
            <wp:extent cx="4895850" cy="4683698"/>
            <wp:effectExtent l="0" t="0" r="0" b="317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95850" cy="4683698"/>
                    </a:xfrm>
                    <a:prstGeom prst="rect">
                      <a:avLst/>
                    </a:prstGeom>
                    <a:noFill/>
                    <a:ln>
                      <a:noFill/>
                    </a:ln>
                  </pic:spPr>
                </pic:pic>
              </a:graphicData>
            </a:graphic>
          </wp:inline>
        </w:drawing>
      </w:r>
    </w:p>
    <w:p w14:paraId="17FD8E3D" w14:textId="77777777" w:rsidR="00490F43" w:rsidRDefault="00490F43" w:rsidP="007E6BF3">
      <w:pPr>
        <w:pStyle w:val="ChartandTableFootnote"/>
        <w:rPr>
          <w:noProof/>
          <w:lang w:val="en-AU" w:eastAsia="en-AU"/>
        </w:rPr>
      </w:pPr>
    </w:p>
    <w:p w14:paraId="75466A90" w14:textId="77777777" w:rsidR="00490F43" w:rsidRDefault="00490F43" w:rsidP="00490F43">
      <w:pPr>
        <w:pStyle w:val="TableHeading"/>
        <w:rPr>
          <w:lang w:val="en-AU"/>
        </w:rPr>
      </w:pPr>
      <w:r w:rsidRPr="001C426E">
        <w:t>Table 1.2:</w:t>
      </w:r>
      <w:r>
        <w:rPr>
          <w:lang w:val="en-AU"/>
        </w:rPr>
        <w:t xml:space="preserve"> NIAA </w:t>
      </w:r>
      <w:r w:rsidRPr="001C426E">
        <w:t>2022-23 Budget measures</w:t>
      </w:r>
      <w:r>
        <w:rPr>
          <w:lang w:val="en-AU"/>
        </w:rPr>
        <w:t xml:space="preserve"> (continued)</w:t>
      </w:r>
    </w:p>
    <w:p w14:paraId="297308B1" w14:textId="77777777" w:rsidR="00490F43" w:rsidRPr="00885119" w:rsidRDefault="00E875D0" w:rsidP="00490F43">
      <w:pPr>
        <w:pStyle w:val="TableGraphic"/>
        <w:rPr>
          <w:lang w:eastAsia="x-none"/>
        </w:rPr>
      </w:pPr>
      <w:r w:rsidRPr="00E875D0">
        <w:rPr>
          <w:noProof/>
        </w:rPr>
        <w:drawing>
          <wp:inline distT="0" distB="0" distL="0" distR="0" wp14:anchorId="0053CB93" wp14:editId="29B56486">
            <wp:extent cx="4895850" cy="3644565"/>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95850" cy="3644565"/>
                    </a:xfrm>
                    <a:prstGeom prst="rect">
                      <a:avLst/>
                    </a:prstGeom>
                    <a:noFill/>
                    <a:ln>
                      <a:noFill/>
                    </a:ln>
                  </pic:spPr>
                </pic:pic>
              </a:graphicData>
            </a:graphic>
          </wp:inline>
        </w:drawing>
      </w:r>
    </w:p>
    <w:p w14:paraId="3D213F99" w14:textId="77777777" w:rsidR="007E6BF3" w:rsidRDefault="00490F43" w:rsidP="007E6BF3">
      <w:pPr>
        <w:pStyle w:val="ChartandTableFootnote"/>
      </w:pPr>
      <w:r w:rsidRPr="0016700B">
        <w:t>Prepared on a Government Finance Statistics (Underlying Cash) basis. Figures displayed as a negative (-) represent a decrease in funds and a positive (+) represent an increase in funds.</w:t>
      </w:r>
    </w:p>
    <w:p w14:paraId="3F91AD7E" w14:textId="77777777" w:rsidR="003835D5" w:rsidRPr="003835D5" w:rsidRDefault="003835D5" w:rsidP="00392A48">
      <w:pPr>
        <w:pStyle w:val="ListParagraph"/>
        <w:numPr>
          <w:ilvl w:val="0"/>
          <w:numId w:val="161"/>
        </w:numPr>
        <w:rPr>
          <w:rFonts w:ascii="Arial" w:hAnsi="Arial" w:cs="Arial"/>
          <w:sz w:val="16"/>
          <w:lang w:eastAsia="x-none"/>
        </w:rPr>
      </w:pPr>
      <w:r w:rsidRPr="003835D5">
        <w:rPr>
          <w:rFonts w:ascii="Arial" w:hAnsi="Arial" w:cs="Arial"/>
          <w:sz w:val="16"/>
          <w:lang w:eastAsia="x-none"/>
        </w:rPr>
        <w:t>The funding for NIAA associated with this measure was provided through the 2021-22 Portfolio Additional Estimates Statements (PAES).</w:t>
      </w:r>
    </w:p>
    <w:p w14:paraId="52B99D9A" w14:textId="77777777" w:rsidR="003835D5" w:rsidRPr="003835D5" w:rsidRDefault="003835D5" w:rsidP="00392A48">
      <w:pPr>
        <w:pStyle w:val="ListParagraph"/>
        <w:numPr>
          <w:ilvl w:val="0"/>
          <w:numId w:val="161"/>
        </w:numPr>
        <w:rPr>
          <w:rFonts w:ascii="Arial" w:hAnsi="Arial" w:cs="Arial"/>
          <w:sz w:val="16"/>
          <w:lang w:eastAsia="x-none"/>
        </w:rPr>
      </w:pPr>
      <w:r w:rsidRPr="003835D5">
        <w:rPr>
          <w:rFonts w:ascii="Arial" w:hAnsi="Arial" w:cs="Arial"/>
          <w:sz w:val="16"/>
          <w:lang w:eastAsia="x-none"/>
        </w:rPr>
        <w:t>The financials for this measure are not for publication due to legal sensitivities.</w:t>
      </w:r>
    </w:p>
    <w:p w14:paraId="35E00D30" w14:textId="77777777" w:rsidR="003835D5" w:rsidRPr="003835D5" w:rsidRDefault="003835D5" w:rsidP="00392A48">
      <w:pPr>
        <w:pStyle w:val="ListParagraph"/>
        <w:numPr>
          <w:ilvl w:val="0"/>
          <w:numId w:val="161"/>
        </w:numPr>
        <w:rPr>
          <w:rFonts w:ascii="Arial" w:hAnsi="Arial" w:cs="Arial"/>
          <w:sz w:val="16"/>
          <w:lang w:eastAsia="x-none"/>
        </w:rPr>
      </w:pPr>
      <w:r w:rsidRPr="003835D5">
        <w:rPr>
          <w:rFonts w:ascii="Arial" w:hAnsi="Arial" w:cs="Arial"/>
          <w:sz w:val="16"/>
          <w:lang w:eastAsia="x-none"/>
        </w:rPr>
        <w:t>The funding for NIAA associated with this measure was provided through the 2021-22 PAES, under the measure titled Aboriginal and Torres Strait Islander Statues in the Parliamentary Triangle.</w:t>
      </w:r>
    </w:p>
    <w:p w14:paraId="6F66C805" w14:textId="77777777" w:rsidR="003835D5" w:rsidRPr="003835D5" w:rsidRDefault="003835D5" w:rsidP="00392A48">
      <w:pPr>
        <w:pStyle w:val="ListParagraph"/>
        <w:numPr>
          <w:ilvl w:val="0"/>
          <w:numId w:val="161"/>
        </w:numPr>
        <w:rPr>
          <w:rFonts w:ascii="Arial" w:hAnsi="Arial" w:cs="Arial"/>
          <w:sz w:val="16"/>
          <w:lang w:eastAsia="x-none"/>
        </w:rPr>
      </w:pPr>
      <w:r w:rsidRPr="003835D5">
        <w:rPr>
          <w:rFonts w:ascii="Arial" w:hAnsi="Arial" w:cs="Arial"/>
          <w:sz w:val="16"/>
          <w:lang w:eastAsia="x-none"/>
        </w:rPr>
        <w:t>The lead entity for</w:t>
      </w:r>
      <w:r w:rsidR="00275F56">
        <w:rPr>
          <w:rFonts w:ascii="Arial" w:hAnsi="Arial" w:cs="Arial"/>
          <w:sz w:val="16"/>
          <w:lang w:eastAsia="x-none"/>
        </w:rPr>
        <w:t xml:space="preserve"> this</w:t>
      </w:r>
      <w:r w:rsidRPr="003835D5">
        <w:rPr>
          <w:rFonts w:ascii="Arial" w:hAnsi="Arial" w:cs="Arial"/>
          <w:sz w:val="16"/>
          <w:lang w:eastAsia="x-none"/>
        </w:rPr>
        <w:t xml:space="preserve"> measure</w:t>
      </w:r>
      <w:r w:rsidR="00275F56">
        <w:rPr>
          <w:rFonts w:ascii="Arial" w:hAnsi="Arial" w:cs="Arial"/>
          <w:sz w:val="16"/>
          <w:lang w:eastAsia="x-none"/>
        </w:rPr>
        <w:t xml:space="preserve"> is the</w:t>
      </w:r>
      <w:r w:rsidRPr="003835D5">
        <w:rPr>
          <w:rFonts w:ascii="Arial" w:hAnsi="Arial" w:cs="Arial"/>
          <w:sz w:val="16"/>
          <w:lang w:eastAsia="x-none"/>
        </w:rPr>
        <w:t xml:space="preserve"> Department of Health. The full measure description and package details appear in Budget Paper No. 2 under the </w:t>
      </w:r>
      <w:r w:rsidR="00275F56">
        <w:rPr>
          <w:rFonts w:ascii="Arial" w:hAnsi="Arial" w:cs="Arial"/>
          <w:sz w:val="16"/>
          <w:lang w:eastAsia="x-none"/>
        </w:rPr>
        <w:t>Department of Health</w:t>
      </w:r>
      <w:r w:rsidRPr="003835D5">
        <w:rPr>
          <w:rFonts w:ascii="Arial" w:hAnsi="Arial" w:cs="Arial"/>
          <w:sz w:val="16"/>
          <w:lang w:eastAsia="x-none"/>
        </w:rPr>
        <w:t xml:space="preserve"> portfolio.</w:t>
      </w:r>
    </w:p>
    <w:p w14:paraId="551462FF" w14:textId="77777777" w:rsidR="003835D5" w:rsidRPr="003835D5" w:rsidRDefault="003835D5" w:rsidP="00392A48">
      <w:pPr>
        <w:pStyle w:val="ListParagraph"/>
        <w:numPr>
          <w:ilvl w:val="0"/>
          <w:numId w:val="161"/>
        </w:numPr>
        <w:rPr>
          <w:rFonts w:ascii="Arial" w:hAnsi="Arial" w:cs="Arial"/>
          <w:sz w:val="16"/>
          <w:lang w:eastAsia="x-none"/>
        </w:rPr>
      </w:pPr>
      <w:r w:rsidRPr="003835D5">
        <w:rPr>
          <w:rFonts w:ascii="Arial" w:hAnsi="Arial" w:cs="Arial"/>
          <w:sz w:val="16"/>
          <w:lang w:eastAsia="x-none"/>
        </w:rPr>
        <w:t xml:space="preserve">Part of the funding for NIAA associated with this measure was provided through the 2021-22 PAES, under the measure titled Dawson and Ors V Commonwealth (Community Development Program Class Action. </w:t>
      </w:r>
    </w:p>
    <w:p w14:paraId="0A26C228" w14:textId="77777777" w:rsidR="007E6BF3" w:rsidRPr="003835D5" w:rsidRDefault="00275F56" w:rsidP="00392A48">
      <w:pPr>
        <w:pStyle w:val="ListParagraph"/>
        <w:numPr>
          <w:ilvl w:val="0"/>
          <w:numId w:val="161"/>
        </w:numPr>
        <w:rPr>
          <w:rFonts w:ascii="Arial" w:hAnsi="Arial" w:cs="Arial"/>
          <w:sz w:val="16"/>
          <w:lang w:eastAsia="x-none"/>
        </w:rPr>
      </w:pPr>
      <w:r w:rsidRPr="003835D5">
        <w:rPr>
          <w:rFonts w:ascii="Arial" w:hAnsi="Arial" w:cs="Arial"/>
          <w:sz w:val="16"/>
          <w:lang w:eastAsia="x-none"/>
        </w:rPr>
        <w:t>This is</w:t>
      </w:r>
      <w:r w:rsidR="003835D5" w:rsidRPr="003835D5">
        <w:rPr>
          <w:rFonts w:ascii="Arial" w:hAnsi="Arial" w:cs="Arial"/>
          <w:sz w:val="16"/>
          <w:lang w:eastAsia="x-none"/>
        </w:rPr>
        <w:t xml:space="preserve"> a cross portfolio measure. The full measure description and package details appear in Budget Paper No. 2 under cross portfolio.</w:t>
      </w:r>
    </w:p>
    <w:p w14:paraId="0BF33321" w14:textId="77777777" w:rsidR="00490F43" w:rsidRPr="00810C6A" w:rsidRDefault="00490F43" w:rsidP="00F358CE">
      <w:pPr>
        <w:pStyle w:val="Heading2"/>
      </w:pPr>
      <w:r>
        <w:br w:type="page"/>
      </w:r>
      <w:bookmarkStart w:id="680" w:name="_Toc98856162"/>
      <w:bookmarkStart w:id="681" w:name="_Toc98932914"/>
      <w:bookmarkStart w:id="682" w:name="_Toc99008170"/>
      <w:bookmarkStart w:id="683" w:name="_Toc99009532"/>
      <w:bookmarkStart w:id="684" w:name="_Toc99010760"/>
      <w:bookmarkStart w:id="685" w:name="_Toc99013995"/>
      <w:bookmarkStart w:id="686" w:name="_Toc99187571"/>
      <w:bookmarkStart w:id="687" w:name="_Toc99269693"/>
      <w:r w:rsidRPr="00F358CE">
        <w:rPr>
          <w:sz w:val="22"/>
        </w:rPr>
        <w:t>Section 2: Outcomes and planned performance</w:t>
      </w:r>
      <w:bookmarkEnd w:id="680"/>
      <w:bookmarkEnd w:id="681"/>
      <w:bookmarkEnd w:id="682"/>
      <w:bookmarkEnd w:id="683"/>
      <w:bookmarkEnd w:id="684"/>
      <w:bookmarkEnd w:id="685"/>
      <w:bookmarkEnd w:id="686"/>
      <w:bookmarkEnd w:id="687"/>
    </w:p>
    <w:p w14:paraId="0BFD2E1E" w14:textId="77777777" w:rsidR="00490F43" w:rsidRPr="005E6F2B" w:rsidRDefault="00490F43" w:rsidP="00490F43">
      <w:r w:rsidRPr="005E6F2B">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t>
      </w:r>
      <w:r w:rsidR="00F358CE">
        <w:t>that</w:t>
      </w:r>
      <w:r w:rsidRPr="005E6F2B">
        <w:t xml:space="preserve"> contribute to government outcomes over the Budget and forward years.</w:t>
      </w:r>
    </w:p>
    <w:p w14:paraId="0ADEE010" w14:textId="77777777" w:rsidR="00490F43" w:rsidRPr="00B10E12" w:rsidRDefault="00490F43" w:rsidP="00490F43">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490F43" w14:paraId="3446687A" w14:textId="77777777" w:rsidTr="00490F43">
        <w:tc>
          <w:tcPr>
            <w:tcW w:w="7700" w:type="dxa"/>
          </w:tcPr>
          <w:p w14:paraId="23466AE7" w14:textId="77777777" w:rsidR="00490F43" w:rsidRPr="006906E4" w:rsidRDefault="00490F43" w:rsidP="00490F43">
            <w:pPr>
              <w:spacing w:before="120" w:after="120" w:line="240" w:lineRule="auto"/>
              <w:rPr>
                <w:b/>
              </w:rPr>
            </w:pPr>
            <w:r w:rsidRPr="006906E4">
              <w:rPr>
                <w:b/>
              </w:rPr>
              <w:t>Note:</w:t>
            </w:r>
          </w:p>
          <w:p w14:paraId="5F7FF662" w14:textId="77777777" w:rsidR="00490F43" w:rsidRPr="00F532A2" w:rsidRDefault="00490F43" w:rsidP="00490F43">
            <w:r w:rsidRPr="00F532A2">
              <w:t xml:space="preserve">Performance reporting requirements in the Portfolio Budget Statements are part of the Commonwealth performance framework established by the </w:t>
            </w:r>
            <w:r w:rsidRPr="00F532A2">
              <w:rPr>
                <w:i/>
              </w:rPr>
              <w:t>Public Governance, Performance and Accountability Act 2013</w:t>
            </w:r>
            <w:r w:rsidRPr="00F532A2">
              <w:t>. It is anticipated that the performance measure described in Portfolio Budget Statements will be read with broader information provided in an entity’s corporate plan and annual performance statements – included in Annual Reports - to provide a complete picture of an entity’s planned and actual performance.</w:t>
            </w:r>
          </w:p>
          <w:p w14:paraId="4B1BFEF8" w14:textId="77777777" w:rsidR="00F358CE" w:rsidRPr="00F358CE" w:rsidRDefault="00490F43" w:rsidP="00490F43">
            <w:pPr>
              <w:jc w:val="left"/>
              <w:rPr>
                <w:u w:val="single"/>
              </w:rPr>
            </w:pPr>
            <w:r w:rsidRPr="00933B29">
              <w:t xml:space="preserve">The most recent corporate plan for the NIAA can be found at: </w:t>
            </w:r>
            <w:r w:rsidR="00F358CE">
              <w:rPr>
                <w:u w:val="single"/>
              </w:rPr>
              <w:fldChar w:fldCharType="begin"/>
            </w:r>
            <w:r w:rsidR="00F358CE">
              <w:rPr>
                <w:u w:val="single"/>
              </w:rPr>
              <w:instrText xml:space="preserve"> HYPERLINK "http://</w:instrText>
            </w:r>
            <w:r w:rsidR="00F358CE" w:rsidRPr="00F358CE">
              <w:rPr>
                <w:u w:val="single"/>
              </w:rPr>
              <w:instrText>www.corporateplan.niaa.gov.au</w:instrText>
            </w:r>
          </w:p>
          <w:p w14:paraId="0C11431E" w14:textId="77777777" w:rsidR="00F358CE" w:rsidRPr="00657D74" w:rsidRDefault="00F358CE" w:rsidP="00490F43">
            <w:pPr>
              <w:jc w:val="left"/>
              <w:rPr>
                <w:rStyle w:val="Hyperlink"/>
              </w:rPr>
            </w:pPr>
            <w:r>
              <w:rPr>
                <w:u w:val="single"/>
              </w:rPr>
              <w:instrText xml:space="preserve">" </w:instrText>
            </w:r>
            <w:r>
              <w:rPr>
                <w:u w:val="single"/>
              </w:rPr>
              <w:fldChar w:fldCharType="separate"/>
            </w:r>
            <w:r w:rsidRPr="00657D74">
              <w:rPr>
                <w:rStyle w:val="Hyperlink"/>
              </w:rPr>
              <w:t>www.corporateplan.niaa.gov.au</w:t>
            </w:r>
          </w:p>
          <w:p w14:paraId="0D489345" w14:textId="77777777" w:rsidR="00490F43" w:rsidRDefault="00F358CE" w:rsidP="00F358CE">
            <w:pPr>
              <w:jc w:val="left"/>
            </w:pPr>
            <w:r>
              <w:rPr>
                <w:u w:val="single"/>
              </w:rPr>
              <w:fldChar w:fldCharType="end"/>
            </w:r>
            <w:r w:rsidR="00490F43" w:rsidRPr="00933B29">
              <w:t xml:space="preserve"> The most recent annual performance statement can be found </w:t>
            </w:r>
            <w:r w:rsidR="00490F43">
              <w:t>at:</w:t>
            </w:r>
            <w:r w:rsidR="00490F43" w:rsidRPr="00933B29">
              <w:t xml:space="preserve"> </w:t>
            </w:r>
            <w:hyperlink r:id="rId275" w:history="1">
              <w:r w:rsidRPr="00657D74">
                <w:rPr>
                  <w:rStyle w:val="Hyperlink"/>
                </w:rPr>
                <w:t>www.www.niaa.gov.au/who-we-are/accountability-and-reporting</w:t>
              </w:r>
            </w:hyperlink>
            <w:r w:rsidR="00490F43" w:rsidRPr="00933B29">
              <w:t>.</w:t>
            </w:r>
          </w:p>
        </w:tc>
      </w:tr>
    </w:tbl>
    <w:p w14:paraId="0C22E2D2" w14:textId="77777777" w:rsidR="00490F43" w:rsidRDefault="00490F43" w:rsidP="00490F43">
      <w:pPr>
        <w:rPr>
          <w:highlight w:val="yellow"/>
        </w:rPr>
      </w:pPr>
    </w:p>
    <w:p w14:paraId="3164453E" w14:textId="77777777" w:rsidR="00490F43" w:rsidRDefault="00490F43" w:rsidP="00490F43">
      <w:pPr>
        <w:pStyle w:val="Heading3"/>
        <w:sectPr w:rsidR="00490F43" w:rsidSect="00732889">
          <w:headerReference w:type="even" r:id="rId276"/>
          <w:headerReference w:type="default" r:id="rId277"/>
          <w:footerReference w:type="even" r:id="rId278"/>
          <w:footerReference w:type="default" r:id="rId279"/>
          <w:headerReference w:type="first" r:id="rId280"/>
          <w:footerReference w:type="first" r:id="rId281"/>
          <w:pgSz w:w="11906" w:h="16838" w:code="9"/>
          <w:pgMar w:top="2466" w:right="2098" w:bottom="2466" w:left="2098" w:header="1899" w:footer="1899" w:gutter="0"/>
          <w:cols w:space="708"/>
          <w:titlePg/>
          <w:docGrid w:linePitch="360"/>
        </w:sectPr>
      </w:pPr>
    </w:p>
    <w:p w14:paraId="6EC122C7" w14:textId="77777777" w:rsidR="00490F43" w:rsidRPr="00F743D8" w:rsidRDefault="00490F43" w:rsidP="00490F43">
      <w:pPr>
        <w:pStyle w:val="Heading3"/>
      </w:pPr>
      <w:bookmarkStart w:id="688" w:name="_Toc98856163"/>
      <w:bookmarkStart w:id="689" w:name="_Toc98932915"/>
      <w:bookmarkStart w:id="690" w:name="_Toc99008171"/>
      <w:bookmarkStart w:id="691" w:name="_Toc99009533"/>
      <w:bookmarkStart w:id="692" w:name="_Toc99010761"/>
      <w:bookmarkStart w:id="693" w:name="_Toc99013996"/>
      <w:bookmarkStart w:id="694" w:name="_Toc99187572"/>
      <w:bookmarkStart w:id="695" w:name="_Toc99269694"/>
      <w:r>
        <w:t>2.1</w:t>
      </w:r>
      <w:r w:rsidRPr="00F743D8">
        <w:t xml:space="preserve"> </w:t>
      </w:r>
      <w:r w:rsidRPr="00F743D8">
        <w:tab/>
        <w:t xml:space="preserve">Budgeted expenses and performance for Outcome </w:t>
      </w:r>
      <w:r>
        <w:t>1</w:t>
      </w:r>
      <w:bookmarkEnd w:id="688"/>
      <w:bookmarkEnd w:id="689"/>
      <w:bookmarkEnd w:id="690"/>
      <w:bookmarkEnd w:id="691"/>
      <w:bookmarkEnd w:id="692"/>
      <w:bookmarkEnd w:id="693"/>
      <w:bookmarkEnd w:id="694"/>
      <w:bookmarkEnd w:id="695"/>
    </w:p>
    <w:tbl>
      <w:tblPr>
        <w:tblW w:w="0" w:type="auto"/>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65"/>
      </w:tblGrid>
      <w:tr w:rsidR="00490F43" w:rsidRPr="005E6F2B" w14:paraId="3D198729" w14:textId="77777777" w:rsidTr="00490F43">
        <w:tc>
          <w:tcPr>
            <w:tcW w:w="7565" w:type="dxa"/>
            <w:shd w:val="clear" w:color="auto" w:fill="E6E6E6"/>
          </w:tcPr>
          <w:p w14:paraId="02602289" w14:textId="77777777" w:rsidR="00490F43" w:rsidRPr="00E875D0" w:rsidRDefault="00490F43" w:rsidP="00490F43">
            <w:pPr>
              <w:pStyle w:val="TableColumnHeadingLeft"/>
            </w:pPr>
            <w:r w:rsidRPr="00E875D0">
              <w:t>Outcome 1: Lead the development and implementation of the Australian Government’s agenda to improve the lives of Indigenous Australians through focusing on place-based solutions, working in partnership, and effectively delivering programs.</w:t>
            </w:r>
          </w:p>
        </w:tc>
      </w:tr>
    </w:tbl>
    <w:p w14:paraId="1762FBE1" w14:textId="77777777" w:rsidR="00490F43" w:rsidRDefault="00490F43" w:rsidP="00E875D0">
      <w:pPr>
        <w:pStyle w:val="Heading4"/>
        <w:spacing w:before="240"/>
        <w:rPr>
          <w:rStyle w:val="ExampletextCharChar"/>
          <w:b w:val="0"/>
          <w:bCs/>
          <w:iCs/>
        </w:rPr>
      </w:pPr>
      <w:r w:rsidRPr="005E6F2B">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90F43" w:rsidRPr="005E6F2B" w14:paraId="129AF003" w14:textId="77777777" w:rsidTr="00490F43">
        <w:trPr>
          <w:trHeight w:val="113"/>
          <w:tblHeader/>
        </w:trPr>
        <w:tc>
          <w:tcPr>
            <w:tcW w:w="7592" w:type="dxa"/>
            <w:tcBorders>
              <w:bottom w:val="dotted" w:sz="4" w:space="0" w:color="auto"/>
            </w:tcBorders>
          </w:tcPr>
          <w:p w14:paraId="4B6591E6" w14:textId="77777777" w:rsidR="00490F43" w:rsidRPr="00F46389" w:rsidRDefault="00490F43" w:rsidP="00490F43">
            <w:pPr>
              <w:pStyle w:val="ExampleText0"/>
              <w:spacing w:before="60" w:after="60" w:line="240" w:lineRule="auto"/>
              <w:rPr>
                <w:color w:val="auto"/>
              </w:rPr>
            </w:pPr>
            <w:r w:rsidRPr="00F46389">
              <w:rPr>
                <w:rStyle w:val="ExampletextCharChar"/>
                <w:b/>
                <w:color w:val="auto"/>
              </w:rPr>
              <w:t>Attorney-General’s Department</w:t>
            </w:r>
          </w:p>
        </w:tc>
      </w:tr>
      <w:tr w:rsidR="00490F43" w:rsidRPr="005E6F2B" w14:paraId="39F5F4A4" w14:textId="77777777" w:rsidTr="00490F43">
        <w:trPr>
          <w:trHeight w:val="113"/>
        </w:trPr>
        <w:tc>
          <w:tcPr>
            <w:tcW w:w="7711" w:type="dxa"/>
            <w:tcBorders>
              <w:top w:val="dotted" w:sz="4" w:space="0" w:color="auto"/>
              <w:bottom w:val="single" w:sz="4" w:space="0" w:color="auto"/>
            </w:tcBorders>
          </w:tcPr>
          <w:p w14:paraId="5CF65331"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Programs</w:t>
            </w:r>
          </w:p>
          <w:p w14:paraId="70E2702A" w14:textId="77777777" w:rsidR="00490F43" w:rsidRPr="00F46389" w:rsidRDefault="00490F43" w:rsidP="008A2254">
            <w:pPr>
              <w:numPr>
                <w:ilvl w:val="0"/>
                <w:numId w:val="74"/>
              </w:numPr>
              <w:spacing w:before="60" w:after="60" w:line="240" w:lineRule="auto"/>
              <w:ind w:left="714" w:hanging="357"/>
              <w:rPr>
                <w:rStyle w:val="ExampletextCharChar"/>
                <w:color w:val="auto"/>
              </w:rPr>
            </w:pPr>
            <w:r w:rsidRPr="00F46389">
              <w:rPr>
                <w:rStyle w:val="ExampletextCharChar"/>
                <w:i w:val="0"/>
                <w:color w:val="auto"/>
              </w:rPr>
              <w:t>Program 1.4 – Justice Services</w:t>
            </w:r>
          </w:p>
        </w:tc>
      </w:tr>
      <w:tr w:rsidR="00490F43" w:rsidRPr="005E6F2B" w14:paraId="4E9AA0C3" w14:textId="77777777" w:rsidTr="00490F43">
        <w:trPr>
          <w:trHeight w:val="4033"/>
        </w:trPr>
        <w:tc>
          <w:tcPr>
            <w:tcW w:w="7711" w:type="dxa"/>
            <w:tcBorders>
              <w:bottom w:val="single" w:sz="4" w:space="0" w:color="auto"/>
            </w:tcBorders>
          </w:tcPr>
          <w:p w14:paraId="2BB71B4F" w14:textId="77777777" w:rsidR="00490F43" w:rsidRPr="005455FC" w:rsidRDefault="00490F43" w:rsidP="00490F43">
            <w:pPr>
              <w:rPr>
                <w:b/>
                <w:lang w:val="x-none"/>
              </w:rPr>
            </w:pPr>
            <w:r w:rsidRPr="005455FC">
              <w:rPr>
                <w:b/>
                <w:lang w:val="x-none"/>
              </w:rPr>
              <w:t>Contribution to Outcome 1 made by linked programs</w:t>
            </w:r>
          </w:p>
          <w:p w14:paraId="2A9F7679" w14:textId="77777777" w:rsidR="00490F43" w:rsidRPr="005455FC" w:rsidRDefault="00490F43" w:rsidP="00490F43">
            <w:r w:rsidRPr="005455FC">
              <w:t>The Attorney-General’s Department</w:t>
            </w:r>
            <w:r>
              <w:t xml:space="preserve"> (AGD)</w:t>
            </w:r>
            <w:r w:rsidRPr="005455FC">
              <w:t xml:space="preserve"> works with the NIAA by supporting</w:t>
            </w:r>
            <w:r>
              <w:t xml:space="preserve"> </w:t>
            </w:r>
            <w:r w:rsidRPr="005455FC">
              <w:t>the efficient operation of the native title system.</w:t>
            </w:r>
          </w:p>
          <w:p w14:paraId="4290D274" w14:textId="77777777" w:rsidR="00490F43" w:rsidRPr="005455FC" w:rsidRDefault="00E875D0" w:rsidP="00490F43">
            <w:r>
              <w:t xml:space="preserve">The </w:t>
            </w:r>
            <w:r w:rsidR="00490F43">
              <w:t>AGD</w:t>
            </w:r>
            <w:r w:rsidR="00490F43" w:rsidRPr="005455FC">
              <w:t xml:space="preserve"> works with the NIAA by supporting the objective and principles of legal assistance services and funding under the National Strategic Framework for Legal Assistance. </w:t>
            </w:r>
          </w:p>
          <w:p w14:paraId="48E68574" w14:textId="77777777" w:rsidR="00490F43" w:rsidRPr="005E6F2B" w:rsidRDefault="00E875D0" w:rsidP="00490F43">
            <w:pPr>
              <w:spacing w:before="60" w:after="60" w:line="240" w:lineRule="auto"/>
              <w:rPr>
                <w:rStyle w:val="ExampletextCharChar"/>
              </w:rPr>
            </w:pPr>
            <w:r>
              <w:t xml:space="preserve">The </w:t>
            </w:r>
            <w:r w:rsidR="00490F43">
              <w:t>AGD</w:t>
            </w:r>
            <w:r w:rsidR="00490F43" w:rsidRPr="005455FC">
              <w:t xml:space="preserve"> contributes to the </w:t>
            </w:r>
            <w:r w:rsidR="00490F43">
              <w:t xml:space="preserve">objectives of the </w:t>
            </w:r>
            <w:r w:rsidR="00490F43" w:rsidRPr="005455FC">
              <w:t xml:space="preserve">Indigenous Advancement Strategy (IAS) </w:t>
            </w:r>
            <w:r w:rsidR="00490F43">
              <w:t xml:space="preserve">and the justice targets under the National Agreement on Closing the Gap </w:t>
            </w:r>
            <w:r w:rsidR="00490F43" w:rsidRPr="005455FC">
              <w:t>by administering the National Legal Assistance Partnership 2020-25 (NLAP) that includes funding to Aboriginal and Torres Strait Islander legal services to deliver culturally appropriate services consistent with self-determination</w:t>
            </w:r>
            <w:r w:rsidR="00490F43">
              <w:t xml:space="preserve"> and to improve justice outcomes for Aboriginal and Torres Strait Islander Australians</w:t>
            </w:r>
            <w:r w:rsidR="00490F43" w:rsidRPr="005455FC">
              <w:t>.</w:t>
            </w:r>
          </w:p>
        </w:tc>
      </w:tr>
    </w:tbl>
    <w:p w14:paraId="1D1628B7" w14:textId="77777777" w:rsidR="00490F43" w:rsidRDefault="00490F43" w:rsidP="00490F43">
      <w:pPr>
        <w:pStyle w:val="SingleParagrap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90F43" w:rsidRPr="005E6F2B" w14:paraId="7AE9CA08" w14:textId="77777777" w:rsidTr="00490F43">
        <w:trPr>
          <w:trHeight w:val="113"/>
          <w:tblHeader/>
        </w:trPr>
        <w:tc>
          <w:tcPr>
            <w:tcW w:w="7592" w:type="dxa"/>
            <w:tcBorders>
              <w:bottom w:val="dotted" w:sz="4" w:space="0" w:color="auto"/>
            </w:tcBorders>
          </w:tcPr>
          <w:p w14:paraId="7624C015" w14:textId="77777777" w:rsidR="00490F43" w:rsidRPr="005E6F2B" w:rsidRDefault="00490F43" w:rsidP="00490F43">
            <w:pPr>
              <w:pStyle w:val="ExampleText0"/>
              <w:spacing w:before="60" w:after="60" w:line="240" w:lineRule="auto"/>
            </w:pPr>
            <w:r w:rsidRPr="00862D7F">
              <w:rPr>
                <w:rStyle w:val="ExampletextCharChar"/>
                <w:b/>
                <w:bCs/>
                <w:color w:val="auto"/>
              </w:rPr>
              <w:t xml:space="preserve">Department of Agriculture, Water and the Environment </w:t>
            </w:r>
          </w:p>
        </w:tc>
      </w:tr>
      <w:tr w:rsidR="00490F43" w:rsidRPr="005E6F2B" w14:paraId="3DD3EB00" w14:textId="77777777" w:rsidTr="00490F43">
        <w:trPr>
          <w:trHeight w:val="113"/>
        </w:trPr>
        <w:tc>
          <w:tcPr>
            <w:tcW w:w="7592" w:type="dxa"/>
            <w:tcBorders>
              <w:top w:val="dotted" w:sz="4" w:space="0" w:color="auto"/>
              <w:bottom w:val="single" w:sz="4" w:space="0" w:color="auto"/>
            </w:tcBorders>
          </w:tcPr>
          <w:p w14:paraId="75F87E07"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Programs</w:t>
            </w:r>
          </w:p>
          <w:p w14:paraId="5907CCC0" w14:textId="77777777" w:rsidR="00490F43" w:rsidRPr="00F46389" w:rsidRDefault="00490F43" w:rsidP="008A2254">
            <w:pPr>
              <w:numPr>
                <w:ilvl w:val="0"/>
                <w:numId w:val="74"/>
              </w:numPr>
              <w:spacing w:before="60" w:after="60" w:line="240" w:lineRule="auto"/>
            </w:pPr>
            <w:r w:rsidRPr="00F46389">
              <w:t xml:space="preserve">Program 1.1 – Sustainable Management of Natural Resources and the Environment </w:t>
            </w:r>
          </w:p>
          <w:p w14:paraId="1B46C57B" w14:textId="77777777" w:rsidR="00490F43" w:rsidRPr="00F46389" w:rsidRDefault="00490F43" w:rsidP="008A2254">
            <w:pPr>
              <w:numPr>
                <w:ilvl w:val="0"/>
                <w:numId w:val="74"/>
              </w:numPr>
              <w:spacing w:before="60" w:after="60" w:line="240" w:lineRule="auto"/>
            </w:pPr>
            <w:r w:rsidRPr="00F46389">
              <w:t>Program 3.2 – Sustainable Management - Natural Resources</w:t>
            </w:r>
          </w:p>
          <w:p w14:paraId="0512D076" w14:textId="77777777" w:rsidR="00490F43" w:rsidRPr="00F46389" w:rsidRDefault="00490F43" w:rsidP="008A2254">
            <w:pPr>
              <w:numPr>
                <w:ilvl w:val="0"/>
                <w:numId w:val="74"/>
              </w:numPr>
              <w:spacing w:before="60" w:after="60" w:line="240" w:lineRule="auto"/>
              <w:rPr>
                <w:rStyle w:val="ExampletextCharChar"/>
                <w:color w:val="auto"/>
              </w:rPr>
            </w:pPr>
            <w:r w:rsidRPr="00F46389">
              <w:t>Program 4.1 – Biosecurity and Export Services</w:t>
            </w:r>
          </w:p>
        </w:tc>
      </w:tr>
      <w:tr w:rsidR="00490F43" w:rsidRPr="005E6F2B" w14:paraId="0E4C1E62" w14:textId="77777777" w:rsidTr="00490F43">
        <w:trPr>
          <w:trHeight w:val="113"/>
        </w:trPr>
        <w:tc>
          <w:tcPr>
            <w:tcW w:w="7592" w:type="dxa"/>
            <w:tcBorders>
              <w:bottom w:val="single" w:sz="4" w:space="0" w:color="auto"/>
            </w:tcBorders>
          </w:tcPr>
          <w:p w14:paraId="05EB3852"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Contribution to Outcome 1 made by linked programs</w:t>
            </w:r>
          </w:p>
          <w:p w14:paraId="2BDC42AF" w14:textId="77777777" w:rsidR="00490F43" w:rsidRPr="00F46389" w:rsidRDefault="00490F43" w:rsidP="00490F43">
            <w:pPr>
              <w:spacing w:before="60" w:after="120"/>
              <w:rPr>
                <w:rFonts w:ascii="Calibri" w:hAnsi="Calibri"/>
              </w:rPr>
            </w:pPr>
            <w:r w:rsidRPr="00F46389">
              <w:rPr>
                <w:lang w:val="x-none" w:eastAsia="x-none"/>
              </w:rPr>
              <w:t>The Department of Agriculture</w:t>
            </w:r>
            <w:r w:rsidRPr="00F46389">
              <w:rPr>
                <w:lang w:eastAsia="x-none"/>
              </w:rPr>
              <w:t>, Water and the Environment (DAWE)</w:t>
            </w:r>
            <w:r w:rsidRPr="00F46389">
              <w:rPr>
                <w:lang w:val="x-none" w:eastAsia="x-none"/>
              </w:rPr>
              <w:t xml:space="preserve"> works with</w:t>
            </w:r>
            <w:r w:rsidRPr="00F46389">
              <w:rPr>
                <w:lang w:eastAsia="x-none"/>
              </w:rPr>
              <w:t xml:space="preserve"> the</w:t>
            </w:r>
            <w:r w:rsidRPr="00F46389">
              <w:rPr>
                <w:lang w:val="x-none" w:eastAsia="x-none"/>
              </w:rPr>
              <w:t xml:space="preserve"> </w:t>
            </w:r>
            <w:r w:rsidRPr="00F46389">
              <w:rPr>
                <w:lang w:eastAsia="x-none"/>
              </w:rPr>
              <w:t>NIAA</w:t>
            </w:r>
            <w:r w:rsidRPr="00F46389">
              <w:rPr>
                <w:lang w:val="x-none" w:eastAsia="x-none"/>
              </w:rPr>
              <w:t xml:space="preserve"> to provide opportunities for Indigenous communities and land managers to engage with the National Landcare Program.</w:t>
            </w:r>
          </w:p>
          <w:p w14:paraId="3BF70373" w14:textId="77777777" w:rsidR="00490F43" w:rsidRPr="00F46389" w:rsidRDefault="00F358CE" w:rsidP="00490F43">
            <w:pPr>
              <w:spacing w:before="60" w:after="60" w:line="240" w:lineRule="auto"/>
              <w:rPr>
                <w:rStyle w:val="ExampletextCharChar"/>
                <w:color w:val="auto"/>
              </w:rPr>
            </w:pPr>
            <w:r>
              <w:rPr>
                <w:lang w:eastAsia="x-none"/>
              </w:rPr>
              <w:t xml:space="preserve">The </w:t>
            </w:r>
            <w:r w:rsidR="00490F43" w:rsidRPr="00F46389">
              <w:rPr>
                <w:lang w:eastAsia="x-none"/>
              </w:rPr>
              <w:t xml:space="preserve">DAWE </w:t>
            </w:r>
            <w:r w:rsidR="00490F43" w:rsidRPr="00F46389">
              <w:rPr>
                <w:lang w:val="x-none" w:eastAsia="x-none"/>
              </w:rPr>
              <w:t xml:space="preserve">and </w:t>
            </w:r>
            <w:r w:rsidR="00490F43" w:rsidRPr="00F46389">
              <w:rPr>
                <w:lang w:eastAsia="x-none"/>
              </w:rPr>
              <w:t>the NIAA</w:t>
            </w:r>
            <w:r w:rsidR="00490F43" w:rsidRPr="00F46389">
              <w:rPr>
                <w:lang w:val="x-none" w:eastAsia="x-none"/>
              </w:rPr>
              <w:t xml:space="preserve"> partner with Aboriginal and Torres Strait Islander Ranger groups to deliver biosecurity work that protects Australian agriculture and the northern Australian environment.</w:t>
            </w:r>
          </w:p>
        </w:tc>
      </w:tr>
    </w:tbl>
    <w:p w14:paraId="193653A5" w14:textId="77777777" w:rsidR="00490F43" w:rsidRDefault="00490F43" w:rsidP="00490F43">
      <w:pPr>
        <w:pStyle w:val="Heading5"/>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90F43" w:rsidRPr="005E6F2B" w14:paraId="5C1C0429" w14:textId="77777777" w:rsidTr="00490F43">
        <w:trPr>
          <w:trHeight w:val="113"/>
          <w:tblHeader/>
        </w:trPr>
        <w:tc>
          <w:tcPr>
            <w:tcW w:w="7592" w:type="dxa"/>
            <w:tcBorders>
              <w:bottom w:val="dotted" w:sz="4" w:space="0" w:color="auto"/>
            </w:tcBorders>
          </w:tcPr>
          <w:p w14:paraId="5433A3B4" w14:textId="77777777" w:rsidR="00490F43" w:rsidRPr="005E6F2B" w:rsidRDefault="00490F43" w:rsidP="00490F43">
            <w:pPr>
              <w:pStyle w:val="ExampleText0"/>
              <w:spacing w:before="60" w:after="60" w:line="240" w:lineRule="auto"/>
            </w:pPr>
            <w:r>
              <w:rPr>
                <w:rStyle w:val="ExampletextCharChar"/>
                <w:b/>
                <w:color w:val="auto"/>
              </w:rPr>
              <w:t>Department of Health</w:t>
            </w:r>
          </w:p>
        </w:tc>
      </w:tr>
      <w:tr w:rsidR="00490F43" w:rsidRPr="00F46389" w14:paraId="32332654" w14:textId="77777777" w:rsidTr="00490F43">
        <w:trPr>
          <w:trHeight w:val="113"/>
        </w:trPr>
        <w:tc>
          <w:tcPr>
            <w:tcW w:w="7592" w:type="dxa"/>
            <w:tcBorders>
              <w:top w:val="dotted" w:sz="4" w:space="0" w:color="auto"/>
              <w:bottom w:val="single" w:sz="4" w:space="0" w:color="auto"/>
            </w:tcBorders>
          </w:tcPr>
          <w:p w14:paraId="39D87595"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Programs</w:t>
            </w:r>
          </w:p>
          <w:p w14:paraId="4023A30E" w14:textId="77777777" w:rsidR="00490F43" w:rsidRPr="00F46389" w:rsidRDefault="00490F43" w:rsidP="008A2254">
            <w:pPr>
              <w:numPr>
                <w:ilvl w:val="0"/>
                <w:numId w:val="74"/>
              </w:numPr>
              <w:spacing w:before="60" w:after="60" w:line="240" w:lineRule="auto"/>
              <w:ind w:left="714" w:hanging="357"/>
              <w:rPr>
                <w:rStyle w:val="ExampletextCharChar"/>
                <w:i w:val="0"/>
                <w:color w:val="auto"/>
              </w:rPr>
            </w:pPr>
            <w:r w:rsidRPr="00F46389">
              <w:rPr>
                <w:rStyle w:val="ExampletextCharChar"/>
                <w:i w:val="0"/>
                <w:color w:val="auto"/>
              </w:rPr>
              <w:t>Program 1.3 – Aboriginal and Torres Strait Islander Health</w:t>
            </w:r>
          </w:p>
        </w:tc>
      </w:tr>
      <w:tr w:rsidR="00490F43" w:rsidRPr="00F46389" w14:paraId="55F62B92" w14:textId="77777777" w:rsidTr="00490F43">
        <w:trPr>
          <w:trHeight w:val="113"/>
        </w:trPr>
        <w:tc>
          <w:tcPr>
            <w:tcW w:w="7592" w:type="dxa"/>
            <w:tcBorders>
              <w:bottom w:val="single" w:sz="4" w:space="0" w:color="auto"/>
            </w:tcBorders>
          </w:tcPr>
          <w:p w14:paraId="6F5240F9"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Contribution to Outcome 1 made by linked programs</w:t>
            </w:r>
          </w:p>
          <w:p w14:paraId="41939634" w14:textId="77777777" w:rsidR="00490F43" w:rsidRPr="00F46389" w:rsidRDefault="00490F43" w:rsidP="00490F43">
            <w:pPr>
              <w:spacing w:before="60" w:after="60" w:line="240" w:lineRule="auto"/>
              <w:rPr>
                <w:rStyle w:val="ExampletextCharChar"/>
                <w:color w:val="auto"/>
              </w:rPr>
            </w:pPr>
            <w:r w:rsidRPr="00F46389">
              <w:rPr>
                <w:rFonts w:eastAsia="Calibri"/>
                <w:lang w:val="x-none" w:eastAsia="x-none"/>
              </w:rPr>
              <w:t xml:space="preserve">The NIAA works closely with the Department of Health to ensure the effectiveness of Indigenous health funding, and that mainstream policy, programs and services deliver benefits to Aboriginal and Torres Strait Islander Australians. </w:t>
            </w:r>
            <w:r w:rsidRPr="00F46389">
              <w:rPr>
                <w:rFonts w:eastAsia="Calibri"/>
                <w:lang w:eastAsia="x-none"/>
              </w:rPr>
              <w:t xml:space="preserve">The </w:t>
            </w:r>
            <w:r w:rsidRPr="00F46389">
              <w:rPr>
                <w:rFonts w:eastAsia="Calibri"/>
                <w:lang w:val="x-none" w:eastAsia="x-none"/>
              </w:rPr>
              <w:t>NIAA also provides grants for health, wellbeing and resilience projects; reduced substance misuse and harm minimisation projects; and projects aimed at combating petrol sniffing and the use of other volatile substances</w:t>
            </w:r>
            <w:r w:rsidRPr="00F46389">
              <w:rPr>
                <w:rFonts w:eastAsia="Calibri"/>
                <w:lang w:eastAsia="x-none"/>
              </w:rPr>
              <w:t xml:space="preserve">. </w:t>
            </w:r>
          </w:p>
        </w:tc>
      </w:tr>
    </w:tbl>
    <w:p w14:paraId="5FF26258" w14:textId="77777777" w:rsidR="00490F43" w:rsidRPr="00F46389" w:rsidRDefault="00490F43" w:rsidP="00490F43">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90F43" w:rsidRPr="00F46389" w14:paraId="386BF92E" w14:textId="77777777" w:rsidTr="00490F43">
        <w:trPr>
          <w:trHeight w:val="113"/>
          <w:tblHeader/>
        </w:trPr>
        <w:tc>
          <w:tcPr>
            <w:tcW w:w="7592" w:type="dxa"/>
            <w:tcBorders>
              <w:bottom w:val="dotted" w:sz="4" w:space="0" w:color="auto"/>
            </w:tcBorders>
          </w:tcPr>
          <w:p w14:paraId="70B3AFCB" w14:textId="77777777" w:rsidR="00490F43" w:rsidRPr="00F46389" w:rsidRDefault="00490F43" w:rsidP="00490F43">
            <w:pPr>
              <w:pStyle w:val="ExampleText0"/>
              <w:spacing w:before="60" w:after="60" w:line="240" w:lineRule="auto"/>
              <w:rPr>
                <w:color w:val="auto"/>
              </w:rPr>
            </w:pPr>
            <w:r w:rsidRPr="00F46389">
              <w:rPr>
                <w:rStyle w:val="ExampletextCharChar"/>
                <w:b/>
                <w:color w:val="auto"/>
              </w:rPr>
              <w:t>Services Australia</w:t>
            </w:r>
          </w:p>
        </w:tc>
      </w:tr>
      <w:tr w:rsidR="00490F43" w:rsidRPr="00F46389" w14:paraId="3458C284" w14:textId="77777777" w:rsidTr="00490F43">
        <w:trPr>
          <w:trHeight w:val="113"/>
        </w:trPr>
        <w:tc>
          <w:tcPr>
            <w:tcW w:w="7592" w:type="dxa"/>
            <w:tcBorders>
              <w:top w:val="dotted" w:sz="4" w:space="0" w:color="auto"/>
              <w:bottom w:val="single" w:sz="4" w:space="0" w:color="auto"/>
            </w:tcBorders>
          </w:tcPr>
          <w:p w14:paraId="21432C0F"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Programs</w:t>
            </w:r>
          </w:p>
          <w:p w14:paraId="28FE06D4" w14:textId="77777777" w:rsidR="00490F43" w:rsidRPr="00F46389" w:rsidRDefault="00490F43" w:rsidP="008A2254">
            <w:pPr>
              <w:numPr>
                <w:ilvl w:val="0"/>
                <w:numId w:val="74"/>
              </w:numPr>
              <w:spacing w:before="60" w:after="60" w:line="240" w:lineRule="auto"/>
              <w:ind w:left="714" w:hanging="357"/>
              <w:rPr>
                <w:rStyle w:val="ExampletextCharChar"/>
                <w:i w:val="0"/>
                <w:color w:val="auto"/>
              </w:rPr>
            </w:pPr>
            <w:r w:rsidRPr="00F46389">
              <w:rPr>
                <w:rStyle w:val="ExampletextCharChar"/>
                <w:i w:val="0"/>
                <w:color w:val="auto"/>
              </w:rPr>
              <w:t>Program 1.1 – Services to the Community – Social Security and Welfare</w:t>
            </w:r>
          </w:p>
        </w:tc>
      </w:tr>
      <w:tr w:rsidR="00490F43" w:rsidRPr="00F46389" w14:paraId="115217E6" w14:textId="77777777" w:rsidTr="00490F43">
        <w:trPr>
          <w:trHeight w:val="113"/>
        </w:trPr>
        <w:tc>
          <w:tcPr>
            <w:tcW w:w="7592" w:type="dxa"/>
            <w:tcBorders>
              <w:bottom w:val="single" w:sz="4" w:space="0" w:color="auto"/>
            </w:tcBorders>
          </w:tcPr>
          <w:p w14:paraId="4C2B1114"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Contribution to Outcome 1 made by linked programs</w:t>
            </w:r>
          </w:p>
          <w:p w14:paraId="2B3AFEEA" w14:textId="77777777" w:rsidR="00490F43" w:rsidRPr="00F46389" w:rsidRDefault="00490F43" w:rsidP="00490F43">
            <w:pPr>
              <w:spacing w:before="60" w:after="60" w:line="240" w:lineRule="auto"/>
              <w:rPr>
                <w:rStyle w:val="ExampletextCharChar"/>
                <w:color w:val="auto"/>
              </w:rPr>
            </w:pPr>
            <w:r w:rsidRPr="00F46389">
              <w:rPr>
                <w:rFonts w:eastAsia="Calibri"/>
                <w:lang w:val="x-none" w:eastAsia="x-none"/>
              </w:rPr>
              <w:t xml:space="preserve">Payments and services under the </w:t>
            </w:r>
            <w:r w:rsidRPr="00F46389">
              <w:rPr>
                <w:rFonts w:eastAsia="Calibri"/>
                <w:lang w:eastAsia="x-none"/>
              </w:rPr>
              <w:t>IAS</w:t>
            </w:r>
            <w:r w:rsidRPr="00F46389">
              <w:rPr>
                <w:rFonts w:eastAsia="Calibri"/>
                <w:lang w:val="x-none" w:eastAsia="x-none"/>
              </w:rPr>
              <w:t xml:space="preserve"> are delivered by Services Australia under a number of Indigenous specific and mainstream programs.</w:t>
            </w:r>
          </w:p>
        </w:tc>
      </w:tr>
    </w:tbl>
    <w:p w14:paraId="156B9193" w14:textId="77777777" w:rsidR="00490F43" w:rsidRPr="00F46389" w:rsidRDefault="00490F43" w:rsidP="00490F43">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90F43" w:rsidRPr="00F46389" w14:paraId="07886452" w14:textId="77777777" w:rsidTr="00490F43">
        <w:trPr>
          <w:trHeight w:val="113"/>
          <w:tblHeader/>
        </w:trPr>
        <w:tc>
          <w:tcPr>
            <w:tcW w:w="7592" w:type="dxa"/>
            <w:tcBorders>
              <w:bottom w:val="dotted" w:sz="4" w:space="0" w:color="auto"/>
            </w:tcBorders>
          </w:tcPr>
          <w:p w14:paraId="5ABC5EA9" w14:textId="77777777" w:rsidR="00490F43" w:rsidRPr="00F46389" w:rsidRDefault="00490F43" w:rsidP="00490F43">
            <w:pPr>
              <w:pStyle w:val="ExampleText0"/>
              <w:spacing w:before="60" w:after="60" w:line="240" w:lineRule="auto"/>
              <w:rPr>
                <w:color w:val="auto"/>
              </w:rPr>
            </w:pPr>
            <w:r w:rsidRPr="00F46389">
              <w:rPr>
                <w:rStyle w:val="ExampletextCharChar"/>
                <w:b/>
                <w:color w:val="auto"/>
              </w:rPr>
              <w:t>Department of Industry, Science, Energy and Resources</w:t>
            </w:r>
          </w:p>
        </w:tc>
      </w:tr>
      <w:tr w:rsidR="00490F43" w:rsidRPr="00F46389" w14:paraId="2CDD36D1" w14:textId="77777777" w:rsidTr="00490F43">
        <w:trPr>
          <w:trHeight w:val="113"/>
        </w:trPr>
        <w:tc>
          <w:tcPr>
            <w:tcW w:w="7592" w:type="dxa"/>
            <w:tcBorders>
              <w:top w:val="dotted" w:sz="4" w:space="0" w:color="auto"/>
              <w:bottom w:val="single" w:sz="4" w:space="0" w:color="auto"/>
            </w:tcBorders>
          </w:tcPr>
          <w:p w14:paraId="167D58FC"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Programs</w:t>
            </w:r>
          </w:p>
          <w:p w14:paraId="61CB820D" w14:textId="77777777" w:rsidR="00490F43" w:rsidRPr="00F46389" w:rsidRDefault="00490F43" w:rsidP="008A2254">
            <w:pPr>
              <w:numPr>
                <w:ilvl w:val="0"/>
                <w:numId w:val="74"/>
              </w:numPr>
              <w:spacing w:before="60" w:after="60" w:line="240" w:lineRule="auto"/>
              <w:rPr>
                <w:rStyle w:val="ExampletextCharChar"/>
                <w:i w:val="0"/>
                <w:color w:val="auto"/>
              </w:rPr>
            </w:pPr>
            <w:r w:rsidRPr="00F46389">
              <w:rPr>
                <w:rStyle w:val="ExampletextCharChar"/>
                <w:i w:val="0"/>
                <w:color w:val="auto"/>
              </w:rPr>
              <w:t>Program 1.2 – Growing innovative and competitive businesses, industries and regions</w:t>
            </w:r>
          </w:p>
          <w:p w14:paraId="57492A00" w14:textId="77777777" w:rsidR="00490F43" w:rsidRPr="00F46389" w:rsidRDefault="00490F43" w:rsidP="008A2254">
            <w:pPr>
              <w:numPr>
                <w:ilvl w:val="0"/>
                <w:numId w:val="74"/>
              </w:numPr>
              <w:spacing w:before="60" w:after="60" w:line="240" w:lineRule="auto"/>
              <w:ind w:left="714" w:hanging="357"/>
              <w:rPr>
                <w:rStyle w:val="ExampletextCharChar"/>
                <w:i w:val="0"/>
                <w:color w:val="auto"/>
              </w:rPr>
            </w:pPr>
            <w:r w:rsidRPr="00F46389">
              <w:rPr>
                <w:rStyle w:val="ExampletextCharChar"/>
                <w:i w:val="0"/>
                <w:color w:val="auto"/>
              </w:rPr>
              <w:t>Pr</w:t>
            </w:r>
            <w:r w:rsidR="00F358CE">
              <w:rPr>
                <w:rStyle w:val="ExampletextCharChar"/>
                <w:i w:val="0"/>
                <w:color w:val="auto"/>
              </w:rPr>
              <w:t>ogram 1.4 – Growing a stronger n</w:t>
            </w:r>
            <w:r w:rsidRPr="00F46389">
              <w:rPr>
                <w:rStyle w:val="ExampletextCharChar"/>
                <w:i w:val="0"/>
                <w:color w:val="auto"/>
              </w:rPr>
              <w:t>orthern Australian economy</w:t>
            </w:r>
          </w:p>
        </w:tc>
      </w:tr>
      <w:tr w:rsidR="00490F43" w:rsidRPr="00F46389" w14:paraId="1970B55E" w14:textId="77777777" w:rsidTr="00490F43">
        <w:trPr>
          <w:trHeight w:val="113"/>
        </w:trPr>
        <w:tc>
          <w:tcPr>
            <w:tcW w:w="7592" w:type="dxa"/>
            <w:tcBorders>
              <w:bottom w:val="single" w:sz="4" w:space="0" w:color="auto"/>
            </w:tcBorders>
          </w:tcPr>
          <w:p w14:paraId="3D8CAA38" w14:textId="77777777" w:rsidR="00490F43" w:rsidRPr="00F46389" w:rsidRDefault="00490F43" w:rsidP="00490F43">
            <w:pPr>
              <w:spacing w:before="60" w:after="60" w:line="240" w:lineRule="auto"/>
              <w:rPr>
                <w:rStyle w:val="ExampletextCharChar"/>
                <w:b/>
                <w:i w:val="0"/>
                <w:color w:val="auto"/>
              </w:rPr>
            </w:pPr>
            <w:r w:rsidRPr="00F46389">
              <w:rPr>
                <w:rStyle w:val="ExampletextCharChar"/>
                <w:b/>
                <w:i w:val="0"/>
                <w:color w:val="auto"/>
              </w:rPr>
              <w:t>Contribution to Outcome 1 made by linked programs</w:t>
            </w:r>
          </w:p>
          <w:p w14:paraId="586B0C52" w14:textId="77777777" w:rsidR="00490F43" w:rsidRPr="00F46389" w:rsidRDefault="00490F43" w:rsidP="00490F43">
            <w:pPr>
              <w:spacing w:before="60" w:after="120" w:line="240" w:lineRule="auto"/>
            </w:pPr>
            <w:r w:rsidRPr="00F46389">
              <w:t xml:space="preserve">The NIAA is implementing initiatives that enable Indigenous Australians to benefit economically from their land. </w:t>
            </w:r>
          </w:p>
          <w:p w14:paraId="1DC487CC" w14:textId="77777777" w:rsidR="00490F43" w:rsidRPr="00F46389" w:rsidRDefault="00490F43" w:rsidP="00490F43">
            <w:pPr>
              <w:spacing w:before="60" w:after="60" w:line="240" w:lineRule="auto"/>
            </w:pPr>
            <w:r w:rsidRPr="00F46389">
              <w:t xml:space="preserve">The department has been consulting with the NIAA on its implementation of a Darwin Indigenous Business and Employment Hub to encourage access to mainstream business support offerings. </w:t>
            </w:r>
          </w:p>
          <w:p w14:paraId="179A6711" w14:textId="77777777" w:rsidR="00490F43" w:rsidRPr="00F46389" w:rsidRDefault="00490F43" w:rsidP="00490F43">
            <w:pPr>
              <w:spacing w:before="60" w:after="60" w:line="240" w:lineRule="auto"/>
              <w:rPr>
                <w:rStyle w:val="ExampletextCharChar"/>
                <w:color w:val="auto"/>
              </w:rPr>
            </w:pPr>
            <w:r w:rsidRPr="00F46389">
              <w:t>The department has contributed to the development of NIAA’s National Roadmap for Indigenous Skills, Jobs and Wealth Creation and will continue to work cooperatively to identify and enable opportunities for Indigenous Australians across industry, including manufacturing.</w:t>
            </w:r>
          </w:p>
        </w:tc>
      </w:tr>
    </w:tbl>
    <w:p w14:paraId="13EAA7D9" w14:textId="77777777" w:rsidR="00490F43" w:rsidRDefault="00490F43" w:rsidP="00490F43">
      <w:pPr>
        <w:spacing w:after="0" w:line="240" w:lineRule="auto"/>
        <w:jc w:val="left"/>
      </w:pPr>
    </w:p>
    <w:p w14:paraId="2C35FB5C" w14:textId="77777777" w:rsidR="00B91697" w:rsidRDefault="00B91697" w:rsidP="00490F43">
      <w:pPr>
        <w:spacing w:after="0" w:line="240" w:lineRule="auto"/>
        <w:jc w:val="left"/>
      </w:pPr>
    </w:p>
    <w:p w14:paraId="2DF8D5DC" w14:textId="77777777" w:rsidR="00B91697" w:rsidRDefault="00B91697" w:rsidP="00490F43">
      <w:pPr>
        <w:spacing w:after="0" w:line="240" w:lineRule="auto"/>
        <w:jc w:val="left"/>
      </w:pPr>
    </w:p>
    <w:p w14:paraId="3E311FCE" w14:textId="77777777" w:rsidR="00B91697" w:rsidRDefault="00B91697" w:rsidP="00490F43">
      <w:pPr>
        <w:spacing w:after="0" w:line="240" w:lineRule="auto"/>
        <w:jc w:val="left"/>
      </w:pPr>
    </w:p>
    <w:p w14:paraId="7D9DF53A" w14:textId="77777777" w:rsidR="008A1894" w:rsidRPr="00F46389" w:rsidRDefault="008A1894" w:rsidP="00490F43">
      <w:pPr>
        <w:spacing w:after="0" w:line="240" w:lineRule="auto"/>
        <w:jc w:val="left"/>
      </w:pPr>
    </w:p>
    <w:tbl>
      <w:tblPr>
        <w:tblW w:w="75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90F43" w:rsidRPr="00F46389" w14:paraId="35194E1C" w14:textId="77777777" w:rsidTr="00490F43">
        <w:trPr>
          <w:trHeight w:val="113"/>
          <w:tblHeader/>
        </w:trPr>
        <w:tc>
          <w:tcPr>
            <w:tcW w:w="7592" w:type="dxa"/>
            <w:tcBorders>
              <w:bottom w:val="dotted" w:sz="4" w:space="0" w:color="auto"/>
            </w:tcBorders>
          </w:tcPr>
          <w:p w14:paraId="2FD5B8A5" w14:textId="77777777" w:rsidR="00490F43" w:rsidRPr="00B91697" w:rsidRDefault="00490F43" w:rsidP="00490F43">
            <w:pPr>
              <w:pStyle w:val="ExampleText0"/>
              <w:spacing w:before="60" w:after="60" w:line="240" w:lineRule="auto"/>
              <w:rPr>
                <w:color w:val="auto"/>
              </w:rPr>
            </w:pPr>
            <w:r w:rsidRPr="00B91697">
              <w:rPr>
                <w:rStyle w:val="ExampletextCharChar"/>
                <w:b/>
                <w:color w:val="auto"/>
              </w:rPr>
              <w:t xml:space="preserve">Department of Education, Skills and Employment </w:t>
            </w:r>
          </w:p>
        </w:tc>
      </w:tr>
      <w:tr w:rsidR="00490F43" w:rsidRPr="00F46389" w14:paraId="57AC8636" w14:textId="77777777" w:rsidTr="00490F43">
        <w:trPr>
          <w:trHeight w:val="113"/>
        </w:trPr>
        <w:tc>
          <w:tcPr>
            <w:tcW w:w="7592" w:type="dxa"/>
            <w:tcBorders>
              <w:top w:val="dotted" w:sz="4" w:space="0" w:color="auto"/>
              <w:bottom w:val="single" w:sz="4" w:space="0" w:color="auto"/>
            </w:tcBorders>
          </w:tcPr>
          <w:p w14:paraId="26D65C8B" w14:textId="77777777" w:rsidR="00490F43" w:rsidRPr="00B91697" w:rsidRDefault="00490F43" w:rsidP="00490F43">
            <w:pPr>
              <w:spacing w:before="60" w:after="60" w:line="240" w:lineRule="auto"/>
              <w:ind w:left="176"/>
              <w:rPr>
                <w:rStyle w:val="ExampletextCharChar"/>
                <w:b/>
                <w:i w:val="0"/>
                <w:color w:val="auto"/>
              </w:rPr>
            </w:pPr>
            <w:r w:rsidRPr="00B91697">
              <w:rPr>
                <w:rStyle w:val="ExampletextCharChar"/>
                <w:b/>
                <w:i w:val="0"/>
                <w:color w:val="auto"/>
              </w:rPr>
              <w:t>Programs</w:t>
            </w:r>
          </w:p>
          <w:p w14:paraId="08A90835" w14:textId="77777777" w:rsidR="00490F43" w:rsidRPr="00B91697" w:rsidRDefault="00490F43" w:rsidP="008A2254">
            <w:pPr>
              <w:numPr>
                <w:ilvl w:val="0"/>
                <w:numId w:val="74"/>
              </w:numPr>
              <w:spacing w:before="60" w:after="60" w:line="240" w:lineRule="auto"/>
              <w:ind w:left="714" w:hanging="357"/>
              <w:rPr>
                <w:rStyle w:val="ExampletextCharChar"/>
                <w:i w:val="0"/>
                <w:color w:val="auto"/>
              </w:rPr>
            </w:pPr>
            <w:r w:rsidRPr="00B91697">
              <w:rPr>
                <w:rStyle w:val="ExampletextCharChar"/>
                <w:i w:val="0"/>
                <w:color w:val="auto"/>
              </w:rPr>
              <w:t>Program 4.1 – Employment Services</w:t>
            </w:r>
          </w:p>
        </w:tc>
      </w:tr>
      <w:tr w:rsidR="00490F43" w:rsidRPr="005E6F2B" w14:paraId="7DAFD19C" w14:textId="77777777" w:rsidTr="00490F43">
        <w:trPr>
          <w:trHeight w:val="113"/>
        </w:trPr>
        <w:tc>
          <w:tcPr>
            <w:tcW w:w="7592" w:type="dxa"/>
            <w:tcBorders>
              <w:bottom w:val="single" w:sz="4" w:space="0" w:color="auto"/>
            </w:tcBorders>
          </w:tcPr>
          <w:p w14:paraId="10A59EDC" w14:textId="77777777" w:rsidR="00490F43" w:rsidRPr="00B91697" w:rsidRDefault="00490F43" w:rsidP="00490F43">
            <w:pPr>
              <w:spacing w:before="60" w:after="60" w:line="240" w:lineRule="auto"/>
              <w:rPr>
                <w:rStyle w:val="ExampletextCharChar"/>
                <w:b/>
                <w:i w:val="0"/>
                <w:color w:val="auto"/>
              </w:rPr>
            </w:pPr>
            <w:r w:rsidRPr="00B91697">
              <w:rPr>
                <w:rStyle w:val="ExampletextCharChar"/>
                <w:b/>
                <w:i w:val="0"/>
                <w:color w:val="auto"/>
              </w:rPr>
              <w:t>Contribution to Outcome 1 made by linked programs</w:t>
            </w:r>
          </w:p>
          <w:p w14:paraId="3CCC1E36" w14:textId="77777777" w:rsidR="00490F43" w:rsidRPr="00B91697" w:rsidRDefault="00490F43" w:rsidP="00490F43">
            <w:pPr>
              <w:spacing w:before="60" w:after="60" w:line="240" w:lineRule="auto"/>
              <w:rPr>
                <w:rStyle w:val="ExampletextCharChar"/>
                <w:color w:val="auto"/>
              </w:rPr>
            </w:pPr>
            <w:r w:rsidRPr="00B91697">
              <w:rPr>
                <w:rStyle w:val="ExampletextCharChar"/>
                <w:i w:val="0"/>
                <w:color w:val="auto"/>
              </w:rPr>
              <w:t>The Department of Education, Skills and Employment (DESE) fosters a productive and competitive labour market through employment policies and programs that assist job seekers, including Indigenous Australians, into work, meet employer needs and increase Australia’s workforce participation.</w:t>
            </w:r>
          </w:p>
        </w:tc>
      </w:tr>
    </w:tbl>
    <w:p w14:paraId="5D093F43" w14:textId="77777777" w:rsidR="00490F43" w:rsidRDefault="00490F43" w:rsidP="00490F43">
      <w:pPr>
        <w:spacing w:after="0" w:line="240" w:lineRule="auto"/>
      </w:pPr>
    </w:p>
    <w:tbl>
      <w:tblPr>
        <w:tblStyle w:val="TableGrid"/>
        <w:tblW w:w="0" w:type="auto"/>
        <w:tblInd w:w="137" w:type="dxa"/>
        <w:tblLook w:val="04A0" w:firstRow="1" w:lastRow="0" w:firstColumn="1" w:lastColumn="0" w:noHBand="0" w:noVBand="1"/>
      </w:tblPr>
      <w:tblGrid>
        <w:gridCol w:w="7563"/>
      </w:tblGrid>
      <w:tr w:rsidR="00490F43" w14:paraId="3B1E6912" w14:textId="77777777" w:rsidTr="00F358CE">
        <w:trPr>
          <w:trHeight w:val="20"/>
          <w:tblHeader/>
        </w:trPr>
        <w:tc>
          <w:tcPr>
            <w:tcW w:w="7563" w:type="dxa"/>
          </w:tcPr>
          <w:p w14:paraId="46CCD544" w14:textId="77777777" w:rsidR="00490F43" w:rsidRDefault="00490F43" w:rsidP="00490F43">
            <w:r w:rsidRPr="00741F55">
              <w:rPr>
                <w:b/>
              </w:rPr>
              <w:t>Department of Social Services</w:t>
            </w:r>
          </w:p>
        </w:tc>
      </w:tr>
      <w:tr w:rsidR="00490F43" w14:paraId="63AC5496" w14:textId="77777777" w:rsidTr="00490F43">
        <w:tc>
          <w:tcPr>
            <w:tcW w:w="7563" w:type="dxa"/>
          </w:tcPr>
          <w:p w14:paraId="18B1A970" w14:textId="77777777" w:rsidR="00490F43" w:rsidRPr="00741F55" w:rsidRDefault="00490F43" w:rsidP="00490F43">
            <w:pPr>
              <w:rPr>
                <w:b/>
              </w:rPr>
            </w:pPr>
            <w:r w:rsidRPr="00741F55">
              <w:rPr>
                <w:b/>
              </w:rPr>
              <w:t>Programs</w:t>
            </w:r>
          </w:p>
          <w:p w14:paraId="72BDF59E" w14:textId="77777777" w:rsidR="00490F43" w:rsidRPr="0076280B" w:rsidRDefault="00490F43" w:rsidP="008A2254">
            <w:pPr>
              <w:numPr>
                <w:ilvl w:val="0"/>
                <w:numId w:val="74"/>
              </w:numPr>
              <w:spacing w:after="0" w:line="240" w:lineRule="auto"/>
              <w:ind w:left="714" w:hanging="357"/>
            </w:pPr>
            <w:r w:rsidRPr="0076280B">
              <w:t>Program 1.5 – Working Age Payments</w:t>
            </w:r>
          </w:p>
          <w:p w14:paraId="7C84969F" w14:textId="77777777" w:rsidR="00490F43" w:rsidRPr="0076280B" w:rsidRDefault="00490F43" w:rsidP="008A2254">
            <w:pPr>
              <w:numPr>
                <w:ilvl w:val="0"/>
                <w:numId w:val="74"/>
              </w:numPr>
              <w:spacing w:after="0" w:line="240" w:lineRule="auto"/>
              <w:ind w:left="714" w:hanging="357"/>
              <w:rPr>
                <w:i/>
              </w:rPr>
            </w:pPr>
            <w:r w:rsidRPr="0076280B">
              <w:t>Program 1.6 – Student Payments</w:t>
            </w:r>
          </w:p>
          <w:p w14:paraId="05934515" w14:textId="77777777" w:rsidR="00490F43" w:rsidRPr="0076280B" w:rsidRDefault="00490F43" w:rsidP="008A2254">
            <w:pPr>
              <w:numPr>
                <w:ilvl w:val="0"/>
                <w:numId w:val="74"/>
              </w:numPr>
              <w:spacing w:after="0" w:line="240" w:lineRule="auto"/>
              <w:ind w:left="714" w:hanging="357"/>
              <w:rPr>
                <w:i/>
              </w:rPr>
            </w:pPr>
            <w:r w:rsidRPr="0076280B">
              <w:t>Program 2.1 – Families and Communities</w:t>
            </w:r>
          </w:p>
          <w:p w14:paraId="7DCDD8B8" w14:textId="77777777" w:rsidR="00490F43" w:rsidRPr="0076280B" w:rsidRDefault="00490F43" w:rsidP="008A2254">
            <w:pPr>
              <w:numPr>
                <w:ilvl w:val="0"/>
                <w:numId w:val="74"/>
              </w:numPr>
              <w:spacing w:after="0" w:line="240" w:lineRule="auto"/>
              <w:ind w:left="714" w:hanging="357"/>
              <w:rPr>
                <w:i/>
              </w:rPr>
            </w:pPr>
            <w:r w:rsidRPr="0076280B">
              <w:t>Program 3.1 – Disability and Carers</w:t>
            </w:r>
          </w:p>
          <w:p w14:paraId="5CFFFD7C" w14:textId="77777777" w:rsidR="00E875D0" w:rsidRDefault="00490F43" w:rsidP="00E875D0">
            <w:pPr>
              <w:numPr>
                <w:ilvl w:val="0"/>
                <w:numId w:val="74"/>
              </w:numPr>
              <w:spacing w:line="240" w:lineRule="auto"/>
              <w:ind w:left="714" w:hanging="357"/>
            </w:pPr>
            <w:r w:rsidRPr="0076280B">
              <w:t>Program 4.1 – Housing and Homelessness</w:t>
            </w:r>
          </w:p>
        </w:tc>
      </w:tr>
      <w:tr w:rsidR="00490F43" w14:paraId="725978CC" w14:textId="77777777" w:rsidTr="00490F43">
        <w:tc>
          <w:tcPr>
            <w:tcW w:w="7563" w:type="dxa"/>
          </w:tcPr>
          <w:p w14:paraId="6535F6D3" w14:textId="77777777" w:rsidR="00490F43" w:rsidRPr="00741F55" w:rsidRDefault="00490F43" w:rsidP="00490F43">
            <w:pPr>
              <w:rPr>
                <w:b/>
              </w:rPr>
            </w:pPr>
            <w:r w:rsidRPr="00741F55">
              <w:rPr>
                <w:b/>
              </w:rPr>
              <w:t>Contribution to Outcome 1 made by linked programs</w:t>
            </w:r>
          </w:p>
          <w:p w14:paraId="624AF1EA" w14:textId="77777777" w:rsidR="00490F43" w:rsidRPr="00DD766F" w:rsidRDefault="00490F43" w:rsidP="00490F43">
            <w:pPr>
              <w:spacing w:after="120"/>
              <w:rPr>
                <w:lang w:val="x-none"/>
              </w:rPr>
            </w:pPr>
            <w:r w:rsidRPr="00DD766F">
              <w:rPr>
                <w:lang w:val="x-none"/>
              </w:rPr>
              <w:t xml:space="preserve">The Department of Social Services </w:t>
            </w:r>
            <w:r>
              <w:t xml:space="preserve">(DSS) </w:t>
            </w:r>
            <w:r w:rsidRPr="00DD766F">
              <w:rPr>
                <w:lang w:val="x-none"/>
              </w:rPr>
              <w:t>has policy responsibility for student payments, including ABSTUDY, which provide financial assistance to Indigenous families and students to encourage attendance and retention at school. Some payments (i.e. Relocation Scholarships and Student Start-up Loans) are subject to mutual exclusion provisions for some scholarships which are administered by the NIAA (i.e. Commonwealth Accommodation Costs Scholarship and Commonwealth Education Costs Scholarship) preventing doubl</w:t>
            </w:r>
            <w:r>
              <w:rPr>
                <w:lang w:val="x-none"/>
              </w:rPr>
              <w:t xml:space="preserve">e payment for the same period. </w:t>
            </w:r>
          </w:p>
          <w:p w14:paraId="702F821C"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contributes to the Indigenous Advancement Strategy (IAS) by supporting the development of stronger families and more resilient communities, this includes: supporting Indigenous families and communities to enjoy similar levels of physical emotional and social wellbeing to that enjoyed by other Australians; supporting families to give children a good start in life; supporting access to affordable housing; and supporting remote strategic investments</w:t>
            </w:r>
            <w:r w:rsidR="00490F43">
              <w:rPr>
                <w:lang w:val="x-none"/>
              </w:rPr>
              <w:t xml:space="preserve"> and remote housing strategies.</w:t>
            </w:r>
          </w:p>
          <w:p w14:paraId="699F5FC9"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also contributes to the IAS by supporting eligible Indigenous Australians living in non-remote regio</w:t>
            </w:r>
            <w:r w:rsidR="00490F43">
              <w:rPr>
                <w:lang w:val="x-none"/>
              </w:rPr>
              <w:t>ns with a disability into work.</w:t>
            </w:r>
          </w:p>
          <w:p w14:paraId="222A865A"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funds the new Aboriginal and Torres Strait Islander Personal Safety Survey that is undergoing scoping and development work. The Australian Bureau of Statistics will manage the collection, with first data from the new survey expected in 2025-26. The data collected will inform reportin</w:t>
            </w:r>
            <w:r w:rsidR="00490F43">
              <w:rPr>
                <w:lang w:val="x-none"/>
              </w:rPr>
              <w:t>g on Closing the Gap Target 13.</w:t>
            </w:r>
          </w:p>
          <w:p w14:paraId="5470E67D"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works with state and territory governments under Safe and Supported: the National Framework for Protecting Australia’s Children 2021-2031 (National Framework) to improve outcomes for children and families experiencing disadvantage and/or who are vulnerable. The four focus areas of the National Framework are: early intervention and targeted support for children and families; addressing the over representation of Aboriginal and Torres Strait Islander children in child protection systems; improved information and data capability; and strengthening the child and family sector and workforce capability. The National Framework also supports the achievement of Target 12 under the Closing the Gap National Agreement, which seeks to reduce the rate of over representation of Aboriginal and Torres Strait Islander children in out-of-ho</w:t>
            </w:r>
            <w:r w:rsidR="00490F43">
              <w:rPr>
                <w:lang w:val="x-none"/>
              </w:rPr>
              <w:t>me care by 45 per cent by 2031.</w:t>
            </w:r>
          </w:p>
          <w:p w14:paraId="0A47214E"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is now working closely with state and territory governments, Aboriginal and Torres Strait Islander stakeholders and non-government organisations to develop </w:t>
            </w:r>
            <w:r>
              <w:rPr>
                <w:lang w:val="x-none"/>
              </w:rPr>
              <w:t>the National Framework’s first five</w:t>
            </w:r>
            <w:r w:rsidR="00490F43" w:rsidRPr="00DD766F">
              <w:rPr>
                <w:lang w:val="x-none"/>
              </w:rPr>
              <w:t>-year Action Plans, including an Aboriginal and Torre</w:t>
            </w:r>
            <w:r w:rsidR="00490F43">
              <w:rPr>
                <w:lang w:val="x-none"/>
              </w:rPr>
              <w:t xml:space="preserve">s Strait Islander Action Plan. </w:t>
            </w:r>
          </w:p>
          <w:p w14:paraId="65D56348"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supports the Aboriginal and Torres Strait Islander Advisory Council on Domestic and Family Violence, developing the Aboriginal and Torres Strait Islander Action Plan to end viole</w:t>
            </w:r>
            <w:r w:rsidR="00490F43">
              <w:rPr>
                <w:lang w:val="x-none"/>
              </w:rPr>
              <w:t>nce against women and children.</w:t>
            </w:r>
          </w:p>
          <w:p w14:paraId="464EB8F7"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is also leading the implementation of the Commonwealth response to the recommendations and findings of the Royal Commission into the Protection and Detention of children in the Northern Territory, working closely with the NIAA, in partnership with the Northern Territory Government and non-government organisations and local communities.</w:t>
            </w:r>
          </w:p>
          <w:p w14:paraId="551AC694" w14:textId="77777777" w:rsidR="00490F43" w:rsidRPr="00DD766F" w:rsidRDefault="00490F43" w:rsidP="00490F43">
            <w:pPr>
              <w:spacing w:after="120"/>
              <w:rPr>
                <w:lang w:val="x-none"/>
              </w:rPr>
            </w:pPr>
            <w:r w:rsidRPr="00DD766F">
              <w:rPr>
                <w:lang w:val="x-none"/>
              </w:rPr>
              <w:t>In 2021 the Australian Government established the Aboriginal and Torres Strait Islander Advisory Council on domestic, family and sexual violence (the Advisory Council). In 2022, the Australian Government agreed to the development of a separate Aboriginal and Torres Strait Islander Action Plan to end violence against women and children. The Advisory Council has been tasked with the development of the Action Plan in 2022, and will be consulting widely with Aboriginal and Torres Strait Is</w:t>
            </w:r>
            <w:r>
              <w:rPr>
                <w:lang w:val="x-none"/>
              </w:rPr>
              <w:t>lander communities during 2022.</w:t>
            </w:r>
          </w:p>
          <w:p w14:paraId="7F40F65A"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works with the NIAA and the D</w:t>
            </w:r>
            <w:r w:rsidR="00490F43">
              <w:t xml:space="preserve">ESE </w:t>
            </w:r>
            <w:r w:rsidR="00490F43" w:rsidRPr="00DD766F">
              <w:rPr>
                <w:lang w:val="x-none"/>
              </w:rPr>
              <w:t>on the Remote Engagement Program. The pilot of the Remote Engagement Program includes a supplementary payment for eligible job seekers so they can engage in job-like activities or placements. These placements will build participants’ skills in roles that will deliver goods or services to benefit local communities and provide a pathway</w:t>
            </w:r>
            <w:r w:rsidR="00490F43">
              <w:rPr>
                <w:lang w:val="x-none"/>
              </w:rPr>
              <w:t xml:space="preserve"> for job seekers to find a job.</w:t>
            </w:r>
          </w:p>
          <w:p w14:paraId="7A37CBAF"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conducts the Longitudinal Study of Indigenous Children. The study started in 2008 and follows the development of two cohorts of up to 1,700 children as they transition from infants all the way to adulthood. A range of physical, social and economic information about the child and their family is collected annually. Survey results are used to understand what helps Aboriginal and Torres Strait Islander children grow up strong. Microdata is publicly released to approved researchers throu</w:t>
            </w:r>
            <w:r w:rsidR="00490F43">
              <w:rPr>
                <w:lang w:val="x-none"/>
              </w:rPr>
              <w:t>gh the Australian Data Archive.</w:t>
            </w:r>
          </w:p>
          <w:p w14:paraId="498DF57B" w14:textId="77777777" w:rsidR="00490F43" w:rsidRPr="00DD766F" w:rsidRDefault="00F358CE" w:rsidP="00490F43">
            <w:pPr>
              <w:spacing w:after="120"/>
              <w:rPr>
                <w:lang w:val="x-none"/>
              </w:rPr>
            </w:pPr>
            <w:r>
              <w:t xml:space="preserve">The </w:t>
            </w:r>
            <w:r w:rsidR="00490F43">
              <w:t>DSS</w:t>
            </w:r>
            <w:r w:rsidR="00490F43" w:rsidRPr="00DD766F">
              <w:rPr>
                <w:lang w:val="x-none"/>
              </w:rPr>
              <w:t xml:space="preserve"> is also leading the Early Childhood Targeted Action Plan to support Australia’s Disability Strategy 2021-31. It aims to strengthen early identification, information, supports and pathways for young children with disability or developmental concerns, their parent and carers. This includes Aboriginal and Torres Strait Islander and culturally and linguistically diverse children, their parents and carers. It will also encourage better collaboration between programs and services to support the development and wellbeing of children to help them thrive ac</w:t>
            </w:r>
            <w:r w:rsidR="00490F43">
              <w:rPr>
                <w:lang w:val="x-none"/>
              </w:rPr>
              <w:t xml:space="preserve">ross and between life stages.  </w:t>
            </w:r>
          </w:p>
          <w:p w14:paraId="660F41BA" w14:textId="77777777" w:rsidR="00490F43" w:rsidRPr="00741F55" w:rsidRDefault="00F358CE" w:rsidP="00F358CE">
            <w:pPr>
              <w:spacing w:after="120"/>
              <w:rPr>
                <w:i/>
              </w:rPr>
            </w:pPr>
            <w:r>
              <w:t xml:space="preserve">The </w:t>
            </w:r>
            <w:r w:rsidR="00490F43">
              <w:rPr>
                <w:lang w:val="x-none"/>
              </w:rPr>
              <w:t xml:space="preserve">DSS </w:t>
            </w:r>
            <w:r w:rsidR="00490F43" w:rsidRPr="00DD766F">
              <w:rPr>
                <w:lang w:val="x-none"/>
              </w:rPr>
              <w:t>is progressing a number of activities to develop the new National Early Childhood program for children with disability or developmental concerns with service delivery expected to commence in late 2022. The program will deliver a range of disability-specific information, workshops and supported play</w:t>
            </w:r>
            <w:r>
              <w:rPr>
                <w:lang w:val="x-none"/>
              </w:rPr>
              <w:t>groups for young children aged zero</w:t>
            </w:r>
            <w:r w:rsidR="00490F43" w:rsidRPr="00DD766F">
              <w:rPr>
                <w:lang w:val="x-none"/>
              </w:rPr>
              <w:t xml:space="preserve"> to </w:t>
            </w:r>
            <w:r>
              <w:t>eight</w:t>
            </w:r>
            <w:r w:rsidR="00490F43" w:rsidRPr="00DD766F">
              <w:rPr>
                <w:lang w:val="x-none"/>
              </w:rPr>
              <w:t xml:space="preserve"> years with disability or developmental concerns. The new program will assist in meeting the Closing the Gap Target 4 – Aboriginal and Torres Strait Islander children thrive in their early years.</w:t>
            </w:r>
          </w:p>
        </w:tc>
      </w:tr>
    </w:tbl>
    <w:p w14:paraId="6D7C3074" w14:textId="77777777" w:rsidR="00490F43" w:rsidRDefault="00490F43" w:rsidP="00490F43"/>
    <w:p w14:paraId="505BC634" w14:textId="77777777" w:rsidR="00490F43" w:rsidRDefault="00490F43" w:rsidP="00490F43">
      <w:pPr>
        <w:spacing w:after="0" w:line="240" w:lineRule="auto"/>
        <w:jc w:val="left"/>
      </w:pPr>
      <w:r>
        <w:br w:type="page"/>
      </w:r>
    </w:p>
    <w:p w14:paraId="6BCFA0AA" w14:textId="77777777" w:rsidR="00490F43" w:rsidRPr="00446612" w:rsidRDefault="00490F43" w:rsidP="00490F43">
      <w:pPr>
        <w:pStyle w:val="Heading5"/>
      </w:pPr>
      <w:r w:rsidRPr="00446612">
        <w:t xml:space="preserve">Budgeted expenses for Outcome </w:t>
      </w:r>
      <w:r>
        <w:t>1</w:t>
      </w:r>
    </w:p>
    <w:p w14:paraId="1753898E" w14:textId="77777777" w:rsidR="00490F43" w:rsidRDefault="00490F43" w:rsidP="00490F43">
      <w:r w:rsidRPr="00950281">
        <w:t>This</w:t>
      </w:r>
      <w:r>
        <w:t xml:space="preserve"> table shows how much the NIAA</w:t>
      </w:r>
      <w:r w:rsidRPr="00950281">
        <w:t xml:space="preserve"> intends to spend (on an accrual basis) on achieving the outcome, broken </w:t>
      </w:r>
      <w:r w:rsidR="00356863">
        <w:t>down by program, as well as by a</w:t>
      </w:r>
      <w:r w:rsidRPr="00950281">
        <w:t>dministered an</w:t>
      </w:r>
      <w:r w:rsidR="00356863">
        <w:t>d d</w:t>
      </w:r>
      <w:r>
        <w:t>epartmental funding sources.</w:t>
      </w:r>
    </w:p>
    <w:p w14:paraId="7AD0C05C" w14:textId="77777777" w:rsidR="00490F43" w:rsidRDefault="00490F43" w:rsidP="00490F43">
      <w:pPr>
        <w:pStyle w:val="TableHeading"/>
        <w:ind w:left="-567" w:firstLine="567"/>
      </w:pPr>
      <w:r>
        <w:t>Table 2.1</w:t>
      </w:r>
      <w:r w:rsidRPr="006E4DF1">
        <w:t>.1:</w:t>
      </w:r>
      <w:r>
        <w:t xml:space="preserve"> Budgeted expenses for Outcome 1</w:t>
      </w:r>
    </w:p>
    <w:p w14:paraId="357076F8" w14:textId="77777777" w:rsidR="00490F43" w:rsidRPr="00054026" w:rsidRDefault="00EC336F" w:rsidP="00490F43">
      <w:pPr>
        <w:pStyle w:val="TableHeading"/>
      </w:pPr>
      <w:r w:rsidRPr="00EC336F">
        <w:rPr>
          <w:noProof/>
          <w:lang w:val="en-AU" w:eastAsia="en-AU"/>
        </w:rPr>
        <w:drawing>
          <wp:inline distT="0" distB="0" distL="0" distR="0" wp14:anchorId="2EDE4345" wp14:editId="1FC78715">
            <wp:extent cx="4895850" cy="315901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895850" cy="3159013"/>
                    </a:xfrm>
                    <a:prstGeom prst="rect">
                      <a:avLst/>
                    </a:prstGeom>
                    <a:noFill/>
                    <a:ln>
                      <a:noFill/>
                    </a:ln>
                  </pic:spPr>
                </pic:pic>
              </a:graphicData>
            </a:graphic>
          </wp:inline>
        </w:drawing>
      </w:r>
    </w:p>
    <w:p w14:paraId="3690D126" w14:textId="77777777" w:rsidR="00490F43" w:rsidRDefault="00490F43" w:rsidP="00490F43">
      <w:pPr>
        <w:tabs>
          <w:tab w:val="left" w:pos="5812"/>
        </w:tabs>
        <w:ind w:left="-709"/>
        <w:sectPr w:rsidR="00490F43" w:rsidSect="00490F43">
          <w:pgSz w:w="11906" w:h="16838" w:code="9"/>
          <w:pgMar w:top="2410" w:right="2098" w:bottom="2466" w:left="2098" w:header="1899" w:footer="1899" w:gutter="0"/>
          <w:cols w:space="708"/>
          <w:docGrid w:linePitch="360"/>
        </w:sectPr>
      </w:pPr>
    </w:p>
    <w:p w14:paraId="6CB47C76" w14:textId="77777777" w:rsidR="00490F43" w:rsidRDefault="00490F43" w:rsidP="00490F43">
      <w:pPr>
        <w:pStyle w:val="TableHeading"/>
        <w:ind w:left="-567" w:firstLine="567"/>
        <w:rPr>
          <w:rFonts w:ascii="Times New Roman" w:hAnsi="Times New Roman"/>
        </w:rPr>
      </w:pPr>
      <w:r>
        <w:t>Table 2.1.1: Budgeted expenses for Outcome 1</w:t>
      </w:r>
      <w:r w:rsidRPr="00CE01FE">
        <w:t xml:space="preserve"> (continued)</w:t>
      </w:r>
    </w:p>
    <w:p w14:paraId="6317BD04" w14:textId="77777777" w:rsidR="00490F43" w:rsidRDefault="00E875D0" w:rsidP="00490F43">
      <w:pPr>
        <w:pStyle w:val="TableGraphic"/>
        <w:jc w:val="left"/>
        <w:rPr>
          <w:rFonts w:ascii="Arial" w:hAnsi="Arial"/>
          <w:b/>
          <w:color w:val="000000"/>
          <w:lang w:val="x-none" w:eastAsia="x-none"/>
        </w:rPr>
      </w:pPr>
      <w:r w:rsidRPr="00E875D0">
        <w:rPr>
          <w:noProof/>
        </w:rPr>
        <w:drawing>
          <wp:inline distT="0" distB="0" distL="0" distR="0" wp14:anchorId="44960260" wp14:editId="49E5FD3C">
            <wp:extent cx="4895850" cy="4316449"/>
            <wp:effectExtent l="0" t="0" r="0" b="825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95850" cy="4316449"/>
                    </a:xfrm>
                    <a:prstGeom prst="rect">
                      <a:avLst/>
                    </a:prstGeom>
                    <a:noFill/>
                    <a:ln>
                      <a:noFill/>
                    </a:ln>
                  </pic:spPr>
                </pic:pic>
              </a:graphicData>
            </a:graphic>
          </wp:inline>
        </w:drawing>
      </w:r>
    </w:p>
    <w:p w14:paraId="20BB2FED" w14:textId="77777777" w:rsidR="00490F43" w:rsidRDefault="00490F43" w:rsidP="00490F43">
      <w:pPr>
        <w:rPr>
          <w:lang w:val="x-none" w:eastAsia="x-none"/>
        </w:rPr>
      </w:pPr>
    </w:p>
    <w:p w14:paraId="482A5909" w14:textId="77777777" w:rsidR="00490F43" w:rsidRDefault="00490F43" w:rsidP="00490F43">
      <w:pPr>
        <w:rPr>
          <w:lang w:val="x-none" w:eastAsia="x-none"/>
        </w:rPr>
      </w:pPr>
    </w:p>
    <w:p w14:paraId="1BA6821E" w14:textId="77777777" w:rsidR="00490F43" w:rsidRDefault="00490F43" w:rsidP="00490F43">
      <w:pPr>
        <w:rPr>
          <w:lang w:val="x-none" w:eastAsia="x-none"/>
        </w:rPr>
      </w:pPr>
    </w:p>
    <w:p w14:paraId="5DDA7630" w14:textId="77777777" w:rsidR="00490F43" w:rsidRDefault="00490F43" w:rsidP="00490F43">
      <w:pPr>
        <w:rPr>
          <w:lang w:val="x-none" w:eastAsia="x-none"/>
        </w:rPr>
      </w:pPr>
    </w:p>
    <w:p w14:paraId="20F4FF9B" w14:textId="77777777" w:rsidR="00490F43" w:rsidRDefault="00490F43" w:rsidP="00490F43">
      <w:pPr>
        <w:rPr>
          <w:lang w:val="x-none" w:eastAsia="x-none"/>
        </w:rPr>
      </w:pPr>
    </w:p>
    <w:p w14:paraId="71FEB3EC" w14:textId="77777777" w:rsidR="00490F43" w:rsidRDefault="00490F43" w:rsidP="00490F43">
      <w:pPr>
        <w:spacing w:after="0" w:line="240" w:lineRule="auto"/>
        <w:jc w:val="left"/>
        <w:rPr>
          <w:lang w:val="x-none" w:eastAsia="x-none"/>
        </w:rPr>
      </w:pPr>
      <w:r>
        <w:rPr>
          <w:lang w:val="x-none" w:eastAsia="x-none"/>
        </w:rPr>
        <w:br w:type="page"/>
      </w:r>
    </w:p>
    <w:p w14:paraId="53496409" w14:textId="77777777" w:rsidR="00490F43" w:rsidRDefault="00490F43" w:rsidP="00B91697">
      <w:pPr>
        <w:pStyle w:val="TableGraphic"/>
        <w:rPr>
          <w:rFonts w:ascii="Times New Roman" w:hAnsi="Times New Roman"/>
        </w:rPr>
      </w:pPr>
      <w:r w:rsidRPr="00CE6B35">
        <w:rPr>
          <w:rFonts w:ascii="Arial" w:hAnsi="Arial"/>
          <w:b/>
          <w:color w:val="000000"/>
          <w:lang w:val="x-none" w:eastAsia="x-none"/>
        </w:rPr>
        <w:t>Table 2.1.1: Budgeted expenses for Outcome 1 (continued)</w:t>
      </w:r>
      <w:r>
        <w:t xml:space="preserve"> </w:t>
      </w:r>
    </w:p>
    <w:p w14:paraId="418F9E7D" w14:textId="77777777" w:rsidR="00E875D0" w:rsidRDefault="00490F43" w:rsidP="00490F43">
      <w:pPr>
        <w:pStyle w:val="TableGraphic"/>
        <w:jc w:val="left"/>
      </w:pPr>
      <w:r w:rsidRPr="00564771">
        <w:t xml:space="preserve"> </w:t>
      </w:r>
    </w:p>
    <w:tbl>
      <w:tblPr>
        <w:tblW w:w="8720" w:type="dxa"/>
        <w:tblLook w:val="04A0" w:firstRow="1" w:lastRow="0" w:firstColumn="1" w:lastColumn="0" w:noHBand="0" w:noVBand="1"/>
      </w:tblPr>
      <w:tblGrid>
        <w:gridCol w:w="3460"/>
        <w:gridCol w:w="1080"/>
        <w:gridCol w:w="940"/>
        <w:gridCol w:w="1080"/>
        <w:gridCol w:w="1080"/>
        <w:gridCol w:w="1080"/>
      </w:tblGrid>
      <w:tr w:rsidR="00E875D0" w:rsidRPr="00E875D0" w14:paraId="78C91099" w14:textId="77777777" w:rsidTr="00E875D0">
        <w:trPr>
          <w:trHeight w:val="1155"/>
        </w:trPr>
        <w:tc>
          <w:tcPr>
            <w:tcW w:w="3460" w:type="dxa"/>
            <w:tcBorders>
              <w:top w:val="single" w:sz="4" w:space="0" w:color="auto"/>
              <w:left w:val="nil"/>
              <w:bottom w:val="single" w:sz="4" w:space="0" w:color="auto"/>
              <w:right w:val="nil"/>
            </w:tcBorders>
            <w:shd w:val="clear" w:color="auto" w:fill="auto"/>
            <w:vAlign w:val="center"/>
            <w:hideMark/>
          </w:tcPr>
          <w:p w14:paraId="3DBFE67F" w14:textId="77777777" w:rsidR="00E875D0" w:rsidRPr="00E875D0" w:rsidRDefault="00E875D0" w:rsidP="00E875D0">
            <w:pPr>
              <w:spacing w:after="0" w:line="240" w:lineRule="auto"/>
              <w:jc w:val="left"/>
              <w:rPr>
                <w:rFonts w:ascii="Arial" w:hAnsi="Arial" w:cs="Arial"/>
                <w:b/>
                <w:bCs/>
                <w:color w:val="000000"/>
                <w:sz w:val="16"/>
                <w:szCs w:val="16"/>
              </w:rPr>
            </w:pPr>
            <w:r w:rsidRPr="00E875D0">
              <w:rPr>
                <w:rFonts w:ascii="Arial" w:hAnsi="Arial" w:cs="Arial"/>
                <w:b/>
                <w:bCs/>
                <w:color w:val="000000"/>
                <w:sz w:val="16"/>
                <w:szCs w:val="16"/>
              </w:rPr>
              <w:t> </w:t>
            </w:r>
          </w:p>
        </w:tc>
        <w:tc>
          <w:tcPr>
            <w:tcW w:w="1080" w:type="dxa"/>
            <w:tcBorders>
              <w:top w:val="single" w:sz="4" w:space="0" w:color="auto"/>
              <w:left w:val="nil"/>
              <w:bottom w:val="single" w:sz="4" w:space="0" w:color="auto"/>
              <w:right w:val="nil"/>
            </w:tcBorders>
            <w:shd w:val="clear" w:color="auto" w:fill="auto"/>
            <w:hideMark/>
          </w:tcPr>
          <w:p w14:paraId="05FA5BC0"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2021-22 Estimated actual</w:t>
            </w:r>
            <w:r w:rsidRPr="00E875D0">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000000" w:fill="E6E6E6"/>
            <w:hideMark/>
          </w:tcPr>
          <w:p w14:paraId="709E7E68"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2021-22 Estimated actual</w:t>
            </w:r>
            <w:r w:rsidRPr="00E875D0">
              <w:rPr>
                <w:rFonts w:ascii="Arial" w:hAnsi="Arial" w:cs="Arial"/>
                <w:sz w:val="16"/>
                <w:szCs w:val="16"/>
              </w:rPr>
              <w:br/>
              <w:t>$'000</w:t>
            </w:r>
          </w:p>
        </w:tc>
        <w:tc>
          <w:tcPr>
            <w:tcW w:w="1080" w:type="dxa"/>
            <w:tcBorders>
              <w:top w:val="single" w:sz="4" w:space="0" w:color="auto"/>
              <w:left w:val="nil"/>
              <w:bottom w:val="single" w:sz="4" w:space="0" w:color="auto"/>
              <w:right w:val="nil"/>
            </w:tcBorders>
            <w:shd w:val="clear" w:color="auto" w:fill="auto"/>
            <w:hideMark/>
          </w:tcPr>
          <w:p w14:paraId="0B645BB0"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2023-24 Forward estimate</w:t>
            </w:r>
            <w:r w:rsidRPr="00E875D0">
              <w:rPr>
                <w:rFonts w:ascii="Arial" w:hAnsi="Arial" w:cs="Arial"/>
                <w:sz w:val="16"/>
                <w:szCs w:val="16"/>
              </w:rPr>
              <w:br/>
              <w:t>$'000</w:t>
            </w:r>
          </w:p>
        </w:tc>
        <w:tc>
          <w:tcPr>
            <w:tcW w:w="1080" w:type="dxa"/>
            <w:tcBorders>
              <w:top w:val="single" w:sz="4" w:space="0" w:color="auto"/>
              <w:left w:val="nil"/>
              <w:bottom w:val="single" w:sz="4" w:space="0" w:color="auto"/>
              <w:right w:val="nil"/>
            </w:tcBorders>
            <w:shd w:val="clear" w:color="auto" w:fill="auto"/>
            <w:hideMark/>
          </w:tcPr>
          <w:p w14:paraId="241E24D0"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2024-25 Forward estimate</w:t>
            </w:r>
            <w:r w:rsidRPr="00E875D0">
              <w:rPr>
                <w:rFonts w:ascii="Arial" w:hAnsi="Arial" w:cs="Arial"/>
                <w:sz w:val="16"/>
                <w:szCs w:val="16"/>
              </w:rPr>
              <w:br/>
              <w:t>$'000</w:t>
            </w:r>
          </w:p>
        </w:tc>
        <w:tc>
          <w:tcPr>
            <w:tcW w:w="1080" w:type="dxa"/>
            <w:tcBorders>
              <w:top w:val="single" w:sz="4" w:space="0" w:color="auto"/>
              <w:left w:val="nil"/>
              <w:bottom w:val="single" w:sz="4" w:space="0" w:color="auto"/>
              <w:right w:val="nil"/>
            </w:tcBorders>
            <w:shd w:val="clear" w:color="auto" w:fill="auto"/>
            <w:hideMark/>
          </w:tcPr>
          <w:p w14:paraId="33770A0B"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2025-26</w:t>
            </w:r>
            <w:r w:rsidRPr="00E875D0">
              <w:rPr>
                <w:rFonts w:ascii="Arial" w:hAnsi="Arial" w:cs="Arial"/>
                <w:sz w:val="16"/>
                <w:szCs w:val="16"/>
              </w:rPr>
              <w:br/>
              <w:t>Forward estimate</w:t>
            </w:r>
            <w:r w:rsidRPr="00E875D0">
              <w:rPr>
                <w:rFonts w:ascii="Arial" w:hAnsi="Arial" w:cs="Arial"/>
                <w:sz w:val="16"/>
                <w:szCs w:val="16"/>
              </w:rPr>
              <w:br/>
              <w:t>$'000</w:t>
            </w:r>
          </w:p>
        </w:tc>
      </w:tr>
      <w:tr w:rsidR="00E875D0" w:rsidRPr="00E875D0" w14:paraId="533C9E14" w14:textId="77777777" w:rsidTr="00E875D0">
        <w:trPr>
          <w:trHeight w:val="315"/>
        </w:trPr>
        <w:tc>
          <w:tcPr>
            <w:tcW w:w="3460" w:type="dxa"/>
            <w:tcBorders>
              <w:top w:val="nil"/>
              <w:left w:val="nil"/>
              <w:bottom w:val="single" w:sz="4" w:space="0" w:color="auto"/>
              <w:right w:val="nil"/>
            </w:tcBorders>
            <w:shd w:val="clear" w:color="000000" w:fill="E6E6E6"/>
            <w:vAlign w:val="center"/>
            <w:hideMark/>
          </w:tcPr>
          <w:p w14:paraId="548EBE28"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Program 1.4: Culture and Capability</w:t>
            </w:r>
          </w:p>
        </w:tc>
        <w:tc>
          <w:tcPr>
            <w:tcW w:w="1080" w:type="dxa"/>
            <w:tcBorders>
              <w:top w:val="nil"/>
              <w:left w:val="nil"/>
              <w:bottom w:val="single" w:sz="4" w:space="0" w:color="auto"/>
              <w:right w:val="nil"/>
            </w:tcBorders>
            <w:shd w:val="clear" w:color="000000" w:fill="E6E6E6"/>
            <w:vAlign w:val="center"/>
            <w:hideMark/>
          </w:tcPr>
          <w:p w14:paraId="0321F90C"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940" w:type="dxa"/>
            <w:tcBorders>
              <w:top w:val="nil"/>
              <w:left w:val="nil"/>
              <w:bottom w:val="single" w:sz="4" w:space="0" w:color="auto"/>
              <w:right w:val="nil"/>
            </w:tcBorders>
            <w:shd w:val="clear" w:color="000000" w:fill="E6E6E6"/>
            <w:vAlign w:val="center"/>
            <w:hideMark/>
          </w:tcPr>
          <w:p w14:paraId="495C0625"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6A64898A"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2DFD6AA5"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6DF10AEA"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r>
      <w:tr w:rsidR="00E875D0" w:rsidRPr="00E875D0" w14:paraId="5295A275" w14:textId="77777777" w:rsidTr="00E875D0">
        <w:trPr>
          <w:trHeight w:val="240"/>
        </w:trPr>
        <w:tc>
          <w:tcPr>
            <w:tcW w:w="3460" w:type="dxa"/>
            <w:tcBorders>
              <w:top w:val="nil"/>
              <w:left w:val="nil"/>
              <w:bottom w:val="nil"/>
              <w:right w:val="nil"/>
            </w:tcBorders>
            <w:shd w:val="clear" w:color="auto" w:fill="auto"/>
            <w:vAlign w:val="center"/>
            <w:hideMark/>
          </w:tcPr>
          <w:p w14:paraId="578954D5"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Administered expenses</w:t>
            </w:r>
          </w:p>
        </w:tc>
        <w:tc>
          <w:tcPr>
            <w:tcW w:w="1080" w:type="dxa"/>
            <w:tcBorders>
              <w:top w:val="nil"/>
              <w:left w:val="nil"/>
              <w:bottom w:val="nil"/>
              <w:right w:val="nil"/>
            </w:tcBorders>
            <w:shd w:val="clear" w:color="auto" w:fill="auto"/>
            <w:noWrap/>
            <w:vAlign w:val="center"/>
            <w:hideMark/>
          </w:tcPr>
          <w:p w14:paraId="4A885AFA" w14:textId="77777777" w:rsidR="00E875D0" w:rsidRPr="00E875D0" w:rsidRDefault="00E875D0" w:rsidP="00E875D0">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6C16FC5D"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w:t>
            </w:r>
          </w:p>
        </w:tc>
        <w:tc>
          <w:tcPr>
            <w:tcW w:w="1080" w:type="dxa"/>
            <w:tcBorders>
              <w:top w:val="nil"/>
              <w:left w:val="nil"/>
              <w:bottom w:val="nil"/>
              <w:right w:val="nil"/>
            </w:tcBorders>
            <w:shd w:val="clear" w:color="auto" w:fill="auto"/>
            <w:noWrap/>
            <w:vAlign w:val="center"/>
            <w:hideMark/>
          </w:tcPr>
          <w:p w14:paraId="48DC69EE" w14:textId="77777777" w:rsidR="00E875D0" w:rsidRPr="00E875D0" w:rsidRDefault="00E875D0" w:rsidP="00E875D0">
            <w:pPr>
              <w:spacing w:after="0" w:line="240" w:lineRule="auto"/>
              <w:jc w:val="right"/>
              <w:rPr>
                <w:rFonts w:ascii="Arial" w:hAnsi="Arial" w:cs="Arial"/>
                <w:sz w:val="16"/>
                <w:szCs w:val="16"/>
              </w:rPr>
            </w:pPr>
          </w:p>
        </w:tc>
        <w:tc>
          <w:tcPr>
            <w:tcW w:w="1080" w:type="dxa"/>
            <w:tcBorders>
              <w:top w:val="nil"/>
              <w:left w:val="nil"/>
              <w:bottom w:val="nil"/>
              <w:right w:val="nil"/>
            </w:tcBorders>
            <w:shd w:val="clear" w:color="auto" w:fill="auto"/>
            <w:noWrap/>
            <w:vAlign w:val="center"/>
            <w:hideMark/>
          </w:tcPr>
          <w:p w14:paraId="4AD8A9E6" w14:textId="77777777" w:rsidR="00E875D0" w:rsidRPr="00E875D0" w:rsidRDefault="00E875D0" w:rsidP="00E875D0">
            <w:pPr>
              <w:spacing w:after="0" w:line="240" w:lineRule="auto"/>
              <w:jc w:val="left"/>
              <w:rPr>
                <w:rFonts w:ascii="Times New Roman" w:hAnsi="Times New Roman"/>
              </w:rPr>
            </w:pPr>
          </w:p>
        </w:tc>
        <w:tc>
          <w:tcPr>
            <w:tcW w:w="1080" w:type="dxa"/>
            <w:tcBorders>
              <w:top w:val="nil"/>
              <w:left w:val="nil"/>
              <w:bottom w:val="nil"/>
              <w:right w:val="nil"/>
            </w:tcBorders>
            <w:shd w:val="clear" w:color="auto" w:fill="auto"/>
            <w:noWrap/>
            <w:vAlign w:val="center"/>
            <w:hideMark/>
          </w:tcPr>
          <w:p w14:paraId="74FABF9B" w14:textId="77777777" w:rsidR="00E875D0" w:rsidRPr="00E875D0" w:rsidRDefault="00E875D0" w:rsidP="00E875D0">
            <w:pPr>
              <w:spacing w:after="0" w:line="240" w:lineRule="auto"/>
              <w:jc w:val="left"/>
              <w:rPr>
                <w:rFonts w:ascii="Times New Roman" w:hAnsi="Times New Roman"/>
              </w:rPr>
            </w:pPr>
          </w:p>
        </w:tc>
      </w:tr>
      <w:tr w:rsidR="00E875D0" w:rsidRPr="00E875D0" w14:paraId="5D70DB3B" w14:textId="77777777" w:rsidTr="00E875D0">
        <w:trPr>
          <w:trHeight w:val="450"/>
        </w:trPr>
        <w:tc>
          <w:tcPr>
            <w:tcW w:w="3460" w:type="dxa"/>
            <w:tcBorders>
              <w:top w:val="nil"/>
              <w:left w:val="nil"/>
              <w:bottom w:val="nil"/>
              <w:right w:val="nil"/>
            </w:tcBorders>
            <w:shd w:val="clear" w:color="auto" w:fill="auto"/>
            <w:vAlign w:val="center"/>
            <w:hideMark/>
          </w:tcPr>
          <w:p w14:paraId="518633CD"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Ordinary annual services (Appropriation Act</w:t>
            </w:r>
            <w:r w:rsidRPr="00E875D0">
              <w:rPr>
                <w:rFonts w:ascii="Arial" w:hAnsi="Arial" w:cs="Arial"/>
                <w:sz w:val="16"/>
                <w:szCs w:val="16"/>
              </w:rPr>
              <w:br/>
              <w:t xml:space="preserve">  No. 1) (a)</w:t>
            </w:r>
          </w:p>
        </w:tc>
        <w:tc>
          <w:tcPr>
            <w:tcW w:w="1080" w:type="dxa"/>
            <w:tcBorders>
              <w:top w:val="nil"/>
              <w:left w:val="nil"/>
              <w:bottom w:val="nil"/>
              <w:right w:val="nil"/>
            </w:tcBorders>
            <w:shd w:val="clear" w:color="auto" w:fill="auto"/>
            <w:noWrap/>
            <w:vAlign w:val="center"/>
            <w:hideMark/>
          </w:tcPr>
          <w:p w14:paraId="247E1C63"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62,143 </w:t>
            </w:r>
          </w:p>
        </w:tc>
        <w:tc>
          <w:tcPr>
            <w:tcW w:w="940" w:type="dxa"/>
            <w:tcBorders>
              <w:top w:val="nil"/>
              <w:left w:val="nil"/>
              <w:bottom w:val="nil"/>
              <w:right w:val="nil"/>
            </w:tcBorders>
            <w:shd w:val="clear" w:color="000000" w:fill="E6E6E6"/>
            <w:noWrap/>
            <w:vAlign w:val="center"/>
            <w:hideMark/>
          </w:tcPr>
          <w:p w14:paraId="1513BE6F"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90,563 </w:t>
            </w:r>
          </w:p>
        </w:tc>
        <w:tc>
          <w:tcPr>
            <w:tcW w:w="1080" w:type="dxa"/>
            <w:tcBorders>
              <w:top w:val="nil"/>
              <w:left w:val="nil"/>
              <w:bottom w:val="nil"/>
              <w:right w:val="nil"/>
            </w:tcBorders>
            <w:shd w:val="clear" w:color="auto" w:fill="auto"/>
            <w:noWrap/>
            <w:vAlign w:val="center"/>
            <w:hideMark/>
          </w:tcPr>
          <w:p w14:paraId="317D7234"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73,950 </w:t>
            </w:r>
          </w:p>
        </w:tc>
        <w:tc>
          <w:tcPr>
            <w:tcW w:w="1080" w:type="dxa"/>
            <w:tcBorders>
              <w:top w:val="nil"/>
              <w:left w:val="nil"/>
              <w:bottom w:val="nil"/>
              <w:right w:val="nil"/>
            </w:tcBorders>
            <w:shd w:val="clear" w:color="auto" w:fill="auto"/>
            <w:noWrap/>
            <w:vAlign w:val="center"/>
            <w:hideMark/>
          </w:tcPr>
          <w:p w14:paraId="3493127A"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56,622 </w:t>
            </w:r>
          </w:p>
        </w:tc>
        <w:tc>
          <w:tcPr>
            <w:tcW w:w="1080" w:type="dxa"/>
            <w:tcBorders>
              <w:top w:val="nil"/>
              <w:left w:val="nil"/>
              <w:bottom w:val="nil"/>
              <w:right w:val="nil"/>
            </w:tcBorders>
            <w:shd w:val="clear" w:color="auto" w:fill="auto"/>
            <w:noWrap/>
            <w:vAlign w:val="center"/>
            <w:hideMark/>
          </w:tcPr>
          <w:p w14:paraId="0938A725"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54,260 </w:t>
            </w:r>
          </w:p>
        </w:tc>
      </w:tr>
      <w:tr w:rsidR="00E875D0" w:rsidRPr="00E875D0" w14:paraId="7CE83D7E" w14:textId="77777777" w:rsidTr="00E875D0">
        <w:trPr>
          <w:trHeight w:val="210"/>
        </w:trPr>
        <w:tc>
          <w:tcPr>
            <w:tcW w:w="3460" w:type="dxa"/>
            <w:tcBorders>
              <w:top w:val="nil"/>
              <w:left w:val="nil"/>
              <w:bottom w:val="nil"/>
              <w:right w:val="nil"/>
            </w:tcBorders>
            <w:shd w:val="clear" w:color="auto" w:fill="auto"/>
            <w:vAlign w:val="center"/>
            <w:hideMark/>
          </w:tcPr>
          <w:p w14:paraId="4D974764"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annual administered expenses</w:t>
            </w:r>
          </w:p>
        </w:tc>
        <w:tc>
          <w:tcPr>
            <w:tcW w:w="1080" w:type="dxa"/>
            <w:tcBorders>
              <w:top w:val="single" w:sz="4" w:space="0" w:color="auto"/>
              <w:left w:val="nil"/>
              <w:bottom w:val="single" w:sz="4" w:space="0" w:color="auto"/>
              <w:right w:val="nil"/>
            </w:tcBorders>
            <w:shd w:val="clear" w:color="auto" w:fill="auto"/>
            <w:noWrap/>
            <w:vAlign w:val="center"/>
            <w:hideMark/>
          </w:tcPr>
          <w:p w14:paraId="3F9AA2D1"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62,143 </w:t>
            </w:r>
          </w:p>
        </w:tc>
        <w:tc>
          <w:tcPr>
            <w:tcW w:w="940" w:type="dxa"/>
            <w:tcBorders>
              <w:top w:val="single" w:sz="4" w:space="0" w:color="auto"/>
              <w:left w:val="nil"/>
              <w:bottom w:val="single" w:sz="4" w:space="0" w:color="auto"/>
              <w:right w:val="nil"/>
            </w:tcBorders>
            <w:shd w:val="clear" w:color="000000" w:fill="E6E6E6"/>
            <w:noWrap/>
            <w:vAlign w:val="center"/>
            <w:hideMark/>
          </w:tcPr>
          <w:p w14:paraId="2A64FD73"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90,563 </w:t>
            </w:r>
          </w:p>
        </w:tc>
        <w:tc>
          <w:tcPr>
            <w:tcW w:w="1080" w:type="dxa"/>
            <w:tcBorders>
              <w:top w:val="single" w:sz="4" w:space="0" w:color="auto"/>
              <w:left w:val="nil"/>
              <w:bottom w:val="single" w:sz="4" w:space="0" w:color="auto"/>
              <w:right w:val="nil"/>
            </w:tcBorders>
            <w:shd w:val="clear" w:color="auto" w:fill="auto"/>
            <w:noWrap/>
            <w:vAlign w:val="center"/>
            <w:hideMark/>
          </w:tcPr>
          <w:p w14:paraId="7F5BF03A"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73,950 </w:t>
            </w:r>
          </w:p>
        </w:tc>
        <w:tc>
          <w:tcPr>
            <w:tcW w:w="1080" w:type="dxa"/>
            <w:tcBorders>
              <w:top w:val="single" w:sz="4" w:space="0" w:color="auto"/>
              <w:left w:val="nil"/>
              <w:bottom w:val="single" w:sz="4" w:space="0" w:color="auto"/>
              <w:right w:val="nil"/>
            </w:tcBorders>
            <w:shd w:val="clear" w:color="auto" w:fill="auto"/>
            <w:noWrap/>
            <w:vAlign w:val="center"/>
            <w:hideMark/>
          </w:tcPr>
          <w:p w14:paraId="051BDDE8"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56,622 </w:t>
            </w:r>
          </w:p>
        </w:tc>
        <w:tc>
          <w:tcPr>
            <w:tcW w:w="1080" w:type="dxa"/>
            <w:tcBorders>
              <w:top w:val="single" w:sz="4" w:space="0" w:color="auto"/>
              <w:left w:val="nil"/>
              <w:bottom w:val="single" w:sz="4" w:space="0" w:color="auto"/>
              <w:right w:val="nil"/>
            </w:tcBorders>
            <w:shd w:val="clear" w:color="auto" w:fill="auto"/>
            <w:noWrap/>
            <w:vAlign w:val="center"/>
            <w:hideMark/>
          </w:tcPr>
          <w:p w14:paraId="191CB213"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54,260 </w:t>
            </w:r>
          </w:p>
        </w:tc>
      </w:tr>
      <w:tr w:rsidR="00E875D0" w:rsidRPr="00E875D0" w14:paraId="251CE6B9" w14:textId="77777777" w:rsidTr="00E875D0">
        <w:trPr>
          <w:trHeight w:val="200"/>
        </w:trPr>
        <w:tc>
          <w:tcPr>
            <w:tcW w:w="3460" w:type="dxa"/>
            <w:tcBorders>
              <w:top w:val="nil"/>
              <w:left w:val="nil"/>
              <w:bottom w:val="nil"/>
              <w:right w:val="nil"/>
            </w:tcBorders>
            <w:shd w:val="clear" w:color="auto" w:fill="auto"/>
            <w:vAlign w:val="center"/>
            <w:hideMark/>
          </w:tcPr>
          <w:p w14:paraId="748C0C9F"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Special accounts</w:t>
            </w:r>
          </w:p>
        </w:tc>
        <w:tc>
          <w:tcPr>
            <w:tcW w:w="1080" w:type="dxa"/>
            <w:tcBorders>
              <w:top w:val="nil"/>
              <w:left w:val="nil"/>
              <w:bottom w:val="nil"/>
              <w:right w:val="nil"/>
            </w:tcBorders>
            <w:shd w:val="clear" w:color="auto" w:fill="auto"/>
            <w:noWrap/>
            <w:vAlign w:val="center"/>
            <w:hideMark/>
          </w:tcPr>
          <w:p w14:paraId="3BCD27B9" w14:textId="77777777" w:rsidR="00E875D0" w:rsidRPr="00E875D0" w:rsidRDefault="00E875D0" w:rsidP="00E875D0">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4879B6B4"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w:t>
            </w:r>
          </w:p>
        </w:tc>
        <w:tc>
          <w:tcPr>
            <w:tcW w:w="1080" w:type="dxa"/>
            <w:tcBorders>
              <w:top w:val="nil"/>
              <w:left w:val="nil"/>
              <w:bottom w:val="nil"/>
              <w:right w:val="nil"/>
            </w:tcBorders>
            <w:shd w:val="clear" w:color="auto" w:fill="auto"/>
            <w:noWrap/>
            <w:vAlign w:val="center"/>
            <w:hideMark/>
          </w:tcPr>
          <w:p w14:paraId="0062F0B6" w14:textId="77777777" w:rsidR="00E875D0" w:rsidRPr="00E875D0" w:rsidRDefault="00E875D0" w:rsidP="00E875D0">
            <w:pPr>
              <w:spacing w:after="0" w:line="240" w:lineRule="auto"/>
              <w:jc w:val="right"/>
              <w:rPr>
                <w:rFonts w:ascii="Arial" w:hAnsi="Arial" w:cs="Arial"/>
                <w:sz w:val="16"/>
                <w:szCs w:val="16"/>
              </w:rPr>
            </w:pPr>
          </w:p>
        </w:tc>
        <w:tc>
          <w:tcPr>
            <w:tcW w:w="1080" w:type="dxa"/>
            <w:tcBorders>
              <w:top w:val="nil"/>
              <w:left w:val="nil"/>
              <w:bottom w:val="nil"/>
              <w:right w:val="nil"/>
            </w:tcBorders>
            <w:shd w:val="clear" w:color="auto" w:fill="auto"/>
            <w:noWrap/>
            <w:vAlign w:val="center"/>
            <w:hideMark/>
          </w:tcPr>
          <w:p w14:paraId="6EB91702" w14:textId="77777777" w:rsidR="00E875D0" w:rsidRPr="00E875D0" w:rsidRDefault="00E875D0" w:rsidP="00E875D0">
            <w:pPr>
              <w:spacing w:after="0" w:line="240" w:lineRule="auto"/>
              <w:jc w:val="left"/>
              <w:rPr>
                <w:rFonts w:ascii="Times New Roman" w:hAnsi="Times New Roman"/>
              </w:rPr>
            </w:pPr>
          </w:p>
        </w:tc>
        <w:tc>
          <w:tcPr>
            <w:tcW w:w="1080" w:type="dxa"/>
            <w:tcBorders>
              <w:top w:val="nil"/>
              <w:left w:val="nil"/>
              <w:bottom w:val="nil"/>
              <w:right w:val="nil"/>
            </w:tcBorders>
            <w:shd w:val="clear" w:color="auto" w:fill="auto"/>
            <w:noWrap/>
            <w:vAlign w:val="center"/>
            <w:hideMark/>
          </w:tcPr>
          <w:p w14:paraId="4DB49DF7" w14:textId="77777777" w:rsidR="00E875D0" w:rsidRPr="00E875D0" w:rsidRDefault="00E875D0" w:rsidP="00E875D0">
            <w:pPr>
              <w:spacing w:after="0" w:line="240" w:lineRule="auto"/>
              <w:jc w:val="left"/>
              <w:rPr>
                <w:rFonts w:ascii="Times New Roman" w:hAnsi="Times New Roman"/>
              </w:rPr>
            </w:pPr>
          </w:p>
        </w:tc>
      </w:tr>
      <w:tr w:rsidR="00E875D0" w:rsidRPr="00E875D0" w14:paraId="11957F3B" w14:textId="77777777" w:rsidTr="00E875D0">
        <w:trPr>
          <w:trHeight w:val="200"/>
        </w:trPr>
        <w:tc>
          <w:tcPr>
            <w:tcW w:w="3460" w:type="dxa"/>
            <w:tcBorders>
              <w:top w:val="nil"/>
              <w:left w:val="nil"/>
              <w:bottom w:val="nil"/>
              <w:right w:val="nil"/>
            </w:tcBorders>
            <w:shd w:val="clear" w:color="auto" w:fill="auto"/>
            <w:vAlign w:val="center"/>
            <w:hideMark/>
          </w:tcPr>
          <w:p w14:paraId="60CC0073"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 xml:space="preserve">Services for Other Entities and Trust Moneys </w:t>
            </w:r>
          </w:p>
        </w:tc>
        <w:tc>
          <w:tcPr>
            <w:tcW w:w="1080" w:type="dxa"/>
            <w:tcBorders>
              <w:top w:val="nil"/>
              <w:left w:val="nil"/>
              <w:bottom w:val="nil"/>
              <w:right w:val="nil"/>
            </w:tcBorders>
            <w:shd w:val="clear" w:color="auto" w:fill="auto"/>
            <w:noWrap/>
            <w:vAlign w:val="center"/>
            <w:hideMark/>
          </w:tcPr>
          <w:p w14:paraId="0D3A334B"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2,000 </w:t>
            </w:r>
          </w:p>
        </w:tc>
        <w:tc>
          <w:tcPr>
            <w:tcW w:w="940" w:type="dxa"/>
            <w:tcBorders>
              <w:top w:val="nil"/>
              <w:left w:val="nil"/>
              <w:bottom w:val="nil"/>
              <w:right w:val="nil"/>
            </w:tcBorders>
            <w:shd w:val="clear" w:color="000000" w:fill="E6E6E6"/>
            <w:noWrap/>
            <w:vAlign w:val="center"/>
            <w:hideMark/>
          </w:tcPr>
          <w:p w14:paraId="0CCE6CDC"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 </w:t>
            </w:r>
          </w:p>
        </w:tc>
        <w:tc>
          <w:tcPr>
            <w:tcW w:w="1080" w:type="dxa"/>
            <w:tcBorders>
              <w:top w:val="nil"/>
              <w:left w:val="nil"/>
              <w:bottom w:val="nil"/>
              <w:right w:val="nil"/>
            </w:tcBorders>
            <w:shd w:val="clear" w:color="auto" w:fill="auto"/>
            <w:noWrap/>
            <w:vAlign w:val="center"/>
            <w:hideMark/>
          </w:tcPr>
          <w:p w14:paraId="6632F8A1"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 </w:t>
            </w:r>
          </w:p>
        </w:tc>
        <w:tc>
          <w:tcPr>
            <w:tcW w:w="1080" w:type="dxa"/>
            <w:tcBorders>
              <w:top w:val="nil"/>
              <w:left w:val="nil"/>
              <w:bottom w:val="nil"/>
              <w:right w:val="nil"/>
            </w:tcBorders>
            <w:shd w:val="clear" w:color="auto" w:fill="auto"/>
            <w:noWrap/>
            <w:vAlign w:val="center"/>
            <w:hideMark/>
          </w:tcPr>
          <w:p w14:paraId="4C7927FB"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 </w:t>
            </w:r>
          </w:p>
        </w:tc>
        <w:tc>
          <w:tcPr>
            <w:tcW w:w="1080" w:type="dxa"/>
            <w:tcBorders>
              <w:top w:val="nil"/>
              <w:left w:val="nil"/>
              <w:bottom w:val="nil"/>
              <w:right w:val="nil"/>
            </w:tcBorders>
            <w:shd w:val="clear" w:color="auto" w:fill="auto"/>
            <w:noWrap/>
            <w:vAlign w:val="center"/>
            <w:hideMark/>
          </w:tcPr>
          <w:p w14:paraId="5EFFACD0"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 </w:t>
            </w:r>
          </w:p>
        </w:tc>
      </w:tr>
      <w:tr w:rsidR="00E875D0" w:rsidRPr="00E875D0" w14:paraId="1FDBFD16" w14:textId="77777777" w:rsidTr="00E875D0">
        <w:trPr>
          <w:trHeight w:val="240"/>
        </w:trPr>
        <w:tc>
          <w:tcPr>
            <w:tcW w:w="3460" w:type="dxa"/>
            <w:tcBorders>
              <w:top w:val="nil"/>
              <w:left w:val="nil"/>
              <w:bottom w:val="nil"/>
              <w:right w:val="nil"/>
            </w:tcBorders>
            <w:shd w:val="clear" w:color="auto" w:fill="auto"/>
            <w:vAlign w:val="center"/>
            <w:hideMark/>
          </w:tcPr>
          <w:p w14:paraId="2F3EC1D7"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special account expenses</w:t>
            </w:r>
          </w:p>
        </w:tc>
        <w:tc>
          <w:tcPr>
            <w:tcW w:w="1080" w:type="dxa"/>
            <w:tcBorders>
              <w:top w:val="single" w:sz="4" w:space="0" w:color="auto"/>
              <w:left w:val="nil"/>
              <w:bottom w:val="single" w:sz="4" w:space="0" w:color="auto"/>
              <w:right w:val="nil"/>
            </w:tcBorders>
            <w:shd w:val="clear" w:color="auto" w:fill="auto"/>
            <w:noWrap/>
            <w:vAlign w:val="center"/>
            <w:hideMark/>
          </w:tcPr>
          <w:p w14:paraId="159F32EB"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2,000 </w:t>
            </w:r>
          </w:p>
        </w:tc>
        <w:tc>
          <w:tcPr>
            <w:tcW w:w="940" w:type="dxa"/>
            <w:tcBorders>
              <w:top w:val="single" w:sz="4" w:space="0" w:color="auto"/>
              <w:left w:val="nil"/>
              <w:bottom w:val="single" w:sz="4" w:space="0" w:color="auto"/>
              <w:right w:val="nil"/>
            </w:tcBorders>
            <w:shd w:val="clear" w:color="000000" w:fill="E6E6E6"/>
            <w:noWrap/>
            <w:vAlign w:val="center"/>
            <w:hideMark/>
          </w:tcPr>
          <w:p w14:paraId="177124BC"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6A9AFF16"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5738D112"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39B996D3"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 </w:t>
            </w:r>
          </w:p>
        </w:tc>
      </w:tr>
      <w:tr w:rsidR="00E875D0" w:rsidRPr="00E875D0" w14:paraId="15E23146" w14:textId="77777777" w:rsidTr="00E875D0">
        <w:trPr>
          <w:trHeight w:val="465"/>
        </w:trPr>
        <w:tc>
          <w:tcPr>
            <w:tcW w:w="3460" w:type="dxa"/>
            <w:tcBorders>
              <w:top w:val="nil"/>
              <w:left w:val="nil"/>
              <w:bottom w:val="nil"/>
              <w:right w:val="nil"/>
            </w:tcBorders>
            <w:shd w:val="clear" w:color="auto" w:fill="auto"/>
            <w:vAlign w:val="center"/>
            <w:hideMark/>
          </w:tcPr>
          <w:p w14:paraId="55890610"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Expenses not requiring appropriation in the</w:t>
            </w:r>
            <w:r w:rsidRPr="00E875D0">
              <w:rPr>
                <w:rFonts w:ascii="Arial" w:hAnsi="Arial" w:cs="Arial"/>
                <w:sz w:val="16"/>
                <w:szCs w:val="16"/>
              </w:rPr>
              <w:br/>
              <w:t xml:space="preserve">  Budget year (c)</w:t>
            </w:r>
          </w:p>
        </w:tc>
        <w:tc>
          <w:tcPr>
            <w:tcW w:w="1080" w:type="dxa"/>
            <w:tcBorders>
              <w:top w:val="nil"/>
              <w:left w:val="nil"/>
              <w:bottom w:val="nil"/>
              <w:right w:val="nil"/>
            </w:tcBorders>
            <w:shd w:val="clear" w:color="auto" w:fill="auto"/>
            <w:noWrap/>
            <w:vAlign w:val="center"/>
            <w:hideMark/>
          </w:tcPr>
          <w:p w14:paraId="04BA8230"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1,135 </w:t>
            </w:r>
          </w:p>
        </w:tc>
        <w:tc>
          <w:tcPr>
            <w:tcW w:w="940" w:type="dxa"/>
            <w:tcBorders>
              <w:top w:val="nil"/>
              <w:left w:val="nil"/>
              <w:bottom w:val="nil"/>
              <w:right w:val="nil"/>
            </w:tcBorders>
            <w:shd w:val="clear" w:color="000000" w:fill="E6E6E6"/>
            <w:noWrap/>
            <w:vAlign w:val="center"/>
            <w:hideMark/>
          </w:tcPr>
          <w:p w14:paraId="02210DE9"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1,135 </w:t>
            </w:r>
          </w:p>
        </w:tc>
        <w:tc>
          <w:tcPr>
            <w:tcW w:w="1080" w:type="dxa"/>
            <w:tcBorders>
              <w:top w:val="nil"/>
              <w:left w:val="nil"/>
              <w:bottom w:val="nil"/>
              <w:right w:val="nil"/>
            </w:tcBorders>
            <w:shd w:val="clear" w:color="auto" w:fill="auto"/>
            <w:noWrap/>
            <w:vAlign w:val="center"/>
            <w:hideMark/>
          </w:tcPr>
          <w:p w14:paraId="491F4609"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1,491 </w:t>
            </w:r>
          </w:p>
        </w:tc>
        <w:tc>
          <w:tcPr>
            <w:tcW w:w="1080" w:type="dxa"/>
            <w:tcBorders>
              <w:top w:val="nil"/>
              <w:left w:val="nil"/>
              <w:bottom w:val="nil"/>
              <w:right w:val="nil"/>
            </w:tcBorders>
            <w:shd w:val="clear" w:color="auto" w:fill="auto"/>
            <w:noWrap/>
            <w:vAlign w:val="center"/>
            <w:hideMark/>
          </w:tcPr>
          <w:p w14:paraId="4FCEAF6C"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1,253 </w:t>
            </w:r>
          </w:p>
        </w:tc>
        <w:tc>
          <w:tcPr>
            <w:tcW w:w="1080" w:type="dxa"/>
            <w:tcBorders>
              <w:top w:val="nil"/>
              <w:left w:val="nil"/>
              <w:bottom w:val="nil"/>
              <w:right w:val="nil"/>
            </w:tcBorders>
            <w:shd w:val="clear" w:color="auto" w:fill="auto"/>
            <w:noWrap/>
            <w:vAlign w:val="center"/>
            <w:hideMark/>
          </w:tcPr>
          <w:p w14:paraId="472C9F25"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1,293 </w:t>
            </w:r>
          </w:p>
        </w:tc>
      </w:tr>
      <w:tr w:rsidR="00E875D0" w:rsidRPr="00E875D0" w14:paraId="4B44C216" w14:textId="77777777" w:rsidTr="00E875D0">
        <w:trPr>
          <w:trHeight w:val="240"/>
        </w:trPr>
        <w:tc>
          <w:tcPr>
            <w:tcW w:w="3460" w:type="dxa"/>
            <w:tcBorders>
              <w:top w:val="nil"/>
              <w:left w:val="nil"/>
              <w:bottom w:val="nil"/>
              <w:right w:val="nil"/>
            </w:tcBorders>
            <w:shd w:val="clear" w:color="auto" w:fill="auto"/>
            <w:vAlign w:val="center"/>
            <w:hideMark/>
          </w:tcPr>
          <w:p w14:paraId="21891450"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Administered total</w:t>
            </w:r>
          </w:p>
        </w:tc>
        <w:tc>
          <w:tcPr>
            <w:tcW w:w="1080" w:type="dxa"/>
            <w:tcBorders>
              <w:top w:val="single" w:sz="4" w:space="0" w:color="auto"/>
              <w:left w:val="nil"/>
              <w:bottom w:val="single" w:sz="4" w:space="0" w:color="auto"/>
              <w:right w:val="nil"/>
            </w:tcBorders>
            <w:shd w:val="clear" w:color="auto" w:fill="auto"/>
            <w:noWrap/>
            <w:vAlign w:val="center"/>
            <w:hideMark/>
          </w:tcPr>
          <w:p w14:paraId="22DCF849"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65,278 </w:t>
            </w:r>
          </w:p>
        </w:tc>
        <w:tc>
          <w:tcPr>
            <w:tcW w:w="940" w:type="dxa"/>
            <w:tcBorders>
              <w:top w:val="single" w:sz="4" w:space="0" w:color="auto"/>
              <w:left w:val="nil"/>
              <w:bottom w:val="single" w:sz="4" w:space="0" w:color="auto"/>
              <w:right w:val="nil"/>
            </w:tcBorders>
            <w:shd w:val="clear" w:color="000000" w:fill="E6E6E6"/>
            <w:noWrap/>
            <w:vAlign w:val="center"/>
            <w:hideMark/>
          </w:tcPr>
          <w:p w14:paraId="122DDD57"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91,698 </w:t>
            </w:r>
          </w:p>
        </w:tc>
        <w:tc>
          <w:tcPr>
            <w:tcW w:w="1080" w:type="dxa"/>
            <w:tcBorders>
              <w:top w:val="single" w:sz="4" w:space="0" w:color="auto"/>
              <w:left w:val="nil"/>
              <w:bottom w:val="single" w:sz="4" w:space="0" w:color="auto"/>
              <w:right w:val="nil"/>
            </w:tcBorders>
            <w:shd w:val="clear" w:color="auto" w:fill="auto"/>
            <w:noWrap/>
            <w:vAlign w:val="center"/>
            <w:hideMark/>
          </w:tcPr>
          <w:p w14:paraId="04911DC3"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75,441 </w:t>
            </w:r>
          </w:p>
        </w:tc>
        <w:tc>
          <w:tcPr>
            <w:tcW w:w="1080" w:type="dxa"/>
            <w:tcBorders>
              <w:top w:val="single" w:sz="4" w:space="0" w:color="auto"/>
              <w:left w:val="nil"/>
              <w:bottom w:val="single" w:sz="4" w:space="0" w:color="auto"/>
              <w:right w:val="nil"/>
            </w:tcBorders>
            <w:shd w:val="clear" w:color="auto" w:fill="auto"/>
            <w:noWrap/>
            <w:vAlign w:val="center"/>
            <w:hideMark/>
          </w:tcPr>
          <w:p w14:paraId="4E2F7C6F"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57,875 </w:t>
            </w:r>
          </w:p>
        </w:tc>
        <w:tc>
          <w:tcPr>
            <w:tcW w:w="1080" w:type="dxa"/>
            <w:tcBorders>
              <w:top w:val="single" w:sz="4" w:space="0" w:color="auto"/>
              <w:left w:val="nil"/>
              <w:bottom w:val="single" w:sz="4" w:space="0" w:color="auto"/>
              <w:right w:val="nil"/>
            </w:tcBorders>
            <w:shd w:val="clear" w:color="auto" w:fill="auto"/>
            <w:noWrap/>
            <w:vAlign w:val="center"/>
            <w:hideMark/>
          </w:tcPr>
          <w:p w14:paraId="0EC589D1"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55,553 </w:t>
            </w:r>
          </w:p>
        </w:tc>
      </w:tr>
      <w:tr w:rsidR="00E875D0" w:rsidRPr="00E875D0" w14:paraId="6B0AE697" w14:textId="77777777" w:rsidTr="00E875D0">
        <w:trPr>
          <w:trHeight w:val="240"/>
        </w:trPr>
        <w:tc>
          <w:tcPr>
            <w:tcW w:w="3460" w:type="dxa"/>
            <w:tcBorders>
              <w:top w:val="nil"/>
              <w:left w:val="nil"/>
              <w:bottom w:val="single" w:sz="4" w:space="0" w:color="000000"/>
              <w:right w:val="nil"/>
            </w:tcBorders>
            <w:shd w:val="clear" w:color="auto" w:fill="auto"/>
            <w:vAlign w:val="center"/>
            <w:hideMark/>
          </w:tcPr>
          <w:p w14:paraId="27D69172"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expenses for program 1.4</w:t>
            </w:r>
          </w:p>
        </w:tc>
        <w:tc>
          <w:tcPr>
            <w:tcW w:w="1080" w:type="dxa"/>
            <w:tcBorders>
              <w:top w:val="nil"/>
              <w:left w:val="nil"/>
              <w:bottom w:val="single" w:sz="4" w:space="0" w:color="auto"/>
              <w:right w:val="nil"/>
            </w:tcBorders>
            <w:shd w:val="clear" w:color="auto" w:fill="auto"/>
            <w:noWrap/>
            <w:vAlign w:val="center"/>
            <w:hideMark/>
          </w:tcPr>
          <w:p w14:paraId="6D9698E1"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65,278 </w:t>
            </w:r>
          </w:p>
        </w:tc>
        <w:tc>
          <w:tcPr>
            <w:tcW w:w="940" w:type="dxa"/>
            <w:tcBorders>
              <w:top w:val="single" w:sz="4" w:space="0" w:color="auto"/>
              <w:left w:val="nil"/>
              <w:bottom w:val="single" w:sz="4" w:space="0" w:color="000000"/>
              <w:right w:val="nil"/>
            </w:tcBorders>
            <w:shd w:val="clear" w:color="000000" w:fill="E6E6E6"/>
            <w:noWrap/>
            <w:vAlign w:val="center"/>
            <w:hideMark/>
          </w:tcPr>
          <w:p w14:paraId="4573E11B"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91,698 </w:t>
            </w:r>
          </w:p>
        </w:tc>
        <w:tc>
          <w:tcPr>
            <w:tcW w:w="1080" w:type="dxa"/>
            <w:tcBorders>
              <w:top w:val="single" w:sz="4" w:space="0" w:color="auto"/>
              <w:left w:val="nil"/>
              <w:bottom w:val="single" w:sz="4" w:space="0" w:color="000000"/>
              <w:right w:val="nil"/>
            </w:tcBorders>
            <w:shd w:val="clear" w:color="auto" w:fill="auto"/>
            <w:noWrap/>
            <w:vAlign w:val="center"/>
            <w:hideMark/>
          </w:tcPr>
          <w:p w14:paraId="098F9BE8"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75,441 </w:t>
            </w:r>
          </w:p>
        </w:tc>
        <w:tc>
          <w:tcPr>
            <w:tcW w:w="1080" w:type="dxa"/>
            <w:tcBorders>
              <w:top w:val="single" w:sz="4" w:space="0" w:color="auto"/>
              <w:left w:val="nil"/>
              <w:bottom w:val="single" w:sz="4" w:space="0" w:color="000000"/>
              <w:right w:val="nil"/>
            </w:tcBorders>
            <w:shd w:val="clear" w:color="auto" w:fill="auto"/>
            <w:noWrap/>
            <w:vAlign w:val="center"/>
            <w:hideMark/>
          </w:tcPr>
          <w:p w14:paraId="655CD79D"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57,875 </w:t>
            </w:r>
          </w:p>
        </w:tc>
        <w:tc>
          <w:tcPr>
            <w:tcW w:w="1080" w:type="dxa"/>
            <w:tcBorders>
              <w:top w:val="single" w:sz="4" w:space="0" w:color="auto"/>
              <w:left w:val="nil"/>
              <w:bottom w:val="single" w:sz="4" w:space="0" w:color="000000"/>
              <w:right w:val="nil"/>
            </w:tcBorders>
            <w:shd w:val="clear" w:color="auto" w:fill="auto"/>
            <w:noWrap/>
            <w:vAlign w:val="center"/>
            <w:hideMark/>
          </w:tcPr>
          <w:p w14:paraId="35C8950D"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55,553 </w:t>
            </w:r>
          </w:p>
        </w:tc>
      </w:tr>
      <w:tr w:rsidR="00E875D0" w:rsidRPr="00E875D0" w14:paraId="5CD98B46" w14:textId="77777777" w:rsidTr="00E875D0">
        <w:trPr>
          <w:trHeight w:val="315"/>
        </w:trPr>
        <w:tc>
          <w:tcPr>
            <w:tcW w:w="3460" w:type="dxa"/>
            <w:tcBorders>
              <w:top w:val="nil"/>
              <w:left w:val="nil"/>
              <w:bottom w:val="single" w:sz="4" w:space="0" w:color="auto"/>
              <w:right w:val="nil"/>
            </w:tcBorders>
            <w:shd w:val="clear" w:color="000000" w:fill="E6E6E6"/>
            <w:vAlign w:val="center"/>
            <w:hideMark/>
          </w:tcPr>
          <w:p w14:paraId="1C3D2B04"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Program 1.5: Remote Australia Strategies</w:t>
            </w:r>
          </w:p>
        </w:tc>
        <w:tc>
          <w:tcPr>
            <w:tcW w:w="1080" w:type="dxa"/>
            <w:tcBorders>
              <w:top w:val="nil"/>
              <w:left w:val="nil"/>
              <w:bottom w:val="single" w:sz="4" w:space="0" w:color="auto"/>
              <w:right w:val="nil"/>
            </w:tcBorders>
            <w:shd w:val="clear" w:color="000000" w:fill="E6E6E6"/>
            <w:vAlign w:val="center"/>
            <w:hideMark/>
          </w:tcPr>
          <w:p w14:paraId="71A7EB2D"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940" w:type="dxa"/>
            <w:tcBorders>
              <w:top w:val="nil"/>
              <w:left w:val="nil"/>
              <w:bottom w:val="single" w:sz="4" w:space="0" w:color="auto"/>
              <w:right w:val="nil"/>
            </w:tcBorders>
            <w:shd w:val="clear" w:color="000000" w:fill="E6E6E6"/>
            <w:vAlign w:val="center"/>
            <w:hideMark/>
          </w:tcPr>
          <w:p w14:paraId="51F61C6D"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69AD5DD5"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3AF5A539"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7CD0444F"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r>
      <w:tr w:rsidR="00E875D0" w:rsidRPr="00E875D0" w14:paraId="03743BF9" w14:textId="77777777" w:rsidTr="00E875D0">
        <w:trPr>
          <w:trHeight w:val="240"/>
        </w:trPr>
        <w:tc>
          <w:tcPr>
            <w:tcW w:w="3460" w:type="dxa"/>
            <w:tcBorders>
              <w:top w:val="nil"/>
              <w:left w:val="nil"/>
              <w:bottom w:val="nil"/>
              <w:right w:val="nil"/>
            </w:tcBorders>
            <w:shd w:val="clear" w:color="auto" w:fill="auto"/>
            <w:vAlign w:val="center"/>
            <w:hideMark/>
          </w:tcPr>
          <w:p w14:paraId="20C0F0F2"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Administered expenses</w:t>
            </w:r>
          </w:p>
        </w:tc>
        <w:tc>
          <w:tcPr>
            <w:tcW w:w="1080" w:type="dxa"/>
            <w:tcBorders>
              <w:top w:val="nil"/>
              <w:left w:val="nil"/>
              <w:bottom w:val="nil"/>
              <w:right w:val="nil"/>
            </w:tcBorders>
            <w:shd w:val="clear" w:color="auto" w:fill="auto"/>
            <w:noWrap/>
            <w:vAlign w:val="center"/>
            <w:hideMark/>
          </w:tcPr>
          <w:p w14:paraId="24E838B3" w14:textId="77777777" w:rsidR="00E875D0" w:rsidRPr="00E875D0" w:rsidRDefault="00E875D0" w:rsidP="00E875D0">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7BD3FB1F"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w:t>
            </w:r>
          </w:p>
        </w:tc>
        <w:tc>
          <w:tcPr>
            <w:tcW w:w="1080" w:type="dxa"/>
            <w:tcBorders>
              <w:top w:val="nil"/>
              <w:left w:val="nil"/>
              <w:bottom w:val="nil"/>
              <w:right w:val="nil"/>
            </w:tcBorders>
            <w:shd w:val="clear" w:color="auto" w:fill="auto"/>
            <w:noWrap/>
            <w:vAlign w:val="center"/>
            <w:hideMark/>
          </w:tcPr>
          <w:p w14:paraId="0E55DB23" w14:textId="77777777" w:rsidR="00E875D0" w:rsidRPr="00E875D0" w:rsidRDefault="00E875D0" w:rsidP="00E875D0">
            <w:pPr>
              <w:spacing w:after="0" w:line="240" w:lineRule="auto"/>
              <w:jc w:val="right"/>
              <w:rPr>
                <w:rFonts w:ascii="Arial" w:hAnsi="Arial" w:cs="Arial"/>
                <w:sz w:val="16"/>
                <w:szCs w:val="16"/>
              </w:rPr>
            </w:pPr>
          </w:p>
        </w:tc>
        <w:tc>
          <w:tcPr>
            <w:tcW w:w="1080" w:type="dxa"/>
            <w:tcBorders>
              <w:top w:val="nil"/>
              <w:left w:val="nil"/>
              <w:bottom w:val="nil"/>
              <w:right w:val="nil"/>
            </w:tcBorders>
            <w:shd w:val="clear" w:color="auto" w:fill="auto"/>
            <w:noWrap/>
            <w:vAlign w:val="center"/>
            <w:hideMark/>
          </w:tcPr>
          <w:p w14:paraId="0EC47F65" w14:textId="77777777" w:rsidR="00E875D0" w:rsidRPr="00E875D0" w:rsidRDefault="00E875D0" w:rsidP="00E875D0">
            <w:pPr>
              <w:spacing w:after="0" w:line="240" w:lineRule="auto"/>
              <w:jc w:val="left"/>
              <w:rPr>
                <w:rFonts w:ascii="Times New Roman" w:hAnsi="Times New Roman"/>
              </w:rPr>
            </w:pPr>
          </w:p>
        </w:tc>
        <w:tc>
          <w:tcPr>
            <w:tcW w:w="1080" w:type="dxa"/>
            <w:tcBorders>
              <w:top w:val="nil"/>
              <w:left w:val="nil"/>
              <w:bottom w:val="nil"/>
              <w:right w:val="nil"/>
            </w:tcBorders>
            <w:shd w:val="clear" w:color="auto" w:fill="auto"/>
            <w:noWrap/>
            <w:vAlign w:val="center"/>
            <w:hideMark/>
          </w:tcPr>
          <w:p w14:paraId="23580994" w14:textId="77777777" w:rsidR="00E875D0" w:rsidRPr="00E875D0" w:rsidRDefault="00E875D0" w:rsidP="00E875D0">
            <w:pPr>
              <w:spacing w:after="0" w:line="240" w:lineRule="auto"/>
              <w:jc w:val="left"/>
              <w:rPr>
                <w:rFonts w:ascii="Times New Roman" w:hAnsi="Times New Roman"/>
              </w:rPr>
            </w:pPr>
          </w:p>
        </w:tc>
      </w:tr>
      <w:tr w:rsidR="00E875D0" w:rsidRPr="00E875D0" w14:paraId="159EF69A" w14:textId="77777777" w:rsidTr="00E875D0">
        <w:trPr>
          <w:trHeight w:val="450"/>
        </w:trPr>
        <w:tc>
          <w:tcPr>
            <w:tcW w:w="3460" w:type="dxa"/>
            <w:tcBorders>
              <w:top w:val="nil"/>
              <w:left w:val="nil"/>
              <w:bottom w:val="nil"/>
              <w:right w:val="nil"/>
            </w:tcBorders>
            <w:shd w:val="clear" w:color="auto" w:fill="auto"/>
            <w:vAlign w:val="center"/>
            <w:hideMark/>
          </w:tcPr>
          <w:p w14:paraId="1D2D84B1"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Ordinary annual services (Appropriation Act</w:t>
            </w:r>
            <w:r w:rsidRPr="00E875D0">
              <w:rPr>
                <w:rFonts w:ascii="Arial" w:hAnsi="Arial" w:cs="Arial"/>
                <w:sz w:val="16"/>
                <w:szCs w:val="16"/>
              </w:rPr>
              <w:br/>
              <w:t xml:space="preserve">  No. 1) (e)</w:t>
            </w:r>
          </w:p>
        </w:tc>
        <w:tc>
          <w:tcPr>
            <w:tcW w:w="1080" w:type="dxa"/>
            <w:tcBorders>
              <w:top w:val="nil"/>
              <w:left w:val="nil"/>
              <w:bottom w:val="nil"/>
              <w:right w:val="nil"/>
            </w:tcBorders>
            <w:shd w:val="clear" w:color="auto" w:fill="auto"/>
            <w:noWrap/>
            <w:vAlign w:val="center"/>
            <w:hideMark/>
          </w:tcPr>
          <w:p w14:paraId="76484DD8"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64,310 </w:t>
            </w:r>
          </w:p>
        </w:tc>
        <w:tc>
          <w:tcPr>
            <w:tcW w:w="940" w:type="dxa"/>
            <w:tcBorders>
              <w:top w:val="nil"/>
              <w:left w:val="nil"/>
              <w:bottom w:val="nil"/>
              <w:right w:val="nil"/>
            </w:tcBorders>
            <w:shd w:val="clear" w:color="000000" w:fill="E6E6E6"/>
            <w:noWrap/>
            <w:vAlign w:val="center"/>
            <w:hideMark/>
          </w:tcPr>
          <w:p w14:paraId="4EDF459D"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59,312 </w:t>
            </w:r>
          </w:p>
        </w:tc>
        <w:tc>
          <w:tcPr>
            <w:tcW w:w="1080" w:type="dxa"/>
            <w:tcBorders>
              <w:top w:val="nil"/>
              <w:left w:val="nil"/>
              <w:bottom w:val="nil"/>
              <w:right w:val="nil"/>
            </w:tcBorders>
            <w:shd w:val="clear" w:color="auto" w:fill="auto"/>
            <w:noWrap/>
            <w:vAlign w:val="center"/>
            <w:hideMark/>
          </w:tcPr>
          <w:p w14:paraId="667E7279"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167,998 </w:t>
            </w:r>
          </w:p>
        </w:tc>
        <w:tc>
          <w:tcPr>
            <w:tcW w:w="1080" w:type="dxa"/>
            <w:tcBorders>
              <w:top w:val="nil"/>
              <w:left w:val="nil"/>
              <w:bottom w:val="nil"/>
              <w:right w:val="nil"/>
            </w:tcBorders>
            <w:shd w:val="clear" w:color="auto" w:fill="auto"/>
            <w:noWrap/>
            <w:vAlign w:val="center"/>
            <w:hideMark/>
          </w:tcPr>
          <w:p w14:paraId="1BFA6F04"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170,720 </w:t>
            </w:r>
          </w:p>
        </w:tc>
        <w:tc>
          <w:tcPr>
            <w:tcW w:w="1080" w:type="dxa"/>
            <w:tcBorders>
              <w:top w:val="nil"/>
              <w:left w:val="nil"/>
              <w:bottom w:val="nil"/>
              <w:right w:val="nil"/>
            </w:tcBorders>
            <w:shd w:val="clear" w:color="auto" w:fill="auto"/>
            <w:noWrap/>
            <w:vAlign w:val="center"/>
            <w:hideMark/>
          </w:tcPr>
          <w:p w14:paraId="7181A4DF"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175,017 </w:t>
            </w:r>
          </w:p>
        </w:tc>
      </w:tr>
      <w:tr w:rsidR="00E875D0" w:rsidRPr="00E875D0" w14:paraId="633547A1" w14:textId="77777777" w:rsidTr="00E875D0">
        <w:trPr>
          <w:trHeight w:val="450"/>
        </w:trPr>
        <w:tc>
          <w:tcPr>
            <w:tcW w:w="3460" w:type="dxa"/>
            <w:tcBorders>
              <w:top w:val="nil"/>
              <w:left w:val="nil"/>
              <w:bottom w:val="nil"/>
              <w:right w:val="nil"/>
            </w:tcBorders>
            <w:shd w:val="clear" w:color="auto" w:fill="auto"/>
            <w:vAlign w:val="center"/>
            <w:hideMark/>
          </w:tcPr>
          <w:p w14:paraId="0E672187"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annual administered expenses</w:t>
            </w:r>
          </w:p>
        </w:tc>
        <w:tc>
          <w:tcPr>
            <w:tcW w:w="1080" w:type="dxa"/>
            <w:tcBorders>
              <w:top w:val="single" w:sz="4" w:space="0" w:color="auto"/>
              <w:left w:val="nil"/>
              <w:bottom w:val="single" w:sz="4" w:space="0" w:color="auto"/>
              <w:right w:val="nil"/>
            </w:tcBorders>
            <w:shd w:val="clear" w:color="auto" w:fill="auto"/>
            <w:noWrap/>
            <w:vAlign w:val="center"/>
            <w:hideMark/>
          </w:tcPr>
          <w:p w14:paraId="257DF8A2"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64,310 </w:t>
            </w:r>
          </w:p>
        </w:tc>
        <w:tc>
          <w:tcPr>
            <w:tcW w:w="940" w:type="dxa"/>
            <w:tcBorders>
              <w:top w:val="single" w:sz="4" w:space="0" w:color="auto"/>
              <w:left w:val="nil"/>
              <w:bottom w:val="single" w:sz="4" w:space="0" w:color="auto"/>
              <w:right w:val="nil"/>
            </w:tcBorders>
            <w:shd w:val="clear" w:color="000000" w:fill="E6E6E6"/>
            <w:noWrap/>
            <w:vAlign w:val="center"/>
            <w:hideMark/>
          </w:tcPr>
          <w:p w14:paraId="6CB8285B"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59,312 </w:t>
            </w:r>
          </w:p>
        </w:tc>
        <w:tc>
          <w:tcPr>
            <w:tcW w:w="1080" w:type="dxa"/>
            <w:tcBorders>
              <w:top w:val="single" w:sz="4" w:space="0" w:color="auto"/>
              <w:left w:val="nil"/>
              <w:bottom w:val="single" w:sz="4" w:space="0" w:color="auto"/>
              <w:right w:val="nil"/>
            </w:tcBorders>
            <w:shd w:val="clear" w:color="auto" w:fill="auto"/>
            <w:noWrap/>
            <w:vAlign w:val="center"/>
            <w:hideMark/>
          </w:tcPr>
          <w:p w14:paraId="6FF10C2A"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167,998 </w:t>
            </w:r>
          </w:p>
        </w:tc>
        <w:tc>
          <w:tcPr>
            <w:tcW w:w="1080" w:type="dxa"/>
            <w:tcBorders>
              <w:top w:val="single" w:sz="4" w:space="0" w:color="auto"/>
              <w:left w:val="nil"/>
              <w:bottom w:val="single" w:sz="4" w:space="0" w:color="auto"/>
              <w:right w:val="nil"/>
            </w:tcBorders>
            <w:shd w:val="clear" w:color="auto" w:fill="auto"/>
            <w:noWrap/>
            <w:vAlign w:val="center"/>
            <w:hideMark/>
          </w:tcPr>
          <w:p w14:paraId="0D6C90AF"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170,720 </w:t>
            </w:r>
          </w:p>
        </w:tc>
        <w:tc>
          <w:tcPr>
            <w:tcW w:w="1080" w:type="dxa"/>
            <w:tcBorders>
              <w:top w:val="single" w:sz="4" w:space="0" w:color="auto"/>
              <w:left w:val="nil"/>
              <w:bottom w:val="single" w:sz="4" w:space="0" w:color="auto"/>
              <w:right w:val="nil"/>
            </w:tcBorders>
            <w:shd w:val="clear" w:color="auto" w:fill="auto"/>
            <w:noWrap/>
            <w:vAlign w:val="center"/>
            <w:hideMark/>
          </w:tcPr>
          <w:p w14:paraId="18F752EF"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175,017 </w:t>
            </w:r>
          </w:p>
        </w:tc>
      </w:tr>
      <w:tr w:rsidR="00E875D0" w:rsidRPr="00E875D0" w14:paraId="3015F24B" w14:textId="77777777" w:rsidTr="00E875D0">
        <w:trPr>
          <w:trHeight w:val="240"/>
        </w:trPr>
        <w:tc>
          <w:tcPr>
            <w:tcW w:w="3460" w:type="dxa"/>
            <w:tcBorders>
              <w:top w:val="nil"/>
              <w:left w:val="nil"/>
              <w:bottom w:val="nil"/>
              <w:right w:val="nil"/>
            </w:tcBorders>
            <w:shd w:val="clear" w:color="auto" w:fill="auto"/>
            <w:vAlign w:val="center"/>
            <w:hideMark/>
          </w:tcPr>
          <w:p w14:paraId="0E09DD28"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Special accounts</w:t>
            </w:r>
          </w:p>
        </w:tc>
        <w:tc>
          <w:tcPr>
            <w:tcW w:w="1080" w:type="dxa"/>
            <w:tcBorders>
              <w:top w:val="nil"/>
              <w:left w:val="nil"/>
              <w:bottom w:val="nil"/>
              <w:right w:val="nil"/>
            </w:tcBorders>
            <w:shd w:val="clear" w:color="auto" w:fill="auto"/>
            <w:noWrap/>
            <w:vAlign w:val="center"/>
            <w:hideMark/>
          </w:tcPr>
          <w:p w14:paraId="2B761010" w14:textId="77777777" w:rsidR="00E875D0" w:rsidRPr="00E875D0" w:rsidRDefault="00E875D0" w:rsidP="00E875D0">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6B53090E"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w:t>
            </w:r>
          </w:p>
        </w:tc>
        <w:tc>
          <w:tcPr>
            <w:tcW w:w="1080" w:type="dxa"/>
            <w:tcBorders>
              <w:top w:val="nil"/>
              <w:left w:val="nil"/>
              <w:bottom w:val="nil"/>
              <w:right w:val="nil"/>
            </w:tcBorders>
            <w:shd w:val="clear" w:color="auto" w:fill="auto"/>
            <w:noWrap/>
            <w:vAlign w:val="center"/>
            <w:hideMark/>
          </w:tcPr>
          <w:p w14:paraId="6B8F56B8" w14:textId="77777777" w:rsidR="00E875D0" w:rsidRPr="00E875D0" w:rsidRDefault="00E875D0" w:rsidP="00E875D0">
            <w:pPr>
              <w:spacing w:after="0" w:line="240" w:lineRule="auto"/>
              <w:jc w:val="right"/>
              <w:rPr>
                <w:rFonts w:ascii="Arial" w:hAnsi="Arial" w:cs="Arial"/>
                <w:sz w:val="16"/>
                <w:szCs w:val="16"/>
              </w:rPr>
            </w:pPr>
          </w:p>
        </w:tc>
        <w:tc>
          <w:tcPr>
            <w:tcW w:w="1080" w:type="dxa"/>
            <w:tcBorders>
              <w:top w:val="nil"/>
              <w:left w:val="nil"/>
              <w:bottom w:val="nil"/>
              <w:right w:val="nil"/>
            </w:tcBorders>
            <w:shd w:val="clear" w:color="auto" w:fill="auto"/>
            <w:noWrap/>
            <w:vAlign w:val="center"/>
            <w:hideMark/>
          </w:tcPr>
          <w:p w14:paraId="74FEBBC3" w14:textId="77777777" w:rsidR="00E875D0" w:rsidRPr="00E875D0" w:rsidRDefault="00E875D0" w:rsidP="00E875D0">
            <w:pPr>
              <w:spacing w:after="0" w:line="240" w:lineRule="auto"/>
              <w:jc w:val="left"/>
              <w:rPr>
                <w:rFonts w:ascii="Times New Roman" w:hAnsi="Times New Roman"/>
              </w:rPr>
            </w:pPr>
          </w:p>
        </w:tc>
        <w:tc>
          <w:tcPr>
            <w:tcW w:w="1080" w:type="dxa"/>
            <w:tcBorders>
              <w:top w:val="nil"/>
              <w:left w:val="nil"/>
              <w:bottom w:val="nil"/>
              <w:right w:val="nil"/>
            </w:tcBorders>
            <w:shd w:val="clear" w:color="auto" w:fill="auto"/>
            <w:noWrap/>
            <w:vAlign w:val="center"/>
            <w:hideMark/>
          </w:tcPr>
          <w:p w14:paraId="6B762FD5" w14:textId="77777777" w:rsidR="00E875D0" w:rsidRPr="00E875D0" w:rsidRDefault="00E875D0" w:rsidP="00E875D0">
            <w:pPr>
              <w:spacing w:after="0" w:line="240" w:lineRule="auto"/>
              <w:jc w:val="left"/>
              <w:rPr>
                <w:rFonts w:ascii="Times New Roman" w:hAnsi="Times New Roman"/>
              </w:rPr>
            </w:pPr>
          </w:p>
        </w:tc>
      </w:tr>
      <w:tr w:rsidR="00E875D0" w:rsidRPr="00E875D0" w14:paraId="21D80365" w14:textId="77777777" w:rsidTr="00E875D0">
        <w:trPr>
          <w:trHeight w:val="400"/>
        </w:trPr>
        <w:tc>
          <w:tcPr>
            <w:tcW w:w="3460" w:type="dxa"/>
            <w:tcBorders>
              <w:top w:val="nil"/>
              <w:left w:val="nil"/>
              <w:bottom w:val="nil"/>
              <w:right w:val="nil"/>
            </w:tcBorders>
            <w:shd w:val="clear" w:color="auto" w:fill="auto"/>
            <w:vAlign w:val="center"/>
            <w:hideMark/>
          </w:tcPr>
          <w:p w14:paraId="54FD0116"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Indigenous Remote Service Delivery Special</w:t>
            </w:r>
            <w:r w:rsidRPr="00E875D0">
              <w:rPr>
                <w:rFonts w:ascii="Arial" w:hAnsi="Arial" w:cs="Arial"/>
                <w:sz w:val="16"/>
                <w:szCs w:val="16"/>
              </w:rPr>
              <w:br/>
              <w:t xml:space="preserve">  Account</w:t>
            </w:r>
          </w:p>
        </w:tc>
        <w:tc>
          <w:tcPr>
            <w:tcW w:w="1080" w:type="dxa"/>
            <w:tcBorders>
              <w:top w:val="nil"/>
              <w:left w:val="nil"/>
              <w:bottom w:val="nil"/>
              <w:right w:val="nil"/>
            </w:tcBorders>
            <w:shd w:val="clear" w:color="auto" w:fill="auto"/>
            <w:noWrap/>
            <w:vAlign w:val="center"/>
            <w:hideMark/>
          </w:tcPr>
          <w:p w14:paraId="091F7AAB"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14,713 </w:t>
            </w:r>
          </w:p>
        </w:tc>
        <w:tc>
          <w:tcPr>
            <w:tcW w:w="940" w:type="dxa"/>
            <w:tcBorders>
              <w:top w:val="nil"/>
              <w:left w:val="nil"/>
              <w:bottom w:val="nil"/>
              <w:right w:val="nil"/>
            </w:tcBorders>
            <w:shd w:val="clear" w:color="000000" w:fill="E6E6E6"/>
            <w:noWrap/>
            <w:vAlign w:val="center"/>
            <w:hideMark/>
          </w:tcPr>
          <w:p w14:paraId="17B1A526"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24,296 </w:t>
            </w:r>
          </w:p>
        </w:tc>
        <w:tc>
          <w:tcPr>
            <w:tcW w:w="1080" w:type="dxa"/>
            <w:tcBorders>
              <w:top w:val="nil"/>
              <w:left w:val="nil"/>
              <w:bottom w:val="nil"/>
              <w:right w:val="nil"/>
            </w:tcBorders>
            <w:shd w:val="clear" w:color="auto" w:fill="auto"/>
            <w:noWrap/>
            <w:vAlign w:val="center"/>
            <w:hideMark/>
          </w:tcPr>
          <w:p w14:paraId="15197108"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8,225 </w:t>
            </w:r>
          </w:p>
        </w:tc>
        <w:tc>
          <w:tcPr>
            <w:tcW w:w="1080" w:type="dxa"/>
            <w:tcBorders>
              <w:top w:val="nil"/>
              <w:left w:val="nil"/>
              <w:bottom w:val="nil"/>
              <w:right w:val="nil"/>
            </w:tcBorders>
            <w:shd w:val="clear" w:color="auto" w:fill="auto"/>
            <w:noWrap/>
            <w:vAlign w:val="center"/>
            <w:hideMark/>
          </w:tcPr>
          <w:p w14:paraId="0C120BAA"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7,000 </w:t>
            </w:r>
          </w:p>
        </w:tc>
        <w:tc>
          <w:tcPr>
            <w:tcW w:w="1080" w:type="dxa"/>
            <w:tcBorders>
              <w:top w:val="nil"/>
              <w:left w:val="nil"/>
              <w:bottom w:val="nil"/>
              <w:right w:val="nil"/>
            </w:tcBorders>
            <w:shd w:val="clear" w:color="auto" w:fill="auto"/>
            <w:noWrap/>
            <w:vAlign w:val="center"/>
            <w:hideMark/>
          </w:tcPr>
          <w:p w14:paraId="2B561E60"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7,000 </w:t>
            </w:r>
          </w:p>
        </w:tc>
      </w:tr>
      <w:tr w:rsidR="00E875D0" w:rsidRPr="00E875D0" w14:paraId="74E9FCED" w14:textId="77777777" w:rsidTr="00E875D0">
        <w:trPr>
          <w:trHeight w:val="240"/>
        </w:trPr>
        <w:tc>
          <w:tcPr>
            <w:tcW w:w="3460" w:type="dxa"/>
            <w:tcBorders>
              <w:top w:val="nil"/>
              <w:left w:val="nil"/>
              <w:bottom w:val="nil"/>
              <w:right w:val="nil"/>
            </w:tcBorders>
            <w:shd w:val="clear" w:color="auto" w:fill="auto"/>
            <w:vAlign w:val="center"/>
            <w:hideMark/>
          </w:tcPr>
          <w:p w14:paraId="77070E35"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special account expenses</w:t>
            </w:r>
          </w:p>
        </w:tc>
        <w:tc>
          <w:tcPr>
            <w:tcW w:w="1080" w:type="dxa"/>
            <w:tcBorders>
              <w:top w:val="single" w:sz="4" w:space="0" w:color="auto"/>
              <w:left w:val="nil"/>
              <w:bottom w:val="single" w:sz="4" w:space="0" w:color="auto"/>
              <w:right w:val="nil"/>
            </w:tcBorders>
            <w:shd w:val="clear" w:color="auto" w:fill="auto"/>
            <w:noWrap/>
            <w:vAlign w:val="center"/>
            <w:hideMark/>
          </w:tcPr>
          <w:p w14:paraId="64B90342"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14,713 </w:t>
            </w:r>
          </w:p>
        </w:tc>
        <w:tc>
          <w:tcPr>
            <w:tcW w:w="940" w:type="dxa"/>
            <w:tcBorders>
              <w:top w:val="single" w:sz="4" w:space="0" w:color="auto"/>
              <w:left w:val="nil"/>
              <w:bottom w:val="single" w:sz="4" w:space="0" w:color="auto"/>
              <w:right w:val="nil"/>
            </w:tcBorders>
            <w:shd w:val="clear" w:color="000000" w:fill="E6E6E6"/>
            <w:noWrap/>
            <w:vAlign w:val="center"/>
            <w:hideMark/>
          </w:tcPr>
          <w:p w14:paraId="28BEEC7F"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24,296 </w:t>
            </w:r>
          </w:p>
        </w:tc>
        <w:tc>
          <w:tcPr>
            <w:tcW w:w="1080" w:type="dxa"/>
            <w:tcBorders>
              <w:top w:val="single" w:sz="4" w:space="0" w:color="auto"/>
              <w:left w:val="nil"/>
              <w:bottom w:val="single" w:sz="4" w:space="0" w:color="auto"/>
              <w:right w:val="nil"/>
            </w:tcBorders>
            <w:shd w:val="clear" w:color="auto" w:fill="auto"/>
            <w:noWrap/>
            <w:vAlign w:val="center"/>
            <w:hideMark/>
          </w:tcPr>
          <w:p w14:paraId="3F837EBB"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8,225 </w:t>
            </w:r>
          </w:p>
        </w:tc>
        <w:tc>
          <w:tcPr>
            <w:tcW w:w="1080" w:type="dxa"/>
            <w:tcBorders>
              <w:top w:val="single" w:sz="4" w:space="0" w:color="auto"/>
              <w:left w:val="nil"/>
              <w:bottom w:val="single" w:sz="4" w:space="0" w:color="auto"/>
              <w:right w:val="nil"/>
            </w:tcBorders>
            <w:shd w:val="clear" w:color="auto" w:fill="auto"/>
            <w:noWrap/>
            <w:vAlign w:val="center"/>
            <w:hideMark/>
          </w:tcPr>
          <w:p w14:paraId="32A1A76C"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7,000 </w:t>
            </w:r>
          </w:p>
        </w:tc>
        <w:tc>
          <w:tcPr>
            <w:tcW w:w="1080" w:type="dxa"/>
            <w:tcBorders>
              <w:top w:val="single" w:sz="4" w:space="0" w:color="auto"/>
              <w:left w:val="nil"/>
              <w:bottom w:val="single" w:sz="4" w:space="0" w:color="auto"/>
              <w:right w:val="nil"/>
            </w:tcBorders>
            <w:shd w:val="clear" w:color="auto" w:fill="auto"/>
            <w:noWrap/>
            <w:vAlign w:val="center"/>
            <w:hideMark/>
          </w:tcPr>
          <w:p w14:paraId="7EA0ABC1"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7,000 </w:t>
            </w:r>
          </w:p>
        </w:tc>
      </w:tr>
      <w:tr w:rsidR="00E875D0" w:rsidRPr="00E875D0" w14:paraId="43DA6BF3" w14:textId="77777777" w:rsidTr="00E875D0">
        <w:trPr>
          <w:trHeight w:val="400"/>
        </w:trPr>
        <w:tc>
          <w:tcPr>
            <w:tcW w:w="3460" w:type="dxa"/>
            <w:tcBorders>
              <w:top w:val="nil"/>
              <w:left w:val="nil"/>
              <w:bottom w:val="nil"/>
              <w:right w:val="nil"/>
            </w:tcBorders>
            <w:shd w:val="clear" w:color="auto" w:fill="auto"/>
            <w:vAlign w:val="center"/>
            <w:hideMark/>
          </w:tcPr>
          <w:p w14:paraId="4F990D01"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Expenses not requiring appropriation in the</w:t>
            </w:r>
            <w:r w:rsidRPr="00E875D0">
              <w:rPr>
                <w:rFonts w:ascii="Arial" w:hAnsi="Arial" w:cs="Arial"/>
                <w:sz w:val="16"/>
                <w:szCs w:val="16"/>
              </w:rPr>
              <w:br/>
              <w:t xml:space="preserve">  Budget year (c)</w:t>
            </w:r>
          </w:p>
        </w:tc>
        <w:tc>
          <w:tcPr>
            <w:tcW w:w="1080" w:type="dxa"/>
            <w:tcBorders>
              <w:top w:val="nil"/>
              <w:left w:val="nil"/>
              <w:bottom w:val="nil"/>
              <w:right w:val="nil"/>
            </w:tcBorders>
            <w:shd w:val="clear" w:color="auto" w:fill="auto"/>
            <w:noWrap/>
            <w:vAlign w:val="center"/>
            <w:hideMark/>
          </w:tcPr>
          <w:p w14:paraId="3D94B169"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700 </w:t>
            </w:r>
          </w:p>
        </w:tc>
        <w:tc>
          <w:tcPr>
            <w:tcW w:w="940" w:type="dxa"/>
            <w:tcBorders>
              <w:top w:val="nil"/>
              <w:left w:val="nil"/>
              <w:bottom w:val="nil"/>
              <w:right w:val="nil"/>
            </w:tcBorders>
            <w:shd w:val="clear" w:color="000000" w:fill="E6E6E6"/>
            <w:noWrap/>
            <w:vAlign w:val="center"/>
            <w:hideMark/>
          </w:tcPr>
          <w:p w14:paraId="0C66DF04"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700 </w:t>
            </w:r>
          </w:p>
        </w:tc>
        <w:tc>
          <w:tcPr>
            <w:tcW w:w="1080" w:type="dxa"/>
            <w:tcBorders>
              <w:top w:val="nil"/>
              <w:left w:val="nil"/>
              <w:bottom w:val="nil"/>
              <w:right w:val="nil"/>
            </w:tcBorders>
            <w:shd w:val="clear" w:color="auto" w:fill="auto"/>
            <w:noWrap/>
            <w:vAlign w:val="center"/>
            <w:hideMark/>
          </w:tcPr>
          <w:p w14:paraId="61865612"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508 </w:t>
            </w:r>
          </w:p>
        </w:tc>
        <w:tc>
          <w:tcPr>
            <w:tcW w:w="1080" w:type="dxa"/>
            <w:tcBorders>
              <w:top w:val="nil"/>
              <w:left w:val="nil"/>
              <w:bottom w:val="nil"/>
              <w:right w:val="nil"/>
            </w:tcBorders>
            <w:shd w:val="clear" w:color="auto" w:fill="auto"/>
            <w:noWrap/>
            <w:vAlign w:val="center"/>
            <w:hideMark/>
          </w:tcPr>
          <w:p w14:paraId="79A0E486"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637 </w:t>
            </w:r>
          </w:p>
        </w:tc>
        <w:tc>
          <w:tcPr>
            <w:tcW w:w="1080" w:type="dxa"/>
            <w:tcBorders>
              <w:top w:val="nil"/>
              <w:left w:val="nil"/>
              <w:bottom w:val="nil"/>
              <w:right w:val="nil"/>
            </w:tcBorders>
            <w:shd w:val="clear" w:color="auto" w:fill="auto"/>
            <w:noWrap/>
            <w:vAlign w:val="center"/>
            <w:hideMark/>
          </w:tcPr>
          <w:p w14:paraId="2C6BEFC7"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615 </w:t>
            </w:r>
          </w:p>
        </w:tc>
      </w:tr>
      <w:tr w:rsidR="00E875D0" w:rsidRPr="00E875D0" w14:paraId="39B476A4" w14:textId="77777777" w:rsidTr="00E875D0">
        <w:trPr>
          <w:trHeight w:val="400"/>
        </w:trPr>
        <w:tc>
          <w:tcPr>
            <w:tcW w:w="3460" w:type="dxa"/>
            <w:tcBorders>
              <w:top w:val="nil"/>
              <w:left w:val="nil"/>
              <w:bottom w:val="nil"/>
              <w:right w:val="nil"/>
            </w:tcBorders>
            <w:shd w:val="clear" w:color="auto" w:fill="auto"/>
            <w:vAlign w:val="center"/>
            <w:hideMark/>
          </w:tcPr>
          <w:p w14:paraId="2D6C2E22"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less expenses made from appropriations</w:t>
            </w:r>
            <w:r w:rsidRPr="00E875D0">
              <w:rPr>
                <w:rFonts w:ascii="Arial" w:hAnsi="Arial" w:cs="Arial"/>
                <w:sz w:val="16"/>
                <w:szCs w:val="16"/>
              </w:rPr>
              <w:br/>
              <w:t xml:space="preserve">  credited to special accounts</w:t>
            </w:r>
          </w:p>
        </w:tc>
        <w:tc>
          <w:tcPr>
            <w:tcW w:w="1080" w:type="dxa"/>
            <w:tcBorders>
              <w:top w:val="nil"/>
              <w:left w:val="nil"/>
              <w:bottom w:val="nil"/>
              <w:right w:val="nil"/>
            </w:tcBorders>
            <w:shd w:val="clear" w:color="auto" w:fill="auto"/>
            <w:noWrap/>
            <w:vAlign w:val="center"/>
            <w:hideMark/>
          </w:tcPr>
          <w:p w14:paraId="2A329490"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(12,730)</w:t>
            </w:r>
          </w:p>
        </w:tc>
        <w:tc>
          <w:tcPr>
            <w:tcW w:w="940" w:type="dxa"/>
            <w:tcBorders>
              <w:top w:val="nil"/>
              <w:left w:val="nil"/>
              <w:bottom w:val="nil"/>
              <w:right w:val="nil"/>
            </w:tcBorders>
            <w:shd w:val="clear" w:color="000000" w:fill="E6E6E6"/>
            <w:noWrap/>
            <w:vAlign w:val="center"/>
            <w:hideMark/>
          </w:tcPr>
          <w:p w14:paraId="717A135A"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(8,500)</w:t>
            </w:r>
          </w:p>
        </w:tc>
        <w:tc>
          <w:tcPr>
            <w:tcW w:w="1080" w:type="dxa"/>
            <w:tcBorders>
              <w:top w:val="nil"/>
              <w:left w:val="nil"/>
              <w:bottom w:val="nil"/>
              <w:right w:val="nil"/>
            </w:tcBorders>
            <w:shd w:val="clear" w:color="auto" w:fill="auto"/>
            <w:noWrap/>
            <w:vAlign w:val="center"/>
            <w:hideMark/>
          </w:tcPr>
          <w:p w14:paraId="734568FD"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(7,000)</w:t>
            </w:r>
          </w:p>
        </w:tc>
        <w:tc>
          <w:tcPr>
            <w:tcW w:w="1080" w:type="dxa"/>
            <w:tcBorders>
              <w:top w:val="nil"/>
              <w:left w:val="nil"/>
              <w:bottom w:val="nil"/>
              <w:right w:val="nil"/>
            </w:tcBorders>
            <w:shd w:val="clear" w:color="auto" w:fill="auto"/>
            <w:noWrap/>
            <w:vAlign w:val="center"/>
            <w:hideMark/>
          </w:tcPr>
          <w:p w14:paraId="48D9B782"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(7,000)</w:t>
            </w:r>
          </w:p>
        </w:tc>
        <w:tc>
          <w:tcPr>
            <w:tcW w:w="1080" w:type="dxa"/>
            <w:tcBorders>
              <w:top w:val="nil"/>
              <w:left w:val="nil"/>
              <w:bottom w:val="nil"/>
              <w:right w:val="nil"/>
            </w:tcBorders>
            <w:shd w:val="clear" w:color="auto" w:fill="auto"/>
            <w:noWrap/>
            <w:vAlign w:val="center"/>
            <w:hideMark/>
          </w:tcPr>
          <w:p w14:paraId="6361CAF8"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(7,000)</w:t>
            </w:r>
          </w:p>
        </w:tc>
      </w:tr>
      <w:tr w:rsidR="00E875D0" w:rsidRPr="00E875D0" w14:paraId="3EE5C0A5" w14:textId="77777777" w:rsidTr="00E875D0">
        <w:trPr>
          <w:trHeight w:val="240"/>
        </w:trPr>
        <w:tc>
          <w:tcPr>
            <w:tcW w:w="3460" w:type="dxa"/>
            <w:tcBorders>
              <w:top w:val="nil"/>
              <w:left w:val="nil"/>
              <w:bottom w:val="nil"/>
              <w:right w:val="nil"/>
            </w:tcBorders>
            <w:shd w:val="clear" w:color="auto" w:fill="auto"/>
            <w:vAlign w:val="center"/>
            <w:hideMark/>
          </w:tcPr>
          <w:p w14:paraId="5B3856A8"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Administered total</w:t>
            </w:r>
          </w:p>
        </w:tc>
        <w:tc>
          <w:tcPr>
            <w:tcW w:w="1080" w:type="dxa"/>
            <w:tcBorders>
              <w:top w:val="single" w:sz="4" w:space="0" w:color="auto"/>
              <w:left w:val="nil"/>
              <w:bottom w:val="single" w:sz="4" w:space="0" w:color="auto"/>
              <w:right w:val="nil"/>
            </w:tcBorders>
            <w:shd w:val="clear" w:color="auto" w:fill="auto"/>
            <w:noWrap/>
            <w:vAlign w:val="center"/>
            <w:hideMark/>
          </w:tcPr>
          <w:p w14:paraId="1B614626"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66,993 </w:t>
            </w:r>
          </w:p>
        </w:tc>
        <w:tc>
          <w:tcPr>
            <w:tcW w:w="940" w:type="dxa"/>
            <w:tcBorders>
              <w:top w:val="single" w:sz="4" w:space="0" w:color="auto"/>
              <w:left w:val="nil"/>
              <w:bottom w:val="single" w:sz="4" w:space="0" w:color="auto"/>
              <w:right w:val="nil"/>
            </w:tcBorders>
            <w:shd w:val="clear" w:color="000000" w:fill="E6E6E6"/>
            <w:noWrap/>
            <w:vAlign w:val="center"/>
            <w:hideMark/>
          </w:tcPr>
          <w:p w14:paraId="7DCCCE7B"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75,808 </w:t>
            </w:r>
          </w:p>
        </w:tc>
        <w:tc>
          <w:tcPr>
            <w:tcW w:w="1080" w:type="dxa"/>
            <w:tcBorders>
              <w:top w:val="single" w:sz="4" w:space="0" w:color="auto"/>
              <w:left w:val="nil"/>
              <w:bottom w:val="single" w:sz="4" w:space="0" w:color="auto"/>
              <w:right w:val="nil"/>
            </w:tcBorders>
            <w:shd w:val="clear" w:color="auto" w:fill="auto"/>
            <w:noWrap/>
            <w:vAlign w:val="center"/>
            <w:hideMark/>
          </w:tcPr>
          <w:p w14:paraId="351A4B1B"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169,731 </w:t>
            </w:r>
          </w:p>
        </w:tc>
        <w:tc>
          <w:tcPr>
            <w:tcW w:w="1080" w:type="dxa"/>
            <w:tcBorders>
              <w:top w:val="single" w:sz="4" w:space="0" w:color="auto"/>
              <w:left w:val="nil"/>
              <w:bottom w:val="single" w:sz="4" w:space="0" w:color="auto"/>
              <w:right w:val="nil"/>
            </w:tcBorders>
            <w:shd w:val="clear" w:color="auto" w:fill="auto"/>
            <w:noWrap/>
            <w:vAlign w:val="center"/>
            <w:hideMark/>
          </w:tcPr>
          <w:p w14:paraId="4CC01F8D"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171,357 </w:t>
            </w:r>
          </w:p>
        </w:tc>
        <w:tc>
          <w:tcPr>
            <w:tcW w:w="1080" w:type="dxa"/>
            <w:tcBorders>
              <w:top w:val="single" w:sz="4" w:space="0" w:color="auto"/>
              <w:left w:val="nil"/>
              <w:bottom w:val="single" w:sz="4" w:space="0" w:color="auto"/>
              <w:right w:val="nil"/>
            </w:tcBorders>
            <w:shd w:val="clear" w:color="auto" w:fill="auto"/>
            <w:noWrap/>
            <w:vAlign w:val="center"/>
            <w:hideMark/>
          </w:tcPr>
          <w:p w14:paraId="01874EC6"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175,632 </w:t>
            </w:r>
          </w:p>
        </w:tc>
      </w:tr>
      <w:tr w:rsidR="00E875D0" w:rsidRPr="00E875D0" w14:paraId="02107618" w14:textId="77777777" w:rsidTr="00E875D0">
        <w:trPr>
          <w:trHeight w:val="240"/>
        </w:trPr>
        <w:tc>
          <w:tcPr>
            <w:tcW w:w="3460" w:type="dxa"/>
            <w:tcBorders>
              <w:top w:val="nil"/>
              <w:left w:val="nil"/>
              <w:bottom w:val="single" w:sz="4" w:space="0" w:color="000000"/>
              <w:right w:val="nil"/>
            </w:tcBorders>
            <w:shd w:val="clear" w:color="auto" w:fill="auto"/>
            <w:vAlign w:val="center"/>
            <w:hideMark/>
          </w:tcPr>
          <w:p w14:paraId="0F1C550F"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expenses for program 1.5</w:t>
            </w:r>
          </w:p>
        </w:tc>
        <w:tc>
          <w:tcPr>
            <w:tcW w:w="1080" w:type="dxa"/>
            <w:tcBorders>
              <w:top w:val="nil"/>
              <w:left w:val="nil"/>
              <w:bottom w:val="single" w:sz="4" w:space="0" w:color="auto"/>
              <w:right w:val="nil"/>
            </w:tcBorders>
            <w:shd w:val="clear" w:color="auto" w:fill="auto"/>
            <w:noWrap/>
            <w:vAlign w:val="center"/>
            <w:hideMark/>
          </w:tcPr>
          <w:p w14:paraId="4CF7DA98"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66,993 </w:t>
            </w:r>
          </w:p>
        </w:tc>
        <w:tc>
          <w:tcPr>
            <w:tcW w:w="940" w:type="dxa"/>
            <w:tcBorders>
              <w:top w:val="single" w:sz="4" w:space="0" w:color="auto"/>
              <w:left w:val="nil"/>
              <w:bottom w:val="single" w:sz="4" w:space="0" w:color="000000"/>
              <w:right w:val="nil"/>
            </w:tcBorders>
            <w:shd w:val="clear" w:color="000000" w:fill="E6E6E6"/>
            <w:noWrap/>
            <w:vAlign w:val="center"/>
            <w:hideMark/>
          </w:tcPr>
          <w:p w14:paraId="5B89D142"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75,808 </w:t>
            </w:r>
          </w:p>
        </w:tc>
        <w:tc>
          <w:tcPr>
            <w:tcW w:w="1080" w:type="dxa"/>
            <w:tcBorders>
              <w:top w:val="single" w:sz="4" w:space="0" w:color="auto"/>
              <w:left w:val="nil"/>
              <w:bottom w:val="single" w:sz="4" w:space="0" w:color="000000"/>
              <w:right w:val="nil"/>
            </w:tcBorders>
            <w:shd w:val="clear" w:color="auto" w:fill="auto"/>
            <w:noWrap/>
            <w:vAlign w:val="center"/>
            <w:hideMark/>
          </w:tcPr>
          <w:p w14:paraId="512DBB39"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169,731 </w:t>
            </w:r>
          </w:p>
        </w:tc>
        <w:tc>
          <w:tcPr>
            <w:tcW w:w="1080" w:type="dxa"/>
            <w:tcBorders>
              <w:top w:val="single" w:sz="4" w:space="0" w:color="auto"/>
              <w:left w:val="nil"/>
              <w:bottom w:val="single" w:sz="4" w:space="0" w:color="000000"/>
              <w:right w:val="nil"/>
            </w:tcBorders>
            <w:shd w:val="clear" w:color="auto" w:fill="auto"/>
            <w:noWrap/>
            <w:vAlign w:val="center"/>
            <w:hideMark/>
          </w:tcPr>
          <w:p w14:paraId="62746946"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171,357 </w:t>
            </w:r>
          </w:p>
        </w:tc>
        <w:tc>
          <w:tcPr>
            <w:tcW w:w="1080" w:type="dxa"/>
            <w:tcBorders>
              <w:top w:val="single" w:sz="4" w:space="0" w:color="auto"/>
              <w:left w:val="nil"/>
              <w:bottom w:val="single" w:sz="4" w:space="0" w:color="000000"/>
              <w:right w:val="nil"/>
            </w:tcBorders>
            <w:shd w:val="clear" w:color="auto" w:fill="auto"/>
            <w:noWrap/>
            <w:vAlign w:val="center"/>
            <w:hideMark/>
          </w:tcPr>
          <w:p w14:paraId="26F78E07"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175,632 </w:t>
            </w:r>
          </w:p>
        </w:tc>
      </w:tr>
      <w:tr w:rsidR="00E875D0" w:rsidRPr="00E875D0" w14:paraId="506A282F" w14:textId="77777777" w:rsidTr="00E875D0">
        <w:trPr>
          <w:trHeight w:val="315"/>
        </w:trPr>
        <w:tc>
          <w:tcPr>
            <w:tcW w:w="3460" w:type="dxa"/>
            <w:tcBorders>
              <w:top w:val="nil"/>
              <w:left w:val="nil"/>
              <w:bottom w:val="single" w:sz="4" w:space="0" w:color="auto"/>
              <w:right w:val="nil"/>
            </w:tcBorders>
            <w:shd w:val="clear" w:color="000000" w:fill="E6E6E6"/>
            <w:vAlign w:val="center"/>
            <w:hideMark/>
          </w:tcPr>
          <w:p w14:paraId="4C8F1823"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Program 1.6: Evaluation and Research</w:t>
            </w:r>
          </w:p>
        </w:tc>
        <w:tc>
          <w:tcPr>
            <w:tcW w:w="1080" w:type="dxa"/>
            <w:tcBorders>
              <w:top w:val="nil"/>
              <w:left w:val="nil"/>
              <w:bottom w:val="single" w:sz="4" w:space="0" w:color="auto"/>
              <w:right w:val="nil"/>
            </w:tcBorders>
            <w:shd w:val="clear" w:color="000000" w:fill="E6E6E6"/>
            <w:vAlign w:val="center"/>
            <w:hideMark/>
          </w:tcPr>
          <w:p w14:paraId="289DD102"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940" w:type="dxa"/>
            <w:tcBorders>
              <w:top w:val="nil"/>
              <w:left w:val="nil"/>
              <w:bottom w:val="single" w:sz="4" w:space="0" w:color="auto"/>
              <w:right w:val="nil"/>
            </w:tcBorders>
            <w:shd w:val="clear" w:color="000000" w:fill="E6E6E6"/>
            <w:vAlign w:val="center"/>
            <w:hideMark/>
          </w:tcPr>
          <w:p w14:paraId="4967FF7C"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35C11602"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4B761C06"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0D1DEF18"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r>
      <w:tr w:rsidR="00E875D0" w:rsidRPr="00E875D0" w14:paraId="7C9E3947" w14:textId="77777777" w:rsidTr="00E875D0">
        <w:trPr>
          <w:trHeight w:val="240"/>
        </w:trPr>
        <w:tc>
          <w:tcPr>
            <w:tcW w:w="3460" w:type="dxa"/>
            <w:tcBorders>
              <w:top w:val="nil"/>
              <w:left w:val="nil"/>
              <w:bottom w:val="nil"/>
              <w:right w:val="nil"/>
            </w:tcBorders>
            <w:shd w:val="clear" w:color="auto" w:fill="auto"/>
            <w:vAlign w:val="center"/>
            <w:hideMark/>
          </w:tcPr>
          <w:p w14:paraId="13948352"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Administered expenses</w:t>
            </w:r>
          </w:p>
        </w:tc>
        <w:tc>
          <w:tcPr>
            <w:tcW w:w="1080" w:type="dxa"/>
            <w:tcBorders>
              <w:top w:val="nil"/>
              <w:left w:val="nil"/>
              <w:bottom w:val="nil"/>
              <w:right w:val="nil"/>
            </w:tcBorders>
            <w:shd w:val="clear" w:color="auto" w:fill="auto"/>
            <w:noWrap/>
            <w:vAlign w:val="center"/>
            <w:hideMark/>
          </w:tcPr>
          <w:p w14:paraId="437E9803" w14:textId="77777777" w:rsidR="00E875D0" w:rsidRPr="00E875D0" w:rsidRDefault="00E875D0" w:rsidP="00E875D0">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6A9A7FE8"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w:t>
            </w:r>
          </w:p>
        </w:tc>
        <w:tc>
          <w:tcPr>
            <w:tcW w:w="1080" w:type="dxa"/>
            <w:tcBorders>
              <w:top w:val="nil"/>
              <w:left w:val="nil"/>
              <w:bottom w:val="nil"/>
              <w:right w:val="nil"/>
            </w:tcBorders>
            <w:shd w:val="clear" w:color="auto" w:fill="auto"/>
            <w:noWrap/>
            <w:vAlign w:val="center"/>
            <w:hideMark/>
          </w:tcPr>
          <w:p w14:paraId="4429D8CC" w14:textId="77777777" w:rsidR="00E875D0" w:rsidRPr="00E875D0" w:rsidRDefault="00E875D0" w:rsidP="00E875D0">
            <w:pPr>
              <w:spacing w:after="0" w:line="240" w:lineRule="auto"/>
              <w:jc w:val="right"/>
              <w:rPr>
                <w:rFonts w:ascii="Arial" w:hAnsi="Arial" w:cs="Arial"/>
                <w:sz w:val="16"/>
                <w:szCs w:val="16"/>
              </w:rPr>
            </w:pPr>
          </w:p>
        </w:tc>
        <w:tc>
          <w:tcPr>
            <w:tcW w:w="1080" w:type="dxa"/>
            <w:tcBorders>
              <w:top w:val="nil"/>
              <w:left w:val="nil"/>
              <w:bottom w:val="nil"/>
              <w:right w:val="nil"/>
            </w:tcBorders>
            <w:shd w:val="clear" w:color="auto" w:fill="auto"/>
            <w:noWrap/>
            <w:vAlign w:val="center"/>
            <w:hideMark/>
          </w:tcPr>
          <w:p w14:paraId="146EEB12" w14:textId="77777777" w:rsidR="00E875D0" w:rsidRPr="00E875D0" w:rsidRDefault="00E875D0" w:rsidP="00E875D0">
            <w:pPr>
              <w:spacing w:after="0" w:line="240" w:lineRule="auto"/>
              <w:jc w:val="left"/>
              <w:rPr>
                <w:rFonts w:ascii="Times New Roman" w:hAnsi="Times New Roman"/>
              </w:rPr>
            </w:pPr>
          </w:p>
        </w:tc>
        <w:tc>
          <w:tcPr>
            <w:tcW w:w="1080" w:type="dxa"/>
            <w:tcBorders>
              <w:top w:val="nil"/>
              <w:left w:val="nil"/>
              <w:bottom w:val="nil"/>
              <w:right w:val="nil"/>
            </w:tcBorders>
            <w:shd w:val="clear" w:color="auto" w:fill="auto"/>
            <w:noWrap/>
            <w:vAlign w:val="center"/>
            <w:hideMark/>
          </w:tcPr>
          <w:p w14:paraId="7E3CC6A9" w14:textId="77777777" w:rsidR="00E875D0" w:rsidRPr="00E875D0" w:rsidRDefault="00E875D0" w:rsidP="00E875D0">
            <w:pPr>
              <w:spacing w:after="0" w:line="240" w:lineRule="auto"/>
              <w:jc w:val="left"/>
              <w:rPr>
                <w:rFonts w:ascii="Times New Roman" w:hAnsi="Times New Roman"/>
              </w:rPr>
            </w:pPr>
          </w:p>
        </w:tc>
      </w:tr>
      <w:tr w:rsidR="00E875D0" w:rsidRPr="00E875D0" w14:paraId="73440E66" w14:textId="77777777" w:rsidTr="00E875D0">
        <w:trPr>
          <w:trHeight w:val="450"/>
        </w:trPr>
        <w:tc>
          <w:tcPr>
            <w:tcW w:w="3460" w:type="dxa"/>
            <w:tcBorders>
              <w:top w:val="nil"/>
              <w:left w:val="nil"/>
              <w:bottom w:val="nil"/>
              <w:right w:val="nil"/>
            </w:tcBorders>
            <w:shd w:val="clear" w:color="auto" w:fill="auto"/>
            <w:vAlign w:val="center"/>
            <w:hideMark/>
          </w:tcPr>
          <w:p w14:paraId="5D084A9C"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Ordinary annual services (Appropriation Act</w:t>
            </w:r>
            <w:r w:rsidRPr="00E875D0">
              <w:rPr>
                <w:rFonts w:ascii="Arial" w:hAnsi="Arial" w:cs="Arial"/>
                <w:sz w:val="16"/>
                <w:szCs w:val="16"/>
              </w:rPr>
              <w:br/>
              <w:t xml:space="preserve">  No. 1)</w:t>
            </w:r>
          </w:p>
        </w:tc>
        <w:tc>
          <w:tcPr>
            <w:tcW w:w="1080" w:type="dxa"/>
            <w:tcBorders>
              <w:top w:val="nil"/>
              <w:left w:val="nil"/>
              <w:bottom w:val="nil"/>
              <w:right w:val="nil"/>
            </w:tcBorders>
            <w:shd w:val="clear" w:color="auto" w:fill="auto"/>
            <w:noWrap/>
            <w:vAlign w:val="center"/>
            <w:hideMark/>
          </w:tcPr>
          <w:p w14:paraId="22231937"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8,610 </w:t>
            </w:r>
          </w:p>
        </w:tc>
        <w:tc>
          <w:tcPr>
            <w:tcW w:w="940" w:type="dxa"/>
            <w:tcBorders>
              <w:top w:val="nil"/>
              <w:left w:val="nil"/>
              <w:bottom w:val="nil"/>
              <w:right w:val="nil"/>
            </w:tcBorders>
            <w:shd w:val="clear" w:color="000000" w:fill="E6E6E6"/>
            <w:noWrap/>
            <w:vAlign w:val="center"/>
            <w:hideMark/>
          </w:tcPr>
          <w:p w14:paraId="378B24F4"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8,777 </w:t>
            </w:r>
          </w:p>
        </w:tc>
        <w:tc>
          <w:tcPr>
            <w:tcW w:w="1080" w:type="dxa"/>
            <w:tcBorders>
              <w:top w:val="nil"/>
              <w:left w:val="nil"/>
              <w:bottom w:val="nil"/>
              <w:right w:val="nil"/>
            </w:tcBorders>
            <w:shd w:val="clear" w:color="auto" w:fill="auto"/>
            <w:noWrap/>
            <w:vAlign w:val="center"/>
            <w:hideMark/>
          </w:tcPr>
          <w:p w14:paraId="7015738A"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8,930 </w:t>
            </w:r>
          </w:p>
        </w:tc>
        <w:tc>
          <w:tcPr>
            <w:tcW w:w="1080" w:type="dxa"/>
            <w:tcBorders>
              <w:top w:val="nil"/>
              <w:left w:val="nil"/>
              <w:bottom w:val="nil"/>
              <w:right w:val="nil"/>
            </w:tcBorders>
            <w:shd w:val="clear" w:color="auto" w:fill="auto"/>
            <w:noWrap/>
            <w:vAlign w:val="center"/>
            <w:hideMark/>
          </w:tcPr>
          <w:p w14:paraId="01FE593E"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10,604 </w:t>
            </w:r>
          </w:p>
        </w:tc>
        <w:tc>
          <w:tcPr>
            <w:tcW w:w="1080" w:type="dxa"/>
            <w:tcBorders>
              <w:top w:val="nil"/>
              <w:left w:val="nil"/>
              <w:bottom w:val="nil"/>
              <w:right w:val="nil"/>
            </w:tcBorders>
            <w:shd w:val="clear" w:color="auto" w:fill="auto"/>
            <w:noWrap/>
            <w:vAlign w:val="center"/>
            <w:hideMark/>
          </w:tcPr>
          <w:p w14:paraId="15B2466A"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10,763 </w:t>
            </w:r>
          </w:p>
        </w:tc>
      </w:tr>
      <w:tr w:rsidR="00E875D0" w:rsidRPr="00E875D0" w14:paraId="012498E3" w14:textId="77777777" w:rsidTr="00E875D0">
        <w:trPr>
          <w:trHeight w:val="240"/>
        </w:trPr>
        <w:tc>
          <w:tcPr>
            <w:tcW w:w="3460" w:type="dxa"/>
            <w:tcBorders>
              <w:top w:val="nil"/>
              <w:left w:val="nil"/>
              <w:bottom w:val="nil"/>
              <w:right w:val="nil"/>
            </w:tcBorders>
            <w:shd w:val="clear" w:color="auto" w:fill="auto"/>
            <w:vAlign w:val="center"/>
            <w:hideMark/>
          </w:tcPr>
          <w:p w14:paraId="14E95140"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Administered total</w:t>
            </w:r>
          </w:p>
        </w:tc>
        <w:tc>
          <w:tcPr>
            <w:tcW w:w="1080" w:type="dxa"/>
            <w:tcBorders>
              <w:top w:val="single" w:sz="4" w:space="0" w:color="auto"/>
              <w:left w:val="nil"/>
              <w:bottom w:val="single" w:sz="4" w:space="0" w:color="auto"/>
              <w:right w:val="nil"/>
            </w:tcBorders>
            <w:shd w:val="clear" w:color="auto" w:fill="auto"/>
            <w:noWrap/>
            <w:vAlign w:val="center"/>
            <w:hideMark/>
          </w:tcPr>
          <w:p w14:paraId="55DEB0D5"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8,610 </w:t>
            </w:r>
          </w:p>
        </w:tc>
        <w:tc>
          <w:tcPr>
            <w:tcW w:w="940" w:type="dxa"/>
            <w:tcBorders>
              <w:top w:val="single" w:sz="4" w:space="0" w:color="auto"/>
              <w:left w:val="nil"/>
              <w:bottom w:val="single" w:sz="4" w:space="0" w:color="auto"/>
              <w:right w:val="nil"/>
            </w:tcBorders>
            <w:shd w:val="clear" w:color="000000" w:fill="E6E6E6"/>
            <w:noWrap/>
            <w:vAlign w:val="center"/>
            <w:hideMark/>
          </w:tcPr>
          <w:p w14:paraId="5B32B824"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8,777 </w:t>
            </w:r>
          </w:p>
        </w:tc>
        <w:tc>
          <w:tcPr>
            <w:tcW w:w="1080" w:type="dxa"/>
            <w:tcBorders>
              <w:top w:val="single" w:sz="4" w:space="0" w:color="auto"/>
              <w:left w:val="nil"/>
              <w:bottom w:val="single" w:sz="4" w:space="0" w:color="auto"/>
              <w:right w:val="nil"/>
            </w:tcBorders>
            <w:shd w:val="clear" w:color="auto" w:fill="auto"/>
            <w:noWrap/>
            <w:vAlign w:val="center"/>
            <w:hideMark/>
          </w:tcPr>
          <w:p w14:paraId="43CF11F9"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8,930 </w:t>
            </w:r>
          </w:p>
        </w:tc>
        <w:tc>
          <w:tcPr>
            <w:tcW w:w="1080" w:type="dxa"/>
            <w:tcBorders>
              <w:top w:val="single" w:sz="4" w:space="0" w:color="auto"/>
              <w:left w:val="nil"/>
              <w:bottom w:val="single" w:sz="4" w:space="0" w:color="auto"/>
              <w:right w:val="nil"/>
            </w:tcBorders>
            <w:shd w:val="clear" w:color="auto" w:fill="auto"/>
            <w:noWrap/>
            <w:vAlign w:val="center"/>
            <w:hideMark/>
          </w:tcPr>
          <w:p w14:paraId="79F14F93"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10,604 </w:t>
            </w:r>
          </w:p>
        </w:tc>
        <w:tc>
          <w:tcPr>
            <w:tcW w:w="1080" w:type="dxa"/>
            <w:tcBorders>
              <w:top w:val="single" w:sz="4" w:space="0" w:color="auto"/>
              <w:left w:val="nil"/>
              <w:bottom w:val="single" w:sz="4" w:space="0" w:color="auto"/>
              <w:right w:val="nil"/>
            </w:tcBorders>
            <w:shd w:val="clear" w:color="auto" w:fill="auto"/>
            <w:noWrap/>
            <w:vAlign w:val="center"/>
            <w:hideMark/>
          </w:tcPr>
          <w:p w14:paraId="3986BD9A"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10,763 </w:t>
            </w:r>
          </w:p>
        </w:tc>
      </w:tr>
      <w:tr w:rsidR="00E875D0" w:rsidRPr="00E875D0" w14:paraId="0E845B3D" w14:textId="77777777" w:rsidTr="00E875D0">
        <w:trPr>
          <w:trHeight w:val="240"/>
        </w:trPr>
        <w:tc>
          <w:tcPr>
            <w:tcW w:w="3460" w:type="dxa"/>
            <w:tcBorders>
              <w:top w:val="nil"/>
              <w:left w:val="nil"/>
              <w:bottom w:val="single" w:sz="4" w:space="0" w:color="000000"/>
              <w:right w:val="nil"/>
            </w:tcBorders>
            <w:shd w:val="clear" w:color="auto" w:fill="auto"/>
            <w:vAlign w:val="center"/>
            <w:hideMark/>
          </w:tcPr>
          <w:p w14:paraId="7409EB11"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expenses for program 1.6</w:t>
            </w:r>
          </w:p>
        </w:tc>
        <w:tc>
          <w:tcPr>
            <w:tcW w:w="1080" w:type="dxa"/>
            <w:tcBorders>
              <w:top w:val="nil"/>
              <w:left w:val="nil"/>
              <w:bottom w:val="single" w:sz="4" w:space="0" w:color="auto"/>
              <w:right w:val="nil"/>
            </w:tcBorders>
            <w:shd w:val="clear" w:color="auto" w:fill="auto"/>
            <w:noWrap/>
            <w:vAlign w:val="center"/>
            <w:hideMark/>
          </w:tcPr>
          <w:p w14:paraId="3B8BEAA1"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8,610 </w:t>
            </w:r>
          </w:p>
        </w:tc>
        <w:tc>
          <w:tcPr>
            <w:tcW w:w="940" w:type="dxa"/>
            <w:tcBorders>
              <w:top w:val="single" w:sz="4" w:space="0" w:color="auto"/>
              <w:left w:val="nil"/>
              <w:bottom w:val="single" w:sz="4" w:space="0" w:color="000000"/>
              <w:right w:val="nil"/>
            </w:tcBorders>
            <w:shd w:val="clear" w:color="000000" w:fill="E6E6E6"/>
            <w:noWrap/>
            <w:vAlign w:val="center"/>
            <w:hideMark/>
          </w:tcPr>
          <w:p w14:paraId="01B506D2"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8,777 </w:t>
            </w:r>
          </w:p>
        </w:tc>
        <w:tc>
          <w:tcPr>
            <w:tcW w:w="1080" w:type="dxa"/>
            <w:tcBorders>
              <w:top w:val="single" w:sz="4" w:space="0" w:color="auto"/>
              <w:left w:val="nil"/>
              <w:bottom w:val="single" w:sz="4" w:space="0" w:color="000000"/>
              <w:right w:val="nil"/>
            </w:tcBorders>
            <w:shd w:val="clear" w:color="auto" w:fill="auto"/>
            <w:noWrap/>
            <w:vAlign w:val="center"/>
            <w:hideMark/>
          </w:tcPr>
          <w:p w14:paraId="18D36216"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8,930 </w:t>
            </w:r>
          </w:p>
        </w:tc>
        <w:tc>
          <w:tcPr>
            <w:tcW w:w="1080" w:type="dxa"/>
            <w:tcBorders>
              <w:top w:val="single" w:sz="4" w:space="0" w:color="auto"/>
              <w:left w:val="nil"/>
              <w:bottom w:val="single" w:sz="4" w:space="0" w:color="000000"/>
              <w:right w:val="nil"/>
            </w:tcBorders>
            <w:shd w:val="clear" w:color="auto" w:fill="auto"/>
            <w:noWrap/>
            <w:vAlign w:val="center"/>
            <w:hideMark/>
          </w:tcPr>
          <w:p w14:paraId="00669787"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10,604 </w:t>
            </w:r>
          </w:p>
        </w:tc>
        <w:tc>
          <w:tcPr>
            <w:tcW w:w="1080" w:type="dxa"/>
            <w:tcBorders>
              <w:top w:val="single" w:sz="4" w:space="0" w:color="auto"/>
              <w:left w:val="nil"/>
              <w:bottom w:val="single" w:sz="4" w:space="0" w:color="000000"/>
              <w:right w:val="nil"/>
            </w:tcBorders>
            <w:shd w:val="clear" w:color="auto" w:fill="auto"/>
            <w:noWrap/>
            <w:vAlign w:val="center"/>
            <w:hideMark/>
          </w:tcPr>
          <w:p w14:paraId="7ACFBCA1"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10,763 </w:t>
            </w:r>
          </w:p>
        </w:tc>
      </w:tr>
      <w:tr w:rsidR="00E875D0" w:rsidRPr="00E875D0" w14:paraId="18237180" w14:textId="77777777" w:rsidTr="00E875D0">
        <w:trPr>
          <w:trHeight w:val="315"/>
        </w:trPr>
        <w:tc>
          <w:tcPr>
            <w:tcW w:w="3460" w:type="dxa"/>
            <w:tcBorders>
              <w:top w:val="nil"/>
              <w:left w:val="nil"/>
              <w:bottom w:val="single" w:sz="4" w:space="0" w:color="auto"/>
              <w:right w:val="nil"/>
            </w:tcBorders>
            <w:shd w:val="clear" w:color="000000" w:fill="E6E6E6"/>
            <w:vAlign w:val="center"/>
            <w:hideMark/>
          </w:tcPr>
          <w:p w14:paraId="06ACE07F"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Program 1.7: Program Support</w:t>
            </w:r>
          </w:p>
        </w:tc>
        <w:tc>
          <w:tcPr>
            <w:tcW w:w="1080" w:type="dxa"/>
            <w:tcBorders>
              <w:top w:val="nil"/>
              <w:left w:val="nil"/>
              <w:bottom w:val="single" w:sz="4" w:space="0" w:color="auto"/>
              <w:right w:val="nil"/>
            </w:tcBorders>
            <w:shd w:val="clear" w:color="000000" w:fill="E6E6E6"/>
            <w:vAlign w:val="center"/>
            <w:hideMark/>
          </w:tcPr>
          <w:p w14:paraId="312D177E"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940" w:type="dxa"/>
            <w:tcBorders>
              <w:top w:val="nil"/>
              <w:left w:val="nil"/>
              <w:bottom w:val="single" w:sz="4" w:space="0" w:color="auto"/>
              <w:right w:val="nil"/>
            </w:tcBorders>
            <w:shd w:val="clear" w:color="000000" w:fill="E6E6E6"/>
            <w:vAlign w:val="center"/>
            <w:hideMark/>
          </w:tcPr>
          <w:p w14:paraId="29EB0ED2"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39A46428"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72A33283"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c>
          <w:tcPr>
            <w:tcW w:w="1080" w:type="dxa"/>
            <w:tcBorders>
              <w:top w:val="nil"/>
              <w:left w:val="nil"/>
              <w:bottom w:val="single" w:sz="4" w:space="0" w:color="auto"/>
              <w:right w:val="nil"/>
            </w:tcBorders>
            <w:shd w:val="clear" w:color="000000" w:fill="E6E6E6"/>
            <w:vAlign w:val="center"/>
            <w:hideMark/>
          </w:tcPr>
          <w:p w14:paraId="79D5BF93"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 </w:t>
            </w:r>
          </w:p>
        </w:tc>
      </w:tr>
      <w:tr w:rsidR="00E875D0" w:rsidRPr="00E875D0" w14:paraId="57F4A633" w14:textId="77777777" w:rsidTr="00E875D0">
        <w:trPr>
          <w:trHeight w:val="240"/>
        </w:trPr>
        <w:tc>
          <w:tcPr>
            <w:tcW w:w="3460" w:type="dxa"/>
            <w:tcBorders>
              <w:top w:val="nil"/>
              <w:left w:val="nil"/>
              <w:bottom w:val="nil"/>
              <w:right w:val="nil"/>
            </w:tcBorders>
            <w:shd w:val="clear" w:color="auto" w:fill="auto"/>
            <w:vAlign w:val="center"/>
            <w:hideMark/>
          </w:tcPr>
          <w:p w14:paraId="22C60229"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Departmental expenses</w:t>
            </w:r>
          </w:p>
        </w:tc>
        <w:tc>
          <w:tcPr>
            <w:tcW w:w="1080" w:type="dxa"/>
            <w:tcBorders>
              <w:top w:val="nil"/>
              <w:left w:val="nil"/>
              <w:bottom w:val="nil"/>
              <w:right w:val="nil"/>
            </w:tcBorders>
            <w:shd w:val="clear" w:color="auto" w:fill="auto"/>
            <w:noWrap/>
            <w:vAlign w:val="center"/>
            <w:hideMark/>
          </w:tcPr>
          <w:p w14:paraId="214D9D63" w14:textId="77777777" w:rsidR="00E875D0" w:rsidRPr="00E875D0" w:rsidRDefault="00E875D0" w:rsidP="00E875D0">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399BA52C"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w:t>
            </w:r>
          </w:p>
        </w:tc>
        <w:tc>
          <w:tcPr>
            <w:tcW w:w="1080" w:type="dxa"/>
            <w:tcBorders>
              <w:top w:val="nil"/>
              <w:left w:val="nil"/>
              <w:bottom w:val="nil"/>
              <w:right w:val="nil"/>
            </w:tcBorders>
            <w:shd w:val="clear" w:color="auto" w:fill="auto"/>
            <w:noWrap/>
            <w:vAlign w:val="center"/>
            <w:hideMark/>
          </w:tcPr>
          <w:p w14:paraId="231C6A65" w14:textId="77777777" w:rsidR="00E875D0" w:rsidRPr="00E875D0" w:rsidRDefault="00E875D0" w:rsidP="00E875D0">
            <w:pPr>
              <w:spacing w:after="0" w:line="240" w:lineRule="auto"/>
              <w:jc w:val="right"/>
              <w:rPr>
                <w:rFonts w:ascii="Arial" w:hAnsi="Arial" w:cs="Arial"/>
                <w:sz w:val="16"/>
                <w:szCs w:val="16"/>
              </w:rPr>
            </w:pPr>
          </w:p>
        </w:tc>
        <w:tc>
          <w:tcPr>
            <w:tcW w:w="1080" w:type="dxa"/>
            <w:tcBorders>
              <w:top w:val="nil"/>
              <w:left w:val="nil"/>
              <w:bottom w:val="nil"/>
              <w:right w:val="nil"/>
            </w:tcBorders>
            <w:shd w:val="clear" w:color="auto" w:fill="auto"/>
            <w:noWrap/>
            <w:vAlign w:val="center"/>
            <w:hideMark/>
          </w:tcPr>
          <w:p w14:paraId="142A5D44" w14:textId="77777777" w:rsidR="00E875D0" w:rsidRPr="00E875D0" w:rsidRDefault="00E875D0" w:rsidP="00E875D0">
            <w:pPr>
              <w:spacing w:after="0" w:line="240" w:lineRule="auto"/>
              <w:jc w:val="left"/>
              <w:rPr>
                <w:rFonts w:ascii="Times New Roman" w:hAnsi="Times New Roman"/>
              </w:rPr>
            </w:pPr>
          </w:p>
        </w:tc>
        <w:tc>
          <w:tcPr>
            <w:tcW w:w="1080" w:type="dxa"/>
            <w:tcBorders>
              <w:top w:val="nil"/>
              <w:left w:val="nil"/>
              <w:bottom w:val="nil"/>
              <w:right w:val="nil"/>
            </w:tcBorders>
            <w:shd w:val="clear" w:color="auto" w:fill="auto"/>
            <w:noWrap/>
            <w:vAlign w:val="center"/>
            <w:hideMark/>
          </w:tcPr>
          <w:p w14:paraId="3848B280" w14:textId="77777777" w:rsidR="00E875D0" w:rsidRPr="00E875D0" w:rsidRDefault="00E875D0" w:rsidP="00E875D0">
            <w:pPr>
              <w:spacing w:after="0" w:line="240" w:lineRule="auto"/>
              <w:jc w:val="left"/>
              <w:rPr>
                <w:rFonts w:ascii="Times New Roman" w:hAnsi="Times New Roman"/>
              </w:rPr>
            </w:pPr>
          </w:p>
        </w:tc>
      </w:tr>
      <w:tr w:rsidR="00E875D0" w:rsidRPr="00E875D0" w14:paraId="2EA03A13" w14:textId="77777777" w:rsidTr="00E875D0">
        <w:trPr>
          <w:trHeight w:val="200"/>
        </w:trPr>
        <w:tc>
          <w:tcPr>
            <w:tcW w:w="3460" w:type="dxa"/>
            <w:tcBorders>
              <w:top w:val="nil"/>
              <w:left w:val="nil"/>
              <w:bottom w:val="nil"/>
              <w:right w:val="nil"/>
            </w:tcBorders>
            <w:shd w:val="clear" w:color="auto" w:fill="auto"/>
            <w:vAlign w:val="center"/>
            <w:hideMark/>
          </w:tcPr>
          <w:p w14:paraId="5F98DA3A" w14:textId="77777777" w:rsidR="00E875D0" w:rsidRPr="00E875D0" w:rsidRDefault="00E875D0" w:rsidP="00E875D0">
            <w:pPr>
              <w:spacing w:after="0" w:line="240" w:lineRule="auto"/>
              <w:ind w:firstLineChars="100" w:firstLine="160"/>
              <w:jc w:val="left"/>
              <w:rPr>
                <w:rFonts w:ascii="Arial" w:hAnsi="Arial" w:cs="Arial"/>
                <w:sz w:val="16"/>
                <w:szCs w:val="16"/>
              </w:rPr>
            </w:pPr>
            <w:r w:rsidRPr="00E875D0">
              <w:rPr>
                <w:rFonts w:ascii="Arial" w:hAnsi="Arial" w:cs="Arial"/>
                <w:sz w:val="16"/>
                <w:szCs w:val="16"/>
              </w:rPr>
              <w:t>Departmental appropriation (f)</w:t>
            </w:r>
          </w:p>
        </w:tc>
        <w:tc>
          <w:tcPr>
            <w:tcW w:w="1080" w:type="dxa"/>
            <w:tcBorders>
              <w:top w:val="nil"/>
              <w:left w:val="nil"/>
              <w:bottom w:val="nil"/>
              <w:right w:val="nil"/>
            </w:tcBorders>
            <w:shd w:val="clear" w:color="auto" w:fill="auto"/>
            <w:noWrap/>
            <w:vAlign w:val="center"/>
            <w:hideMark/>
          </w:tcPr>
          <w:p w14:paraId="05F8CBE6"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273,688 </w:t>
            </w:r>
          </w:p>
        </w:tc>
        <w:tc>
          <w:tcPr>
            <w:tcW w:w="940" w:type="dxa"/>
            <w:tcBorders>
              <w:top w:val="nil"/>
              <w:left w:val="nil"/>
              <w:bottom w:val="nil"/>
              <w:right w:val="nil"/>
            </w:tcBorders>
            <w:shd w:val="clear" w:color="000000" w:fill="E6E6E6"/>
            <w:noWrap/>
            <w:vAlign w:val="center"/>
            <w:hideMark/>
          </w:tcPr>
          <w:p w14:paraId="34B2EE74"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325,584 </w:t>
            </w:r>
          </w:p>
        </w:tc>
        <w:tc>
          <w:tcPr>
            <w:tcW w:w="1080" w:type="dxa"/>
            <w:tcBorders>
              <w:top w:val="nil"/>
              <w:left w:val="nil"/>
              <w:bottom w:val="nil"/>
              <w:right w:val="nil"/>
            </w:tcBorders>
            <w:shd w:val="clear" w:color="auto" w:fill="auto"/>
            <w:noWrap/>
            <w:vAlign w:val="center"/>
            <w:hideMark/>
          </w:tcPr>
          <w:p w14:paraId="4F729EF2"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270,534 </w:t>
            </w:r>
          </w:p>
        </w:tc>
        <w:tc>
          <w:tcPr>
            <w:tcW w:w="1080" w:type="dxa"/>
            <w:tcBorders>
              <w:top w:val="nil"/>
              <w:left w:val="nil"/>
              <w:bottom w:val="nil"/>
              <w:right w:val="nil"/>
            </w:tcBorders>
            <w:shd w:val="clear" w:color="auto" w:fill="auto"/>
            <w:noWrap/>
            <w:vAlign w:val="center"/>
            <w:hideMark/>
          </w:tcPr>
          <w:p w14:paraId="7B489CB3"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265,904 </w:t>
            </w:r>
          </w:p>
        </w:tc>
        <w:tc>
          <w:tcPr>
            <w:tcW w:w="1080" w:type="dxa"/>
            <w:tcBorders>
              <w:top w:val="nil"/>
              <w:left w:val="nil"/>
              <w:bottom w:val="nil"/>
              <w:right w:val="nil"/>
            </w:tcBorders>
            <w:shd w:val="clear" w:color="auto" w:fill="auto"/>
            <w:noWrap/>
            <w:vAlign w:val="center"/>
            <w:hideMark/>
          </w:tcPr>
          <w:p w14:paraId="2BB089B9"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267,701 </w:t>
            </w:r>
          </w:p>
        </w:tc>
      </w:tr>
      <w:tr w:rsidR="00E875D0" w:rsidRPr="00E875D0" w14:paraId="400B5E8B" w14:textId="77777777" w:rsidTr="00E875D0">
        <w:trPr>
          <w:trHeight w:val="200"/>
        </w:trPr>
        <w:tc>
          <w:tcPr>
            <w:tcW w:w="3460" w:type="dxa"/>
            <w:tcBorders>
              <w:top w:val="nil"/>
              <w:left w:val="nil"/>
              <w:bottom w:val="nil"/>
              <w:right w:val="nil"/>
            </w:tcBorders>
            <w:shd w:val="clear" w:color="auto" w:fill="auto"/>
            <w:vAlign w:val="center"/>
            <w:hideMark/>
          </w:tcPr>
          <w:p w14:paraId="53E0C9C3" w14:textId="77777777" w:rsidR="00E875D0" w:rsidRPr="00E875D0" w:rsidRDefault="00E875D0" w:rsidP="00E875D0">
            <w:pPr>
              <w:spacing w:after="0" w:line="240" w:lineRule="auto"/>
              <w:ind w:firstLineChars="100" w:firstLine="160"/>
              <w:jc w:val="left"/>
              <w:rPr>
                <w:rFonts w:ascii="Arial" w:hAnsi="Arial" w:cs="Arial"/>
                <w:sz w:val="16"/>
                <w:szCs w:val="16"/>
              </w:rPr>
            </w:pPr>
            <w:r w:rsidRPr="00E875D0">
              <w:rPr>
                <w:rFonts w:ascii="Arial" w:hAnsi="Arial" w:cs="Arial"/>
                <w:sz w:val="16"/>
                <w:szCs w:val="16"/>
              </w:rPr>
              <w:t>s74 external revenue (g)</w:t>
            </w:r>
          </w:p>
        </w:tc>
        <w:tc>
          <w:tcPr>
            <w:tcW w:w="1080" w:type="dxa"/>
            <w:tcBorders>
              <w:top w:val="nil"/>
              <w:left w:val="nil"/>
              <w:bottom w:val="nil"/>
              <w:right w:val="nil"/>
            </w:tcBorders>
            <w:shd w:val="clear" w:color="auto" w:fill="auto"/>
            <w:noWrap/>
            <w:vAlign w:val="center"/>
            <w:hideMark/>
          </w:tcPr>
          <w:p w14:paraId="71A91607"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9,221 </w:t>
            </w:r>
          </w:p>
        </w:tc>
        <w:tc>
          <w:tcPr>
            <w:tcW w:w="940" w:type="dxa"/>
            <w:tcBorders>
              <w:top w:val="nil"/>
              <w:left w:val="nil"/>
              <w:bottom w:val="nil"/>
              <w:right w:val="nil"/>
            </w:tcBorders>
            <w:shd w:val="clear" w:color="000000" w:fill="E6E6E6"/>
            <w:noWrap/>
            <w:vAlign w:val="center"/>
            <w:hideMark/>
          </w:tcPr>
          <w:p w14:paraId="7EBF02B9"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9,576 </w:t>
            </w:r>
          </w:p>
        </w:tc>
        <w:tc>
          <w:tcPr>
            <w:tcW w:w="1080" w:type="dxa"/>
            <w:tcBorders>
              <w:top w:val="nil"/>
              <w:left w:val="nil"/>
              <w:bottom w:val="nil"/>
              <w:right w:val="nil"/>
            </w:tcBorders>
            <w:shd w:val="clear" w:color="auto" w:fill="auto"/>
            <w:noWrap/>
            <w:vAlign w:val="center"/>
            <w:hideMark/>
          </w:tcPr>
          <w:p w14:paraId="00D880E7"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10,085 </w:t>
            </w:r>
          </w:p>
        </w:tc>
        <w:tc>
          <w:tcPr>
            <w:tcW w:w="1080" w:type="dxa"/>
            <w:tcBorders>
              <w:top w:val="nil"/>
              <w:left w:val="nil"/>
              <w:bottom w:val="nil"/>
              <w:right w:val="nil"/>
            </w:tcBorders>
            <w:shd w:val="clear" w:color="auto" w:fill="auto"/>
            <w:noWrap/>
            <w:vAlign w:val="center"/>
            <w:hideMark/>
          </w:tcPr>
          <w:p w14:paraId="0CD5BD9E"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10,085 </w:t>
            </w:r>
          </w:p>
        </w:tc>
        <w:tc>
          <w:tcPr>
            <w:tcW w:w="1080" w:type="dxa"/>
            <w:tcBorders>
              <w:top w:val="nil"/>
              <w:left w:val="nil"/>
              <w:bottom w:val="nil"/>
              <w:right w:val="nil"/>
            </w:tcBorders>
            <w:shd w:val="clear" w:color="auto" w:fill="auto"/>
            <w:noWrap/>
            <w:vAlign w:val="center"/>
            <w:hideMark/>
          </w:tcPr>
          <w:p w14:paraId="7ED80381"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10,085 </w:t>
            </w:r>
          </w:p>
        </w:tc>
      </w:tr>
      <w:tr w:rsidR="00E875D0" w:rsidRPr="00E875D0" w14:paraId="4B57D131" w14:textId="77777777" w:rsidTr="00E875D0">
        <w:trPr>
          <w:trHeight w:val="400"/>
        </w:trPr>
        <w:tc>
          <w:tcPr>
            <w:tcW w:w="3460" w:type="dxa"/>
            <w:tcBorders>
              <w:top w:val="nil"/>
              <w:left w:val="nil"/>
              <w:bottom w:val="nil"/>
              <w:right w:val="nil"/>
            </w:tcBorders>
            <w:shd w:val="clear" w:color="auto" w:fill="auto"/>
            <w:vAlign w:val="center"/>
            <w:hideMark/>
          </w:tcPr>
          <w:p w14:paraId="0F36C14E" w14:textId="77777777" w:rsidR="00E875D0" w:rsidRPr="00E875D0" w:rsidRDefault="00E875D0" w:rsidP="00E875D0">
            <w:pPr>
              <w:spacing w:after="0" w:line="240" w:lineRule="auto"/>
              <w:jc w:val="left"/>
              <w:rPr>
                <w:rFonts w:ascii="Arial" w:hAnsi="Arial" w:cs="Arial"/>
                <w:sz w:val="16"/>
                <w:szCs w:val="16"/>
              </w:rPr>
            </w:pPr>
            <w:r w:rsidRPr="00E875D0">
              <w:rPr>
                <w:rFonts w:ascii="Arial" w:hAnsi="Arial" w:cs="Arial"/>
                <w:sz w:val="16"/>
                <w:szCs w:val="16"/>
              </w:rPr>
              <w:t>Expenses not requiring appropriation in the</w:t>
            </w:r>
            <w:r w:rsidRPr="00E875D0">
              <w:rPr>
                <w:rFonts w:ascii="Arial" w:hAnsi="Arial" w:cs="Arial"/>
                <w:sz w:val="16"/>
                <w:szCs w:val="16"/>
              </w:rPr>
              <w:br/>
              <w:t xml:space="preserve">  Budget year (c)</w:t>
            </w:r>
          </w:p>
        </w:tc>
        <w:tc>
          <w:tcPr>
            <w:tcW w:w="1080" w:type="dxa"/>
            <w:tcBorders>
              <w:top w:val="nil"/>
              <w:left w:val="nil"/>
              <w:bottom w:val="nil"/>
              <w:right w:val="nil"/>
            </w:tcBorders>
            <w:shd w:val="clear" w:color="auto" w:fill="auto"/>
            <w:noWrap/>
            <w:vAlign w:val="center"/>
            <w:hideMark/>
          </w:tcPr>
          <w:p w14:paraId="42A299C3" w14:textId="77777777" w:rsidR="00E875D0" w:rsidRPr="00E875D0" w:rsidRDefault="00E875D0" w:rsidP="00E875D0">
            <w:pPr>
              <w:spacing w:after="0" w:line="240" w:lineRule="auto"/>
              <w:jc w:val="right"/>
              <w:rPr>
                <w:rFonts w:ascii="Arial" w:hAnsi="Arial" w:cs="Arial"/>
                <w:color w:val="000000"/>
                <w:sz w:val="16"/>
                <w:szCs w:val="16"/>
              </w:rPr>
            </w:pPr>
            <w:r w:rsidRPr="00E875D0">
              <w:rPr>
                <w:rFonts w:ascii="Arial" w:hAnsi="Arial" w:cs="Arial"/>
                <w:color w:val="000000"/>
                <w:sz w:val="16"/>
                <w:szCs w:val="16"/>
              </w:rPr>
              <w:t xml:space="preserve">18,387 </w:t>
            </w:r>
          </w:p>
        </w:tc>
        <w:tc>
          <w:tcPr>
            <w:tcW w:w="940" w:type="dxa"/>
            <w:tcBorders>
              <w:top w:val="nil"/>
              <w:left w:val="nil"/>
              <w:bottom w:val="nil"/>
              <w:right w:val="nil"/>
            </w:tcBorders>
            <w:shd w:val="clear" w:color="000000" w:fill="E6E6E6"/>
            <w:noWrap/>
            <w:vAlign w:val="center"/>
            <w:hideMark/>
          </w:tcPr>
          <w:p w14:paraId="72F1B22B"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20,058 </w:t>
            </w:r>
          </w:p>
        </w:tc>
        <w:tc>
          <w:tcPr>
            <w:tcW w:w="1080" w:type="dxa"/>
            <w:tcBorders>
              <w:top w:val="nil"/>
              <w:left w:val="nil"/>
              <w:bottom w:val="nil"/>
              <w:right w:val="nil"/>
            </w:tcBorders>
            <w:shd w:val="clear" w:color="auto" w:fill="auto"/>
            <w:noWrap/>
            <w:vAlign w:val="center"/>
            <w:hideMark/>
          </w:tcPr>
          <w:p w14:paraId="3D4CFDC7"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20,490 </w:t>
            </w:r>
          </w:p>
        </w:tc>
        <w:tc>
          <w:tcPr>
            <w:tcW w:w="1080" w:type="dxa"/>
            <w:tcBorders>
              <w:top w:val="nil"/>
              <w:left w:val="nil"/>
              <w:bottom w:val="nil"/>
              <w:right w:val="nil"/>
            </w:tcBorders>
            <w:shd w:val="clear" w:color="auto" w:fill="auto"/>
            <w:noWrap/>
            <w:vAlign w:val="center"/>
            <w:hideMark/>
          </w:tcPr>
          <w:p w14:paraId="4DB09355"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20,494 </w:t>
            </w:r>
          </w:p>
        </w:tc>
        <w:tc>
          <w:tcPr>
            <w:tcW w:w="1080" w:type="dxa"/>
            <w:tcBorders>
              <w:top w:val="nil"/>
              <w:left w:val="nil"/>
              <w:bottom w:val="nil"/>
              <w:right w:val="nil"/>
            </w:tcBorders>
            <w:shd w:val="clear" w:color="auto" w:fill="auto"/>
            <w:noWrap/>
            <w:vAlign w:val="center"/>
            <w:hideMark/>
          </w:tcPr>
          <w:p w14:paraId="0A110E21" w14:textId="77777777" w:rsidR="00E875D0" w:rsidRPr="00E875D0" w:rsidRDefault="00E875D0" w:rsidP="00E875D0">
            <w:pPr>
              <w:spacing w:after="0" w:line="240" w:lineRule="auto"/>
              <w:jc w:val="right"/>
              <w:rPr>
                <w:rFonts w:ascii="Arial" w:hAnsi="Arial" w:cs="Arial"/>
                <w:sz w:val="16"/>
                <w:szCs w:val="16"/>
              </w:rPr>
            </w:pPr>
            <w:r w:rsidRPr="00E875D0">
              <w:rPr>
                <w:rFonts w:ascii="Arial" w:hAnsi="Arial" w:cs="Arial"/>
                <w:sz w:val="16"/>
                <w:szCs w:val="16"/>
              </w:rPr>
              <w:t xml:space="preserve">20,492 </w:t>
            </w:r>
          </w:p>
        </w:tc>
      </w:tr>
      <w:tr w:rsidR="00E875D0" w:rsidRPr="00E875D0" w14:paraId="61C2591D" w14:textId="77777777" w:rsidTr="00E875D0">
        <w:trPr>
          <w:trHeight w:val="240"/>
        </w:trPr>
        <w:tc>
          <w:tcPr>
            <w:tcW w:w="3460" w:type="dxa"/>
            <w:tcBorders>
              <w:top w:val="nil"/>
              <w:left w:val="nil"/>
              <w:bottom w:val="nil"/>
              <w:right w:val="nil"/>
            </w:tcBorders>
            <w:shd w:val="clear" w:color="auto" w:fill="auto"/>
            <w:vAlign w:val="center"/>
            <w:hideMark/>
          </w:tcPr>
          <w:p w14:paraId="03013067"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Departmental total</w:t>
            </w:r>
          </w:p>
        </w:tc>
        <w:tc>
          <w:tcPr>
            <w:tcW w:w="1080" w:type="dxa"/>
            <w:tcBorders>
              <w:top w:val="single" w:sz="4" w:space="0" w:color="auto"/>
              <w:left w:val="nil"/>
              <w:bottom w:val="single" w:sz="4" w:space="0" w:color="auto"/>
              <w:right w:val="nil"/>
            </w:tcBorders>
            <w:shd w:val="clear" w:color="auto" w:fill="auto"/>
            <w:noWrap/>
            <w:vAlign w:val="center"/>
            <w:hideMark/>
          </w:tcPr>
          <w:p w14:paraId="5FAA8C99"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301,296 </w:t>
            </w:r>
          </w:p>
        </w:tc>
        <w:tc>
          <w:tcPr>
            <w:tcW w:w="940" w:type="dxa"/>
            <w:tcBorders>
              <w:top w:val="single" w:sz="4" w:space="0" w:color="auto"/>
              <w:left w:val="nil"/>
              <w:bottom w:val="single" w:sz="4" w:space="0" w:color="auto"/>
              <w:right w:val="nil"/>
            </w:tcBorders>
            <w:shd w:val="clear" w:color="000000" w:fill="E6E6E6"/>
            <w:noWrap/>
            <w:vAlign w:val="center"/>
            <w:hideMark/>
          </w:tcPr>
          <w:p w14:paraId="2CE0B7BB"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355,218 </w:t>
            </w:r>
          </w:p>
        </w:tc>
        <w:tc>
          <w:tcPr>
            <w:tcW w:w="1080" w:type="dxa"/>
            <w:tcBorders>
              <w:top w:val="single" w:sz="4" w:space="0" w:color="auto"/>
              <w:left w:val="nil"/>
              <w:bottom w:val="single" w:sz="4" w:space="0" w:color="auto"/>
              <w:right w:val="nil"/>
            </w:tcBorders>
            <w:shd w:val="clear" w:color="auto" w:fill="auto"/>
            <w:noWrap/>
            <w:vAlign w:val="center"/>
            <w:hideMark/>
          </w:tcPr>
          <w:p w14:paraId="43F54BDD"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301,109 </w:t>
            </w:r>
          </w:p>
        </w:tc>
        <w:tc>
          <w:tcPr>
            <w:tcW w:w="1080" w:type="dxa"/>
            <w:tcBorders>
              <w:top w:val="single" w:sz="4" w:space="0" w:color="auto"/>
              <w:left w:val="nil"/>
              <w:bottom w:val="single" w:sz="4" w:space="0" w:color="auto"/>
              <w:right w:val="nil"/>
            </w:tcBorders>
            <w:shd w:val="clear" w:color="auto" w:fill="auto"/>
            <w:noWrap/>
            <w:vAlign w:val="center"/>
            <w:hideMark/>
          </w:tcPr>
          <w:p w14:paraId="346C2957"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296,483 </w:t>
            </w:r>
          </w:p>
        </w:tc>
        <w:tc>
          <w:tcPr>
            <w:tcW w:w="1080" w:type="dxa"/>
            <w:tcBorders>
              <w:top w:val="single" w:sz="4" w:space="0" w:color="auto"/>
              <w:left w:val="nil"/>
              <w:bottom w:val="single" w:sz="4" w:space="0" w:color="auto"/>
              <w:right w:val="nil"/>
            </w:tcBorders>
            <w:shd w:val="clear" w:color="auto" w:fill="auto"/>
            <w:noWrap/>
            <w:vAlign w:val="center"/>
            <w:hideMark/>
          </w:tcPr>
          <w:p w14:paraId="347AB018"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298,278 </w:t>
            </w:r>
          </w:p>
        </w:tc>
      </w:tr>
      <w:tr w:rsidR="00E875D0" w:rsidRPr="00E875D0" w14:paraId="7B42F2F9" w14:textId="77777777" w:rsidTr="00E875D0">
        <w:trPr>
          <w:trHeight w:val="240"/>
        </w:trPr>
        <w:tc>
          <w:tcPr>
            <w:tcW w:w="3460" w:type="dxa"/>
            <w:tcBorders>
              <w:top w:val="nil"/>
              <w:left w:val="nil"/>
              <w:bottom w:val="single" w:sz="4" w:space="0" w:color="000000"/>
              <w:right w:val="nil"/>
            </w:tcBorders>
            <w:shd w:val="clear" w:color="auto" w:fill="auto"/>
            <w:vAlign w:val="center"/>
            <w:hideMark/>
          </w:tcPr>
          <w:p w14:paraId="77E1A9EA" w14:textId="77777777" w:rsidR="00E875D0" w:rsidRPr="00E875D0" w:rsidRDefault="00E875D0" w:rsidP="00E875D0">
            <w:pPr>
              <w:spacing w:after="0" w:line="240" w:lineRule="auto"/>
              <w:jc w:val="left"/>
              <w:rPr>
                <w:rFonts w:ascii="Arial" w:hAnsi="Arial" w:cs="Arial"/>
                <w:b/>
                <w:bCs/>
                <w:sz w:val="16"/>
                <w:szCs w:val="16"/>
              </w:rPr>
            </w:pPr>
            <w:r w:rsidRPr="00E875D0">
              <w:rPr>
                <w:rFonts w:ascii="Arial" w:hAnsi="Arial" w:cs="Arial"/>
                <w:b/>
                <w:bCs/>
                <w:sz w:val="16"/>
                <w:szCs w:val="16"/>
              </w:rPr>
              <w:t>Total expenses for program 1.7</w:t>
            </w:r>
          </w:p>
        </w:tc>
        <w:tc>
          <w:tcPr>
            <w:tcW w:w="1080" w:type="dxa"/>
            <w:tcBorders>
              <w:top w:val="nil"/>
              <w:left w:val="nil"/>
              <w:bottom w:val="single" w:sz="4" w:space="0" w:color="auto"/>
              <w:right w:val="nil"/>
            </w:tcBorders>
            <w:shd w:val="clear" w:color="auto" w:fill="auto"/>
            <w:noWrap/>
            <w:vAlign w:val="center"/>
            <w:hideMark/>
          </w:tcPr>
          <w:p w14:paraId="274063EE"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301,296 </w:t>
            </w:r>
          </w:p>
        </w:tc>
        <w:tc>
          <w:tcPr>
            <w:tcW w:w="940" w:type="dxa"/>
            <w:tcBorders>
              <w:top w:val="single" w:sz="4" w:space="0" w:color="auto"/>
              <w:left w:val="nil"/>
              <w:bottom w:val="single" w:sz="4" w:space="0" w:color="000000"/>
              <w:right w:val="nil"/>
            </w:tcBorders>
            <w:shd w:val="clear" w:color="000000" w:fill="E6E6E6"/>
            <w:noWrap/>
            <w:vAlign w:val="center"/>
            <w:hideMark/>
          </w:tcPr>
          <w:p w14:paraId="6C4666EB" w14:textId="77777777" w:rsidR="00E875D0" w:rsidRPr="00E875D0" w:rsidRDefault="00E875D0" w:rsidP="00E875D0">
            <w:pPr>
              <w:spacing w:after="0" w:line="240" w:lineRule="auto"/>
              <w:jc w:val="right"/>
              <w:rPr>
                <w:rFonts w:ascii="Arial" w:hAnsi="Arial" w:cs="Arial"/>
                <w:b/>
                <w:bCs/>
                <w:sz w:val="16"/>
                <w:szCs w:val="16"/>
              </w:rPr>
            </w:pPr>
            <w:r w:rsidRPr="00E875D0">
              <w:rPr>
                <w:rFonts w:ascii="Arial" w:hAnsi="Arial" w:cs="Arial"/>
                <w:b/>
                <w:bCs/>
                <w:sz w:val="16"/>
                <w:szCs w:val="16"/>
              </w:rPr>
              <w:t xml:space="preserve">355,218 </w:t>
            </w:r>
          </w:p>
        </w:tc>
        <w:tc>
          <w:tcPr>
            <w:tcW w:w="1080" w:type="dxa"/>
            <w:tcBorders>
              <w:top w:val="single" w:sz="4" w:space="0" w:color="auto"/>
              <w:left w:val="nil"/>
              <w:bottom w:val="single" w:sz="4" w:space="0" w:color="000000"/>
              <w:right w:val="nil"/>
            </w:tcBorders>
            <w:shd w:val="clear" w:color="auto" w:fill="auto"/>
            <w:noWrap/>
            <w:vAlign w:val="center"/>
            <w:hideMark/>
          </w:tcPr>
          <w:p w14:paraId="63E72DD2"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301,109 </w:t>
            </w:r>
          </w:p>
        </w:tc>
        <w:tc>
          <w:tcPr>
            <w:tcW w:w="1080" w:type="dxa"/>
            <w:tcBorders>
              <w:top w:val="single" w:sz="4" w:space="0" w:color="auto"/>
              <w:left w:val="nil"/>
              <w:bottom w:val="single" w:sz="4" w:space="0" w:color="000000"/>
              <w:right w:val="nil"/>
            </w:tcBorders>
            <w:shd w:val="clear" w:color="auto" w:fill="auto"/>
            <w:noWrap/>
            <w:vAlign w:val="center"/>
            <w:hideMark/>
          </w:tcPr>
          <w:p w14:paraId="36D5B339"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296,483 </w:t>
            </w:r>
          </w:p>
        </w:tc>
        <w:tc>
          <w:tcPr>
            <w:tcW w:w="1080" w:type="dxa"/>
            <w:tcBorders>
              <w:top w:val="single" w:sz="4" w:space="0" w:color="auto"/>
              <w:left w:val="nil"/>
              <w:bottom w:val="single" w:sz="4" w:space="0" w:color="000000"/>
              <w:right w:val="nil"/>
            </w:tcBorders>
            <w:shd w:val="clear" w:color="auto" w:fill="auto"/>
            <w:noWrap/>
            <w:vAlign w:val="center"/>
            <w:hideMark/>
          </w:tcPr>
          <w:p w14:paraId="3F4954B1" w14:textId="77777777" w:rsidR="00E875D0" w:rsidRPr="00E875D0" w:rsidRDefault="00E875D0" w:rsidP="00E875D0">
            <w:pPr>
              <w:spacing w:after="0" w:line="240" w:lineRule="auto"/>
              <w:jc w:val="right"/>
              <w:rPr>
                <w:rFonts w:ascii="Arial" w:hAnsi="Arial" w:cs="Arial"/>
                <w:b/>
                <w:bCs/>
                <w:color w:val="000000"/>
                <w:sz w:val="16"/>
                <w:szCs w:val="16"/>
              </w:rPr>
            </w:pPr>
            <w:r w:rsidRPr="00E875D0">
              <w:rPr>
                <w:rFonts w:ascii="Arial" w:hAnsi="Arial" w:cs="Arial"/>
                <w:b/>
                <w:bCs/>
                <w:color w:val="000000"/>
                <w:sz w:val="16"/>
                <w:szCs w:val="16"/>
              </w:rPr>
              <w:t xml:space="preserve">298,278 </w:t>
            </w:r>
          </w:p>
        </w:tc>
      </w:tr>
    </w:tbl>
    <w:p w14:paraId="52703125" w14:textId="77777777" w:rsidR="00490F43" w:rsidRDefault="00490F43" w:rsidP="00490F43">
      <w:pPr>
        <w:pStyle w:val="TableGraphic"/>
        <w:jc w:val="left"/>
      </w:pPr>
    </w:p>
    <w:p w14:paraId="351A277E" w14:textId="77777777" w:rsidR="00490F43" w:rsidRDefault="00490F43" w:rsidP="00490F43">
      <w:pPr>
        <w:spacing w:after="0" w:line="240" w:lineRule="auto"/>
        <w:jc w:val="left"/>
        <w:rPr>
          <w:rFonts w:ascii="Arial" w:hAnsi="Arial"/>
          <w:b/>
          <w:color w:val="000000"/>
          <w:lang w:val="x-none" w:eastAsia="x-none"/>
        </w:rPr>
      </w:pPr>
      <w:r>
        <w:br w:type="page"/>
      </w:r>
      <w:r>
        <w:rPr>
          <w:rFonts w:ascii="Arial" w:hAnsi="Arial"/>
          <w:b/>
          <w:color w:val="000000"/>
          <w:lang w:eastAsia="x-none"/>
        </w:rPr>
        <w:t>T</w:t>
      </w:r>
      <w:r w:rsidRPr="00CE6B35">
        <w:rPr>
          <w:rFonts w:ascii="Arial" w:hAnsi="Arial"/>
          <w:b/>
          <w:color w:val="000000"/>
          <w:lang w:val="x-none" w:eastAsia="x-none"/>
        </w:rPr>
        <w:t>able 2.1.1: Budgeted expenses for Outcome 1 (continued)</w:t>
      </w:r>
    </w:p>
    <w:p w14:paraId="4769D873" w14:textId="77777777" w:rsidR="00490F43" w:rsidRDefault="00E875D0" w:rsidP="00490F43">
      <w:pPr>
        <w:pStyle w:val="TableHeading"/>
      </w:pPr>
      <w:r w:rsidRPr="00E875D0">
        <w:rPr>
          <w:noProof/>
          <w:lang w:val="en-AU" w:eastAsia="en-AU"/>
        </w:rPr>
        <w:drawing>
          <wp:inline distT="0" distB="0" distL="0" distR="0" wp14:anchorId="1730B0E7" wp14:editId="41FF5A0C">
            <wp:extent cx="4895850" cy="3397984"/>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95850" cy="3397984"/>
                    </a:xfrm>
                    <a:prstGeom prst="rect">
                      <a:avLst/>
                    </a:prstGeom>
                    <a:noFill/>
                    <a:ln>
                      <a:noFill/>
                    </a:ln>
                  </pic:spPr>
                </pic:pic>
              </a:graphicData>
            </a:graphic>
          </wp:inline>
        </w:drawing>
      </w:r>
    </w:p>
    <w:p w14:paraId="42A19F26" w14:textId="77777777" w:rsidR="00490F43" w:rsidRPr="00356863" w:rsidRDefault="00490F43" w:rsidP="00356863">
      <w:pPr>
        <w:pStyle w:val="ChartandTableFootnoteAlpha"/>
      </w:pPr>
      <w:r w:rsidRPr="00AA14CB">
        <w:t>Figures displayed as a negative (-) represent a decrease in funds and a positive (+) represent an increase in funds.</w:t>
      </w:r>
    </w:p>
    <w:p w14:paraId="4D6359CF" w14:textId="77777777" w:rsidR="00490F43" w:rsidRPr="00AD2209" w:rsidRDefault="00490F43" w:rsidP="00392A48">
      <w:pPr>
        <w:pStyle w:val="ChartandTableFootnoteAlpha"/>
        <w:numPr>
          <w:ilvl w:val="0"/>
          <w:numId w:val="143"/>
        </w:numPr>
        <w:rPr>
          <w:rFonts w:cs="Arial"/>
        </w:rPr>
      </w:pPr>
      <w:r w:rsidRPr="00AD2209">
        <w:rPr>
          <w:rFonts w:cs="Arial"/>
        </w:rPr>
        <w:t xml:space="preserve">A decision that reallocated funding within Administered programs 1.1, 1.2, 1.4, and 1.5 from 2020-21 across the forward estimates, terminates in 2024-25. </w:t>
      </w:r>
    </w:p>
    <w:p w14:paraId="77792E57" w14:textId="77777777" w:rsidR="00490F43" w:rsidRPr="00973082" w:rsidRDefault="00490F43" w:rsidP="00392A48">
      <w:pPr>
        <w:pStyle w:val="ChartandTableFootnoteAlpha"/>
        <w:numPr>
          <w:ilvl w:val="0"/>
          <w:numId w:val="143"/>
        </w:numPr>
        <w:rPr>
          <w:rFonts w:cs="Arial"/>
        </w:rPr>
      </w:pPr>
      <w:r w:rsidRPr="00973082">
        <w:rPr>
          <w:rFonts w:cs="Arial"/>
        </w:rPr>
        <w:t>The purpose of the Indigenous La</w:t>
      </w:r>
      <w:r w:rsidR="00356863">
        <w:rPr>
          <w:rFonts w:cs="Arial"/>
        </w:rPr>
        <w:t xml:space="preserve">nd and Sea Corporation Funding </w:t>
      </w:r>
      <w:r w:rsidRPr="00973082">
        <w:rPr>
          <w:rFonts w:cs="Arial"/>
        </w:rPr>
        <w:t>Special Account is to make the annual and discretionary additional payments to the Indigenous Land and Sea Corporation (ILSC). Funds are received from the Aboriginal and Torres Strait Isl</w:t>
      </w:r>
      <w:r w:rsidR="00356863">
        <w:rPr>
          <w:rFonts w:cs="Arial"/>
        </w:rPr>
        <w:t xml:space="preserve">ander Land and Sea Future Fund </w:t>
      </w:r>
      <w:r w:rsidRPr="00973082">
        <w:rPr>
          <w:rFonts w:cs="Arial"/>
        </w:rPr>
        <w:t xml:space="preserve">Special Account managed by the Future Fund Agency and Board of Guardians under the </w:t>
      </w:r>
      <w:r w:rsidR="00356863">
        <w:rPr>
          <w:rFonts w:cs="Arial"/>
        </w:rPr>
        <w:t xml:space="preserve">Department of </w:t>
      </w:r>
      <w:r w:rsidRPr="00973082">
        <w:rPr>
          <w:rFonts w:cs="Arial"/>
        </w:rPr>
        <w:t>Finance Portfolio.</w:t>
      </w:r>
    </w:p>
    <w:p w14:paraId="7EF3BF21" w14:textId="77777777" w:rsidR="00356863" w:rsidRDefault="00490F43" w:rsidP="00392A48">
      <w:pPr>
        <w:pStyle w:val="ChartandTableFootnoteAlpha"/>
        <w:numPr>
          <w:ilvl w:val="0"/>
          <w:numId w:val="143"/>
        </w:numPr>
        <w:rPr>
          <w:rFonts w:cs="Arial"/>
        </w:rPr>
      </w:pPr>
      <w:r w:rsidRPr="00AA14CB">
        <w:rPr>
          <w:rFonts w:cs="Arial"/>
        </w:rPr>
        <w:t>Expenses not requiring appropriation in the Budget year are made up of depreciation expenses, amortisation expenses, make good expenses, audit fees and other services provided free of charge.</w:t>
      </w:r>
    </w:p>
    <w:p w14:paraId="67F85B2F" w14:textId="77777777" w:rsidR="00356863" w:rsidRDefault="00490F43" w:rsidP="00392A48">
      <w:pPr>
        <w:pStyle w:val="ChartandTableFootnoteAlpha"/>
        <w:numPr>
          <w:ilvl w:val="0"/>
          <w:numId w:val="143"/>
        </w:numPr>
        <w:rPr>
          <w:rFonts w:cs="Arial"/>
        </w:rPr>
      </w:pPr>
      <w:r w:rsidRPr="00356863">
        <w:rPr>
          <w:rFonts w:cs="Arial"/>
        </w:rPr>
        <w:t>Program 1.2: Children and Schooling includes the National Partnership on Northern Territory Remote Aboriginal Investment (Non-Government School</w:t>
      </w:r>
      <w:r w:rsidR="00356863" w:rsidRPr="00356863">
        <w:rPr>
          <w:rFonts w:cs="Arial"/>
        </w:rPr>
        <w:t>s) with payments of $3.6</w:t>
      </w:r>
      <w:r w:rsidRPr="00356863">
        <w:rPr>
          <w:rFonts w:cs="Arial"/>
        </w:rPr>
        <w:t xml:space="preserve"> million to the Northern Territory in 2022-23. Information on the terms and conditions can be found in the National Partnership on the Northern Territory Remote Aboriginal Investment </w:t>
      </w:r>
      <w:hyperlink r:id="rId285" w:history="1">
        <w:r w:rsidRPr="00356863">
          <w:rPr>
            <w:rStyle w:val="Hyperlink"/>
            <w:rFonts w:cs="Arial"/>
          </w:rPr>
          <w:t>here</w:t>
        </w:r>
      </w:hyperlink>
      <w:r w:rsidRPr="00356863">
        <w:rPr>
          <w:rFonts w:cs="Arial"/>
        </w:rPr>
        <w:t xml:space="preserve">. Terms and conditions are made under authority from section 7(2) of the </w:t>
      </w:r>
      <w:r w:rsidRPr="00356863">
        <w:rPr>
          <w:rFonts w:cs="Arial"/>
          <w:i/>
        </w:rPr>
        <w:t>COAG Reform Fund Act 2008</w:t>
      </w:r>
      <w:r w:rsidRPr="00356863">
        <w:rPr>
          <w:rFonts w:cs="Arial"/>
        </w:rPr>
        <w:t xml:space="preserve"> and the Intergovernmental Agreement on Federal Financial Relations. The National Partnership on Northern Territory Remote Aboriginal Investment is expected to expire on 30 June 2024.</w:t>
      </w:r>
    </w:p>
    <w:p w14:paraId="3DCF0034" w14:textId="77777777" w:rsidR="00356863" w:rsidRDefault="00490F43" w:rsidP="00392A48">
      <w:pPr>
        <w:pStyle w:val="ChartandTableFootnoteAlpha"/>
        <w:numPr>
          <w:ilvl w:val="0"/>
          <w:numId w:val="143"/>
        </w:numPr>
        <w:rPr>
          <w:rFonts w:cs="Arial"/>
        </w:rPr>
      </w:pPr>
      <w:r w:rsidRPr="00356863">
        <w:rPr>
          <w:rFonts w:cs="Arial"/>
        </w:rPr>
        <w:t>The expense in Program 1.5: Remote Australia Strategies increases in 2023-24 due to an ongoing provision established for the Commonwealth's liability for housing leases in the Northern Territory.</w:t>
      </w:r>
    </w:p>
    <w:p w14:paraId="49479478" w14:textId="77777777" w:rsidR="00356863" w:rsidRDefault="00490F43" w:rsidP="00392A48">
      <w:pPr>
        <w:pStyle w:val="ChartandTableFootnoteAlpha"/>
        <w:numPr>
          <w:ilvl w:val="0"/>
          <w:numId w:val="143"/>
        </w:numPr>
        <w:rPr>
          <w:rFonts w:cs="Arial"/>
        </w:rPr>
      </w:pPr>
      <w:r w:rsidRPr="00AA14CB">
        <w:t xml:space="preserve">Departmental appropriation splits and totals are indicative estimates and may change in the course of the </w:t>
      </w:r>
      <w:r>
        <w:t>B</w:t>
      </w:r>
      <w:r w:rsidRPr="00AA14CB">
        <w:t>udget year as government priorities change.</w:t>
      </w:r>
    </w:p>
    <w:p w14:paraId="5A17A7AB" w14:textId="77777777" w:rsidR="00490F43" w:rsidRPr="00356863" w:rsidRDefault="00490F43" w:rsidP="00392A48">
      <w:pPr>
        <w:pStyle w:val="ChartandTableFootnoteAlpha"/>
        <w:numPr>
          <w:ilvl w:val="0"/>
          <w:numId w:val="143"/>
        </w:numPr>
        <w:rPr>
          <w:rFonts w:cs="Arial"/>
        </w:rPr>
      </w:pPr>
      <w:r w:rsidRPr="00356863">
        <w:rPr>
          <w:rFonts w:cs="Arial"/>
        </w:rPr>
        <w:t xml:space="preserve">Estimated expenses incurred in relation to receipts retained under section 74 of the </w:t>
      </w:r>
      <w:r w:rsidR="00356863" w:rsidRPr="00356863">
        <w:rPr>
          <w:rFonts w:cs="Arial"/>
        </w:rPr>
        <w:t>PGPA Act</w:t>
      </w:r>
      <w:r w:rsidRPr="00356863">
        <w:rPr>
          <w:rFonts w:cs="Arial"/>
          <w:i/>
        </w:rPr>
        <w:t>.</w:t>
      </w:r>
    </w:p>
    <w:p w14:paraId="5888306C" w14:textId="77777777" w:rsidR="00490F43" w:rsidRDefault="00490F43" w:rsidP="00490F43">
      <w:pPr>
        <w:pStyle w:val="TableHeading"/>
      </w:pPr>
    </w:p>
    <w:p w14:paraId="7BB68F40" w14:textId="77777777" w:rsidR="00490F43" w:rsidRDefault="00490F43" w:rsidP="00490F43">
      <w:pPr>
        <w:spacing w:after="0" w:line="240" w:lineRule="auto"/>
        <w:jc w:val="left"/>
        <w:rPr>
          <w:lang w:val="x-none" w:eastAsia="x-none"/>
        </w:rPr>
      </w:pPr>
      <w:r>
        <w:rPr>
          <w:lang w:val="x-none" w:eastAsia="x-none"/>
        </w:rPr>
        <w:br w:type="page"/>
      </w:r>
    </w:p>
    <w:p w14:paraId="25A2794C" w14:textId="77777777" w:rsidR="00490F43" w:rsidRPr="00291B05" w:rsidRDefault="00490F43" w:rsidP="00490F43">
      <w:pPr>
        <w:pStyle w:val="TableHeading"/>
        <w:rPr>
          <w:lang w:val="en-AU"/>
        </w:rPr>
      </w:pPr>
      <w:r>
        <w:t>Table 2.1</w:t>
      </w:r>
      <w:r w:rsidRPr="005E0E45">
        <w:t>.</w:t>
      </w:r>
      <w:r>
        <w:rPr>
          <w:lang w:val="en-US"/>
        </w:rPr>
        <w:t>2</w:t>
      </w:r>
      <w:r w:rsidRPr="005E0E45">
        <w:t>: Pe</w:t>
      </w:r>
      <w:r>
        <w:t>rformance measure</w:t>
      </w:r>
      <w:r w:rsidRPr="005E0E45">
        <w:t xml:space="preserve"> for Outcome 1</w:t>
      </w:r>
    </w:p>
    <w:p w14:paraId="65141393" w14:textId="77777777" w:rsidR="00490F43" w:rsidRDefault="00490F43" w:rsidP="00490F43">
      <w:pPr>
        <w:spacing w:after="0"/>
      </w:pPr>
      <w:r w:rsidRPr="005111C4">
        <w:t xml:space="preserve">Table 2.1.2 details the performance measures for each </w:t>
      </w:r>
      <w:r w:rsidR="00D12150">
        <w:t>program associated with Outcome </w:t>
      </w:r>
      <w:r w:rsidRPr="005111C4">
        <w:t>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2022-23 Budget measures that have created new programs or materially changed existing programs are provided.</w:t>
      </w:r>
    </w:p>
    <w:p w14:paraId="4E3FECBB" w14:textId="77777777" w:rsidR="00D12150" w:rsidRPr="00B166C6" w:rsidRDefault="00D12150" w:rsidP="00490F43">
      <w:pPr>
        <w:spacing w:after="0"/>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864"/>
        <w:gridCol w:w="3260"/>
      </w:tblGrid>
      <w:tr w:rsidR="00490F43" w:rsidRPr="00F71634" w14:paraId="40F3FC4F" w14:textId="77777777" w:rsidTr="00D12150">
        <w:trPr>
          <w:tblHeader/>
        </w:trPr>
        <w:tc>
          <w:tcPr>
            <w:tcW w:w="7938" w:type="dxa"/>
            <w:gridSpan w:val="3"/>
            <w:shd w:val="clear" w:color="auto" w:fill="F2F2F2"/>
          </w:tcPr>
          <w:p w14:paraId="0569A538" w14:textId="77777777" w:rsidR="00490F43" w:rsidRPr="00606312" w:rsidRDefault="00490F43" w:rsidP="00490F43">
            <w:pPr>
              <w:spacing w:before="60" w:after="60" w:line="240" w:lineRule="auto"/>
              <w:ind w:left="-75"/>
              <w:rPr>
                <w:b/>
              </w:rPr>
            </w:pPr>
            <w:r w:rsidRPr="00916ABF">
              <w:rPr>
                <w:rFonts w:ascii="Arial" w:hAnsi="Arial"/>
                <w:b/>
              </w:rPr>
              <w:t xml:space="preserve">Outcome 1 </w:t>
            </w:r>
            <w:r w:rsidRPr="00916ABF">
              <w:rPr>
                <w:b/>
              </w:rPr>
              <w:t xml:space="preserve">– </w:t>
            </w:r>
            <w:r w:rsidRPr="00E4051F">
              <w:rPr>
                <w:rFonts w:ascii="Arial" w:hAnsi="Arial" w:cs="Arial"/>
                <w:b/>
              </w:rPr>
              <w:t>Lead the development and implementation of the Australian Government’s agenda to improve the lives of Indigenous Australians through focusing on place-based solutions, working in partnership, and effectively delivering programs.</w:t>
            </w:r>
          </w:p>
        </w:tc>
      </w:tr>
      <w:tr w:rsidR="00490F43" w:rsidRPr="00F71634" w14:paraId="382325FE" w14:textId="77777777" w:rsidTr="00D12150">
        <w:trPr>
          <w:tblHeader/>
        </w:trPr>
        <w:tc>
          <w:tcPr>
            <w:tcW w:w="7938" w:type="dxa"/>
            <w:gridSpan w:val="3"/>
            <w:shd w:val="clear" w:color="auto" w:fill="F2F2F2"/>
          </w:tcPr>
          <w:p w14:paraId="6B23278E" w14:textId="77777777" w:rsidR="00490F43" w:rsidRPr="00792586" w:rsidRDefault="00490F43" w:rsidP="00490F43">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1.1 – Jobs, Land and the Economy</w:t>
            </w:r>
          </w:p>
          <w:p w14:paraId="3EB17004" w14:textId="77777777" w:rsidR="00490F43" w:rsidRPr="00792586" w:rsidRDefault="00490F43" w:rsidP="00490F43">
            <w:pPr>
              <w:tabs>
                <w:tab w:val="left" w:pos="709"/>
              </w:tabs>
              <w:spacing w:before="60" w:after="60" w:line="240" w:lineRule="auto"/>
              <w:jc w:val="left"/>
              <w:rPr>
                <w:rFonts w:ascii="Arial" w:hAnsi="Arial" w:cs="Arial"/>
                <w:sz w:val="16"/>
                <w:szCs w:val="16"/>
              </w:rPr>
            </w:pPr>
            <w:r w:rsidRPr="00DA483F">
              <w:rPr>
                <w:rFonts w:ascii="Arial" w:hAnsi="Arial" w:cs="Arial"/>
                <w:sz w:val="16"/>
                <w:szCs w:val="16"/>
              </w:rPr>
              <w:t>The objectives of this program are to enhance Indigenous Australians economic rights, improve employment and pathways to jobs, foster Indigenous business and assist Indigenous people to generate economic and social benefits from effective use of their land and waters, particularly in remote areas.</w:t>
            </w:r>
          </w:p>
        </w:tc>
      </w:tr>
      <w:tr w:rsidR="00490F43" w:rsidRPr="00F71634" w14:paraId="73FBCB5D" w14:textId="77777777" w:rsidTr="00D12150">
        <w:tc>
          <w:tcPr>
            <w:tcW w:w="1814" w:type="dxa"/>
            <w:tcBorders>
              <w:bottom w:val="double" w:sz="4" w:space="0" w:color="auto"/>
            </w:tcBorders>
          </w:tcPr>
          <w:p w14:paraId="37754143" w14:textId="77777777" w:rsidR="00490F43" w:rsidRPr="00606312" w:rsidRDefault="009C51A8" w:rsidP="00490F43">
            <w:pPr>
              <w:tabs>
                <w:tab w:val="left" w:pos="709"/>
              </w:tabs>
              <w:spacing w:before="60" w:after="60" w:line="240" w:lineRule="auto"/>
              <w:jc w:val="left"/>
              <w:rPr>
                <w:rFonts w:ascii="Arial" w:hAnsi="Arial" w:cs="Arial"/>
                <w:b/>
              </w:rPr>
            </w:pPr>
            <w:r>
              <w:rPr>
                <w:rFonts w:ascii="Arial" w:hAnsi="Arial" w:cs="Arial"/>
                <w:b/>
                <w:sz w:val="16"/>
              </w:rPr>
              <w:t>Key a</w:t>
            </w:r>
            <w:r w:rsidR="00490F43" w:rsidRPr="00933B29">
              <w:rPr>
                <w:rFonts w:ascii="Arial" w:hAnsi="Arial" w:cs="Arial"/>
                <w:b/>
                <w:sz w:val="16"/>
              </w:rPr>
              <w:t>ctivities (a)</w:t>
            </w:r>
          </w:p>
        </w:tc>
        <w:tc>
          <w:tcPr>
            <w:tcW w:w="6124" w:type="dxa"/>
            <w:gridSpan w:val="2"/>
            <w:tcBorders>
              <w:bottom w:val="double" w:sz="4" w:space="0" w:color="auto"/>
            </w:tcBorders>
          </w:tcPr>
          <w:p w14:paraId="285585D4" w14:textId="77777777" w:rsidR="00490F43" w:rsidRPr="00792586" w:rsidRDefault="00490F43" w:rsidP="00490F43">
            <w:pPr>
              <w:tabs>
                <w:tab w:val="left" w:pos="709"/>
              </w:tabs>
              <w:spacing w:before="60" w:after="60" w:line="240" w:lineRule="auto"/>
              <w:jc w:val="left"/>
              <w:rPr>
                <w:rFonts w:ascii="Arial" w:hAnsi="Arial" w:cs="Arial"/>
                <w:i/>
                <w:color w:val="FF0000"/>
                <w:sz w:val="16"/>
                <w:szCs w:val="16"/>
              </w:rPr>
            </w:pPr>
            <w:r w:rsidRPr="00DA483F">
              <w:rPr>
                <w:rFonts w:ascii="Arial" w:hAnsi="Arial" w:cs="Arial"/>
                <w:sz w:val="16"/>
                <w:szCs w:val="16"/>
              </w:rPr>
              <w:t>Designing, implementing and delivering policies, strategies and programs designed to enhance Indigenous economic outcomes.</w:t>
            </w:r>
          </w:p>
        </w:tc>
      </w:tr>
      <w:tr w:rsidR="00490F43" w:rsidRPr="00F71634" w14:paraId="71B0F2AE" w14:textId="77777777" w:rsidTr="00D12150">
        <w:tc>
          <w:tcPr>
            <w:tcW w:w="1814" w:type="dxa"/>
            <w:tcBorders>
              <w:top w:val="double" w:sz="4" w:space="0" w:color="auto"/>
              <w:bottom w:val="single" w:sz="4" w:space="0" w:color="auto"/>
              <w:right w:val="single" w:sz="4" w:space="0" w:color="auto"/>
            </w:tcBorders>
          </w:tcPr>
          <w:p w14:paraId="1DB59537" w14:textId="77777777" w:rsidR="00490F43" w:rsidRPr="0027393A" w:rsidRDefault="00490F43" w:rsidP="00490F43">
            <w:pPr>
              <w:tabs>
                <w:tab w:val="left" w:pos="709"/>
              </w:tabs>
              <w:spacing w:before="60" w:after="60" w:line="240" w:lineRule="auto"/>
              <w:jc w:val="left"/>
              <w:rPr>
                <w:rFonts w:cs="Arial"/>
                <w:b/>
              </w:rPr>
            </w:pPr>
            <w:r w:rsidRPr="00D27389">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5A2A1E25" w14:textId="77777777" w:rsidR="00490F43" w:rsidRPr="00792586" w:rsidRDefault="00490F43" w:rsidP="00490F43">
            <w:pPr>
              <w:tabs>
                <w:tab w:val="left" w:pos="709"/>
              </w:tabs>
              <w:spacing w:before="60" w:after="60" w:line="240" w:lineRule="auto"/>
              <w:jc w:val="left"/>
              <w:rPr>
                <w:rFonts w:ascii="Arial" w:hAnsi="Arial" w:cs="Arial"/>
                <w:b/>
                <w:sz w:val="16"/>
                <w:szCs w:val="16"/>
              </w:rPr>
            </w:pPr>
            <w:r>
              <w:rPr>
                <w:rFonts w:ascii="Arial" w:hAnsi="Arial" w:cs="Arial"/>
                <w:b/>
                <w:sz w:val="16"/>
                <w:szCs w:val="16"/>
              </w:rPr>
              <w:t>Performance measures</w:t>
            </w:r>
          </w:p>
        </w:tc>
        <w:tc>
          <w:tcPr>
            <w:tcW w:w="3260" w:type="dxa"/>
            <w:tcBorders>
              <w:top w:val="double" w:sz="4" w:space="0" w:color="auto"/>
              <w:left w:val="single" w:sz="4" w:space="0" w:color="auto"/>
              <w:bottom w:val="single" w:sz="4" w:space="0" w:color="auto"/>
            </w:tcBorders>
          </w:tcPr>
          <w:p w14:paraId="1CD35001" w14:textId="77777777" w:rsidR="00490F43" w:rsidRPr="00792586" w:rsidRDefault="009C51A8" w:rsidP="00490F43">
            <w:pPr>
              <w:tabs>
                <w:tab w:val="left" w:pos="709"/>
              </w:tabs>
              <w:spacing w:before="60" w:after="60" w:line="240" w:lineRule="auto"/>
              <w:jc w:val="left"/>
              <w:rPr>
                <w:rFonts w:ascii="Arial" w:hAnsi="Arial" w:cs="Arial"/>
                <w:b/>
                <w:sz w:val="16"/>
                <w:szCs w:val="16"/>
              </w:rPr>
            </w:pPr>
            <w:r>
              <w:rPr>
                <w:rFonts w:ascii="Arial" w:hAnsi="Arial" w:cs="Arial"/>
                <w:b/>
                <w:sz w:val="16"/>
                <w:szCs w:val="16"/>
              </w:rPr>
              <w:t>Expected performance r</w:t>
            </w:r>
            <w:r w:rsidR="00490F43">
              <w:rPr>
                <w:rFonts w:ascii="Arial" w:hAnsi="Arial" w:cs="Arial"/>
                <w:b/>
                <w:sz w:val="16"/>
                <w:szCs w:val="16"/>
              </w:rPr>
              <w:t>esults</w:t>
            </w:r>
          </w:p>
        </w:tc>
      </w:tr>
      <w:tr w:rsidR="00490F43" w:rsidRPr="00F71634" w14:paraId="7E6BD4A4" w14:textId="77777777" w:rsidTr="00D12150">
        <w:trPr>
          <w:trHeight w:val="60"/>
        </w:trPr>
        <w:tc>
          <w:tcPr>
            <w:tcW w:w="1814" w:type="dxa"/>
            <w:tcBorders>
              <w:top w:val="single" w:sz="4" w:space="0" w:color="auto"/>
              <w:bottom w:val="single" w:sz="4" w:space="0" w:color="auto"/>
              <w:right w:val="single" w:sz="4" w:space="0" w:color="auto"/>
            </w:tcBorders>
          </w:tcPr>
          <w:p w14:paraId="2C5ADF85" w14:textId="77777777" w:rsidR="00490F43" w:rsidRPr="009C51A8" w:rsidRDefault="00490F43" w:rsidP="009C51A8">
            <w:pPr>
              <w:tabs>
                <w:tab w:val="left" w:pos="709"/>
              </w:tabs>
              <w:spacing w:before="60" w:after="60" w:line="240" w:lineRule="auto"/>
              <w:jc w:val="left"/>
              <w:rPr>
                <w:rFonts w:ascii="Arial" w:hAnsi="Arial" w:cs="Arial"/>
                <w:sz w:val="16"/>
                <w:szCs w:val="16"/>
              </w:rPr>
            </w:pPr>
            <w:r w:rsidRPr="009C51A8">
              <w:rPr>
                <w:rFonts w:ascii="Arial" w:hAnsi="Arial" w:cs="Arial"/>
                <w:sz w:val="16"/>
                <w:szCs w:val="16"/>
              </w:rPr>
              <w:t>Current year 2021-22</w:t>
            </w:r>
          </w:p>
        </w:tc>
        <w:tc>
          <w:tcPr>
            <w:tcW w:w="2864" w:type="dxa"/>
            <w:tcBorders>
              <w:top w:val="single" w:sz="4" w:space="0" w:color="auto"/>
              <w:left w:val="single" w:sz="4" w:space="0" w:color="auto"/>
              <w:bottom w:val="single" w:sz="4" w:space="0" w:color="auto"/>
              <w:right w:val="single" w:sz="4" w:space="0" w:color="auto"/>
            </w:tcBorders>
          </w:tcPr>
          <w:p w14:paraId="353DB0C8" w14:textId="77777777" w:rsidR="00490F43" w:rsidRPr="00606312" w:rsidRDefault="009C51A8" w:rsidP="009C51A8">
            <w:pPr>
              <w:pStyle w:val="ListParagraph"/>
              <w:spacing w:before="60" w:after="60" w:line="240" w:lineRule="auto"/>
              <w:ind w:left="0" w:right="34"/>
              <w:rPr>
                <w:rFonts w:ascii="Arial" w:hAnsi="Arial" w:cs="Arial"/>
                <w:i/>
                <w:color w:val="FF0000"/>
                <w:sz w:val="16"/>
                <w:szCs w:val="16"/>
              </w:rPr>
            </w:pPr>
            <w:r>
              <w:rPr>
                <w:rFonts w:ascii="Arial" w:hAnsi="Arial" w:cs="Arial"/>
                <w:sz w:val="16"/>
                <w:szCs w:val="16"/>
              </w:rPr>
              <w:t xml:space="preserve">The </w:t>
            </w:r>
            <w:r w:rsidR="00490F43" w:rsidRPr="00E4051F">
              <w:rPr>
                <w:rFonts w:ascii="Arial" w:hAnsi="Arial" w:cs="Arial"/>
                <w:sz w:val="16"/>
                <w:szCs w:val="16"/>
              </w:rPr>
              <w:t>IAS activities contribute towards increased Indigenous employment, business and economic development</w:t>
            </w:r>
          </w:p>
        </w:tc>
        <w:tc>
          <w:tcPr>
            <w:tcW w:w="3260" w:type="dxa"/>
            <w:tcBorders>
              <w:top w:val="single" w:sz="4" w:space="0" w:color="auto"/>
              <w:left w:val="single" w:sz="4" w:space="0" w:color="auto"/>
              <w:bottom w:val="single" w:sz="4" w:space="0" w:color="auto"/>
            </w:tcBorders>
          </w:tcPr>
          <w:p w14:paraId="1AB3BCBA" w14:textId="77777777" w:rsidR="00490F43" w:rsidRPr="00EE32E1" w:rsidRDefault="00490F43" w:rsidP="009C51A8">
            <w:pPr>
              <w:spacing w:before="60" w:after="60" w:line="240" w:lineRule="auto"/>
              <w:jc w:val="left"/>
              <w:rPr>
                <w:rFonts w:ascii="Arial" w:hAnsi="Arial" w:cs="Arial"/>
                <w:b/>
                <w:sz w:val="16"/>
                <w:szCs w:val="16"/>
              </w:rPr>
            </w:pPr>
            <w:r w:rsidRPr="00E4051F">
              <w:rPr>
                <w:rFonts w:ascii="Arial" w:hAnsi="Arial" w:cs="Arial"/>
                <w:b/>
                <w:sz w:val="16"/>
                <w:szCs w:val="16"/>
              </w:rPr>
              <w:t xml:space="preserve">Target: </w:t>
            </w:r>
            <w:r w:rsidRPr="00E4051F">
              <w:rPr>
                <w:rFonts w:ascii="Arial" w:hAnsi="Arial" w:cs="Arial"/>
                <w:sz w:val="16"/>
                <w:szCs w:val="16"/>
              </w:rPr>
              <w:t xml:space="preserve">90 per cent of IAS Program activities are assessed by NIAA </w:t>
            </w:r>
            <w:r w:rsidR="009C51A8">
              <w:rPr>
                <w:rFonts w:ascii="Arial" w:hAnsi="Arial" w:cs="Arial"/>
                <w:sz w:val="16"/>
                <w:szCs w:val="16"/>
              </w:rPr>
              <w:t>agreement m</w:t>
            </w:r>
            <w:r w:rsidRPr="00E4051F">
              <w:rPr>
                <w:rFonts w:ascii="Arial" w:hAnsi="Arial" w:cs="Arial"/>
                <w:sz w:val="16"/>
                <w:szCs w:val="16"/>
              </w:rPr>
              <w:t xml:space="preserve">anagers as having core service delivery </w:t>
            </w:r>
            <w:r w:rsidRPr="00EE32E1">
              <w:rPr>
                <w:rFonts w:ascii="Arial" w:hAnsi="Arial" w:cs="Arial"/>
                <w:sz w:val="16"/>
                <w:szCs w:val="16"/>
              </w:rPr>
              <w:t>elements which met or exceeded requirements (b) (c).</w:t>
            </w:r>
          </w:p>
          <w:p w14:paraId="7C5BFDC3" w14:textId="77777777" w:rsidR="00490F43" w:rsidRPr="00EE32E1" w:rsidRDefault="00490F43" w:rsidP="009C51A8">
            <w:pPr>
              <w:spacing w:before="60" w:after="60" w:line="240" w:lineRule="auto"/>
              <w:jc w:val="left"/>
              <w:rPr>
                <w:rFonts w:ascii="Arial" w:hAnsi="Arial" w:cs="Arial"/>
                <w:b/>
                <w:sz w:val="16"/>
                <w:szCs w:val="16"/>
              </w:rPr>
            </w:pPr>
            <w:r w:rsidRPr="00EE32E1">
              <w:rPr>
                <w:rFonts w:ascii="Arial" w:hAnsi="Arial" w:cs="Arial"/>
                <w:b/>
                <w:sz w:val="16"/>
                <w:szCs w:val="16"/>
              </w:rPr>
              <w:t>On Track</w:t>
            </w:r>
          </w:p>
          <w:p w14:paraId="70232C01" w14:textId="77777777" w:rsidR="00490F43" w:rsidRPr="00EE32E1" w:rsidRDefault="00490F43" w:rsidP="009C51A8">
            <w:pPr>
              <w:spacing w:before="60" w:after="60" w:line="240" w:lineRule="auto"/>
              <w:jc w:val="left"/>
              <w:rPr>
                <w:rFonts w:ascii="Arial" w:hAnsi="Arial" w:cs="Arial"/>
                <w:b/>
                <w:sz w:val="16"/>
                <w:szCs w:val="16"/>
              </w:rPr>
            </w:pPr>
            <w:r w:rsidRPr="00EE32E1">
              <w:rPr>
                <w:rFonts w:ascii="Arial" w:hAnsi="Arial" w:cs="Arial"/>
                <w:b/>
                <w:sz w:val="16"/>
                <w:szCs w:val="16"/>
              </w:rPr>
              <w:t xml:space="preserve">- </w:t>
            </w:r>
            <w:r w:rsidRPr="00EE32E1">
              <w:rPr>
                <w:rFonts w:ascii="Arial" w:hAnsi="Arial" w:cs="Arial"/>
                <w:sz w:val="16"/>
                <w:szCs w:val="16"/>
              </w:rPr>
              <w:t>The results will be published in the agency’s 2021–22 Annual Report.</w:t>
            </w:r>
          </w:p>
          <w:p w14:paraId="105C2079" w14:textId="77777777" w:rsidR="00490F43" w:rsidRPr="00E4051F" w:rsidRDefault="00490F43" w:rsidP="009C51A8">
            <w:pPr>
              <w:spacing w:before="60" w:after="60" w:line="240" w:lineRule="auto"/>
              <w:jc w:val="left"/>
              <w:rPr>
                <w:rFonts w:ascii="Arial" w:hAnsi="Arial" w:cs="Arial"/>
                <w:b/>
                <w:sz w:val="16"/>
                <w:szCs w:val="16"/>
              </w:rPr>
            </w:pPr>
            <w:r w:rsidRPr="00EE32E1">
              <w:rPr>
                <w:rFonts w:ascii="Arial" w:hAnsi="Arial" w:cs="Arial"/>
                <w:b/>
                <w:sz w:val="16"/>
                <w:szCs w:val="16"/>
              </w:rPr>
              <w:t xml:space="preserve">Target: </w:t>
            </w:r>
            <w:r w:rsidRPr="00EE32E1">
              <w:rPr>
                <w:rFonts w:ascii="Arial" w:hAnsi="Arial" w:cs="Arial"/>
                <w:sz w:val="16"/>
                <w:szCs w:val="16"/>
              </w:rPr>
              <w:t>65 per cent of job seekers engaged in IAS activities remain in employment for 26 weeks (d)</w:t>
            </w:r>
            <w:r>
              <w:rPr>
                <w:rFonts w:ascii="Arial" w:hAnsi="Arial" w:cs="Arial"/>
                <w:sz w:val="16"/>
                <w:szCs w:val="16"/>
              </w:rPr>
              <w:t>.</w:t>
            </w:r>
          </w:p>
          <w:p w14:paraId="39566A0B" w14:textId="77777777" w:rsidR="00490F43" w:rsidRPr="00E4051F" w:rsidRDefault="00490F43" w:rsidP="009C51A8">
            <w:pPr>
              <w:spacing w:before="60" w:after="60" w:line="240" w:lineRule="auto"/>
              <w:jc w:val="left"/>
              <w:rPr>
                <w:rFonts w:ascii="Arial" w:hAnsi="Arial" w:cs="Arial"/>
                <w:b/>
                <w:sz w:val="16"/>
                <w:szCs w:val="16"/>
              </w:rPr>
            </w:pPr>
            <w:r w:rsidRPr="00E4051F">
              <w:rPr>
                <w:rFonts w:ascii="Arial" w:hAnsi="Arial" w:cs="Arial"/>
                <w:b/>
                <w:sz w:val="16"/>
                <w:szCs w:val="16"/>
              </w:rPr>
              <w:t>Partially On Track</w:t>
            </w:r>
          </w:p>
          <w:p w14:paraId="432F08A7" w14:textId="77777777" w:rsidR="00490F43" w:rsidRPr="00916ABF" w:rsidRDefault="00490F43" w:rsidP="009C51A8">
            <w:pPr>
              <w:spacing w:before="60" w:after="60" w:line="240" w:lineRule="auto"/>
              <w:ind w:right="34"/>
              <w:jc w:val="left"/>
              <w:rPr>
                <w:rFonts w:ascii="Arial" w:hAnsi="Arial" w:cs="Arial"/>
                <w:b/>
                <w:i/>
                <w:color w:val="FF0000"/>
                <w:sz w:val="16"/>
                <w:szCs w:val="16"/>
              </w:rPr>
            </w:pPr>
            <w:r w:rsidRPr="00E4051F">
              <w:rPr>
                <w:rFonts w:ascii="Arial" w:hAnsi="Arial" w:cs="Arial"/>
                <w:b/>
                <w:sz w:val="16"/>
                <w:szCs w:val="16"/>
              </w:rPr>
              <w:t xml:space="preserve">- </w:t>
            </w:r>
            <w:r w:rsidRPr="00E4051F">
              <w:rPr>
                <w:rFonts w:ascii="Arial" w:hAnsi="Arial" w:cs="Arial"/>
                <w:sz w:val="16"/>
                <w:szCs w:val="16"/>
              </w:rPr>
              <w:t>The results will be published in the agency’s 2021–22 Annual Report.</w:t>
            </w:r>
          </w:p>
        </w:tc>
      </w:tr>
      <w:tr w:rsidR="00490F43" w:rsidRPr="00F71634" w14:paraId="6707989B" w14:textId="77777777" w:rsidTr="00D12150">
        <w:trPr>
          <w:trHeight w:val="60"/>
        </w:trPr>
        <w:tc>
          <w:tcPr>
            <w:tcW w:w="1814" w:type="dxa"/>
            <w:tcBorders>
              <w:top w:val="single" w:sz="4" w:space="0" w:color="auto"/>
              <w:bottom w:val="single" w:sz="4" w:space="0" w:color="auto"/>
              <w:right w:val="single" w:sz="4" w:space="0" w:color="auto"/>
            </w:tcBorders>
          </w:tcPr>
          <w:p w14:paraId="09C99FF4" w14:textId="77777777" w:rsidR="00490F43" w:rsidRPr="009C51A8" w:rsidRDefault="00490F43" w:rsidP="009C51A8">
            <w:pPr>
              <w:tabs>
                <w:tab w:val="left" w:pos="709"/>
              </w:tabs>
              <w:spacing w:before="60" w:after="60" w:line="240" w:lineRule="auto"/>
              <w:jc w:val="left"/>
              <w:rPr>
                <w:rFonts w:ascii="Arial" w:hAnsi="Arial" w:cs="Arial"/>
                <w:sz w:val="16"/>
                <w:szCs w:val="16"/>
              </w:rPr>
            </w:pPr>
            <w:r w:rsidRPr="009C51A8">
              <w:rPr>
                <w:rFonts w:ascii="Arial" w:hAnsi="Arial" w:cs="Arial"/>
                <w:b/>
                <w:sz w:val="16"/>
                <w:szCs w:val="16"/>
              </w:rPr>
              <w:t>Year</w:t>
            </w:r>
          </w:p>
        </w:tc>
        <w:tc>
          <w:tcPr>
            <w:tcW w:w="2864" w:type="dxa"/>
            <w:tcBorders>
              <w:top w:val="single" w:sz="4" w:space="0" w:color="auto"/>
              <w:left w:val="single" w:sz="4" w:space="0" w:color="auto"/>
              <w:bottom w:val="single" w:sz="4" w:space="0" w:color="auto"/>
              <w:right w:val="single" w:sz="4" w:space="0" w:color="auto"/>
            </w:tcBorders>
          </w:tcPr>
          <w:p w14:paraId="1709F73C" w14:textId="77777777" w:rsidR="00490F43" w:rsidRPr="00E4051F" w:rsidRDefault="00490F43" w:rsidP="00490F43">
            <w:pPr>
              <w:pStyle w:val="ListParagraph"/>
              <w:spacing w:before="60" w:after="60"/>
              <w:ind w:left="0" w:right="34"/>
              <w:rPr>
                <w:rFonts w:ascii="Arial" w:hAnsi="Arial" w:cs="Arial"/>
                <w:sz w:val="16"/>
                <w:szCs w:val="16"/>
              </w:rPr>
            </w:pPr>
            <w:r>
              <w:rPr>
                <w:rFonts w:ascii="Arial" w:hAnsi="Arial" w:cs="Arial"/>
                <w:b/>
                <w:sz w:val="16"/>
                <w:szCs w:val="16"/>
              </w:rPr>
              <w:t>Performance measures</w:t>
            </w:r>
          </w:p>
        </w:tc>
        <w:tc>
          <w:tcPr>
            <w:tcW w:w="3260" w:type="dxa"/>
            <w:tcBorders>
              <w:top w:val="single" w:sz="4" w:space="0" w:color="auto"/>
              <w:left w:val="single" w:sz="4" w:space="0" w:color="auto"/>
              <w:bottom w:val="single" w:sz="4" w:space="0" w:color="auto"/>
            </w:tcBorders>
          </w:tcPr>
          <w:p w14:paraId="745E76FC" w14:textId="77777777" w:rsidR="00490F43" w:rsidRPr="00E4051F" w:rsidRDefault="009C51A8" w:rsidP="00490F43">
            <w:pPr>
              <w:spacing w:before="60" w:after="60" w:line="276" w:lineRule="auto"/>
              <w:jc w:val="left"/>
              <w:rPr>
                <w:rFonts w:ascii="Arial" w:hAnsi="Arial" w:cs="Arial"/>
                <w:b/>
                <w:sz w:val="16"/>
                <w:szCs w:val="16"/>
              </w:rPr>
            </w:pPr>
            <w:r>
              <w:rPr>
                <w:rFonts w:ascii="Arial" w:hAnsi="Arial" w:cs="Arial"/>
                <w:b/>
                <w:sz w:val="16"/>
                <w:szCs w:val="16"/>
              </w:rPr>
              <w:t>Expected performance r</w:t>
            </w:r>
            <w:r w:rsidR="00490F43">
              <w:rPr>
                <w:rFonts w:ascii="Arial" w:hAnsi="Arial" w:cs="Arial"/>
                <w:b/>
                <w:sz w:val="16"/>
                <w:szCs w:val="16"/>
              </w:rPr>
              <w:t>esults</w:t>
            </w:r>
          </w:p>
        </w:tc>
      </w:tr>
      <w:tr w:rsidR="00490F43" w:rsidRPr="00F71634" w14:paraId="424949A2" w14:textId="77777777" w:rsidTr="009C51A8">
        <w:trPr>
          <w:trHeight w:val="890"/>
        </w:trPr>
        <w:tc>
          <w:tcPr>
            <w:tcW w:w="1814" w:type="dxa"/>
            <w:tcBorders>
              <w:top w:val="single" w:sz="4" w:space="0" w:color="auto"/>
              <w:bottom w:val="single" w:sz="4" w:space="0" w:color="auto"/>
              <w:right w:val="single" w:sz="4" w:space="0" w:color="auto"/>
            </w:tcBorders>
          </w:tcPr>
          <w:p w14:paraId="29766447" w14:textId="77777777" w:rsidR="00490F43" w:rsidRPr="009C51A8" w:rsidRDefault="009C51A8" w:rsidP="009C51A8">
            <w:pPr>
              <w:tabs>
                <w:tab w:val="left" w:pos="709"/>
              </w:tabs>
              <w:spacing w:before="60" w:after="60" w:line="240" w:lineRule="auto"/>
              <w:jc w:val="left"/>
              <w:rPr>
                <w:rFonts w:ascii="Arial" w:hAnsi="Arial" w:cs="Arial"/>
                <w:sz w:val="16"/>
                <w:szCs w:val="16"/>
              </w:rPr>
            </w:pPr>
            <w:r>
              <w:rPr>
                <w:rFonts w:ascii="Arial" w:hAnsi="Arial" w:cs="Arial"/>
                <w:sz w:val="16"/>
                <w:szCs w:val="16"/>
              </w:rPr>
              <w:t>Budget y</w:t>
            </w:r>
            <w:r w:rsidR="00490F43" w:rsidRPr="009C51A8">
              <w:rPr>
                <w:rFonts w:ascii="Arial" w:hAnsi="Arial" w:cs="Arial"/>
                <w:sz w:val="16"/>
                <w:szCs w:val="16"/>
              </w:rPr>
              <w:t>ear</w:t>
            </w:r>
            <w:r>
              <w:rPr>
                <w:rFonts w:ascii="Arial" w:hAnsi="Arial" w:cs="Arial"/>
                <w:sz w:val="16"/>
                <w:szCs w:val="16"/>
              </w:rPr>
              <w:t xml:space="preserve"> </w:t>
            </w:r>
            <w:r w:rsidR="00490F43" w:rsidRPr="009C51A8">
              <w:rPr>
                <w:rFonts w:ascii="Arial" w:hAnsi="Arial" w:cs="Arial"/>
                <w:sz w:val="16"/>
                <w:szCs w:val="16"/>
              </w:rPr>
              <w:t>2022-23</w:t>
            </w:r>
          </w:p>
        </w:tc>
        <w:tc>
          <w:tcPr>
            <w:tcW w:w="2864" w:type="dxa"/>
            <w:tcBorders>
              <w:top w:val="single" w:sz="4" w:space="0" w:color="auto"/>
              <w:left w:val="single" w:sz="4" w:space="0" w:color="auto"/>
              <w:bottom w:val="single" w:sz="4" w:space="0" w:color="auto"/>
              <w:right w:val="single" w:sz="4" w:space="0" w:color="auto"/>
            </w:tcBorders>
          </w:tcPr>
          <w:p w14:paraId="3DF1B5D6" w14:textId="77777777" w:rsidR="00490F43" w:rsidRPr="00D0693B" w:rsidRDefault="009C51A8" w:rsidP="009C51A8">
            <w:pPr>
              <w:spacing w:before="60" w:after="60" w:line="240" w:lineRule="auto"/>
              <w:ind w:right="34"/>
              <w:jc w:val="left"/>
              <w:rPr>
                <w:rFonts w:ascii="Arial" w:hAnsi="Arial" w:cs="Arial"/>
                <w:i/>
                <w:color w:val="FF0000"/>
                <w:sz w:val="16"/>
                <w:szCs w:val="16"/>
              </w:rPr>
            </w:pPr>
            <w:r>
              <w:rPr>
                <w:rFonts w:ascii="Arial" w:hAnsi="Arial" w:cs="Arial"/>
                <w:sz w:val="16"/>
                <w:szCs w:val="16"/>
              </w:rPr>
              <w:t xml:space="preserve">The </w:t>
            </w:r>
            <w:r w:rsidR="00490F43" w:rsidRPr="007B5744">
              <w:rPr>
                <w:rFonts w:ascii="Arial" w:hAnsi="Arial" w:cs="Arial"/>
                <w:sz w:val="16"/>
                <w:szCs w:val="16"/>
              </w:rPr>
              <w:t>IAS activities contribute towards increased Indigenous employment, business and economic development</w:t>
            </w:r>
          </w:p>
        </w:tc>
        <w:tc>
          <w:tcPr>
            <w:tcW w:w="3260" w:type="dxa"/>
            <w:tcBorders>
              <w:top w:val="single" w:sz="4" w:space="0" w:color="auto"/>
              <w:left w:val="single" w:sz="4" w:space="0" w:color="auto"/>
              <w:bottom w:val="single" w:sz="4" w:space="0" w:color="auto"/>
            </w:tcBorders>
          </w:tcPr>
          <w:p w14:paraId="7CD99580" w14:textId="77777777" w:rsidR="00490F43" w:rsidRPr="00916ABF" w:rsidRDefault="00490F43" w:rsidP="009C51A8">
            <w:pPr>
              <w:spacing w:before="60" w:after="60" w:line="240" w:lineRule="auto"/>
              <w:ind w:right="34"/>
              <w:jc w:val="left"/>
              <w:rPr>
                <w:rFonts w:ascii="Arial" w:hAnsi="Arial" w:cs="Arial"/>
                <w:sz w:val="16"/>
                <w:szCs w:val="16"/>
              </w:rPr>
            </w:pPr>
            <w:r w:rsidRPr="00916ABF">
              <w:rPr>
                <w:rFonts w:ascii="Arial" w:hAnsi="Arial" w:cs="Arial"/>
                <w:b/>
                <w:sz w:val="16"/>
                <w:szCs w:val="16"/>
              </w:rPr>
              <w:t>Target</w:t>
            </w:r>
            <w:r w:rsidRPr="00916ABF">
              <w:rPr>
                <w:rFonts w:ascii="Arial" w:hAnsi="Arial" w:cs="Arial"/>
                <w:sz w:val="16"/>
                <w:szCs w:val="16"/>
              </w:rPr>
              <w:t xml:space="preserve">: </w:t>
            </w:r>
            <w:r w:rsidRPr="00B77AD2">
              <w:rPr>
                <w:rFonts w:ascii="Arial" w:hAnsi="Arial" w:cs="Arial"/>
                <w:sz w:val="16"/>
                <w:szCs w:val="16"/>
              </w:rPr>
              <w:t>90 per cent of IAS Program activities are assessed by NIAA Agreement Managers as having core service delivery elements which met or exceeded requirements (b).</w:t>
            </w:r>
          </w:p>
        </w:tc>
      </w:tr>
      <w:tr w:rsidR="00490F43" w:rsidRPr="00F71634" w14:paraId="170171F7" w14:textId="77777777" w:rsidTr="009C51A8">
        <w:trPr>
          <w:trHeight w:val="269"/>
        </w:trPr>
        <w:tc>
          <w:tcPr>
            <w:tcW w:w="1814" w:type="dxa"/>
            <w:tcBorders>
              <w:top w:val="single" w:sz="4" w:space="0" w:color="auto"/>
              <w:bottom w:val="single" w:sz="4" w:space="0" w:color="auto"/>
              <w:right w:val="single" w:sz="4" w:space="0" w:color="auto"/>
            </w:tcBorders>
          </w:tcPr>
          <w:p w14:paraId="109AA8B1" w14:textId="77777777" w:rsidR="00490F43" w:rsidRPr="009C51A8" w:rsidRDefault="009C51A8" w:rsidP="009C51A8">
            <w:pPr>
              <w:tabs>
                <w:tab w:val="left" w:pos="709"/>
              </w:tabs>
              <w:spacing w:before="60" w:after="60" w:line="240" w:lineRule="auto"/>
              <w:jc w:val="left"/>
              <w:rPr>
                <w:rFonts w:ascii="Arial" w:hAnsi="Arial" w:cs="Arial"/>
                <w:sz w:val="16"/>
                <w:szCs w:val="16"/>
              </w:rPr>
            </w:pPr>
            <w:r>
              <w:rPr>
                <w:rFonts w:ascii="Arial" w:hAnsi="Arial" w:cs="Arial"/>
                <w:sz w:val="16"/>
                <w:szCs w:val="16"/>
              </w:rPr>
              <w:t>Forward e</w:t>
            </w:r>
            <w:r w:rsidR="00490F43" w:rsidRPr="009C51A8">
              <w:rPr>
                <w:rFonts w:ascii="Arial" w:hAnsi="Arial" w:cs="Arial"/>
                <w:sz w:val="16"/>
                <w:szCs w:val="16"/>
              </w:rPr>
              <w:t xml:space="preserve">stimates </w:t>
            </w:r>
          </w:p>
          <w:p w14:paraId="184643CD" w14:textId="77777777" w:rsidR="00490F43" w:rsidRPr="009C51A8" w:rsidRDefault="00490F43" w:rsidP="009C51A8">
            <w:pPr>
              <w:tabs>
                <w:tab w:val="left" w:pos="709"/>
              </w:tabs>
              <w:spacing w:before="60" w:after="60" w:line="240" w:lineRule="auto"/>
              <w:jc w:val="left"/>
              <w:rPr>
                <w:rFonts w:ascii="Arial" w:hAnsi="Arial" w:cs="Arial"/>
                <w:sz w:val="16"/>
                <w:szCs w:val="16"/>
              </w:rPr>
            </w:pPr>
            <w:r w:rsidRPr="009C51A8">
              <w:rPr>
                <w:rFonts w:ascii="Arial" w:hAnsi="Arial" w:cs="Arial"/>
                <w:sz w:val="16"/>
                <w:szCs w:val="16"/>
              </w:rPr>
              <w:t>2023-26</w:t>
            </w:r>
          </w:p>
        </w:tc>
        <w:tc>
          <w:tcPr>
            <w:tcW w:w="2864" w:type="dxa"/>
            <w:tcBorders>
              <w:top w:val="single" w:sz="4" w:space="0" w:color="auto"/>
              <w:left w:val="single" w:sz="4" w:space="0" w:color="auto"/>
              <w:bottom w:val="single" w:sz="4" w:space="0" w:color="auto"/>
              <w:right w:val="single" w:sz="4" w:space="0" w:color="auto"/>
            </w:tcBorders>
          </w:tcPr>
          <w:p w14:paraId="5AA3DD79" w14:textId="77777777" w:rsidR="00490F43" w:rsidRPr="00D0693B" w:rsidRDefault="00490F43" w:rsidP="00490F43">
            <w:pPr>
              <w:tabs>
                <w:tab w:val="left" w:pos="709"/>
              </w:tabs>
              <w:spacing w:before="60" w:after="60" w:line="240" w:lineRule="auto"/>
              <w:rPr>
                <w:rFonts w:ascii="Arial" w:hAnsi="Arial" w:cs="Arial"/>
                <w:i/>
                <w:color w:val="FF0000"/>
                <w:sz w:val="16"/>
                <w:szCs w:val="16"/>
              </w:rPr>
            </w:pPr>
            <w:r w:rsidRPr="00B77AD2">
              <w:rPr>
                <w:rFonts w:ascii="Arial" w:hAnsi="Arial" w:cs="Arial"/>
                <w:sz w:val="16"/>
                <w:szCs w:val="16"/>
              </w:rPr>
              <w:t>As per 2022-23</w:t>
            </w:r>
          </w:p>
        </w:tc>
        <w:tc>
          <w:tcPr>
            <w:tcW w:w="3260" w:type="dxa"/>
            <w:tcBorders>
              <w:top w:val="single" w:sz="4" w:space="0" w:color="auto"/>
              <w:left w:val="single" w:sz="4" w:space="0" w:color="auto"/>
              <w:bottom w:val="single" w:sz="4" w:space="0" w:color="auto"/>
            </w:tcBorders>
          </w:tcPr>
          <w:p w14:paraId="5B74482B" w14:textId="77777777" w:rsidR="00490F43" w:rsidRPr="00916ABF" w:rsidRDefault="00490F43" w:rsidP="00490F43">
            <w:pPr>
              <w:spacing w:before="60" w:after="60" w:line="276" w:lineRule="auto"/>
              <w:ind w:left="103" w:right="34"/>
              <w:jc w:val="left"/>
              <w:rPr>
                <w:rFonts w:ascii="Arial" w:hAnsi="Arial" w:cs="Arial"/>
                <w:i/>
                <w:color w:val="FF0000"/>
                <w:sz w:val="16"/>
                <w:szCs w:val="16"/>
                <w:highlight w:val="yellow"/>
              </w:rPr>
            </w:pPr>
            <w:r w:rsidRPr="00B77AD2">
              <w:rPr>
                <w:rFonts w:ascii="Arial" w:hAnsi="Arial" w:cs="Arial"/>
                <w:sz w:val="16"/>
                <w:szCs w:val="16"/>
              </w:rPr>
              <w:t>As per 2022-23</w:t>
            </w:r>
          </w:p>
        </w:tc>
      </w:tr>
    </w:tbl>
    <w:p w14:paraId="2D7DCA21" w14:textId="77777777" w:rsidR="00490F43" w:rsidRPr="00522F60" w:rsidRDefault="00490F43" w:rsidP="00392A48">
      <w:pPr>
        <w:pStyle w:val="ChartandTableFootnote"/>
        <w:numPr>
          <w:ilvl w:val="0"/>
          <w:numId w:val="79"/>
        </w:numPr>
        <w:ind w:left="284" w:hanging="284"/>
        <w:rPr>
          <w:rFonts w:cs="Arial"/>
          <w:color w:val="auto"/>
          <w:szCs w:val="16"/>
          <w:lang w:val="en-AU"/>
        </w:rPr>
      </w:pPr>
      <w:r w:rsidRPr="00522F60">
        <w:rPr>
          <w:rFonts w:cs="Arial"/>
          <w:color w:val="auto"/>
          <w:szCs w:val="16"/>
          <w:lang w:val="en-AU"/>
        </w:rPr>
        <w:t xml:space="preserve">Refer to the </w:t>
      </w:r>
      <w:r>
        <w:rPr>
          <w:rFonts w:cs="Arial"/>
          <w:color w:val="auto"/>
          <w:szCs w:val="16"/>
          <w:lang w:val="en-AU"/>
        </w:rPr>
        <w:t xml:space="preserve">2021-22 </w:t>
      </w:r>
      <w:r w:rsidRPr="00522F60">
        <w:rPr>
          <w:rFonts w:cs="Arial"/>
          <w:color w:val="auto"/>
          <w:szCs w:val="16"/>
          <w:lang w:val="en-AU"/>
        </w:rPr>
        <w:t>Corporate Plan for further detail.</w:t>
      </w:r>
    </w:p>
    <w:p w14:paraId="4DC00CB5" w14:textId="77777777" w:rsidR="00490F43" w:rsidRDefault="00490F43" w:rsidP="00392A48">
      <w:pPr>
        <w:pStyle w:val="ChartandTableFootnote"/>
        <w:numPr>
          <w:ilvl w:val="0"/>
          <w:numId w:val="79"/>
        </w:numPr>
        <w:rPr>
          <w:rFonts w:cs="Arial"/>
          <w:color w:val="auto"/>
          <w:szCs w:val="16"/>
          <w:lang w:val="en-AU"/>
        </w:rPr>
      </w:pPr>
      <w:r w:rsidRPr="00EE32E1">
        <w:rPr>
          <w:rFonts w:cs="Arial"/>
          <w:color w:val="auto"/>
          <w:szCs w:val="16"/>
          <w:lang w:val="en-AU"/>
        </w:rPr>
        <w:t>Specified IAS activity outcomes for Program 1.1 include improved: School Based Traineeships completion rates; employment outcomes for Indigenous participants; tertiary retention and completion rates for Indigenous students undertaking cadetships; delivery of remote employment services; sustainability of Indigenous businesses; technical and leadership skills of Indigenous Rangers; land management outcomes; and support of Native Title determination.</w:t>
      </w:r>
      <w:r>
        <w:rPr>
          <w:rFonts w:cs="Arial"/>
          <w:color w:val="auto"/>
          <w:szCs w:val="16"/>
          <w:lang w:val="en-AU"/>
        </w:rPr>
        <w:t xml:space="preserve"> </w:t>
      </w:r>
    </w:p>
    <w:p w14:paraId="5BB468D9" w14:textId="77777777" w:rsidR="00490F43" w:rsidRPr="00EE32E1" w:rsidRDefault="00490F43" w:rsidP="00392A48">
      <w:pPr>
        <w:pStyle w:val="ChartandTableFootnote"/>
        <w:numPr>
          <w:ilvl w:val="0"/>
          <w:numId w:val="79"/>
        </w:numPr>
        <w:rPr>
          <w:rFonts w:cs="Arial"/>
          <w:color w:val="auto"/>
          <w:szCs w:val="16"/>
          <w:lang w:val="en-AU"/>
        </w:rPr>
      </w:pPr>
      <w:r w:rsidRPr="00EE32E1">
        <w:rPr>
          <w:rFonts w:cs="Arial"/>
          <w:color w:val="auto"/>
          <w:szCs w:val="16"/>
          <w:lang w:val="en-AU"/>
        </w:rPr>
        <w:t xml:space="preserve">The </w:t>
      </w:r>
      <w:r w:rsidR="004C12AF">
        <w:rPr>
          <w:rFonts w:cs="Arial"/>
          <w:color w:val="auto"/>
          <w:szCs w:val="16"/>
          <w:lang w:val="en-AU"/>
        </w:rPr>
        <w:t>Budget year</w:t>
      </w:r>
      <w:r w:rsidRPr="00EE32E1">
        <w:rPr>
          <w:rFonts w:cs="Arial"/>
          <w:color w:val="auto"/>
          <w:szCs w:val="16"/>
          <w:lang w:val="en-AU"/>
        </w:rPr>
        <w:t xml:space="preserve"> target for 2021-22 was </w:t>
      </w:r>
      <w:r>
        <w:rPr>
          <w:rFonts w:cs="Arial"/>
          <w:color w:val="auto"/>
          <w:szCs w:val="16"/>
          <w:lang w:val="en-AU"/>
        </w:rPr>
        <w:t>incorrectly</w:t>
      </w:r>
      <w:r w:rsidRPr="00EE32E1">
        <w:rPr>
          <w:rFonts w:cs="Arial"/>
          <w:color w:val="auto"/>
          <w:szCs w:val="16"/>
          <w:lang w:val="en-AU"/>
        </w:rPr>
        <w:t xml:space="preserve"> omitted in the 2021-22 PBS.</w:t>
      </w:r>
    </w:p>
    <w:p w14:paraId="332738A8" w14:textId="77777777" w:rsidR="00490F43" w:rsidRPr="00EE32E1" w:rsidRDefault="00490F43" w:rsidP="00392A48">
      <w:pPr>
        <w:pStyle w:val="ChartandTableFootnote"/>
        <w:numPr>
          <w:ilvl w:val="0"/>
          <w:numId w:val="79"/>
        </w:numPr>
        <w:rPr>
          <w:rFonts w:cs="Arial"/>
          <w:color w:val="auto"/>
          <w:szCs w:val="16"/>
          <w:lang w:val="en-AU"/>
        </w:rPr>
      </w:pPr>
      <w:r w:rsidRPr="00EE32E1">
        <w:rPr>
          <w:rFonts w:cs="Arial"/>
          <w:color w:val="auto"/>
          <w:szCs w:val="16"/>
          <w:lang w:val="en-AU"/>
        </w:rPr>
        <w:t>Reporting on Indigenous Employment programs will be discontinued from 2022-23 due to the cessation of the measure.</w:t>
      </w:r>
    </w:p>
    <w:p w14:paraId="02B5471F" w14:textId="77777777" w:rsidR="00490F43" w:rsidRPr="00EE32E1" w:rsidRDefault="00490F43" w:rsidP="00490F43">
      <w:pPr>
        <w:pStyle w:val="ChartandTableFootnote"/>
        <w:rPr>
          <w:rFonts w:cs="Arial"/>
          <w:color w:val="auto"/>
          <w:szCs w:val="16"/>
          <w:lang w:val="en-AU"/>
        </w:rPr>
      </w:pPr>
    </w:p>
    <w:p w14:paraId="7F762BAD" w14:textId="77777777" w:rsidR="00490F43" w:rsidRPr="006040EB" w:rsidRDefault="00490F43" w:rsidP="00490F43">
      <w:pPr>
        <w:pStyle w:val="Footnotes"/>
      </w:pPr>
    </w:p>
    <w:p w14:paraId="73768D9F" w14:textId="77777777" w:rsidR="00490F43" w:rsidRDefault="00490F43" w:rsidP="00490F43">
      <w:pPr>
        <w:pStyle w:val="TableHeading"/>
      </w:pPr>
      <w:r>
        <w:rPr>
          <w:lang w:val="en-AU"/>
        </w:rPr>
        <w:t xml:space="preserve">  </w:t>
      </w:r>
      <w:r>
        <w:t>Table 2.1.2</w:t>
      </w:r>
      <w:r w:rsidRPr="00F71634">
        <w:t>: Pe</w:t>
      </w:r>
      <w:r>
        <w:t xml:space="preserve">rformance </w:t>
      </w:r>
      <w:r w:rsidR="009C51A8">
        <w:rPr>
          <w:lang w:val="en-AU"/>
        </w:rPr>
        <w:t>measure</w:t>
      </w:r>
      <w:r>
        <w:t xml:space="preserve">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006"/>
        <w:gridCol w:w="3118"/>
      </w:tblGrid>
      <w:tr w:rsidR="00490F43" w:rsidRPr="00BF4A72" w14:paraId="319BFA4F" w14:textId="77777777" w:rsidTr="00490F43">
        <w:trPr>
          <w:tblHeader/>
        </w:trPr>
        <w:tc>
          <w:tcPr>
            <w:tcW w:w="7825" w:type="dxa"/>
            <w:gridSpan w:val="3"/>
            <w:shd w:val="clear" w:color="auto" w:fill="F2F2F2"/>
          </w:tcPr>
          <w:p w14:paraId="262414C2" w14:textId="77777777" w:rsidR="00490F43" w:rsidRPr="00792586" w:rsidRDefault="00490F43" w:rsidP="00490F43">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1.2 – Children and Schooling</w:t>
            </w:r>
          </w:p>
          <w:p w14:paraId="513D2407" w14:textId="77777777" w:rsidR="00490F43" w:rsidRPr="00792586" w:rsidRDefault="00490F43" w:rsidP="00490F43">
            <w:pPr>
              <w:tabs>
                <w:tab w:val="left" w:pos="709"/>
              </w:tabs>
              <w:spacing w:before="60" w:after="60" w:line="240" w:lineRule="auto"/>
              <w:rPr>
                <w:rFonts w:ascii="Arial" w:hAnsi="Arial" w:cs="Arial"/>
                <w:sz w:val="16"/>
                <w:szCs w:val="16"/>
              </w:rPr>
            </w:pPr>
            <w:r w:rsidRPr="00792586">
              <w:rPr>
                <w:rFonts w:ascii="Arial" w:hAnsi="Arial" w:cs="Arial"/>
                <w:sz w:val="16"/>
                <w:szCs w:val="16"/>
              </w:rPr>
              <w:t>The objectives of this program are to support early childhood development and wellbeing, school attendance, attainment and improved post school pathways, particularly in remote Indigenous communities. This program includes measures to improve access to further education.</w:t>
            </w:r>
          </w:p>
        </w:tc>
      </w:tr>
      <w:tr w:rsidR="00490F43" w:rsidRPr="00BF4A72" w14:paraId="1D4F5F50" w14:textId="77777777" w:rsidTr="00490F43">
        <w:tc>
          <w:tcPr>
            <w:tcW w:w="1701" w:type="dxa"/>
            <w:tcBorders>
              <w:bottom w:val="double" w:sz="4" w:space="0" w:color="auto"/>
            </w:tcBorders>
          </w:tcPr>
          <w:p w14:paraId="47DE7367" w14:textId="77777777" w:rsidR="00490F43" w:rsidRPr="00792586" w:rsidRDefault="00490F43" w:rsidP="009C51A8">
            <w:pPr>
              <w:tabs>
                <w:tab w:val="left" w:pos="709"/>
              </w:tabs>
              <w:spacing w:before="60" w:after="60" w:line="240" w:lineRule="auto"/>
              <w:rPr>
                <w:rFonts w:ascii="Arial" w:hAnsi="Arial" w:cs="Arial"/>
                <w:b/>
                <w:sz w:val="16"/>
                <w:szCs w:val="16"/>
              </w:rPr>
            </w:pPr>
            <w:r w:rsidRPr="00933B29">
              <w:rPr>
                <w:rFonts w:ascii="Arial" w:hAnsi="Arial" w:cs="Arial"/>
                <w:b/>
                <w:sz w:val="16"/>
                <w:szCs w:val="16"/>
              </w:rPr>
              <w:t xml:space="preserve">Key </w:t>
            </w:r>
            <w:r w:rsidR="009C51A8">
              <w:rPr>
                <w:rFonts w:ascii="Arial" w:hAnsi="Arial" w:cs="Arial"/>
                <w:b/>
                <w:sz w:val="16"/>
                <w:szCs w:val="16"/>
              </w:rPr>
              <w:t>a</w:t>
            </w:r>
            <w:r w:rsidRPr="00933B29">
              <w:rPr>
                <w:rFonts w:ascii="Arial" w:hAnsi="Arial" w:cs="Arial"/>
                <w:b/>
                <w:sz w:val="16"/>
                <w:szCs w:val="16"/>
              </w:rPr>
              <w:t>ctivities (a)</w:t>
            </w:r>
          </w:p>
        </w:tc>
        <w:tc>
          <w:tcPr>
            <w:tcW w:w="6124" w:type="dxa"/>
            <w:gridSpan w:val="2"/>
            <w:tcBorders>
              <w:bottom w:val="double" w:sz="4" w:space="0" w:color="auto"/>
            </w:tcBorders>
          </w:tcPr>
          <w:p w14:paraId="3BFE13EE" w14:textId="77777777" w:rsidR="00490F43" w:rsidRPr="00792586" w:rsidRDefault="00490F43" w:rsidP="00490F43">
            <w:pPr>
              <w:tabs>
                <w:tab w:val="left" w:pos="709"/>
              </w:tabs>
              <w:spacing w:before="60" w:after="60" w:line="240" w:lineRule="auto"/>
              <w:jc w:val="left"/>
              <w:rPr>
                <w:rFonts w:ascii="Arial" w:hAnsi="Arial" w:cs="Arial"/>
                <w:i/>
                <w:sz w:val="16"/>
                <w:szCs w:val="16"/>
              </w:rPr>
            </w:pPr>
            <w:r w:rsidRPr="00EE32E1">
              <w:rPr>
                <w:rFonts w:ascii="Arial" w:hAnsi="Arial" w:cs="Arial"/>
                <w:sz w:val="16"/>
                <w:szCs w:val="16"/>
              </w:rPr>
              <w:t>Designing, implementing and delivering policies, strategies and programs designed to support early childhood development and wellbeing; school attendance, engagement and attainment; and further education.</w:t>
            </w:r>
          </w:p>
        </w:tc>
      </w:tr>
      <w:tr w:rsidR="00490F43" w:rsidRPr="00BF4A72" w14:paraId="25F04886" w14:textId="77777777" w:rsidTr="00490F43">
        <w:tc>
          <w:tcPr>
            <w:tcW w:w="1701" w:type="dxa"/>
            <w:tcBorders>
              <w:top w:val="double" w:sz="4" w:space="0" w:color="auto"/>
              <w:bottom w:val="single" w:sz="4" w:space="0" w:color="auto"/>
              <w:right w:val="single" w:sz="4" w:space="0" w:color="auto"/>
            </w:tcBorders>
          </w:tcPr>
          <w:p w14:paraId="09084F57"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3006" w:type="dxa"/>
            <w:tcBorders>
              <w:top w:val="double" w:sz="4" w:space="0" w:color="auto"/>
              <w:left w:val="single" w:sz="4" w:space="0" w:color="auto"/>
              <w:bottom w:val="single" w:sz="4" w:space="0" w:color="auto"/>
              <w:right w:val="single" w:sz="4" w:space="0" w:color="auto"/>
            </w:tcBorders>
          </w:tcPr>
          <w:p w14:paraId="1ED876D4"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 xml:space="preserve">Performance </w:t>
            </w:r>
            <w:r>
              <w:rPr>
                <w:rFonts w:ascii="Arial" w:hAnsi="Arial" w:cs="Arial"/>
                <w:b/>
                <w:sz w:val="16"/>
                <w:szCs w:val="16"/>
              </w:rPr>
              <w:t>measures</w:t>
            </w:r>
          </w:p>
        </w:tc>
        <w:tc>
          <w:tcPr>
            <w:tcW w:w="3118" w:type="dxa"/>
            <w:tcBorders>
              <w:top w:val="double" w:sz="4" w:space="0" w:color="auto"/>
              <w:left w:val="single" w:sz="4" w:space="0" w:color="auto"/>
              <w:bottom w:val="single" w:sz="4" w:space="0" w:color="auto"/>
            </w:tcBorders>
          </w:tcPr>
          <w:p w14:paraId="71535BA9" w14:textId="77777777" w:rsidR="00490F43" w:rsidRPr="00792586" w:rsidRDefault="009C51A8" w:rsidP="00490F43">
            <w:pPr>
              <w:tabs>
                <w:tab w:val="left" w:pos="709"/>
              </w:tabs>
              <w:spacing w:before="60" w:after="60" w:line="240" w:lineRule="auto"/>
              <w:rPr>
                <w:rFonts w:ascii="Arial" w:hAnsi="Arial" w:cs="Arial"/>
                <w:b/>
                <w:sz w:val="16"/>
                <w:szCs w:val="16"/>
                <w:highlight w:val="yellow"/>
              </w:rPr>
            </w:pPr>
            <w:r>
              <w:rPr>
                <w:rFonts w:ascii="Arial" w:hAnsi="Arial" w:cs="Arial"/>
                <w:b/>
                <w:sz w:val="16"/>
                <w:szCs w:val="16"/>
              </w:rPr>
              <w:t>Expected performance r</w:t>
            </w:r>
            <w:r w:rsidR="00490F43" w:rsidRPr="00F509FD">
              <w:rPr>
                <w:rFonts w:ascii="Arial" w:hAnsi="Arial" w:cs="Arial"/>
                <w:b/>
                <w:sz w:val="16"/>
                <w:szCs w:val="16"/>
              </w:rPr>
              <w:t>esults</w:t>
            </w:r>
          </w:p>
        </w:tc>
      </w:tr>
      <w:tr w:rsidR="00490F43" w:rsidRPr="00BF4A72" w14:paraId="1867E9AB" w14:textId="77777777" w:rsidTr="00490F43">
        <w:tc>
          <w:tcPr>
            <w:tcW w:w="1701" w:type="dxa"/>
            <w:tcBorders>
              <w:top w:val="dotted" w:sz="4" w:space="0" w:color="auto"/>
              <w:bottom w:val="single" w:sz="4" w:space="0" w:color="auto"/>
              <w:right w:val="single" w:sz="4" w:space="0" w:color="auto"/>
            </w:tcBorders>
          </w:tcPr>
          <w:p w14:paraId="0E1B0656" w14:textId="77777777" w:rsidR="00490F43" w:rsidRPr="00F509FD" w:rsidRDefault="00490F43" w:rsidP="00490F43">
            <w:pPr>
              <w:tabs>
                <w:tab w:val="left" w:pos="709"/>
              </w:tabs>
              <w:spacing w:before="60" w:after="60" w:line="240" w:lineRule="auto"/>
              <w:rPr>
                <w:rFonts w:ascii="Arial" w:hAnsi="Arial" w:cs="Arial"/>
                <w:sz w:val="16"/>
                <w:szCs w:val="16"/>
              </w:rPr>
            </w:pPr>
            <w:r w:rsidRPr="00F509FD">
              <w:rPr>
                <w:rFonts w:ascii="Arial" w:hAnsi="Arial" w:cs="Arial"/>
                <w:sz w:val="16"/>
                <w:szCs w:val="16"/>
              </w:rPr>
              <w:t xml:space="preserve">Current year </w:t>
            </w:r>
          </w:p>
          <w:p w14:paraId="3DCED9EC"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2021-22</w:t>
            </w:r>
          </w:p>
        </w:tc>
        <w:tc>
          <w:tcPr>
            <w:tcW w:w="3006" w:type="dxa"/>
            <w:tcBorders>
              <w:top w:val="dotted" w:sz="4" w:space="0" w:color="auto"/>
              <w:left w:val="single" w:sz="4" w:space="0" w:color="auto"/>
              <w:bottom w:val="single" w:sz="4" w:space="0" w:color="auto"/>
              <w:right w:val="single" w:sz="4" w:space="0" w:color="auto"/>
            </w:tcBorders>
          </w:tcPr>
          <w:p w14:paraId="438B13EB" w14:textId="77777777" w:rsidR="00490F43" w:rsidRPr="00792586" w:rsidRDefault="009C51A8" w:rsidP="00490F43">
            <w:pPr>
              <w:tabs>
                <w:tab w:val="left" w:pos="709"/>
              </w:tabs>
              <w:spacing w:before="60" w:after="60" w:line="276" w:lineRule="auto"/>
              <w:jc w:val="left"/>
              <w:rPr>
                <w:rFonts w:ascii="Arial" w:hAnsi="Arial" w:cs="Arial"/>
                <w:i/>
                <w:sz w:val="16"/>
                <w:szCs w:val="16"/>
                <w:highlight w:val="yellow"/>
              </w:rPr>
            </w:pPr>
            <w:r>
              <w:rPr>
                <w:rFonts w:ascii="Arial" w:hAnsi="Arial" w:cs="Arial"/>
                <w:sz w:val="16"/>
                <w:szCs w:val="16"/>
              </w:rPr>
              <w:t xml:space="preserve">The </w:t>
            </w:r>
            <w:r w:rsidR="00490F43" w:rsidRPr="00EE32E1">
              <w:rPr>
                <w:rFonts w:ascii="Arial" w:hAnsi="Arial" w:cs="Arial"/>
                <w:sz w:val="16"/>
                <w:szCs w:val="16"/>
              </w:rPr>
              <w:t>IAS activities contribute towards supporting early childhood development and wellbeing, school attendance, attainment and improved post school pathways</w:t>
            </w:r>
          </w:p>
        </w:tc>
        <w:tc>
          <w:tcPr>
            <w:tcW w:w="3118" w:type="dxa"/>
            <w:tcBorders>
              <w:top w:val="dotted" w:sz="4" w:space="0" w:color="auto"/>
              <w:left w:val="single" w:sz="4" w:space="0" w:color="auto"/>
              <w:bottom w:val="single" w:sz="4" w:space="0" w:color="auto"/>
            </w:tcBorders>
            <w:vAlign w:val="center"/>
          </w:tcPr>
          <w:p w14:paraId="4987E866" w14:textId="77777777" w:rsidR="00490F43" w:rsidRPr="00F509FD" w:rsidRDefault="00490F43" w:rsidP="00490F43">
            <w:pPr>
              <w:spacing w:before="60" w:after="60" w:line="276" w:lineRule="auto"/>
              <w:jc w:val="left"/>
              <w:rPr>
                <w:rFonts w:ascii="Arial" w:hAnsi="Arial" w:cs="Arial"/>
                <w:b/>
                <w:sz w:val="16"/>
                <w:szCs w:val="16"/>
              </w:rPr>
            </w:pPr>
            <w:r w:rsidRPr="00F509FD">
              <w:rPr>
                <w:rFonts w:ascii="Arial" w:hAnsi="Arial" w:cs="Arial"/>
                <w:b/>
                <w:sz w:val="16"/>
                <w:szCs w:val="16"/>
              </w:rPr>
              <w:t xml:space="preserve">Target: </w:t>
            </w:r>
            <w:r w:rsidRPr="00F509FD">
              <w:rPr>
                <w:rFonts w:ascii="Arial" w:hAnsi="Arial" w:cs="Arial"/>
                <w:sz w:val="16"/>
                <w:szCs w:val="16"/>
              </w:rPr>
              <w:t>90 per cent of IAS Program a</w:t>
            </w:r>
            <w:r w:rsidR="009C51A8">
              <w:rPr>
                <w:rFonts w:ascii="Arial" w:hAnsi="Arial" w:cs="Arial"/>
                <w:sz w:val="16"/>
                <w:szCs w:val="16"/>
              </w:rPr>
              <w:t>ctivities are assessed by NIAA agreement m</w:t>
            </w:r>
            <w:r w:rsidRPr="00F509FD">
              <w:rPr>
                <w:rFonts w:ascii="Arial" w:hAnsi="Arial" w:cs="Arial"/>
                <w:sz w:val="16"/>
                <w:szCs w:val="16"/>
              </w:rPr>
              <w:t>anagers as having core service delivery elements which met or exceeded requirements (b).</w:t>
            </w:r>
          </w:p>
          <w:p w14:paraId="7DEB7C93" w14:textId="77777777" w:rsidR="00490F43" w:rsidRPr="00F509FD" w:rsidRDefault="00490F43" w:rsidP="00490F43">
            <w:pPr>
              <w:spacing w:before="60" w:after="60" w:line="276" w:lineRule="auto"/>
              <w:jc w:val="left"/>
              <w:rPr>
                <w:rFonts w:ascii="Arial" w:hAnsi="Arial" w:cs="Arial"/>
                <w:b/>
                <w:sz w:val="16"/>
                <w:szCs w:val="16"/>
              </w:rPr>
            </w:pPr>
            <w:r w:rsidRPr="00F509FD">
              <w:rPr>
                <w:rFonts w:ascii="Arial" w:hAnsi="Arial" w:cs="Arial"/>
                <w:b/>
                <w:sz w:val="16"/>
                <w:szCs w:val="16"/>
              </w:rPr>
              <w:t>On Track</w:t>
            </w:r>
          </w:p>
          <w:p w14:paraId="4E170658" w14:textId="77777777" w:rsidR="00490F43" w:rsidRPr="00F509FD" w:rsidRDefault="00490F43" w:rsidP="00490F43">
            <w:pPr>
              <w:spacing w:before="60" w:after="60" w:line="276" w:lineRule="auto"/>
              <w:jc w:val="left"/>
              <w:rPr>
                <w:rFonts w:ascii="Arial" w:hAnsi="Arial" w:cs="Arial"/>
                <w:sz w:val="16"/>
                <w:szCs w:val="16"/>
              </w:rPr>
            </w:pPr>
            <w:r w:rsidRPr="00F509FD">
              <w:rPr>
                <w:rFonts w:ascii="Arial" w:hAnsi="Arial" w:cs="Arial"/>
                <w:sz w:val="16"/>
                <w:szCs w:val="16"/>
              </w:rPr>
              <w:t>- The results will be published in the agency’s 2021–22 Annual Report.</w:t>
            </w:r>
          </w:p>
          <w:p w14:paraId="645B2A05" w14:textId="77777777" w:rsidR="00490F43" w:rsidRPr="00792586" w:rsidRDefault="00490F43" w:rsidP="00490F43">
            <w:pPr>
              <w:spacing w:before="60" w:after="0" w:line="276" w:lineRule="auto"/>
              <w:ind w:right="34"/>
              <w:contextualSpacing/>
              <w:jc w:val="left"/>
              <w:rPr>
                <w:rFonts w:ascii="Arial" w:hAnsi="Arial" w:cs="Arial"/>
                <w:i/>
                <w:sz w:val="16"/>
                <w:szCs w:val="16"/>
                <w:highlight w:val="yellow"/>
              </w:rPr>
            </w:pPr>
          </w:p>
        </w:tc>
      </w:tr>
      <w:tr w:rsidR="00490F43" w:rsidRPr="00BF4A72" w14:paraId="36FC8CDB" w14:textId="77777777" w:rsidTr="00490F43">
        <w:tc>
          <w:tcPr>
            <w:tcW w:w="1701" w:type="dxa"/>
            <w:tcBorders>
              <w:top w:val="single" w:sz="4" w:space="0" w:color="auto"/>
              <w:bottom w:val="single" w:sz="4" w:space="0" w:color="auto"/>
              <w:right w:val="single" w:sz="4" w:space="0" w:color="auto"/>
            </w:tcBorders>
          </w:tcPr>
          <w:p w14:paraId="657C1584"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3006" w:type="dxa"/>
            <w:tcBorders>
              <w:top w:val="single" w:sz="4" w:space="0" w:color="auto"/>
              <w:left w:val="single" w:sz="4" w:space="0" w:color="auto"/>
              <w:bottom w:val="single" w:sz="4" w:space="0" w:color="auto"/>
              <w:right w:val="single" w:sz="4" w:space="0" w:color="auto"/>
            </w:tcBorders>
          </w:tcPr>
          <w:p w14:paraId="64526555"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 xml:space="preserve">Performance </w:t>
            </w:r>
            <w:r>
              <w:rPr>
                <w:rFonts w:ascii="Arial" w:hAnsi="Arial" w:cs="Arial"/>
                <w:b/>
                <w:sz w:val="16"/>
                <w:szCs w:val="16"/>
              </w:rPr>
              <w:t>measures</w:t>
            </w:r>
          </w:p>
        </w:tc>
        <w:tc>
          <w:tcPr>
            <w:tcW w:w="3118" w:type="dxa"/>
            <w:tcBorders>
              <w:top w:val="single" w:sz="4" w:space="0" w:color="auto"/>
              <w:left w:val="single" w:sz="4" w:space="0" w:color="auto"/>
              <w:bottom w:val="single" w:sz="4" w:space="0" w:color="auto"/>
            </w:tcBorders>
          </w:tcPr>
          <w:p w14:paraId="48065BCC" w14:textId="77777777" w:rsidR="00490F43" w:rsidRPr="00792586" w:rsidRDefault="009C51A8" w:rsidP="00490F43">
            <w:pPr>
              <w:tabs>
                <w:tab w:val="left" w:pos="709"/>
              </w:tabs>
              <w:spacing w:before="60" w:after="60" w:line="240" w:lineRule="auto"/>
              <w:rPr>
                <w:rFonts w:ascii="Arial" w:hAnsi="Arial" w:cs="Arial"/>
                <w:b/>
                <w:sz w:val="16"/>
                <w:szCs w:val="16"/>
                <w:highlight w:val="yellow"/>
              </w:rPr>
            </w:pPr>
            <w:r>
              <w:rPr>
                <w:rFonts w:ascii="Arial" w:hAnsi="Arial" w:cs="Arial"/>
                <w:b/>
                <w:sz w:val="16"/>
                <w:szCs w:val="16"/>
              </w:rPr>
              <w:t>Expected performance r</w:t>
            </w:r>
            <w:r w:rsidR="00490F43" w:rsidRPr="00F509FD">
              <w:rPr>
                <w:rFonts w:ascii="Arial" w:hAnsi="Arial" w:cs="Arial"/>
                <w:b/>
                <w:sz w:val="16"/>
                <w:szCs w:val="16"/>
              </w:rPr>
              <w:t>esults</w:t>
            </w:r>
          </w:p>
        </w:tc>
      </w:tr>
      <w:tr w:rsidR="00490F43" w:rsidRPr="00BF4A72" w14:paraId="0B06B2C3" w14:textId="77777777" w:rsidTr="00490F43">
        <w:tc>
          <w:tcPr>
            <w:tcW w:w="1701" w:type="dxa"/>
            <w:tcBorders>
              <w:top w:val="single" w:sz="4" w:space="0" w:color="auto"/>
              <w:bottom w:val="single" w:sz="4" w:space="0" w:color="auto"/>
              <w:right w:val="single" w:sz="4" w:space="0" w:color="auto"/>
            </w:tcBorders>
          </w:tcPr>
          <w:p w14:paraId="11B48F0B" w14:textId="77777777" w:rsidR="00490F43" w:rsidRDefault="00490F43" w:rsidP="00490F43">
            <w:pPr>
              <w:tabs>
                <w:tab w:val="left" w:pos="709"/>
              </w:tabs>
              <w:spacing w:before="60" w:after="60" w:line="240" w:lineRule="auto"/>
              <w:rPr>
                <w:rFonts w:ascii="Arial" w:hAnsi="Arial" w:cs="Arial"/>
                <w:sz w:val="16"/>
                <w:szCs w:val="16"/>
              </w:rPr>
            </w:pPr>
            <w:r w:rsidRPr="00F509FD">
              <w:rPr>
                <w:rFonts w:ascii="Arial" w:hAnsi="Arial" w:cs="Arial"/>
                <w:sz w:val="16"/>
                <w:szCs w:val="16"/>
              </w:rPr>
              <w:t xml:space="preserve">Budget </w:t>
            </w:r>
            <w:r w:rsidR="009C51A8">
              <w:rPr>
                <w:rFonts w:ascii="Arial" w:hAnsi="Arial" w:cs="Arial"/>
                <w:sz w:val="16"/>
                <w:szCs w:val="16"/>
              </w:rPr>
              <w:t>y</w:t>
            </w:r>
            <w:r w:rsidRPr="00F509FD">
              <w:rPr>
                <w:rFonts w:ascii="Arial" w:hAnsi="Arial" w:cs="Arial"/>
                <w:sz w:val="16"/>
                <w:szCs w:val="16"/>
              </w:rPr>
              <w:t xml:space="preserve">ear     </w:t>
            </w:r>
          </w:p>
          <w:p w14:paraId="56E05889"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2022-23</w:t>
            </w:r>
          </w:p>
        </w:tc>
        <w:tc>
          <w:tcPr>
            <w:tcW w:w="3006" w:type="dxa"/>
            <w:tcBorders>
              <w:top w:val="single" w:sz="4" w:space="0" w:color="auto"/>
              <w:left w:val="single" w:sz="4" w:space="0" w:color="auto"/>
              <w:bottom w:val="single" w:sz="4" w:space="0" w:color="auto"/>
              <w:right w:val="single" w:sz="4" w:space="0" w:color="auto"/>
            </w:tcBorders>
          </w:tcPr>
          <w:p w14:paraId="77B15ACE" w14:textId="77777777" w:rsidR="00490F43" w:rsidRPr="00792586" w:rsidRDefault="009C51A8" w:rsidP="00490F43">
            <w:pPr>
              <w:tabs>
                <w:tab w:val="left" w:pos="709"/>
              </w:tabs>
              <w:spacing w:before="60" w:after="60" w:line="240" w:lineRule="auto"/>
              <w:jc w:val="left"/>
              <w:rPr>
                <w:rFonts w:ascii="Arial" w:hAnsi="Arial" w:cs="Arial"/>
                <w:sz w:val="16"/>
                <w:szCs w:val="16"/>
                <w:highlight w:val="yellow"/>
              </w:rPr>
            </w:pPr>
            <w:r>
              <w:rPr>
                <w:rFonts w:ascii="Arial" w:hAnsi="Arial" w:cs="Arial"/>
                <w:sz w:val="16"/>
                <w:szCs w:val="16"/>
              </w:rPr>
              <w:t xml:space="preserve">The </w:t>
            </w:r>
            <w:r w:rsidR="00490F43" w:rsidRPr="00F509FD">
              <w:rPr>
                <w:rFonts w:ascii="Arial" w:hAnsi="Arial" w:cs="Arial"/>
                <w:sz w:val="16"/>
                <w:szCs w:val="16"/>
              </w:rPr>
              <w:t>IAS activities contribute towards supporting early childhood development and wellbeing, school attendance, attainment and improved post school pathways</w:t>
            </w:r>
          </w:p>
        </w:tc>
        <w:tc>
          <w:tcPr>
            <w:tcW w:w="3118" w:type="dxa"/>
            <w:tcBorders>
              <w:top w:val="single" w:sz="4" w:space="0" w:color="auto"/>
              <w:left w:val="single" w:sz="4" w:space="0" w:color="auto"/>
              <w:bottom w:val="single" w:sz="4" w:space="0" w:color="auto"/>
            </w:tcBorders>
          </w:tcPr>
          <w:p w14:paraId="69F58546" w14:textId="77777777" w:rsidR="00490F43" w:rsidRPr="00792586" w:rsidRDefault="00490F43" w:rsidP="009C51A8">
            <w:pPr>
              <w:tabs>
                <w:tab w:val="left" w:pos="709"/>
              </w:tabs>
              <w:spacing w:before="60" w:after="60" w:line="240" w:lineRule="auto"/>
              <w:jc w:val="left"/>
              <w:rPr>
                <w:rFonts w:ascii="Arial" w:hAnsi="Arial" w:cs="Arial"/>
                <w:sz w:val="16"/>
                <w:szCs w:val="16"/>
                <w:highlight w:val="yellow"/>
              </w:rPr>
            </w:pPr>
            <w:r w:rsidRPr="00F509FD">
              <w:rPr>
                <w:rFonts w:ascii="Arial" w:hAnsi="Arial" w:cs="Arial"/>
                <w:b/>
                <w:sz w:val="16"/>
                <w:szCs w:val="16"/>
              </w:rPr>
              <w:t>Target</w:t>
            </w:r>
            <w:r w:rsidRPr="00F509FD">
              <w:rPr>
                <w:rFonts w:ascii="Arial" w:hAnsi="Arial" w:cs="Arial"/>
                <w:sz w:val="16"/>
                <w:szCs w:val="16"/>
              </w:rPr>
              <w:t xml:space="preserve">: 90 per cent of IAS Program activities are assessed by NIAA Agreement Managers as having core service delivery elements </w:t>
            </w:r>
            <w:r w:rsidR="009C51A8">
              <w:rPr>
                <w:rFonts w:ascii="Arial" w:hAnsi="Arial" w:cs="Arial"/>
                <w:sz w:val="16"/>
                <w:szCs w:val="16"/>
              </w:rPr>
              <w:t>that</w:t>
            </w:r>
            <w:r w:rsidRPr="00F509FD">
              <w:rPr>
                <w:rFonts w:ascii="Arial" w:hAnsi="Arial" w:cs="Arial"/>
                <w:sz w:val="16"/>
                <w:szCs w:val="16"/>
              </w:rPr>
              <w:t xml:space="preserve"> met or exceeded requirements (b).</w:t>
            </w:r>
          </w:p>
        </w:tc>
      </w:tr>
      <w:tr w:rsidR="00490F43" w:rsidRPr="00BF4A72" w14:paraId="71EAFFDC" w14:textId="77777777" w:rsidTr="00490F43">
        <w:tc>
          <w:tcPr>
            <w:tcW w:w="1701" w:type="dxa"/>
            <w:tcBorders>
              <w:top w:val="single" w:sz="4" w:space="0" w:color="auto"/>
              <w:right w:val="single" w:sz="4" w:space="0" w:color="auto"/>
            </w:tcBorders>
          </w:tcPr>
          <w:p w14:paraId="1B049EA3" w14:textId="77777777" w:rsidR="00490F43" w:rsidRPr="00F509FD" w:rsidRDefault="00490F43" w:rsidP="00490F43">
            <w:pPr>
              <w:tabs>
                <w:tab w:val="left" w:pos="709"/>
              </w:tabs>
              <w:spacing w:before="60" w:after="60" w:line="240" w:lineRule="auto"/>
              <w:rPr>
                <w:rFonts w:ascii="Arial" w:hAnsi="Arial" w:cs="Arial"/>
                <w:sz w:val="16"/>
                <w:szCs w:val="16"/>
              </w:rPr>
            </w:pPr>
            <w:r w:rsidRPr="00F509FD">
              <w:rPr>
                <w:rFonts w:ascii="Arial" w:hAnsi="Arial" w:cs="Arial"/>
                <w:sz w:val="16"/>
                <w:szCs w:val="16"/>
              </w:rPr>
              <w:t xml:space="preserve">Forward </w:t>
            </w:r>
            <w:r w:rsidR="009C51A8">
              <w:rPr>
                <w:rFonts w:ascii="Arial" w:hAnsi="Arial" w:cs="Arial"/>
                <w:sz w:val="16"/>
                <w:szCs w:val="16"/>
              </w:rPr>
              <w:t>e</w:t>
            </w:r>
            <w:r w:rsidRPr="00F509FD">
              <w:rPr>
                <w:rFonts w:ascii="Arial" w:hAnsi="Arial" w:cs="Arial"/>
                <w:sz w:val="16"/>
                <w:szCs w:val="16"/>
              </w:rPr>
              <w:t xml:space="preserve">stimates </w:t>
            </w:r>
          </w:p>
          <w:p w14:paraId="1B4684BF"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2023-26</w:t>
            </w:r>
          </w:p>
        </w:tc>
        <w:tc>
          <w:tcPr>
            <w:tcW w:w="3006" w:type="dxa"/>
            <w:tcBorders>
              <w:top w:val="single" w:sz="4" w:space="0" w:color="auto"/>
              <w:left w:val="single" w:sz="4" w:space="0" w:color="auto"/>
              <w:right w:val="single" w:sz="4" w:space="0" w:color="auto"/>
            </w:tcBorders>
          </w:tcPr>
          <w:p w14:paraId="7B5F4955" w14:textId="77777777" w:rsidR="00490F43" w:rsidRPr="00792586" w:rsidRDefault="00490F43" w:rsidP="00490F43">
            <w:pPr>
              <w:tabs>
                <w:tab w:val="left" w:pos="709"/>
              </w:tabs>
              <w:spacing w:before="60" w:after="60" w:line="240" w:lineRule="auto"/>
              <w:jc w:val="left"/>
              <w:rPr>
                <w:rFonts w:ascii="Arial" w:hAnsi="Arial" w:cs="Arial"/>
                <w:i/>
                <w:sz w:val="16"/>
                <w:szCs w:val="16"/>
                <w:highlight w:val="yellow"/>
              </w:rPr>
            </w:pPr>
            <w:r w:rsidRPr="00F509FD">
              <w:rPr>
                <w:rFonts w:ascii="Arial" w:hAnsi="Arial" w:cs="Arial"/>
                <w:sz w:val="16"/>
                <w:szCs w:val="16"/>
              </w:rPr>
              <w:t>As per 2022-23</w:t>
            </w:r>
          </w:p>
        </w:tc>
        <w:tc>
          <w:tcPr>
            <w:tcW w:w="3118" w:type="dxa"/>
            <w:tcBorders>
              <w:top w:val="single" w:sz="4" w:space="0" w:color="auto"/>
              <w:left w:val="single" w:sz="4" w:space="0" w:color="auto"/>
            </w:tcBorders>
          </w:tcPr>
          <w:p w14:paraId="118D39B1" w14:textId="77777777" w:rsidR="00490F43" w:rsidRPr="00792586" w:rsidRDefault="00490F43" w:rsidP="00490F43">
            <w:pPr>
              <w:tabs>
                <w:tab w:val="left" w:pos="709"/>
              </w:tabs>
              <w:spacing w:before="60" w:after="60" w:line="240" w:lineRule="auto"/>
              <w:jc w:val="left"/>
              <w:rPr>
                <w:rFonts w:ascii="Arial" w:hAnsi="Arial" w:cs="Arial"/>
                <w:sz w:val="16"/>
                <w:szCs w:val="16"/>
                <w:highlight w:val="yellow"/>
              </w:rPr>
            </w:pPr>
            <w:r w:rsidRPr="00F509FD">
              <w:rPr>
                <w:rFonts w:ascii="Arial" w:hAnsi="Arial" w:cs="Arial"/>
                <w:sz w:val="16"/>
                <w:szCs w:val="16"/>
              </w:rPr>
              <w:t>As per 2022-23</w:t>
            </w:r>
          </w:p>
        </w:tc>
      </w:tr>
    </w:tbl>
    <w:p w14:paraId="5F667C7A" w14:textId="77777777" w:rsidR="00490F43" w:rsidRPr="00B67382" w:rsidRDefault="00490F43" w:rsidP="00392A48">
      <w:pPr>
        <w:pStyle w:val="ChartandTableFootnote"/>
        <w:numPr>
          <w:ilvl w:val="0"/>
          <w:numId w:val="80"/>
        </w:numPr>
        <w:rPr>
          <w:rFonts w:cs="Arial"/>
          <w:color w:val="auto"/>
          <w:szCs w:val="16"/>
          <w:lang w:val="en-AU"/>
        </w:rPr>
      </w:pPr>
      <w:r>
        <w:rPr>
          <w:rFonts w:cs="Arial"/>
          <w:color w:val="auto"/>
          <w:szCs w:val="16"/>
          <w:lang w:val="en-AU"/>
        </w:rPr>
        <w:t>Refer to the</w:t>
      </w:r>
      <w:r w:rsidRPr="00B67382">
        <w:rPr>
          <w:rFonts w:cs="Arial"/>
          <w:color w:val="auto"/>
          <w:szCs w:val="16"/>
          <w:lang w:val="en-AU"/>
        </w:rPr>
        <w:t xml:space="preserve"> 2021</w:t>
      </w:r>
      <w:r>
        <w:rPr>
          <w:rFonts w:cs="Arial"/>
          <w:color w:val="auto"/>
          <w:szCs w:val="16"/>
          <w:lang w:val="en-AU"/>
        </w:rPr>
        <w:t>-22</w:t>
      </w:r>
      <w:r w:rsidRPr="00B67382">
        <w:rPr>
          <w:rFonts w:cs="Arial"/>
          <w:color w:val="auto"/>
          <w:szCs w:val="16"/>
          <w:lang w:val="en-AU"/>
        </w:rPr>
        <w:t xml:space="preserve"> Corporate Plan</w:t>
      </w:r>
      <w:r>
        <w:rPr>
          <w:rFonts w:cs="Arial"/>
          <w:color w:val="auto"/>
          <w:szCs w:val="16"/>
          <w:lang w:val="en-AU"/>
        </w:rPr>
        <w:t xml:space="preserve"> for further detail</w:t>
      </w:r>
      <w:r w:rsidRPr="00B67382">
        <w:rPr>
          <w:rFonts w:cs="Arial"/>
          <w:color w:val="auto"/>
          <w:szCs w:val="16"/>
          <w:lang w:val="en-AU"/>
        </w:rPr>
        <w:t>.</w:t>
      </w:r>
    </w:p>
    <w:p w14:paraId="79C24156" w14:textId="77777777" w:rsidR="00490F43" w:rsidRPr="00B67382" w:rsidRDefault="00490F43" w:rsidP="00392A48">
      <w:pPr>
        <w:pStyle w:val="ChartandTableFootnote"/>
        <w:numPr>
          <w:ilvl w:val="0"/>
          <w:numId w:val="80"/>
        </w:numPr>
        <w:ind w:left="284" w:hanging="284"/>
        <w:rPr>
          <w:rFonts w:cs="Arial"/>
          <w:color w:val="auto"/>
          <w:szCs w:val="16"/>
          <w:lang w:val="en-AU"/>
        </w:rPr>
      </w:pPr>
      <w:r w:rsidRPr="00B67382">
        <w:rPr>
          <w:rFonts w:cs="Arial"/>
          <w:color w:val="auto"/>
          <w:szCs w:val="16"/>
          <w:lang w:val="en-AU"/>
        </w:rPr>
        <w:t>Specified IAS activity outcomes for Program 1.2 include improved: educational environment with families; language, social and emotional skills development according to the Australian Early Development Census, school readiness of Indigenous children; student engagement, attendance, retention and attainment; and enrolment in vocational and tertiary education amongst Indigenous Australians.</w:t>
      </w:r>
    </w:p>
    <w:p w14:paraId="2C518B76" w14:textId="77777777" w:rsidR="00490F43" w:rsidRDefault="00490F43" w:rsidP="00490F43">
      <w:pPr>
        <w:spacing w:after="0" w:line="240" w:lineRule="auto"/>
        <w:jc w:val="left"/>
        <w:rPr>
          <w:lang w:val="x-none" w:eastAsia="x-none"/>
        </w:rPr>
      </w:pPr>
      <w:r>
        <w:rPr>
          <w:lang w:val="x-none" w:eastAsia="x-none"/>
        </w:rPr>
        <w:br w:type="page"/>
      </w:r>
    </w:p>
    <w:p w14:paraId="4F5FF439" w14:textId="77777777" w:rsidR="00490F43" w:rsidRDefault="00490F43" w:rsidP="00490F43">
      <w:pPr>
        <w:pStyle w:val="TableHeading"/>
      </w:pPr>
      <w:r>
        <w:rPr>
          <w:lang w:val="en-AU"/>
        </w:rPr>
        <w:t xml:space="preserve">  </w:t>
      </w:r>
      <w:r>
        <w:t>Table 2.1.2</w:t>
      </w:r>
      <w:r w:rsidRPr="00F71634">
        <w:t>: Pe</w:t>
      </w:r>
      <w:r>
        <w:t>rformance measure for Outcome 1 (continued)</w:t>
      </w:r>
    </w:p>
    <w:tbl>
      <w:tblPr>
        <w:tblW w:w="7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119"/>
      </w:tblGrid>
      <w:tr w:rsidR="00490F43" w:rsidRPr="00BF4A72" w14:paraId="65C0556A" w14:textId="77777777" w:rsidTr="00490F43">
        <w:trPr>
          <w:tblHeader/>
        </w:trPr>
        <w:tc>
          <w:tcPr>
            <w:tcW w:w="7684" w:type="dxa"/>
            <w:gridSpan w:val="3"/>
            <w:shd w:val="clear" w:color="auto" w:fill="F2F2F2"/>
          </w:tcPr>
          <w:p w14:paraId="2F291E0D" w14:textId="77777777" w:rsidR="00490F43" w:rsidRPr="00792586" w:rsidRDefault="00490F43" w:rsidP="00490F43">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1.3 – Safety and Wellbeing</w:t>
            </w:r>
          </w:p>
          <w:p w14:paraId="5772AF6A" w14:textId="77777777" w:rsidR="00490F43" w:rsidRPr="00792586" w:rsidRDefault="00490F43" w:rsidP="00490F43">
            <w:pPr>
              <w:tabs>
                <w:tab w:val="left" w:pos="709"/>
              </w:tabs>
              <w:spacing w:before="60" w:after="60" w:line="240" w:lineRule="auto"/>
              <w:rPr>
                <w:rFonts w:ascii="Arial" w:hAnsi="Arial" w:cs="Arial"/>
                <w:sz w:val="16"/>
                <w:szCs w:val="16"/>
              </w:rPr>
            </w:pPr>
            <w:r w:rsidRPr="00EE32E1">
              <w:rPr>
                <w:rFonts w:ascii="Arial" w:hAnsi="Arial" w:cs="Arial"/>
                <w:sz w:val="16"/>
                <w:szCs w:val="16"/>
              </w:rPr>
              <w:t>The objectives of this program are to improve mental health and wellbeing outcomes and ensure Indigenous people, including young Indigenous Australians, enjoy similar levels of physical, emotional and social wellbeing enjoyed by other Australians, and are safe in their homes, families and communities.</w:t>
            </w:r>
          </w:p>
        </w:tc>
      </w:tr>
      <w:tr w:rsidR="00490F43" w:rsidRPr="00BF4A72" w14:paraId="2E6CB0C4" w14:textId="77777777" w:rsidTr="00490F43">
        <w:tc>
          <w:tcPr>
            <w:tcW w:w="1701" w:type="dxa"/>
            <w:tcBorders>
              <w:bottom w:val="double" w:sz="4" w:space="0" w:color="auto"/>
            </w:tcBorders>
          </w:tcPr>
          <w:p w14:paraId="1E99B088" w14:textId="77777777" w:rsidR="00490F43" w:rsidRPr="00792586" w:rsidRDefault="009C51A8" w:rsidP="00490F43">
            <w:pPr>
              <w:tabs>
                <w:tab w:val="left" w:pos="709"/>
              </w:tabs>
              <w:spacing w:before="60" w:after="60" w:line="240" w:lineRule="auto"/>
              <w:rPr>
                <w:rFonts w:ascii="Arial" w:hAnsi="Arial" w:cs="Arial"/>
                <w:b/>
                <w:sz w:val="16"/>
                <w:szCs w:val="16"/>
              </w:rPr>
            </w:pPr>
            <w:r>
              <w:rPr>
                <w:rFonts w:ascii="Arial" w:hAnsi="Arial" w:cs="Arial"/>
                <w:b/>
                <w:sz w:val="16"/>
                <w:szCs w:val="16"/>
              </w:rPr>
              <w:t>Key a</w:t>
            </w:r>
            <w:r w:rsidR="00490F43" w:rsidRPr="00933B29">
              <w:rPr>
                <w:rFonts w:ascii="Arial" w:hAnsi="Arial" w:cs="Arial"/>
                <w:b/>
                <w:sz w:val="16"/>
                <w:szCs w:val="16"/>
              </w:rPr>
              <w:t>ctivities (a)</w:t>
            </w:r>
          </w:p>
        </w:tc>
        <w:tc>
          <w:tcPr>
            <w:tcW w:w="5983" w:type="dxa"/>
            <w:gridSpan w:val="2"/>
            <w:tcBorders>
              <w:bottom w:val="double" w:sz="4" w:space="0" w:color="auto"/>
            </w:tcBorders>
          </w:tcPr>
          <w:p w14:paraId="09160FE6" w14:textId="77777777" w:rsidR="00490F43" w:rsidRPr="00792586" w:rsidRDefault="00490F43" w:rsidP="00490F43">
            <w:pPr>
              <w:tabs>
                <w:tab w:val="left" w:pos="709"/>
              </w:tabs>
              <w:spacing w:before="60" w:after="60" w:line="240" w:lineRule="auto"/>
              <w:rPr>
                <w:rFonts w:ascii="Arial" w:hAnsi="Arial" w:cs="Arial"/>
                <w:i/>
                <w:sz w:val="16"/>
                <w:szCs w:val="16"/>
              </w:rPr>
            </w:pPr>
            <w:r w:rsidRPr="00EE32E1">
              <w:rPr>
                <w:rFonts w:ascii="Arial" w:hAnsi="Arial" w:cs="Arial"/>
                <w:sz w:val="16"/>
                <w:szCs w:val="16"/>
              </w:rPr>
              <w:t>Designing, implementing and delivering policies, strategies and programs designed to improve the mental health, social and emotional wellbeing of Indigenous Australians.</w:t>
            </w:r>
          </w:p>
        </w:tc>
      </w:tr>
      <w:tr w:rsidR="00490F43" w:rsidRPr="00720210" w14:paraId="38A8DD7B" w14:textId="77777777" w:rsidTr="00490F43">
        <w:tc>
          <w:tcPr>
            <w:tcW w:w="1701" w:type="dxa"/>
            <w:tcBorders>
              <w:top w:val="double" w:sz="4" w:space="0" w:color="auto"/>
              <w:bottom w:val="single" w:sz="4" w:space="0" w:color="auto"/>
              <w:right w:val="single" w:sz="4" w:space="0" w:color="auto"/>
            </w:tcBorders>
          </w:tcPr>
          <w:p w14:paraId="1AC60A40"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3A83F1D2"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 xml:space="preserve">Performance </w:t>
            </w:r>
            <w:r>
              <w:rPr>
                <w:rFonts w:ascii="Arial" w:hAnsi="Arial" w:cs="Arial"/>
                <w:b/>
                <w:sz w:val="16"/>
                <w:szCs w:val="16"/>
              </w:rPr>
              <w:t>measures</w:t>
            </w:r>
          </w:p>
        </w:tc>
        <w:tc>
          <w:tcPr>
            <w:tcW w:w="3119" w:type="dxa"/>
            <w:tcBorders>
              <w:top w:val="double" w:sz="4" w:space="0" w:color="auto"/>
              <w:left w:val="single" w:sz="4" w:space="0" w:color="auto"/>
              <w:bottom w:val="single" w:sz="4" w:space="0" w:color="auto"/>
            </w:tcBorders>
          </w:tcPr>
          <w:p w14:paraId="72E0E472" w14:textId="77777777" w:rsidR="00490F43" w:rsidRPr="00792586" w:rsidRDefault="009C51A8" w:rsidP="00490F43">
            <w:pPr>
              <w:tabs>
                <w:tab w:val="left" w:pos="709"/>
              </w:tabs>
              <w:spacing w:before="60" w:after="60" w:line="240" w:lineRule="auto"/>
              <w:rPr>
                <w:rFonts w:ascii="Arial" w:hAnsi="Arial" w:cs="Arial"/>
                <w:b/>
                <w:sz w:val="16"/>
                <w:szCs w:val="16"/>
                <w:highlight w:val="yellow"/>
              </w:rPr>
            </w:pPr>
            <w:r>
              <w:rPr>
                <w:rFonts w:ascii="Arial" w:hAnsi="Arial" w:cs="Arial"/>
                <w:b/>
                <w:sz w:val="16"/>
                <w:szCs w:val="16"/>
              </w:rPr>
              <w:t>Expected performance r</w:t>
            </w:r>
            <w:r w:rsidR="00490F43" w:rsidRPr="00F509FD">
              <w:rPr>
                <w:rFonts w:ascii="Arial" w:hAnsi="Arial" w:cs="Arial"/>
                <w:b/>
                <w:sz w:val="16"/>
                <w:szCs w:val="16"/>
              </w:rPr>
              <w:t>esults</w:t>
            </w:r>
          </w:p>
        </w:tc>
      </w:tr>
      <w:tr w:rsidR="00490F43" w:rsidRPr="00720210" w14:paraId="380F4BED" w14:textId="77777777" w:rsidTr="00490F43">
        <w:tc>
          <w:tcPr>
            <w:tcW w:w="1701" w:type="dxa"/>
            <w:tcBorders>
              <w:top w:val="single" w:sz="4" w:space="0" w:color="auto"/>
              <w:bottom w:val="single" w:sz="4" w:space="0" w:color="auto"/>
              <w:right w:val="single" w:sz="4" w:space="0" w:color="auto"/>
            </w:tcBorders>
          </w:tcPr>
          <w:p w14:paraId="41457919" w14:textId="77777777" w:rsidR="00490F43" w:rsidRPr="00F509FD" w:rsidRDefault="00490F43" w:rsidP="00490F43">
            <w:pPr>
              <w:tabs>
                <w:tab w:val="left" w:pos="709"/>
              </w:tabs>
              <w:spacing w:before="60" w:after="60" w:line="240" w:lineRule="auto"/>
              <w:rPr>
                <w:rFonts w:ascii="Arial" w:hAnsi="Arial" w:cs="Arial"/>
                <w:sz w:val="16"/>
                <w:szCs w:val="16"/>
              </w:rPr>
            </w:pPr>
            <w:r w:rsidRPr="00F509FD">
              <w:rPr>
                <w:rFonts w:ascii="Arial" w:hAnsi="Arial" w:cs="Arial"/>
                <w:sz w:val="16"/>
                <w:szCs w:val="16"/>
              </w:rPr>
              <w:t xml:space="preserve">Current year </w:t>
            </w:r>
          </w:p>
          <w:p w14:paraId="21437D84"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2021-22</w:t>
            </w:r>
          </w:p>
        </w:tc>
        <w:tc>
          <w:tcPr>
            <w:tcW w:w="2864" w:type="dxa"/>
            <w:tcBorders>
              <w:top w:val="single" w:sz="4" w:space="0" w:color="auto"/>
              <w:left w:val="single" w:sz="4" w:space="0" w:color="auto"/>
              <w:bottom w:val="single" w:sz="4" w:space="0" w:color="auto"/>
              <w:right w:val="single" w:sz="4" w:space="0" w:color="auto"/>
            </w:tcBorders>
          </w:tcPr>
          <w:p w14:paraId="3532E4BB" w14:textId="77777777" w:rsidR="00490F43" w:rsidRPr="00792586" w:rsidRDefault="009C51A8" w:rsidP="00490F43">
            <w:pPr>
              <w:tabs>
                <w:tab w:val="left" w:pos="709"/>
              </w:tabs>
              <w:spacing w:beforeLines="60" w:before="144" w:afterLines="60" w:after="144" w:line="276" w:lineRule="auto"/>
              <w:jc w:val="left"/>
              <w:rPr>
                <w:rFonts w:ascii="Arial" w:hAnsi="Arial" w:cs="Arial"/>
                <w:i/>
                <w:sz w:val="16"/>
                <w:szCs w:val="16"/>
                <w:highlight w:val="yellow"/>
              </w:rPr>
            </w:pPr>
            <w:r>
              <w:rPr>
                <w:rFonts w:ascii="Arial" w:hAnsi="Arial" w:cs="Arial"/>
                <w:sz w:val="16"/>
                <w:szCs w:val="16"/>
              </w:rPr>
              <w:t xml:space="preserve">The </w:t>
            </w:r>
            <w:r w:rsidR="00490F43" w:rsidRPr="00F509FD">
              <w:rPr>
                <w:rFonts w:ascii="Arial" w:hAnsi="Arial" w:cs="Arial"/>
                <w:sz w:val="16"/>
                <w:szCs w:val="16"/>
              </w:rPr>
              <w:t>IAS activities contribute towards improved mental health and wellbeing outcomes, reduced levels of offending, violence and substance abuse</w:t>
            </w:r>
          </w:p>
        </w:tc>
        <w:tc>
          <w:tcPr>
            <w:tcW w:w="3119" w:type="dxa"/>
            <w:tcBorders>
              <w:top w:val="single" w:sz="4" w:space="0" w:color="auto"/>
              <w:left w:val="single" w:sz="4" w:space="0" w:color="auto"/>
              <w:bottom w:val="single" w:sz="4" w:space="0" w:color="auto"/>
            </w:tcBorders>
          </w:tcPr>
          <w:p w14:paraId="7C7DA11D" w14:textId="77777777" w:rsidR="00490F43" w:rsidRPr="00F509FD" w:rsidRDefault="00490F43" w:rsidP="00490F43">
            <w:pPr>
              <w:spacing w:beforeLines="60" w:before="144" w:afterLines="60" w:after="144" w:line="276" w:lineRule="auto"/>
              <w:ind w:right="34"/>
              <w:jc w:val="left"/>
              <w:rPr>
                <w:rFonts w:ascii="Arial" w:hAnsi="Arial" w:cs="Arial"/>
                <w:b/>
                <w:sz w:val="16"/>
                <w:szCs w:val="16"/>
              </w:rPr>
            </w:pPr>
            <w:r w:rsidRPr="00F509FD">
              <w:rPr>
                <w:rFonts w:ascii="Arial" w:hAnsi="Arial" w:cs="Arial"/>
                <w:b/>
                <w:sz w:val="16"/>
                <w:szCs w:val="16"/>
              </w:rPr>
              <w:t xml:space="preserve">Target: </w:t>
            </w:r>
            <w:r w:rsidRPr="00F509FD">
              <w:rPr>
                <w:rFonts w:ascii="Arial" w:hAnsi="Arial" w:cs="Arial"/>
                <w:sz w:val="16"/>
                <w:szCs w:val="16"/>
              </w:rPr>
              <w:t>90 per cent of IAS Program a</w:t>
            </w:r>
            <w:r w:rsidR="009C51A8">
              <w:rPr>
                <w:rFonts w:ascii="Arial" w:hAnsi="Arial" w:cs="Arial"/>
                <w:sz w:val="16"/>
                <w:szCs w:val="16"/>
              </w:rPr>
              <w:t>ctivities are assessed by NIAA agreement m</w:t>
            </w:r>
            <w:r w:rsidRPr="00F509FD">
              <w:rPr>
                <w:rFonts w:ascii="Arial" w:hAnsi="Arial" w:cs="Arial"/>
                <w:sz w:val="16"/>
                <w:szCs w:val="16"/>
              </w:rPr>
              <w:t xml:space="preserve">anagers as having core service delivery elements </w:t>
            </w:r>
            <w:r w:rsidR="009C51A8">
              <w:rPr>
                <w:rFonts w:ascii="Arial" w:hAnsi="Arial" w:cs="Arial"/>
                <w:sz w:val="16"/>
                <w:szCs w:val="16"/>
              </w:rPr>
              <w:t>that</w:t>
            </w:r>
            <w:r w:rsidRPr="00F509FD">
              <w:rPr>
                <w:rFonts w:ascii="Arial" w:hAnsi="Arial" w:cs="Arial"/>
                <w:sz w:val="16"/>
                <w:szCs w:val="16"/>
              </w:rPr>
              <w:t xml:space="preserve"> met or exceeded requirements (b).</w:t>
            </w:r>
          </w:p>
          <w:p w14:paraId="7A9AC4CD" w14:textId="77777777" w:rsidR="00490F43" w:rsidRPr="00F509FD" w:rsidRDefault="00490F43" w:rsidP="00490F43">
            <w:pPr>
              <w:spacing w:beforeLines="60" w:before="144" w:afterLines="60" w:after="144" w:line="276" w:lineRule="auto"/>
              <w:ind w:right="34"/>
              <w:jc w:val="left"/>
              <w:rPr>
                <w:rFonts w:ascii="Arial" w:hAnsi="Arial" w:cs="Arial"/>
                <w:b/>
                <w:sz w:val="16"/>
                <w:szCs w:val="16"/>
              </w:rPr>
            </w:pPr>
            <w:r w:rsidRPr="00F509FD">
              <w:rPr>
                <w:rFonts w:ascii="Arial" w:hAnsi="Arial" w:cs="Arial"/>
                <w:b/>
                <w:sz w:val="16"/>
                <w:szCs w:val="16"/>
              </w:rPr>
              <w:t>On Track</w:t>
            </w:r>
          </w:p>
          <w:p w14:paraId="1E7CE2A3" w14:textId="77777777" w:rsidR="00490F43" w:rsidRPr="00F509FD" w:rsidRDefault="00490F43" w:rsidP="00490F43">
            <w:pPr>
              <w:spacing w:beforeLines="60" w:before="144" w:afterLines="60" w:after="144" w:line="276" w:lineRule="auto"/>
              <w:rPr>
                <w:rFonts w:ascii="Arial" w:hAnsi="Arial" w:cs="Arial"/>
                <w:i/>
                <w:sz w:val="16"/>
                <w:szCs w:val="16"/>
                <w:highlight w:val="yellow"/>
              </w:rPr>
            </w:pPr>
            <w:r w:rsidRPr="00F509FD">
              <w:rPr>
                <w:rFonts w:ascii="Arial" w:hAnsi="Arial" w:cs="Arial"/>
                <w:sz w:val="16"/>
                <w:szCs w:val="16"/>
              </w:rPr>
              <w:t>- The results will be published in the agency’s 2021–22 Annual Report.</w:t>
            </w:r>
          </w:p>
        </w:tc>
      </w:tr>
      <w:tr w:rsidR="00490F43" w:rsidRPr="00720210" w14:paraId="4081EF12" w14:textId="77777777" w:rsidTr="00490F43">
        <w:tc>
          <w:tcPr>
            <w:tcW w:w="1701" w:type="dxa"/>
            <w:tcBorders>
              <w:top w:val="single" w:sz="4" w:space="0" w:color="auto"/>
              <w:bottom w:val="single" w:sz="4" w:space="0" w:color="auto"/>
              <w:right w:val="single" w:sz="4" w:space="0" w:color="auto"/>
            </w:tcBorders>
          </w:tcPr>
          <w:p w14:paraId="3DE08C3A"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2864" w:type="dxa"/>
            <w:tcBorders>
              <w:top w:val="single" w:sz="4" w:space="0" w:color="auto"/>
              <w:left w:val="single" w:sz="4" w:space="0" w:color="auto"/>
              <w:bottom w:val="single" w:sz="4" w:space="0" w:color="auto"/>
              <w:right w:val="single" w:sz="4" w:space="0" w:color="auto"/>
            </w:tcBorders>
          </w:tcPr>
          <w:p w14:paraId="6A7071B2"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 xml:space="preserve">Performance </w:t>
            </w:r>
            <w:r>
              <w:rPr>
                <w:rFonts w:ascii="Arial" w:hAnsi="Arial" w:cs="Arial"/>
                <w:b/>
                <w:sz w:val="16"/>
                <w:szCs w:val="16"/>
              </w:rPr>
              <w:t>measures</w:t>
            </w:r>
          </w:p>
        </w:tc>
        <w:tc>
          <w:tcPr>
            <w:tcW w:w="3119" w:type="dxa"/>
            <w:tcBorders>
              <w:top w:val="single" w:sz="4" w:space="0" w:color="auto"/>
              <w:left w:val="single" w:sz="4" w:space="0" w:color="auto"/>
              <w:bottom w:val="single" w:sz="4" w:space="0" w:color="auto"/>
            </w:tcBorders>
          </w:tcPr>
          <w:p w14:paraId="76C6B7B1" w14:textId="77777777" w:rsidR="00490F43" w:rsidRPr="00792586" w:rsidRDefault="009C51A8" w:rsidP="00490F43">
            <w:pPr>
              <w:tabs>
                <w:tab w:val="left" w:pos="709"/>
              </w:tabs>
              <w:spacing w:before="60" w:after="60" w:line="240" w:lineRule="auto"/>
              <w:rPr>
                <w:rFonts w:ascii="Arial" w:hAnsi="Arial" w:cs="Arial"/>
                <w:b/>
                <w:sz w:val="16"/>
                <w:szCs w:val="16"/>
                <w:highlight w:val="yellow"/>
              </w:rPr>
            </w:pPr>
            <w:r>
              <w:rPr>
                <w:rFonts w:ascii="Arial" w:hAnsi="Arial" w:cs="Arial"/>
                <w:b/>
                <w:sz w:val="16"/>
                <w:szCs w:val="16"/>
              </w:rPr>
              <w:t>Expected performance re</w:t>
            </w:r>
            <w:r w:rsidR="00490F43" w:rsidRPr="00F509FD">
              <w:rPr>
                <w:rFonts w:ascii="Arial" w:hAnsi="Arial" w:cs="Arial"/>
                <w:b/>
                <w:sz w:val="16"/>
                <w:szCs w:val="16"/>
              </w:rPr>
              <w:t>sults</w:t>
            </w:r>
          </w:p>
        </w:tc>
      </w:tr>
      <w:tr w:rsidR="00490F43" w:rsidRPr="00720210" w14:paraId="49DCA1D1" w14:textId="77777777" w:rsidTr="00490F43">
        <w:tc>
          <w:tcPr>
            <w:tcW w:w="1701" w:type="dxa"/>
            <w:tcBorders>
              <w:top w:val="single" w:sz="4" w:space="0" w:color="auto"/>
              <w:bottom w:val="single" w:sz="4" w:space="0" w:color="auto"/>
              <w:right w:val="single" w:sz="4" w:space="0" w:color="auto"/>
            </w:tcBorders>
          </w:tcPr>
          <w:p w14:paraId="53BD636C" w14:textId="77777777" w:rsidR="00490F43" w:rsidRDefault="009C51A8" w:rsidP="00490F43">
            <w:pPr>
              <w:tabs>
                <w:tab w:val="left" w:pos="709"/>
              </w:tabs>
              <w:spacing w:before="60" w:after="60" w:line="240" w:lineRule="auto"/>
              <w:rPr>
                <w:rFonts w:ascii="Arial" w:hAnsi="Arial" w:cs="Arial"/>
                <w:sz w:val="16"/>
                <w:szCs w:val="16"/>
              </w:rPr>
            </w:pPr>
            <w:r>
              <w:rPr>
                <w:rFonts w:ascii="Arial" w:hAnsi="Arial" w:cs="Arial"/>
                <w:sz w:val="16"/>
                <w:szCs w:val="16"/>
              </w:rPr>
              <w:t>Budget y</w:t>
            </w:r>
            <w:r w:rsidR="00490F43" w:rsidRPr="00F509FD">
              <w:rPr>
                <w:rFonts w:ascii="Arial" w:hAnsi="Arial" w:cs="Arial"/>
                <w:sz w:val="16"/>
                <w:szCs w:val="16"/>
              </w:rPr>
              <w:t xml:space="preserve">ear    </w:t>
            </w:r>
          </w:p>
          <w:p w14:paraId="239C16EE"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2022-23</w:t>
            </w:r>
          </w:p>
        </w:tc>
        <w:tc>
          <w:tcPr>
            <w:tcW w:w="2864" w:type="dxa"/>
            <w:tcBorders>
              <w:top w:val="single" w:sz="4" w:space="0" w:color="auto"/>
              <w:left w:val="single" w:sz="4" w:space="0" w:color="auto"/>
              <w:bottom w:val="single" w:sz="4" w:space="0" w:color="auto"/>
              <w:right w:val="single" w:sz="4" w:space="0" w:color="auto"/>
            </w:tcBorders>
          </w:tcPr>
          <w:p w14:paraId="36286321" w14:textId="77777777" w:rsidR="00490F43" w:rsidRPr="00792586" w:rsidRDefault="00490F43" w:rsidP="00490F43">
            <w:pPr>
              <w:tabs>
                <w:tab w:val="left" w:pos="709"/>
              </w:tabs>
              <w:spacing w:before="60" w:after="60" w:line="240" w:lineRule="auto"/>
              <w:jc w:val="left"/>
              <w:rPr>
                <w:rFonts w:ascii="Arial" w:hAnsi="Arial" w:cs="Arial"/>
                <w:sz w:val="16"/>
                <w:szCs w:val="16"/>
                <w:highlight w:val="yellow"/>
              </w:rPr>
            </w:pPr>
            <w:r w:rsidRPr="00F509FD">
              <w:rPr>
                <w:rFonts w:ascii="Arial" w:hAnsi="Arial" w:cs="Arial"/>
                <w:sz w:val="16"/>
                <w:szCs w:val="16"/>
              </w:rPr>
              <w:t>IAS activities contribute towards improved mental health and wellbeing outcomes, reduced levels of offending, violence and substance abuse</w:t>
            </w:r>
          </w:p>
        </w:tc>
        <w:tc>
          <w:tcPr>
            <w:tcW w:w="3119" w:type="dxa"/>
            <w:tcBorders>
              <w:top w:val="single" w:sz="4" w:space="0" w:color="auto"/>
              <w:left w:val="single" w:sz="4" w:space="0" w:color="auto"/>
              <w:bottom w:val="single" w:sz="4" w:space="0" w:color="auto"/>
            </w:tcBorders>
          </w:tcPr>
          <w:p w14:paraId="466FCB72" w14:textId="77777777" w:rsidR="00490F43" w:rsidRPr="00792586" w:rsidRDefault="00490F43" w:rsidP="00490F43">
            <w:pPr>
              <w:tabs>
                <w:tab w:val="left" w:pos="709"/>
              </w:tabs>
              <w:spacing w:before="60" w:after="60" w:line="240" w:lineRule="auto"/>
              <w:jc w:val="left"/>
              <w:rPr>
                <w:rFonts w:ascii="Arial" w:hAnsi="Arial" w:cs="Arial"/>
                <w:sz w:val="16"/>
                <w:szCs w:val="16"/>
                <w:highlight w:val="yellow"/>
              </w:rPr>
            </w:pPr>
            <w:r w:rsidRPr="00F509FD">
              <w:rPr>
                <w:rFonts w:ascii="Arial" w:hAnsi="Arial" w:cs="Arial"/>
                <w:b/>
                <w:sz w:val="16"/>
                <w:szCs w:val="16"/>
              </w:rPr>
              <w:t>Target</w:t>
            </w:r>
            <w:r w:rsidRPr="00F509FD">
              <w:rPr>
                <w:rFonts w:ascii="Arial" w:hAnsi="Arial" w:cs="Arial"/>
                <w:sz w:val="16"/>
                <w:szCs w:val="16"/>
              </w:rPr>
              <w:t>: 90 per cent of IAS Program a</w:t>
            </w:r>
            <w:r w:rsidR="009C51A8">
              <w:rPr>
                <w:rFonts w:ascii="Arial" w:hAnsi="Arial" w:cs="Arial"/>
                <w:sz w:val="16"/>
                <w:szCs w:val="16"/>
              </w:rPr>
              <w:t>ctivities are assessed by NIAA agreement m</w:t>
            </w:r>
            <w:r w:rsidRPr="00F509FD">
              <w:rPr>
                <w:rFonts w:ascii="Arial" w:hAnsi="Arial" w:cs="Arial"/>
                <w:sz w:val="16"/>
                <w:szCs w:val="16"/>
              </w:rPr>
              <w:t>anagers as having core service delivery elements which met or exceeded requirements (b).</w:t>
            </w:r>
          </w:p>
        </w:tc>
      </w:tr>
      <w:tr w:rsidR="00490F43" w:rsidRPr="00720210" w14:paraId="4D7FA0B6" w14:textId="77777777" w:rsidTr="00490F43">
        <w:tc>
          <w:tcPr>
            <w:tcW w:w="1701" w:type="dxa"/>
            <w:tcBorders>
              <w:top w:val="single" w:sz="4" w:space="0" w:color="auto"/>
              <w:right w:val="single" w:sz="4" w:space="0" w:color="auto"/>
            </w:tcBorders>
          </w:tcPr>
          <w:p w14:paraId="30389AC1" w14:textId="77777777" w:rsidR="00490F43" w:rsidRPr="00F509FD" w:rsidRDefault="009C51A8" w:rsidP="00490F43">
            <w:pPr>
              <w:tabs>
                <w:tab w:val="left" w:pos="709"/>
              </w:tabs>
              <w:spacing w:before="60" w:after="60" w:line="240" w:lineRule="auto"/>
              <w:rPr>
                <w:rFonts w:ascii="Arial" w:hAnsi="Arial" w:cs="Arial"/>
                <w:sz w:val="16"/>
                <w:szCs w:val="16"/>
              </w:rPr>
            </w:pPr>
            <w:r>
              <w:rPr>
                <w:rFonts w:ascii="Arial" w:hAnsi="Arial" w:cs="Arial"/>
                <w:sz w:val="16"/>
                <w:szCs w:val="16"/>
              </w:rPr>
              <w:t>Forward e</w:t>
            </w:r>
            <w:r w:rsidR="00490F43" w:rsidRPr="00F509FD">
              <w:rPr>
                <w:rFonts w:ascii="Arial" w:hAnsi="Arial" w:cs="Arial"/>
                <w:sz w:val="16"/>
                <w:szCs w:val="16"/>
              </w:rPr>
              <w:t xml:space="preserve">stimates </w:t>
            </w:r>
          </w:p>
          <w:p w14:paraId="0695B110"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2023-26</w:t>
            </w:r>
          </w:p>
        </w:tc>
        <w:tc>
          <w:tcPr>
            <w:tcW w:w="2864" w:type="dxa"/>
            <w:tcBorders>
              <w:top w:val="single" w:sz="4" w:space="0" w:color="auto"/>
              <w:left w:val="single" w:sz="4" w:space="0" w:color="auto"/>
              <w:right w:val="single" w:sz="4" w:space="0" w:color="auto"/>
            </w:tcBorders>
          </w:tcPr>
          <w:p w14:paraId="37B66936" w14:textId="77777777" w:rsidR="00490F43" w:rsidRPr="00792586" w:rsidRDefault="00490F43" w:rsidP="00490F43">
            <w:pPr>
              <w:tabs>
                <w:tab w:val="left" w:pos="709"/>
              </w:tabs>
              <w:spacing w:before="60" w:after="60" w:line="240" w:lineRule="auto"/>
              <w:jc w:val="left"/>
              <w:rPr>
                <w:rFonts w:ascii="Arial" w:hAnsi="Arial" w:cs="Arial"/>
                <w:i/>
                <w:sz w:val="16"/>
                <w:szCs w:val="16"/>
                <w:highlight w:val="yellow"/>
              </w:rPr>
            </w:pPr>
            <w:r w:rsidRPr="00792586">
              <w:rPr>
                <w:rFonts w:ascii="Arial" w:hAnsi="Arial" w:cs="Arial"/>
                <w:sz w:val="16"/>
                <w:szCs w:val="16"/>
              </w:rPr>
              <w:t>As per 20</w:t>
            </w:r>
            <w:r>
              <w:rPr>
                <w:rFonts w:ascii="Arial" w:hAnsi="Arial" w:cs="Arial"/>
                <w:sz w:val="16"/>
                <w:szCs w:val="16"/>
              </w:rPr>
              <w:t>22-23</w:t>
            </w:r>
          </w:p>
        </w:tc>
        <w:tc>
          <w:tcPr>
            <w:tcW w:w="3119" w:type="dxa"/>
            <w:tcBorders>
              <w:top w:val="single" w:sz="4" w:space="0" w:color="auto"/>
              <w:left w:val="single" w:sz="4" w:space="0" w:color="auto"/>
            </w:tcBorders>
          </w:tcPr>
          <w:p w14:paraId="6BEF1182" w14:textId="77777777" w:rsidR="00490F43" w:rsidRPr="00792586" w:rsidRDefault="00490F43" w:rsidP="00490F43">
            <w:pPr>
              <w:tabs>
                <w:tab w:val="left" w:pos="709"/>
              </w:tabs>
              <w:spacing w:before="60" w:after="60" w:line="240" w:lineRule="auto"/>
              <w:jc w:val="left"/>
              <w:rPr>
                <w:rFonts w:ascii="Arial" w:hAnsi="Arial" w:cs="Arial"/>
                <w:sz w:val="16"/>
                <w:szCs w:val="16"/>
                <w:highlight w:val="yellow"/>
              </w:rPr>
            </w:pPr>
            <w:r w:rsidRPr="00792586">
              <w:rPr>
                <w:rFonts w:ascii="Arial" w:hAnsi="Arial" w:cs="Arial"/>
                <w:sz w:val="16"/>
                <w:szCs w:val="16"/>
              </w:rPr>
              <w:t>As per 20</w:t>
            </w:r>
            <w:r>
              <w:rPr>
                <w:rFonts w:ascii="Arial" w:hAnsi="Arial" w:cs="Arial"/>
                <w:sz w:val="16"/>
                <w:szCs w:val="16"/>
              </w:rPr>
              <w:t>22-23</w:t>
            </w:r>
          </w:p>
        </w:tc>
      </w:tr>
    </w:tbl>
    <w:p w14:paraId="344542F4" w14:textId="77777777" w:rsidR="00490F43" w:rsidRPr="005F10DE" w:rsidRDefault="00490F43" w:rsidP="00392A48">
      <w:pPr>
        <w:pStyle w:val="ChartandTableFootnote"/>
        <w:numPr>
          <w:ilvl w:val="0"/>
          <w:numId w:val="81"/>
        </w:numPr>
        <w:ind w:left="284" w:hanging="284"/>
        <w:rPr>
          <w:rFonts w:cs="Arial"/>
          <w:color w:val="auto"/>
          <w:szCs w:val="16"/>
        </w:rPr>
      </w:pPr>
      <w:r>
        <w:rPr>
          <w:rFonts w:cs="Arial"/>
          <w:color w:val="auto"/>
          <w:szCs w:val="16"/>
          <w:lang w:val="en-AU"/>
        </w:rPr>
        <w:t>Refer to</w:t>
      </w:r>
      <w:r w:rsidRPr="005F10DE">
        <w:rPr>
          <w:rFonts w:cs="Arial"/>
          <w:color w:val="auto"/>
          <w:szCs w:val="16"/>
        </w:rPr>
        <w:t xml:space="preserve"> the 2021</w:t>
      </w:r>
      <w:r>
        <w:rPr>
          <w:rFonts w:cs="Arial"/>
          <w:color w:val="auto"/>
          <w:szCs w:val="16"/>
          <w:lang w:val="en-AU"/>
        </w:rPr>
        <w:t>-22</w:t>
      </w:r>
      <w:r w:rsidRPr="005F10DE">
        <w:rPr>
          <w:rFonts w:cs="Arial"/>
          <w:color w:val="auto"/>
          <w:szCs w:val="16"/>
        </w:rPr>
        <w:t xml:space="preserve"> </w:t>
      </w:r>
      <w:r>
        <w:rPr>
          <w:rFonts w:cs="Arial"/>
          <w:color w:val="auto"/>
          <w:szCs w:val="16"/>
        </w:rPr>
        <w:t>Corporate Plan</w:t>
      </w:r>
      <w:r>
        <w:rPr>
          <w:rFonts w:cs="Arial"/>
          <w:color w:val="auto"/>
          <w:szCs w:val="16"/>
          <w:lang w:val="en-AU"/>
        </w:rPr>
        <w:t xml:space="preserve"> for further detail</w:t>
      </w:r>
      <w:r w:rsidRPr="005F10DE">
        <w:rPr>
          <w:rFonts w:cs="Arial"/>
          <w:color w:val="auto"/>
          <w:szCs w:val="16"/>
        </w:rPr>
        <w:t>.</w:t>
      </w:r>
    </w:p>
    <w:p w14:paraId="60266680" w14:textId="77777777" w:rsidR="00490F43" w:rsidRPr="00EE32E1" w:rsidRDefault="00490F43" w:rsidP="00392A48">
      <w:pPr>
        <w:pStyle w:val="ChartandTableFootnote"/>
        <w:numPr>
          <w:ilvl w:val="0"/>
          <w:numId w:val="81"/>
        </w:numPr>
        <w:ind w:left="284" w:hanging="284"/>
        <w:rPr>
          <w:rFonts w:cs="Arial"/>
          <w:color w:val="auto"/>
          <w:szCs w:val="16"/>
          <w:lang w:val="en-AU"/>
        </w:rPr>
      </w:pPr>
      <w:r w:rsidRPr="00EE32E1">
        <w:rPr>
          <w:rFonts w:cs="Arial"/>
          <w:color w:val="auto"/>
          <w:szCs w:val="16"/>
          <w:lang w:val="en-AU"/>
        </w:rPr>
        <w:t>Specified IAS activity outcomes for Program 1.3 include: improved community safety and security; crime prevention; reduced family domestic violence, harm and distress amongst victims of violence; improved victim support and increased understanding of legal rights and available support; increased support of families dealing with critical mental health incidents; reduced anti-social behaviour and improved community engagement amongst Indigenous youth; reduced substance misuse and harm; and improved community awareness of available on demand support.</w:t>
      </w:r>
    </w:p>
    <w:p w14:paraId="3C3730DD" w14:textId="77777777" w:rsidR="00490F43" w:rsidRPr="006E0F35" w:rsidRDefault="00490F43" w:rsidP="00490F43">
      <w:pPr>
        <w:pStyle w:val="ChartandTableFootnoteAlpha"/>
      </w:pPr>
      <w:r w:rsidRPr="006E0F35">
        <w:t>.</w:t>
      </w:r>
    </w:p>
    <w:p w14:paraId="2C5A6B7F" w14:textId="77777777" w:rsidR="00490F43" w:rsidRDefault="00490F43" w:rsidP="00490F43">
      <w:pPr>
        <w:rPr>
          <w:lang w:val="x-none" w:eastAsia="x-none"/>
        </w:rPr>
        <w:sectPr w:rsidR="00490F43" w:rsidSect="00490F43">
          <w:headerReference w:type="default" r:id="rId286"/>
          <w:pgSz w:w="11906" w:h="16838" w:code="9"/>
          <w:pgMar w:top="2410" w:right="2098" w:bottom="2466" w:left="2098" w:header="1899" w:footer="1899" w:gutter="0"/>
          <w:cols w:space="708"/>
          <w:docGrid w:linePitch="360"/>
        </w:sectPr>
      </w:pPr>
    </w:p>
    <w:p w14:paraId="23DABF7B" w14:textId="77777777" w:rsidR="00490F43" w:rsidRDefault="00490F43" w:rsidP="00490F43">
      <w:pPr>
        <w:pStyle w:val="TableHeading"/>
      </w:pPr>
      <w:r>
        <w:rPr>
          <w:lang w:val="en-AU"/>
        </w:rPr>
        <w:t xml:space="preserve">  </w:t>
      </w:r>
      <w:r>
        <w:t>Table 2.1.2</w:t>
      </w:r>
      <w:r w:rsidRPr="00F71634">
        <w:t>: Pe</w:t>
      </w:r>
      <w:r>
        <w:t xml:space="preserve">rformance </w:t>
      </w:r>
      <w:r>
        <w:rPr>
          <w:lang w:val="en-AU"/>
        </w:rPr>
        <w:t>measure</w:t>
      </w:r>
      <w:r>
        <w:t xml:space="preserve">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490F43" w:rsidRPr="00BF4A72" w14:paraId="744E0C6D" w14:textId="77777777" w:rsidTr="00490F43">
        <w:trPr>
          <w:tblHeader/>
        </w:trPr>
        <w:tc>
          <w:tcPr>
            <w:tcW w:w="7825" w:type="dxa"/>
            <w:gridSpan w:val="3"/>
            <w:shd w:val="clear" w:color="auto" w:fill="F2F2F2"/>
          </w:tcPr>
          <w:p w14:paraId="19F08B15" w14:textId="77777777" w:rsidR="00490F43" w:rsidRPr="00792586" w:rsidRDefault="00490F43" w:rsidP="00490F43">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1.4 – Culture and Capability</w:t>
            </w:r>
          </w:p>
          <w:p w14:paraId="3C145D5A" w14:textId="77777777" w:rsidR="00490F43" w:rsidRPr="00792586" w:rsidRDefault="00490F43" w:rsidP="00490F43">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The objectives of this program are to support Aboriginal and Torres Strait Islander people to maintain their culture, participate equally in the economic and social life of the nation and ensuring that Indigenous organisations are capable of delivering quality services to their clients, particularly in remote areas.</w:t>
            </w:r>
          </w:p>
        </w:tc>
      </w:tr>
      <w:tr w:rsidR="00490F43" w:rsidRPr="00BF4A72" w14:paraId="4540DD84" w14:textId="77777777" w:rsidTr="00490F43">
        <w:tc>
          <w:tcPr>
            <w:tcW w:w="1701" w:type="dxa"/>
            <w:tcBorders>
              <w:bottom w:val="double" w:sz="4" w:space="0" w:color="auto"/>
            </w:tcBorders>
          </w:tcPr>
          <w:p w14:paraId="713F9D6B" w14:textId="77777777" w:rsidR="00490F43" w:rsidRPr="00792586" w:rsidRDefault="00490F43" w:rsidP="009C51A8">
            <w:pPr>
              <w:tabs>
                <w:tab w:val="left" w:pos="709"/>
              </w:tabs>
              <w:spacing w:before="60" w:after="60" w:line="240" w:lineRule="auto"/>
              <w:rPr>
                <w:rFonts w:ascii="Arial" w:hAnsi="Arial" w:cs="Arial"/>
                <w:b/>
                <w:sz w:val="16"/>
                <w:szCs w:val="16"/>
              </w:rPr>
            </w:pPr>
            <w:r w:rsidRPr="00933B29">
              <w:rPr>
                <w:rFonts w:ascii="Arial" w:hAnsi="Arial" w:cs="Arial"/>
                <w:b/>
                <w:sz w:val="16"/>
                <w:szCs w:val="16"/>
              </w:rPr>
              <w:t xml:space="preserve">Key </w:t>
            </w:r>
            <w:r w:rsidR="009C51A8">
              <w:rPr>
                <w:rFonts w:ascii="Arial" w:hAnsi="Arial" w:cs="Arial"/>
                <w:b/>
                <w:sz w:val="16"/>
                <w:szCs w:val="16"/>
              </w:rPr>
              <w:t>a</w:t>
            </w:r>
            <w:r w:rsidRPr="00933B29">
              <w:rPr>
                <w:rFonts w:ascii="Arial" w:hAnsi="Arial" w:cs="Arial"/>
                <w:b/>
                <w:sz w:val="16"/>
                <w:szCs w:val="16"/>
              </w:rPr>
              <w:t>ctivities (a)</w:t>
            </w:r>
          </w:p>
        </w:tc>
        <w:tc>
          <w:tcPr>
            <w:tcW w:w="6124" w:type="dxa"/>
            <w:gridSpan w:val="2"/>
            <w:tcBorders>
              <w:bottom w:val="double" w:sz="4" w:space="0" w:color="auto"/>
            </w:tcBorders>
          </w:tcPr>
          <w:p w14:paraId="3086FA66" w14:textId="77777777" w:rsidR="00490F43" w:rsidRPr="00792586" w:rsidRDefault="00490F43" w:rsidP="00490F43">
            <w:pPr>
              <w:tabs>
                <w:tab w:val="left" w:pos="709"/>
              </w:tabs>
              <w:spacing w:before="60" w:after="60" w:line="240" w:lineRule="auto"/>
              <w:rPr>
                <w:rFonts w:ascii="Arial" w:eastAsia="Calibri" w:hAnsi="Arial" w:cs="Arial"/>
                <w:sz w:val="16"/>
                <w:szCs w:val="16"/>
                <w:lang w:val="en-US"/>
              </w:rPr>
            </w:pPr>
            <w:r w:rsidRPr="00A07759">
              <w:rPr>
                <w:rFonts w:ascii="Arial" w:hAnsi="Arial" w:cs="Arial"/>
                <w:sz w:val="16"/>
                <w:szCs w:val="16"/>
              </w:rPr>
              <w:t>Designing, implementing and delivering policies, strategies and programs designed to ensure the maintenance of Indigenous cultural expression and conservation, and support the participation in policy development and decision-making in partnership with governments.</w:t>
            </w:r>
          </w:p>
        </w:tc>
      </w:tr>
      <w:tr w:rsidR="00490F43" w:rsidRPr="00720210" w14:paraId="3FFDE587" w14:textId="77777777" w:rsidTr="00490F43">
        <w:tc>
          <w:tcPr>
            <w:tcW w:w="1701" w:type="dxa"/>
            <w:tcBorders>
              <w:top w:val="double" w:sz="4" w:space="0" w:color="auto"/>
              <w:bottom w:val="single" w:sz="4" w:space="0" w:color="auto"/>
              <w:right w:val="single" w:sz="4" w:space="0" w:color="auto"/>
            </w:tcBorders>
          </w:tcPr>
          <w:p w14:paraId="647EEF36"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74ABD7C9"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 xml:space="preserve">Performance </w:t>
            </w:r>
            <w:r>
              <w:rPr>
                <w:rFonts w:ascii="Arial" w:hAnsi="Arial" w:cs="Arial"/>
                <w:b/>
                <w:sz w:val="16"/>
                <w:szCs w:val="16"/>
              </w:rPr>
              <w:t>measures</w:t>
            </w:r>
          </w:p>
        </w:tc>
        <w:tc>
          <w:tcPr>
            <w:tcW w:w="3260" w:type="dxa"/>
            <w:tcBorders>
              <w:top w:val="double" w:sz="4" w:space="0" w:color="auto"/>
              <w:left w:val="single" w:sz="4" w:space="0" w:color="auto"/>
              <w:bottom w:val="single" w:sz="4" w:space="0" w:color="auto"/>
            </w:tcBorders>
          </w:tcPr>
          <w:p w14:paraId="7F822CCE" w14:textId="77777777" w:rsidR="00490F43" w:rsidRPr="00792586" w:rsidRDefault="009C51A8" w:rsidP="00490F43">
            <w:pPr>
              <w:tabs>
                <w:tab w:val="left" w:pos="709"/>
              </w:tabs>
              <w:spacing w:before="60" w:after="60" w:line="240" w:lineRule="auto"/>
              <w:rPr>
                <w:rFonts w:ascii="Arial" w:hAnsi="Arial" w:cs="Arial"/>
                <w:b/>
                <w:sz w:val="16"/>
                <w:szCs w:val="16"/>
                <w:highlight w:val="yellow"/>
              </w:rPr>
            </w:pPr>
            <w:r>
              <w:rPr>
                <w:rFonts w:ascii="Arial" w:hAnsi="Arial" w:cs="Arial"/>
                <w:b/>
                <w:sz w:val="16"/>
                <w:szCs w:val="16"/>
              </w:rPr>
              <w:t>Expected performance r</w:t>
            </w:r>
            <w:r w:rsidR="00490F43" w:rsidRPr="00F509FD">
              <w:rPr>
                <w:rFonts w:ascii="Arial" w:hAnsi="Arial" w:cs="Arial"/>
                <w:b/>
                <w:sz w:val="16"/>
                <w:szCs w:val="16"/>
              </w:rPr>
              <w:t>esults</w:t>
            </w:r>
          </w:p>
        </w:tc>
      </w:tr>
      <w:tr w:rsidR="00490F43" w:rsidRPr="00720210" w14:paraId="1A4EDCD2" w14:textId="77777777" w:rsidTr="009C51A8">
        <w:tc>
          <w:tcPr>
            <w:tcW w:w="1701" w:type="dxa"/>
            <w:tcBorders>
              <w:top w:val="single" w:sz="4" w:space="0" w:color="auto"/>
              <w:bottom w:val="single" w:sz="4" w:space="0" w:color="auto"/>
              <w:right w:val="single" w:sz="4" w:space="0" w:color="auto"/>
            </w:tcBorders>
          </w:tcPr>
          <w:p w14:paraId="0A5B4E47" w14:textId="77777777" w:rsidR="00490F43" w:rsidRPr="00F509FD" w:rsidRDefault="00490F43" w:rsidP="00490F43">
            <w:pPr>
              <w:tabs>
                <w:tab w:val="left" w:pos="709"/>
              </w:tabs>
              <w:spacing w:before="60" w:after="60" w:line="240" w:lineRule="auto"/>
              <w:rPr>
                <w:rFonts w:ascii="Arial" w:hAnsi="Arial" w:cs="Arial"/>
                <w:sz w:val="16"/>
                <w:szCs w:val="16"/>
              </w:rPr>
            </w:pPr>
            <w:r w:rsidRPr="00F509FD">
              <w:rPr>
                <w:rFonts w:ascii="Arial" w:hAnsi="Arial" w:cs="Arial"/>
                <w:sz w:val="16"/>
                <w:szCs w:val="16"/>
              </w:rPr>
              <w:t xml:space="preserve">Current year </w:t>
            </w:r>
          </w:p>
          <w:p w14:paraId="6BD6B249"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2021-22</w:t>
            </w:r>
          </w:p>
        </w:tc>
        <w:tc>
          <w:tcPr>
            <w:tcW w:w="2864" w:type="dxa"/>
            <w:tcBorders>
              <w:top w:val="single" w:sz="4" w:space="0" w:color="auto"/>
              <w:left w:val="single" w:sz="4" w:space="0" w:color="auto"/>
              <w:bottom w:val="single" w:sz="4" w:space="0" w:color="auto"/>
              <w:right w:val="single" w:sz="4" w:space="0" w:color="auto"/>
            </w:tcBorders>
          </w:tcPr>
          <w:p w14:paraId="26829913" w14:textId="77777777" w:rsidR="00490F43" w:rsidRPr="00792586" w:rsidRDefault="009C51A8" w:rsidP="009C51A8">
            <w:pPr>
              <w:tabs>
                <w:tab w:val="left" w:pos="709"/>
              </w:tabs>
              <w:spacing w:beforeLines="60" w:before="144" w:afterLines="60" w:after="144" w:line="276" w:lineRule="auto"/>
              <w:jc w:val="left"/>
              <w:rPr>
                <w:rFonts w:ascii="Arial" w:hAnsi="Arial" w:cs="Arial"/>
                <w:i/>
                <w:sz w:val="16"/>
                <w:szCs w:val="16"/>
                <w:highlight w:val="yellow"/>
              </w:rPr>
            </w:pPr>
            <w:r>
              <w:rPr>
                <w:rFonts w:ascii="Arial" w:hAnsi="Arial" w:cs="Arial"/>
                <w:sz w:val="16"/>
                <w:szCs w:val="16"/>
              </w:rPr>
              <w:t xml:space="preserve">The </w:t>
            </w:r>
            <w:r w:rsidR="00490F43" w:rsidRPr="00F509FD">
              <w:rPr>
                <w:rFonts w:ascii="Arial" w:hAnsi="Arial" w:cs="Arial"/>
                <w:sz w:val="16"/>
                <w:szCs w:val="16"/>
              </w:rPr>
              <w:t>IAS activities contribute towards increased participation of Indigenous people in Australian society and improved capability of Indigenous organisations</w:t>
            </w:r>
          </w:p>
        </w:tc>
        <w:tc>
          <w:tcPr>
            <w:tcW w:w="3260" w:type="dxa"/>
            <w:tcBorders>
              <w:top w:val="single" w:sz="4" w:space="0" w:color="auto"/>
              <w:left w:val="single" w:sz="4" w:space="0" w:color="auto"/>
              <w:bottom w:val="single" w:sz="4" w:space="0" w:color="auto"/>
            </w:tcBorders>
          </w:tcPr>
          <w:p w14:paraId="7B373FCC" w14:textId="77777777" w:rsidR="00490F43" w:rsidRPr="00F509FD" w:rsidRDefault="00490F43" w:rsidP="00490F43">
            <w:pPr>
              <w:spacing w:beforeLines="60" w:before="144" w:afterLines="60" w:after="144" w:line="276" w:lineRule="auto"/>
              <w:jc w:val="left"/>
              <w:rPr>
                <w:rFonts w:ascii="Arial" w:hAnsi="Arial" w:cs="Arial"/>
                <w:b/>
                <w:sz w:val="16"/>
                <w:szCs w:val="16"/>
              </w:rPr>
            </w:pPr>
            <w:r w:rsidRPr="00F509FD">
              <w:rPr>
                <w:rFonts w:ascii="Arial" w:hAnsi="Arial" w:cs="Arial"/>
                <w:b/>
                <w:sz w:val="16"/>
                <w:szCs w:val="16"/>
              </w:rPr>
              <w:t xml:space="preserve">Target: </w:t>
            </w:r>
            <w:r w:rsidRPr="00F509FD">
              <w:rPr>
                <w:rFonts w:ascii="Arial" w:hAnsi="Arial" w:cs="Arial"/>
                <w:sz w:val="16"/>
                <w:szCs w:val="16"/>
              </w:rPr>
              <w:t>90 per cent of IAS Program a</w:t>
            </w:r>
            <w:r w:rsidR="009C51A8">
              <w:rPr>
                <w:rFonts w:ascii="Arial" w:hAnsi="Arial" w:cs="Arial"/>
                <w:sz w:val="16"/>
                <w:szCs w:val="16"/>
              </w:rPr>
              <w:t>ctivities are assessed by NIAA agreement m</w:t>
            </w:r>
            <w:r w:rsidRPr="00F509FD">
              <w:rPr>
                <w:rFonts w:ascii="Arial" w:hAnsi="Arial" w:cs="Arial"/>
                <w:sz w:val="16"/>
                <w:szCs w:val="16"/>
              </w:rPr>
              <w:t>anagers as having core service delivery elements which</w:t>
            </w:r>
            <w:r>
              <w:rPr>
                <w:rFonts w:ascii="Arial" w:hAnsi="Arial" w:cs="Arial"/>
                <w:sz w:val="16"/>
                <w:szCs w:val="16"/>
              </w:rPr>
              <w:t xml:space="preserve"> </w:t>
            </w:r>
            <w:r w:rsidRPr="00F509FD">
              <w:rPr>
                <w:rFonts w:ascii="Arial" w:hAnsi="Arial" w:cs="Arial"/>
                <w:sz w:val="16"/>
                <w:szCs w:val="16"/>
              </w:rPr>
              <w:t>met or exceeded requirements (b)</w:t>
            </w:r>
          </w:p>
          <w:p w14:paraId="11976368" w14:textId="77777777" w:rsidR="00490F43" w:rsidRPr="00F509FD" w:rsidRDefault="00490F43" w:rsidP="00490F43">
            <w:pPr>
              <w:spacing w:beforeLines="60" w:before="144" w:afterLines="60" w:after="144" w:line="276" w:lineRule="auto"/>
              <w:rPr>
                <w:rFonts w:ascii="Arial" w:hAnsi="Arial" w:cs="Arial"/>
                <w:b/>
                <w:sz w:val="16"/>
                <w:szCs w:val="16"/>
              </w:rPr>
            </w:pPr>
            <w:r w:rsidRPr="00F509FD">
              <w:rPr>
                <w:rFonts w:ascii="Arial" w:hAnsi="Arial" w:cs="Arial"/>
                <w:b/>
                <w:sz w:val="16"/>
                <w:szCs w:val="16"/>
              </w:rPr>
              <w:t>On Track</w:t>
            </w:r>
          </w:p>
          <w:p w14:paraId="77CD4EA4" w14:textId="77777777" w:rsidR="00490F43" w:rsidRPr="00F509FD" w:rsidRDefault="00490F43" w:rsidP="00490F43">
            <w:pPr>
              <w:spacing w:beforeLines="60" w:before="144" w:afterLines="60" w:after="144" w:line="276" w:lineRule="auto"/>
              <w:jc w:val="left"/>
              <w:rPr>
                <w:rFonts w:ascii="Arial" w:hAnsi="Arial" w:cs="Arial"/>
                <w:i/>
                <w:sz w:val="16"/>
                <w:szCs w:val="16"/>
                <w:highlight w:val="yellow"/>
              </w:rPr>
            </w:pPr>
            <w:r w:rsidRPr="00F509FD">
              <w:rPr>
                <w:rFonts w:ascii="Arial" w:hAnsi="Arial" w:cs="Arial"/>
                <w:sz w:val="16"/>
                <w:szCs w:val="16"/>
              </w:rPr>
              <w:t>- The results will be published in the agency’s 2021–22 Annual Report.</w:t>
            </w:r>
          </w:p>
        </w:tc>
      </w:tr>
      <w:tr w:rsidR="00490F43" w:rsidRPr="00720210" w14:paraId="43B7B88C" w14:textId="77777777" w:rsidTr="00490F43">
        <w:tc>
          <w:tcPr>
            <w:tcW w:w="1701" w:type="dxa"/>
            <w:tcBorders>
              <w:top w:val="single" w:sz="4" w:space="0" w:color="auto"/>
              <w:bottom w:val="single" w:sz="4" w:space="0" w:color="auto"/>
              <w:right w:val="single" w:sz="4" w:space="0" w:color="auto"/>
            </w:tcBorders>
          </w:tcPr>
          <w:p w14:paraId="5E7A25DA"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2864" w:type="dxa"/>
            <w:tcBorders>
              <w:top w:val="single" w:sz="4" w:space="0" w:color="auto"/>
              <w:left w:val="single" w:sz="4" w:space="0" w:color="auto"/>
              <w:bottom w:val="single" w:sz="4" w:space="0" w:color="auto"/>
              <w:right w:val="single" w:sz="4" w:space="0" w:color="auto"/>
            </w:tcBorders>
          </w:tcPr>
          <w:p w14:paraId="0F0AF391" w14:textId="77777777" w:rsidR="00490F43" w:rsidRPr="00792586" w:rsidRDefault="00490F43" w:rsidP="00490F43">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 xml:space="preserve">Performance </w:t>
            </w:r>
            <w:r>
              <w:rPr>
                <w:rFonts w:ascii="Arial" w:hAnsi="Arial" w:cs="Arial"/>
                <w:b/>
                <w:sz w:val="16"/>
                <w:szCs w:val="16"/>
              </w:rPr>
              <w:t>measures</w:t>
            </w:r>
          </w:p>
        </w:tc>
        <w:tc>
          <w:tcPr>
            <w:tcW w:w="3260" w:type="dxa"/>
            <w:tcBorders>
              <w:top w:val="single" w:sz="4" w:space="0" w:color="auto"/>
              <w:left w:val="single" w:sz="4" w:space="0" w:color="auto"/>
              <w:bottom w:val="single" w:sz="4" w:space="0" w:color="auto"/>
            </w:tcBorders>
          </w:tcPr>
          <w:p w14:paraId="322EAD36" w14:textId="77777777" w:rsidR="00490F43" w:rsidRPr="00792586" w:rsidRDefault="009C51A8" w:rsidP="00490F43">
            <w:pPr>
              <w:tabs>
                <w:tab w:val="left" w:pos="709"/>
              </w:tabs>
              <w:spacing w:before="60" w:after="60" w:line="240" w:lineRule="auto"/>
              <w:rPr>
                <w:rFonts w:ascii="Arial" w:hAnsi="Arial" w:cs="Arial"/>
                <w:b/>
                <w:sz w:val="16"/>
                <w:szCs w:val="16"/>
                <w:highlight w:val="yellow"/>
              </w:rPr>
            </w:pPr>
            <w:r>
              <w:rPr>
                <w:rFonts w:ascii="Arial" w:hAnsi="Arial" w:cs="Arial"/>
                <w:b/>
                <w:sz w:val="16"/>
                <w:szCs w:val="16"/>
              </w:rPr>
              <w:t>Expected performance r</w:t>
            </w:r>
            <w:r w:rsidR="00490F43" w:rsidRPr="00F509FD">
              <w:rPr>
                <w:rFonts w:ascii="Arial" w:hAnsi="Arial" w:cs="Arial"/>
                <w:b/>
                <w:sz w:val="16"/>
                <w:szCs w:val="16"/>
              </w:rPr>
              <w:t>esults</w:t>
            </w:r>
          </w:p>
        </w:tc>
      </w:tr>
      <w:tr w:rsidR="00490F43" w:rsidRPr="00720210" w14:paraId="1CCAAC77" w14:textId="77777777" w:rsidTr="00490F43">
        <w:tc>
          <w:tcPr>
            <w:tcW w:w="1701" w:type="dxa"/>
            <w:tcBorders>
              <w:top w:val="single" w:sz="4" w:space="0" w:color="auto"/>
              <w:bottom w:val="single" w:sz="4" w:space="0" w:color="auto"/>
              <w:right w:val="single" w:sz="4" w:space="0" w:color="auto"/>
            </w:tcBorders>
          </w:tcPr>
          <w:p w14:paraId="7A2FBB15" w14:textId="77777777" w:rsidR="00490F43" w:rsidRDefault="009C51A8" w:rsidP="00490F43">
            <w:pPr>
              <w:tabs>
                <w:tab w:val="left" w:pos="709"/>
              </w:tabs>
              <w:spacing w:before="60" w:after="60" w:line="240" w:lineRule="auto"/>
              <w:rPr>
                <w:rFonts w:ascii="Arial" w:hAnsi="Arial" w:cs="Arial"/>
                <w:sz w:val="16"/>
                <w:szCs w:val="16"/>
              </w:rPr>
            </w:pPr>
            <w:r>
              <w:rPr>
                <w:rFonts w:ascii="Arial" w:hAnsi="Arial" w:cs="Arial"/>
                <w:sz w:val="16"/>
                <w:szCs w:val="16"/>
              </w:rPr>
              <w:t>Budget y</w:t>
            </w:r>
            <w:r w:rsidR="00490F43" w:rsidRPr="00F509FD">
              <w:rPr>
                <w:rFonts w:ascii="Arial" w:hAnsi="Arial" w:cs="Arial"/>
                <w:sz w:val="16"/>
                <w:szCs w:val="16"/>
              </w:rPr>
              <w:t xml:space="preserve">ear     </w:t>
            </w:r>
          </w:p>
          <w:p w14:paraId="142907DF" w14:textId="77777777" w:rsidR="00490F43" w:rsidRPr="00792586" w:rsidRDefault="00490F43" w:rsidP="00490F43">
            <w:pPr>
              <w:tabs>
                <w:tab w:val="left" w:pos="709"/>
              </w:tabs>
              <w:spacing w:before="60" w:after="60" w:line="240" w:lineRule="auto"/>
              <w:rPr>
                <w:rFonts w:ascii="Arial" w:hAnsi="Arial" w:cs="Arial"/>
                <w:sz w:val="16"/>
                <w:szCs w:val="16"/>
                <w:highlight w:val="yellow"/>
              </w:rPr>
            </w:pPr>
            <w:r w:rsidRPr="00F509FD">
              <w:rPr>
                <w:rFonts w:ascii="Arial" w:hAnsi="Arial" w:cs="Arial"/>
                <w:sz w:val="16"/>
                <w:szCs w:val="16"/>
              </w:rPr>
              <w:t>2022-23</w:t>
            </w:r>
          </w:p>
        </w:tc>
        <w:tc>
          <w:tcPr>
            <w:tcW w:w="2864" w:type="dxa"/>
            <w:tcBorders>
              <w:top w:val="single" w:sz="4" w:space="0" w:color="auto"/>
              <w:left w:val="single" w:sz="4" w:space="0" w:color="auto"/>
              <w:bottom w:val="single" w:sz="4" w:space="0" w:color="auto"/>
              <w:right w:val="single" w:sz="4" w:space="0" w:color="auto"/>
            </w:tcBorders>
          </w:tcPr>
          <w:p w14:paraId="051FB794" w14:textId="77777777" w:rsidR="00490F43" w:rsidRPr="00F509FD" w:rsidRDefault="009C51A8" w:rsidP="00490F43">
            <w:pPr>
              <w:spacing w:after="0" w:line="240" w:lineRule="auto"/>
              <w:rPr>
                <w:rFonts w:ascii="Arial" w:hAnsi="Arial" w:cs="Arial"/>
                <w:sz w:val="16"/>
                <w:szCs w:val="16"/>
              </w:rPr>
            </w:pPr>
            <w:r>
              <w:rPr>
                <w:rFonts w:ascii="Arial" w:hAnsi="Arial" w:cs="Arial"/>
                <w:sz w:val="16"/>
                <w:szCs w:val="16"/>
              </w:rPr>
              <w:t xml:space="preserve">The </w:t>
            </w:r>
            <w:r w:rsidR="00490F43" w:rsidRPr="00F509FD">
              <w:rPr>
                <w:rFonts w:ascii="Arial" w:hAnsi="Arial" w:cs="Arial"/>
                <w:sz w:val="16"/>
                <w:szCs w:val="16"/>
              </w:rPr>
              <w:t>IAS activities contribute towards increased participation of Indigenous people in Australian society and improved capabili</w:t>
            </w:r>
            <w:r w:rsidR="00490F43">
              <w:rPr>
                <w:rFonts w:ascii="Arial" w:hAnsi="Arial" w:cs="Arial"/>
                <w:sz w:val="16"/>
                <w:szCs w:val="16"/>
              </w:rPr>
              <w:t xml:space="preserve">ty of Indigenous organisations </w:t>
            </w:r>
          </w:p>
        </w:tc>
        <w:tc>
          <w:tcPr>
            <w:tcW w:w="3260" w:type="dxa"/>
            <w:tcBorders>
              <w:top w:val="single" w:sz="4" w:space="0" w:color="auto"/>
              <w:left w:val="single" w:sz="4" w:space="0" w:color="auto"/>
              <w:bottom w:val="single" w:sz="4" w:space="0" w:color="auto"/>
            </w:tcBorders>
          </w:tcPr>
          <w:p w14:paraId="2CD259C5" w14:textId="77777777" w:rsidR="00490F43" w:rsidRPr="00792586" w:rsidRDefault="00490F43" w:rsidP="009C51A8">
            <w:pPr>
              <w:tabs>
                <w:tab w:val="left" w:pos="709"/>
              </w:tabs>
              <w:spacing w:before="60" w:after="60" w:line="240" w:lineRule="auto"/>
              <w:jc w:val="left"/>
              <w:rPr>
                <w:rFonts w:ascii="Arial" w:hAnsi="Arial" w:cs="Arial"/>
                <w:sz w:val="16"/>
                <w:szCs w:val="16"/>
                <w:highlight w:val="yellow"/>
              </w:rPr>
            </w:pPr>
            <w:r w:rsidRPr="00F509FD">
              <w:rPr>
                <w:rFonts w:ascii="Arial" w:hAnsi="Arial" w:cs="Arial"/>
                <w:b/>
                <w:sz w:val="16"/>
                <w:szCs w:val="16"/>
              </w:rPr>
              <w:t>Target:</w:t>
            </w:r>
            <w:r w:rsidRPr="00F509FD">
              <w:rPr>
                <w:rFonts w:ascii="Arial" w:hAnsi="Arial" w:cs="Arial"/>
                <w:sz w:val="16"/>
                <w:szCs w:val="16"/>
              </w:rPr>
              <w:t xml:space="preserve"> 90 per cent of IAS Program a</w:t>
            </w:r>
            <w:r w:rsidR="009C51A8">
              <w:rPr>
                <w:rFonts w:ascii="Arial" w:hAnsi="Arial" w:cs="Arial"/>
                <w:sz w:val="16"/>
                <w:szCs w:val="16"/>
              </w:rPr>
              <w:t>ctivities are assessed by NIAA agreement m</w:t>
            </w:r>
            <w:r w:rsidRPr="00F509FD">
              <w:rPr>
                <w:rFonts w:ascii="Arial" w:hAnsi="Arial" w:cs="Arial"/>
                <w:sz w:val="16"/>
                <w:szCs w:val="16"/>
              </w:rPr>
              <w:t xml:space="preserve">anagers as having core service delivery elements </w:t>
            </w:r>
            <w:r w:rsidR="009C51A8">
              <w:rPr>
                <w:rFonts w:ascii="Arial" w:hAnsi="Arial" w:cs="Arial"/>
                <w:sz w:val="16"/>
                <w:szCs w:val="16"/>
              </w:rPr>
              <w:t>that</w:t>
            </w:r>
            <w:r w:rsidRPr="00F509FD">
              <w:rPr>
                <w:rFonts w:ascii="Arial" w:hAnsi="Arial" w:cs="Arial"/>
                <w:sz w:val="16"/>
                <w:szCs w:val="16"/>
              </w:rPr>
              <w:t xml:space="preserve"> met or exceeded requirements</w:t>
            </w:r>
            <w:r w:rsidR="009C51A8">
              <w:rPr>
                <w:rFonts w:ascii="Arial" w:hAnsi="Arial" w:cs="Arial"/>
                <w:sz w:val="16"/>
                <w:szCs w:val="16"/>
              </w:rPr>
              <w:t>.</w:t>
            </w:r>
            <w:r w:rsidRPr="00F509FD">
              <w:rPr>
                <w:rFonts w:ascii="Arial" w:hAnsi="Arial" w:cs="Arial"/>
                <w:sz w:val="16"/>
                <w:szCs w:val="16"/>
              </w:rPr>
              <w:t xml:space="preserve"> (b)</w:t>
            </w:r>
          </w:p>
        </w:tc>
      </w:tr>
      <w:tr w:rsidR="00490F43" w:rsidRPr="00720210" w14:paraId="6DD9A547" w14:textId="77777777" w:rsidTr="00490F43">
        <w:tc>
          <w:tcPr>
            <w:tcW w:w="1701" w:type="dxa"/>
            <w:tcBorders>
              <w:top w:val="single" w:sz="4" w:space="0" w:color="auto"/>
              <w:right w:val="single" w:sz="4" w:space="0" w:color="auto"/>
            </w:tcBorders>
          </w:tcPr>
          <w:p w14:paraId="2647192A" w14:textId="77777777" w:rsidR="00490F43" w:rsidRPr="00F509FD" w:rsidRDefault="009C51A8" w:rsidP="00490F43">
            <w:pPr>
              <w:tabs>
                <w:tab w:val="left" w:pos="709"/>
              </w:tabs>
              <w:spacing w:before="60" w:after="60" w:line="240" w:lineRule="auto"/>
              <w:rPr>
                <w:rFonts w:ascii="Arial" w:hAnsi="Arial" w:cs="Arial"/>
                <w:sz w:val="16"/>
                <w:szCs w:val="16"/>
              </w:rPr>
            </w:pPr>
            <w:r>
              <w:rPr>
                <w:rFonts w:ascii="Arial" w:hAnsi="Arial" w:cs="Arial"/>
                <w:sz w:val="16"/>
                <w:szCs w:val="16"/>
              </w:rPr>
              <w:t>Forward e</w:t>
            </w:r>
            <w:r w:rsidR="00490F43" w:rsidRPr="00F509FD">
              <w:rPr>
                <w:rFonts w:ascii="Arial" w:hAnsi="Arial" w:cs="Arial"/>
                <w:sz w:val="16"/>
                <w:szCs w:val="16"/>
              </w:rPr>
              <w:t xml:space="preserve">stimates </w:t>
            </w:r>
          </w:p>
          <w:p w14:paraId="109D221F" w14:textId="77777777" w:rsidR="00490F43" w:rsidRPr="00CC1BDD" w:rsidRDefault="00490F43" w:rsidP="00490F43">
            <w:pPr>
              <w:tabs>
                <w:tab w:val="left" w:pos="709"/>
              </w:tabs>
              <w:spacing w:before="60" w:after="60" w:line="240" w:lineRule="auto"/>
              <w:rPr>
                <w:rFonts w:ascii="Arial" w:hAnsi="Arial" w:cs="Arial"/>
                <w:sz w:val="16"/>
                <w:szCs w:val="16"/>
              </w:rPr>
            </w:pPr>
            <w:r w:rsidRPr="00F509FD">
              <w:rPr>
                <w:rFonts w:ascii="Arial" w:hAnsi="Arial" w:cs="Arial"/>
                <w:sz w:val="16"/>
                <w:szCs w:val="16"/>
              </w:rPr>
              <w:t>2023-26</w:t>
            </w:r>
          </w:p>
        </w:tc>
        <w:tc>
          <w:tcPr>
            <w:tcW w:w="2864" w:type="dxa"/>
            <w:tcBorders>
              <w:top w:val="single" w:sz="4" w:space="0" w:color="auto"/>
              <w:left w:val="single" w:sz="4" w:space="0" w:color="auto"/>
              <w:right w:val="single" w:sz="4" w:space="0" w:color="auto"/>
            </w:tcBorders>
          </w:tcPr>
          <w:p w14:paraId="7732CC23" w14:textId="77777777" w:rsidR="00490F43" w:rsidRPr="00CC1BDD" w:rsidRDefault="00490F43" w:rsidP="00490F43">
            <w:pPr>
              <w:tabs>
                <w:tab w:val="left" w:pos="709"/>
              </w:tabs>
              <w:spacing w:before="60" w:after="60" w:line="240" w:lineRule="auto"/>
              <w:jc w:val="left"/>
              <w:rPr>
                <w:rFonts w:ascii="Arial" w:hAnsi="Arial" w:cs="Arial"/>
                <w:sz w:val="16"/>
                <w:szCs w:val="16"/>
              </w:rPr>
            </w:pPr>
            <w:r w:rsidRPr="00F509FD">
              <w:rPr>
                <w:rFonts w:ascii="Arial" w:hAnsi="Arial" w:cs="Arial"/>
                <w:sz w:val="16"/>
                <w:szCs w:val="16"/>
              </w:rPr>
              <w:t>As per 2022-23</w:t>
            </w:r>
          </w:p>
        </w:tc>
        <w:tc>
          <w:tcPr>
            <w:tcW w:w="3260" w:type="dxa"/>
            <w:tcBorders>
              <w:top w:val="single" w:sz="4" w:space="0" w:color="auto"/>
              <w:left w:val="single" w:sz="4" w:space="0" w:color="auto"/>
            </w:tcBorders>
          </w:tcPr>
          <w:p w14:paraId="72CE427D" w14:textId="77777777" w:rsidR="00490F43" w:rsidRPr="00CC1BDD" w:rsidRDefault="00490F43" w:rsidP="00490F43">
            <w:pPr>
              <w:tabs>
                <w:tab w:val="left" w:pos="709"/>
              </w:tabs>
              <w:spacing w:before="60" w:after="60" w:line="240" w:lineRule="auto"/>
              <w:jc w:val="left"/>
              <w:rPr>
                <w:rFonts w:ascii="Arial" w:hAnsi="Arial" w:cs="Arial"/>
                <w:sz w:val="16"/>
                <w:szCs w:val="16"/>
              </w:rPr>
            </w:pPr>
            <w:r w:rsidRPr="00F509FD">
              <w:rPr>
                <w:rFonts w:ascii="Arial" w:hAnsi="Arial" w:cs="Arial"/>
                <w:sz w:val="16"/>
                <w:szCs w:val="16"/>
              </w:rPr>
              <w:t>As per 2022-23</w:t>
            </w:r>
          </w:p>
        </w:tc>
      </w:tr>
    </w:tbl>
    <w:p w14:paraId="51A675F9" w14:textId="77777777" w:rsidR="00490F43" w:rsidRPr="005F10DE" w:rsidRDefault="00490F43" w:rsidP="00392A48">
      <w:pPr>
        <w:pStyle w:val="ChartandTableFootnote"/>
        <w:numPr>
          <w:ilvl w:val="0"/>
          <w:numId w:val="77"/>
        </w:numPr>
        <w:ind w:left="284" w:hanging="284"/>
        <w:rPr>
          <w:rFonts w:cs="Arial"/>
          <w:color w:val="auto"/>
          <w:szCs w:val="16"/>
        </w:rPr>
      </w:pPr>
      <w:r>
        <w:rPr>
          <w:rFonts w:cs="Arial"/>
          <w:color w:val="auto"/>
          <w:szCs w:val="16"/>
          <w:lang w:val="en-AU"/>
        </w:rPr>
        <w:t>Refer to</w:t>
      </w:r>
      <w:r w:rsidRPr="005F10DE">
        <w:rPr>
          <w:rFonts w:cs="Arial"/>
          <w:color w:val="auto"/>
          <w:szCs w:val="16"/>
        </w:rPr>
        <w:t xml:space="preserve"> the 2021</w:t>
      </w:r>
      <w:r>
        <w:rPr>
          <w:rFonts w:cs="Arial"/>
          <w:color w:val="auto"/>
          <w:szCs w:val="16"/>
          <w:lang w:val="en-AU"/>
        </w:rPr>
        <w:t>-22</w:t>
      </w:r>
      <w:r w:rsidRPr="005F10DE">
        <w:rPr>
          <w:rFonts w:cs="Arial"/>
          <w:color w:val="auto"/>
          <w:szCs w:val="16"/>
        </w:rPr>
        <w:t xml:space="preserve"> </w:t>
      </w:r>
      <w:r>
        <w:rPr>
          <w:rFonts w:cs="Arial"/>
          <w:color w:val="auto"/>
          <w:szCs w:val="16"/>
        </w:rPr>
        <w:t>Corporate Plan</w:t>
      </w:r>
      <w:r>
        <w:rPr>
          <w:rFonts w:cs="Arial"/>
          <w:color w:val="auto"/>
          <w:szCs w:val="16"/>
          <w:lang w:val="en-AU"/>
        </w:rPr>
        <w:t xml:space="preserve"> for further detail</w:t>
      </w:r>
      <w:r w:rsidRPr="005F10DE">
        <w:rPr>
          <w:rFonts w:cs="Arial"/>
          <w:color w:val="auto"/>
          <w:szCs w:val="16"/>
        </w:rPr>
        <w:t>.</w:t>
      </w:r>
    </w:p>
    <w:p w14:paraId="7A08C1EC" w14:textId="77777777" w:rsidR="00490F43" w:rsidRPr="00EE32E1" w:rsidRDefault="00490F43" w:rsidP="00392A48">
      <w:pPr>
        <w:pStyle w:val="ChartandTableFootnote"/>
        <w:numPr>
          <w:ilvl w:val="0"/>
          <w:numId w:val="77"/>
        </w:numPr>
        <w:ind w:left="284" w:hanging="284"/>
        <w:rPr>
          <w:rFonts w:cs="Arial"/>
          <w:color w:val="auto"/>
          <w:szCs w:val="16"/>
          <w:lang w:val="en-AU"/>
        </w:rPr>
      </w:pPr>
      <w:r w:rsidRPr="00EE32E1">
        <w:rPr>
          <w:rFonts w:cs="Arial"/>
          <w:color w:val="auto"/>
          <w:szCs w:val="16"/>
          <w:lang w:val="en-AU"/>
        </w:rPr>
        <w:t>Specified IAS activity outcomes for Program 1.4 include: increased knowledge and understanding of Aboriginal and Torres Strait Islander cultures, history and practices; improved capability and leadership; promoting, supporting and encouraging reconciliation between Aboriginal and Torres Strait Islander peoples and non-Indigenous Australians.</w:t>
      </w:r>
    </w:p>
    <w:p w14:paraId="3D046D3A" w14:textId="77777777" w:rsidR="00490F43" w:rsidRPr="00EE32E1" w:rsidRDefault="00490F43" w:rsidP="00490F43">
      <w:pPr>
        <w:rPr>
          <w:lang w:eastAsia="x-none"/>
        </w:rPr>
      </w:pPr>
    </w:p>
    <w:p w14:paraId="6DDF1286" w14:textId="77777777" w:rsidR="00490F43" w:rsidRPr="00977C6E" w:rsidRDefault="00490F43" w:rsidP="00490F43">
      <w:pPr>
        <w:pStyle w:val="ChartandTableFootnote"/>
        <w:ind w:left="284"/>
        <w:jc w:val="left"/>
        <w:rPr>
          <w:color w:val="auto"/>
          <w:lang w:val="en-AU"/>
        </w:rPr>
      </w:pPr>
    </w:p>
    <w:p w14:paraId="21D69152" w14:textId="77777777" w:rsidR="00490F43" w:rsidRPr="00B338CC" w:rsidRDefault="00490F43" w:rsidP="00490F43">
      <w:pPr>
        <w:pStyle w:val="ChartandTableFootnote"/>
        <w:ind w:left="284"/>
        <w:jc w:val="left"/>
        <w:rPr>
          <w:color w:val="auto"/>
          <w:lang w:val="en-AU"/>
        </w:rPr>
      </w:pPr>
    </w:p>
    <w:p w14:paraId="3F91CD55" w14:textId="77777777" w:rsidR="00490F43" w:rsidRDefault="00490F43" w:rsidP="00490F43">
      <w:pPr>
        <w:rPr>
          <w:lang w:eastAsia="x-none"/>
        </w:rPr>
        <w:sectPr w:rsidR="00490F43" w:rsidSect="00490F43">
          <w:headerReference w:type="default" r:id="rId287"/>
          <w:pgSz w:w="11906" w:h="16838" w:code="9"/>
          <w:pgMar w:top="2410" w:right="2098" w:bottom="2466" w:left="2098" w:header="1899" w:footer="1899" w:gutter="0"/>
          <w:cols w:space="708"/>
          <w:docGrid w:linePitch="360"/>
        </w:sectPr>
      </w:pPr>
    </w:p>
    <w:p w14:paraId="577F07D9" w14:textId="77777777" w:rsidR="00490F43" w:rsidRDefault="00490F43" w:rsidP="00490F43">
      <w:pPr>
        <w:pStyle w:val="TableHeading"/>
      </w:pPr>
      <w:r>
        <w:rPr>
          <w:lang w:val="en-AU"/>
        </w:rPr>
        <w:t xml:space="preserve">  </w:t>
      </w:r>
      <w:r>
        <w:t>Table 2.1.2</w:t>
      </w:r>
      <w:r w:rsidRPr="00F71634">
        <w:t>: Pe</w:t>
      </w:r>
      <w:r>
        <w:t>rformance measure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490F43" w:rsidRPr="001C5C12" w14:paraId="0A4B64E8" w14:textId="77777777" w:rsidTr="00490F43">
        <w:trPr>
          <w:tblHeader/>
        </w:trPr>
        <w:tc>
          <w:tcPr>
            <w:tcW w:w="7825" w:type="dxa"/>
            <w:gridSpan w:val="3"/>
            <w:shd w:val="clear" w:color="auto" w:fill="F2F2F2"/>
          </w:tcPr>
          <w:p w14:paraId="3F5D0518" w14:textId="77777777" w:rsidR="00490F43" w:rsidRPr="00916ABF" w:rsidRDefault="00490F43" w:rsidP="00490F43">
            <w:pPr>
              <w:tabs>
                <w:tab w:val="left" w:pos="709"/>
              </w:tabs>
              <w:spacing w:before="60" w:after="60" w:line="240" w:lineRule="auto"/>
              <w:ind w:left="147" w:right="113" w:hanging="147"/>
              <w:rPr>
                <w:rFonts w:ascii="Arial" w:hAnsi="Arial" w:cs="Arial"/>
                <w:b/>
                <w:sz w:val="16"/>
                <w:szCs w:val="16"/>
              </w:rPr>
            </w:pPr>
            <w:r w:rsidRPr="00916ABF">
              <w:rPr>
                <w:rFonts w:ascii="Arial" w:hAnsi="Arial" w:cs="Arial"/>
                <w:b/>
                <w:sz w:val="16"/>
                <w:szCs w:val="16"/>
              </w:rPr>
              <w:t>Program 1.5 – Remote Australia Strategies</w:t>
            </w:r>
          </w:p>
          <w:p w14:paraId="6E994DD2" w14:textId="77777777" w:rsidR="00490F43" w:rsidRPr="00916ABF" w:rsidRDefault="00490F43" w:rsidP="00490F43">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The objectives of this program are to enhance regional governance and local decision-making, through strategic investments in place based on community and Government priorities.</w:t>
            </w:r>
          </w:p>
        </w:tc>
      </w:tr>
      <w:tr w:rsidR="00490F43" w:rsidRPr="001C5C12" w14:paraId="315CAAE3" w14:textId="77777777" w:rsidTr="00490F43">
        <w:tc>
          <w:tcPr>
            <w:tcW w:w="1701" w:type="dxa"/>
            <w:tcBorders>
              <w:bottom w:val="double" w:sz="4" w:space="0" w:color="auto"/>
            </w:tcBorders>
          </w:tcPr>
          <w:p w14:paraId="096AD640" w14:textId="77777777" w:rsidR="00490F43" w:rsidRPr="00606312" w:rsidRDefault="009C51A8" w:rsidP="00490F43">
            <w:pPr>
              <w:tabs>
                <w:tab w:val="left" w:pos="709"/>
              </w:tabs>
              <w:spacing w:before="60" w:after="60" w:line="240" w:lineRule="auto"/>
              <w:rPr>
                <w:rFonts w:ascii="Arial" w:hAnsi="Arial" w:cs="Arial"/>
                <w:b/>
                <w:sz w:val="16"/>
                <w:szCs w:val="16"/>
              </w:rPr>
            </w:pPr>
            <w:r>
              <w:rPr>
                <w:rFonts w:ascii="Arial" w:hAnsi="Arial" w:cs="Arial"/>
                <w:b/>
                <w:sz w:val="16"/>
                <w:szCs w:val="16"/>
              </w:rPr>
              <w:t>Key a</w:t>
            </w:r>
            <w:r w:rsidR="00490F43" w:rsidRPr="00933B29">
              <w:rPr>
                <w:rFonts w:ascii="Arial" w:hAnsi="Arial" w:cs="Arial"/>
                <w:b/>
                <w:sz w:val="16"/>
                <w:szCs w:val="16"/>
              </w:rPr>
              <w:t>ctivities (a)</w:t>
            </w:r>
          </w:p>
        </w:tc>
        <w:tc>
          <w:tcPr>
            <w:tcW w:w="6124" w:type="dxa"/>
            <w:gridSpan w:val="2"/>
            <w:tcBorders>
              <w:bottom w:val="double" w:sz="4" w:space="0" w:color="auto"/>
            </w:tcBorders>
          </w:tcPr>
          <w:p w14:paraId="62AA110A" w14:textId="77777777" w:rsidR="00490F43" w:rsidRPr="00916ABF" w:rsidRDefault="00490F43" w:rsidP="00490F43">
            <w:pPr>
              <w:tabs>
                <w:tab w:val="left" w:pos="709"/>
              </w:tabs>
              <w:spacing w:before="60" w:after="60" w:line="240" w:lineRule="auto"/>
              <w:jc w:val="left"/>
              <w:rPr>
                <w:rFonts w:ascii="Arial" w:hAnsi="Arial" w:cs="Arial"/>
                <w:sz w:val="16"/>
                <w:szCs w:val="16"/>
              </w:rPr>
            </w:pPr>
            <w:r w:rsidRPr="00EE32E1">
              <w:rPr>
                <w:rFonts w:ascii="Arial" w:hAnsi="Arial" w:cs="Arial"/>
                <w:sz w:val="16"/>
                <w:szCs w:val="16"/>
              </w:rPr>
              <w:t>Designing, implementing and delivering policies, strategies and programs designed to enhance regional governance, and improved partnerships with communities through place based practice.</w:t>
            </w:r>
          </w:p>
        </w:tc>
      </w:tr>
      <w:tr w:rsidR="00490F43" w:rsidRPr="001C5C12" w14:paraId="1FF1A3F8" w14:textId="77777777" w:rsidTr="00490F43">
        <w:tc>
          <w:tcPr>
            <w:tcW w:w="1701" w:type="dxa"/>
            <w:tcBorders>
              <w:top w:val="double" w:sz="4" w:space="0" w:color="auto"/>
              <w:bottom w:val="single" w:sz="4" w:space="0" w:color="auto"/>
              <w:right w:val="single" w:sz="4" w:space="0" w:color="auto"/>
            </w:tcBorders>
          </w:tcPr>
          <w:p w14:paraId="4B14A2C7" w14:textId="77777777" w:rsidR="00490F43" w:rsidRPr="00916ABF" w:rsidRDefault="00490F43" w:rsidP="00490F43">
            <w:pPr>
              <w:tabs>
                <w:tab w:val="left" w:pos="709"/>
              </w:tabs>
              <w:spacing w:before="60" w:after="60" w:line="240" w:lineRule="auto"/>
              <w:jc w:val="left"/>
              <w:rPr>
                <w:rFonts w:ascii="Arial" w:hAnsi="Arial" w:cs="Arial"/>
                <w:b/>
                <w:sz w:val="16"/>
                <w:szCs w:val="16"/>
              </w:rPr>
            </w:pPr>
            <w:r w:rsidRPr="00916ABF">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71B57DBD" w14:textId="77777777" w:rsidR="00490F43" w:rsidRPr="00916ABF" w:rsidRDefault="00490F43" w:rsidP="00490F43">
            <w:pPr>
              <w:tabs>
                <w:tab w:val="left" w:pos="709"/>
              </w:tabs>
              <w:spacing w:before="60" w:after="60" w:line="240" w:lineRule="auto"/>
              <w:jc w:val="left"/>
              <w:rPr>
                <w:rFonts w:ascii="Arial" w:hAnsi="Arial" w:cs="Arial"/>
                <w:b/>
                <w:sz w:val="16"/>
                <w:szCs w:val="16"/>
              </w:rPr>
            </w:pPr>
            <w:r w:rsidRPr="00916ABF">
              <w:rPr>
                <w:rFonts w:ascii="Arial" w:hAnsi="Arial" w:cs="Arial"/>
                <w:b/>
                <w:sz w:val="16"/>
                <w:szCs w:val="16"/>
              </w:rPr>
              <w:t xml:space="preserve">Performance </w:t>
            </w:r>
            <w:r>
              <w:rPr>
                <w:rFonts w:ascii="Arial" w:hAnsi="Arial" w:cs="Arial"/>
                <w:b/>
                <w:sz w:val="16"/>
                <w:szCs w:val="16"/>
              </w:rPr>
              <w:t>measures</w:t>
            </w:r>
          </w:p>
        </w:tc>
        <w:tc>
          <w:tcPr>
            <w:tcW w:w="3260" w:type="dxa"/>
            <w:tcBorders>
              <w:top w:val="double" w:sz="4" w:space="0" w:color="auto"/>
              <w:left w:val="single" w:sz="4" w:space="0" w:color="auto"/>
              <w:bottom w:val="single" w:sz="4" w:space="0" w:color="auto"/>
            </w:tcBorders>
          </w:tcPr>
          <w:p w14:paraId="5AA5A682" w14:textId="77777777" w:rsidR="00490F43" w:rsidRPr="00916ABF" w:rsidRDefault="00490F43" w:rsidP="00490F43">
            <w:pPr>
              <w:tabs>
                <w:tab w:val="left" w:pos="709"/>
              </w:tabs>
              <w:spacing w:before="60" w:after="60" w:line="240" w:lineRule="auto"/>
              <w:jc w:val="left"/>
              <w:rPr>
                <w:rFonts w:ascii="Arial" w:hAnsi="Arial" w:cs="Arial"/>
                <w:b/>
                <w:sz w:val="16"/>
                <w:szCs w:val="16"/>
              </w:rPr>
            </w:pPr>
            <w:r w:rsidRPr="004119AE">
              <w:rPr>
                <w:rFonts w:ascii="Arial" w:hAnsi="Arial" w:cs="Arial"/>
                <w:b/>
                <w:sz w:val="16"/>
                <w:szCs w:val="16"/>
              </w:rPr>
              <w:t>Expected Performance Results</w:t>
            </w:r>
          </w:p>
        </w:tc>
      </w:tr>
      <w:tr w:rsidR="00490F43" w:rsidRPr="001C5C12" w14:paraId="5050E7F4" w14:textId="77777777" w:rsidTr="00490F43">
        <w:trPr>
          <w:trHeight w:val="2333"/>
        </w:trPr>
        <w:tc>
          <w:tcPr>
            <w:tcW w:w="1701" w:type="dxa"/>
            <w:tcBorders>
              <w:top w:val="double" w:sz="4" w:space="0" w:color="auto"/>
              <w:bottom w:val="single" w:sz="4" w:space="0" w:color="auto"/>
              <w:right w:val="single" w:sz="4" w:space="0" w:color="auto"/>
            </w:tcBorders>
          </w:tcPr>
          <w:p w14:paraId="142C134C" w14:textId="77777777" w:rsidR="00490F43" w:rsidRPr="00F509FD" w:rsidRDefault="00490F43" w:rsidP="00490F43">
            <w:pPr>
              <w:tabs>
                <w:tab w:val="left" w:pos="709"/>
              </w:tabs>
              <w:spacing w:before="60" w:after="60" w:line="240" w:lineRule="auto"/>
              <w:rPr>
                <w:rFonts w:ascii="Arial" w:hAnsi="Arial" w:cs="Arial"/>
                <w:sz w:val="16"/>
                <w:szCs w:val="16"/>
              </w:rPr>
            </w:pPr>
            <w:r w:rsidRPr="00F509FD">
              <w:rPr>
                <w:rFonts w:ascii="Arial" w:hAnsi="Arial" w:cs="Arial"/>
                <w:sz w:val="16"/>
                <w:szCs w:val="16"/>
              </w:rPr>
              <w:t xml:space="preserve">Current year </w:t>
            </w:r>
          </w:p>
          <w:p w14:paraId="79ED18E8" w14:textId="77777777" w:rsidR="00490F43" w:rsidRPr="00916ABF" w:rsidRDefault="00490F43" w:rsidP="00490F43">
            <w:pPr>
              <w:tabs>
                <w:tab w:val="left" w:pos="709"/>
              </w:tabs>
              <w:spacing w:before="60" w:after="60" w:line="240" w:lineRule="auto"/>
              <w:rPr>
                <w:rFonts w:ascii="Arial" w:hAnsi="Arial" w:cs="Arial"/>
                <w:b/>
                <w:sz w:val="16"/>
                <w:szCs w:val="16"/>
                <w:highlight w:val="yellow"/>
              </w:rPr>
            </w:pPr>
            <w:r w:rsidRPr="00F509FD">
              <w:rPr>
                <w:rFonts w:ascii="Arial" w:hAnsi="Arial" w:cs="Arial"/>
                <w:sz w:val="16"/>
                <w:szCs w:val="16"/>
              </w:rPr>
              <w:t>2021-22</w:t>
            </w:r>
          </w:p>
        </w:tc>
        <w:tc>
          <w:tcPr>
            <w:tcW w:w="2864" w:type="dxa"/>
            <w:tcBorders>
              <w:top w:val="double" w:sz="4" w:space="0" w:color="auto"/>
              <w:left w:val="single" w:sz="4" w:space="0" w:color="auto"/>
              <w:bottom w:val="single" w:sz="4" w:space="0" w:color="auto"/>
              <w:right w:val="single" w:sz="4" w:space="0" w:color="auto"/>
            </w:tcBorders>
          </w:tcPr>
          <w:p w14:paraId="17E1755E" w14:textId="77777777" w:rsidR="00490F43" w:rsidRPr="00916ABF" w:rsidRDefault="00490F43" w:rsidP="00490F43">
            <w:pPr>
              <w:tabs>
                <w:tab w:val="left" w:pos="709"/>
              </w:tabs>
              <w:spacing w:beforeLines="60" w:before="144" w:afterLines="60" w:after="144" w:line="276" w:lineRule="auto"/>
              <w:rPr>
                <w:rFonts w:ascii="Arial" w:hAnsi="Arial" w:cs="Arial"/>
                <w:b/>
                <w:sz w:val="16"/>
                <w:szCs w:val="16"/>
                <w:highlight w:val="yellow"/>
              </w:rPr>
            </w:pPr>
            <w:r w:rsidRPr="004119AE">
              <w:rPr>
                <w:rFonts w:ascii="Arial" w:hAnsi="Arial" w:cs="Arial"/>
                <w:sz w:val="16"/>
                <w:szCs w:val="16"/>
              </w:rPr>
              <w:t>IAS activities invest in local solutions based on community and government priorities</w:t>
            </w:r>
          </w:p>
        </w:tc>
        <w:tc>
          <w:tcPr>
            <w:tcW w:w="3260" w:type="dxa"/>
            <w:tcBorders>
              <w:top w:val="double" w:sz="4" w:space="0" w:color="auto"/>
              <w:left w:val="single" w:sz="4" w:space="0" w:color="auto"/>
              <w:bottom w:val="single" w:sz="4" w:space="0" w:color="auto"/>
            </w:tcBorders>
            <w:vAlign w:val="center"/>
          </w:tcPr>
          <w:p w14:paraId="3F605F01" w14:textId="77777777" w:rsidR="00490F43" w:rsidRPr="004119AE" w:rsidRDefault="00490F43" w:rsidP="00490F43">
            <w:pPr>
              <w:spacing w:beforeLines="60" w:before="144" w:afterLines="60" w:after="144" w:line="276" w:lineRule="auto"/>
              <w:jc w:val="left"/>
              <w:rPr>
                <w:rFonts w:ascii="Arial" w:hAnsi="Arial" w:cs="Arial"/>
                <w:b/>
                <w:sz w:val="16"/>
                <w:szCs w:val="16"/>
              </w:rPr>
            </w:pPr>
            <w:r w:rsidRPr="004119AE">
              <w:rPr>
                <w:rFonts w:ascii="Arial" w:hAnsi="Arial" w:cs="Arial"/>
                <w:b/>
                <w:sz w:val="16"/>
                <w:szCs w:val="16"/>
              </w:rPr>
              <w:t xml:space="preserve">Target: </w:t>
            </w:r>
            <w:r w:rsidRPr="004119AE">
              <w:rPr>
                <w:rFonts w:ascii="Arial" w:hAnsi="Arial" w:cs="Arial"/>
                <w:sz w:val="16"/>
                <w:szCs w:val="16"/>
              </w:rPr>
              <w:t>90 per cent of IAS Program activities are assessed by NIAA Agreement Managers as having core service delivery elements which met or exceeded requirements (b)</w:t>
            </w:r>
          </w:p>
          <w:p w14:paraId="6F298A9E" w14:textId="77777777" w:rsidR="00490F43" w:rsidRPr="004119AE" w:rsidRDefault="00490F43" w:rsidP="00490F43">
            <w:pPr>
              <w:spacing w:beforeLines="60" w:before="144" w:afterLines="60" w:after="144" w:line="276" w:lineRule="auto"/>
              <w:jc w:val="left"/>
              <w:rPr>
                <w:rFonts w:ascii="Arial" w:hAnsi="Arial" w:cs="Arial"/>
                <w:b/>
                <w:sz w:val="16"/>
                <w:szCs w:val="16"/>
              </w:rPr>
            </w:pPr>
            <w:r w:rsidRPr="004119AE">
              <w:rPr>
                <w:rFonts w:ascii="Arial" w:hAnsi="Arial" w:cs="Arial"/>
                <w:b/>
                <w:sz w:val="16"/>
                <w:szCs w:val="16"/>
              </w:rPr>
              <w:t>On Track</w:t>
            </w:r>
          </w:p>
          <w:p w14:paraId="27B7C6C3" w14:textId="77777777" w:rsidR="00490F43" w:rsidRPr="004119AE" w:rsidRDefault="00490F43" w:rsidP="00490F43">
            <w:pPr>
              <w:spacing w:beforeLines="60" w:before="144" w:afterLines="60" w:after="144" w:line="276" w:lineRule="auto"/>
              <w:jc w:val="left"/>
              <w:rPr>
                <w:rFonts w:ascii="Arial" w:hAnsi="Arial" w:cs="Arial"/>
                <w:sz w:val="16"/>
                <w:szCs w:val="16"/>
                <w:highlight w:val="yellow"/>
              </w:rPr>
            </w:pPr>
            <w:r w:rsidRPr="004119AE">
              <w:rPr>
                <w:rFonts w:ascii="Arial" w:hAnsi="Arial" w:cs="Arial"/>
                <w:sz w:val="16"/>
                <w:szCs w:val="16"/>
              </w:rPr>
              <w:t>- The results will be published in the agency’s 2021–22 Annual Report.</w:t>
            </w:r>
          </w:p>
        </w:tc>
      </w:tr>
      <w:tr w:rsidR="00490F43" w:rsidRPr="001C5C12" w14:paraId="7B263F21" w14:textId="77777777" w:rsidTr="00490F43">
        <w:tc>
          <w:tcPr>
            <w:tcW w:w="1701" w:type="dxa"/>
            <w:tcBorders>
              <w:top w:val="single" w:sz="4" w:space="0" w:color="auto"/>
              <w:bottom w:val="single" w:sz="4" w:space="0" w:color="auto"/>
              <w:right w:val="single" w:sz="4" w:space="0" w:color="auto"/>
            </w:tcBorders>
          </w:tcPr>
          <w:p w14:paraId="4ADF4F8F" w14:textId="77777777" w:rsidR="00490F43" w:rsidRPr="00916ABF" w:rsidRDefault="00490F43" w:rsidP="00490F43">
            <w:pPr>
              <w:tabs>
                <w:tab w:val="left" w:pos="709"/>
              </w:tabs>
              <w:spacing w:before="60" w:after="60" w:line="240" w:lineRule="auto"/>
              <w:jc w:val="left"/>
              <w:rPr>
                <w:rFonts w:ascii="Arial" w:hAnsi="Arial" w:cs="Arial"/>
                <w:b/>
                <w:sz w:val="16"/>
                <w:szCs w:val="16"/>
              </w:rPr>
            </w:pPr>
            <w:r w:rsidRPr="00916ABF">
              <w:rPr>
                <w:rFonts w:ascii="Arial" w:hAnsi="Arial" w:cs="Arial"/>
                <w:b/>
                <w:sz w:val="16"/>
                <w:szCs w:val="16"/>
              </w:rPr>
              <w:t>Year</w:t>
            </w:r>
          </w:p>
        </w:tc>
        <w:tc>
          <w:tcPr>
            <w:tcW w:w="2864" w:type="dxa"/>
            <w:tcBorders>
              <w:top w:val="single" w:sz="4" w:space="0" w:color="auto"/>
              <w:left w:val="single" w:sz="4" w:space="0" w:color="auto"/>
              <w:bottom w:val="single" w:sz="4" w:space="0" w:color="auto"/>
              <w:right w:val="single" w:sz="4" w:space="0" w:color="auto"/>
            </w:tcBorders>
          </w:tcPr>
          <w:p w14:paraId="73FC0B92" w14:textId="77777777" w:rsidR="00490F43" w:rsidRPr="00916ABF" w:rsidRDefault="00490F43" w:rsidP="00490F43">
            <w:pPr>
              <w:tabs>
                <w:tab w:val="left" w:pos="709"/>
              </w:tabs>
              <w:spacing w:before="60" w:after="60" w:line="240" w:lineRule="auto"/>
              <w:jc w:val="left"/>
              <w:rPr>
                <w:rFonts w:ascii="Arial" w:hAnsi="Arial" w:cs="Arial"/>
                <w:b/>
                <w:sz w:val="16"/>
                <w:szCs w:val="16"/>
              </w:rPr>
            </w:pPr>
            <w:r w:rsidRPr="00916ABF">
              <w:rPr>
                <w:rFonts w:ascii="Arial" w:hAnsi="Arial" w:cs="Arial"/>
                <w:b/>
                <w:sz w:val="16"/>
                <w:szCs w:val="16"/>
              </w:rPr>
              <w:t xml:space="preserve">Performance </w:t>
            </w:r>
            <w:r>
              <w:rPr>
                <w:rFonts w:ascii="Arial" w:hAnsi="Arial" w:cs="Arial"/>
                <w:b/>
                <w:sz w:val="16"/>
                <w:szCs w:val="16"/>
              </w:rPr>
              <w:t>measures</w:t>
            </w:r>
          </w:p>
        </w:tc>
        <w:tc>
          <w:tcPr>
            <w:tcW w:w="3260" w:type="dxa"/>
            <w:tcBorders>
              <w:top w:val="single" w:sz="4" w:space="0" w:color="auto"/>
              <w:left w:val="single" w:sz="4" w:space="0" w:color="auto"/>
              <w:bottom w:val="single" w:sz="4" w:space="0" w:color="auto"/>
            </w:tcBorders>
          </w:tcPr>
          <w:p w14:paraId="2754CC16" w14:textId="77777777" w:rsidR="00490F43" w:rsidRPr="00916ABF" w:rsidRDefault="00490F43" w:rsidP="00490F43">
            <w:pPr>
              <w:tabs>
                <w:tab w:val="left" w:pos="709"/>
              </w:tabs>
              <w:spacing w:before="60" w:after="60" w:line="240" w:lineRule="auto"/>
              <w:jc w:val="left"/>
              <w:rPr>
                <w:rFonts w:ascii="Arial" w:hAnsi="Arial" w:cs="Arial"/>
                <w:b/>
                <w:sz w:val="16"/>
                <w:szCs w:val="16"/>
              </w:rPr>
            </w:pPr>
            <w:r w:rsidRPr="004119AE">
              <w:rPr>
                <w:rFonts w:ascii="Arial" w:hAnsi="Arial" w:cs="Arial"/>
                <w:b/>
                <w:sz w:val="16"/>
                <w:szCs w:val="16"/>
              </w:rPr>
              <w:t>Expected Performance Results</w:t>
            </w:r>
          </w:p>
        </w:tc>
      </w:tr>
      <w:tr w:rsidR="00490F43" w:rsidRPr="001C5C12" w14:paraId="241C8AF9" w14:textId="77777777" w:rsidTr="00490F43">
        <w:tc>
          <w:tcPr>
            <w:tcW w:w="1701" w:type="dxa"/>
            <w:tcBorders>
              <w:top w:val="dotted" w:sz="4" w:space="0" w:color="auto"/>
              <w:bottom w:val="single" w:sz="4" w:space="0" w:color="auto"/>
              <w:right w:val="single" w:sz="4" w:space="0" w:color="auto"/>
            </w:tcBorders>
          </w:tcPr>
          <w:p w14:paraId="0550DEB6" w14:textId="77777777" w:rsidR="00490F43" w:rsidRDefault="009C51A8" w:rsidP="00490F43">
            <w:pPr>
              <w:tabs>
                <w:tab w:val="left" w:pos="709"/>
              </w:tabs>
              <w:spacing w:before="60" w:after="60" w:line="240" w:lineRule="auto"/>
              <w:rPr>
                <w:rFonts w:ascii="Arial" w:hAnsi="Arial" w:cs="Arial"/>
                <w:sz w:val="16"/>
                <w:szCs w:val="16"/>
              </w:rPr>
            </w:pPr>
            <w:r>
              <w:rPr>
                <w:rFonts w:ascii="Arial" w:hAnsi="Arial" w:cs="Arial"/>
                <w:sz w:val="16"/>
                <w:szCs w:val="16"/>
              </w:rPr>
              <w:t>Budget y</w:t>
            </w:r>
            <w:r w:rsidR="00490F43" w:rsidRPr="004119AE">
              <w:rPr>
                <w:rFonts w:ascii="Arial" w:hAnsi="Arial" w:cs="Arial"/>
                <w:sz w:val="16"/>
                <w:szCs w:val="16"/>
              </w:rPr>
              <w:t xml:space="preserve">ear     </w:t>
            </w:r>
          </w:p>
          <w:p w14:paraId="0A7C9A34" w14:textId="77777777" w:rsidR="00490F43" w:rsidRPr="00916ABF" w:rsidRDefault="00490F43" w:rsidP="00490F43">
            <w:pPr>
              <w:tabs>
                <w:tab w:val="left" w:pos="709"/>
              </w:tabs>
              <w:spacing w:before="60" w:after="60" w:line="240" w:lineRule="auto"/>
              <w:rPr>
                <w:rFonts w:ascii="Arial" w:hAnsi="Arial" w:cs="Arial"/>
                <w:sz w:val="16"/>
                <w:szCs w:val="16"/>
                <w:highlight w:val="yellow"/>
              </w:rPr>
            </w:pPr>
            <w:r w:rsidRPr="004119AE">
              <w:rPr>
                <w:rFonts w:ascii="Arial" w:hAnsi="Arial" w:cs="Arial"/>
                <w:sz w:val="16"/>
                <w:szCs w:val="16"/>
              </w:rPr>
              <w:t>2022-23</w:t>
            </w:r>
          </w:p>
        </w:tc>
        <w:tc>
          <w:tcPr>
            <w:tcW w:w="2864" w:type="dxa"/>
            <w:tcBorders>
              <w:top w:val="dotted" w:sz="4" w:space="0" w:color="auto"/>
              <w:left w:val="single" w:sz="4" w:space="0" w:color="auto"/>
              <w:bottom w:val="single" w:sz="4" w:space="0" w:color="auto"/>
              <w:right w:val="single" w:sz="4" w:space="0" w:color="auto"/>
            </w:tcBorders>
          </w:tcPr>
          <w:p w14:paraId="69346533" w14:textId="77777777" w:rsidR="00490F43" w:rsidRPr="00916ABF" w:rsidRDefault="00490F43" w:rsidP="00490F43">
            <w:pPr>
              <w:tabs>
                <w:tab w:val="left" w:pos="709"/>
              </w:tabs>
              <w:spacing w:before="60" w:after="60" w:line="240" w:lineRule="auto"/>
              <w:jc w:val="left"/>
              <w:rPr>
                <w:rFonts w:ascii="Arial" w:hAnsi="Arial" w:cs="Arial"/>
                <w:i/>
                <w:sz w:val="16"/>
                <w:szCs w:val="16"/>
                <w:highlight w:val="yellow"/>
              </w:rPr>
            </w:pPr>
            <w:r w:rsidRPr="004119AE">
              <w:rPr>
                <w:rFonts w:ascii="Arial" w:hAnsi="Arial" w:cs="Arial"/>
                <w:sz w:val="16"/>
                <w:szCs w:val="16"/>
              </w:rPr>
              <w:t>IAS activities invest in local solutions based on community and government priorities</w:t>
            </w:r>
          </w:p>
        </w:tc>
        <w:tc>
          <w:tcPr>
            <w:tcW w:w="3260" w:type="dxa"/>
            <w:tcBorders>
              <w:top w:val="dotted" w:sz="4" w:space="0" w:color="auto"/>
              <w:left w:val="single" w:sz="4" w:space="0" w:color="auto"/>
              <w:bottom w:val="single" w:sz="4" w:space="0" w:color="auto"/>
            </w:tcBorders>
            <w:vAlign w:val="center"/>
          </w:tcPr>
          <w:p w14:paraId="1A1B4B18" w14:textId="77777777" w:rsidR="00490F43" w:rsidRPr="00916ABF" w:rsidRDefault="00490F43" w:rsidP="00490F43">
            <w:pPr>
              <w:spacing w:before="60" w:after="60" w:line="276" w:lineRule="auto"/>
              <w:ind w:right="34"/>
              <w:contextualSpacing/>
              <w:jc w:val="left"/>
              <w:rPr>
                <w:rFonts w:ascii="Arial" w:hAnsi="Arial" w:cs="Arial"/>
                <w:sz w:val="16"/>
                <w:szCs w:val="16"/>
                <w:highlight w:val="yellow"/>
              </w:rPr>
            </w:pPr>
            <w:r w:rsidRPr="004119AE">
              <w:rPr>
                <w:rFonts w:ascii="Arial" w:hAnsi="Arial" w:cs="Arial"/>
                <w:b/>
                <w:sz w:val="16"/>
                <w:szCs w:val="16"/>
              </w:rPr>
              <w:t>Target</w:t>
            </w:r>
            <w:r w:rsidRPr="004119AE">
              <w:rPr>
                <w:rFonts w:ascii="Arial" w:hAnsi="Arial" w:cs="Arial"/>
                <w:sz w:val="16"/>
                <w:szCs w:val="16"/>
              </w:rPr>
              <w:t>: 90 per cent of IAS Program activities are assessed by NIAA Agreement Managers as having core service delivery elements which met or exceeded requirements (b)</w:t>
            </w:r>
          </w:p>
        </w:tc>
      </w:tr>
      <w:tr w:rsidR="00490F43" w:rsidRPr="001C5C12" w14:paraId="1357955C" w14:textId="77777777" w:rsidTr="00490F43">
        <w:tc>
          <w:tcPr>
            <w:tcW w:w="1701" w:type="dxa"/>
            <w:tcBorders>
              <w:top w:val="single" w:sz="4" w:space="0" w:color="auto"/>
              <w:bottom w:val="single" w:sz="4" w:space="0" w:color="auto"/>
              <w:right w:val="single" w:sz="4" w:space="0" w:color="auto"/>
            </w:tcBorders>
          </w:tcPr>
          <w:p w14:paraId="760C2F39" w14:textId="77777777" w:rsidR="00490F43" w:rsidRPr="004119AE" w:rsidRDefault="009C51A8" w:rsidP="00490F43">
            <w:pPr>
              <w:tabs>
                <w:tab w:val="left" w:pos="709"/>
              </w:tabs>
              <w:spacing w:before="60" w:after="60" w:line="240" w:lineRule="auto"/>
              <w:rPr>
                <w:rFonts w:ascii="Arial" w:hAnsi="Arial" w:cs="Arial"/>
                <w:sz w:val="16"/>
                <w:szCs w:val="16"/>
              </w:rPr>
            </w:pPr>
            <w:r>
              <w:rPr>
                <w:rFonts w:ascii="Arial" w:hAnsi="Arial" w:cs="Arial"/>
                <w:sz w:val="16"/>
                <w:szCs w:val="16"/>
              </w:rPr>
              <w:t>Forward e</w:t>
            </w:r>
            <w:r w:rsidR="00490F43" w:rsidRPr="004119AE">
              <w:rPr>
                <w:rFonts w:ascii="Arial" w:hAnsi="Arial" w:cs="Arial"/>
                <w:sz w:val="16"/>
                <w:szCs w:val="16"/>
              </w:rPr>
              <w:t xml:space="preserve">stimates </w:t>
            </w:r>
          </w:p>
          <w:p w14:paraId="4C7C8376" w14:textId="77777777" w:rsidR="00490F43" w:rsidRPr="008F3B3E" w:rsidRDefault="00490F43" w:rsidP="00490F43">
            <w:pPr>
              <w:tabs>
                <w:tab w:val="left" w:pos="709"/>
              </w:tabs>
              <w:spacing w:before="60" w:after="60" w:line="240" w:lineRule="auto"/>
              <w:rPr>
                <w:rFonts w:ascii="Arial" w:hAnsi="Arial" w:cs="Arial"/>
                <w:sz w:val="16"/>
                <w:szCs w:val="16"/>
              </w:rPr>
            </w:pPr>
            <w:r w:rsidRPr="004119AE">
              <w:rPr>
                <w:rFonts w:ascii="Arial" w:hAnsi="Arial" w:cs="Arial"/>
                <w:sz w:val="16"/>
                <w:szCs w:val="16"/>
              </w:rPr>
              <w:t>2023-26</w:t>
            </w:r>
          </w:p>
        </w:tc>
        <w:tc>
          <w:tcPr>
            <w:tcW w:w="2864" w:type="dxa"/>
            <w:tcBorders>
              <w:top w:val="single" w:sz="4" w:space="0" w:color="auto"/>
              <w:left w:val="single" w:sz="4" w:space="0" w:color="auto"/>
              <w:bottom w:val="single" w:sz="4" w:space="0" w:color="auto"/>
              <w:right w:val="single" w:sz="4" w:space="0" w:color="auto"/>
            </w:tcBorders>
          </w:tcPr>
          <w:p w14:paraId="5FCC131E" w14:textId="77777777" w:rsidR="00490F43" w:rsidRPr="008F3B3E" w:rsidRDefault="00490F43" w:rsidP="00490F43">
            <w:pPr>
              <w:tabs>
                <w:tab w:val="left" w:pos="709"/>
              </w:tabs>
              <w:spacing w:before="120" w:after="60" w:line="240" w:lineRule="auto"/>
              <w:jc w:val="left"/>
              <w:rPr>
                <w:rFonts w:ascii="Arial" w:hAnsi="Arial" w:cs="Arial"/>
                <w:sz w:val="16"/>
                <w:szCs w:val="16"/>
              </w:rPr>
            </w:pPr>
            <w:r>
              <w:rPr>
                <w:rFonts w:ascii="Arial" w:hAnsi="Arial" w:cs="Arial"/>
                <w:sz w:val="16"/>
                <w:szCs w:val="16"/>
              </w:rPr>
              <w:t>As per 2022-23</w:t>
            </w:r>
          </w:p>
        </w:tc>
        <w:tc>
          <w:tcPr>
            <w:tcW w:w="3260" w:type="dxa"/>
            <w:tcBorders>
              <w:top w:val="single" w:sz="4" w:space="0" w:color="auto"/>
              <w:left w:val="single" w:sz="4" w:space="0" w:color="auto"/>
              <w:bottom w:val="single" w:sz="4" w:space="0" w:color="auto"/>
            </w:tcBorders>
            <w:vAlign w:val="center"/>
          </w:tcPr>
          <w:p w14:paraId="33064A27" w14:textId="77777777" w:rsidR="00490F43" w:rsidRPr="00A07759" w:rsidRDefault="00490F43" w:rsidP="00490F43">
            <w:pPr>
              <w:tabs>
                <w:tab w:val="left" w:pos="709"/>
              </w:tabs>
              <w:spacing w:after="60" w:line="240" w:lineRule="auto"/>
              <w:jc w:val="left"/>
              <w:rPr>
                <w:rFonts w:ascii="Arial" w:hAnsi="Arial" w:cs="Arial"/>
                <w:sz w:val="16"/>
                <w:szCs w:val="16"/>
              </w:rPr>
            </w:pPr>
            <w:r w:rsidRPr="009D04F1">
              <w:rPr>
                <w:rFonts w:ascii="Arial" w:hAnsi="Arial" w:cs="Arial"/>
                <w:sz w:val="16"/>
                <w:szCs w:val="16"/>
              </w:rPr>
              <w:t>As per 2022-23</w:t>
            </w:r>
          </w:p>
        </w:tc>
      </w:tr>
    </w:tbl>
    <w:p w14:paraId="2209A013" w14:textId="77777777" w:rsidR="00490F43" w:rsidRPr="005F10DE" w:rsidRDefault="00490F43" w:rsidP="00392A48">
      <w:pPr>
        <w:pStyle w:val="ChartandTableFootnote"/>
        <w:numPr>
          <w:ilvl w:val="0"/>
          <w:numId w:val="82"/>
        </w:numPr>
        <w:ind w:left="284" w:hanging="284"/>
        <w:rPr>
          <w:rFonts w:cs="Arial"/>
          <w:color w:val="auto"/>
          <w:szCs w:val="16"/>
        </w:rPr>
      </w:pPr>
      <w:r>
        <w:rPr>
          <w:rFonts w:cs="Arial"/>
          <w:color w:val="auto"/>
          <w:szCs w:val="16"/>
          <w:lang w:val="en-AU"/>
        </w:rPr>
        <w:t>Refer to</w:t>
      </w:r>
      <w:r w:rsidRPr="005F10DE">
        <w:rPr>
          <w:rFonts w:cs="Arial"/>
          <w:color w:val="auto"/>
          <w:szCs w:val="16"/>
        </w:rPr>
        <w:t xml:space="preserve"> the 2021</w:t>
      </w:r>
      <w:r>
        <w:rPr>
          <w:rFonts w:cs="Arial"/>
          <w:color w:val="auto"/>
          <w:szCs w:val="16"/>
          <w:lang w:val="en-AU"/>
        </w:rPr>
        <w:t>-22</w:t>
      </w:r>
      <w:r w:rsidRPr="005F10DE">
        <w:rPr>
          <w:rFonts w:cs="Arial"/>
          <w:color w:val="auto"/>
          <w:szCs w:val="16"/>
        </w:rPr>
        <w:t xml:space="preserve"> </w:t>
      </w:r>
      <w:r>
        <w:rPr>
          <w:rFonts w:cs="Arial"/>
          <w:color w:val="auto"/>
          <w:szCs w:val="16"/>
        </w:rPr>
        <w:t>Corporate Plan</w:t>
      </w:r>
      <w:r>
        <w:rPr>
          <w:rFonts w:cs="Arial"/>
          <w:color w:val="auto"/>
          <w:szCs w:val="16"/>
          <w:lang w:val="en-AU"/>
        </w:rPr>
        <w:t xml:space="preserve"> for further detail</w:t>
      </w:r>
      <w:r w:rsidRPr="005F10DE">
        <w:rPr>
          <w:rFonts w:cs="Arial"/>
          <w:color w:val="auto"/>
          <w:szCs w:val="16"/>
        </w:rPr>
        <w:t>.</w:t>
      </w:r>
    </w:p>
    <w:p w14:paraId="664EAE79" w14:textId="77777777" w:rsidR="00490F43" w:rsidRPr="005F10DE" w:rsidRDefault="00490F43" w:rsidP="00392A48">
      <w:pPr>
        <w:pStyle w:val="ChartandTableFootnote"/>
        <w:numPr>
          <w:ilvl w:val="0"/>
          <w:numId w:val="82"/>
        </w:numPr>
        <w:ind w:left="284" w:hanging="284"/>
        <w:rPr>
          <w:rFonts w:cs="Arial"/>
          <w:color w:val="auto"/>
          <w:szCs w:val="16"/>
        </w:rPr>
      </w:pPr>
      <w:r w:rsidRPr="005F10DE">
        <w:rPr>
          <w:rFonts w:cs="Arial"/>
          <w:color w:val="auto"/>
          <w:szCs w:val="16"/>
        </w:rPr>
        <w:t>Specified IAS activity outcomes for Program 1.5 include: in consultation with community stakeholders, supporting infrastructure, physical asset, housing, training and economic development projects that address remote community need and/or support local innovations.</w:t>
      </w:r>
    </w:p>
    <w:p w14:paraId="73885349" w14:textId="77777777" w:rsidR="00490F43" w:rsidRPr="00720210" w:rsidRDefault="00490F43" w:rsidP="00490F43">
      <w:pPr>
        <w:pStyle w:val="ChartandTableFootnote"/>
        <w:ind w:left="284"/>
        <w:jc w:val="left"/>
        <w:rPr>
          <w:color w:val="auto"/>
          <w:highlight w:val="yellow"/>
        </w:rPr>
      </w:pPr>
    </w:p>
    <w:p w14:paraId="4FF016F9" w14:textId="77777777" w:rsidR="00490F43" w:rsidRPr="00925F0A" w:rsidRDefault="00490F43" w:rsidP="00490F43">
      <w:pPr>
        <w:pStyle w:val="ChartandTableFootnote"/>
        <w:ind w:left="284"/>
        <w:jc w:val="left"/>
      </w:pPr>
    </w:p>
    <w:p w14:paraId="48AE273F" w14:textId="77777777" w:rsidR="00490F43" w:rsidRDefault="00490F43" w:rsidP="00490F43">
      <w:pPr>
        <w:rPr>
          <w:lang w:val="x-none" w:eastAsia="x-none"/>
        </w:rPr>
      </w:pPr>
    </w:p>
    <w:p w14:paraId="5C247F17" w14:textId="77777777" w:rsidR="00490F43" w:rsidRDefault="00490F43" w:rsidP="00490F43">
      <w:pPr>
        <w:rPr>
          <w:lang w:val="x-none" w:eastAsia="x-none"/>
        </w:rPr>
        <w:sectPr w:rsidR="00490F43" w:rsidSect="00490F43">
          <w:headerReference w:type="default" r:id="rId288"/>
          <w:pgSz w:w="11906" w:h="16838" w:code="9"/>
          <w:pgMar w:top="2410" w:right="2098" w:bottom="2466" w:left="2098" w:header="1899" w:footer="1899" w:gutter="0"/>
          <w:cols w:space="708"/>
          <w:docGrid w:linePitch="360"/>
        </w:sectPr>
      </w:pPr>
    </w:p>
    <w:p w14:paraId="7F2C8213" w14:textId="77777777" w:rsidR="00490F43" w:rsidRDefault="00490F43" w:rsidP="00490F43">
      <w:pPr>
        <w:pStyle w:val="TableHeading"/>
      </w:pPr>
      <w:r>
        <w:rPr>
          <w:lang w:val="en-AU"/>
        </w:rPr>
        <w:t xml:space="preserve">  </w:t>
      </w:r>
      <w:r>
        <w:t>Table 2.1.2</w:t>
      </w:r>
      <w:r w:rsidRPr="00F71634">
        <w:t>: Pe</w:t>
      </w:r>
      <w:r>
        <w:t>rformance measure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490F43" w:rsidRPr="006906E4" w14:paraId="46452A6A" w14:textId="77777777" w:rsidTr="00490F43">
        <w:trPr>
          <w:tblHeader/>
        </w:trPr>
        <w:tc>
          <w:tcPr>
            <w:tcW w:w="7825" w:type="dxa"/>
            <w:gridSpan w:val="3"/>
            <w:shd w:val="clear" w:color="auto" w:fill="F2F2F2"/>
          </w:tcPr>
          <w:p w14:paraId="6987023E" w14:textId="77777777" w:rsidR="00490F43" w:rsidRPr="00792586" w:rsidRDefault="00490F43" w:rsidP="00490F43">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1.6 – Evaluation and Research</w:t>
            </w:r>
          </w:p>
          <w:p w14:paraId="7B6E01BA" w14:textId="77777777" w:rsidR="00490F43" w:rsidRPr="00792586" w:rsidRDefault="00490F43" w:rsidP="00490F43">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The objective of this program is to improve the lives of Indigenous Australians by incorporating</w:t>
            </w:r>
            <w:r w:rsidRPr="00792586" w:rsidDel="001F02B3">
              <w:rPr>
                <w:rFonts w:ascii="Arial" w:hAnsi="Arial" w:cs="Arial"/>
                <w:sz w:val="16"/>
                <w:szCs w:val="16"/>
              </w:rPr>
              <w:t xml:space="preserve"> </w:t>
            </w:r>
            <w:r w:rsidRPr="00792586">
              <w:rPr>
                <w:rFonts w:ascii="Arial" w:hAnsi="Arial" w:cs="Arial"/>
                <w:sz w:val="16"/>
                <w:szCs w:val="16"/>
              </w:rPr>
              <w:t>evaluation of and research into policies and programs impacting on Indigenous peoples delivered by the NIAA.</w:t>
            </w:r>
          </w:p>
        </w:tc>
      </w:tr>
      <w:tr w:rsidR="00490F43" w:rsidRPr="006906E4" w14:paraId="60B82D92" w14:textId="77777777" w:rsidTr="00490F43">
        <w:tc>
          <w:tcPr>
            <w:tcW w:w="1701" w:type="dxa"/>
            <w:tcBorders>
              <w:bottom w:val="single" w:sz="4" w:space="0" w:color="auto"/>
            </w:tcBorders>
          </w:tcPr>
          <w:p w14:paraId="6679096F" w14:textId="77777777" w:rsidR="00490F43" w:rsidRPr="00792586" w:rsidRDefault="009C51A8" w:rsidP="00490F43">
            <w:pPr>
              <w:tabs>
                <w:tab w:val="left" w:pos="709"/>
              </w:tabs>
              <w:spacing w:before="60" w:after="60" w:line="240" w:lineRule="auto"/>
              <w:jc w:val="left"/>
              <w:rPr>
                <w:rFonts w:ascii="Arial" w:hAnsi="Arial" w:cs="Arial"/>
                <w:b/>
                <w:sz w:val="16"/>
                <w:szCs w:val="16"/>
              </w:rPr>
            </w:pPr>
            <w:r>
              <w:rPr>
                <w:rFonts w:ascii="Arial" w:hAnsi="Arial" w:cs="Arial"/>
                <w:b/>
                <w:sz w:val="16"/>
                <w:szCs w:val="16"/>
              </w:rPr>
              <w:t>Key a</w:t>
            </w:r>
            <w:r w:rsidR="00490F43" w:rsidRPr="00933B29">
              <w:rPr>
                <w:rFonts w:ascii="Arial" w:hAnsi="Arial" w:cs="Arial"/>
                <w:b/>
                <w:sz w:val="16"/>
                <w:szCs w:val="16"/>
              </w:rPr>
              <w:t>ctivities (a)</w:t>
            </w:r>
          </w:p>
        </w:tc>
        <w:tc>
          <w:tcPr>
            <w:tcW w:w="6124" w:type="dxa"/>
            <w:gridSpan w:val="2"/>
            <w:tcBorders>
              <w:bottom w:val="single" w:sz="4" w:space="0" w:color="auto"/>
            </w:tcBorders>
          </w:tcPr>
          <w:p w14:paraId="4C6BDADD" w14:textId="77777777" w:rsidR="00490F43" w:rsidRPr="00792586" w:rsidRDefault="00490F43" w:rsidP="00490F43">
            <w:pPr>
              <w:tabs>
                <w:tab w:val="left" w:pos="709"/>
              </w:tabs>
              <w:spacing w:before="60" w:after="60" w:line="240" w:lineRule="auto"/>
              <w:jc w:val="left"/>
              <w:rPr>
                <w:rFonts w:ascii="Arial" w:hAnsi="Arial" w:cs="Arial"/>
                <w:i/>
                <w:color w:val="FF0000"/>
                <w:sz w:val="16"/>
                <w:szCs w:val="16"/>
              </w:rPr>
            </w:pPr>
            <w:r w:rsidRPr="00EE32E1">
              <w:rPr>
                <w:rFonts w:ascii="Arial" w:hAnsi="Arial" w:cs="Arial"/>
                <w:sz w:val="16"/>
                <w:szCs w:val="16"/>
              </w:rPr>
              <w:t xml:space="preserve">Undertaking evaluations of </w:t>
            </w:r>
            <w:r>
              <w:rPr>
                <w:rFonts w:ascii="Arial" w:hAnsi="Arial" w:cs="Arial"/>
                <w:sz w:val="16"/>
                <w:szCs w:val="16"/>
              </w:rPr>
              <w:t xml:space="preserve">NIAA </w:t>
            </w:r>
            <w:r w:rsidRPr="00EE32E1">
              <w:rPr>
                <w:rFonts w:ascii="Arial" w:hAnsi="Arial" w:cs="Arial"/>
                <w:sz w:val="16"/>
                <w:szCs w:val="16"/>
              </w:rPr>
              <w:t>programs in line with the IAS Evaluation Framework and incorporating evaluations into policies and programs delivered by the NIAA.</w:t>
            </w:r>
          </w:p>
        </w:tc>
      </w:tr>
      <w:tr w:rsidR="00490F43" w:rsidRPr="00D27389" w14:paraId="348845CC" w14:textId="77777777" w:rsidTr="00490F43">
        <w:tc>
          <w:tcPr>
            <w:tcW w:w="1701" w:type="dxa"/>
            <w:tcBorders>
              <w:top w:val="single" w:sz="4" w:space="0" w:color="auto"/>
              <w:bottom w:val="single" w:sz="4" w:space="0" w:color="auto"/>
              <w:right w:val="single" w:sz="4" w:space="0" w:color="auto"/>
            </w:tcBorders>
          </w:tcPr>
          <w:p w14:paraId="14B9195A" w14:textId="77777777" w:rsidR="00490F43" w:rsidRPr="00792586" w:rsidRDefault="00490F43" w:rsidP="00490F43">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Year</w:t>
            </w:r>
          </w:p>
        </w:tc>
        <w:tc>
          <w:tcPr>
            <w:tcW w:w="2864" w:type="dxa"/>
            <w:tcBorders>
              <w:top w:val="single" w:sz="4" w:space="0" w:color="auto"/>
              <w:left w:val="single" w:sz="4" w:space="0" w:color="auto"/>
              <w:bottom w:val="single" w:sz="4" w:space="0" w:color="auto"/>
              <w:right w:val="single" w:sz="4" w:space="0" w:color="auto"/>
            </w:tcBorders>
          </w:tcPr>
          <w:p w14:paraId="1C0E46F9" w14:textId="77777777" w:rsidR="00490F43" w:rsidRPr="00792586" w:rsidRDefault="00490F43" w:rsidP="00490F43">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 xml:space="preserve">Performance </w:t>
            </w:r>
            <w:r>
              <w:rPr>
                <w:rFonts w:ascii="Arial" w:hAnsi="Arial" w:cs="Arial"/>
                <w:b/>
                <w:sz w:val="16"/>
                <w:szCs w:val="16"/>
              </w:rPr>
              <w:t>measures</w:t>
            </w:r>
          </w:p>
        </w:tc>
        <w:tc>
          <w:tcPr>
            <w:tcW w:w="3260" w:type="dxa"/>
            <w:tcBorders>
              <w:top w:val="single" w:sz="4" w:space="0" w:color="auto"/>
              <w:left w:val="single" w:sz="4" w:space="0" w:color="auto"/>
              <w:bottom w:val="single" w:sz="4" w:space="0" w:color="auto"/>
            </w:tcBorders>
          </w:tcPr>
          <w:p w14:paraId="6AC5778D" w14:textId="77777777" w:rsidR="00490F43" w:rsidRPr="00792586" w:rsidRDefault="00490F43" w:rsidP="009C51A8">
            <w:pPr>
              <w:tabs>
                <w:tab w:val="left" w:pos="709"/>
              </w:tabs>
              <w:spacing w:before="60" w:after="60" w:line="240" w:lineRule="auto"/>
              <w:jc w:val="left"/>
              <w:rPr>
                <w:rFonts w:ascii="Arial" w:hAnsi="Arial" w:cs="Arial"/>
                <w:b/>
                <w:sz w:val="16"/>
                <w:szCs w:val="16"/>
              </w:rPr>
            </w:pPr>
            <w:r w:rsidRPr="004119AE">
              <w:rPr>
                <w:rFonts w:ascii="Arial" w:hAnsi="Arial" w:cs="Arial"/>
                <w:b/>
                <w:sz w:val="16"/>
                <w:szCs w:val="16"/>
              </w:rPr>
              <w:t xml:space="preserve">Expected </w:t>
            </w:r>
            <w:r w:rsidR="009C51A8">
              <w:rPr>
                <w:rFonts w:ascii="Arial" w:hAnsi="Arial" w:cs="Arial"/>
                <w:b/>
                <w:sz w:val="16"/>
                <w:szCs w:val="16"/>
              </w:rPr>
              <w:t>performance r</w:t>
            </w:r>
            <w:r w:rsidRPr="004119AE">
              <w:rPr>
                <w:rFonts w:ascii="Arial" w:hAnsi="Arial" w:cs="Arial"/>
                <w:b/>
                <w:sz w:val="16"/>
                <w:szCs w:val="16"/>
              </w:rPr>
              <w:t>esults</w:t>
            </w:r>
          </w:p>
        </w:tc>
      </w:tr>
      <w:tr w:rsidR="00490F43" w:rsidRPr="00BD1A1E" w14:paraId="468F170F" w14:textId="77777777" w:rsidTr="00490F43">
        <w:trPr>
          <w:trHeight w:val="60"/>
        </w:trPr>
        <w:tc>
          <w:tcPr>
            <w:tcW w:w="1701" w:type="dxa"/>
            <w:tcBorders>
              <w:top w:val="single" w:sz="4" w:space="0" w:color="auto"/>
              <w:bottom w:val="dotted" w:sz="4" w:space="0" w:color="auto"/>
              <w:right w:val="single" w:sz="4" w:space="0" w:color="auto"/>
            </w:tcBorders>
          </w:tcPr>
          <w:p w14:paraId="6AEA7A66" w14:textId="77777777" w:rsidR="00490F43" w:rsidRPr="004119AE" w:rsidRDefault="00490F43" w:rsidP="00490F43">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Current year</w:t>
            </w:r>
          </w:p>
          <w:p w14:paraId="40668C59" w14:textId="77777777" w:rsidR="00490F43" w:rsidRPr="00792586" w:rsidRDefault="00490F43" w:rsidP="00490F43">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2021-22</w:t>
            </w:r>
          </w:p>
        </w:tc>
        <w:tc>
          <w:tcPr>
            <w:tcW w:w="2864" w:type="dxa"/>
            <w:tcBorders>
              <w:top w:val="single" w:sz="4" w:space="0" w:color="auto"/>
              <w:left w:val="single" w:sz="4" w:space="0" w:color="auto"/>
              <w:bottom w:val="dotted" w:sz="4" w:space="0" w:color="auto"/>
              <w:right w:val="single" w:sz="4" w:space="0" w:color="auto"/>
            </w:tcBorders>
          </w:tcPr>
          <w:p w14:paraId="3922FE63" w14:textId="77777777" w:rsidR="00490F43" w:rsidRPr="004119AE" w:rsidRDefault="00490F43" w:rsidP="00490F43">
            <w:pPr>
              <w:spacing w:beforeLines="60" w:before="144" w:afterLines="60" w:after="144" w:line="240" w:lineRule="auto"/>
              <w:jc w:val="left"/>
              <w:rPr>
                <w:rFonts w:ascii="Arial" w:hAnsi="Arial" w:cs="Arial"/>
                <w:sz w:val="16"/>
                <w:szCs w:val="16"/>
              </w:rPr>
            </w:pPr>
            <w:r w:rsidRPr="004119AE">
              <w:rPr>
                <w:rFonts w:ascii="Arial" w:hAnsi="Arial" w:cs="Arial"/>
                <w:sz w:val="16"/>
                <w:szCs w:val="16"/>
              </w:rPr>
              <w:t>Evaluation efforts are prioritised based on significance, contribution and policy risk as per the NIAA Evaluation Framework</w:t>
            </w:r>
          </w:p>
          <w:p w14:paraId="0E85DD75" w14:textId="77777777" w:rsidR="00490F43" w:rsidRPr="004119AE" w:rsidRDefault="00490F43" w:rsidP="00490F43">
            <w:pPr>
              <w:pStyle w:val="ListParagraph"/>
              <w:spacing w:beforeLines="60" w:before="144" w:afterLines="60" w:after="144" w:line="240" w:lineRule="auto"/>
              <w:ind w:left="360"/>
              <w:rPr>
                <w:rFonts w:ascii="Arial" w:hAnsi="Arial" w:cs="Arial"/>
                <w:sz w:val="16"/>
                <w:szCs w:val="16"/>
              </w:rPr>
            </w:pPr>
          </w:p>
          <w:p w14:paraId="408D7B8A" w14:textId="77777777" w:rsidR="00490F43" w:rsidRPr="004119AE" w:rsidRDefault="00490F43" w:rsidP="00490F43">
            <w:pPr>
              <w:spacing w:beforeLines="60" w:before="144" w:afterLines="60" w:after="144" w:line="240" w:lineRule="auto"/>
              <w:jc w:val="left"/>
              <w:rPr>
                <w:rFonts w:ascii="Arial" w:hAnsi="Arial" w:cs="Arial"/>
                <w:sz w:val="16"/>
                <w:szCs w:val="16"/>
              </w:rPr>
            </w:pPr>
            <w:r w:rsidRPr="004119AE">
              <w:rPr>
                <w:rFonts w:ascii="Arial" w:hAnsi="Arial" w:cs="Arial"/>
                <w:sz w:val="16"/>
                <w:szCs w:val="16"/>
              </w:rPr>
              <w:t>Evaluations are made available to improve policy and program decisions</w:t>
            </w:r>
          </w:p>
          <w:p w14:paraId="0EC93327" w14:textId="77777777" w:rsidR="00490F43" w:rsidRPr="004119AE" w:rsidRDefault="00490F43" w:rsidP="00490F43">
            <w:pPr>
              <w:pStyle w:val="ListParagraph"/>
              <w:spacing w:beforeLines="60" w:before="144" w:afterLines="60" w:after="144" w:line="240" w:lineRule="auto"/>
              <w:ind w:left="360"/>
              <w:rPr>
                <w:rFonts w:ascii="Arial" w:hAnsi="Arial" w:cs="Arial"/>
                <w:sz w:val="16"/>
                <w:szCs w:val="16"/>
              </w:rPr>
            </w:pPr>
          </w:p>
          <w:p w14:paraId="57BC26B9" w14:textId="77777777" w:rsidR="00490F43" w:rsidRPr="004119AE" w:rsidRDefault="00490F43" w:rsidP="00490F43">
            <w:pPr>
              <w:spacing w:beforeLines="60" w:before="144" w:afterLines="60" w:after="144" w:line="240" w:lineRule="auto"/>
              <w:jc w:val="left"/>
              <w:rPr>
                <w:rFonts w:ascii="Arial" w:hAnsi="Arial" w:cs="Arial"/>
                <w:i/>
                <w:color w:val="FF0000"/>
                <w:sz w:val="16"/>
                <w:szCs w:val="16"/>
              </w:rPr>
            </w:pPr>
            <w:r w:rsidRPr="004119AE">
              <w:rPr>
                <w:rFonts w:ascii="Arial" w:hAnsi="Arial" w:cs="Arial"/>
                <w:sz w:val="16"/>
                <w:szCs w:val="16"/>
              </w:rPr>
              <w:t>Evaluation and research contributes to improved policy and program design and/or delivery</w:t>
            </w:r>
          </w:p>
        </w:tc>
        <w:tc>
          <w:tcPr>
            <w:tcW w:w="3260" w:type="dxa"/>
            <w:tcBorders>
              <w:top w:val="single" w:sz="4" w:space="0" w:color="auto"/>
              <w:left w:val="single" w:sz="4" w:space="0" w:color="auto"/>
              <w:bottom w:val="dotted" w:sz="4" w:space="0" w:color="auto"/>
            </w:tcBorders>
          </w:tcPr>
          <w:p w14:paraId="682672F4" w14:textId="77777777" w:rsidR="00490F43" w:rsidRPr="004119AE" w:rsidRDefault="00490F43" w:rsidP="00490F43">
            <w:pPr>
              <w:spacing w:after="0" w:line="240" w:lineRule="auto"/>
              <w:rPr>
                <w:rFonts w:ascii="Arial" w:hAnsi="Arial" w:cs="Arial"/>
                <w:b/>
                <w:sz w:val="16"/>
                <w:szCs w:val="16"/>
              </w:rPr>
            </w:pPr>
            <w:r w:rsidRPr="004119AE">
              <w:rPr>
                <w:rFonts w:ascii="Arial" w:hAnsi="Arial" w:cs="Arial"/>
                <w:b/>
                <w:sz w:val="16"/>
                <w:szCs w:val="16"/>
              </w:rPr>
              <w:t xml:space="preserve">Target: </w:t>
            </w:r>
            <w:r w:rsidRPr="004119AE">
              <w:rPr>
                <w:rFonts w:ascii="Arial" w:hAnsi="Arial" w:cs="Arial"/>
                <w:sz w:val="16"/>
                <w:szCs w:val="16"/>
              </w:rPr>
              <w:t>Publish an annual evaluation work plan each September taking into account the prioritisation criteria outlined in the NIAA Evaluation Framework</w:t>
            </w:r>
          </w:p>
          <w:p w14:paraId="2614DC20" w14:textId="77777777" w:rsidR="00490F43" w:rsidRPr="004119AE" w:rsidRDefault="00490F43" w:rsidP="00490F43">
            <w:pPr>
              <w:spacing w:after="0" w:line="240" w:lineRule="auto"/>
              <w:rPr>
                <w:rFonts w:ascii="Arial" w:hAnsi="Arial" w:cs="Arial"/>
                <w:b/>
                <w:sz w:val="16"/>
                <w:szCs w:val="16"/>
              </w:rPr>
            </w:pPr>
          </w:p>
          <w:p w14:paraId="094D772B" w14:textId="77777777" w:rsidR="00490F43" w:rsidRPr="004119AE" w:rsidRDefault="00490F43" w:rsidP="00490F43">
            <w:pPr>
              <w:spacing w:after="0" w:line="240" w:lineRule="auto"/>
              <w:rPr>
                <w:rFonts w:ascii="Arial" w:hAnsi="Arial" w:cs="Arial"/>
                <w:b/>
                <w:sz w:val="16"/>
                <w:szCs w:val="16"/>
              </w:rPr>
            </w:pPr>
            <w:r w:rsidRPr="004119AE">
              <w:rPr>
                <w:rFonts w:ascii="Arial" w:hAnsi="Arial" w:cs="Arial"/>
                <w:b/>
                <w:sz w:val="16"/>
                <w:szCs w:val="16"/>
              </w:rPr>
              <w:t>On Track</w:t>
            </w:r>
          </w:p>
          <w:p w14:paraId="7BE1614B" w14:textId="77777777" w:rsidR="00490F43" w:rsidRPr="004119AE" w:rsidRDefault="00490F43" w:rsidP="00490F43">
            <w:pPr>
              <w:spacing w:after="0" w:line="240" w:lineRule="auto"/>
              <w:rPr>
                <w:rFonts w:ascii="Arial" w:hAnsi="Arial" w:cs="Arial"/>
                <w:sz w:val="16"/>
                <w:szCs w:val="16"/>
              </w:rPr>
            </w:pPr>
            <w:r w:rsidRPr="004119AE">
              <w:rPr>
                <w:rFonts w:ascii="Arial" w:hAnsi="Arial" w:cs="Arial"/>
                <w:sz w:val="16"/>
                <w:szCs w:val="16"/>
              </w:rPr>
              <w:t>- achieved</w:t>
            </w:r>
          </w:p>
          <w:p w14:paraId="105E6EB0" w14:textId="77777777" w:rsidR="00490F43" w:rsidRPr="004119AE" w:rsidRDefault="00490F43" w:rsidP="00490F43">
            <w:pPr>
              <w:spacing w:after="0" w:line="240" w:lineRule="auto"/>
              <w:rPr>
                <w:rFonts w:ascii="Arial" w:hAnsi="Arial" w:cs="Arial"/>
                <w:b/>
                <w:sz w:val="16"/>
                <w:szCs w:val="16"/>
              </w:rPr>
            </w:pPr>
          </w:p>
          <w:p w14:paraId="11C913E8" w14:textId="77777777" w:rsidR="00490F43" w:rsidRPr="004119AE" w:rsidRDefault="00490F43" w:rsidP="00490F43">
            <w:pPr>
              <w:spacing w:after="0" w:line="240" w:lineRule="auto"/>
              <w:jc w:val="left"/>
              <w:rPr>
                <w:rFonts w:ascii="Arial" w:hAnsi="Arial" w:cs="Arial"/>
                <w:b/>
                <w:sz w:val="16"/>
                <w:szCs w:val="16"/>
              </w:rPr>
            </w:pPr>
            <w:r w:rsidRPr="004119AE">
              <w:rPr>
                <w:rFonts w:ascii="Arial" w:hAnsi="Arial" w:cs="Arial"/>
                <w:b/>
                <w:sz w:val="16"/>
                <w:szCs w:val="16"/>
              </w:rPr>
              <w:t xml:space="preserve">Target: </w:t>
            </w:r>
            <w:r w:rsidRPr="004119AE">
              <w:rPr>
                <w:rFonts w:ascii="Arial" w:hAnsi="Arial" w:cs="Arial"/>
                <w:sz w:val="16"/>
                <w:szCs w:val="16"/>
              </w:rPr>
              <w:t>100 per cent of completed evaluations or summaries on the work plan released</w:t>
            </w:r>
          </w:p>
          <w:p w14:paraId="6A0D6712" w14:textId="77777777" w:rsidR="00490F43" w:rsidRPr="004119AE" w:rsidRDefault="00490F43" w:rsidP="00490F43">
            <w:pPr>
              <w:spacing w:after="0" w:line="240" w:lineRule="auto"/>
              <w:rPr>
                <w:rFonts w:ascii="Arial" w:hAnsi="Arial" w:cs="Arial"/>
                <w:b/>
                <w:sz w:val="16"/>
                <w:szCs w:val="16"/>
              </w:rPr>
            </w:pPr>
          </w:p>
          <w:p w14:paraId="1F381BCC" w14:textId="77777777" w:rsidR="00490F43" w:rsidRPr="00792586" w:rsidRDefault="00490F43" w:rsidP="00490F43">
            <w:pPr>
              <w:spacing w:after="0" w:line="240" w:lineRule="auto"/>
              <w:rPr>
                <w:rFonts w:ascii="Arial" w:hAnsi="Arial" w:cs="Arial"/>
                <w:i/>
                <w:color w:val="FF0000"/>
                <w:sz w:val="16"/>
                <w:szCs w:val="16"/>
              </w:rPr>
            </w:pPr>
            <w:r w:rsidRPr="004119AE">
              <w:rPr>
                <w:rFonts w:ascii="Arial" w:hAnsi="Arial" w:cs="Arial"/>
                <w:b/>
                <w:sz w:val="16"/>
                <w:szCs w:val="16"/>
              </w:rPr>
              <w:t>On Track</w:t>
            </w:r>
          </w:p>
        </w:tc>
      </w:tr>
      <w:tr w:rsidR="00490F43" w:rsidRPr="00BD1A1E" w14:paraId="14EDFA14" w14:textId="77777777" w:rsidTr="00490F43">
        <w:trPr>
          <w:trHeight w:val="60"/>
        </w:trPr>
        <w:tc>
          <w:tcPr>
            <w:tcW w:w="1701" w:type="dxa"/>
            <w:tcBorders>
              <w:top w:val="single" w:sz="4" w:space="0" w:color="auto"/>
              <w:bottom w:val="single" w:sz="4" w:space="0" w:color="auto"/>
              <w:right w:val="single" w:sz="4" w:space="0" w:color="auto"/>
            </w:tcBorders>
          </w:tcPr>
          <w:p w14:paraId="7A746BE5" w14:textId="77777777" w:rsidR="00490F43" w:rsidRPr="00792586" w:rsidRDefault="00490F43" w:rsidP="00490F43">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Year</w:t>
            </w:r>
          </w:p>
        </w:tc>
        <w:tc>
          <w:tcPr>
            <w:tcW w:w="2864" w:type="dxa"/>
            <w:tcBorders>
              <w:top w:val="single" w:sz="4" w:space="0" w:color="auto"/>
              <w:left w:val="single" w:sz="4" w:space="0" w:color="auto"/>
              <w:bottom w:val="single" w:sz="4" w:space="0" w:color="auto"/>
              <w:right w:val="single" w:sz="4" w:space="0" w:color="auto"/>
            </w:tcBorders>
          </w:tcPr>
          <w:p w14:paraId="5F5C1B0A" w14:textId="77777777" w:rsidR="00490F43" w:rsidRPr="00792586" w:rsidRDefault="00490F43" w:rsidP="00490F43">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 xml:space="preserve">Performance </w:t>
            </w:r>
            <w:r>
              <w:rPr>
                <w:rFonts w:ascii="Arial" w:hAnsi="Arial" w:cs="Arial"/>
                <w:b/>
                <w:sz w:val="16"/>
                <w:szCs w:val="16"/>
              </w:rPr>
              <w:t>measures</w:t>
            </w:r>
          </w:p>
        </w:tc>
        <w:tc>
          <w:tcPr>
            <w:tcW w:w="3260" w:type="dxa"/>
            <w:tcBorders>
              <w:top w:val="single" w:sz="4" w:space="0" w:color="auto"/>
              <w:left w:val="single" w:sz="4" w:space="0" w:color="auto"/>
              <w:bottom w:val="single" w:sz="4" w:space="0" w:color="auto"/>
            </w:tcBorders>
          </w:tcPr>
          <w:p w14:paraId="6B86295E" w14:textId="77777777" w:rsidR="00490F43" w:rsidRPr="00792586" w:rsidRDefault="009C51A8" w:rsidP="00490F43">
            <w:pPr>
              <w:tabs>
                <w:tab w:val="left" w:pos="709"/>
              </w:tabs>
              <w:spacing w:before="60" w:after="60" w:line="240" w:lineRule="auto"/>
              <w:jc w:val="left"/>
              <w:rPr>
                <w:rFonts w:ascii="Arial" w:hAnsi="Arial" w:cs="Arial"/>
                <w:b/>
                <w:sz w:val="16"/>
                <w:szCs w:val="16"/>
              </w:rPr>
            </w:pPr>
            <w:r>
              <w:rPr>
                <w:rFonts w:ascii="Arial" w:hAnsi="Arial" w:cs="Arial"/>
                <w:b/>
                <w:sz w:val="16"/>
                <w:szCs w:val="16"/>
              </w:rPr>
              <w:t>Expected performance r</w:t>
            </w:r>
            <w:r w:rsidR="00490F43" w:rsidRPr="004119AE">
              <w:rPr>
                <w:rFonts w:ascii="Arial" w:hAnsi="Arial" w:cs="Arial"/>
                <w:b/>
                <w:sz w:val="16"/>
                <w:szCs w:val="16"/>
              </w:rPr>
              <w:t>esults</w:t>
            </w:r>
          </w:p>
        </w:tc>
      </w:tr>
      <w:tr w:rsidR="00490F43" w:rsidRPr="00BD1A1E" w14:paraId="16F590F5" w14:textId="77777777" w:rsidTr="00490F43">
        <w:tc>
          <w:tcPr>
            <w:tcW w:w="1701" w:type="dxa"/>
            <w:tcBorders>
              <w:top w:val="single" w:sz="4" w:space="0" w:color="auto"/>
              <w:bottom w:val="single" w:sz="4" w:space="0" w:color="auto"/>
              <w:right w:val="single" w:sz="4" w:space="0" w:color="auto"/>
            </w:tcBorders>
          </w:tcPr>
          <w:p w14:paraId="089F9FB8" w14:textId="77777777" w:rsidR="00490F43" w:rsidRPr="00792586" w:rsidRDefault="00490F43" w:rsidP="009C51A8">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 xml:space="preserve">Budget </w:t>
            </w:r>
            <w:r w:rsidR="009C51A8">
              <w:rPr>
                <w:rFonts w:ascii="Arial" w:hAnsi="Arial" w:cs="Arial"/>
                <w:sz w:val="16"/>
                <w:szCs w:val="16"/>
              </w:rPr>
              <w:t>y</w:t>
            </w:r>
            <w:r w:rsidRPr="004119AE">
              <w:rPr>
                <w:rFonts w:ascii="Arial" w:hAnsi="Arial" w:cs="Arial"/>
                <w:sz w:val="16"/>
                <w:szCs w:val="16"/>
              </w:rPr>
              <w:t>ear     2022-23</w:t>
            </w:r>
          </w:p>
        </w:tc>
        <w:tc>
          <w:tcPr>
            <w:tcW w:w="2864" w:type="dxa"/>
            <w:tcBorders>
              <w:top w:val="single" w:sz="4" w:space="0" w:color="auto"/>
              <w:left w:val="single" w:sz="4" w:space="0" w:color="auto"/>
              <w:bottom w:val="single" w:sz="4" w:space="0" w:color="auto"/>
              <w:right w:val="single" w:sz="4" w:space="0" w:color="auto"/>
            </w:tcBorders>
            <w:vAlign w:val="center"/>
          </w:tcPr>
          <w:p w14:paraId="6EBF1023" w14:textId="77777777" w:rsidR="00490F43" w:rsidRPr="004119AE" w:rsidRDefault="00490F43" w:rsidP="00490F43">
            <w:pPr>
              <w:spacing w:before="60" w:after="60" w:line="276" w:lineRule="auto"/>
              <w:ind w:right="34"/>
              <w:contextualSpacing/>
              <w:jc w:val="left"/>
              <w:rPr>
                <w:rFonts w:ascii="Arial" w:hAnsi="Arial" w:cs="Arial"/>
                <w:sz w:val="16"/>
                <w:szCs w:val="16"/>
              </w:rPr>
            </w:pPr>
            <w:r w:rsidRPr="004119AE">
              <w:rPr>
                <w:rFonts w:ascii="Arial" w:hAnsi="Arial" w:cs="Arial"/>
                <w:sz w:val="16"/>
                <w:szCs w:val="16"/>
              </w:rPr>
              <w:t>Evaluation efforts are prioritised based on significance, contribution and policy risk as per the NIAA Evaluation Framework</w:t>
            </w:r>
          </w:p>
          <w:p w14:paraId="32DAF4B2" w14:textId="77777777" w:rsidR="00490F43" w:rsidRPr="004119AE" w:rsidRDefault="00490F43" w:rsidP="00490F43">
            <w:pPr>
              <w:spacing w:before="60" w:after="60" w:line="276" w:lineRule="auto"/>
              <w:ind w:right="34"/>
              <w:contextualSpacing/>
              <w:jc w:val="left"/>
              <w:rPr>
                <w:rFonts w:ascii="Arial" w:hAnsi="Arial" w:cs="Arial"/>
                <w:sz w:val="16"/>
                <w:szCs w:val="16"/>
              </w:rPr>
            </w:pPr>
          </w:p>
          <w:p w14:paraId="14EA0C63" w14:textId="77777777" w:rsidR="00490F43" w:rsidRPr="004119AE" w:rsidRDefault="00490F43" w:rsidP="00490F43">
            <w:pPr>
              <w:spacing w:before="60" w:after="60" w:line="276" w:lineRule="auto"/>
              <w:ind w:right="34"/>
              <w:contextualSpacing/>
              <w:jc w:val="left"/>
              <w:rPr>
                <w:rFonts w:ascii="Arial" w:hAnsi="Arial" w:cs="Arial"/>
                <w:sz w:val="16"/>
                <w:szCs w:val="16"/>
              </w:rPr>
            </w:pPr>
            <w:r w:rsidRPr="004119AE">
              <w:rPr>
                <w:rFonts w:ascii="Arial" w:hAnsi="Arial" w:cs="Arial"/>
                <w:sz w:val="16"/>
                <w:szCs w:val="16"/>
              </w:rPr>
              <w:t>Evaluations are made available to improve policy and program decisions</w:t>
            </w:r>
          </w:p>
          <w:p w14:paraId="71E9DC85" w14:textId="77777777" w:rsidR="00490F43" w:rsidRPr="004119AE" w:rsidRDefault="00490F43" w:rsidP="00490F43">
            <w:pPr>
              <w:spacing w:before="60" w:after="60" w:line="276" w:lineRule="auto"/>
              <w:ind w:right="34"/>
              <w:contextualSpacing/>
              <w:jc w:val="left"/>
              <w:rPr>
                <w:rFonts w:ascii="Arial" w:hAnsi="Arial" w:cs="Arial"/>
                <w:sz w:val="16"/>
                <w:szCs w:val="16"/>
              </w:rPr>
            </w:pPr>
          </w:p>
          <w:p w14:paraId="33BDE11D" w14:textId="77777777" w:rsidR="00490F43" w:rsidRPr="00792586" w:rsidRDefault="00490F43" w:rsidP="00490F43">
            <w:pPr>
              <w:spacing w:before="60" w:after="60" w:line="276" w:lineRule="auto"/>
              <w:ind w:right="34"/>
              <w:contextualSpacing/>
              <w:jc w:val="left"/>
              <w:rPr>
                <w:rFonts w:ascii="Arial" w:hAnsi="Arial" w:cs="Arial"/>
                <w:sz w:val="16"/>
                <w:szCs w:val="16"/>
              </w:rPr>
            </w:pPr>
            <w:r w:rsidRPr="004119AE">
              <w:rPr>
                <w:rFonts w:ascii="Arial" w:hAnsi="Arial" w:cs="Arial"/>
                <w:sz w:val="16"/>
                <w:szCs w:val="16"/>
              </w:rPr>
              <w:t>Evaluation and research contributes to improved policy and program design and/or delivery</w:t>
            </w:r>
          </w:p>
        </w:tc>
        <w:tc>
          <w:tcPr>
            <w:tcW w:w="3260" w:type="dxa"/>
            <w:tcBorders>
              <w:top w:val="single" w:sz="4" w:space="0" w:color="auto"/>
              <w:left w:val="single" w:sz="4" w:space="0" w:color="auto"/>
              <w:bottom w:val="single" w:sz="4" w:space="0" w:color="auto"/>
            </w:tcBorders>
            <w:vAlign w:val="center"/>
          </w:tcPr>
          <w:p w14:paraId="1671E6AF" w14:textId="77777777" w:rsidR="00490F43" w:rsidRPr="004119AE" w:rsidRDefault="00490F43" w:rsidP="00490F43">
            <w:pPr>
              <w:spacing w:before="60" w:after="60" w:line="276" w:lineRule="auto"/>
              <w:ind w:right="34"/>
              <w:contextualSpacing/>
              <w:jc w:val="left"/>
              <w:rPr>
                <w:rFonts w:ascii="Arial" w:hAnsi="Arial" w:cs="Arial"/>
                <w:sz w:val="16"/>
                <w:szCs w:val="16"/>
              </w:rPr>
            </w:pPr>
            <w:r w:rsidRPr="004119AE">
              <w:rPr>
                <w:rFonts w:ascii="Arial" w:hAnsi="Arial" w:cs="Arial"/>
                <w:b/>
                <w:sz w:val="16"/>
                <w:szCs w:val="16"/>
              </w:rPr>
              <w:t>Target:</w:t>
            </w:r>
            <w:r w:rsidRPr="004119AE">
              <w:rPr>
                <w:rFonts w:ascii="Arial" w:hAnsi="Arial" w:cs="Arial"/>
                <w:sz w:val="16"/>
                <w:szCs w:val="16"/>
              </w:rPr>
              <w:t xml:space="preserve"> Publish an annual evaluation work plan each September taking into account the prioritisation criteria outlined in the NIAA Evaluation Framework</w:t>
            </w:r>
          </w:p>
          <w:p w14:paraId="2AAB968D" w14:textId="77777777" w:rsidR="00490F43" w:rsidRPr="004119AE" w:rsidRDefault="00490F43" w:rsidP="00490F43">
            <w:pPr>
              <w:spacing w:before="60" w:after="60" w:line="276" w:lineRule="auto"/>
              <w:ind w:right="34"/>
              <w:contextualSpacing/>
              <w:jc w:val="left"/>
              <w:rPr>
                <w:rFonts w:ascii="Arial" w:hAnsi="Arial" w:cs="Arial"/>
                <w:sz w:val="16"/>
                <w:szCs w:val="16"/>
              </w:rPr>
            </w:pPr>
          </w:p>
          <w:p w14:paraId="13BB63EF" w14:textId="77777777" w:rsidR="00490F43" w:rsidRPr="00792586" w:rsidRDefault="00490F43" w:rsidP="00490F43">
            <w:pPr>
              <w:spacing w:before="60" w:after="60" w:line="276" w:lineRule="auto"/>
              <w:ind w:right="34"/>
              <w:contextualSpacing/>
              <w:jc w:val="left"/>
              <w:rPr>
                <w:rFonts w:ascii="Arial" w:hAnsi="Arial" w:cs="Arial"/>
                <w:sz w:val="16"/>
                <w:szCs w:val="16"/>
              </w:rPr>
            </w:pPr>
            <w:r w:rsidRPr="004119AE">
              <w:rPr>
                <w:rFonts w:ascii="Arial" w:hAnsi="Arial" w:cs="Arial"/>
                <w:b/>
                <w:sz w:val="16"/>
                <w:szCs w:val="16"/>
              </w:rPr>
              <w:t>Target:</w:t>
            </w:r>
            <w:r w:rsidRPr="004119AE">
              <w:rPr>
                <w:rFonts w:ascii="Arial" w:hAnsi="Arial" w:cs="Arial"/>
                <w:sz w:val="16"/>
                <w:szCs w:val="16"/>
              </w:rPr>
              <w:t xml:space="preserve"> 100 per cent of completed evaluations or summaries on the work plan released</w:t>
            </w:r>
          </w:p>
        </w:tc>
      </w:tr>
      <w:tr w:rsidR="00490F43" w:rsidRPr="00BD1A1E" w14:paraId="7BF32F3F" w14:textId="77777777" w:rsidTr="009C51A8">
        <w:trPr>
          <w:trHeight w:val="60"/>
        </w:trPr>
        <w:tc>
          <w:tcPr>
            <w:tcW w:w="1701" w:type="dxa"/>
            <w:tcBorders>
              <w:top w:val="single" w:sz="4" w:space="0" w:color="auto"/>
              <w:bottom w:val="single" w:sz="4" w:space="0" w:color="auto"/>
              <w:right w:val="single" w:sz="4" w:space="0" w:color="auto"/>
            </w:tcBorders>
          </w:tcPr>
          <w:p w14:paraId="65C6C544" w14:textId="77777777" w:rsidR="00490F43" w:rsidRPr="004119AE" w:rsidRDefault="00490F43" w:rsidP="009C51A8">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 xml:space="preserve">Forward </w:t>
            </w:r>
            <w:r w:rsidR="009C51A8">
              <w:rPr>
                <w:rFonts w:ascii="Arial" w:hAnsi="Arial" w:cs="Arial"/>
                <w:sz w:val="16"/>
                <w:szCs w:val="16"/>
              </w:rPr>
              <w:t>e</w:t>
            </w:r>
            <w:r w:rsidRPr="004119AE">
              <w:rPr>
                <w:rFonts w:ascii="Arial" w:hAnsi="Arial" w:cs="Arial"/>
                <w:sz w:val="16"/>
                <w:szCs w:val="16"/>
              </w:rPr>
              <w:t xml:space="preserve">stimates </w:t>
            </w:r>
          </w:p>
          <w:p w14:paraId="158ABFBC" w14:textId="77777777" w:rsidR="00490F43" w:rsidRPr="00792586" w:rsidRDefault="00490F43" w:rsidP="009C51A8">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2023-26</w:t>
            </w:r>
          </w:p>
        </w:tc>
        <w:tc>
          <w:tcPr>
            <w:tcW w:w="2864" w:type="dxa"/>
            <w:tcBorders>
              <w:top w:val="single" w:sz="4" w:space="0" w:color="auto"/>
              <w:left w:val="single" w:sz="4" w:space="0" w:color="auto"/>
              <w:bottom w:val="single" w:sz="4" w:space="0" w:color="auto"/>
              <w:right w:val="single" w:sz="4" w:space="0" w:color="auto"/>
            </w:tcBorders>
          </w:tcPr>
          <w:p w14:paraId="06EA56B5" w14:textId="77777777" w:rsidR="00490F43" w:rsidRPr="00792586" w:rsidRDefault="00490F43" w:rsidP="009C51A8">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As per 2022-23</w:t>
            </w:r>
          </w:p>
        </w:tc>
        <w:tc>
          <w:tcPr>
            <w:tcW w:w="3260" w:type="dxa"/>
            <w:tcBorders>
              <w:top w:val="single" w:sz="4" w:space="0" w:color="auto"/>
              <w:left w:val="single" w:sz="4" w:space="0" w:color="auto"/>
              <w:bottom w:val="single" w:sz="4" w:space="0" w:color="auto"/>
            </w:tcBorders>
          </w:tcPr>
          <w:p w14:paraId="670D1533" w14:textId="77777777" w:rsidR="00490F43" w:rsidRPr="00792586" w:rsidRDefault="00490F43" w:rsidP="009C51A8">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As per 2022-23</w:t>
            </w:r>
          </w:p>
        </w:tc>
      </w:tr>
    </w:tbl>
    <w:p w14:paraId="3B688F67" w14:textId="77777777" w:rsidR="00490F43" w:rsidRPr="008050BE" w:rsidRDefault="00490F43" w:rsidP="00392A48">
      <w:pPr>
        <w:pStyle w:val="ChartandTableFootnote"/>
        <w:numPr>
          <w:ilvl w:val="0"/>
          <w:numId w:val="76"/>
        </w:numPr>
        <w:ind w:left="284" w:hanging="284"/>
        <w:rPr>
          <w:color w:val="auto"/>
          <w:lang w:val="en-AU"/>
        </w:rPr>
      </w:pPr>
      <w:r w:rsidRPr="008050BE">
        <w:rPr>
          <w:rFonts w:cs="Arial"/>
          <w:color w:val="auto"/>
          <w:szCs w:val="16"/>
          <w:lang w:val="en-AU"/>
        </w:rPr>
        <w:t>Refer to the</w:t>
      </w:r>
      <w:r w:rsidRPr="008050BE">
        <w:rPr>
          <w:rFonts w:cs="Arial"/>
          <w:szCs w:val="16"/>
        </w:rPr>
        <w:t xml:space="preserve"> 2021</w:t>
      </w:r>
      <w:r>
        <w:rPr>
          <w:rFonts w:cs="Arial"/>
          <w:szCs w:val="16"/>
          <w:lang w:val="en-AU"/>
        </w:rPr>
        <w:t>-22</w:t>
      </w:r>
      <w:r w:rsidRPr="008050BE">
        <w:rPr>
          <w:rFonts w:cs="Arial"/>
          <w:szCs w:val="16"/>
        </w:rPr>
        <w:t xml:space="preserve"> </w:t>
      </w:r>
      <w:r w:rsidRPr="008050BE">
        <w:rPr>
          <w:rFonts w:cs="Arial"/>
          <w:color w:val="auto"/>
          <w:szCs w:val="16"/>
        </w:rPr>
        <w:t>Corporate Plan</w:t>
      </w:r>
      <w:r w:rsidRPr="008050BE">
        <w:rPr>
          <w:rFonts w:cs="Arial"/>
          <w:color w:val="auto"/>
          <w:szCs w:val="16"/>
          <w:lang w:val="en-AU"/>
        </w:rPr>
        <w:t xml:space="preserve"> for further detail.</w:t>
      </w:r>
    </w:p>
    <w:p w14:paraId="355244A6" w14:textId="77777777" w:rsidR="00490F43" w:rsidRDefault="00490F43" w:rsidP="00490F43">
      <w:pPr>
        <w:rPr>
          <w:highlight w:val="yellow"/>
          <w:lang w:eastAsia="x-none"/>
        </w:rPr>
      </w:pPr>
    </w:p>
    <w:p w14:paraId="3020732A" w14:textId="77777777" w:rsidR="00490F43" w:rsidRPr="008050BE" w:rsidRDefault="00490F43" w:rsidP="00490F43">
      <w:pPr>
        <w:rPr>
          <w:highlight w:val="yellow"/>
          <w:lang w:eastAsia="x-none"/>
        </w:rPr>
        <w:sectPr w:rsidR="00490F43" w:rsidRPr="008050BE" w:rsidSect="00490F43">
          <w:headerReference w:type="default" r:id="rId289"/>
          <w:pgSz w:w="11906" w:h="16838" w:code="9"/>
          <w:pgMar w:top="2410" w:right="2098" w:bottom="2466" w:left="2098" w:header="1899" w:footer="1899" w:gutter="0"/>
          <w:cols w:space="708"/>
          <w:docGrid w:linePitch="360"/>
        </w:sectPr>
      </w:pPr>
    </w:p>
    <w:p w14:paraId="67EEEA72" w14:textId="77777777" w:rsidR="00490F43" w:rsidRDefault="00490F43" w:rsidP="00490F43">
      <w:pPr>
        <w:pStyle w:val="TableHeading"/>
      </w:pPr>
      <w:r>
        <w:rPr>
          <w:lang w:val="en-AU"/>
        </w:rPr>
        <w:t xml:space="preserve">  </w:t>
      </w:r>
      <w:r>
        <w:t>Table 2.1.2</w:t>
      </w:r>
      <w:r w:rsidRPr="00F71634">
        <w:t>: Pe</w:t>
      </w:r>
      <w:r>
        <w:t>rformance measure for Outcome 1 (continued)</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864"/>
        <w:gridCol w:w="3260"/>
      </w:tblGrid>
      <w:tr w:rsidR="00490F43" w:rsidRPr="001C5C12" w14:paraId="02577BA2" w14:textId="77777777" w:rsidTr="00490F43">
        <w:trPr>
          <w:tblHeader/>
        </w:trPr>
        <w:tc>
          <w:tcPr>
            <w:tcW w:w="7796" w:type="dxa"/>
            <w:gridSpan w:val="3"/>
            <w:shd w:val="clear" w:color="auto" w:fill="F2F2F2"/>
          </w:tcPr>
          <w:p w14:paraId="53A50F99" w14:textId="77777777" w:rsidR="00490F43" w:rsidRPr="00916ABF" w:rsidRDefault="00490F43" w:rsidP="00490F43">
            <w:pPr>
              <w:tabs>
                <w:tab w:val="left" w:pos="709"/>
              </w:tabs>
              <w:spacing w:before="60" w:after="60" w:line="240" w:lineRule="auto"/>
              <w:ind w:left="147" w:right="113" w:hanging="147"/>
              <w:rPr>
                <w:rFonts w:ascii="Arial" w:hAnsi="Arial" w:cs="Arial"/>
                <w:b/>
                <w:sz w:val="16"/>
                <w:szCs w:val="16"/>
              </w:rPr>
            </w:pPr>
            <w:r w:rsidRPr="00916ABF">
              <w:rPr>
                <w:rFonts w:ascii="Arial" w:hAnsi="Arial" w:cs="Arial"/>
                <w:b/>
                <w:sz w:val="16"/>
                <w:szCs w:val="16"/>
              </w:rPr>
              <w:t>Program 1.7 – Program Support</w:t>
            </w:r>
          </w:p>
          <w:p w14:paraId="7E5447E8" w14:textId="77777777" w:rsidR="00490F43" w:rsidRPr="00606312" w:rsidRDefault="00490F43" w:rsidP="00490F43">
            <w:pPr>
              <w:tabs>
                <w:tab w:val="left" w:pos="709"/>
              </w:tabs>
              <w:spacing w:before="60" w:after="60" w:line="240" w:lineRule="auto"/>
              <w:jc w:val="left"/>
              <w:rPr>
                <w:rFonts w:ascii="Arial" w:hAnsi="Arial" w:cs="Arial"/>
                <w:sz w:val="16"/>
                <w:szCs w:val="16"/>
              </w:rPr>
            </w:pPr>
            <w:r w:rsidRPr="00606312">
              <w:rPr>
                <w:rFonts w:ascii="Arial" w:hAnsi="Arial" w:cs="Arial"/>
                <w:sz w:val="16"/>
                <w:szCs w:val="16"/>
              </w:rPr>
              <w:t>This program is the departmental support program to the activit</w:t>
            </w:r>
            <w:r w:rsidR="009C51A8">
              <w:rPr>
                <w:rFonts w:ascii="Arial" w:hAnsi="Arial" w:cs="Arial"/>
                <w:sz w:val="16"/>
                <w:szCs w:val="16"/>
              </w:rPr>
              <w:t>ies of the NIAA as directed by g</w:t>
            </w:r>
            <w:r w:rsidRPr="00606312">
              <w:rPr>
                <w:rFonts w:ascii="Arial" w:hAnsi="Arial" w:cs="Arial"/>
                <w:sz w:val="16"/>
                <w:szCs w:val="16"/>
              </w:rPr>
              <w:t>overnment.</w:t>
            </w:r>
          </w:p>
        </w:tc>
      </w:tr>
      <w:tr w:rsidR="00490F43" w:rsidRPr="001C5C12" w14:paraId="2030ADA9" w14:textId="77777777" w:rsidTr="00490F43">
        <w:tc>
          <w:tcPr>
            <w:tcW w:w="1672" w:type="dxa"/>
            <w:tcBorders>
              <w:bottom w:val="single" w:sz="4" w:space="0" w:color="auto"/>
            </w:tcBorders>
          </w:tcPr>
          <w:p w14:paraId="712E9C23" w14:textId="77777777" w:rsidR="00490F43" w:rsidRPr="00606312" w:rsidRDefault="009C51A8" w:rsidP="00490F43">
            <w:pPr>
              <w:tabs>
                <w:tab w:val="left" w:pos="709"/>
              </w:tabs>
              <w:spacing w:before="60" w:after="60" w:line="240" w:lineRule="auto"/>
              <w:rPr>
                <w:rFonts w:ascii="Arial" w:hAnsi="Arial" w:cs="Arial"/>
                <w:b/>
                <w:sz w:val="16"/>
                <w:szCs w:val="16"/>
              </w:rPr>
            </w:pPr>
            <w:r>
              <w:rPr>
                <w:rFonts w:ascii="Arial" w:hAnsi="Arial" w:cs="Arial"/>
                <w:b/>
                <w:sz w:val="16"/>
                <w:szCs w:val="16"/>
              </w:rPr>
              <w:t>Key a</w:t>
            </w:r>
            <w:r w:rsidR="00490F43" w:rsidRPr="00933B29">
              <w:rPr>
                <w:rFonts w:ascii="Arial" w:hAnsi="Arial" w:cs="Arial"/>
                <w:b/>
                <w:sz w:val="16"/>
                <w:szCs w:val="16"/>
              </w:rPr>
              <w:t>ctivities (a)</w:t>
            </w:r>
          </w:p>
        </w:tc>
        <w:tc>
          <w:tcPr>
            <w:tcW w:w="6124" w:type="dxa"/>
            <w:gridSpan w:val="2"/>
            <w:tcBorders>
              <w:bottom w:val="single" w:sz="4" w:space="0" w:color="auto"/>
            </w:tcBorders>
            <w:vAlign w:val="center"/>
          </w:tcPr>
          <w:p w14:paraId="2428E3F4" w14:textId="77777777" w:rsidR="00490F43" w:rsidRPr="004119AE" w:rsidRDefault="00490F43" w:rsidP="00490F43">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 Departmental support for NIAA activities.</w:t>
            </w:r>
          </w:p>
          <w:p w14:paraId="4FBDCE26" w14:textId="77777777" w:rsidR="00490F43" w:rsidRPr="004119AE" w:rsidRDefault="00490F43" w:rsidP="00490F43">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 xml:space="preserve">- Leading the </w:t>
            </w:r>
            <w:r w:rsidR="009C51A8">
              <w:rPr>
                <w:rFonts w:ascii="Arial" w:hAnsi="Arial" w:cs="Arial"/>
                <w:sz w:val="16"/>
                <w:szCs w:val="16"/>
              </w:rPr>
              <w:t>Australian</w:t>
            </w:r>
            <w:r w:rsidRPr="004119AE">
              <w:rPr>
                <w:rFonts w:ascii="Arial" w:hAnsi="Arial" w:cs="Arial"/>
                <w:sz w:val="16"/>
                <w:szCs w:val="16"/>
              </w:rPr>
              <w:t xml:space="preserve"> Government implementation of the National Agreement on Closing the Gap through partnership and engagement with other </w:t>
            </w:r>
            <w:r w:rsidR="00DA1ABD">
              <w:rPr>
                <w:rFonts w:ascii="Arial" w:hAnsi="Arial" w:cs="Arial"/>
                <w:sz w:val="16"/>
                <w:szCs w:val="16"/>
              </w:rPr>
              <w:t>Australian</w:t>
            </w:r>
            <w:r w:rsidRPr="004119AE">
              <w:rPr>
                <w:rFonts w:ascii="Arial" w:hAnsi="Arial" w:cs="Arial"/>
                <w:sz w:val="16"/>
                <w:szCs w:val="16"/>
              </w:rPr>
              <w:t xml:space="preserve"> Government portfolios, Aboriginal and Torres Strait Islander representatives, and state and territory governments.</w:t>
            </w:r>
          </w:p>
          <w:p w14:paraId="3F9A5EB9" w14:textId="77777777" w:rsidR="00490F43" w:rsidRPr="00916ABF" w:rsidRDefault="00490F43" w:rsidP="00490F43">
            <w:pPr>
              <w:tabs>
                <w:tab w:val="left" w:pos="709"/>
              </w:tabs>
              <w:spacing w:before="60" w:after="60" w:line="240" w:lineRule="auto"/>
              <w:jc w:val="left"/>
              <w:rPr>
                <w:rFonts w:ascii="Arial" w:hAnsi="Arial" w:cs="Arial"/>
                <w:sz w:val="16"/>
                <w:szCs w:val="16"/>
              </w:rPr>
            </w:pPr>
            <w:r w:rsidRPr="004119AE">
              <w:rPr>
                <w:rFonts w:ascii="Arial" w:hAnsi="Arial" w:cs="Arial"/>
                <w:sz w:val="16"/>
                <w:szCs w:val="16"/>
              </w:rPr>
              <w:t>- Progressing constitutional recognition of Indigenous Australians.</w:t>
            </w:r>
          </w:p>
        </w:tc>
      </w:tr>
      <w:tr w:rsidR="00490F43" w:rsidRPr="001C5C12" w14:paraId="5A8F5568" w14:textId="77777777" w:rsidTr="00490F43">
        <w:tc>
          <w:tcPr>
            <w:tcW w:w="1672" w:type="dxa"/>
            <w:tcBorders>
              <w:top w:val="single" w:sz="4" w:space="0" w:color="auto"/>
              <w:bottom w:val="single" w:sz="4" w:space="0" w:color="auto"/>
              <w:right w:val="single" w:sz="4" w:space="0" w:color="auto"/>
            </w:tcBorders>
            <w:shd w:val="clear" w:color="auto" w:fill="auto"/>
          </w:tcPr>
          <w:p w14:paraId="0682E6B1" w14:textId="77777777" w:rsidR="00490F43" w:rsidRPr="00916ABF" w:rsidRDefault="00490F43" w:rsidP="00490F43">
            <w:pPr>
              <w:tabs>
                <w:tab w:val="left" w:pos="709"/>
              </w:tabs>
              <w:spacing w:before="60" w:after="60" w:line="240" w:lineRule="auto"/>
              <w:rPr>
                <w:rFonts w:ascii="Arial" w:hAnsi="Arial" w:cs="Arial"/>
                <w:b/>
                <w:sz w:val="16"/>
                <w:szCs w:val="16"/>
              </w:rPr>
            </w:pPr>
            <w:r w:rsidRPr="00916ABF">
              <w:rPr>
                <w:rFonts w:ascii="Arial" w:hAnsi="Arial" w:cs="Arial"/>
                <w:b/>
                <w:sz w:val="16"/>
                <w:szCs w:val="16"/>
              </w:rPr>
              <w:t>Year</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66D8D3EA" w14:textId="77777777" w:rsidR="00490F43" w:rsidRPr="00916ABF" w:rsidRDefault="00490F43" w:rsidP="00490F43">
            <w:pPr>
              <w:tabs>
                <w:tab w:val="left" w:pos="709"/>
              </w:tabs>
              <w:spacing w:before="60" w:after="60" w:line="240" w:lineRule="auto"/>
              <w:rPr>
                <w:rFonts w:ascii="Arial" w:hAnsi="Arial" w:cs="Arial"/>
                <w:b/>
                <w:sz w:val="16"/>
                <w:szCs w:val="16"/>
              </w:rPr>
            </w:pPr>
            <w:r w:rsidRPr="00916ABF">
              <w:rPr>
                <w:rFonts w:ascii="Arial" w:hAnsi="Arial" w:cs="Arial"/>
                <w:b/>
                <w:sz w:val="16"/>
                <w:szCs w:val="16"/>
              </w:rPr>
              <w:t xml:space="preserve">Performance </w:t>
            </w:r>
            <w:r>
              <w:rPr>
                <w:rFonts w:ascii="Arial" w:hAnsi="Arial" w:cs="Arial"/>
                <w:b/>
                <w:sz w:val="16"/>
                <w:szCs w:val="16"/>
              </w:rPr>
              <w:t>measures</w:t>
            </w:r>
          </w:p>
        </w:tc>
        <w:tc>
          <w:tcPr>
            <w:tcW w:w="3260" w:type="dxa"/>
            <w:tcBorders>
              <w:top w:val="single" w:sz="4" w:space="0" w:color="auto"/>
              <w:left w:val="single" w:sz="4" w:space="0" w:color="auto"/>
              <w:bottom w:val="single" w:sz="4" w:space="0" w:color="auto"/>
            </w:tcBorders>
            <w:shd w:val="clear" w:color="auto" w:fill="auto"/>
          </w:tcPr>
          <w:p w14:paraId="27469A04" w14:textId="77777777" w:rsidR="00490F43" w:rsidRPr="00916ABF" w:rsidRDefault="009C51A8" w:rsidP="00490F43">
            <w:pPr>
              <w:tabs>
                <w:tab w:val="left" w:pos="709"/>
              </w:tabs>
              <w:spacing w:before="60" w:after="60" w:line="240" w:lineRule="auto"/>
              <w:rPr>
                <w:rFonts w:ascii="Arial" w:hAnsi="Arial" w:cs="Arial"/>
                <w:b/>
                <w:sz w:val="16"/>
                <w:szCs w:val="16"/>
              </w:rPr>
            </w:pPr>
            <w:r>
              <w:rPr>
                <w:rFonts w:ascii="Arial" w:hAnsi="Arial" w:cs="Arial"/>
                <w:b/>
                <w:sz w:val="16"/>
                <w:szCs w:val="16"/>
              </w:rPr>
              <w:t>Expected performance r</w:t>
            </w:r>
            <w:r w:rsidR="00490F43">
              <w:rPr>
                <w:rFonts w:ascii="Arial" w:hAnsi="Arial" w:cs="Arial"/>
                <w:b/>
                <w:sz w:val="16"/>
                <w:szCs w:val="16"/>
              </w:rPr>
              <w:t>esults</w:t>
            </w:r>
          </w:p>
        </w:tc>
      </w:tr>
      <w:tr w:rsidR="00490F43" w:rsidRPr="001C5C12" w14:paraId="4C044745" w14:textId="77777777" w:rsidTr="00490F43">
        <w:tc>
          <w:tcPr>
            <w:tcW w:w="1672" w:type="dxa"/>
            <w:tcBorders>
              <w:top w:val="dotted" w:sz="4" w:space="0" w:color="auto"/>
              <w:bottom w:val="single" w:sz="4" w:space="0" w:color="auto"/>
              <w:right w:val="single" w:sz="4" w:space="0" w:color="auto"/>
            </w:tcBorders>
            <w:shd w:val="clear" w:color="auto" w:fill="auto"/>
          </w:tcPr>
          <w:p w14:paraId="47CC5B56" w14:textId="77777777" w:rsidR="00490F43" w:rsidRPr="004119AE" w:rsidRDefault="00490F43" w:rsidP="00490F43">
            <w:pPr>
              <w:tabs>
                <w:tab w:val="left" w:pos="709"/>
              </w:tabs>
              <w:spacing w:before="60" w:after="60" w:line="240" w:lineRule="auto"/>
              <w:rPr>
                <w:rFonts w:ascii="Arial" w:hAnsi="Arial" w:cs="Arial"/>
                <w:sz w:val="16"/>
                <w:szCs w:val="16"/>
              </w:rPr>
            </w:pPr>
            <w:r w:rsidRPr="004119AE">
              <w:rPr>
                <w:rFonts w:ascii="Arial" w:hAnsi="Arial" w:cs="Arial"/>
                <w:sz w:val="16"/>
                <w:szCs w:val="16"/>
              </w:rPr>
              <w:t>Current year</w:t>
            </w:r>
          </w:p>
          <w:p w14:paraId="05D8C2F2" w14:textId="77777777" w:rsidR="00490F43" w:rsidRPr="00606312" w:rsidRDefault="00490F43" w:rsidP="00490F43">
            <w:pPr>
              <w:tabs>
                <w:tab w:val="left" w:pos="709"/>
              </w:tabs>
              <w:spacing w:before="60" w:after="60" w:line="240" w:lineRule="auto"/>
              <w:rPr>
                <w:rFonts w:ascii="Arial" w:hAnsi="Arial" w:cs="Arial"/>
                <w:sz w:val="16"/>
                <w:szCs w:val="16"/>
              </w:rPr>
            </w:pPr>
            <w:r w:rsidRPr="004119AE">
              <w:rPr>
                <w:rFonts w:ascii="Arial" w:hAnsi="Arial" w:cs="Arial"/>
                <w:sz w:val="16"/>
                <w:szCs w:val="16"/>
              </w:rPr>
              <w:t>2021-22</w:t>
            </w:r>
          </w:p>
        </w:tc>
        <w:tc>
          <w:tcPr>
            <w:tcW w:w="2864" w:type="dxa"/>
            <w:tcBorders>
              <w:top w:val="dotted" w:sz="4" w:space="0" w:color="auto"/>
              <w:left w:val="single" w:sz="4" w:space="0" w:color="auto"/>
              <w:bottom w:val="single" w:sz="4" w:space="0" w:color="auto"/>
              <w:right w:val="single" w:sz="4" w:space="0" w:color="auto"/>
            </w:tcBorders>
            <w:shd w:val="clear" w:color="auto" w:fill="auto"/>
            <w:vAlign w:val="center"/>
          </w:tcPr>
          <w:p w14:paraId="67BB6314" w14:textId="77777777" w:rsidR="00490F43" w:rsidRPr="005111C4" w:rsidRDefault="00490F43" w:rsidP="00490F43">
            <w:pPr>
              <w:spacing w:beforeLines="60" w:before="144" w:afterLines="60" w:after="144"/>
              <w:jc w:val="left"/>
              <w:rPr>
                <w:rFonts w:ascii="Arial" w:hAnsi="Arial" w:cs="Arial"/>
                <w:sz w:val="16"/>
                <w:szCs w:val="16"/>
              </w:rPr>
            </w:pPr>
            <w:r w:rsidRPr="005111C4">
              <w:rPr>
                <w:rFonts w:ascii="Arial" w:hAnsi="Arial" w:cs="Arial"/>
                <w:sz w:val="16"/>
                <w:szCs w:val="16"/>
              </w:rPr>
              <w:t>Efficient department support to NIAA activities (b)</w:t>
            </w:r>
          </w:p>
          <w:p w14:paraId="1AD4D3B4" w14:textId="77777777" w:rsidR="00490F43" w:rsidRPr="004119AE" w:rsidRDefault="00490F43" w:rsidP="00490F43">
            <w:pPr>
              <w:spacing w:beforeLines="60" w:before="144" w:afterLines="60" w:after="144"/>
              <w:jc w:val="left"/>
              <w:rPr>
                <w:rFonts w:ascii="Arial" w:hAnsi="Arial" w:cs="Arial"/>
                <w:sz w:val="16"/>
                <w:szCs w:val="16"/>
              </w:rPr>
            </w:pPr>
            <w:r w:rsidRPr="00EE32E1">
              <w:rPr>
                <w:rFonts w:ascii="Arial" w:hAnsi="Arial" w:cs="Arial"/>
                <w:sz w:val="16"/>
                <w:szCs w:val="16"/>
              </w:rPr>
              <w:t>Number of NIAA activities that achieve expected FY targets as articulated in internal planning documents (b)</w:t>
            </w:r>
          </w:p>
        </w:tc>
        <w:tc>
          <w:tcPr>
            <w:tcW w:w="3260" w:type="dxa"/>
            <w:tcBorders>
              <w:top w:val="dotted" w:sz="4" w:space="0" w:color="auto"/>
              <w:left w:val="single" w:sz="4" w:space="0" w:color="auto"/>
              <w:bottom w:val="single" w:sz="4" w:space="0" w:color="auto"/>
            </w:tcBorders>
            <w:shd w:val="clear" w:color="auto" w:fill="auto"/>
            <w:vAlign w:val="center"/>
          </w:tcPr>
          <w:p w14:paraId="71CA6745" w14:textId="77777777" w:rsidR="00490F43" w:rsidRPr="004119AE" w:rsidRDefault="00490F43" w:rsidP="00490F43">
            <w:pPr>
              <w:spacing w:beforeLines="60" w:before="144" w:afterLines="60" w:after="144" w:line="276" w:lineRule="auto"/>
              <w:jc w:val="left"/>
              <w:rPr>
                <w:rFonts w:ascii="Arial" w:hAnsi="Arial" w:cs="Arial"/>
                <w:b/>
                <w:sz w:val="16"/>
                <w:szCs w:val="16"/>
              </w:rPr>
            </w:pPr>
            <w:r w:rsidRPr="004119AE">
              <w:rPr>
                <w:rFonts w:ascii="Arial" w:hAnsi="Arial" w:cs="Arial"/>
                <w:b/>
                <w:sz w:val="16"/>
                <w:szCs w:val="16"/>
              </w:rPr>
              <w:t xml:space="preserve">Target: </w:t>
            </w:r>
            <w:r w:rsidRPr="004119AE">
              <w:rPr>
                <w:rFonts w:ascii="Arial" w:hAnsi="Arial" w:cs="Arial"/>
                <w:sz w:val="16"/>
                <w:szCs w:val="16"/>
              </w:rPr>
              <w:t>All funding expended is assessed as value for money</w:t>
            </w:r>
          </w:p>
          <w:p w14:paraId="7CE8BBD2" w14:textId="77777777" w:rsidR="00490F43" w:rsidRPr="004119AE" w:rsidRDefault="00490F43" w:rsidP="00490F43">
            <w:pPr>
              <w:spacing w:beforeLines="60" w:before="144" w:afterLines="60" w:after="144" w:line="276" w:lineRule="auto"/>
              <w:jc w:val="left"/>
              <w:rPr>
                <w:rFonts w:ascii="Arial" w:hAnsi="Arial" w:cs="Arial"/>
                <w:b/>
                <w:sz w:val="16"/>
                <w:szCs w:val="16"/>
              </w:rPr>
            </w:pPr>
            <w:r>
              <w:rPr>
                <w:rFonts w:ascii="Arial" w:hAnsi="Arial" w:cs="Arial"/>
                <w:b/>
                <w:sz w:val="16"/>
                <w:szCs w:val="16"/>
              </w:rPr>
              <w:t>On Track</w:t>
            </w:r>
          </w:p>
          <w:p w14:paraId="077A6DF0" w14:textId="77777777" w:rsidR="00490F43" w:rsidRPr="004119AE" w:rsidRDefault="00490F43" w:rsidP="00490F43">
            <w:pPr>
              <w:spacing w:beforeLines="60" w:before="144" w:afterLines="60" w:after="144" w:line="276" w:lineRule="auto"/>
              <w:jc w:val="left"/>
              <w:rPr>
                <w:rFonts w:ascii="Arial" w:hAnsi="Arial" w:cs="Arial"/>
                <w:b/>
                <w:sz w:val="16"/>
                <w:szCs w:val="16"/>
              </w:rPr>
            </w:pPr>
            <w:r w:rsidRPr="004119AE">
              <w:rPr>
                <w:rFonts w:ascii="Arial" w:hAnsi="Arial" w:cs="Arial"/>
                <w:b/>
                <w:sz w:val="16"/>
                <w:szCs w:val="16"/>
              </w:rPr>
              <w:t xml:space="preserve">Target: </w:t>
            </w:r>
            <w:r w:rsidRPr="004119AE">
              <w:rPr>
                <w:rFonts w:ascii="Arial" w:hAnsi="Arial" w:cs="Arial"/>
                <w:sz w:val="16"/>
                <w:szCs w:val="16"/>
              </w:rPr>
              <w:t>All NIAA activities contribute to the achievement of the NIAA outcome</w:t>
            </w:r>
          </w:p>
          <w:p w14:paraId="7ED85365" w14:textId="77777777" w:rsidR="00490F43" w:rsidRPr="00916ABF" w:rsidRDefault="00490F43" w:rsidP="00490F43">
            <w:pPr>
              <w:spacing w:beforeLines="60" w:before="144" w:afterLines="60" w:after="144" w:line="276" w:lineRule="auto"/>
              <w:jc w:val="left"/>
              <w:rPr>
                <w:rFonts w:ascii="Arial" w:hAnsi="Arial" w:cs="Arial"/>
                <w:sz w:val="16"/>
                <w:szCs w:val="16"/>
              </w:rPr>
            </w:pPr>
            <w:r w:rsidRPr="004119AE">
              <w:rPr>
                <w:rFonts w:ascii="Arial" w:hAnsi="Arial" w:cs="Arial"/>
                <w:b/>
                <w:sz w:val="16"/>
                <w:szCs w:val="16"/>
              </w:rPr>
              <w:t>On Track</w:t>
            </w:r>
          </w:p>
        </w:tc>
      </w:tr>
    </w:tbl>
    <w:p w14:paraId="5B2F0C63" w14:textId="77777777" w:rsidR="00490F43" w:rsidRDefault="00490F43" w:rsidP="00392A48">
      <w:pPr>
        <w:pStyle w:val="ChartandTableFootnote"/>
        <w:numPr>
          <w:ilvl w:val="0"/>
          <w:numId w:val="78"/>
        </w:numPr>
        <w:ind w:left="284" w:hanging="284"/>
        <w:rPr>
          <w:rFonts w:cs="Arial"/>
          <w:color w:val="auto"/>
          <w:szCs w:val="16"/>
          <w:lang w:val="en-AU"/>
        </w:rPr>
      </w:pPr>
      <w:r w:rsidRPr="005F10DE">
        <w:rPr>
          <w:rFonts w:cs="Arial"/>
          <w:color w:val="auto"/>
          <w:szCs w:val="16"/>
          <w:lang w:val="en-AU"/>
        </w:rPr>
        <w:t>Key activities include delivery of the Closing the Gap framework, progressing constitutional recognition of Indigenous Australian</w:t>
      </w:r>
      <w:r>
        <w:rPr>
          <w:rFonts w:cs="Arial"/>
          <w:color w:val="auto"/>
          <w:szCs w:val="16"/>
          <w:lang w:val="en-AU"/>
        </w:rPr>
        <w:t>s</w:t>
      </w:r>
      <w:r w:rsidRPr="005F10DE">
        <w:rPr>
          <w:rFonts w:cs="Arial"/>
          <w:color w:val="auto"/>
          <w:szCs w:val="16"/>
          <w:lang w:val="en-AU"/>
        </w:rPr>
        <w:t xml:space="preserve"> and co-design of an Indigenous Voice for Indigenous Australians, specified in the 2021</w:t>
      </w:r>
      <w:r>
        <w:rPr>
          <w:rFonts w:cs="Arial"/>
          <w:color w:val="auto"/>
          <w:szCs w:val="16"/>
          <w:lang w:val="en-AU"/>
        </w:rPr>
        <w:t>-22</w:t>
      </w:r>
      <w:r w:rsidRPr="005F10DE">
        <w:rPr>
          <w:rFonts w:cs="Arial"/>
          <w:color w:val="auto"/>
          <w:szCs w:val="16"/>
          <w:lang w:val="en-AU"/>
        </w:rPr>
        <w:t xml:space="preserve"> Corporate Plan.</w:t>
      </w:r>
    </w:p>
    <w:p w14:paraId="36FB2881" w14:textId="77777777" w:rsidR="00490F43" w:rsidRPr="00EE32E1" w:rsidRDefault="00490F43" w:rsidP="00392A48">
      <w:pPr>
        <w:pStyle w:val="ChartandTableFootnote"/>
        <w:numPr>
          <w:ilvl w:val="0"/>
          <w:numId w:val="78"/>
        </w:numPr>
        <w:ind w:left="284" w:hanging="284"/>
        <w:rPr>
          <w:rFonts w:cs="Arial"/>
          <w:color w:val="auto"/>
          <w:szCs w:val="16"/>
          <w:lang w:val="en-AU"/>
        </w:rPr>
      </w:pPr>
      <w:r w:rsidRPr="00EE32E1">
        <w:rPr>
          <w:rFonts w:cs="Arial"/>
          <w:color w:val="auto"/>
          <w:szCs w:val="16"/>
          <w:lang w:val="en-AU"/>
        </w:rPr>
        <w:t>This performance measure was stated in the 2021-22 PBS as con</w:t>
      </w:r>
      <w:r>
        <w:rPr>
          <w:rFonts w:cs="Arial"/>
          <w:color w:val="auto"/>
          <w:szCs w:val="16"/>
          <w:lang w:val="en-AU"/>
        </w:rPr>
        <w:t>tinuing into 2022-23 and beyond. H</w:t>
      </w:r>
      <w:r w:rsidRPr="00EE32E1">
        <w:rPr>
          <w:rFonts w:cs="Arial"/>
          <w:color w:val="auto"/>
          <w:szCs w:val="16"/>
          <w:lang w:val="en-AU"/>
        </w:rPr>
        <w:t xml:space="preserve">owever, </w:t>
      </w:r>
      <w:r>
        <w:rPr>
          <w:rFonts w:cs="Arial"/>
          <w:color w:val="auto"/>
          <w:szCs w:val="16"/>
          <w:lang w:val="en-AU"/>
        </w:rPr>
        <w:t xml:space="preserve">it </w:t>
      </w:r>
      <w:r w:rsidRPr="00EE32E1">
        <w:rPr>
          <w:rFonts w:cs="Arial"/>
          <w:color w:val="auto"/>
          <w:szCs w:val="16"/>
          <w:lang w:val="en-AU"/>
        </w:rPr>
        <w:t>has been discontinued in PBS reporting for future years.</w:t>
      </w:r>
    </w:p>
    <w:p w14:paraId="5C4D9DF9" w14:textId="77777777" w:rsidR="00490F43" w:rsidRPr="00AD42E2" w:rsidRDefault="00490F43" w:rsidP="00490F43">
      <w:pPr>
        <w:pStyle w:val="Heading2"/>
      </w:pPr>
      <w:r w:rsidRPr="00C3303C">
        <w:rPr>
          <w:rFonts w:ascii="Book Antiqua" w:hAnsi="Book Antiqua"/>
          <w:i/>
          <w:color w:val="FF0000"/>
          <w:sz w:val="20"/>
        </w:rPr>
        <w:br w:type="page"/>
      </w:r>
      <w:bookmarkStart w:id="696" w:name="_Toc98856164"/>
      <w:bookmarkStart w:id="697" w:name="_Toc98932916"/>
      <w:bookmarkStart w:id="698" w:name="_Toc99008172"/>
      <w:bookmarkStart w:id="699" w:name="_Toc99009534"/>
      <w:bookmarkStart w:id="700" w:name="_Toc99010762"/>
      <w:bookmarkStart w:id="701" w:name="_Toc99013997"/>
      <w:bookmarkStart w:id="702" w:name="_Toc99187573"/>
      <w:bookmarkStart w:id="703" w:name="_Toc99269695"/>
      <w:r w:rsidRPr="00AD42E2">
        <w:t>Section 3: Budgeted financial statements</w:t>
      </w:r>
      <w:bookmarkEnd w:id="696"/>
      <w:bookmarkEnd w:id="697"/>
      <w:bookmarkEnd w:id="698"/>
      <w:bookmarkEnd w:id="699"/>
      <w:bookmarkEnd w:id="700"/>
      <w:bookmarkEnd w:id="701"/>
      <w:bookmarkEnd w:id="702"/>
      <w:bookmarkEnd w:id="703"/>
    </w:p>
    <w:p w14:paraId="28B253BE" w14:textId="77777777" w:rsidR="00490F43" w:rsidRDefault="00490F43" w:rsidP="00DA1ABD">
      <w:r>
        <w:t>Section 3 presents budgeted financial statements which provide a comprehensive snapshot of entity finances for the 2022-23</w:t>
      </w:r>
      <w:r>
        <w:rPr>
          <w:color w:val="00B050"/>
        </w:rPr>
        <w:t xml:space="preserve"> </w:t>
      </w:r>
      <w:r w:rsidR="004C12AF">
        <w:t>Budget year</w:t>
      </w:r>
      <w:r>
        <w:t>, including the impact of budget measures and resourcing on financial statements.</w:t>
      </w:r>
    </w:p>
    <w:p w14:paraId="5C436448" w14:textId="77777777" w:rsidR="00490F43" w:rsidRDefault="00490F43" w:rsidP="00DA1ABD">
      <w:pPr>
        <w:pStyle w:val="Heading3"/>
        <w:jc w:val="both"/>
      </w:pPr>
      <w:bookmarkStart w:id="704" w:name="_Toc98856165"/>
      <w:bookmarkStart w:id="705" w:name="_Toc98932917"/>
      <w:bookmarkStart w:id="706" w:name="_Toc99008173"/>
      <w:bookmarkStart w:id="707" w:name="_Toc99009535"/>
      <w:bookmarkStart w:id="708" w:name="_Toc99010763"/>
      <w:bookmarkStart w:id="709" w:name="_Toc99013998"/>
      <w:bookmarkStart w:id="710" w:name="_Toc99187574"/>
      <w:bookmarkStart w:id="711" w:name="_Toc99269696"/>
      <w:r w:rsidRPr="005328A9">
        <w:t>3.1</w:t>
      </w:r>
      <w:r w:rsidRPr="005328A9">
        <w:tab/>
        <w:t>Budgeted financial statements</w:t>
      </w:r>
      <w:bookmarkEnd w:id="704"/>
      <w:bookmarkEnd w:id="705"/>
      <w:bookmarkEnd w:id="706"/>
      <w:bookmarkEnd w:id="707"/>
      <w:bookmarkEnd w:id="708"/>
      <w:bookmarkEnd w:id="709"/>
      <w:bookmarkEnd w:id="710"/>
      <w:bookmarkEnd w:id="711"/>
    </w:p>
    <w:p w14:paraId="206B0A35" w14:textId="77777777" w:rsidR="00490F43" w:rsidRDefault="00490F43" w:rsidP="00DA1ABD">
      <w:pPr>
        <w:pStyle w:val="Heading4"/>
        <w:jc w:val="both"/>
      </w:pPr>
      <w:r w:rsidRPr="005328A9">
        <w:t>3.1</w:t>
      </w:r>
      <w:r>
        <w:t>.1</w:t>
      </w:r>
      <w:r w:rsidRPr="005328A9">
        <w:tab/>
      </w:r>
      <w:r>
        <w:t>Differences between entity resourcing and financial statements</w:t>
      </w:r>
    </w:p>
    <w:p w14:paraId="457343E2" w14:textId="77777777" w:rsidR="00490F43" w:rsidRPr="00465E36" w:rsidRDefault="00490F43" w:rsidP="00DA1ABD">
      <w:r w:rsidRPr="00465E36">
        <w:t>The agency resource statement at Table 1.1 excludes additional appropriations for 202</w:t>
      </w:r>
      <w:r w:rsidR="00DA1ABD">
        <w:t>1</w:t>
      </w:r>
      <w:r w:rsidR="00DA1ABD">
        <w:noBreakHyphen/>
      </w:r>
      <w:r>
        <w:t>22</w:t>
      </w:r>
      <w:r w:rsidRPr="00465E36">
        <w:t xml:space="preserve"> a</w:t>
      </w:r>
      <w:r>
        <w:t>nd</w:t>
      </w:r>
      <w:r w:rsidR="00DA1ABD">
        <w:t xml:space="preserve"> Appropriation B</w:t>
      </w:r>
      <w:r w:rsidRPr="00465E36">
        <w:t>ills 3 and 4</w:t>
      </w:r>
      <w:r>
        <w:t xml:space="preserve"> as they have not yet received Royal A</w:t>
      </w:r>
      <w:r w:rsidRPr="00465E36">
        <w:t>ssent.  The financial tables in section 2 and 3 recognise this additional resourcing.</w:t>
      </w:r>
    </w:p>
    <w:p w14:paraId="72000A84" w14:textId="77777777" w:rsidR="00490F43" w:rsidRPr="00465E36" w:rsidRDefault="00490F43" w:rsidP="00DA1ABD">
      <w:pPr>
        <w:pStyle w:val="Heading4"/>
        <w:jc w:val="both"/>
      </w:pPr>
      <w:r w:rsidRPr="00465E36">
        <w:t>3.1.2</w:t>
      </w:r>
      <w:r w:rsidRPr="00465E36">
        <w:tab/>
        <w:t>Explanatory notes and analysis of budgeted financial statements</w:t>
      </w:r>
    </w:p>
    <w:p w14:paraId="06A06CDB" w14:textId="77777777" w:rsidR="00490F43" w:rsidRPr="006051E2" w:rsidRDefault="00DA1ABD" w:rsidP="00DA1ABD">
      <w:pPr>
        <w:pStyle w:val="ExampleText0"/>
        <w:spacing w:after="160"/>
        <w:jc w:val="both"/>
        <w:rPr>
          <w:b/>
          <w:i w:val="0"/>
          <w:color w:val="auto"/>
        </w:rPr>
      </w:pPr>
      <w:r>
        <w:rPr>
          <w:b/>
          <w:i w:val="0"/>
          <w:color w:val="auto"/>
        </w:rPr>
        <w:t>Departmental financial s</w:t>
      </w:r>
      <w:r w:rsidR="00490F43" w:rsidRPr="006051E2">
        <w:rPr>
          <w:b/>
          <w:i w:val="0"/>
          <w:color w:val="auto"/>
        </w:rPr>
        <w:t>tatements</w:t>
      </w:r>
    </w:p>
    <w:p w14:paraId="537CCD9F" w14:textId="77777777" w:rsidR="00490F43" w:rsidRPr="00D34C40" w:rsidRDefault="00490F43" w:rsidP="00DA1ABD">
      <w:pPr>
        <w:pStyle w:val="ExampleText0"/>
        <w:spacing w:after="160"/>
        <w:jc w:val="both"/>
        <w:rPr>
          <w:i w:val="0"/>
          <w:color w:val="auto"/>
        </w:rPr>
      </w:pPr>
      <w:r w:rsidRPr="00D34C40">
        <w:rPr>
          <w:i w:val="0"/>
          <w:color w:val="auto"/>
        </w:rPr>
        <w:t>Budgeted revenue from government in 202</w:t>
      </w:r>
      <w:r>
        <w:rPr>
          <w:i w:val="0"/>
          <w:color w:val="auto"/>
        </w:rPr>
        <w:t>2</w:t>
      </w:r>
      <w:r w:rsidRPr="00D34C40">
        <w:rPr>
          <w:i w:val="0"/>
          <w:color w:val="auto"/>
        </w:rPr>
        <w:t>-23</w:t>
      </w:r>
      <w:r>
        <w:rPr>
          <w:i w:val="0"/>
          <w:color w:val="auto"/>
        </w:rPr>
        <w:t xml:space="preserve"> is estimated at $325.</w:t>
      </w:r>
      <w:r w:rsidR="00DA1ABD">
        <w:rPr>
          <w:i w:val="0"/>
          <w:color w:val="auto"/>
        </w:rPr>
        <w:t>6</w:t>
      </w:r>
      <w:r w:rsidRPr="00D34C40">
        <w:rPr>
          <w:i w:val="0"/>
          <w:color w:val="auto"/>
        </w:rPr>
        <w:t xml:space="preserve"> million.  This represents an increase of $</w:t>
      </w:r>
      <w:r>
        <w:rPr>
          <w:i w:val="0"/>
          <w:color w:val="auto"/>
        </w:rPr>
        <w:t>51.</w:t>
      </w:r>
      <w:r w:rsidR="00DA1ABD">
        <w:rPr>
          <w:i w:val="0"/>
          <w:color w:val="auto"/>
        </w:rPr>
        <w:t>9</w:t>
      </w:r>
      <w:r w:rsidRPr="00D34C40">
        <w:rPr>
          <w:i w:val="0"/>
          <w:color w:val="auto"/>
        </w:rPr>
        <w:t xml:space="preserve"> million when compared to 2021-22.  The increase is due to a number of new budget measures that have been announced as part of the 2022-23 Budget</w:t>
      </w:r>
      <w:r>
        <w:rPr>
          <w:i w:val="0"/>
          <w:color w:val="auto"/>
        </w:rPr>
        <w:t xml:space="preserve">.  </w:t>
      </w:r>
      <w:r w:rsidR="00DA1ABD">
        <w:rPr>
          <w:i w:val="0"/>
          <w:color w:val="auto"/>
        </w:rPr>
        <w:t>Details of the 2022-23 B</w:t>
      </w:r>
      <w:r w:rsidRPr="006D1D09">
        <w:rPr>
          <w:i w:val="0"/>
          <w:color w:val="auto"/>
        </w:rPr>
        <w:t xml:space="preserve">udget measures are provided </w:t>
      </w:r>
      <w:r>
        <w:rPr>
          <w:i w:val="0"/>
          <w:color w:val="auto"/>
        </w:rPr>
        <w:t xml:space="preserve">at Table 1.2 and in Budget Paper No. 2. </w:t>
      </w:r>
      <w:r w:rsidRPr="00D34C40">
        <w:rPr>
          <w:i w:val="0"/>
          <w:color w:val="auto"/>
        </w:rPr>
        <w:t xml:space="preserve"> </w:t>
      </w:r>
    </w:p>
    <w:p w14:paraId="75E93236" w14:textId="77777777" w:rsidR="00490F43" w:rsidRPr="00D34C40" w:rsidRDefault="00490F43" w:rsidP="00DA1ABD">
      <w:pPr>
        <w:pStyle w:val="ExampleText0"/>
        <w:spacing w:after="160"/>
        <w:jc w:val="both"/>
        <w:rPr>
          <w:i w:val="0"/>
          <w:color w:val="auto"/>
        </w:rPr>
      </w:pPr>
      <w:r w:rsidRPr="00D34C40">
        <w:rPr>
          <w:i w:val="0"/>
          <w:color w:val="auto"/>
        </w:rPr>
        <w:t xml:space="preserve">The NIAA is budgeting for a break even position in 2022-23 and each forward year, after adjusting for depreciation expense and the application of leases in accordance with AASB 16 Leases.  </w:t>
      </w:r>
    </w:p>
    <w:p w14:paraId="0E383F93" w14:textId="77777777" w:rsidR="00490F43" w:rsidRPr="00D34C40" w:rsidRDefault="00490F43" w:rsidP="00DA1ABD">
      <w:pPr>
        <w:pStyle w:val="ExampleText0"/>
        <w:spacing w:after="160"/>
        <w:jc w:val="both"/>
        <w:rPr>
          <w:i w:val="0"/>
          <w:color w:val="auto"/>
        </w:rPr>
      </w:pPr>
      <w:r w:rsidRPr="00D34C40">
        <w:rPr>
          <w:i w:val="0"/>
          <w:color w:val="auto"/>
        </w:rPr>
        <w:t xml:space="preserve">The NIAA’s </w:t>
      </w:r>
      <w:r>
        <w:rPr>
          <w:i w:val="0"/>
          <w:color w:val="auto"/>
        </w:rPr>
        <w:t xml:space="preserve">total net </w:t>
      </w:r>
      <w:r w:rsidRPr="00D34C40">
        <w:rPr>
          <w:i w:val="0"/>
          <w:color w:val="auto"/>
        </w:rPr>
        <w:t>asset</w:t>
      </w:r>
      <w:r>
        <w:rPr>
          <w:i w:val="0"/>
          <w:color w:val="auto"/>
        </w:rPr>
        <w:t>s</w:t>
      </w:r>
      <w:r w:rsidRPr="00D34C40">
        <w:rPr>
          <w:i w:val="0"/>
          <w:color w:val="auto"/>
        </w:rPr>
        <w:t xml:space="preserve"> </w:t>
      </w:r>
      <w:r>
        <w:rPr>
          <w:i w:val="0"/>
          <w:color w:val="auto"/>
        </w:rPr>
        <w:t>are</w:t>
      </w:r>
      <w:r w:rsidRPr="00D34C40">
        <w:rPr>
          <w:i w:val="0"/>
          <w:color w:val="auto"/>
        </w:rPr>
        <w:t xml:space="preserve"> </w:t>
      </w:r>
      <w:r>
        <w:rPr>
          <w:i w:val="0"/>
          <w:color w:val="auto"/>
        </w:rPr>
        <w:t>budgeted at $94.</w:t>
      </w:r>
      <w:r w:rsidR="00DA1ABD">
        <w:rPr>
          <w:i w:val="0"/>
          <w:color w:val="auto"/>
        </w:rPr>
        <w:t>7</w:t>
      </w:r>
      <w:r>
        <w:rPr>
          <w:i w:val="0"/>
          <w:color w:val="auto"/>
        </w:rPr>
        <w:t xml:space="preserve"> million, a </w:t>
      </w:r>
      <w:r w:rsidRPr="00A07759">
        <w:rPr>
          <w:i w:val="0"/>
          <w:color w:val="auto"/>
        </w:rPr>
        <w:t>$</w:t>
      </w:r>
      <w:r>
        <w:rPr>
          <w:i w:val="0"/>
          <w:color w:val="auto"/>
        </w:rPr>
        <w:t>5.</w:t>
      </w:r>
      <w:r w:rsidR="00DA1ABD">
        <w:rPr>
          <w:i w:val="0"/>
          <w:color w:val="auto"/>
        </w:rPr>
        <w:t>7</w:t>
      </w:r>
      <w:r w:rsidRPr="00A07759">
        <w:rPr>
          <w:i w:val="0"/>
          <w:color w:val="auto"/>
        </w:rPr>
        <w:t xml:space="preserve"> </w:t>
      </w:r>
      <w:r>
        <w:rPr>
          <w:i w:val="0"/>
          <w:color w:val="auto"/>
        </w:rPr>
        <w:t xml:space="preserve">million </w:t>
      </w:r>
      <w:r w:rsidRPr="00D34C40">
        <w:rPr>
          <w:i w:val="0"/>
          <w:color w:val="auto"/>
        </w:rPr>
        <w:t xml:space="preserve">decrease </w:t>
      </w:r>
      <w:r>
        <w:rPr>
          <w:i w:val="0"/>
          <w:color w:val="auto"/>
        </w:rPr>
        <w:t xml:space="preserve">from </w:t>
      </w:r>
      <w:r w:rsidRPr="00D34C40">
        <w:rPr>
          <w:i w:val="0"/>
          <w:color w:val="auto"/>
        </w:rPr>
        <w:t>202</w:t>
      </w:r>
      <w:r>
        <w:rPr>
          <w:i w:val="0"/>
          <w:color w:val="auto"/>
        </w:rPr>
        <w:t xml:space="preserve">1-22 </w:t>
      </w:r>
      <w:r w:rsidRPr="00D34C40">
        <w:rPr>
          <w:i w:val="0"/>
          <w:color w:val="auto"/>
        </w:rPr>
        <w:t xml:space="preserve">due to the completion of a number of capital works projects that were delivered in 2021-22.    </w:t>
      </w:r>
    </w:p>
    <w:p w14:paraId="1EEBAAEB" w14:textId="77777777" w:rsidR="00490F43" w:rsidRPr="006051E2" w:rsidRDefault="00DA1ABD" w:rsidP="00DA1ABD">
      <w:pPr>
        <w:pStyle w:val="ExampleText0"/>
        <w:spacing w:after="160"/>
        <w:jc w:val="both"/>
        <w:rPr>
          <w:b/>
          <w:i w:val="0"/>
          <w:color w:val="auto"/>
        </w:rPr>
      </w:pPr>
      <w:r>
        <w:rPr>
          <w:b/>
          <w:i w:val="0"/>
          <w:color w:val="auto"/>
        </w:rPr>
        <w:t>Administered financial s</w:t>
      </w:r>
      <w:r w:rsidR="00490F43" w:rsidRPr="006051E2">
        <w:rPr>
          <w:b/>
          <w:i w:val="0"/>
          <w:color w:val="auto"/>
        </w:rPr>
        <w:t>tatements</w:t>
      </w:r>
    </w:p>
    <w:p w14:paraId="5208BBE8" w14:textId="77777777" w:rsidR="00490F43" w:rsidRPr="006D1D09" w:rsidRDefault="00490F43" w:rsidP="00DA1ABD">
      <w:pPr>
        <w:pStyle w:val="ExampleText0"/>
        <w:spacing w:after="160"/>
        <w:jc w:val="both"/>
        <w:rPr>
          <w:i w:val="0"/>
          <w:color w:val="auto"/>
        </w:rPr>
      </w:pPr>
      <w:r w:rsidRPr="006D1D09">
        <w:rPr>
          <w:i w:val="0"/>
          <w:color w:val="auto"/>
        </w:rPr>
        <w:t>The estimated administered expenses for 2022-23 is $2,</w:t>
      </w:r>
      <w:r w:rsidR="00DA1ABD">
        <w:rPr>
          <w:i w:val="0"/>
          <w:color w:val="auto"/>
        </w:rPr>
        <w:t>099.0</w:t>
      </w:r>
      <w:r w:rsidRPr="006D1D09">
        <w:rPr>
          <w:i w:val="0"/>
          <w:color w:val="auto"/>
        </w:rPr>
        <w:t xml:space="preserve"> million.  This represents an increase of $</w:t>
      </w:r>
      <w:r>
        <w:rPr>
          <w:i w:val="0"/>
          <w:color w:val="auto"/>
        </w:rPr>
        <w:t>77.0</w:t>
      </w:r>
      <w:r w:rsidRPr="006D1D09">
        <w:rPr>
          <w:i w:val="0"/>
          <w:color w:val="auto"/>
        </w:rPr>
        <w:t xml:space="preserve"> million when compared to 202</w:t>
      </w:r>
      <w:r>
        <w:rPr>
          <w:i w:val="0"/>
          <w:color w:val="auto"/>
        </w:rPr>
        <w:t>1-22</w:t>
      </w:r>
      <w:r w:rsidRPr="006D1D09">
        <w:rPr>
          <w:i w:val="0"/>
          <w:color w:val="auto"/>
        </w:rPr>
        <w:t xml:space="preserve">, </w:t>
      </w:r>
      <w:r w:rsidR="00DA1ABD">
        <w:rPr>
          <w:i w:val="0"/>
          <w:color w:val="auto"/>
        </w:rPr>
        <w:t>and is due a number of 2022-23 B</w:t>
      </w:r>
      <w:r w:rsidRPr="006D1D09">
        <w:rPr>
          <w:i w:val="0"/>
          <w:color w:val="auto"/>
        </w:rPr>
        <w:t>udget me</w:t>
      </w:r>
      <w:r w:rsidR="00DA1ABD">
        <w:rPr>
          <w:i w:val="0"/>
          <w:color w:val="auto"/>
        </w:rPr>
        <w:t>asures. Details of the 2022-23 B</w:t>
      </w:r>
      <w:r w:rsidRPr="006D1D09">
        <w:rPr>
          <w:i w:val="0"/>
          <w:color w:val="auto"/>
        </w:rPr>
        <w:t xml:space="preserve">udget measures are provided </w:t>
      </w:r>
      <w:r>
        <w:rPr>
          <w:i w:val="0"/>
          <w:color w:val="auto"/>
        </w:rPr>
        <w:t xml:space="preserve">at Table 1.2 and in Budget Paper No. 2. </w:t>
      </w:r>
    </w:p>
    <w:p w14:paraId="341D9883" w14:textId="77777777" w:rsidR="00490F43" w:rsidRPr="00991A53" w:rsidRDefault="00490F43" w:rsidP="00DA1ABD">
      <w:pPr>
        <w:pStyle w:val="ExampleText0"/>
        <w:spacing w:after="160"/>
        <w:jc w:val="both"/>
        <w:rPr>
          <w:i w:val="0"/>
          <w:color w:val="auto"/>
        </w:rPr>
      </w:pPr>
      <w:r>
        <w:rPr>
          <w:i w:val="0"/>
          <w:color w:val="auto"/>
        </w:rPr>
        <w:t xml:space="preserve">The NIAA’s administered net </w:t>
      </w:r>
      <w:r w:rsidRPr="006D1D09">
        <w:rPr>
          <w:i w:val="0"/>
          <w:color w:val="auto"/>
        </w:rPr>
        <w:t xml:space="preserve">assets in 2022-23 </w:t>
      </w:r>
      <w:r>
        <w:rPr>
          <w:i w:val="0"/>
          <w:color w:val="auto"/>
        </w:rPr>
        <w:t>are</w:t>
      </w:r>
      <w:r w:rsidRPr="006D1D09">
        <w:rPr>
          <w:i w:val="0"/>
          <w:color w:val="auto"/>
        </w:rPr>
        <w:t xml:space="preserve"> expected to be $</w:t>
      </w:r>
      <w:r w:rsidR="00DA1ABD">
        <w:rPr>
          <w:i w:val="0"/>
          <w:color w:val="auto"/>
        </w:rPr>
        <w:t>1,593</w:t>
      </w:r>
      <w:r>
        <w:rPr>
          <w:i w:val="0"/>
          <w:color w:val="auto"/>
        </w:rPr>
        <w:t>.</w:t>
      </w:r>
      <w:r w:rsidR="00DA1ABD">
        <w:rPr>
          <w:i w:val="0"/>
          <w:color w:val="auto"/>
        </w:rPr>
        <w:t>0</w:t>
      </w:r>
      <w:r w:rsidRPr="006D1D09">
        <w:rPr>
          <w:i w:val="0"/>
          <w:color w:val="auto"/>
        </w:rPr>
        <w:t xml:space="preserve"> million</w:t>
      </w:r>
      <w:r>
        <w:rPr>
          <w:i w:val="0"/>
          <w:color w:val="auto"/>
        </w:rPr>
        <w:t>, which have</w:t>
      </w:r>
      <w:r w:rsidRPr="006D1D09">
        <w:rPr>
          <w:i w:val="0"/>
          <w:color w:val="auto"/>
        </w:rPr>
        <w:t xml:space="preserve"> increased by $</w:t>
      </w:r>
      <w:r w:rsidR="00DA1ABD">
        <w:rPr>
          <w:i w:val="0"/>
          <w:color w:val="auto"/>
        </w:rPr>
        <w:t>92.1</w:t>
      </w:r>
      <w:r w:rsidRPr="006D1D09">
        <w:rPr>
          <w:i w:val="0"/>
          <w:color w:val="auto"/>
        </w:rPr>
        <w:t xml:space="preserve"> million since 2021-22 due to an increase in the Aboriginals Benefit Account asset balance.</w:t>
      </w:r>
      <w:r>
        <w:br w:type="page"/>
      </w:r>
      <w:r w:rsidRPr="00991A53">
        <w:rPr>
          <w:rStyle w:val="TableHeadingChar"/>
          <w:i w:val="0"/>
        </w:rPr>
        <w:t>3.2.</w:t>
      </w:r>
      <w:r w:rsidRPr="00991A53">
        <w:rPr>
          <w:rStyle w:val="TableHeadingChar"/>
          <w:i w:val="0"/>
        </w:rPr>
        <w:tab/>
        <w:t>Budgeted financial statements tables</w:t>
      </w:r>
    </w:p>
    <w:p w14:paraId="6E709C46" w14:textId="77777777" w:rsidR="00490F43" w:rsidRDefault="00490F43" w:rsidP="00490F43">
      <w:pPr>
        <w:pStyle w:val="ChartandTableFootnoteAlpha"/>
        <w:rPr>
          <w:b/>
          <w:color w:val="000000"/>
          <w:sz w:val="20"/>
          <w:lang w:val="x-none" w:eastAsia="x-none"/>
        </w:rPr>
      </w:pPr>
      <w:r w:rsidRPr="006617FE">
        <w:rPr>
          <w:b/>
          <w:color w:val="000000"/>
          <w:sz w:val="20"/>
          <w:lang w:val="x-none" w:eastAsia="x-none"/>
        </w:rPr>
        <w:t>Table 3.1:</w:t>
      </w:r>
      <w:r w:rsidRPr="00E855E0">
        <w:t xml:space="preserve"> </w:t>
      </w:r>
      <w:r w:rsidRPr="006617FE">
        <w:rPr>
          <w:b/>
          <w:color w:val="000000"/>
          <w:sz w:val="20"/>
          <w:lang w:val="x-none" w:eastAsia="x-none"/>
        </w:rPr>
        <w:t>Comprehensive income statement (showing net cost of services) for the period ended 30 June</w:t>
      </w:r>
    </w:p>
    <w:p w14:paraId="71281C98" w14:textId="77777777" w:rsidR="00490F43" w:rsidRDefault="00DA1ABD" w:rsidP="00490F43">
      <w:pPr>
        <w:pStyle w:val="TableHeadingNoTable"/>
        <w:spacing w:after="0"/>
        <w:sectPr w:rsidR="00490F43" w:rsidSect="00901F73">
          <w:footerReference w:type="default" r:id="rId290"/>
          <w:headerReference w:type="first" r:id="rId291"/>
          <w:pgSz w:w="11906" w:h="16838" w:code="9"/>
          <w:pgMar w:top="2466" w:right="2098" w:bottom="2466" w:left="2098" w:header="1899" w:footer="1899" w:gutter="0"/>
          <w:cols w:space="708"/>
          <w:titlePg/>
          <w:docGrid w:linePitch="360"/>
        </w:sectPr>
      </w:pPr>
      <w:r w:rsidRPr="00DA1ABD">
        <w:rPr>
          <w:noProof/>
          <w:lang w:val="en-AU" w:eastAsia="en-AU"/>
        </w:rPr>
        <w:drawing>
          <wp:inline distT="0" distB="0" distL="0" distR="0" wp14:anchorId="7C2E46D0" wp14:editId="165F8C35">
            <wp:extent cx="4821555" cy="370649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21555" cy="3706495"/>
                    </a:xfrm>
                    <a:prstGeom prst="rect">
                      <a:avLst/>
                    </a:prstGeom>
                    <a:noFill/>
                    <a:ln>
                      <a:noFill/>
                    </a:ln>
                  </pic:spPr>
                </pic:pic>
              </a:graphicData>
            </a:graphic>
          </wp:inline>
        </w:drawing>
      </w:r>
    </w:p>
    <w:p w14:paraId="2ADDD41A" w14:textId="77777777" w:rsidR="00490F43" w:rsidRDefault="00490F43" w:rsidP="00490F43">
      <w:pPr>
        <w:pStyle w:val="TableHeadingNoTable"/>
        <w:spacing w:after="0"/>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1B1EBE0B" w14:textId="77777777" w:rsidR="00490F43" w:rsidRPr="001559E7" w:rsidRDefault="00490F43" w:rsidP="00490F43">
      <w:pPr>
        <w:spacing w:after="0"/>
        <w:rPr>
          <w:lang w:val="x-none" w:eastAsia="x-none"/>
        </w:rPr>
      </w:pPr>
    </w:p>
    <w:p w14:paraId="056D6240" w14:textId="77777777" w:rsidR="00490F43" w:rsidRDefault="00490F43" w:rsidP="00490F43">
      <w:pPr>
        <w:pStyle w:val="TableHeadingNoTable"/>
        <w:spacing w:after="0"/>
        <w:rPr>
          <w:rFonts w:ascii="Times New Roman" w:hAnsi="Times New Roman"/>
        </w:rPr>
      </w:pPr>
      <w:r w:rsidRPr="003819E1">
        <w:t xml:space="preserve">Note: Impact of net </w:t>
      </w:r>
      <w:r>
        <w:t>cash appropriation arrangements</w:t>
      </w:r>
    </w:p>
    <w:p w14:paraId="505ED1D8" w14:textId="77777777" w:rsidR="00490F43" w:rsidRPr="00991A53" w:rsidRDefault="00DA1ABD" w:rsidP="00490F43">
      <w:pPr>
        <w:pStyle w:val="ChartandTableFootnoteAlpha"/>
        <w:rPr>
          <w:rFonts w:cs="Arial"/>
        </w:rPr>
      </w:pPr>
      <w:r w:rsidRPr="00DA1ABD">
        <w:rPr>
          <w:noProof/>
        </w:rPr>
        <w:drawing>
          <wp:inline distT="0" distB="0" distL="0" distR="0" wp14:anchorId="6A927D6E" wp14:editId="10E2DD4D">
            <wp:extent cx="4821555" cy="2469515"/>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21555" cy="2469515"/>
                    </a:xfrm>
                    <a:prstGeom prst="rect">
                      <a:avLst/>
                    </a:prstGeom>
                    <a:noFill/>
                    <a:ln>
                      <a:noFill/>
                    </a:ln>
                  </pic:spPr>
                </pic:pic>
              </a:graphicData>
            </a:graphic>
          </wp:inline>
        </w:drawing>
      </w:r>
    </w:p>
    <w:p w14:paraId="60A525D5" w14:textId="77777777" w:rsidR="00DA1ABD" w:rsidRDefault="00490F43" w:rsidP="00E875D0">
      <w:pPr>
        <w:pStyle w:val="ListParagraph"/>
        <w:ind w:left="0"/>
        <w:rPr>
          <w:rFonts w:ascii="Arial" w:hAnsi="Arial" w:cs="Arial"/>
          <w:sz w:val="16"/>
        </w:rPr>
      </w:pPr>
      <w:r w:rsidRPr="00DA1ABD">
        <w:rPr>
          <w:rFonts w:ascii="Arial" w:hAnsi="Arial" w:cs="Arial"/>
          <w:sz w:val="16"/>
        </w:rPr>
        <w:t>Prepared on Austra</w:t>
      </w:r>
      <w:r w:rsidR="00DA1ABD">
        <w:rPr>
          <w:rFonts w:ascii="Arial" w:hAnsi="Arial" w:cs="Arial"/>
          <w:sz w:val="16"/>
        </w:rPr>
        <w:t>lian Accounting Standards basis.</w:t>
      </w:r>
    </w:p>
    <w:p w14:paraId="3AA93877" w14:textId="77777777" w:rsidR="00DA1ABD" w:rsidRPr="00DA1ABD" w:rsidRDefault="00490F43" w:rsidP="00392A48">
      <w:pPr>
        <w:pStyle w:val="ListParagraph"/>
        <w:numPr>
          <w:ilvl w:val="0"/>
          <w:numId w:val="144"/>
        </w:numPr>
        <w:rPr>
          <w:rFonts w:ascii="Arial" w:hAnsi="Arial" w:cs="Arial"/>
          <w:sz w:val="16"/>
        </w:rPr>
      </w:pPr>
      <w:r w:rsidRPr="00DA1ABD">
        <w:rPr>
          <w:rFonts w:ascii="Arial" w:hAnsi="Arial" w:cs="Arial"/>
          <w:sz w:val="16"/>
        </w:rPr>
        <w:t xml:space="preserve">Finance costs primarily relates to interest on lease liabilities recognised under </w:t>
      </w:r>
      <w:r w:rsidRPr="00E875D0">
        <w:rPr>
          <w:rFonts w:ascii="Arial" w:hAnsi="Arial" w:cs="Arial"/>
          <w:sz w:val="16"/>
        </w:rPr>
        <w:t>AASB 16 Leases.</w:t>
      </w:r>
    </w:p>
    <w:p w14:paraId="08E81024" w14:textId="77777777" w:rsidR="00DA1ABD" w:rsidRPr="00DA1ABD" w:rsidRDefault="00490F43" w:rsidP="00392A48">
      <w:pPr>
        <w:pStyle w:val="ListParagraph"/>
        <w:numPr>
          <w:ilvl w:val="0"/>
          <w:numId w:val="144"/>
        </w:numPr>
        <w:rPr>
          <w:rFonts w:ascii="Arial" w:hAnsi="Arial" w:cs="Arial"/>
          <w:sz w:val="16"/>
        </w:rPr>
      </w:pPr>
      <w:r w:rsidRPr="00DA1ABD">
        <w:rPr>
          <w:rFonts w:ascii="Arial" w:hAnsi="Arial" w:cs="Arial"/>
          <w:sz w:val="16"/>
        </w:rPr>
        <w:t xml:space="preserve">From 2010-11, the Government introduced net cash appropriation arrangements. This involved Bill 1 revenue appropriations for the depreciation and amortisation expenses of non-corporate Commonwealth entities were replaced with a separate capital budget (the Departmental Capital Budget, or DCB) provided through Bill </w:t>
      </w:r>
      <w:r w:rsidR="00212DB5">
        <w:rPr>
          <w:rFonts w:ascii="Arial" w:hAnsi="Arial" w:cs="Arial"/>
          <w:sz w:val="16"/>
        </w:rPr>
        <w:t xml:space="preserve">(No. </w:t>
      </w:r>
      <w:r w:rsidRPr="00DA1ABD">
        <w:rPr>
          <w:rFonts w:ascii="Arial" w:hAnsi="Arial" w:cs="Arial"/>
          <w:sz w:val="16"/>
        </w:rPr>
        <w:t>1</w:t>
      </w:r>
      <w:r w:rsidR="00212DB5">
        <w:rPr>
          <w:rFonts w:ascii="Arial" w:hAnsi="Arial" w:cs="Arial"/>
          <w:sz w:val="16"/>
        </w:rPr>
        <w:t>)</w:t>
      </w:r>
      <w:r w:rsidRPr="00DA1ABD">
        <w:rPr>
          <w:rFonts w:ascii="Arial" w:hAnsi="Arial" w:cs="Arial"/>
          <w:sz w:val="16"/>
        </w:rPr>
        <w:t xml:space="preserve"> equity appropriations. For information regarding DCBs, please refer to Table 3.5 Departmental Capital Budget Statement.</w:t>
      </w:r>
    </w:p>
    <w:p w14:paraId="49BFDF90" w14:textId="77777777" w:rsidR="00490F43" w:rsidRPr="00DA1ABD" w:rsidRDefault="00490F43" w:rsidP="00392A48">
      <w:pPr>
        <w:pStyle w:val="ListParagraph"/>
        <w:numPr>
          <w:ilvl w:val="0"/>
          <w:numId w:val="144"/>
        </w:numPr>
        <w:rPr>
          <w:rFonts w:ascii="Arial" w:hAnsi="Arial" w:cs="Arial"/>
          <w:sz w:val="10"/>
        </w:rPr>
      </w:pPr>
      <w:r w:rsidRPr="00DA1ABD">
        <w:rPr>
          <w:rFonts w:ascii="Arial" w:hAnsi="Arial" w:cs="Arial"/>
          <w:sz w:val="16"/>
        </w:rPr>
        <w:t xml:space="preserve">Applies to leases under </w:t>
      </w:r>
      <w:r w:rsidRPr="00212DB5">
        <w:rPr>
          <w:rFonts w:ascii="Arial" w:hAnsi="Arial" w:cs="Arial"/>
          <w:sz w:val="16"/>
        </w:rPr>
        <w:t>AASB 16 Leases.</w:t>
      </w:r>
    </w:p>
    <w:p w14:paraId="60F070C6" w14:textId="77777777" w:rsidR="00490F43" w:rsidRDefault="00490F43" w:rsidP="00490F43">
      <w:pPr>
        <w:pStyle w:val="Source"/>
        <w:rPr>
          <w:rFonts w:cs="Arial"/>
        </w:rPr>
      </w:pPr>
    </w:p>
    <w:p w14:paraId="0323577E" w14:textId="77777777" w:rsidR="00490F43" w:rsidRDefault="00490F43" w:rsidP="00490F43">
      <w:pPr>
        <w:pStyle w:val="ChartandTableFootnoteAlpha"/>
        <w:rPr>
          <w:b/>
          <w:color w:val="000000"/>
          <w:sz w:val="20"/>
          <w:lang w:val="x-none" w:eastAsia="x-none"/>
        </w:rPr>
      </w:pPr>
      <w:r>
        <w:br w:type="page"/>
      </w:r>
      <w:r w:rsidRPr="003F51CB">
        <w:rPr>
          <w:b/>
          <w:color w:val="000000"/>
          <w:sz w:val="20"/>
          <w:lang w:val="x-none" w:eastAsia="x-none"/>
        </w:rPr>
        <w:t>Table 3.2: Budgeted departmental balance sheet (as at 30 June)</w:t>
      </w:r>
    </w:p>
    <w:p w14:paraId="7DE01E0A" w14:textId="77777777" w:rsidR="00490F43" w:rsidRPr="009C0891" w:rsidRDefault="000662CC" w:rsidP="00490F43">
      <w:pPr>
        <w:pStyle w:val="ChartandTableFootnoteAlpha"/>
        <w:rPr>
          <w:b/>
          <w:color w:val="000000"/>
          <w:sz w:val="20"/>
          <w:lang w:val="x-none" w:eastAsia="x-none"/>
        </w:rPr>
      </w:pPr>
      <w:r w:rsidRPr="000662CC">
        <w:rPr>
          <w:noProof/>
        </w:rPr>
        <w:drawing>
          <wp:inline distT="0" distB="0" distL="0" distR="0" wp14:anchorId="6A507B82" wp14:editId="2C9F0E55">
            <wp:extent cx="4825365" cy="523748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25365" cy="5237480"/>
                    </a:xfrm>
                    <a:prstGeom prst="rect">
                      <a:avLst/>
                    </a:prstGeom>
                    <a:noFill/>
                    <a:ln>
                      <a:noFill/>
                    </a:ln>
                  </pic:spPr>
                </pic:pic>
              </a:graphicData>
            </a:graphic>
          </wp:inline>
        </w:drawing>
      </w:r>
    </w:p>
    <w:p w14:paraId="19ED585A" w14:textId="77777777" w:rsidR="00E875D0" w:rsidRDefault="00490F43" w:rsidP="00E875D0">
      <w:pPr>
        <w:pStyle w:val="ChartandTableFootnoteAlpha"/>
        <w:ind w:left="284" w:hanging="284"/>
        <w:rPr>
          <w:rFonts w:cs="Arial"/>
        </w:rPr>
      </w:pPr>
      <w:r w:rsidRPr="00991A53">
        <w:rPr>
          <w:rFonts w:cs="Arial"/>
        </w:rPr>
        <w:t>Prepared on Australian Accounting Standards basis.</w:t>
      </w:r>
      <w:r w:rsidR="00E875D0" w:rsidRPr="00E875D0">
        <w:rPr>
          <w:rFonts w:cs="Arial"/>
        </w:rPr>
        <w:t xml:space="preserve"> </w:t>
      </w:r>
    </w:p>
    <w:p w14:paraId="416342B2" w14:textId="77777777" w:rsidR="000662CC" w:rsidRDefault="00E875D0" w:rsidP="00E875D0">
      <w:pPr>
        <w:pStyle w:val="ChartandTableFootnoteAlpha"/>
        <w:ind w:left="284" w:hanging="284"/>
        <w:rPr>
          <w:lang w:eastAsia="x-none"/>
        </w:rPr>
      </w:pPr>
      <w:r w:rsidRPr="00991A53">
        <w:rPr>
          <w:rFonts w:cs="Arial"/>
        </w:rPr>
        <w:t>*‘Equity’ is the residual interest in assets after deduction of liabilities.</w:t>
      </w:r>
    </w:p>
    <w:p w14:paraId="180283E1" w14:textId="77777777" w:rsidR="000662CC" w:rsidRPr="0030794F" w:rsidRDefault="000662CC" w:rsidP="00392A48">
      <w:pPr>
        <w:pStyle w:val="ChartandTableFootnoteAlpha"/>
        <w:numPr>
          <w:ilvl w:val="0"/>
          <w:numId w:val="145"/>
        </w:numPr>
        <w:rPr>
          <w:rFonts w:cs="Arial"/>
        </w:rPr>
      </w:pPr>
      <w:r w:rsidRPr="0030794F">
        <w:rPr>
          <w:rFonts w:cs="Arial"/>
        </w:rPr>
        <w:t>Includes ROU assets as defined under AASB 16 Leases, implemented in 2019-20.</w:t>
      </w:r>
    </w:p>
    <w:p w14:paraId="338A00B7" w14:textId="77777777" w:rsidR="00490F43" w:rsidRDefault="00490F43" w:rsidP="00490F43">
      <w:pPr>
        <w:pStyle w:val="TableGraphic"/>
        <w:rPr>
          <w:rFonts w:ascii="Times New Roman" w:hAnsi="Times New Roman"/>
        </w:rPr>
      </w:pPr>
      <w:r>
        <w:br w:type="page"/>
      </w:r>
      <w:r w:rsidRPr="003F51CB">
        <w:rPr>
          <w:rFonts w:ascii="Arial" w:hAnsi="Arial"/>
          <w:b/>
          <w:color w:val="000000"/>
          <w:lang w:val="x-none" w:eastAsia="x-none"/>
        </w:rPr>
        <w:t xml:space="preserve">Table 3.3: Departmental statement of changes in equity — summary of movement (Budget year </w:t>
      </w:r>
      <w:r>
        <w:rPr>
          <w:rFonts w:ascii="Arial" w:hAnsi="Arial"/>
          <w:b/>
          <w:color w:val="000000"/>
          <w:lang w:eastAsia="x-none"/>
        </w:rPr>
        <w:t>2022-23</w:t>
      </w:r>
      <w:r w:rsidRPr="003F51CB">
        <w:rPr>
          <w:rFonts w:ascii="Arial" w:hAnsi="Arial"/>
          <w:b/>
          <w:color w:val="000000"/>
          <w:lang w:val="x-none" w:eastAsia="x-none"/>
        </w:rPr>
        <w:t>)</w:t>
      </w:r>
    </w:p>
    <w:p w14:paraId="504A4C3D" w14:textId="77777777" w:rsidR="00490F43" w:rsidRDefault="00E875D0" w:rsidP="00490F43">
      <w:pPr>
        <w:pStyle w:val="TableGraphic"/>
        <w:rPr>
          <w:rFonts w:ascii="Arial" w:hAnsi="Arial" w:cs="Arial"/>
          <w:sz w:val="16"/>
        </w:rPr>
      </w:pPr>
      <w:r w:rsidRPr="00E875D0">
        <w:rPr>
          <w:noProof/>
        </w:rPr>
        <w:drawing>
          <wp:inline distT="0" distB="0" distL="0" distR="0" wp14:anchorId="6CF5A021" wp14:editId="260CF63F">
            <wp:extent cx="4524375" cy="2822575"/>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24375" cy="2822575"/>
                    </a:xfrm>
                    <a:prstGeom prst="rect">
                      <a:avLst/>
                    </a:prstGeom>
                    <a:noFill/>
                    <a:ln>
                      <a:noFill/>
                    </a:ln>
                  </pic:spPr>
                </pic:pic>
              </a:graphicData>
            </a:graphic>
          </wp:inline>
        </w:drawing>
      </w:r>
    </w:p>
    <w:p w14:paraId="4D5B9F3E" w14:textId="77777777" w:rsidR="00490F43" w:rsidRPr="00132F9E" w:rsidRDefault="00490F43" w:rsidP="00490F43">
      <w:pPr>
        <w:pStyle w:val="TableGraphic"/>
        <w:rPr>
          <w:rFonts w:ascii="Arial" w:hAnsi="Arial" w:cs="Arial"/>
          <w:sz w:val="16"/>
          <w:szCs w:val="16"/>
        </w:rPr>
      </w:pPr>
      <w:r w:rsidRPr="00D606C2">
        <w:rPr>
          <w:rFonts w:ascii="Arial" w:hAnsi="Arial" w:cs="Arial"/>
          <w:sz w:val="16"/>
        </w:rPr>
        <w:t>Prepared on Australian Accounting Standards basis</w:t>
      </w:r>
      <w:r>
        <w:rPr>
          <w:rFonts w:ascii="Arial" w:hAnsi="Arial" w:cs="Arial"/>
          <w:sz w:val="16"/>
        </w:rPr>
        <w:t>.</w:t>
      </w:r>
    </w:p>
    <w:p w14:paraId="4EF8FA9E" w14:textId="77777777" w:rsidR="00490F43" w:rsidRDefault="00490F43" w:rsidP="00490F43">
      <w:pPr>
        <w:pStyle w:val="Source"/>
      </w:pPr>
    </w:p>
    <w:p w14:paraId="40B36B38" w14:textId="77777777" w:rsidR="00490F43" w:rsidRDefault="00490F43" w:rsidP="00490F43">
      <w:pPr>
        <w:pStyle w:val="TableHeading"/>
        <w:rPr>
          <w:rFonts w:ascii="Times New Roman" w:hAnsi="Times New Roman"/>
        </w:rPr>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3E252BCB" w14:textId="77777777" w:rsidR="00490F43" w:rsidRDefault="00490F43" w:rsidP="00490F43">
      <w:pPr>
        <w:pStyle w:val="TableGraphic"/>
        <w:rPr>
          <w:rFonts w:ascii="Arial" w:hAnsi="Arial" w:cs="Arial"/>
          <w:sz w:val="16"/>
          <w:szCs w:val="16"/>
        </w:rPr>
      </w:pPr>
      <w:r w:rsidRPr="006A15EC">
        <w:rPr>
          <w:rFonts w:ascii="Arial" w:hAnsi="Arial" w:cs="Arial"/>
          <w:sz w:val="16"/>
          <w:szCs w:val="16"/>
        </w:rPr>
        <w:t xml:space="preserve"> </w:t>
      </w:r>
      <w:r w:rsidR="00E875D0" w:rsidRPr="00E875D0">
        <w:rPr>
          <w:noProof/>
        </w:rPr>
        <w:drawing>
          <wp:inline distT="0" distB="0" distL="0" distR="0" wp14:anchorId="5A4F83DC" wp14:editId="378278DF">
            <wp:extent cx="4850130" cy="5494655"/>
            <wp:effectExtent l="0" t="0" r="762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50130" cy="5494655"/>
                    </a:xfrm>
                    <a:prstGeom prst="rect">
                      <a:avLst/>
                    </a:prstGeom>
                    <a:noFill/>
                    <a:ln>
                      <a:noFill/>
                    </a:ln>
                  </pic:spPr>
                </pic:pic>
              </a:graphicData>
            </a:graphic>
          </wp:inline>
        </w:drawing>
      </w:r>
    </w:p>
    <w:p w14:paraId="330DEC87" w14:textId="77777777" w:rsidR="00490F43" w:rsidRPr="00132F9E" w:rsidRDefault="00490F43" w:rsidP="00490F43">
      <w:pPr>
        <w:pStyle w:val="TableGraphic"/>
        <w:rPr>
          <w:rFonts w:ascii="Arial" w:hAnsi="Arial" w:cs="Arial"/>
          <w:sz w:val="16"/>
          <w:szCs w:val="16"/>
        </w:rPr>
      </w:pPr>
      <w:r w:rsidRPr="00132F9E">
        <w:rPr>
          <w:rFonts w:ascii="Arial" w:hAnsi="Arial" w:cs="Arial"/>
          <w:sz w:val="16"/>
          <w:szCs w:val="16"/>
        </w:rPr>
        <w:t>Prepared on Australian Accounting Standards basis.</w:t>
      </w:r>
    </w:p>
    <w:p w14:paraId="3837D275" w14:textId="77777777" w:rsidR="00490F43" w:rsidRPr="00132F9E" w:rsidRDefault="00490F43" w:rsidP="00490F43">
      <w:pPr>
        <w:pStyle w:val="NoSpacing"/>
        <w:rPr>
          <w:rFonts w:ascii="Arial" w:hAnsi="Arial" w:cs="Arial"/>
          <w:sz w:val="16"/>
          <w:szCs w:val="16"/>
        </w:rPr>
      </w:pPr>
    </w:p>
    <w:p w14:paraId="50919D0F" w14:textId="77777777" w:rsidR="00490F43" w:rsidRDefault="00490F43" w:rsidP="00490F43">
      <w:pPr>
        <w:pStyle w:val="TableGraphic"/>
        <w:rPr>
          <w:rFonts w:ascii="Arial" w:hAnsi="Arial"/>
          <w:b/>
          <w:color w:val="000000"/>
          <w:lang w:val="x-none" w:eastAsia="x-none"/>
        </w:rPr>
      </w:pPr>
      <w:r>
        <w:br w:type="page"/>
      </w:r>
      <w:r w:rsidRPr="003F51CB">
        <w:rPr>
          <w:rFonts w:ascii="Arial" w:hAnsi="Arial"/>
          <w:b/>
          <w:color w:val="000000"/>
          <w:lang w:val="x-none" w:eastAsia="x-none"/>
        </w:rPr>
        <w:t>Table 3.5: Departmental capital budget statement (for the period ended 30 June)</w:t>
      </w:r>
    </w:p>
    <w:p w14:paraId="7D431805" w14:textId="77777777" w:rsidR="00490F43" w:rsidRDefault="000662CC" w:rsidP="00490F43">
      <w:pPr>
        <w:pStyle w:val="TableGraphic"/>
        <w:rPr>
          <w:rFonts w:ascii="Times New Roman" w:hAnsi="Times New Roman"/>
        </w:rPr>
      </w:pPr>
      <w:r w:rsidRPr="000662CC">
        <w:rPr>
          <w:noProof/>
        </w:rPr>
        <w:drawing>
          <wp:inline distT="0" distB="0" distL="0" distR="0" wp14:anchorId="2363D6B5" wp14:editId="4830B379">
            <wp:extent cx="4789170" cy="231775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89170" cy="2317750"/>
                    </a:xfrm>
                    <a:prstGeom prst="rect">
                      <a:avLst/>
                    </a:prstGeom>
                    <a:noFill/>
                    <a:ln>
                      <a:noFill/>
                    </a:ln>
                  </pic:spPr>
                </pic:pic>
              </a:graphicData>
            </a:graphic>
          </wp:inline>
        </w:drawing>
      </w:r>
    </w:p>
    <w:p w14:paraId="11FD7447" w14:textId="77777777" w:rsidR="00490F43" w:rsidRPr="00132F9E" w:rsidRDefault="00490F43" w:rsidP="00490F43">
      <w:pPr>
        <w:pStyle w:val="TableGraphic"/>
        <w:rPr>
          <w:rFonts w:ascii="Arial" w:hAnsi="Arial" w:cs="Arial"/>
          <w:sz w:val="16"/>
          <w:szCs w:val="16"/>
        </w:rPr>
      </w:pPr>
      <w:r w:rsidRPr="007B2A4B">
        <w:rPr>
          <w:rFonts w:ascii="Arial" w:hAnsi="Arial" w:cs="Arial"/>
          <w:sz w:val="16"/>
          <w:szCs w:val="16"/>
        </w:rPr>
        <w:t xml:space="preserve"> </w:t>
      </w:r>
      <w:r w:rsidRPr="00132F9E">
        <w:rPr>
          <w:rFonts w:ascii="Arial" w:hAnsi="Arial" w:cs="Arial"/>
          <w:sz w:val="16"/>
          <w:szCs w:val="16"/>
        </w:rPr>
        <w:t>Prepared on Australian Accounting Standards basis.</w:t>
      </w:r>
    </w:p>
    <w:p w14:paraId="43627008" w14:textId="77777777" w:rsidR="00490F43" w:rsidRDefault="00490F43" w:rsidP="00392A48">
      <w:pPr>
        <w:pStyle w:val="ChartandTableFootnoteAlpha"/>
        <w:numPr>
          <w:ilvl w:val="0"/>
          <w:numId w:val="83"/>
        </w:numPr>
      </w:pPr>
      <w:r>
        <w:t xml:space="preserve">Does not include annual finance lease costs. Includes purchases from current and previous years' </w:t>
      </w:r>
      <w:r w:rsidR="000662CC">
        <w:t>DCBs</w:t>
      </w:r>
      <w:r>
        <w:t xml:space="preserve">. </w:t>
      </w:r>
    </w:p>
    <w:p w14:paraId="3270AB23" w14:textId="77777777" w:rsidR="00490F43" w:rsidRPr="00152B2B" w:rsidRDefault="00490F43" w:rsidP="00392A48">
      <w:pPr>
        <w:pStyle w:val="ChartandTableFootnoteAlpha"/>
        <w:numPr>
          <w:ilvl w:val="0"/>
          <w:numId w:val="83"/>
        </w:numPr>
      </w:pPr>
      <w:r>
        <w:t>Includes both current Bill 2 and prior Act 2/4/6 appropriations</w:t>
      </w:r>
    </w:p>
    <w:p w14:paraId="27623B74" w14:textId="77777777" w:rsidR="00490F43" w:rsidRDefault="00490F43" w:rsidP="00490F43">
      <w:pPr>
        <w:pStyle w:val="ExampleText0"/>
        <w:sectPr w:rsidR="00490F43" w:rsidSect="00901F73">
          <w:headerReference w:type="first" r:id="rId298"/>
          <w:footerReference w:type="first" r:id="rId299"/>
          <w:pgSz w:w="11906" w:h="16838" w:code="9"/>
          <w:pgMar w:top="2466" w:right="2098" w:bottom="2466" w:left="2098" w:header="1899" w:footer="1899" w:gutter="0"/>
          <w:cols w:space="708"/>
          <w:titlePg/>
          <w:docGrid w:linePitch="360"/>
        </w:sectPr>
      </w:pPr>
    </w:p>
    <w:p w14:paraId="7E8F8D88" w14:textId="77777777" w:rsidR="00490F43" w:rsidRDefault="00490F43" w:rsidP="00490F43">
      <w:pPr>
        <w:pStyle w:val="TableHeading"/>
      </w:pP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643583AE" w14:textId="77777777" w:rsidR="00490F43" w:rsidRPr="00D3488A" w:rsidRDefault="00490F43" w:rsidP="00490F43">
      <w:pPr>
        <w:pStyle w:val="TableGraphic"/>
        <w:ind w:left="-567"/>
        <w:rPr>
          <w:lang w:val="x-none" w:eastAsia="x-none"/>
        </w:rPr>
      </w:pPr>
      <w:r w:rsidRPr="00F37025">
        <w:t xml:space="preserve"> </w:t>
      </w:r>
    </w:p>
    <w:p w14:paraId="74098BFD" w14:textId="77777777" w:rsidR="00490F43" w:rsidRDefault="000662CC" w:rsidP="00490F43">
      <w:pPr>
        <w:pStyle w:val="TableHeading"/>
        <w:rPr>
          <w:rFonts w:ascii="Times New Roman" w:hAnsi="Times New Roman"/>
          <w:color w:val="auto"/>
          <w:lang w:val="en-AU" w:eastAsia="en-AU"/>
        </w:rPr>
      </w:pPr>
      <w:r w:rsidRPr="000662CC">
        <w:rPr>
          <w:noProof/>
          <w:lang w:val="en-AU" w:eastAsia="en-AU"/>
        </w:rPr>
        <w:drawing>
          <wp:inline distT="0" distB="0" distL="0" distR="0" wp14:anchorId="0F61FB02" wp14:editId="3CE72B3B">
            <wp:extent cx="4895850" cy="390860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95850" cy="3908607"/>
                    </a:xfrm>
                    <a:prstGeom prst="rect">
                      <a:avLst/>
                    </a:prstGeom>
                    <a:noFill/>
                    <a:ln>
                      <a:noFill/>
                    </a:ln>
                  </pic:spPr>
                </pic:pic>
              </a:graphicData>
            </a:graphic>
          </wp:inline>
        </w:drawing>
      </w:r>
    </w:p>
    <w:p w14:paraId="2D4C6AB0" w14:textId="77777777" w:rsidR="00490F43" w:rsidRPr="002E5D24" w:rsidRDefault="00490F43" w:rsidP="00490F43">
      <w:pPr>
        <w:pStyle w:val="ChartandTableFootnote"/>
      </w:pPr>
      <w:r w:rsidRPr="00132F9E">
        <w:t>Prepared on Australian Accounting Standards basis.</w:t>
      </w:r>
    </w:p>
    <w:p w14:paraId="67A5AC7D" w14:textId="77777777" w:rsidR="00490F43" w:rsidRPr="00132F9E" w:rsidRDefault="00490F43" w:rsidP="00392A48">
      <w:pPr>
        <w:pStyle w:val="ChartandTableFootnoteAlpha"/>
        <w:numPr>
          <w:ilvl w:val="0"/>
          <w:numId w:val="146"/>
        </w:numPr>
        <w:rPr>
          <w:rFonts w:cs="Arial"/>
          <w:szCs w:val="16"/>
        </w:rPr>
      </w:pPr>
      <w:r w:rsidRPr="00132F9E">
        <w:rPr>
          <w:rFonts w:cs="Arial"/>
          <w:szCs w:val="16"/>
        </w:rPr>
        <w:t xml:space="preserve">‘Appropriation equity’ refers to equity injections appropriations provided through Appropriation Bill (No. 2) </w:t>
      </w:r>
      <w:r>
        <w:rPr>
          <w:rFonts w:cs="Arial"/>
          <w:szCs w:val="16"/>
        </w:rPr>
        <w:t>2021-22</w:t>
      </w:r>
      <w:r w:rsidRPr="00132F9E">
        <w:rPr>
          <w:rFonts w:cs="Arial"/>
          <w:szCs w:val="16"/>
        </w:rPr>
        <w:t xml:space="preserve">, including </w:t>
      </w:r>
      <w:r w:rsidR="000662CC" w:rsidRPr="000662CC">
        <w:rPr>
          <w:rFonts w:cs="Arial"/>
          <w:szCs w:val="16"/>
        </w:rPr>
        <w:t>Collection Development Acquisition Budget</w:t>
      </w:r>
      <w:r w:rsidR="000662CC">
        <w:rPr>
          <w:rFonts w:cs="Arial"/>
          <w:szCs w:val="16"/>
        </w:rPr>
        <w:t>s</w:t>
      </w:r>
      <w:r w:rsidRPr="00132F9E">
        <w:rPr>
          <w:rFonts w:cs="Arial"/>
          <w:szCs w:val="16"/>
        </w:rPr>
        <w:t>.</w:t>
      </w:r>
    </w:p>
    <w:p w14:paraId="59D72D59" w14:textId="77777777" w:rsidR="00490F43" w:rsidRPr="00132F9E" w:rsidRDefault="00490F43" w:rsidP="00392A48">
      <w:pPr>
        <w:pStyle w:val="ChartandTableFootnoteAlpha"/>
        <w:numPr>
          <w:ilvl w:val="0"/>
          <w:numId w:val="146"/>
        </w:numPr>
        <w:rPr>
          <w:rFonts w:cs="Arial"/>
          <w:szCs w:val="16"/>
        </w:rPr>
      </w:pPr>
      <w:r w:rsidRPr="00132F9E">
        <w:rPr>
          <w:rFonts w:cs="Arial"/>
          <w:szCs w:val="16"/>
        </w:rPr>
        <w:t xml:space="preserve">‘Appropriation ordinary annual services’ refers to funding provided through Appropriation Bill (No. 1) </w:t>
      </w:r>
      <w:r w:rsidR="000662CC">
        <w:rPr>
          <w:rFonts w:cs="Arial"/>
          <w:szCs w:val="16"/>
        </w:rPr>
        <w:t>2021</w:t>
      </w:r>
      <w:r w:rsidR="000662CC">
        <w:rPr>
          <w:rFonts w:cs="Arial"/>
          <w:szCs w:val="16"/>
        </w:rPr>
        <w:noBreakHyphen/>
      </w:r>
      <w:r>
        <w:rPr>
          <w:rFonts w:cs="Arial"/>
          <w:szCs w:val="16"/>
        </w:rPr>
        <w:t>22</w:t>
      </w:r>
      <w:r w:rsidRPr="00132F9E">
        <w:rPr>
          <w:rFonts w:cs="Arial"/>
          <w:szCs w:val="16"/>
        </w:rPr>
        <w:t xml:space="preserve"> for depreciation/amortisation expenses, DCBs or other operational expenses.</w:t>
      </w:r>
    </w:p>
    <w:p w14:paraId="2EF3856D" w14:textId="77777777" w:rsidR="00490F43" w:rsidRPr="00152B2B" w:rsidRDefault="00490F43" w:rsidP="00490F43">
      <w:pPr>
        <w:sectPr w:rsidR="00490F43" w:rsidRPr="00152B2B" w:rsidSect="000662CC">
          <w:headerReference w:type="even" r:id="rId301"/>
          <w:headerReference w:type="default" r:id="rId302"/>
          <w:footerReference w:type="even" r:id="rId303"/>
          <w:footerReference w:type="default" r:id="rId304"/>
          <w:headerReference w:type="first" r:id="rId305"/>
          <w:footerReference w:type="first" r:id="rId306"/>
          <w:pgSz w:w="11906" w:h="16838" w:code="9"/>
          <w:pgMar w:top="2835" w:right="2098" w:bottom="2466" w:left="2098" w:header="1899" w:footer="1899" w:gutter="0"/>
          <w:cols w:space="708"/>
          <w:titlePg/>
          <w:docGrid w:linePitch="360"/>
        </w:sectPr>
      </w:pPr>
    </w:p>
    <w:p w14:paraId="4F52751F" w14:textId="77777777" w:rsidR="00490F43" w:rsidRDefault="00490F43" w:rsidP="000662CC">
      <w:pPr>
        <w:pStyle w:val="TableHeading"/>
        <w:rPr>
          <w:b w:val="0"/>
        </w:rPr>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5D30DC">
        <w:rPr>
          <w:b w:val="0"/>
        </w:rPr>
        <w:t xml:space="preserve"> </w:t>
      </w:r>
    </w:p>
    <w:p w14:paraId="29640DE4" w14:textId="77777777" w:rsidR="000662CC" w:rsidRDefault="00E875D0" w:rsidP="00490F43">
      <w:pPr>
        <w:pStyle w:val="Source"/>
      </w:pPr>
      <w:r w:rsidRPr="00E875D0">
        <w:rPr>
          <w:noProof/>
        </w:rPr>
        <w:drawing>
          <wp:inline distT="0" distB="0" distL="0" distR="0" wp14:anchorId="0B72566C" wp14:editId="3C6A147F">
            <wp:extent cx="4895850" cy="4477096"/>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895850" cy="4477096"/>
                    </a:xfrm>
                    <a:prstGeom prst="rect">
                      <a:avLst/>
                    </a:prstGeom>
                    <a:noFill/>
                    <a:ln>
                      <a:noFill/>
                    </a:ln>
                  </pic:spPr>
                </pic:pic>
              </a:graphicData>
            </a:graphic>
          </wp:inline>
        </w:drawing>
      </w:r>
    </w:p>
    <w:p w14:paraId="7E759F51" w14:textId="77777777" w:rsidR="00490F43" w:rsidRPr="00933A7D" w:rsidRDefault="00490F43" w:rsidP="00490F43">
      <w:pPr>
        <w:pStyle w:val="Source"/>
      </w:pPr>
      <w:r w:rsidRPr="00E4582E">
        <w:t>Prepared on Australian Accounting Standards basis</w:t>
      </w:r>
      <w:r>
        <w:t>.</w:t>
      </w:r>
    </w:p>
    <w:p w14:paraId="016DEF2D" w14:textId="77777777" w:rsidR="00490F43" w:rsidRPr="00133561" w:rsidRDefault="00490F43" w:rsidP="00392A48">
      <w:pPr>
        <w:pStyle w:val="ChartandTableFootnoteAlpha"/>
        <w:numPr>
          <w:ilvl w:val="0"/>
          <w:numId w:val="147"/>
        </w:numPr>
        <w:rPr>
          <w:rFonts w:cs="Arial"/>
          <w:szCs w:val="16"/>
        </w:rPr>
      </w:pPr>
      <w:r w:rsidRPr="00133561">
        <w:rPr>
          <w:rFonts w:cs="Arial"/>
          <w:szCs w:val="16"/>
        </w:rPr>
        <w:t>Payment of organisation funding to the Indigenous Land and Sea Corporation is made annually each</w:t>
      </w:r>
      <w:r>
        <w:rPr>
          <w:rFonts w:cs="Arial"/>
          <w:szCs w:val="16"/>
        </w:rPr>
        <w:t xml:space="preserve"> </w:t>
      </w:r>
      <w:r w:rsidRPr="00133561">
        <w:rPr>
          <w:rFonts w:cs="Arial"/>
          <w:szCs w:val="16"/>
        </w:rPr>
        <w:t xml:space="preserve">October, funded through the receipt of funds from the Indigenous Land and Sea Future Fund through the Indigenous Land and Sea Corporation Funding Special Account administered by the NIAA. </w:t>
      </w:r>
    </w:p>
    <w:p w14:paraId="717D317D" w14:textId="77777777" w:rsidR="00490F43" w:rsidRPr="00D3488A" w:rsidRDefault="00490F43" w:rsidP="00490F43">
      <w:pPr>
        <w:rPr>
          <w:lang w:val="x-none" w:eastAsia="x-none"/>
        </w:rPr>
      </w:pPr>
    </w:p>
    <w:p w14:paraId="6AE085B0" w14:textId="77777777" w:rsidR="00490F43" w:rsidRDefault="00490F43" w:rsidP="00490F43">
      <w:pPr>
        <w:pStyle w:val="ChartandTableFootnote"/>
      </w:pPr>
    </w:p>
    <w:p w14:paraId="4275B14A" w14:textId="77777777" w:rsidR="00490F43" w:rsidRPr="00580B24" w:rsidRDefault="00490F43" w:rsidP="00490F43">
      <w:pPr>
        <w:spacing w:after="0" w:line="240" w:lineRule="auto"/>
        <w:jc w:val="left"/>
        <w:rPr>
          <w:lang w:eastAsia="x-none"/>
        </w:rPr>
      </w:pPr>
      <w:r>
        <w:rPr>
          <w:lang w:val="x-none" w:eastAsia="x-none"/>
        </w:rPr>
        <w:br w:type="page"/>
      </w:r>
    </w:p>
    <w:p w14:paraId="381F4391" w14:textId="77777777" w:rsidR="00490F43" w:rsidRDefault="00490F43" w:rsidP="00490F43">
      <w:pPr>
        <w:pStyle w:val="ChartandTableFootnote"/>
        <w:rPr>
          <w:b/>
        </w:rPr>
      </w:pPr>
      <w:r w:rsidRPr="003F51CB">
        <w:rPr>
          <w:b/>
          <w:sz w:val="20"/>
        </w:rPr>
        <w:t>Table 3.8: Schedule of budgeted assets and liabilities administered on behalf of Government (as at 30 June)</w:t>
      </w:r>
      <w:r w:rsidRPr="00FA7D28">
        <w:rPr>
          <w:b/>
        </w:rPr>
        <w:t xml:space="preserve"> </w:t>
      </w:r>
    </w:p>
    <w:p w14:paraId="226FE9CB" w14:textId="77777777" w:rsidR="00490F43" w:rsidRDefault="000662CC" w:rsidP="00490F43">
      <w:pPr>
        <w:pStyle w:val="ChartandTableFootnote"/>
        <w:rPr>
          <w:rFonts w:ascii="Times New Roman" w:hAnsi="Times New Roman"/>
          <w:color w:val="auto"/>
          <w:sz w:val="20"/>
          <w:lang w:val="en-AU" w:eastAsia="en-AU"/>
        </w:rPr>
      </w:pPr>
      <w:r w:rsidRPr="000662CC">
        <w:rPr>
          <w:noProof/>
          <w:lang w:val="en-AU" w:eastAsia="en-AU"/>
        </w:rPr>
        <w:drawing>
          <wp:inline distT="0" distB="0" distL="0" distR="0" wp14:anchorId="4CA12CDE" wp14:editId="5E432D98">
            <wp:extent cx="4895850" cy="44644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895850" cy="4464415"/>
                    </a:xfrm>
                    <a:prstGeom prst="rect">
                      <a:avLst/>
                    </a:prstGeom>
                    <a:noFill/>
                    <a:ln>
                      <a:noFill/>
                    </a:ln>
                  </pic:spPr>
                </pic:pic>
              </a:graphicData>
            </a:graphic>
          </wp:inline>
        </w:drawing>
      </w:r>
    </w:p>
    <w:p w14:paraId="3A68DB9A" w14:textId="77777777" w:rsidR="00490F43" w:rsidRDefault="00490F43" w:rsidP="00490F43">
      <w:pPr>
        <w:pStyle w:val="ChartandTableFootnote"/>
      </w:pPr>
      <w:r w:rsidRPr="00D3488A">
        <w:t xml:space="preserve"> </w:t>
      </w:r>
      <w:r w:rsidRPr="00B7521F">
        <w:t>Prepared on Australian Accounting Standards basis.</w:t>
      </w:r>
    </w:p>
    <w:p w14:paraId="63BD6807" w14:textId="77777777" w:rsidR="00490F43" w:rsidRPr="002D6D67" w:rsidRDefault="00490F43" w:rsidP="00392A48">
      <w:pPr>
        <w:pStyle w:val="ChartandTableFootnote"/>
        <w:numPr>
          <w:ilvl w:val="0"/>
          <w:numId w:val="148"/>
        </w:numPr>
      </w:pPr>
      <w:r w:rsidRPr="002D6D67">
        <w:t>Includes ROU assets as defined under AASB 16 Leases, implemented in 2019-20.</w:t>
      </w:r>
    </w:p>
    <w:p w14:paraId="744CC083" w14:textId="77777777" w:rsidR="00490F43" w:rsidRPr="00B7521F" w:rsidRDefault="00490F43" w:rsidP="00490F43">
      <w:pPr>
        <w:pStyle w:val="SingleParagraph"/>
        <w:spacing w:line="240" w:lineRule="auto"/>
        <w:rPr>
          <w:rFonts w:ascii="Arial" w:hAnsi="Arial" w:cs="Arial"/>
          <w:sz w:val="16"/>
          <w:szCs w:val="16"/>
        </w:rPr>
      </w:pPr>
    </w:p>
    <w:p w14:paraId="3F8257FA" w14:textId="77777777" w:rsidR="00490F43" w:rsidRDefault="00490F43" w:rsidP="00490F43">
      <w:pPr>
        <w:pStyle w:val="TableHeading"/>
        <w:rPr>
          <w:rFonts w:ascii="Times New Roman" w:hAnsi="Times New Roman"/>
        </w:rPr>
      </w:pPr>
      <w:r>
        <w:br w:type="page"/>
        <w:t xml:space="preserve">Table 3.9: </w:t>
      </w:r>
      <w:r w:rsidRPr="00C41D55">
        <w:t xml:space="preserve">Schedule of </w:t>
      </w:r>
      <w:r>
        <w:t xml:space="preserve">budgeted administered cash flows </w:t>
      </w:r>
      <w:r w:rsidRPr="00C41D55">
        <w:t>(for</w:t>
      </w:r>
      <w:r>
        <w:t> the </w:t>
      </w:r>
      <w:r w:rsidRPr="00C41D55">
        <w:t>period ended 30 June)</w:t>
      </w:r>
    </w:p>
    <w:p w14:paraId="0675EB5D" w14:textId="77777777" w:rsidR="00490F43" w:rsidRPr="003806C1" w:rsidRDefault="000662CC" w:rsidP="00490F43">
      <w:pPr>
        <w:pStyle w:val="TableGraphic"/>
        <w:rPr>
          <w:lang w:val="x-none" w:eastAsia="x-none"/>
        </w:rPr>
      </w:pPr>
      <w:r w:rsidRPr="000662CC">
        <w:rPr>
          <w:noProof/>
        </w:rPr>
        <w:drawing>
          <wp:inline distT="0" distB="0" distL="0" distR="0" wp14:anchorId="5238FE1A" wp14:editId="6F791C23">
            <wp:extent cx="4895850" cy="423195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95850" cy="4231959"/>
                    </a:xfrm>
                    <a:prstGeom prst="rect">
                      <a:avLst/>
                    </a:prstGeom>
                    <a:noFill/>
                    <a:ln>
                      <a:noFill/>
                    </a:ln>
                  </pic:spPr>
                </pic:pic>
              </a:graphicData>
            </a:graphic>
          </wp:inline>
        </w:drawing>
      </w:r>
    </w:p>
    <w:p w14:paraId="74D30495" w14:textId="77777777" w:rsidR="00E875D0" w:rsidRDefault="00E875D0" w:rsidP="00E875D0">
      <w:pPr>
        <w:pStyle w:val="ChartandTableFootnote"/>
      </w:pPr>
      <w:r w:rsidRPr="00B7521F">
        <w:t>Prepared on Australian Accounting Standards basis.</w:t>
      </w:r>
    </w:p>
    <w:p w14:paraId="5E63B200" w14:textId="77777777" w:rsidR="00490F43" w:rsidRDefault="00490F43" w:rsidP="00490F43">
      <w:pPr>
        <w:pStyle w:val="ChartandTableFootnote"/>
        <w:rPr>
          <w:rFonts w:ascii="Times New Roman" w:hAnsi="Times New Roman"/>
          <w:color w:val="auto"/>
          <w:sz w:val="20"/>
          <w:lang w:val="en-AU" w:eastAsia="en-AU"/>
        </w:rPr>
      </w:pPr>
      <w:r>
        <w:br w:type="page"/>
      </w:r>
      <w:r w:rsidRPr="00A60EF9">
        <w:rPr>
          <w:b/>
          <w:sz w:val="20"/>
        </w:rPr>
        <w:t>T</w:t>
      </w:r>
      <w:r w:rsidRPr="008C75E2">
        <w:rPr>
          <w:b/>
          <w:sz w:val="20"/>
        </w:rPr>
        <w:t>able 3.9: Schedule of budgeted administered cash flows (for the period ended 30 June) (continued)</w:t>
      </w:r>
    </w:p>
    <w:p w14:paraId="31B09D2A" w14:textId="77777777" w:rsidR="00490F43" w:rsidRDefault="00490F43" w:rsidP="00490F43">
      <w:pPr>
        <w:pStyle w:val="ChartandTableFootnote"/>
      </w:pPr>
    </w:p>
    <w:p w14:paraId="5F8A3510" w14:textId="77777777" w:rsidR="00490F43" w:rsidRDefault="000662CC" w:rsidP="00490F43">
      <w:pPr>
        <w:pStyle w:val="TableHeading"/>
      </w:pPr>
      <w:r w:rsidRPr="000662CC">
        <w:rPr>
          <w:noProof/>
          <w:lang w:val="en-AU" w:eastAsia="en-AU"/>
        </w:rPr>
        <w:drawing>
          <wp:inline distT="0" distB="0" distL="0" distR="0" wp14:anchorId="14394BC0" wp14:editId="751BC0EA">
            <wp:extent cx="4895850" cy="320685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95850" cy="3206857"/>
                    </a:xfrm>
                    <a:prstGeom prst="rect">
                      <a:avLst/>
                    </a:prstGeom>
                    <a:noFill/>
                    <a:ln>
                      <a:noFill/>
                    </a:ln>
                  </pic:spPr>
                </pic:pic>
              </a:graphicData>
            </a:graphic>
          </wp:inline>
        </w:drawing>
      </w:r>
    </w:p>
    <w:p w14:paraId="54229ABA" w14:textId="77777777" w:rsidR="00490F43" w:rsidRDefault="00490F43" w:rsidP="00490F43">
      <w:pPr>
        <w:pStyle w:val="TableHeading"/>
        <w:rPr>
          <w:b w:val="0"/>
          <w:sz w:val="16"/>
        </w:rPr>
      </w:pPr>
      <w:r w:rsidRPr="00D3488A">
        <w:rPr>
          <w:b w:val="0"/>
          <w:sz w:val="16"/>
        </w:rPr>
        <w:t>Prepared on Australian Accounting Standards basis.</w:t>
      </w:r>
    </w:p>
    <w:p w14:paraId="4E96AB55" w14:textId="77777777" w:rsidR="00184B3B" w:rsidRDefault="00184B3B" w:rsidP="00184B3B">
      <w:pPr>
        <w:pStyle w:val="TableGraphic"/>
        <w:rPr>
          <w:lang w:val="x-none" w:eastAsia="x-none"/>
        </w:rPr>
      </w:pPr>
    </w:p>
    <w:p w14:paraId="0537CCF3" w14:textId="77777777" w:rsidR="0030621F" w:rsidRPr="0030621F" w:rsidRDefault="0030621F" w:rsidP="0030621F">
      <w:pPr>
        <w:rPr>
          <w:lang w:val="x-none" w:eastAsia="x-none"/>
        </w:rPr>
      </w:pPr>
    </w:p>
    <w:p w14:paraId="48BE3D6D" w14:textId="77777777" w:rsidR="00184B3B" w:rsidRDefault="00184B3B" w:rsidP="00184B3B">
      <w:pPr>
        <w:pStyle w:val="TableHeading"/>
        <w:rPr>
          <w:b w:val="0"/>
          <w:sz w:val="16"/>
        </w:rPr>
      </w:pPr>
      <w:r w:rsidRPr="00184B3B">
        <w:rPr>
          <w:rFonts w:cs="Arial"/>
        </w:rPr>
        <w:t>Table 3.1</w:t>
      </w:r>
      <w:r w:rsidR="00DB2878">
        <w:rPr>
          <w:rFonts w:cs="Arial"/>
          <w:lang w:val="en-AU"/>
        </w:rPr>
        <w:t>0</w:t>
      </w:r>
      <w:r w:rsidRPr="00184B3B">
        <w:rPr>
          <w:rFonts w:cs="Arial"/>
        </w:rPr>
        <w:t>:</w:t>
      </w:r>
      <w:r w:rsidRPr="00184B3B">
        <w:rPr>
          <w:rFonts w:cs="Arial"/>
          <w:b w:val="0"/>
        </w:rPr>
        <w:t xml:space="preserve"> </w:t>
      </w:r>
      <w:r w:rsidRPr="00184B3B">
        <w:rPr>
          <w:rFonts w:cs="Arial"/>
        </w:rPr>
        <w:t>Statement of administered asset movements (Budget year 2022-23)</w:t>
      </w:r>
      <w:r w:rsidRPr="00184B3B">
        <w:rPr>
          <w:rFonts w:cs="Arial"/>
          <w:b w:val="0"/>
        </w:rPr>
        <w:t xml:space="preserve"> </w:t>
      </w:r>
      <w:r w:rsidRPr="00184B3B">
        <w:rPr>
          <w:b w:val="0"/>
          <w:sz w:val="16"/>
        </w:rPr>
        <w:t xml:space="preserve"> </w:t>
      </w:r>
      <w:r>
        <w:rPr>
          <w:b w:val="0"/>
          <w:sz w:val="16"/>
        </w:rPr>
        <w:br/>
      </w:r>
      <w:r w:rsidR="0030621F" w:rsidRPr="0030621F">
        <w:rPr>
          <w:noProof/>
          <w:lang w:val="en-AU" w:eastAsia="en-AU"/>
        </w:rPr>
        <w:drawing>
          <wp:inline distT="0" distB="0" distL="0" distR="0" wp14:anchorId="44C4CBBE" wp14:editId="4CC8FFE1">
            <wp:extent cx="4895850" cy="2298152"/>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895850" cy="2298152"/>
                    </a:xfrm>
                    <a:prstGeom prst="rect">
                      <a:avLst/>
                    </a:prstGeom>
                    <a:noFill/>
                    <a:ln>
                      <a:noFill/>
                    </a:ln>
                  </pic:spPr>
                </pic:pic>
              </a:graphicData>
            </a:graphic>
          </wp:inline>
        </w:drawing>
      </w:r>
      <w:r w:rsidRPr="00D3488A">
        <w:rPr>
          <w:b w:val="0"/>
          <w:sz w:val="16"/>
        </w:rPr>
        <w:t>Prepared on Australian Accounting Standards basis.</w:t>
      </w:r>
    </w:p>
    <w:p w14:paraId="45474C73" w14:textId="77777777" w:rsidR="008D033E" w:rsidRPr="00184B3B" w:rsidRDefault="008D033E" w:rsidP="00490F43">
      <w:pPr>
        <w:spacing w:after="0" w:line="240" w:lineRule="auto"/>
        <w:jc w:val="left"/>
        <w:rPr>
          <w:rFonts w:ascii="Arial" w:hAnsi="Arial" w:cs="Arial"/>
          <w:lang w:val="x-none" w:eastAsia="x-none"/>
        </w:rPr>
        <w:sectPr w:rsidR="008D033E" w:rsidRPr="00184B3B" w:rsidSect="00B91697">
          <w:headerReference w:type="even" r:id="rId312"/>
          <w:headerReference w:type="default" r:id="rId313"/>
          <w:footerReference w:type="even" r:id="rId314"/>
          <w:footerReference w:type="default" r:id="rId315"/>
          <w:headerReference w:type="first" r:id="rId316"/>
          <w:footerReference w:type="first" r:id="rId317"/>
          <w:pgSz w:w="11906" w:h="16838" w:code="9"/>
          <w:pgMar w:top="2835" w:right="2098" w:bottom="2466" w:left="2098" w:header="1899" w:footer="1899" w:gutter="0"/>
          <w:cols w:space="708"/>
          <w:titlePg/>
          <w:docGrid w:linePitch="360"/>
        </w:sectPr>
      </w:pPr>
    </w:p>
    <w:p w14:paraId="5B4CA70D" w14:textId="77777777" w:rsidR="009F2A20" w:rsidRDefault="009F2A20" w:rsidP="003A2B81">
      <w:pPr>
        <w:spacing w:after="0" w:line="240" w:lineRule="auto"/>
        <w:jc w:val="left"/>
      </w:pPr>
      <w:bookmarkStart w:id="712" w:name="_Toc98496283"/>
    </w:p>
    <w:p w14:paraId="26B17E4F" w14:textId="77777777" w:rsidR="00D47EBC" w:rsidRDefault="00D47EBC" w:rsidP="009F2A20">
      <w:pPr>
        <w:pStyle w:val="PartHeading-TOC"/>
      </w:pPr>
      <w:bookmarkStart w:id="713" w:name="_Toc99201057"/>
    </w:p>
    <w:p w14:paraId="02475559" w14:textId="77777777" w:rsidR="00D47EBC" w:rsidRDefault="00D47EBC" w:rsidP="009F2A20">
      <w:pPr>
        <w:pStyle w:val="PartHeading-TOC"/>
      </w:pPr>
    </w:p>
    <w:p w14:paraId="05A1F71A" w14:textId="77777777" w:rsidR="00AC2929" w:rsidRDefault="00AC2929" w:rsidP="009F2A20">
      <w:pPr>
        <w:pStyle w:val="PartHeading-TOC"/>
      </w:pPr>
    </w:p>
    <w:p w14:paraId="319143AA" w14:textId="77777777" w:rsidR="00AC2929" w:rsidRDefault="00AC2929">
      <w:pPr>
        <w:spacing w:after="0" w:line="240" w:lineRule="auto"/>
        <w:jc w:val="left"/>
        <w:rPr>
          <w:rFonts w:ascii="Arial Bold" w:hAnsi="Arial Bold" w:cs="Arial"/>
          <w:b/>
          <w:bCs/>
          <w:kern w:val="28"/>
          <w:sz w:val="52"/>
          <w:szCs w:val="32"/>
        </w:rPr>
      </w:pPr>
      <w:r>
        <w:br w:type="page"/>
      </w:r>
    </w:p>
    <w:p w14:paraId="2CDDA977" w14:textId="77777777" w:rsidR="00AC2929" w:rsidRDefault="00AC2929">
      <w:pPr>
        <w:spacing w:after="0" w:line="240" w:lineRule="auto"/>
        <w:jc w:val="left"/>
        <w:rPr>
          <w:rFonts w:ascii="Arial Bold" w:hAnsi="Arial Bold" w:cs="Arial"/>
          <w:b/>
          <w:bCs/>
          <w:kern w:val="28"/>
          <w:sz w:val="52"/>
          <w:szCs w:val="32"/>
        </w:rPr>
      </w:pPr>
    </w:p>
    <w:p w14:paraId="4EBB0738" w14:textId="77777777" w:rsidR="00AC2929" w:rsidRDefault="00AC2929">
      <w:pPr>
        <w:spacing w:after="0" w:line="240" w:lineRule="auto"/>
        <w:jc w:val="left"/>
        <w:rPr>
          <w:rFonts w:ascii="Arial Bold" w:hAnsi="Arial Bold" w:cs="Arial"/>
          <w:b/>
          <w:bCs/>
          <w:kern w:val="28"/>
          <w:sz w:val="52"/>
          <w:szCs w:val="32"/>
        </w:rPr>
      </w:pPr>
    </w:p>
    <w:p w14:paraId="7810CE63" w14:textId="77777777" w:rsidR="009F2A20" w:rsidRDefault="009F2A20" w:rsidP="009F2A20">
      <w:pPr>
        <w:pStyle w:val="PartHeading-TOC"/>
      </w:pPr>
      <w:r w:rsidRPr="001C285F">
        <w:t>National Recovery and Resilience Agency</w:t>
      </w:r>
      <w:bookmarkEnd w:id="713"/>
    </w:p>
    <w:p w14:paraId="37CAA8CC" w14:textId="77777777" w:rsidR="006A773D" w:rsidRDefault="006A773D" w:rsidP="009F2A20">
      <w:pPr>
        <w:pStyle w:val="PartHeading-TOC"/>
      </w:pPr>
    </w:p>
    <w:p w14:paraId="74BA6542" w14:textId="77777777" w:rsidR="006A773D" w:rsidRDefault="006A773D" w:rsidP="00AC2929">
      <w:pPr>
        <w:pStyle w:val="PartHeading-TOC"/>
        <w:jc w:val="both"/>
      </w:pPr>
    </w:p>
    <w:p w14:paraId="2DCB9C4C" w14:textId="77777777" w:rsidR="009F2A20" w:rsidRDefault="009F2A20" w:rsidP="009F2A20">
      <w:pPr>
        <w:pStyle w:val="PartHeading-TOC"/>
      </w:pPr>
      <w:bookmarkStart w:id="714" w:name="_Toc99011809"/>
      <w:bookmarkStart w:id="715" w:name="_Toc99201058"/>
      <w:r>
        <w:t>Entity resources and planned performance</w:t>
      </w:r>
      <w:bookmarkEnd w:id="714"/>
      <w:bookmarkEnd w:id="715"/>
    </w:p>
    <w:p w14:paraId="7737EB3E" w14:textId="77777777" w:rsidR="009F2A20" w:rsidRDefault="009F2A20" w:rsidP="009F2A20">
      <w:pPr>
        <w:pStyle w:val="PartHeading-TOC"/>
      </w:pPr>
      <w:r>
        <w:br w:type="page"/>
      </w:r>
    </w:p>
    <w:p w14:paraId="3748AF59" w14:textId="77777777" w:rsidR="003A2B81" w:rsidRDefault="003A2B81" w:rsidP="009F2A20">
      <w:pPr>
        <w:spacing w:after="0" w:line="240" w:lineRule="auto"/>
        <w:jc w:val="left"/>
        <w:rPr>
          <w:rFonts w:ascii="Arial Bold" w:hAnsi="Arial Bold"/>
          <w:b/>
          <w:sz w:val="36"/>
        </w:rPr>
        <w:sectPr w:rsidR="003A2B81" w:rsidSect="00D47EBC">
          <w:headerReference w:type="even" r:id="rId318"/>
          <w:headerReference w:type="default" r:id="rId319"/>
          <w:footerReference w:type="even" r:id="rId320"/>
          <w:footerReference w:type="default" r:id="rId321"/>
          <w:headerReference w:type="first" r:id="rId322"/>
          <w:footerReference w:type="first" r:id="rId323"/>
          <w:pgSz w:w="11906" w:h="16838" w:code="9"/>
          <w:pgMar w:top="2835" w:right="2098" w:bottom="2466" w:left="2098" w:header="1814" w:footer="1814" w:gutter="0"/>
          <w:cols w:space="708"/>
          <w:vAlign w:val="center"/>
          <w:titlePg/>
          <w:docGrid w:linePitch="360"/>
        </w:sectPr>
      </w:pPr>
    </w:p>
    <w:p w14:paraId="7A7BACB0" w14:textId="77777777" w:rsidR="009F2A20" w:rsidRDefault="009F2A20" w:rsidP="009F2A20">
      <w:pPr>
        <w:spacing w:after="0" w:line="240" w:lineRule="auto"/>
        <w:jc w:val="left"/>
        <w:rPr>
          <w:rFonts w:ascii="Arial Bold" w:hAnsi="Arial Bold"/>
          <w:b/>
          <w:sz w:val="36"/>
        </w:rPr>
      </w:pPr>
    </w:p>
    <w:p w14:paraId="759CE773" w14:textId="77777777" w:rsidR="009F2A20" w:rsidRDefault="009F2A20" w:rsidP="009F2A20">
      <w:pPr>
        <w:pStyle w:val="ContentsHeading"/>
      </w:pPr>
    </w:p>
    <w:p w14:paraId="1F682F60" w14:textId="77777777" w:rsidR="009F2A20" w:rsidRDefault="009F2A20" w:rsidP="009F2A20">
      <w:pPr>
        <w:spacing w:after="0" w:line="240" w:lineRule="auto"/>
        <w:jc w:val="left"/>
        <w:rPr>
          <w:rFonts w:ascii="Arial Bold" w:hAnsi="Arial Bold"/>
          <w:b/>
          <w:sz w:val="36"/>
        </w:rPr>
      </w:pPr>
      <w:r>
        <w:br w:type="page"/>
      </w:r>
    </w:p>
    <w:p w14:paraId="7AEE2E71" w14:textId="77777777" w:rsidR="00FA10DB" w:rsidRPr="0063110C" w:rsidRDefault="009F2A20" w:rsidP="0063110C">
      <w:pPr>
        <w:pStyle w:val="ContentsHeading"/>
        <w:rPr>
          <w:noProof/>
        </w:rPr>
      </w:pPr>
      <w:r w:rsidRPr="00805A48">
        <w:t>National Recovery and Resilience A</w:t>
      </w:r>
      <w:r w:rsidR="0063110C">
        <w:t>gency</w:t>
      </w:r>
      <w:r w:rsidRPr="00805A48">
        <w:fldChar w:fldCharType="begin"/>
      </w:r>
      <w:r w:rsidRPr="00805A48">
        <w:instrText xml:space="preserve"> TOC \h \z \t "Heading 2,1,Heading 3,2" </w:instrText>
      </w:r>
      <w:r w:rsidRPr="00805A48">
        <w:fldChar w:fldCharType="separate"/>
      </w:r>
    </w:p>
    <w:p w14:paraId="1E78AA93" w14:textId="77777777" w:rsidR="00FA10DB" w:rsidRDefault="00A76B91">
      <w:pPr>
        <w:pStyle w:val="TOC1"/>
        <w:rPr>
          <w:rFonts w:asciiTheme="minorHAnsi" w:eastAsiaTheme="minorEastAsia" w:hAnsiTheme="minorHAnsi" w:cstheme="minorBidi"/>
          <w:b w:val="0"/>
          <w:caps w:val="0"/>
          <w:noProof/>
          <w:sz w:val="22"/>
          <w:szCs w:val="22"/>
        </w:rPr>
      </w:pPr>
      <w:hyperlink w:anchor="_Toc99187575" w:history="1">
        <w:r w:rsidR="00FA10DB" w:rsidRPr="00527AAA">
          <w:rPr>
            <w:rStyle w:val="Hyperlink"/>
            <w:noProof/>
          </w:rPr>
          <w:t>Section 1: Entity overview and resources</w:t>
        </w:r>
        <w:r w:rsidR="00FA10DB">
          <w:rPr>
            <w:noProof/>
            <w:webHidden/>
          </w:rPr>
          <w:tab/>
        </w:r>
        <w:r w:rsidR="00FA10DB">
          <w:rPr>
            <w:noProof/>
            <w:webHidden/>
          </w:rPr>
          <w:fldChar w:fldCharType="begin"/>
        </w:r>
        <w:r w:rsidR="00FA10DB">
          <w:rPr>
            <w:noProof/>
            <w:webHidden/>
          </w:rPr>
          <w:instrText xml:space="preserve"> PAGEREF _Toc99187575 \h </w:instrText>
        </w:r>
        <w:r w:rsidR="00FA10DB">
          <w:rPr>
            <w:noProof/>
            <w:webHidden/>
          </w:rPr>
        </w:r>
        <w:r w:rsidR="00FA10DB">
          <w:rPr>
            <w:noProof/>
            <w:webHidden/>
          </w:rPr>
          <w:fldChar w:fldCharType="separate"/>
        </w:r>
        <w:r w:rsidR="00AC2929">
          <w:rPr>
            <w:noProof/>
            <w:webHidden/>
          </w:rPr>
          <w:t>251</w:t>
        </w:r>
        <w:r w:rsidR="00FA10DB">
          <w:rPr>
            <w:noProof/>
            <w:webHidden/>
          </w:rPr>
          <w:fldChar w:fldCharType="end"/>
        </w:r>
      </w:hyperlink>
    </w:p>
    <w:p w14:paraId="16349741" w14:textId="77777777" w:rsidR="00FA10DB" w:rsidRDefault="00A76B91">
      <w:pPr>
        <w:pStyle w:val="TOC2"/>
        <w:tabs>
          <w:tab w:val="left" w:pos="800"/>
        </w:tabs>
        <w:rPr>
          <w:rFonts w:asciiTheme="minorHAnsi" w:eastAsiaTheme="minorEastAsia" w:hAnsiTheme="minorHAnsi" w:cstheme="minorBidi"/>
          <w:noProof/>
          <w:sz w:val="22"/>
          <w:szCs w:val="22"/>
        </w:rPr>
      </w:pPr>
      <w:hyperlink w:anchor="_Toc99187576" w:history="1">
        <w:r w:rsidR="00FA10DB" w:rsidRPr="00527AAA">
          <w:rPr>
            <w:rStyle w:val="Hyperlink"/>
            <w:noProof/>
          </w:rPr>
          <w:t>1.1</w:t>
        </w:r>
        <w:r w:rsidR="00FA10DB">
          <w:rPr>
            <w:rFonts w:asciiTheme="minorHAnsi" w:eastAsiaTheme="minorEastAsia" w:hAnsiTheme="minorHAnsi" w:cstheme="minorBidi"/>
            <w:noProof/>
            <w:sz w:val="22"/>
            <w:szCs w:val="22"/>
          </w:rPr>
          <w:tab/>
        </w:r>
        <w:r w:rsidR="00FA10DB" w:rsidRPr="00527AAA">
          <w:rPr>
            <w:rStyle w:val="Hyperlink"/>
            <w:noProof/>
          </w:rPr>
          <w:t>Strategic direction statement</w:t>
        </w:r>
        <w:r w:rsidR="00FA10DB">
          <w:rPr>
            <w:noProof/>
            <w:webHidden/>
          </w:rPr>
          <w:tab/>
        </w:r>
        <w:r w:rsidR="00FA10DB">
          <w:rPr>
            <w:noProof/>
            <w:webHidden/>
          </w:rPr>
          <w:fldChar w:fldCharType="begin"/>
        </w:r>
        <w:r w:rsidR="00FA10DB">
          <w:rPr>
            <w:noProof/>
            <w:webHidden/>
          </w:rPr>
          <w:instrText xml:space="preserve"> PAGEREF _Toc99187576 \h </w:instrText>
        </w:r>
        <w:r w:rsidR="00FA10DB">
          <w:rPr>
            <w:noProof/>
            <w:webHidden/>
          </w:rPr>
        </w:r>
        <w:r w:rsidR="00FA10DB">
          <w:rPr>
            <w:noProof/>
            <w:webHidden/>
          </w:rPr>
          <w:fldChar w:fldCharType="separate"/>
        </w:r>
        <w:r w:rsidR="00AC2929">
          <w:rPr>
            <w:noProof/>
            <w:webHidden/>
          </w:rPr>
          <w:t>251</w:t>
        </w:r>
        <w:r w:rsidR="00FA10DB">
          <w:rPr>
            <w:noProof/>
            <w:webHidden/>
          </w:rPr>
          <w:fldChar w:fldCharType="end"/>
        </w:r>
      </w:hyperlink>
    </w:p>
    <w:p w14:paraId="7A9B67E2" w14:textId="77777777" w:rsidR="00FA10DB" w:rsidRDefault="00A76B91">
      <w:pPr>
        <w:pStyle w:val="TOC2"/>
        <w:tabs>
          <w:tab w:val="left" w:pos="800"/>
        </w:tabs>
        <w:rPr>
          <w:rFonts w:asciiTheme="minorHAnsi" w:eastAsiaTheme="minorEastAsia" w:hAnsiTheme="minorHAnsi" w:cstheme="minorBidi"/>
          <w:noProof/>
          <w:sz w:val="22"/>
          <w:szCs w:val="22"/>
        </w:rPr>
      </w:pPr>
      <w:hyperlink w:anchor="_Toc99187577" w:history="1">
        <w:r w:rsidR="00FA10DB" w:rsidRPr="00527AAA">
          <w:rPr>
            <w:rStyle w:val="Hyperlink"/>
            <w:noProof/>
          </w:rPr>
          <w:t>1.2</w:t>
        </w:r>
        <w:r w:rsidR="00FA10DB">
          <w:rPr>
            <w:rFonts w:asciiTheme="minorHAnsi" w:eastAsiaTheme="minorEastAsia" w:hAnsiTheme="minorHAnsi" w:cstheme="minorBidi"/>
            <w:noProof/>
            <w:sz w:val="22"/>
            <w:szCs w:val="22"/>
          </w:rPr>
          <w:tab/>
        </w:r>
        <w:r w:rsidR="00FA10DB" w:rsidRPr="00527AAA">
          <w:rPr>
            <w:rStyle w:val="Hyperlink"/>
            <w:noProof/>
          </w:rPr>
          <w:t>Entity resource statement</w:t>
        </w:r>
        <w:r w:rsidR="00FA10DB">
          <w:rPr>
            <w:noProof/>
            <w:webHidden/>
          </w:rPr>
          <w:tab/>
        </w:r>
        <w:r w:rsidR="00FA10DB">
          <w:rPr>
            <w:noProof/>
            <w:webHidden/>
          </w:rPr>
          <w:fldChar w:fldCharType="begin"/>
        </w:r>
        <w:r w:rsidR="00FA10DB">
          <w:rPr>
            <w:noProof/>
            <w:webHidden/>
          </w:rPr>
          <w:instrText xml:space="preserve"> PAGEREF _Toc99187577 \h </w:instrText>
        </w:r>
        <w:r w:rsidR="00FA10DB">
          <w:rPr>
            <w:noProof/>
            <w:webHidden/>
          </w:rPr>
        </w:r>
        <w:r w:rsidR="00FA10DB">
          <w:rPr>
            <w:noProof/>
            <w:webHidden/>
          </w:rPr>
          <w:fldChar w:fldCharType="separate"/>
        </w:r>
        <w:r w:rsidR="00AC2929">
          <w:rPr>
            <w:noProof/>
            <w:webHidden/>
          </w:rPr>
          <w:t>253</w:t>
        </w:r>
        <w:r w:rsidR="00FA10DB">
          <w:rPr>
            <w:noProof/>
            <w:webHidden/>
          </w:rPr>
          <w:fldChar w:fldCharType="end"/>
        </w:r>
      </w:hyperlink>
    </w:p>
    <w:p w14:paraId="36ED500C" w14:textId="77777777" w:rsidR="00FA10DB" w:rsidRDefault="00A76B91">
      <w:pPr>
        <w:pStyle w:val="TOC2"/>
        <w:tabs>
          <w:tab w:val="left" w:pos="800"/>
        </w:tabs>
        <w:rPr>
          <w:rFonts w:asciiTheme="minorHAnsi" w:eastAsiaTheme="minorEastAsia" w:hAnsiTheme="minorHAnsi" w:cstheme="minorBidi"/>
          <w:noProof/>
          <w:sz w:val="22"/>
          <w:szCs w:val="22"/>
        </w:rPr>
      </w:pPr>
      <w:hyperlink w:anchor="_Toc99187578" w:history="1">
        <w:r w:rsidR="00FA10DB" w:rsidRPr="00527AAA">
          <w:rPr>
            <w:rStyle w:val="Hyperlink"/>
            <w:noProof/>
          </w:rPr>
          <w:t>1.3</w:t>
        </w:r>
        <w:r w:rsidR="00FA10DB">
          <w:rPr>
            <w:rFonts w:asciiTheme="minorHAnsi" w:eastAsiaTheme="minorEastAsia" w:hAnsiTheme="minorHAnsi" w:cstheme="minorBidi"/>
            <w:noProof/>
            <w:sz w:val="22"/>
            <w:szCs w:val="22"/>
          </w:rPr>
          <w:tab/>
        </w:r>
        <w:r w:rsidR="00FA10DB" w:rsidRPr="00527AAA">
          <w:rPr>
            <w:rStyle w:val="Hyperlink"/>
            <w:noProof/>
          </w:rPr>
          <w:t>Budget measures</w:t>
        </w:r>
        <w:r w:rsidR="00FA10DB">
          <w:rPr>
            <w:noProof/>
            <w:webHidden/>
          </w:rPr>
          <w:tab/>
        </w:r>
        <w:r w:rsidR="00FA10DB">
          <w:rPr>
            <w:noProof/>
            <w:webHidden/>
          </w:rPr>
          <w:fldChar w:fldCharType="begin"/>
        </w:r>
        <w:r w:rsidR="00FA10DB">
          <w:rPr>
            <w:noProof/>
            <w:webHidden/>
          </w:rPr>
          <w:instrText xml:space="preserve"> PAGEREF _Toc99187578 \h </w:instrText>
        </w:r>
        <w:r w:rsidR="00FA10DB">
          <w:rPr>
            <w:noProof/>
            <w:webHidden/>
          </w:rPr>
        </w:r>
        <w:r w:rsidR="00FA10DB">
          <w:rPr>
            <w:noProof/>
            <w:webHidden/>
          </w:rPr>
          <w:fldChar w:fldCharType="separate"/>
        </w:r>
        <w:r w:rsidR="00AC2929">
          <w:rPr>
            <w:noProof/>
            <w:webHidden/>
          </w:rPr>
          <w:t>255</w:t>
        </w:r>
        <w:r w:rsidR="00FA10DB">
          <w:rPr>
            <w:noProof/>
            <w:webHidden/>
          </w:rPr>
          <w:fldChar w:fldCharType="end"/>
        </w:r>
      </w:hyperlink>
    </w:p>
    <w:p w14:paraId="4924BB71" w14:textId="77777777" w:rsidR="00FA10DB" w:rsidRDefault="00A76B91">
      <w:pPr>
        <w:pStyle w:val="TOC1"/>
        <w:rPr>
          <w:rFonts w:asciiTheme="minorHAnsi" w:eastAsiaTheme="minorEastAsia" w:hAnsiTheme="minorHAnsi" w:cstheme="minorBidi"/>
          <w:b w:val="0"/>
          <w:caps w:val="0"/>
          <w:noProof/>
          <w:sz w:val="22"/>
          <w:szCs w:val="22"/>
        </w:rPr>
      </w:pPr>
      <w:hyperlink w:anchor="_Toc99187579" w:history="1">
        <w:r w:rsidR="00FA10DB" w:rsidRPr="00527AAA">
          <w:rPr>
            <w:rStyle w:val="Hyperlink"/>
            <w:noProof/>
          </w:rPr>
          <w:t>Section 2: Outcomes and planned performance</w:t>
        </w:r>
        <w:r w:rsidR="00FA10DB">
          <w:rPr>
            <w:noProof/>
            <w:webHidden/>
          </w:rPr>
          <w:tab/>
        </w:r>
        <w:r w:rsidR="00FA10DB">
          <w:rPr>
            <w:noProof/>
            <w:webHidden/>
          </w:rPr>
          <w:fldChar w:fldCharType="begin"/>
        </w:r>
        <w:r w:rsidR="00FA10DB">
          <w:rPr>
            <w:noProof/>
            <w:webHidden/>
          </w:rPr>
          <w:instrText xml:space="preserve"> PAGEREF _Toc99187579 \h </w:instrText>
        </w:r>
        <w:r w:rsidR="00FA10DB">
          <w:rPr>
            <w:noProof/>
            <w:webHidden/>
          </w:rPr>
        </w:r>
        <w:r w:rsidR="00FA10DB">
          <w:rPr>
            <w:noProof/>
            <w:webHidden/>
          </w:rPr>
          <w:fldChar w:fldCharType="separate"/>
        </w:r>
        <w:r w:rsidR="00AC2929">
          <w:rPr>
            <w:noProof/>
            <w:webHidden/>
          </w:rPr>
          <w:t>256</w:t>
        </w:r>
        <w:r w:rsidR="00FA10DB">
          <w:rPr>
            <w:noProof/>
            <w:webHidden/>
          </w:rPr>
          <w:fldChar w:fldCharType="end"/>
        </w:r>
      </w:hyperlink>
    </w:p>
    <w:p w14:paraId="2137CB26" w14:textId="77777777" w:rsidR="00FA10DB" w:rsidRDefault="00A76B91">
      <w:pPr>
        <w:pStyle w:val="TOC2"/>
        <w:tabs>
          <w:tab w:val="left" w:pos="800"/>
        </w:tabs>
        <w:rPr>
          <w:rFonts w:asciiTheme="minorHAnsi" w:eastAsiaTheme="minorEastAsia" w:hAnsiTheme="minorHAnsi" w:cstheme="minorBidi"/>
          <w:noProof/>
          <w:sz w:val="22"/>
          <w:szCs w:val="22"/>
        </w:rPr>
      </w:pPr>
      <w:hyperlink w:anchor="_Toc99187580" w:history="1">
        <w:r w:rsidR="00FA10DB" w:rsidRPr="00527AAA">
          <w:rPr>
            <w:rStyle w:val="Hyperlink"/>
            <w:noProof/>
          </w:rPr>
          <w:t xml:space="preserve">2.1 </w:t>
        </w:r>
        <w:r w:rsidR="00FA10DB">
          <w:rPr>
            <w:rFonts w:asciiTheme="minorHAnsi" w:eastAsiaTheme="minorEastAsia" w:hAnsiTheme="minorHAnsi" w:cstheme="minorBidi"/>
            <w:noProof/>
            <w:sz w:val="22"/>
            <w:szCs w:val="22"/>
          </w:rPr>
          <w:tab/>
        </w:r>
        <w:r w:rsidR="00FA10DB" w:rsidRPr="00527AAA">
          <w:rPr>
            <w:rStyle w:val="Hyperlink"/>
            <w:noProof/>
          </w:rPr>
          <w:t>Budgeted expenses and performance for Outcome 1</w:t>
        </w:r>
        <w:r w:rsidR="00FA10DB">
          <w:rPr>
            <w:noProof/>
            <w:webHidden/>
          </w:rPr>
          <w:tab/>
        </w:r>
        <w:r w:rsidR="00FA10DB">
          <w:rPr>
            <w:noProof/>
            <w:webHidden/>
          </w:rPr>
          <w:fldChar w:fldCharType="begin"/>
        </w:r>
        <w:r w:rsidR="00FA10DB">
          <w:rPr>
            <w:noProof/>
            <w:webHidden/>
          </w:rPr>
          <w:instrText xml:space="preserve"> PAGEREF _Toc99187580 \h </w:instrText>
        </w:r>
        <w:r w:rsidR="00FA10DB">
          <w:rPr>
            <w:noProof/>
            <w:webHidden/>
          </w:rPr>
        </w:r>
        <w:r w:rsidR="00FA10DB">
          <w:rPr>
            <w:noProof/>
            <w:webHidden/>
          </w:rPr>
          <w:fldChar w:fldCharType="separate"/>
        </w:r>
        <w:r w:rsidR="00AC2929">
          <w:rPr>
            <w:noProof/>
            <w:webHidden/>
          </w:rPr>
          <w:t>257</w:t>
        </w:r>
        <w:r w:rsidR="00FA10DB">
          <w:rPr>
            <w:noProof/>
            <w:webHidden/>
          </w:rPr>
          <w:fldChar w:fldCharType="end"/>
        </w:r>
      </w:hyperlink>
    </w:p>
    <w:p w14:paraId="74793643" w14:textId="77777777" w:rsidR="00FA10DB" w:rsidRDefault="00A76B91">
      <w:pPr>
        <w:pStyle w:val="TOC1"/>
        <w:rPr>
          <w:rFonts w:asciiTheme="minorHAnsi" w:eastAsiaTheme="minorEastAsia" w:hAnsiTheme="minorHAnsi" w:cstheme="minorBidi"/>
          <w:b w:val="0"/>
          <w:caps w:val="0"/>
          <w:noProof/>
          <w:sz w:val="22"/>
          <w:szCs w:val="22"/>
        </w:rPr>
      </w:pPr>
      <w:hyperlink w:anchor="_Toc99187581" w:history="1">
        <w:r w:rsidR="00FA10DB" w:rsidRPr="00527AAA">
          <w:rPr>
            <w:rStyle w:val="Hyperlink"/>
            <w:noProof/>
          </w:rPr>
          <w:t>Section 3: Budgeted financial statements</w:t>
        </w:r>
        <w:r w:rsidR="00FA10DB">
          <w:rPr>
            <w:noProof/>
            <w:webHidden/>
          </w:rPr>
          <w:tab/>
        </w:r>
        <w:r w:rsidR="00FA10DB">
          <w:rPr>
            <w:noProof/>
            <w:webHidden/>
          </w:rPr>
          <w:fldChar w:fldCharType="begin"/>
        </w:r>
        <w:r w:rsidR="00FA10DB">
          <w:rPr>
            <w:noProof/>
            <w:webHidden/>
          </w:rPr>
          <w:instrText xml:space="preserve"> PAGEREF _Toc99187581 \h </w:instrText>
        </w:r>
        <w:r w:rsidR="00FA10DB">
          <w:rPr>
            <w:noProof/>
            <w:webHidden/>
          </w:rPr>
        </w:r>
        <w:r w:rsidR="00FA10DB">
          <w:rPr>
            <w:noProof/>
            <w:webHidden/>
          </w:rPr>
          <w:fldChar w:fldCharType="separate"/>
        </w:r>
        <w:r w:rsidR="00AC2929">
          <w:rPr>
            <w:noProof/>
            <w:webHidden/>
          </w:rPr>
          <w:t>264</w:t>
        </w:r>
        <w:r w:rsidR="00FA10DB">
          <w:rPr>
            <w:noProof/>
            <w:webHidden/>
          </w:rPr>
          <w:fldChar w:fldCharType="end"/>
        </w:r>
      </w:hyperlink>
    </w:p>
    <w:p w14:paraId="692390CA" w14:textId="77777777" w:rsidR="00FA10DB" w:rsidRDefault="00A76B91">
      <w:pPr>
        <w:pStyle w:val="TOC2"/>
        <w:tabs>
          <w:tab w:val="left" w:pos="800"/>
        </w:tabs>
        <w:rPr>
          <w:rFonts w:asciiTheme="minorHAnsi" w:eastAsiaTheme="minorEastAsia" w:hAnsiTheme="minorHAnsi" w:cstheme="minorBidi"/>
          <w:noProof/>
          <w:sz w:val="22"/>
          <w:szCs w:val="22"/>
        </w:rPr>
      </w:pPr>
      <w:hyperlink w:anchor="_Toc99187582" w:history="1">
        <w:r w:rsidR="00FA10DB" w:rsidRPr="00527AAA">
          <w:rPr>
            <w:rStyle w:val="Hyperlink"/>
            <w:noProof/>
          </w:rPr>
          <w:t>3.1</w:t>
        </w:r>
        <w:r w:rsidR="00FA10DB">
          <w:rPr>
            <w:rFonts w:asciiTheme="minorHAnsi" w:eastAsiaTheme="minorEastAsia" w:hAnsiTheme="minorHAnsi" w:cstheme="minorBidi"/>
            <w:noProof/>
            <w:sz w:val="22"/>
            <w:szCs w:val="22"/>
          </w:rPr>
          <w:tab/>
        </w:r>
        <w:r w:rsidR="00FA10DB" w:rsidRPr="00527AAA">
          <w:rPr>
            <w:rStyle w:val="Hyperlink"/>
            <w:noProof/>
          </w:rPr>
          <w:t>Budgeted financial statements</w:t>
        </w:r>
        <w:r w:rsidR="00FA10DB">
          <w:rPr>
            <w:noProof/>
            <w:webHidden/>
          </w:rPr>
          <w:tab/>
        </w:r>
        <w:r w:rsidR="00FA10DB">
          <w:rPr>
            <w:noProof/>
            <w:webHidden/>
          </w:rPr>
          <w:fldChar w:fldCharType="begin"/>
        </w:r>
        <w:r w:rsidR="00FA10DB">
          <w:rPr>
            <w:noProof/>
            <w:webHidden/>
          </w:rPr>
          <w:instrText xml:space="preserve"> PAGEREF _Toc99187582 \h </w:instrText>
        </w:r>
        <w:r w:rsidR="00FA10DB">
          <w:rPr>
            <w:noProof/>
            <w:webHidden/>
          </w:rPr>
        </w:r>
        <w:r w:rsidR="00FA10DB">
          <w:rPr>
            <w:noProof/>
            <w:webHidden/>
          </w:rPr>
          <w:fldChar w:fldCharType="separate"/>
        </w:r>
        <w:r w:rsidR="00AC2929">
          <w:rPr>
            <w:noProof/>
            <w:webHidden/>
          </w:rPr>
          <w:t>264</w:t>
        </w:r>
        <w:r w:rsidR="00FA10DB">
          <w:rPr>
            <w:noProof/>
            <w:webHidden/>
          </w:rPr>
          <w:fldChar w:fldCharType="end"/>
        </w:r>
      </w:hyperlink>
    </w:p>
    <w:p w14:paraId="14767751" w14:textId="77777777" w:rsidR="009F2A20" w:rsidRPr="00805A48" w:rsidRDefault="009F2A20" w:rsidP="009F2A20">
      <w:pPr>
        <w:pStyle w:val="TOC1"/>
      </w:pPr>
      <w:r w:rsidRPr="00805A48">
        <w:fldChar w:fldCharType="end"/>
      </w:r>
    </w:p>
    <w:p w14:paraId="1FCC216A" w14:textId="77777777" w:rsidR="009F2A20" w:rsidRPr="00805A48" w:rsidRDefault="009F2A20" w:rsidP="009F2A20"/>
    <w:p w14:paraId="752AA1D1" w14:textId="77777777" w:rsidR="009F2A20" w:rsidRDefault="009F2A20" w:rsidP="009F2A20"/>
    <w:p w14:paraId="7F8EC59C" w14:textId="77777777" w:rsidR="009F2A20" w:rsidRDefault="009F2A20" w:rsidP="009F2A20">
      <w:pPr>
        <w:spacing w:after="0" w:line="240" w:lineRule="auto"/>
        <w:jc w:val="left"/>
      </w:pPr>
      <w:r>
        <w:br w:type="page"/>
      </w:r>
    </w:p>
    <w:p w14:paraId="233FE716" w14:textId="77777777" w:rsidR="009F2A20" w:rsidRDefault="009F2A20" w:rsidP="009F2A20"/>
    <w:p w14:paraId="659102BE" w14:textId="77777777" w:rsidR="009F2A20" w:rsidRDefault="009F2A20" w:rsidP="009F2A20">
      <w:pPr>
        <w:spacing w:after="0" w:line="240" w:lineRule="auto"/>
        <w:jc w:val="left"/>
      </w:pPr>
      <w:r>
        <w:br w:type="page"/>
      </w:r>
    </w:p>
    <w:p w14:paraId="0723255E" w14:textId="77777777" w:rsidR="009F2A20" w:rsidRPr="00805A48" w:rsidRDefault="009F2A20" w:rsidP="009F2A20">
      <w:pPr>
        <w:sectPr w:rsidR="009F2A20" w:rsidRPr="00805A48" w:rsidSect="003A2B81">
          <w:type w:val="continuous"/>
          <w:pgSz w:w="11906" w:h="16838" w:code="9"/>
          <w:pgMar w:top="2835" w:right="2098" w:bottom="2466" w:left="2098" w:header="1814" w:footer="1814" w:gutter="0"/>
          <w:cols w:space="708"/>
          <w:titlePg/>
          <w:docGrid w:linePitch="360"/>
        </w:sectPr>
      </w:pPr>
    </w:p>
    <w:p w14:paraId="6A5D41AA" w14:textId="77777777" w:rsidR="009F2A20" w:rsidRPr="00805A48" w:rsidRDefault="009F2A20" w:rsidP="007375F1">
      <w:pPr>
        <w:pStyle w:val="Heading1"/>
      </w:pPr>
      <w:bookmarkStart w:id="716" w:name="_Toc99011810"/>
      <w:bookmarkStart w:id="717" w:name="_Toc99201059"/>
      <w:r w:rsidRPr="00805A48">
        <w:t>National Recovery and Resilience Agency</w:t>
      </w:r>
      <w:bookmarkEnd w:id="716"/>
      <w:bookmarkEnd w:id="717"/>
    </w:p>
    <w:p w14:paraId="16AD11A5" w14:textId="77777777" w:rsidR="009F2A20" w:rsidRPr="00805A48" w:rsidRDefault="009F2A20" w:rsidP="009F2A20">
      <w:pPr>
        <w:pStyle w:val="Heading2"/>
      </w:pPr>
      <w:bookmarkStart w:id="718" w:name="_Toc98932918"/>
      <w:bookmarkStart w:id="719" w:name="_Toc99008174"/>
      <w:bookmarkStart w:id="720" w:name="_Toc99009536"/>
      <w:bookmarkStart w:id="721" w:name="_Toc99010764"/>
      <w:bookmarkStart w:id="722" w:name="_Toc99013999"/>
      <w:bookmarkStart w:id="723" w:name="_Toc99187575"/>
      <w:bookmarkStart w:id="724" w:name="_Toc99269697"/>
      <w:r w:rsidRPr="00805A48">
        <w:t>Section 1: Entity overview and resources</w:t>
      </w:r>
      <w:bookmarkEnd w:id="718"/>
      <w:bookmarkEnd w:id="719"/>
      <w:bookmarkEnd w:id="720"/>
      <w:bookmarkEnd w:id="721"/>
      <w:bookmarkEnd w:id="722"/>
      <w:bookmarkEnd w:id="723"/>
      <w:bookmarkEnd w:id="724"/>
    </w:p>
    <w:p w14:paraId="088A963A" w14:textId="77777777" w:rsidR="009F2A20" w:rsidRPr="00805A48" w:rsidRDefault="009F2A20" w:rsidP="009F2A20">
      <w:pPr>
        <w:pStyle w:val="Heading3"/>
      </w:pPr>
      <w:bookmarkStart w:id="725" w:name="_Toc98932919"/>
      <w:bookmarkStart w:id="726" w:name="_Toc99008175"/>
      <w:bookmarkStart w:id="727" w:name="_Toc99009537"/>
      <w:bookmarkStart w:id="728" w:name="_Toc99010765"/>
      <w:bookmarkStart w:id="729" w:name="_Toc99014000"/>
      <w:bookmarkStart w:id="730" w:name="_Toc99187576"/>
      <w:bookmarkStart w:id="731" w:name="_Toc99269698"/>
      <w:r w:rsidRPr="00805A48">
        <w:t>1.1</w:t>
      </w:r>
      <w:r w:rsidRPr="00805A48">
        <w:tab/>
        <w:t>Strategic direction statement</w:t>
      </w:r>
      <w:bookmarkEnd w:id="725"/>
      <w:bookmarkEnd w:id="726"/>
      <w:bookmarkEnd w:id="727"/>
      <w:bookmarkEnd w:id="728"/>
      <w:bookmarkEnd w:id="729"/>
      <w:bookmarkEnd w:id="730"/>
      <w:bookmarkEnd w:id="731"/>
    </w:p>
    <w:p w14:paraId="47B1D3C9" w14:textId="77777777" w:rsidR="009F2A20" w:rsidRDefault="009F2A20" w:rsidP="009F2A20">
      <w:r w:rsidRPr="008C7E48">
        <w:t>The National Recovery and Resilience Agency (NRRA) provides national leadership and strategic coordination in the areas of disaster recovery, preparedness, resilience and risk reduction, informed by a locally led approach that assists individuals, businesses and communities recover from disasters and be better prepared in the future.</w:t>
      </w:r>
    </w:p>
    <w:p w14:paraId="0C16A003" w14:textId="77777777" w:rsidR="009F2A20" w:rsidRPr="008C7E48" w:rsidRDefault="009F2A20" w:rsidP="00184B3B">
      <w:r>
        <w:t>Through the work of the NRRA, the Australian Government is</w:t>
      </w:r>
      <w:r w:rsidRPr="009E4067">
        <w:t xml:space="preserve"> </w:t>
      </w:r>
      <w:r>
        <w:t>continuing to action</w:t>
      </w:r>
      <w:r w:rsidRPr="009E4067">
        <w:t xml:space="preserve"> the Royal </w:t>
      </w:r>
      <w:r w:rsidR="0056170C">
        <w:t xml:space="preserve">Commission’s </w:t>
      </w:r>
      <w:r w:rsidRPr="009E4067">
        <w:t>recommendations as soon as possible, while also seeking opportunities to support, enhance</w:t>
      </w:r>
      <w:r w:rsidR="0056170C">
        <w:t>,</w:t>
      </w:r>
      <w:r w:rsidRPr="009E4067">
        <w:t xml:space="preserve"> and complement state and territory </w:t>
      </w:r>
      <w:r>
        <w:t xml:space="preserve">disaster management </w:t>
      </w:r>
      <w:r w:rsidRPr="009E4067">
        <w:t>arrangements.</w:t>
      </w:r>
    </w:p>
    <w:p w14:paraId="5B054C55" w14:textId="77777777" w:rsidR="009F2A20" w:rsidRPr="008C7E48" w:rsidRDefault="009F2A20" w:rsidP="00184B3B">
      <w:r w:rsidRPr="008C7E48">
        <w:t>The NRRA’s locally led approach is underpinned by a network of regional Recovery Support Officers, who live and work in communities ac</w:t>
      </w:r>
      <w:r w:rsidR="00184B3B">
        <w:t>ross Australia. By being on</w:t>
      </w:r>
      <w:r w:rsidR="00184B3B">
        <w:noBreakHyphen/>
        <w:t>the</w:t>
      </w:r>
      <w:r w:rsidR="00184B3B">
        <w:noBreakHyphen/>
      </w:r>
      <w:r w:rsidRPr="008C7E48">
        <w:t xml:space="preserve">ground with the affected communities to deliver assistance and support, the NRRA can better advise </w:t>
      </w:r>
      <w:r w:rsidR="00184B3B">
        <w:t xml:space="preserve">the </w:t>
      </w:r>
      <w:r w:rsidRPr="008C7E48">
        <w:t>Government on how existing and new policies and programs can best contribute to the recovery, risk reduction and preparedness efforts.</w:t>
      </w:r>
    </w:p>
    <w:p w14:paraId="754E5063" w14:textId="77777777" w:rsidR="009F2A20" w:rsidRPr="008C7E48" w:rsidRDefault="009F2A20" w:rsidP="00184B3B">
      <w:pPr>
        <w:rPr>
          <w:b/>
        </w:rPr>
      </w:pPr>
      <w:r w:rsidRPr="008C7E48">
        <w:t xml:space="preserve"> The NRRA advocates for transformative change across the Australian Government’s disaster risk management continuum by providing guidance and supporting best practice activities, aiming to embed </w:t>
      </w:r>
      <w:r>
        <w:t>strengthened risk reduction and preparedness</w:t>
      </w:r>
      <w:r w:rsidRPr="008C7E48">
        <w:t xml:space="preserve"> into governance arrangements, policies, programs and practices. </w:t>
      </w:r>
    </w:p>
    <w:p w14:paraId="586EDB4D" w14:textId="77777777" w:rsidR="009F2A20" w:rsidRPr="008C7E48" w:rsidRDefault="009F2A20" w:rsidP="00184B3B">
      <w:r w:rsidRPr="008C7E48">
        <w:t xml:space="preserve">The </w:t>
      </w:r>
      <w:r w:rsidR="00184B3B">
        <w:t>NRRA</w:t>
      </w:r>
      <w:r w:rsidRPr="008C7E48">
        <w:t xml:space="preserve"> works collaboratively with all levels of government, third parties and communities to identify and design appropriate and effective mechanisms for recovery and long-term strategies to enable communities to be better positioned to respond to future disasters. </w:t>
      </w:r>
    </w:p>
    <w:p w14:paraId="2FE00432" w14:textId="77777777" w:rsidR="009F2A20" w:rsidRPr="008C7E48" w:rsidRDefault="009F2A20" w:rsidP="00184B3B">
      <w:r w:rsidRPr="008C7E48">
        <w:t>The NRRA collaborates with stakeholders to create and promote greater access to data to assist Australian communities in disaster recovery and preparedness, such as the Agency’s Online Recovery Map and Recovery Connect that provides localised data to individuals, communities and government. Data sharing is crucial to support the understanding of disasters and identify opportunities to increase resilience.</w:t>
      </w:r>
    </w:p>
    <w:p w14:paraId="400DC93B" w14:textId="77777777" w:rsidR="009F2A20" w:rsidRPr="008E12C0" w:rsidRDefault="009F2A20" w:rsidP="009F2A20">
      <w:r w:rsidRPr="008E12C0">
        <w:t xml:space="preserve">Following the devastating floods that impacted New South Wales and Queensland in February and March 2022, the </w:t>
      </w:r>
      <w:r w:rsidR="00184B3B">
        <w:t>NRRA</w:t>
      </w:r>
      <w:r w:rsidRPr="008E12C0">
        <w:t xml:space="preserve"> </w:t>
      </w:r>
      <w:r>
        <w:t>initiated and progressed</w:t>
      </w:r>
      <w:r w:rsidRPr="008E12C0">
        <w:t xml:space="preserve"> a number of recovery in</w:t>
      </w:r>
      <w:r w:rsidR="00184B3B">
        <w:t>itiatives. Where possible, the a</w:t>
      </w:r>
      <w:r w:rsidRPr="008E12C0">
        <w:t xml:space="preserve">gency will look to improve resilience outcomes embedded within these programs, to better prepare affected communities for the future. </w:t>
      </w:r>
    </w:p>
    <w:p w14:paraId="6BEDB8D1" w14:textId="77777777" w:rsidR="009F2A20" w:rsidRPr="008E12C0" w:rsidRDefault="009F2A20" w:rsidP="009F2A20">
      <w:r w:rsidRPr="008E12C0">
        <w:br w:type="page"/>
      </w:r>
    </w:p>
    <w:p w14:paraId="19D828B5" w14:textId="77777777" w:rsidR="009F2A20" w:rsidRPr="00545E8C" w:rsidRDefault="009F2A20" w:rsidP="009F2A20">
      <w:pPr>
        <w:spacing w:after="120"/>
      </w:pPr>
      <w:r w:rsidRPr="00545E8C">
        <w:t>These new initiatives include:</w:t>
      </w:r>
    </w:p>
    <w:p w14:paraId="149E681F" w14:textId="77777777" w:rsidR="009F2A20" w:rsidRPr="00545E8C" w:rsidRDefault="009F2A20" w:rsidP="00392A48">
      <w:pPr>
        <w:pStyle w:val="ListParagraph"/>
        <w:numPr>
          <w:ilvl w:val="0"/>
          <w:numId w:val="84"/>
        </w:numPr>
        <w:jc w:val="both"/>
        <w:rPr>
          <w:rFonts w:ascii="Book Antiqua" w:hAnsi="Book Antiqua"/>
          <w:sz w:val="20"/>
          <w:szCs w:val="20"/>
        </w:rPr>
      </w:pPr>
      <w:r>
        <w:rPr>
          <w:rFonts w:ascii="Book Antiqua" w:hAnsi="Book Antiqua"/>
          <w:sz w:val="20"/>
          <w:szCs w:val="20"/>
        </w:rPr>
        <w:t>I</w:t>
      </w:r>
      <w:r w:rsidRPr="0063607C">
        <w:rPr>
          <w:rFonts w:ascii="Book Antiqua" w:hAnsi="Book Antiqua"/>
          <w:sz w:val="20"/>
          <w:szCs w:val="20"/>
        </w:rPr>
        <w:t>n conjunction with the Commonwealth Scientific and In</w:t>
      </w:r>
      <w:r w:rsidR="00184B3B">
        <w:rPr>
          <w:rFonts w:ascii="Book Antiqua" w:hAnsi="Book Antiqua"/>
          <w:sz w:val="20"/>
          <w:szCs w:val="20"/>
        </w:rPr>
        <w:t>dustrial Research Organisation</w:t>
      </w:r>
      <w:r w:rsidRPr="0063607C">
        <w:rPr>
          <w:rFonts w:ascii="Book Antiqua" w:hAnsi="Book Antiqua"/>
          <w:sz w:val="20"/>
          <w:szCs w:val="20"/>
        </w:rPr>
        <w:t xml:space="preserve">, deliver the </w:t>
      </w:r>
      <w:r w:rsidRPr="00184B3B">
        <w:rPr>
          <w:rFonts w:ascii="Book Antiqua" w:hAnsi="Book Antiqua"/>
          <w:sz w:val="20"/>
          <w:szCs w:val="20"/>
        </w:rPr>
        <w:t>Floods Package - Northern Rivers Resilience Initiative</w:t>
      </w:r>
      <w:r w:rsidRPr="0063607C">
        <w:rPr>
          <w:rFonts w:ascii="Book Antiqua" w:hAnsi="Book Antiqua"/>
          <w:sz w:val="20"/>
          <w:szCs w:val="20"/>
        </w:rPr>
        <w:t xml:space="preserve"> to inform the identification of options and opportunities for mitigating risks</w:t>
      </w:r>
      <w:r>
        <w:rPr>
          <w:rFonts w:ascii="Book Antiqua" w:hAnsi="Book Antiqua"/>
          <w:sz w:val="20"/>
          <w:szCs w:val="20"/>
        </w:rPr>
        <w:t>, incorporating local experience to develop solutions to support recovery activities and strengthen resilience for future disasters</w:t>
      </w:r>
      <w:r w:rsidRPr="0063607C">
        <w:rPr>
          <w:rFonts w:ascii="Book Antiqua" w:hAnsi="Book Antiqua"/>
          <w:sz w:val="20"/>
          <w:szCs w:val="20"/>
        </w:rPr>
        <w:t xml:space="preserve"> in the Northern Rivers region.</w:t>
      </w:r>
    </w:p>
    <w:p w14:paraId="1C0D21DD" w14:textId="77777777" w:rsidR="009F2A20" w:rsidRPr="0063607C" w:rsidRDefault="009F2A20" w:rsidP="00392A48">
      <w:pPr>
        <w:pStyle w:val="ListParagraph"/>
        <w:numPr>
          <w:ilvl w:val="0"/>
          <w:numId w:val="84"/>
        </w:numPr>
        <w:jc w:val="both"/>
        <w:rPr>
          <w:rFonts w:ascii="Book Antiqua" w:hAnsi="Book Antiqua"/>
          <w:sz w:val="20"/>
          <w:szCs w:val="20"/>
        </w:rPr>
      </w:pPr>
      <w:r w:rsidRPr="0063607C">
        <w:rPr>
          <w:rFonts w:ascii="Book Antiqua" w:hAnsi="Book Antiqua"/>
          <w:sz w:val="20"/>
          <w:szCs w:val="20"/>
        </w:rPr>
        <w:t>Accessing the recovery and post-disaster resilience component of the Emergency Response Fund to support activities in affected communities in both 2021-22 and 2022-23, with the funding in 2022-23 informed by the Floods Package - Northern Rivers Resilience Initiative.</w:t>
      </w:r>
    </w:p>
    <w:p w14:paraId="3ED8E264" w14:textId="77777777" w:rsidR="009F2A20" w:rsidRPr="00545E8C" w:rsidRDefault="009F2A20" w:rsidP="00392A48">
      <w:pPr>
        <w:pStyle w:val="ListParagraph"/>
        <w:numPr>
          <w:ilvl w:val="0"/>
          <w:numId w:val="84"/>
        </w:numPr>
        <w:jc w:val="both"/>
        <w:rPr>
          <w:rFonts w:ascii="Book Antiqua" w:hAnsi="Book Antiqua"/>
          <w:sz w:val="20"/>
          <w:szCs w:val="20"/>
        </w:rPr>
      </w:pPr>
      <w:r w:rsidRPr="00545E8C">
        <w:rPr>
          <w:rFonts w:ascii="Book Antiqua" w:hAnsi="Book Antiqua"/>
          <w:sz w:val="20"/>
          <w:szCs w:val="20"/>
        </w:rPr>
        <w:t xml:space="preserve">Work with </w:t>
      </w:r>
      <w:r w:rsidR="00184B3B">
        <w:rPr>
          <w:rFonts w:ascii="Book Antiqua" w:hAnsi="Book Antiqua"/>
          <w:sz w:val="20"/>
          <w:szCs w:val="20"/>
        </w:rPr>
        <w:t>the Commonwealth</w:t>
      </w:r>
      <w:r w:rsidRPr="00545E8C">
        <w:rPr>
          <w:rFonts w:ascii="Book Antiqua" w:hAnsi="Book Antiqua"/>
          <w:sz w:val="20"/>
          <w:szCs w:val="20"/>
        </w:rPr>
        <w:t xml:space="preserve"> Government</w:t>
      </w:r>
      <w:r w:rsidR="00184B3B">
        <w:rPr>
          <w:rFonts w:ascii="Book Antiqua" w:hAnsi="Book Antiqua"/>
          <w:sz w:val="20"/>
          <w:szCs w:val="20"/>
        </w:rPr>
        <w:t>,</w:t>
      </w:r>
      <w:r w:rsidRPr="00545E8C">
        <w:rPr>
          <w:rFonts w:ascii="Book Antiqua" w:hAnsi="Book Antiqua"/>
          <w:sz w:val="20"/>
          <w:szCs w:val="20"/>
        </w:rPr>
        <w:t xml:space="preserve"> the Queensland and New South</w:t>
      </w:r>
      <w:r w:rsidR="00184B3B">
        <w:rPr>
          <w:rFonts w:ascii="Book Antiqua" w:hAnsi="Book Antiqua"/>
          <w:sz w:val="20"/>
          <w:szCs w:val="20"/>
        </w:rPr>
        <w:t xml:space="preserve"> Wales state g</w:t>
      </w:r>
      <w:r w:rsidRPr="00545E8C">
        <w:rPr>
          <w:rFonts w:ascii="Book Antiqua" w:hAnsi="Book Antiqua"/>
          <w:sz w:val="20"/>
          <w:szCs w:val="20"/>
        </w:rPr>
        <w:t>overnments to develop and implement assistance packages under the Disaster Recovery Funding Arrangements.</w:t>
      </w:r>
    </w:p>
    <w:p w14:paraId="2171FEA1" w14:textId="77777777" w:rsidR="009F2A20" w:rsidRPr="00AD6313" w:rsidRDefault="009F2A20" w:rsidP="009F2A20">
      <w:pPr>
        <w:spacing w:after="120"/>
      </w:pPr>
      <w:r w:rsidRPr="00AD6313">
        <w:t xml:space="preserve">These activities will not be at the detriment to </w:t>
      </w:r>
      <w:r>
        <w:t>existing disaster recovery, risk reduction and preparedness activities, with the NRRA</w:t>
      </w:r>
      <w:r w:rsidRPr="00AD6313">
        <w:t xml:space="preserve"> continu</w:t>
      </w:r>
      <w:r>
        <w:t>ing</w:t>
      </w:r>
      <w:r w:rsidRPr="00AD6313">
        <w:t xml:space="preserve"> to deliver a range of existing programs including:</w:t>
      </w:r>
    </w:p>
    <w:p w14:paraId="2D423A56" w14:textId="77777777" w:rsidR="009F2A20" w:rsidRDefault="00787C44" w:rsidP="00392A48">
      <w:pPr>
        <w:pStyle w:val="ListParagraph"/>
        <w:numPr>
          <w:ilvl w:val="0"/>
          <w:numId w:val="84"/>
        </w:numPr>
        <w:rPr>
          <w:rFonts w:ascii="Book Antiqua" w:hAnsi="Book Antiqua"/>
          <w:sz w:val="20"/>
          <w:szCs w:val="20"/>
        </w:rPr>
      </w:pPr>
      <w:r>
        <w:rPr>
          <w:rFonts w:ascii="Book Antiqua" w:hAnsi="Book Antiqua"/>
          <w:sz w:val="20"/>
          <w:szCs w:val="20"/>
        </w:rPr>
        <w:t>t</w:t>
      </w:r>
      <w:r w:rsidR="009F2A20" w:rsidRPr="00AD6313">
        <w:rPr>
          <w:rFonts w:ascii="Book Antiqua" w:hAnsi="Book Antiqua"/>
          <w:sz w:val="20"/>
          <w:szCs w:val="20"/>
        </w:rPr>
        <w:t>he Preparing Australia Program</w:t>
      </w:r>
      <w:r w:rsidR="008A1390">
        <w:rPr>
          <w:rFonts w:ascii="Book Antiqua" w:hAnsi="Book Antiqua"/>
          <w:sz w:val="20"/>
          <w:szCs w:val="20"/>
        </w:rPr>
        <w:t>,</w:t>
      </w:r>
    </w:p>
    <w:p w14:paraId="60C4B288" w14:textId="77777777" w:rsidR="009F2A20" w:rsidRDefault="00787C44" w:rsidP="00392A48">
      <w:pPr>
        <w:pStyle w:val="ListParagraph"/>
        <w:numPr>
          <w:ilvl w:val="0"/>
          <w:numId w:val="84"/>
        </w:numPr>
        <w:rPr>
          <w:rFonts w:ascii="Book Antiqua" w:hAnsi="Book Antiqua"/>
          <w:sz w:val="20"/>
          <w:szCs w:val="20"/>
        </w:rPr>
      </w:pPr>
      <w:r>
        <w:rPr>
          <w:rFonts w:ascii="Book Antiqua" w:hAnsi="Book Antiqua"/>
          <w:sz w:val="20"/>
          <w:szCs w:val="20"/>
        </w:rPr>
        <w:t>t</w:t>
      </w:r>
      <w:r w:rsidR="009F2A20">
        <w:rPr>
          <w:rFonts w:ascii="Book Antiqua" w:hAnsi="Book Antiqua"/>
          <w:sz w:val="20"/>
          <w:szCs w:val="20"/>
        </w:rPr>
        <w:t>he North Queensland Strata</w:t>
      </w:r>
      <w:r w:rsidR="008A1390">
        <w:rPr>
          <w:rFonts w:ascii="Book Antiqua" w:hAnsi="Book Antiqua"/>
          <w:sz w:val="20"/>
          <w:szCs w:val="20"/>
        </w:rPr>
        <w:t xml:space="preserve"> Title Resilience Pilot Program,</w:t>
      </w:r>
    </w:p>
    <w:p w14:paraId="7501FB92" w14:textId="77777777" w:rsidR="009F2A20" w:rsidRDefault="00787C44" w:rsidP="00392A48">
      <w:pPr>
        <w:pStyle w:val="ListParagraph"/>
        <w:numPr>
          <w:ilvl w:val="0"/>
          <w:numId w:val="84"/>
        </w:numPr>
        <w:rPr>
          <w:rFonts w:ascii="Book Antiqua" w:hAnsi="Book Antiqua"/>
          <w:sz w:val="20"/>
          <w:szCs w:val="20"/>
        </w:rPr>
      </w:pPr>
      <w:r>
        <w:rPr>
          <w:rFonts w:ascii="Book Antiqua" w:hAnsi="Book Antiqua"/>
          <w:sz w:val="20"/>
          <w:szCs w:val="20"/>
        </w:rPr>
        <w:t>t</w:t>
      </w:r>
      <w:r w:rsidR="009F2A20">
        <w:rPr>
          <w:rFonts w:ascii="Book Antiqua" w:hAnsi="Book Antiqua"/>
          <w:sz w:val="20"/>
          <w:szCs w:val="20"/>
        </w:rPr>
        <w:t xml:space="preserve">he </w:t>
      </w:r>
      <w:r w:rsidR="009F2A20" w:rsidRPr="00AD6313">
        <w:rPr>
          <w:rFonts w:ascii="Book Antiqua" w:hAnsi="Book Antiqua"/>
          <w:sz w:val="20"/>
          <w:szCs w:val="20"/>
        </w:rPr>
        <w:t>Black Summer Bushfire Recovery Grants Program</w:t>
      </w:r>
      <w:r w:rsidR="009F2A20">
        <w:rPr>
          <w:rFonts w:ascii="Book Antiqua" w:hAnsi="Book Antiqua"/>
          <w:sz w:val="20"/>
          <w:szCs w:val="20"/>
        </w:rPr>
        <w:t xml:space="preserve">, including additional funding announced by </w:t>
      </w:r>
      <w:r w:rsidR="008A1390">
        <w:rPr>
          <w:rFonts w:ascii="Book Antiqua" w:hAnsi="Book Antiqua"/>
          <w:sz w:val="20"/>
          <w:szCs w:val="20"/>
        </w:rPr>
        <w:t>the Government in February 2022,</w:t>
      </w:r>
    </w:p>
    <w:p w14:paraId="681D0D04" w14:textId="77777777" w:rsidR="009F2A20" w:rsidRDefault="00787C44" w:rsidP="00392A48">
      <w:pPr>
        <w:pStyle w:val="ListParagraph"/>
        <w:numPr>
          <w:ilvl w:val="0"/>
          <w:numId w:val="84"/>
        </w:numPr>
        <w:rPr>
          <w:rFonts w:ascii="Book Antiqua" w:hAnsi="Book Antiqua"/>
          <w:sz w:val="20"/>
          <w:szCs w:val="20"/>
        </w:rPr>
      </w:pPr>
      <w:r>
        <w:rPr>
          <w:rFonts w:ascii="Book Antiqua" w:hAnsi="Book Antiqua"/>
          <w:sz w:val="20"/>
          <w:szCs w:val="20"/>
        </w:rPr>
        <w:t>t</w:t>
      </w:r>
      <w:r w:rsidR="00184B3B">
        <w:rPr>
          <w:rFonts w:ascii="Book Antiqua" w:hAnsi="Book Antiqua"/>
          <w:sz w:val="20"/>
          <w:szCs w:val="20"/>
        </w:rPr>
        <w:t xml:space="preserve">he </w:t>
      </w:r>
      <w:r w:rsidR="009F2A20" w:rsidRPr="00AD6313">
        <w:rPr>
          <w:rFonts w:ascii="Book Antiqua" w:hAnsi="Book Antiqua"/>
          <w:sz w:val="20"/>
          <w:szCs w:val="20"/>
        </w:rPr>
        <w:t>Coastal and Estuaries Risk Mitigation and Preparedness</w:t>
      </w:r>
      <w:r w:rsidR="009F2A20">
        <w:rPr>
          <w:rFonts w:ascii="Book Antiqua" w:hAnsi="Book Antiqua"/>
          <w:sz w:val="20"/>
          <w:szCs w:val="20"/>
        </w:rPr>
        <w:t xml:space="preserve"> Program, building on the National Flood Mitigation Infrastructure Program, funded using the pre-disaster resilience component</w:t>
      </w:r>
      <w:r>
        <w:rPr>
          <w:rFonts w:ascii="Book Antiqua" w:hAnsi="Book Antiqua"/>
          <w:sz w:val="20"/>
          <w:szCs w:val="20"/>
        </w:rPr>
        <w:t xml:space="preserve"> of the Emergency Response Fund, and</w:t>
      </w:r>
    </w:p>
    <w:p w14:paraId="3D8951C2" w14:textId="77777777" w:rsidR="009F2A20" w:rsidRDefault="00787C44" w:rsidP="00392A48">
      <w:pPr>
        <w:pStyle w:val="ListParagraph"/>
        <w:numPr>
          <w:ilvl w:val="0"/>
          <w:numId w:val="84"/>
        </w:numPr>
        <w:rPr>
          <w:rFonts w:ascii="Book Antiqua" w:hAnsi="Book Antiqua"/>
          <w:sz w:val="20"/>
          <w:szCs w:val="20"/>
        </w:rPr>
      </w:pPr>
      <w:r>
        <w:rPr>
          <w:rFonts w:ascii="Book Antiqua" w:hAnsi="Book Antiqua"/>
          <w:sz w:val="20"/>
          <w:szCs w:val="20"/>
        </w:rPr>
        <w:t>t</w:t>
      </w:r>
      <w:r w:rsidR="009F2A20">
        <w:rPr>
          <w:rFonts w:ascii="Book Antiqua" w:hAnsi="Book Antiqua"/>
          <w:sz w:val="20"/>
          <w:szCs w:val="20"/>
        </w:rPr>
        <w:t>he Rural Financial Counselling Program, including an extension of the Regional Small Business Support Program Pilot in areas affected by the Queensland and New South Wales flood disaster event.</w:t>
      </w:r>
    </w:p>
    <w:p w14:paraId="58124A41" w14:textId="77777777" w:rsidR="009F2A20" w:rsidRPr="001D052A" w:rsidRDefault="009F2A20" w:rsidP="009F2A20">
      <w:pPr>
        <w:rPr>
          <w:highlight w:val="yellow"/>
        </w:rPr>
      </w:pPr>
    </w:p>
    <w:p w14:paraId="50B78417" w14:textId="77777777" w:rsidR="009F2A20" w:rsidRPr="001D052A" w:rsidRDefault="009F2A20" w:rsidP="009F2A20">
      <w:pPr>
        <w:spacing w:after="0" w:line="240" w:lineRule="auto"/>
        <w:jc w:val="left"/>
        <w:rPr>
          <w:rFonts w:ascii="Arial Bold" w:hAnsi="Arial Bold"/>
          <w:b/>
          <w:highlight w:val="yellow"/>
        </w:rPr>
      </w:pPr>
      <w:r w:rsidRPr="001D052A">
        <w:rPr>
          <w:rFonts w:ascii="Arial Bold" w:hAnsi="Arial Bold"/>
          <w:b/>
          <w:highlight w:val="yellow"/>
        </w:rPr>
        <w:br w:type="page"/>
      </w:r>
    </w:p>
    <w:p w14:paraId="2B535673" w14:textId="77777777" w:rsidR="009F2A20" w:rsidRPr="00805A48" w:rsidRDefault="009F2A20" w:rsidP="009F2A20">
      <w:pPr>
        <w:pStyle w:val="Heading3"/>
      </w:pPr>
      <w:bookmarkStart w:id="732" w:name="_Toc98932920"/>
      <w:bookmarkStart w:id="733" w:name="_Toc99008176"/>
      <w:bookmarkStart w:id="734" w:name="_Toc99009538"/>
      <w:bookmarkStart w:id="735" w:name="_Toc99010766"/>
      <w:bookmarkStart w:id="736" w:name="_Toc99014001"/>
      <w:bookmarkStart w:id="737" w:name="_Toc99187577"/>
      <w:bookmarkStart w:id="738" w:name="_Toc99269699"/>
      <w:r w:rsidRPr="00805A48">
        <w:t>1.2</w:t>
      </w:r>
      <w:r w:rsidRPr="00805A48">
        <w:tab/>
        <w:t>Entity resource statement</w:t>
      </w:r>
      <w:bookmarkEnd w:id="732"/>
      <w:bookmarkEnd w:id="733"/>
      <w:bookmarkEnd w:id="734"/>
      <w:bookmarkEnd w:id="735"/>
      <w:bookmarkEnd w:id="736"/>
      <w:bookmarkEnd w:id="737"/>
      <w:bookmarkEnd w:id="738"/>
    </w:p>
    <w:p w14:paraId="3728496D" w14:textId="77777777" w:rsidR="009F2A20" w:rsidRPr="00F8516C" w:rsidRDefault="009F2A20" w:rsidP="009F2A20">
      <w:r w:rsidRPr="00F8516C">
        <w:t xml:space="preserve">Table 1.1 shows the total funding from all sources available to the </w:t>
      </w:r>
      <w:r w:rsidR="00307E25">
        <w:t>NRRA</w:t>
      </w:r>
      <w:r w:rsidRPr="00F8516C">
        <w:t xml:space="preserve"> for its operations and to deliver programs and services on behalf of the Government.</w:t>
      </w:r>
    </w:p>
    <w:p w14:paraId="1F95B7A9" w14:textId="77777777" w:rsidR="009F2A20" w:rsidRPr="00F8516C" w:rsidRDefault="009F2A20" w:rsidP="009F2A20">
      <w:r w:rsidRPr="00F8516C">
        <w:t>The table summarises how resources will be applied by outcome (government strategic policy objectives) and by administered (on behalf of the Government or the public) and departmental (for the entity’s operations) classification.</w:t>
      </w:r>
    </w:p>
    <w:p w14:paraId="4DB398CC" w14:textId="77777777" w:rsidR="009F2A20" w:rsidRPr="00F8516C" w:rsidRDefault="009F2A20" w:rsidP="009F2A20">
      <w:r w:rsidRPr="00F8516C">
        <w:t xml:space="preserve">For more detailed information on special accounts and special appropriations, please refer to </w:t>
      </w:r>
      <w:r w:rsidRPr="00184B3B">
        <w:t>Budget Paper No. 4 – Agency Resourcing</w:t>
      </w:r>
      <w:r w:rsidRPr="00F8516C">
        <w:t>.</w:t>
      </w:r>
    </w:p>
    <w:p w14:paraId="7DF9B21B" w14:textId="77777777" w:rsidR="009F2A20" w:rsidRPr="00F8516C" w:rsidRDefault="009F2A20" w:rsidP="009F2A20">
      <w:r w:rsidRPr="00F8516C">
        <w:t xml:space="preserve">Information in this table is presented on a resourcing (that is, appropriations/cash available) basis, </w:t>
      </w:r>
      <w:r w:rsidR="008A1390">
        <w:t>while</w:t>
      </w:r>
      <w:r w:rsidRPr="00F8516C">
        <w:t xml:space="preserve"> the ‘Budgeted expenses by Outcome 1’ tables in Section 2 and the financial statements in Section 3 are presented on an accrual basis.</w:t>
      </w:r>
    </w:p>
    <w:p w14:paraId="6F32BA81" w14:textId="77777777" w:rsidR="009F2A20" w:rsidRPr="00F8516C" w:rsidRDefault="009F2A20" w:rsidP="009F2A20">
      <w:pPr>
        <w:pStyle w:val="TableHeading"/>
      </w:pPr>
      <w:r w:rsidRPr="00F8516C">
        <w:br w:type="page"/>
      </w:r>
    </w:p>
    <w:p w14:paraId="0829DB15" w14:textId="77777777" w:rsidR="008A1390" w:rsidRPr="00F8516C" w:rsidRDefault="009F2A20" w:rsidP="008A1390">
      <w:pPr>
        <w:pStyle w:val="TableGraphic"/>
        <w:jc w:val="left"/>
      </w:pPr>
      <w:r w:rsidRPr="00805A48">
        <w:rPr>
          <w:rFonts w:ascii="Arial Bold" w:hAnsi="Arial Bold"/>
          <w:b/>
        </w:rPr>
        <w:t>Table 1.1: NRRA resource statement — Budget estimates for 2022-23 as at Budget March 2022</w:t>
      </w:r>
    </w:p>
    <w:p w14:paraId="48C65D9D" w14:textId="77777777" w:rsidR="008A1390" w:rsidRDefault="00BD2D36" w:rsidP="003A7742">
      <w:pPr>
        <w:pStyle w:val="ChartandTableFootnote"/>
      </w:pPr>
      <w:r w:rsidRPr="00BD2D36">
        <w:rPr>
          <w:noProof/>
          <w:lang w:val="en-AU" w:eastAsia="en-AU"/>
        </w:rPr>
        <w:drawing>
          <wp:inline distT="0" distB="0" distL="0" distR="0" wp14:anchorId="560D3BFF" wp14:editId="54C376A2">
            <wp:extent cx="4890770" cy="3700145"/>
            <wp:effectExtent l="0" t="0" r="508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890770" cy="3700145"/>
                    </a:xfrm>
                    <a:prstGeom prst="rect">
                      <a:avLst/>
                    </a:prstGeom>
                    <a:noFill/>
                    <a:ln>
                      <a:noFill/>
                    </a:ln>
                  </pic:spPr>
                </pic:pic>
              </a:graphicData>
            </a:graphic>
          </wp:inline>
        </w:drawing>
      </w:r>
      <w:r w:rsidR="008A1390">
        <w:t>Prepared on a resourcing (i.e. appropriations available) basis.</w:t>
      </w:r>
      <w:r w:rsidR="008A1390">
        <w:tab/>
      </w:r>
    </w:p>
    <w:p w14:paraId="7D023795" w14:textId="77777777" w:rsidR="003A7742" w:rsidRPr="003A7742" w:rsidRDefault="003A7742" w:rsidP="003A7742">
      <w:pPr>
        <w:pStyle w:val="NoSpacing"/>
        <w:numPr>
          <w:ilvl w:val="0"/>
          <w:numId w:val="151"/>
        </w:numPr>
        <w:rPr>
          <w:rFonts w:ascii="Arial" w:hAnsi="Arial" w:cs="Arial"/>
          <w:sz w:val="16"/>
        </w:rPr>
      </w:pPr>
      <w:r w:rsidRPr="003A7742">
        <w:rPr>
          <w:rFonts w:ascii="Arial" w:hAnsi="Arial" w:cs="Arial"/>
          <w:sz w:val="16"/>
        </w:rPr>
        <w:t>Annual appropriation amounts appearing for the 2021-22 estimated actuals exclude amounts in Appropriation Bill (No. 3) 2021-22 which is yet to receive Royal Assent.</w:t>
      </w:r>
      <w:r w:rsidRPr="003A7742">
        <w:rPr>
          <w:rFonts w:ascii="Arial" w:hAnsi="Arial" w:cs="Arial"/>
          <w:sz w:val="16"/>
        </w:rPr>
        <w:tab/>
      </w:r>
    </w:p>
    <w:p w14:paraId="591B5061" w14:textId="77777777" w:rsidR="003A7742" w:rsidRPr="003A7742" w:rsidRDefault="003A7742" w:rsidP="003A7742">
      <w:pPr>
        <w:pStyle w:val="NoSpacing"/>
        <w:numPr>
          <w:ilvl w:val="0"/>
          <w:numId w:val="151"/>
        </w:numPr>
        <w:rPr>
          <w:rFonts w:ascii="Arial" w:hAnsi="Arial" w:cs="Arial"/>
          <w:sz w:val="16"/>
        </w:rPr>
      </w:pPr>
      <w:r w:rsidRPr="003A7742">
        <w:rPr>
          <w:rFonts w:ascii="Arial" w:hAnsi="Arial" w:cs="Arial"/>
          <w:sz w:val="16"/>
        </w:rPr>
        <w:t>Excludes departmental capital budget (DCB).</w:t>
      </w:r>
      <w:r w:rsidRPr="003A7742">
        <w:rPr>
          <w:rFonts w:ascii="Arial" w:hAnsi="Arial" w:cs="Arial"/>
          <w:sz w:val="16"/>
        </w:rPr>
        <w:tab/>
      </w:r>
      <w:r w:rsidRPr="003A7742">
        <w:rPr>
          <w:rFonts w:ascii="Arial" w:hAnsi="Arial" w:cs="Arial"/>
          <w:sz w:val="16"/>
        </w:rPr>
        <w:tab/>
      </w:r>
      <w:r w:rsidRPr="003A7742">
        <w:rPr>
          <w:rFonts w:ascii="Arial" w:hAnsi="Arial" w:cs="Arial"/>
          <w:sz w:val="16"/>
        </w:rPr>
        <w:tab/>
      </w:r>
      <w:r w:rsidRPr="003A7742">
        <w:rPr>
          <w:rFonts w:ascii="Arial" w:hAnsi="Arial" w:cs="Arial"/>
          <w:sz w:val="16"/>
        </w:rPr>
        <w:tab/>
      </w:r>
    </w:p>
    <w:p w14:paraId="07E77FD2" w14:textId="77777777" w:rsidR="003A7742" w:rsidRDefault="003A7742" w:rsidP="003A7742">
      <w:pPr>
        <w:pStyle w:val="NoSpacing"/>
        <w:numPr>
          <w:ilvl w:val="0"/>
          <w:numId w:val="151"/>
        </w:numPr>
        <w:rPr>
          <w:rFonts w:ascii="Arial" w:hAnsi="Arial" w:cs="Arial"/>
          <w:sz w:val="16"/>
        </w:rPr>
      </w:pPr>
      <w:r w:rsidRPr="003A7742">
        <w:rPr>
          <w:rFonts w:ascii="Arial" w:hAnsi="Arial" w:cs="Arial"/>
          <w:sz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r w:rsidRPr="003A7742">
        <w:rPr>
          <w:rFonts w:ascii="Arial" w:hAnsi="Arial" w:cs="Arial"/>
          <w:sz w:val="16"/>
        </w:rPr>
        <w:tab/>
      </w:r>
    </w:p>
    <w:p w14:paraId="571F41F3" w14:textId="77777777" w:rsidR="009F2A20" w:rsidRPr="009442D7" w:rsidRDefault="009F2A20" w:rsidP="009F2A20">
      <w:pPr>
        <w:pStyle w:val="TableGraphic"/>
        <w:rPr>
          <w:lang w:val="x-none" w:eastAsia="x-none"/>
        </w:rPr>
      </w:pPr>
    </w:p>
    <w:p w14:paraId="6531FCFD" w14:textId="77777777" w:rsidR="009F2A20" w:rsidRPr="009442D7" w:rsidRDefault="009F2A20" w:rsidP="009F2A20">
      <w:pPr>
        <w:pStyle w:val="TableGraphic"/>
        <w:rPr>
          <w:lang w:val="x-none" w:eastAsia="x-none"/>
        </w:rPr>
      </w:pPr>
      <w:r w:rsidRPr="009442D7">
        <w:rPr>
          <w:lang w:val="x-none" w:eastAsia="x-none"/>
        </w:rPr>
        <w:br w:type="page"/>
      </w:r>
    </w:p>
    <w:p w14:paraId="49C35D76" w14:textId="77777777" w:rsidR="009F2A20" w:rsidRPr="00F8516C" w:rsidRDefault="009F2A20" w:rsidP="009F2A20">
      <w:pPr>
        <w:pStyle w:val="Heading3"/>
        <w:spacing w:before="0"/>
      </w:pPr>
      <w:bookmarkStart w:id="739" w:name="_Toc98932921"/>
      <w:bookmarkStart w:id="740" w:name="_Toc99008177"/>
      <w:bookmarkStart w:id="741" w:name="_Toc99009539"/>
      <w:bookmarkStart w:id="742" w:name="_Toc99010767"/>
      <w:bookmarkStart w:id="743" w:name="_Toc99014002"/>
      <w:bookmarkStart w:id="744" w:name="_Toc99187578"/>
      <w:bookmarkStart w:id="745" w:name="_Toc99269700"/>
      <w:r w:rsidRPr="00F8516C">
        <w:t>1.3</w:t>
      </w:r>
      <w:r w:rsidRPr="00F8516C">
        <w:tab/>
        <w:t>Budget measures</w:t>
      </w:r>
      <w:bookmarkEnd w:id="739"/>
      <w:bookmarkEnd w:id="740"/>
      <w:bookmarkEnd w:id="741"/>
      <w:bookmarkEnd w:id="742"/>
      <w:bookmarkEnd w:id="743"/>
      <w:bookmarkEnd w:id="744"/>
      <w:bookmarkEnd w:id="745"/>
    </w:p>
    <w:p w14:paraId="66E552C1" w14:textId="77777777" w:rsidR="009F2A20" w:rsidRPr="00F8516C" w:rsidRDefault="009F2A20" w:rsidP="009F2A20">
      <w:r w:rsidRPr="00F8516C">
        <w:t>Budget measures in Part 1 relating to the NRRA are detailed in Budget Paper No. 2 and are summarised below.</w:t>
      </w:r>
    </w:p>
    <w:p w14:paraId="06A49C9E" w14:textId="77777777" w:rsidR="009F2A20" w:rsidRPr="00F8516C" w:rsidRDefault="009F2A20" w:rsidP="009F2A20">
      <w:pPr>
        <w:pStyle w:val="TableHeading"/>
      </w:pPr>
      <w:r w:rsidRPr="00F8516C">
        <w:t xml:space="preserve">Table 1.2: </w:t>
      </w:r>
      <w:r w:rsidR="0046393E">
        <w:rPr>
          <w:lang w:val="en-AU"/>
        </w:rPr>
        <w:t>NRRA</w:t>
      </w:r>
      <w:r w:rsidRPr="00F8516C">
        <w:t xml:space="preserve"> </w:t>
      </w:r>
      <w:r w:rsidRPr="00F8516C">
        <w:rPr>
          <w:lang w:val="en-AU"/>
        </w:rPr>
        <w:t xml:space="preserve">2022-23 </w:t>
      </w:r>
      <w:r w:rsidRPr="00F8516C">
        <w:t>Budget measures</w:t>
      </w:r>
    </w:p>
    <w:p w14:paraId="74191F74" w14:textId="77777777" w:rsidR="009F2A20" w:rsidRPr="00F8516C" w:rsidRDefault="009F2A20" w:rsidP="009F2A20">
      <w:pPr>
        <w:pStyle w:val="TableGraphic"/>
        <w:jc w:val="left"/>
      </w:pPr>
      <w:r w:rsidRPr="00F8516C">
        <w:rPr>
          <w:rFonts w:ascii="Arial Bold" w:hAnsi="Arial Bold"/>
          <w:b/>
        </w:rPr>
        <w:t>Part 1: Measures announced since the 2021-22 Mid-Year Economic and Fiscal Outlook (MYEFO)</w:t>
      </w:r>
    </w:p>
    <w:p w14:paraId="02D89EFA" w14:textId="77777777" w:rsidR="009F2A20" w:rsidRPr="00F8516C" w:rsidRDefault="00951416" w:rsidP="009F2A20">
      <w:pPr>
        <w:pStyle w:val="NoSpacing"/>
      </w:pPr>
      <w:r w:rsidRPr="00951416">
        <w:rPr>
          <w:noProof/>
        </w:rPr>
        <w:drawing>
          <wp:inline distT="0" distB="0" distL="0" distR="0" wp14:anchorId="69AB0C40" wp14:editId="6201E690">
            <wp:extent cx="4895850" cy="251559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895850" cy="2515597"/>
                    </a:xfrm>
                    <a:prstGeom prst="rect">
                      <a:avLst/>
                    </a:prstGeom>
                    <a:noFill/>
                    <a:ln>
                      <a:noFill/>
                    </a:ln>
                  </pic:spPr>
                </pic:pic>
              </a:graphicData>
            </a:graphic>
          </wp:inline>
        </w:drawing>
      </w:r>
    </w:p>
    <w:p w14:paraId="4B579DC8" w14:textId="77777777" w:rsidR="003A7742" w:rsidRPr="003A7742" w:rsidRDefault="003A7742" w:rsidP="003A7742">
      <w:pPr>
        <w:pStyle w:val="NoSpacing"/>
        <w:rPr>
          <w:rFonts w:ascii="Arial" w:hAnsi="Arial" w:cs="Arial"/>
          <w:sz w:val="16"/>
        </w:rPr>
      </w:pPr>
      <w:r w:rsidRPr="000662CC">
        <w:rPr>
          <w:rFonts w:ascii="Arial" w:hAnsi="Arial" w:cs="Arial"/>
          <w:sz w:val="16"/>
        </w:rPr>
        <w:t xml:space="preserve">Prepared on a Government Finance Statistics (Underlying Cash) basis. Figures displayed as a negative (-) represent a decrease in funds and a positive (+) </w:t>
      </w:r>
      <w:r>
        <w:rPr>
          <w:rFonts w:ascii="Arial" w:hAnsi="Arial" w:cs="Arial"/>
          <w:sz w:val="16"/>
        </w:rPr>
        <w:t>represent an increase in funds.</w:t>
      </w:r>
    </w:p>
    <w:p w14:paraId="7B4CEE00" w14:textId="77777777" w:rsidR="0046393E" w:rsidRPr="0046393E" w:rsidRDefault="0046393E" w:rsidP="003A7742">
      <w:pPr>
        <w:pStyle w:val="NoSpacing"/>
        <w:numPr>
          <w:ilvl w:val="0"/>
          <w:numId w:val="174"/>
        </w:numPr>
        <w:rPr>
          <w:rFonts w:ascii="Arial" w:hAnsi="Arial" w:cs="Arial"/>
          <w:sz w:val="16"/>
        </w:rPr>
      </w:pPr>
      <w:r w:rsidRPr="0046393E">
        <w:rPr>
          <w:rFonts w:ascii="Arial" w:hAnsi="Arial" w:cs="Arial"/>
          <w:sz w:val="16"/>
        </w:rPr>
        <w:t>The costs associated with this measure have been absorbed within existing resources</w:t>
      </w:r>
    </w:p>
    <w:p w14:paraId="51537FDE" w14:textId="77777777" w:rsidR="003A7742" w:rsidRPr="003A7742" w:rsidRDefault="0046393E" w:rsidP="003A7742">
      <w:pPr>
        <w:pStyle w:val="NoSpacing"/>
        <w:numPr>
          <w:ilvl w:val="0"/>
          <w:numId w:val="174"/>
        </w:numPr>
        <w:rPr>
          <w:rFonts w:ascii="Arial" w:hAnsi="Arial" w:cs="Arial"/>
          <w:sz w:val="16"/>
        </w:rPr>
      </w:pPr>
      <w:r w:rsidRPr="0046393E">
        <w:rPr>
          <w:rFonts w:ascii="Arial" w:hAnsi="Arial" w:cs="Arial"/>
          <w:sz w:val="16"/>
        </w:rPr>
        <w:t>The measure titled Flood Recovery Package is a cross portfolio measure. The full measure description and package details appe</w:t>
      </w:r>
      <w:r w:rsidR="003A7742">
        <w:rPr>
          <w:rFonts w:ascii="Arial" w:hAnsi="Arial" w:cs="Arial"/>
          <w:sz w:val="16"/>
        </w:rPr>
        <w:t>ar in Budget Paper No. 2 under Cross P</w:t>
      </w:r>
      <w:r w:rsidRPr="0046393E">
        <w:rPr>
          <w:rFonts w:ascii="Arial" w:hAnsi="Arial" w:cs="Arial"/>
          <w:sz w:val="16"/>
        </w:rPr>
        <w:t>ortfolio.</w:t>
      </w:r>
    </w:p>
    <w:p w14:paraId="0B5D49E2" w14:textId="77777777" w:rsidR="009F2A20" w:rsidRPr="00F8516C" w:rsidRDefault="009F2A20" w:rsidP="009F2A20">
      <w:pPr>
        <w:spacing w:after="0" w:line="240" w:lineRule="auto"/>
        <w:jc w:val="left"/>
        <w:rPr>
          <w:rFonts w:ascii="Arial Bold" w:hAnsi="Arial Bold"/>
          <w:b/>
        </w:rPr>
      </w:pPr>
      <w:r w:rsidRPr="00F8516C">
        <w:br w:type="page"/>
      </w:r>
    </w:p>
    <w:p w14:paraId="14E81B9A" w14:textId="77777777" w:rsidR="009F2A20" w:rsidRPr="003D3BA2" w:rsidRDefault="009F2A20" w:rsidP="009F2A20">
      <w:pPr>
        <w:pStyle w:val="Heading2"/>
      </w:pPr>
      <w:bookmarkStart w:id="746" w:name="_Toc98932922"/>
      <w:bookmarkStart w:id="747" w:name="_Toc99008178"/>
      <w:bookmarkStart w:id="748" w:name="_Toc99009540"/>
      <w:bookmarkStart w:id="749" w:name="_Toc99010768"/>
      <w:bookmarkStart w:id="750" w:name="_Toc99014003"/>
      <w:bookmarkStart w:id="751" w:name="_Toc99187579"/>
      <w:bookmarkStart w:id="752" w:name="_Toc99269701"/>
      <w:r w:rsidRPr="003D3BA2">
        <w:t>Section 2: Outcomes and planned performance</w:t>
      </w:r>
      <w:bookmarkEnd w:id="746"/>
      <w:bookmarkEnd w:id="747"/>
      <w:bookmarkEnd w:id="748"/>
      <w:bookmarkEnd w:id="749"/>
      <w:bookmarkEnd w:id="750"/>
      <w:bookmarkEnd w:id="751"/>
      <w:bookmarkEnd w:id="752"/>
    </w:p>
    <w:p w14:paraId="277794C6" w14:textId="77777777" w:rsidR="009F2A20" w:rsidRPr="003D3BA2" w:rsidRDefault="009F2A20" w:rsidP="009F2A20">
      <w:r w:rsidRPr="003D3BA2">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19341C1" w14:textId="77777777" w:rsidR="009F2A20" w:rsidRPr="003D3BA2" w:rsidRDefault="009F2A20" w:rsidP="009F2A20">
      <w:pPr>
        <w:rPr>
          <w:i/>
          <w:color w:val="FF0000"/>
        </w:rPr>
      </w:pPr>
      <w:r w:rsidRPr="003D3BA2">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9F2A20" w:rsidRPr="003D3BA2" w14:paraId="2A2D86CA" w14:textId="77777777" w:rsidTr="002F7A80">
        <w:tc>
          <w:tcPr>
            <w:tcW w:w="7700" w:type="dxa"/>
          </w:tcPr>
          <w:p w14:paraId="794E4A13" w14:textId="77777777" w:rsidR="009F2A20" w:rsidRPr="003D3BA2" w:rsidRDefault="009F2A20" w:rsidP="002F7A80">
            <w:pPr>
              <w:spacing w:before="120" w:after="120" w:line="240" w:lineRule="auto"/>
              <w:rPr>
                <w:b/>
              </w:rPr>
            </w:pPr>
            <w:r w:rsidRPr="003D3BA2">
              <w:rPr>
                <w:b/>
              </w:rPr>
              <w:t>Note:</w:t>
            </w:r>
          </w:p>
          <w:p w14:paraId="4B7CA740" w14:textId="77777777" w:rsidR="009F2A20" w:rsidRPr="003D3BA2" w:rsidRDefault="009F2A20" w:rsidP="002F7A80">
            <w:r w:rsidRPr="003D3BA2">
              <w:t xml:space="preserve">Performance reporting requirements in the Portfolio Budget Statements are part of the Commonwealth performance framework established by the </w:t>
            </w:r>
            <w:r w:rsidRPr="003D3BA2">
              <w:rPr>
                <w:i/>
              </w:rPr>
              <w:t>Public Governance, Performance and Accountability Act 2013</w:t>
            </w:r>
            <w:r w:rsidRPr="003D3BA2">
              <w:t>. It is anticipated that the performance measure described in Portfolio Budget Statements will be read with broader information provided in an entity’s corporate plans and annual performance statement</w:t>
            </w:r>
            <w:r w:rsidR="0046393E">
              <w:t xml:space="preserve">s – included in Annual Reports </w:t>
            </w:r>
            <w:r w:rsidR="0046393E" w:rsidRPr="0046393E">
              <w:t>–</w:t>
            </w:r>
            <w:r w:rsidRPr="003D3BA2">
              <w:t xml:space="preserve"> to provide a complete picture of an entity’s planned and actual performance.</w:t>
            </w:r>
          </w:p>
          <w:p w14:paraId="08290EE8" w14:textId="77777777" w:rsidR="009F2A20" w:rsidRPr="003D3BA2" w:rsidRDefault="009F2A20" w:rsidP="0046393E">
            <w:r w:rsidRPr="003D3BA2">
              <w:t>The most recent corporate plan and annual performance stat</w:t>
            </w:r>
            <w:r w:rsidR="0046393E">
              <w:t xml:space="preserve">ement for NRRA can be found at: </w:t>
            </w:r>
            <w:hyperlink r:id="rId326" w:history="1">
              <w:r w:rsidR="0046393E" w:rsidRPr="00657D74">
                <w:rPr>
                  <w:rStyle w:val="Hyperlink"/>
                </w:rPr>
                <w:t>www.recovery.gov.au/about-us/governance-and-reporting/reporting-and-publications</w:t>
              </w:r>
            </w:hyperlink>
            <w:r w:rsidRPr="003D3BA2">
              <w:t xml:space="preserve"> </w:t>
            </w:r>
          </w:p>
        </w:tc>
      </w:tr>
    </w:tbl>
    <w:p w14:paraId="2F98C92D" w14:textId="77777777" w:rsidR="009F2A20" w:rsidRPr="003D3BA2" w:rsidRDefault="009F2A20" w:rsidP="009F2A20"/>
    <w:p w14:paraId="136A9C5E" w14:textId="77777777" w:rsidR="009F2A20" w:rsidRPr="003D3BA2" w:rsidRDefault="009F2A20" w:rsidP="009F2A20">
      <w:pPr>
        <w:pStyle w:val="Heading3"/>
        <w:sectPr w:rsidR="009F2A20" w:rsidRPr="003D3BA2" w:rsidSect="00503FD8">
          <w:headerReference w:type="even" r:id="rId327"/>
          <w:headerReference w:type="default" r:id="rId328"/>
          <w:footerReference w:type="even" r:id="rId329"/>
          <w:footerReference w:type="default" r:id="rId330"/>
          <w:headerReference w:type="first" r:id="rId331"/>
          <w:footerReference w:type="first" r:id="rId332"/>
          <w:type w:val="oddPage"/>
          <w:pgSz w:w="11906" w:h="16838" w:code="9"/>
          <w:pgMar w:top="2835" w:right="2098" w:bottom="2466" w:left="2098" w:header="1814" w:footer="1814" w:gutter="0"/>
          <w:cols w:space="708"/>
          <w:titlePg/>
          <w:docGrid w:linePitch="360"/>
        </w:sectPr>
      </w:pPr>
    </w:p>
    <w:p w14:paraId="7BFD6D87" w14:textId="77777777" w:rsidR="009F2A20" w:rsidRPr="00DD623C" w:rsidRDefault="009F2A20" w:rsidP="009F2A20">
      <w:pPr>
        <w:pStyle w:val="Heading3"/>
      </w:pPr>
      <w:bookmarkStart w:id="753" w:name="_Toc98932923"/>
      <w:bookmarkStart w:id="754" w:name="_Toc99008179"/>
      <w:bookmarkStart w:id="755" w:name="_Toc99009541"/>
      <w:bookmarkStart w:id="756" w:name="_Toc99010769"/>
      <w:bookmarkStart w:id="757" w:name="_Toc99014004"/>
      <w:bookmarkStart w:id="758" w:name="_Toc99187580"/>
      <w:bookmarkStart w:id="759" w:name="_Toc99269702"/>
      <w:r w:rsidRPr="00DA688A">
        <w:t xml:space="preserve">2.1 </w:t>
      </w:r>
      <w:r w:rsidRPr="00DA688A">
        <w:tab/>
      </w:r>
      <w:r w:rsidRPr="00DD623C">
        <w:t>Budgeted expenses and performance for Outcome 1</w:t>
      </w:r>
      <w:bookmarkEnd w:id="753"/>
      <w:bookmarkEnd w:id="754"/>
      <w:bookmarkEnd w:id="755"/>
      <w:bookmarkEnd w:id="756"/>
      <w:bookmarkEnd w:id="757"/>
      <w:bookmarkEnd w:id="758"/>
      <w:bookmarkEnd w:id="75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9F2A20" w:rsidRPr="00DD623C" w14:paraId="2C585B75" w14:textId="77777777" w:rsidTr="002F7A80">
        <w:tc>
          <w:tcPr>
            <w:tcW w:w="7704" w:type="dxa"/>
            <w:shd w:val="clear" w:color="auto" w:fill="E6E6E6"/>
          </w:tcPr>
          <w:p w14:paraId="445FDAC4" w14:textId="77777777" w:rsidR="009F2A20" w:rsidRPr="00DD623C" w:rsidRDefault="009F2A20" w:rsidP="002F7A80">
            <w:pPr>
              <w:pStyle w:val="TableColumnHeadingLeft"/>
            </w:pPr>
            <w:r w:rsidRPr="00DD623C">
              <w:t>Outcome 1: 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bl>
    <w:p w14:paraId="54B97191" w14:textId="77777777" w:rsidR="009F2A20" w:rsidRPr="00DD623C" w:rsidRDefault="009F2A20" w:rsidP="009F2A20">
      <w:pPr>
        <w:pStyle w:val="NoSpacing"/>
      </w:pPr>
    </w:p>
    <w:p w14:paraId="6946AE40" w14:textId="77777777" w:rsidR="009F2A20" w:rsidRPr="00DD623C" w:rsidRDefault="009F2A20" w:rsidP="009F2A20">
      <w:pPr>
        <w:pStyle w:val="Heading5"/>
      </w:pPr>
      <w:r w:rsidRPr="00DD623C">
        <w:t>Budgeted expenses for Outcome 1</w:t>
      </w:r>
    </w:p>
    <w:p w14:paraId="5797C0A3" w14:textId="77777777" w:rsidR="009F2A20" w:rsidRPr="00DD623C" w:rsidRDefault="009F2A20" w:rsidP="009F2A20">
      <w:r w:rsidRPr="00DD623C">
        <w:t xml:space="preserve">This table shows how much the </w:t>
      </w:r>
      <w:r w:rsidR="0046393E">
        <w:t>NRRA</w:t>
      </w:r>
      <w:r w:rsidRPr="00DD623C">
        <w:t xml:space="preserve"> intends to spend (on an accrual basis) on achieving the outcome, broken down by program, as well as by Administered and Departmental funding sources.</w:t>
      </w:r>
    </w:p>
    <w:p w14:paraId="73C622ED" w14:textId="77777777" w:rsidR="009F2A20" w:rsidRPr="00951416" w:rsidRDefault="009F2A20" w:rsidP="009F2A20">
      <w:pPr>
        <w:spacing w:after="0"/>
        <w:rPr>
          <w:rFonts w:ascii="Arial" w:hAnsi="Arial" w:cs="Arial"/>
          <w:b/>
        </w:rPr>
      </w:pPr>
      <w:r w:rsidRPr="00951416">
        <w:rPr>
          <w:rFonts w:ascii="Arial" w:hAnsi="Arial" w:cs="Arial"/>
          <w:b/>
        </w:rPr>
        <w:t>Table 2.1.1: Budgeted expenses for Outcome 1</w:t>
      </w:r>
    </w:p>
    <w:p w14:paraId="1336C5A7" w14:textId="77777777" w:rsidR="009F2A20" w:rsidRPr="00DD623C" w:rsidRDefault="003A7742" w:rsidP="009F2A20">
      <w:pPr>
        <w:pStyle w:val="TableHeading"/>
      </w:pPr>
      <w:r w:rsidRPr="003A7742">
        <w:rPr>
          <w:noProof/>
          <w:lang w:val="en-AU" w:eastAsia="en-AU"/>
        </w:rPr>
        <w:drawing>
          <wp:inline distT="0" distB="0" distL="0" distR="0" wp14:anchorId="7DF7110E" wp14:editId="0A5631C3">
            <wp:extent cx="4895850" cy="3848358"/>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95850" cy="3848358"/>
                    </a:xfrm>
                    <a:prstGeom prst="rect">
                      <a:avLst/>
                    </a:prstGeom>
                    <a:noFill/>
                    <a:ln>
                      <a:noFill/>
                    </a:ln>
                  </pic:spPr>
                </pic:pic>
              </a:graphicData>
            </a:graphic>
          </wp:inline>
        </w:drawing>
      </w:r>
    </w:p>
    <w:p w14:paraId="37494C58" w14:textId="77777777" w:rsidR="009F2A20" w:rsidRPr="00DD623C" w:rsidRDefault="009F2A20" w:rsidP="009F2A20"/>
    <w:p w14:paraId="12029A0C" w14:textId="77777777" w:rsidR="009F2A20" w:rsidRPr="00DD623C" w:rsidRDefault="009F2A20" w:rsidP="009F2A20">
      <w:pPr>
        <w:pStyle w:val="TableHeading"/>
        <w:rPr>
          <w:lang w:val="en-AU"/>
        </w:rPr>
      </w:pPr>
      <w:r w:rsidRPr="00DD623C">
        <w:br w:type="page"/>
        <w:t>Table 2.</w:t>
      </w:r>
      <w:r w:rsidRPr="00DD623C">
        <w:rPr>
          <w:lang w:val="en-AU"/>
        </w:rPr>
        <w:t>1</w:t>
      </w:r>
      <w:r w:rsidRPr="00DD623C">
        <w:t xml:space="preserve">.1: Budgeted expenses for Outcome </w:t>
      </w:r>
      <w:r w:rsidRPr="00DD623C">
        <w:rPr>
          <w:lang w:val="en-AU"/>
        </w:rPr>
        <w:t>1 (continued)</w:t>
      </w:r>
    </w:p>
    <w:p w14:paraId="08DC7C2E" w14:textId="77777777" w:rsidR="009F2A20" w:rsidRPr="00DD623C" w:rsidRDefault="003A7742" w:rsidP="009F2A20">
      <w:pPr>
        <w:pStyle w:val="TableGraphic"/>
      </w:pPr>
      <w:r w:rsidRPr="003A7742">
        <w:rPr>
          <w:noProof/>
        </w:rPr>
        <w:drawing>
          <wp:inline distT="0" distB="0" distL="0" distR="0" wp14:anchorId="27BFBA11" wp14:editId="0151E8CF">
            <wp:extent cx="4895850" cy="4852277"/>
            <wp:effectExtent l="0" t="0" r="0" b="571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95850" cy="4852277"/>
                    </a:xfrm>
                    <a:prstGeom prst="rect">
                      <a:avLst/>
                    </a:prstGeom>
                    <a:noFill/>
                    <a:ln>
                      <a:noFill/>
                    </a:ln>
                  </pic:spPr>
                </pic:pic>
              </a:graphicData>
            </a:graphic>
          </wp:inline>
        </w:drawing>
      </w:r>
    </w:p>
    <w:p w14:paraId="0D949E92" w14:textId="77777777" w:rsidR="00951416" w:rsidRPr="00951416" w:rsidRDefault="00951416" w:rsidP="00392A48">
      <w:pPr>
        <w:pStyle w:val="TableHeadingcontinued"/>
        <w:numPr>
          <w:ilvl w:val="0"/>
          <w:numId w:val="150"/>
        </w:numPr>
        <w:rPr>
          <w:rFonts w:ascii="Arial" w:hAnsi="Arial" w:cs="Arial"/>
          <w:b w:val="0"/>
          <w:sz w:val="16"/>
        </w:rPr>
      </w:pPr>
      <w:r w:rsidRPr="00951416">
        <w:rPr>
          <w:rFonts w:ascii="Arial" w:hAnsi="Arial" w:cs="Arial"/>
          <w:b w:val="0"/>
          <w:sz w:val="16"/>
        </w:rPr>
        <w:t>Estimated expenses incurred in relation to receipts retained under se</w:t>
      </w:r>
      <w:r>
        <w:rPr>
          <w:rFonts w:ascii="Arial" w:hAnsi="Arial" w:cs="Arial"/>
          <w:b w:val="0"/>
          <w:sz w:val="16"/>
        </w:rPr>
        <w:t>ction 74 of the PGPA Act.</w:t>
      </w:r>
    </w:p>
    <w:p w14:paraId="199400D0" w14:textId="77777777" w:rsidR="00951416" w:rsidRPr="00951416" w:rsidRDefault="00951416" w:rsidP="00392A48">
      <w:pPr>
        <w:pStyle w:val="TableHeadingcontinued"/>
        <w:numPr>
          <w:ilvl w:val="0"/>
          <w:numId w:val="150"/>
        </w:numPr>
        <w:rPr>
          <w:rFonts w:ascii="Arial" w:hAnsi="Arial" w:cs="Arial"/>
          <w:b w:val="0"/>
          <w:sz w:val="16"/>
        </w:rPr>
      </w:pPr>
      <w:r w:rsidRPr="00951416">
        <w:rPr>
          <w:rFonts w:ascii="Arial" w:hAnsi="Arial" w:cs="Arial"/>
          <w:b w:val="0"/>
          <w:sz w:val="16"/>
        </w:rPr>
        <w:t>Expenses not requiring appropriation in the Budget year are made up of depreciation expenses, amortisation expenses, make good expenses and audit fees.</w:t>
      </w:r>
      <w:r w:rsidRPr="00951416">
        <w:rPr>
          <w:rFonts w:ascii="Arial" w:hAnsi="Arial" w:cs="Arial"/>
          <w:b w:val="0"/>
          <w:sz w:val="16"/>
        </w:rPr>
        <w:tab/>
      </w:r>
      <w:r w:rsidRPr="00951416">
        <w:rPr>
          <w:rFonts w:ascii="Arial" w:hAnsi="Arial" w:cs="Arial"/>
          <w:b w:val="0"/>
          <w:sz w:val="16"/>
        </w:rPr>
        <w:tab/>
      </w:r>
      <w:r w:rsidRPr="00951416">
        <w:rPr>
          <w:rFonts w:ascii="Arial" w:hAnsi="Arial" w:cs="Arial"/>
          <w:b w:val="0"/>
          <w:sz w:val="16"/>
        </w:rPr>
        <w:tab/>
      </w:r>
      <w:r w:rsidRPr="00951416">
        <w:rPr>
          <w:rFonts w:ascii="Arial" w:hAnsi="Arial" w:cs="Arial"/>
          <w:b w:val="0"/>
          <w:sz w:val="16"/>
        </w:rPr>
        <w:tab/>
      </w:r>
      <w:r w:rsidRPr="00951416">
        <w:rPr>
          <w:rFonts w:ascii="Arial" w:hAnsi="Arial" w:cs="Arial"/>
          <w:b w:val="0"/>
          <w:sz w:val="16"/>
        </w:rPr>
        <w:tab/>
      </w:r>
    </w:p>
    <w:p w14:paraId="5DEFE0C3" w14:textId="77777777" w:rsidR="00951416" w:rsidRPr="00951416" w:rsidRDefault="00951416" w:rsidP="00392A48">
      <w:pPr>
        <w:pStyle w:val="TableHeadingcontinued"/>
        <w:numPr>
          <w:ilvl w:val="0"/>
          <w:numId w:val="150"/>
        </w:numPr>
        <w:rPr>
          <w:rFonts w:ascii="Arial" w:hAnsi="Arial" w:cs="Arial"/>
          <w:b w:val="0"/>
          <w:sz w:val="16"/>
        </w:rPr>
      </w:pPr>
      <w:r w:rsidRPr="00951416">
        <w:rPr>
          <w:rFonts w:ascii="Arial" w:hAnsi="Arial" w:cs="Arial"/>
          <w:b w:val="0"/>
          <w:sz w:val="16"/>
        </w:rPr>
        <w:t>Figures displayed as a negative (-) represent a decrease in funds and a positive (+) represent an increase in funds.</w:t>
      </w:r>
      <w:r w:rsidRPr="00951416">
        <w:rPr>
          <w:rFonts w:ascii="Arial" w:hAnsi="Arial" w:cs="Arial"/>
          <w:b w:val="0"/>
          <w:sz w:val="16"/>
        </w:rPr>
        <w:tab/>
      </w:r>
      <w:r w:rsidRPr="00951416">
        <w:rPr>
          <w:rFonts w:ascii="Arial" w:hAnsi="Arial" w:cs="Arial"/>
          <w:b w:val="0"/>
          <w:sz w:val="16"/>
        </w:rPr>
        <w:tab/>
      </w:r>
      <w:r w:rsidRPr="00951416">
        <w:rPr>
          <w:rFonts w:ascii="Arial" w:hAnsi="Arial" w:cs="Arial"/>
          <w:b w:val="0"/>
          <w:sz w:val="16"/>
        </w:rPr>
        <w:tab/>
      </w:r>
      <w:r w:rsidRPr="00951416">
        <w:rPr>
          <w:rFonts w:ascii="Arial" w:hAnsi="Arial" w:cs="Arial"/>
          <w:b w:val="0"/>
          <w:sz w:val="16"/>
        </w:rPr>
        <w:tab/>
      </w:r>
      <w:r w:rsidRPr="00951416">
        <w:rPr>
          <w:rFonts w:ascii="Arial" w:hAnsi="Arial" w:cs="Arial"/>
          <w:b w:val="0"/>
          <w:sz w:val="16"/>
        </w:rPr>
        <w:tab/>
      </w:r>
    </w:p>
    <w:p w14:paraId="568E7154" w14:textId="77777777" w:rsidR="009F2A20" w:rsidRPr="001D052A" w:rsidRDefault="00951416" w:rsidP="00951416">
      <w:pPr>
        <w:pStyle w:val="TableHeadingcontinued"/>
        <w:rPr>
          <w:highlight w:val="yellow"/>
        </w:rPr>
      </w:pPr>
      <w:r w:rsidRPr="00951416">
        <w:rPr>
          <w:rFonts w:ascii="Arial" w:hAnsi="Arial" w:cs="Arial"/>
          <w:b w:val="0"/>
          <w:sz w:val="16"/>
        </w:rPr>
        <w:t>Note: Departmental appropriation splits and totals are indicative estimates and may change in the course of the budget year as government priorities change.</w:t>
      </w:r>
      <w:r>
        <w:tab/>
      </w:r>
      <w:r>
        <w:tab/>
      </w:r>
      <w:r>
        <w:tab/>
      </w:r>
      <w:r>
        <w:tab/>
      </w:r>
      <w:r>
        <w:tab/>
      </w:r>
      <w:r w:rsidR="009F2A20" w:rsidRPr="001D052A">
        <w:rPr>
          <w:highlight w:val="yellow"/>
        </w:rPr>
        <w:br w:type="page"/>
      </w:r>
      <w:r w:rsidR="009F2A20" w:rsidRPr="001D052A">
        <w:rPr>
          <w:rStyle w:val="TableHeadingChar"/>
          <w:highlight w:val="yellow"/>
        </w:rPr>
        <w:t xml:space="preserve"> </w:t>
      </w:r>
    </w:p>
    <w:p w14:paraId="319E9136" w14:textId="77777777" w:rsidR="009F2A20" w:rsidRPr="006B3BAD" w:rsidRDefault="009F2A20" w:rsidP="009F2A20">
      <w:pPr>
        <w:pStyle w:val="TableHeading"/>
      </w:pPr>
      <w:r w:rsidRPr="006B3BAD">
        <w:t>Table 2.</w:t>
      </w:r>
      <w:r>
        <w:rPr>
          <w:lang w:val="en-AU"/>
        </w:rPr>
        <w:t>1</w:t>
      </w:r>
      <w:r w:rsidRPr="006B3BAD">
        <w:t>.</w:t>
      </w:r>
      <w:r>
        <w:rPr>
          <w:lang w:val="en-AU"/>
        </w:rPr>
        <w:t>2</w:t>
      </w:r>
      <w:r w:rsidRPr="006B3BAD">
        <w:t xml:space="preserve">: Performance </w:t>
      </w:r>
      <w:r w:rsidRPr="006B3BAD">
        <w:rPr>
          <w:lang w:val="en-AU"/>
        </w:rPr>
        <w:t>measure</w:t>
      </w:r>
      <w:r w:rsidRPr="006B3BAD">
        <w:t xml:space="preserve"> for Outcome </w:t>
      </w:r>
      <w:r w:rsidRPr="006B3BAD">
        <w:rPr>
          <w:lang w:val="en-AU"/>
        </w:rPr>
        <w:t>1</w:t>
      </w:r>
    </w:p>
    <w:p w14:paraId="2B359B76" w14:textId="77777777" w:rsidR="009F2A20" w:rsidRPr="006B3BAD" w:rsidRDefault="009F2A20" w:rsidP="009F2A20">
      <w:r w:rsidRPr="006B3BAD">
        <w:t>Table 2.2.1 details the performance measures for each program associated with Outcome</w:t>
      </w:r>
      <w:r w:rsidR="0046393E">
        <w:t> </w:t>
      </w:r>
      <w:r w:rsidRPr="006B3BAD">
        <w:t xml:space="preserve">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2022-23 Budget measures that have created new programs or materially changed existing programs are provided. </w:t>
      </w:r>
    </w:p>
    <w:tbl>
      <w:tblPr>
        <w:tblW w:w="79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560"/>
        <w:gridCol w:w="1701"/>
      </w:tblGrid>
      <w:tr w:rsidR="009F2A20" w:rsidRPr="001D052A" w14:paraId="2034CC1D" w14:textId="77777777" w:rsidTr="002F7A80">
        <w:trPr>
          <w:trHeight w:val="569"/>
          <w:tblHeader/>
        </w:trPr>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299C559" w14:textId="77777777" w:rsidR="009F2A20" w:rsidRPr="001D052A" w:rsidRDefault="009F2A20" w:rsidP="002F7A80">
            <w:pPr>
              <w:pStyle w:val="TableColumnHeadingLeft"/>
              <w:spacing w:line="256" w:lineRule="auto"/>
              <w:rPr>
                <w:rFonts w:cs="Arial"/>
                <w:color w:val="000000" w:themeColor="text1"/>
                <w:highlight w:val="yellow"/>
                <w:lang w:eastAsia="en-US"/>
              </w:rPr>
            </w:pPr>
            <w:r w:rsidRPr="00FE00E6">
              <w:rPr>
                <w:rFonts w:cs="Arial"/>
                <w:color w:val="000000" w:themeColor="text1"/>
                <w:lang w:eastAsia="en-US"/>
              </w:rPr>
              <w:t xml:space="preserve">Outcome </w:t>
            </w:r>
            <w:r w:rsidRPr="00FE00E6">
              <w:rPr>
                <w:lang w:eastAsia="en-US"/>
              </w:rPr>
              <w:t>1 – 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r w:rsidR="009F2A20" w:rsidRPr="001D052A" w14:paraId="56E91F10" w14:textId="77777777" w:rsidTr="002F7A80">
        <w:trPr>
          <w:trHeight w:val="522"/>
          <w:tblHeader/>
        </w:trPr>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48733C7" w14:textId="77777777" w:rsidR="009F2A20" w:rsidRPr="00715669" w:rsidRDefault="009F2A20" w:rsidP="002F7A80">
            <w:pPr>
              <w:tabs>
                <w:tab w:val="left" w:pos="709"/>
              </w:tabs>
              <w:spacing w:before="60" w:after="60" w:line="256" w:lineRule="auto"/>
              <w:rPr>
                <w:rFonts w:ascii="Arial" w:hAnsi="Arial" w:cs="Arial"/>
                <w:b/>
                <w:color w:val="000000" w:themeColor="text1"/>
                <w:sz w:val="16"/>
                <w:szCs w:val="16"/>
                <w:lang w:eastAsia="en-US"/>
              </w:rPr>
            </w:pPr>
            <w:r w:rsidRPr="00715669">
              <w:rPr>
                <w:rFonts w:ascii="Arial" w:hAnsi="Arial" w:cs="Arial"/>
                <w:b/>
                <w:color w:val="000000" w:themeColor="text1"/>
                <w:sz w:val="16"/>
                <w:szCs w:val="16"/>
              </w:rPr>
              <w:t>Program 1.1 – NRRA - Departmental - Outcome 1</w:t>
            </w:r>
          </w:p>
          <w:p w14:paraId="71DA1874" w14:textId="77777777" w:rsidR="009F2A20" w:rsidRPr="001D052A" w:rsidRDefault="009F2A20" w:rsidP="002F7A80">
            <w:pPr>
              <w:tabs>
                <w:tab w:val="left" w:pos="709"/>
              </w:tabs>
              <w:spacing w:before="60" w:after="60" w:line="256" w:lineRule="auto"/>
              <w:rPr>
                <w:rFonts w:ascii="Arial" w:hAnsi="Arial" w:cs="Arial"/>
                <w:color w:val="000000" w:themeColor="text1"/>
                <w:sz w:val="16"/>
                <w:szCs w:val="16"/>
                <w:highlight w:val="yellow"/>
              </w:rPr>
            </w:pPr>
            <w:r w:rsidRPr="00FE00E6">
              <w:rPr>
                <w:rFonts w:ascii="Arial" w:hAnsi="Arial" w:cs="Arial"/>
                <w:sz w:val="16"/>
                <w:szCs w:val="16"/>
              </w:rPr>
              <w:t xml:space="preserve">The NRRA provides national leadership and strategic coordination for natural disaster resilience, risk reduction and preparedness, and all hazards disaster relief and recovery across all levels of government and sectors. It also works with all levels of government to enhance national recovery capability and preparedness and improve local resilience capacity. </w:t>
            </w:r>
            <w:r w:rsidR="0046393E">
              <w:rPr>
                <w:rFonts w:ascii="Arial" w:hAnsi="Arial" w:cs="Arial"/>
                <w:sz w:val="16"/>
                <w:szCs w:val="16"/>
              </w:rPr>
              <w:t xml:space="preserve">The </w:t>
            </w:r>
            <w:r w:rsidRPr="00FE00E6">
              <w:rPr>
                <w:rFonts w:ascii="Arial" w:hAnsi="Arial" w:cs="Arial"/>
                <w:sz w:val="16"/>
                <w:szCs w:val="16"/>
              </w:rPr>
              <w:t>NRRA engages with affected communities to support locally-led recovery and improve awareness and uptake of Commonwealth relief, recovery and reconstruction support.</w:t>
            </w:r>
          </w:p>
        </w:tc>
      </w:tr>
      <w:tr w:rsidR="009F2A20" w:rsidRPr="001D052A" w14:paraId="20BE1E52" w14:textId="77777777" w:rsidTr="002F7A80">
        <w:trPr>
          <w:trHeight w:val="694"/>
        </w:trPr>
        <w:tc>
          <w:tcPr>
            <w:tcW w:w="1706" w:type="dxa"/>
            <w:tcBorders>
              <w:top w:val="single" w:sz="4" w:space="0" w:color="auto"/>
              <w:left w:val="single" w:sz="4" w:space="0" w:color="auto"/>
              <w:bottom w:val="double" w:sz="4" w:space="0" w:color="auto"/>
              <w:right w:val="single" w:sz="4" w:space="0" w:color="auto"/>
            </w:tcBorders>
            <w:hideMark/>
          </w:tcPr>
          <w:p w14:paraId="48598BA5" w14:textId="77777777" w:rsidR="009F2A20" w:rsidRPr="00FE00E6" w:rsidRDefault="0046393E"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Key a</w:t>
            </w:r>
            <w:r w:rsidR="009F2A20" w:rsidRPr="00FE00E6">
              <w:rPr>
                <w:rFonts w:ascii="Arial" w:hAnsi="Arial" w:cs="Arial"/>
                <w:b/>
                <w:color w:val="000000" w:themeColor="text1"/>
                <w:sz w:val="16"/>
                <w:szCs w:val="16"/>
              </w:rPr>
              <w:t>ctivities (a)</w:t>
            </w:r>
          </w:p>
        </w:tc>
        <w:tc>
          <w:tcPr>
            <w:tcW w:w="6261" w:type="dxa"/>
            <w:gridSpan w:val="2"/>
            <w:tcBorders>
              <w:top w:val="single" w:sz="4" w:space="0" w:color="auto"/>
              <w:left w:val="single" w:sz="4" w:space="0" w:color="auto"/>
              <w:bottom w:val="double" w:sz="4" w:space="0" w:color="auto"/>
              <w:right w:val="single" w:sz="4" w:space="0" w:color="auto"/>
            </w:tcBorders>
            <w:hideMark/>
          </w:tcPr>
          <w:p w14:paraId="2E4F02D2" w14:textId="77777777" w:rsidR="009F2A20"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Providing policy and strategic advice</w:t>
            </w:r>
          </w:p>
          <w:p w14:paraId="282C0FE0"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Pr>
                <w:rFonts w:ascii="Arial" w:hAnsi="Arial" w:cs="Arial"/>
                <w:bCs/>
                <w:color w:val="000000" w:themeColor="text1"/>
                <w:sz w:val="16"/>
                <w:szCs w:val="16"/>
              </w:rPr>
              <w:t>Delivering programs and services</w:t>
            </w:r>
          </w:p>
          <w:p w14:paraId="3D69D932" w14:textId="77777777" w:rsidR="009F2A20" w:rsidRPr="00A033A0"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Engagement and </w:t>
            </w:r>
            <w:r>
              <w:rPr>
                <w:rFonts w:ascii="Arial" w:hAnsi="Arial" w:cs="Arial"/>
                <w:bCs/>
                <w:color w:val="000000" w:themeColor="text1"/>
                <w:sz w:val="16"/>
                <w:szCs w:val="16"/>
              </w:rPr>
              <w:t>c</w:t>
            </w:r>
            <w:r w:rsidRPr="00FE00E6">
              <w:rPr>
                <w:rFonts w:ascii="Arial" w:hAnsi="Arial" w:cs="Arial"/>
                <w:bCs/>
                <w:color w:val="000000" w:themeColor="text1"/>
                <w:sz w:val="16"/>
                <w:szCs w:val="16"/>
              </w:rPr>
              <w:t>ollaboration</w:t>
            </w:r>
          </w:p>
        </w:tc>
      </w:tr>
      <w:tr w:rsidR="0046393E" w:rsidRPr="001D052A" w14:paraId="052D8F32" w14:textId="77777777" w:rsidTr="002F7A80">
        <w:trPr>
          <w:trHeight w:val="258"/>
        </w:trPr>
        <w:tc>
          <w:tcPr>
            <w:tcW w:w="1706" w:type="dxa"/>
            <w:tcBorders>
              <w:top w:val="double" w:sz="4" w:space="0" w:color="auto"/>
              <w:left w:val="single" w:sz="4" w:space="0" w:color="auto"/>
              <w:bottom w:val="single" w:sz="4" w:space="0" w:color="auto"/>
              <w:right w:val="single" w:sz="4" w:space="0" w:color="auto"/>
            </w:tcBorders>
          </w:tcPr>
          <w:p w14:paraId="389DEA62" w14:textId="77777777" w:rsidR="0046393E" w:rsidRPr="00FE00E6" w:rsidRDefault="0046393E" w:rsidP="002F7A80">
            <w:pPr>
              <w:tabs>
                <w:tab w:val="left" w:pos="709"/>
              </w:tabs>
              <w:spacing w:before="60" w:after="60" w:line="256" w:lineRule="auto"/>
              <w:rPr>
                <w:rFonts w:ascii="Arial" w:hAnsi="Arial" w:cs="Arial"/>
                <w:b/>
                <w:color w:val="000000" w:themeColor="text1"/>
                <w:sz w:val="16"/>
                <w:szCs w:val="16"/>
              </w:rPr>
            </w:pPr>
            <w:r w:rsidRPr="00FE00E6">
              <w:rPr>
                <w:rFonts w:ascii="Arial" w:hAnsi="Arial" w:cs="Arial"/>
                <w:b/>
                <w:color w:val="000000" w:themeColor="text1"/>
                <w:sz w:val="16"/>
                <w:szCs w:val="16"/>
              </w:rPr>
              <w:t>Year</w:t>
            </w:r>
          </w:p>
        </w:tc>
        <w:tc>
          <w:tcPr>
            <w:tcW w:w="4560" w:type="dxa"/>
            <w:tcBorders>
              <w:top w:val="double" w:sz="4" w:space="0" w:color="auto"/>
              <w:left w:val="single" w:sz="4" w:space="0" w:color="auto"/>
              <w:bottom w:val="single" w:sz="4" w:space="0" w:color="auto"/>
              <w:right w:val="single" w:sz="4" w:space="0" w:color="auto"/>
            </w:tcBorders>
          </w:tcPr>
          <w:p w14:paraId="1D358D17" w14:textId="77777777" w:rsidR="0046393E" w:rsidRPr="00FE00E6" w:rsidRDefault="0046393E" w:rsidP="002F7A80">
            <w:pPr>
              <w:tabs>
                <w:tab w:val="left" w:pos="709"/>
                <w:tab w:val="center" w:pos="1818"/>
              </w:tabs>
              <w:spacing w:before="60" w:after="60" w:line="256" w:lineRule="auto"/>
              <w:rPr>
                <w:rFonts w:ascii="Arial" w:hAnsi="Arial" w:cs="Arial"/>
                <w:b/>
                <w:color w:val="000000" w:themeColor="text1"/>
                <w:sz w:val="16"/>
                <w:szCs w:val="16"/>
              </w:rPr>
            </w:pPr>
            <w:r w:rsidRPr="00FE00E6">
              <w:rPr>
                <w:rFonts w:ascii="Arial" w:hAnsi="Arial" w:cs="Arial"/>
                <w:b/>
                <w:color w:val="000000" w:themeColor="text1"/>
                <w:sz w:val="16"/>
                <w:szCs w:val="16"/>
              </w:rPr>
              <w:t>Performance measures</w:t>
            </w:r>
          </w:p>
        </w:tc>
        <w:tc>
          <w:tcPr>
            <w:tcW w:w="1701" w:type="dxa"/>
            <w:tcBorders>
              <w:top w:val="double" w:sz="4" w:space="0" w:color="auto"/>
              <w:left w:val="single" w:sz="4" w:space="0" w:color="auto"/>
              <w:bottom w:val="single" w:sz="4" w:space="0" w:color="auto"/>
              <w:right w:val="single" w:sz="4" w:space="0" w:color="auto"/>
            </w:tcBorders>
          </w:tcPr>
          <w:p w14:paraId="2A727CE1" w14:textId="77777777" w:rsidR="0046393E" w:rsidRDefault="0046393E"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Expected performance r</w:t>
            </w:r>
            <w:r w:rsidRPr="00FE00E6">
              <w:rPr>
                <w:rFonts w:ascii="Arial" w:hAnsi="Arial" w:cs="Arial"/>
                <w:b/>
                <w:color w:val="000000" w:themeColor="text1"/>
                <w:sz w:val="16"/>
                <w:szCs w:val="16"/>
              </w:rPr>
              <w:t>esults</w:t>
            </w:r>
          </w:p>
        </w:tc>
      </w:tr>
      <w:tr w:rsidR="009F2A20" w:rsidRPr="001D052A" w14:paraId="5FD13B1E" w14:textId="77777777" w:rsidTr="002F7A80">
        <w:trPr>
          <w:trHeight w:val="616"/>
        </w:trPr>
        <w:tc>
          <w:tcPr>
            <w:tcW w:w="1706" w:type="dxa"/>
            <w:vMerge w:val="restart"/>
            <w:tcBorders>
              <w:top w:val="single" w:sz="4" w:space="0" w:color="auto"/>
              <w:left w:val="single" w:sz="4" w:space="0" w:color="auto"/>
              <w:bottom w:val="single" w:sz="4" w:space="0" w:color="auto"/>
              <w:right w:val="single" w:sz="4" w:space="0" w:color="auto"/>
            </w:tcBorders>
          </w:tcPr>
          <w:p w14:paraId="3FDB2145"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r w:rsidRPr="00FE00E6">
              <w:rPr>
                <w:rFonts w:ascii="Arial" w:hAnsi="Arial" w:cs="Arial"/>
                <w:color w:val="000000" w:themeColor="text1"/>
                <w:sz w:val="16"/>
                <w:szCs w:val="16"/>
              </w:rPr>
              <w:t xml:space="preserve">Current year </w:t>
            </w:r>
          </w:p>
          <w:p w14:paraId="54981F12"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r w:rsidRPr="00FE00E6">
              <w:rPr>
                <w:rFonts w:ascii="Arial" w:hAnsi="Arial" w:cs="Arial"/>
                <w:color w:val="000000" w:themeColor="text1"/>
                <w:sz w:val="16"/>
                <w:szCs w:val="16"/>
              </w:rPr>
              <w:t>2021-22</w:t>
            </w:r>
          </w:p>
          <w:p w14:paraId="6AECC88F"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p>
          <w:p w14:paraId="18D6F9AE"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p>
          <w:p w14:paraId="0A355910"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p>
          <w:p w14:paraId="3BA66DEA"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p>
          <w:p w14:paraId="7AD37F33"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p>
          <w:p w14:paraId="1EC3B586" w14:textId="77777777" w:rsidR="009F2A20" w:rsidRPr="00FE00E6" w:rsidRDefault="009F2A20" w:rsidP="002F7A80">
            <w:pPr>
              <w:tabs>
                <w:tab w:val="left" w:pos="709"/>
              </w:tabs>
              <w:spacing w:before="60" w:after="60" w:line="256" w:lineRule="auto"/>
              <w:rPr>
                <w:rFonts w:ascii="Arial" w:hAnsi="Arial" w:cs="Arial"/>
                <w:color w:val="000000" w:themeColor="text1"/>
                <w:sz w:val="16"/>
                <w:szCs w:val="16"/>
              </w:rPr>
            </w:pPr>
          </w:p>
          <w:p w14:paraId="5517A208" w14:textId="77777777" w:rsidR="009F2A20" w:rsidRDefault="009F2A20" w:rsidP="002F7A80">
            <w:pPr>
              <w:tabs>
                <w:tab w:val="left" w:pos="709"/>
              </w:tabs>
              <w:spacing w:before="60" w:after="60" w:line="256" w:lineRule="auto"/>
              <w:rPr>
                <w:rFonts w:ascii="Arial" w:hAnsi="Arial" w:cs="Arial"/>
                <w:color w:val="000000" w:themeColor="text1"/>
                <w:sz w:val="16"/>
                <w:szCs w:val="16"/>
              </w:rPr>
            </w:pPr>
          </w:p>
          <w:p w14:paraId="06AFEA45" w14:textId="77777777" w:rsidR="0046393E" w:rsidRDefault="0046393E" w:rsidP="002F7A80">
            <w:pPr>
              <w:tabs>
                <w:tab w:val="left" w:pos="709"/>
              </w:tabs>
              <w:spacing w:before="60" w:after="60" w:line="256" w:lineRule="auto"/>
              <w:rPr>
                <w:rFonts w:ascii="Arial" w:hAnsi="Arial" w:cs="Arial"/>
                <w:color w:val="000000" w:themeColor="text1"/>
                <w:sz w:val="16"/>
                <w:szCs w:val="16"/>
              </w:rPr>
            </w:pPr>
          </w:p>
          <w:p w14:paraId="25BB18FB" w14:textId="77777777" w:rsidR="0046393E" w:rsidRDefault="0046393E" w:rsidP="002F7A80">
            <w:pPr>
              <w:tabs>
                <w:tab w:val="left" w:pos="709"/>
              </w:tabs>
              <w:spacing w:before="60" w:after="60" w:line="256" w:lineRule="auto"/>
              <w:rPr>
                <w:rFonts w:ascii="Arial" w:hAnsi="Arial" w:cs="Arial"/>
                <w:color w:val="000000" w:themeColor="text1"/>
                <w:sz w:val="16"/>
                <w:szCs w:val="16"/>
              </w:rPr>
            </w:pPr>
          </w:p>
          <w:p w14:paraId="15BA2CB4" w14:textId="77777777" w:rsidR="0046393E" w:rsidRDefault="0046393E" w:rsidP="002F7A80">
            <w:pPr>
              <w:tabs>
                <w:tab w:val="left" w:pos="709"/>
              </w:tabs>
              <w:spacing w:before="60" w:after="60" w:line="256" w:lineRule="auto"/>
              <w:rPr>
                <w:rFonts w:ascii="Arial" w:hAnsi="Arial" w:cs="Arial"/>
                <w:color w:val="000000" w:themeColor="text1"/>
                <w:sz w:val="16"/>
                <w:szCs w:val="16"/>
              </w:rPr>
            </w:pPr>
          </w:p>
          <w:p w14:paraId="2251AEDD" w14:textId="77777777" w:rsidR="0046393E" w:rsidRDefault="0046393E" w:rsidP="002F7A80">
            <w:pPr>
              <w:tabs>
                <w:tab w:val="left" w:pos="709"/>
              </w:tabs>
              <w:spacing w:before="60" w:after="60" w:line="256" w:lineRule="auto"/>
              <w:rPr>
                <w:rFonts w:ascii="Arial" w:hAnsi="Arial" w:cs="Arial"/>
                <w:color w:val="000000" w:themeColor="text1"/>
                <w:sz w:val="16"/>
                <w:szCs w:val="16"/>
              </w:rPr>
            </w:pPr>
          </w:p>
          <w:p w14:paraId="32AE13FA" w14:textId="77777777" w:rsidR="0046393E" w:rsidRDefault="0046393E" w:rsidP="002F7A80">
            <w:pPr>
              <w:tabs>
                <w:tab w:val="left" w:pos="709"/>
              </w:tabs>
              <w:spacing w:before="60" w:after="60" w:line="256" w:lineRule="auto"/>
              <w:rPr>
                <w:rFonts w:ascii="Arial" w:hAnsi="Arial" w:cs="Arial"/>
                <w:color w:val="000000" w:themeColor="text1"/>
                <w:sz w:val="16"/>
                <w:szCs w:val="16"/>
              </w:rPr>
            </w:pPr>
          </w:p>
          <w:p w14:paraId="5B41206E" w14:textId="77777777" w:rsidR="0046393E" w:rsidRPr="00FE00E6" w:rsidRDefault="0046393E" w:rsidP="002F7A80">
            <w:pPr>
              <w:tabs>
                <w:tab w:val="left" w:pos="709"/>
              </w:tabs>
              <w:spacing w:before="60" w:after="60" w:line="256" w:lineRule="auto"/>
              <w:rPr>
                <w:rFonts w:ascii="Arial" w:hAnsi="Arial" w:cs="Arial"/>
                <w:color w:val="000000" w:themeColor="text1"/>
                <w:sz w:val="16"/>
                <w:szCs w:val="16"/>
              </w:rPr>
            </w:pPr>
          </w:p>
        </w:tc>
        <w:tc>
          <w:tcPr>
            <w:tcW w:w="4560" w:type="dxa"/>
            <w:tcBorders>
              <w:top w:val="single" w:sz="4" w:space="0" w:color="auto"/>
              <w:left w:val="single" w:sz="4" w:space="0" w:color="auto"/>
              <w:bottom w:val="single" w:sz="4" w:space="0" w:color="auto"/>
              <w:right w:val="single" w:sz="4" w:space="0" w:color="auto"/>
            </w:tcBorders>
            <w:hideMark/>
          </w:tcPr>
          <w:p w14:paraId="6C860828"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Recipients of Australian Government disaster recovery, resilience and risk reduction assistance indicate that it has assisted their recovery and they are better prepared for future disasters</w:t>
            </w:r>
          </w:p>
        </w:tc>
        <w:tc>
          <w:tcPr>
            <w:tcW w:w="1701" w:type="dxa"/>
            <w:tcBorders>
              <w:top w:val="single" w:sz="4" w:space="0" w:color="auto"/>
              <w:left w:val="single" w:sz="4" w:space="0" w:color="auto"/>
              <w:bottom w:val="single" w:sz="4" w:space="0" w:color="auto"/>
              <w:right w:val="single" w:sz="4" w:space="0" w:color="auto"/>
            </w:tcBorders>
            <w:hideMark/>
          </w:tcPr>
          <w:p w14:paraId="6CF3CB75"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Data being collected </w:t>
            </w:r>
          </w:p>
        </w:tc>
      </w:tr>
      <w:tr w:rsidR="009F2A20" w:rsidRPr="001D052A" w14:paraId="00EE666D" w14:textId="77777777" w:rsidTr="002F7A80">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5D239" w14:textId="77777777" w:rsidR="009F2A20" w:rsidRPr="00FE00E6" w:rsidRDefault="009F2A20" w:rsidP="002F7A80">
            <w:pPr>
              <w:spacing w:after="0" w:line="256" w:lineRule="auto"/>
              <w:rPr>
                <w:rFonts w:ascii="Arial" w:hAnsi="Arial" w:cs="Arial"/>
                <w:color w:val="000000" w:themeColor="text1"/>
                <w:sz w:val="16"/>
                <w:szCs w:val="16"/>
                <w:lang w:eastAsia="en-US"/>
              </w:rPr>
            </w:pPr>
          </w:p>
        </w:tc>
        <w:tc>
          <w:tcPr>
            <w:tcW w:w="4560" w:type="dxa"/>
            <w:tcBorders>
              <w:top w:val="single" w:sz="4" w:space="0" w:color="auto"/>
              <w:left w:val="single" w:sz="4" w:space="0" w:color="auto"/>
              <w:bottom w:val="single" w:sz="4" w:space="0" w:color="auto"/>
              <w:right w:val="single" w:sz="4" w:space="0" w:color="auto"/>
            </w:tcBorders>
            <w:hideMark/>
          </w:tcPr>
          <w:p w14:paraId="3DEEDD3A" w14:textId="77777777" w:rsidR="009F2A20" w:rsidRPr="00FE00E6" w:rsidRDefault="009F2A20" w:rsidP="0046393E">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Delivery of measures underpinning the </w:t>
            </w:r>
            <w:r w:rsidR="0046393E">
              <w:rPr>
                <w:rFonts w:ascii="Arial" w:hAnsi="Arial" w:cs="Arial"/>
                <w:bCs/>
                <w:color w:val="000000" w:themeColor="text1"/>
                <w:sz w:val="16"/>
                <w:szCs w:val="16"/>
              </w:rPr>
              <w:t>s</w:t>
            </w:r>
            <w:r w:rsidRPr="00FE00E6">
              <w:rPr>
                <w:rFonts w:ascii="Arial" w:hAnsi="Arial" w:cs="Arial"/>
                <w:bCs/>
                <w:color w:val="000000" w:themeColor="text1"/>
                <w:sz w:val="16"/>
                <w:szCs w:val="16"/>
              </w:rPr>
              <w:t>trategy for long-term recovery in those areas impacted by 2019 North Queensland monsoon event</w:t>
            </w:r>
            <w:r w:rsidR="00ED6808">
              <w:rPr>
                <w:rFonts w:ascii="Arial" w:hAnsi="Arial" w:cs="Arial"/>
                <w:bCs/>
                <w:color w:val="000000" w:themeColor="text1"/>
                <w:sz w:val="16"/>
                <w:szCs w:val="16"/>
              </w:rPr>
              <w:t>^</w:t>
            </w:r>
          </w:p>
        </w:tc>
        <w:tc>
          <w:tcPr>
            <w:tcW w:w="1701" w:type="dxa"/>
            <w:tcBorders>
              <w:top w:val="single" w:sz="4" w:space="0" w:color="auto"/>
              <w:left w:val="single" w:sz="4" w:space="0" w:color="auto"/>
              <w:bottom w:val="single" w:sz="4" w:space="0" w:color="auto"/>
              <w:right w:val="single" w:sz="4" w:space="0" w:color="auto"/>
            </w:tcBorders>
            <w:hideMark/>
          </w:tcPr>
          <w:p w14:paraId="0FA9D21D"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On track </w:t>
            </w:r>
          </w:p>
        </w:tc>
      </w:tr>
      <w:tr w:rsidR="009F2A20" w:rsidRPr="001D052A" w14:paraId="7EB3C62B" w14:textId="77777777" w:rsidTr="002F7A80">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C0670" w14:textId="77777777" w:rsidR="009F2A20" w:rsidRPr="00FE00E6" w:rsidRDefault="009F2A20" w:rsidP="002F7A80">
            <w:pPr>
              <w:spacing w:after="0" w:line="256" w:lineRule="auto"/>
              <w:rPr>
                <w:rFonts w:ascii="Arial" w:hAnsi="Arial" w:cs="Arial"/>
                <w:color w:val="000000" w:themeColor="text1"/>
                <w:sz w:val="16"/>
                <w:szCs w:val="16"/>
                <w:lang w:eastAsia="en-US"/>
              </w:rPr>
            </w:pPr>
          </w:p>
        </w:tc>
        <w:tc>
          <w:tcPr>
            <w:tcW w:w="4560" w:type="dxa"/>
            <w:tcBorders>
              <w:top w:val="single" w:sz="4" w:space="0" w:color="auto"/>
              <w:left w:val="single" w:sz="4" w:space="0" w:color="auto"/>
              <w:bottom w:val="single" w:sz="4" w:space="0" w:color="auto"/>
              <w:right w:val="single" w:sz="4" w:space="0" w:color="auto"/>
            </w:tcBorders>
            <w:hideMark/>
          </w:tcPr>
          <w:p w14:paraId="17EFE24A"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Recovery Connect simplifies and streamlines access to Australian Government information and services associated with disasters</w:t>
            </w:r>
          </w:p>
        </w:tc>
        <w:tc>
          <w:tcPr>
            <w:tcW w:w="1701" w:type="dxa"/>
            <w:tcBorders>
              <w:top w:val="single" w:sz="4" w:space="0" w:color="auto"/>
              <w:left w:val="single" w:sz="4" w:space="0" w:color="auto"/>
              <w:bottom w:val="single" w:sz="4" w:space="0" w:color="auto"/>
              <w:right w:val="single" w:sz="4" w:space="0" w:color="auto"/>
            </w:tcBorders>
            <w:hideMark/>
          </w:tcPr>
          <w:p w14:paraId="68C8E987"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On track </w:t>
            </w:r>
          </w:p>
        </w:tc>
      </w:tr>
      <w:tr w:rsidR="009F2A20" w:rsidRPr="001D052A" w14:paraId="59AFCA80" w14:textId="77777777" w:rsidTr="002F7A80">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64F90" w14:textId="77777777" w:rsidR="009F2A20" w:rsidRPr="00FE00E6" w:rsidRDefault="009F2A20" w:rsidP="002F7A80">
            <w:pPr>
              <w:spacing w:after="0" w:line="256" w:lineRule="auto"/>
              <w:rPr>
                <w:rFonts w:ascii="Arial" w:hAnsi="Arial" w:cs="Arial"/>
                <w:color w:val="000000" w:themeColor="text1"/>
                <w:sz w:val="16"/>
                <w:szCs w:val="16"/>
                <w:lang w:eastAsia="en-US"/>
              </w:rPr>
            </w:pPr>
          </w:p>
        </w:tc>
        <w:tc>
          <w:tcPr>
            <w:tcW w:w="4560" w:type="dxa"/>
            <w:tcBorders>
              <w:top w:val="single" w:sz="4" w:space="0" w:color="auto"/>
              <w:left w:val="single" w:sz="4" w:space="0" w:color="auto"/>
              <w:bottom w:val="single" w:sz="4" w:space="0" w:color="auto"/>
              <w:right w:val="single" w:sz="4" w:space="0" w:color="auto"/>
            </w:tcBorders>
            <w:hideMark/>
          </w:tcPr>
          <w:p w14:paraId="3FE72F8A" w14:textId="77777777" w:rsidR="009F2A20" w:rsidRPr="00FE00E6" w:rsidRDefault="009F2A20" w:rsidP="0046393E">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The </w:t>
            </w:r>
            <w:r w:rsidR="0046393E">
              <w:rPr>
                <w:rFonts w:ascii="Arial" w:hAnsi="Arial" w:cs="Arial"/>
                <w:bCs/>
                <w:color w:val="000000" w:themeColor="text1"/>
                <w:sz w:val="16"/>
                <w:szCs w:val="16"/>
              </w:rPr>
              <w:t>NRRA’s</w:t>
            </w:r>
            <w:r w:rsidRPr="00FE00E6">
              <w:rPr>
                <w:rFonts w:ascii="Arial" w:hAnsi="Arial" w:cs="Arial"/>
                <w:bCs/>
                <w:color w:val="000000" w:themeColor="text1"/>
                <w:sz w:val="16"/>
                <w:szCs w:val="16"/>
              </w:rPr>
              <w:t xml:space="preserve"> engagement with individuals, businesses and communities raises awareness of available disaster assistance, including on strategies to be better prepared for future disasters</w:t>
            </w:r>
          </w:p>
        </w:tc>
        <w:tc>
          <w:tcPr>
            <w:tcW w:w="1701" w:type="dxa"/>
            <w:tcBorders>
              <w:top w:val="single" w:sz="4" w:space="0" w:color="auto"/>
              <w:left w:val="single" w:sz="4" w:space="0" w:color="auto"/>
              <w:bottom w:val="single" w:sz="4" w:space="0" w:color="auto"/>
              <w:right w:val="single" w:sz="4" w:space="0" w:color="auto"/>
            </w:tcBorders>
            <w:hideMark/>
          </w:tcPr>
          <w:p w14:paraId="23178E03"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On track </w:t>
            </w:r>
          </w:p>
        </w:tc>
      </w:tr>
      <w:tr w:rsidR="009F2A20" w:rsidRPr="001D052A" w14:paraId="512812B6" w14:textId="77777777" w:rsidTr="002F7A80">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8804B" w14:textId="77777777" w:rsidR="009F2A20" w:rsidRPr="00FE00E6" w:rsidRDefault="009F2A20" w:rsidP="002F7A80">
            <w:pPr>
              <w:spacing w:after="0" w:line="256" w:lineRule="auto"/>
              <w:rPr>
                <w:rFonts w:ascii="Arial" w:hAnsi="Arial" w:cs="Arial"/>
                <w:color w:val="000000" w:themeColor="text1"/>
                <w:sz w:val="16"/>
                <w:szCs w:val="16"/>
                <w:lang w:eastAsia="en-US"/>
              </w:rPr>
            </w:pPr>
          </w:p>
        </w:tc>
        <w:tc>
          <w:tcPr>
            <w:tcW w:w="4560" w:type="dxa"/>
            <w:tcBorders>
              <w:top w:val="single" w:sz="4" w:space="0" w:color="auto"/>
              <w:left w:val="single" w:sz="4" w:space="0" w:color="auto"/>
              <w:bottom w:val="single" w:sz="4" w:space="0" w:color="auto"/>
              <w:right w:val="single" w:sz="4" w:space="0" w:color="auto"/>
            </w:tcBorders>
            <w:hideMark/>
          </w:tcPr>
          <w:p w14:paraId="235E9763"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Effective collaboration and engagement with Commonwealth, state and territory and industry partners, enhances Australia’s ability to prepare for and respond to disasters</w:t>
            </w:r>
          </w:p>
        </w:tc>
        <w:tc>
          <w:tcPr>
            <w:tcW w:w="1701" w:type="dxa"/>
            <w:tcBorders>
              <w:top w:val="single" w:sz="4" w:space="0" w:color="auto"/>
              <w:left w:val="single" w:sz="4" w:space="0" w:color="auto"/>
              <w:bottom w:val="single" w:sz="4" w:space="0" w:color="auto"/>
              <w:right w:val="single" w:sz="4" w:space="0" w:color="auto"/>
            </w:tcBorders>
            <w:hideMark/>
          </w:tcPr>
          <w:p w14:paraId="7EE27825" w14:textId="77777777" w:rsidR="009F2A20" w:rsidRPr="00FE00E6" w:rsidRDefault="009F2A20" w:rsidP="002F7A80">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On track </w:t>
            </w:r>
          </w:p>
        </w:tc>
      </w:tr>
      <w:tr w:rsidR="0046393E" w:rsidRPr="001D052A" w14:paraId="70DEFA36" w14:textId="77777777" w:rsidTr="0046393E">
        <w:trPr>
          <w:trHeight w:val="121"/>
        </w:trPr>
        <w:tc>
          <w:tcPr>
            <w:tcW w:w="1706" w:type="dxa"/>
            <w:tcBorders>
              <w:top w:val="single" w:sz="4" w:space="0" w:color="auto"/>
              <w:left w:val="single" w:sz="4" w:space="0" w:color="auto"/>
              <w:bottom w:val="dotted" w:sz="4" w:space="0" w:color="auto"/>
              <w:right w:val="single" w:sz="4" w:space="0" w:color="auto"/>
            </w:tcBorders>
            <w:hideMark/>
          </w:tcPr>
          <w:p w14:paraId="09629FEB" w14:textId="77777777" w:rsidR="0046393E" w:rsidRPr="000D0C3B" w:rsidRDefault="0046393E" w:rsidP="0046393E">
            <w:pPr>
              <w:tabs>
                <w:tab w:val="left" w:pos="709"/>
              </w:tabs>
              <w:spacing w:before="60" w:after="60" w:line="256" w:lineRule="auto"/>
              <w:rPr>
                <w:rFonts w:ascii="Arial" w:hAnsi="Arial" w:cs="Arial"/>
                <w:color w:val="000000" w:themeColor="text1"/>
                <w:sz w:val="16"/>
                <w:szCs w:val="16"/>
              </w:rPr>
            </w:pPr>
            <w:r w:rsidRPr="000D0C3B">
              <w:rPr>
                <w:rFonts w:ascii="Arial" w:hAnsi="Arial" w:cs="Arial"/>
                <w:b/>
                <w:color w:val="000000" w:themeColor="text1"/>
                <w:sz w:val="16"/>
                <w:szCs w:val="16"/>
              </w:rPr>
              <w:t>Year</w:t>
            </w:r>
          </w:p>
        </w:tc>
        <w:tc>
          <w:tcPr>
            <w:tcW w:w="4560" w:type="dxa"/>
            <w:tcBorders>
              <w:top w:val="single" w:sz="4" w:space="0" w:color="auto"/>
              <w:left w:val="single" w:sz="4" w:space="0" w:color="auto"/>
              <w:bottom w:val="dotted" w:sz="4" w:space="0" w:color="auto"/>
              <w:right w:val="single" w:sz="4" w:space="0" w:color="auto"/>
            </w:tcBorders>
            <w:hideMark/>
          </w:tcPr>
          <w:p w14:paraId="279DBF02" w14:textId="77777777" w:rsidR="0046393E" w:rsidRPr="000D0C3B" w:rsidRDefault="0046393E" w:rsidP="0046393E">
            <w:pPr>
              <w:tabs>
                <w:tab w:val="left" w:pos="709"/>
              </w:tabs>
              <w:spacing w:before="60" w:after="60" w:line="256" w:lineRule="auto"/>
              <w:rPr>
                <w:rFonts w:ascii="Arial" w:hAnsi="Arial" w:cs="Arial"/>
                <w:color w:val="000000" w:themeColor="text1"/>
                <w:sz w:val="22"/>
                <w:szCs w:val="22"/>
              </w:rPr>
            </w:pPr>
            <w:r w:rsidRPr="000D0C3B">
              <w:rPr>
                <w:rFonts w:ascii="Arial" w:hAnsi="Arial" w:cs="Arial"/>
                <w:b/>
                <w:color w:val="000000" w:themeColor="text1"/>
                <w:sz w:val="16"/>
                <w:szCs w:val="16"/>
              </w:rPr>
              <w:t>Performance measures (b)</w:t>
            </w:r>
          </w:p>
        </w:tc>
        <w:tc>
          <w:tcPr>
            <w:tcW w:w="1701" w:type="dxa"/>
            <w:tcBorders>
              <w:top w:val="single" w:sz="4" w:space="0" w:color="auto"/>
              <w:left w:val="single" w:sz="4" w:space="0" w:color="auto"/>
              <w:bottom w:val="dotted" w:sz="4" w:space="0" w:color="auto"/>
              <w:right w:val="single" w:sz="4" w:space="0" w:color="auto"/>
            </w:tcBorders>
            <w:hideMark/>
          </w:tcPr>
          <w:p w14:paraId="69B571E3" w14:textId="77777777" w:rsidR="0046393E" w:rsidRPr="000D0C3B" w:rsidRDefault="0046393E" w:rsidP="0046393E">
            <w:pPr>
              <w:tabs>
                <w:tab w:val="left" w:pos="709"/>
              </w:tabs>
              <w:spacing w:before="60" w:after="60" w:line="256" w:lineRule="auto"/>
              <w:rPr>
                <w:rFonts w:ascii="Arial" w:hAnsi="Arial" w:cs="Arial"/>
                <w:i/>
                <w:color w:val="000000" w:themeColor="text1"/>
                <w:sz w:val="16"/>
                <w:szCs w:val="16"/>
              </w:rPr>
            </w:pPr>
            <w:r w:rsidRPr="000D0C3B">
              <w:rPr>
                <w:rFonts w:ascii="Arial" w:hAnsi="Arial" w:cs="Arial"/>
                <w:b/>
                <w:color w:val="000000" w:themeColor="text1"/>
                <w:sz w:val="16"/>
                <w:szCs w:val="16"/>
              </w:rPr>
              <w:t xml:space="preserve">Planned </w:t>
            </w:r>
            <w:r>
              <w:rPr>
                <w:rFonts w:ascii="Arial" w:hAnsi="Arial" w:cs="Arial"/>
                <w:b/>
                <w:color w:val="000000" w:themeColor="text1"/>
                <w:sz w:val="16"/>
                <w:szCs w:val="16"/>
              </w:rPr>
              <w:t>performance r</w:t>
            </w:r>
            <w:r w:rsidRPr="000D0C3B">
              <w:rPr>
                <w:rFonts w:ascii="Arial" w:hAnsi="Arial" w:cs="Arial"/>
                <w:b/>
                <w:color w:val="000000" w:themeColor="text1"/>
                <w:sz w:val="16"/>
                <w:szCs w:val="16"/>
              </w:rPr>
              <w:t>esults</w:t>
            </w:r>
          </w:p>
        </w:tc>
      </w:tr>
      <w:tr w:rsidR="0046393E" w:rsidRPr="001D052A" w14:paraId="2D71FB27" w14:textId="77777777" w:rsidTr="0063110C">
        <w:trPr>
          <w:trHeight w:val="100"/>
        </w:trPr>
        <w:tc>
          <w:tcPr>
            <w:tcW w:w="1706" w:type="dxa"/>
            <w:vMerge w:val="restart"/>
            <w:tcBorders>
              <w:top w:val="single" w:sz="4" w:space="0" w:color="auto"/>
              <w:left w:val="single" w:sz="4" w:space="0" w:color="auto"/>
              <w:right w:val="single" w:sz="4" w:space="0" w:color="auto"/>
            </w:tcBorders>
          </w:tcPr>
          <w:p w14:paraId="3531E746" w14:textId="77777777" w:rsidR="0046393E" w:rsidRPr="00FE00E6" w:rsidRDefault="0046393E" w:rsidP="0046393E">
            <w:pPr>
              <w:tabs>
                <w:tab w:val="left" w:pos="709"/>
              </w:tabs>
              <w:spacing w:before="60" w:after="60" w:line="256" w:lineRule="auto"/>
              <w:rPr>
                <w:rFonts w:ascii="Arial" w:hAnsi="Arial" w:cs="Arial"/>
                <w:color w:val="000000" w:themeColor="text1"/>
                <w:sz w:val="16"/>
                <w:szCs w:val="16"/>
              </w:rPr>
            </w:pPr>
            <w:r w:rsidRPr="00FE00E6">
              <w:rPr>
                <w:rFonts w:ascii="Arial" w:hAnsi="Arial" w:cs="Arial"/>
                <w:color w:val="000000" w:themeColor="text1"/>
                <w:sz w:val="16"/>
                <w:szCs w:val="16"/>
              </w:rPr>
              <w:t xml:space="preserve">Current year </w:t>
            </w:r>
          </w:p>
          <w:p w14:paraId="5682336F" w14:textId="77777777" w:rsidR="0046393E" w:rsidRPr="00FE00E6" w:rsidRDefault="0046393E" w:rsidP="0046393E">
            <w:pPr>
              <w:tabs>
                <w:tab w:val="left" w:pos="709"/>
              </w:tabs>
              <w:spacing w:before="60" w:after="60" w:line="256" w:lineRule="auto"/>
              <w:rPr>
                <w:rFonts w:ascii="Arial" w:hAnsi="Arial" w:cs="Arial"/>
                <w:color w:val="000000" w:themeColor="text1"/>
                <w:sz w:val="16"/>
                <w:szCs w:val="16"/>
              </w:rPr>
            </w:pPr>
            <w:r w:rsidRPr="00FE00E6">
              <w:rPr>
                <w:rFonts w:ascii="Arial" w:hAnsi="Arial" w:cs="Arial"/>
                <w:color w:val="000000" w:themeColor="text1"/>
                <w:sz w:val="16"/>
                <w:szCs w:val="16"/>
              </w:rPr>
              <w:t>2021-22</w:t>
            </w:r>
          </w:p>
          <w:p w14:paraId="5BFBFC58" w14:textId="77777777" w:rsidR="0046393E" w:rsidRDefault="0046393E" w:rsidP="0046393E">
            <w:pPr>
              <w:tabs>
                <w:tab w:val="left" w:pos="709"/>
              </w:tabs>
              <w:spacing w:before="60" w:after="60" w:line="256" w:lineRule="auto"/>
              <w:jc w:val="left"/>
              <w:rPr>
                <w:rFonts w:ascii="Arial" w:hAnsi="Arial" w:cs="Arial"/>
                <w:color w:val="000000" w:themeColor="text1"/>
                <w:sz w:val="16"/>
                <w:szCs w:val="16"/>
              </w:rPr>
            </w:pPr>
          </w:p>
        </w:tc>
        <w:tc>
          <w:tcPr>
            <w:tcW w:w="4560" w:type="dxa"/>
            <w:tcBorders>
              <w:top w:val="single" w:sz="4" w:space="0" w:color="auto"/>
              <w:left w:val="single" w:sz="4" w:space="0" w:color="auto"/>
              <w:bottom w:val="dotted" w:sz="4" w:space="0" w:color="auto"/>
              <w:right w:val="single" w:sz="4" w:space="0" w:color="auto"/>
            </w:tcBorders>
          </w:tcPr>
          <w:p w14:paraId="6D0C9FB2"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FE00E6">
              <w:rPr>
                <w:rFonts w:ascii="Arial" w:hAnsi="Arial" w:cs="Arial"/>
                <w:bCs/>
                <w:color w:val="000000" w:themeColor="text1"/>
                <w:sz w:val="16"/>
                <w:szCs w:val="16"/>
              </w:rPr>
              <w:t xml:space="preserve">The </w:t>
            </w:r>
            <w:r>
              <w:rPr>
                <w:rFonts w:ascii="Arial" w:hAnsi="Arial" w:cs="Arial"/>
                <w:bCs/>
                <w:color w:val="000000" w:themeColor="text1"/>
                <w:sz w:val="16"/>
                <w:szCs w:val="16"/>
              </w:rPr>
              <w:t>NRRA</w:t>
            </w:r>
            <w:r w:rsidRPr="00FE00E6">
              <w:rPr>
                <w:rFonts w:ascii="Arial" w:hAnsi="Arial" w:cs="Arial"/>
                <w:bCs/>
                <w:color w:val="000000" w:themeColor="text1"/>
                <w:sz w:val="16"/>
                <w:szCs w:val="16"/>
              </w:rPr>
              <w:t xml:space="preserve"> provides high quality, timely advice to relevant government agencies which assists in responding to conditions on the ground</w:t>
            </w:r>
            <w:r>
              <w:rPr>
                <w:rFonts w:ascii="Arial" w:hAnsi="Arial" w:cs="Arial"/>
                <w:bCs/>
                <w:color w:val="000000" w:themeColor="text1"/>
                <w:sz w:val="16"/>
                <w:szCs w:val="16"/>
              </w:rPr>
              <w:t>.</w:t>
            </w:r>
          </w:p>
        </w:tc>
        <w:tc>
          <w:tcPr>
            <w:tcW w:w="1701" w:type="dxa"/>
            <w:tcBorders>
              <w:top w:val="single" w:sz="4" w:space="0" w:color="auto"/>
              <w:left w:val="single" w:sz="4" w:space="0" w:color="auto"/>
              <w:bottom w:val="dotted" w:sz="4" w:space="0" w:color="auto"/>
              <w:right w:val="single" w:sz="4" w:space="0" w:color="auto"/>
            </w:tcBorders>
          </w:tcPr>
          <w:p w14:paraId="185766CE"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 xml:space="preserve">On track </w:t>
            </w:r>
          </w:p>
          <w:p w14:paraId="6C0F991E" w14:textId="77777777" w:rsidR="0046393E" w:rsidRPr="000D0C3B" w:rsidRDefault="0046393E" w:rsidP="0046393E">
            <w:pPr>
              <w:spacing w:after="40" w:line="256" w:lineRule="auto"/>
              <w:rPr>
                <w:rFonts w:ascii="Arial" w:hAnsi="Arial" w:cs="Arial"/>
                <w:color w:val="000000" w:themeColor="text1"/>
                <w:sz w:val="16"/>
                <w:szCs w:val="16"/>
              </w:rPr>
            </w:pPr>
          </w:p>
        </w:tc>
      </w:tr>
      <w:tr w:rsidR="0046393E" w:rsidRPr="001D052A" w14:paraId="5AA44FF8" w14:textId="77777777" w:rsidTr="0063110C">
        <w:trPr>
          <w:trHeight w:val="100"/>
        </w:trPr>
        <w:tc>
          <w:tcPr>
            <w:tcW w:w="1706" w:type="dxa"/>
            <w:vMerge/>
            <w:tcBorders>
              <w:left w:val="single" w:sz="4" w:space="0" w:color="auto"/>
              <w:right w:val="single" w:sz="4" w:space="0" w:color="auto"/>
            </w:tcBorders>
          </w:tcPr>
          <w:p w14:paraId="08BCC656" w14:textId="77777777" w:rsidR="0046393E" w:rsidRDefault="0046393E" w:rsidP="0046393E">
            <w:pPr>
              <w:tabs>
                <w:tab w:val="left" w:pos="709"/>
              </w:tabs>
              <w:spacing w:before="60" w:after="60" w:line="256" w:lineRule="auto"/>
              <w:jc w:val="left"/>
              <w:rPr>
                <w:rFonts w:ascii="Arial" w:hAnsi="Arial" w:cs="Arial"/>
                <w:color w:val="000000" w:themeColor="text1"/>
                <w:sz w:val="16"/>
                <w:szCs w:val="16"/>
              </w:rPr>
            </w:pPr>
          </w:p>
        </w:tc>
        <w:tc>
          <w:tcPr>
            <w:tcW w:w="4560" w:type="dxa"/>
            <w:tcBorders>
              <w:top w:val="single" w:sz="4" w:space="0" w:color="auto"/>
              <w:left w:val="single" w:sz="4" w:space="0" w:color="auto"/>
              <w:bottom w:val="dotted" w:sz="4" w:space="0" w:color="auto"/>
              <w:right w:val="single" w:sz="4" w:space="0" w:color="auto"/>
            </w:tcBorders>
          </w:tcPr>
          <w:p w14:paraId="4D118970" w14:textId="77777777" w:rsidR="0046393E" w:rsidRPr="000D0C3B" w:rsidRDefault="0046393E" w:rsidP="00CA41DD">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Demonstrated progress against key initiatives identified in the National Dis</w:t>
            </w:r>
            <w:r>
              <w:rPr>
                <w:rFonts w:ascii="Arial" w:hAnsi="Arial" w:cs="Arial"/>
                <w:bCs/>
                <w:color w:val="000000" w:themeColor="text1"/>
                <w:sz w:val="16"/>
                <w:szCs w:val="16"/>
              </w:rPr>
              <w:t>aster Risk Reduction Framework.</w:t>
            </w:r>
          </w:p>
        </w:tc>
        <w:tc>
          <w:tcPr>
            <w:tcW w:w="1701" w:type="dxa"/>
            <w:tcBorders>
              <w:top w:val="single" w:sz="4" w:space="0" w:color="auto"/>
              <w:left w:val="single" w:sz="4" w:space="0" w:color="auto"/>
              <w:bottom w:val="dotted" w:sz="4" w:space="0" w:color="auto"/>
              <w:right w:val="single" w:sz="4" w:space="0" w:color="auto"/>
            </w:tcBorders>
          </w:tcPr>
          <w:p w14:paraId="34D2705E"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 xml:space="preserve">On track </w:t>
            </w:r>
          </w:p>
          <w:p w14:paraId="082DA875" w14:textId="77777777" w:rsidR="0046393E" w:rsidRPr="000D0C3B" w:rsidRDefault="0046393E" w:rsidP="0046393E">
            <w:pPr>
              <w:spacing w:after="40" w:line="256" w:lineRule="auto"/>
              <w:rPr>
                <w:rFonts w:ascii="Arial" w:hAnsi="Arial" w:cs="Arial"/>
                <w:color w:val="000000" w:themeColor="text1"/>
                <w:sz w:val="16"/>
                <w:szCs w:val="16"/>
              </w:rPr>
            </w:pPr>
          </w:p>
        </w:tc>
      </w:tr>
      <w:tr w:rsidR="0046393E" w:rsidRPr="001D052A" w14:paraId="0725734D" w14:textId="77777777" w:rsidTr="0063110C">
        <w:trPr>
          <w:trHeight w:val="100"/>
        </w:trPr>
        <w:tc>
          <w:tcPr>
            <w:tcW w:w="1706" w:type="dxa"/>
            <w:vMerge/>
            <w:tcBorders>
              <w:left w:val="single" w:sz="4" w:space="0" w:color="auto"/>
              <w:bottom w:val="dotted" w:sz="4" w:space="0" w:color="auto"/>
              <w:right w:val="single" w:sz="4" w:space="0" w:color="auto"/>
            </w:tcBorders>
          </w:tcPr>
          <w:p w14:paraId="6C9CB129" w14:textId="77777777" w:rsidR="0046393E" w:rsidRDefault="0046393E" w:rsidP="0046393E">
            <w:pPr>
              <w:tabs>
                <w:tab w:val="left" w:pos="709"/>
              </w:tabs>
              <w:spacing w:before="60" w:after="60" w:line="256" w:lineRule="auto"/>
              <w:jc w:val="left"/>
              <w:rPr>
                <w:rFonts w:ascii="Arial" w:hAnsi="Arial" w:cs="Arial"/>
                <w:color w:val="000000" w:themeColor="text1"/>
                <w:sz w:val="16"/>
                <w:szCs w:val="16"/>
              </w:rPr>
            </w:pPr>
          </w:p>
        </w:tc>
        <w:tc>
          <w:tcPr>
            <w:tcW w:w="4560" w:type="dxa"/>
            <w:tcBorders>
              <w:top w:val="single" w:sz="4" w:space="0" w:color="auto"/>
              <w:left w:val="single" w:sz="4" w:space="0" w:color="auto"/>
              <w:bottom w:val="dotted" w:sz="4" w:space="0" w:color="auto"/>
              <w:right w:val="single" w:sz="4" w:space="0" w:color="auto"/>
            </w:tcBorders>
          </w:tcPr>
          <w:p w14:paraId="52456A74"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Resilience Hub pilots work across all levels of government to test new and innovative ways to assist individuals, businesses and communities to more effectively prepare</w:t>
            </w:r>
            <w:r>
              <w:rPr>
                <w:rFonts w:ascii="Arial" w:hAnsi="Arial" w:cs="Arial"/>
                <w:bCs/>
                <w:color w:val="000000" w:themeColor="text1"/>
                <w:sz w:val="16"/>
                <w:szCs w:val="16"/>
              </w:rPr>
              <w:t xml:space="preserve"> for and recover from disasters</w:t>
            </w:r>
            <w:r w:rsidR="00ED6808">
              <w:rPr>
                <w:rFonts w:ascii="Arial" w:hAnsi="Arial" w:cs="Arial"/>
                <w:bCs/>
                <w:color w:val="000000" w:themeColor="text1"/>
                <w:sz w:val="16"/>
                <w:szCs w:val="16"/>
              </w:rPr>
              <w:t>*</w:t>
            </w:r>
            <w:r>
              <w:rPr>
                <w:rFonts w:ascii="Arial" w:hAnsi="Arial" w:cs="Arial"/>
                <w:bCs/>
                <w:color w:val="000000" w:themeColor="text1"/>
                <w:sz w:val="16"/>
                <w:szCs w:val="16"/>
              </w:rPr>
              <w:t>.</w:t>
            </w:r>
          </w:p>
        </w:tc>
        <w:tc>
          <w:tcPr>
            <w:tcW w:w="1701" w:type="dxa"/>
            <w:tcBorders>
              <w:top w:val="single" w:sz="4" w:space="0" w:color="auto"/>
              <w:left w:val="single" w:sz="4" w:space="0" w:color="auto"/>
              <w:bottom w:val="dotted" w:sz="4" w:space="0" w:color="auto"/>
              <w:right w:val="single" w:sz="4" w:space="0" w:color="auto"/>
            </w:tcBorders>
          </w:tcPr>
          <w:p w14:paraId="4C11C805"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 xml:space="preserve">On track </w:t>
            </w:r>
          </w:p>
          <w:p w14:paraId="61334686" w14:textId="77777777" w:rsidR="0046393E" w:rsidRPr="000D0C3B" w:rsidRDefault="0046393E" w:rsidP="0046393E">
            <w:pPr>
              <w:spacing w:after="40" w:line="256" w:lineRule="auto"/>
              <w:rPr>
                <w:rFonts w:ascii="Arial" w:hAnsi="Arial" w:cs="Arial"/>
                <w:color w:val="000000" w:themeColor="text1"/>
                <w:sz w:val="16"/>
                <w:szCs w:val="16"/>
              </w:rPr>
            </w:pPr>
          </w:p>
        </w:tc>
      </w:tr>
      <w:tr w:rsidR="0046393E" w:rsidRPr="001D052A" w14:paraId="6F625030" w14:textId="77777777" w:rsidTr="002F7A80">
        <w:trPr>
          <w:trHeight w:val="100"/>
        </w:trPr>
        <w:tc>
          <w:tcPr>
            <w:tcW w:w="1706" w:type="dxa"/>
            <w:tcBorders>
              <w:top w:val="single" w:sz="4" w:space="0" w:color="auto"/>
              <w:left w:val="single" w:sz="4" w:space="0" w:color="auto"/>
              <w:bottom w:val="dotted" w:sz="4" w:space="0" w:color="auto"/>
              <w:right w:val="single" w:sz="4" w:space="0" w:color="auto"/>
            </w:tcBorders>
            <w:hideMark/>
          </w:tcPr>
          <w:p w14:paraId="42C504AC" w14:textId="77777777" w:rsidR="0046393E" w:rsidRPr="000D0C3B" w:rsidRDefault="003A7742" w:rsidP="0046393E">
            <w:pPr>
              <w:tabs>
                <w:tab w:val="left" w:pos="709"/>
              </w:tabs>
              <w:spacing w:before="60" w:after="60" w:line="256" w:lineRule="auto"/>
              <w:jc w:val="left"/>
              <w:rPr>
                <w:rFonts w:ascii="Arial" w:hAnsi="Arial" w:cs="Arial"/>
                <w:color w:val="000000" w:themeColor="text1"/>
                <w:sz w:val="16"/>
                <w:szCs w:val="16"/>
              </w:rPr>
            </w:pPr>
            <w:r>
              <w:rPr>
                <w:rFonts w:ascii="Arial" w:hAnsi="Arial" w:cs="Arial"/>
                <w:color w:val="000000" w:themeColor="text1"/>
                <w:sz w:val="16"/>
                <w:szCs w:val="16"/>
              </w:rPr>
              <w:t>Budget y</w:t>
            </w:r>
            <w:r w:rsidR="0046393E">
              <w:rPr>
                <w:rFonts w:ascii="Arial" w:hAnsi="Arial" w:cs="Arial"/>
                <w:color w:val="000000" w:themeColor="text1"/>
                <w:sz w:val="16"/>
                <w:szCs w:val="16"/>
              </w:rPr>
              <w:t>ear 2022</w:t>
            </w:r>
            <w:r w:rsidR="0046393E">
              <w:rPr>
                <w:rFonts w:ascii="Arial" w:hAnsi="Arial" w:cs="Arial"/>
                <w:color w:val="000000" w:themeColor="text1"/>
                <w:sz w:val="16"/>
                <w:szCs w:val="16"/>
              </w:rPr>
              <w:noBreakHyphen/>
            </w:r>
            <w:r w:rsidR="0046393E" w:rsidRPr="000D0C3B">
              <w:rPr>
                <w:rFonts w:ascii="Arial" w:hAnsi="Arial" w:cs="Arial"/>
                <w:color w:val="000000" w:themeColor="text1"/>
                <w:sz w:val="16"/>
                <w:szCs w:val="16"/>
              </w:rPr>
              <w:t>23</w:t>
            </w:r>
          </w:p>
        </w:tc>
        <w:tc>
          <w:tcPr>
            <w:tcW w:w="4560" w:type="dxa"/>
            <w:tcBorders>
              <w:top w:val="single" w:sz="4" w:space="0" w:color="auto"/>
              <w:left w:val="single" w:sz="4" w:space="0" w:color="auto"/>
              <w:bottom w:val="dotted" w:sz="4" w:space="0" w:color="auto"/>
              <w:right w:val="single" w:sz="4" w:space="0" w:color="auto"/>
            </w:tcBorders>
          </w:tcPr>
          <w:p w14:paraId="1B512110"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 xml:space="preserve">As per 2021-22, except performance measures marked with * that will finish in 2022-23, with the addition of: </w:t>
            </w:r>
          </w:p>
          <w:p w14:paraId="126E2FD8"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The Online Recovery Map increases access to and transparency of data which assists communities in their recovery and to better prepare for future disasters</w:t>
            </w:r>
            <w:r>
              <w:rPr>
                <w:rFonts w:ascii="Arial" w:hAnsi="Arial" w:cs="Arial"/>
                <w:bCs/>
                <w:color w:val="000000" w:themeColor="text1"/>
                <w:sz w:val="16"/>
                <w:szCs w:val="16"/>
              </w:rPr>
              <w:t>.</w:t>
            </w:r>
          </w:p>
          <w:p w14:paraId="282E1A75"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Improved data sharing capabilities provides partner agencies with information required to better design and deliver disaster assistance</w:t>
            </w:r>
            <w:r>
              <w:rPr>
                <w:rFonts w:ascii="Arial" w:hAnsi="Arial" w:cs="Arial"/>
                <w:bCs/>
                <w:color w:val="000000" w:themeColor="text1"/>
                <w:sz w:val="16"/>
                <w:szCs w:val="16"/>
              </w:rPr>
              <w:t>.</w:t>
            </w:r>
          </w:p>
        </w:tc>
        <w:tc>
          <w:tcPr>
            <w:tcW w:w="1701" w:type="dxa"/>
            <w:tcBorders>
              <w:top w:val="single" w:sz="4" w:space="0" w:color="auto"/>
              <w:left w:val="single" w:sz="4" w:space="0" w:color="auto"/>
              <w:bottom w:val="dotted" w:sz="4" w:space="0" w:color="auto"/>
              <w:right w:val="single" w:sz="4" w:space="0" w:color="auto"/>
            </w:tcBorders>
          </w:tcPr>
          <w:p w14:paraId="0BB9BBB2" w14:textId="77777777" w:rsidR="0046393E" w:rsidRPr="000D0C3B" w:rsidRDefault="0046393E" w:rsidP="0046393E">
            <w:pPr>
              <w:spacing w:after="40" w:line="256" w:lineRule="auto"/>
              <w:rPr>
                <w:rFonts w:ascii="Arial" w:hAnsi="Arial" w:cs="Arial"/>
                <w:color w:val="000000" w:themeColor="text1"/>
                <w:sz w:val="16"/>
                <w:szCs w:val="16"/>
              </w:rPr>
            </w:pPr>
          </w:p>
        </w:tc>
      </w:tr>
      <w:tr w:rsidR="0046393E" w:rsidRPr="001D052A" w14:paraId="118D5207" w14:textId="77777777" w:rsidTr="002F7A80">
        <w:trPr>
          <w:trHeight w:val="491"/>
        </w:trPr>
        <w:tc>
          <w:tcPr>
            <w:tcW w:w="1706" w:type="dxa"/>
            <w:tcBorders>
              <w:top w:val="dotted" w:sz="4" w:space="0" w:color="auto"/>
              <w:left w:val="single" w:sz="4" w:space="0" w:color="auto"/>
              <w:bottom w:val="single" w:sz="4" w:space="0" w:color="auto"/>
              <w:right w:val="single" w:sz="4" w:space="0" w:color="auto"/>
            </w:tcBorders>
            <w:hideMark/>
          </w:tcPr>
          <w:p w14:paraId="29AB27F1" w14:textId="77777777" w:rsidR="0046393E" w:rsidRPr="000D0C3B" w:rsidRDefault="0046393E" w:rsidP="0046393E">
            <w:pPr>
              <w:tabs>
                <w:tab w:val="left" w:pos="709"/>
              </w:tabs>
              <w:spacing w:before="60" w:after="60" w:line="256" w:lineRule="auto"/>
              <w:rPr>
                <w:rFonts w:ascii="Arial" w:hAnsi="Arial" w:cs="Arial"/>
                <w:color w:val="000000" w:themeColor="text1"/>
                <w:sz w:val="16"/>
                <w:szCs w:val="16"/>
              </w:rPr>
            </w:pPr>
            <w:r w:rsidRPr="000D0C3B">
              <w:rPr>
                <w:rFonts w:ascii="Arial" w:hAnsi="Arial" w:cs="Arial"/>
                <w:bCs/>
                <w:color w:val="000000" w:themeColor="text1"/>
                <w:sz w:val="16"/>
                <w:szCs w:val="16"/>
              </w:rPr>
              <w:t>Forward</w:t>
            </w:r>
            <w:r w:rsidRPr="000D0C3B">
              <w:rPr>
                <w:rFonts w:ascii="Arial" w:hAnsi="Arial" w:cs="Arial"/>
                <w:color w:val="000000" w:themeColor="text1"/>
                <w:sz w:val="16"/>
                <w:szCs w:val="16"/>
              </w:rPr>
              <w:t xml:space="preserve"> Estimates </w:t>
            </w:r>
          </w:p>
          <w:p w14:paraId="26280E9C" w14:textId="77777777" w:rsidR="0046393E" w:rsidRPr="000D0C3B" w:rsidRDefault="0046393E" w:rsidP="0046393E">
            <w:pPr>
              <w:tabs>
                <w:tab w:val="left" w:pos="709"/>
              </w:tabs>
              <w:spacing w:before="60" w:after="60" w:line="256" w:lineRule="auto"/>
              <w:rPr>
                <w:rFonts w:ascii="Arial" w:hAnsi="Arial" w:cs="Arial"/>
                <w:b/>
                <w:color w:val="000000" w:themeColor="text1"/>
                <w:sz w:val="16"/>
                <w:szCs w:val="16"/>
              </w:rPr>
            </w:pPr>
            <w:r w:rsidRPr="000D0C3B">
              <w:rPr>
                <w:rFonts w:ascii="Arial" w:hAnsi="Arial" w:cs="Arial"/>
                <w:color w:val="000000" w:themeColor="text1"/>
                <w:sz w:val="16"/>
                <w:szCs w:val="16"/>
              </w:rPr>
              <w:t>2023-24</w:t>
            </w:r>
          </w:p>
        </w:tc>
        <w:tc>
          <w:tcPr>
            <w:tcW w:w="4560" w:type="dxa"/>
            <w:tcBorders>
              <w:top w:val="dotted" w:sz="4" w:space="0" w:color="auto"/>
              <w:left w:val="single" w:sz="4" w:space="0" w:color="auto"/>
              <w:bottom w:val="single" w:sz="4" w:space="0" w:color="auto"/>
              <w:right w:val="single" w:sz="4" w:space="0" w:color="auto"/>
            </w:tcBorders>
            <w:hideMark/>
          </w:tcPr>
          <w:p w14:paraId="69C54A24" w14:textId="77777777" w:rsidR="0046393E" w:rsidRPr="000D0C3B" w:rsidRDefault="0046393E" w:rsidP="0046393E">
            <w:pPr>
              <w:tabs>
                <w:tab w:val="left" w:pos="709"/>
              </w:tabs>
              <w:spacing w:before="60" w:after="60" w:line="256" w:lineRule="auto"/>
              <w:rPr>
                <w:rFonts w:ascii="Arial" w:hAnsi="Arial" w:cs="Arial"/>
                <w:bCs/>
                <w:color w:val="000000" w:themeColor="text1"/>
                <w:sz w:val="16"/>
                <w:szCs w:val="16"/>
              </w:rPr>
            </w:pPr>
            <w:r w:rsidRPr="000D0C3B">
              <w:rPr>
                <w:rFonts w:ascii="Arial" w:hAnsi="Arial" w:cs="Arial"/>
                <w:bCs/>
                <w:color w:val="000000" w:themeColor="text1"/>
                <w:sz w:val="16"/>
                <w:szCs w:val="16"/>
              </w:rPr>
              <w:t xml:space="preserve">As per </w:t>
            </w:r>
            <w:r>
              <w:rPr>
                <w:rFonts w:ascii="Arial" w:hAnsi="Arial" w:cs="Arial"/>
                <w:bCs/>
                <w:color w:val="000000" w:themeColor="text1"/>
                <w:sz w:val="16"/>
                <w:szCs w:val="16"/>
              </w:rPr>
              <w:t>2022-23</w:t>
            </w:r>
            <w:r w:rsidRPr="000D0C3B">
              <w:rPr>
                <w:rFonts w:ascii="Arial" w:hAnsi="Arial" w:cs="Arial"/>
                <w:bCs/>
                <w:color w:val="000000" w:themeColor="text1"/>
                <w:sz w:val="16"/>
                <w:szCs w:val="16"/>
              </w:rPr>
              <w:t>, except performance measures marked with ^ that will finish in 2023-24</w:t>
            </w:r>
            <w:r>
              <w:rPr>
                <w:rFonts w:ascii="Arial" w:hAnsi="Arial" w:cs="Arial"/>
                <w:bCs/>
                <w:color w:val="000000" w:themeColor="text1"/>
                <w:sz w:val="16"/>
                <w:szCs w:val="16"/>
              </w:rPr>
              <w:t>.</w:t>
            </w:r>
          </w:p>
        </w:tc>
        <w:tc>
          <w:tcPr>
            <w:tcW w:w="1701" w:type="dxa"/>
            <w:tcBorders>
              <w:top w:val="dotted" w:sz="4" w:space="0" w:color="auto"/>
              <w:left w:val="single" w:sz="4" w:space="0" w:color="auto"/>
              <w:bottom w:val="single" w:sz="4" w:space="0" w:color="auto"/>
              <w:right w:val="single" w:sz="4" w:space="0" w:color="auto"/>
            </w:tcBorders>
          </w:tcPr>
          <w:p w14:paraId="50BA2E41" w14:textId="77777777" w:rsidR="0046393E" w:rsidRPr="000D0C3B" w:rsidRDefault="0046393E" w:rsidP="0046393E">
            <w:pPr>
              <w:tabs>
                <w:tab w:val="left" w:pos="709"/>
              </w:tabs>
              <w:spacing w:before="60" w:after="60" w:line="256" w:lineRule="auto"/>
              <w:rPr>
                <w:rFonts w:ascii="Arial" w:hAnsi="Arial" w:cs="Arial"/>
                <w:color w:val="000000" w:themeColor="text1"/>
                <w:sz w:val="16"/>
                <w:szCs w:val="16"/>
              </w:rPr>
            </w:pPr>
          </w:p>
        </w:tc>
      </w:tr>
    </w:tbl>
    <w:p w14:paraId="759084EC" w14:textId="77777777" w:rsidR="00ED6808" w:rsidRPr="00ED6808" w:rsidRDefault="00623E92" w:rsidP="00392A48">
      <w:pPr>
        <w:pStyle w:val="ChartandTableFootnoteAlpha"/>
        <w:numPr>
          <w:ilvl w:val="0"/>
          <w:numId w:val="152"/>
        </w:numPr>
        <w:rPr>
          <w:rFonts w:cs="Arial"/>
          <w:szCs w:val="16"/>
        </w:rPr>
      </w:pPr>
      <w:r>
        <w:rPr>
          <w:rFonts w:cs="Arial"/>
          <w:szCs w:val="16"/>
        </w:rPr>
        <w:t xml:space="preserve">The </w:t>
      </w:r>
      <w:r w:rsidR="009F2A20" w:rsidRPr="00ED6808">
        <w:rPr>
          <w:rFonts w:cs="Arial"/>
          <w:szCs w:val="16"/>
        </w:rPr>
        <w:t xml:space="preserve">NRRA revised its performance measures from the 2021-22 PBS when developing the 2021-22 Corporate Plan. The updated measures are reflected here. </w:t>
      </w:r>
    </w:p>
    <w:p w14:paraId="44483C48" w14:textId="77777777" w:rsidR="00ED6808" w:rsidRPr="00ED6808" w:rsidRDefault="00623E92" w:rsidP="00392A48">
      <w:pPr>
        <w:pStyle w:val="ChartandTableFootnoteAlpha"/>
        <w:numPr>
          <w:ilvl w:val="0"/>
          <w:numId w:val="152"/>
        </w:numPr>
        <w:rPr>
          <w:rFonts w:cs="Arial"/>
          <w:szCs w:val="16"/>
        </w:rPr>
      </w:pPr>
      <w:r>
        <w:rPr>
          <w:rFonts w:cs="Arial"/>
          <w:szCs w:val="16"/>
        </w:rPr>
        <w:t xml:space="preserve">The </w:t>
      </w:r>
      <w:r w:rsidR="009F2A20" w:rsidRPr="00ED6808">
        <w:rPr>
          <w:rFonts w:cs="Arial"/>
          <w:szCs w:val="16"/>
        </w:rPr>
        <w:t xml:space="preserve">NRRA may revise its performance measures when developing its 2022-23 Corporate Plan. </w:t>
      </w:r>
    </w:p>
    <w:p w14:paraId="223D7B63" w14:textId="77777777" w:rsidR="00ED6808" w:rsidRPr="00ED6808" w:rsidRDefault="00ED6808" w:rsidP="00392A48">
      <w:pPr>
        <w:pStyle w:val="ChartandTableFootnoteAlpha"/>
        <w:numPr>
          <w:ilvl w:val="0"/>
          <w:numId w:val="152"/>
        </w:numPr>
        <w:rPr>
          <w:rFonts w:cs="Arial"/>
          <w:szCs w:val="16"/>
        </w:rPr>
      </w:pPr>
      <w:r>
        <w:rPr>
          <w:rFonts w:cs="Arial"/>
          <w:bCs/>
          <w:color w:val="000000" w:themeColor="text1"/>
          <w:szCs w:val="16"/>
        </w:rPr>
        <w:t>P</w:t>
      </w:r>
      <w:r w:rsidRPr="00ED6808">
        <w:rPr>
          <w:rFonts w:cs="Arial"/>
          <w:bCs/>
          <w:color w:val="000000" w:themeColor="text1"/>
          <w:szCs w:val="16"/>
        </w:rPr>
        <w:t>erformance measures marked with * will finish in 2022-23</w:t>
      </w:r>
      <w:r>
        <w:rPr>
          <w:rFonts w:cs="Arial"/>
          <w:bCs/>
          <w:color w:val="000000" w:themeColor="text1"/>
          <w:szCs w:val="16"/>
        </w:rPr>
        <w:t>.</w:t>
      </w:r>
    </w:p>
    <w:p w14:paraId="2BB347A7" w14:textId="77777777" w:rsidR="00ED6808" w:rsidRPr="00ED6808" w:rsidRDefault="00ED6808" w:rsidP="00392A48">
      <w:pPr>
        <w:pStyle w:val="ListParagraph"/>
        <w:numPr>
          <w:ilvl w:val="0"/>
          <w:numId w:val="152"/>
        </w:numPr>
        <w:rPr>
          <w:rFonts w:ascii="Arial" w:hAnsi="Arial" w:cs="Arial"/>
          <w:sz w:val="16"/>
          <w:szCs w:val="16"/>
        </w:rPr>
      </w:pPr>
      <w:r>
        <w:rPr>
          <w:rFonts w:ascii="Arial" w:hAnsi="Arial" w:cs="Arial"/>
          <w:bCs/>
          <w:color w:val="000000" w:themeColor="text1"/>
          <w:sz w:val="16"/>
          <w:szCs w:val="16"/>
        </w:rPr>
        <w:t>P</w:t>
      </w:r>
      <w:r w:rsidRPr="00ED6808">
        <w:rPr>
          <w:rFonts w:ascii="Arial" w:hAnsi="Arial" w:cs="Arial"/>
          <w:bCs/>
          <w:color w:val="000000" w:themeColor="text1"/>
          <w:sz w:val="16"/>
          <w:szCs w:val="16"/>
        </w:rPr>
        <w:t>erformance measures marked with ^ will finish in 2023-24.</w:t>
      </w:r>
    </w:p>
    <w:p w14:paraId="17D09E79" w14:textId="77777777" w:rsidR="00ED6808" w:rsidRPr="00ED6808" w:rsidRDefault="00ED6808" w:rsidP="00ED6808"/>
    <w:p w14:paraId="395C4267" w14:textId="77777777" w:rsidR="00ED6808" w:rsidRPr="00ED6808" w:rsidRDefault="00ED6808" w:rsidP="00ED6808"/>
    <w:p w14:paraId="236C36F9" w14:textId="77777777" w:rsidR="009F2A20" w:rsidRDefault="009F2A20" w:rsidP="009F2A20">
      <w:pPr>
        <w:rPr>
          <w:rFonts w:cstheme="minorBidi"/>
        </w:rPr>
      </w:pPr>
    </w:p>
    <w:p w14:paraId="0985A1DD" w14:textId="77777777" w:rsidR="009F2A20" w:rsidRDefault="009F2A20" w:rsidP="009F2A20">
      <w:pPr>
        <w:pStyle w:val="TableHeading"/>
        <w:rPr>
          <w:rFonts w:cstheme="minorBidi"/>
        </w:rPr>
      </w:pPr>
    </w:p>
    <w:p w14:paraId="669F3FA0" w14:textId="77777777" w:rsidR="009F2A20" w:rsidRDefault="009F2A20" w:rsidP="009F2A20">
      <w:pPr>
        <w:pStyle w:val="TableGraphic"/>
        <w:rPr>
          <w:rFonts w:ascii="Arial" w:hAnsi="Arial"/>
          <w:color w:val="000000"/>
          <w:lang w:val="x-none" w:eastAsia="x-none"/>
        </w:rPr>
      </w:pPr>
      <w:r>
        <w:br w:type="page"/>
      </w:r>
    </w:p>
    <w:p w14:paraId="0658BAA4" w14:textId="77777777" w:rsidR="009F2A20" w:rsidRPr="006B3BAD" w:rsidRDefault="009F2A20" w:rsidP="009F2A20">
      <w:pPr>
        <w:pStyle w:val="TableHeading"/>
      </w:pPr>
      <w:r w:rsidRPr="006B3BAD">
        <w:t>Table 2.</w:t>
      </w:r>
      <w:r>
        <w:rPr>
          <w:lang w:val="en-AU"/>
        </w:rPr>
        <w:t>1</w:t>
      </w:r>
      <w:r w:rsidRPr="006B3BAD">
        <w:t>.</w:t>
      </w:r>
      <w:r>
        <w:rPr>
          <w:lang w:val="en-AU"/>
        </w:rPr>
        <w:t>2</w:t>
      </w:r>
      <w:r w:rsidRPr="006B3BAD">
        <w:t xml:space="preserve">: Performance </w:t>
      </w:r>
      <w:r w:rsidRPr="006B3BAD">
        <w:rPr>
          <w:lang w:val="en-AU"/>
        </w:rPr>
        <w:t>measure</w:t>
      </w:r>
      <w:r w:rsidRPr="006B3BAD">
        <w:t xml:space="preserve"> for Outcome </w:t>
      </w:r>
      <w:r w:rsidRPr="006B3BAD">
        <w:rPr>
          <w:lang w:val="en-AU"/>
        </w:rPr>
        <w:t>1</w:t>
      </w:r>
      <w:r>
        <w:rPr>
          <w:lang w:val="en-AU"/>
        </w:rPr>
        <w:t xml:space="preserve"> (continue</w:t>
      </w:r>
      <w:r w:rsidR="00ED6808">
        <w:rPr>
          <w:lang w:val="en-AU"/>
        </w:rPr>
        <w:t>d</w:t>
      </w:r>
      <w:r>
        <w:rPr>
          <w:lang w:val="en-AU"/>
        </w:rPr>
        <w:t>)</w:t>
      </w:r>
    </w:p>
    <w:tbl>
      <w:tblPr>
        <w:tblW w:w="79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815"/>
        <w:gridCol w:w="1418"/>
      </w:tblGrid>
      <w:tr w:rsidR="009F2A20" w:rsidRPr="000D0C3B" w14:paraId="480A205C" w14:textId="77777777" w:rsidTr="002F7A80">
        <w:trPr>
          <w:trHeight w:val="522"/>
          <w:tblHeader/>
        </w:trPr>
        <w:tc>
          <w:tcPr>
            <w:tcW w:w="793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4FCCD11" w14:textId="77777777" w:rsidR="009F2A20" w:rsidRPr="00715669" w:rsidRDefault="009F2A20" w:rsidP="002F7A80">
            <w:pPr>
              <w:tabs>
                <w:tab w:val="left" w:pos="709"/>
              </w:tabs>
              <w:spacing w:before="60" w:after="60" w:line="256" w:lineRule="auto"/>
              <w:rPr>
                <w:rFonts w:ascii="Arial" w:hAnsi="Arial" w:cs="Arial"/>
                <w:b/>
                <w:color w:val="000000" w:themeColor="text1"/>
                <w:sz w:val="16"/>
                <w:szCs w:val="16"/>
                <w:lang w:eastAsia="en-US"/>
              </w:rPr>
            </w:pPr>
            <w:r w:rsidRPr="00715669">
              <w:rPr>
                <w:rFonts w:ascii="Arial" w:hAnsi="Arial" w:cs="Arial"/>
                <w:b/>
                <w:color w:val="000000" w:themeColor="text1"/>
                <w:sz w:val="16"/>
                <w:szCs w:val="16"/>
              </w:rPr>
              <w:t xml:space="preserve">Program 1.2 - </w:t>
            </w:r>
            <w:r w:rsidRPr="00715669">
              <w:rPr>
                <w:rFonts w:ascii="Arial" w:hAnsi="Arial" w:cs="Arial"/>
                <w:b/>
                <w:sz w:val="16"/>
                <w:szCs w:val="16"/>
              </w:rPr>
              <w:t>Australian Government Disaster &amp; Emergency Financial Support</w:t>
            </w:r>
          </w:p>
          <w:p w14:paraId="4153D473" w14:textId="77777777" w:rsidR="009F2A20" w:rsidRPr="000D0C3B" w:rsidRDefault="009F2A20" w:rsidP="002F7A80">
            <w:pPr>
              <w:tabs>
                <w:tab w:val="left" w:pos="709"/>
              </w:tabs>
              <w:spacing w:before="60" w:after="60" w:line="256" w:lineRule="auto"/>
              <w:rPr>
                <w:rFonts w:ascii="Arial" w:hAnsi="Arial" w:cs="Arial"/>
                <w:color w:val="000000" w:themeColor="text1"/>
                <w:sz w:val="16"/>
                <w:szCs w:val="16"/>
              </w:rPr>
            </w:pPr>
            <w:r w:rsidRPr="00560BE7">
              <w:rPr>
                <w:rFonts w:ascii="Arial" w:hAnsi="Arial" w:cs="Arial"/>
                <w:sz w:val="16"/>
                <w:szCs w:val="16"/>
              </w:rPr>
              <w:t>The NRRA administers the Disaster Recovery Funding Arrangements to provide timely and targeted payments and support to individuals and families affected by major disasters throughout Australia. This program also includes, but is not limited to, the Australian Government Disaster Recovery Payment and the Disaster Recovery Allowance and the Black Summer Bushfire Recovery Grants to support the ongoing short to medium-term recovery needs of those communities impacted by the 2019-20 bushfires.</w:t>
            </w:r>
          </w:p>
        </w:tc>
      </w:tr>
      <w:tr w:rsidR="009F2A20" w:rsidRPr="000D0C3B" w14:paraId="50715DEF" w14:textId="77777777" w:rsidTr="002F7A80">
        <w:trPr>
          <w:trHeight w:val="395"/>
        </w:trPr>
        <w:tc>
          <w:tcPr>
            <w:tcW w:w="1706" w:type="dxa"/>
            <w:tcBorders>
              <w:top w:val="single" w:sz="4" w:space="0" w:color="auto"/>
              <w:left w:val="single" w:sz="4" w:space="0" w:color="auto"/>
              <w:bottom w:val="double" w:sz="4" w:space="0" w:color="auto"/>
              <w:right w:val="single" w:sz="4" w:space="0" w:color="auto"/>
            </w:tcBorders>
            <w:hideMark/>
          </w:tcPr>
          <w:p w14:paraId="4788486E" w14:textId="77777777" w:rsidR="009F2A20" w:rsidRPr="000D0C3B" w:rsidRDefault="00883AF5"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Key a</w:t>
            </w:r>
            <w:r w:rsidR="009F2A20" w:rsidRPr="000D0C3B">
              <w:rPr>
                <w:rFonts w:ascii="Arial" w:hAnsi="Arial" w:cs="Arial"/>
                <w:b/>
                <w:color w:val="000000" w:themeColor="text1"/>
                <w:sz w:val="16"/>
                <w:szCs w:val="16"/>
              </w:rPr>
              <w:t>ctivities (a)</w:t>
            </w:r>
          </w:p>
        </w:tc>
        <w:tc>
          <w:tcPr>
            <w:tcW w:w="6233" w:type="dxa"/>
            <w:gridSpan w:val="2"/>
            <w:tcBorders>
              <w:top w:val="single" w:sz="4" w:space="0" w:color="auto"/>
              <w:left w:val="single" w:sz="4" w:space="0" w:color="auto"/>
              <w:bottom w:val="double" w:sz="4" w:space="0" w:color="auto"/>
              <w:right w:val="single" w:sz="4" w:space="0" w:color="auto"/>
            </w:tcBorders>
            <w:hideMark/>
          </w:tcPr>
          <w:p w14:paraId="524F8A16" w14:textId="77777777" w:rsidR="009F2A20" w:rsidRPr="000D0C3B" w:rsidRDefault="009F2A20" w:rsidP="002F7A80">
            <w:pPr>
              <w:tabs>
                <w:tab w:val="left" w:pos="709"/>
              </w:tabs>
              <w:spacing w:before="60" w:after="60" w:line="256" w:lineRule="auto"/>
              <w:rPr>
                <w:rFonts w:ascii="Arial" w:hAnsi="Arial" w:cs="Arial"/>
                <w:color w:val="000000" w:themeColor="text1"/>
                <w:sz w:val="22"/>
                <w:szCs w:val="22"/>
              </w:rPr>
            </w:pPr>
            <w:r w:rsidRPr="000D0C3B">
              <w:rPr>
                <w:rFonts w:ascii="Arial" w:hAnsi="Arial" w:cs="Arial"/>
                <w:bCs/>
                <w:color w:val="000000" w:themeColor="text1"/>
                <w:sz w:val="16"/>
                <w:szCs w:val="16"/>
              </w:rPr>
              <w:t xml:space="preserve">Delivering </w:t>
            </w:r>
            <w:r>
              <w:rPr>
                <w:rFonts w:ascii="Arial" w:hAnsi="Arial" w:cs="Arial"/>
                <w:bCs/>
                <w:color w:val="000000" w:themeColor="text1"/>
                <w:sz w:val="16"/>
                <w:szCs w:val="16"/>
              </w:rPr>
              <w:t>p</w:t>
            </w:r>
            <w:r w:rsidRPr="000D0C3B">
              <w:rPr>
                <w:rFonts w:ascii="Arial" w:hAnsi="Arial" w:cs="Arial"/>
                <w:bCs/>
                <w:color w:val="000000" w:themeColor="text1"/>
                <w:sz w:val="16"/>
                <w:szCs w:val="16"/>
              </w:rPr>
              <w:t xml:space="preserve">rograms and </w:t>
            </w:r>
            <w:r>
              <w:rPr>
                <w:rFonts w:ascii="Arial" w:hAnsi="Arial" w:cs="Arial"/>
                <w:bCs/>
                <w:color w:val="000000" w:themeColor="text1"/>
                <w:sz w:val="16"/>
                <w:szCs w:val="16"/>
              </w:rPr>
              <w:t>s</w:t>
            </w:r>
            <w:r w:rsidRPr="000D0C3B">
              <w:rPr>
                <w:rFonts w:ascii="Arial" w:hAnsi="Arial" w:cs="Arial"/>
                <w:bCs/>
                <w:color w:val="000000" w:themeColor="text1"/>
                <w:sz w:val="16"/>
                <w:szCs w:val="16"/>
              </w:rPr>
              <w:t>ervices</w:t>
            </w:r>
          </w:p>
        </w:tc>
      </w:tr>
      <w:tr w:rsidR="009F2A20" w:rsidRPr="000D0C3B" w14:paraId="612ED485" w14:textId="77777777" w:rsidTr="002F7A80">
        <w:trPr>
          <w:trHeight w:val="258"/>
        </w:trPr>
        <w:tc>
          <w:tcPr>
            <w:tcW w:w="1706" w:type="dxa"/>
            <w:tcBorders>
              <w:top w:val="double" w:sz="4" w:space="0" w:color="auto"/>
              <w:left w:val="single" w:sz="4" w:space="0" w:color="auto"/>
              <w:bottom w:val="single" w:sz="4" w:space="0" w:color="auto"/>
              <w:right w:val="single" w:sz="4" w:space="0" w:color="auto"/>
            </w:tcBorders>
            <w:hideMark/>
          </w:tcPr>
          <w:p w14:paraId="282D81E7" w14:textId="77777777" w:rsidR="009F2A20" w:rsidRPr="00EB7B1B" w:rsidRDefault="009F2A20" w:rsidP="002F7A80">
            <w:pPr>
              <w:tabs>
                <w:tab w:val="left" w:pos="709"/>
              </w:tabs>
              <w:spacing w:before="60" w:after="60" w:line="256" w:lineRule="auto"/>
              <w:rPr>
                <w:rFonts w:ascii="Arial" w:hAnsi="Arial" w:cs="Arial"/>
                <w:b/>
                <w:color w:val="000000" w:themeColor="text1"/>
                <w:sz w:val="16"/>
                <w:szCs w:val="16"/>
              </w:rPr>
            </w:pPr>
            <w:r w:rsidRPr="00EB7B1B">
              <w:rPr>
                <w:rFonts w:ascii="Arial" w:hAnsi="Arial" w:cs="Arial"/>
                <w:b/>
                <w:color w:val="000000" w:themeColor="text1"/>
                <w:sz w:val="16"/>
                <w:szCs w:val="16"/>
              </w:rPr>
              <w:t>Year</w:t>
            </w:r>
          </w:p>
        </w:tc>
        <w:tc>
          <w:tcPr>
            <w:tcW w:w="4815" w:type="dxa"/>
            <w:tcBorders>
              <w:top w:val="double" w:sz="4" w:space="0" w:color="auto"/>
              <w:left w:val="single" w:sz="4" w:space="0" w:color="auto"/>
              <w:bottom w:val="single" w:sz="4" w:space="0" w:color="auto"/>
              <w:right w:val="single" w:sz="4" w:space="0" w:color="auto"/>
            </w:tcBorders>
            <w:hideMark/>
          </w:tcPr>
          <w:p w14:paraId="74DD39DB" w14:textId="77777777" w:rsidR="009F2A20" w:rsidRPr="00EB7B1B" w:rsidRDefault="009F2A20" w:rsidP="002F7A80">
            <w:pPr>
              <w:tabs>
                <w:tab w:val="left" w:pos="709"/>
                <w:tab w:val="center" w:pos="1818"/>
              </w:tabs>
              <w:spacing w:before="60" w:after="60" w:line="256" w:lineRule="auto"/>
              <w:rPr>
                <w:rFonts w:ascii="Arial" w:hAnsi="Arial" w:cs="Arial"/>
                <w:b/>
                <w:color w:val="000000" w:themeColor="text1"/>
                <w:sz w:val="16"/>
                <w:szCs w:val="16"/>
              </w:rPr>
            </w:pPr>
            <w:r w:rsidRPr="00EB7B1B">
              <w:rPr>
                <w:rFonts w:ascii="Arial" w:hAnsi="Arial" w:cs="Arial"/>
                <w:b/>
                <w:color w:val="000000" w:themeColor="text1"/>
                <w:sz w:val="16"/>
                <w:szCs w:val="16"/>
              </w:rPr>
              <w:t>Performance measures</w:t>
            </w:r>
          </w:p>
        </w:tc>
        <w:tc>
          <w:tcPr>
            <w:tcW w:w="1418" w:type="dxa"/>
            <w:tcBorders>
              <w:top w:val="double" w:sz="4" w:space="0" w:color="auto"/>
              <w:left w:val="single" w:sz="4" w:space="0" w:color="auto"/>
              <w:bottom w:val="single" w:sz="4" w:space="0" w:color="auto"/>
              <w:right w:val="single" w:sz="4" w:space="0" w:color="auto"/>
            </w:tcBorders>
            <w:hideMark/>
          </w:tcPr>
          <w:p w14:paraId="66017693" w14:textId="77777777" w:rsidR="009F2A20" w:rsidRPr="00EB7B1B" w:rsidRDefault="00883AF5"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Expected performance r</w:t>
            </w:r>
            <w:r w:rsidR="009F2A20" w:rsidRPr="00EB7B1B">
              <w:rPr>
                <w:rFonts w:ascii="Arial" w:hAnsi="Arial" w:cs="Arial"/>
                <w:b/>
                <w:color w:val="000000" w:themeColor="text1"/>
                <w:sz w:val="16"/>
                <w:szCs w:val="16"/>
              </w:rPr>
              <w:t>esults</w:t>
            </w:r>
          </w:p>
        </w:tc>
      </w:tr>
      <w:tr w:rsidR="009F2A20" w:rsidRPr="000D0C3B" w14:paraId="7304211C" w14:textId="77777777" w:rsidTr="002F7A80">
        <w:trPr>
          <w:trHeight w:val="636"/>
        </w:trPr>
        <w:tc>
          <w:tcPr>
            <w:tcW w:w="1706" w:type="dxa"/>
            <w:vMerge w:val="restart"/>
            <w:tcBorders>
              <w:top w:val="single" w:sz="4" w:space="0" w:color="auto"/>
              <w:left w:val="single" w:sz="4" w:space="0" w:color="auto"/>
              <w:right w:val="single" w:sz="4" w:space="0" w:color="auto"/>
            </w:tcBorders>
            <w:hideMark/>
          </w:tcPr>
          <w:p w14:paraId="5C9BDA77" w14:textId="77777777" w:rsidR="009F2A20" w:rsidRPr="00EB7B1B" w:rsidRDefault="009F2A20" w:rsidP="002F7A80">
            <w:pPr>
              <w:tabs>
                <w:tab w:val="left" w:pos="709"/>
              </w:tabs>
              <w:spacing w:before="60" w:after="60" w:line="256" w:lineRule="auto"/>
              <w:rPr>
                <w:rFonts w:ascii="Arial" w:hAnsi="Arial" w:cs="Arial"/>
                <w:color w:val="000000" w:themeColor="text1"/>
                <w:sz w:val="16"/>
                <w:szCs w:val="16"/>
              </w:rPr>
            </w:pPr>
            <w:r w:rsidRPr="00EB7B1B">
              <w:rPr>
                <w:rFonts w:ascii="Arial" w:hAnsi="Arial" w:cs="Arial"/>
                <w:color w:val="000000" w:themeColor="text1"/>
                <w:sz w:val="16"/>
                <w:szCs w:val="16"/>
              </w:rPr>
              <w:t xml:space="preserve">Current year </w:t>
            </w:r>
          </w:p>
          <w:p w14:paraId="6218F380" w14:textId="77777777" w:rsidR="009F2A20" w:rsidRPr="00EB7B1B" w:rsidRDefault="009F2A20" w:rsidP="002F7A80">
            <w:pPr>
              <w:tabs>
                <w:tab w:val="left" w:pos="709"/>
              </w:tabs>
              <w:spacing w:before="60" w:after="60" w:line="256" w:lineRule="auto"/>
              <w:rPr>
                <w:rFonts w:ascii="Arial" w:hAnsi="Arial" w:cs="Arial"/>
                <w:color w:val="000000" w:themeColor="text1"/>
                <w:sz w:val="16"/>
                <w:szCs w:val="16"/>
              </w:rPr>
            </w:pPr>
            <w:r w:rsidRPr="00EB7B1B">
              <w:rPr>
                <w:rFonts w:ascii="Arial" w:hAnsi="Arial" w:cs="Arial"/>
                <w:color w:val="000000" w:themeColor="text1"/>
                <w:sz w:val="16"/>
                <w:szCs w:val="16"/>
              </w:rPr>
              <w:t>2021-22</w:t>
            </w:r>
          </w:p>
          <w:p w14:paraId="72426165" w14:textId="77777777" w:rsidR="009F2A20" w:rsidRPr="00EB7B1B" w:rsidRDefault="009F2A20" w:rsidP="002F7A80">
            <w:pPr>
              <w:tabs>
                <w:tab w:val="left" w:pos="709"/>
              </w:tabs>
              <w:spacing w:before="60" w:after="60" w:line="256" w:lineRule="auto"/>
              <w:rPr>
                <w:rFonts w:ascii="Arial" w:hAnsi="Arial" w:cs="Arial"/>
                <w:color w:val="000000" w:themeColor="text1"/>
                <w:sz w:val="16"/>
                <w:szCs w:val="16"/>
              </w:rPr>
            </w:pPr>
          </w:p>
        </w:tc>
        <w:tc>
          <w:tcPr>
            <w:tcW w:w="4815" w:type="dxa"/>
            <w:tcBorders>
              <w:top w:val="single" w:sz="4" w:space="0" w:color="auto"/>
              <w:left w:val="single" w:sz="4" w:space="0" w:color="auto"/>
              <w:bottom w:val="single" w:sz="4" w:space="0" w:color="auto"/>
              <w:right w:val="single" w:sz="4" w:space="0" w:color="auto"/>
            </w:tcBorders>
            <w:hideMark/>
          </w:tcPr>
          <w:p w14:paraId="779F4F1B" w14:textId="77777777" w:rsidR="009F2A20" w:rsidRPr="00EB7B1B" w:rsidRDefault="009F2A20" w:rsidP="002F7A80">
            <w:pPr>
              <w:tabs>
                <w:tab w:val="left" w:pos="709"/>
              </w:tabs>
              <w:spacing w:before="60" w:after="60" w:line="256" w:lineRule="auto"/>
              <w:rPr>
                <w:rFonts w:ascii="Arial" w:hAnsi="Arial" w:cs="Arial"/>
                <w:bCs/>
                <w:color w:val="000000" w:themeColor="text1"/>
                <w:sz w:val="16"/>
                <w:szCs w:val="16"/>
              </w:rPr>
            </w:pPr>
            <w:r w:rsidRPr="00EB7B1B">
              <w:rPr>
                <w:rFonts w:ascii="Arial" w:hAnsi="Arial" w:cs="Arial"/>
                <w:bCs/>
                <w:color w:val="000000" w:themeColor="text1"/>
                <w:sz w:val="16"/>
                <w:szCs w:val="16"/>
              </w:rPr>
              <w:t>Advice regarding domestic disaster assistance is provided to Government within the required timeframes</w:t>
            </w:r>
            <w:r>
              <w:rPr>
                <w:rFonts w:ascii="Arial" w:hAnsi="Arial" w:cs="Arial"/>
                <w:bCs/>
                <w:color w:val="000000" w:themeColor="text1"/>
                <w:sz w:val="16"/>
                <w:szCs w:val="16"/>
              </w:rPr>
              <w:t>.</w:t>
            </w:r>
          </w:p>
        </w:tc>
        <w:tc>
          <w:tcPr>
            <w:tcW w:w="1418" w:type="dxa"/>
            <w:tcBorders>
              <w:top w:val="single" w:sz="4" w:space="0" w:color="auto"/>
              <w:left w:val="single" w:sz="4" w:space="0" w:color="auto"/>
              <w:bottom w:val="single" w:sz="4" w:space="0" w:color="auto"/>
              <w:right w:val="single" w:sz="4" w:space="0" w:color="auto"/>
            </w:tcBorders>
            <w:hideMark/>
          </w:tcPr>
          <w:p w14:paraId="35AAC2E8" w14:textId="77777777" w:rsidR="009F2A20" w:rsidRPr="00EB7B1B" w:rsidRDefault="009F2A20" w:rsidP="002F7A80">
            <w:pPr>
              <w:tabs>
                <w:tab w:val="left" w:pos="709"/>
              </w:tabs>
              <w:spacing w:before="60" w:after="60" w:line="256" w:lineRule="auto"/>
              <w:rPr>
                <w:rFonts w:ascii="Arial" w:hAnsi="Arial" w:cs="Arial"/>
                <w:bCs/>
                <w:color w:val="000000" w:themeColor="text1"/>
                <w:sz w:val="16"/>
                <w:szCs w:val="16"/>
              </w:rPr>
            </w:pPr>
            <w:r w:rsidRPr="00EB7B1B">
              <w:rPr>
                <w:rFonts w:ascii="Arial" w:hAnsi="Arial" w:cs="Arial"/>
                <w:bCs/>
                <w:color w:val="000000" w:themeColor="text1"/>
                <w:sz w:val="16"/>
                <w:szCs w:val="16"/>
              </w:rPr>
              <w:t xml:space="preserve">Partially Achieved </w:t>
            </w:r>
          </w:p>
        </w:tc>
      </w:tr>
      <w:tr w:rsidR="009F2A20" w:rsidRPr="000D0C3B" w14:paraId="1631B6F8" w14:textId="77777777" w:rsidTr="002F7A80">
        <w:trPr>
          <w:trHeight w:val="100"/>
        </w:trPr>
        <w:tc>
          <w:tcPr>
            <w:tcW w:w="1706" w:type="dxa"/>
            <w:vMerge/>
            <w:tcBorders>
              <w:left w:val="single" w:sz="4" w:space="0" w:color="auto"/>
              <w:bottom w:val="single" w:sz="4" w:space="0" w:color="auto"/>
              <w:right w:val="single" w:sz="4" w:space="0" w:color="auto"/>
            </w:tcBorders>
          </w:tcPr>
          <w:p w14:paraId="00771F6B" w14:textId="77777777" w:rsidR="009F2A20" w:rsidRPr="00EB7B1B" w:rsidRDefault="009F2A20" w:rsidP="002F7A80">
            <w:pPr>
              <w:tabs>
                <w:tab w:val="left" w:pos="709"/>
              </w:tabs>
              <w:spacing w:before="60" w:after="60" w:line="256" w:lineRule="auto"/>
              <w:rPr>
                <w:rFonts w:ascii="Arial" w:hAnsi="Arial" w:cs="Arial"/>
                <w:b/>
                <w:color w:val="000000" w:themeColor="text1"/>
                <w:sz w:val="16"/>
                <w:szCs w:val="16"/>
              </w:rPr>
            </w:pPr>
          </w:p>
        </w:tc>
        <w:tc>
          <w:tcPr>
            <w:tcW w:w="4815" w:type="dxa"/>
            <w:tcBorders>
              <w:top w:val="single" w:sz="4" w:space="0" w:color="auto"/>
              <w:left w:val="single" w:sz="4" w:space="0" w:color="auto"/>
              <w:bottom w:val="single" w:sz="4" w:space="0" w:color="auto"/>
              <w:right w:val="single" w:sz="4" w:space="0" w:color="auto"/>
            </w:tcBorders>
          </w:tcPr>
          <w:p w14:paraId="74FD033D" w14:textId="77777777" w:rsidR="009F2A20" w:rsidRPr="00EB7B1B" w:rsidRDefault="009F2A20" w:rsidP="002F7A80">
            <w:pPr>
              <w:tabs>
                <w:tab w:val="left" w:pos="709"/>
              </w:tabs>
              <w:spacing w:before="60" w:after="60" w:line="256" w:lineRule="auto"/>
              <w:rPr>
                <w:rFonts w:ascii="Arial" w:hAnsi="Arial" w:cs="Arial"/>
                <w:b/>
                <w:color w:val="000000" w:themeColor="text1"/>
                <w:sz w:val="16"/>
                <w:szCs w:val="16"/>
              </w:rPr>
            </w:pPr>
            <w:r w:rsidRPr="00EB7B1B">
              <w:rPr>
                <w:rFonts w:ascii="Arial" w:hAnsi="Arial" w:cs="Arial"/>
                <w:bCs/>
                <w:color w:val="000000" w:themeColor="text1"/>
                <w:sz w:val="16"/>
                <w:szCs w:val="16"/>
              </w:rPr>
              <w:t>Grants are delivered within agreed timeframes for communities that were disaster-declared as a result of the 2019-20 Black Summer bushfires^</w:t>
            </w:r>
            <w:r>
              <w:rPr>
                <w:rFonts w:ascii="Arial" w:hAnsi="Arial" w:cs="Arial"/>
                <w:bCs/>
                <w:color w:val="000000" w:themeColor="text1"/>
                <w:sz w:val="16"/>
                <w:szCs w:val="16"/>
              </w:rPr>
              <w:t>.</w:t>
            </w:r>
          </w:p>
        </w:tc>
        <w:tc>
          <w:tcPr>
            <w:tcW w:w="1418" w:type="dxa"/>
            <w:tcBorders>
              <w:top w:val="single" w:sz="4" w:space="0" w:color="auto"/>
              <w:left w:val="single" w:sz="4" w:space="0" w:color="auto"/>
              <w:bottom w:val="single" w:sz="4" w:space="0" w:color="auto"/>
              <w:right w:val="single" w:sz="4" w:space="0" w:color="auto"/>
            </w:tcBorders>
          </w:tcPr>
          <w:p w14:paraId="29724448" w14:textId="77777777" w:rsidR="009F2A20" w:rsidRPr="00EB7B1B" w:rsidRDefault="009F2A20" w:rsidP="002F7A80">
            <w:pPr>
              <w:tabs>
                <w:tab w:val="left" w:pos="709"/>
              </w:tabs>
              <w:spacing w:before="60" w:after="60" w:line="256" w:lineRule="auto"/>
              <w:rPr>
                <w:rFonts w:ascii="Arial" w:hAnsi="Arial" w:cs="Arial"/>
                <w:bCs/>
                <w:color w:val="000000" w:themeColor="text1"/>
                <w:sz w:val="16"/>
                <w:szCs w:val="16"/>
              </w:rPr>
            </w:pPr>
            <w:r w:rsidRPr="00EB7B1B">
              <w:rPr>
                <w:rFonts w:ascii="Arial" w:hAnsi="Arial" w:cs="Arial"/>
                <w:bCs/>
                <w:color w:val="000000" w:themeColor="text1"/>
                <w:sz w:val="16"/>
                <w:szCs w:val="16"/>
              </w:rPr>
              <w:t xml:space="preserve">On track </w:t>
            </w:r>
          </w:p>
          <w:p w14:paraId="1FB24C9C" w14:textId="77777777" w:rsidR="009F2A20" w:rsidRPr="009A557C" w:rsidRDefault="009F2A20" w:rsidP="002F7A80">
            <w:pPr>
              <w:tabs>
                <w:tab w:val="left" w:pos="709"/>
              </w:tabs>
              <w:spacing w:before="60" w:after="60" w:line="256" w:lineRule="auto"/>
              <w:rPr>
                <w:rFonts w:ascii="Arial" w:hAnsi="Arial" w:cs="Arial"/>
                <w:bCs/>
                <w:color w:val="000000" w:themeColor="text1"/>
                <w:sz w:val="16"/>
                <w:szCs w:val="16"/>
              </w:rPr>
            </w:pPr>
          </w:p>
        </w:tc>
      </w:tr>
      <w:tr w:rsidR="009F2A20" w:rsidRPr="000D0C3B" w14:paraId="3FB0F64D" w14:textId="77777777" w:rsidTr="002F7A80">
        <w:trPr>
          <w:trHeight w:val="100"/>
        </w:trPr>
        <w:tc>
          <w:tcPr>
            <w:tcW w:w="1706" w:type="dxa"/>
            <w:tcBorders>
              <w:top w:val="single" w:sz="4" w:space="0" w:color="auto"/>
              <w:left w:val="single" w:sz="4" w:space="0" w:color="auto"/>
              <w:bottom w:val="single" w:sz="4" w:space="0" w:color="auto"/>
              <w:right w:val="single" w:sz="4" w:space="0" w:color="auto"/>
            </w:tcBorders>
            <w:hideMark/>
          </w:tcPr>
          <w:p w14:paraId="0C4507B6" w14:textId="77777777" w:rsidR="009F2A20" w:rsidRPr="00EB7B1B" w:rsidRDefault="009F2A20" w:rsidP="002F7A80">
            <w:pPr>
              <w:tabs>
                <w:tab w:val="left" w:pos="709"/>
              </w:tabs>
              <w:spacing w:before="60" w:after="60" w:line="256" w:lineRule="auto"/>
              <w:rPr>
                <w:rFonts w:ascii="Arial" w:hAnsi="Arial" w:cs="Arial"/>
                <w:color w:val="000000" w:themeColor="text1"/>
                <w:sz w:val="16"/>
                <w:szCs w:val="16"/>
              </w:rPr>
            </w:pPr>
            <w:r w:rsidRPr="00EB7B1B">
              <w:rPr>
                <w:rFonts w:ascii="Arial" w:hAnsi="Arial" w:cs="Arial"/>
                <w:b/>
                <w:color w:val="000000" w:themeColor="text1"/>
                <w:sz w:val="16"/>
                <w:szCs w:val="16"/>
              </w:rPr>
              <w:t>Year</w:t>
            </w:r>
          </w:p>
        </w:tc>
        <w:tc>
          <w:tcPr>
            <w:tcW w:w="4815" w:type="dxa"/>
            <w:tcBorders>
              <w:top w:val="single" w:sz="4" w:space="0" w:color="auto"/>
              <w:left w:val="single" w:sz="4" w:space="0" w:color="auto"/>
              <w:bottom w:val="single" w:sz="4" w:space="0" w:color="auto"/>
              <w:right w:val="single" w:sz="4" w:space="0" w:color="auto"/>
            </w:tcBorders>
            <w:hideMark/>
          </w:tcPr>
          <w:p w14:paraId="4F458CC2" w14:textId="77777777" w:rsidR="009F2A20" w:rsidRPr="00EB7B1B" w:rsidRDefault="009F2A20" w:rsidP="002F7A80">
            <w:pPr>
              <w:tabs>
                <w:tab w:val="left" w:pos="709"/>
              </w:tabs>
              <w:spacing w:before="60" w:after="60" w:line="256" w:lineRule="auto"/>
              <w:rPr>
                <w:rFonts w:ascii="Arial" w:hAnsi="Arial" w:cs="Arial"/>
                <w:color w:val="000000" w:themeColor="text1"/>
                <w:sz w:val="22"/>
                <w:szCs w:val="22"/>
              </w:rPr>
            </w:pPr>
            <w:r w:rsidRPr="00EB7B1B">
              <w:rPr>
                <w:rFonts w:ascii="Arial" w:hAnsi="Arial" w:cs="Arial"/>
                <w:b/>
                <w:color w:val="000000" w:themeColor="text1"/>
                <w:sz w:val="16"/>
                <w:szCs w:val="16"/>
              </w:rPr>
              <w:t>Performance measures (b)</w:t>
            </w:r>
          </w:p>
        </w:tc>
        <w:tc>
          <w:tcPr>
            <w:tcW w:w="1418" w:type="dxa"/>
            <w:tcBorders>
              <w:top w:val="single" w:sz="4" w:space="0" w:color="auto"/>
              <w:left w:val="single" w:sz="4" w:space="0" w:color="auto"/>
              <w:bottom w:val="single" w:sz="4" w:space="0" w:color="auto"/>
              <w:right w:val="single" w:sz="4" w:space="0" w:color="auto"/>
            </w:tcBorders>
            <w:hideMark/>
          </w:tcPr>
          <w:p w14:paraId="3A35DECB" w14:textId="77777777" w:rsidR="009F2A20" w:rsidRPr="00EB7B1B" w:rsidRDefault="00883AF5" w:rsidP="002F7A80">
            <w:pPr>
              <w:tabs>
                <w:tab w:val="left" w:pos="709"/>
              </w:tabs>
              <w:spacing w:before="60" w:after="60" w:line="256" w:lineRule="auto"/>
              <w:rPr>
                <w:rFonts w:ascii="Arial" w:hAnsi="Arial" w:cs="Arial"/>
                <w:i/>
                <w:color w:val="000000" w:themeColor="text1"/>
                <w:sz w:val="16"/>
                <w:szCs w:val="16"/>
              </w:rPr>
            </w:pPr>
            <w:r>
              <w:rPr>
                <w:rFonts w:ascii="Arial" w:hAnsi="Arial" w:cs="Arial"/>
                <w:b/>
                <w:color w:val="000000" w:themeColor="text1"/>
                <w:sz w:val="16"/>
                <w:szCs w:val="16"/>
              </w:rPr>
              <w:t>Expected performance r</w:t>
            </w:r>
            <w:r w:rsidRPr="00EB7B1B">
              <w:rPr>
                <w:rFonts w:ascii="Arial" w:hAnsi="Arial" w:cs="Arial"/>
                <w:b/>
                <w:color w:val="000000" w:themeColor="text1"/>
                <w:sz w:val="16"/>
                <w:szCs w:val="16"/>
              </w:rPr>
              <w:t>esults</w:t>
            </w:r>
          </w:p>
        </w:tc>
      </w:tr>
      <w:tr w:rsidR="009F2A20" w:rsidRPr="000D0C3B" w14:paraId="6BAE0ECA" w14:textId="77777777" w:rsidTr="002F7A80">
        <w:trPr>
          <w:trHeight w:val="100"/>
        </w:trPr>
        <w:tc>
          <w:tcPr>
            <w:tcW w:w="1706" w:type="dxa"/>
            <w:tcBorders>
              <w:top w:val="single" w:sz="4" w:space="0" w:color="auto"/>
              <w:left w:val="single" w:sz="4" w:space="0" w:color="auto"/>
              <w:bottom w:val="dotted" w:sz="4" w:space="0" w:color="auto"/>
              <w:right w:val="single" w:sz="4" w:space="0" w:color="auto"/>
            </w:tcBorders>
            <w:hideMark/>
          </w:tcPr>
          <w:p w14:paraId="02E5B8AD" w14:textId="77777777" w:rsidR="009F2A20" w:rsidRPr="00EB7B1B" w:rsidRDefault="009F2A20" w:rsidP="00883AF5">
            <w:pPr>
              <w:tabs>
                <w:tab w:val="left" w:pos="709"/>
              </w:tabs>
              <w:spacing w:before="60" w:after="60" w:line="256" w:lineRule="auto"/>
              <w:rPr>
                <w:rFonts w:ascii="Arial" w:hAnsi="Arial" w:cs="Arial"/>
                <w:color w:val="000000" w:themeColor="text1"/>
                <w:sz w:val="16"/>
                <w:szCs w:val="16"/>
              </w:rPr>
            </w:pPr>
            <w:r w:rsidRPr="00EB7B1B">
              <w:rPr>
                <w:rFonts w:ascii="Arial" w:hAnsi="Arial" w:cs="Arial"/>
                <w:color w:val="000000" w:themeColor="text1"/>
                <w:sz w:val="16"/>
                <w:szCs w:val="16"/>
              </w:rPr>
              <w:t>Bu</w:t>
            </w:r>
            <w:r w:rsidR="00883AF5">
              <w:rPr>
                <w:rFonts w:ascii="Arial" w:hAnsi="Arial" w:cs="Arial"/>
                <w:color w:val="000000" w:themeColor="text1"/>
                <w:sz w:val="16"/>
                <w:szCs w:val="16"/>
              </w:rPr>
              <w:t>dget y</w:t>
            </w:r>
            <w:r w:rsidRPr="00EB7B1B">
              <w:rPr>
                <w:rFonts w:ascii="Arial" w:hAnsi="Arial" w:cs="Arial"/>
                <w:color w:val="000000" w:themeColor="text1"/>
                <w:sz w:val="16"/>
                <w:szCs w:val="16"/>
              </w:rPr>
              <w:t xml:space="preserve">ear </w:t>
            </w:r>
            <w:r w:rsidR="00883AF5">
              <w:rPr>
                <w:rFonts w:ascii="Arial" w:hAnsi="Arial" w:cs="Arial"/>
                <w:color w:val="000000" w:themeColor="text1"/>
                <w:sz w:val="16"/>
                <w:szCs w:val="16"/>
              </w:rPr>
              <w:t>2</w:t>
            </w:r>
            <w:r w:rsidRPr="00EB7B1B">
              <w:rPr>
                <w:rFonts w:ascii="Arial" w:hAnsi="Arial" w:cs="Arial"/>
                <w:color w:val="000000" w:themeColor="text1"/>
                <w:sz w:val="16"/>
                <w:szCs w:val="16"/>
              </w:rPr>
              <w:t>022-23</w:t>
            </w:r>
          </w:p>
        </w:tc>
        <w:tc>
          <w:tcPr>
            <w:tcW w:w="4815" w:type="dxa"/>
            <w:tcBorders>
              <w:top w:val="single" w:sz="4" w:space="0" w:color="auto"/>
              <w:left w:val="single" w:sz="4" w:space="0" w:color="auto"/>
              <w:bottom w:val="dotted" w:sz="4" w:space="0" w:color="auto"/>
              <w:right w:val="single" w:sz="4" w:space="0" w:color="auto"/>
            </w:tcBorders>
            <w:hideMark/>
          </w:tcPr>
          <w:p w14:paraId="41EA6A03" w14:textId="77777777" w:rsidR="009F2A20" w:rsidRDefault="009F2A20" w:rsidP="002F7A80">
            <w:pPr>
              <w:tabs>
                <w:tab w:val="left" w:pos="709"/>
              </w:tabs>
              <w:spacing w:before="60" w:after="60" w:line="256" w:lineRule="auto"/>
              <w:rPr>
                <w:rFonts w:ascii="Arial" w:hAnsi="Arial" w:cs="Arial"/>
                <w:color w:val="000000" w:themeColor="text1"/>
                <w:sz w:val="16"/>
                <w:szCs w:val="16"/>
              </w:rPr>
            </w:pPr>
            <w:r w:rsidRPr="00EB7B1B">
              <w:rPr>
                <w:rFonts w:ascii="Arial" w:hAnsi="Arial" w:cs="Arial"/>
                <w:color w:val="000000" w:themeColor="text1"/>
                <w:sz w:val="16"/>
                <w:szCs w:val="16"/>
              </w:rPr>
              <w:t>As per 202</w:t>
            </w:r>
            <w:r>
              <w:rPr>
                <w:rFonts w:ascii="Arial" w:hAnsi="Arial" w:cs="Arial"/>
                <w:color w:val="000000" w:themeColor="text1"/>
                <w:sz w:val="16"/>
                <w:szCs w:val="16"/>
              </w:rPr>
              <w:t>1</w:t>
            </w:r>
            <w:r w:rsidRPr="00EB7B1B">
              <w:rPr>
                <w:rFonts w:ascii="Arial" w:hAnsi="Arial" w:cs="Arial"/>
                <w:color w:val="000000" w:themeColor="text1"/>
                <w:sz w:val="16"/>
                <w:szCs w:val="16"/>
              </w:rPr>
              <w:t>-2</w:t>
            </w:r>
            <w:r>
              <w:rPr>
                <w:rFonts w:ascii="Arial" w:hAnsi="Arial" w:cs="Arial"/>
                <w:color w:val="000000" w:themeColor="text1"/>
                <w:sz w:val="16"/>
                <w:szCs w:val="16"/>
              </w:rPr>
              <w:t xml:space="preserve">2 </w:t>
            </w:r>
            <w:r w:rsidRPr="00EB7B1B">
              <w:rPr>
                <w:rFonts w:ascii="Arial" w:hAnsi="Arial" w:cs="Arial"/>
                <w:color w:val="000000" w:themeColor="text1"/>
                <w:sz w:val="16"/>
                <w:szCs w:val="16"/>
              </w:rPr>
              <w:t>exc</w:t>
            </w:r>
            <w:r>
              <w:rPr>
                <w:rFonts w:ascii="Arial" w:hAnsi="Arial" w:cs="Arial"/>
                <w:color w:val="000000" w:themeColor="text1"/>
                <w:sz w:val="16"/>
                <w:szCs w:val="16"/>
              </w:rPr>
              <w:t>ep</w:t>
            </w:r>
            <w:r w:rsidRPr="00EB7B1B">
              <w:rPr>
                <w:rFonts w:ascii="Arial" w:hAnsi="Arial" w:cs="Arial"/>
                <w:color w:val="000000" w:themeColor="text1"/>
                <w:sz w:val="16"/>
                <w:szCs w:val="16"/>
              </w:rPr>
              <w:t>t performance measures marked</w:t>
            </w:r>
            <w:r>
              <w:rPr>
                <w:rFonts w:ascii="Arial" w:hAnsi="Arial" w:cs="Arial"/>
                <w:color w:val="000000" w:themeColor="text1"/>
                <w:sz w:val="16"/>
                <w:szCs w:val="16"/>
              </w:rPr>
              <w:t xml:space="preserve"> with ^ that will finish in 2022</w:t>
            </w:r>
            <w:r w:rsidRPr="00EB7B1B">
              <w:rPr>
                <w:rFonts w:ascii="Arial" w:hAnsi="Arial" w:cs="Arial"/>
                <w:color w:val="000000" w:themeColor="text1"/>
                <w:sz w:val="16"/>
                <w:szCs w:val="16"/>
              </w:rPr>
              <w:t>-2</w:t>
            </w:r>
            <w:r>
              <w:rPr>
                <w:rFonts w:ascii="Arial" w:hAnsi="Arial" w:cs="Arial"/>
                <w:color w:val="000000" w:themeColor="text1"/>
                <w:sz w:val="16"/>
                <w:szCs w:val="16"/>
              </w:rPr>
              <w:t>3.</w:t>
            </w:r>
          </w:p>
          <w:p w14:paraId="58F1D287" w14:textId="77777777" w:rsidR="009F2A20" w:rsidRPr="00D6139C" w:rsidRDefault="009F2A20" w:rsidP="002F7A80">
            <w:pPr>
              <w:tabs>
                <w:tab w:val="left" w:pos="709"/>
              </w:tabs>
              <w:spacing w:before="60" w:after="60" w:line="256" w:lineRule="auto"/>
              <w:rPr>
                <w:rFonts w:ascii="Arial" w:hAnsi="Arial" w:cs="Arial"/>
                <w:color w:val="000000" w:themeColor="text1"/>
                <w:sz w:val="16"/>
                <w:szCs w:val="16"/>
              </w:rPr>
            </w:pPr>
            <w:r w:rsidRPr="00643018">
              <w:rPr>
                <w:rFonts w:ascii="Arial" w:hAnsi="Arial" w:cs="Arial"/>
                <w:bCs/>
                <w:color w:val="000000" w:themeColor="text1"/>
                <w:sz w:val="16"/>
                <w:szCs w:val="16"/>
              </w:rPr>
              <w:t>Recipients of Australian Government disaster resilience, preparedness and risk reduction assistance indicate that it has assisted and they are better prepared for future disasters</w:t>
            </w:r>
            <w:r>
              <w:rPr>
                <w:rFonts w:ascii="Arial" w:hAnsi="Arial" w:cs="Arial"/>
                <w:bCs/>
                <w:color w:val="000000" w:themeColor="text1"/>
                <w:sz w:val="16"/>
                <w:szCs w:val="16"/>
              </w:rPr>
              <w:t>.</w:t>
            </w:r>
          </w:p>
        </w:tc>
        <w:tc>
          <w:tcPr>
            <w:tcW w:w="1418" w:type="dxa"/>
            <w:tcBorders>
              <w:top w:val="single" w:sz="4" w:space="0" w:color="auto"/>
              <w:left w:val="single" w:sz="4" w:space="0" w:color="auto"/>
              <w:bottom w:val="dotted" w:sz="4" w:space="0" w:color="auto"/>
              <w:right w:val="single" w:sz="4" w:space="0" w:color="auto"/>
            </w:tcBorders>
          </w:tcPr>
          <w:p w14:paraId="502662ED" w14:textId="77777777" w:rsidR="009F2A20" w:rsidRPr="00EB7B1B" w:rsidRDefault="009F2A20" w:rsidP="002F7A80">
            <w:pPr>
              <w:spacing w:after="40" w:line="256" w:lineRule="auto"/>
              <w:rPr>
                <w:rFonts w:ascii="Arial" w:hAnsi="Arial" w:cs="Arial"/>
                <w:color w:val="000000" w:themeColor="text1"/>
                <w:sz w:val="16"/>
                <w:szCs w:val="16"/>
              </w:rPr>
            </w:pPr>
          </w:p>
        </w:tc>
      </w:tr>
      <w:tr w:rsidR="009F2A20" w:rsidRPr="000D0C3B" w14:paraId="09C0C4DD" w14:textId="77777777" w:rsidTr="002F7A80">
        <w:trPr>
          <w:trHeight w:val="491"/>
        </w:trPr>
        <w:tc>
          <w:tcPr>
            <w:tcW w:w="1706" w:type="dxa"/>
            <w:tcBorders>
              <w:top w:val="dotted" w:sz="4" w:space="0" w:color="auto"/>
              <w:left w:val="single" w:sz="4" w:space="0" w:color="auto"/>
              <w:bottom w:val="single" w:sz="4" w:space="0" w:color="auto"/>
              <w:right w:val="single" w:sz="4" w:space="0" w:color="auto"/>
            </w:tcBorders>
            <w:hideMark/>
          </w:tcPr>
          <w:p w14:paraId="0F7A3C6B" w14:textId="77777777" w:rsidR="009F2A20" w:rsidRPr="00EB7B1B" w:rsidRDefault="00883AF5" w:rsidP="002F7A80">
            <w:pPr>
              <w:tabs>
                <w:tab w:val="left" w:pos="709"/>
              </w:tabs>
              <w:spacing w:before="60" w:after="60" w:line="256" w:lineRule="auto"/>
              <w:rPr>
                <w:rFonts w:ascii="Arial" w:hAnsi="Arial" w:cs="Arial"/>
                <w:color w:val="000000" w:themeColor="text1"/>
                <w:sz w:val="16"/>
                <w:szCs w:val="16"/>
              </w:rPr>
            </w:pPr>
            <w:r>
              <w:rPr>
                <w:rFonts w:ascii="Arial" w:hAnsi="Arial" w:cs="Arial"/>
                <w:color w:val="000000" w:themeColor="text1"/>
                <w:sz w:val="16"/>
                <w:szCs w:val="16"/>
              </w:rPr>
              <w:t>Forward e</w:t>
            </w:r>
            <w:r w:rsidR="009F2A20" w:rsidRPr="00EB7B1B">
              <w:rPr>
                <w:rFonts w:ascii="Arial" w:hAnsi="Arial" w:cs="Arial"/>
                <w:color w:val="000000" w:themeColor="text1"/>
                <w:sz w:val="16"/>
                <w:szCs w:val="16"/>
              </w:rPr>
              <w:t xml:space="preserve">stimates </w:t>
            </w:r>
          </w:p>
          <w:p w14:paraId="5F6C9109" w14:textId="77777777" w:rsidR="009F2A20" w:rsidRPr="00EB7B1B" w:rsidRDefault="009F2A20" w:rsidP="002F7A80">
            <w:pPr>
              <w:tabs>
                <w:tab w:val="left" w:pos="709"/>
              </w:tabs>
              <w:spacing w:before="60" w:after="60" w:line="256" w:lineRule="auto"/>
              <w:rPr>
                <w:rFonts w:ascii="Arial" w:hAnsi="Arial" w:cs="Arial"/>
                <w:b/>
                <w:color w:val="000000" w:themeColor="text1"/>
                <w:sz w:val="16"/>
                <w:szCs w:val="16"/>
              </w:rPr>
            </w:pPr>
            <w:r w:rsidRPr="00EB7B1B">
              <w:rPr>
                <w:rFonts w:ascii="Arial" w:hAnsi="Arial" w:cs="Arial"/>
                <w:color w:val="000000" w:themeColor="text1"/>
                <w:sz w:val="16"/>
                <w:szCs w:val="16"/>
              </w:rPr>
              <w:t>2023-24</w:t>
            </w:r>
          </w:p>
        </w:tc>
        <w:tc>
          <w:tcPr>
            <w:tcW w:w="4815" w:type="dxa"/>
            <w:tcBorders>
              <w:top w:val="dotted" w:sz="4" w:space="0" w:color="auto"/>
              <w:left w:val="single" w:sz="4" w:space="0" w:color="auto"/>
              <w:bottom w:val="single" w:sz="4" w:space="0" w:color="auto"/>
              <w:right w:val="single" w:sz="4" w:space="0" w:color="auto"/>
            </w:tcBorders>
            <w:hideMark/>
          </w:tcPr>
          <w:p w14:paraId="63050100" w14:textId="77777777" w:rsidR="009F2A20" w:rsidRPr="00D6139C" w:rsidRDefault="009F2A20" w:rsidP="002F7A80">
            <w:pPr>
              <w:tabs>
                <w:tab w:val="left" w:pos="709"/>
              </w:tabs>
              <w:spacing w:before="60" w:after="60" w:line="256" w:lineRule="auto"/>
              <w:rPr>
                <w:rFonts w:ascii="Arial" w:hAnsi="Arial" w:cs="Arial"/>
                <w:color w:val="000000" w:themeColor="text1"/>
                <w:sz w:val="16"/>
                <w:szCs w:val="16"/>
              </w:rPr>
            </w:pPr>
            <w:r w:rsidRPr="00EB7B1B">
              <w:rPr>
                <w:rFonts w:ascii="Arial" w:hAnsi="Arial" w:cs="Arial"/>
                <w:color w:val="000000" w:themeColor="text1"/>
                <w:sz w:val="16"/>
                <w:szCs w:val="16"/>
              </w:rPr>
              <w:t>As per 202</w:t>
            </w:r>
            <w:r>
              <w:rPr>
                <w:rFonts w:ascii="Arial" w:hAnsi="Arial" w:cs="Arial"/>
                <w:color w:val="000000" w:themeColor="text1"/>
                <w:sz w:val="16"/>
                <w:szCs w:val="16"/>
              </w:rPr>
              <w:t>2</w:t>
            </w:r>
            <w:r w:rsidRPr="00EB7B1B">
              <w:rPr>
                <w:rFonts w:ascii="Arial" w:hAnsi="Arial" w:cs="Arial"/>
                <w:color w:val="000000" w:themeColor="text1"/>
                <w:sz w:val="16"/>
                <w:szCs w:val="16"/>
              </w:rPr>
              <w:t>-2</w:t>
            </w:r>
            <w:r>
              <w:rPr>
                <w:rFonts w:ascii="Arial" w:hAnsi="Arial" w:cs="Arial"/>
                <w:color w:val="000000" w:themeColor="text1"/>
                <w:sz w:val="16"/>
                <w:szCs w:val="16"/>
              </w:rPr>
              <w:t>3.</w:t>
            </w:r>
          </w:p>
        </w:tc>
        <w:tc>
          <w:tcPr>
            <w:tcW w:w="1418" w:type="dxa"/>
            <w:tcBorders>
              <w:top w:val="dotted" w:sz="4" w:space="0" w:color="auto"/>
              <w:left w:val="single" w:sz="4" w:space="0" w:color="auto"/>
              <w:bottom w:val="single" w:sz="4" w:space="0" w:color="auto"/>
              <w:right w:val="single" w:sz="4" w:space="0" w:color="auto"/>
            </w:tcBorders>
          </w:tcPr>
          <w:p w14:paraId="52044B12" w14:textId="77777777" w:rsidR="009F2A20" w:rsidRPr="00EB7B1B" w:rsidRDefault="009F2A20" w:rsidP="002F7A80">
            <w:pPr>
              <w:tabs>
                <w:tab w:val="left" w:pos="709"/>
              </w:tabs>
              <w:spacing w:before="60" w:after="60" w:line="256" w:lineRule="auto"/>
              <w:rPr>
                <w:rFonts w:ascii="Arial" w:hAnsi="Arial" w:cs="Arial"/>
                <w:color w:val="000000" w:themeColor="text1"/>
                <w:sz w:val="16"/>
                <w:szCs w:val="16"/>
              </w:rPr>
            </w:pPr>
          </w:p>
        </w:tc>
      </w:tr>
    </w:tbl>
    <w:p w14:paraId="434D0529" w14:textId="77777777" w:rsidR="009F2A20" w:rsidRPr="000D0C3B" w:rsidRDefault="00623E92" w:rsidP="00392A48">
      <w:pPr>
        <w:pStyle w:val="ChartandTableFootnoteAlpha"/>
        <w:numPr>
          <w:ilvl w:val="0"/>
          <w:numId w:val="85"/>
        </w:numPr>
        <w:rPr>
          <w:rFonts w:cs="Arial"/>
          <w:i/>
          <w:iCs/>
        </w:rPr>
      </w:pPr>
      <w:r>
        <w:rPr>
          <w:rFonts w:cs="Arial"/>
        </w:rPr>
        <w:t xml:space="preserve">The </w:t>
      </w:r>
      <w:r w:rsidR="009F2A20" w:rsidRPr="000D0C3B">
        <w:rPr>
          <w:rFonts w:cs="Arial"/>
        </w:rPr>
        <w:t xml:space="preserve">NRRA revised its performance measures from the 2021-22 PBS when developing the 2021-22 Corporate Plan. The updated measures are reflected here. </w:t>
      </w:r>
    </w:p>
    <w:p w14:paraId="7CCBDC8B" w14:textId="77777777" w:rsidR="009F2A20" w:rsidRPr="000D0C3B" w:rsidRDefault="00623E92" w:rsidP="00392A48">
      <w:pPr>
        <w:pStyle w:val="ChartandTableFootnoteAlpha"/>
        <w:numPr>
          <w:ilvl w:val="0"/>
          <w:numId w:val="85"/>
        </w:numPr>
        <w:rPr>
          <w:rFonts w:cs="Arial"/>
        </w:rPr>
      </w:pPr>
      <w:r>
        <w:rPr>
          <w:rFonts w:cs="Arial"/>
        </w:rPr>
        <w:t xml:space="preserve">The </w:t>
      </w:r>
      <w:r w:rsidR="009F2A20" w:rsidRPr="000D0C3B">
        <w:rPr>
          <w:rFonts w:cs="Arial"/>
        </w:rPr>
        <w:t xml:space="preserve">NRRA may revise its performance measures when developing its 2022-23 Corporate Plan. </w:t>
      </w:r>
    </w:p>
    <w:p w14:paraId="33D8BADB" w14:textId="77777777" w:rsidR="00883AF5" w:rsidRPr="00ED6808" w:rsidRDefault="00883AF5" w:rsidP="00392A48">
      <w:pPr>
        <w:pStyle w:val="ChartandTableFootnoteAlpha"/>
        <w:numPr>
          <w:ilvl w:val="0"/>
          <w:numId w:val="85"/>
        </w:numPr>
        <w:rPr>
          <w:rFonts w:cs="Arial"/>
          <w:szCs w:val="16"/>
        </w:rPr>
      </w:pPr>
      <w:r>
        <w:rPr>
          <w:rFonts w:cs="Arial"/>
          <w:bCs/>
          <w:color w:val="000000" w:themeColor="text1"/>
          <w:szCs w:val="16"/>
        </w:rPr>
        <w:t>P</w:t>
      </w:r>
      <w:r w:rsidRPr="00ED6808">
        <w:rPr>
          <w:rFonts w:cs="Arial"/>
          <w:bCs/>
          <w:color w:val="000000" w:themeColor="text1"/>
          <w:szCs w:val="16"/>
        </w:rPr>
        <w:t>erformance measures marked with * will finish in 2022-23</w:t>
      </w:r>
      <w:r>
        <w:rPr>
          <w:rFonts w:cs="Arial"/>
          <w:bCs/>
          <w:color w:val="000000" w:themeColor="text1"/>
          <w:szCs w:val="16"/>
        </w:rPr>
        <w:t>.</w:t>
      </w:r>
    </w:p>
    <w:p w14:paraId="1C852EDD" w14:textId="77777777" w:rsidR="00883AF5" w:rsidRPr="00ED6808" w:rsidRDefault="00883AF5" w:rsidP="00392A48">
      <w:pPr>
        <w:pStyle w:val="ListParagraph"/>
        <w:numPr>
          <w:ilvl w:val="0"/>
          <w:numId w:val="85"/>
        </w:numPr>
        <w:rPr>
          <w:rFonts w:ascii="Arial" w:hAnsi="Arial" w:cs="Arial"/>
          <w:sz w:val="16"/>
          <w:szCs w:val="16"/>
        </w:rPr>
      </w:pPr>
      <w:r>
        <w:rPr>
          <w:rFonts w:ascii="Arial" w:hAnsi="Arial" w:cs="Arial"/>
          <w:bCs/>
          <w:color w:val="000000" w:themeColor="text1"/>
          <w:sz w:val="16"/>
          <w:szCs w:val="16"/>
        </w:rPr>
        <w:t>P</w:t>
      </w:r>
      <w:r w:rsidRPr="00ED6808">
        <w:rPr>
          <w:rFonts w:ascii="Arial" w:hAnsi="Arial" w:cs="Arial"/>
          <w:bCs/>
          <w:color w:val="000000" w:themeColor="text1"/>
          <w:sz w:val="16"/>
          <w:szCs w:val="16"/>
        </w:rPr>
        <w:t>erformance measures marked with ^ will finish in 2023-24.</w:t>
      </w:r>
    </w:p>
    <w:p w14:paraId="3C639CD1" w14:textId="77777777" w:rsidR="00883AF5" w:rsidRDefault="00883AF5">
      <w:pPr>
        <w:spacing w:after="0" w:line="240" w:lineRule="auto"/>
        <w:jc w:val="left"/>
        <w:rPr>
          <w:rFonts w:cstheme="minorBidi"/>
        </w:rPr>
      </w:pPr>
      <w:r>
        <w:rPr>
          <w:rFonts w:cstheme="minorBidi"/>
        </w:rPr>
        <w:br w:type="page"/>
      </w:r>
    </w:p>
    <w:p w14:paraId="5483D12C" w14:textId="77777777" w:rsidR="009F2A20" w:rsidRPr="006B3BAD" w:rsidRDefault="009F2A20" w:rsidP="009F2A20">
      <w:pPr>
        <w:pStyle w:val="TableHeading"/>
      </w:pPr>
      <w:r w:rsidRPr="006B3BAD">
        <w:t>Table 2.</w:t>
      </w:r>
      <w:r>
        <w:rPr>
          <w:lang w:val="en-AU"/>
        </w:rPr>
        <w:t>1</w:t>
      </w:r>
      <w:r w:rsidRPr="006B3BAD">
        <w:t>.</w:t>
      </w:r>
      <w:r>
        <w:rPr>
          <w:lang w:val="en-AU"/>
        </w:rPr>
        <w:t>2</w:t>
      </w:r>
      <w:r w:rsidRPr="006B3BAD">
        <w:t xml:space="preserve">: Performance </w:t>
      </w:r>
      <w:r w:rsidRPr="006B3BAD">
        <w:rPr>
          <w:lang w:val="en-AU"/>
        </w:rPr>
        <w:t>measure</w:t>
      </w:r>
      <w:r w:rsidRPr="006B3BAD">
        <w:t xml:space="preserve"> for Outcome </w:t>
      </w:r>
      <w:r w:rsidRPr="006B3BAD">
        <w:rPr>
          <w:lang w:val="en-AU"/>
        </w:rPr>
        <w:t>1</w:t>
      </w:r>
      <w:r>
        <w:rPr>
          <w:lang w:val="en-AU"/>
        </w:rPr>
        <w:t xml:space="preserve"> (continue</w:t>
      </w:r>
      <w:r w:rsidR="00623E92">
        <w:rPr>
          <w:lang w:val="en-AU"/>
        </w:rPr>
        <w:t>d</w:t>
      </w:r>
      <w:r>
        <w:rPr>
          <w:lang w:val="en-AU"/>
        </w:rPr>
        <w:t>)</w:t>
      </w:r>
    </w:p>
    <w:tbl>
      <w:tblPr>
        <w:tblW w:w="8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673"/>
        <w:gridCol w:w="1701"/>
      </w:tblGrid>
      <w:tr w:rsidR="009F2A20" w:rsidRPr="001D052A" w14:paraId="61A20095" w14:textId="77777777" w:rsidTr="002F7A80">
        <w:trPr>
          <w:trHeight w:val="522"/>
          <w:tblHeader/>
        </w:trPr>
        <w:tc>
          <w:tcPr>
            <w:tcW w:w="8080"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FFC5741" w14:textId="77777777" w:rsidR="009F2A20" w:rsidRPr="00715669" w:rsidRDefault="009F2A20" w:rsidP="002F7A80">
            <w:pPr>
              <w:tabs>
                <w:tab w:val="left" w:pos="709"/>
              </w:tabs>
              <w:spacing w:before="60" w:after="60" w:line="256" w:lineRule="auto"/>
              <w:rPr>
                <w:rFonts w:ascii="Arial" w:hAnsi="Arial" w:cs="Arial"/>
                <w:b/>
                <w:color w:val="000000" w:themeColor="text1"/>
                <w:sz w:val="16"/>
                <w:szCs w:val="16"/>
                <w:lang w:eastAsia="en-US"/>
              </w:rPr>
            </w:pPr>
            <w:r w:rsidRPr="00715669">
              <w:rPr>
                <w:rFonts w:ascii="Arial" w:hAnsi="Arial" w:cs="Arial"/>
                <w:b/>
                <w:color w:val="000000" w:themeColor="text1"/>
                <w:sz w:val="16"/>
                <w:szCs w:val="16"/>
              </w:rPr>
              <w:t xml:space="preserve">Program 1.3 - </w:t>
            </w:r>
            <w:r w:rsidRPr="00715669">
              <w:rPr>
                <w:rFonts w:ascii="Arial" w:hAnsi="Arial" w:cs="Arial"/>
                <w:b/>
                <w:sz w:val="16"/>
                <w:szCs w:val="16"/>
              </w:rPr>
              <w:t xml:space="preserve">Australian Government Resilience, Preparedness and </w:t>
            </w:r>
            <w:r>
              <w:rPr>
                <w:rFonts w:ascii="Arial" w:hAnsi="Arial" w:cs="Arial"/>
                <w:b/>
                <w:sz w:val="16"/>
                <w:szCs w:val="16"/>
              </w:rPr>
              <w:t>Disaster Risk Reduction Support</w:t>
            </w:r>
          </w:p>
          <w:p w14:paraId="6EAC4362" w14:textId="77777777" w:rsidR="009F2A20" w:rsidRPr="00643018" w:rsidRDefault="009F2A20" w:rsidP="002F7A80">
            <w:pPr>
              <w:tabs>
                <w:tab w:val="left" w:pos="709"/>
              </w:tabs>
              <w:spacing w:before="60" w:after="60" w:line="256" w:lineRule="auto"/>
              <w:rPr>
                <w:rFonts w:ascii="Arial" w:hAnsi="Arial" w:cs="Arial"/>
                <w:color w:val="000000" w:themeColor="text1"/>
                <w:sz w:val="16"/>
                <w:szCs w:val="16"/>
              </w:rPr>
            </w:pPr>
            <w:r w:rsidRPr="00643018">
              <w:rPr>
                <w:rFonts w:ascii="Arial" w:hAnsi="Arial" w:cs="Arial"/>
                <w:sz w:val="16"/>
                <w:szCs w:val="16"/>
              </w:rPr>
              <w:t>The NRRA will design, oversee and administer natural disaster resilience, risk reduction and preparedness funding programs. This includes the Preparing Australia Package to improve long term resilience of Australian communities and households.</w:t>
            </w:r>
          </w:p>
        </w:tc>
      </w:tr>
      <w:tr w:rsidR="009F2A20" w:rsidRPr="001D052A" w14:paraId="05B44CCC" w14:textId="77777777" w:rsidTr="002F7A80">
        <w:trPr>
          <w:trHeight w:val="446"/>
        </w:trPr>
        <w:tc>
          <w:tcPr>
            <w:tcW w:w="1706" w:type="dxa"/>
            <w:tcBorders>
              <w:top w:val="single" w:sz="4" w:space="0" w:color="auto"/>
              <w:left w:val="single" w:sz="4" w:space="0" w:color="auto"/>
              <w:bottom w:val="double" w:sz="4" w:space="0" w:color="auto"/>
              <w:right w:val="single" w:sz="4" w:space="0" w:color="auto"/>
            </w:tcBorders>
            <w:hideMark/>
          </w:tcPr>
          <w:p w14:paraId="1EFD493F" w14:textId="77777777" w:rsidR="009F2A20" w:rsidRPr="00643018" w:rsidRDefault="00883AF5"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Key a</w:t>
            </w:r>
            <w:r w:rsidR="009F2A20" w:rsidRPr="00643018">
              <w:rPr>
                <w:rFonts w:ascii="Arial" w:hAnsi="Arial" w:cs="Arial"/>
                <w:b/>
                <w:color w:val="000000" w:themeColor="text1"/>
                <w:sz w:val="16"/>
                <w:szCs w:val="16"/>
              </w:rPr>
              <w:t>ctivities (a)</w:t>
            </w:r>
          </w:p>
        </w:tc>
        <w:tc>
          <w:tcPr>
            <w:tcW w:w="6374" w:type="dxa"/>
            <w:gridSpan w:val="2"/>
            <w:tcBorders>
              <w:top w:val="single" w:sz="4" w:space="0" w:color="auto"/>
              <w:left w:val="single" w:sz="4" w:space="0" w:color="auto"/>
              <w:bottom w:val="double" w:sz="4" w:space="0" w:color="auto"/>
              <w:right w:val="single" w:sz="4" w:space="0" w:color="auto"/>
            </w:tcBorders>
            <w:hideMark/>
          </w:tcPr>
          <w:p w14:paraId="75EFA5B0" w14:textId="77777777" w:rsidR="009F2A20" w:rsidRPr="00643018" w:rsidRDefault="009F2A20" w:rsidP="002F7A80">
            <w:pPr>
              <w:tabs>
                <w:tab w:val="left" w:pos="709"/>
              </w:tabs>
              <w:spacing w:before="60" w:after="60" w:line="256" w:lineRule="auto"/>
              <w:rPr>
                <w:rFonts w:ascii="Arial" w:hAnsi="Arial" w:cs="Arial"/>
                <w:color w:val="000000" w:themeColor="text1"/>
                <w:sz w:val="22"/>
                <w:szCs w:val="22"/>
              </w:rPr>
            </w:pPr>
            <w:r w:rsidRPr="00643018">
              <w:rPr>
                <w:rFonts w:ascii="Arial" w:hAnsi="Arial" w:cs="Arial"/>
                <w:bCs/>
                <w:color w:val="000000" w:themeColor="text1"/>
                <w:sz w:val="16"/>
                <w:szCs w:val="16"/>
              </w:rPr>
              <w:t xml:space="preserve">Delivering </w:t>
            </w:r>
            <w:r>
              <w:rPr>
                <w:rFonts w:ascii="Arial" w:hAnsi="Arial" w:cs="Arial"/>
                <w:bCs/>
                <w:color w:val="000000" w:themeColor="text1"/>
                <w:sz w:val="16"/>
                <w:szCs w:val="16"/>
              </w:rPr>
              <w:t>p</w:t>
            </w:r>
            <w:r w:rsidRPr="00643018">
              <w:rPr>
                <w:rFonts w:ascii="Arial" w:hAnsi="Arial" w:cs="Arial"/>
                <w:bCs/>
                <w:color w:val="000000" w:themeColor="text1"/>
                <w:sz w:val="16"/>
                <w:szCs w:val="16"/>
              </w:rPr>
              <w:t xml:space="preserve">rograms and </w:t>
            </w:r>
            <w:r>
              <w:rPr>
                <w:rFonts w:ascii="Arial" w:hAnsi="Arial" w:cs="Arial"/>
                <w:bCs/>
                <w:color w:val="000000" w:themeColor="text1"/>
                <w:sz w:val="16"/>
                <w:szCs w:val="16"/>
              </w:rPr>
              <w:t>s</w:t>
            </w:r>
            <w:r w:rsidRPr="00643018">
              <w:rPr>
                <w:rFonts w:ascii="Arial" w:hAnsi="Arial" w:cs="Arial"/>
                <w:bCs/>
                <w:color w:val="000000" w:themeColor="text1"/>
                <w:sz w:val="16"/>
                <w:szCs w:val="16"/>
              </w:rPr>
              <w:t xml:space="preserve">ervices </w:t>
            </w:r>
          </w:p>
        </w:tc>
      </w:tr>
      <w:tr w:rsidR="009F2A20" w:rsidRPr="001D052A" w14:paraId="6E8B8DE3" w14:textId="77777777" w:rsidTr="002F7A80">
        <w:trPr>
          <w:trHeight w:val="258"/>
        </w:trPr>
        <w:tc>
          <w:tcPr>
            <w:tcW w:w="1706" w:type="dxa"/>
            <w:tcBorders>
              <w:top w:val="double" w:sz="4" w:space="0" w:color="auto"/>
              <w:left w:val="single" w:sz="4" w:space="0" w:color="auto"/>
              <w:bottom w:val="single" w:sz="4" w:space="0" w:color="auto"/>
              <w:right w:val="single" w:sz="4" w:space="0" w:color="auto"/>
            </w:tcBorders>
            <w:hideMark/>
          </w:tcPr>
          <w:p w14:paraId="70F2EB53" w14:textId="77777777" w:rsidR="009F2A20" w:rsidRPr="00643018" w:rsidRDefault="009F2A20" w:rsidP="002F7A80">
            <w:pPr>
              <w:tabs>
                <w:tab w:val="left" w:pos="709"/>
              </w:tabs>
              <w:spacing w:before="60" w:after="60" w:line="256" w:lineRule="auto"/>
              <w:rPr>
                <w:rFonts w:ascii="Arial" w:hAnsi="Arial" w:cs="Arial"/>
                <w:b/>
                <w:color w:val="000000" w:themeColor="text1"/>
                <w:sz w:val="16"/>
                <w:szCs w:val="16"/>
              </w:rPr>
            </w:pPr>
            <w:r w:rsidRPr="00643018">
              <w:rPr>
                <w:rFonts w:ascii="Arial" w:hAnsi="Arial" w:cs="Arial"/>
                <w:b/>
                <w:color w:val="000000" w:themeColor="text1"/>
                <w:sz w:val="16"/>
                <w:szCs w:val="16"/>
              </w:rPr>
              <w:t>Year</w:t>
            </w:r>
          </w:p>
        </w:tc>
        <w:tc>
          <w:tcPr>
            <w:tcW w:w="4673" w:type="dxa"/>
            <w:tcBorders>
              <w:top w:val="double" w:sz="4" w:space="0" w:color="auto"/>
              <w:left w:val="single" w:sz="4" w:space="0" w:color="auto"/>
              <w:bottom w:val="single" w:sz="4" w:space="0" w:color="auto"/>
              <w:right w:val="single" w:sz="4" w:space="0" w:color="auto"/>
            </w:tcBorders>
            <w:hideMark/>
          </w:tcPr>
          <w:p w14:paraId="323AB85A" w14:textId="77777777" w:rsidR="009F2A20" w:rsidRPr="00643018" w:rsidRDefault="009F2A20" w:rsidP="002F7A80">
            <w:pPr>
              <w:tabs>
                <w:tab w:val="left" w:pos="709"/>
                <w:tab w:val="center" w:pos="1818"/>
              </w:tabs>
              <w:spacing w:before="60" w:after="60" w:line="256" w:lineRule="auto"/>
              <w:rPr>
                <w:rFonts w:ascii="Arial" w:hAnsi="Arial" w:cs="Arial"/>
                <w:b/>
                <w:color w:val="000000" w:themeColor="text1"/>
                <w:sz w:val="16"/>
                <w:szCs w:val="16"/>
              </w:rPr>
            </w:pPr>
            <w:r w:rsidRPr="00643018">
              <w:rPr>
                <w:rFonts w:ascii="Arial" w:hAnsi="Arial" w:cs="Arial"/>
                <w:b/>
                <w:color w:val="000000" w:themeColor="text1"/>
                <w:sz w:val="16"/>
                <w:szCs w:val="16"/>
              </w:rPr>
              <w:t>Performance measures</w:t>
            </w:r>
          </w:p>
        </w:tc>
        <w:tc>
          <w:tcPr>
            <w:tcW w:w="1701" w:type="dxa"/>
            <w:tcBorders>
              <w:top w:val="double" w:sz="4" w:space="0" w:color="auto"/>
              <w:left w:val="single" w:sz="4" w:space="0" w:color="auto"/>
              <w:bottom w:val="single" w:sz="4" w:space="0" w:color="auto"/>
              <w:right w:val="single" w:sz="4" w:space="0" w:color="auto"/>
            </w:tcBorders>
            <w:hideMark/>
          </w:tcPr>
          <w:p w14:paraId="11BF2F70" w14:textId="77777777" w:rsidR="009F2A20" w:rsidRPr="00643018" w:rsidRDefault="00883AF5" w:rsidP="00883AF5">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Expected p</w:t>
            </w:r>
            <w:r w:rsidR="009F2A20" w:rsidRPr="00643018">
              <w:rPr>
                <w:rFonts w:ascii="Arial" w:hAnsi="Arial" w:cs="Arial"/>
                <w:b/>
                <w:color w:val="000000" w:themeColor="text1"/>
                <w:sz w:val="16"/>
                <w:szCs w:val="16"/>
              </w:rPr>
              <w:t xml:space="preserve">erformance </w:t>
            </w:r>
            <w:r>
              <w:rPr>
                <w:rFonts w:ascii="Arial" w:hAnsi="Arial" w:cs="Arial"/>
                <w:b/>
                <w:color w:val="000000" w:themeColor="text1"/>
                <w:sz w:val="16"/>
                <w:szCs w:val="16"/>
              </w:rPr>
              <w:t>r</w:t>
            </w:r>
            <w:r w:rsidR="009F2A20" w:rsidRPr="00643018">
              <w:rPr>
                <w:rFonts w:ascii="Arial" w:hAnsi="Arial" w:cs="Arial"/>
                <w:b/>
                <w:color w:val="000000" w:themeColor="text1"/>
                <w:sz w:val="16"/>
                <w:szCs w:val="16"/>
              </w:rPr>
              <w:t>esults</w:t>
            </w:r>
          </w:p>
        </w:tc>
      </w:tr>
      <w:tr w:rsidR="009F2A20" w:rsidRPr="001D052A" w14:paraId="006AF230" w14:textId="77777777" w:rsidTr="002F7A80">
        <w:trPr>
          <w:trHeight w:val="971"/>
        </w:trPr>
        <w:tc>
          <w:tcPr>
            <w:tcW w:w="1706" w:type="dxa"/>
            <w:tcBorders>
              <w:top w:val="single" w:sz="4" w:space="0" w:color="auto"/>
              <w:left w:val="single" w:sz="4" w:space="0" w:color="auto"/>
              <w:bottom w:val="single" w:sz="4" w:space="0" w:color="auto"/>
              <w:right w:val="single" w:sz="4" w:space="0" w:color="auto"/>
            </w:tcBorders>
          </w:tcPr>
          <w:p w14:paraId="7ACF3220" w14:textId="77777777" w:rsidR="009F2A20" w:rsidRPr="00643018" w:rsidRDefault="009F2A20" w:rsidP="002F7A80">
            <w:pPr>
              <w:tabs>
                <w:tab w:val="left" w:pos="709"/>
              </w:tabs>
              <w:spacing w:before="60" w:after="60" w:line="256" w:lineRule="auto"/>
              <w:rPr>
                <w:rFonts w:ascii="Arial" w:hAnsi="Arial" w:cs="Arial"/>
                <w:color w:val="000000" w:themeColor="text1"/>
                <w:sz w:val="16"/>
                <w:szCs w:val="16"/>
              </w:rPr>
            </w:pPr>
            <w:r w:rsidRPr="00643018">
              <w:rPr>
                <w:rFonts w:ascii="Arial" w:hAnsi="Arial" w:cs="Arial"/>
                <w:color w:val="000000" w:themeColor="text1"/>
                <w:sz w:val="16"/>
                <w:szCs w:val="16"/>
              </w:rPr>
              <w:t xml:space="preserve">Current year </w:t>
            </w:r>
          </w:p>
          <w:p w14:paraId="79C2EEC8" w14:textId="77777777" w:rsidR="009F2A20" w:rsidRPr="00643018" w:rsidRDefault="009F2A20" w:rsidP="002F7A80">
            <w:pPr>
              <w:tabs>
                <w:tab w:val="left" w:pos="709"/>
              </w:tabs>
              <w:spacing w:before="60" w:after="60" w:line="256" w:lineRule="auto"/>
              <w:rPr>
                <w:rFonts w:ascii="Arial" w:hAnsi="Arial" w:cs="Arial"/>
                <w:color w:val="000000" w:themeColor="text1"/>
                <w:sz w:val="16"/>
                <w:szCs w:val="16"/>
              </w:rPr>
            </w:pPr>
            <w:r w:rsidRPr="00643018">
              <w:rPr>
                <w:rFonts w:ascii="Arial" w:hAnsi="Arial" w:cs="Arial"/>
                <w:color w:val="000000" w:themeColor="text1"/>
                <w:sz w:val="16"/>
                <w:szCs w:val="16"/>
              </w:rPr>
              <w:t>2021-22</w:t>
            </w:r>
          </w:p>
          <w:p w14:paraId="464F63EB" w14:textId="77777777" w:rsidR="009F2A20" w:rsidRPr="00643018" w:rsidRDefault="009F2A20" w:rsidP="002F7A80">
            <w:pPr>
              <w:tabs>
                <w:tab w:val="left" w:pos="709"/>
              </w:tabs>
              <w:spacing w:before="60" w:after="60" w:line="256" w:lineRule="auto"/>
              <w:rPr>
                <w:rFonts w:ascii="Arial" w:hAnsi="Arial" w:cs="Arial"/>
                <w:color w:val="000000" w:themeColor="text1"/>
                <w:sz w:val="16"/>
                <w:szCs w:val="16"/>
              </w:rPr>
            </w:pPr>
          </w:p>
        </w:tc>
        <w:tc>
          <w:tcPr>
            <w:tcW w:w="4673" w:type="dxa"/>
            <w:tcBorders>
              <w:top w:val="single" w:sz="4" w:space="0" w:color="auto"/>
              <w:left w:val="single" w:sz="4" w:space="0" w:color="auto"/>
              <w:right w:val="single" w:sz="4" w:space="0" w:color="auto"/>
            </w:tcBorders>
            <w:hideMark/>
          </w:tcPr>
          <w:p w14:paraId="6EB9128C" w14:textId="77777777" w:rsidR="009F2A20" w:rsidRPr="00643018" w:rsidRDefault="009F2A20" w:rsidP="002F7A80">
            <w:pPr>
              <w:tabs>
                <w:tab w:val="left" w:pos="709"/>
              </w:tabs>
              <w:spacing w:before="60" w:after="60" w:line="256" w:lineRule="auto"/>
              <w:rPr>
                <w:rFonts w:ascii="Arial" w:hAnsi="Arial" w:cs="Arial"/>
                <w:bCs/>
                <w:color w:val="000000" w:themeColor="text1"/>
                <w:sz w:val="16"/>
                <w:szCs w:val="16"/>
              </w:rPr>
            </w:pPr>
            <w:r w:rsidRPr="00643018">
              <w:rPr>
                <w:rFonts w:ascii="Arial" w:hAnsi="Arial" w:cs="Arial"/>
                <w:bCs/>
                <w:color w:val="000000" w:themeColor="text1"/>
                <w:sz w:val="16"/>
                <w:szCs w:val="16"/>
              </w:rPr>
              <w:t>The Preparing Australia Program is implemented with advice from the Australian Climate Service to improve the long-term resilience of Australian communities at risk of future disasters</w:t>
            </w:r>
            <w:r>
              <w:rPr>
                <w:rFonts w:ascii="Arial" w:hAnsi="Arial" w:cs="Arial"/>
                <w:bCs/>
                <w:color w:val="000000" w:themeColor="text1"/>
                <w:sz w:val="16"/>
                <w:szCs w:val="16"/>
              </w:rPr>
              <w:t>.</w:t>
            </w:r>
          </w:p>
        </w:tc>
        <w:tc>
          <w:tcPr>
            <w:tcW w:w="1701" w:type="dxa"/>
            <w:tcBorders>
              <w:top w:val="single" w:sz="4" w:space="0" w:color="auto"/>
              <w:left w:val="single" w:sz="4" w:space="0" w:color="auto"/>
              <w:right w:val="single" w:sz="4" w:space="0" w:color="auto"/>
            </w:tcBorders>
          </w:tcPr>
          <w:p w14:paraId="4D097F71" w14:textId="77777777" w:rsidR="009F2A20" w:rsidRPr="00643018" w:rsidRDefault="009F2A20" w:rsidP="002F7A80">
            <w:pPr>
              <w:tabs>
                <w:tab w:val="left" w:pos="709"/>
              </w:tabs>
              <w:spacing w:before="60" w:after="60" w:line="256" w:lineRule="auto"/>
              <w:rPr>
                <w:rFonts w:ascii="Arial" w:hAnsi="Arial" w:cs="Arial"/>
                <w:bCs/>
                <w:color w:val="000000" w:themeColor="text1"/>
                <w:sz w:val="16"/>
                <w:szCs w:val="16"/>
              </w:rPr>
            </w:pPr>
            <w:r w:rsidRPr="00643018">
              <w:rPr>
                <w:rFonts w:ascii="Arial" w:hAnsi="Arial" w:cs="Arial"/>
                <w:bCs/>
                <w:color w:val="000000" w:themeColor="text1"/>
                <w:sz w:val="16"/>
                <w:szCs w:val="16"/>
              </w:rPr>
              <w:t xml:space="preserve">On track </w:t>
            </w:r>
          </w:p>
        </w:tc>
      </w:tr>
      <w:tr w:rsidR="009F2A20" w:rsidRPr="001D052A" w14:paraId="798786F1" w14:textId="77777777" w:rsidTr="002F7A80">
        <w:trPr>
          <w:trHeight w:val="100"/>
        </w:trPr>
        <w:tc>
          <w:tcPr>
            <w:tcW w:w="1706" w:type="dxa"/>
            <w:tcBorders>
              <w:top w:val="single" w:sz="4" w:space="0" w:color="auto"/>
              <w:left w:val="single" w:sz="4" w:space="0" w:color="auto"/>
              <w:bottom w:val="dotted" w:sz="4" w:space="0" w:color="auto"/>
              <w:right w:val="single" w:sz="4" w:space="0" w:color="auto"/>
            </w:tcBorders>
            <w:hideMark/>
          </w:tcPr>
          <w:p w14:paraId="21D9D0A4" w14:textId="77777777" w:rsidR="009F2A20" w:rsidRPr="00643018" w:rsidRDefault="009F2A20" w:rsidP="002F7A80">
            <w:pPr>
              <w:tabs>
                <w:tab w:val="left" w:pos="709"/>
              </w:tabs>
              <w:spacing w:before="60" w:after="60" w:line="256" w:lineRule="auto"/>
              <w:rPr>
                <w:rFonts w:ascii="Arial" w:hAnsi="Arial" w:cs="Arial"/>
                <w:color w:val="000000" w:themeColor="text1"/>
                <w:sz w:val="16"/>
                <w:szCs w:val="16"/>
              </w:rPr>
            </w:pPr>
            <w:r w:rsidRPr="00643018">
              <w:rPr>
                <w:rFonts w:ascii="Arial" w:hAnsi="Arial" w:cs="Arial"/>
                <w:b/>
                <w:color w:val="000000" w:themeColor="text1"/>
                <w:sz w:val="16"/>
                <w:szCs w:val="16"/>
              </w:rPr>
              <w:t>Year</w:t>
            </w:r>
          </w:p>
        </w:tc>
        <w:tc>
          <w:tcPr>
            <w:tcW w:w="4673" w:type="dxa"/>
            <w:tcBorders>
              <w:top w:val="single" w:sz="4" w:space="0" w:color="auto"/>
              <w:left w:val="single" w:sz="4" w:space="0" w:color="auto"/>
              <w:bottom w:val="dotted" w:sz="4" w:space="0" w:color="auto"/>
              <w:right w:val="single" w:sz="4" w:space="0" w:color="auto"/>
            </w:tcBorders>
            <w:hideMark/>
          </w:tcPr>
          <w:p w14:paraId="3C25D5B5" w14:textId="77777777" w:rsidR="009F2A20" w:rsidRPr="00643018" w:rsidRDefault="009F2A20" w:rsidP="002F7A80">
            <w:pPr>
              <w:tabs>
                <w:tab w:val="left" w:pos="709"/>
              </w:tabs>
              <w:spacing w:before="60" w:after="60" w:line="256" w:lineRule="auto"/>
              <w:rPr>
                <w:rFonts w:ascii="Arial" w:hAnsi="Arial" w:cs="Arial"/>
                <w:color w:val="000000" w:themeColor="text1"/>
                <w:sz w:val="22"/>
                <w:szCs w:val="22"/>
              </w:rPr>
            </w:pPr>
            <w:r w:rsidRPr="00643018">
              <w:rPr>
                <w:rFonts w:ascii="Arial" w:hAnsi="Arial" w:cs="Arial"/>
                <w:b/>
                <w:color w:val="000000" w:themeColor="text1"/>
                <w:sz w:val="16"/>
                <w:szCs w:val="16"/>
              </w:rPr>
              <w:t>Performance measures (b)</w:t>
            </w:r>
          </w:p>
        </w:tc>
        <w:tc>
          <w:tcPr>
            <w:tcW w:w="1701" w:type="dxa"/>
            <w:tcBorders>
              <w:top w:val="single" w:sz="4" w:space="0" w:color="auto"/>
              <w:left w:val="single" w:sz="4" w:space="0" w:color="auto"/>
              <w:bottom w:val="dotted" w:sz="4" w:space="0" w:color="auto"/>
              <w:right w:val="single" w:sz="4" w:space="0" w:color="auto"/>
            </w:tcBorders>
            <w:hideMark/>
          </w:tcPr>
          <w:p w14:paraId="12845397" w14:textId="77777777" w:rsidR="009F2A20" w:rsidRPr="00643018" w:rsidRDefault="009F2A20" w:rsidP="002F7A80">
            <w:pPr>
              <w:tabs>
                <w:tab w:val="left" w:pos="709"/>
              </w:tabs>
              <w:spacing w:before="60" w:after="60" w:line="256" w:lineRule="auto"/>
              <w:rPr>
                <w:rFonts w:ascii="Arial" w:hAnsi="Arial" w:cs="Arial"/>
                <w:i/>
                <w:color w:val="000000" w:themeColor="text1"/>
                <w:sz w:val="16"/>
                <w:szCs w:val="16"/>
              </w:rPr>
            </w:pPr>
            <w:r w:rsidRPr="00643018">
              <w:rPr>
                <w:rFonts w:ascii="Arial" w:hAnsi="Arial" w:cs="Arial"/>
                <w:b/>
                <w:color w:val="000000" w:themeColor="text1"/>
                <w:sz w:val="16"/>
                <w:szCs w:val="16"/>
              </w:rPr>
              <w:t>Planned Performance Results</w:t>
            </w:r>
          </w:p>
        </w:tc>
      </w:tr>
      <w:tr w:rsidR="009F2A20" w:rsidRPr="001D052A" w14:paraId="20586166" w14:textId="77777777" w:rsidTr="002F7A80">
        <w:trPr>
          <w:trHeight w:val="100"/>
        </w:trPr>
        <w:tc>
          <w:tcPr>
            <w:tcW w:w="1706" w:type="dxa"/>
            <w:tcBorders>
              <w:top w:val="single" w:sz="4" w:space="0" w:color="auto"/>
              <w:left w:val="single" w:sz="4" w:space="0" w:color="auto"/>
              <w:bottom w:val="dotted" w:sz="4" w:space="0" w:color="auto"/>
              <w:right w:val="single" w:sz="4" w:space="0" w:color="auto"/>
            </w:tcBorders>
            <w:hideMark/>
          </w:tcPr>
          <w:p w14:paraId="5F50C981" w14:textId="77777777" w:rsidR="009F2A20" w:rsidRPr="00643018" w:rsidRDefault="009F2A20" w:rsidP="00883AF5">
            <w:pPr>
              <w:tabs>
                <w:tab w:val="left" w:pos="709"/>
              </w:tabs>
              <w:spacing w:before="60" w:after="60" w:line="256" w:lineRule="auto"/>
              <w:rPr>
                <w:rFonts w:ascii="Arial" w:hAnsi="Arial" w:cs="Arial"/>
                <w:color w:val="000000" w:themeColor="text1"/>
                <w:sz w:val="16"/>
                <w:szCs w:val="16"/>
              </w:rPr>
            </w:pPr>
            <w:r w:rsidRPr="00643018">
              <w:rPr>
                <w:rFonts w:ascii="Arial" w:hAnsi="Arial" w:cs="Arial"/>
                <w:color w:val="000000" w:themeColor="text1"/>
                <w:sz w:val="16"/>
                <w:szCs w:val="16"/>
              </w:rPr>
              <w:t xml:space="preserve">Budget </w:t>
            </w:r>
            <w:r w:rsidR="00883AF5">
              <w:rPr>
                <w:rFonts w:ascii="Arial" w:hAnsi="Arial" w:cs="Arial"/>
                <w:color w:val="000000" w:themeColor="text1"/>
                <w:sz w:val="16"/>
                <w:szCs w:val="16"/>
              </w:rPr>
              <w:t>y</w:t>
            </w:r>
            <w:r w:rsidRPr="00643018">
              <w:rPr>
                <w:rFonts w:ascii="Arial" w:hAnsi="Arial" w:cs="Arial"/>
                <w:color w:val="000000" w:themeColor="text1"/>
                <w:sz w:val="16"/>
                <w:szCs w:val="16"/>
              </w:rPr>
              <w:t>ear 2022-23</w:t>
            </w:r>
          </w:p>
        </w:tc>
        <w:tc>
          <w:tcPr>
            <w:tcW w:w="4673" w:type="dxa"/>
            <w:tcBorders>
              <w:top w:val="single" w:sz="4" w:space="0" w:color="auto"/>
              <w:left w:val="single" w:sz="4" w:space="0" w:color="auto"/>
              <w:bottom w:val="dotted" w:sz="4" w:space="0" w:color="auto"/>
              <w:right w:val="single" w:sz="4" w:space="0" w:color="auto"/>
            </w:tcBorders>
            <w:hideMark/>
          </w:tcPr>
          <w:p w14:paraId="394F40BE" w14:textId="77777777" w:rsidR="009F2A20" w:rsidRPr="00643018" w:rsidRDefault="009F2A20" w:rsidP="002F7A80">
            <w:pPr>
              <w:tabs>
                <w:tab w:val="left" w:pos="709"/>
              </w:tabs>
              <w:spacing w:before="60" w:after="60" w:line="256" w:lineRule="auto"/>
              <w:rPr>
                <w:rFonts w:ascii="Arial" w:hAnsi="Arial" w:cs="Arial"/>
                <w:bCs/>
                <w:color w:val="000000" w:themeColor="text1"/>
                <w:sz w:val="16"/>
                <w:szCs w:val="16"/>
              </w:rPr>
            </w:pPr>
            <w:r w:rsidRPr="00643018">
              <w:rPr>
                <w:rFonts w:ascii="Arial" w:hAnsi="Arial" w:cs="Arial"/>
                <w:bCs/>
                <w:color w:val="000000" w:themeColor="text1"/>
                <w:sz w:val="16"/>
                <w:szCs w:val="16"/>
              </w:rPr>
              <w:t>Positive uptake of Australian Government disaster recovery, resilience and risk reduction assistance</w:t>
            </w:r>
            <w:r>
              <w:rPr>
                <w:rFonts w:ascii="Arial" w:hAnsi="Arial" w:cs="Arial"/>
                <w:bCs/>
                <w:color w:val="000000" w:themeColor="text1"/>
                <w:sz w:val="16"/>
                <w:szCs w:val="16"/>
              </w:rPr>
              <w:t>.</w:t>
            </w:r>
          </w:p>
          <w:p w14:paraId="30737B90" w14:textId="77777777" w:rsidR="009F2A20" w:rsidRPr="00670A73" w:rsidRDefault="009F2A20" w:rsidP="002F7A80">
            <w:pPr>
              <w:tabs>
                <w:tab w:val="left" w:pos="709"/>
              </w:tabs>
              <w:spacing w:before="60" w:after="60" w:line="256" w:lineRule="auto"/>
              <w:rPr>
                <w:rFonts w:ascii="Arial" w:hAnsi="Arial" w:cs="Arial"/>
                <w:bCs/>
                <w:color w:val="000000" w:themeColor="text1"/>
                <w:sz w:val="16"/>
                <w:szCs w:val="16"/>
              </w:rPr>
            </w:pPr>
            <w:r w:rsidRPr="00643018">
              <w:rPr>
                <w:rFonts w:ascii="Arial" w:hAnsi="Arial" w:cs="Arial"/>
                <w:bCs/>
                <w:color w:val="000000" w:themeColor="text1"/>
                <w:sz w:val="16"/>
                <w:szCs w:val="16"/>
              </w:rPr>
              <w:t>Recipients of Australian Government disaster resilience, preparedness and risk reduction assistance indicate that it has assisted and they are better prepared for future disasters</w:t>
            </w:r>
            <w:r>
              <w:rPr>
                <w:rFonts w:ascii="Arial" w:hAnsi="Arial" w:cs="Arial"/>
                <w:bCs/>
                <w:color w:val="000000" w:themeColor="text1"/>
                <w:sz w:val="16"/>
                <w:szCs w:val="16"/>
              </w:rPr>
              <w:t>.</w:t>
            </w:r>
          </w:p>
        </w:tc>
        <w:tc>
          <w:tcPr>
            <w:tcW w:w="1701" w:type="dxa"/>
            <w:tcBorders>
              <w:top w:val="single" w:sz="4" w:space="0" w:color="auto"/>
              <w:left w:val="single" w:sz="4" w:space="0" w:color="auto"/>
              <w:bottom w:val="dotted" w:sz="4" w:space="0" w:color="auto"/>
              <w:right w:val="single" w:sz="4" w:space="0" w:color="auto"/>
            </w:tcBorders>
          </w:tcPr>
          <w:p w14:paraId="5958022D" w14:textId="77777777" w:rsidR="009F2A20" w:rsidRPr="00643018" w:rsidRDefault="009F2A20" w:rsidP="002F7A80">
            <w:pPr>
              <w:tabs>
                <w:tab w:val="left" w:pos="709"/>
              </w:tabs>
              <w:spacing w:before="60" w:after="60" w:line="256" w:lineRule="auto"/>
              <w:rPr>
                <w:rFonts w:ascii="Arial" w:hAnsi="Arial" w:cs="Arial"/>
                <w:i/>
                <w:color w:val="000000" w:themeColor="text1"/>
                <w:sz w:val="16"/>
                <w:szCs w:val="16"/>
              </w:rPr>
            </w:pPr>
          </w:p>
        </w:tc>
      </w:tr>
      <w:tr w:rsidR="009F2A20" w:rsidRPr="00643018" w14:paraId="21325974" w14:textId="77777777" w:rsidTr="002F7A80">
        <w:trPr>
          <w:trHeight w:val="491"/>
        </w:trPr>
        <w:tc>
          <w:tcPr>
            <w:tcW w:w="1706" w:type="dxa"/>
            <w:tcBorders>
              <w:top w:val="dotted" w:sz="4" w:space="0" w:color="auto"/>
              <w:left w:val="single" w:sz="4" w:space="0" w:color="auto"/>
              <w:bottom w:val="single" w:sz="4" w:space="0" w:color="auto"/>
              <w:right w:val="single" w:sz="4" w:space="0" w:color="auto"/>
            </w:tcBorders>
            <w:hideMark/>
          </w:tcPr>
          <w:p w14:paraId="799D52DA" w14:textId="77777777" w:rsidR="009F2A20" w:rsidRPr="00643018" w:rsidRDefault="009F2A20" w:rsidP="002F7A80">
            <w:pPr>
              <w:tabs>
                <w:tab w:val="left" w:pos="709"/>
              </w:tabs>
              <w:spacing w:before="60" w:after="60" w:line="256" w:lineRule="auto"/>
              <w:rPr>
                <w:rFonts w:ascii="Arial" w:hAnsi="Arial" w:cs="Arial"/>
                <w:color w:val="000000" w:themeColor="text1"/>
                <w:sz w:val="16"/>
                <w:szCs w:val="16"/>
              </w:rPr>
            </w:pPr>
            <w:r w:rsidRPr="00643018">
              <w:rPr>
                <w:rFonts w:ascii="Arial" w:hAnsi="Arial" w:cs="Arial"/>
                <w:color w:val="000000" w:themeColor="text1"/>
                <w:sz w:val="16"/>
                <w:szCs w:val="16"/>
              </w:rPr>
              <w:t xml:space="preserve">Forward </w:t>
            </w:r>
            <w:r w:rsidR="00623E92">
              <w:rPr>
                <w:rFonts w:ascii="Arial" w:hAnsi="Arial" w:cs="Arial"/>
                <w:color w:val="000000" w:themeColor="text1"/>
                <w:sz w:val="16"/>
                <w:szCs w:val="16"/>
              </w:rPr>
              <w:t>e</w:t>
            </w:r>
            <w:r w:rsidRPr="00643018">
              <w:rPr>
                <w:rFonts w:ascii="Arial" w:hAnsi="Arial" w:cs="Arial"/>
                <w:color w:val="000000" w:themeColor="text1"/>
                <w:sz w:val="16"/>
                <w:szCs w:val="16"/>
              </w:rPr>
              <w:t xml:space="preserve">stimates </w:t>
            </w:r>
          </w:p>
          <w:p w14:paraId="23807C5E" w14:textId="77777777" w:rsidR="009F2A20" w:rsidRPr="00643018" w:rsidRDefault="009F2A20" w:rsidP="002F7A80">
            <w:pPr>
              <w:tabs>
                <w:tab w:val="left" w:pos="709"/>
              </w:tabs>
              <w:spacing w:before="60" w:after="60" w:line="256" w:lineRule="auto"/>
              <w:rPr>
                <w:rFonts w:ascii="Arial" w:hAnsi="Arial" w:cs="Arial"/>
                <w:b/>
                <w:color w:val="000000" w:themeColor="text1"/>
                <w:sz w:val="16"/>
                <w:szCs w:val="16"/>
              </w:rPr>
            </w:pPr>
            <w:r w:rsidRPr="00643018">
              <w:rPr>
                <w:rFonts w:ascii="Arial" w:hAnsi="Arial" w:cs="Arial"/>
                <w:color w:val="000000" w:themeColor="text1"/>
                <w:sz w:val="16"/>
                <w:szCs w:val="16"/>
              </w:rPr>
              <w:t>2023-24</w:t>
            </w:r>
          </w:p>
        </w:tc>
        <w:tc>
          <w:tcPr>
            <w:tcW w:w="4673" w:type="dxa"/>
            <w:tcBorders>
              <w:top w:val="dotted" w:sz="4" w:space="0" w:color="auto"/>
              <w:left w:val="single" w:sz="4" w:space="0" w:color="auto"/>
              <w:bottom w:val="single" w:sz="4" w:space="0" w:color="auto"/>
              <w:right w:val="single" w:sz="4" w:space="0" w:color="auto"/>
            </w:tcBorders>
            <w:hideMark/>
          </w:tcPr>
          <w:p w14:paraId="132FEFB4" w14:textId="77777777" w:rsidR="009F2A20" w:rsidRPr="00670A73" w:rsidRDefault="009F2A20" w:rsidP="002F7A80">
            <w:pPr>
              <w:tabs>
                <w:tab w:val="left" w:pos="709"/>
              </w:tabs>
              <w:spacing w:before="60" w:after="60" w:line="256" w:lineRule="auto"/>
              <w:rPr>
                <w:rFonts w:ascii="Arial" w:hAnsi="Arial" w:cs="Arial"/>
                <w:bCs/>
                <w:color w:val="000000" w:themeColor="text1"/>
                <w:sz w:val="16"/>
                <w:szCs w:val="16"/>
              </w:rPr>
            </w:pPr>
            <w:r w:rsidRPr="00670A73">
              <w:rPr>
                <w:rFonts w:ascii="Arial" w:hAnsi="Arial" w:cs="Arial"/>
                <w:bCs/>
                <w:color w:val="000000" w:themeColor="text1"/>
                <w:sz w:val="16"/>
                <w:szCs w:val="16"/>
              </w:rPr>
              <w:t>As per 202</w:t>
            </w:r>
            <w:r>
              <w:rPr>
                <w:rFonts w:ascii="Arial" w:hAnsi="Arial" w:cs="Arial"/>
                <w:bCs/>
                <w:color w:val="000000" w:themeColor="text1"/>
                <w:sz w:val="16"/>
                <w:szCs w:val="16"/>
              </w:rPr>
              <w:t>2</w:t>
            </w:r>
            <w:r w:rsidRPr="00670A73">
              <w:rPr>
                <w:rFonts w:ascii="Arial" w:hAnsi="Arial" w:cs="Arial"/>
                <w:bCs/>
                <w:color w:val="000000" w:themeColor="text1"/>
                <w:sz w:val="16"/>
                <w:szCs w:val="16"/>
              </w:rPr>
              <w:t>-2</w:t>
            </w:r>
            <w:r>
              <w:rPr>
                <w:rFonts w:ascii="Arial" w:hAnsi="Arial" w:cs="Arial"/>
                <w:bCs/>
                <w:color w:val="000000" w:themeColor="text1"/>
                <w:sz w:val="16"/>
                <w:szCs w:val="16"/>
              </w:rPr>
              <w:t>3</w:t>
            </w:r>
            <w:r w:rsidRPr="00670A73">
              <w:rPr>
                <w:rFonts w:ascii="Arial" w:hAnsi="Arial" w:cs="Arial"/>
                <w:bCs/>
                <w:color w:val="000000" w:themeColor="text1"/>
                <w:sz w:val="16"/>
                <w:szCs w:val="16"/>
              </w:rPr>
              <w:t>.</w:t>
            </w:r>
          </w:p>
        </w:tc>
        <w:tc>
          <w:tcPr>
            <w:tcW w:w="1701" w:type="dxa"/>
            <w:tcBorders>
              <w:top w:val="dotted" w:sz="4" w:space="0" w:color="auto"/>
              <w:left w:val="single" w:sz="4" w:space="0" w:color="auto"/>
              <w:bottom w:val="single" w:sz="4" w:space="0" w:color="auto"/>
              <w:right w:val="single" w:sz="4" w:space="0" w:color="auto"/>
            </w:tcBorders>
          </w:tcPr>
          <w:p w14:paraId="310B7FCB" w14:textId="77777777" w:rsidR="009F2A20" w:rsidRPr="00643018" w:rsidRDefault="009F2A20" w:rsidP="002F7A80">
            <w:pPr>
              <w:tabs>
                <w:tab w:val="left" w:pos="709"/>
              </w:tabs>
              <w:spacing w:before="60" w:after="60" w:line="256" w:lineRule="auto"/>
              <w:rPr>
                <w:rFonts w:ascii="Arial" w:hAnsi="Arial" w:cs="Arial"/>
                <w:color w:val="000000" w:themeColor="text1"/>
                <w:sz w:val="16"/>
                <w:szCs w:val="16"/>
              </w:rPr>
            </w:pPr>
          </w:p>
        </w:tc>
      </w:tr>
    </w:tbl>
    <w:p w14:paraId="239E6E4A" w14:textId="77777777" w:rsidR="00623E92" w:rsidRPr="000D0C3B" w:rsidRDefault="00623E92" w:rsidP="00392A48">
      <w:pPr>
        <w:pStyle w:val="ChartandTableFootnoteAlpha"/>
        <w:numPr>
          <w:ilvl w:val="0"/>
          <w:numId w:val="153"/>
        </w:numPr>
        <w:rPr>
          <w:rFonts w:cs="Arial"/>
          <w:i/>
          <w:iCs/>
        </w:rPr>
      </w:pPr>
      <w:r>
        <w:rPr>
          <w:rFonts w:cs="Arial"/>
        </w:rPr>
        <w:t xml:space="preserve">The </w:t>
      </w:r>
      <w:r w:rsidRPr="000D0C3B">
        <w:rPr>
          <w:rFonts w:cs="Arial"/>
        </w:rPr>
        <w:t xml:space="preserve">NRRA revised its performance measures from the 2021-22 PBS when developing the 2021-22 Corporate Plan. The updated measures are reflected here. </w:t>
      </w:r>
    </w:p>
    <w:p w14:paraId="0FF9DABD" w14:textId="77777777" w:rsidR="00623E92" w:rsidRPr="000D0C3B" w:rsidRDefault="00623E92" w:rsidP="00392A48">
      <w:pPr>
        <w:pStyle w:val="ChartandTableFootnoteAlpha"/>
        <w:numPr>
          <w:ilvl w:val="0"/>
          <w:numId w:val="153"/>
        </w:numPr>
        <w:rPr>
          <w:rFonts w:cs="Arial"/>
        </w:rPr>
      </w:pPr>
      <w:r>
        <w:rPr>
          <w:rFonts w:cs="Arial"/>
        </w:rPr>
        <w:t xml:space="preserve">The </w:t>
      </w:r>
      <w:r w:rsidRPr="000D0C3B">
        <w:rPr>
          <w:rFonts w:cs="Arial"/>
        </w:rPr>
        <w:t xml:space="preserve">NRRA may revise its performance measures when developing its 2022-23 Corporate Plan. </w:t>
      </w:r>
    </w:p>
    <w:p w14:paraId="7F492D91" w14:textId="77777777" w:rsidR="00623E92" w:rsidRDefault="00623E92">
      <w:pPr>
        <w:spacing w:after="0" w:line="240" w:lineRule="auto"/>
        <w:jc w:val="left"/>
        <w:rPr>
          <w:rFonts w:ascii="Arial" w:hAnsi="Arial"/>
          <w:b/>
          <w:color w:val="000000"/>
          <w:lang w:val="x-none" w:eastAsia="x-none"/>
        </w:rPr>
      </w:pPr>
      <w:r>
        <w:br w:type="page"/>
      </w:r>
    </w:p>
    <w:p w14:paraId="35661A9F" w14:textId="77777777" w:rsidR="009F2A20" w:rsidRPr="006B3BAD" w:rsidRDefault="009F2A20" w:rsidP="009F2A20">
      <w:pPr>
        <w:pStyle w:val="TableHeading"/>
      </w:pPr>
      <w:r w:rsidRPr="006B3BAD">
        <w:t>Table 2.</w:t>
      </w:r>
      <w:r>
        <w:rPr>
          <w:lang w:val="en-AU"/>
        </w:rPr>
        <w:t>1</w:t>
      </w:r>
      <w:r w:rsidRPr="006B3BAD">
        <w:t>.</w:t>
      </w:r>
      <w:r>
        <w:rPr>
          <w:lang w:val="en-AU"/>
        </w:rPr>
        <w:t>2</w:t>
      </w:r>
      <w:r w:rsidRPr="006B3BAD">
        <w:t xml:space="preserve">: Performance </w:t>
      </w:r>
      <w:r w:rsidRPr="006B3BAD">
        <w:rPr>
          <w:lang w:val="en-AU"/>
        </w:rPr>
        <w:t>measure</w:t>
      </w:r>
      <w:r w:rsidRPr="006B3BAD">
        <w:t xml:space="preserve"> for Outcome </w:t>
      </w:r>
      <w:r w:rsidRPr="006B3BAD">
        <w:rPr>
          <w:lang w:val="en-AU"/>
        </w:rPr>
        <w:t>1</w:t>
      </w:r>
      <w:r>
        <w:rPr>
          <w:lang w:val="en-AU"/>
        </w:rPr>
        <w:t xml:space="preserve"> (continue</w:t>
      </w:r>
      <w:r w:rsidR="00623E92">
        <w:rPr>
          <w:lang w:val="en-AU"/>
        </w:rPr>
        <w:t>d</w:t>
      </w:r>
      <w:r>
        <w:rPr>
          <w:lang w:val="en-AU"/>
        </w:rPr>
        <w:t>)</w:t>
      </w:r>
    </w:p>
    <w:tbl>
      <w:tblPr>
        <w:tblW w:w="8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673"/>
        <w:gridCol w:w="1701"/>
      </w:tblGrid>
      <w:tr w:rsidR="009F2A20" w:rsidRPr="001D052A" w14:paraId="26410323" w14:textId="77777777" w:rsidTr="002F7A80">
        <w:trPr>
          <w:trHeight w:val="522"/>
          <w:tblHeader/>
        </w:trPr>
        <w:tc>
          <w:tcPr>
            <w:tcW w:w="8080"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91824D9" w14:textId="77777777" w:rsidR="009F2A20" w:rsidRPr="00715669" w:rsidRDefault="009F2A20" w:rsidP="002F7A80">
            <w:pPr>
              <w:tabs>
                <w:tab w:val="left" w:pos="709"/>
              </w:tabs>
              <w:spacing w:before="60" w:after="60" w:line="256" w:lineRule="auto"/>
              <w:rPr>
                <w:rFonts w:ascii="Arial" w:hAnsi="Arial" w:cs="Arial"/>
                <w:b/>
                <w:color w:val="000000" w:themeColor="text1"/>
                <w:sz w:val="16"/>
                <w:szCs w:val="16"/>
                <w:lang w:eastAsia="en-US"/>
              </w:rPr>
            </w:pPr>
            <w:r w:rsidRPr="00715669">
              <w:rPr>
                <w:rFonts w:ascii="Arial" w:hAnsi="Arial" w:cs="Arial"/>
                <w:b/>
                <w:color w:val="000000" w:themeColor="text1"/>
                <w:sz w:val="16"/>
                <w:szCs w:val="16"/>
              </w:rPr>
              <w:t xml:space="preserve">Program 1.4 - </w:t>
            </w:r>
            <w:r w:rsidRPr="00715669">
              <w:rPr>
                <w:rFonts w:ascii="Arial" w:hAnsi="Arial" w:cs="Arial"/>
                <w:b/>
                <w:sz w:val="16"/>
                <w:szCs w:val="16"/>
              </w:rPr>
              <w:t>Rural Financial Counselling</w:t>
            </w:r>
          </w:p>
          <w:p w14:paraId="1E4A5F91" w14:textId="77777777" w:rsidR="009F2A20" w:rsidRPr="001D052A" w:rsidRDefault="009F2A20" w:rsidP="002F7A80">
            <w:pPr>
              <w:tabs>
                <w:tab w:val="left" w:pos="709"/>
              </w:tabs>
              <w:spacing w:before="60" w:after="60" w:line="256" w:lineRule="auto"/>
              <w:rPr>
                <w:rFonts w:ascii="Arial" w:hAnsi="Arial" w:cs="Arial"/>
                <w:i/>
                <w:color w:val="000000" w:themeColor="text1"/>
                <w:sz w:val="16"/>
                <w:szCs w:val="16"/>
                <w:highlight w:val="yellow"/>
              </w:rPr>
            </w:pPr>
            <w:r w:rsidRPr="00AB5BF2">
              <w:rPr>
                <w:rFonts w:ascii="Arial" w:hAnsi="Arial" w:cs="Arial"/>
                <w:sz w:val="16"/>
                <w:szCs w:val="16"/>
              </w:rPr>
              <w:t>The Rural Financial Counselling Service is an initiative administered by the NRRA that provides free and independent financial counselling to eligible farmers, fishers, foresters and small related enterprises who are experiencing, or at risk of, financial hardship.</w:t>
            </w:r>
          </w:p>
        </w:tc>
      </w:tr>
      <w:tr w:rsidR="009F2A20" w:rsidRPr="00AB5BF2" w14:paraId="00889A08" w14:textId="77777777" w:rsidTr="002F7A80">
        <w:trPr>
          <w:trHeight w:val="440"/>
        </w:trPr>
        <w:tc>
          <w:tcPr>
            <w:tcW w:w="1706" w:type="dxa"/>
            <w:tcBorders>
              <w:top w:val="single" w:sz="4" w:space="0" w:color="auto"/>
              <w:left w:val="single" w:sz="4" w:space="0" w:color="auto"/>
              <w:bottom w:val="double" w:sz="4" w:space="0" w:color="auto"/>
              <w:right w:val="single" w:sz="4" w:space="0" w:color="auto"/>
            </w:tcBorders>
            <w:hideMark/>
          </w:tcPr>
          <w:p w14:paraId="272217CE" w14:textId="77777777" w:rsidR="009F2A20" w:rsidRPr="00623E92" w:rsidRDefault="00623E92"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Key a</w:t>
            </w:r>
            <w:r w:rsidR="009F2A20" w:rsidRPr="00623E92">
              <w:rPr>
                <w:rFonts w:ascii="Arial" w:hAnsi="Arial" w:cs="Arial"/>
                <w:b/>
                <w:color w:val="000000" w:themeColor="text1"/>
                <w:sz w:val="16"/>
                <w:szCs w:val="16"/>
              </w:rPr>
              <w:t>ctivities (a)</w:t>
            </w:r>
          </w:p>
        </w:tc>
        <w:tc>
          <w:tcPr>
            <w:tcW w:w="6374" w:type="dxa"/>
            <w:gridSpan w:val="2"/>
            <w:tcBorders>
              <w:top w:val="single" w:sz="4" w:space="0" w:color="auto"/>
              <w:left w:val="single" w:sz="4" w:space="0" w:color="auto"/>
              <w:bottom w:val="double" w:sz="4" w:space="0" w:color="auto"/>
              <w:right w:val="single" w:sz="4" w:space="0" w:color="auto"/>
            </w:tcBorders>
            <w:hideMark/>
          </w:tcPr>
          <w:p w14:paraId="61F7F541" w14:textId="77777777" w:rsidR="009F2A20" w:rsidRPr="00623E92" w:rsidRDefault="009F2A20" w:rsidP="002F7A80">
            <w:pPr>
              <w:tabs>
                <w:tab w:val="left" w:pos="709"/>
              </w:tabs>
              <w:spacing w:before="60" w:after="60" w:line="256" w:lineRule="auto"/>
              <w:rPr>
                <w:rFonts w:ascii="Arial" w:hAnsi="Arial" w:cs="Arial"/>
                <w:color w:val="000000" w:themeColor="text1"/>
                <w:sz w:val="22"/>
                <w:szCs w:val="22"/>
              </w:rPr>
            </w:pPr>
            <w:r w:rsidRPr="00623E92">
              <w:rPr>
                <w:rFonts w:ascii="Arial" w:hAnsi="Arial" w:cs="Arial"/>
                <w:bCs/>
                <w:color w:val="000000" w:themeColor="text1"/>
                <w:sz w:val="16"/>
                <w:szCs w:val="16"/>
              </w:rPr>
              <w:t>Delivering programs and services</w:t>
            </w:r>
          </w:p>
        </w:tc>
      </w:tr>
      <w:tr w:rsidR="009F2A20" w:rsidRPr="00AB5BF2" w14:paraId="3A9A584D" w14:textId="77777777" w:rsidTr="002F7A80">
        <w:trPr>
          <w:trHeight w:val="258"/>
        </w:trPr>
        <w:tc>
          <w:tcPr>
            <w:tcW w:w="1706" w:type="dxa"/>
            <w:tcBorders>
              <w:top w:val="double" w:sz="4" w:space="0" w:color="auto"/>
              <w:left w:val="single" w:sz="4" w:space="0" w:color="auto"/>
              <w:bottom w:val="single" w:sz="4" w:space="0" w:color="auto"/>
              <w:right w:val="single" w:sz="4" w:space="0" w:color="auto"/>
            </w:tcBorders>
            <w:hideMark/>
          </w:tcPr>
          <w:p w14:paraId="1389C91A" w14:textId="77777777" w:rsidR="009F2A20" w:rsidRPr="00623E92" w:rsidRDefault="009F2A20" w:rsidP="002F7A80">
            <w:pPr>
              <w:tabs>
                <w:tab w:val="left" w:pos="709"/>
              </w:tabs>
              <w:spacing w:before="60" w:after="60" w:line="256" w:lineRule="auto"/>
              <w:rPr>
                <w:rFonts w:ascii="Arial" w:hAnsi="Arial" w:cs="Arial"/>
                <w:b/>
                <w:color w:val="000000" w:themeColor="text1"/>
                <w:sz w:val="16"/>
                <w:szCs w:val="16"/>
              </w:rPr>
            </w:pPr>
            <w:r w:rsidRPr="00623E92">
              <w:rPr>
                <w:rFonts w:ascii="Arial" w:hAnsi="Arial" w:cs="Arial"/>
                <w:b/>
                <w:color w:val="000000" w:themeColor="text1"/>
                <w:sz w:val="16"/>
                <w:szCs w:val="16"/>
              </w:rPr>
              <w:t>Year</w:t>
            </w:r>
          </w:p>
        </w:tc>
        <w:tc>
          <w:tcPr>
            <w:tcW w:w="4673" w:type="dxa"/>
            <w:tcBorders>
              <w:top w:val="double" w:sz="4" w:space="0" w:color="auto"/>
              <w:left w:val="single" w:sz="4" w:space="0" w:color="auto"/>
              <w:bottom w:val="single" w:sz="4" w:space="0" w:color="auto"/>
              <w:right w:val="single" w:sz="4" w:space="0" w:color="auto"/>
            </w:tcBorders>
            <w:hideMark/>
          </w:tcPr>
          <w:p w14:paraId="27F493A9" w14:textId="77777777" w:rsidR="009F2A20" w:rsidRPr="00623E92" w:rsidRDefault="009F2A20" w:rsidP="002F7A80">
            <w:pPr>
              <w:tabs>
                <w:tab w:val="left" w:pos="709"/>
                <w:tab w:val="center" w:pos="1818"/>
              </w:tabs>
              <w:spacing w:before="60" w:after="60" w:line="256" w:lineRule="auto"/>
              <w:rPr>
                <w:rFonts w:ascii="Arial" w:hAnsi="Arial" w:cs="Arial"/>
                <w:b/>
                <w:color w:val="000000" w:themeColor="text1"/>
                <w:sz w:val="16"/>
                <w:szCs w:val="16"/>
              </w:rPr>
            </w:pPr>
            <w:r w:rsidRPr="00623E92">
              <w:rPr>
                <w:rFonts w:ascii="Arial" w:hAnsi="Arial" w:cs="Arial"/>
                <w:b/>
                <w:color w:val="000000" w:themeColor="text1"/>
                <w:sz w:val="16"/>
                <w:szCs w:val="16"/>
              </w:rPr>
              <w:t>Performance measures</w:t>
            </w:r>
          </w:p>
        </w:tc>
        <w:tc>
          <w:tcPr>
            <w:tcW w:w="1701" w:type="dxa"/>
            <w:tcBorders>
              <w:top w:val="double" w:sz="4" w:space="0" w:color="auto"/>
              <w:left w:val="single" w:sz="4" w:space="0" w:color="auto"/>
              <w:bottom w:val="single" w:sz="4" w:space="0" w:color="auto"/>
              <w:right w:val="single" w:sz="4" w:space="0" w:color="auto"/>
            </w:tcBorders>
            <w:hideMark/>
          </w:tcPr>
          <w:p w14:paraId="6CD1759F" w14:textId="77777777" w:rsidR="009F2A20" w:rsidRPr="00623E92" w:rsidRDefault="00623E92"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Expected performance r</w:t>
            </w:r>
            <w:r w:rsidR="009F2A20" w:rsidRPr="00623E92">
              <w:rPr>
                <w:rFonts w:ascii="Arial" w:hAnsi="Arial" w:cs="Arial"/>
                <w:b/>
                <w:color w:val="000000" w:themeColor="text1"/>
                <w:sz w:val="16"/>
                <w:szCs w:val="16"/>
              </w:rPr>
              <w:t>esults</w:t>
            </w:r>
          </w:p>
        </w:tc>
      </w:tr>
      <w:tr w:rsidR="009F2A20" w:rsidRPr="00AB5BF2" w14:paraId="049B0EB3" w14:textId="77777777" w:rsidTr="002F7A80">
        <w:trPr>
          <w:trHeight w:val="642"/>
        </w:trPr>
        <w:tc>
          <w:tcPr>
            <w:tcW w:w="1706" w:type="dxa"/>
            <w:tcBorders>
              <w:top w:val="single" w:sz="4" w:space="0" w:color="auto"/>
              <w:left w:val="single" w:sz="4" w:space="0" w:color="auto"/>
              <w:bottom w:val="dotted" w:sz="4" w:space="0" w:color="auto"/>
              <w:right w:val="single" w:sz="4" w:space="0" w:color="auto"/>
            </w:tcBorders>
            <w:hideMark/>
          </w:tcPr>
          <w:p w14:paraId="4E3A43AF" w14:textId="77777777" w:rsidR="009F2A20" w:rsidRPr="00AB5BF2" w:rsidRDefault="009F2A20" w:rsidP="002F7A80">
            <w:pPr>
              <w:tabs>
                <w:tab w:val="left" w:pos="709"/>
              </w:tabs>
              <w:spacing w:before="60" w:after="60" w:line="256" w:lineRule="auto"/>
              <w:rPr>
                <w:rFonts w:ascii="Arial" w:hAnsi="Arial" w:cs="Arial"/>
                <w:color w:val="000000" w:themeColor="text1"/>
                <w:sz w:val="16"/>
                <w:szCs w:val="16"/>
              </w:rPr>
            </w:pPr>
            <w:r w:rsidRPr="00AB5BF2">
              <w:rPr>
                <w:rFonts w:ascii="Arial" w:hAnsi="Arial" w:cs="Arial"/>
                <w:color w:val="000000" w:themeColor="text1"/>
                <w:sz w:val="16"/>
                <w:szCs w:val="16"/>
              </w:rPr>
              <w:t xml:space="preserve">Current year </w:t>
            </w:r>
          </w:p>
          <w:p w14:paraId="2C4375E1" w14:textId="77777777" w:rsidR="009F2A20" w:rsidRPr="00AB5BF2" w:rsidRDefault="009F2A20" w:rsidP="002F7A80">
            <w:pPr>
              <w:tabs>
                <w:tab w:val="left" w:pos="709"/>
              </w:tabs>
              <w:spacing w:before="60" w:after="60" w:line="256" w:lineRule="auto"/>
              <w:rPr>
                <w:rFonts w:ascii="Arial" w:hAnsi="Arial" w:cs="Arial"/>
                <w:i/>
                <w:color w:val="000000" w:themeColor="text1"/>
                <w:sz w:val="16"/>
                <w:szCs w:val="16"/>
              </w:rPr>
            </w:pPr>
            <w:r w:rsidRPr="00AB5BF2">
              <w:rPr>
                <w:rFonts w:ascii="Arial" w:hAnsi="Arial" w:cs="Arial"/>
                <w:color w:val="000000" w:themeColor="text1"/>
                <w:sz w:val="16"/>
                <w:szCs w:val="16"/>
              </w:rPr>
              <w:t>2021-22</w:t>
            </w:r>
          </w:p>
        </w:tc>
        <w:tc>
          <w:tcPr>
            <w:tcW w:w="4673" w:type="dxa"/>
            <w:tcBorders>
              <w:top w:val="single" w:sz="4" w:space="0" w:color="auto"/>
              <w:left w:val="single" w:sz="4" w:space="0" w:color="auto"/>
              <w:bottom w:val="dotted" w:sz="4" w:space="0" w:color="auto"/>
              <w:right w:val="single" w:sz="4" w:space="0" w:color="auto"/>
            </w:tcBorders>
            <w:hideMark/>
          </w:tcPr>
          <w:p w14:paraId="330E0265" w14:textId="77777777" w:rsidR="009F2A20" w:rsidRPr="00AB5BF2" w:rsidRDefault="009F2A20" w:rsidP="002F7A80">
            <w:pPr>
              <w:tabs>
                <w:tab w:val="left" w:pos="709"/>
              </w:tabs>
              <w:spacing w:before="60" w:after="60" w:line="256" w:lineRule="auto"/>
              <w:rPr>
                <w:rFonts w:ascii="Arial" w:hAnsi="Arial" w:cs="Arial"/>
                <w:color w:val="000000" w:themeColor="text1"/>
                <w:sz w:val="16"/>
                <w:szCs w:val="16"/>
              </w:rPr>
            </w:pPr>
            <w:r w:rsidRPr="00670A73">
              <w:rPr>
                <w:rFonts w:ascii="Arial" w:hAnsi="Arial" w:cs="Arial"/>
                <w:bCs/>
                <w:color w:val="000000" w:themeColor="text1"/>
                <w:sz w:val="16"/>
                <w:szCs w:val="16"/>
              </w:rPr>
              <w:t>Case managed counselling activities assisted in delivering specific outcomes for clients leaving the service</w:t>
            </w:r>
            <w:r>
              <w:rPr>
                <w:rFonts w:ascii="Arial" w:hAnsi="Arial" w:cs="Arial"/>
                <w:color w:val="000000" w:themeColor="text1"/>
                <w:sz w:val="16"/>
                <w:szCs w:val="16"/>
              </w:rPr>
              <w:t>.</w:t>
            </w:r>
          </w:p>
        </w:tc>
        <w:tc>
          <w:tcPr>
            <w:tcW w:w="1701" w:type="dxa"/>
            <w:tcBorders>
              <w:top w:val="single" w:sz="4" w:space="0" w:color="auto"/>
              <w:left w:val="single" w:sz="4" w:space="0" w:color="auto"/>
              <w:bottom w:val="dotted" w:sz="4" w:space="0" w:color="auto"/>
              <w:right w:val="single" w:sz="4" w:space="0" w:color="auto"/>
            </w:tcBorders>
            <w:hideMark/>
          </w:tcPr>
          <w:p w14:paraId="3B7EA55F" w14:textId="77777777" w:rsidR="009F2A20" w:rsidRPr="00AB5BF2" w:rsidRDefault="009F2A20" w:rsidP="002F7A80">
            <w:pPr>
              <w:tabs>
                <w:tab w:val="left" w:pos="709"/>
              </w:tabs>
              <w:spacing w:before="60" w:after="60" w:line="256" w:lineRule="auto"/>
              <w:rPr>
                <w:rFonts w:ascii="Arial" w:hAnsi="Arial" w:cs="Arial"/>
                <w:color w:val="000000" w:themeColor="text1"/>
                <w:sz w:val="16"/>
                <w:szCs w:val="16"/>
              </w:rPr>
            </w:pPr>
            <w:r w:rsidRPr="009A557C">
              <w:rPr>
                <w:rFonts w:ascii="Arial" w:hAnsi="Arial" w:cs="Arial"/>
                <w:bCs/>
                <w:color w:val="000000" w:themeColor="text1"/>
                <w:sz w:val="16"/>
                <w:szCs w:val="16"/>
              </w:rPr>
              <w:t>On track</w:t>
            </w:r>
            <w:r w:rsidRPr="00AB5BF2">
              <w:rPr>
                <w:rFonts w:ascii="Arial" w:hAnsi="Arial" w:cs="Arial"/>
                <w:color w:val="000000" w:themeColor="text1"/>
                <w:sz w:val="16"/>
                <w:szCs w:val="16"/>
              </w:rPr>
              <w:t xml:space="preserve"> </w:t>
            </w:r>
          </w:p>
        </w:tc>
      </w:tr>
      <w:tr w:rsidR="009F2A20" w:rsidRPr="00AB5BF2" w14:paraId="54ACF756" w14:textId="77777777" w:rsidTr="002F7A80">
        <w:trPr>
          <w:trHeight w:val="100"/>
        </w:trPr>
        <w:tc>
          <w:tcPr>
            <w:tcW w:w="1706" w:type="dxa"/>
            <w:tcBorders>
              <w:top w:val="single" w:sz="4" w:space="0" w:color="auto"/>
              <w:left w:val="single" w:sz="4" w:space="0" w:color="auto"/>
              <w:bottom w:val="dotted" w:sz="4" w:space="0" w:color="auto"/>
              <w:right w:val="single" w:sz="4" w:space="0" w:color="auto"/>
            </w:tcBorders>
            <w:hideMark/>
          </w:tcPr>
          <w:p w14:paraId="4B8F8CB1" w14:textId="77777777" w:rsidR="009F2A20" w:rsidRPr="00AB5BF2" w:rsidRDefault="009F2A20" w:rsidP="002F7A80">
            <w:pPr>
              <w:tabs>
                <w:tab w:val="left" w:pos="709"/>
              </w:tabs>
              <w:spacing w:before="60" w:after="60" w:line="256" w:lineRule="auto"/>
              <w:rPr>
                <w:rFonts w:ascii="Arial" w:hAnsi="Arial" w:cs="Arial"/>
                <w:i/>
                <w:color w:val="000000" w:themeColor="text1"/>
                <w:sz w:val="16"/>
                <w:szCs w:val="16"/>
              </w:rPr>
            </w:pPr>
            <w:r w:rsidRPr="00AB5BF2">
              <w:rPr>
                <w:rFonts w:ascii="Arial" w:hAnsi="Arial" w:cs="Arial"/>
                <w:b/>
                <w:color w:val="000000" w:themeColor="text1"/>
                <w:sz w:val="16"/>
                <w:szCs w:val="16"/>
              </w:rPr>
              <w:t>Year</w:t>
            </w:r>
          </w:p>
        </w:tc>
        <w:tc>
          <w:tcPr>
            <w:tcW w:w="4673" w:type="dxa"/>
            <w:tcBorders>
              <w:top w:val="single" w:sz="4" w:space="0" w:color="auto"/>
              <w:left w:val="single" w:sz="4" w:space="0" w:color="auto"/>
              <w:bottom w:val="dotted" w:sz="4" w:space="0" w:color="auto"/>
              <w:right w:val="single" w:sz="4" w:space="0" w:color="auto"/>
            </w:tcBorders>
            <w:hideMark/>
          </w:tcPr>
          <w:p w14:paraId="5D154DD2" w14:textId="77777777" w:rsidR="009F2A20" w:rsidRPr="00A033A0" w:rsidRDefault="009F2A20" w:rsidP="002F7A80">
            <w:pPr>
              <w:tabs>
                <w:tab w:val="left" w:pos="709"/>
              </w:tabs>
              <w:spacing w:before="60" w:after="60" w:line="256" w:lineRule="auto"/>
              <w:rPr>
                <w:rFonts w:ascii="Arial" w:hAnsi="Arial" w:cs="Arial"/>
                <w:color w:val="000000" w:themeColor="text1"/>
                <w:sz w:val="22"/>
                <w:szCs w:val="22"/>
              </w:rPr>
            </w:pPr>
            <w:r w:rsidRPr="00A033A0">
              <w:rPr>
                <w:rFonts w:ascii="Arial" w:hAnsi="Arial" w:cs="Arial"/>
                <w:b/>
                <w:color w:val="000000" w:themeColor="text1"/>
                <w:sz w:val="16"/>
                <w:szCs w:val="16"/>
              </w:rPr>
              <w:t>Performance measures (b)</w:t>
            </w:r>
          </w:p>
        </w:tc>
        <w:tc>
          <w:tcPr>
            <w:tcW w:w="1701" w:type="dxa"/>
            <w:tcBorders>
              <w:top w:val="single" w:sz="4" w:space="0" w:color="auto"/>
              <w:left w:val="single" w:sz="4" w:space="0" w:color="auto"/>
              <w:bottom w:val="dotted" w:sz="4" w:space="0" w:color="auto"/>
              <w:right w:val="single" w:sz="4" w:space="0" w:color="auto"/>
            </w:tcBorders>
            <w:hideMark/>
          </w:tcPr>
          <w:p w14:paraId="1557643B" w14:textId="77777777" w:rsidR="009F2A20" w:rsidRPr="00A033A0" w:rsidRDefault="00623E92" w:rsidP="002F7A80">
            <w:pPr>
              <w:tabs>
                <w:tab w:val="left" w:pos="709"/>
              </w:tabs>
              <w:spacing w:before="60" w:after="60" w:line="256" w:lineRule="auto"/>
              <w:rPr>
                <w:rFonts w:ascii="Arial" w:hAnsi="Arial" w:cs="Arial"/>
                <w:color w:val="000000" w:themeColor="text1"/>
                <w:sz w:val="16"/>
                <w:szCs w:val="16"/>
              </w:rPr>
            </w:pPr>
            <w:r>
              <w:rPr>
                <w:rFonts w:ascii="Arial" w:hAnsi="Arial" w:cs="Arial"/>
                <w:b/>
                <w:color w:val="000000" w:themeColor="text1"/>
                <w:sz w:val="16"/>
                <w:szCs w:val="16"/>
              </w:rPr>
              <w:t>Planned performance r</w:t>
            </w:r>
            <w:r w:rsidR="009F2A20" w:rsidRPr="00A033A0">
              <w:rPr>
                <w:rFonts w:ascii="Arial" w:hAnsi="Arial" w:cs="Arial"/>
                <w:b/>
                <w:color w:val="000000" w:themeColor="text1"/>
                <w:sz w:val="16"/>
                <w:szCs w:val="16"/>
              </w:rPr>
              <w:t>esults</w:t>
            </w:r>
          </w:p>
        </w:tc>
      </w:tr>
      <w:tr w:rsidR="009F2A20" w:rsidRPr="00AB5BF2" w14:paraId="69984C36" w14:textId="77777777" w:rsidTr="002F7A80">
        <w:trPr>
          <w:trHeight w:val="100"/>
        </w:trPr>
        <w:tc>
          <w:tcPr>
            <w:tcW w:w="1706" w:type="dxa"/>
            <w:tcBorders>
              <w:top w:val="single" w:sz="4" w:space="0" w:color="auto"/>
              <w:left w:val="single" w:sz="4" w:space="0" w:color="auto"/>
              <w:bottom w:val="dotted" w:sz="4" w:space="0" w:color="auto"/>
              <w:right w:val="single" w:sz="4" w:space="0" w:color="auto"/>
            </w:tcBorders>
            <w:hideMark/>
          </w:tcPr>
          <w:p w14:paraId="0A997829" w14:textId="77777777" w:rsidR="009F2A20" w:rsidRPr="00AB5BF2" w:rsidRDefault="009F2A20" w:rsidP="00623E92">
            <w:pPr>
              <w:tabs>
                <w:tab w:val="left" w:pos="709"/>
              </w:tabs>
              <w:spacing w:before="60" w:after="60" w:line="256" w:lineRule="auto"/>
              <w:jc w:val="left"/>
              <w:rPr>
                <w:rFonts w:ascii="Arial" w:hAnsi="Arial" w:cs="Arial"/>
                <w:i/>
                <w:color w:val="000000" w:themeColor="text1"/>
                <w:sz w:val="16"/>
                <w:szCs w:val="16"/>
              </w:rPr>
            </w:pPr>
            <w:r w:rsidRPr="00AB5BF2">
              <w:rPr>
                <w:rFonts w:ascii="Arial" w:hAnsi="Arial" w:cs="Arial"/>
                <w:color w:val="000000" w:themeColor="text1"/>
                <w:sz w:val="16"/>
                <w:szCs w:val="16"/>
              </w:rPr>
              <w:t>Budget Year</w:t>
            </w:r>
            <w:r w:rsidR="00623E92">
              <w:rPr>
                <w:rFonts w:ascii="Arial" w:hAnsi="Arial" w:cs="Arial"/>
                <w:color w:val="000000" w:themeColor="text1"/>
                <w:sz w:val="16"/>
                <w:szCs w:val="16"/>
              </w:rPr>
              <w:t xml:space="preserve"> 2022</w:t>
            </w:r>
            <w:r w:rsidR="00623E92">
              <w:rPr>
                <w:rFonts w:ascii="Arial" w:hAnsi="Arial" w:cs="Arial"/>
                <w:color w:val="000000" w:themeColor="text1"/>
                <w:sz w:val="16"/>
                <w:szCs w:val="16"/>
              </w:rPr>
              <w:noBreakHyphen/>
            </w:r>
            <w:r w:rsidRPr="00AB5BF2">
              <w:rPr>
                <w:rFonts w:ascii="Arial" w:hAnsi="Arial" w:cs="Arial"/>
                <w:color w:val="000000" w:themeColor="text1"/>
                <w:sz w:val="16"/>
                <w:szCs w:val="16"/>
              </w:rPr>
              <w:t>23</w:t>
            </w:r>
          </w:p>
        </w:tc>
        <w:tc>
          <w:tcPr>
            <w:tcW w:w="4673" w:type="dxa"/>
            <w:tcBorders>
              <w:top w:val="single" w:sz="4" w:space="0" w:color="auto"/>
              <w:left w:val="single" w:sz="4" w:space="0" w:color="auto"/>
              <w:bottom w:val="dotted" w:sz="4" w:space="0" w:color="auto"/>
              <w:right w:val="single" w:sz="4" w:space="0" w:color="auto"/>
            </w:tcBorders>
            <w:hideMark/>
          </w:tcPr>
          <w:p w14:paraId="3CA36F2C" w14:textId="77777777" w:rsidR="009F2A20" w:rsidRPr="00670A73" w:rsidRDefault="009F2A20" w:rsidP="002F7A80">
            <w:pPr>
              <w:tabs>
                <w:tab w:val="left" w:pos="709"/>
              </w:tabs>
              <w:spacing w:before="60" w:after="60" w:line="256" w:lineRule="auto"/>
              <w:rPr>
                <w:rFonts w:ascii="Arial" w:hAnsi="Arial" w:cs="Arial"/>
                <w:bCs/>
                <w:color w:val="000000" w:themeColor="text1"/>
                <w:sz w:val="16"/>
                <w:szCs w:val="16"/>
              </w:rPr>
            </w:pPr>
            <w:r w:rsidRPr="00670A73">
              <w:rPr>
                <w:rFonts w:ascii="Arial" w:hAnsi="Arial" w:cs="Arial"/>
                <w:bCs/>
                <w:color w:val="000000" w:themeColor="text1"/>
                <w:sz w:val="16"/>
                <w:szCs w:val="16"/>
              </w:rPr>
              <w:t>As per 2021-22</w:t>
            </w:r>
          </w:p>
        </w:tc>
        <w:tc>
          <w:tcPr>
            <w:tcW w:w="1701" w:type="dxa"/>
            <w:tcBorders>
              <w:top w:val="single" w:sz="4" w:space="0" w:color="auto"/>
              <w:left w:val="single" w:sz="4" w:space="0" w:color="auto"/>
              <w:bottom w:val="dotted" w:sz="4" w:space="0" w:color="auto"/>
              <w:right w:val="single" w:sz="4" w:space="0" w:color="auto"/>
            </w:tcBorders>
          </w:tcPr>
          <w:p w14:paraId="64ECC040" w14:textId="77777777" w:rsidR="009F2A20" w:rsidRPr="00AB5BF2" w:rsidRDefault="009F2A20" w:rsidP="002F7A80">
            <w:pPr>
              <w:tabs>
                <w:tab w:val="left" w:pos="709"/>
              </w:tabs>
              <w:spacing w:before="60" w:after="60" w:line="256" w:lineRule="auto"/>
              <w:rPr>
                <w:rFonts w:ascii="Arial" w:hAnsi="Arial" w:cs="Arial"/>
                <w:i/>
                <w:color w:val="000000" w:themeColor="text1"/>
                <w:sz w:val="16"/>
                <w:szCs w:val="16"/>
              </w:rPr>
            </w:pPr>
          </w:p>
        </w:tc>
      </w:tr>
      <w:tr w:rsidR="009F2A20" w:rsidRPr="00AB5BF2" w14:paraId="788AE76D" w14:textId="77777777" w:rsidTr="002F7A80">
        <w:trPr>
          <w:trHeight w:val="491"/>
        </w:trPr>
        <w:tc>
          <w:tcPr>
            <w:tcW w:w="1706" w:type="dxa"/>
            <w:tcBorders>
              <w:top w:val="dotted" w:sz="4" w:space="0" w:color="auto"/>
              <w:left w:val="single" w:sz="4" w:space="0" w:color="auto"/>
              <w:bottom w:val="single" w:sz="4" w:space="0" w:color="auto"/>
              <w:right w:val="single" w:sz="4" w:space="0" w:color="auto"/>
            </w:tcBorders>
            <w:hideMark/>
          </w:tcPr>
          <w:p w14:paraId="12B0A237" w14:textId="77777777" w:rsidR="009F2A20" w:rsidRPr="00AB5BF2" w:rsidRDefault="009F2A20" w:rsidP="002F7A80">
            <w:pPr>
              <w:tabs>
                <w:tab w:val="left" w:pos="709"/>
              </w:tabs>
              <w:spacing w:before="60" w:after="60" w:line="256" w:lineRule="auto"/>
              <w:rPr>
                <w:rFonts w:ascii="Arial" w:hAnsi="Arial" w:cs="Arial"/>
                <w:color w:val="000000" w:themeColor="text1"/>
                <w:sz w:val="16"/>
                <w:szCs w:val="16"/>
              </w:rPr>
            </w:pPr>
            <w:r w:rsidRPr="00AB5BF2">
              <w:rPr>
                <w:rFonts w:ascii="Arial" w:hAnsi="Arial" w:cs="Arial"/>
                <w:color w:val="000000" w:themeColor="text1"/>
                <w:sz w:val="16"/>
                <w:szCs w:val="16"/>
              </w:rPr>
              <w:t xml:space="preserve">Forward Estimates </w:t>
            </w:r>
          </w:p>
          <w:p w14:paraId="1D4BCF5B" w14:textId="77777777" w:rsidR="009F2A20" w:rsidRPr="00AB5BF2" w:rsidRDefault="009F2A20" w:rsidP="002F7A80">
            <w:pPr>
              <w:tabs>
                <w:tab w:val="left" w:pos="709"/>
              </w:tabs>
              <w:spacing w:before="60" w:after="60" w:line="256" w:lineRule="auto"/>
              <w:rPr>
                <w:rFonts w:ascii="Arial" w:hAnsi="Arial" w:cs="Arial"/>
                <w:b/>
                <w:i/>
                <w:color w:val="000000" w:themeColor="text1"/>
                <w:sz w:val="16"/>
                <w:szCs w:val="16"/>
              </w:rPr>
            </w:pPr>
            <w:r w:rsidRPr="00AB5BF2">
              <w:rPr>
                <w:rFonts w:ascii="Arial" w:hAnsi="Arial" w:cs="Arial"/>
                <w:color w:val="000000" w:themeColor="text1"/>
                <w:sz w:val="16"/>
                <w:szCs w:val="16"/>
              </w:rPr>
              <w:t>2023-24</w:t>
            </w:r>
          </w:p>
        </w:tc>
        <w:tc>
          <w:tcPr>
            <w:tcW w:w="4673" w:type="dxa"/>
            <w:tcBorders>
              <w:top w:val="dotted" w:sz="4" w:space="0" w:color="auto"/>
              <w:left w:val="single" w:sz="4" w:space="0" w:color="auto"/>
              <w:bottom w:val="single" w:sz="4" w:space="0" w:color="auto"/>
              <w:right w:val="single" w:sz="4" w:space="0" w:color="auto"/>
            </w:tcBorders>
            <w:hideMark/>
          </w:tcPr>
          <w:p w14:paraId="005E9274" w14:textId="77777777" w:rsidR="009F2A20" w:rsidRPr="00670A73" w:rsidRDefault="009F2A20" w:rsidP="002F7A80">
            <w:pPr>
              <w:tabs>
                <w:tab w:val="left" w:pos="709"/>
              </w:tabs>
              <w:spacing w:before="60" w:after="60" w:line="256" w:lineRule="auto"/>
              <w:rPr>
                <w:rFonts w:ascii="Arial" w:hAnsi="Arial" w:cs="Arial"/>
                <w:bCs/>
                <w:color w:val="000000" w:themeColor="text1"/>
                <w:sz w:val="16"/>
                <w:szCs w:val="16"/>
              </w:rPr>
            </w:pPr>
            <w:r w:rsidRPr="00670A73">
              <w:rPr>
                <w:rFonts w:ascii="Arial" w:hAnsi="Arial" w:cs="Arial"/>
                <w:bCs/>
                <w:color w:val="000000" w:themeColor="text1"/>
                <w:sz w:val="16"/>
                <w:szCs w:val="16"/>
              </w:rPr>
              <w:t>As per 2021-22</w:t>
            </w:r>
          </w:p>
        </w:tc>
        <w:tc>
          <w:tcPr>
            <w:tcW w:w="1701" w:type="dxa"/>
            <w:tcBorders>
              <w:top w:val="dotted" w:sz="4" w:space="0" w:color="auto"/>
              <w:left w:val="single" w:sz="4" w:space="0" w:color="auto"/>
              <w:bottom w:val="single" w:sz="4" w:space="0" w:color="auto"/>
              <w:right w:val="single" w:sz="4" w:space="0" w:color="auto"/>
            </w:tcBorders>
          </w:tcPr>
          <w:p w14:paraId="47252F0D" w14:textId="77777777" w:rsidR="009F2A20" w:rsidRPr="00AB5BF2" w:rsidRDefault="009F2A20" w:rsidP="002F7A80">
            <w:pPr>
              <w:tabs>
                <w:tab w:val="left" w:pos="709"/>
              </w:tabs>
              <w:spacing w:before="60" w:after="60" w:line="256" w:lineRule="auto"/>
              <w:rPr>
                <w:rFonts w:ascii="Arial" w:hAnsi="Arial" w:cs="Arial"/>
                <w:i/>
                <w:color w:val="000000" w:themeColor="text1"/>
                <w:sz w:val="16"/>
                <w:szCs w:val="16"/>
              </w:rPr>
            </w:pPr>
          </w:p>
        </w:tc>
      </w:tr>
    </w:tbl>
    <w:p w14:paraId="03DD49CC" w14:textId="77777777" w:rsidR="009F2A20" w:rsidRPr="00AB5BF2" w:rsidRDefault="009F2A20" w:rsidP="00392A48">
      <w:pPr>
        <w:pStyle w:val="ChartandTableFootnoteAlpha"/>
        <w:numPr>
          <w:ilvl w:val="0"/>
          <w:numId w:val="86"/>
        </w:numPr>
        <w:rPr>
          <w:rFonts w:cs="Arial"/>
          <w:i/>
          <w:iCs/>
        </w:rPr>
      </w:pPr>
      <w:r w:rsidRPr="00AB5BF2">
        <w:rPr>
          <w:rFonts w:cs="Arial"/>
        </w:rPr>
        <w:t xml:space="preserve">NRRA revised its performance measures from the 2021-22 PBS when developing the 2021-22 Corporate Plan. The updated measures are reflected here. </w:t>
      </w:r>
    </w:p>
    <w:p w14:paraId="5B64BAB3" w14:textId="77777777" w:rsidR="009F2A20" w:rsidRPr="00AB5BF2" w:rsidRDefault="009F2A20" w:rsidP="00392A48">
      <w:pPr>
        <w:pStyle w:val="ChartandTableFootnoteAlpha"/>
        <w:numPr>
          <w:ilvl w:val="0"/>
          <w:numId w:val="86"/>
        </w:numPr>
        <w:rPr>
          <w:rFonts w:cs="Arial"/>
          <w:i/>
          <w:iCs/>
        </w:rPr>
      </w:pPr>
      <w:r w:rsidRPr="00AB5BF2">
        <w:rPr>
          <w:rFonts w:cs="Arial"/>
        </w:rPr>
        <w:t xml:space="preserve">NRRA may revise its performance measures when developing its 2022-23 Corporate Plan. </w:t>
      </w:r>
    </w:p>
    <w:p w14:paraId="425B4995" w14:textId="77777777" w:rsidR="009F2A20" w:rsidRPr="00AB5BF2" w:rsidRDefault="009F2A20" w:rsidP="009F2A20">
      <w:pPr>
        <w:rPr>
          <w:rFonts w:cstheme="minorBidi"/>
          <w:lang w:val="x-none" w:eastAsia="x-none"/>
        </w:rPr>
      </w:pPr>
    </w:p>
    <w:tbl>
      <w:tblPr>
        <w:tblW w:w="8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673"/>
        <w:gridCol w:w="1701"/>
      </w:tblGrid>
      <w:tr w:rsidR="009F2A20" w:rsidRPr="001D052A" w14:paraId="7BADB2EE" w14:textId="77777777" w:rsidTr="002F7A80">
        <w:trPr>
          <w:trHeight w:val="522"/>
          <w:tblHeader/>
        </w:trPr>
        <w:tc>
          <w:tcPr>
            <w:tcW w:w="8080"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322A9D4" w14:textId="77777777" w:rsidR="009F2A20" w:rsidRPr="00715669" w:rsidRDefault="009F2A20" w:rsidP="002F7A80">
            <w:pPr>
              <w:tabs>
                <w:tab w:val="left" w:pos="709"/>
              </w:tabs>
              <w:spacing w:before="60" w:after="60" w:line="256" w:lineRule="auto"/>
              <w:rPr>
                <w:rFonts w:ascii="Arial" w:hAnsi="Arial" w:cs="Arial"/>
                <w:b/>
                <w:color w:val="000000" w:themeColor="text1"/>
                <w:sz w:val="16"/>
                <w:szCs w:val="16"/>
                <w:lang w:eastAsia="en-US"/>
              </w:rPr>
            </w:pPr>
            <w:r w:rsidRPr="00715669">
              <w:rPr>
                <w:rFonts w:ascii="Arial" w:hAnsi="Arial" w:cs="Arial"/>
                <w:b/>
                <w:color w:val="000000" w:themeColor="text1"/>
                <w:sz w:val="16"/>
                <w:szCs w:val="16"/>
              </w:rPr>
              <w:t xml:space="preserve">Program 1.5 – </w:t>
            </w:r>
            <w:r w:rsidRPr="00715669">
              <w:rPr>
                <w:rFonts w:ascii="Arial" w:hAnsi="Arial" w:cs="Arial"/>
                <w:b/>
                <w:sz w:val="16"/>
                <w:szCs w:val="16"/>
              </w:rPr>
              <w:t xml:space="preserve">COVID-19 Support </w:t>
            </w:r>
          </w:p>
          <w:p w14:paraId="23D9F58C" w14:textId="77777777" w:rsidR="009F2A20" w:rsidRPr="001D052A" w:rsidRDefault="009F2A20" w:rsidP="002F7A80">
            <w:pPr>
              <w:tabs>
                <w:tab w:val="left" w:pos="709"/>
              </w:tabs>
              <w:spacing w:before="60" w:after="60" w:line="256" w:lineRule="auto"/>
              <w:rPr>
                <w:rFonts w:ascii="Arial" w:hAnsi="Arial" w:cs="Arial"/>
                <w:sz w:val="16"/>
                <w:szCs w:val="16"/>
                <w:highlight w:val="yellow"/>
              </w:rPr>
            </w:pPr>
            <w:r w:rsidRPr="005343AD">
              <w:rPr>
                <w:rFonts w:ascii="Arial" w:hAnsi="Arial" w:cs="Arial"/>
                <w:sz w:val="16"/>
                <w:szCs w:val="16"/>
              </w:rPr>
              <w:t>The NRRA has policy responsibility fo</w:t>
            </w:r>
            <w:r w:rsidR="00623E92">
              <w:rPr>
                <w:rFonts w:ascii="Arial" w:hAnsi="Arial" w:cs="Arial"/>
                <w:sz w:val="16"/>
                <w:szCs w:val="16"/>
              </w:rPr>
              <w:t>r, and in conjunction with the a</w:t>
            </w:r>
            <w:r w:rsidRPr="005343AD">
              <w:rPr>
                <w:rFonts w:ascii="Arial" w:hAnsi="Arial" w:cs="Arial"/>
                <w:sz w:val="16"/>
                <w:szCs w:val="16"/>
              </w:rPr>
              <w:t xml:space="preserve">gency’s delivery partner Services Australia, administers the COVID-19 Disaster Payment and Pandemic Leave Disaster Payment to provide timely and targeted payments and support to eligible individuals affected by the COVID-19 pandemic. </w:t>
            </w:r>
          </w:p>
        </w:tc>
      </w:tr>
      <w:tr w:rsidR="009F2A20" w:rsidRPr="001D052A" w14:paraId="1BC3A1C2" w14:textId="77777777" w:rsidTr="002F7A80">
        <w:trPr>
          <w:trHeight w:val="374"/>
        </w:trPr>
        <w:tc>
          <w:tcPr>
            <w:tcW w:w="1706" w:type="dxa"/>
            <w:tcBorders>
              <w:top w:val="single" w:sz="4" w:space="0" w:color="auto"/>
              <w:left w:val="single" w:sz="4" w:space="0" w:color="auto"/>
              <w:bottom w:val="double" w:sz="4" w:space="0" w:color="auto"/>
              <w:right w:val="single" w:sz="4" w:space="0" w:color="auto"/>
            </w:tcBorders>
            <w:hideMark/>
          </w:tcPr>
          <w:p w14:paraId="51B641B5" w14:textId="77777777" w:rsidR="009F2A20" w:rsidRPr="005343AD" w:rsidRDefault="00623E92"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Key a</w:t>
            </w:r>
            <w:r w:rsidR="009F2A20" w:rsidRPr="005343AD">
              <w:rPr>
                <w:rFonts w:ascii="Arial" w:hAnsi="Arial" w:cs="Arial"/>
                <w:b/>
                <w:color w:val="000000" w:themeColor="text1"/>
                <w:sz w:val="16"/>
                <w:szCs w:val="16"/>
              </w:rPr>
              <w:t>ctivities (a)</w:t>
            </w:r>
          </w:p>
        </w:tc>
        <w:tc>
          <w:tcPr>
            <w:tcW w:w="6374" w:type="dxa"/>
            <w:gridSpan w:val="2"/>
            <w:tcBorders>
              <w:top w:val="single" w:sz="4" w:space="0" w:color="auto"/>
              <w:left w:val="single" w:sz="4" w:space="0" w:color="auto"/>
              <w:bottom w:val="double" w:sz="4" w:space="0" w:color="auto"/>
              <w:right w:val="single" w:sz="4" w:space="0" w:color="auto"/>
            </w:tcBorders>
            <w:hideMark/>
          </w:tcPr>
          <w:p w14:paraId="5803904C" w14:textId="77777777" w:rsidR="009F2A20" w:rsidRPr="005343AD" w:rsidRDefault="009F2A20" w:rsidP="002F7A80">
            <w:pPr>
              <w:tabs>
                <w:tab w:val="left" w:pos="709"/>
              </w:tabs>
              <w:spacing w:before="60" w:after="60" w:line="256" w:lineRule="auto"/>
              <w:rPr>
                <w:rFonts w:ascii="Arial" w:hAnsi="Arial" w:cs="Arial"/>
                <w:color w:val="000000" w:themeColor="text1"/>
                <w:sz w:val="22"/>
                <w:szCs w:val="22"/>
              </w:rPr>
            </w:pPr>
            <w:r w:rsidRPr="005343AD">
              <w:rPr>
                <w:rFonts w:ascii="Arial" w:hAnsi="Arial" w:cs="Arial"/>
                <w:bCs/>
                <w:color w:val="000000" w:themeColor="text1"/>
                <w:sz w:val="16"/>
                <w:szCs w:val="16"/>
              </w:rPr>
              <w:t xml:space="preserve">Delivering </w:t>
            </w:r>
            <w:r>
              <w:rPr>
                <w:rFonts w:ascii="Arial" w:hAnsi="Arial" w:cs="Arial"/>
                <w:bCs/>
                <w:color w:val="000000" w:themeColor="text1"/>
                <w:sz w:val="16"/>
                <w:szCs w:val="16"/>
              </w:rPr>
              <w:t>p</w:t>
            </w:r>
            <w:r w:rsidRPr="005343AD">
              <w:rPr>
                <w:rFonts w:ascii="Arial" w:hAnsi="Arial" w:cs="Arial"/>
                <w:bCs/>
                <w:color w:val="000000" w:themeColor="text1"/>
                <w:sz w:val="16"/>
                <w:szCs w:val="16"/>
              </w:rPr>
              <w:t xml:space="preserve">rograms and </w:t>
            </w:r>
            <w:r>
              <w:rPr>
                <w:rFonts w:ascii="Arial" w:hAnsi="Arial" w:cs="Arial"/>
                <w:bCs/>
                <w:color w:val="000000" w:themeColor="text1"/>
                <w:sz w:val="16"/>
                <w:szCs w:val="16"/>
              </w:rPr>
              <w:t>s</w:t>
            </w:r>
            <w:r w:rsidRPr="005343AD">
              <w:rPr>
                <w:rFonts w:ascii="Arial" w:hAnsi="Arial" w:cs="Arial"/>
                <w:bCs/>
                <w:color w:val="000000" w:themeColor="text1"/>
                <w:sz w:val="16"/>
                <w:szCs w:val="16"/>
              </w:rPr>
              <w:t>ervices</w:t>
            </w:r>
          </w:p>
        </w:tc>
      </w:tr>
      <w:tr w:rsidR="009F2A20" w:rsidRPr="006075EF" w14:paraId="2D080B95" w14:textId="77777777" w:rsidTr="002F7A80">
        <w:trPr>
          <w:trHeight w:val="258"/>
        </w:trPr>
        <w:tc>
          <w:tcPr>
            <w:tcW w:w="1706" w:type="dxa"/>
            <w:tcBorders>
              <w:top w:val="double" w:sz="4" w:space="0" w:color="auto"/>
              <w:left w:val="single" w:sz="4" w:space="0" w:color="auto"/>
              <w:bottom w:val="single" w:sz="4" w:space="0" w:color="auto"/>
              <w:right w:val="single" w:sz="4" w:space="0" w:color="auto"/>
            </w:tcBorders>
            <w:hideMark/>
          </w:tcPr>
          <w:p w14:paraId="3B214367" w14:textId="77777777" w:rsidR="009F2A20" w:rsidRPr="006075EF" w:rsidRDefault="009F2A20" w:rsidP="002F7A80">
            <w:pPr>
              <w:tabs>
                <w:tab w:val="left" w:pos="709"/>
              </w:tabs>
              <w:spacing w:before="60" w:after="60" w:line="256" w:lineRule="auto"/>
              <w:rPr>
                <w:rFonts w:ascii="Arial" w:hAnsi="Arial" w:cs="Arial"/>
                <w:b/>
                <w:color w:val="000000" w:themeColor="text1"/>
                <w:sz w:val="16"/>
                <w:szCs w:val="16"/>
              </w:rPr>
            </w:pPr>
            <w:r w:rsidRPr="006075EF">
              <w:rPr>
                <w:rFonts w:ascii="Arial" w:hAnsi="Arial" w:cs="Arial"/>
                <w:b/>
                <w:color w:val="000000" w:themeColor="text1"/>
                <w:sz w:val="16"/>
                <w:szCs w:val="16"/>
              </w:rPr>
              <w:t>Year</w:t>
            </w:r>
          </w:p>
        </w:tc>
        <w:tc>
          <w:tcPr>
            <w:tcW w:w="4673" w:type="dxa"/>
            <w:tcBorders>
              <w:top w:val="double" w:sz="4" w:space="0" w:color="auto"/>
              <w:left w:val="single" w:sz="4" w:space="0" w:color="auto"/>
              <w:bottom w:val="single" w:sz="4" w:space="0" w:color="auto"/>
              <w:right w:val="single" w:sz="4" w:space="0" w:color="auto"/>
            </w:tcBorders>
            <w:hideMark/>
          </w:tcPr>
          <w:p w14:paraId="06239B8A" w14:textId="77777777" w:rsidR="009F2A20" w:rsidRPr="006075EF" w:rsidRDefault="009F2A20" w:rsidP="002F7A80">
            <w:pPr>
              <w:tabs>
                <w:tab w:val="left" w:pos="709"/>
                <w:tab w:val="center" w:pos="1818"/>
              </w:tabs>
              <w:spacing w:before="60" w:after="60" w:line="256" w:lineRule="auto"/>
              <w:rPr>
                <w:rFonts w:ascii="Arial" w:hAnsi="Arial" w:cs="Arial"/>
                <w:b/>
                <w:color w:val="000000" w:themeColor="text1"/>
                <w:sz w:val="16"/>
                <w:szCs w:val="16"/>
              </w:rPr>
            </w:pPr>
            <w:r w:rsidRPr="006075EF">
              <w:rPr>
                <w:rFonts w:ascii="Arial" w:hAnsi="Arial" w:cs="Arial"/>
                <w:b/>
                <w:color w:val="000000" w:themeColor="text1"/>
                <w:sz w:val="16"/>
                <w:szCs w:val="16"/>
              </w:rPr>
              <w:t>Performance measures</w:t>
            </w:r>
          </w:p>
        </w:tc>
        <w:tc>
          <w:tcPr>
            <w:tcW w:w="1701" w:type="dxa"/>
            <w:tcBorders>
              <w:top w:val="double" w:sz="4" w:space="0" w:color="auto"/>
              <w:left w:val="single" w:sz="4" w:space="0" w:color="auto"/>
              <w:bottom w:val="single" w:sz="4" w:space="0" w:color="auto"/>
              <w:right w:val="single" w:sz="4" w:space="0" w:color="auto"/>
            </w:tcBorders>
            <w:hideMark/>
          </w:tcPr>
          <w:p w14:paraId="1F12BDCC" w14:textId="77777777" w:rsidR="009F2A20" w:rsidRPr="006075EF" w:rsidRDefault="00623E92" w:rsidP="002F7A80">
            <w:pPr>
              <w:tabs>
                <w:tab w:val="left" w:pos="709"/>
              </w:tabs>
              <w:spacing w:before="60" w:after="60" w:line="256" w:lineRule="auto"/>
              <w:rPr>
                <w:rFonts w:ascii="Arial" w:hAnsi="Arial" w:cs="Arial"/>
                <w:b/>
                <w:color w:val="000000" w:themeColor="text1"/>
                <w:sz w:val="16"/>
                <w:szCs w:val="16"/>
              </w:rPr>
            </w:pPr>
            <w:r>
              <w:rPr>
                <w:rFonts w:ascii="Arial" w:hAnsi="Arial" w:cs="Arial"/>
                <w:b/>
                <w:color w:val="000000" w:themeColor="text1"/>
                <w:sz w:val="16"/>
                <w:szCs w:val="16"/>
              </w:rPr>
              <w:t>Expected performance r</w:t>
            </w:r>
            <w:r w:rsidR="009F2A20" w:rsidRPr="006075EF">
              <w:rPr>
                <w:rFonts w:ascii="Arial" w:hAnsi="Arial" w:cs="Arial"/>
                <w:b/>
                <w:color w:val="000000" w:themeColor="text1"/>
                <w:sz w:val="16"/>
                <w:szCs w:val="16"/>
              </w:rPr>
              <w:t>esults</w:t>
            </w:r>
          </w:p>
        </w:tc>
      </w:tr>
      <w:tr w:rsidR="009F2A20" w:rsidRPr="006075EF" w14:paraId="137522AB" w14:textId="77777777" w:rsidTr="002F7A80">
        <w:trPr>
          <w:trHeight w:val="642"/>
        </w:trPr>
        <w:tc>
          <w:tcPr>
            <w:tcW w:w="1706" w:type="dxa"/>
            <w:tcBorders>
              <w:top w:val="single" w:sz="4" w:space="0" w:color="auto"/>
              <w:left w:val="single" w:sz="4" w:space="0" w:color="auto"/>
              <w:bottom w:val="dotted" w:sz="4" w:space="0" w:color="auto"/>
              <w:right w:val="single" w:sz="4" w:space="0" w:color="auto"/>
            </w:tcBorders>
            <w:hideMark/>
          </w:tcPr>
          <w:p w14:paraId="28B1301E" w14:textId="77777777" w:rsidR="009F2A20" w:rsidRPr="006075EF" w:rsidRDefault="009F2A20" w:rsidP="002F7A80">
            <w:pPr>
              <w:tabs>
                <w:tab w:val="left" w:pos="709"/>
              </w:tabs>
              <w:spacing w:before="60" w:after="60" w:line="256" w:lineRule="auto"/>
              <w:rPr>
                <w:rFonts w:ascii="Arial" w:hAnsi="Arial" w:cs="Arial"/>
                <w:color w:val="000000" w:themeColor="text1"/>
                <w:sz w:val="16"/>
                <w:szCs w:val="16"/>
              </w:rPr>
            </w:pPr>
            <w:r w:rsidRPr="006075EF">
              <w:rPr>
                <w:rFonts w:ascii="Arial" w:hAnsi="Arial" w:cs="Arial"/>
                <w:color w:val="000000" w:themeColor="text1"/>
                <w:sz w:val="16"/>
                <w:szCs w:val="16"/>
              </w:rPr>
              <w:t xml:space="preserve">Current year </w:t>
            </w:r>
          </w:p>
          <w:p w14:paraId="308FB256" w14:textId="77777777" w:rsidR="009F2A20" w:rsidRPr="006075EF" w:rsidRDefault="009F2A20" w:rsidP="002F7A80">
            <w:pPr>
              <w:tabs>
                <w:tab w:val="left" w:pos="709"/>
              </w:tabs>
              <w:spacing w:before="60" w:after="60" w:line="256" w:lineRule="auto"/>
              <w:rPr>
                <w:rFonts w:ascii="Arial" w:hAnsi="Arial" w:cs="Arial"/>
                <w:color w:val="000000" w:themeColor="text1"/>
                <w:sz w:val="16"/>
                <w:szCs w:val="16"/>
              </w:rPr>
            </w:pPr>
            <w:r w:rsidRPr="006075EF">
              <w:rPr>
                <w:rFonts w:ascii="Arial" w:hAnsi="Arial" w:cs="Arial"/>
                <w:color w:val="000000" w:themeColor="text1"/>
                <w:sz w:val="16"/>
                <w:szCs w:val="16"/>
              </w:rPr>
              <w:t>2021-22</w:t>
            </w:r>
          </w:p>
        </w:tc>
        <w:tc>
          <w:tcPr>
            <w:tcW w:w="4673" w:type="dxa"/>
            <w:tcBorders>
              <w:top w:val="single" w:sz="4" w:space="0" w:color="auto"/>
              <w:left w:val="single" w:sz="4" w:space="0" w:color="auto"/>
              <w:bottom w:val="dotted" w:sz="4" w:space="0" w:color="auto"/>
              <w:right w:val="single" w:sz="4" w:space="0" w:color="auto"/>
            </w:tcBorders>
            <w:hideMark/>
          </w:tcPr>
          <w:p w14:paraId="13B95301" w14:textId="77777777" w:rsidR="009F2A20" w:rsidRPr="006075EF" w:rsidRDefault="009F2A20" w:rsidP="002F7A80">
            <w:pPr>
              <w:tabs>
                <w:tab w:val="left" w:pos="709"/>
              </w:tabs>
              <w:spacing w:before="60" w:after="60" w:line="256" w:lineRule="auto"/>
              <w:rPr>
                <w:rFonts w:ascii="Arial" w:hAnsi="Arial" w:cs="Arial"/>
                <w:color w:val="000000" w:themeColor="text1"/>
                <w:sz w:val="16"/>
                <w:szCs w:val="16"/>
              </w:rPr>
            </w:pPr>
            <w:r>
              <w:rPr>
                <w:rFonts w:ascii="Arial" w:hAnsi="Arial" w:cs="Arial"/>
                <w:bCs/>
                <w:color w:val="000000" w:themeColor="text1"/>
                <w:sz w:val="16"/>
                <w:szCs w:val="16"/>
              </w:rPr>
              <w:t>Advice regarding domestic disaster assistance is provided to Government within required timeframes.</w:t>
            </w:r>
          </w:p>
        </w:tc>
        <w:tc>
          <w:tcPr>
            <w:tcW w:w="1701" w:type="dxa"/>
            <w:tcBorders>
              <w:top w:val="single" w:sz="4" w:space="0" w:color="auto"/>
              <w:left w:val="single" w:sz="4" w:space="0" w:color="auto"/>
              <w:bottom w:val="dotted" w:sz="4" w:space="0" w:color="auto"/>
              <w:right w:val="single" w:sz="4" w:space="0" w:color="auto"/>
            </w:tcBorders>
            <w:hideMark/>
          </w:tcPr>
          <w:p w14:paraId="47B204F6" w14:textId="77777777" w:rsidR="009F2A20" w:rsidRPr="006075EF" w:rsidRDefault="009F2A20" w:rsidP="002F7A80">
            <w:pPr>
              <w:tabs>
                <w:tab w:val="left" w:pos="709"/>
              </w:tabs>
              <w:spacing w:before="60" w:after="60" w:line="256" w:lineRule="auto"/>
              <w:rPr>
                <w:rFonts w:ascii="Arial" w:hAnsi="Arial" w:cs="Arial"/>
                <w:color w:val="000000" w:themeColor="text1"/>
                <w:sz w:val="16"/>
                <w:szCs w:val="16"/>
              </w:rPr>
            </w:pPr>
            <w:r w:rsidRPr="009A557C">
              <w:rPr>
                <w:rFonts w:ascii="Arial" w:hAnsi="Arial" w:cs="Arial"/>
                <w:bCs/>
                <w:color w:val="000000" w:themeColor="text1"/>
                <w:sz w:val="16"/>
                <w:szCs w:val="16"/>
              </w:rPr>
              <w:t>On track</w:t>
            </w:r>
            <w:r w:rsidRPr="006075EF">
              <w:rPr>
                <w:rFonts w:ascii="Arial" w:hAnsi="Arial" w:cs="Arial"/>
                <w:color w:val="000000" w:themeColor="text1"/>
                <w:sz w:val="16"/>
                <w:szCs w:val="16"/>
              </w:rPr>
              <w:t xml:space="preserve"> </w:t>
            </w:r>
          </w:p>
        </w:tc>
      </w:tr>
    </w:tbl>
    <w:p w14:paraId="0FBFB0AC" w14:textId="77777777" w:rsidR="009F2A20" w:rsidRPr="006075EF" w:rsidRDefault="009F2A20" w:rsidP="00392A48">
      <w:pPr>
        <w:pStyle w:val="ChartandTableFootnoteAlpha"/>
        <w:numPr>
          <w:ilvl w:val="0"/>
          <w:numId w:val="87"/>
        </w:numPr>
        <w:rPr>
          <w:rFonts w:cs="Arial"/>
          <w:i/>
          <w:iCs/>
        </w:rPr>
      </w:pPr>
      <w:r w:rsidRPr="006075EF">
        <w:rPr>
          <w:rFonts w:cs="Arial"/>
        </w:rPr>
        <w:t xml:space="preserve">NRRA revised its performance measures from the 2021-22 PBS when developing the 2021-22 Corporate Plan. The updated measures are reflected here. </w:t>
      </w:r>
    </w:p>
    <w:p w14:paraId="47E972F4" w14:textId="77777777" w:rsidR="009F2A20" w:rsidRPr="006075EF" w:rsidRDefault="009F2A20" w:rsidP="00392A48">
      <w:pPr>
        <w:pStyle w:val="ChartandTableFootnoteAlpha"/>
        <w:numPr>
          <w:ilvl w:val="0"/>
          <w:numId w:val="87"/>
        </w:numPr>
      </w:pPr>
      <w:r w:rsidRPr="00D6139C">
        <w:rPr>
          <w:rFonts w:cs="Arial"/>
        </w:rPr>
        <w:t xml:space="preserve">NRRA may revise its performance measures when developing its 2022-23 Corporate Plan. </w:t>
      </w:r>
    </w:p>
    <w:p w14:paraId="61EBC485" w14:textId="77777777" w:rsidR="009F2A20" w:rsidRPr="000620FC" w:rsidRDefault="009F2A20" w:rsidP="009F2A20">
      <w:pPr>
        <w:pStyle w:val="Heading2"/>
      </w:pPr>
      <w:r w:rsidRPr="001D052A">
        <w:rPr>
          <w:highlight w:val="yellow"/>
        </w:rPr>
        <w:br w:type="page"/>
      </w:r>
      <w:bookmarkStart w:id="760" w:name="_Toc98932924"/>
      <w:bookmarkStart w:id="761" w:name="_Toc99008180"/>
      <w:bookmarkStart w:id="762" w:name="_Toc99009542"/>
      <w:bookmarkStart w:id="763" w:name="_Toc99010770"/>
      <w:bookmarkStart w:id="764" w:name="_Toc99014005"/>
      <w:bookmarkStart w:id="765" w:name="_Toc99187581"/>
      <w:bookmarkStart w:id="766" w:name="_Toc99269703"/>
      <w:r w:rsidRPr="000620FC">
        <w:t>Section 3: Budgeted financial statements</w:t>
      </w:r>
      <w:bookmarkEnd w:id="760"/>
      <w:bookmarkEnd w:id="761"/>
      <w:bookmarkEnd w:id="762"/>
      <w:bookmarkEnd w:id="763"/>
      <w:bookmarkEnd w:id="764"/>
      <w:bookmarkEnd w:id="765"/>
      <w:bookmarkEnd w:id="766"/>
    </w:p>
    <w:p w14:paraId="2CDEFFE7" w14:textId="77777777" w:rsidR="009F2A20" w:rsidRPr="000620FC" w:rsidRDefault="009F2A20" w:rsidP="009F2A20">
      <w:r w:rsidRPr="000620FC">
        <w:t>Section 3 presents budgeted financial statements which provide a comprehensive snapshot of entity finances for the 2022-23</w:t>
      </w:r>
      <w:r w:rsidRPr="000620FC">
        <w:rPr>
          <w:color w:val="00B050"/>
        </w:rPr>
        <w:t xml:space="preserve"> </w:t>
      </w:r>
      <w:r w:rsidR="004C12AF">
        <w:t>Budget year</w:t>
      </w:r>
      <w:r w:rsidRPr="000620FC">
        <w:t>, including the impact of budget measures and resourcing on financial statements.</w:t>
      </w:r>
    </w:p>
    <w:p w14:paraId="020C15BE" w14:textId="77777777" w:rsidR="009F2A20" w:rsidRPr="000620FC" w:rsidRDefault="009F2A20" w:rsidP="009F2A20">
      <w:pPr>
        <w:pStyle w:val="Heading3"/>
      </w:pPr>
      <w:bookmarkStart w:id="767" w:name="_Toc98932925"/>
      <w:bookmarkStart w:id="768" w:name="_Toc99008181"/>
      <w:bookmarkStart w:id="769" w:name="_Toc99009543"/>
      <w:bookmarkStart w:id="770" w:name="_Toc99010771"/>
      <w:bookmarkStart w:id="771" w:name="_Toc99014006"/>
      <w:bookmarkStart w:id="772" w:name="_Toc99187582"/>
      <w:bookmarkStart w:id="773" w:name="_Toc99269704"/>
      <w:r w:rsidRPr="000620FC">
        <w:t>3.1</w:t>
      </w:r>
      <w:r w:rsidRPr="000620FC">
        <w:tab/>
        <w:t>Budgeted financial statements</w:t>
      </w:r>
      <w:bookmarkEnd w:id="767"/>
      <w:bookmarkEnd w:id="768"/>
      <w:bookmarkEnd w:id="769"/>
      <w:bookmarkEnd w:id="770"/>
      <w:bookmarkEnd w:id="771"/>
      <w:bookmarkEnd w:id="772"/>
      <w:bookmarkEnd w:id="773"/>
    </w:p>
    <w:p w14:paraId="24AABED1" w14:textId="77777777" w:rsidR="009F2A20" w:rsidRPr="000620FC" w:rsidRDefault="009F2A20" w:rsidP="009F2A20">
      <w:pPr>
        <w:pStyle w:val="Heading4"/>
      </w:pPr>
      <w:r w:rsidRPr="000620FC">
        <w:t>3.1.1</w:t>
      </w:r>
      <w:r w:rsidRPr="000620FC">
        <w:tab/>
        <w:t>Differences between entity resourcing and financial statements</w:t>
      </w:r>
    </w:p>
    <w:p w14:paraId="45671286" w14:textId="77777777" w:rsidR="009F2A20" w:rsidRPr="000620FC" w:rsidRDefault="0063110C" w:rsidP="009F2A20">
      <w:r>
        <w:t>The e</w:t>
      </w:r>
      <w:r w:rsidR="009F2A20" w:rsidRPr="000620FC">
        <w:t xml:space="preserve">ntity </w:t>
      </w:r>
      <w:r w:rsidR="00623E92">
        <w:t>resource s</w:t>
      </w:r>
      <w:r w:rsidR="009F2A20" w:rsidRPr="000620FC">
        <w:t xml:space="preserve">tatement (Table 1.1) provides a consolidated view of all the resources available in 2022-23. This includes appropriation receivable that is yet to be drawn down to cover payables and provisions on the </w:t>
      </w:r>
      <w:r w:rsidR="00623E92">
        <w:t>departmental b</w:t>
      </w:r>
      <w:r w:rsidR="009F2A20" w:rsidRPr="000620FC">
        <w:t>alanc</w:t>
      </w:r>
      <w:r w:rsidR="00623E92">
        <w:t>e sheet (Table 3.2). The c</w:t>
      </w:r>
      <w:r>
        <w:t>omprehensive income s</w:t>
      </w:r>
      <w:r w:rsidR="009F2A20" w:rsidRPr="000620FC">
        <w:t>tatement (Table 3.1) shows only the operating appropriation provided in 2022-23.</w:t>
      </w:r>
    </w:p>
    <w:p w14:paraId="1E3E6ACF" w14:textId="77777777" w:rsidR="009F2A20" w:rsidRPr="000620FC" w:rsidRDefault="009F2A20" w:rsidP="009F2A20">
      <w:pPr>
        <w:pStyle w:val="Heading4"/>
      </w:pPr>
      <w:r w:rsidRPr="000620FC">
        <w:t>3.1.2</w:t>
      </w:r>
      <w:r w:rsidRPr="000620FC">
        <w:tab/>
        <w:t>Explanatory notes and analysis of budgeted financial statements</w:t>
      </w:r>
    </w:p>
    <w:p w14:paraId="5B944FA7" w14:textId="77777777" w:rsidR="009F2A20" w:rsidRPr="006051E2" w:rsidRDefault="0063110C" w:rsidP="009F2A20">
      <w:pPr>
        <w:pStyle w:val="H7"/>
        <w:rPr>
          <w:rFonts w:ascii="Book Antiqua" w:hAnsi="Book Antiqua" w:cs="Arial"/>
          <w:b/>
          <w:i w:val="0"/>
        </w:rPr>
      </w:pPr>
      <w:r>
        <w:rPr>
          <w:rFonts w:ascii="Book Antiqua" w:hAnsi="Book Antiqua" w:cs="Arial"/>
          <w:b/>
          <w:i w:val="0"/>
        </w:rPr>
        <w:t>Departmental financial s</w:t>
      </w:r>
      <w:r w:rsidR="009F2A20" w:rsidRPr="006051E2">
        <w:rPr>
          <w:rFonts w:ascii="Book Antiqua" w:hAnsi="Book Antiqua" w:cs="Arial"/>
          <w:b/>
          <w:i w:val="0"/>
        </w:rPr>
        <w:t>tatements</w:t>
      </w:r>
    </w:p>
    <w:p w14:paraId="63C0AC4E" w14:textId="77777777" w:rsidR="009F2A20" w:rsidRPr="000620FC" w:rsidRDefault="009F2A20" w:rsidP="009F2A20">
      <w:r w:rsidRPr="000620FC">
        <w:t xml:space="preserve">In all Budget years the NRRA is budgeting for a break-even operating result, adjusted for depreciation and amortisation expenses and right-of-use asset transactions (in accordance with AASB 116 Leases). </w:t>
      </w:r>
    </w:p>
    <w:p w14:paraId="719F2917" w14:textId="77777777" w:rsidR="009F2A20" w:rsidRPr="006051E2" w:rsidRDefault="009F2A20" w:rsidP="009F2A20">
      <w:pPr>
        <w:pStyle w:val="H7"/>
        <w:rPr>
          <w:rFonts w:ascii="Book Antiqua" w:hAnsi="Book Antiqua" w:cs="Arial"/>
          <w:b/>
          <w:i w:val="0"/>
        </w:rPr>
      </w:pPr>
      <w:r w:rsidRPr="006051E2">
        <w:rPr>
          <w:rFonts w:ascii="Book Antiqua" w:hAnsi="Book Antiqua" w:cs="Arial"/>
          <w:b/>
          <w:i w:val="0"/>
        </w:rPr>
        <w:t xml:space="preserve">Administered </w:t>
      </w:r>
      <w:r w:rsidR="0063110C">
        <w:rPr>
          <w:rFonts w:ascii="Book Antiqua" w:hAnsi="Book Antiqua" w:cs="Arial"/>
          <w:b/>
          <w:i w:val="0"/>
        </w:rPr>
        <w:t>f</w:t>
      </w:r>
      <w:r w:rsidRPr="006051E2">
        <w:rPr>
          <w:rFonts w:ascii="Book Antiqua" w:hAnsi="Book Antiqua" w:cs="Arial"/>
          <w:b/>
          <w:i w:val="0"/>
        </w:rPr>
        <w:t xml:space="preserve">inancial </w:t>
      </w:r>
      <w:r w:rsidR="0063110C">
        <w:rPr>
          <w:rFonts w:ascii="Book Antiqua" w:hAnsi="Book Antiqua" w:cs="Arial"/>
          <w:b/>
          <w:i w:val="0"/>
        </w:rPr>
        <w:t>s</w:t>
      </w:r>
      <w:r w:rsidRPr="006051E2">
        <w:rPr>
          <w:rFonts w:ascii="Book Antiqua" w:hAnsi="Book Antiqua" w:cs="Arial"/>
          <w:b/>
          <w:i w:val="0"/>
        </w:rPr>
        <w:t>tatements</w:t>
      </w:r>
    </w:p>
    <w:p w14:paraId="01F841C2" w14:textId="77777777" w:rsidR="009F2A20" w:rsidRPr="000620FC" w:rsidRDefault="009F2A20" w:rsidP="009F2A20">
      <w:r w:rsidRPr="000620FC">
        <w:t>The higher levels of Administered expenses for 2021-22 are primarily due to programs and measures to support the Government’s response to the COVID-19 pandemic. As at the 2022-23 Budget, the expenses for Program 1.5 are not expected to continue into 2022</w:t>
      </w:r>
      <w:r w:rsidR="0063110C">
        <w:noBreakHyphen/>
      </w:r>
      <w:r w:rsidRPr="000620FC">
        <w:t xml:space="preserve">23 and forward years. </w:t>
      </w:r>
    </w:p>
    <w:p w14:paraId="2BFF6042" w14:textId="77777777" w:rsidR="009F2A20" w:rsidRPr="000620FC" w:rsidRDefault="009F2A20" w:rsidP="009F2A20">
      <w:r w:rsidRPr="000620FC">
        <w:t>Administered expenses have also seen a significant increase in 2021-22 due to Australian Government Disaster Recovery Payments and Disaster Recovery Allowance payments made in the 2021-22 year, as a result of the NSW and Q</w:t>
      </w:r>
      <w:r w:rsidR="0063110C">
        <w:t>ueensland</w:t>
      </w:r>
      <w:r w:rsidRPr="000620FC">
        <w:t xml:space="preserve"> flood disaster events in February and March 2022. As at the 2022-23 Budget the majority of these payments are expected to occur in the 2021-22 financial year, with no expenditure currently estimated in 2022-23 or the forward years for this event, or other unknown future disaster events.</w:t>
      </w:r>
    </w:p>
    <w:p w14:paraId="7F1C80F8" w14:textId="77777777" w:rsidR="009F2A20" w:rsidRPr="000620FC" w:rsidRDefault="0063110C" w:rsidP="009F2A20">
      <w:r>
        <w:t>The balance of other a</w:t>
      </w:r>
      <w:r w:rsidR="009F2A20" w:rsidRPr="000620FC">
        <w:t xml:space="preserve">dministered expenses for 2022-23 and forward years have increased due to appropriations for the new measures identified in Table 1.2. </w:t>
      </w:r>
    </w:p>
    <w:p w14:paraId="038C9565" w14:textId="77777777" w:rsidR="009F2A20" w:rsidRPr="003B5406" w:rsidRDefault="009F2A20" w:rsidP="009F2A20">
      <w:pPr>
        <w:jc w:val="left"/>
      </w:pPr>
      <w:r w:rsidRPr="001D052A">
        <w:rPr>
          <w:highlight w:val="yellow"/>
        </w:rPr>
        <w:br w:type="page"/>
      </w:r>
      <w:r w:rsidRPr="003B5406">
        <w:rPr>
          <w:rStyle w:val="TableHeadingChar"/>
        </w:rPr>
        <w:t>3.2.</w:t>
      </w:r>
      <w:r w:rsidRPr="003B5406">
        <w:rPr>
          <w:rStyle w:val="TableHeadingChar"/>
        </w:rPr>
        <w:tab/>
        <w:t>Budgeted financial statements tables</w:t>
      </w:r>
    </w:p>
    <w:p w14:paraId="434BFB5D" w14:textId="77777777" w:rsidR="009F2A20" w:rsidRPr="003B5406" w:rsidRDefault="009F2A20" w:rsidP="009F2A20">
      <w:pPr>
        <w:pStyle w:val="TableHeading"/>
        <w:rPr>
          <w:snapToGrid w:val="0"/>
        </w:rPr>
      </w:pPr>
      <w:r w:rsidRPr="003B5406">
        <w:t xml:space="preserve">Table 3.1: Comprehensive income statement (showing net cost of services) </w:t>
      </w:r>
      <w:r w:rsidRPr="003B5406">
        <w:rPr>
          <w:snapToGrid w:val="0"/>
        </w:rPr>
        <w:t>for the period ended 30 June</w:t>
      </w:r>
    </w:p>
    <w:p w14:paraId="54F6F70D" w14:textId="77777777" w:rsidR="0063110C" w:rsidRPr="003B5406" w:rsidRDefault="009F2A20" w:rsidP="009F2A20">
      <w:pPr>
        <w:pStyle w:val="TableGraphic"/>
        <w:rPr>
          <w:noProof/>
        </w:rPr>
      </w:pPr>
      <w:r w:rsidRPr="003B5406">
        <w:rPr>
          <w:noProof/>
        </w:rPr>
        <w:t xml:space="preserve"> </w:t>
      </w:r>
      <w:r w:rsidR="003A7742" w:rsidRPr="003A7742">
        <w:rPr>
          <w:noProof/>
        </w:rPr>
        <w:drawing>
          <wp:inline distT="0" distB="0" distL="0" distR="0" wp14:anchorId="3E5CFD61" wp14:editId="10714437">
            <wp:extent cx="4895850" cy="5312728"/>
            <wp:effectExtent l="0" t="0" r="0" b="254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95850" cy="5312728"/>
                    </a:xfrm>
                    <a:prstGeom prst="rect">
                      <a:avLst/>
                    </a:prstGeom>
                    <a:noFill/>
                    <a:ln>
                      <a:noFill/>
                    </a:ln>
                  </pic:spPr>
                </pic:pic>
              </a:graphicData>
            </a:graphic>
          </wp:inline>
        </w:drawing>
      </w:r>
    </w:p>
    <w:p w14:paraId="21708684" w14:textId="77777777" w:rsidR="009F2A20" w:rsidRPr="003B5406" w:rsidRDefault="009F2A20" w:rsidP="009F2A20">
      <w:pPr>
        <w:pStyle w:val="Source"/>
        <w:rPr>
          <w:rFonts w:cs="Arial"/>
        </w:rPr>
      </w:pPr>
      <w:r w:rsidRPr="003B5406">
        <w:rPr>
          <w:rFonts w:cs="Arial"/>
        </w:rPr>
        <w:t>Prepared on Australian Accounting Standards basis.</w:t>
      </w:r>
    </w:p>
    <w:p w14:paraId="74E532CB" w14:textId="77777777" w:rsidR="009F2A20" w:rsidRPr="003B5406" w:rsidRDefault="009F2A20" w:rsidP="00392A48">
      <w:pPr>
        <w:pStyle w:val="ChartandTableFootnoteAlpha"/>
        <w:numPr>
          <w:ilvl w:val="0"/>
          <w:numId w:val="154"/>
        </w:numPr>
        <w:rPr>
          <w:rFonts w:cs="Arial"/>
        </w:rPr>
      </w:pPr>
      <w:r w:rsidRPr="003B5406">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17DA8278" w14:textId="77777777" w:rsidR="009F2A20" w:rsidRPr="003B5406" w:rsidRDefault="009F2A20" w:rsidP="00392A48">
      <w:pPr>
        <w:pStyle w:val="ChartandTableFootnoteAlpha"/>
        <w:numPr>
          <w:ilvl w:val="0"/>
          <w:numId w:val="154"/>
        </w:numPr>
      </w:pPr>
      <w:r w:rsidRPr="003B5406">
        <w:t>Applies</w:t>
      </w:r>
      <w:r>
        <w:t xml:space="preserve"> to</w:t>
      </w:r>
      <w:r w:rsidRPr="003B5406">
        <w:t xml:space="preserve"> leases under AASB 16 Leases.</w:t>
      </w:r>
    </w:p>
    <w:p w14:paraId="34CBFEA6" w14:textId="77777777" w:rsidR="009F2A20" w:rsidRPr="003B5406" w:rsidRDefault="009F2A20" w:rsidP="009F2A20">
      <w:pPr>
        <w:pStyle w:val="ExampleText0"/>
        <w:spacing w:after="160"/>
        <w:rPr>
          <w:i w:val="0"/>
          <w:color w:val="auto"/>
        </w:rPr>
      </w:pPr>
    </w:p>
    <w:p w14:paraId="10F503F8" w14:textId="77777777" w:rsidR="009F2A20" w:rsidRPr="00CB0BF6" w:rsidRDefault="009F2A20" w:rsidP="009F2A20">
      <w:pPr>
        <w:pStyle w:val="TableHeading"/>
      </w:pPr>
      <w:r w:rsidRPr="003B5406">
        <w:br w:type="page"/>
      </w:r>
      <w:r w:rsidRPr="00CB0BF6">
        <w:t>Table 3.2: Budgeted departmental balance sheet (as at 30 June)</w:t>
      </w:r>
    </w:p>
    <w:p w14:paraId="22A5F685" w14:textId="77777777" w:rsidR="009F2A20" w:rsidRPr="00CB0BF6" w:rsidRDefault="0063110C" w:rsidP="009F2A20">
      <w:pPr>
        <w:pStyle w:val="TableGraphic"/>
      </w:pPr>
      <w:r w:rsidRPr="0063110C">
        <w:rPr>
          <w:noProof/>
        </w:rPr>
        <w:drawing>
          <wp:inline distT="0" distB="0" distL="0" distR="0" wp14:anchorId="6452A5FB" wp14:editId="51B66A45">
            <wp:extent cx="4895850" cy="4571474"/>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895850" cy="4571474"/>
                    </a:xfrm>
                    <a:prstGeom prst="rect">
                      <a:avLst/>
                    </a:prstGeom>
                    <a:noFill/>
                    <a:ln>
                      <a:noFill/>
                    </a:ln>
                  </pic:spPr>
                </pic:pic>
              </a:graphicData>
            </a:graphic>
          </wp:inline>
        </w:drawing>
      </w:r>
    </w:p>
    <w:p w14:paraId="53EF1359" w14:textId="77777777" w:rsidR="009F2A20" w:rsidRPr="00CB0BF6" w:rsidRDefault="009F2A20" w:rsidP="009F2A20">
      <w:pPr>
        <w:pStyle w:val="Source"/>
        <w:rPr>
          <w:rFonts w:cs="Arial"/>
        </w:rPr>
      </w:pPr>
      <w:r w:rsidRPr="00CB0BF6">
        <w:rPr>
          <w:rFonts w:cs="Arial"/>
        </w:rPr>
        <w:t>Prepared on Australian Accounting Standards basis.</w:t>
      </w:r>
    </w:p>
    <w:p w14:paraId="15C61EAB" w14:textId="77777777" w:rsidR="009F2A20" w:rsidRPr="00CB0BF6" w:rsidRDefault="009F2A20" w:rsidP="009F2A20">
      <w:pPr>
        <w:pStyle w:val="ChartandTableFootnote"/>
        <w:rPr>
          <w:rFonts w:cs="Arial"/>
        </w:rPr>
      </w:pPr>
      <w:r w:rsidRPr="00CB0BF6">
        <w:rPr>
          <w:rFonts w:cs="Arial"/>
        </w:rPr>
        <w:t>*</w:t>
      </w:r>
      <w:r w:rsidRPr="00CB0BF6">
        <w:rPr>
          <w:rFonts w:cs="Arial"/>
          <w:lang w:val="en-AU"/>
        </w:rPr>
        <w:t>‘</w:t>
      </w:r>
      <w:r w:rsidRPr="00CB0BF6">
        <w:rPr>
          <w:rFonts w:cs="Arial"/>
        </w:rPr>
        <w:t>Equity’ is the residual interest in assets after deduction of liabilities.</w:t>
      </w:r>
    </w:p>
    <w:p w14:paraId="6C9337B9" w14:textId="77777777" w:rsidR="009F2A20" w:rsidRPr="00CB0BF6" w:rsidRDefault="009F2A20" w:rsidP="009F2A20"/>
    <w:p w14:paraId="66CD977C" w14:textId="77777777" w:rsidR="009F2A20" w:rsidRPr="001D052A" w:rsidRDefault="009F2A20" w:rsidP="009F2A20">
      <w:pPr>
        <w:rPr>
          <w:highlight w:val="yellow"/>
        </w:rPr>
      </w:pPr>
    </w:p>
    <w:p w14:paraId="783963CF" w14:textId="77777777" w:rsidR="009F2A20" w:rsidRPr="00896BA2" w:rsidRDefault="009F2A20" w:rsidP="009F2A20">
      <w:pPr>
        <w:pStyle w:val="TableHeading"/>
        <w:rPr>
          <w:rFonts w:ascii="Times New Roman" w:hAnsi="Times New Roman"/>
        </w:rPr>
      </w:pPr>
      <w:r w:rsidRPr="001D052A">
        <w:rPr>
          <w:highlight w:val="yellow"/>
        </w:rPr>
        <w:br w:type="page"/>
      </w:r>
      <w:r w:rsidRPr="00896BA2">
        <w:t xml:space="preserve">Table 3.3: Departmental statement of changes in equity — summary of movement (Budget year </w:t>
      </w:r>
      <w:r w:rsidRPr="00896BA2">
        <w:rPr>
          <w:lang w:val="en-AU"/>
        </w:rPr>
        <w:t>2022-23</w:t>
      </w:r>
      <w:r w:rsidRPr="00896BA2">
        <w:t>)</w:t>
      </w:r>
    </w:p>
    <w:p w14:paraId="4CB6EE64" w14:textId="77777777" w:rsidR="009F2A20" w:rsidRPr="00896BA2" w:rsidRDefault="009F2A20" w:rsidP="009F2A20">
      <w:pPr>
        <w:pStyle w:val="TableGraphic"/>
      </w:pPr>
      <w:r w:rsidRPr="00896BA2">
        <w:t xml:space="preserve"> </w:t>
      </w:r>
      <w:r w:rsidR="003A7742" w:rsidRPr="003A7742">
        <w:rPr>
          <w:noProof/>
        </w:rPr>
        <w:drawing>
          <wp:inline distT="0" distB="0" distL="0" distR="0" wp14:anchorId="5E17BBF8" wp14:editId="4F93104E">
            <wp:extent cx="4818380" cy="3347720"/>
            <wp:effectExtent l="0" t="0" r="1270" b="508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18380" cy="3347720"/>
                    </a:xfrm>
                    <a:prstGeom prst="rect">
                      <a:avLst/>
                    </a:prstGeom>
                    <a:noFill/>
                    <a:ln>
                      <a:noFill/>
                    </a:ln>
                  </pic:spPr>
                </pic:pic>
              </a:graphicData>
            </a:graphic>
          </wp:inline>
        </w:drawing>
      </w:r>
    </w:p>
    <w:p w14:paraId="20E44547" w14:textId="77777777" w:rsidR="009F2A20" w:rsidRPr="00896BA2" w:rsidRDefault="009F2A20" w:rsidP="009F2A20">
      <w:pPr>
        <w:pStyle w:val="TableGraphic"/>
        <w:rPr>
          <w:rFonts w:ascii="Arial" w:hAnsi="Arial" w:cs="Arial"/>
          <w:sz w:val="16"/>
          <w:szCs w:val="16"/>
        </w:rPr>
      </w:pPr>
      <w:r w:rsidRPr="00896BA2">
        <w:rPr>
          <w:rFonts w:ascii="Arial" w:hAnsi="Arial" w:cs="Arial"/>
          <w:sz w:val="16"/>
        </w:rPr>
        <w:t>Prepared on Australian Accounting Standards basis</w:t>
      </w:r>
    </w:p>
    <w:p w14:paraId="70426B30" w14:textId="77777777" w:rsidR="009F2A20" w:rsidRPr="00896BA2" w:rsidRDefault="009F2A20" w:rsidP="009F2A20"/>
    <w:p w14:paraId="3F170BB2" w14:textId="77777777" w:rsidR="009F2A20" w:rsidRPr="007332AB" w:rsidRDefault="009F2A20" w:rsidP="009F2A20">
      <w:pPr>
        <w:pStyle w:val="TableHeading"/>
      </w:pPr>
      <w:r w:rsidRPr="00896BA2">
        <w:br w:type="page"/>
      </w:r>
      <w:r w:rsidRPr="007332AB">
        <w:t>Table 3.4: Budgeted departmental statement of cash flows (for the period ended 30 June)</w:t>
      </w:r>
    </w:p>
    <w:p w14:paraId="72287DDC" w14:textId="77777777" w:rsidR="009F2A20" w:rsidRPr="007332AB" w:rsidRDefault="003A7742" w:rsidP="009F2A20">
      <w:pPr>
        <w:pStyle w:val="TableGraphic"/>
      </w:pPr>
      <w:r w:rsidRPr="003A7742">
        <w:rPr>
          <w:noProof/>
        </w:rPr>
        <w:drawing>
          <wp:inline distT="0" distB="0" distL="0" distR="0" wp14:anchorId="57E559CD" wp14:editId="14B2E2AB">
            <wp:extent cx="4895850" cy="4834182"/>
            <wp:effectExtent l="0" t="0" r="0" b="508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895850" cy="4834182"/>
                    </a:xfrm>
                    <a:prstGeom prst="rect">
                      <a:avLst/>
                    </a:prstGeom>
                    <a:noFill/>
                    <a:ln>
                      <a:noFill/>
                    </a:ln>
                  </pic:spPr>
                </pic:pic>
              </a:graphicData>
            </a:graphic>
          </wp:inline>
        </w:drawing>
      </w:r>
    </w:p>
    <w:p w14:paraId="167144BB" w14:textId="77777777" w:rsidR="009F2A20" w:rsidRPr="007332AB" w:rsidRDefault="009F2A20" w:rsidP="009F2A20">
      <w:pPr>
        <w:pStyle w:val="TableGraphic"/>
        <w:rPr>
          <w:rFonts w:ascii="Arial" w:hAnsi="Arial" w:cs="Arial"/>
          <w:sz w:val="16"/>
          <w:szCs w:val="16"/>
        </w:rPr>
      </w:pPr>
      <w:r w:rsidRPr="007332AB">
        <w:rPr>
          <w:rFonts w:ascii="Arial" w:hAnsi="Arial" w:cs="Arial"/>
          <w:sz w:val="16"/>
          <w:szCs w:val="16"/>
        </w:rPr>
        <w:t>Prepared on Australian Accounting Standards basis.</w:t>
      </w:r>
    </w:p>
    <w:p w14:paraId="12666B50" w14:textId="77777777" w:rsidR="009F2A20" w:rsidRPr="007332AB" w:rsidRDefault="009F2A20" w:rsidP="009F2A20">
      <w:pPr>
        <w:pStyle w:val="NoSpacing"/>
        <w:rPr>
          <w:rFonts w:ascii="Arial" w:hAnsi="Arial" w:cs="Arial"/>
          <w:sz w:val="16"/>
          <w:szCs w:val="16"/>
        </w:rPr>
      </w:pPr>
    </w:p>
    <w:p w14:paraId="7E2FAA6F" w14:textId="77777777" w:rsidR="009F2A20" w:rsidRPr="007D7BDB" w:rsidRDefault="009F2A20" w:rsidP="009F2A20">
      <w:pPr>
        <w:pStyle w:val="TableHeading"/>
      </w:pPr>
      <w:r w:rsidRPr="007332AB">
        <w:br w:type="page"/>
      </w:r>
      <w:r w:rsidRPr="007D7BDB">
        <w:t>Table 3.5: Departmental capital budget statement (for the period ended 30 June)</w:t>
      </w:r>
    </w:p>
    <w:p w14:paraId="05AA6461" w14:textId="77777777" w:rsidR="009F2A20" w:rsidRPr="007D7BDB" w:rsidRDefault="0063110C" w:rsidP="009F2A20">
      <w:pPr>
        <w:pStyle w:val="TableGraphic"/>
      </w:pPr>
      <w:r w:rsidRPr="0063110C">
        <w:rPr>
          <w:noProof/>
        </w:rPr>
        <w:drawing>
          <wp:inline distT="0" distB="0" distL="0" distR="0" wp14:anchorId="2DAE81C1" wp14:editId="1AB49578">
            <wp:extent cx="4895850" cy="272574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95850" cy="2725741"/>
                    </a:xfrm>
                    <a:prstGeom prst="rect">
                      <a:avLst/>
                    </a:prstGeom>
                    <a:noFill/>
                    <a:ln>
                      <a:noFill/>
                    </a:ln>
                  </pic:spPr>
                </pic:pic>
              </a:graphicData>
            </a:graphic>
          </wp:inline>
        </w:drawing>
      </w:r>
    </w:p>
    <w:p w14:paraId="74D9A10C" w14:textId="77777777" w:rsidR="009F2A20" w:rsidRPr="007D7BDB" w:rsidRDefault="009F2A20" w:rsidP="009F2A20">
      <w:pPr>
        <w:pStyle w:val="TableGraphic"/>
        <w:rPr>
          <w:rFonts w:ascii="Arial" w:hAnsi="Arial" w:cs="Arial"/>
          <w:sz w:val="16"/>
          <w:szCs w:val="16"/>
        </w:rPr>
      </w:pPr>
      <w:r w:rsidRPr="007D7BDB">
        <w:rPr>
          <w:rFonts w:ascii="Arial" w:hAnsi="Arial" w:cs="Arial"/>
          <w:sz w:val="16"/>
          <w:szCs w:val="16"/>
        </w:rPr>
        <w:t>Prepared on Australian Accounting Standards basis.</w:t>
      </w:r>
    </w:p>
    <w:p w14:paraId="5C0431F5" w14:textId="77777777" w:rsidR="009F2A20" w:rsidRPr="007D7BDB" w:rsidRDefault="009F2A20" w:rsidP="00392A48">
      <w:pPr>
        <w:pStyle w:val="ChartandTableFootnoteAlpha"/>
        <w:numPr>
          <w:ilvl w:val="0"/>
          <w:numId w:val="155"/>
        </w:numPr>
        <w:rPr>
          <w:rFonts w:cs="Arial"/>
          <w:szCs w:val="16"/>
        </w:rPr>
      </w:pPr>
      <w:r w:rsidRPr="007D7BDB">
        <w:rPr>
          <w:rFonts w:cs="Arial"/>
          <w:szCs w:val="16"/>
        </w:rPr>
        <w:t xml:space="preserve">Includes purchases from current and previous years’ </w:t>
      </w:r>
      <w:r w:rsidR="0063110C">
        <w:rPr>
          <w:rFonts w:cs="Arial"/>
          <w:szCs w:val="16"/>
        </w:rPr>
        <w:t>DCBs</w:t>
      </w:r>
      <w:r w:rsidRPr="007D7BDB">
        <w:rPr>
          <w:rFonts w:cs="Arial"/>
          <w:szCs w:val="16"/>
        </w:rPr>
        <w:t>.</w:t>
      </w:r>
    </w:p>
    <w:p w14:paraId="27FD73B9" w14:textId="77777777" w:rsidR="009F2A20" w:rsidRPr="007D7BDB" w:rsidRDefault="009F2A20" w:rsidP="009F2A20">
      <w:pPr>
        <w:spacing w:after="0" w:line="240" w:lineRule="auto"/>
        <w:jc w:val="left"/>
      </w:pPr>
      <w:r w:rsidRPr="007D7BDB">
        <w:br w:type="page"/>
      </w:r>
    </w:p>
    <w:p w14:paraId="414D5361" w14:textId="77777777" w:rsidR="009F2A20" w:rsidRPr="003E5112" w:rsidRDefault="009F2A20" w:rsidP="009F2A20">
      <w:pPr>
        <w:pStyle w:val="NoSpacing"/>
        <w:rPr>
          <w:rFonts w:ascii="Arial" w:hAnsi="Arial"/>
          <w:b/>
          <w:color w:val="000000"/>
          <w:lang w:val="x-none" w:eastAsia="x-none"/>
        </w:rPr>
      </w:pPr>
      <w:r w:rsidRPr="003E5112">
        <w:rPr>
          <w:rFonts w:ascii="Arial" w:hAnsi="Arial"/>
          <w:b/>
          <w:color w:val="000000"/>
          <w:lang w:val="x-none" w:eastAsia="x-none"/>
        </w:rPr>
        <w:t>Table 3.6: Statement of departmental asset movements (Budget year 2022-23)</w:t>
      </w:r>
    </w:p>
    <w:p w14:paraId="4E847B8A" w14:textId="77777777" w:rsidR="009F2A20" w:rsidRPr="003E5112" w:rsidRDefault="0063110C" w:rsidP="009F2A20">
      <w:pPr>
        <w:pStyle w:val="NoSpacing"/>
      </w:pPr>
      <w:r w:rsidRPr="0063110C">
        <w:rPr>
          <w:noProof/>
        </w:rPr>
        <w:drawing>
          <wp:inline distT="0" distB="0" distL="0" distR="0" wp14:anchorId="1CD6D398" wp14:editId="78802E21">
            <wp:extent cx="4730750" cy="44291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730750" cy="4429125"/>
                    </a:xfrm>
                    <a:prstGeom prst="rect">
                      <a:avLst/>
                    </a:prstGeom>
                    <a:noFill/>
                    <a:ln>
                      <a:noFill/>
                    </a:ln>
                  </pic:spPr>
                </pic:pic>
              </a:graphicData>
            </a:graphic>
          </wp:inline>
        </w:drawing>
      </w:r>
    </w:p>
    <w:p w14:paraId="4B844C07" w14:textId="77777777" w:rsidR="009F2A20" w:rsidRPr="003E5112" w:rsidRDefault="009F2A20" w:rsidP="009F2A20">
      <w:pPr>
        <w:pStyle w:val="ChartandTableFootnote"/>
      </w:pPr>
      <w:r w:rsidRPr="003E5112">
        <w:rPr>
          <w:lang w:val="en-AU"/>
        </w:rPr>
        <w:t>P</w:t>
      </w:r>
      <w:r w:rsidRPr="003E5112">
        <w:t>repared on Australian Accounting Standards basis.</w:t>
      </w:r>
    </w:p>
    <w:p w14:paraId="2D657BCA" w14:textId="77777777" w:rsidR="009F2A20" w:rsidRPr="003E5112" w:rsidRDefault="009F2A20" w:rsidP="00392A48">
      <w:pPr>
        <w:pStyle w:val="ChartandTableFootnoteAlpha"/>
        <w:numPr>
          <w:ilvl w:val="0"/>
          <w:numId w:val="156"/>
        </w:numPr>
        <w:rPr>
          <w:rFonts w:cs="Arial"/>
          <w:szCs w:val="16"/>
        </w:rPr>
      </w:pPr>
      <w:r w:rsidRPr="003E5112">
        <w:rPr>
          <w:rFonts w:cs="Arial"/>
          <w:szCs w:val="16"/>
        </w:rPr>
        <w:t xml:space="preserve"> ‘Appropriation ordinary annual services’ refers to funding provided through Appropriation Bill (No. 1) 2022-23 for depreciation/amortisation expenses, DCBs or other operational expenses.</w:t>
      </w:r>
    </w:p>
    <w:p w14:paraId="294AC6A8" w14:textId="77777777" w:rsidR="009F2A20" w:rsidRPr="003E5112" w:rsidRDefault="009F2A20" w:rsidP="009F2A20">
      <w:pPr>
        <w:spacing w:after="0" w:line="240" w:lineRule="auto"/>
        <w:jc w:val="left"/>
      </w:pPr>
      <w:r w:rsidRPr="003E5112">
        <w:br w:type="page"/>
      </w:r>
    </w:p>
    <w:p w14:paraId="34B3DF71" w14:textId="77777777" w:rsidR="009F2A20" w:rsidRPr="003A7D9A" w:rsidRDefault="009F2A20" w:rsidP="009F2A20">
      <w:pPr>
        <w:pStyle w:val="TableHeading"/>
      </w:pPr>
      <w:r w:rsidRPr="003A7D9A">
        <w:t>Table 3.7: Schedule of budgeted income and expenses administered on behalf of Government (for the period ended 30 June)</w:t>
      </w:r>
    </w:p>
    <w:p w14:paraId="738FC5AB" w14:textId="77777777" w:rsidR="009F2A20" w:rsidRPr="003A7D9A" w:rsidRDefault="0063110C" w:rsidP="009F2A20">
      <w:pPr>
        <w:pStyle w:val="TableGraphic"/>
      </w:pPr>
      <w:r w:rsidRPr="0063110C">
        <w:rPr>
          <w:noProof/>
        </w:rPr>
        <w:drawing>
          <wp:inline distT="0" distB="0" distL="0" distR="0" wp14:anchorId="6876A5DE" wp14:editId="2AC6157C">
            <wp:extent cx="4895850" cy="3324157"/>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895850" cy="3324157"/>
                    </a:xfrm>
                    <a:prstGeom prst="rect">
                      <a:avLst/>
                    </a:prstGeom>
                    <a:noFill/>
                    <a:ln>
                      <a:noFill/>
                    </a:ln>
                  </pic:spPr>
                </pic:pic>
              </a:graphicData>
            </a:graphic>
          </wp:inline>
        </w:drawing>
      </w:r>
    </w:p>
    <w:p w14:paraId="6D9F263B" w14:textId="77777777" w:rsidR="009F2A20" w:rsidRPr="003A7D9A" w:rsidRDefault="009F2A20" w:rsidP="009F2A20">
      <w:pPr>
        <w:pStyle w:val="Source"/>
      </w:pPr>
      <w:r w:rsidRPr="003A7D9A">
        <w:t>Prepared on Australian Accounting Standards basis.</w:t>
      </w:r>
    </w:p>
    <w:p w14:paraId="0D8AA20B" w14:textId="77777777" w:rsidR="009F2A20" w:rsidRPr="003A7D9A" w:rsidRDefault="009F2A20" w:rsidP="009F2A20">
      <w:pPr>
        <w:pStyle w:val="NoSpacing"/>
      </w:pPr>
    </w:p>
    <w:p w14:paraId="1A77362C" w14:textId="77777777" w:rsidR="009F2A20" w:rsidRPr="003A7D9A" w:rsidRDefault="009F2A20" w:rsidP="009F2A20">
      <w:pPr>
        <w:spacing w:after="0" w:line="240" w:lineRule="auto"/>
        <w:jc w:val="left"/>
      </w:pPr>
      <w:r w:rsidRPr="003A7D9A">
        <w:br w:type="page"/>
      </w:r>
    </w:p>
    <w:p w14:paraId="6A65F5F9" w14:textId="77777777" w:rsidR="009F2A20" w:rsidRPr="00B85CBD" w:rsidRDefault="009F2A20" w:rsidP="009F2A20">
      <w:pPr>
        <w:pStyle w:val="TableHeading"/>
      </w:pPr>
      <w:r w:rsidRPr="00B85CBD">
        <w:t>Table 3.8: Schedule of budgeted assets and liabilities administered on behalf of Government (as at 30 June)</w:t>
      </w:r>
    </w:p>
    <w:p w14:paraId="649A2FF1" w14:textId="77777777" w:rsidR="009F2A20" w:rsidRPr="00B85CBD" w:rsidRDefault="0063110C" w:rsidP="009F2A20">
      <w:pPr>
        <w:pStyle w:val="TableGraphic"/>
        <w:rPr>
          <w:lang w:val="x-none" w:eastAsia="x-none"/>
        </w:rPr>
      </w:pPr>
      <w:r w:rsidRPr="0063110C">
        <w:rPr>
          <w:noProof/>
        </w:rPr>
        <w:drawing>
          <wp:inline distT="0" distB="0" distL="0" distR="0" wp14:anchorId="0C32F5BD" wp14:editId="1A0A1646">
            <wp:extent cx="4895850" cy="1521358"/>
            <wp:effectExtent l="0" t="0" r="0" b="31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895850" cy="1521358"/>
                    </a:xfrm>
                    <a:prstGeom prst="rect">
                      <a:avLst/>
                    </a:prstGeom>
                    <a:noFill/>
                    <a:ln>
                      <a:noFill/>
                    </a:ln>
                  </pic:spPr>
                </pic:pic>
              </a:graphicData>
            </a:graphic>
          </wp:inline>
        </w:drawing>
      </w:r>
    </w:p>
    <w:p w14:paraId="0A2E0C44" w14:textId="77777777" w:rsidR="009F2A20" w:rsidRPr="00B85CBD" w:rsidRDefault="009F2A20" w:rsidP="009F2A20">
      <w:pPr>
        <w:pStyle w:val="ChartandTableFootnote"/>
      </w:pPr>
      <w:r w:rsidRPr="00B85CBD">
        <w:t>Prepared on Australian Accounting Standards basis.</w:t>
      </w:r>
    </w:p>
    <w:p w14:paraId="23994CC5" w14:textId="77777777" w:rsidR="009F2A20" w:rsidRPr="00B85CBD" w:rsidRDefault="009F2A20" w:rsidP="009F2A20">
      <w:pPr>
        <w:pStyle w:val="SingleParagraph"/>
        <w:spacing w:line="240" w:lineRule="auto"/>
        <w:rPr>
          <w:rFonts w:ascii="Arial" w:hAnsi="Arial" w:cs="Arial"/>
          <w:sz w:val="16"/>
          <w:szCs w:val="16"/>
        </w:rPr>
      </w:pPr>
    </w:p>
    <w:p w14:paraId="4B22E0A8" w14:textId="77777777" w:rsidR="009F2A20" w:rsidRPr="00EE4CBC" w:rsidRDefault="009F2A20" w:rsidP="009F2A20">
      <w:pPr>
        <w:pStyle w:val="TableHeading"/>
      </w:pPr>
      <w:r w:rsidRPr="00B85CBD">
        <w:br w:type="page"/>
      </w:r>
      <w:r w:rsidRPr="00EE4CBC">
        <w:t>Table 3.9: Schedule of budgeted administered cash flows (for the period ended 30 June)</w:t>
      </w:r>
    </w:p>
    <w:p w14:paraId="141164A0" w14:textId="77777777" w:rsidR="009F2A20" w:rsidRPr="00EE4CBC" w:rsidRDefault="003A7742" w:rsidP="009F2A20">
      <w:pPr>
        <w:pStyle w:val="TableGraphic"/>
      </w:pPr>
      <w:r w:rsidRPr="003A7742">
        <w:rPr>
          <w:noProof/>
        </w:rPr>
        <w:drawing>
          <wp:inline distT="0" distB="0" distL="0" distR="0" wp14:anchorId="10054144" wp14:editId="34A58C45">
            <wp:extent cx="4895850" cy="4852344"/>
            <wp:effectExtent l="0" t="0" r="0" b="571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95850" cy="4852344"/>
                    </a:xfrm>
                    <a:prstGeom prst="rect">
                      <a:avLst/>
                    </a:prstGeom>
                    <a:noFill/>
                    <a:ln>
                      <a:noFill/>
                    </a:ln>
                  </pic:spPr>
                </pic:pic>
              </a:graphicData>
            </a:graphic>
          </wp:inline>
        </w:drawing>
      </w:r>
    </w:p>
    <w:p w14:paraId="7A4E0E8F" w14:textId="77777777" w:rsidR="009F2A20" w:rsidRDefault="009F2A20" w:rsidP="009F2A20">
      <w:pPr>
        <w:pStyle w:val="ChartandTableFootnote"/>
      </w:pPr>
      <w:r w:rsidRPr="00EE4CBC">
        <w:t>Prepared on Australian Accounting Standards basis.</w:t>
      </w:r>
    </w:p>
    <w:p w14:paraId="1F918C3F" w14:textId="77777777" w:rsidR="009F2A20" w:rsidRPr="000C3B86" w:rsidRDefault="009F2A20" w:rsidP="009F2A20">
      <w:pPr>
        <w:pStyle w:val="TableHeading"/>
      </w:pPr>
      <w:r>
        <w:t xml:space="preserve"> </w:t>
      </w:r>
    </w:p>
    <w:bookmarkEnd w:id="712"/>
    <w:p w14:paraId="2DBE0FF3" w14:textId="77777777" w:rsidR="006D1838" w:rsidRDefault="006D1838" w:rsidP="00A929E1">
      <w:pPr>
        <w:pStyle w:val="PartHeading"/>
        <w:sectPr w:rsidR="006D1838" w:rsidSect="00F35AB4">
          <w:headerReference w:type="default" r:id="rId344"/>
          <w:footerReference w:type="default" r:id="rId345"/>
          <w:headerReference w:type="first" r:id="rId346"/>
          <w:type w:val="oddPage"/>
          <w:pgSz w:w="11906" w:h="16838" w:code="9"/>
          <w:pgMar w:top="2835" w:right="2098" w:bottom="2466" w:left="2098" w:header="1814" w:footer="1814" w:gutter="0"/>
          <w:cols w:space="708"/>
          <w:titlePg/>
          <w:docGrid w:linePitch="360"/>
        </w:sectPr>
      </w:pPr>
    </w:p>
    <w:p w14:paraId="6F76A68E" w14:textId="77777777" w:rsidR="006D1838" w:rsidRDefault="006D1838" w:rsidP="00A929E1">
      <w:pPr>
        <w:pStyle w:val="PartHeading"/>
      </w:pPr>
    </w:p>
    <w:p w14:paraId="35E08827" w14:textId="77777777" w:rsidR="0063110C" w:rsidRDefault="0063110C" w:rsidP="00A929E1">
      <w:pPr>
        <w:pStyle w:val="PartHeading"/>
      </w:pPr>
    </w:p>
    <w:p w14:paraId="01D40FAC" w14:textId="77777777" w:rsidR="0063110C" w:rsidRDefault="0063110C">
      <w:pPr>
        <w:spacing w:after="0" w:line="240" w:lineRule="auto"/>
        <w:jc w:val="left"/>
        <w:rPr>
          <w:rFonts w:ascii="Arial Bold" w:hAnsi="Arial Bold" w:cs="Arial"/>
          <w:b/>
          <w:bCs/>
          <w:kern w:val="28"/>
          <w:sz w:val="52"/>
          <w:szCs w:val="32"/>
        </w:rPr>
      </w:pPr>
    </w:p>
    <w:p w14:paraId="3F69E23F" w14:textId="77777777" w:rsidR="0063110C" w:rsidRDefault="0063110C" w:rsidP="00A929E1">
      <w:pPr>
        <w:pStyle w:val="PartHeading"/>
      </w:pPr>
    </w:p>
    <w:p w14:paraId="5C195D89" w14:textId="77777777" w:rsidR="0063110C" w:rsidRDefault="0063110C">
      <w:pPr>
        <w:spacing w:after="0" w:line="240" w:lineRule="auto"/>
        <w:jc w:val="left"/>
        <w:rPr>
          <w:rFonts w:ascii="Arial Bold" w:hAnsi="Arial Bold" w:cs="Arial"/>
          <w:b/>
          <w:bCs/>
          <w:kern w:val="28"/>
          <w:sz w:val="52"/>
          <w:szCs w:val="32"/>
        </w:rPr>
      </w:pPr>
      <w:r>
        <w:br w:type="page"/>
      </w:r>
    </w:p>
    <w:p w14:paraId="542628A9" w14:textId="77777777" w:rsidR="00A929E1" w:rsidRPr="005A7C0B" w:rsidRDefault="00A929E1" w:rsidP="00A929E1">
      <w:pPr>
        <w:pStyle w:val="PartHeading"/>
      </w:pPr>
      <w:r>
        <w:t>Office of National Intelligence</w:t>
      </w:r>
    </w:p>
    <w:p w14:paraId="56F2B7B5" w14:textId="77777777" w:rsidR="00A929E1" w:rsidRDefault="00A929E1" w:rsidP="00A929E1">
      <w:pPr>
        <w:pStyle w:val="PartHeading"/>
      </w:pPr>
    </w:p>
    <w:p w14:paraId="387E6C34" w14:textId="77777777" w:rsidR="00A929E1" w:rsidRDefault="00A929E1" w:rsidP="00A929E1">
      <w:pPr>
        <w:pStyle w:val="PartHeading"/>
      </w:pPr>
    </w:p>
    <w:p w14:paraId="6509CB60" w14:textId="77777777" w:rsidR="00A929E1" w:rsidRDefault="00A929E1" w:rsidP="00A929E1">
      <w:pPr>
        <w:pStyle w:val="PartHeading-TOC"/>
      </w:pPr>
      <w:bookmarkStart w:id="774" w:name="_Toc98496285"/>
      <w:bookmarkStart w:id="775" w:name="_Toc98765326"/>
      <w:bookmarkStart w:id="776" w:name="_Toc99011811"/>
      <w:bookmarkStart w:id="777" w:name="_Toc99201060"/>
      <w:r>
        <w:t>Entity resources and planned performance</w:t>
      </w:r>
      <w:bookmarkEnd w:id="774"/>
      <w:bookmarkEnd w:id="775"/>
      <w:bookmarkEnd w:id="776"/>
      <w:bookmarkEnd w:id="777"/>
    </w:p>
    <w:p w14:paraId="43CBFC77" w14:textId="77777777" w:rsidR="006D1838" w:rsidRDefault="006D1838" w:rsidP="00A929E1">
      <w:pPr>
        <w:pStyle w:val="PartHeading"/>
      </w:pPr>
    </w:p>
    <w:p w14:paraId="03A12BDD" w14:textId="77777777" w:rsidR="006D1838" w:rsidRDefault="006D1838" w:rsidP="006D1838">
      <w:pPr>
        <w:rPr>
          <w:rFonts w:ascii="Arial Bold" w:hAnsi="Arial Bold" w:cs="Arial"/>
          <w:kern w:val="28"/>
          <w:sz w:val="52"/>
          <w:szCs w:val="32"/>
        </w:rPr>
      </w:pPr>
      <w:r>
        <w:br w:type="page"/>
      </w:r>
    </w:p>
    <w:p w14:paraId="591C6D76" w14:textId="77777777" w:rsidR="006D1838" w:rsidRDefault="006D1838" w:rsidP="00A929E1">
      <w:pPr>
        <w:pStyle w:val="PartHeading"/>
      </w:pPr>
    </w:p>
    <w:p w14:paraId="32A04034" w14:textId="77777777" w:rsidR="006D1838" w:rsidRDefault="006D1838" w:rsidP="006D1838">
      <w:pPr>
        <w:rPr>
          <w:rFonts w:ascii="Arial Bold" w:hAnsi="Arial Bold" w:cs="Arial"/>
          <w:kern w:val="28"/>
          <w:sz w:val="52"/>
          <w:szCs w:val="32"/>
        </w:rPr>
      </w:pPr>
      <w:r>
        <w:br w:type="page"/>
      </w:r>
    </w:p>
    <w:p w14:paraId="48CBD9CA" w14:textId="77777777" w:rsidR="00A929E1" w:rsidRDefault="00A929E1" w:rsidP="00A929E1">
      <w:pPr>
        <w:pStyle w:val="PartHeading"/>
        <w:sectPr w:rsidR="00A929E1" w:rsidSect="006D1838">
          <w:headerReference w:type="even" r:id="rId347"/>
          <w:headerReference w:type="default" r:id="rId348"/>
          <w:footerReference w:type="even" r:id="rId349"/>
          <w:footerReference w:type="default" r:id="rId350"/>
          <w:headerReference w:type="first" r:id="rId351"/>
          <w:footerReference w:type="first" r:id="rId352"/>
          <w:pgSz w:w="11906" w:h="16838" w:code="9"/>
          <w:pgMar w:top="2835" w:right="2098" w:bottom="2466" w:left="2098" w:header="1814" w:footer="1814" w:gutter="0"/>
          <w:cols w:space="708"/>
          <w:vAlign w:val="center"/>
          <w:titlePg/>
          <w:docGrid w:linePitch="360"/>
        </w:sectPr>
      </w:pPr>
    </w:p>
    <w:p w14:paraId="4F6EFE7D" w14:textId="77777777" w:rsidR="00A929E1" w:rsidRPr="002A32FD" w:rsidRDefault="00A929E1" w:rsidP="00A929E1">
      <w:pPr>
        <w:pStyle w:val="ContentsHeading"/>
      </w:pPr>
      <w:r w:rsidRPr="002A32FD">
        <w:t xml:space="preserve"> </w:t>
      </w:r>
      <w:r>
        <w:t>Office of National Intelligence</w:t>
      </w:r>
    </w:p>
    <w:p w14:paraId="7025CEA9"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39" w:history="1">
        <w:r w:rsidR="001E043E" w:rsidRPr="00F15159">
          <w:rPr>
            <w:rStyle w:val="Hyperlink"/>
            <w:noProof/>
          </w:rPr>
          <w:t>Section 1: Entity overview and resources</w:t>
        </w:r>
        <w:r w:rsidR="001E043E">
          <w:rPr>
            <w:noProof/>
            <w:webHidden/>
          </w:rPr>
          <w:tab/>
        </w:r>
        <w:r w:rsidR="001E043E">
          <w:rPr>
            <w:noProof/>
            <w:webHidden/>
          </w:rPr>
          <w:fldChar w:fldCharType="begin"/>
        </w:r>
        <w:r w:rsidR="001E043E">
          <w:rPr>
            <w:noProof/>
            <w:webHidden/>
          </w:rPr>
          <w:instrText xml:space="preserve"> PAGEREF _Toc98766439 \h </w:instrText>
        </w:r>
        <w:r w:rsidR="001E043E">
          <w:rPr>
            <w:noProof/>
            <w:webHidden/>
          </w:rPr>
        </w:r>
        <w:r w:rsidR="001E043E">
          <w:rPr>
            <w:noProof/>
            <w:webHidden/>
          </w:rPr>
          <w:fldChar w:fldCharType="separate"/>
        </w:r>
        <w:r w:rsidR="00AC2929">
          <w:rPr>
            <w:noProof/>
            <w:webHidden/>
          </w:rPr>
          <w:t>279</w:t>
        </w:r>
        <w:r w:rsidR="001E043E">
          <w:rPr>
            <w:noProof/>
            <w:webHidden/>
          </w:rPr>
          <w:fldChar w:fldCharType="end"/>
        </w:r>
      </w:hyperlink>
    </w:p>
    <w:p w14:paraId="75760DA5"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40" w:history="1">
        <w:r w:rsidR="001E043E" w:rsidRPr="00F15159">
          <w:rPr>
            <w:rStyle w:val="Hyperlink"/>
            <w:noProof/>
          </w:rPr>
          <w:t>1.1</w:t>
        </w:r>
        <w:r w:rsidR="001E043E">
          <w:rPr>
            <w:rFonts w:asciiTheme="minorHAnsi" w:eastAsiaTheme="minorEastAsia" w:hAnsiTheme="minorHAnsi" w:cstheme="minorBidi"/>
            <w:noProof/>
            <w:sz w:val="22"/>
            <w:szCs w:val="22"/>
          </w:rPr>
          <w:tab/>
        </w:r>
        <w:r w:rsidR="001E043E" w:rsidRPr="00F15159">
          <w:rPr>
            <w:rStyle w:val="Hyperlink"/>
            <w:noProof/>
          </w:rPr>
          <w:t>Strategic direction statement</w:t>
        </w:r>
        <w:r w:rsidR="001E043E">
          <w:rPr>
            <w:noProof/>
            <w:webHidden/>
          </w:rPr>
          <w:tab/>
        </w:r>
        <w:r w:rsidR="001E043E">
          <w:rPr>
            <w:noProof/>
            <w:webHidden/>
          </w:rPr>
          <w:fldChar w:fldCharType="begin"/>
        </w:r>
        <w:r w:rsidR="001E043E">
          <w:rPr>
            <w:noProof/>
            <w:webHidden/>
          </w:rPr>
          <w:instrText xml:space="preserve"> PAGEREF _Toc98766440 \h </w:instrText>
        </w:r>
        <w:r w:rsidR="001E043E">
          <w:rPr>
            <w:noProof/>
            <w:webHidden/>
          </w:rPr>
        </w:r>
        <w:r w:rsidR="001E043E">
          <w:rPr>
            <w:noProof/>
            <w:webHidden/>
          </w:rPr>
          <w:fldChar w:fldCharType="separate"/>
        </w:r>
        <w:r w:rsidR="00AC2929">
          <w:rPr>
            <w:noProof/>
            <w:webHidden/>
          </w:rPr>
          <w:t>279</w:t>
        </w:r>
        <w:r w:rsidR="001E043E">
          <w:rPr>
            <w:noProof/>
            <w:webHidden/>
          </w:rPr>
          <w:fldChar w:fldCharType="end"/>
        </w:r>
      </w:hyperlink>
    </w:p>
    <w:p w14:paraId="4CF674A4"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41" w:history="1">
        <w:r w:rsidR="001E043E" w:rsidRPr="00F15159">
          <w:rPr>
            <w:rStyle w:val="Hyperlink"/>
            <w:noProof/>
          </w:rPr>
          <w:t>1.2</w:t>
        </w:r>
        <w:r w:rsidR="001E043E">
          <w:rPr>
            <w:rFonts w:asciiTheme="minorHAnsi" w:eastAsiaTheme="minorEastAsia" w:hAnsiTheme="minorHAnsi" w:cstheme="minorBidi"/>
            <w:noProof/>
            <w:sz w:val="22"/>
            <w:szCs w:val="22"/>
          </w:rPr>
          <w:tab/>
        </w:r>
        <w:r w:rsidR="001E043E" w:rsidRPr="00F15159">
          <w:rPr>
            <w:rStyle w:val="Hyperlink"/>
            <w:noProof/>
          </w:rPr>
          <w:t>Entity resource statement</w:t>
        </w:r>
        <w:r w:rsidR="001E043E">
          <w:rPr>
            <w:noProof/>
            <w:webHidden/>
          </w:rPr>
          <w:tab/>
        </w:r>
        <w:r w:rsidR="001E043E">
          <w:rPr>
            <w:noProof/>
            <w:webHidden/>
          </w:rPr>
          <w:fldChar w:fldCharType="begin"/>
        </w:r>
        <w:r w:rsidR="001E043E">
          <w:rPr>
            <w:noProof/>
            <w:webHidden/>
          </w:rPr>
          <w:instrText xml:space="preserve"> PAGEREF _Toc98766441 \h </w:instrText>
        </w:r>
        <w:r w:rsidR="001E043E">
          <w:rPr>
            <w:noProof/>
            <w:webHidden/>
          </w:rPr>
        </w:r>
        <w:r w:rsidR="001E043E">
          <w:rPr>
            <w:noProof/>
            <w:webHidden/>
          </w:rPr>
          <w:fldChar w:fldCharType="separate"/>
        </w:r>
        <w:r w:rsidR="00AC2929">
          <w:rPr>
            <w:noProof/>
            <w:webHidden/>
          </w:rPr>
          <w:t>281</w:t>
        </w:r>
        <w:r w:rsidR="001E043E">
          <w:rPr>
            <w:noProof/>
            <w:webHidden/>
          </w:rPr>
          <w:fldChar w:fldCharType="end"/>
        </w:r>
      </w:hyperlink>
    </w:p>
    <w:p w14:paraId="25E5A19B"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42" w:history="1">
        <w:r w:rsidR="001E043E" w:rsidRPr="00F15159">
          <w:rPr>
            <w:rStyle w:val="Hyperlink"/>
            <w:noProof/>
          </w:rPr>
          <w:t>1.3</w:t>
        </w:r>
        <w:r w:rsidR="001E043E">
          <w:rPr>
            <w:rFonts w:asciiTheme="minorHAnsi" w:eastAsiaTheme="minorEastAsia" w:hAnsiTheme="minorHAnsi" w:cstheme="minorBidi"/>
            <w:noProof/>
            <w:sz w:val="22"/>
            <w:szCs w:val="22"/>
          </w:rPr>
          <w:tab/>
        </w:r>
        <w:r w:rsidR="001E043E" w:rsidRPr="00F15159">
          <w:rPr>
            <w:rStyle w:val="Hyperlink"/>
            <w:noProof/>
          </w:rPr>
          <w:t>Budget measures</w:t>
        </w:r>
        <w:r w:rsidR="001E043E">
          <w:rPr>
            <w:noProof/>
            <w:webHidden/>
          </w:rPr>
          <w:tab/>
        </w:r>
        <w:r w:rsidR="001E043E">
          <w:rPr>
            <w:noProof/>
            <w:webHidden/>
          </w:rPr>
          <w:fldChar w:fldCharType="begin"/>
        </w:r>
        <w:r w:rsidR="001E043E">
          <w:rPr>
            <w:noProof/>
            <w:webHidden/>
          </w:rPr>
          <w:instrText xml:space="preserve"> PAGEREF _Toc98766442 \h </w:instrText>
        </w:r>
        <w:r w:rsidR="001E043E">
          <w:rPr>
            <w:noProof/>
            <w:webHidden/>
          </w:rPr>
        </w:r>
        <w:r w:rsidR="001E043E">
          <w:rPr>
            <w:noProof/>
            <w:webHidden/>
          </w:rPr>
          <w:fldChar w:fldCharType="separate"/>
        </w:r>
        <w:r w:rsidR="00AC2929">
          <w:rPr>
            <w:noProof/>
            <w:webHidden/>
          </w:rPr>
          <w:t>283</w:t>
        </w:r>
        <w:r w:rsidR="001E043E">
          <w:rPr>
            <w:noProof/>
            <w:webHidden/>
          </w:rPr>
          <w:fldChar w:fldCharType="end"/>
        </w:r>
      </w:hyperlink>
    </w:p>
    <w:p w14:paraId="75756B9B"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43" w:history="1">
        <w:r w:rsidR="001E043E" w:rsidRPr="00F15159">
          <w:rPr>
            <w:rStyle w:val="Hyperlink"/>
            <w:noProof/>
          </w:rPr>
          <w:t>Section 2: Outcomes and planned performance</w:t>
        </w:r>
        <w:r w:rsidR="001E043E">
          <w:rPr>
            <w:noProof/>
            <w:webHidden/>
          </w:rPr>
          <w:tab/>
        </w:r>
        <w:r w:rsidR="001E043E">
          <w:rPr>
            <w:noProof/>
            <w:webHidden/>
          </w:rPr>
          <w:fldChar w:fldCharType="begin"/>
        </w:r>
        <w:r w:rsidR="001E043E">
          <w:rPr>
            <w:noProof/>
            <w:webHidden/>
          </w:rPr>
          <w:instrText xml:space="preserve"> PAGEREF _Toc98766443 \h </w:instrText>
        </w:r>
        <w:r w:rsidR="001E043E">
          <w:rPr>
            <w:noProof/>
            <w:webHidden/>
          </w:rPr>
        </w:r>
        <w:r w:rsidR="001E043E">
          <w:rPr>
            <w:noProof/>
            <w:webHidden/>
          </w:rPr>
          <w:fldChar w:fldCharType="separate"/>
        </w:r>
        <w:r w:rsidR="00AC2929">
          <w:rPr>
            <w:noProof/>
            <w:webHidden/>
          </w:rPr>
          <w:t>284</w:t>
        </w:r>
        <w:r w:rsidR="001E043E">
          <w:rPr>
            <w:noProof/>
            <w:webHidden/>
          </w:rPr>
          <w:fldChar w:fldCharType="end"/>
        </w:r>
      </w:hyperlink>
    </w:p>
    <w:p w14:paraId="34AE1145"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44" w:history="1">
        <w:r w:rsidR="001E043E" w:rsidRPr="00F15159">
          <w:rPr>
            <w:rStyle w:val="Hyperlink"/>
            <w:noProof/>
          </w:rPr>
          <w:t xml:space="preserve">2.1 </w:t>
        </w:r>
        <w:r w:rsidR="001E043E">
          <w:rPr>
            <w:rFonts w:asciiTheme="minorHAnsi" w:eastAsiaTheme="minorEastAsia" w:hAnsiTheme="minorHAnsi" w:cstheme="minorBidi"/>
            <w:noProof/>
            <w:sz w:val="22"/>
            <w:szCs w:val="22"/>
          </w:rPr>
          <w:tab/>
        </w:r>
        <w:r w:rsidR="001E043E" w:rsidRPr="00F15159">
          <w:rPr>
            <w:rStyle w:val="Hyperlink"/>
            <w:noProof/>
          </w:rPr>
          <w:t>Budgeted expenses and performance for Outcome 1</w:t>
        </w:r>
        <w:r w:rsidR="001E043E">
          <w:rPr>
            <w:noProof/>
            <w:webHidden/>
          </w:rPr>
          <w:tab/>
        </w:r>
        <w:r w:rsidR="001E043E">
          <w:rPr>
            <w:noProof/>
            <w:webHidden/>
          </w:rPr>
          <w:fldChar w:fldCharType="begin"/>
        </w:r>
        <w:r w:rsidR="001E043E">
          <w:rPr>
            <w:noProof/>
            <w:webHidden/>
          </w:rPr>
          <w:instrText xml:space="preserve"> PAGEREF _Toc98766444 \h </w:instrText>
        </w:r>
        <w:r w:rsidR="001E043E">
          <w:rPr>
            <w:noProof/>
            <w:webHidden/>
          </w:rPr>
        </w:r>
        <w:r w:rsidR="001E043E">
          <w:rPr>
            <w:noProof/>
            <w:webHidden/>
          </w:rPr>
          <w:fldChar w:fldCharType="separate"/>
        </w:r>
        <w:r w:rsidR="00AC2929">
          <w:rPr>
            <w:noProof/>
            <w:webHidden/>
          </w:rPr>
          <w:t>285</w:t>
        </w:r>
        <w:r w:rsidR="001E043E">
          <w:rPr>
            <w:noProof/>
            <w:webHidden/>
          </w:rPr>
          <w:fldChar w:fldCharType="end"/>
        </w:r>
      </w:hyperlink>
    </w:p>
    <w:p w14:paraId="14D95691"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45" w:history="1">
        <w:r w:rsidR="001E043E" w:rsidRPr="00F15159">
          <w:rPr>
            <w:rStyle w:val="Hyperlink"/>
            <w:noProof/>
          </w:rPr>
          <w:t>Section 3: Budgeted financial statements</w:t>
        </w:r>
        <w:r w:rsidR="001E043E">
          <w:rPr>
            <w:noProof/>
            <w:webHidden/>
          </w:rPr>
          <w:tab/>
        </w:r>
        <w:r w:rsidR="001E043E">
          <w:rPr>
            <w:noProof/>
            <w:webHidden/>
          </w:rPr>
          <w:fldChar w:fldCharType="begin"/>
        </w:r>
        <w:r w:rsidR="001E043E">
          <w:rPr>
            <w:noProof/>
            <w:webHidden/>
          </w:rPr>
          <w:instrText xml:space="preserve"> PAGEREF _Toc98766445 \h </w:instrText>
        </w:r>
        <w:r w:rsidR="001E043E">
          <w:rPr>
            <w:noProof/>
            <w:webHidden/>
          </w:rPr>
        </w:r>
        <w:r w:rsidR="001E043E">
          <w:rPr>
            <w:noProof/>
            <w:webHidden/>
          </w:rPr>
          <w:fldChar w:fldCharType="separate"/>
        </w:r>
        <w:r w:rsidR="00AC2929">
          <w:rPr>
            <w:noProof/>
            <w:webHidden/>
          </w:rPr>
          <w:t>287</w:t>
        </w:r>
        <w:r w:rsidR="001E043E">
          <w:rPr>
            <w:noProof/>
            <w:webHidden/>
          </w:rPr>
          <w:fldChar w:fldCharType="end"/>
        </w:r>
      </w:hyperlink>
    </w:p>
    <w:p w14:paraId="70DAABA0"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46" w:history="1">
        <w:r w:rsidR="001E043E" w:rsidRPr="00F15159">
          <w:rPr>
            <w:rStyle w:val="Hyperlink"/>
            <w:noProof/>
          </w:rPr>
          <w:t>3.1</w:t>
        </w:r>
        <w:r w:rsidR="001E043E">
          <w:rPr>
            <w:rFonts w:asciiTheme="minorHAnsi" w:eastAsiaTheme="minorEastAsia" w:hAnsiTheme="minorHAnsi" w:cstheme="minorBidi"/>
            <w:noProof/>
            <w:sz w:val="22"/>
            <w:szCs w:val="22"/>
          </w:rPr>
          <w:tab/>
        </w:r>
        <w:r w:rsidR="001E043E" w:rsidRPr="00F15159">
          <w:rPr>
            <w:rStyle w:val="Hyperlink"/>
            <w:noProof/>
          </w:rPr>
          <w:t>Budgeted financial statements</w:t>
        </w:r>
        <w:r w:rsidR="001E043E">
          <w:rPr>
            <w:noProof/>
            <w:webHidden/>
          </w:rPr>
          <w:tab/>
        </w:r>
        <w:r w:rsidR="001E043E">
          <w:rPr>
            <w:noProof/>
            <w:webHidden/>
          </w:rPr>
          <w:fldChar w:fldCharType="begin"/>
        </w:r>
        <w:r w:rsidR="001E043E">
          <w:rPr>
            <w:noProof/>
            <w:webHidden/>
          </w:rPr>
          <w:instrText xml:space="preserve"> PAGEREF _Toc98766446 \h </w:instrText>
        </w:r>
        <w:r w:rsidR="001E043E">
          <w:rPr>
            <w:noProof/>
            <w:webHidden/>
          </w:rPr>
        </w:r>
        <w:r w:rsidR="001E043E">
          <w:rPr>
            <w:noProof/>
            <w:webHidden/>
          </w:rPr>
          <w:fldChar w:fldCharType="separate"/>
        </w:r>
        <w:r w:rsidR="00AC2929">
          <w:rPr>
            <w:noProof/>
            <w:webHidden/>
          </w:rPr>
          <w:t>287</w:t>
        </w:r>
        <w:r w:rsidR="001E043E">
          <w:rPr>
            <w:noProof/>
            <w:webHidden/>
          </w:rPr>
          <w:fldChar w:fldCharType="end"/>
        </w:r>
      </w:hyperlink>
    </w:p>
    <w:p w14:paraId="0FF706C0" w14:textId="77777777" w:rsidR="00A929E1" w:rsidRDefault="00A929E1" w:rsidP="00A929E1">
      <w:pPr>
        <w:pStyle w:val="TOC1"/>
      </w:pPr>
    </w:p>
    <w:p w14:paraId="12CA9D57" w14:textId="77777777" w:rsidR="00A929E1" w:rsidRPr="008B5AFD" w:rsidRDefault="00A929E1" w:rsidP="00A929E1"/>
    <w:p w14:paraId="0202BED1" w14:textId="77777777" w:rsidR="006D1838" w:rsidRDefault="006D1838" w:rsidP="00A929E1"/>
    <w:p w14:paraId="3E5F11D9" w14:textId="77777777" w:rsidR="006D1838" w:rsidRDefault="006D1838">
      <w:pPr>
        <w:spacing w:after="0" w:line="240" w:lineRule="auto"/>
        <w:jc w:val="left"/>
      </w:pPr>
      <w:r>
        <w:br w:type="page"/>
      </w:r>
    </w:p>
    <w:p w14:paraId="603C74F8" w14:textId="77777777" w:rsidR="006D1838" w:rsidRDefault="006D1838" w:rsidP="00A929E1"/>
    <w:p w14:paraId="0A603559" w14:textId="77777777" w:rsidR="006D1838" w:rsidRDefault="006D1838">
      <w:pPr>
        <w:spacing w:after="0" w:line="240" w:lineRule="auto"/>
        <w:jc w:val="left"/>
      </w:pPr>
      <w:r>
        <w:br w:type="page"/>
      </w:r>
    </w:p>
    <w:p w14:paraId="27EB5659" w14:textId="77777777" w:rsidR="00A929E1" w:rsidRDefault="00A929E1" w:rsidP="00A929E1">
      <w:pPr>
        <w:sectPr w:rsidR="00A929E1" w:rsidSect="00782467">
          <w:headerReference w:type="even" r:id="rId353"/>
          <w:headerReference w:type="default" r:id="rId354"/>
          <w:footerReference w:type="even" r:id="rId355"/>
          <w:footerReference w:type="default" r:id="rId356"/>
          <w:headerReference w:type="first" r:id="rId357"/>
          <w:footerReference w:type="first" r:id="rId358"/>
          <w:type w:val="oddPage"/>
          <w:pgSz w:w="11906" w:h="16838" w:code="9"/>
          <w:pgMar w:top="2835" w:right="2098" w:bottom="2466" w:left="2098" w:header="1814" w:footer="1814" w:gutter="0"/>
          <w:cols w:space="708"/>
          <w:titlePg/>
          <w:docGrid w:linePitch="360"/>
        </w:sectPr>
      </w:pPr>
    </w:p>
    <w:p w14:paraId="0A5C64F5" w14:textId="77777777" w:rsidR="00A929E1" w:rsidRDefault="00A929E1" w:rsidP="00A929E1">
      <w:pPr>
        <w:pStyle w:val="Heading1"/>
      </w:pPr>
      <w:bookmarkStart w:id="778" w:name="_Toc99201061"/>
      <w:r>
        <w:t>Office of National Intelligence</w:t>
      </w:r>
      <w:bookmarkEnd w:id="778"/>
    </w:p>
    <w:p w14:paraId="1599CF91" w14:textId="77777777" w:rsidR="00A929E1" w:rsidRPr="002C4D41" w:rsidRDefault="00A929E1" w:rsidP="00A929E1">
      <w:pPr>
        <w:pStyle w:val="Heading2"/>
      </w:pPr>
      <w:bookmarkStart w:id="779" w:name="_Toc98242978"/>
      <w:bookmarkStart w:id="780" w:name="_Toc98766439"/>
      <w:bookmarkStart w:id="781" w:name="_Toc98856174"/>
      <w:bookmarkStart w:id="782" w:name="_Toc98932926"/>
      <w:bookmarkStart w:id="783" w:name="_Toc99008182"/>
      <w:bookmarkStart w:id="784" w:name="_Toc99009544"/>
      <w:bookmarkStart w:id="785" w:name="_Toc99010772"/>
      <w:bookmarkStart w:id="786" w:name="_Toc99014007"/>
      <w:bookmarkStart w:id="787" w:name="_Toc99187583"/>
      <w:bookmarkStart w:id="788" w:name="_Toc99269705"/>
      <w:r w:rsidRPr="002C4D41">
        <w:t xml:space="preserve">Section 1: Entity overview and </w:t>
      </w:r>
      <w:r>
        <w:t>reso</w:t>
      </w:r>
      <w:r w:rsidRPr="002C4D41">
        <w:t>urces</w:t>
      </w:r>
      <w:bookmarkEnd w:id="779"/>
      <w:bookmarkEnd w:id="780"/>
      <w:bookmarkEnd w:id="781"/>
      <w:bookmarkEnd w:id="782"/>
      <w:bookmarkEnd w:id="783"/>
      <w:bookmarkEnd w:id="784"/>
      <w:bookmarkEnd w:id="785"/>
      <w:bookmarkEnd w:id="786"/>
      <w:bookmarkEnd w:id="787"/>
      <w:bookmarkEnd w:id="788"/>
    </w:p>
    <w:p w14:paraId="48BCA8DE" w14:textId="77777777" w:rsidR="00A929E1" w:rsidRDefault="00A929E1" w:rsidP="00A929E1">
      <w:pPr>
        <w:pStyle w:val="Heading3"/>
      </w:pPr>
      <w:bookmarkStart w:id="789" w:name="_Toc98242979"/>
      <w:bookmarkStart w:id="790" w:name="_Toc98766440"/>
      <w:bookmarkStart w:id="791" w:name="_Toc98856175"/>
      <w:bookmarkStart w:id="792" w:name="_Toc98932927"/>
      <w:bookmarkStart w:id="793" w:name="_Toc99008183"/>
      <w:bookmarkStart w:id="794" w:name="_Toc99009545"/>
      <w:bookmarkStart w:id="795" w:name="_Toc99010773"/>
      <w:bookmarkStart w:id="796" w:name="_Toc99014008"/>
      <w:bookmarkStart w:id="797" w:name="_Toc99187584"/>
      <w:bookmarkStart w:id="798" w:name="_Toc99269706"/>
      <w:r>
        <w:t>1.1</w:t>
      </w:r>
      <w:r>
        <w:tab/>
        <w:t>Strategic direction statement</w:t>
      </w:r>
      <w:bookmarkEnd w:id="789"/>
      <w:bookmarkEnd w:id="790"/>
      <w:bookmarkEnd w:id="791"/>
      <w:bookmarkEnd w:id="792"/>
      <w:bookmarkEnd w:id="793"/>
      <w:bookmarkEnd w:id="794"/>
      <w:bookmarkEnd w:id="795"/>
      <w:bookmarkEnd w:id="796"/>
      <w:bookmarkEnd w:id="797"/>
      <w:bookmarkEnd w:id="798"/>
    </w:p>
    <w:p w14:paraId="08A73986" w14:textId="77777777" w:rsidR="00A929E1" w:rsidRDefault="00A929E1" w:rsidP="00A929E1">
      <w:r>
        <w:t xml:space="preserve">The Office of National Intelligence (ONI) is an independent statutory authority within the Prime Minister and Cabinet portfolio and reports directly to the Prime Minister. ONI was established by the </w:t>
      </w:r>
      <w:r w:rsidRPr="001536B4">
        <w:rPr>
          <w:i/>
        </w:rPr>
        <w:t>Office of National Intelligence Act 2018</w:t>
      </w:r>
      <w:r w:rsidR="00CA41DD">
        <w:t xml:space="preserve"> in December </w:t>
      </w:r>
      <w:r>
        <w:t xml:space="preserve">2018, subsuming the functions of the former Office of National Assessments. </w:t>
      </w:r>
    </w:p>
    <w:p w14:paraId="12567A3D" w14:textId="77777777" w:rsidR="00A929E1" w:rsidRDefault="00A929E1" w:rsidP="00A929E1">
      <w:r>
        <w:t>ONI positions the Australian Government to respond to a changing and complex environment through the provision of intelligence assessments and collection of open source information. In parallel with this, ONI is responsible for enterprise-level management of the National Intelligence Community (NIC) and ensures a single point of accountability to the Prime Minister and National Security Committee of Cabinet on intelligence matters.</w:t>
      </w:r>
    </w:p>
    <w:p w14:paraId="1A9C1E40" w14:textId="77777777" w:rsidR="00A929E1" w:rsidRPr="00FB4258" w:rsidRDefault="00A929E1" w:rsidP="00A929E1">
      <w:pPr>
        <w:rPr>
          <w:b/>
        </w:rPr>
      </w:pPr>
      <w:r w:rsidRPr="00FB4258">
        <w:rPr>
          <w:b/>
        </w:rPr>
        <w:t>All-source assessment</w:t>
      </w:r>
    </w:p>
    <w:p w14:paraId="7241378B" w14:textId="77777777" w:rsidR="00A929E1" w:rsidRDefault="00A929E1" w:rsidP="00A929E1">
      <w:r>
        <w:t xml:space="preserve">ONI’s intelligence assessment function – drawing on all sources – seeks to provide the Australian Government with a decision-making advantage by helping it to interpret developments across the world. ONI’s assessment remit also extends to matters of political, strategic or economic significance to Australia without an international aspect, in support of ONI’s other functions and to complement the work of other NIC agencies. </w:t>
      </w:r>
    </w:p>
    <w:p w14:paraId="4AFCB579" w14:textId="77777777" w:rsidR="00A929E1" w:rsidRDefault="00A929E1" w:rsidP="00A929E1">
      <w:r>
        <w:t xml:space="preserve">ONI’s success in delivering impactful assessments hinges on its ability to access, understand and interpret intelligence – and publicly available information – and to identify, analyse and communicate meaning effectively. ONI’s assessment function continues to evolve to meet </w:t>
      </w:r>
      <w:r w:rsidR="00D7701E">
        <w:t>the Government’s</w:t>
      </w:r>
      <w:r>
        <w:t xml:space="preserve"> requirements and improve its responsiveness to the needs of the Prime Minister and other key policy customers.</w:t>
      </w:r>
    </w:p>
    <w:p w14:paraId="5BCAC509" w14:textId="77777777" w:rsidR="00A929E1" w:rsidRPr="00FB4258" w:rsidRDefault="00A929E1" w:rsidP="00A929E1">
      <w:pPr>
        <w:rPr>
          <w:b/>
        </w:rPr>
      </w:pPr>
      <w:r w:rsidRPr="00FB4258">
        <w:rPr>
          <w:b/>
        </w:rPr>
        <w:t>Enterprise Management</w:t>
      </w:r>
    </w:p>
    <w:p w14:paraId="0CF5E18F" w14:textId="77777777" w:rsidR="00A929E1" w:rsidRDefault="00A929E1" w:rsidP="00A929E1">
      <w:r>
        <w:t>ONI is responsible for leading the NIC, with a focus on promoting the integration of the community. ONI’s goal is to ensure Australia has an agile, joined-up intelligence enterprise that will meet the challenges of Australia’s evolving security environment. To achieve this, ONI has a broad coordination, eval</w:t>
      </w:r>
      <w:r w:rsidR="00D7701E">
        <w:t>uation and prioritisation remit,</w:t>
      </w:r>
      <w:r>
        <w:t xml:space="preserve"> this includes overseeing the mechanism that sets and implements Australia’s intelligence priorities, as well as being accountable for evaluating the NIC’s performance against these priorities. </w:t>
      </w:r>
    </w:p>
    <w:p w14:paraId="4FDAE505" w14:textId="77777777" w:rsidR="00A929E1" w:rsidRDefault="00A929E1" w:rsidP="00F35AB4">
      <w:pPr>
        <w:keepLines/>
      </w:pPr>
      <w:r>
        <w:t>Another key element of ONI’s enterprise leadership function is addressing the NIC’s future capability requirements by developing and coordinating capability funding proposals. ONI is also responsible for NIC governance structures and strategic workforce planning for the community, coordinating foreign intelligence engagement and integrating key intelligence missions across the NIC.</w:t>
      </w:r>
    </w:p>
    <w:p w14:paraId="1B90C1E4" w14:textId="77777777" w:rsidR="00A929E1" w:rsidRPr="00FB4258" w:rsidRDefault="00A929E1" w:rsidP="00A929E1">
      <w:pPr>
        <w:rPr>
          <w:b/>
        </w:rPr>
      </w:pPr>
      <w:r w:rsidRPr="00FB4258">
        <w:rPr>
          <w:b/>
        </w:rPr>
        <w:t>Advisory functions</w:t>
      </w:r>
    </w:p>
    <w:p w14:paraId="1B6B0FD6" w14:textId="77777777" w:rsidR="00A929E1" w:rsidRDefault="00A929E1" w:rsidP="00A929E1">
      <w:r>
        <w:t>The Director-General of National Intelligence is the principal advisor to the Prime Minister on intelligence matters, which includes providing advice on intelligence collection and assessment priorities, NIC intelligence capabilities, the allocation of responsibility for intelligence collection across the NIC, as well as matters relating to the NIC more generally.</w:t>
      </w:r>
    </w:p>
    <w:p w14:paraId="754B4D92" w14:textId="77777777" w:rsidR="00A929E1" w:rsidRDefault="00A929E1" w:rsidP="00A929E1">
      <w:r>
        <w:t>ONI seeks to achieve outcomes for government by employing highly capable staff to prosecute the agency’s various intelligence missions. ONI’s people are underpinned by other core capabilities, in particular robust information, intelligence and knowledge management processes, and relationships with intelligence partners – both domestic and international.</w:t>
      </w:r>
    </w:p>
    <w:p w14:paraId="64EBC928" w14:textId="77777777" w:rsidR="00A929E1" w:rsidRDefault="00A929E1" w:rsidP="00A929E1">
      <w:pPr>
        <w:spacing w:after="120"/>
      </w:pPr>
      <w:r>
        <w:t>Although ONI is mandated and resourced to perform its various functions, there are factors and trends – external and beyond the agency’s control – that provide the broader context for ONI’s work and impact on ONI’s ability to achieve its purpose. These broadly include:</w:t>
      </w:r>
    </w:p>
    <w:p w14:paraId="4490EBC2" w14:textId="77777777" w:rsidR="00A929E1" w:rsidRDefault="00A929E1" w:rsidP="00A929E1">
      <w:pPr>
        <w:pStyle w:val="BoxBullet"/>
        <w:spacing w:after="60"/>
        <w:ind w:left="284" w:hanging="284"/>
      </w:pPr>
      <w:r>
        <w:t>political, economic and strategic shifts in international circumstances;</w:t>
      </w:r>
    </w:p>
    <w:p w14:paraId="06B13E5B" w14:textId="77777777" w:rsidR="00A929E1" w:rsidRDefault="00A929E1" w:rsidP="00A929E1">
      <w:pPr>
        <w:pStyle w:val="BoxBullet"/>
        <w:spacing w:after="60"/>
        <w:ind w:left="284" w:hanging="284"/>
      </w:pPr>
      <w:r>
        <w:t>evolutions in ONI’s operating environment domestically;</w:t>
      </w:r>
    </w:p>
    <w:p w14:paraId="58B1EA78" w14:textId="77777777" w:rsidR="00A929E1" w:rsidRDefault="00A929E1" w:rsidP="00A929E1">
      <w:pPr>
        <w:pStyle w:val="BoxBullet"/>
        <w:spacing w:after="60"/>
        <w:ind w:left="284" w:hanging="284"/>
      </w:pPr>
      <w:r>
        <w:t>an expanding customer base that is asking more of both ONI and the broader NIC; and</w:t>
      </w:r>
    </w:p>
    <w:p w14:paraId="3C7CED63" w14:textId="77777777" w:rsidR="00A929E1" w:rsidRDefault="00A929E1" w:rsidP="00A929E1">
      <w:pPr>
        <w:pStyle w:val="BoxBullet"/>
        <w:ind w:left="284" w:hanging="284"/>
      </w:pPr>
      <w:r>
        <w:t>a rapidly growing and diversifying information environment.</w:t>
      </w:r>
    </w:p>
    <w:p w14:paraId="1FABC91B" w14:textId="77777777" w:rsidR="00A929E1" w:rsidRDefault="00A929E1" w:rsidP="00A929E1">
      <w:r>
        <w:t>ONI’s strategic risks – those that relate to the fulfilment of its purpose – are mitigated in part by a robust risk management framework and its internal governance framework.</w:t>
      </w:r>
    </w:p>
    <w:p w14:paraId="1C4ED7FE" w14:textId="77777777" w:rsidR="00A929E1" w:rsidRDefault="00A929E1" w:rsidP="00A929E1"/>
    <w:p w14:paraId="17C0F42E" w14:textId="77777777" w:rsidR="00A929E1" w:rsidRDefault="00A929E1" w:rsidP="00A929E1">
      <w:pPr>
        <w:pStyle w:val="Heading3"/>
      </w:pPr>
      <w:r w:rsidRPr="0079797F">
        <w:br w:type="page"/>
      </w:r>
      <w:bookmarkStart w:id="799" w:name="_Toc98242980"/>
      <w:bookmarkStart w:id="800" w:name="_Toc98766441"/>
      <w:bookmarkStart w:id="801" w:name="_Toc98856176"/>
      <w:bookmarkStart w:id="802" w:name="_Toc98932928"/>
      <w:bookmarkStart w:id="803" w:name="_Toc99008184"/>
      <w:bookmarkStart w:id="804" w:name="_Toc99009546"/>
      <w:bookmarkStart w:id="805" w:name="_Toc99010774"/>
      <w:bookmarkStart w:id="806" w:name="_Toc99014009"/>
      <w:bookmarkStart w:id="807" w:name="_Toc99187585"/>
      <w:bookmarkStart w:id="808" w:name="_Toc99269707"/>
      <w:r>
        <w:t>1.2</w:t>
      </w:r>
      <w:r>
        <w:tab/>
        <w:t>Entity resource statement</w:t>
      </w:r>
      <w:bookmarkEnd w:id="799"/>
      <w:bookmarkEnd w:id="800"/>
      <w:bookmarkEnd w:id="801"/>
      <w:bookmarkEnd w:id="802"/>
      <w:bookmarkEnd w:id="803"/>
      <w:bookmarkEnd w:id="804"/>
      <w:bookmarkEnd w:id="805"/>
      <w:bookmarkEnd w:id="806"/>
      <w:bookmarkEnd w:id="807"/>
      <w:bookmarkEnd w:id="808"/>
    </w:p>
    <w:p w14:paraId="6064586F" w14:textId="77777777" w:rsidR="00A929E1" w:rsidRDefault="00A929E1" w:rsidP="00A929E1">
      <w:r>
        <w:t xml:space="preserve">Table 1.1 shows the total funding from all sources available to </w:t>
      </w:r>
      <w:r w:rsidR="00D7701E">
        <w:t>ONI</w:t>
      </w:r>
      <w:r>
        <w:t xml:space="preserve"> for its operations and to deliver programs and services on behalf of the Government.</w:t>
      </w:r>
    </w:p>
    <w:p w14:paraId="04A17E5C" w14:textId="77777777" w:rsidR="00A929E1" w:rsidRDefault="00A929E1" w:rsidP="00A929E1">
      <w:r>
        <w:t>The table summarises how resources will be applied by outcome (government strategic policy objectives) and by administered (on behalf of the Government or the public) and departmental (for the entity’s operations) classification.</w:t>
      </w:r>
    </w:p>
    <w:p w14:paraId="42792F57" w14:textId="77777777" w:rsidR="00A929E1" w:rsidRDefault="00A929E1" w:rsidP="00A929E1">
      <w:r>
        <w:t xml:space="preserve">For more detailed information on special accounts and special appropriations, please refer to </w:t>
      </w:r>
      <w:r w:rsidRPr="00D7701E">
        <w:t>Budget Paper No. 4 – Agency Resourcing.</w:t>
      </w:r>
    </w:p>
    <w:p w14:paraId="3E1A04FB" w14:textId="77777777" w:rsidR="00F35AB4" w:rsidRDefault="00A929E1" w:rsidP="00A929E1">
      <w:r>
        <w:t xml:space="preserve">Information in this table is presented on a resourcing (that is, appropriations/cash available) basis, </w:t>
      </w:r>
      <w:r w:rsidR="00D7701E">
        <w:t>while</w:t>
      </w:r>
      <w:r>
        <w:t xml:space="preserve"> the ‘Budgeted expenses by Outcome 1’ tables in Section 2 and the financial statements in Section 3 are presented on an accrual basis.</w:t>
      </w:r>
    </w:p>
    <w:p w14:paraId="073DEC00" w14:textId="77777777" w:rsidR="00F35AB4" w:rsidRDefault="00F35AB4">
      <w:pPr>
        <w:spacing w:after="0" w:line="240" w:lineRule="auto"/>
        <w:jc w:val="left"/>
      </w:pPr>
      <w:r>
        <w:br w:type="page"/>
      </w:r>
    </w:p>
    <w:p w14:paraId="6D93752B" w14:textId="77777777" w:rsidR="00A929E1" w:rsidRPr="00FE1091" w:rsidRDefault="00A929E1" w:rsidP="00A929E1">
      <w:pPr>
        <w:pStyle w:val="TableHeading"/>
        <w:rPr>
          <w:b w:val="0"/>
          <w:lang w:val="en-AU"/>
        </w:rPr>
      </w:pPr>
      <w:r w:rsidRPr="00D44150">
        <w:t xml:space="preserve">Table 1.1: </w:t>
      </w:r>
      <w:r>
        <w:rPr>
          <w:lang w:val="en-AU"/>
        </w:rPr>
        <w:t>ONI</w:t>
      </w:r>
      <w:r w:rsidRPr="00D44150">
        <w:t xml:space="preserve"> resource statement</w:t>
      </w:r>
      <w:r>
        <w:t xml:space="preserve"> — Budget 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4D02E32A" w14:textId="77777777" w:rsidR="00A929E1" w:rsidRPr="00CB2844" w:rsidRDefault="006D0B28" w:rsidP="00A929E1">
      <w:pPr>
        <w:pStyle w:val="ChartandTableFootnote"/>
      </w:pPr>
      <w:r w:rsidRPr="006D0B28">
        <w:rPr>
          <w:noProof/>
          <w:lang w:val="en-AU" w:eastAsia="en-AU"/>
        </w:rPr>
        <w:drawing>
          <wp:inline distT="0" distB="0" distL="0" distR="0" wp14:anchorId="4E03003E" wp14:editId="642D27CF">
            <wp:extent cx="4895850" cy="3147766"/>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895850" cy="3147766"/>
                    </a:xfrm>
                    <a:prstGeom prst="rect">
                      <a:avLst/>
                    </a:prstGeom>
                    <a:noFill/>
                    <a:ln>
                      <a:noFill/>
                    </a:ln>
                  </pic:spPr>
                </pic:pic>
              </a:graphicData>
            </a:graphic>
          </wp:inline>
        </w:drawing>
      </w:r>
      <w:r w:rsidR="00A929E1" w:rsidRPr="00696AA8">
        <w:t>All figures shown above are GST exclusive - these may not match figures in the cash flow statement.</w:t>
      </w:r>
    </w:p>
    <w:p w14:paraId="02D19582" w14:textId="77777777" w:rsidR="00A929E1" w:rsidRDefault="00A929E1" w:rsidP="00A929E1">
      <w:pPr>
        <w:pStyle w:val="ChartandTableFootnote"/>
      </w:pPr>
      <w:r>
        <w:t>Prepared on a resourcing (</w:t>
      </w:r>
      <w:r>
        <w:rPr>
          <w:lang w:val="en-AU"/>
        </w:rPr>
        <w:t>that is,</w:t>
      </w:r>
      <w:r>
        <w:t xml:space="preserve"> appropriations available) basis.</w:t>
      </w:r>
    </w:p>
    <w:p w14:paraId="3D614823" w14:textId="77777777" w:rsidR="006D0B28" w:rsidRPr="006D0B28" w:rsidRDefault="006D0B28" w:rsidP="00A12D45">
      <w:pPr>
        <w:pStyle w:val="ChartandTableFootnoteAlpha"/>
        <w:numPr>
          <w:ilvl w:val="0"/>
          <w:numId w:val="137"/>
        </w:numPr>
      </w:pPr>
      <w:r w:rsidRPr="006D0B28">
        <w:rPr>
          <w:color w:val="000000"/>
        </w:rPr>
        <w:t xml:space="preserve">Annual appropriation amounts appearing for 2021-22 estimated actuals exclude </w:t>
      </w:r>
      <w:r w:rsidR="00D14E09" w:rsidRPr="006D0B28">
        <w:rPr>
          <w:color w:val="000000"/>
        </w:rPr>
        <w:t>$1.8</w:t>
      </w:r>
      <w:r w:rsidR="00A929E1" w:rsidRPr="006D0B28">
        <w:rPr>
          <w:color w:val="000000"/>
        </w:rPr>
        <w:t xml:space="preserve"> million </w:t>
      </w:r>
      <w:r w:rsidR="00D100DA">
        <w:rPr>
          <w:color w:val="000000"/>
        </w:rPr>
        <w:t>in 2021</w:t>
      </w:r>
      <w:r w:rsidR="00D100DA">
        <w:rPr>
          <w:color w:val="000000"/>
        </w:rPr>
        <w:noBreakHyphen/>
        <w:t>22 </w:t>
      </w:r>
      <w:r w:rsidR="00A929E1" w:rsidRPr="006D0B28">
        <w:rPr>
          <w:color w:val="000000"/>
        </w:rPr>
        <w:t xml:space="preserve">Appropriation Bill </w:t>
      </w:r>
      <w:r w:rsidR="00D7701E" w:rsidRPr="006D0B28">
        <w:rPr>
          <w:color w:val="000000"/>
        </w:rPr>
        <w:t>(</w:t>
      </w:r>
      <w:r w:rsidR="00A929E1" w:rsidRPr="006D0B28">
        <w:rPr>
          <w:color w:val="000000"/>
        </w:rPr>
        <w:t>No.3</w:t>
      </w:r>
      <w:r w:rsidR="00D7701E" w:rsidRPr="006D0B28">
        <w:rPr>
          <w:color w:val="000000"/>
        </w:rPr>
        <w:t>)</w:t>
      </w:r>
      <w:r w:rsidR="00A929E1" w:rsidRPr="006D0B28">
        <w:rPr>
          <w:color w:val="000000"/>
        </w:rPr>
        <w:t xml:space="preserve"> and $</w:t>
      </w:r>
      <w:r w:rsidR="00D14E09" w:rsidRPr="006D0B28">
        <w:rPr>
          <w:color w:val="000000"/>
        </w:rPr>
        <w:t>0.2</w:t>
      </w:r>
      <w:r w:rsidR="00A929E1" w:rsidRPr="006D0B28">
        <w:rPr>
          <w:color w:val="000000"/>
        </w:rPr>
        <w:t xml:space="preserve"> million </w:t>
      </w:r>
      <w:r w:rsidRPr="006D0B28">
        <w:rPr>
          <w:color w:val="000000"/>
        </w:rPr>
        <w:t xml:space="preserve">in </w:t>
      </w:r>
      <w:r w:rsidR="00D100DA">
        <w:rPr>
          <w:color w:val="000000"/>
        </w:rPr>
        <w:t>2021</w:t>
      </w:r>
      <w:r w:rsidR="00D100DA">
        <w:rPr>
          <w:color w:val="000000"/>
        </w:rPr>
        <w:noBreakHyphen/>
        <w:t>22 </w:t>
      </w:r>
      <w:r w:rsidR="00A929E1" w:rsidRPr="006D0B28">
        <w:rPr>
          <w:color w:val="000000"/>
        </w:rPr>
        <w:t xml:space="preserve">Appropriation Bill </w:t>
      </w:r>
      <w:r w:rsidR="00D7701E" w:rsidRPr="006D0B28">
        <w:rPr>
          <w:color w:val="000000"/>
        </w:rPr>
        <w:t>(</w:t>
      </w:r>
      <w:r w:rsidR="00A929E1" w:rsidRPr="006D0B28">
        <w:rPr>
          <w:color w:val="000000"/>
        </w:rPr>
        <w:t>No.</w:t>
      </w:r>
      <w:r w:rsidR="00D14E09" w:rsidRPr="006D0B28">
        <w:rPr>
          <w:color w:val="000000"/>
        </w:rPr>
        <w:t xml:space="preserve"> </w:t>
      </w:r>
      <w:r w:rsidR="00A929E1" w:rsidRPr="006D0B28">
        <w:rPr>
          <w:color w:val="000000"/>
        </w:rPr>
        <w:t>4</w:t>
      </w:r>
      <w:r w:rsidR="00D7701E" w:rsidRPr="006D0B28">
        <w:rPr>
          <w:color w:val="000000"/>
        </w:rPr>
        <w:t>)</w:t>
      </w:r>
      <w:r w:rsidRPr="006D0B28">
        <w:rPr>
          <w:color w:val="000000"/>
        </w:rPr>
        <w:t xml:space="preserve"> which are yet to receive Royal Assent.</w:t>
      </w:r>
      <w:r w:rsidR="00A929E1" w:rsidRPr="006D0B28">
        <w:rPr>
          <w:color w:val="000000"/>
        </w:rPr>
        <w:t xml:space="preserve"> </w:t>
      </w:r>
    </w:p>
    <w:p w14:paraId="58192B20" w14:textId="77777777" w:rsidR="00A929E1" w:rsidRPr="006D0B28" w:rsidRDefault="006D0B28" w:rsidP="00A12D45">
      <w:pPr>
        <w:pStyle w:val="ChartandTableFootnoteAlpha"/>
        <w:numPr>
          <w:ilvl w:val="0"/>
          <w:numId w:val="137"/>
        </w:numPr>
      </w:pPr>
      <w:r w:rsidRPr="001071C7">
        <w:t>Appr</w:t>
      </w:r>
      <w:r>
        <w:t>opriation Bill (No. 1) 2022-23.</w:t>
      </w:r>
    </w:p>
    <w:p w14:paraId="5898553F" w14:textId="77777777" w:rsidR="00A929E1" w:rsidRDefault="00A929E1" w:rsidP="00392A48">
      <w:pPr>
        <w:pStyle w:val="ChartandTableFootnoteAlpha"/>
        <w:numPr>
          <w:ilvl w:val="0"/>
          <w:numId w:val="137"/>
        </w:numPr>
        <w:rPr>
          <w:color w:val="000000"/>
        </w:rPr>
      </w:pPr>
      <w:r w:rsidRPr="001071C7">
        <w:rPr>
          <w:color w:val="000000"/>
        </w:rPr>
        <w:t>Excludes departmental capital bu</w:t>
      </w:r>
      <w:r>
        <w:rPr>
          <w:color w:val="000000"/>
        </w:rPr>
        <w:t>d</w:t>
      </w:r>
      <w:r w:rsidRPr="001071C7">
        <w:rPr>
          <w:color w:val="000000"/>
        </w:rPr>
        <w:t>get (DCB).</w:t>
      </w:r>
    </w:p>
    <w:p w14:paraId="670B3DEE" w14:textId="77777777" w:rsidR="00A929E1" w:rsidRPr="001071C7" w:rsidRDefault="00A929E1" w:rsidP="00392A48">
      <w:pPr>
        <w:pStyle w:val="ChartandTableFootnoteAlpha"/>
        <w:numPr>
          <w:ilvl w:val="0"/>
          <w:numId w:val="137"/>
        </w:numPr>
        <w:rPr>
          <w:color w:val="000000"/>
        </w:rPr>
      </w:pPr>
      <w:r w:rsidRPr="001071C7">
        <w:rPr>
          <w:color w:val="000000"/>
        </w:rPr>
        <w:t xml:space="preserve">Estimated </w:t>
      </w:r>
      <w:r w:rsidR="008B340B">
        <w:rPr>
          <w:color w:val="000000"/>
        </w:rPr>
        <w:t>e</w:t>
      </w:r>
      <w:r w:rsidRPr="001071C7">
        <w:rPr>
          <w:color w:val="000000"/>
        </w:rPr>
        <w:t xml:space="preserve">xternal </w:t>
      </w:r>
      <w:r w:rsidR="008B340B">
        <w:rPr>
          <w:color w:val="000000"/>
        </w:rPr>
        <w:t>r</w:t>
      </w:r>
      <w:r w:rsidRPr="001071C7">
        <w:rPr>
          <w:color w:val="000000"/>
        </w:rPr>
        <w:t>evenue receipts under section 74 of the</w:t>
      </w:r>
      <w:r w:rsidR="00D14E09">
        <w:rPr>
          <w:color w:val="000000"/>
        </w:rPr>
        <w:t xml:space="preserve"> </w:t>
      </w:r>
      <w:r w:rsidRPr="001071C7">
        <w:rPr>
          <w:color w:val="000000"/>
        </w:rPr>
        <w:t>PGPA Act.</w:t>
      </w:r>
    </w:p>
    <w:p w14:paraId="3553D0D1" w14:textId="77777777" w:rsidR="00A929E1" w:rsidRPr="001071C7" w:rsidRDefault="00D14E09" w:rsidP="00392A48">
      <w:pPr>
        <w:pStyle w:val="ChartandTableFootnoteAlpha"/>
        <w:numPr>
          <w:ilvl w:val="0"/>
          <w:numId w:val="137"/>
        </w:numPr>
        <w:rPr>
          <w:color w:val="000000"/>
        </w:rPr>
      </w:pPr>
      <w:r>
        <w:rPr>
          <w:color w:val="000000"/>
        </w:rPr>
        <w:t>DCBs</w:t>
      </w:r>
      <w:r w:rsidR="00A929E1" w:rsidRPr="001071C7">
        <w:rPr>
          <w:color w:val="000000"/>
        </w:rPr>
        <w:t xml:space="preserve"> are not separately identified in Appropriation Bill (No.1) and form part of ordinary annual services items. Please refer to Table 3.5 for further details. For accounting purposes, this amount has been designated as a 'contribution by owner'.</w:t>
      </w:r>
    </w:p>
    <w:p w14:paraId="6B7EB757" w14:textId="77777777" w:rsidR="00A929E1" w:rsidRPr="001071C7" w:rsidRDefault="00A929E1" w:rsidP="00392A48">
      <w:pPr>
        <w:pStyle w:val="ChartandTableFootnoteAlpha"/>
        <w:numPr>
          <w:ilvl w:val="0"/>
          <w:numId w:val="137"/>
        </w:numPr>
        <w:rPr>
          <w:color w:val="000000"/>
        </w:rPr>
      </w:pPr>
      <w:r w:rsidRPr="001071C7">
        <w:rPr>
          <w:color w:val="000000"/>
        </w:rPr>
        <w:t xml:space="preserve">Appropriation Bill (No. 2) </w:t>
      </w:r>
      <w:r>
        <w:rPr>
          <w:color w:val="000000"/>
        </w:rPr>
        <w:t>2022-23</w:t>
      </w:r>
      <w:r w:rsidRPr="001071C7">
        <w:rPr>
          <w:color w:val="000000"/>
        </w:rPr>
        <w:t>.</w:t>
      </w:r>
    </w:p>
    <w:p w14:paraId="774C8781" w14:textId="77777777" w:rsidR="00A929E1" w:rsidRPr="005A7C0B" w:rsidRDefault="00A929E1" w:rsidP="00A929E1">
      <w:pPr>
        <w:pStyle w:val="Heading3"/>
        <w:spacing w:before="0"/>
      </w:pPr>
      <w:r>
        <w:br w:type="page"/>
      </w:r>
      <w:bookmarkStart w:id="809" w:name="_Toc98242981"/>
      <w:bookmarkStart w:id="810" w:name="_Toc98766442"/>
      <w:bookmarkStart w:id="811" w:name="_Toc98856177"/>
      <w:bookmarkStart w:id="812" w:name="_Toc98932929"/>
      <w:bookmarkStart w:id="813" w:name="_Toc99008185"/>
      <w:bookmarkStart w:id="814" w:name="_Toc99009547"/>
      <w:bookmarkStart w:id="815" w:name="_Toc99010775"/>
      <w:bookmarkStart w:id="816" w:name="_Toc99014010"/>
      <w:bookmarkStart w:id="817" w:name="_Toc99187586"/>
      <w:bookmarkStart w:id="818" w:name="_Toc99269708"/>
      <w:r w:rsidRPr="005A7C0B">
        <w:t>1.3</w:t>
      </w:r>
      <w:r w:rsidRPr="005A7C0B">
        <w:tab/>
        <w:t>Budget measures</w:t>
      </w:r>
      <w:bookmarkEnd w:id="809"/>
      <w:bookmarkEnd w:id="810"/>
      <w:bookmarkEnd w:id="811"/>
      <w:bookmarkEnd w:id="812"/>
      <w:bookmarkEnd w:id="813"/>
      <w:bookmarkEnd w:id="814"/>
      <w:bookmarkEnd w:id="815"/>
      <w:bookmarkEnd w:id="816"/>
      <w:bookmarkEnd w:id="817"/>
      <w:bookmarkEnd w:id="818"/>
    </w:p>
    <w:p w14:paraId="4DF7464A" w14:textId="77777777" w:rsidR="00D7701E" w:rsidRDefault="00E478BB" w:rsidP="00D7701E">
      <w:r>
        <w:t xml:space="preserve">ONI </w:t>
      </w:r>
      <w:r w:rsidR="00D7701E">
        <w:t>has no new Budget measures in the 2022-23 Budget.</w:t>
      </w:r>
    </w:p>
    <w:p w14:paraId="22506A6A" w14:textId="77777777" w:rsidR="00A929E1" w:rsidRDefault="00A929E1" w:rsidP="00A929E1">
      <w:pPr>
        <w:pStyle w:val="NoSpacing"/>
      </w:pPr>
    </w:p>
    <w:p w14:paraId="020F1CB5" w14:textId="77777777" w:rsidR="00A929E1" w:rsidRDefault="00A929E1" w:rsidP="00A929E1">
      <w:pPr>
        <w:pStyle w:val="NoSpacing"/>
      </w:pPr>
    </w:p>
    <w:p w14:paraId="18CD0813" w14:textId="77777777" w:rsidR="00A929E1" w:rsidRDefault="00A929E1" w:rsidP="00A929E1">
      <w:pPr>
        <w:spacing w:after="0" w:line="240" w:lineRule="auto"/>
        <w:jc w:val="left"/>
        <w:rPr>
          <w:rFonts w:ascii="Arial Bold" w:hAnsi="Arial Bold"/>
          <w:b/>
        </w:rPr>
      </w:pPr>
      <w:r>
        <w:br w:type="page"/>
      </w:r>
    </w:p>
    <w:p w14:paraId="0CBB7CDA" w14:textId="77777777" w:rsidR="00A929E1" w:rsidRPr="00810C6A" w:rsidRDefault="00A929E1" w:rsidP="00A929E1">
      <w:pPr>
        <w:pStyle w:val="Heading2"/>
      </w:pPr>
      <w:bookmarkStart w:id="819" w:name="_Toc98242982"/>
      <w:bookmarkStart w:id="820" w:name="_Toc98766443"/>
      <w:bookmarkStart w:id="821" w:name="_Toc98856178"/>
      <w:bookmarkStart w:id="822" w:name="_Toc98932930"/>
      <w:bookmarkStart w:id="823" w:name="_Toc99008186"/>
      <w:bookmarkStart w:id="824" w:name="_Toc99009548"/>
      <w:bookmarkStart w:id="825" w:name="_Toc99010776"/>
      <w:bookmarkStart w:id="826" w:name="_Toc99014011"/>
      <w:bookmarkStart w:id="827" w:name="_Toc99187587"/>
      <w:bookmarkStart w:id="828" w:name="_Toc99269709"/>
      <w:r w:rsidRPr="00810C6A">
        <w:t>Section 2: Outcomes and planned performance</w:t>
      </w:r>
      <w:bookmarkEnd w:id="819"/>
      <w:bookmarkEnd w:id="820"/>
      <w:bookmarkEnd w:id="821"/>
      <w:bookmarkEnd w:id="822"/>
      <w:bookmarkEnd w:id="823"/>
      <w:bookmarkEnd w:id="824"/>
      <w:bookmarkEnd w:id="825"/>
      <w:bookmarkEnd w:id="826"/>
      <w:bookmarkEnd w:id="827"/>
      <w:bookmarkEnd w:id="828"/>
    </w:p>
    <w:p w14:paraId="0FB1674D" w14:textId="77777777" w:rsidR="00A929E1" w:rsidRPr="005E6F2B" w:rsidRDefault="00A929E1" w:rsidP="00A929E1">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3D4BFFA" w14:textId="77777777" w:rsidR="00A929E1" w:rsidRDefault="00A929E1" w:rsidP="00A929E1">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p w14:paraId="33D5ACD8" w14:textId="77777777" w:rsidR="00A929E1" w:rsidRDefault="00A929E1" w:rsidP="00A929E1">
      <w:pPr>
        <w:rPr>
          <w:highlight w:val="yellow"/>
        </w:rPr>
      </w:pPr>
    </w:p>
    <w:p w14:paraId="275497D6" w14:textId="77777777" w:rsidR="00A929E1" w:rsidRDefault="00A929E1" w:rsidP="00A929E1">
      <w:pPr>
        <w:pStyle w:val="Heading3"/>
        <w:sectPr w:rsidR="00A929E1" w:rsidSect="00503FD8">
          <w:headerReference w:type="even" r:id="rId360"/>
          <w:headerReference w:type="default" r:id="rId361"/>
          <w:footerReference w:type="even" r:id="rId362"/>
          <w:footerReference w:type="default" r:id="rId363"/>
          <w:headerReference w:type="first" r:id="rId364"/>
          <w:footerReference w:type="first" r:id="rId365"/>
          <w:type w:val="oddPage"/>
          <w:pgSz w:w="11906" w:h="16838" w:code="9"/>
          <w:pgMar w:top="2835" w:right="2098" w:bottom="2466" w:left="2098" w:header="1814" w:footer="1814" w:gutter="0"/>
          <w:cols w:space="708"/>
          <w:titlePg/>
          <w:docGrid w:linePitch="360"/>
        </w:sectPr>
      </w:pPr>
    </w:p>
    <w:p w14:paraId="7351BD83" w14:textId="77777777" w:rsidR="00A929E1" w:rsidRPr="00F743D8" w:rsidRDefault="00A929E1" w:rsidP="00A929E1">
      <w:pPr>
        <w:pStyle w:val="Heading3"/>
      </w:pPr>
      <w:bookmarkStart w:id="830" w:name="_Toc98242983"/>
      <w:bookmarkStart w:id="831" w:name="_Toc98766444"/>
      <w:bookmarkStart w:id="832" w:name="_Toc98856179"/>
      <w:bookmarkStart w:id="833" w:name="_Toc98932931"/>
      <w:bookmarkStart w:id="834" w:name="_Toc99008187"/>
      <w:bookmarkStart w:id="835" w:name="_Toc99009549"/>
      <w:bookmarkStart w:id="836" w:name="_Toc99010777"/>
      <w:bookmarkStart w:id="837" w:name="_Toc99014012"/>
      <w:bookmarkStart w:id="838" w:name="_Toc99187588"/>
      <w:bookmarkStart w:id="839" w:name="_Toc99269710"/>
      <w:r>
        <w:t>2.1</w:t>
      </w:r>
      <w:r w:rsidRPr="00F743D8">
        <w:t xml:space="preserve"> </w:t>
      </w:r>
      <w:r w:rsidRPr="00F743D8">
        <w:tab/>
        <w:t xml:space="preserve">Budgeted expenses and performance for Outcome </w:t>
      </w:r>
      <w:r>
        <w:t>1</w:t>
      </w:r>
      <w:bookmarkEnd w:id="830"/>
      <w:bookmarkEnd w:id="831"/>
      <w:bookmarkEnd w:id="832"/>
      <w:bookmarkEnd w:id="833"/>
      <w:bookmarkEnd w:id="834"/>
      <w:bookmarkEnd w:id="835"/>
      <w:bookmarkEnd w:id="836"/>
      <w:bookmarkEnd w:id="837"/>
      <w:bookmarkEnd w:id="838"/>
      <w:bookmarkEnd w:id="83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A929E1" w:rsidRPr="005E6F2B" w14:paraId="33886C2B" w14:textId="77777777" w:rsidTr="00A929E1">
        <w:tc>
          <w:tcPr>
            <w:tcW w:w="7704" w:type="dxa"/>
            <w:shd w:val="clear" w:color="auto" w:fill="E6E6E6"/>
          </w:tcPr>
          <w:p w14:paraId="21E04374" w14:textId="77777777" w:rsidR="00A929E1" w:rsidRPr="005E6F2B" w:rsidRDefault="00A929E1" w:rsidP="00A929E1">
            <w:pPr>
              <w:pStyle w:val="TableColumnHeadingLeft"/>
            </w:pPr>
            <w:r w:rsidRPr="005E6F2B">
              <w:t xml:space="preserve">Outcome </w:t>
            </w:r>
            <w:r>
              <w:t>1</w:t>
            </w:r>
            <w:r w:rsidRPr="005E6F2B">
              <w:t xml:space="preserve">: </w:t>
            </w:r>
            <w:r>
              <w:t>Advancement of Australia’s national interests through increased government awareness of international developments affecting Australia and integration, coordination and evaluation of Australia’s national intelligence capabilities.</w:t>
            </w:r>
          </w:p>
        </w:tc>
      </w:tr>
    </w:tbl>
    <w:p w14:paraId="13AA7BD9" w14:textId="77777777" w:rsidR="00A929E1" w:rsidRPr="005E6F2B" w:rsidRDefault="00A929E1" w:rsidP="00A929E1">
      <w:pPr>
        <w:pStyle w:val="NoSpacing"/>
      </w:pPr>
    </w:p>
    <w:p w14:paraId="0E5DFF97" w14:textId="77777777" w:rsidR="00A929E1" w:rsidRPr="00446612" w:rsidRDefault="00A929E1" w:rsidP="00A929E1">
      <w:pPr>
        <w:pStyle w:val="Heading4"/>
      </w:pPr>
      <w:r w:rsidRPr="00446612">
        <w:t xml:space="preserve">Budgeted expenses for Outcome </w:t>
      </w:r>
      <w:r>
        <w:t>1</w:t>
      </w:r>
    </w:p>
    <w:p w14:paraId="4722E978" w14:textId="77777777" w:rsidR="00A929E1" w:rsidRDefault="00A929E1" w:rsidP="00A929E1">
      <w:r w:rsidRPr="00950281">
        <w:t xml:space="preserve">This table shows how much </w:t>
      </w:r>
      <w:r w:rsidR="00106FA4">
        <w:t>ONI</w:t>
      </w:r>
      <w:r w:rsidRPr="00950281">
        <w:t xml:space="preserve"> intends to spend (on an accrual basis) on achieving the outcome, broken down by program, as well as by Administered an</w:t>
      </w:r>
      <w:r>
        <w:t>d Departmental funding sources.</w:t>
      </w:r>
    </w:p>
    <w:p w14:paraId="2163817A" w14:textId="77777777" w:rsidR="00A929E1" w:rsidRPr="00106FA4" w:rsidRDefault="00A929E1" w:rsidP="00A929E1">
      <w:pPr>
        <w:spacing w:after="0"/>
        <w:rPr>
          <w:rFonts w:ascii="Arial" w:hAnsi="Arial" w:cs="Arial"/>
          <w:b/>
        </w:rPr>
      </w:pPr>
      <w:r w:rsidRPr="00106FA4">
        <w:rPr>
          <w:rFonts w:ascii="Arial" w:hAnsi="Arial" w:cs="Arial"/>
          <w:b/>
        </w:rPr>
        <w:t>Table 2.1.1: Budgeted expenses for Outcome 1</w:t>
      </w:r>
    </w:p>
    <w:p w14:paraId="016AF9D8" w14:textId="77777777" w:rsidR="00A929E1" w:rsidRDefault="006867C3" w:rsidP="00A929E1">
      <w:pPr>
        <w:pStyle w:val="TableHeading"/>
      </w:pPr>
      <w:r w:rsidRPr="006867C3">
        <w:rPr>
          <w:noProof/>
          <w:lang w:val="en-AU" w:eastAsia="en-AU"/>
        </w:rPr>
        <w:drawing>
          <wp:inline distT="0" distB="0" distL="0" distR="0" wp14:anchorId="335D0F82" wp14:editId="1428C9DE">
            <wp:extent cx="4895850" cy="314469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895850" cy="3144690"/>
                    </a:xfrm>
                    <a:prstGeom prst="rect">
                      <a:avLst/>
                    </a:prstGeom>
                    <a:noFill/>
                    <a:ln>
                      <a:noFill/>
                    </a:ln>
                  </pic:spPr>
                </pic:pic>
              </a:graphicData>
            </a:graphic>
          </wp:inline>
        </w:drawing>
      </w:r>
    </w:p>
    <w:p w14:paraId="7FFF82BF" w14:textId="77777777" w:rsidR="00A929E1" w:rsidRDefault="00A929E1" w:rsidP="00A929E1"/>
    <w:p w14:paraId="0847CAD5" w14:textId="77777777" w:rsidR="00A929E1" w:rsidRDefault="00A929E1" w:rsidP="00A929E1">
      <w:pPr>
        <w:pStyle w:val="TableHeading"/>
        <w:rPr>
          <w:lang w:val="en-AU"/>
        </w:rPr>
      </w:pPr>
      <w:r>
        <w:br w:type="page"/>
        <w:t>Table 2.</w:t>
      </w:r>
      <w:r>
        <w:rPr>
          <w:lang w:val="en-AU"/>
        </w:rPr>
        <w:t>1</w:t>
      </w:r>
      <w:r>
        <w:t xml:space="preserve">.1: Budgeted expenses for Outcome </w:t>
      </w:r>
      <w:r>
        <w:rPr>
          <w:lang w:val="en-AU"/>
        </w:rPr>
        <w:t>1 (continued)</w:t>
      </w:r>
    </w:p>
    <w:p w14:paraId="453D0C8B" w14:textId="77777777" w:rsidR="00106FA4" w:rsidRDefault="00D7701E" w:rsidP="00106FA4">
      <w:pPr>
        <w:pStyle w:val="ChartandTableFootnote"/>
      </w:pPr>
      <w:r w:rsidRPr="00D7701E">
        <w:rPr>
          <w:noProof/>
          <w:lang w:val="en-AU" w:eastAsia="en-AU"/>
        </w:rPr>
        <w:drawing>
          <wp:inline distT="0" distB="0" distL="0" distR="0" wp14:anchorId="7BD502BE" wp14:editId="35D71C99">
            <wp:extent cx="4895850" cy="2386264"/>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895850" cy="2386264"/>
                    </a:xfrm>
                    <a:prstGeom prst="rect">
                      <a:avLst/>
                    </a:prstGeom>
                    <a:noFill/>
                    <a:ln>
                      <a:noFill/>
                    </a:ln>
                  </pic:spPr>
                </pic:pic>
              </a:graphicData>
            </a:graphic>
          </wp:inline>
        </w:drawing>
      </w:r>
      <w:r w:rsidR="00106FA4" w:rsidRPr="00106FA4">
        <w:t xml:space="preserve"> </w:t>
      </w:r>
    </w:p>
    <w:p w14:paraId="52170F0E" w14:textId="77777777" w:rsidR="00106FA4" w:rsidRDefault="00106FA4" w:rsidP="00392A48">
      <w:pPr>
        <w:pStyle w:val="ChartandTableFootnoteAlpha"/>
        <w:numPr>
          <w:ilvl w:val="0"/>
          <w:numId w:val="117"/>
        </w:numPr>
        <w:tabs>
          <w:tab w:val="num" w:pos="426"/>
        </w:tabs>
      </w:pPr>
      <w:r w:rsidRPr="00950281">
        <w:t>E</w:t>
      </w:r>
      <w:r>
        <w:t>stimated e</w:t>
      </w:r>
      <w:r w:rsidRPr="00950281">
        <w:t xml:space="preserve">xpenses </w:t>
      </w:r>
      <w:r>
        <w:t>incurred in relation to receipts retained under section 74 of the PGPA Act</w:t>
      </w:r>
      <w:r w:rsidRPr="006922DC">
        <w:t>.</w:t>
      </w:r>
    </w:p>
    <w:p w14:paraId="59A96EC4" w14:textId="77777777" w:rsidR="00D100DA" w:rsidRDefault="00A929E1" w:rsidP="00392A48">
      <w:pPr>
        <w:pStyle w:val="ChartandTableFootnoteAlpha"/>
        <w:numPr>
          <w:ilvl w:val="0"/>
          <w:numId w:val="117"/>
        </w:numPr>
        <w:tabs>
          <w:tab w:val="num" w:pos="426"/>
        </w:tabs>
      </w:pPr>
      <w:r w:rsidRPr="00950281">
        <w:t xml:space="preserve">Expenses not requiring appropriation in the Budget year are made up of depreciation expenses, amortisation expenses, make good expenses, audit fees, </w:t>
      </w:r>
      <w:r>
        <w:t>and seconded staff employee expenses received free of charge.</w:t>
      </w:r>
      <w:r w:rsidR="00D100DA" w:rsidRPr="00D100DA">
        <w:t xml:space="preserve"> </w:t>
      </w:r>
    </w:p>
    <w:p w14:paraId="540B3782" w14:textId="77777777" w:rsidR="00A929E1" w:rsidRPr="00C43DF8" w:rsidRDefault="00D100DA" w:rsidP="00D100DA">
      <w:pPr>
        <w:pStyle w:val="ChartandTableFootnoteAlpha"/>
      </w:pPr>
      <w:r w:rsidRPr="00446612">
        <w:t xml:space="preserve">Note: Departmental appropriation splits and totals are indicative estimates and may change in the course of the </w:t>
      </w:r>
      <w:r>
        <w:t>Budget year</w:t>
      </w:r>
      <w:r w:rsidRPr="00446612">
        <w:t xml:space="preserve"> as government priorities change.</w:t>
      </w:r>
    </w:p>
    <w:p w14:paraId="4D5D5C0E" w14:textId="77777777" w:rsidR="00A929E1" w:rsidRPr="00AD42E2" w:rsidRDefault="00A929E1" w:rsidP="00A929E1">
      <w:pPr>
        <w:pStyle w:val="Heading2"/>
      </w:pPr>
      <w:r w:rsidRPr="005B6A94">
        <w:br w:type="page"/>
      </w:r>
      <w:bookmarkStart w:id="840" w:name="_Toc98242984"/>
      <w:bookmarkStart w:id="841" w:name="_Toc98766445"/>
      <w:bookmarkStart w:id="842" w:name="_Toc98856180"/>
      <w:bookmarkStart w:id="843" w:name="_Toc98932932"/>
      <w:bookmarkStart w:id="844" w:name="_Toc99008188"/>
      <w:bookmarkStart w:id="845" w:name="_Toc99009550"/>
      <w:bookmarkStart w:id="846" w:name="_Toc99010778"/>
      <w:bookmarkStart w:id="847" w:name="_Toc99014013"/>
      <w:bookmarkStart w:id="848" w:name="_Toc99187589"/>
      <w:bookmarkStart w:id="849" w:name="_Toc99269711"/>
      <w:r w:rsidRPr="00AD42E2">
        <w:t>Section 3: Budgeted financial statements</w:t>
      </w:r>
      <w:bookmarkEnd w:id="840"/>
      <w:bookmarkEnd w:id="841"/>
      <w:bookmarkEnd w:id="842"/>
      <w:bookmarkEnd w:id="843"/>
      <w:bookmarkEnd w:id="844"/>
      <w:bookmarkEnd w:id="845"/>
      <w:bookmarkEnd w:id="846"/>
      <w:bookmarkEnd w:id="847"/>
      <w:bookmarkEnd w:id="848"/>
      <w:bookmarkEnd w:id="849"/>
    </w:p>
    <w:p w14:paraId="11A15929" w14:textId="77777777" w:rsidR="00A929E1" w:rsidRDefault="00A929E1" w:rsidP="00A929E1">
      <w:r>
        <w:t>Section 3 presents budgeted financial statements which provide a comprehensive snapshot of entity finances for the 2022-23</w:t>
      </w:r>
      <w:r>
        <w:rPr>
          <w:color w:val="00B050"/>
        </w:rPr>
        <w:t xml:space="preserve"> </w:t>
      </w:r>
      <w:r w:rsidR="004C12AF">
        <w:t>Budget year</w:t>
      </w:r>
      <w:r>
        <w:t>, including the impact of budget measures and resourcing on financial statements.</w:t>
      </w:r>
    </w:p>
    <w:p w14:paraId="75E625BA" w14:textId="77777777" w:rsidR="00A929E1" w:rsidRPr="005328A9" w:rsidRDefault="00A929E1" w:rsidP="00A929E1">
      <w:pPr>
        <w:pStyle w:val="Heading3"/>
      </w:pPr>
      <w:bookmarkStart w:id="850" w:name="_Toc98242985"/>
      <w:bookmarkStart w:id="851" w:name="_Toc98766446"/>
      <w:bookmarkStart w:id="852" w:name="_Toc98856181"/>
      <w:bookmarkStart w:id="853" w:name="_Toc98932933"/>
      <w:bookmarkStart w:id="854" w:name="_Toc99008189"/>
      <w:bookmarkStart w:id="855" w:name="_Toc99009551"/>
      <w:bookmarkStart w:id="856" w:name="_Toc99010779"/>
      <w:bookmarkStart w:id="857" w:name="_Toc99014014"/>
      <w:bookmarkStart w:id="858" w:name="_Toc99187590"/>
      <w:bookmarkStart w:id="859" w:name="_Toc99269712"/>
      <w:r w:rsidRPr="005328A9">
        <w:t>3.1</w:t>
      </w:r>
      <w:r w:rsidRPr="005328A9">
        <w:tab/>
        <w:t>Budgeted financial statements</w:t>
      </w:r>
      <w:bookmarkEnd w:id="850"/>
      <w:bookmarkEnd w:id="851"/>
      <w:bookmarkEnd w:id="852"/>
      <w:bookmarkEnd w:id="853"/>
      <w:bookmarkEnd w:id="854"/>
      <w:bookmarkEnd w:id="855"/>
      <w:bookmarkEnd w:id="856"/>
      <w:bookmarkEnd w:id="857"/>
      <w:bookmarkEnd w:id="858"/>
      <w:bookmarkEnd w:id="859"/>
    </w:p>
    <w:p w14:paraId="19423461" w14:textId="77777777" w:rsidR="00A929E1" w:rsidRDefault="00A929E1" w:rsidP="00A929E1">
      <w:pPr>
        <w:pStyle w:val="Heading4"/>
      </w:pPr>
      <w:r>
        <w:t>3.1.1</w:t>
      </w:r>
      <w:r>
        <w:tab/>
        <w:t>Differences between entity resourcing and financial statements</w:t>
      </w:r>
    </w:p>
    <w:p w14:paraId="1BE01E9E" w14:textId="77777777" w:rsidR="00A929E1" w:rsidRDefault="00A929E1" w:rsidP="00A929E1">
      <w:pPr>
        <w:keepNext/>
        <w:tabs>
          <w:tab w:val="left" w:pos="709"/>
        </w:tabs>
        <w:spacing w:after="120"/>
        <w:outlineLvl w:val="3"/>
        <w:rPr>
          <w:color w:val="000000"/>
        </w:rPr>
      </w:pPr>
      <w:r w:rsidRPr="00CC163F">
        <w:rPr>
          <w:color w:val="000000"/>
        </w:rPr>
        <w:t>The Entity Resource Statement (Table 1.1) provides a consolidated view of all the resources available to ONI in 202</w:t>
      </w:r>
      <w:r>
        <w:rPr>
          <w:color w:val="000000"/>
        </w:rPr>
        <w:t>2</w:t>
      </w:r>
      <w:r w:rsidRPr="00CC163F">
        <w:rPr>
          <w:color w:val="000000"/>
        </w:rPr>
        <w:t>-2</w:t>
      </w:r>
      <w:r>
        <w:rPr>
          <w:color w:val="000000"/>
        </w:rPr>
        <w:t>3</w:t>
      </w:r>
      <w:r w:rsidRPr="00CC163F">
        <w:rPr>
          <w:color w:val="000000"/>
        </w:rPr>
        <w:t>. This includes equity injections and appropriation receivable that is yet to be drawn down to cover payables and provisions on the Departmental Balance Sheet (Table 3.2). The Compre</w:t>
      </w:r>
      <w:r w:rsidR="00CA41DD">
        <w:rPr>
          <w:color w:val="000000"/>
        </w:rPr>
        <w:t>hensive Income Statement (Table </w:t>
      </w:r>
      <w:r w:rsidRPr="00CC163F">
        <w:rPr>
          <w:color w:val="000000"/>
        </w:rPr>
        <w:t>3.1) shows only the operating appropriation provided in 202</w:t>
      </w:r>
      <w:r>
        <w:rPr>
          <w:color w:val="000000"/>
        </w:rPr>
        <w:t>2-23.</w:t>
      </w:r>
    </w:p>
    <w:p w14:paraId="000361C7" w14:textId="77777777" w:rsidR="00A929E1" w:rsidRPr="00CC163F" w:rsidRDefault="00A929E1" w:rsidP="00A929E1">
      <w:pPr>
        <w:keepNext/>
        <w:tabs>
          <w:tab w:val="left" w:pos="709"/>
        </w:tabs>
        <w:spacing w:after="120"/>
        <w:outlineLvl w:val="3"/>
        <w:rPr>
          <w:color w:val="000000"/>
        </w:rPr>
      </w:pPr>
    </w:p>
    <w:p w14:paraId="1CCAC29F" w14:textId="77777777" w:rsidR="00A929E1" w:rsidRDefault="00A929E1" w:rsidP="00A929E1">
      <w:pPr>
        <w:pStyle w:val="Heading4"/>
      </w:pPr>
      <w:r>
        <w:t>3.1.2</w:t>
      </w:r>
      <w:r>
        <w:tab/>
        <w:t>Explanatory notes and analysis of budgeted financial statements</w:t>
      </w:r>
    </w:p>
    <w:p w14:paraId="29991180" w14:textId="77777777" w:rsidR="00A929E1" w:rsidRPr="006051E2" w:rsidRDefault="00A929E1" w:rsidP="00A929E1">
      <w:pPr>
        <w:pStyle w:val="BodyText"/>
        <w:rPr>
          <w:rFonts w:ascii="Book Antiqua" w:hAnsi="Book Antiqua" w:cs="Arial"/>
          <w:b/>
          <w:sz w:val="20"/>
        </w:rPr>
      </w:pPr>
      <w:r w:rsidRPr="006051E2">
        <w:rPr>
          <w:rFonts w:ascii="Book Antiqua" w:hAnsi="Book Antiqua" w:cs="Arial"/>
          <w:b/>
          <w:sz w:val="20"/>
        </w:rPr>
        <w:t>Comprehensive Income Statement</w:t>
      </w:r>
    </w:p>
    <w:p w14:paraId="70412497" w14:textId="77777777" w:rsidR="00A929E1" w:rsidRPr="00487176" w:rsidRDefault="00A929E1" w:rsidP="00A929E1">
      <w:pPr>
        <w:rPr>
          <w:rStyle w:val="Emphasis"/>
          <w:rFonts w:eastAsiaTheme="majorEastAsia"/>
          <w:i w:val="0"/>
          <w:iCs w:val="0"/>
          <w:color w:val="000000"/>
        </w:rPr>
      </w:pPr>
      <w:r>
        <w:rPr>
          <w:color w:val="000000"/>
        </w:rPr>
        <w:t>ONI</w:t>
      </w:r>
      <w:r w:rsidRPr="00487176">
        <w:rPr>
          <w:color w:val="000000"/>
        </w:rPr>
        <w:t xml:space="preserve"> is budgeting for a </w:t>
      </w:r>
      <w:r>
        <w:rPr>
          <w:color w:val="000000"/>
        </w:rPr>
        <w:t>break-even</w:t>
      </w:r>
      <w:r w:rsidRPr="00487176">
        <w:rPr>
          <w:color w:val="000000"/>
        </w:rPr>
        <w:t xml:space="preserve"> operating result, adjusted for depreciation</w:t>
      </w:r>
      <w:r>
        <w:rPr>
          <w:color w:val="000000"/>
        </w:rPr>
        <w:t xml:space="preserve"> and amortisation expense in 2022</w:t>
      </w:r>
      <w:r w:rsidRPr="00487176">
        <w:rPr>
          <w:color w:val="000000"/>
        </w:rPr>
        <w:t>-</w:t>
      </w:r>
      <w:r>
        <w:rPr>
          <w:color w:val="000000"/>
        </w:rPr>
        <w:t>23, and</w:t>
      </w:r>
      <w:r w:rsidRPr="00487176">
        <w:rPr>
          <w:color w:val="000000"/>
        </w:rPr>
        <w:t xml:space="preserve"> forward estimate years. </w:t>
      </w:r>
    </w:p>
    <w:p w14:paraId="0E25A92F" w14:textId="77777777" w:rsidR="00A929E1" w:rsidRPr="006051E2" w:rsidRDefault="00A929E1" w:rsidP="00A929E1">
      <w:pPr>
        <w:pStyle w:val="BodyText"/>
        <w:rPr>
          <w:rFonts w:ascii="Book Antiqua" w:hAnsi="Book Antiqua" w:cs="Arial"/>
          <w:b/>
          <w:sz w:val="20"/>
        </w:rPr>
      </w:pPr>
      <w:r w:rsidRPr="006051E2">
        <w:rPr>
          <w:rFonts w:ascii="Book Antiqua" w:hAnsi="Book Antiqua" w:cs="Arial"/>
          <w:b/>
          <w:sz w:val="20"/>
        </w:rPr>
        <w:t>Budgeted Departmental Balance Sheet</w:t>
      </w:r>
    </w:p>
    <w:p w14:paraId="55D836BB" w14:textId="77777777" w:rsidR="00A929E1" w:rsidRPr="00487176" w:rsidRDefault="00A929E1" w:rsidP="00A929E1">
      <w:pPr>
        <w:spacing w:after="120"/>
        <w:rPr>
          <w:color w:val="000000"/>
        </w:rPr>
      </w:pPr>
      <w:r w:rsidRPr="00487176">
        <w:rPr>
          <w:color w:val="000000"/>
        </w:rPr>
        <w:t xml:space="preserve">Cash balances are maintained </w:t>
      </w:r>
      <w:r>
        <w:rPr>
          <w:color w:val="000000"/>
        </w:rPr>
        <w:t>within a working capital limit</w:t>
      </w:r>
      <w:r w:rsidRPr="00487176">
        <w:rPr>
          <w:color w:val="000000"/>
        </w:rPr>
        <w:t xml:space="preserve"> of $0.7 million as agreed with the Department of Finance.</w:t>
      </w:r>
    </w:p>
    <w:p w14:paraId="62B888C9" w14:textId="77777777" w:rsidR="00A929E1" w:rsidRPr="00487176" w:rsidRDefault="00A929E1" w:rsidP="00A929E1">
      <w:pPr>
        <w:rPr>
          <w:color w:val="000000"/>
        </w:rPr>
      </w:pPr>
      <w:r w:rsidRPr="00487176">
        <w:rPr>
          <w:color w:val="000000"/>
        </w:rPr>
        <w:t>Appropriation balances carried forward are retained to cover employee provisions and supplier payables</w:t>
      </w:r>
      <w:r>
        <w:rPr>
          <w:color w:val="000000"/>
        </w:rPr>
        <w:t>.</w:t>
      </w:r>
    </w:p>
    <w:p w14:paraId="5C647397" w14:textId="77777777" w:rsidR="00A929E1" w:rsidRPr="006051E2" w:rsidRDefault="00A929E1" w:rsidP="00A929E1">
      <w:pPr>
        <w:pStyle w:val="BodyText"/>
        <w:rPr>
          <w:rFonts w:ascii="Book Antiqua" w:hAnsi="Book Antiqua" w:cs="Arial"/>
          <w:b/>
          <w:sz w:val="20"/>
        </w:rPr>
      </w:pPr>
      <w:r w:rsidRPr="006051E2">
        <w:rPr>
          <w:rFonts w:ascii="Book Antiqua" w:hAnsi="Book Antiqua" w:cs="Arial"/>
          <w:b/>
          <w:sz w:val="20"/>
        </w:rPr>
        <w:t>Budgeted Departmental Statement of Cash Flows</w:t>
      </w:r>
    </w:p>
    <w:p w14:paraId="14B34944" w14:textId="77777777" w:rsidR="00A929E1" w:rsidRDefault="00A929E1" w:rsidP="00A929E1">
      <w:pPr>
        <w:rPr>
          <w:color w:val="000000"/>
        </w:rPr>
      </w:pPr>
      <w:r w:rsidRPr="00487176">
        <w:rPr>
          <w:color w:val="000000"/>
        </w:rPr>
        <w:t>The cash flow is consistent with, and representative of, the transactions reported in the Comprehensive Income Statement (Table 3.1), adjusted for non-cash items and anticipated capital purchases.</w:t>
      </w:r>
    </w:p>
    <w:p w14:paraId="3D0E6E46" w14:textId="77777777" w:rsidR="00A929E1" w:rsidRPr="00742C10" w:rsidRDefault="00A929E1" w:rsidP="00A929E1">
      <w:pPr>
        <w:spacing w:after="120"/>
        <w:rPr>
          <w:b/>
          <w:color w:val="000000"/>
        </w:rPr>
      </w:pPr>
      <w:r w:rsidRPr="00742C10">
        <w:rPr>
          <w:b/>
          <w:color w:val="000000"/>
        </w:rPr>
        <w:t>Administered</w:t>
      </w:r>
    </w:p>
    <w:p w14:paraId="6DA95296" w14:textId="77777777" w:rsidR="00A929E1" w:rsidRDefault="00A929E1" w:rsidP="00A929E1">
      <w:pPr>
        <w:rPr>
          <w:color w:val="000000"/>
        </w:rPr>
      </w:pPr>
      <w:r>
        <w:rPr>
          <w:color w:val="000000"/>
        </w:rPr>
        <w:t>ONI receives administered funding for the National Intellig</w:t>
      </w:r>
      <w:r w:rsidR="004F2E6A">
        <w:rPr>
          <w:color w:val="000000"/>
        </w:rPr>
        <w:t>ence Community Research Program.</w:t>
      </w:r>
    </w:p>
    <w:p w14:paraId="13D2388F" w14:textId="77777777" w:rsidR="00A929E1" w:rsidRDefault="00A929E1" w:rsidP="00A929E1"/>
    <w:p w14:paraId="02D0875E" w14:textId="77777777" w:rsidR="00A929E1" w:rsidRDefault="00A929E1" w:rsidP="00A929E1"/>
    <w:p w14:paraId="14E5C438" w14:textId="77777777" w:rsidR="00A929E1" w:rsidRDefault="00A929E1" w:rsidP="00A929E1"/>
    <w:p w14:paraId="4DA54C1F" w14:textId="77777777" w:rsidR="00A929E1" w:rsidRDefault="00A929E1" w:rsidP="00A929E1">
      <w:pPr>
        <w:jc w:val="left"/>
      </w:pPr>
      <w:r w:rsidRPr="00D232B7">
        <w:rPr>
          <w:rStyle w:val="TableHeadingChar"/>
        </w:rPr>
        <w:t>3.2.</w:t>
      </w:r>
      <w:r w:rsidRPr="00D232B7">
        <w:rPr>
          <w:rStyle w:val="TableHeadingChar"/>
        </w:rPr>
        <w:tab/>
        <w:t>Budgeted financial statements tables</w:t>
      </w:r>
    </w:p>
    <w:p w14:paraId="59661F72" w14:textId="77777777" w:rsidR="00A929E1" w:rsidRDefault="00A929E1" w:rsidP="00A929E1">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3DD13E9E" w14:textId="77777777" w:rsidR="00A929E1" w:rsidRDefault="00A929E1" w:rsidP="00A929E1">
      <w:pPr>
        <w:pStyle w:val="TableGraphic"/>
      </w:pPr>
      <w:r w:rsidRPr="00D52088">
        <w:rPr>
          <w:noProof/>
        </w:rPr>
        <w:t xml:space="preserve"> </w:t>
      </w:r>
      <w:r w:rsidR="00D7701E" w:rsidRPr="00D7701E">
        <w:rPr>
          <w:noProof/>
        </w:rPr>
        <w:drawing>
          <wp:inline distT="0" distB="0" distL="0" distR="0" wp14:anchorId="1870F0E0" wp14:editId="3FD58C4E">
            <wp:extent cx="4895850" cy="357014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895850" cy="3570148"/>
                    </a:xfrm>
                    <a:prstGeom prst="rect">
                      <a:avLst/>
                    </a:prstGeom>
                    <a:noFill/>
                    <a:ln>
                      <a:noFill/>
                    </a:ln>
                  </pic:spPr>
                </pic:pic>
              </a:graphicData>
            </a:graphic>
          </wp:inline>
        </w:drawing>
      </w:r>
    </w:p>
    <w:p w14:paraId="1F5C03F3" w14:textId="77777777" w:rsidR="00A929E1" w:rsidRDefault="00A929E1" w:rsidP="00A929E1">
      <w:pPr>
        <w:pStyle w:val="TableHeadingcontinued"/>
        <w:rPr>
          <w:snapToGrid w:val="0"/>
        </w:rPr>
      </w:pPr>
      <w:r>
        <w:br w:type="page"/>
      </w: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28103EDF" w14:textId="77777777" w:rsidR="00A929E1" w:rsidRPr="003819E1" w:rsidRDefault="00A929E1" w:rsidP="00A929E1">
      <w:pPr>
        <w:pStyle w:val="TableGraphic"/>
        <w:rPr>
          <w:rFonts w:ascii="Arial" w:hAnsi="Arial" w:cs="Arial"/>
        </w:rPr>
      </w:pPr>
    </w:p>
    <w:p w14:paraId="1248B054" w14:textId="77777777" w:rsidR="00A929E1" w:rsidRPr="003819E1" w:rsidRDefault="00A929E1" w:rsidP="00A929E1">
      <w:pPr>
        <w:pStyle w:val="TableHeadingNoTable"/>
        <w:spacing w:after="0"/>
      </w:pPr>
      <w:r w:rsidRPr="003819E1">
        <w:t>Note: Impact of net cash appropriation arrangements</w:t>
      </w:r>
    </w:p>
    <w:p w14:paraId="09A14CA7" w14:textId="77777777" w:rsidR="00A929E1" w:rsidRPr="009D54F3" w:rsidRDefault="00A929E1" w:rsidP="00A929E1">
      <w:pPr>
        <w:pStyle w:val="TableGraphic"/>
        <w:rPr>
          <w:rFonts w:ascii="Arial" w:hAnsi="Arial" w:cs="Arial"/>
        </w:rPr>
      </w:pPr>
      <w:r w:rsidRPr="00D52088">
        <w:rPr>
          <w:noProof/>
        </w:rPr>
        <w:t xml:space="preserve"> </w:t>
      </w:r>
      <w:r w:rsidR="00D7701E" w:rsidRPr="00D7701E">
        <w:rPr>
          <w:noProof/>
        </w:rPr>
        <w:drawing>
          <wp:inline distT="0" distB="0" distL="0" distR="0" wp14:anchorId="7E745862" wp14:editId="506FB5D1">
            <wp:extent cx="4895850" cy="2010135"/>
            <wp:effectExtent l="0" t="0" r="0"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895850" cy="2010135"/>
                    </a:xfrm>
                    <a:prstGeom prst="rect">
                      <a:avLst/>
                    </a:prstGeom>
                    <a:noFill/>
                    <a:ln>
                      <a:noFill/>
                    </a:ln>
                  </pic:spPr>
                </pic:pic>
              </a:graphicData>
            </a:graphic>
          </wp:inline>
        </w:drawing>
      </w:r>
    </w:p>
    <w:p w14:paraId="0C0656BF" w14:textId="77777777" w:rsidR="004F2E6A" w:rsidRPr="004F2E6A" w:rsidRDefault="004F2E6A" w:rsidP="004F2E6A">
      <w:pPr>
        <w:pStyle w:val="ChartandTableFootnoteAlpha"/>
        <w:rPr>
          <w:rFonts w:cs="Arial"/>
        </w:rPr>
      </w:pPr>
      <w:r w:rsidRPr="004F2E6A">
        <w:rPr>
          <w:rFonts w:cs="Arial"/>
        </w:rPr>
        <w:t>Prepared on Australian Accounting Standards basis.</w:t>
      </w:r>
    </w:p>
    <w:p w14:paraId="6A3A9A14" w14:textId="77777777" w:rsidR="00A929E1" w:rsidRPr="004F2E6A" w:rsidRDefault="00A929E1" w:rsidP="00392A48">
      <w:pPr>
        <w:pStyle w:val="ChartandTableFootnoteAlpha"/>
        <w:numPr>
          <w:ilvl w:val="0"/>
          <w:numId w:val="138"/>
        </w:numPr>
        <w:rPr>
          <w:rFonts w:cs="Arial"/>
        </w:rPr>
      </w:pPr>
      <w:r w:rsidRPr="004F2E6A">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6535D00C" w14:textId="77777777" w:rsidR="00A929E1" w:rsidRPr="002A0F2E" w:rsidRDefault="00A75066" w:rsidP="00392A48">
      <w:pPr>
        <w:pStyle w:val="ChartandTableFootnoteAlpha"/>
        <w:numPr>
          <w:ilvl w:val="0"/>
          <w:numId w:val="138"/>
        </w:numPr>
      </w:pPr>
      <w:r>
        <w:t>Applies to leases</w:t>
      </w:r>
      <w:r w:rsidR="00A929E1" w:rsidRPr="00D52088">
        <w:t xml:space="preserve"> under AASB 16 Leases.</w:t>
      </w:r>
    </w:p>
    <w:p w14:paraId="5C7B53F2" w14:textId="77777777" w:rsidR="00A929E1" w:rsidRDefault="00A929E1" w:rsidP="00A929E1">
      <w:pPr>
        <w:pStyle w:val="TableHeading"/>
      </w:pPr>
      <w:r>
        <w:br w:type="page"/>
      </w:r>
      <w:r w:rsidRPr="00E4582E">
        <w:t>Table</w:t>
      </w:r>
      <w:r>
        <w:t xml:space="preserve"> 3.</w:t>
      </w:r>
      <w:r w:rsidRPr="00E4582E">
        <w:t>2: Budg</w:t>
      </w:r>
      <w:r>
        <w:t xml:space="preserve">eted departmental balance sheet </w:t>
      </w:r>
      <w:r w:rsidRPr="00E4582E">
        <w:t>(as at 30 June)</w:t>
      </w:r>
    </w:p>
    <w:p w14:paraId="025040DC" w14:textId="77777777" w:rsidR="00A929E1" w:rsidRDefault="0063678C" w:rsidP="00A929E1">
      <w:pPr>
        <w:pStyle w:val="TableGraphic"/>
      </w:pPr>
      <w:r w:rsidRPr="0063678C">
        <w:rPr>
          <w:noProof/>
        </w:rPr>
        <w:drawing>
          <wp:inline distT="0" distB="0" distL="0" distR="0" wp14:anchorId="689EE379" wp14:editId="32897CEA">
            <wp:extent cx="4895850" cy="4823072"/>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895850" cy="4823072"/>
                    </a:xfrm>
                    <a:prstGeom prst="rect">
                      <a:avLst/>
                    </a:prstGeom>
                    <a:noFill/>
                    <a:ln>
                      <a:noFill/>
                    </a:ln>
                  </pic:spPr>
                </pic:pic>
              </a:graphicData>
            </a:graphic>
          </wp:inline>
        </w:drawing>
      </w:r>
    </w:p>
    <w:p w14:paraId="5BD4F882" w14:textId="77777777" w:rsidR="00A929E1" w:rsidRPr="00132F9E" w:rsidRDefault="00A929E1" w:rsidP="00A929E1">
      <w:pPr>
        <w:pStyle w:val="Source"/>
        <w:rPr>
          <w:rFonts w:cs="Arial"/>
        </w:rPr>
      </w:pPr>
      <w:r w:rsidRPr="00132F9E">
        <w:rPr>
          <w:rFonts w:cs="Arial"/>
        </w:rPr>
        <w:t>Prepared on Australian Accounting Standards basis.</w:t>
      </w:r>
    </w:p>
    <w:p w14:paraId="144E831A" w14:textId="77777777" w:rsidR="00A929E1" w:rsidRPr="00132F9E" w:rsidRDefault="00A929E1" w:rsidP="00A929E1">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230827D5" w14:textId="77777777" w:rsidR="00A929E1" w:rsidRPr="00152B2B" w:rsidRDefault="00A929E1" w:rsidP="00A929E1"/>
    <w:p w14:paraId="0AECD061" w14:textId="77777777" w:rsidR="00A929E1" w:rsidRPr="00152B2B" w:rsidRDefault="00A929E1" w:rsidP="00A929E1"/>
    <w:p w14:paraId="3A02BCFB" w14:textId="77777777" w:rsidR="00A929E1" w:rsidRDefault="00A929E1" w:rsidP="00A929E1">
      <w:pPr>
        <w:pStyle w:val="TableHeading"/>
        <w:rPr>
          <w:rFonts w:ascii="Times New Roman" w:hAnsi="Times New Roman"/>
        </w:rPr>
      </w:pPr>
      <w:r>
        <w:br w:type="page"/>
      </w:r>
      <w:r w:rsidRPr="00AD42E2">
        <w:t>Table 3.3: Departmental statement of changes in equity — summary of</w:t>
      </w:r>
      <w:r>
        <w:t xml:space="preserve"> movement (Budget year </w:t>
      </w:r>
      <w:r>
        <w:rPr>
          <w:lang w:val="en-AU"/>
        </w:rPr>
        <w:t>2022-23</w:t>
      </w:r>
      <w:r w:rsidRPr="00D30CBA">
        <w:t>)</w:t>
      </w:r>
    </w:p>
    <w:p w14:paraId="1618B550" w14:textId="77777777" w:rsidR="00A929E1" w:rsidRDefault="00A929E1" w:rsidP="00A929E1">
      <w:pPr>
        <w:pStyle w:val="TableGraphic"/>
      </w:pPr>
      <w:r w:rsidRPr="002376AD">
        <w:t xml:space="preserve"> </w:t>
      </w:r>
      <w:r w:rsidR="0063678C" w:rsidRPr="0063678C">
        <w:rPr>
          <w:noProof/>
        </w:rPr>
        <w:drawing>
          <wp:inline distT="0" distB="0" distL="0" distR="0" wp14:anchorId="5F89DC52" wp14:editId="46D62249">
            <wp:extent cx="4624070" cy="3211830"/>
            <wp:effectExtent l="0" t="0" r="5080" b="762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624070" cy="3211830"/>
                    </a:xfrm>
                    <a:prstGeom prst="rect">
                      <a:avLst/>
                    </a:prstGeom>
                    <a:noFill/>
                    <a:ln>
                      <a:noFill/>
                    </a:ln>
                  </pic:spPr>
                </pic:pic>
              </a:graphicData>
            </a:graphic>
          </wp:inline>
        </w:drawing>
      </w:r>
    </w:p>
    <w:p w14:paraId="4CF08685" w14:textId="77777777" w:rsidR="00A929E1" w:rsidRPr="00132F9E" w:rsidRDefault="00A929E1" w:rsidP="00A929E1">
      <w:pPr>
        <w:pStyle w:val="TableGraphic"/>
        <w:rPr>
          <w:rFonts w:ascii="Arial" w:hAnsi="Arial" w:cs="Arial"/>
          <w:sz w:val="16"/>
          <w:szCs w:val="16"/>
        </w:rPr>
      </w:pPr>
      <w:r w:rsidRPr="00D606C2">
        <w:rPr>
          <w:rFonts w:ascii="Arial" w:hAnsi="Arial" w:cs="Arial"/>
          <w:sz w:val="16"/>
        </w:rPr>
        <w:t>Prepared on Australian Accounting Standards basis</w:t>
      </w:r>
    </w:p>
    <w:p w14:paraId="42656898" w14:textId="77777777" w:rsidR="00A929E1" w:rsidRPr="00152B2B" w:rsidRDefault="00A929E1" w:rsidP="00A929E1"/>
    <w:p w14:paraId="476A659C" w14:textId="77777777" w:rsidR="005E005D" w:rsidRDefault="005E005D" w:rsidP="00A929E1">
      <w:pPr>
        <w:pStyle w:val="TableHeading"/>
      </w:pPr>
    </w:p>
    <w:p w14:paraId="57C8FC12" w14:textId="77777777" w:rsidR="005E005D" w:rsidRPr="005E005D" w:rsidRDefault="005E005D" w:rsidP="005E005D">
      <w:pPr>
        <w:rPr>
          <w:lang w:val="x-none" w:eastAsia="x-none"/>
        </w:rPr>
      </w:pPr>
    </w:p>
    <w:p w14:paraId="547B15AE" w14:textId="77777777" w:rsidR="005E005D" w:rsidRDefault="005E005D" w:rsidP="00A929E1">
      <w:pPr>
        <w:pStyle w:val="TableHeading"/>
      </w:pPr>
    </w:p>
    <w:p w14:paraId="10FB9792" w14:textId="77777777" w:rsidR="005E005D" w:rsidRDefault="005E005D" w:rsidP="00A929E1">
      <w:pPr>
        <w:pStyle w:val="TableHeading"/>
      </w:pPr>
    </w:p>
    <w:p w14:paraId="1EF269F9" w14:textId="77777777" w:rsidR="005E005D" w:rsidRDefault="005E005D" w:rsidP="005E005D">
      <w:pPr>
        <w:pStyle w:val="TableHeading"/>
        <w:tabs>
          <w:tab w:val="left" w:pos="6061"/>
        </w:tabs>
      </w:pPr>
      <w:r>
        <w:tab/>
      </w:r>
    </w:p>
    <w:p w14:paraId="54D83632" w14:textId="77777777" w:rsidR="00A929E1" w:rsidRPr="00A00283" w:rsidRDefault="00A929E1" w:rsidP="00A929E1">
      <w:pPr>
        <w:pStyle w:val="TableHeading"/>
      </w:pPr>
      <w:r w:rsidRPr="005E005D">
        <w:br w:type="page"/>
      </w:r>
      <w:r>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5A3F39C" w14:textId="77777777" w:rsidR="00A929E1" w:rsidRPr="00F10305" w:rsidRDefault="0063678C" w:rsidP="00A929E1">
      <w:pPr>
        <w:pStyle w:val="TableGraphic"/>
        <w:tabs>
          <w:tab w:val="left" w:pos="6237"/>
        </w:tabs>
      </w:pPr>
      <w:r w:rsidRPr="0063678C">
        <w:rPr>
          <w:noProof/>
        </w:rPr>
        <w:drawing>
          <wp:inline distT="0" distB="0" distL="0" distR="0" wp14:anchorId="1FEE24F6" wp14:editId="0E0CAE10">
            <wp:extent cx="4895850" cy="5334367"/>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95850" cy="5334367"/>
                    </a:xfrm>
                    <a:prstGeom prst="rect">
                      <a:avLst/>
                    </a:prstGeom>
                    <a:noFill/>
                    <a:ln>
                      <a:noFill/>
                    </a:ln>
                  </pic:spPr>
                </pic:pic>
              </a:graphicData>
            </a:graphic>
          </wp:inline>
        </w:drawing>
      </w:r>
    </w:p>
    <w:p w14:paraId="7DC55A2C" w14:textId="77777777" w:rsidR="00A929E1" w:rsidRPr="00132F9E" w:rsidRDefault="00A929E1" w:rsidP="00A929E1">
      <w:pPr>
        <w:pStyle w:val="TableGraphic"/>
        <w:rPr>
          <w:rFonts w:ascii="Arial" w:hAnsi="Arial" w:cs="Arial"/>
          <w:sz w:val="16"/>
          <w:szCs w:val="16"/>
        </w:rPr>
      </w:pPr>
      <w:r w:rsidRPr="00132F9E">
        <w:rPr>
          <w:rFonts w:ascii="Arial" w:hAnsi="Arial" w:cs="Arial"/>
          <w:sz w:val="16"/>
          <w:szCs w:val="16"/>
        </w:rPr>
        <w:t>Prepared on Australian Accounting Standards basis.</w:t>
      </w:r>
    </w:p>
    <w:p w14:paraId="17213429" w14:textId="77777777" w:rsidR="00A929E1" w:rsidRPr="00132F9E" w:rsidRDefault="00A929E1" w:rsidP="00A929E1">
      <w:pPr>
        <w:pStyle w:val="NoSpacing"/>
        <w:rPr>
          <w:rFonts w:ascii="Arial" w:hAnsi="Arial" w:cs="Arial"/>
          <w:sz w:val="16"/>
          <w:szCs w:val="16"/>
        </w:rPr>
      </w:pPr>
    </w:p>
    <w:p w14:paraId="6FDACB34" w14:textId="77777777" w:rsidR="00A929E1" w:rsidRPr="00A00283" w:rsidRDefault="00A929E1" w:rsidP="00A929E1">
      <w:pPr>
        <w:pStyle w:val="TableHeading"/>
      </w:pPr>
      <w:r>
        <w:br w:type="page"/>
      </w:r>
      <w:r w:rsidRPr="00D30CBA">
        <w:t>Table</w:t>
      </w:r>
      <w:r>
        <w:t xml:space="preserve"> 3.5</w:t>
      </w:r>
      <w:r w:rsidRPr="00D30CBA">
        <w:t xml:space="preserve">: </w:t>
      </w:r>
      <w:r>
        <w:t>Departmental capital budget statement (for the period ended 30 June)</w:t>
      </w:r>
    </w:p>
    <w:p w14:paraId="37B28094" w14:textId="77777777" w:rsidR="00A929E1" w:rsidRPr="00132F9E" w:rsidRDefault="0063678C" w:rsidP="00A929E1">
      <w:pPr>
        <w:pStyle w:val="TableGraphic"/>
        <w:rPr>
          <w:rFonts w:ascii="Arial" w:hAnsi="Arial" w:cs="Arial"/>
          <w:sz w:val="16"/>
          <w:szCs w:val="16"/>
        </w:rPr>
      </w:pPr>
      <w:r w:rsidRPr="0063678C">
        <w:rPr>
          <w:noProof/>
        </w:rPr>
        <w:drawing>
          <wp:inline distT="0" distB="0" distL="0" distR="0" wp14:anchorId="177E543C" wp14:editId="64725304">
            <wp:extent cx="4895850" cy="3086273"/>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895850" cy="3086273"/>
                    </a:xfrm>
                    <a:prstGeom prst="rect">
                      <a:avLst/>
                    </a:prstGeom>
                    <a:noFill/>
                    <a:ln>
                      <a:noFill/>
                    </a:ln>
                  </pic:spPr>
                </pic:pic>
              </a:graphicData>
            </a:graphic>
          </wp:inline>
        </w:drawing>
      </w:r>
      <w:r w:rsidR="00A929E1" w:rsidRPr="00132F9E">
        <w:rPr>
          <w:rFonts w:ascii="Arial" w:hAnsi="Arial" w:cs="Arial"/>
          <w:sz w:val="16"/>
          <w:szCs w:val="16"/>
        </w:rPr>
        <w:t>Prepared on Australian Accounting Standards basis.</w:t>
      </w:r>
    </w:p>
    <w:p w14:paraId="55FB7CD0" w14:textId="77777777" w:rsidR="004F2E6A" w:rsidRDefault="00A929E1" w:rsidP="00392A48">
      <w:pPr>
        <w:pStyle w:val="ChartandTableFootnoteAlpha"/>
        <w:numPr>
          <w:ilvl w:val="0"/>
          <w:numId w:val="118"/>
        </w:numPr>
        <w:tabs>
          <w:tab w:val="num" w:pos="426"/>
        </w:tabs>
        <w:rPr>
          <w:rFonts w:cs="Arial"/>
          <w:szCs w:val="16"/>
        </w:rPr>
      </w:pPr>
      <w:r w:rsidRPr="004F2E6A">
        <w:rPr>
          <w:rFonts w:cs="Arial"/>
          <w:szCs w:val="16"/>
        </w:rPr>
        <w:t>Includes both current Bill 2 and prior Act 2/4/6 appropriations.</w:t>
      </w:r>
    </w:p>
    <w:p w14:paraId="2BF0299B" w14:textId="77777777" w:rsidR="00A929E1" w:rsidRPr="004F2E6A" w:rsidRDefault="00A929E1" w:rsidP="00392A48">
      <w:pPr>
        <w:pStyle w:val="ChartandTableFootnoteAlpha"/>
        <w:numPr>
          <w:ilvl w:val="0"/>
          <w:numId w:val="118"/>
        </w:numPr>
        <w:tabs>
          <w:tab w:val="num" w:pos="426"/>
        </w:tabs>
        <w:rPr>
          <w:rFonts w:cs="Arial"/>
          <w:szCs w:val="16"/>
        </w:rPr>
      </w:pPr>
      <w:r w:rsidRPr="004F2E6A">
        <w:rPr>
          <w:rFonts w:cs="Arial"/>
          <w:szCs w:val="16"/>
        </w:rPr>
        <w:t>Includes purchases fr</w:t>
      </w:r>
      <w:r w:rsidR="00066494">
        <w:rPr>
          <w:rFonts w:cs="Arial"/>
          <w:szCs w:val="16"/>
        </w:rPr>
        <w:t xml:space="preserve">om current and previous years’ </w:t>
      </w:r>
      <w:r w:rsidRPr="004F2E6A">
        <w:rPr>
          <w:rFonts w:cs="Arial"/>
          <w:szCs w:val="16"/>
        </w:rPr>
        <w:t>DCBs.</w:t>
      </w:r>
    </w:p>
    <w:p w14:paraId="3778E452" w14:textId="77777777" w:rsidR="00A929E1" w:rsidRDefault="00A929E1" w:rsidP="00A929E1">
      <w:pPr>
        <w:pStyle w:val="NoSpacing"/>
      </w:pPr>
    </w:p>
    <w:p w14:paraId="33DBDC6E" w14:textId="77777777" w:rsidR="00A929E1" w:rsidRDefault="00A929E1" w:rsidP="00A929E1">
      <w:pPr>
        <w:pStyle w:val="TableHeading"/>
      </w:pP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14A43C1C" w14:textId="77777777" w:rsidR="00A929E1" w:rsidRDefault="006867C3" w:rsidP="00A929E1">
      <w:pPr>
        <w:pStyle w:val="TableHeading"/>
      </w:pPr>
      <w:r w:rsidRPr="006867C3">
        <w:rPr>
          <w:noProof/>
          <w:lang w:val="en-AU" w:eastAsia="en-AU"/>
        </w:rPr>
        <w:drawing>
          <wp:inline distT="0" distB="0" distL="0" distR="0" wp14:anchorId="10E7BCC3" wp14:editId="2541456E">
            <wp:extent cx="4730750" cy="431165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30750" cy="4311650"/>
                    </a:xfrm>
                    <a:prstGeom prst="rect">
                      <a:avLst/>
                    </a:prstGeom>
                    <a:noFill/>
                    <a:ln>
                      <a:noFill/>
                    </a:ln>
                  </pic:spPr>
                </pic:pic>
              </a:graphicData>
            </a:graphic>
          </wp:inline>
        </w:drawing>
      </w:r>
    </w:p>
    <w:p w14:paraId="7BA2B0F8" w14:textId="77777777" w:rsidR="00592A28" w:rsidRPr="00132F9E" w:rsidRDefault="00592A28" w:rsidP="00592A28">
      <w:pPr>
        <w:pStyle w:val="TableGraphic"/>
        <w:rPr>
          <w:rFonts w:ascii="Arial" w:hAnsi="Arial" w:cs="Arial"/>
          <w:sz w:val="16"/>
          <w:szCs w:val="16"/>
        </w:rPr>
      </w:pPr>
      <w:r w:rsidRPr="00132F9E">
        <w:rPr>
          <w:rFonts w:ascii="Arial" w:hAnsi="Arial" w:cs="Arial"/>
          <w:sz w:val="16"/>
          <w:szCs w:val="16"/>
        </w:rPr>
        <w:t>Prepared on Australian Accounting Standards basis.</w:t>
      </w:r>
    </w:p>
    <w:p w14:paraId="2B6C2024" w14:textId="77777777" w:rsidR="00592A28" w:rsidRPr="00592A28" w:rsidRDefault="00592A28" w:rsidP="00392A48">
      <w:pPr>
        <w:pStyle w:val="ChartandTableFootnoteAlpha"/>
        <w:numPr>
          <w:ilvl w:val="0"/>
          <w:numId w:val="119"/>
        </w:numPr>
        <w:tabs>
          <w:tab w:val="num" w:pos="426"/>
        </w:tabs>
        <w:rPr>
          <w:rFonts w:cs="Arial"/>
          <w:szCs w:val="16"/>
        </w:rPr>
      </w:pPr>
      <w:r w:rsidRPr="00592A28">
        <w:rPr>
          <w:rFonts w:cs="Arial"/>
          <w:szCs w:val="16"/>
        </w:rPr>
        <w:t>'Appropriation equity' refers to equity injections appropriations provided thr</w:t>
      </w:r>
      <w:r w:rsidR="006867C3">
        <w:rPr>
          <w:rFonts w:cs="Arial"/>
          <w:szCs w:val="16"/>
        </w:rPr>
        <w:t>ough Appropriation Bill (No. 2) </w:t>
      </w:r>
      <w:r w:rsidRPr="00592A28">
        <w:rPr>
          <w:rFonts w:cs="Arial"/>
          <w:szCs w:val="16"/>
        </w:rPr>
        <w:t xml:space="preserve">2022-23, including </w:t>
      </w:r>
      <w:r>
        <w:t>collection development and acquisition budgets</w:t>
      </w:r>
      <w:r w:rsidRPr="00592A28">
        <w:rPr>
          <w:rFonts w:cs="Arial"/>
          <w:szCs w:val="16"/>
        </w:rPr>
        <w:t>.</w:t>
      </w:r>
    </w:p>
    <w:p w14:paraId="6E19DD44" w14:textId="77777777" w:rsidR="00592A28" w:rsidRPr="00592A28" w:rsidRDefault="00592A28" w:rsidP="00392A48">
      <w:pPr>
        <w:pStyle w:val="ChartandTableFootnoteAlpha"/>
        <w:numPr>
          <w:ilvl w:val="0"/>
          <w:numId w:val="118"/>
        </w:numPr>
        <w:tabs>
          <w:tab w:val="num" w:pos="426"/>
        </w:tabs>
        <w:rPr>
          <w:rFonts w:cs="Arial"/>
          <w:szCs w:val="16"/>
        </w:rPr>
      </w:pPr>
      <w:r w:rsidRPr="00592A28">
        <w:rPr>
          <w:rFonts w:cs="Arial"/>
          <w:szCs w:val="16"/>
        </w:rPr>
        <w:t>'Appropriation ordinary annual services' refers to funding provided th</w:t>
      </w:r>
      <w:r w:rsidR="006867C3">
        <w:rPr>
          <w:rFonts w:cs="Arial"/>
          <w:szCs w:val="16"/>
        </w:rPr>
        <w:t>rough Appropriation Bill (No.1) </w:t>
      </w:r>
      <w:r w:rsidRPr="00592A28">
        <w:rPr>
          <w:rFonts w:cs="Arial"/>
          <w:szCs w:val="16"/>
        </w:rPr>
        <w:t>2022</w:t>
      </w:r>
      <w:r w:rsidR="006867C3">
        <w:rPr>
          <w:rFonts w:cs="Arial"/>
          <w:szCs w:val="16"/>
        </w:rPr>
        <w:noBreakHyphen/>
      </w:r>
      <w:r w:rsidRPr="00592A28">
        <w:rPr>
          <w:rFonts w:cs="Arial"/>
          <w:szCs w:val="16"/>
        </w:rPr>
        <w:t>23 for depreciation/amortisation expenses, DCBs or other operational expenses.</w:t>
      </w:r>
    </w:p>
    <w:p w14:paraId="714A71E3" w14:textId="77777777" w:rsidR="00592A28" w:rsidRPr="00592A28" w:rsidRDefault="00592A28" w:rsidP="00592A28"/>
    <w:p w14:paraId="4FFFF8CA" w14:textId="77777777" w:rsidR="00A929E1" w:rsidRDefault="00A929E1" w:rsidP="00A929E1">
      <w:pPr>
        <w:pStyle w:val="TableHeading"/>
      </w:pPr>
    </w:p>
    <w:p w14:paraId="29F849CE" w14:textId="77777777" w:rsidR="00A929E1" w:rsidRDefault="00A929E1" w:rsidP="00A929E1">
      <w:pPr>
        <w:spacing w:after="0" w:line="240" w:lineRule="auto"/>
        <w:jc w:val="left"/>
        <w:rPr>
          <w:rFonts w:ascii="Arial" w:hAnsi="Arial"/>
          <w:b/>
          <w:color w:val="000000"/>
          <w:lang w:val="x-none" w:eastAsia="x-none"/>
        </w:rPr>
      </w:pPr>
      <w:r>
        <w:br w:type="page"/>
      </w:r>
    </w:p>
    <w:p w14:paraId="3534374F" w14:textId="77777777" w:rsidR="00A929E1" w:rsidRDefault="00A929E1" w:rsidP="00A929E1">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2F3A9283" w14:textId="77777777" w:rsidR="00A929E1" w:rsidRDefault="006867C3" w:rsidP="00A929E1">
      <w:pPr>
        <w:pStyle w:val="TableGraphic"/>
      </w:pPr>
      <w:r w:rsidRPr="006867C3">
        <w:rPr>
          <w:noProof/>
        </w:rPr>
        <w:drawing>
          <wp:inline distT="0" distB="0" distL="0" distR="0" wp14:anchorId="54115677" wp14:editId="382EF457">
            <wp:extent cx="4895850" cy="1553847"/>
            <wp:effectExtent l="0" t="0" r="0" b="825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95850" cy="1553847"/>
                    </a:xfrm>
                    <a:prstGeom prst="rect">
                      <a:avLst/>
                    </a:prstGeom>
                    <a:noFill/>
                    <a:ln>
                      <a:noFill/>
                    </a:ln>
                  </pic:spPr>
                </pic:pic>
              </a:graphicData>
            </a:graphic>
          </wp:inline>
        </w:drawing>
      </w:r>
    </w:p>
    <w:p w14:paraId="751389FF" w14:textId="77777777" w:rsidR="00A929E1" w:rsidRPr="00933A7D" w:rsidRDefault="00A929E1" w:rsidP="00A929E1">
      <w:pPr>
        <w:pStyle w:val="Source"/>
      </w:pPr>
      <w:r w:rsidRPr="00E4582E">
        <w:t>Prepared on Australian Accounting Standards basis</w:t>
      </w:r>
      <w:r>
        <w:t>.</w:t>
      </w:r>
    </w:p>
    <w:p w14:paraId="09A1F6BF" w14:textId="77777777" w:rsidR="00A929E1" w:rsidRPr="00FD522D" w:rsidRDefault="00A929E1" w:rsidP="00A929E1"/>
    <w:p w14:paraId="2583C1A6" w14:textId="77777777" w:rsidR="00A929E1" w:rsidRDefault="00A929E1" w:rsidP="00A929E1">
      <w:pPr>
        <w:pStyle w:val="TableHeading"/>
      </w:pPr>
      <w:r>
        <w:br w:type="page"/>
      </w: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4AA8C2FD" w14:textId="77777777" w:rsidR="00A929E1" w:rsidRDefault="00A929E1" w:rsidP="00A929E1">
      <w:pPr>
        <w:pStyle w:val="TableGraphic"/>
        <w:rPr>
          <w:noProof/>
        </w:rPr>
      </w:pPr>
    </w:p>
    <w:p w14:paraId="474D3AE7" w14:textId="77777777" w:rsidR="00A929E1" w:rsidRPr="009763C1" w:rsidRDefault="00A929E1" w:rsidP="00A929E1">
      <w:pPr>
        <w:pStyle w:val="TableGraphic"/>
        <w:rPr>
          <w:lang w:val="x-none" w:eastAsia="x-none"/>
        </w:rPr>
      </w:pPr>
      <w:r>
        <w:rPr>
          <w:noProof/>
        </w:rPr>
        <w:t>ONI has no assets or liabilities administered on behalf of the Government</w:t>
      </w:r>
    </w:p>
    <w:p w14:paraId="78D98555" w14:textId="77777777" w:rsidR="00A929E1" w:rsidRDefault="00A929E1" w:rsidP="00A929E1">
      <w:pPr>
        <w:pStyle w:val="TableHeadingcontinued"/>
      </w:pPr>
    </w:p>
    <w:p w14:paraId="4BDD10C7" w14:textId="77777777" w:rsidR="00A929E1" w:rsidRDefault="00A929E1" w:rsidP="00A929E1">
      <w:pPr>
        <w:pStyle w:val="TableHeadingcontinued"/>
      </w:pPr>
    </w:p>
    <w:p w14:paraId="7AD988B7" w14:textId="77777777" w:rsidR="00A929E1" w:rsidRDefault="00A929E1" w:rsidP="00A929E1">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p w14:paraId="065EE04D" w14:textId="77777777" w:rsidR="00A929E1" w:rsidRPr="0044552A" w:rsidRDefault="006867C3" w:rsidP="00A929E1">
      <w:pPr>
        <w:pStyle w:val="TableGraphic"/>
      </w:pPr>
      <w:r w:rsidRPr="006867C3">
        <w:rPr>
          <w:noProof/>
        </w:rPr>
        <w:drawing>
          <wp:inline distT="0" distB="0" distL="0" distR="0" wp14:anchorId="7C6070AA" wp14:editId="1ACF1967">
            <wp:extent cx="4895850" cy="2558914"/>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95850" cy="2558914"/>
                    </a:xfrm>
                    <a:prstGeom prst="rect">
                      <a:avLst/>
                    </a:prstGeom>
                    <a:noFill/>
                    <a:ln>
                      <a:noFill/>
                    </a:ln>
                  </pic:spPr>
                </pic:pic>
              </a:graphicData>
            </a:graphic>
          </wp:inline>
        </w:drawing>
      </w:r>
    </w:p>
    <w:p w14:paraId="00CF9B5B" w14:textId="77777777" w:rsidR="00A929E1" w:rsidRDefault="00A929E1" w:rsidP="00A929E1">
      <w:pPr>
        <w:pStyle w:val="ChartandTableFootnote"/>
        <w:sectPr w:rsidR="00A929E1" w:rsidSect="008E3557">
          <w:headerReference w:type="first" r:id="rId377"/>
          <w:footerReference w:type="first" r:id="rId378"/>
          <w:pgSz w:w="11906" w:h="16838" w:code="9"/>
          <w:pgMar w:top="2835" w:right="2098" w:bottom="2466" w:left="2098" w:header="1814" w:footer="1814" w:gutter="0"/>
          <w:cols w:space="708"/>
          <w:titlePg/>
          <w:docGrid w:linePitch="360"/>
        </w:sectPr>
      </w:pPr>
      <w:r>
        <w:t>Prepared on Australian Accounting Standards basis.</w:t>
      </w:r>
    </w:p>
    <w:p w14:paraId="37879A12" w14:textId="77777777" w:rsidR="00446C60" w:rsidRPr="00F33439" w:rsidRDefault="00446C60" w:rsidP="00446C60">
      <w:pPr>
        <w:keepNext/>
        <w:spacing w:after="360" w:line="240" w:lineRule="auto"/>
        <w:jc w:val="center"/>
        <w:outlineLvl w:val="0"/>
        <w:rPr>
          <w:rFonts w:ascii="Arial Bold" w:hAnsi="Arial Bold"/>
          <w:b/>
          <w:kern w:val="28"/>
          <w:sz w:val="52"/>
          <w:szCs w:val="52"/>
        </w:rPr>
      </w:pPr>
      <w:bookmarkStart w:id="860" w:name="_Toc68602807"/>
      <w:bookmarkStart w:id="861" w:name="_Toc68603344"/>
      <w:r w:rsidRPr="00F33439">
        <w:rPr>
          <w:rFonts w:ascii="Arial Bold" w:hAnsi="Arial Bold"/>
          <w:b/>
          <w:kern w:val="28"/>
          <w:sz w:val="52"/>
          <w:szCs w:val="52"/>
        </w:rPr>
        <w:t>Office of the</w:t>
      </w:r>
      <w:r w:rsidRPr="00F33439">
        <w:rPr>
          <w:rFonts w:ascii="Arial Bold" w:hAnsi="Arial Bold"/>
          <w:b/>
          <w:kern w:val="28"/>
          <w:sz w:val="52"/>
          <w:szCs w:val="52"/>
        </w:rPr>
        <w:br/>
        <w:t>Official Secretary to the</w:t>
      </w:r>
      <w:r w:rsidRPr="00F33439">
        <w:rPr>
          <w:rFonts w:ascii="Arial Bold" w:hAnsi="Arial Bold"/>
          <w:b/>
          <w:kern w:val="28"/>
          <w:sz w:val="52"/>
          <w:szCs w:val="52"/>
        </w:rPr>
        <w:br/>
        <w:t>Governor-General</w:t>
      </w:r>
      <w:bookmarkEnd w:id="860"/>
      <w:bookmarkEnd w:id="861"/>
    </w:p>
    <w:p w14:paraId="682E7E3A" w14:textId="77777777" w:rsidR="00446C60" w:rsidRPr="00F33439" w:rsidRDefault="00446C60" w:rsidP="00446C60">
      <w:pPr>
        <w:spacing w:after="480" w:line="240" w:lineRule="auto"/>
        <w:jc w:val="center"/>
        <w:rPr>
          <w:rFonts w:ascii="Arial Bold" w:hAnsi="Arial Bold" w:cs="Arial"/>
          <w:b/>
          <w:bCs/>
          <w:kern w:val="28"/>
          <w:sz w:val="52"/>
          <w:szCs w:val="32"/>
        </w:rPr>
      </w:pPr>
    </w:p>
    <w:p w14:paraId="5AAD6CA2" w14:textId="77777777" w:rsidR="00446C60" w:rsidRPr="00F33439" w:rsidRDefault="00446C60" w:rsidP="00446C60">
      <w:pPr>
        <w:spacing w:after="480" w:line="240" w:lineRule="auto"/>
        <w:jc w:val="center"/>
        <w:rPr>
          <w:rFonts w:ascii="Arial Bold" w:hAnsi="Arial Bold" w:cs="Arial"/>
          <w:b/>
          <w:bCs/>
          <w:kern w:val="28"/>
          <w:sz w:val="52"/>
          <w:szCs w:val="32"/>
        </w:rPr>
      </w:pPr>
    </w:p>
    <w:p w14:paraId="4A2D5C77" w14:textId="77777777" w:rsidR="00446C60" w:rsidRPr="00F33439" w:rsidRDefault="00446C60" w:rsidP="00446C60">
      <w:pPr>
        <w:spacing w:after="480" w:line="240" w:lineRule="auto"/>
        <w:jc w:val="center"/>
        <w:rPr>
          <w:rFonts w:ascii="Arial Bold" w:hAnsi="Arial Bold" w:cs="Arial"/>
          <w:b/>
          <w:bCs/>
          <w:kern w:val="28"/>
          <w:sz w:val="52"/>
          <w:szCs w:val="32"/>
        </w:rPr>
      </w:pPr>
      <w:bookmarkStart w:id="862" w:name="_Toc534896009"/>
      <w:r w:rsidRPr="00F33439">
        <w:rPr>
          <w:rFonts w:ascii="Arial Bold" w:hAnsi="Arial Bold" w:cs="Arial"/>
          <w:b/>
          <w:bCs/>
          <w:kern w:val="28"/>
          <w:sz w:val="52"/>
          <w:szCs w:val="32"/>
        </w:rPr>
        <w:t>Entity resources and planned performance</w:t>
      </w:r>
      <w:bookmarkEnd w:id="862"/>
    </w:p>
    <w:p w14:paraId="4941245C" w14:textId="77777777" w:rsidR="008E3557" w:rsidRDefault="008E3557" w:rsidP="00446C60">
      <w:pPr>
        <w:spacing w:after="480" w:line="240" w:lineRule="auto"/>
        <w:jc w:val="center"/>
        <w:rPr>
          <w:rFonts w:ascii="Arial Bold" w:hAnsi="Arial Bold" w:cs="Arial"/>
          <w:b/>
          <w:bCs/>
          <w:kern w:val="28"/>
          <w:sz w:val="52"/>
          <w:szCs w:val="32"/>
        </w:rPr>
      </w:pPr>
    </w:p>
    <w:p w14:paraId="631CC32C" w14:textId="77777777" w:rsidR="008E3557" w:rsidRDefault="008E3557">
      <w:pPr>
        <w:spacing w:after="0" w:line="240" w:lineRule="auto"/>
        <w:jc w:val="left"/>
        <w:rPr>
          <w:rFonts w:ascii="Arial Bold" w:hAnsi="Arial Bold" w:cs="Arial"/>
          <w:b/>
          <w:bCs/>
          <w:kern w:val="28"/>
          <w:sz w:val="52"/>
          <w:szCs w:val="32"/>
        </w:rPr>
      </w:pPr>
      <w:r>
        <w:rPr>
          <w:rFonts w:ascii="Arial Bold" w:hAnsi="Arial Bold" w:cs="Arial"/>
          <w:b/>
          <w:bCs/>
          <w:kern w:val="28"/>
          <w:sz w:val="52"/>
          <w:szCs w:val="32"/>
        </w:rPr>
        <w:br w:type="page"/>
      </w:r>
    </w:p>
    <w:p w14:paraId="61786272" w14:textId="77777777" w:rsidR="008E3557" w:rsidRDefault="008E3557" w:rsidP="00446C60">
      <w:pPr>
        <w:spacing w:after="480" w:line="240" w:lineRule="auto"/>
        <w:jc w:val="center"/>
        <w:rPr>
          <w:rFonts w:ascii="Arial Bold" w:hAnsi="Arial Bold" w:cs="Arial"/>
          <w:b/>
          <w:bCs/>
          <w:kern w:val="28"/>
          <w:sz w:val="52"/>
          <w:szCs w:val="32"/>
        </w:rPr>
      </w:pPr>
    </w:p>
    <w:p w14:paraId="6265AC18" w14:textId="77777777" w:rsidR="00350E6F" w:rsidRDefault="008E3557">
      <w:pPr>
        <w:spacing w:after="0" w:line="240" w:lineRule="auto"/>
        <w:jc w:val="left"/>
        <w:rPr>
          <w:rFonts w:ascii="Arial Bold" w:hAnsi="Arial Bold" w:cs="Arial"/>
          <w:b/>
          <w:bCs/>
          <w:kern w:val="28"/>
          <w:sz w:val="52"/>
          <w:szCs w:val="32"/>
        </w:rPr>
        <w:sectPr w:rsidR="00350E6F" w:rsidSect="00F22798">
          <w:headerReference w:type="even" r:id="rId379"/>
          <w:headerReference w:type="default" r:id="rId380"/>
          <w:footerReference w:type="even" r:id="rId381"/>
          <w:footerReference w:type="default" r:id="rId382"/>
          <w:headerReference w:type="first" r:id="rId383"/>
          <w:footerReference w:type="first" r:id="rId384"/>
          <w:type w:val="oddPage"/>
          <w:pgSz w:w="11906" w:h="16838" w:code="9"/>
          <w:pgMar w:top="2835" w:right="2098" w:bottom="2466" w:left="2098" w:header="1814" w:footer="1814" w:gutter="0"/>
          <w:cols w:space="708"/>
          <w:vAlign w:val="center"/>
          <w:titlePg/>
          <w:docGrid w:linePitch="360"/>
        </w:sectPr>
      </w:pPr>
      <w:r>
        <w:rPr>
          <w:rFonts w:ascii="Arial Bold" w:hAnsi="Arial Bold" w:cs="Arial"/>
          <w:b/>
          <w:bCs/>
          <w:kern w:val="28"/>
          <w:sz w:val="52"/>
          <w:szCs w:val="32"/>
        </w:rPr>
        <w:br w:type="page"/>
      </w:r>
    </w:p>
    <w:p w14:paraId="7187F825" w14:textId="77777777" w:rsidR="008E3557" w:rsidRDefault="008E3557">
      <w:pPr>
        <w:spacing w:after="0" w:line="240" w:lineRule="auto"/>
        <w:jc w:val="left"/>
        <w:rPr>
          <w:rFonts w:ascii="Arial Bold" w:hAnsi="Arial Bold" w:cs="Arial"/>
          <w:b/>
          <w:bCs/>
          <w:kern w:val="28"/>
          <w:sz w:val="52"/>
          <w:szCs w:val="32"/>
        </w:rPr>
      </w:pPr>
    </w:p>
    <w:p w14:paraId="0847A512" w14:textId="77777777" w:rsidR="00446C60" w:rsidRPr="00F33439" w:rsidRDefault="00446C60" w:rsidP="00446C60">
      <w:pPr>
        <w:keepNext/>
        <w:spacing w:after="600" w:line="240" w:lineRule="auto"/>
        <w:jc w:val="center"/>
        <w:rPr>
          <w:rFonts w:ascii="Arial Bold" w:hAnsi="Arial Bold"/>
          <w:b/>
          <w:sz w:val="36"/>
        </w:rPr>
      </w:pPr>
      <w:r w:rsidRPr="00F33439">
        <w:rPr>
          <w:rFonts w:ascii="Arial Bold" w:hAnsi="Arial Bold"/>
          <w:b/>
          <w:sz w:val="36"/>
        </w:rPr>
        <w:t>Office of the Official Secretary to the Governor-General</w:t>
      </w:r>
    </w:p>
    <w:p w14:paraId="3F94604E"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47" w:history="1">
        <w:r w:rsidR="001E043E" w:rsidRPr="00F15159">
          <w:rPr>
            <w:rStyle w:val="Hyperlink"/>
            <w:noProof/>
          </w:rPr>
          <w:t>Section 1: Entity overview and resources</w:t>
        </w:r>
        <w:r w:rsidR="001E043E">
          <w:rPr>
            <w:noProof/>
            <w:webHidden/>
          </w:rPr>
          <w:tab/>
        </w:r>
        <w:r w:rsidR="001E043E">
          <w:rPr>
            <w:noProof/>
            <w:webHidden/>
          </w:rPr>
          <w:fldChar w:fldCharType="begin"/>
        </w:r>
        <w:r w:rsidR="001E043E">
          <w:rPr>
            <w:noProof/>
            <w:webHidden/>
          </w:rPr>
          <w:instrText xml:space="preserve"> PAGEREF _Toc98766447 \h </w:instrText>
        </w:r>
        <w:r w:rsidR="001E043E">
          <w:rPr>
            <w:noProof/>
            <w:webHidden/>
          </w:rPr>
        </w:r>
        <w:r w:rsidR="001E043E">
          <w:rPr>
            <w:noProof/>
            <w:webHidden/>
          </w:rPr>
          <w:fldChar w:fldCharType="separate"/>
        </w:r>
        <w:r w:rsidR="00AC2929">
          <w:rPr>
            <w:noProof/>
            <w:webHidden/>
          </w:rPr>
          <w:t>301</w:t>
        </w:r>
        <w:r w:rsidR="001E043E">
          <w:rPr>
            <w:noProof/>
            <w:webHidden/>
          </w:rPr>
          <w:fldChar w:fldCharType="end"/>
        </w:r>
      </w:hyperlink>
    </w:p>
    <w:p w14:paraId="3A3F7617"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48" w:history="1">
        <w:r w:rsidR="001E043E" w:rsidRPr="00F15159">
          <w:rPr>
            <w:rStyle w:val="Hyperlink"/>
            <w:noProof/>
          </w:rPr>
          <w:t>1.1</w:t>
        </w:r>
        <w:r w:rsidR="001E043E">
          <w:rPr>
            <w:rFonts w:asciiTheme="minorHAnsi" w:eastAsiaTheme="minorEastAsia" w:hAnsiTheme="minorHAnsi" w:cstheme="minorBidi"/>
            <w:noProof/>
            <w:sz w:val="22"/>
            <w:szCs w:val="22"/>
          </w:rPr>
          <w:tab/>
        </w:r>
        <w:r w:rsidR="001E043E" w:rsidRPr="00F15159">
          <w:rPr>
            <w:rStyle w:val="Hyperlink"/>
            <w:noProof/>
          </w:rPr>
          <w:t>Strategic direction statement</w:t>
        </w:r>
        <w:r w:rsidR="001E043E">
          <w:rPr>
            <w:noProof/>
            <w:webHidden/>
          </w:rPr>
          <w:tab/>
        </w:r>
        <w:r w:rsidR="001E043E">
          <w:rPr>
            <w:noProof/>
            <w:webHidden/>
          </w:rPr>
          <w:fldChar w:fldCharType="begin"/>
        </w:r>
        <w:r w:rsidR="001E043E">
          <w:rPr>
            <w:noProof/>
            <w:webHidden/>
          </w:rPr>
          <w:instrText xml:space="preserve"> PAGEREF _Toc98766448 \h </w:instrText>
        </w:r>
        <w:r w:rsidR="001E043E">
          <w:rPr>
            <w:noProof/>
            <w:webHidden/>
          </w:rPr>
        </w:r>
        <w:r w:rsidR="001E043E">
          <w:rPr>
            <w:noProof/>
            <w:webHidden/>
          </w:rPr>
          <w:fldChar w:fldCharType="separate"/>
        </w:r>
        <w:r w:rsidR="00AC2929">
          <w:rPr>
            <w:noProof/>
            <w:webHidden/>
          </w:rPr>
          <w:t>301</w:t>
        </w:r>
        <w:r w:rsidR="001E043E">
          <w:rPr>
            <w:noProof/>
            <w:webHidden/>
          </w:rPr>
          <w:fldChar w:fldCharType="end"/>
        </w:r>
      </w:hyperlink>
    </w:p>
    <w:p w14:paraId="2FA21D75"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49" w:history="1">
        <w:r w:rsidR="001E043E" w:rsidRPr="00F15159">
          <w:rPr>
            <w:rStyle w:val="Hyperlink"/>
            <w:noProof/>
          </w:rPr>
          <w:t>1.2</w:t>
        </w:r>
        <w:r w:rsidR="001E043E">
          <w:rPr>
            <w:rFonts w:asciiTheme="minorHAnsi" w:eastAsiaTheme="minorEastAsia" w:hAnsiTheme="minorHAnsi" w:cstheme="minorBidi"/>
            <w:noProof/>
            <w:sz w:val="22"/>
            <w:szCs w:val="22"/>
          </w:rPr>
          <w:tab/>
        </w:r>
        <w:r w:rsidR="001E043E" w:rsidRPr="00F15159">
          <w:rPr>
            <w:rStyle w:val="Hyperlink"/>
            <w:noProof/>
          </w:rPr>
          <w:t>Entity resource statement</w:t>
        </w:r>
        <w:r w:rsidR="001E043E">
          <w:rPr>
            <w:noProof/>
            <w:webHidden/>
          </w:rPr>
          <w:tab/>
        </w:r>
        <w:r w:rsidR="001E043E">
          <w:rPr>
            <w:noProof/>
            <w:webHidden/>
          </w:rPr>
          <w:fldChar w:fldCharType="begin"/>
        </w:r>
        <w:r w:rsidR="001E043E">
          <w:rPr>
            <w:noProof/>
            <w:webHidden/>
          </w:rPr>
          <w:instrText xml:space="preserve"> PAGEREF _Toc98766449 \h </w:instrText>
        </w:r>
        <w:r w:rsidR="001E043E">
          <w:rPr>
            <w:noProof/>
            <w:webHidden/>
          </w:rPr>
        </w:r>
        <w:r w:rsidR="001E043E">
          <w:rPr>
            <w:noProof/>
            <w:webHidden/>
          </w:rPr>
          <w:fldChar w:fldCharType="separate"/>
        </w:r>
        <w:r w:rsidR="00AC2929">
          <w:rPr>
            <w:noProof/>
            <w:webHidden/>
          </w:rPr>
          <w:t>302</w:t>
        </w:r>
        <w:r w:rsidR="001E043E">
          <w:rPr>
            <w:noProof/>
            <w:webHidden/>
          </w:rPr>
          <w:fldChar w:fldCharType="end"/>
        </w:r>
      </w:hyperlink>
    </w:p>
    <w:p w14:paraId="7950E7D1"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50" w:history="1">
        <w:r w:rsidR="001E043E" w:rsidRPr="00F15159">
          <w:rPr>
            <w:rStyle w:val="Hyperlink"/>
            <w:noProof/>
          </w:rPr>
          <w:t>1.3</w:t>
        </w:r>
        <w:r w:rsidR="001E043E">
          <w:rPr>
            <w:rFonts w:asciiTheme="minorHAnsi" w:eastAsiaTheme="minorEastAsia" w:hAnsiTheme="minorHAnsi" w:cstheme="minorBidi"/>
            <w:noProof/>
            <w:sz w:val="22"/>
            <w:szCs w:val="22"/>
          </w:rPr>
          <w:tab/>
        </w:r>
        <w:r w:rsidR="001E043E" w:rsidRPr="00F15159">
          <w:rPr>
            <w:rStyle w:val="Hyperlink"/>
            <w:noProof/>
          </w:rPr>
          <w:t>Budget measures</w:t>
        </w:r>
        <w:r w:rsidR="001E043E">
          <w:rPr>
            <w:noProof/>
            <w:webHidden/>
          </w:rPr>
          <w:tab/>
        </w:r>
        <w:r w:rsidR="001E043E">
          <w:rPr>
            <w:noProof/>
            <w:webHidden/>
          </w:rPr>
          <w:fldChar w:fldCharType="begin"/>
        </w:r>
        <w:r w:rsidR="001E043E">
          <w:rPr>
            <w:noProof/>
            <w:webHidden/>
          </w:rPr>
          <w:instrText xml:space="preserve"> PAGEREF _Toc98766450 \h </w:instrText>
        </w:r>
        <w:r w:rsidR="001E043E">
          <w:rPr>
            <w:noProof/>
            <w:webHidden/>
          </w:rPr>
        </w:r>
        <w:r w:rsidR="001E043E">
          <w:rPr>
            <w:noProof/>
            <w:webHidden/>
          </w:rPr>
          <w:fldChar w:fldCharType="separate"/>
        </w:r>
        <w:r w:rsidR="00AC2929">
          <w:rPr>
            <w:noProof/>
            <w:webHidden/>
          </w:rPr>
          <w:t>304</w:t>
        </w:r>
        <w:r w:rsidR="001E043E">
          <w:rPr>
            <w:noProof/>
            <w:webHidden/>
          </w:rPr>
          <w:fldChar w:fldCharType="end"/>
        </w:r>
      </w:hyperlink>
    </w:p>
    <w:p w14:paraId="2FDA46B8"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51" w:history="1">
        <w:r w:rsidR="001E043E" w:rsidRPr="00F15159">
          <w:rPr>
            <w:rStyle w:val="Hyperlink"/>
            <w:noProof/>
          </w:rPr>
          <w:t>Section 2: Outcomes and planned performance</w:t>
        </w:r>
        <w:r w:rsidR="001E043E">
          <w:rPr>
            <w:noProof/>
            <w:webHidden/>
          </w:rPr>
          <w:tab/>
        </w:r>
        <w:r w:rsidR="001E043E">
          <w:rPr>
            <w:noProof/>
            <w:webHidden/>
          </w:rPr>
          <w:fldChar w:fldCharType="begin"/>
        </w:r>
        <w:r w:rsidR="001E043E">
          <w:rPr>
            <w:noProof/>
            <w:webHidden/>
          </w:rPr>
          <w:instrText xml:space="preserve"> PAGEREF _Toc98766451 \h </w:instrText>
        </w:r>
        <w:r w:rsidR="001E043E">
          <w:rPr>
            <w:noProof/>
            <w:webHidden/>
          </w:rPr>
        </w:r>
        <w:r w:rsidR="001E043E">
          <w:rPr>
            <w:noProof/>
            <w:webHidden/>
          </w:rPr>
          <w:fldChar w:fldCharType="separate"/>
        </w:r>
        <w:r w:rsidR="00AC2929">
          <w:rPr>
            <w:noProof/>
            <w:webHidden/>
          </w:rPr>
          <w:t>305</w:t>
        </w:r>
        <w:r w:rsidR="001E043E">
          <w:rPr>
            <w:noProof/>
            <w:webHidden/>
          </w:rPr>
          <w:fldChar w:fldCharType="end"/>
        </w:r>
      </w:hyperlink>
    </w:p>
    <w:p w14:paraId="63D7DC2E"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52" w:history="1">
        <w:r w:rsidR="001E043E" w:rsidRPr="00F15159">
          <w:rPr>
            <w:rStyle w:val="Hyperlink"/>
            <w:noProof/>
          </w:rPr>
          <w:t xml:space="preserve">2.1 </w:t>
        </w:r>
        <w:r w:rsidR="001E043E">
          <w:rPr>
            <w:rFonts w:asciiTheme="minorHAnsi" w:eastAsiaTheme="minorEastAsia" w:hAnsiTheme="minorHAnsi" w:cstheme="minorBidi"/>
            <w:noProof/>
            <w:sz w:val="22"/>
            <w:szCs w:val="22"/>
          </w:rPr>
          <w:tab/>
        </w:r>
        <w:r w:rsidR="001E043E" w:rsidRPr="00F15159">
          <w:rPr>
            <w:rStyle w:val="Hyperlink"/>
            <w:noProof/>
          </w:rPr>
          <w:t>Budgeted expenses and performance for Outcome 1</w:t>
        </w:r>
        <w:r w:rsidR="001E043E">
          <w:rPr>
            <w:noProof/>
            <w:webHidden/>
          </w:rPr>
          <w:tab/>
        </w:r>
        <w:r w:rsidR="001E043E">
          <w:rPr>
            <w:noProof/>
            <w:webHidden/>
          </w:rPr>
          <w:fldChar w:fldCharType="begin"/>
        </w:r>
        <w:r w:rsidR="001E043E">
          <w:rPr>
            <w:noProof/>
            <w:webHidden/>
          </w:rPr>
          <w:instrText xml:space="preserve"> PAGEREF _Toc98766452 \h </w:instrText>
        </w:r>
        <w:r w:rsidR="001E043E">
          <w:rPr>
            <w:noProof/>
            <w:webHidden/>
          </w:rPr>
        </w:r>
        <w:r w:rsidR="001E043E">
          <w:rPr>
            <w:noProof/>
            <w:webHidden/>
          </w:rPr>
          <w:fldChar w:fldCharType="separate"/>
        </w:r>
        <w:r w:rsidR="00AC2929">
          <w:rPr>
            <w:noProof/>
            <w:webHidden/>
          </w:rPr>
          <w:t>306</w:t>
        </w:r>
        <w:r w:rsidR="001E043E">
          <w:rPr>
            <w:noProof/>
            <w:webHidden/>
          </w:rPr>
          <w:fldChar w:fldCharType="end"/>
        </w:r>
      </w:hyperlink>
    </w:p>
    <w:p w14:paraId="6B26BAA8"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53" w:history="1">
        <w:r w:rsidR="001E043E" w:rsidRPr="00F15159">
          <w:rPr>
            <w:rStyle w:val="Hyperlink"/>
            <w:noProof/>
          </w:rPr>
          <w:t>Section 3: Budgeted financial statements</w:t>
        </w:r>
        <w:r w:rsidR="001E043E">
          <w:rPr>
            <w:noProof/>
            <w:webHidden/>
          </w:rPr>
          <w:tab/>
        </w:r>
        <w:r w:rsidR="001E043E">
          <w:rPr>
            <w:noProof/>
            <w:webHidden/>
          </w:rPr>
          <w:fldChar w:fldCharType="begin"/>
        </w:r>
        <w:r w:rsidR="001E043E">
          <w:rPr>
            <w:noProof/>
            <w:webHidden/>
          </w:rPr>
          <w:instrText xml:space="preserve"> PAGEREF _Toc98766453 \h </w:instrText>
        </w:r>
        <w:r w:rsidR="001E043E">
          <w:rPr>
            <w:noProof/>
            <w:webHidden/>
          </w:rPr>
        </w:r>
        <w:r w:rsidR="001E043E">
          <w:rPr>
            <w:noProof/>
            <w:webHidden/>
          </w:rPr>
          <w:fldChar w:fldCharType="separate"/>
        </w:r>
        <w:r w:rsidR="00AC2929">
          <w:rPr>
            <w:noProof/>
            <w:webHidden/>
          </w:rPr>
          <w:t>310</w:t>
        </w:r>
        <w:r w:rsidR="001E043E">
          <w:rPr>
            <w:noProof/>
            <w:webHidden/>
          </w:rPr>
          <w:fldChar w:fldCharType="end"/>
        </w:r>
      </w:hyperlink>
    </w:p>
    <w:p w14:paraId="47D3B917"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54" w:history="1">
        <w:r w:rsidR="001E043E" w:rsidRPr="00F15159">
          <w:rPr>
            <w:rStyle w:val="Hyperlink"/>
            <w:noProof/>
          </w:rPr>
          <w:t>3.1</w:t>
        </w:r>
        <w:r w:rsidR="001E043E">
          <w:rPr>
            <w:rFonts w:asciiTheme="minorHAnsi" w:eastAsiaTheme="minorEastAsia" w:hAnsiTheme="minorHAnsi" w:cstheme="minorBidi"/>
            <w:noProof/>
            <w:sz w:val="22"/>
            <w:szCs w:val="22"/>
          </w:rPr>
          <w:tab/>
        </w:r>
        <w:r w:rsidR="001E043E" w:rsidRPr="00F15159">
          <w:rPr>
            <w:rStyle w:val="Hyperlink"/>
            <w:noProof/>
          </w:rPr>
          <w:t>Budgeted financial statements</w:t>
        </w:r>
        <w:r w:rsidR="001E043E">
          <w:rPr>
            <w:noProof/>
            <w:webHidden/>
          </w:rPr>
          <w:tab/>
        </w:r>
        <w:r w:rsidR="001E043E">
          <w:rPr>
            <w:noProof/>
            <w:webHidden/>
          </w:rPr>
          <w:fldChar w:fldCharType="begin"/>
        </w:r>
        <w:r w:rsidR="001E043E">
          <w:rPr>
            <w:noProof/>
            <w:webHidden/>
          </w:rPr>
          <w:instrText xml:space="preserve"> PAGEREF _Toc98766454 \h </w:instrText>
        </w:r>
        <w:r w:rsidR="001E043E">
          <w:rPr>
            <w:noProof/>
            <w:webHidden/>
          </w:rPr>
        </w:r>
        <w:r w:rsidR="001E043E">
          <w:rPr>
            <w:noProof/>
            <w:webHidden/>
          </w:rPr>
          <w:fldChar w:fldCharType="separate"/>
        </w:r>
        <w:r w:rsidR="00AC2929">
          <w:rPr>
            <w:noProof/>
            <w:webHidden/>
          </w:rPr>
          <w:t>310</w:t>
        </w:r>
        <w:r w:rsidR="001E043E">
          <w:rPr>
            <w:noProof/>
            <w:webHidden/>
          </w:rPr>
          <w:fldChar w:fldCharType="end"/>
        </w:r>
      </w:hyperlink>
    </w:p>
    <w:p w14:paraId="20707D27" w14:textId="77777777" w:rsidR="00446C60" w:rsidRPr="00F33439" w:rsidRDefault="00446C60" w:rsidP="00446C60"/>
    <w:p w14:paraId="167DF3D3" w14:textId="77777777" w:rsidR="002456F1" w:rsidRDefault="002456F1" w:rsidP="00446C60">
      <w:pPr>
        <w:keepNext/>
        <w:spacing w:after="600" w:line="240" w:lineRule="auto"/>
        <w:jc w:val="center"/>
        <w:rPr>
          <w:rFonts w:ascii="Arial Bold" w:hAnsi="Arial Bold"/>
          <w:b/>
          <w:sz w:val="36"/>
        </w:rPr>
      </w:pPr>
    </w:p>
    <w:p w14:paraId="78FF9108" w14:textId="77777777" w:rsidR="00F95615" w:rsidRDefault="00F95615">
      <w:pPr>
        <w:spacing w:after="0" w:line="240" w:lineRule="auto"/>
        <w:jc w:val="left"/>
        <w:rPr>
          <w:rFonts w:ascii="Arial Bold" w:hAnsi="Arial Bold"/>
          <w:b/>
          <w:sz w:val="36"/>
        </w:rPr>
      </w:pPr>
    </w:p>
    <w:p w14:paraId="7F6BE6A0" w14:textId="77777777" w:rsidR="00C221A7" w:rsidRDefault="00C221A7">
      <w:pPr>
        <w:spacing w:after="0" w:line="240" w:lineRule="auto"/>
        <w:jc w:val="left"/>
        <w:rPr>
          <w:rFonts w:ascii="Arial Bold" w:hAnsi="Arial Bold"/>
          <w:b/>
          <w:sz w:val="36"/>
        </w:rPr>
      </w:pPr>
    </w:p>
    <w:p w14:paraId="697B78BD" w14:textId="77777777" w:rsidR="00C221A7" w:rsidRDefault="00C221A7">
      <w:pPr>
        <w:spacing w:after="0" w:line="240" w:lineRule="auto"/>
        <w:jc w:val="left"/>
        <w:rPr>
          <w:rFonts w:ascii="Arial Bold" w:hAnsi="Arial Bold"/>
          <w:b/>
          <w:sz w:val="36"/>
        </w:rPr>
      </w:pPr>
      <w:r>
        <w:rPr>
          <w:rFonts w:ascii="Arial Bold" w:hAnsi="Arial Bold"/>
          <w:b/>
          <w:sz w:val="36"/>
        </w:rPr>
        <w:br w:type="page"/>
      </w:r>
    </w:p>
    <w:p w14:paraId="40D3EB2A" w14:textId="77777777" w:rsidR="00C221A7" w:rsidRDefault="00C221A7">
      <w:pPr>
        <w:spacing w:after="0" w:line="240" w:lineRule="auto"/>
        <w:jc w:val="left"/>
        <w:rPr>
          <w:rFonts w:ascii="Arial Bold" w:hAnsi="Arial Bold"/>
          <w:b/>
          <w:sz w:val="36"/>
        </w:rPr>
      </w:pPr>
    </w:p>
    <w:p w14:paraId="1CF17171" w14:textId="77777777" w:rsidR="00C221A7" w:rsidRDefault="00C221A7">
      <w:pPr>
        <w:spacing w:after="0" w:line="240" w:lineRule="auto"/>
        <w:jc w:val="left"/>
        <w:rPr>
          <w:rFonts w:ascii="Arial Bold" w:hAnsi="Arial Bold"/>
          <w:b/>
          <w:sz w:val="36"/>
        </w:rPr>
      </w:pPr>
      <w:r>
        <w:rPr>
          <w:rFonts w:ascii="Arial Bold" w:hAnsi="Arial Bold"/>
          <w:b/>
          <w:sz w:val="36"/>
        </w:rPr>
        <w:br w:type="page"/>
      </w:r>
    </w:p>
    <w:p w14:paraId="7599C4F4" w14:textId="77777777" w:rsidR="00F95615" w:rsidRDefault="00F95615">
      <w:pPr>
        <w:spacing w:after="0" w:line="240" w:lineRule="auto"/>
        <w:jc w:val="left"/>
        <w:rPr>
          <w:rFonts w:ascii="Arial Bold" w:hAnsi="Arial Bold"/>
          <w:b/>
          <w:sz w:val="36"/>
        </w:rPr>
        <w:sectPr w:rsidR="00F95615" w:rsidSect="00F22798">
          <w:footerReference w:type="even" r:id="rId385"/>
          <w:footerReference w:type="default" r:id="rId386"/>
          <w:footerReference w:type="first" r:id="rId387"/>
          <w:type w:val="continuous"/>
          <w:pgSz w:w="11906" w:h="16838" w:code="9"/>
          <w:pgMar w:top="2835" w:right="2098" w:bottom="2466" w:left="2098" w:header="1814" w:footer="1814" w:gutter="0"/>
          <w:cols w:space="708"/>
          <w:titlePg/>
          <w:docGrid w:linePitch="360"/>
        </w:sectPr>
      </w:pPr>
    </w:p>
    <w:p w14:paraId="2725BABB" w14:textId="77777777" w:rsidR="00446C60" w:rsidRPr="00F33439" w:rsidRDefault="00446C60" w:rsidP="00C221A7">
      <w:pPr>
        <w:keepNext/>
        <w:spacing w:after="600" w:line="240" w:lineRule="auto"/>
        <w:jc w:val="center"/>
        <w:rPr>
          <w:rFonts w:ascii="Arial Bold" w:hAnsi="Arial Bold"/>
          <w:b/>
          <w:sz w:val="36"/>
        </w:rPr>
      </w:pPr>
      <w:r w:rsidRPr="00F33439">
        <w:rPr>
          <w:rFonts w:ascii="Arial Bold" w:hAnsi="Arial Bold"/>
          <w:b/>
          <w:sz w:val="36"/>
        </w:rPr>
        <w:t>Office of the Official Secretary to the Governor-General</w:t>
      </w:r>
    </w:p>
    <w:p w14:paraId="6D795599" w14:textId="77777777" w:rsidR="00446C60" w:rsidRPr="002C4D41" w:rsidRDefault="00446C60" w:rsidP="00446C60">
      <w:pPr>
        <w:pStyle w:val="Heading2"/>
      </w:pPr>
      <w:bookmarkStart w:id="863" w:name="_Toc98766447"/>
      <w:bookmarkStart w:id="864" w:name="_Toc98856182"/>
      <w:bookmarkStart w:id="865" w:name="_Toc98932934"/>
      <w:bookmarkStart w:id="866" w:name="_Toc99008190"/>
      <w:bookmarkStart w:id="867" w:name="_Toc99009552"/>
      <w:bookmarkStart w:id="868" w:name="_Toc99010780"/>
      <w:bookmarkStart w:id="869" w:name="_Toc99014015"/>
      <w:bookmarkStart w:id="870" w:name="_Toc99187591"/>
      <w:bookmarkStart w:id="871" w:name="_Toc99269713"/>
      <w:r w:rsidRPr="002C4D41">
        <w:t xml:space="preserve">Section 1: Entity overview and </w:t>
      </w:r>
      <w:r>
        <w:t>reso</w:t>
      </w:r>
      <w:r w:rsidRPr="002C4D41">
        <w:t>urces</w:t>
      </w:r>
      <w:bookmarkEnd w:id="863"/>
      <w:bookmarkEnd w:id="864"/>
      <w:bookmarkEnd w:id="865"/>
      <w:bookmarkEnd w:id="866"/>
      <w:bookmarkEnd w:id="867"/>
      <w:bookmarkEnd w:id="868"/>
      <w:bookmarkEnd w:id="869"/>
      <w:bookmarkEnd w:id="870"/>
      <w:bookmarkEnd w:id="871"/>
    </w:p>
    <w:p w14:paraId="62D5BB3A" w14:textId="77777777" w:rsidR="00446C60" w:rsidRDefault="00446C60" w:rsidP="00446C60">
      <w:pPr>
        <w:pStyle w:val="Heading3"/>
      </w:pPr>
      <w:bookmarkStart w:id="872" w:name="_Toc98766448"/>
      <w:bookmarkStart w:id="873" w:name="_Toc98856183"/>
      <w:bookmarkStart w:id="874" w:name="_Toc98932935"/>
      <w:bookmarkStart w:id="875" w:name="_Toc99008191"/>
      <w:bookmarkStart w:id="876" w:name="_Toc99009553"/>
      <w:bookmarkStart w:id="877" w:name="_Toc99010781"/>
      <w:bookmarkStart w:id="878" w:name="_Toc99014016"/>
      <w:bookmarkStart w:id="879" w:name="_Toc99187592"/>
      <w:bookmarkStart w:id="880" w:name="_Toc99269714"/>
      <w:r>
        <w:t>1.1</w:t>
      </w:r>
      <w:r>
        <w:tab/>
        <w:t>Strategic direction statement</w:t>
      </w:r>
      <w:bookmarkEnd w:id="872"/>
      <w:bookmarkEnd w:id="873"/>
      <w:bookmarkEnd w:id="874"/>
      <w:bookmarkEnd w:id="875"/>
      <w:bookmarkEnd w:id="876"/>
      <w:bookmarkEnd w:id="877"/>
      <w:bookmarkEnd w:id="878"/>
      <w:bookmarkEnd w:id="879"/>
      <w:bookmarkEnd w:id="880"/>
    </w:p>
    <w:p w14:paraId="3C7C8899" w14:textId="77777777" w:rsidR="00446C60" w:rsidRPr="00F95615" w:rsidRDefault="00446C60" w:rsidP="00F95615">
      <w:r w:rsidRPr="00F95615">
        <w:t xml:space="preserve">The planned outcome for the Office of the Official Secretary to the Governor-General (OOSGG) is the facilitation of the performance of the Governor-General’s role through the organisation and management of official duties, management and maintenance of the official households and properties, and administration of the Australian Honours and Awards system. </w:t>
      </w:r>
    </w:p>
    <w:p w14:paraId="109117F9" w14:textId="77777777" w:rsidR="00446C60" w:rsidRPr="00F95615" w:rsidRDefault="00446C60" w:rsidP="00F95615">
      <w:r w:rsidRPr="00F95615">
        <w:t xml:space="preserve">The OOSGG achieves this through a single program which comprises three components:  </w:t>
      </w:r>
    </w:p>
    <w:p w14:paraId="29515C63" w14:textId="77777777" w:rsidR="00446C60" w:rsidRPr="00F95615" w:rsidRDefault="00446C60" w:rsidP="00392A48">
      <w:pPr>
        <w:pStyle w:val="ListParagraph"/>
        <w:numPr>
          <w:ilvl w:val="0"/>
          <w:numId w:val="132"/>
        </w:numPr>
        <w:rPr>
          <w:rFonts w:ascii="Book Antiqua" w:hAnsi="Book Antiqua"/>
          <w:sz w:val="20"/>
          <w:szCs w:val="20"/>
        </w:rPr>
      </w:pPr>
      <w:r w:rsidRPr="00F95615">
        <w:rPr>
          <w:rFonts w:ascii="Book Antiqua" w:hAnsi="Book Antiqua"/>
          <w:sz w:val="20"/>
          <w:szCs w:val="20"/>
        </w:rPr>
        <w:t>Support for the Governor-General</w:t>
      </w:r>
    </w:p>
    <w:p w14:paraId="31520CE5" w14:textId="77777777" w:rsidR="00446C60" w:rsidRPr="00F95615" w:rsidRDefault="00446C60" w:rsidP="00392A48">
      <w:pPr>
        <w:pStyle w:val="ListParagraph"/>
        <w:numPr>
          <w:ilvl w:val="0"/>
          <w:numId w:val="132"/>
        </w:numPr>
        <w:rPr>
          <w:rFonts w:ascii="Book Antiqua" w:hAnsi="Book Antiqua"/>
          <w:sz w:val="20"/>
          <w:szCs w:val="20"/>
        </w:rPr>
      </w:pPr>
      <w:r w:rsidRPr="00F95615">
        <w:rPr>
          <w:rFonts w:ascii="Book Antiqua" w:hAnsi="Book Antiqua"/>
          <w:sz w:val="20"/>
          <w:szCs w:val="20"/>
        </w:rPr>
        <w:t>Management and maintenance of the official properties</w:t>
      </w:r>
    </w:p>
    <w:p w14:paraId="33C5793F" w14:textId="77777777" w:rsidR="00446C60" w:rsidRPr="00F95615" w:rsidRDefault="00446C60" w:rsidP="00392A48">
      <w:pPr>
        <w:pStyle w:val="ListParagraph"/>
        <w:numPr>
          <w:ilvl w:val="0"/>
          <w:numId w:val="132"/>
        </w:numPr>
        <w:rPr>
          <w:rFonts w:ascii="Book Antiqua" w:hAnsi="Book Antiqua"/>
          <w:color w:val="000000" w:themeColor="text1"/>
          <w:sz w:val="20"/>
          <w:szCs w:val="20"/>
        </w:rPr>
      </w:pPr>
      <w:r w:rsidRPr="00F95615">
        <w:rPr>
          <w:rFonts w:ascii="Book Antiqua" w:hAnsi="Book Antiqua"/>
          <w:sz w:val="20"/>
          <w:szCs w:val="20"/>
        </w:rPr>
        <w:t>Administration of the Australian Honours and Awards system.</w:t>
      </w:r>
    </w:p>
    <w:p w14:paraId="39C92760" w14:textId="77777777" w:rsidR="00446C60" w:rsidRPr="00F95615" w:rsidRDefault="00446C60" w:rsidP="00F95615">
      <w:r w:rsidRPr="00F95615">
        <w:t>The OOSGG’s role is to support the Governor-General to enable him to perform official duties, including facilitating official engagements and community outreach, the management and maintenance of Government House in Canberra and Admiralty House in Sydney, and the effective administration of the Australian Honours and Awards system.</w:t>
      </w:r>
    </w:p>
    <w:p w14:paraId="74F85E45" w14:textId="77777777" w:rsidR="00446C60" w:rsidRPr="00F95615" w:rsidRDefault="00446C60" w:rsidP="00F95615">
      <w:r w:rsidRPr="00F95615">
        <w:t>In fulfilling its purpose, the OOSGG’s key activities will support the Governor-General to recognise, encourage and reward community achievement; complement the work of Parliament and government agencies; represent Australia’s broad national interests domestically and overseas; and highlight the inherent goodness of Australians and their ability to overcome adversity, particularly in the context of responding to the health, social and economic impacts of the COVID-19 pandemic and other natural disasters.</w:t>
      </w:r>
    </w:p>
    <w:p w14:paraId="77457972" w14:textId="77777777" w:rsidR="00446C60" w:rsidRPr="00F95615" w:rsidRDefault="00446C60" w:rsidP="00F95615">
      <w:pPr>
        <w:rPr>
          <w:color w:val="000000" w:themeColor="text1"/>
        </w:rPr>
      </w:pPr>
      <w:r w:rsidRPr="00F95615">
        <w:rPr>
          <w:color w:val="000000" w:themeColor="text1"/>
        </w:rPr>
        <w:t>The OOSGG recognises the need for a high level of accountability and, therefore, places a strong emphasis in meeting its governance obligations and responsibilities, and mitigating strategic risks.</w:t>
      </w:r>
    </w:p>
    <w:p w14:paraId="3F50F856" w14:textId="77777777" w:rsidR="00C221A7" w:rsidRDefault="00C221A7" w:rsidP="00F95615">
      <w:pPr>
        <w:rPr>
          <w:rFonts w:ascii="Arial" w:hAnsi="Arial" w:cs="Arial"/>
          <w:b/>
          <w:sz w:val="22"/>
        </w:rPr>
      </w:pPr>
      <w:bookmarkStart w:id="881" w:name="_Toc98766449"/>
      <w:bookmarkStart w:id="882" w:name="_Toc98856184"/>
      <w:bookmarkStart w:id="883" w:name="_Toc98932936"/>
      <w:bookmarkStart w:id="884" w:name="_Toc99008192"/>
      <w:bookmarkStart w:id="885" w:name="_Toc99009554"/>
      <w:bookmarkStart w:id="886" w:name="_Toc99010782"/>
      <w:bookmarkStart w:id="887" w:name="_Toc99014017"/>
    </w:p>
    <w:p w14:paraId="2053C0B4" w14:textId="77777777" w:rsidR="00C221A7" w:rsidRDefault="00C221A7" w:rsidP="00F95615">
      <w:pPr>
        <w:rPr>
          <w:rFonts w:ascii="Arial" w:hAnsi="Arial" w:cs="Arial"/>
          <w:b/>
          <w:sz w:val="22"/>
        </w:rPr>
      </w:pPr>
    </w:p>
    <w:p w14:paraId="48147B7A" w14:textId="77777777" w:rsidR="00C221A7" w:rsidRDefault="00C221A7" w:rsidP="00F95615">
      <w:pPr>
        <w:rPr>
          <w:rFonts w:ascii="Arial" w:hAnsi="Arial" w:cs="Arial"/>
          <w:b/>
          <w:sz w:val="22"/>
        </w:rPr>
      </w:pPr>
    </w:p>
    <w:p w14:paraId="54D1D91A" w14:textId="77777777" w:rsidR="00446C60" w:rsidRPr="00E6223B" w:rsidRDefault="00446C60" w:rsidP="00E6223B">
      <w:pPr>
        <w:pStyle w:val="Heading3"/>
        <w:rPr>
          <w:rFonts w:ascii="Arial" w:hAnsi="Arial" w:cs="Arial"/>
        </w:rPr>
      </w:pPr>
      <w:r w:rsidRPr="00E6223B">
        <w:rPr>
          <w:rFonts w:ascii="Arial" w:hAnsi="Arial" w:cs="Arial"/>
        </w:rPr>
        <w:t>1.2</w:t>
      </w:r>
      <w:r w:rsidRPr="00E6223B">
        <w:rPr>
          <w:rFonts w:ascii="Arial" w:hAnsi="Arial" w:cs="Arial"/>
        </w:rPr>
        <w:tab/>
        <w:t>Entity resource statement</w:t>
      </w:r>
      <w:bookmarkEnd w:id="881"/>
      <w:bookmarkEnd w:id="882"/>
      <w:bookmarkEnd w:id="883"/>
      <w:bookmarkEnd w:id="884"/>
      <w:bookmarkEnd w:id="885"/>
      <w:bookmarkEnd w:id="886"/>
      <w:bookmarkEnd w:id="887"/>
    </w:p>
    <w:p w14:paraId="118295DC" w14:textId="77777777" w:rsidR="00446C60" w:rsidRDefault="00446C60" w:rsidP="00F95615">
      <w:r>
        <w:t xml:space="preserve">Table 1.1 shows the total funding from all sources available to the </w:t>
      </w:r>
      <w:r w:rsidR="00A009FA">
        <w:t>OOSGG</w:t>
      </w:r>
      <w:r>
        <w:t xml:space="preserve"> for its operations and to deliver programs and services on behalf of the Government.</w:t>
      </w:r>
    </w:p>
    <w:p w14:paraId="59BBE379" w14:textId="77777777" w:rsidR="00446C60" w:rsidRDefault="00446C60" w:rsidP="00F95615">
      <w:r>
        <w:t>The table summarises how resources will be applied by outcome (government strategic policy objectives) and by administered (on behalf of the Government or the public) and departmental (for the entity’s operations) classification.</w:t>
      </w:r>
    </w:p>
    <w:p w14:paraId="18128EE6" w14:textId="77777777" w:rsidR="00446C60" w:rsidRDefault="00446C60" w:rsidP="00F95615">
      <w:r>
        <w:t xml:space="preserve">For more detailed information on special accounts and special appropriations, please refer to </w:t>
      </w:r>
      <w:r w:rsidRPr="00F95615">
        <w:t>Budget Paper No. 4 – Agency Resourcing.</w:t>
      </w:r>
    </w:p>
    <w:p w14:paraId="1B00BD49" w14:textId="77777777" w:rsidR="00446C60" w:rsidRDefault="00446C60" w:rsidP="00F95615">
      <w:r>
        <w:t>Information in this table is presented on a resourcing (that is, appropriations/cash available) basis, whilst the ‘Budgeted expenses by Outcome 1’ table in Section 2 and the financial statements in Section 3 are presented on an accrual basis.</w:t>
      </w:r>
    </w:p>
    <w:p w14:paraId="066A680C" w14:textId="77777777" w:rsidR="00446C60" w:rsidRPr="00FE1091" w:rsidRDefault="00446C60" w:rsidP="00446C60">
      <w:pPr>
        <w:pStyle w:val="TableHeading"/>
        <w:rPr>
          <w:b w:val="0"/>
          <w:lang w:val="en-AU"/>
        </w:rPr>
      </w:pPr>
      <w:r>
        <w:br w:type="page"/>
      </w:r>
      <w:r w:rsidRPr="00D44150">
        <w:t xml:space="preserve">Table 1.1: </w:t>
      </w:r>
      <w:r>
        <w:rPr>
          <w:lang w:val="en-AU"/>
        </w:rPr>
        <w:t xml:space="preserve">OOSGG </w:t>
      </w:r>
      <w:r w:rsidRPr="00D44150">
        <w:t>resource statement</w:t>
      </w:r>
      <w:r>
        <w:t xml:space="preserve"> — Budget estimates for </w:t>
      </w:r>
      <w:r>
        <w:rPr>
          <w:lang w:val="en-AU"/>
        </w:rPr>
        <w:t>2022-23</w:t>
      </w:r>
      <w:r>
        <w:t xml:space="preserve"> </w:t>
      </w:r>
      <w:r w:rsidRPr="00D44150">
        <w:t xml:space="preserve">as at Budget </w:t>
      </w:r>
      <w:r>
        <w:rPr>
          <w:lang w:val="en-AU"/>
        </w:rPr>
        <w:t>March</w:t>
      </w:r>
      <w:r w:rsidRPr="00D44150">
        <w:t xml:space="preserve"> </w:t>
      </w:r>
      <w:r>
        <w:rPr>
          <w:lang w:val="en-AU"/>
        </w:rPr>
        <w:t>2022</w:t>
      </w:r>
    </w:p>
    <w:p w14:paraId="3B26559F" w14:textId="77777777" w:rsidR="00F95615" w:rsidRPr="00F95615" w:rsidRDefault="00C50825" w:rsidP="00F95615">
      <w:pPr>
        <w:spacing w:after="0" w:line="240" w:lineRule="auto"/>
        <w:rPr>
          <w:rFonts w:ascii="Arial" w:hAnsi="Arial" w:cs="Arial"/>
          <w:color w:val="000000"/>
          <w:sz w:val="16"/>
          <w:szCs w:val="16"/>
        </w:rPr>
      </w:pPr>
      <w:r w:rsidRPr="00C50825">
        <w:rPr>
          <w:noProof/>
        </w:rPr>
        <w:drawing>
          <wp:inline distT="0" distB="0" distL="0" distR="0" wp14:anchorId="160E50C6" wp14:editId="3E3D72ED">
            <wp:extent cx="4895850" cy="3020301"/>
            <wp:effectExtent l="0" t="0" r="0" b="889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895850" cy="3020301"/>
                    </a:xfrm>
                    <a:prstGeom prst="rect">
                      <a:avLst/>
                    </a:prstGeom>
                    <a:noFill/>
                    <a:ln>
                      <a:noFill/>
                    </a:ln>
                  </pic:spPr>
                </pic:pic>
              </a:graphicData>
            </a:graphic>
          </wp:inline>
        </w:drawing>
      </w:r>
      <w:r w:rsidR="00CE30D5" w:rsidRPr="00CE30D5">
        <w:t xml:space="preserve"> </w:t>
      </w:r>
      <w:r w:rsidR="00F95615" w:rsidRPr="00F95615">
        <w:rPr>
          <w:rFonts w:ascii="Arial" w:hAnsi="Arial" w:cs="Arial"/>
          <w:color w:val="000000"/>
          <w:sz w:val="16"/>
          <w:szCs w:val="16"/>
        </w:rPr>
        <w:t>All figures shown above are GST exclusive - these may not match figures in the cash flow statement.</w:t>
      </w:r>
    </w:p>
    <w:p w14:paraId="48AF969E" w14:textId="77777777" w:rsidR="00C50825" w:rsidRPr="00C50825" w:rsidRDefault="00F95615" w:rsidP="00C50825">
      <w:pPr>
        <w:pStyle w:val="ListParagraph"/>
        <w:numPr>
          <w:ilvl w:val="4"/>
          <w:numId w:val="133"/>
        </w:numPr>
        <w:spacing w:after="0" w:line="240" w:lineRule="auto"/>
        <w:rPr>
          <w:rFonts w:ascii="Arial" w:hAnsi="Arial" w:cs="Arial"/>
          <w:color w:val="000000"/>
          <w:sz w:val="16"/>
          <w:szCs w:val="16"/>
        </w:rPr>
      </w:pPr>
      <w:r w:rsidRPr="00CE30D5">
        <w:rPr>
          <w:rFonts w:ascii="Arial" w:hAnsi="Arial" w:cs="Arial"/>
          <w:color w:val="000000"/>
          <w:sz w:val="16"/>
          <w:szCs w:val="16"/>
        </w:rPr>
        <w:t>2021-22 annual appropriations exclude $0.2m in Appropriation Bill (No. 3) 2021-22 which is yet to receive Royal Assent</w:t>
      </w:r>
      <w:r w:rsidR="00C50825">
        <w:rPr>
          <w:rFonts w:ascii="Arial" w:hAnsi="Arial" w:cs="Arial"/>
          <w:color w:val="000000"/>
          <w:sz w:val="16"/>
          <w:szCs w:val="16"/>
        </w:rPr>
        <w:t>.</w:t>
      </w:r>
      <w:r w:rsidR="00C50825" w:rsidRPr="00C50825">
        <w:rPr>
          <w:rFonts w:ascii="Arial" w:hAnsi="Arial" w:cs="Arial"/>
          <w:color w:val="000000"/>
          <w:sz w:val="16"/>
          <w:szCs w:val="16"/>
        </w:rPr>
        <w:tab/>
      </w:r>
    </w:p>
    <w:p w14:paraId="13320DC8" w14:textId="77777777" w:rsidR="00C50825" w:rsidRDefault="00C50825" w:rsidP="00392A48">
      <w:pPr>
        <w:pStyle w:val="ListParagraph"/>
        <w:numPr>
          <w:ilvl w:val="4"/>
          <w:numId w:val="133"/>
        </w:numPr>
        <w:spacing w:after="0" w:line="240" w:lineRule="auto"/>
        <w:rPr>
          <w:rFonts w:ascii="Arial" w:hAnsi="Arial" w:cs="Arial"/>
          <w:color w:val="000000"/>
          <w:sz w:val="16"/>
          <w:szCs w:val="16"/>
        </w:rPr>
      </w:pPr>
      <w:r>
        <w:rPr>
          <w:rFonts w:ascii="Arial" w:hAnsi="Arial" w:cs="Arial"/>
          <w:color w:val="000000"/>
          <w:sz w:val="16"/>
          <w:szCs w:val="16"/>
        </w:rPr>
        <w:t xml:space="preserve">Prepared on a resourcing (that is, appropriations available) basis. </w:t>
      </w:r>
    </w:p>
    <w:p w14:paraId="02477818" w14:textId="77777777" w:rsidR="00F95615" w:rsidRPr="00CE30D5" w:rsidRDefault="00C50825" w:rsidP="00392A48">
      <w:pPr>
        <w:pStyle w:val="ListParagraph"/>
        <w:numPr>
          <w:ilvl w:val="4"/>
          <w:numId w:val="133"/>
        </w:numPr>
        <w:spacing w:after="0" w:line="240" w:lineRule="auto"/>
        <w:rPr>
          <w:rFonts w:ascii="Arial" w:hAnsi="Arial" w:cs="Arial"/>
          <w:color w:val="000000"/>
          <w:sz w:val="16"/>
          <w:szCs w:val="16"/>
        </w:rPr>
      </w:pPr>
      <w:r w:rsidRPr="00C50825">
        <w:rPr>
          <w:rFonts w:ascii="Arial" w:hAnsi="Arial" w:cs="Arial"/>
          <w:color w:val="000000"/>
          <w:sz w:val="16"/>
          <w:szCs w:val="16"/>
        </w:rPr>
        <w:t>Estimated External Revenue receipts under section 74 of the PGPA Act.</w:t>
      </w:r>
      <w:r w:rsidRPr="00C50825">
        <w:rPr>
          <w:rFonts w:ascii="Arial" w:hAnsi="Arial" w:cs="Arial"/>
          <w:color w:val="000000"/>
          <w:sz w:val="16"/>
          <w:szCs w:val="16"/>
        </w:rPr>
        <w:tab/>
      </w:r>
    </w:p>
    <w:p w14:paraId="0AD6DA4F" w14:textId="77777777" w:rsidR="00F95615" w:rsidRPr="00CE30D5" w:rsidRDefault="00F95615" w:rsidP="00392A48">
      <w:pPr>
        <w:pStyle w:val="ListParagraph"/>
        <w:numPr>
          <w:ilvl w:val="4"/>
          <w:numId w:val="133"/>
        </w:numPr>
        <w:spacing w:after="0" w:line="240" w:lineRule="auto"/>
        <w:rPr>
          <w:rFonts w:ascii="Arial" w:hAnsi="Arial" w:cs="Arial"/>
          <w:color w:val="000000"/>
          <w:sz w:val="16"/>
          <w:szCs w:val="16"/>
        </w:rPr>
      </w:pPr>
      <w:r w:rsidRPr="00CE30D5">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6F81B4E8" w14:textId="77777777" w:rsidR="00CE30D5" w:rsidRPr="00CE30D5" w:rsidRDefault="00CE30D5" w:rsidP="00392A48">
      <w:pPr>
        <w:pStyle w:val="ListParagraph"/>
        <w:numPr>
          <w:ilvl w:val="4"/>
          <w:numId w:val="133"/>
        </w:numPr>
        <w:spacing w:after="0" w:line="240" w:lineRule="auto"/>
        <w:rPr>
          <w:rFonts w:ascii="Arial" w:hAnsi="Arial" w:cs="Arial"/>
          <w:color w:val="000000"/>
          <w:sz w:val="16"/>
          <w:szCs w:val="16"/>
        </w:rPr>
      </w:pPr>
      <w:r w:rsidRPr="00CE30D5">
        <w:rPr>
          <w:rFonts w:ascii="Arial" w:hAnsi="Arial" w:cs="Arial"/>
          <w:color w:val="000000"/>
          <w:sz w:val="16"/>
          <w:szCs w:val="16"/>
        </w:rPr>
        <w:t>Administered capital budgets are not separately identified in Appropriation Bill (No. 1) and form part of ordinary annual services items. Please refer to Table 3.10 for further details. For accounting purposes, this amount is designated as a 'contribution by owner'.</w:t>
      </w:r>
    </w:p>
    <w:p w14:paraId="5E061F8E" w14:textId="77777777" w:rsidR="00F95615" w:rsidRPr="00F95615" w:rsidRDefault="00F95615" w:rsidP="00F95615">
      <w:pPr>
        <w:spacing w:after="0" w:line="240" w:lineRule="auto"/>
        <w:rPr>
          <w:rFonts w:ascii="Arial" w:hAnsi="Arial" w:cs="Arial"/>
          <w:color w:val="000000"/>
          <w:sz w:val="16"/>
          <w:szCs w:val="16"/>
        </w:rPr>
      </w:pPr>
    </w:p>
    <w:p w14:paraId="2BF5823F" w14:textId="77777777" w:rsidR="00446C60" w:rsidRDefault="00446C60" w:rsidP="00446C60">
      <w:pPr>
        <w:pStyle w:val="TableGraphic"/>
        <w:rPr>
          <w:rFonts w:ascii="Arial" w:hAnsi="Arial"/>
          <w:color w:val="000000"/>
          <w:lang w:val="x-none" w:eastAsia="x-none"/>
        </w:rPr>
      </w:pPr>
    </w:p>
    <w:p w14:paraId="049287CD" w14:textId="77777777" w:rsidR="00446C60" w:rsidRPr="001071C7" w:rsidRDefault="00446C60" w:rsidP="00446C60">
      <w:pPr>
        <w:pStyle w:val="TableHeading"/>
      </w:pPr>
    </w:p>
    <w:p w14:paraId="04707FF2" w14:textId="77777777" w:rsidR="00446C60" w:rsidRPr="005A7C0B" w:rsidRDefault="00446C60" w:rsidP="00446C60">
      <w:pPr>
        <w:pStyle w:val="Heading3"/>
        <w:spacing w:before="0"/>
      </w:pPr>
      <w:r>
        <w:br w:type="page"/>
      </w:r>
      <w:bookmarkStart w:id="888" w:name="_Toc98766450"/>
      <w:bookmarkStart w:id="889" w:name="_Toc98856185"/>
      <w:bookmarkStart w:id="890" w:name="_Toc98932937"/>
      <w:bookmarkStart w:id="891" w:name="_Toc99008193"/>
      <w:bookmarkStart w:id="892" w:name="_Toc99009555"/>
      <w:bookmarkStart w:id="893" w:name="_Toc99010783"/>
      <w:bookmarkStart w:id="894" w:name="_Toc99014018"/>
      <w:bookmarkStart w:id="895" w:name="_Toc99187593"/>
      <w:bookmarkStart w:id="896" w:name="_Toc99269715"/>
      <w:r w:rsidRPr="005A7C0B">
        <w:t>1.3</w:t>
      </w:r>
      <w:r w:rsidRPr="005A7C0B">
        <w:tab/>
        <w:t>Budget measures</w:t>
      </w:r>
      <w:bookmarkEnd w:id="888"/>
      <w:bookmarkEnd w:id="889"/>
      <w:bookmarkEnd w:id="890"/>
      <w:bookmarkEnd w:id="891"/>
      <w:bookmarkEnd w:id="892"/>
      <w:bookmarkEnd w:id="893"/>
      <w:bookmarkEnd w:id="894"/>
      <w:bookmarkEnd w:id="895"/>
      <w:bookmarkEnd w:id="896"/>
    </w:p>
    <w:p w14:paraId="6AE90A6E" w14:textId="77777777" w:rsidR="00446C60" w:rsidRDefault="00350E6F" w:rsidP="00446C60">
      <w:r>
        <w:t xml:space="preserve">The </w:t>
      </w:r>
      <w:r w:rsidR="00446C60" w:rsidRPr="00774B79">
        <w:t>OOSGG has no budget measures in the 202</w:t>
      </w:r>
      <w:r w:rsidR="00446C60">
        <w:t>2</w:t>
      </w:r>
      <w:r w:rsidR="00446C60" w:rsidRPr="00774B79">
        <w:t>-2</w:t>
      </w:r>
      <w:r w:rsidR="00446C60">
        <w:t xml:space="preserve">3 </w:t>
      </w:r>
      <w:r w:rsidR="00446C60" w:rsidRPr="00774B79">
        <w:t>Budget.</w:t>
      </w:r>
    </w:p>
    <w:p w14:paraId="0941FB8D" w14:textId="77777777" w:rsidR="00446C60" w:rsidRDefault="00446C60" w:rsidP="00446C60">
      <w:pPr>
        <w:spacing w:after="0" w:line="240" w:lineRule="auto"/>
        <w:jc w:val="left"/>
        <w:rPr>
          <w:rFonts w:ascii="Arial Bold" w:hAnsi="Arial Bold"/>
          <w:b/>
        </w:rPr>
      </w:pPr>
      <w:r>
        <w:br w:type="page"/>
      </w:r>
    </w:p>
    <w:p w14:paraId="435BFEC1" w14:textId="77777777" w:rsidR="00446C60" w:rsidRPr="00810C6A" w:rsidRDefault="00446C60" w:rsidP="00446C60">
      <w:pPr>
        <w:pStyle w:val="Heading2"/>
      </w:pPr>
      <w:bookmarkStart w:id="897" w:name="_Toc98766451"/>
      <w:bookmarkStart w:id="898" w:name="_Toc98856186"/>
      <w:bookmarkStart w:id="899" w:name="_Toc98932938"/>
      <w:bookmarkStart w:id="900" w:name="_Toc99008194"/>
      <w:bookmarkStart w:id="901" w:name="_Toc99009556"/>
      <w:bookmarkStart w:id="902" w:name="_Toc99010784"/>
      <w:bookmarkStart w:id="903" w:name="_Toc99014019"/>
      <w:bookmarkStart w:id="904" w:name="_Toc99187594"/>
      <w:bookmarkStart w:id="905" w:name="_Toc99269716"/>
      <w:r w:rsidRPr="00810C6A">
        <w:t>Section 2: Outcomes and planned performance</w:t>
      </w:r>
      <w:bookmarkEnd w:id="897"/>
      <w:bookmarkEnd w:id="898"/>
      <w:bookmarkEnd w:id="899"/>
      <w:bookmarkEnd w:id="900"/>
      <w:bookmarkEnd w:id="901"/>
      <w:bookmarkEnd w:id="902"/>
      <w:bookmarkEnd w:id="903"/>
      <w:bookmarkEnd w:id="904"/>
      <w:bookmarkEnd w:id="905"/>
    </w:p>
    <w:p w14:paraId="3B49043C" w14:textId="77777777" w:rsidR="00446C60" w:rsidRPr="005E6F2B" w:rsidRDefault="00446C60" w:rsidP="00446C60">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B344EA1" w14:textId="77777777" w:rsidR="00446C60" w:rsidRDefault="00446C60" w:rsidP="00446C60">
      <w:r w:rsidRPr="005E6F2B">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446C60" w14:paraId="76AEC391" w14:textId="77777777" w:rsidTr="00742EE3">
        <w:tc>
          <w:tcPr>
            <w:tcW w:w="7700" w:type="dxa"/>
          </w:tcPr>
          <w:p w14:paraId="20B978B7" w14:textId="77777777" w:rsidR="00446C60" w:rsidRPr="006906E4" w:rsidRDefault="00446C60" w:rsidP="00742EE3">
            <w:pPr>
              <w:spacing w:before="120" w:after="120" w:line="240" w:lineRule="auto"/>
              <w:rPr>
                <w:b/>
              </w:rPr>
            </w:pPr>
            <w:r w:rsidRPr="006906E4">
              <w:rPr>
                <w:b/>
              </w:rPr>
              <w:t>Note:</w:t>
            </w:r>
          </w:p>
          <w:p w14:paraId="0658D2A2" w14:textId="77777777" w:rsidR="00446C60" w:rsidRDefault="00446C60" w:rsidP="00742EE3">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189555A3" w14:textId="77777777" w:rsidR="00446C60" w:rsidRDefault="00446C60" w:rsidP="00742EE3">
            <w:r>
              <w:t>The most recent corporate plan for OOSGG can be found at: https://www.gg.gov.au/office-official-secretary-governor-general/corporate-plans</w:t>
            </w:r>
          </w:p>
          <w:p w14:paraId="34031E50" w14:textId="77777777" w:rsidR="00446C60" w:rsidRDefault="00446C60" w:rsidP="00742EE3">
            <w:r>
              <w:t>The most recent annual performance statement can be found at: https://www.gg.gov.au/office-official-secretary-governor-general/annual-reports</w:t>
            </w:r>
          </w:p>
        </w:tc>
      </w:tr>
    </w:tbl>
    <w:p w14:paraId="29919015" w14:textId="77777777" w:rsidR="00446C60" w:rsidRDefault="00446C60" w:rsidP="00446C60">
      <w:pPr>
        <w:rPr>
          <w:highlight w:val="yellow"/>
        </w:rPr>
      </w:pPr>
    </w:p>
    <w:p w14:paraId="50513997" w14:textId="77777777" w:rsidR="00446C60" w:rsidRDefault="00446C60" w:rsidP="00446C60">
      <w:pPr>
        <w:pStyle w:val="Heading3"/>
        <w:sectPr w:rsidR="00446C60" w:rsidSect="00F22798">
          <w:headerReference w:type="even" r:id="rId389"/>
          <w:headerReference w:type="default" r:id="rId390"/>
          <w:footerReference w:type="even" r:id="rId391"/>
          <w:footerReference w:type="default" r:id="rId392"/>
          <w:headerReference w:type="first" r:id="rId393"/>
          <w:footerReference w:type="first" r:id="rId394"/>
          <w:type w:val="continuous"/>
          <w:pgSz w:w="11906" w:h="16838" w:code="9"/>
          <w:pgMar w:top="2835" w:right="2098" w:bottom="2466" w:left="2098" w:header="1814" w:footer="1814" w:gutter="0"/>
          <w:cols w:space="708"/>
          <w:titlePg/>
          <w:docGrid w:linePitch="360"/>
        </w:sectPr>
      </w:pPr>
    </w:p>
    <w:p w14:paraId="571B2607" w14:textId="77777777" w:rsidR="00446C60" w:rsidRPr="00F743D8" w:rsidRDefault="00446C60" w:rsidP="00446C60">
      <w:pPr>
        <w:pStyle w:val="Heading3"/>
      </w:pPr>
      <w:bookmarkStart w:id="906" w:name="_Toc98766452"/>
      <w:bookmarkStart w:id="907" w:name="_Toc98856187"/>
      <w:bookmarkStart w:id="908" w:name="_Toc98932939"/>
      <w:bookmarkStart w:id="909" w:name="_Toc99008195"/>
      <w:bookmarkStart w:id="910" w:name="_Toc99009557"/>
      <w:bookmarkStart w:id="911" w:name="_Toc99010785"/>
      <w:bookmarkStart w:id="912" w:name="_Toc99014020"/>
      <w:bookmarkStart w:id="913" w:name="_Toc99187595"/>
      <w:bookmarkStart w:id="914" w:name="_Toc99269717"/>
      <w:r>
        <w:t>2.1</w:t>
      </w:r>
      <w:r w:rsidRPr="00F743D8">
        <w:t xml:space="preserve"> </w:t>
      </w:r>
      <w:r w:rsidRPr="00F743D8">
        <w:tab/>
        <w:t xml:space="preserve">Budgeted expenses and performance for Outcome </w:t>
      </w:r>
      <w:r>
        <w:t>1</w:t>
      </w:r>
      <w:bookmarkEnd w:id="906"/>
      <w:bookmarkEnd w:id="907"/>
      <w:bookmarkEnd w:id="908"/>
      <w:bookmarkEnd w:id="909"/>
      <w:bookmarkEnd w:id="910"/>
      <w:bookmarkEnd w:id="911"/>
      <w:bookmarkEnd w:id="912"/>
      <w:bookmarkEnd w:id="913"/>
      <w:bookmarkEnd w:id="91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46C60" w:rsidRPr="005E6F2B" w14:paraId="4AB60DBC" w14:textId="77777777" w:rsidTr="00742EE3">
        <w:tc>
          <w:tcPr>
            <w:tcW w:w="7704" w:type="dxa"/>
            <w:shd w:val="clear" w:color="auto" w:fill="E6E6E6"/>
          </w:tcPr>
          <w:p w14:paraId="478EC205" w14:textId="77777777" w:rsidR="00446C60" w:rsidRPr="005E6F2B" w:rsidRDefault="00446C60" w:rsidP="00742EE3">
            <w:pPr>
              <w:pStyle w:val="TableColumnHeadingLeft"/>
            </w:pPr>
            <w:r w:rsidRPr="00F33439">
              <w:t>Outcome 1: The performance of the Governor-General’s role is facilitated through organisation and management of official duties, management and maintenance of the official household and property and administration of the Australian Honours and Awards system.</w:t>
            </w:r>
          </w:p>
        </w:tc>
      </w:tr>
    </w:tbl>
    <w:p w14:paraId="4539CFEB" w14:textId="77777777" w:rsidR="00446C60" w:rsidRPr="005E6F2B" w:rsidRDefault="00446C60" w:rsidP="00446C60">
      <w:pPr>
        <w:pStyle w:val="NoSpacing"/>
      </w:pPr>
    </w:p>
    <w:p w14:paraId="55EA566B" w14:textId="77777777" w:rsidR="00446C60" w:rsidRPr="00446612" w:rsidRDefault="00446C60" w:rsidP="00446C60">
      <w:pPr>
        <w:pStyle w:val="Heading5"/>
      </w:pPr>
      <w:r w:rsidRPr="00446612">
        <w:t xml:space="preserve">Budgeted expenses for Outcome </w:t>
      </w:r>
      <w:r>
        <w:t>1</w:t>
      </w:r>
    </w:p>
    <w:p w14:paraId="1A021DDE" w14:textId="77777777" w:rsidR="00446C60" w:rsidRDefault="00CE30D5" w:rsidP="00446C60">
      <w:r>
        <w:t xml:space="preserve">This table shows how much OOSGG </w:t>
      </w:r>
      <w:r w:rsidR="00446C60" w:rsidRPr="00950281">
        <w:t>intends to spend (on an accrual basis) on achieving the outcome, broken down by program, as well as by Administered an</w:t>
      </w:r>
      <w:r w:rsidR="00446C60">
        <w:t>d Departmental funding sources.</w:t>
      </w:r>
    </w:p>
    <w:p w14:paraId="5E407CB4" w14:textId="77777777" w:rsidR="00446C60" w:rsidRPr="00CE30D5" w:rsidRDefault="00446C60" w:rsidP="00446C60">
      <w:pPr>
        <w:spacing w:after="0"/>
        <w:rPr>
          <w:rFonts w:ascii="Arial" w:hAnsi="Arial" w:cs="Arial"/>
          <w:b/>
        </w:rPr>
      </w:pPr>
      <w:r w:rsidRPr="00CE30D5">
        <w:rPr>
          <w:rFonts w:ascii="Arial" w:hAnsi="Arial" w:cs="Arial"/>
          <w:b/>
        </w:rPr>
        <w:t>Table 2.1.1: Budgeted expenses for Outcome 1</w:t>
      </w:r>
    </w:p>
    <w:p w14:paraId="6AFCE1ED" w14:textId="77777777" w:rsidR="00446C60" w:rsidRDefault="00C50825" w:rsidP="00446C60">
      <w:pPr>
        <w:pStyle w:val="TableHeading"/>
      </w:pPr>
      <w:r w:rsidRPr="00C50825">
        <w:rPr>
          <w:noProof/>
          <w:lang w:val="en-AU" w:eastAsia="en-AU"/>
        </w:rPr>
        <w:drawing>
          <wp:inline distT="0" distB="0" distL="0" distR="0" wp14:anchorId="566ED460" wp14:editId="74D63E63">
            <wp:extent cx="4895850" cy="3198523"/>
            <wp:effectExtent l="0" t="0" r="0" b="190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895850" cy="3198523"/>
                    </a:xfrm>
                    <a:prstGeom prst="rect">
                      <a:avLst/>
                    </a:prstGeom>
                    <a:noFill/>
                    <a:ln>
                      <a:noFill/>
                    </a:ln>
                  </pic:spPr>
                </pic:pic>
              </a:graphicData>
            </a:graphic>
          </wp:inline>
        </w:drawing>
      </w:r>
    </w:p>
    <w:p w14:paraId="02742774" w14:textId="77777777" w:rsidR="00C50825" w:rsidRPr="00CE30D5" w:rsidRDefault="00C50825" w:rsidP="00C50825">
      <w:pPr>
        <w:pStyle w:val="ListParagraph"/>
        <w:numPr>
          <w:ilvl w:val="4"/>
          <w:numId w:val="134"/>
        </w:numPr>
        <w:spacing w:after="0" w:line="240" w:lineRule="auto"/>
        <w:rPr>
          <w:rFonts w:ascii="Arial" w:hAnsi="Arial" w:cs="Arial"/>
          <w:sz w:val="15"/>
          <w:szCs w:val="15"/>
        </w:rPr>
      </w:pPr>
      <w:r w:rsidRPr="00CE30D5">
        <w:rPr>
          <w:rFonts w:ascii="Arial" w:hAnsi="Arial" w:cs="Arial"/>
          <w:sz w:val="15"/>
          <w:szCs w:val="15"/>
        </w:rPr>
        <w:t>Expenses not requiring appropriation in the Budget year are pr</w:t>
      </w:r>
      <w:r>
        <w:rPr>
          <w:rFonts w:ascii="Arial" w:hAnsi="Arial" w:cs="Arial"/>
          <w:sz w:val="15"/>
          <w:szCs w:val="15"/>
        </w:rPr>
        <w:t>imarily made up of depreciation</w:t>
      </w:r>
      <w:r w:rsidRPr="00CE30D5">
        <w:rPr>
          <w:rFonts w:ascii="Arial" w:hAnsi="Arial" w:cs="Arial"/>
          <w:sz w:val="15"/>
          <w:szCs w:val="15"/>
        </w:rPr>
        <w:t>/amortisation expenses, and audit fees.</w:t>
      </w:r>
    </w:p>
    <w:p w14:paraId="3D1A456A" w14:textId="77777777" w:rsidR="00CE30D5" w:rsidRPr="00CE30D5" w:rsidRDefault="00CE30D5" w:rsidP="00392A48">
      <w:pPr>
        <w:pStyle w:val="ListParagraph"/>
        <w:numPr>
          <w:ilvl w:val="4"/>
          <w:numId w:val="134"/>
        </w:numPr>
        <w:spacing w:after="0" w:line="240" w:lineRule="auto"/>
        <w:rPr>
          <w:rFonts w:ascii="Arial" w:hAnsi="Arial" w:cs="Arial"/>
          <w:sz w:val="15"/>
          <w:szCs w:val="15"/>
        </w:rPr>
      </w:pPr>
      <w:r w:rsidRPr="00CE30D5">
        <w:rPr>
          <w:rFonts w:ascii="Arial" w:hAnsi="Arial" w:cs="Arial"/>
          <w:sz w:val="15"/>
          <w:szCs w:val="15"/>
        </w:rPr>
        <w:t xml:space="preserve">Estimated expenses incurred in relation to receipts retained under section 74 of the </w:t>
      </w:r>
      <w:r w:rsidRPr="00C50825">
        <w:rPr>
          <w:rFonts w:ascii="Arial" w:hAnsi="Arial" w:cs="Arial"/>
          <w:iCs/>
          <w:sz w:val="15"/>
          <w:szCs w:val="15"/>
        </w:rPr>
        <w:t>PGPA Act 2013.</w:t>
      </w:r>
    </w:p>
    <w:p w14:paraId="33E5B6CC" w14:textId="77777777" w:rsidR="00CE30D5" w:rsidRPr="00CE30D5" w:rsidRDefault="00CE30D5" w:rsidP="00CE30D5">
      <w:pPr>
        <w:spacing w:after="0" w:line="240" w:lineRule="auto"/>
        <w:jc w:val="left"/>
        <w:rPr>
          <w:rFonts w:ascii="Arial" w:hAnsi="Arial" w:cs="Arial"/>
          <w:sz w:val="15"/>
          <w:szCs w:val="15"/>
        </w:rPr>
      </w:pPr>
      <w:r w:rsidRPr="00CE30D5">
        <w:rPr>
          <w:rFonts w:ascii="Arial" w:hAnsi="Arial" w:cs="Arial"/>
          <w:sz w:val="15"/>
          <w:szCs w:val="15"/>
        </w:rPr>
        <w:t>Note: Departmental appropriation splits and totals are indicative estimates and may change in the course of the budget year as government priorities change.</w:t>
      </w:r>
    </w:p>
    <w:p w14:paraId="0EA27EF0" w14:textId="77777777" w:rsidR="00446C60" w:rsidRDefault="00CE30D5" w:rsidP="00446C60">
      <w:pPr>
        <w:spacing w:after="0" w:line="240" w:lineRule="auto"/>
        <w:jc w:val="left"/>
        <w:rPr>
          <w:rFonts w:ascii="Arial" w:hAnsi="Arial"/>
          <w:b/>
          <w:color w:val="000000"/>
          <w:lang w:val="x-none" w:eastAsia="x-none"/>
        </w:rPr>
      </w:pPr>
      <w:r w:rsidRPr="00CE30D5">
        <w:tab/>
      </w:r>
      <w:r w:rsidRPr="00CE30D5">
        <w:tab/>
      </w:r>
      <w:r w:rsidRPr="00CE30D5">
        <w:tab/>
      </w:r>
      <w:r w:rsidRPr="00CE30D5">
        <w:tab/>
        <w:t xml:space="preserve"> </w:t>
      </w:r>
      <w:r w:rsidR="00446C60">
        <w:br w:type="page"/>
      </w:r>
    </w:p>
    <w:p w14:paraId="0AEC73F7" w14:textId="77777777" w:rsidR="00446C60" w:rsidRPr="006E6DFB" w:rsidRDefault="00446C60" w:rsidP="00446C60">
      <w:pPr>
        <w:pStyle w:val="TableHeading"/>
        <w:rPr>
          <w:lang w:val="en-AU"/>
        </w:rPr>
      </w:pPr>
      <w:r w:rsidRPr="00F71634">
        <w:t>Table 2.</w:t>
      </w:r>
      <w:r>
        <w:rPr>
          <w:lang w:val="en-AU"/>
        </w:rPr>
        <w:t>1</w:t>
      </w:r>
      <w:r w:rsidRPr="00F71634">
        <w:t>.</w:t>
      </w:r>
      <w:r>
        <w:rPr>
          <w:lang w:val="en-AU"/>
        </w:rPr>
        <w:t>2</w:t>
      </w:r>
      <w:r w:rsidRPr="00F71634">
        <w:t xml:space="preserve">: Performance </w:t>
      </w:r>
      <w:r>
        <w:rPr>
          <w:lang w:val="en-AU"/>
        </w:rPr>
        <w:t>measure</w:t>
      </w:r>
      <w:r w:rsidRPr="00F71634">
        <w:t xml:space="preserve"> for Outcome </w:t>
      </w:r>
      <w:r>
        <w:rPr>
          <w:lang w:val="en-AU"/>
        </w:rPr>
        <w:t>1</w:t>
      </w:r>
    </w:p>
    <w:p w14:paraId="2C2975BE" w14:textId="77777777" w:rsidR="00446C60" w:rsidRPr="00F71634" w:rsidRDefault="00446C60" w:rsidP="00446C60">
      <w:r w:rsidRPr="001B2F81">
        <w:t>Table 2.</w:t>
      </w:r>
      <w:r>
        <w:t>1</w:t>
      </w:r>
      <w:r w:rsidRPr="001B2F81">
        <w:t>.</w:t>
      </w:r>
      <w:r>
        <w:t>2</w:t>
      </w:r>
      <w:r w:rsidRPr="001B2F81">
        <w:t xml:space="preserve"> details the performance measures for each </w:t>
      </w:r>
      <w:r w:rsidR="00CE30D5">
        <w:t>program associated with Outcome </w:t>
      </w:r>
      <w:r>
        <w:t>1</w:t>
      </w:r>
      <w:r w:rsidRPr="001B2F81">
        <w:t xml:space="preserve">.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446C60" w:rsidRPr="001B2F81" w14:paraId="2A0C07D8" w14:textId="77777777" w:rsidTr="00742EE3">
        <w:trPr>
          <w:trHeight w:val="569"/>
          <w:tblHeader/>
        </w:trPr>
        <w:tc>
          <w:tcPr>
            <w:tcW w:w="7796" w:type="dxa"/>
            <w:gridSpan w:val="3"/>
            <w:shd w:val="clear" w:color="auto" w:fill="F2F2F2"/>
          </w:tcPr>
          <w:p w14:paraId="4D96B78A" w14:textId="77777777" w:rsidR="00446C60" w:rsidRPr="00C41058" w:rsidRDefault="00446C60" w:rsidP="00742EE3">
            <w:pPr>
              <w:pStyle w:val="TableColumnHeadingLeft"/>
            </w:pPr>
            <w:r w:rsidRPr="00F33439">
              <w:rPr>
                <w:sz w:val="16"/>
              </w:rPr>
              <w:t>Outcome 1 – The performance of the Governor-General’s role is facilitated through organisation and management of official duties, management and maintenance of the official household and property and administration of the Australian Honours and Awards system.</w:t>
            </w:r>
          </w:p>
        </w:tc>
      </w:tr>
      <w:tr w:rsidR="00446C60" w:rsidRPr="001B2F81" w14:paraId="4C1C9A45" w14:textId="77777777" w:rsidTr="00742EE3">
        <w:trPr>
          <w:trHeight w:val="522"/>
          <w:tblHeader/>
        </w:trPr>
        <w:tc>
          <w:tcPr>
            <w:tcW w:w="7796" w:type="dxa"/>
            <w:gridSpan w:val="3"/>
            <w:shd w:val="clear" w:color="auto" w:fill="F2F2F2"/>
          </w:tcPr>
          <w:p w14:paraId="2A95B3B9" w14:textId="77777777" w:rsidR="00446C60" w:rsidRPr="001B2F81" w:rsidRDefault="00446C60" w:rsidP="00CE30D5">
            <w:pPr>
              <w:pStyle w:val="TableTextLeft"/>
            </w:pPr>
            <w:r w:rsidRPr="00F33439">
              <w:rPr>
                <w:rFonts w:cs="Arial"/>
                <w:b/>
                <w:sz w:val="16"/>
                <w:szCs w:val="16"/>
              </w:rPr>
              <w:t>Program 1</w:t>
            </w:r>
            <w:r w:rsidRPr="00F33439">
              <w:rPr>
                <w:rFonts w:cs="Arial"/>
                <w:sz w:val="16"/>
                <w:szCs w:val="16"/>
              </w:rPr>
              <w:t xml:space="preserve"> – The objective of this program is to support the Governor-General and Official Activities.  It c</w:t>
            </w:r>
            <w:r>
              <w:rPr>
                <w:rFonts w:cs="Arial"/>
                <w:sz w:val="16"/>
                <w:szCs w:val="16"/>
              </w:rPr>
              <w:t>omprises three</w:t>
            </w:r>
            <w:r w:rsidRPr="00F33439">
              <w:rPr>
                <w:rFonts w:cs="Arial"/>
                <w:sz w:val="16"/>
                <w:szCs w:val="16"/>
              </w:rPr>
              <w:t xml:space="preserve"> components: </w:t>
            </w:r>
            <w:r>
              <w:rPr>
                <w:rFonts w:cs="Arial"/>
                <w:sz w:val="16"/>
                <w:szCs w:val="16"/>
              </w:rPr>
              <w:t>s</w:t>
            </w:r>
            <w:r w:rsidRPr="00F33439">
              <w:rPr>
                <w:rFonts w:cs="Arial"/>
                <w:sz w:val="16"/>
                <w:szCs w:val="16"/>
              </w:rPr>
              <w:t>upport for the Governor-General</w:t>
            </w:r>
            <w:r w:rsidR="00CE30D5">
              <w:rPr>
                <w:rFonts w:cs="Arial"/>
                <w:sz w:val="16"/>
                <w:szCs w:val="16"/>
              </w:rPr>
              <w:t>,</w:t>
            </w:r>
            <w:r>
              <w:rPr>
                <w:rFonts w:cs="Arial"/>
                <w:sz w:val="16"/>
                <w:szCs w:val="16"/>
              </w:rPr>
              <w:t xml:space="preserve"> m</w:t>
            </w:r>
            <w:r w:rsidRPr="0003220B">
              <w:rPr>
                <w:rFonts w:cs="Arial"/>
                <w:sz w:val="16"/>
                <w:szCs w:val="16"/>
              </w:rPr>
              <w:t>anagement and maintenance of the official properties</w:t>
            </w:r>
            <w:r w:rsidR="00CE30D5">
              <w:rPr>
                <w:rFonts w:cs="Arial"/>
                <w:sz w:val="16"/>
                <w:szCs w:val="16"/>
              </w:rPr>
              <w:t>,</w:t>
            </w:r>
            <w:r>
              <w:rPr>
                <w:rFonts w:cs="Arial"/>
                <w:sz w:val="16"/>
                <w:szCs w:val="16"/>
              </w:rPr>
              <w:t xml:space="preserve"> </w:t>
            </w:r>
            <w:r w:rsidRPr="00F33439">
              <w:rPr>
                <w:rFonts w:cs="Arial"/>
                <w:sz w:val="16"/>
                <w:szCs w:val="16"/>
              </w:rPr>
              <w:t>and administration of the Australian Honours and Awards system.</w:t>
            </w:r>
          </w:p>
        </w:tc>
      </w:tr>
      <w:tr w:rsidR="00446C60" w:rsidRPr="001B2F81" w14:paraId="383DB217" w14:textId="77777777" w:rsidTr="00742EE3">
        <w:trPr>
          <w:trHeight w:val="694"/>
        </w:trPr>
        <w:tc>
          <w:tcPr>
            <w:tcW w:w="1560" w:type="dxa"/>
            <w:tcBorders>
              <w:bottom w:val="double" w:sz="4" w:space="0" w:color="auto"/>
            </w:tcBorders>
          </w:tcPr>
          <w:p w14:paraId="00572FA6" w14:textId="77777777" w:rsidR="00446C60" w:rsidRPr="00160C23" w:rsidRDefault="00446C60" w:rsidP="00742EE3">
            <w:pPr>
              <w:tabs>
                <w:tab w:val="left" w:pos="709"/>
              </w:tabs>
              <w:spacing w:before="60"/>
              <w:rPr>
                <w:rFonts w:ascii="Arial" w:hAnsi="Arial" w:cs="Arial"/>
                <w:b/>
                <w:sz w:val="16"/>
                <w:szCs w:val="16"/>
              </w:rPr>
            </w:pPr>
            <w:r w:rsidRPr="00160C23">
              <w:rPr>
                <w:rFonts w:ascii="Arial" w:hAnsi="Arial" w:cs="Arial"/>
                <w:b/>
                <w:sz w:val="16"/>
                <w:szCs w:val="16"/>
              </w:rPr>
              <w:t>Key Activities</w:t>
            </w:r>
          </w:p>
        </w:tc>
        <w:tc>
          <w:tcPr>
            <w:tcW w:w="6236" w:type="dxa"/>
            <w:gridSpan w:val="2"/>
            <w:tcBorders>
              <w:bottom w:val="double" w:sz="4" w:space="0" w:color="auto"/>
            </w:tcBorders>
          </w:tcPr>
          <w:p w14:paraId="2BCB99F8" w14:textId="77777777" w:rsidR="00446C60" w:rsidRDefault="00446C60" w:rsidP="00742EE3">
            <w:pPr>
              <w:tabs>
                <w:tab w:val="left" w:pos="709"/>
              </w:tabs>
              <w:spacing w:before="60" w:after="60"/>
              <w:rPr>
                <w:rFonts w:ascii="Arial" w:hAnsi="Arial" w:cs="Arial"/>
                <w:sz w:val="16"/>
                <w:szCs w:val="16"/>
              </w:rPr>
            </w:pPr>
            <w:r w:rsidRPr="00A42FF1">
              <w:rPr>
                <w:rFonts w:ascii="Arial" w:hAnsi="Arial" w:cs="Arial"/>
                <w:b/>
                <w:sz w:val="16"/>
                <w:szCs w:val="16"/>
              </w:rPr>
              <w:t>Component 1:</w:t>
            </w:r>
            <w:r>
              <w:rPr>
                <w:rFonts w:ascii="Arial" w:hAnsi="Arial" w:cs="Arial"/>
                <w:sz w:val="16"/>
                <w:szCs w:val="16"/>
              </w:rPr>
              <w:t xml:space="preserve"> </w:t>
            </w:r>
            <w:r w:rsidRPr="00C42BB3">
              <w:rPr>
                <w:rFonts w:ascii="Arial" w:hAnsi="Arial" w:cs="Arial"/>
                <w:sz w:val="16"/>
                <w:szCs w:val="16"/>
              </w:rPr>
              <w:t>S</w:t>
            </w:r>
            <w:r>
              <w:rPr>
                <w:rFonts w:ascii="Arial" w:hAnsi="Arial" w:cs="Arial"/>
                <w:sz w:val="16"/>
                <w:szCs w:val="16"/>
              </w:rPr>
              <w:t>upport for the Governor-General</w:t>
            </w:r>
          </w:p>
          <w:p w14:paraId="3CDE8E72" w14:textId="77777777" w:rsidR="00446C60" w:rsidRPr="00F33439" w:rsidRDefault="00446C60" w:rsidP="00742EE3">
            <w:pPr>
              <w:tabs>
                <w:tab w:val="left" w:pos="709"/>
              </w:tabs>
              <w:spacing w:before="60" w:after="60"/>
              <w:rPr>
                <w:rFonts w:ascii="Arial" w:hAnsi="Arial" w:cs="Arial"/>
                <w:sz w:val="16"/>
                <w:szCs w:val="16"/>
              </w:rPr>
            </w:pPr>
            <w:r>
              <w:rPr>
                <w:rFonts w:ascii="Arial" w:hAnsi="Arial" w:cs="Arial"/>
                <w:sz w:val="16"/>
                <w:szCs w:val="16"/>
              </w:rPr>
              <w:t xml:space="preserve">Key activities of component 1 </w:t>
            </w:r>
            <w:r w:rsidRPr="00F33439">
              <w:rPr>
                <w:rFonts w:ascii="Arial" w:hAnsi="Arial" w:cs="Arial"/>
                <w:sz w:val="16"/>
                <w:szCs w:val="16"/>
              </w:rPr>
              <w:t>include:</w:t>
            </w:r>
          </w:p>
          <w:p w14:paraId="410B7AFD" w14:textId="77777777" w:rsidR="00446C60" w:rsidRPr="00A42FF1" w:rsidRDefault="00446C60" w:rsidP="008A2254">
            <w:pPr>
              <w:pStyle w:val="ListParagraph"/>
              <w:numPr>
                <w:ilvl w:val="0"/>
                <w:numId w:val="66"/>
              </w:numPr>
              <w:tabs>
                <w:tab w:val="left" w:pos="709"/>
              </w:tabs>
              <w:spacing w:before="60" w:after="0" w:line="240" w:lineRule="auto"/>
              <w:rPr>
                <w:rFonts w:ascii="Arial" w:hAnsi="Arial" w:cs="Arial"/>
                <w:bCs/>
                <w:sz w:val="16"/>
                <w:szCs w:val="16"/>
              </w:rPr>
            </w:pPr>
            <w:r w:rsidRPr="00A42FF1">
              <w:rPr>
                <w:rFonts w:ascii="Arial" w:hAnsi="Arial" w:cs="Arial"/>
                <w:bCs/>
                <w:sz w:val="16"/>
                <w:szCs w:val="16"/>
              </w:rPr>
              <w:t>Providing advice to the Governor-General; planning, implementing and managing Their Excellencies’ forward program of engagements</w:t>
            </w:r>
            <w:r w:rsidR="00CE30D5">
              <w:rPr>
                <w:rFonts w:ascii="Arial" w:hAnsi="Arial" w:cs="Arial"/>
                <w:bCs/>
                <w:sz w:val="16"/>
                <w:szCs w:val="16"/>
              </w:rPr>
              <w:t>,</w:t>
            </w:r>
            <w:r w:rsidRPr="00A42FF1">
              <w:rPr>
                <w:rFonts w:ascii="Arial" w:hAnsi="Arial" w:cs="Arial"/>
                <w:bCs/>
                <w:sz w:val="16"/>
                <w:szCs w:val="16"/>
              </w:rPr>
              <w:t xml:space="preserve"> and liaising with representatives of governments, related au</w:t>
            </w:r>
            <w:r w:rsidR="00CE30D5">
              <w:rPr>
                <w:rFonts w:ascii="Arial" w:hAnsi="Arial" w:cs="Arial"/>
                <w:bCs/>
                <w:sz w:val="16"/>
                <w:szCs w:val="16"/>
              </w:rPr>
              <w:t>thorities, and community groups</w:t>
            </w:r>
          </w:p>
          <w:p w14:paraId="707A1200" w14:textId="77777777" w:rsidR="00446C60" w:rsidRDefault="00446C60" w:rsidP="008A2254">
            <w:pPr>
              <w:pStyle w:val="ListParagraph"/>
              <w:numPr>
                <w:ilvl w:val="0"/>
                <w:numId w:val="66"/>
              </w:numPr>
              <w:tabs>
                <w:tab w:val="left" w:pos="709"/>
              </w:tabs>
              <w:spacing w:before="60" w:after="0" w:line="240" w:lineRule="auto"/>
              <w:rPr>
                <w:rFonts w:ascii="Arial" w:hAnsi="Arial" w:cs="Arial"/>
                <w:bCs/>
                <w:sz w:val="16"/>
                <w:szCs w:val="16"/>
              </w:rPr>
            </w:pPr>
            <w:r w:rsidRPr="00A42FF1">
              <w:rPr>
                <w:rFonts w:ascii="Arial" w:hAnsi="Arial" w:cs="Arial"/>
                <w:bCs/>
                <w:sz w:val="16"/>
                <w:szCs w:val="16"/>
              </w:rPr>
              <w:t xml:space="preserve">Providing support for Their Excellencies and hospitality </w:t>
            </w:r>
            <w:r w:rsidR="00CE30D5">
              <w:rPr>
                <w:rFonts w:ascii="Arial" w:hAnsi="Arial" w:cs="Arial"/>
                <w:bCs/>
                <w:sz w:val="16"/>
                <w:szCs w:val="16"/>
              </w:rPr>
              <w:t>services for official functions</w:t>
            </w:r>
          </w:p>
          <w:p w14:paraId="16117EE4" w14:textId="77777777" w:rsidR="00446C60" w:rsidRPr="0001349A" w:rsidRDefault="00446C60" w:rsidP="00742EE3">
            <w:pPr>
              <w:pStyle w:val="ListParagraph"/>
              <w:tabs>
                <w:tab w:val="left" w:pos="709"/>
              </w:tabs>
              <w:spacing w:before="60" w:after="0" w:line="240" w:lineRule="auto"/>
              <w:rPr>
                <w:rFonts w:ascii="Arial" w:hAnsi="Arial" w:cs="Arial"/>
                <w:bCs/>
                <w:sz w:val="16"/>
                <w:szCs w:val="16"/>
              </w:rPr>
            </w:pPr>
          </w:p>
        </w:tc>
      </w:tr>
      <w:tr w:rsidR="00446C60" w:rsidRPr="001B2F81" w14:paraId="1C1DA046" w14:textId="77777777" w:rsidTr="00742EE3">
        <w:trPr>
          <w:trHeight w:val="258"/>
        </w:trPr>
        <w:tc>
          <w:tcPr>
            <w:tcW w:w="1560" w:type="dxa"/>
            <w:tcBorders>
              <w:top w:val="double" w:sz="4" w:space="0" w:color="auto"/>
              <w:bottom w:val="single" w:sz="4" w:space="0" w:color="auto"/>
              <w:right w:val="single" w:sz="4" w:space="0" w:color="auto"/>
            </w:tcBorders>
          </w:tcPr>
          <w:p w14:paraId="31E5FE37" w14:textId="77777777" w:rsidR="00446C60" w:rsidRPr="00160C23" w:rsidRDefault="00CE30D5" w:rsidP="00742EE3">
            <w:pPr>
              <w:pStyle w:val="TableTextBase"/>
              <w:rPr>
                <w:b/>
                <w:sz w:val="16"/>
                <w:szCs w:val="16"/>
              </w:rPr>
            </w:pPr>
            <w:r>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5F563FFF" w14:textId="77777777" w:rsidR="00446C60" w:rsidRPr="00160C23" w:rsidRDefault="00446C60" w:rsidP="00742EE3">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0AE20670" w14:textId="77777777" w:rsidR="00446C60" w:rsidRPr="00160C23" w:rsidRDefault="00446C60" w:rsidP="00742EE3">
            <w:pPr>
              <w:pStyle w:val="TableTextBase"/>
              <w:rPr>
                <w:rFonts w:cs="Arial"/>
                <w:b/>
                <w:sz w:val="16"/>
                <w:szCs w:val="16"/>
              </w:rPr>
            </w:pPr>
            <w:r w:rsidRPr="00160C23">
              <w:rPr>
                <w:rFonts w:cs="Arial"/>
                <w:b/>
                <w:sz w:val="16"/>
                <w:szCs w:val="16"/>
              </w:rPr>
              <w:t>Expected Performance Results</w:t>
            </w:r>
          </w:p>
        </w:tc>
      </w:tr>
      <w:tr w:rsidR="00446C60" w:rsidRPr="001B2F81" w14:paraId="6ACCEF00" w14:textId="77777777" w:rsidTr="00742EE3">
        <w:trPr>
          <w:trHeight w:val="642"/>
        </w:trPr>
        <w:tc>
          <w:tcPr>
            <w:tcW w:w="1560" w:type="dxa"/>
            <w:tcBorders>
              <w:top w:val="single" w:sz="4" w:space="0" w:color="auto"/>
              <w:bottom w:val="dotted" w:sz="4" w:space="0" w:color="auto"/>
              <w:right w:val="single" w:sz="4" w:space="0" w:color="auto"/>
            </w:tcBorders>
          </w:tcPr>
          <w:p w14:paraId="379A7000" w14:textId="77777777" w:rsidR="00446C60" w:rsidRPr="00CE30D5" w:rsidRDefault="00446C60" w:rsidP="00742EE3">
            <w:pPr>
              <w:pStyle w:val="TableTextBase"/>
              <w:rPr>
                <w:rFonts w:cs="Arial"/>
                <w:sz w:val="16"/>
              </w:rPr>
            </w:pPr>
            <w:r w:rsidRPr="00CE30D5">
              <w:rPr>
                <w:rFonts w:cs="Arial"/>
                <w:sz w:val="16"/>
              </w:rPr>
              <w:t xml:space="preserve">Current year </w:t>
            </w:r>
          </w:p>
          <w:p w14:paraId="3AC79049" w14:textId="77777777" w:rsidR="00446C60" w:rsidRPr="00CE30D5" w:rsidRDefault="00446C60" w:rsidP="00742EE3">
            <w:pPr>
              <w:pStyle w:val="TableTextBase"/>
              <w:rPr>
                <w:rFonts w:cs="Arial"/>
                <w:sz w:val="16"/>
                <w:szCs w:val="16"/>
              </w:rPr>
            </w:pPr>
            <w:r w:rsidRPr="00CE30D5">
              <w:rPr>
                <w:rFonts w:cs="Arial"/>
                <w:sz w:val="16"/>
              </w:rPr>
              <w:t>2021-22</w:t>
            </w:r>
          </w:p>
        </w:tc>
        <w:tc>
          <w:tcPr>
            <w:tcW w:w="3118" w:type="dxa"/>
            <w:tcBorders>
              <w:top w:val="single" w:sz="4" w:space="0" w:color="auto"/>
              <w:left w:val="single" w:sz="4" w:space="0" w:color="auto"/>
              <w:bottom w:val="dotted" w:sz="4" w:space="0" w:color="auto"/>
              <w:right w:val="single" w:sz="4" w:space="0" w:color="auto"/>
            </w:tcBorders>
          </w:tcPr>
          <w:p w14:paraId="14F703A9" w14:textId="77777777" w:rsidR="00446C60" w:rsidRPr="00193C92" w:rsidRDefault="00446C60" w:rsidP="008A2254">
            <w:pPr>
              <w:numPr>
                <w:ilvl w:val="0"/>
                <w:numId w:val="65"/>
              </w:numPr>
              <w:tabs>
                <w:tab w:val="left" w:pos="709"/>
              </w:tabs>
              <w:spacing w:before="60" w:after="60" w:line="240" w:lineRule="auto"/>
              <w:jc w:val="left"/>
              <w:rPr>
                <w:rFonts w:ascii="Arial" w:hAnsi="Arial" w:cs="Arial"/>
                <w:sz w:val="16"/>
                <w:szCs w:val="16"/>
              </w:rPr>
            </w:pPr>
            <w:r w:rsidRPr="00193C92">
              <w:rPr>
                <w:rFonts w:ascii="Arial" w:hAnsi="Arial" w:cs="Arial"/>
                <w:sz w:val="16"/>
                <w:szCs w:val="16"/>
              </w:rPr>
              <w:t xml:space="preserve">The Governor-General is satisfied with the level of advice and administrative support provided that enables </w:t>
            </w:r>
            <w:r w:rsidR="00CE30D5">
              <w:rPr>
                <w:rFonts w:ascii="Arial" w:hAnsi="Arial" w:cs="Arial"/>
                <w:sz w:val="16"/>
                <w:szCs w:val="16"/>
              </w:rPr>
              <w:t>them</w:t>
            </w:r>
            <w:r w:rsidRPr="00193C92">
              <w:rPr>
                <w:rFonts w:ascii="Arial" w:hAnsi="Arial" w:cs="Arial"/>
                <w:sz w:val="16"/>
                <w:szCs w:val="16"/>
              </w:rPr>
              <w:t xml:space="preserve"> to successfully perform official duties</w:t>
            </w:r>
          </w:p>
          <w:p w14:paraId="63541447" w14:textId="77777777" w:rsidR="00446C60" w:rsidRPr="00193C92" w:rsidRDefault="00446C60" w:rsidP="008A2254">
            <w:pPr>
              <w:numPr>
                <w:ilvl w:val="0"/>
                <w:numId w:val="65"/>
              </w:numPr>
              <w:tabs>
                <w:tab w:val="left" w:pos="709"/>
              </w:tabs>
              <w:spacing w:before="60" w:after="60" w:line="240" w:lineRule="auto"/>
              <w:jc w:val="left"/>
              <w:rPr>
                <w:rFonts w:ascii="Arial" w:hAnsi="Arial" w:cs="Arial"/>
                <w:sz w:val="16"/>
                <w:szCs w:val="16"/>
              </w:rPr>
            </w:pPr>
            <w:r w:rsidRPr="00193C92">
              <w:rPr>
                <w:rFonts w:ascii="Arial" w:hAnsi="Arial" w:cs="Arial"/>
                <w:sz w:val="16"/>
                <w:szCs w:val="16"/>
              </w:rPr>
              <w:t>The Governor-General is satisfied with the management of the households</w:t>
            </w:r>
          </w:p>
          <w:p w14:paraId="2B9AD63D" w14:textId="77777777" w:rsidR="00446C60" w:rsidRPr="00AA7198" w:rsidRDefault="00446C60" w:rsidP="00742EE3">
            <w:pPr>
              <w:tabs>
                <w:tab w:val="left" w:pos="709"/>
              </w:tabs>
              <w:spacing w:before="60" w:after="60" w:line="240" w:lineRule="auto"/>
              <w:ind w:left="283"/>
              <w:jc w:val="left"/>
              <w:rPr>
                <w:rFonts w:ascii="Arial" w:hAnsi="Arial" w:cs="Arial"/>
                <w:sz w:val="16"/>
                <w:szCs w:val="16"/>
              </w:rPr>
            </w:pPr>
          </w:p>
        </w:tc>
        <w:tc>
          <w:tcPr>
            <w:tcW w:w="3118" w:type="dxa"/>
            <w:tcBorders>
              <w:top w:val="single" w:sz="4" w:space="0" w:color="auto"/>
              <w:left w:val="single" w:sz="4" w:space="0" w:color="auto"/>
              <w:bottom w:val="dotted" w:sz="4" w:space="0" w:color="auto"/>
            </w:tcBorders>
          </w:tcPr>
          <w:p w14:paraId="6E19B1F5" w14:textId="77777777" w:rsidR="00446C60" w:rsidRPr="00AA7198" w:rsidRDefault="00446C60" w:rsidP="00742EE3">
            <w:pPr>
              <w:pStyle w:val="TableTextBase"/>
              <w:rPr>
                <w:sz w:val="16"/>
                <w:szCs w:val="16"/>
              </w:rPr>
            </w:pPr>
            <w:r>
              <w:rPr>
                <w:rFonts w:cs="Arial"/>
                <w:sz w:val="16"/>
                <w:szCs w:val="16"/>
              </w:rPr>
              <w:t>Based on regular feedback from the Governor-General, the OOSGG expects to a</w:t>
            </w:r>
            <w:r w:rsidR="00CE30D5">
              <w:rPr>
                <w:rFonts w:cs="Arial"/>
                <w:sz w:val="16"/>
                <w:szCs w:val="16"/>
              </w:rPr>
              <w:t>chieve its performance measures</w:t>
            </w:r>
          </w:p>
        </w:tc>
      </w:tr>
      <w:tr w:rsidR="00446C60" w:rsidRPr="001B2F81" w14:paraId="05C9516D" w14:textId="77777777" w:rsidTr="00742EE3">
        <w:trPr>
          <w:trHeight w:val="100"/>
        </w:trPr>
        <w:tc>
          <w:tcPr>
            <w:tcW w:w="1560" w:type="dxa"/>
            <w:tcBorders>
              <w:top w:val="single" w:sz="4" w:space="0" w:color="auto"/>
              <w:bottom w:val="dotted" w:sz="4" w:space="0" w:color="auto"/>
              <w:right w:val="single" w:sz="4" w:space="0" w:color="auto"/>
            </w:tcBorders>
          </w:tcPr>
          <w:p w14:paraId="52F9BB86" w14:textId="77777777" w:rsidR="00446C60" w:rsidRPr="00CE30D5" w:rsidRDefault="00CE30D5" w:rsidP="00742EE3">
            <w:pPr>
              <w:pStyle w:val="TableTextBase"/>
              <w:rPr>
                <w:rFonts w:cs="Arial"/>
                <w:sz w:val="16"/>
              </w:rPr>
            </w:pPr>
            <w:r>
              <w:rPr>
                <w:rFonts w:cs="Arial"/>
                <w:sz w:val="16"/>
              </w:rPr>
              <w:t>Budget y</w:t>
            </w:r>
            <w:r w:rsidR="00446C60" w:rsidRPr="00CE30D5">
              <w:rPr>
                <w:rFonts w:cs="Arial"/>
                <w:sz w:val="16"/>
              </w:rPr>
              <w:t>ear</w:t>
            </w:r>
          </w:p>
          <w:p w14:paraId="519BEC81" w14:textId="77777777" w:rsidR="00446C60" w:rsidRPr="00CE30D5" w:rsidRDefault="00446C60" w:rsidP="00742EE3">
            <w:pPr>
              <w:pStyle w:val="TableTextBase"/>
              <w:rPr>
                <w:rFonts w:cs="Arial"/>
                <w:sz w:val="16"/>
              </w:rPr>
            </w:pPr>
            <w:r w:rsidRPr="00CE30D5">
              <w:rPr>
                <w:rFonts w:cs="Arial"/>
                <w:sz w:val="16"/>
              </w:rPr>
              <w:t>2022-23</w:t>
            </w:r>
          </w:p>
        </w:tc>
        <w:tc>
          <w:tcPr>
            <w:tcW w:w="3118" w:type="dxa"/>
            <w:tcBorders>
              <w:top w:val="single" w:sz="4" w:space="0" w:color="auto"/>
              <w:left w:val="single" w:sz="4" w:space="0" w:color="auto"/>
              <w:bottom w:val="dotted" w:sz="4" w:space="0" w:color="auto"/>
              <w:right w:val="single" w:sz="4" w:space="0" w:color="auto"/>
            </w:tcBorders>
          </w:tcPr>
          <w:p w14:paraId="65CCEF1F" w14:textId="77777777" w:rsidR="00446C60" w:rsidRPr="00A332D8" w:rsidRDefault="00446C60" w:rsidP="008A2254">
            <w:pPr>
              <w:numPr>
                <w:ilvl w:val="0"/>
                <w:numId w:val="65"/>
              </w:numPr>
              <w:tabs>
                <w:tab w:val="left" w:pos="709"/>
              </w:tabs>
              <w:spacing w:before="60" w:after="60" w:line="240" w:lineRule="auto"/>
              <w:jc w:val="left"/>
              <w:rPr>
                <w:rFonts w:ascii="Arial" w:hAnsi="Arial" w:cs="Arial"/>
                <w:sz w:val="16"/>
                <w:szCs w:val="16"/>
              </w:rPr>
            </w:pPr>
            <w:r w:rsidRPr="00A332D8">
              <w:rPr>
                <w:rFonts w:ascii="Arial" w:hAnsi="Arial" w:cs="Arial"/>
                <w:sz w:val="16"/>
                <w:szCs w:val="16"/>
              </w:rPr>
              <w:t>The Governor-General is satisfied with the level of advice and administrative support provided that enables him to successfully perform official duties</w:t>
            </w:r>
          </w:p>
          <w:p w14:paraId="01FE6570" w14:textId="77777777" w:rsidR="00446C60" w:rsidRDefault="00446C60" w:rsidP="008A2254">
            <w:pPr>
              <w:numPr>
                <w:ilvl w:val="0"/>
                <w:numId w:val="65"/>
              </w:numPr>
              <w:tabs>
                <w:tab w:val="left" w:pos="709"/>
              </w:tabs>
              <w:spacing w:before="60" w:after="60" w:line="240" w:lineRule="auto"/>
              <w:jc w:val="left"/>
              <w:rPr>
                <w:rFonts w:ascii="Arial" w:hAnsi="Arial" w:cs="Arial"/>
                <w:sz w:val="16"/>
                <w:szCs w:val="16"/>
              </w:rPr>
            </w:pPr>
            <w:r w:rsidRPr="00A332D8">
              <w:rPr>
                <w:rFonts w:ascii="Arial" w:hAnsi="Arial" w:cs="Arial"/>
                <w:sz w:val="16"/>
                <w:szCs w:val="16"/>
              </w:rPr>
              <w:t>The Governor-General is satisfied with the management of the households</w:t>
            </w:r>
          </w:p>
          <w:p w14:paraId="17861FC1" w14:textId="77777777" w:rsidR="00446C60" w:rsidRDefault="00446C60" w:rsidP="00742EE3">
            <w:pPr>
              <w:tabs>
                <w:tab w:val="left" w:pos="709"/>
              </w:tabs>
              <w:spacing w:before="60" w:after="60" w:line="240" w:lineRule="auto"/>
              <w:ind w:left="283"/>
              <w:jc w:val="left"/>
              <w:rPr>
                <w:rFonts w:ascii="Arial" w:hAnsi="Arial" w:cs="Arial"/>
                <w:sz w:val="16"/>
                <w:szCs w:val="16"/>
              </w:rPr>
            </w:pPr>
          </w:p>
          <w:p w14:paraId="0F7CED16" w14:textId="77777777" w:rsidR="00CE30D5" w:rsidRPr="0096615D" w:rsidRDefault="00CE30D5" w:rsidP="00742EE3">
            <w:pPr>
              <w:tabs>
                <w:tab w:val="left" w:pos="709"/>
              </w:tabs>
              <w:spacing w:before="60" w:after="60" w:line="240" w:lineRule="auto"/>
              <w:ind w:left="283"/>
              <w:jc w:val="left"/>
              <w:rPr>
                <w:rFonts w:ascii="Arial" w:hAnsi="Arial" w:cs="Arial"/>
                <w:sz w:val="16"/>
                <w:szCs w:val="16"/>
              </w:rPr>
            </w:pPr>
          </w:p>
        </w:tc>
        <w:tc>
          <w:tcPr>
            <w:tcW w:w="3118" w:type="dxa"/>
            <w:tcBorders>
              <w:top w:val="single" w:sz="4" w:space="0" w:color="auto"/>
              <w:left w:val="single" w:sz="4" w:space="0" w:color="auto"/>
              <w:bottom w:val="dotted" w:sz="4" w:space="0" w:color="auto"/>
            </w:tcBorders>
          </w:tcPr>
          <w:p w14:paraId="46A0116D" w14:textId="77777777" w:rsidR="00446C60" w:rsidRPr="00681EE0" w:rsidRDefault="00446C60" w:rsidP="00742EE3">
            <w:pPr>
              <w:pStyle w:val="TableTextBase"/>
              <w:rPr>
                <w:sz w:val="16"/>
                <w:szCs w:val="16"/>
              </w:rPr>
            </w:pPr>
            <w:r w:rsidRPr="00CD0A62">
              <w:rPr>
                <w:rFonts w:cs="Arial"/>
                <w:sz w:val="16"/>
                <w:szCs w:val="16"/>
              </w:rPr>
              <w:t>The Governor-General expresses satisfaction with the support he receives to perform his official duties</w:t>
            </w:r>
          </w:p>
        </w:tc>
      </w:tr>
      <w:tr w:rsidR="00446C60" w:rsidRPr="001B2F81" w14:paraId="35EF6D59" w14:textId="77777777" w:rsidTr="00742EE3">
        <w:trPr>
          <w:trHeight w:val="491"/>
        </w:trPr>
        <w:tc>
          <w:tcPr>
            <w:tcW w:w="1560" w:type="dxa"/>
            <w:tcBorders>
              <w:top w:val="dotted" w:sz="4" w:space="0" w:color="auto"/>
              <w:bottom w:val="dotted" w:sz="4" w:space="0" w:color="auto"/>
              <w:right w:val="single" w:sz="4" w:space="0" w:color="auto"/>
            </w:tcBorders>
          </w:tcPr>
          <w:p w14:paraId="17457960" w14:textId="77777777" w:rsidR="00446C60" w:rsidRPr="00CE30D5" w:rsidRDefault="00446C60" w:rsidP="00742EE3">
            <w:pPr>
              <w:pStyle w:val="TableTextBase"/>
              <w:rPr>
                <w:rFonts w:cs="Arial"/>
                <w:sz w:val="16"/>
              </w:rPr>
            </w:pPr>
            <w:r w:rsidRPr="00CE30D5">
              <w:rPr>
                <w:rFonts w:cs="Arial"/>
                <w:sz w:val="16"/>
              </w:rPr>
              <w:t xml:space="preserve">Forward </w:t>
            </w:r>
            <w:r w:rsidR="00CE30D5">
              <w:rPr>
                <w:rFonts w:cs="Arial"/>
                <w:sz w:val="16"/>
              </w:rPr>
              <w:t>e</w:t>
            </w:r>
            <w:r w:rsidRPr="00CE30D5">
              <w:rPr>
                <w:rFonts w:cs="Arial"/>
                <w:sz w:val="16"/>
              </w:rPr>
              <w:t>stimates</w:t>
            </w:r>
          </w:p>
          <w:p w14:paraId="5F4E02E2" w14:textId="77777777" w:rsidR="00446C60" w:rsidRPr="00CE30D5" w:rsidRDefault="00446C60" w:rsidP="00742EE3">
            <w:pPr>
              <w:pStyle w:val="TableTextBase"/>
              <w:rPr>
                <w:rFonts w:cs="Arial"/>
                <w:sz w:val="16"/>
              </w:rPr>
            </w:pPr>
            <w:r w:rsidRPr="00CE30D5">
              <w:rPr>
                <w:rFonts w:cs="Arial"/>
                <w:sz w:val="16"/>
              </w:rPr>
              <w:t>2023-26</w:t>
            </w:r>
          </w:p>
        </w:tc>
        <w:tc>
          <w:tcPr>
            <w:tcW w:w="3118" w:type="dxa"/>
            <w:tcBorders>
              <w:top w:val="dotted" w:sz="4" w:space="0" w:color="auto"/>
              <w:left w:val="single" w:sz="4" w:space="0" w:color="auto"/>
              <w:bottom w:val="dotted" w:sz="4" w:space="0" w:color="auto"/>
              <w:right w:val="single" w:sz="4" w:space="0" w:color="auto"/>
            </w:tcBorders>
          </w:tcPr>
          <w:p w14:paraId="4ED17BFB" w14:textId="77777777" w:rsidR="00446C60" w:rsidRDefault="00446C60" w:rsidP="00742EE3">
            <w:pPr>
              <w:pStyle w:val="TableTextBase"/>
              <w:rPr>
                <w:sz w:val="16"/>
              </w:rPr>
            </w:pPr>
            <w:r w:rsidRPr="00CE30D5">
              <w:rPr>
                <w:sz w:val="16"/>
              </w:rPr>
              <w:t>As per 2022-23</w:t>
            </w:r>
          </w:p>
          <w:p w14:paraId="558E2AE4" w14:textId="77777777" w:rsidR="00CE30D5" w:rsidRDefault="00CE30D5" w:rsidP="00742EE3">
            <w:pPr>
              <w:pStyle w:val="TableTextBase"/>
              <w:rPr>
                <w:sz w:val="16"/>
              </w:rPr>
            </w:pPr>
          </w:p>
          <w:p w14:paraId="4A105D72" w14:textId="77777777" w:rsidR="00CE30D5" w:rsidRDefault="00CE30D5" w:rsidP="00742EE3">
            <w:pPr>
              <w:pStyle w:val="TableTextBase"/>
              <w:rPr>
                <w:sz w:val="16"/>
              </w:rPr>
            </w:pPr>
          </w:p>
          <w:p w14:paraId="70DDB87A" w14:textId="77777777" w:rsidR="00CE30D5" w:rsidRDefault="00CE30D5" w:rsidP="00742EE3">
            <w:pPr>
              <w:pStyle w:val="TableTextBase"/>
              <w:rPr>
                <w:sz w:val="16"/>
              </w:rPr>
            </w:pPr>
          </w:p>
          <w:p w14:paraId="04FB06E7" w14:textId="77777777" w:rsidR="00CE30D5" w:rsidRPr="00CE30D5" w:rsidRDefault="00CE30D5" w:rsidP="00742EE3">
            <w:pPr>
              <w:pStyle w:val="TableTextBase"/>
              <w:rPr>
                <w:sz w:val="16"/>
              </w:rPr>
            </w:pPr>
          </w:p>
        </w:tc>
        <w:tc>
          <w:tcPr>
            <w:tcW w:w="3118" w:type="dxa"/>
            <w:tcBorders>
              <w:top w:val="dotted" w:sz="4" w:space="0" w:color="auto"/>
              <w:left w:val="single" w:sz="4" w:space="0" w:color="auto"/>
              <w:bottom w:val="dotted" w:sz="4" w:space="0" w:color="auto"/>
            </w:tcBorders>
          </w:tcPr>
          <w:p w14:paraId="2D4472A8" w14:textId="77777777" w:rsidR="00446C60" w:rsidRPr="00CE30D5" w:rsidRDefault="00446C60" w:rsidP="00742EE3">
            <w:pPr>
              <w:pStyle w:val="TableTextBase"/>
              <w:rPr>
                <w:sz w:val="16"/>
              </w:rPr>
            </w:pPr>
            <w:r w:rsidRPr="00CE30D5">
              <w:rPr>
                <w:sz w:val="16"/>
              </w:rPr>
              <w:t>As per 2022-23</w:t>
            </w:r>
          </w:p>
        </w:tc>
      </w:tr>
      <w:tr w:rsidR="00446C60" w:rsidRPr="001B2F81" w14:paraId="2EB6EEDA" w14:textId="77777777" w:rsidTr="00742EE3">
        <w:trPr>
          <w:trHeight w:val="694"/>
        </w:trPr>
        <w:tc>
          <w:tcPr>
            <w:tcW w:w="1560" w:type="dxa"/>
            <w:tcBorders>
              <w:bottom w:val="double" w:sz="4" w:space="0" w:color="auto"/>
            </w:tcBorders>
          </w:tcPr>
          <w:p w14:paraId="3D42D2C3" w14:textId="77777777" w:rsidR="00446C60" w:rsidRPr="00160C23" w:rsidRDefault="00446C60" w:rsidP="00742EE3">
            <w:pPr>
              <w:tabs>
                <w:tab w:val="left" w:pos="709"/>
              </w:tabs>
              <w:spacing w:before="60"/>
              <w:rPr>
                <w:rFonts w:ascii="Arial" w:hAnsi="Arial" w:cs="Arial"/>
                <w:b/>
                <w:sz w:val="16"/>
                <w:szCs w:val="16"/>
              </w:rPr>
            </w:pPr>
            <w:r>
              <w:rPr>
                <w:rFonts w:ascii="Arial" w:hAnsi="Arial" w:cs="Arial"/>
                <w:b/>
                <w:sz w:val="16"/>
                <w:szCs w:val="16"/>
              </w:rPr>
              <w:t>Key Activities</w:t>
            </w:r>
          </w:p>
        </w:tc>
        <w:tc>
          <w:tcPr>
            <w:tcW w:w="6236" w:type="dxa"/>
            <w:gridSpan w:val="2"/>
            <w:tcBorders>
              <w:bottom w:val="double" w:sz="4" w:space="0" w:color="auto"/>
            </w:tcBorders>
          </w:tcPr>
          <w:p w14:paraId="479C5E1A" w14:textId="77777777" w:rsidR="00446C60" w:rsidRDefault="00446C60" w:rsidP="00742EE3">
            <w:pPr>
              <w:tabs>
                <w:tab w:val="left" w:pos="709"/>
              </w:tabs>
              <w:spacing w:before="60" w:after="60"/>
              <w:rPr>
                <w:rFonts w:ascii="Arial" w:hAnsi="Arial" w:cs="Arial"/>
                <w:sz w:val="16"/>
                <w:szCs w:val="16"/>
              </w:rPr>
            </w:pPr>
            <w:r w:rsidRPr="00A42FF1">
              <w:rPr>
                <w:rFonts w:ascii="Arial" w:hAnsi="Arial" w:cs="Arial"/>
                <w:b/>
                <w:sz w:val="16"/>
                <w:szCs w:val="16"/>
              </w:rPr>
              <w:t>Component 2:</w:t>
            </w:r>
            <w:r>
              <w:rPr>
                <w:rFonts w:ascii="Arial" w:hAnsi="Arial" w:cs="Arial"/>
                <w:sz w:val="16"/>
                <w:szCs w:val="16"/>
              </w:rPr>
              <w:t xml:space="preserve"> </w:t>
            </w:r>
            <w:r w:rsidRPr="00C42BB3">
              <w:rPr>
                <w:rFonts w:ascii="Arial" w:hAnsi="Arial" w:cs="Arial"/>
                <w:sz w:val="16"/>
                <w:szCs w:val="16"/>
              </w:rPr>
              <w:t>Management and maintenance of the official properties</w:t>
            </w:r>
          </w:p>
          <w:p w14:paraId="54D2EE6D" w14:textId="77777777" w:rsidR="00446C60" w:rsidRPr="00F33439" w:rsidRDefault="00446C60" w:rsidP="00742EE3">
            <w:pPr>
              <w:tabs>
                <w:tab w:val="left" w:pos="709"/>
              </w:tabs>
              <w:spacing w:before="60" w:after="60"/>
              <w:rPr>
                <w:rFonts w:ascii="Arial" w:hAnsi="Arial" w:cs="Arial"/>
                <w:sz w:val="16"/>
                <w:szCs w:val="16"/>
              </w:rPr>
            </w:pPr>
            <w:r>
              <w:rPr>
                <w:rFonts w:ascii="Arial" w:hAnsi="Arial" w:cs="Arial"/>
                <w:sz w:val="16"/>
                <w:szCs w:val="16"/>
              </w:rPr>
              <w:t xml:space="preserve">Key activities of component 2 </w:t>
            </w:r>
            <w:r w:rsidRPr="00F33439">
              <w:rPr>
                <w:rFonts w:ascii="Arial" w:hAnsi="Arial" w:cs="Arial"/>
                <w:sz w:val="16"/>
                <w:szCs w:val="16"/>
              </w:rPr>
              <w:t>include:</w:t>
            </w:r>
          </w:p>
          <w:p w14:paraId="3B11A36A" w14:textId="77777777" w:rsidR="00446C60" w:rsidRPr="00FB720D" w:rsidRDefault="00446C60" w:rsidP="008A2254">
            <w:pPr>
              <w:pStyle w:val="ListParagraph"/>
              <w:numPr>
                <w:ilvl w:val="0"/>
                <w:numId w:val="67"/>
              </w:numPr>
              <w:tabs>
                <w:tab w:val="left" w:pos="709"/>
              </w:tabs>
              <w:spacing w:before="60" w:after="0" w:line="240" w:lineRule="auto"/>
              <w:rPr>
                <w:rFonts w:ascii="Arial" w:hAnsi="Arial" w:cs="Arial"/>
                <w:bCs/>
                <w:sz w:val="16"/>
                <w:szCs w:val="16"/>
              </w:rPr>
            </w:pPr>
            <w:r w:rsidRPr="00A42FF1">
              <w:rPr>
                <w:rFonts w:ascii="Arial" w:hAnsi="Arial" w:cs="Arial"/>
                <w:bCs/>
                <w:sz w:val="16"/>
                <w:szCs w:val="16"/>
              </w:rPr>
              <w:t xml:space="preserve">Providing governance advice and administrative services to the Office and managing the Governor-General’s official residences, including maintenance of </w:t>
            </w:r>
            <w:r w:rsidR="00016DD4">
              <w:rPr>
                <w:rFonts w:ascii="Arial" w:hAnsi="Arial" w:cs="Arial"/>
                <w:bCs/>
                <w:sz w:val="16"/>
                <w:szCs w:val="16"/>
              </w:rPr>
              <w:t>property, equipment and grounds</w:t>
            </w:r>
          </w:p>
        </w:tc>
      </w:tr>
      <w:tr w:rsidR="00446C60" w:rsidRPr="001B2F81" w14:paraId="41874F38" w14:textId="77777777" w:rsidTr="00742EE3">
        <w:trPr>
          <w:trHeight w:val="258"/>
        </w:trPr>
        <w:tc>
          <w:tcPr>
            <w:tcW w:w="1560" w:type="dxa"/>
            <w:tcBorders>
              <w:top w:val="double" w:sz="4" w:space="0" w:color="auto"/>
              <w:bottom w:val="single" w:sz="4" w:space="0" w:color="auto"/>
              <w:right w:val="single" w:sz="4" w:space="0" w:color="auto"/>
            </w:tcBorders>
          </w:tcPr>
          <w:p w14:paraId="3AF5F6C4" w14:textId="77777777" w:rsidR="00446C60" w:rsidRPr="00160C23" w:rsidRDefault="00CE30D5" w:rsidP="00742EE3">
            <w:pPr>
              <w:pStyle w:val="TableTextBase"/>
              <w:rPr>
                <w:b/>
                <w:sz w:val="16"/>
                <w:szCs w:val="16"/>
              </w:rPr>
            </w:pPr>
            <w:r>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09088151" w14:textId="77777777" w:rsidR="00446C60" w:rsidRPr="00160C23" w:rsidRDefault="00446C60" w:rsidP="00742EE3">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2655B82D" w14:textId="77777777" w:rsidR="00446C60" w:rsidRPr="00160C23" w:rsidRDefault="00446C60" w:rsidP="00742EE3">
            <w:pPr>
              <w:pStyle w:val="TableTextBase"/>
              <w:rPr>
                <w:rFonts w:cs="Arial"/>
                <w:b/>
                <w:sz w:val="16"/>
                <w:szCs w:val="16"/>
              </w:rPr>
            </w:pPr>
            <w:r w:rsidRPr="00160C23">
              <w:rPr>
                <w:rFonts w:cs="Arial"/>
                <w:b/>
                <w:sz w:val="16"/>
                <w:szCs w:val="16"/>
              </w:rPr>
              <w:t>Expected Performance Results</w:t>
            </w:r>
          </w:p>
        </w:tc>
      </w:tr>
      <w:tr w:rsidR="00446C60" w:rsidRPr="001B2F81" w14:paraId="515AD2B2" w14:textId="77777777" w:rsidTr="00742EE3">
        <w:trPr>
          <w:trHeight w:val="642"/>
        </w:trPr>
        <w:tc>
          <w:tcPr>
            <w:tcW w:w="1560" w:type="dxa"/>
            <w:tcBorders>
              <w:top w:val="single" w:sz="4" w:space="0" w:color="auto"/>
              <w:bottom w:val="dotted" w:sz="4" w:space="0" w:color="auto"/>
              <w:right w:val="single" w:sz="4" w:space="0" w:color="auto"/>
            </w:tcBorders>
          </w:tcPr>
          <w:p w14:paraId="7EF6EC02" w14:textId="77777777" w:rsidR="00446C60" w:rsidRPr="00CE30D5" w:rsidRDefault="00446C60" w:rsidP="00742EE3">
            <w:pPr>
              <w:pStyle w:val="TableTextBase"/>
              <w:rPr>
                <w:sz w:val="16"/>
              </w:rPr>
            </w:pPr>
            <w:r w:rsidRPr="00CE30D5">
              <w:rPr>
                <w:sz w:val="16"/>
              </w:rPr>
              <w:t xml:space="preserve">Current year </w:t>
            </w:r>
          </w:p>
          <w:p w14:paraId="61C912AB" w14:textId="77777777" w:rsidR="00446C60" w:rsidRPr="00CE30D5" w:rsidRDefault="00446C60" w:rsidP="00742EE3">
            <w:pPr>
              <w:pStyle w:val="TableTextBase"/>
              <w:rPr>
                <w:sz w:val="16"/>
                <w:szCs w:val="16"/>
              </w:rPr>
            </w:pPr>
            <w:r w:rsidRPr="00CE30D5">
              <w:rPr>
                <w:sz w:val="16"/>
              </w:rPr>
              <w:t>2021-22</w:t>
            </w:r>
          </w:p>
        </w:tc>
        <w:tc>
          <w:tcPr>
            <w:tcW w:w="3118" w:type="dxa"/>
            <w:tcBorders>
              <w:top w:val="single" w:sz="4" w:space="0" w:color="auto"/>
              <w:left w:val="single" w:sz="4" w:space="0" w:color="auto"/>
              <w:bottom w:val="dotted" w:sz="4" w:space="0" w:color="auto"/>
              <w:right w:val="single" w:sz="4" w:space="0" w:color="auto"/>
            </w:tcBorders>
          </w:tcPr>
          <w:p w14:paraId="79DE1364" w14:textId="77777777" w:rsidR="00446C60" w:rsidRDefault="00446C60" w:rsidP="008A2254">
            <w:pPr>
              <w:numPr>
                <w:ilvl w:val="0"/>
                <w:numId w:val="65"/>
              </w:numPr>
              <w:tabs>
                <w:tab w:val="left" w:pos="709"/>
              </w:tabs>
              <w:spacing w:before="60" w:after="60" w:line="240" w:lineRule="auto"/>
              <w:jc w:val="left"/>
              <w:rPr>
                <w:rFonts w:ascii="Arial" w:hAnsi="Arial" w:cs="Arial"/>
                <w:sz w:val="16"/>
                <w:szCs w:val="16"/>
              </w:rPr>
            </w:pPr>
            <w:r w:rsidRPr="00193C92">
              <w:rPr>
                <w:rFonts w:ascii="Arial" w:hAnsi="Arial" w:cs="Arial"/>
                <w:sz w:val="16"/>
                <w:szCs w:val="16"/>
              </w:rPr>
              <w:t xml:space="preserve">The properties are managed in accordance with the requirements of the </w:t>
            </w:r>
            <w:r w:rsidRPr="00016DD4">
              <w:rPr>
                <w:rFonts w:ascii="Arial" w:hAnsi="Arial" w:cs="Arial"/>
                <w:i/>
                <w:sz w:val="16"/>
                <w:szCs w:val="16"/>
              </w:rPr>
              <w:t>Environment Protection and Biodiversity Conservation Act 1999</w:t>
            </w:r>
            <w:r w:rsidRPr="00193C92">
              <w:rPr>
                <w:rFonts w:ascii="Arial" w:hAnsi="Arial" w:cs="Arial"/>
                <w:sz w:val="16"/>
                <w:szCs w:val="16"/>
              </w:rPr>
              <w:t xml:space="preserve"> and government policies relating to heritage properties, and with due consideration of advice provided by the National Capital Authority</w:t>
            </w:r>
            <w:r>
              <w:rPr>
                <w:rFonts w:ascii="Arial" w:hAnsi="Arial" w:cs="Arial"/>
                <w:sz w:val="16"/>
                <w:szCs w:val="16"/>
              </w:rPr>
              <w:t xml:space="preserve"> and other relevant authorities</w:t>
            </w:r>
          </w:p>
          <w:p w14:paraId="579AEB66" w14:textId="77777777" w:rsidR="00446C60" w:rsidRPr="00AA7198" w:rsidRDefault="00446C60" w:rsidP="00742EE3">
            <w:pPr>
              <w:tabs>
                <w:tab w:val="left" w:pos="709"/>
              </w:tabs>
              <w:spacing w:before="60" w:after="60" w:line="240" w:lineRule="auto"/>
              <w:ind w:left="283"/>
              <w:jc w:val="left"/>
              <w:rPr>
                <w:rFonts w:ascii="Arial" w:hAnsi="Arial" w:cs="Arial"/>
                <w:sz w:val="16"/>
                <w:szCs w:val="16"/>
              </w:rPr>
            </w:pPr>
          </w:p>
        </w:tc>
        <w:tc>
          <w:tcPr>
            <w:tcW w:w="3118" w:type="dxa"/>
            <w:tcBorders>
              <w:top w:val="single" w:sz="4" w:space="0" w:color="auto"/>
              <w:left w:val="single" w:sz="4" w:space="0" w:color="auto"/>
              <w:bottom w:val="dotted" w:sz="4" w:space="0" w:color="auto"/>
            </w:tcBorders>
          </w:tcPr>
          <w:p w14:paraId="6D457C7F" w14:textId="77777777" w:rsidR="00446C60" w:rsidRPr="00AA7198" w:rsidRDefault="00446C60" w:rsidP="00742EE3">
            <w:pPr>
              <w:pStyle w:val="TableTextBase"/>
              <w:rPr>
                <w:sz w:val="16"/>
                <w:szCs w:val="16"/>
              </w:rPr>
            </w:pPr>
            <w:r>
              <w:rPr>
                <w:rFonts w:cs="Arial"/>
                <w:sz w:val="16"/>
                <w:szCs w:val="16"/>
              </w:rPr>
              <w:t>Based on regular feedback from the Governor-General and the robust property management framework in place, the OOSGG expects to a</w:t>
            </w:r>
            <w:r w:rsidR="00016DD4">
              <w:rPr>
                <w:rFonts w:cs="Arial"/>
                <w:sz w:val="16"/>
                <w:szCs w:val="16"/>
              </w:rPr>
              <w:t>chieve its performance measures</w:t>
            </w:r>
          </w:p>
          <w:p w14:paraId="1DC6092D" w14:textId="77777777" w:rsidR="00446C60" w:rsidRPr="00AA7198" w:rsidRDefault="00446C60" w:rsidP="00742EE3">
            <w:pPr>
              <w:pStyle w:val="TableTextBase"/>
              <w:rPr>
                <w:sz w:val="16"/>
                <w:szCs w:val="16"/>
              </w:rPr>
            </w:pPr>
          </w:p>
        </w:tc>
      </w:tr>
      <w:tr w:rsidR="00446C60" w:rsidRPr="001B2F81" w14:paraId="4C008C4F" w14:textId="77777777" w:rsidTr="00742EE3">
        <w:trPr>
          <w:trHeight w:val="100"/>
        </w:trPr>
        <w:tc>
          <w:tcPr>
            <w:tcW w:w="1560" w:type="dxa"/>
            <w:tcBorders>
              <w:top w:val="single" w:sz="4" w:space="0" w:color="auto"/>
              <w:bottom w:val="dotted" w:sz="4" w:space="0" w:color="auto"/>
              <w:right w:val="single" w:sz="4" w:space="0" w:color="auto"/>
            </w:tcBorders>
          </w:tcPr>
          <w:p w14:paraId="2451DE38" w14:textId="77777777" w:rsidR="00446C60" w:rsidRPr="00CE30D5" w:rsidRDefault="00446C60" w:rsidP="00742EE3">
            <w:pPr>
              <w:pStyle w:val="TableTextBase"/>
              <w:rPr>
                <w:sz w:val="16"/>
              </w:rPr>
            </w:pPr>
            <w:r w:rsidRPr="00CE30D5">
              <w:rPr>
                <w:sz w:val="16"/>
              </w:rPr>
              <w:t>Budget Year</w:t>
            </w:r>
          </w:p>
          <w:p w14:paraId="73C6BEDE" w14:textId="77777777" w:rsidR="00446C60" w:rsidRPr="00CE30D5" w:rsidRDefault="00446C60" w:rsidP="00742EE3">
            <w:pPr>
              <w:pStyle w:val="TableTextBase"/>
              <w:rPr>
                <w:sz w:val="16"/>
              </w:rPr>
            </w:pPr>
            <w:r w:rsidRPr="00CE30D5">
              <w:rPr>
                <w:sz w:val="16"/>
              </w:rPr>
              <w:t>2022-23</w:t>
            </w:r>
          </w:p>
        </w:tc>
        <w:tc>
          <w:tcPr>
            <w:tcW w:w="3118" w:type="dxa"/>
            <w:tcBorders>
              <w:top w:val="single" w:sz="4" w:space="0" w:color="auto"/>
              <w:left w:val="single" w:sz="4" w:space="0" w:color="auto"/>
              <w:bottom w:val="dotted" w:sz="4" w:space="0" w:color="auto"/>
              <w:right w:val="single" w:sz="4" w:space="0" w:color="auto"/>
            </w:tcBorders>
          </w:tcPr>
          <w:p w14:paraId="2A953127" w14:textId="77777777" w:rsidR="00446C60" w:rsidRDefault="00446C60" w:rsidP="008A2254">
            <w:pPr>
              <w:numPr>
                <w:ilvl w:val="0"/>
                <w:numId w:val="65"/>
              </w:numPr>
              <w:tabs>
                <w:tab w:val="left" w:pos="709"/>
              </w:tabs>
              <w:spacing w:before="60" w:after="60" w:line="240" w:lineRule="auto"/>
              <w:jc w:val="left"/>
              <w:rPr>
                <w:rFonts w:ascii="Arial" w:hAnsi="Arial" w:cs="Arial"/>
                <w:sz w:val="16"/>
                <w:szCs w:val="16"/>
              </w:rPr>
            </w:pPr>
            <w:r w:rsidRPr="00A332D8">
              <w:rPr>
                <w:rFonts w:ascii="Arial" w:hAnsi="Arial" w:cs="Arial"/>
                <w:sz w:val="16"/>
                <w:szCs w:val="16"/>
              </w:rPr>
              <w:t xml:space="preserve">The properties are managed in accordance with the requirements of the </w:t>
            </w:r>
            <w:r w:rsidRPr="00016DD4">
              <w:rPr>
                <w:rFonts w:ascii="Arial" w:hAnsi="Arial" w:cs="Arial"/>
                <w:i/>
                <w:sz w:val="16"/>
                <w:szCs w:val="16"/>
              </w:rPr>
              <w:t>Environment Protection and Biodiversity Conservation Act 1999</w:t>
            </w:r>
            <w:r w:rsidRPr="00A332D8">
              <w:rPr>
                <w:rFonts w:ascii="Arial" w:hAnsi="Arial" w:cs="Arial"/>
                <w:sz w:val="16"/>
                <w:szCs w:val="16"/>
              </w:rPr>
              <w:t xml:space="preserve"> and government policies relating to heritage properties, and with due consideration of advice provided by the National Capital Authority</w:t>
            </w:r>
            <w:r>
              <w:rPr>
                <w:rFonts w:ascii="Arial" w:hAnsi="Arial" w:cs="Arial"/>
                <w:sz w:val="16"/>
                <w:szCs w:val="16"/>
              </w:rPr>
              <w:t xml:space="preserve"> and other relevant authorities</w:t>
            </w:r>
          </w:p>
          <w:p w14:paraId="388B6B3A" w14:textId="77777777" w:rsidR="00446C60" w:rsidRPr="00FB720D" w:rsidRDefault="00446C60" w:rsidP="00742EE3">
            <w:pPr>
              <w:tabs>
                <w:tab w:val="left" w:pos="709"/>
              </w:tabs>
              <w:spacing w:before="60" w:after="60" w:line="240" w:lineRule="auto"/>
              <w:ind w:left="283"/>
              <w:jc w:val="left"/>
              <w:rPr>
                <w:rFonts w:ascii="Arial" w:hAnsi="Arial" w:cs="Arial"/>
                <w:sz w:val="16"/>
                <w:szCs w:val="16"/>
              </w:rPr>
            </w:pPr>
          </w:p>
        </w:tc>
        <w:tc>
          <w:tcPr>
            <w:tcW w:w="3118" w:type="dxa"/>
            <w:tcBorders>
              <w:top w:val="single" w:sz="4" w:space="0" w:color="auto"/>
              <w:left w:val="single" w:sz="4" w:space="0" w:color="auto"/>
              <w:bottom w:val="dotted" w:sz="4" w:space="0" w:color="auto"/>
            </w:tcBorders>
          </w:tcPr>
          <w:p w14:paraId="579D638A" w14:textId="77777777" w:rsidR="00446C60" w:rsidRPr="00A92043" w:rsidRDefault="00446C60" w:rsidP="00742EE3">
            <w:pPr>
              <w:pStyle w:val="TableTextBase"/>
              <w:rPr>
                <w:sz w:val="16"/>
                <w:szCs w:val="16"/>
              </w:rPr>
            </w:pPr>
            <w:r w:rsidRPr="00CD0A62">
              <w:rPr>
                <w:rFonts w:cs="Arial"/>
                <w:sz w:val="16"/>
                <w:szCs w:val="16"/>
              </w:rPr>
              <w:t>The Governor-General expresses satisfaction with the management</w:t>
            </w:r>
            <w:r>
              <w:rPr>
                <w:rFonts w:cs="Arial"/>
                <w:sz w:val="16"/>
                <w:szCs w:val="16"/>
              </w:rPr>
              <w:t xml:space="preserve"> of the official </w:t>
            </w:r>
            <w:r w:rsidR="00016DD4">
              <w:rPr>
                <w:rFonts w:cs="Arial"/>
                <w:sz w:val="16"/>
                <w:szCs w:val="16"/>
              </w:rPr>
              <w:t>properties</w:t>
            </w:r>
          </w:p>
        </w:tc>
      </w:tr>
      <w:tr w:rsidR="00446C60" w:rsidRPr="001B2F81" w14:paraId="7468E2DE" w14:textId="77777777" w:rsidTr="00742EE3">
        <w:trPr>
          <w:trHeight w:val="491"/>
        </w:trPr>
        <w:tc>
          <w:tcPr>
            <w:tcW w:w="1560" w:type="dxa"/>
            <w:tcBorders>
              <w:top w:val="dotted" w:sz="4" w:space="0" w:color="auto"/>
              <w:bottom w:val="dotted" w:sz="4" w:space="0" w:color="auto"/>
              <w:right w:val="single" w:sz="4" w:space="0" w:color="auto"/>
            </w:tcBorders>
          </w:tcPr>
          <w:p w14:paraId="4C13911C" w14:textId="77777777" w:rsidR="00446C60" w:rsidRPr="00CE30D5" w:rsidRDefault="00446C60" w:rsidP="00742EE3">
            <w:pPr>
              <w:pStyle w:val="TableTextBase"/>
              <w:rPr>
                <w:sz w:val="16"/>
              </w:rPr>
            </w:pPr>
            <w:r w:rsidRPr="00CE30D5">
              <w:rPr>
                <w:sz w:val="16"/>
              </w:rPr>
              <w:t xml:space="preserve">Forward </w:t>
            </w:r>
            <w:r w:rsidR="00016DD4">
              <w:rPr>
                <w:sz w:val="16"/>
              </w:rPr>
              <w:t>e</w:t>
            </w:r>
            <w:r w:rsidRPr="00CE30D5">
              <w:rPr>
                <w:sz w:val="16"/>
              </w:rPr>
              <w:t>stimates</w:t>
            </w:r>
          </w:p>
          <w:p w14:paraId="25B2B3EB" w14:textId="77777777" w:rsidR="00446C60" w:rsidRPr="00CE30D5" w:rsidRDefault="00446C60" w:rsidP="00742EE3">
            <w:pPr>
              <w:pStyle w:val="TableTextBase"/>
              <w:rPr>
                <w:sz w:val="16"/>
              </w:rPr>
            </w:pPr>
            <w:r w:rsidRPr="00CE30D5">
              <w:rPr>
                <w:sz w:val="16"/>
              </w:rPr>
              <w:t>2023-26</w:t>
            </w:r>
          </w:p>
        </w:tc>
        <w:tc>
          <w:tcPr>
            <w:tcW w:w="3118" w:type="dxa"/>
            <w:tcBorders>
              <w:top w:val="dotted" w:sz="4" w:space="0" w:color="auto"/>
              <w:left w:val="single" w:sz="4" w:space="0" w:color="auto"/>
              <w:bottom w:val="dotted" w:sz="4" w:space="0" w:color="auto"/>
              <w:right w:val="single" w:sz="4" w:space="0" w:color="auto"/>
            </w:tcBorders>
          </w:tcPr>
          <w:p w14:paraId="53AD028E" w14:textId="77777777" w:rsidR="00446C60" w:rsidRPr="00CE30D5" w:rsidRDefault="00446C60" w:rsidP="00742EE3">
            <w:pPr>
              <w:pStyle w:val="TableTextBase"/>
              <w:rPr>
                <w:sz w:val="16"/>
              </w:rPr>
            </w:pPr>
            <w:r w:rsidRPr="00CE30D5">
              <w:rPr>
                <w:sz w:val="16"/>
              </w:rPr>
              <w:t>As per 2022-23</w:t>
            </w:r>
          </w:p>
        </w:tc>
        <w:tc>
          <w:tcPr>
            <w:tcW w:w="3118" w:type="dxa"/>
            <w:tcBorders>
              <w:top w:val="dotted" w:sz="4" w:space="0" w:color="auto"/>
              <w:left w:val="single" w:sz="4" w:space="0" w:color="auto"/>
              <w:bottom w:val="dotted" w:sz="4" w:space="0" w:color="auto"/>
            </w:tcBorders>
          </w:tcPr>
          <w:p w14:paraId="2F47E6AA" w14:textId="77777777" w:rsidR="00446C60" w:rsidRPr="00CE30D5" w:rsidRDefault="00446C60" w:rsidP="00742EE3">
            <w:pPr>
              <w:pStyle w:val="TableTextBase"/>
              <w:rPr>
                <w:sz w:val="16"/>
              </w:rPr>
            </w:pPr>
            <w:r w:rsidRPr="00CE30D5">
              <w:rPr>
                <w:sz w:val="16"/>
              </w:rPr>
              <w:t>As per 2022-23</w:t>
            </w:r>
          </w:p>
        </w:tc>
      </w:tr>
    </w:tbl>
    <w:p w14:paraId="76D45A0D" w14:textId="77777777" w:rsidR="00446C60" w:rsidRDefault="00446C60" w:rsidP="00446C60">
      <w: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446C60" w:rsidRPr="001B2F81" w14:paraId="469C7200" w14:textId="77777777" w:rsidTr="00742EE3">
        <w:trPr>
          <w:trHeight w:val="694"/>
        </w:trPr>
        <w:tc>
          <w:tcPr>
            <w:tcW w:w="1560" w:type="dxa"/>
            <w:tcBorders>
              <w:bottom w:val="double" w:sz="4" w:space="0" w:color="auto"/>
            </w:tcBorders>
          </w:tcPr>
          <w:p w14:paraId="4B8FAB38" w14:textId="77777777" w:rsidR="00446C60" w:rsidRPr="00016DD4" w:rsidRDefault="00446C60" w:rsidP="00742EE3">
            <w:pPr>
              <w:tabs>
                <w:tab w:val="left" w:pos="709"/>
              </w:tabs>
              <w:spacing w:before="60"/>
              <w:rPr>
                <w:rFonts w:ascii="Arial" w:hAnsi="Arial" w:cs="Arial"/>
                <w:b/>
                <w:sz w:val="16"/>
                <w:szCs w:val="16"/>
              </w:rPr>
            </w:pPr>
            <w:r w:rsidRPr="00016DD4">
              <w:rPr>
                <w:rFonts w:ascii="Arial" w:hAnsi="Arial" w:cs="Arial"/>
                <w:b/>
                <w:sz w:val="16"/>
                <w:szCs w:val="16"/>
              </w:rPr>
              <w:t>Key Activities (a)</w:t>
            </w:r>
          </w:p>
        </w:tc>
        <w:tc>
          <w:tcPr>
            <w:tcW w:w="6236" w:type="dxa"/>
            <w:gridSpan w:val="2"/>
            <w:tcBorders>
              <w:bottom w:val="double" w:sz="4" w:space="0" w:color="auto"/>
            </w:tcBorders>
          </w:tcPr>
          <w:p w14:paraId="61A85EFB" w14:textId="77777777" w:rsidR="00446C60" w:rsidRPr="00016DD4" w:rsidRDefault="00446C60" w:rsidP="00742EE3">
            <w:pPr>
              <w:tabs>
                <w:tab w:val="left" w:pos="709"/>
              </w:tabs>
              <w:spacing w:before="60" w:after="60"/>
              <w:rPr>
                <w:rFonts w:ascii="Arial" w:hAnsi="Arial" w:cs="Arial"/>
                <w:sz w:val="16"/>
                <w:szCs w:val="16"/>
              </w:rPr>
            </w:pPr>
            <w:r w:rsidRPr="00016DD4">
              <w:rPr>
                <w:rFonts w:ascii="Arial" w:hAnsi="Arial" w:cs="Arial"/>
                <w:b/>
                <w:sz w:val="16"/>
                <w:szCs w:val="16"/>
              </w:rPr>
              <w:t>Component 3:</w:t>
            </w:r>
            <w:r w:rsidRPr="00016DD4">
              <w:rPr>
                <w:rFonts w:ascii="Arial" w:hAnsi="Arial" w:cs="Arial"/>
                <w:sz w:val="16"/>
                <w:szCs w:val="16"/>
              </w:rPr>
              <w:t xml:space="preserve"> Administration of the Australian Honours and Awards system</w:t>
            </w:r>
          </w:p>
          <w:p w14:paraId="1350A2A5" w14:textId="77777777" w:rsidR="00446C60" w:rsidRPr="00016DD4" w:rsidRDefault="00446C60" w:rsidP="00742EE3">
            <w:pPr>
              <w:tabs>
                <w:tab w:val="left" w:pos="709"/>
              </w:tabs>
              <w:spacing w:before="60" w:after="60"/>
              <w:rPr>
                <w:rFonts w:ascii="Arial" w:hAnsi="Arial" w:cs="Arial"/>
                <w:sz w:val="16"/>
                <w:szCs w:val="16"/>
              </w:rPr>
            </w:pPr>
            <w:r w:rsidRPr="00016DD4">
              <w:rPr>
                <w:rFonts w:ascii="Arial" w:hAnsi="Arial" w:cs="Arial"/>
                <w:sz w:val="16"/>
                <w:szCs w:val="16"/>
              </w:rPr>
              <w:t>Key activities of component 3 include:</w:t>
            </w:r>
          </w:p>
          <w:p w14:paraId="177C5728" w14:textId="77777777" w:rsidR="00446C60" w:rsidRPr="00016DD4" w:rsidRDefault="00446C60" w:rsidP="008A2254">
            <w:pPr>
              <w:pStyle w:val="ListParagraph"/>
              <w:numPr>
                <w:ilvl w:val="0"/>
                <w:numId w:val="67"/>
              </w:numPr>
              <w:tabs>
                <w:tab w:val="left" w:pos="709"/>
              </w:tabs>
              <w:spacing w:before="60" w:after="0" w:line="240" w:lineRule="auto"/>
              <w:rPr>
                <w:rFonts w:ascii="Arial" w:hAnsi="Arial" w:cs="Arial"/>
                <w:sz w:val="16"/>
                <w:szCs w:val="16"/>
              </w:rPr>
            </w:pPr>
            <w:r w:rsidRPr="00016DD4">
              <w:rPr>
                <w:rFonts w:ascii="Arial" w:hAnsi="Arial" w:cs="Arial"/>
                <w:sz w:val="16"/>
                <w:szCs w:val="16"/>
              </w:rPr>
              <w:t>Researching and preparing nominations for consideration by the Council for the Order of Australia, the Australian Bravery Decorations Council and the Nat</w:t>
            </w:r>
            <w:r w:rsidR="00016DD4">
              <w:rPr>
                <w:rFonts w:ascii="Arial" w:hAnsi="Arial" w:cs="Arial"/>
                <w:sz w:val="16"/>
                <w:szCs w:val="16"/>
              </w:rPr>
              <w:t>ional Emergency Medal Committee</w:t>
            </w:r>
          </w:p>
          <w:p w14:paraId="18284A63" w14:textId="77777777" w:rsidR="00446C60" w:rsidRPr="00016DD4" w:rsidRDefault="00446C60" w:rsidP="008A2254">
            <w:pPr>
              <w:pStyle w:val="ListParagraph"/>
              <w:numPr>
                <w:ilvl w:val="0"/>
                <w:numId w:val="67"/>
              </w:numPr>
              <w:tabs>
                <w:tab w:val="left" w:pos="709"/>
              </w:tabs>
              <w:spacing w:before="60" w:after="0" w:line="240" w:lineRule="auto"/>
              <w:rPr>
                <w:rFonts w:ascii="Arial" w:hAnsi="Arial" w:cs="Arial"/>
                <w:sz w:val="16"/>
                <w:szCs w:val="16"/>
              </w:rPr>
            </w:pPr>
            <w:r w:rsidRPr="00016DD4">
              <w:rPr>
                <w:rFonts w:ascii="Arial" w:hAnsi="Arial" w:cs="Arial"/>
                <w:sz w:val="16"/>
                <w:szCs w:val="16"/>
              </w:rPr>
              <w:t>Providing secretariat support to the Australian honours advisory bodies.</w:t>
            </w:r>
          </w:p>
          <w:p w14:paraId="5CBA7BEC" w14:textId="77777777" w:rsidR="00446C60" w:rsidRPr="00016DD4" w:rsidRDefault="00446C60" w:rsidP="008A2254">
            <w:pPr>
              <w:pStyle w:val="ListParagraph"/>
              <w:numPr>
                <w:ilvl w:val="0"/>
                <w:numId w:val="67"/>
              </w:numPr>
              <w:tabs>
                <w:tab w:val="left" w:pos="709"/>
              </w:tabs>
              <w:spacing w:before="60" w:after="0" w:line="240" w:lineRule="auto"/>
              <w:rPr>
                <w:rFonts w:ascii="Arial" w:hAnsi="Arial" w:cs="Arial"/>
                <w:sz w:val="16"/>
                <w:szCs w:val="16"/>
              </w:rPr>
            </w:pPr>
            <w:r w:rsidRPr="00016DD4">
              <w:rPr>
                <w:rFonts w:ascii="Arial" w:hAnsi="Arial" w:cs="Arial"/>
                <w:sz w:val="16"/>
                <w:szCs w:val="16"/>
              </w:rPr>
              <w:t>Undertaking the administrative tasks associated with the approval of recipients in the Australian honours system and subsequen</w:t>
            </w:r>
            <w:r w:rsidR="00016DD4">
              <w:rPr>
                <w:rFonts w:ascii="Arial" w:hAnsi="Arial" w:cs="Arial"/>
                <w:sz w:val="16"/>
                <w:szCs w:val="16"/>
              </w:rPr>
              <w:t>t announcement where applicable</w:t>
            </w:r>
          </w:p>
          <w:p w14:paraId="79310345" w14:textId="77777777" w:rsidR="00446C60" w:rsidRPr="00016DD4" w:rsidRDefault="00446C60" w:rsidP="008A2254">
            <w:pPr>
              <w:pStyle w:val="ListParagraph"/>
              <w:numPr>
                <w:ilvl w:val="0"/>
                <w:numId w:val="67"/>
              </w:numPr>
              <w:tabs>
                <w:tab w:val="left" w:pos="709"/>
              </w:tabs>
              <w:spacing w:before="60" w:after="0" w:line="240" w:lineRule="auto"/>
              <w:rPr>
                <w:rFonts w:ascii="Arial" w:hAnsi="Arial" w:cs="Arial"/>
                <w:sz w:val="16"/>
                <w:szCs w:val="16"/>
              </w:rPr>
            </w:pPr>
            <w:r w:rsidRPr="00016DD4">
              <w:rPr>
                <w:rFonts w:ascii="Arial" w:hAnsi="Arial" w:cs="Arial"/>
                <w:sz w:val="16"/>
                <w:szCs w:val="16"/>
              </w:rPr>
              <w:t>Procuring Australian honours insignia, warrants and investiture items.</w:t>
            </w:r>
          </w:p>
          <w:p w14:paraId="6857558A" w14:textId="77777777" w:rsidR="00446C60" w:rsidRPr="00016DD4" w:rsidRDefault="00446C60" w:rsidP="008A2254">
            <w:pPr>
              <w:pStyle w:val="ListParagraph"/>
              <w:numPr>
                <w:ilvl w:val="0"/>
                <w:numId w:val="67"/>
              </w:numPr>
              <w:tabs>
                <w:tab w:val="left" w:pos="709"/>
              </w:tabs>
              <w:spacing w:before="60" w:after="0" w:line="240" w:lineRule="auto"/>
              <w:rPr>
                <w:rFonts w:ascii="Arial" w:hAnsi="Arial" w:cs="Arial"/>
                <w:sz w:val="16"/>
                <w:szCs w:val="16"/>
              </w:rPr>
            </w:pPr>
            <w:r w:rsidRPr="00016DD4">
              <w:rPr>
                <w:rFonts w:ascii="Arial" w:hAnsi="Arial" w:cs="Arial"/>
                <w:sz w:val="16"/>
                <w:szCs w:val="16"/>
              </w:rPr>
              <w:t>Facilitating the approval of, and changes to, governing instruments withi</w:t>
            </w:r>
            <w:r w:rsidR="00016DD4">
              <w:rPr>
                <w:rFonts w:ascii="Arial" w:hAnsi="Arial" w:cs="Arial"/>
                <w:sz w:val="16"/>
                <w:szCs w:val="16"/>
              </w:rPr>
              <w:t>n the Australian honours system</w:t>
            </w:r>
          </w:p>
          <w:p w14:paraId="7979897D" w14:textId="77777777" w:rsidR="00446C60" w:rsidRPr="00016DD4" w:rsidRDefault="00446C60" w:rsidP="008A2254">
            <w:pPr>
              <w:pStyle w:val="ListParagraph"/>
              <w:numPr>
                <w:ilvl w:val="0"/>
                <w:numId w:val="67"/>
              </w:numPr>
              <w:tabs>
                <w:tab w:val="left" w:pos="709"/>
              </w:tabs>
              <w:spacing w:before="60" w:after="0" w:line="240" w:lineRule="auto"/>
              <w:rPr>
                <w:rFonts w:ascii="Arial" w:hAnsi="Arial" w:cs="Arial"/>
                <w:i/>
                <w:sz w:val="16"/>
                <w:szCs w:val="16"/>
              </w:rPr>
            </w:pPr>
            <w:r w:rsidRPr="00016DD4">
              <w:rPr>
                <w:rFonts w:ascii="Arial" w:hAnsi="Arial" w:cs="Arial"/>
                <w:sz w:val="16"/>
                <w:szCs w:val="16"/>
              </w:rPr>
              <w:t>Undertaking promotion and community engagement activities to increase awareness of, and engageme</w:t>
            </w:r>
            <w:r w:rsidR="00016DD4">
              <w:rPr>
                <w:rFonts w:ascii="Arial" w:hAnsi="Arial" w:cs="Arial"/>
                <w:sz w:val="16"/>
                <w:szCs w:val="16"/>
              </w:rPr>
              <w:t>nt with, the Order of Australia</w:t>
            </w:r>
          </w:p>
        </w:tc>
      </w:tr>
      <w:tr w:rsidR="00446C60" w:rsidRPr="001B2F81" w14:paraId="4B7A2CA9" w14:textId="77777777" w:rsidTr="00742EE3">
        <w:trPr>
          <w:trHeight w:val="258"/>
        </w:trPr>
        <w:tc>
          <w:tcPr>
            <w:tcW w:w="1560" w:type="dxa"/>
            <w:tcBorders>
              <w:top w:val="double" w:sz="4" w:space="0" w:color="auto"/>
              <w:bottom w:val="single" w:sz="4" w:space="0" w:color="auto"/>
              <w:right w:val="single" w:sz="4" w:space="0" w:color="auto"/>
            </w:tcBorders>
          </w:tcPr>
          <w:p w14:paraId="7ACE51EC" w14:textId="77777777" w:rsidR="00446C60" w:rsidRPr="00016DD4" w:rsidRDefault="00016DD4" w:rsidP="00742EE3">
            <w:pPr>
              <w:pStyle w:val="TableTextBase"/>
              <w:rPr>
                <w:b/>
                <w:sz w:val="16"/>
                <w:szCs w:val="16"/>
              </w:rPr>
            </w:pPr>
            <w:r w:rsidRPr="00016DD4">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5829C877" w14:textId="77777777" w:rsidR="00446C60" w:rsidRPr="00016DD4" w:rsidRDefault="00446C60" w:rsidP="00742EE3">
            <w:pPr>
              <w:pStyle w:val="TableTextBase"/>
              <w:rPr>
                <w:rFonts w:cs="Arial"/>
                <w:b/>
                <w:sz w:val="16"/>
                <w:szCs w:val="16"/>
              </w:rPr>
            </w:pPr>
            <w:r w:rsidRPr="00016DD4">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55FC4F47" w14:textId="77777777" w:rsidR="00446C60" w:rsidRPr="00016DD4" w:rsidRDefault="00446C60" w:rsidP="00742EE3">
            <w:pPr>
              <w:pStyle w:val="TableTextBase"/>
              <w:rPr>
                <w:rFonts w:cs="Arial"/>
                <w:b/>
                <w:sz w:val="16"/>
                <w:szCs w:val="16"/>
              </w:rPr>
            </w:pPr>
            <w:r w:rsidRPr="00016DD4">
              <w:rPr>
                <w:rFonts w:cs="Arial"/>
                <w:b/>
                <w:sz w:val="16"/>
                <w:szCs w:val="16"/>
              </w:rPr>
              <w:t>Expected Performance Results</w:t>
            </w:r>
          </w:p>
        </w:tc>
      </w:tr>
      <w:tr w:rsidR="00446C60" w:rsidRPr="001B2F81" w14:paraId="599135FB" w14:textId="77777777" w:rsidTr="00742EE3">
        <w:trPr>
          <w:trHeight w:val="642"/>
        </w:trPr>
        <w:tc>
          <w:tcPr>
            <w:tcW w:w="1560" w:type="dxa"/>
            <w:tcBorders>
              <w:top w:val="single" w:sz="4" w:space="0" w:color="auto"/>
              <w:bottom w:val="dotted" w:sz="4" w:space="0" w:color="auto"/>
              <w:right w:val="single" w:sz="4" w:space="0" w:color="auto"/>
            </w:tcBorders>
          </w:tcPr>
          <w:p w14:paraId="29102F61" w14:textId="77777777" w:rsidR="00446C60" w:rsidRPr="00016DD4" w:rsidRDefault="00446C60" w:rsidP="00742EE3">
            <w:pPr>
              <w:pStyle w:val="TableTextBase"/>
              <w:rPr>
                <w:sz w:val="16"/>
                <w:szCs w:val="16"/>
              </w:rPr>
            </w:pPr>
            <w:r w:rsidRPr="00016DD4">
              <w:rPr>
                <w:sz w:val="16"/>
                <w:szCs w:val="16"/>
              </w:rPr>
              <w:t xml:space="preserve">Current year </w:t>
            </w:r>
          </w:p>
          <w:p w14:paraId="6CF669DD" w14:textId="77777777" w:rsidR="00446C60" w:rsidRPr="00016DD4" w:rsidRDefault="00446C60" w:rsidP="00742EE3">
            <w:pPr>
              <w:pStyle w:val="TableTextBase"/>
              <w:rPr>
                <w:sz w:val="16"/>
                <w:szCs w:val="16"/>
              </w:rPr>
            </w:pPr>
            <w:r w:rsidRPr="00016DD4">
              <w:rPr>
                <w:sz w:val="16"/>
                <w:szCs w:val="16"/>
              </w:rPr>
              <w:t>2021-22</w:t>
            </w:r>
          </w:p>
        </w:tc>
        <w:tc>
          <w:tcPr>
            <w:tcW w:w="3118" w:type="dxa"/>
            <w:tcBorders>
              <w:top w:val="single" w:sz="4" w:space="0" w:color="auto"/>
              <w:left w:val="single" w:sz="4" w:space="0" w:color="auto"/>
              <w:bottom w:val="dotted" w:sz="4" w:space="0" w:color="auto"/>
              <w:right w:val="single" w:sz="4" w:space="0" w:color="auto"/>
            </w:tcBorders>
          </w:tcPr>
          <w:p w14:paraId="44482405" w14:textId="77777777" w:rsidR="00446C60" w:rsidRPr="00016DD4" w:rsidRDefault="00446C60" w:rsidP="008A2254">
            <w:pPr>
              <w:numPr>
                <w:ilvl w:val="0"/>
                <w:numId w:val="65"/>
              </w:numPr>
              <w:tabs>
                <w:tab w:val="left" w:pos="709"/>
              </w:tabs>
              <w:spacing w:before="60" w:after="60" w:line="240" w:lineRule="auto"/>
              <w:jc w:val="left"/>
              <w:rPr>
                <w:rFonts w:ascii="Arial" w:hAnsi="Arial" w:cs="Arial"/>
                <w:sz w:val="16"/>
                <w:szCs w:val="16"/>
              </w:rPr>
            </w:pPr>
            <w:r w:rsidRPr="00016DD4">
              <w:rPr>
                <w:rFonts w:ascii="Arial" w:hAnsi="Arial" w:cs="Arial"/>
                <w:sz w:val="16"/>
                <w:szCs w:val="16"/>
              </w:rPr>
              <w:t>The Governor-General and other key stakeholders express satisfaction with the administration of the Australian Honours and Awards system and support provided</w:t>
            </w:r>
          </w:p>
          <w:p w14:paraId="1E9A9A7A" w14:textId="77777777" w:rsidR="00446C60" w:rsidRPr="00016DD4" w:rsidRDefault="00446C60" w:rsidP="008A2254">
            <w:pPr>
              <w:numPr>
                <w:ilvl w:val="0"/>
                <w:numId w:val="65"/>
              </w:numPr>
              <w:tabs>
                <w:tab w:val="left" w:pos="709"/>
              </w:tabs>
              <w:spacing w:before="60" w:after="60" w:line="240" w:lineRule="auto"/>
              <w:jc w:val="left"/>
              <w:rPr>
                <w:rFonts w:ascii="Arial" w:hAnsi="Arial" w:cs="Arial"/>
                <w:sz w:val="16"/>
                <w:szCs w:val="16"/>
              </w:rPr>
            </w:pPr>
            <w:r w:rsidRPr="00016DD4">
              <w:rPr>
                <w:rFonts w:ascii="Arial" w:hAnsi="Arial" w:cs="Arial"/>
                <w:sz w:val="16"/>
                <w:szCs w:val="16"/>
              </w:rPr>
              <w:t>Activities comply with the governing instruments for honours and awards, including the Constitution for the Order of Australia</w:t>
            </w:r>
          </w:p>
          <w:p w14:paraId="2C24F8D0" w14:textId="77777777" w:rsidR="00446C60" w:rsidRPr="00016DD4" w:rsidRDefault="00446C60" w:rsidP="008A2254">
            <w:pPr>
              <w:numPr>
                <w:ilvl w:val="0"/>
                <w:numId w:val="65"/>
              </w:numPr>
              <w:tabs>
                <w:tab w:val="left" w:pos="709"/>
              </w:tabs>
              <w:spacing w:before="60" w:after="60" w:line="240" w:lineRule="auto"/>
              <w:jc w:val="left"/>
              <w:rPr>
                <w:rFonts w:ascii="Arial" w:hAnsi="Arial" w:cs="Arial"/>
                <w:sz w:val="16"/>
                <w:szCs w:val="16"/>
              </w:rPr>
            </w:pPr>
            <w:r w:rsidRPr="00016DD4">
              <w:rPr>
                <w:rFonts w:ascii="Arial" w:hAnsi="Arial" w:cs="Arial"/>
                <w:sz w:val="16"/>
                <w:szCs w:val="16"/>
              </w:rPr>
              <w:t>The medals and insignia meet design specifications, adequate stock levels are maintained and control processes are adhered to</w:t>
            </w:r>
          </w:p>
          <w:p w14:paraId="216A09C6" w14:textId="77777777" w:rsidR="00446C60" w:rsidRPr="00016DD4" w:rsidRDefault="00446C60" w:rsidP="008A2254">
            <w:pPr>
              <w:numPr>
                <w:ilvl w:val="0"/>
                <w:numId w:val="65"/>
              </w:numPr>
              <w:tabs>
                <w:tab w:val="left" w:pos="709"/>
              </w:tabs>
              <w:spacing w:before="60" w:after="60" w:line="240" w:lineRule="auto"/>
              <w:jc w:val="left"/>
              <w:rPr>
                <w:rFonts w:ascii="Arial" w:hAnsi="Arial" w:cs="Arial"/>
                <w:sz w:val="16"/>
                <w:szCs w:val="16"/>
              </w:rPr>
            </w:pPr>
            <w:r w:rsidRPr="00016DD4">
              <w:rPr>
                <w:rFonts w:ascii="Arial" w:hAnsi="Arial" w:cs="Arial"/>
                <w:sz w:val="16"/>
                <w:szCs w:val="16"/>
              </w:rPr>
              <w:t>Ensure the accurate and timely issue of insignia and other resources for investitures and honours list announcements</w:t>
            </w:r>
          </w:p>
        </w:tc>
        <w:tc>
          <w:tcPr>
            <w:tcW w:w="3118" w:type="dxa"/>
            <w:tcBorders>
              <w:top w:val="single" w:sz="4" w:space="0" w:color="auto"/>
              <w:left w:val="single" w:sz="4" w:space="0" w:color="auto"/>
              <w:bottom w:val="dotted" w:sz="4" w:space="0" w:color="auto"/>
            </w:tcBorders>
          </w:tcPr>
          <w:p w14:paraId="7C05ABF8" w14:textId="77777777" w:rsidR="00446C60" w:rsidRPr="00016DD4" w:rsidRDefault="00446C60" w:rsidP="00742EE3">
            <w:pPr>
              <w:pStyle w:val="TableTextBase"/>
              <w:rPr>
                <w:sz w:val="16"/>
                <w:szCs w:val="16"/>
              </w:rPr>
            </w:pPr>
            <w:r w:rsidRPr="00016DD4">
              <w:rPr>
                <w:rFonts w:cs="Arial"/>
                <w:sz w:val="16"/>
                <w:szCs w:val="16"/>
              </w:rPr>
              <w:t>Base</w:t>
            </w:r>
            <w:r w:rsidR="00016DD4">
              <w:rPr>
                <w:rFonts w:cs="Arial"/>
                <w:sz w:val="16"/>
                <w:szCs w:val="16"/>
              </w:rPr>
              <w:t>d on feedback from the Governor</w:t>
            </w:r>
            <w:r w:rsidR="00016DD4">
              <w:rPr>
                <w:rFonts w:cs="Arial"/>
                <w:sz w:val="16"/>
                <w:szCs w:val="16"/>
              </w:rPr>
              <w:noBreakHyphen/>
            </w:r>
            <w:r w:rsidRPr="00016DD4">
              <w:rPr>
                <w:rFonts w:cs="Arial"/>
                <w:sz w:val="16"/>
                <w:szCs w:val="16"/>
              </w:rPr>
              <w:t>General and the Councils and Committee supported by the Office, the OOSGG expects to ac</w:t>
            </w:r>
            <w:r w:rsidR="00016DD4">
              <w:rPr>
                <w:rFonts w:cs="Arial"/>
                <w:sz w:val="16"/>
                <w:szCs w:val="16"/>
              </w:rPr>
              <w:t>hieve its performance measures</w:t>
            </w:r>
          </w:p>
          <w:p w14:paraId="00A34E65" w14:textId="77777777" w:rsidR="00446C60" w:rsidRPr="00016DD4" w:rsidRDefault="00446C60" w:rsidP="00742EE3">
            <w:pPr>
              <w:pStyle w:val="TableTextBase"/>
              <w:rPr>
                <w:rFonts w:cs="Arial"/>
                <w:sz w:val="16"/>
                <w:szCs w:val="16"/>
              </w:rPr>
            </w:pPr>
          </w:p>
          <w:p w14:paraId="14033191" w14:textId="77777777" w:rsidR="00446C60" w:rsidRPr="00016DD4" w:rsidRDefault="00446C60" w:rsidP="00742EE3">
            <w:pPr>
              <w:pStyle w:val="TableTextBase"/>
              <w:rPr>
                <w:sz w:val="16"/>
                <w:szCs w:val="16"/>
              </w:rPr>
            </w:pPr>
          </w:p>
        </w:tc>
      </w:tr>
      <w:tr w:rsidR="00446C60" w:rsidRPr="001B2F81" w14:paraId="36C5FACE" w14:textId="77777777" w:rsidTr="00742EE3">
        <w:trPr>
          <w:trHeight w:val="100"/>
        </w:trPr>
        <w:tc>
          <w:tcPr>
            <w:tcW w:w="1560" w:type="dxa"/>
            <w:tcBorders>
              <w:top w:val="single" w:sz="4" w:space="0" w:color="auto"/>
              <w:bottom w:val="dotted" w:sz="4" w:space="0" w:color="auto"/>
              <w:right w:val="single" w:sz="4" w:space="0" w:color="auto"/>
            </w:tcBorders>
          </w:tcPr>
          <w:p w14:paraId="32D0CD44" w14:textId="77777777" w:rsidR="00446C60" w:rsidRPr="00016DD4" w:rsidRDefault="00446C60" w:rsidP="00742EE3">
            <w:pPr>
              <w:pStyle w:val="TableTextBase"/>
              <w:rPr>
                <w:sz w:val="16"/>
                <w:szCs w:val="16"/>
              </w:rPr>
            </w:pPr>
            <w:r w:rsidRPr="00016DD4">
              <w:rPr>
                <w:sz w:val="16"/>
                <w:szCs w:val="16"/>
              </w:rPr>
              <w:t>Budget Year</w:t>
            </w:r>
          </w:p>
          <w:p w14:paraId="0F5F7B3A" w14:textId="77777777" w:rsidR="00446C60" w:rsidRPr="00016DD4" w:rsidRDefault="00446C60" w:rsidP="00742EE3">
            <w:pPr>
              <w:pStyle w:val="TableTextBase"/>
              <w:rPr>
                <w:sz w:val="16"/>
                <w:szCs w:val="16"/>
              </w:rPr>
            </w:pPr>
            <w:r w:rsidRPr="00016DD4">
              <w:rPr>
                <w:sz w:val="16"/>
                <w:szCs w:val="16"/>
              </w:rPr>
              <w:t>2022-23</w:t>
            </w:r>
          </w:p>
        </w:tc>
        <w:tc>
          <w:tcPr>
            <w:tcW w:w="3118" w:type="dxa"/>
            <w:tcBorders>
              <w:top w:val="single" w:sz="4" w:space="0" w:color="auto"/>
              <w:left w:val="single" w:sz="4" w:space="0" w:color="auto"/>
              <w:bottom w:val="dotted" w:sz="4" w:space="0" w:color="auto"/>
              <w:right w:val="single" w:sz="4" w:space="0" w:color="auto"/>
            </w:tcBorders>
          </w:tcPr>
          <w:p w14:paraId="5D072B86" w14:textId="77777777" w:rsidR="00446C60" w:rsidRPr="00016DD4" w:rsidRDefault="00446C60" w:rsidP="008A2254">
            <w:pPr>
              <w:numPr>
                <w:ilvl w:val="0"/>
                <w:numId w:val="65"/>
              </w:numPr>
              <w:tabs>
                <w:tab w:val="left" w:pos="709"/>
              </w:tabs>
              <w:spacing w:before="60" w:after="60" w:line="240" w:lineRule="auto"/>
              <w:jc w:val="left"/>
              <w:rPr>
                <w:rFonts w:ascii="Arial" w:hAnsi="Arial" w:cs="Arial"/>
                <w:sz w:val="16"/>
                <w:szCs w:val="16"/>
              </w:rPr>
            </w:pPr>
            <w:r w:rsidRPr="00016DD4">
              <w:rPr>
                <w:rFonts w:ascii="Arial" w:hAnsi="Arial" w:cs="Arial"/>
                <w:sz w:val="16"/>
                <w:szCs w:val="16"/>
              </w:rPr>
              <w:t>The Governor-General and other key stakeholders express satisfaction with the administration of the Australian Honours and Awards system and support provided</w:t>
            </w:r>
          </w:p>
          <w:p w14:paraId="771D8A25" w14:textId="77777777" w:rsidR="00446C60" w:rsidRPr="00016DD4" w:rsidRDefault="00446C60" w:rsidP="008A2254">
            <w:pPr>
              <w:numPr>
                <w:ilvl w:val="0"/>
                <w:numId w:val="65"/>
              </w:numPr>
              <w:tabs>
                <w:tab w:val="left" w:pos="709"/>
              </w:tabs>
              <w:spacing w:before="60" w:after="60" w:line="240" w:lineRule="auto"/>
              <w:jc w:val="left"/>
              <w:rPr>
                <w:rFonts w:ascii="Arial" w:hAnsi="Arial" w:cs="Arial"/>
                <w:sz w:val="16"/>
                <w:szCs w:val="16"/>
              </w:rPr>
            </w:pPr>
            <w:r w:rsidRPr="00016DD4">
              <w:rPr>
                <w:rFonts w:ascii="Arial" w:hAnsi="Arial" w:cs="Arial"/>
                <w:sz w:val="16"/>
                <w:szCs w:val="16"/>
              </w:rPr>
              <w:t>Activities comply with the governing instruments for honours and awards, including the Constitution for the Order of Australia</w:t>
            </w:r>
          </w:p>
          <w:p w14:paraId="43499ECF" w14:textId="77777777" w:rsidR="00446C60" w:rsidRPr="00016DD4" w:rsidRDefault="00446C60" w:rsidP="008A2254">
            <w:pPr>
              <w:numPr>
                <w:ilvl w:val="0"/>
                <w:numId w:val="65"/>
              </w:numPr>
              <w:tabs>
                <w:tab w:val="left" w:pos="709"/>
              </w:tabs>
              <w:spacing w:before="60" w:after="60" w:line="240" w:lineRule="auto"/>
              <w:jc w:val="left"/>
              <w:rPr>
                <w:rFonts w:ascii="Arial" w:hAnsi="Arial" w:cs="Arial"/>
                <w:sz w:val="16"/>
                <w:szCs w:val="16"/>
              </w:rPr>
            </w:pPr>
            <w:r w:rsidRPr="00016DD4">
              <w:rPr>
                <w:rFonts w:ascii="Arial" w:hAnsi="Arial" w:cs="Arial"/>
                <w:sz w:val="16"/>
                <w:szCs w:val="16"/>
              </w:rPr>
              <w:t>The medals and insignia meet design specifications, adequate stock levels are maintained and control processes are adhered to</w:t>
            </w:r>
          </w:p>
          <w:p w14:paraId="7A5E3E4B" w14:textId="77777777" w:rsidR="00446C60" w:rsidRPr="00016DD4" w:rsidRDefault="00446C60" w:rsidP="008A2254">
            <w:pPr>
              <w:numPr>
                <w:ilvl w:val="0"/>
                <w:numId w:val="65"/>
              </w:numPr>
              <w:tabs>
                <w:tab w:val="left" w:pos="709"/>
              </w:tabs>
              <w:spacing w:before="60" w:after="60" w:line="240" w:lineRule="auto"/>
              <w:jc w:val="left"/>
              <w:rPr>
                <w:i/>
                <w:sz w:val="16"/>
                <w:szCs w:val="16"/>
              </w:rPr>
            </w:pPr>
            <w:r w:rsidRPr="00016DD4">
              <w:rPr>
                <w:rFonts w:ascii="Arial" w:hAnsi="Arial" w:cs="Arial"/>
                <w:sz w:val="16"/>
                <w:szCs w:val="16"/>
              </w:rPr>
              <w:t>Ensure the accurate and timely issue of insignia and other resources for investitures and honours list announcements</w:t>
            </w:r>
          </w:p>
          <w:p w14:paraId="0C88ADF3" w14:textId="77777777" w:rsidR="00446C60" w:rsidRPr="00016DD4" w:rsidRDefault="00446C60" w:rsidP="008A2254">
            <w:pPr>
              <w:numPr>
                <w:ilvl w:val="0"/>
                <w:numId w:val="65"/>
              </w:numPr>
              <w:tabs>
                <w:tab w:val="left" w:pos="709"/>
              </w:tabs>
              <w:spacing w:before="60" w:after="60" w:line="240" w:lineRule="auto"/>
              <w:jc w:val="left"/>
              <w:rPr>
                <w:i/>
                <w:sz w:val="16"/>
                <w:szCs w:val="16"/>
              </w:rPr>
            </w:pPr>
            <w:r w:rsidRPr="00016DD4">
              <w:rPr>
                <w:rFonts w:ascii="Arial" w:hAnsi="Arial" w:cs="Arial"/>
                <w:sz w:val="16"/>
                <w:szCs w:val="16"/>
              </w:rPr>
              <w:t>Nominations received reflect the diversity of Australia</w:t>
            </w:r>
          </w:p>
        </w:tc>
        <w:tc>
          <w:tcPr>
            <w:tcW w:w="3118" w:type="dxa"/>
            <w:tcBorders>
              <w:top w:val="single" w:sz="4" w:space="0" w:color="auto"/>
              <w:left w:val="single" w:sz="4" w:space="0" w:color="auto"/>
              <w:bottom w:val="dotted" w:sz="4" w:space="0" w:color="auto"/>
            </w:tcBorders>
          </w:tcPr>
          <w:p w14:paraId="7285E990" w14:textId="77777777" w:rsidR="00446C60" w:rsidRPr="00016DD4" w:rsidRDefault="00446C60" w:rsidP="00742EE3">
            <w:pPr>
              <w:pStyle w:val="TableTextBase"/>
              <w:rPr>
                <w:rFonts w:cs="Arial"/>
                <w:sz w:val="16"/>
                <w:szCs w:val="16"/>
              </w:rPr>
            </w:pPr>
            <w:r w:rsidRPr="00016DD4">
              <w:rPr>
                <w:rFonts w:cs="Arial"/>
                <w:sz w:val="16"/>
                <w:szCs w:val="16"/>
              </w:rPr>
              <w:t>The Governor-General and the Councils and Committee supported by the Office, express satisfaction with the support provided and activities conducted with respect to the Austr</w:t>
            </w:r>
            <w:r w:rsidR="00016DD4" w:rsidRPr="00016DD4">
              <w:rPr>
                <w:rFonts w:cs="Arial"/>
                <w:sz w:val="16"/>
                <w:szCs w:val="16"/>
              </w:rPr>
              <w:t>alian Honours and Awards system</w:t>
            </w:r>
          </w:p>
          <w:p w14:paraId="165E328D" w14:textId="77777777" w:rsidR="00446C60" w:rsidRPr="00016DD4" w:rsidRDefault="00446C60" w:rsidP="00742EE3">
            <w:pPr>
              <w:pStyle w:val="TableTextBase"/>
              <w:rPr>
                <w:sz w:val="16"/>
                <w:szCs w:val="16"/>
              </w:rPr>
            </w:pPr>
          </w:p>
        </w:tc>
      </w:tr>
      <w:tr w:rsidR="00446C60" w:rsidRPr="001B2F81" w14:paraId="55989D95" w14:textId="77777777" w:rsidTr="00742EE3">
        <w:trPr>
          <w:trHeight w:val="491"/>
        </w:trPr>
        <w:tc>
          <w:tcPr>
            <w:tcW w:w="1560" w:type="dxa"/>
            <w:tcBorders>
              <w:top w:val="dotted" w:sz="4" w:space="0" w:color="auto"/>
              <w:bottom w:val="dotted" w:sz="4" w:space="0" w:color="auto"/>
              <w:right w:val="single" w:sz="4" w:space="0" w:color="auto"/>
            </w:tcBorders>
          </w:tcPr>
          <w:p w14:paraId="6433716C" w14:textId="77777777" w:rsidR="00446C60" w:rsidRPr="00016DD4" w:rsidRDefault="00446C60" w:rsidP="00742EE3">
            <w:pPr>
              <w:pStyle w:val="TableTextBase"/>
              <w:rPr>
                <w:sz w:val="16"/>
                <w:szCs w:val="16"/>
              </w:rPr>
            </w:pPr>
            <w:r w:rsidRPr="00016DD4">
              <w:rPr>
                <w:sz w:val="16"/>
                <w:szCs w:val="16"/>
              </w:rPr>
              <w:t>Forward Estimates</w:t>
            </w:r>
          </w:p>
          <w:p w14:paraId="24932C1B" w14:textId="77777777" w:rsidR="00446C60" w:rsidRPr="00016DD4" w:rsidRDefault="00446C60" w:rsidP="00742EE3">
            <w:pPr>
              <w:pStyle w:val="TableTextBase"/>
              <w:rPr>
                <w:sz w:val="16"/>
                <w:szCs w:val="16"/>
              </w:rPr>
            </w:pPr>
            <w:r w:rsidRPr="00016DD4">
              <w:rPr>
                <w:sz w:val="16"/>
                <w:szCs w:val="16"/>
              </w:rPr>
              <w:t>2023-26</w:t>
            </w:r>
          </w:p>
        </w:tc>
        <w:tc>
          <w:tcPr>
            <w:tcW w:w="3118" w:type="dxa"/>
            <w:tcBorders>
              <w:top w:val="dotted" w:sz="4" w:space="0" w:color="auto"/>
              <w:left w:val="single" w:sz="4" w:space="0" w:color="auto"/>
              <w:bottom w:val="dotted" w:sz="4" w:space="0" w:color="auto"/>
              <w:right w:val="single" w:sz="4" w:space="0" w:color="auto"/>
            </w:tcBorders>
          </w:tcPr>
          <w:p w14:paraId="3D0FC28E" w14:textId="77777777" w:rsidR="00446C60" w:rsidRPr="00016DD4" w:rsidRDefault="00446C60" w:rsidP="00742EE3">
            <w:pPr>
              <w:pStyle w:val="TableTextBase"/>
              <w:rPr>
                <w:sz w:val="16"/>
                <w:szCs w:val="16"/>
              </w:rPr>
            </w:pPr>
            <w:r w:rsidRPr="00016DD4">
              <w:rPr>
                <w:sz w:val="16"/>
                <w:szCs w:val="16"/>
              </w:rPr>
              <w:t>As per 2022-23</w:t>
            </w:r>
          </w:p>
        </w:tc>
        <w:tc>
          <w:tcPr>
            <w:tcW w:w="3118" w:type="dxa"/>
            <w:tcBorders>
              <w:top w:val="dotted" w:sz="4" w:space="0" w:color="auto"/>
              <w:left w:val="single" w:sz="4" w:space="0" w:color="auto"/>
              <w:bottom w:val="dotted" w:sz="4" w:space="0" w:color="auto"/>
            </w:tcBorders>
          </w:tcPr>
          <w:p w14:paraId="20A784A6" w14:textId="77777777" w:rsidR="00446C60" w:rsidRPr="00016DD4" w:rsidRDefault="00446C60" w:rsidP="00742EE3">
            <w:pPr>
              <w:pStyle w:val="TableTextBase"/>
              <w:rPr>
                <w:sz w:val="16"/>
                <w:szCs w:val="16"/>
              </w:rPr>
            </w:pPr>
            <w:r w:rsidRPr="00016DD4">
              <w:rPr>
                <w:sz w:val="16"/>
                <w:szCs w:val="16"/>
              </w:rPr>
              <w:t>As per 2022-23</w:t>
            </w:r>
          </w:p>
        </w:tc>
      </w:tr>
    </w:tbl>
    <w:p w14:paraId="5AE24FB1" w14:textId="77777777" w:rsidR="00446C60" w:rsidRDefault="00446C60" w:rsidP="00392A48">
      <w:pPr>
        <w:pStyle w:val="ChartandTableFootnoteAlpha"/>
        <w:numPr>
          <w:ilvl w:val="0"/>
          <w:numId w:val="135"/>
        </w:numPr>
      </w:pPr>
      <w:r>
        <w:t xml:space="preserve">Includes a new key activity which </w:t>
      </w:r>
      <w:r w:rsidRPr="00F875EB">
        <w:t>will be reflected in the 202</w:t>
      </w:r>
      <w:r>
        <w:t>2</w:t>
      </w:r>
      <w:r w:rsidRPr="00F875EB">
        <w:t>-</w:t>
      </w:r>
      <w:r>
        <w:t>23</w:t>
      </w:r>
      <w:r w:rsidRPr="00F875EB">
        <w:t xml:space="preserve"> Corporate Plan.</w:t>
      </w:r>
    </w:p>
    <w:p w14:paraId="37182F17" w14:textId="77777777" w:rsidR="00446C60" w:rsidRPr="00AD42E2" w:rsidRDefault="00446C60" w:rsidP="00446C60">
      <w:pPr>
        <w:pStyle w:val="Heading2"/>
      </w:pPr>
      <w:r w:rsidRPr="005B6A94">
        <w:br w:type="page"/>
      </w:r>
      <w:bookmarkStart w:id="915" w:name="_Toc98766453"/>
      <w:bookmarkStart w:id="916" w:name="_Toc98856188"/>
      <w:bookmarkStart w:id="917" w:name="_Toc98932940"/>
      <w:bookmarkStart w:id="918" w:name="_Toc99008196"/>
      <w:bookmarkStart w:id="919" w:name="_Toc99009558"/>
      <w:bookmarkStart w:id="920" w:name="_Toc99010786"/>
      <w:bookmarkStart w:id="921" w:name="_Toc99014021"/>
      <w:bookmarkStart w:id="922" w:name="_Toc99187596"/>
      <w:bookmarkStart w:id="923" w:name="_Toc99269718"/>
      <w:r w:rsidRPr="00AD42E2">
        <w:t>Section 3: Budgeted financial statements</w:t>
      </w:r>
      <w:bookmarkEnd w:id="915"/>
      <w:bookmarkEnd w:id="916"/>
      <w:bookmarkEnd w:id="917"/>
      <w:bookmarkEnd w:id="918"/>
      <w:bookmarkEnd w:id="919"/>
      <w:bookmarkEnd w:id="920"/>
      <w:bookmarkEnd w:id="921"/>
      <w:bookmarkEnd w:id="922"/>
      <w:bookmarkEnd w:id="923"/>
    </w:p>
    <w:p w14:paraId="35D34D83" w14:textId="77777777" w:rsidR="00446C60" w:rsidRDefault="00446C60" w:rsidP="00446C60">
      <w:r>
        <w:t xml:space="preserve">Section 3 presents budgeted financial statements which provide a comprehensive snapshot of </w:t>
      </w:r>
      <w:r w:rsidR="00C50825">
        <w:t>OOSGG</w:t>
      </w:r>
      <w:r>
        <w:t xml:space="preserve"> finances for the 2022-23</w:t>
      </w:r>
      <w:r>
        <w:rPr>
          <w:color w:val="00B050"/>
        </w:rPr>
        <w:t xml:space="preserve"> </w:t>
      </w:r>
      <w:r w:rsidR="004C12AF">
        <w:t>Budget year</w:t>
      </w:r>
      <w:r>
        <w:t>, including the impact of budget measures and resourcing on financial statements.</w:t>
      </w:r>
    </w:p>
    <w:p w14:paraId="0651715C" w14:textId="77777777" w:rsidR="00446C60" w:rsidRPr="005328A9" w:rsidRDefault="00446C60" w:rsidP="00446C60">
      <w:pPr>
        <w:pStyle w:val="Heading3"/>
      </w:pPr>
      <w:bookmarkStart w:id="924" w:name="_Toc98766454"/>
      <w:bookmarkStart w:id="925" w:name="_Toc98856189"/>
      <w:bookmarkStart w:id="926" w:name="_Toc98932941"/>
      <w:bookmarkStart w:id="927" w:name="_Toc99008197"/>
      <w:bookmarkStart w:id="928" w:name="_Toc99009559"/>
      <w:bookmarkStart w:id="929" w:name="_Toc99010787"/>
      <w:bookmarkStart w:id="930" w:name="_Toc99014022"/>
      <w:bookmarkStart w:id="931" w:name="_Toc99187597"/>
      <w:bookmarkStart w:id="932" w:name="_Toc99269719"/>
      <w:r w:rsidRPr="005328A9">
        <w:t>3.1</w:t>
      </w:r>
      <w:r w:rsidRPr="005328A9">
        <w:tab/>
        <w:t>Budgeted financial statements</w:t>
      </w:r>
      <w:bookmarkEnd w:id="924"/>
      <w:bookmarkEnd w:id="925"/>
      <w:bookmarkEnd w:id="926"/>
      <w:bookmarkEnd w:id="927"/>
      <w:bookmarkEnd w:id="928"/>
      <w:bookmarkEnd w:id="929"/>
      <w:bookmarkEnd w:id="930"/>
      <w:bookmarkEnd w:id="931"/>
      <w:bookmarkEnd w:id="932"/>
    </w:p>
    <w:p w14:paraId="7D7696EF" w14:textId="77777777" w:rsidR="00446C60" w:rsidRDefault="00446C60" w:rsidP="00446C60">
      <w:pPr>
        <w:pStyle w:val="Heading4"/>
      </w:pPr>
      <w:r>
        <w:t>3.1.1</w:t>
      </w:r>
      <w:r>
        <w:tab/>
        <w:t>Explanatory notes and analysis of budgeted financial statements</w:t>
      </w:r>
    </w:p>
    <w:p w14:paraId="498937B9" w14:textId="77777777" w:rsidR="00446C60" w:rsidRPr="006051E2" w:rsidRDefault="00446C60" w:rsidP="00446C60">
      <w:pPr>
        <w:pStyle w:val="BodyText"/>
        <w:rPr>
          <w:rFonts w:ascii="Book Antiqua" w:hAnsi="Book Antiqua" w:cs="Arial"/>
          <w:b/>
          <w:i/>
          <w:sz w:val="20"/>
        </w:rPr>
      </w:pPr>
      <w:r w:rsidRPr="006051E2">
        <w:rPr>
          <w:rFonts w:ascii="Book Antiqua" w:hAnsi="Book Antiqua" w:cs="Arial"/>
          <w:b/>
          <w:i/>
          <w:sz w:val="20"/>
        </w:rPr>
        <w:t>Departmental</w:t>
      </w:r>
    </w:p>
    <w:p w14:paraId="302B9970" w14:textId="77777777" w:rsidR="00446C60" w:rsidRPr="006051E2" w:rsidRDefault="00446C60" w:rsidP="00446C60">
      <w:pPr>
        <w:spacing w:after="120" w:line="240" w:lineRule="auto"/>
        <w:rPr>
          <w:rFonts w:eastAsia="Cambria" w:cs="Arial"/>
          <w:b/>
          <w:lang w:val="x-none"/>
        </w:rPr>
      </w:pPr>
      <w:r w:rsidRPr="006051E2">
        <w:rPr>
          <w:rFonts w:eastAsia="Cambria" w:cs="Arial"/>
          <w:b/>
          <w:lang w:val="x-none"/>
        </w:rPr>
        <w:t>Comprehensive Income Statement</w:t>
      </w:r>
    </w:p>
    <w:p w14:paraId="13AA2060" w14:textId="77777777" w:rsidR="00446C60" w:rsidRPr="00F33439" w:rsidRDefault="00446C60" w:rsidP="00446C60">
      <w:pPr>
        <w:spacing w:after="120"/>
        <w:rPr>
          <w:color w:val="000000" w:themeColor="text1"/>
        </w:rPr>
      </w:pPr>
      <w:r w:rsidRPr="00F33439">
        <w:t xml:space="preserve">The Comprehensive Income Statement (Table 3.1) sets out the expected operating results for the ordinary annual services provided by the OOSGG, which are funded by </w:t>
      </w:r>
      <w:r w:rsidRPr="00F33439">
        <w:rPr>
          <w:color w:val="000000" w:themeColor="text1"/>
        </w:rPr>
        <w:t xml:space="preserve">departmental appropriations and </w:t>
      </w:r>
      <w:r w:rsidRPr="00F33439">
        <w:t>other</w:t>
      </w:r>
      <w:r w:rsidRPr="00F33439">
        <w:rPr>
          <w:color w:val="000000" w:themeColor="text1"/>
        </w:rPr>
        <w:t xml:space="preserve"> revenue.</w:t>
      </w:r>
    </w:p>
    <w:p w14:paraId="00A8CFAE" w14:textId="77777777" w:rsidR="00446C60" w:rsidRPr="00F33439" w:rsidRDefault="00446C60" w:rsidP="00446C60">
      <w:pPr>
        <w:spacing w:after="120" w:line="240" w:lineRule="auto"/>
        <w:rPr>
          <w:color w:val="000000" w:themeColor="text1"/>
        </w:rPr>
      </w:pPr>
      <w:r w:rsidRPr="00F33439">
        <w:rPr>
          <w:color w:val="000000" w:themeColor="text1"/>
        </w:rPr>
        <w:t>The OOSGG is budgeting for a break-even operating result, adjusted for depreciation and amortisation expense, in 202</w:t>
      </w:r>
      <w:r>
        <w:rPr>
          <w:color w:val="000000" w:themeColor="text1"/>
        </w:rPr>
        <w:t>2</w:t>
      </w:r>
      <w:r w:rsidRPr="00F33439">
        <w:rPr>
          <w:color w:val="000000" w:themeColor="text1"/>
        </w:rPr>
        <w:t>-2</w:t>
      </w:r>
      <w:r>
        <w:rPr>
          <w:color w:val="000000" w:themeColor="text1"/>
        </w:rPr>
        <w:t>3</w:t>
      </w:r>
      <w:r w:rsidRPr="00F33439">
        <w:rPr>
          <w:color w:val="000000" w:themeColor="text1"/>
        </w:rPr>
        <w:t xml:space="preserve"> and the forward years.</w:t>
      </w:r>
    </w:p>
    <w:p w14:paraId="673400A7" w14:textId="77777777" w:rsidR="00446C60" w:rsidRPr="00F33439" w:rsidRDefault="00446C60" w:rsidP="00446C60">
      <w:pPr>
        <w:spacing w:after="120" w:line="240" w:lineRule="auto"/>
        <w:rPr>
          <w:color w:val="000000" w:themeColor="text1"/>
        </w:rPr>
      </w:pPr>
      <w:r w:rsidRPr="00F33439">
        <w:rPr>
          <w:color w:val="000000" w:themeColor="text1"/>
        </w:rPr>
        <w:t xml:space="preserve">In line with net cash appropriation arrangements that became effective from 2010-11, revenue from government has been reduced by an amount equal to depreciation and amortisation expense. Future asset replacements are funded through the Departmental Capital Budget </w:t>
      </w:r>
      <w:r>
        <w:rPr>
          <w:color w:val="000000" w:themeColor="text1"/>
        </w:rPr>
        <w:t xml:space="preserve">as </w:t>
      </w:r>
      <w:r w:rsidRPr="00F33439">
        <w:rPr>
          <w:color w:val="000000" w:themeColor="text1"/>
        </w:rPr>
        <w:t>detailed in Table 3.5.</w:t>
      </w:r>
    </w:p>
    <w:p w14:paraId="5109FA95" w14:textId="77777777" w:rsidR="00446C60" w:rsidRPr="006051E2" w:rsidRDefault="00446C60" w:rsidP="00446C60">
      <w:pPr>
        <w:spacing w:after="120" w:line="240" w:lineRule="auto"/>
        <w:rPr>
          <w:rFonts w:eastAsia="Cambria" w:cs="Arial"/>
          <w:b/>
          <w:color w:val="000000" w:themeColor="text1"/>
          <w:lang w:val="x-none"/>
        </w:rPr>
      </w:pPr>
      <w:r w:rsidRPr="006051E2">
        <w:rPr>
          <w:rFonts w:eastAsia="Cambria" w:cs="Arial"/>
          <w:b/>
          <w:color w:val="000000" w:themeColor="text1"/>
          <w:lang w:val="x-none"/>
        </w:rPr>
        <w:t>Balance Sheet</w:t>
      </w:r>
    </w:p>
    <w:p w14:paraId="06DF0B5C" w14:textId="77777777" w:rsidR="00446C60" w:rsidRPr="00F33439" w:rsidRDefault="00446C60" w:rsidP="00446C60">
      <w:pPr>
        <w:spacing w:after="120"/>
        <w:rPr>
          <w:color w:val="000000" w:themeColor="text1"/>
        </w:rPr>
      </w:pPr>
      <w:r w:rsidRPr="00F33439">
        <w:rPr>
          <w:color w:val="000000" w:themeColor="text1"/>
        </w:rPr>
        <w:t xml:space="preserve">The movement in the OOSGG’s net asset position is principally as a result of the procurement of replacement </w:t>
      </w:r>
      <w:r w:rsidRPr="00F33439">
        <w:t>infrastructure</w:t>
      </w:r>
      <w:r w:rsidRPr="00F33439">
        <w:rPr>
          <w:color w:val="000000" w:themeColor="text1"/>
        </w:rPr>
        <w:t>, plant and equipment assets owned by the OOSGG.</w:t>
      </w:r>
    </w:p>
    <w:p w14:paraId="35C38B1C" w14:textId="77777777" w:rsidR="00446C60" w:rsidRPr="00F33439" w:rsidRDefault="00446C60" w:rsidP="00446C60">
      <w:pPr>
        <w:spacing w:after="120"/>
        <w:rPr>
          <w:color w:val="000000" w:themeColor="text1"/>
        </w:rPr>
      </w:pPr>
      <w:r w:rsidRPr="00F33439">
        <w:rPr>
          <w:color w:val="000000" w:themeColor="text1"/>
        </w:rPr>
        <w:t>The OOSGG’s primary liability is accrued employee entitlements.</w:t>
      </w:r>
    </w:p>
    <w:p w14:paraId="29BC7DFA" w14:textId="77777777" w:rsidR="00446C60" w:rsidRPr="006051E2" w:rsidRDefault="00446C60" w:rsidP="00446C60">
      <w:pPr>
        <w:spacing w:after="120" w:line="240" w:lineRule="auto"/>
        <w:rPr>
          <w:rFonts w:eastAsia="Cambria" w:cs="Arial"/>
          <w:b/>
          <w:i/>
          <w:color w:val="000000" w:themeColor="text1"/>
          <w:lang w:val="x-none"/>
        </w:rPr>
      </w:pPr>
      <w:r w:rsidRPr="006051E2">
        <w:rPr>
          <w:rFonts w:eastAsia="Cambria" w:cs="Arial"/>
          <w:b/>
          <w:i/>
          <w:color w:val="000000" w:themeColor="text1"/>
          <w:lang w:val="x-none"/>
        </w:rPr>
        <w:t>Administered</w:t>
      </w:r>
    </w:p>
    <w:p w14:paraId="3F399A44" w14:textId="77777777" w:rsidR="00446C60" w:rsidRPr="006051E2" w:rsidRDefault="00446C60" w:rsidP="00446C60">
      <w:pPr>
        <w:spacing w:after="120" w:line="240" w:lineRule="auto"/>
        <w:rPr>
          <w:rFonts w:eastAsia="Cambria" w:cs="Arial"/>
          <w:b/>
          <w:color w:val="000000" w:themeColor="text1"/>
          <w:lang w:val="x-none"/>
        </w:rPr>
      </w:pPr>
      <w:r w:rsidRPr="006051E2">
        <w:rPr>
          <w:rFonts w:eastAsia="Cambria" w:cs="Arial"/>
          <w:b/>
          <w:color w:val="000000" w:themeColor="text1"/>
          <w:lang w:val="x-none"/>
        </w:rPr>
        <w:t>Schedule of Budgeted Income and Expenses Administered on Behalf of Government</w:t>
      </w:r>
    </w:p>
    <w:p w14:paraId="1FDFF042" w14:textId="77777777" w:rsidR="00446C60" w:rsidRPr="001D0E53" w:rsidRDefault="00446C60" w:rsidP="00446C60">
      <w:r w:rsidRPr="00F33439">
        <w:rPr>
          <w:color w:val="000000" w:themeColor="text1"/>
        </w:rPr>
        <w:t>In 202</w:t>
      </w:r>
      <w:r>
        <w:rPr>
          <w:color w:val="000000" w:themeColor="text1"/>
        </w:rPr>
        <w:t>2</w:t>
      </w:r>
      <w:r w:rsidRPr="00F33439">
        <w:rPr>
          <w:color w:val="000000" w:themeColor="text1"/>
        </w:rPr>
        <w:t>-2</w:t>
      </w:r>
      <w:r>
        <w:rPr>
          <w:color w:val="000000" w:themeColor="text1"/>
        </w:rPr>
        <w:t>3</w:t>
      </w:r>
      <w:r w:rsidRPr="00F33439">
        <w:rPr>
          <w:color w:val="000000" w:themeColor="text1"/>
        </w:rPr>
        <w:t>, the OOSGG will receive administered appropriations of $0.5 million for the Governor-General’s salary and $</w:t>
      </w:r>
      <w:r>
        <w:rPr>
          <w:color w:val="000000" w:themeColor="text1"/>
        </w:rPr>
        <w:t>3</w:t>
      </w:r>
      <w:r w:rsidRPr="00F33439">
        <w:rPr>
          <w:color w:val="000000" w:themeColor="text1"/>
        </w:rPr>
        <w:t>.</w:t>
      </w:r>
      <w:r>
        <w:rPr>
          <w:color w:val="000000" w:themeColor="text1"/>
        </w:rPr>
        <w:t>1</w:t>
      </w:r>
      <w:r w:rsidRPr="00F33439">
        <w:rPr>
          <w:color w:val="000000" w:themeColor="text1"/>
        </w:rPr>
        <w:t xml:space="preserve"> million for support of the Australian Honours and Awards System.</w:t>
      </w:r>
    </w:p>
    <w:p w14:paraId="6D10C760" w14:textId="77777777" w:rsidR="00446C60" w:rsidRDefault="00446C60" w:rsidP="00446C60">
      <w:pPr>
        <w:jc w:val="left"/>
      </w:pPr>
      <w:r>
        <w:br w:type="page"/>
      </w:r>
      <w:r w:rsidRPr="00D232B7">
        <w:rPr>
          <w:rStyle w:val="TableHeadingChar"/>
        </w:rPr>
        <w:t>3.2.</w:t>
      </w:r>
      <w:r w:rsidRPr="00D232B7">
        <w:rPr>
          <w:rStyle w:val="TableHeadingChar"/>
        </w:rPr>
        <w:tab/>
        <w:t>Budgeted financial statements tables</w:t>
      </w:r>
    </w:p>
    <w:p w14:paraId="37BD9EF1" w14:textId="77777777" w:rsidR="00446C60" w:rsidRPr="00016DD4" w:rsidRDefault="00446C60" w:rsidP="00016DD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sidR="00016DD4">
        <w:rPr>
          <w:snapToGrid w:val="0"/>
        </w:rPr>
        <w:t>for the period ended 30 June</w:t>
      </w:r>
    </w:p>
    <w:p w14:paraId="00876124" w14:textId="77777777" w:rsidR="00016DD4" w:rsidRPr="00016DD4" w:rsidRDefault="00C50825" w:rsidP="00016DD4">
      <w:pPr>
        <w:spacing w:after="0" w:line="240" w:lineRule="auto"/>
        <w:jc w:val="left"/>
        <w:rPr>
          <w:rFonts w:ascii="Arial" w:hAnsi="Arial" w:cs="Arial"/>
          <w:color w:val="000000"/>
          <w:sz w:val="16"/>
          <w:szCs w:val="16"/>
        </w:rPr>
      </w:pPr>
      <w:r w:rsidRPr="00C50825">
        <w:rPr>
          <w:noProof/>
        </w:rPr>
        <w:drawing>
          <wp:inline distT="0" distB="0" distL="0" distR="0" wp14:anchorId="5A246229" wp14:editId="40D6A506">
            <wp:extent cx="4895850" cy="5143171"/>
            <wp:effectExtent l="0" t="0" r="0" b="63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895850" cy="5143171"/>
                    </a:xfrm>
                    <a:prstGeom prst="rect">
                      <a:avLst/>
                    </a:prstGeom>
                    <a:noFill/>
                    <a:ln>
                      <a:noFill/>
                    </a:ln>
                  </pic:spPr>
                </pic:pic>
              </a:graphicData>
            </a:graphic>
          </wp:inline>
        </w:drawing>
      </w:r>
      <w:r w:rsidR="00016DD4" w:rsidRPr="00016DD4">
        <w:rPr>
          <w:rFonts w:ascii="Arial" w:hAnsi="Arial" w:cs="Arial"/>
          <w:color w:val="000000"/>
          <w:sz w:val="16"/>
          <w:szCs w:val="16"/>
        </w:rPr>
        <w:t xml:space="preserve"> Prepared on Australian Accounting Standards basis. </w:t>
      </w:r>
    </w:p>
    <w:p w14:paraId="64A65088" w14:textId="77777777" w:rsidR="00016DD4" w:rsidRPr="00016DD4" w:rsidRDefault="00016DD4" w:rsidP="008A2254">
      <w:pPr>
        <w:pStyle w:val="ListParagraph"/>
        <w:numPr>
          <w:ilvl w:val="4"/>
          <w:numId w:val="65"/>
        </w:numPr>
        <w:spacing w:after="0" w:line="240" w:lineRule="auto"/>
        <w:rPr>
          <w:rFonts w:ascii="Arial" w:hAnsi="Arial" w:cs="Arial"/>
          <w:color w:val="000000"/>
          <w:sz w:val="16"/>
          <w:szCs w:val="16"/>
        </w:rPr>
      </w:pPr>
      <w:r w:rsidRPr="00016DD4">
        <w:rPr>
          <w:rFonts w:ascii="Arial" w:hAnsi="Arial" w:cs="Arial"/>
          <w:color w:val="000000"/>
          <w:sz w:val="16"/>
          <w:szCs w:val="16"/>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5B6C62EC" w14:textId="77777777" w:rsidR="00446C60" w:rsidRPr="00D232B7" w:rsidRDefault="00446C60" w:rsidP="00446C60">
      <w:pPr>
        <w:pStyle w:val="TableHeadingcontinued"/>
      </w:pPr>
    </w:p>
    <w:p w14:paraId="681BE427" w14:textId="77777777" w:rsidR="00446C60" w:rsidRDefault="00446C60" w:rsidP="00446C60">
      <w:pPr>
        <w:pStyle w:val="TableHeading"/>
      </w:pPr>
      <w:r>
        <w:br w:type="page"/>
      </w:r>
      <w:r w:rsidRPr="00E4582E">
        <w:t>Table</w:t>
      </w:r>
      <w:r>
        <w:t xml:space="preserve"> 3.</w:t>
      </w:r>
      <w:r w:rsidRPr="00E4582E">
        <w:t>2: Budg</w:t>
      </w:r>
      <w:r>
        <w:t xml:space="preserve">eted departmental balance sheet </w:t>
      </w:r>
      <w:r w:rsidRPr="00E4582E">
        <w:t>(as at 30 June)</w:t>
      </w:r>
    </w:p>
    <w:p w14:paraId="110CA601" w14:textId="77777777" w:rsidR="00016DD4" w:rsidRPr="00016DD4" w:rsidRDefault="00016DD4" w:rsidP="00016DD4">
      <w:pPr>
        <w:spacing w:after="0" w:line="240" w:lineRule="auto"/>
        <w:rPr>
          <w:rFonts w:ascii="Arial" w:hAnsi="Arial" w:cs="Arial"/>
          <w:color w:val="000000"/>
          <w:sz w:val="16"/>
          <w:szCs w:val="16"/>
        </w:rPr>
      </w:pPr>
      <w:r w:rsidRPr="00016DD4">
        <w:rPr>
          <w:noProof/>
        </w:rPr>
        <w:drawing>
          <wp:inline distT="0" distB="0" distL="0" distR="0" wp14:anchorId="0585A0C3" wp14:editId="72751A8D">
            <wp:extent cx="4895850" cy="4815691"/>
            <wp:effectExtent l="0" t="0" r="0" b="444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895850" cy="4815691"/>
                    </a:xfrm>
                    <a:prstGeom prst="rect">
                      <a:avLst/>
                    </a:prstGeom>
                    <a:noFill/>
                    <a:ln>
                      <a:noFill/>
                    </a:ln>
                  </pic:spPr>
                </pic:pic>
              </a:graphicData>
            </a:graphic>
          </wp:inline>
        </w:drawing>
      </w:r>
      <w:r w:rsidRPr="00016DD4">
        <w:rPr>
          <w:rFonts w:ascii="Arial" w:hAnsi="Arial" w:cs="Arial"/>
          <w:color w:val="000000"/>
          <w:sz w:val="16"/>
          <w:szCs w:val="16"/>
        </w:rPr>
        <w:t xml:space="preserve"> Prepared on Australian Accounting Standards basis.</w:t>
      </w:r>
    </w:p>
    <w:p w14:paraId="2D49352D" w14:textId="77777777" w:rsidR="00016DD4" w:rsidRPr="00016DD4" w:rsidRDefault="00016DD4" w:rsidP="00016DD4">
      <w:pPr>
        <w:spacing w:after="0" w:line="240" w:lineRule="auto"/>
        <w:rPr>
          <w:rFonts w:ascii="Arial" w:hAnsi="Arial" w:cs="Arial"/>
          <w:color w:val="000000"/>
          <w:sz w:val="16"/>
          <w:szCs w:val="16"/>
        </w:rPr>
      </w:pPr>
      <w:r w:rsidRPr="00016DD4">
        <w:rPr>
          <w:rFonts w:ascii="Arial" w:hAnsi="Arial" w:cs="Arial"/>
          <w:color w:val="000000"/>
          <w:sz w:val="16"/>
          <w:szCs w:val="16"/>
        </w:rPr>
        <w:t xml:space="preserve">*Equity is the residual interest in assets after the deduction of liabilities. </w:t>
      </w:r>
    </w:p>
    <w:p w14:paraId="6C89DDC1" w14:textId="77777777" w:rsidR="00446C60" w:rsidRPr="00F626C2" w:rsidRDefault="00446C60" w:rsidP="00446C60">
      <w:pPr>
        <w:pStyle w:val="TableGraphic"/>
      </w:pPr>
    </w:p>
    <w:p w14:paraId="000D303A" w14:textId="77777777" w:rsidR="00446C60" w:rsidRDefault="00446C60" w:rsidP="00446C60">
      <w:pPr>
        <w:pStyle w:val="TableHeading"/>
        <w:rPr>
          <w:rFonts w:ascii="Times New Roman" w:hAnsi="Times New Roman"/>
        </w:rPr>
      </w:pPr>
      <w:r>
        <w:br w:type="page"/>
      </w:r>
      <w:r w:rsidRPr="00AD42E2">
        <w:t>Table 3.3: Departmental statement of changes in equity — summary of</w:t>
      </w:r>
      <w:r>
        <w:t xml:space="preserve"> movement (Budget year </w:t>
      </w:r>
      <w:r>
        <w:rPr>
          <w:lang w:val="en-AU"/>
        </w:rPr>
        <w:t>2022-23</w:t>
      </w:r>
      <w:r w:rsidRPr="00D30CBA">
        <w:t>)</w:t>
      </w:r>
    </w:p>
    <w:p w14:paraId="14FFBEF8" w14:textId="77777777" w:rsidR="00016DD4" w:rsidRPr="00016DD4" w:rsidRDefault="00016DD4" w:rsidP="00016DD4">
      <w:pPr>
        <w:spacing w:after="0" w:line="240" w:lineRule="auto"/>
        <w:rPr>
          <w:rFonts w:ascii="Arial" w:hAnsi="Arial" w:cs="Arial"/>
          <w:color w:val="000000"/>
          <w:sz w:val="16"/>
          <w:szCs w:val="16"/>
        </w:rPr>
      </w:pPr>
      <w:r w:rsidRPr="00016DD4">
        <w:t xml:space="preserve"> </w:t>
      </w:r>
      <w:r w:rsidRPr="00016DD4">
        <w:rPr>
          <w:noProof/>
        </w:rPr>
        <w:drawing>
          <wp:inline distT="0" distB="0" distL="0" distR="0" wp14:anchorId="11887887" wp14:editId="3B849CB3">
            <wp:extent cx="4406900" cy="3060700"/>
            <wp:effectExtent l="0" t="0" r="0" b="63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406900" cy="3060700"/>
                    </a:xfrm>
                    <a:prstGeom prst="rect">
                      <a:avLst/>
                    </a:prstGeom>
                    <a:noFill/>
                    <a:ln>
                      <a:noFill/>
                    </a:ln>
                  </pic:spPr>
                </pic:pic>
              </a:graphicData>
            </a:graphic>
          </wp:inline>
        </w:drawing>
      </w:r>
      <w:r w:rsidRPr="00016DD4">
        <w:rPr>
          <w:rFonts w:ascii="Arial" w:hAnsi="Arial" w:cs="Arial"/>
          <w:color w:val="000000"/>
          <w:sz w:val="16"/>
          <w:szCs w:val="16"/>
        </w:rPr>
        <w:t xml:space="preserve"> </w:t>
      </w:r>
      <w:r>
        <w:rPr>
          <w:rFonts w:ascii="Arial" w:hAnsi="Arial" w:cs="Arial"/>
          <w:color w:val="000000"/>
          <w:sz w:val="16"/>
          <w:szCs w:val="16"/>
        </w:rPr>
        <w:br/>
      </w:r>
      <w:r w:rsidRPr="00016DD4">
        <w:rPr>
          <w:rFonts w:ascii="Arial" w:hAnsi="Arial" w:cs="Arial"/>
          <w:color w:val="000000"/>
          <w:sz w:val="16"/>
          <w:szCs w:val="16"/>
        </w:rPr>
        <w:t>Prepared on Australian Accounting Standards basis.</w:t>
      </w:r>
    </w:p>
    <w:p w14:paraId="324DF5C8" w14:textId="77777777" w:rsidR="00446C60" w:rsidRDefault="00446C60" w:rsidP="00446C60">
      <w:pPr>
        <w:pStyle w:val="TableGraphic"/>
      </w:pPr>
    </w:p>
    <w:p w14:paraId="73DAB7F0" w14:textId="77777777" w:rsidR="00446C60" w:rsidRPr="00152B2B" w:rsidRDefault="00446C60" w:rsidP="00446C60"/>
    <w:p w14:paraId="28CF685A" w14:textId="77777777" w:rsidR="00446C60" w:rsidRDefault="00446C60" w:rsidP="00446C60">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37E30968" w14:textId="77777777" w:rsidR="00016DD4" w:rsidRPr="00016DD4" w:rsidRDefault="00016DD4" w:rsidP="00016DD4">
      <w:pPr>
        <w:spacing w:after="0" w:line="240" w:lineRule="auto"/>
        <w:jc w:val="left"/>
        <w:rPr>
          <w:rFonts w:ascii="Arial" w:hAnsi="Arial" w:cs="Arial"/>
          <w:color w:val="000000"/>
          <w:sz w:val="16"/>
          <w:szCs w:val="16"/>
        </w:rPr>
      </w:pPr>
      <w:r w:rsidRPr="00016DD4">
        <w:rPr>
          <w:noProof/>
        </w:rPr>
        <w:drawing>
          <wp:inline distT="0" distB="0" distL="0" distR="0" wp14:anchorId="697C47B5" wp14:editId="5FD7CBEF">
            <wp:extent cx="4895850" cy="4328573"/>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895850" cy="4328573"/>
                    </a:xfrm>
                    <a:prstGeom prst="rect">
                      <a:avLst/>
                    </a:prstGeom>
                    <a:noFill/>
                    <a:ln>
                      <a:noFill/>
                    </a:ln>
                  </pic:spPr>
                </pic:pic>
              </a:graphicData>
            </a:graphic>
          </wp:inline>
        </w:drawing>
      </w:r>
      <w:r w:rsidRPr="00016DD4">
        <w:rPr>
          <w:rFonts w:ascii="Arial" w:hAnsi="Arial" w:cs="Arial"/>
          <w:color w:val="000000"/>
          <w:sz w:val="16"/>
          <w:szCs w:val="16"/>
        </w:rPr>
        <w:t xml:space="preserve"> Prepared on Australian Accounting Standards basis.</w:t>
      </w:r>
    </w:p>
    <w:p w14:paraId="1BECA3EA" w14:textId="77777777" w:rsidR="00446C60" w:rsidRDefault="00446C60" w:rsidP="00446C60">
      <w:pPr>
        <w:pStyle w:val="TableHeading"/>
      </w:pPr>
    </w:p>
    <w:p w14:paraId="60590646" w14:textId="77777777" w:rsidR="00446C60" w:rsidRPr="00A00283" w:rsidRDefault="00446C60" w:rsidP="00446C60">
      <w:pPr>
        <w:pStyle w:val="TableHeading"/>
      </w:pPr>
      <w:r>
        <w:br w:type="page"/>
      </w:r>
      <w:r w:rsidRPr="00D30CBA">
        <w:t>Table</w:t>
      </w:r>
      <w:r>
        <w:t xml:space="preserve"> 3.5</w:t>
      </w:r>
      <w:r w:rsidRPr="00D30CBA">
        <w:t xml:space="preserve">: </w:t>
      </w:r>
      <w:r>
        <w:t>Departmental capital budget statement (for the period ended 30 June)</w:t>
      </w:r>
    </w:p>
    <w:p w14:paraId="52528318" w14:textId="77777777" w:rsidR="00016DD4" w:rsidRPr="00016DD4" w:rsidRDefault="00C50825" w:rsidP="00016DD4">
      <w:pPr>
        <w:spacing w:after="0" w:line="240" w:lineRule="auto"/>
        <w:rPr>
          <w:rFonts w:ascii="Arial" w:hAnsi="Arial" w:cs="Arial"/>
          <w:sz w:val="16"/>
          <w:szCs w:val="16"/>
        </w:rPr>
      </w:pPr>
      <w:r w:rsidRPr="00C50825">
        <w:rPr>
          <w:noProof/>
        </w:rPr>
        <w:drawing>
          <wp:inline distT="0" distB="0" distL="0" distR="0" wp14:anchorId="74B78037" wp14:editId="3EBEA981">
            <wp:extent cx="4895850" cy="2726084"/>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895850" cy="2726084"/>
                    </a:xfrm>
                    <a:prstGeom prst="rect">
                      <a:avLst/>
                    </a:prstGeom>
                    <a:noFill/>
                    <a:ln>
                      <a:noFill/>
                    </a:ln>
                  </pic:spPr>
                </pic:pic>
              </a:graphicData>
            </a:graphic>
          </wp:inline>
        </w:drawing>
      </w:r>
      <w:r w:rsidR="00016DD4" w:rsidRPr="00016DD4">
        <w:rPr>
          <w:rFonts w:ascii="Arial" w:hAnsi="Arial" w:cs="Arial"/>
          <w:sz w:val="16"/>
          <w:szCs w:val="16"/>
        </w:rPr>
        <w:t>Prepared on Australian Accounting Standards basis.</w:t>
      </w:r>
    </w:p>
    <w:p w14:paraId="427C1D7D" w14:textId="77777777" w:rsidR="00016DD4" w:rsidRPr="00016DD4" w:rsidRDefault="00016DD4" w:rsidP="00016DD4">
      <w:pPr>
        <w:pStyle w:val="ListParagraph"/>
        <w:numPr>
          <w:ilvl w:val="4"/>
          <w:numId w:val="6"/>
        </w:numPr>
        <w:spacing w:after="0" w:line="240" w:lineRule="auto"/>
        <w:rPr>
          <w:rFonts w:ascii="Arial" w:hAnsi="Arial" w:cs="Arial"/>
          <w:sz w:val="16"/>
          <w:szCs w:val="16"/>
        </w:rPr>
      </w:pPr>
      <w:r w:rsidRPr="00016DD4">
        <w:rPr>
          <w:rFonts w:ascii="Arial" w:hAnsi="Arial" w:cs="Arial"/>
          <w:sz w:val="16"/>
          <w:szCs w:val="16"/>
        </w:rPr>
        <w:t>Includes purchases from current and previous years' DCBs.</w:t>
      </w:r>
    </w:p>
    <w:p w14:paraId="2E842239" w14:textId="77777777" w:rsidR="00446C60" w:rsidRDefault="00446C60" w:rsidP="00446C60">
      <w:pPr>
        <w:pStyle w:val="TableGraphic"/>
      </w:pPr>
    </w:p>
    <w:p w14:paraId="1E21A812" w14:textId="77777777" w:rsidR="00446C60" w:rsidRDefault="00446C60" w:rsidP="00446C60">
      <w:pPr>
        <w:pStyle w:val="NoSpacing"/>
      </w:pPr>
    </w:p>
    <w:p w14:paraId="0C397955" w14:textId="77777777" w:rsidR="00446C60" w:rsidRDefault="00446C60" w:rsidP="00446C60">
      <w:pPr>
        <w:pStyle w:val="ExampleText0"/>
        <w:sectPr w:rsidR="00446C60" w:rsidSect="00503FD8">
          <w:headerReference w:type="first" r:id="rId401"/>
          <w:footerReference w:type="first" r:id="rId402"/>
          <w:pgSz w:w="11906" w:h="16838" w:code="9"/>
          <w:pgMar w:top="2835" w:right="2098" w:bottom="2466" w:left="2098" w:header="1814" w:footer="1814" w:gutter="0"/>
          <w:cols w:space="708"/>
          <w:titlePg/>
          <w:docGrid w:linePitch="360"/>
        </w:sectPr>
      </w:pPr>
    </w:p>
    <w:p w14:paraId="13F06D9A" w14:textId="77777777" w:rsidR="00446C60" w:rsidRDefault="00446C60" w:rsidP="00446C60">
      <w:pPr>
        <w:pStyle w:val="TableHeading"/>
      </w:pPr>
      <w:r w:rsidRPr="00D30CBA">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2022-23</w:t>
      </w:r>
      <w:r>
        <w:t>)</w:t>
      </w:r>
    </w:p>
    <w:p w14:paraId="09A95782" w14:textId="77777777" w:rsidR="00016DD4" w:rsidRPr="00016DD4" w:rsidRDefault="00016DD4" w:rsidP="00016DD4">
      <w:pPr>
        <w:spacing w:after="0" w:line="240" w:lineRule="auto"/>
        <w:rPr>
          <w:rFonts w:ascii="Arial" w:hAnsi="Arial" w:cs="Arial"/>
          <w:color w:val="000000"/>
          <w:sz w:val="16"/>
          <w:szCs w:val="16"/>
        </w:rPr>
      </w:pPr>
      <w:r w:rsidRPr="00016DD4">
        <w:rPr>
          <w:noProof/>
        </w:rPr>
        <w:drawing>
          <wp:inline distT="0" distB="0" distL="0" distR="0" wp14:anchorId="33798684" wp14:editId="582A48D3">
            <wp:extent cx="4895850" cy="3730746"/>
            <wp:effectExtent l="0" t="0" r="0" b="317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895850" cy="3730746"/>
                    </a:xfrm>
                    <a:prstGeom prst="rect">
                      <a:avLst/>
                    </a:prstGeom>
                    <a:noFill/>
                    <a:ln>
                      <a:noFill/>
                    </a:ln>
                  </pic:spPr>
                </pic:pic>
              </a:graphicData>
            </a:graphic>
          </wp:inline>
        </w:drawing>
      </w:r>
      <w:r w:rsidRPr="00016DD4">
        <w:rPr>
          <w:rFonts w:ascii="Arial" w:hAnsi="Arial" w:cs="Arial"/>
          <w:color w:val="000000"/>
          <w:sz w:val="16"/>
          <w:szCs w:val="16"/>
        </w:rPr>
        <w:t xml:space="preserve"> Prepared on Australian Accounting Standards basis.</w:t>
      </w:r>
    </w:p>
    <w:p w14:paraId="408ED04C" w14:textId="77777777" w:rsidR="00016DD4" w:rsidRPr="00016DD4" w:rsidRDefault="00C50825" w:rsidP="0008504D">
      <w:pPr>
        <w:pStyle w:val="ListParagraph"/>
        <w:numPr>
          <w:ilvl w:val="1"/>
          <w:numId w:val="59"/>
        </w:numPr>
        <w:spacing w:after="0" w:line="240" w:lineRule="auto"/>
        <w:jc w:val="both"/>
        <w:rPr>
          <w:rFonts w:ascii="Arial" w:hAnsi="Arial" w:cs="Arial"/>
          <w:sz w:val="16"/>
          <w:szCs w:val="16"/>
        </w:rPr>
      </w:pPr>
      <w:r>
        <w:rPr>
          <w:rFonts w:ascii="Arial" w:hAnsi="Arial" w:cs="Arial"/>
          <w:sz w:val="16"/>
          <w:szCs w:val="16"/>
        </w:rPr>
        <w:t xml:space="preserve">'Appropriation ordinary annual </w:t>
      </w:r>
      <w:r w:rsidR="00016DD4" w:rsidRPr="00016DD4">
        <w:rPr>
          <w:rFonts w:ascii="Arial" w:hAnsi="Arial" w:cs="Arial"/>
          <w:sz w:val="16"/>
          <w:szCs w:val="16"/>
        </w:rPr>
        <w:t>services' refers to funding provided th</w:t>
      </w:r>
      <w:r>
        <w:rPr>
          <w:rFonts w:ascii="Arial" w:hAnsi="Arial" w:cs="Arial"/>
          <w:sz w:val="16"/>
          <w:szCs w:val="16"/>
        </w:rPr>
        <w:t xml:space="preserve">rough </w:t>
      </w:r>
      <w:r w:rsidR="00016DD4">
        <w:rPr>
          <w:rFonts w:ascii="Arial" w:hAnsi="Arial" w:cs="Arial"/>
          <w:sz w:val="16"/>
          <w:szCs w:val="16"/>
        </w:rPr>
        <w:t>Appropriation Bill (No.1) 2022</w:t>
      </w:r>
      <w:r w:rsidR="00016DD4">
        <w:rPr>
          <w:rFonts w:ascii="Arial" w:hAnsi="Arial" w:cs="Arial"/>
          <w:sz w:val="16"/>
          <w:szCs w:val="16"/>
        </w:rPr>
        <w:noBreakHyphen/>
      </w:r>
      <w:r w:rsidR="00016DD4" w:rsidRPr="00016DD4">
        <w:rPr>
          <w:rFonts w:ascii="Arial" w:hAnsi="Arial" w:cs="Arial"/>
          <w:sz w:val="16"/>
          <w:szCs w:val="16"/>
        </w:rPr>
        <w:t>23</w:t>
      </w:r>
      <w:r>
        <w:rPr>
          <w:rFonts w:ascii="Arial" w:hAnsi="Arial" w:cs="Arial"/>
          <w:sz w:val="16"/>
          <w:szCs w:val="16"/>
        </w:rPr>
        <w:t xml:space="preserve"> </w:t>
      </w:r>
      <w:r w:rsidR="00016DD4" w:rsidRPr="00016DD4">
        <w:rPr>
          <w:rFonts w:ascii="Arial" w:hAnsi="Arial" w:cs="Arial"/>
          <w:sz w:val="16"/>
          <w:szCs w:val="16"/>
        </w:rPr>
        <w:t>for depreciation/amortisation expenses, DCB or other operational expenses.</w:t>
      </w:r>
    </w:p>
    <w:p w14:paraId="41D9C4AF" w14:textId="77777777" w:rsidR="00446C60" w:rsidRPr="00152B2B" w:rsidRDefault="00446C60" w:rsidP="00C50825">
      <w:pPr>
        <w:pStyle w:val="ChartandTableFootnoteAlpha"/>
        <w:sectPr w:rsidR="00446C60" w:rsidRPr="00152B2B" w:rsidSect="00C221A7">
          <w:headerReference w:type="even" r:id="rId404"/>
          <w:headerReference w:type="default" r:id="rId405"/>
          <w:footerReference w:type="even" r:id="rId406"/>
          <w:footerReference w:type="default" r:id="rId407"/>
          <w:headerReference w:type="first" r:id="rId408"/>
          <w:footerReference w:type="first" r:id="rId409"/>
          <w:pgSz w:w="11906" w:h="16838" w:code="9"/>
          <w:pgMar w:top="2835" w:right="2098" w:bottom="2466" w:left="2098" w:header="1814" w:footer="1814" w:gutter="0"/>
          <w:cols w:space="708"/>
          <w:titlePg/>
          <w:docGrid w:linePitch="360"/>
        </w:sectPr>
      </w:pPr>
    </w:p>
    <w:p w14:paraId="5A5B3594" w14:textId="77777777" w:rsidR="00446C60" w:rsidRDefault="00446C60" w:rsidP="00446C60">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78235DF5" w14:textId="77777777" w:rsidR="00446C60" w:rsidRDefault="0008504D" w:rsidP="00446C60">
      <w:pPr>
        <w:pStyle w:val="TableHeading"/>
      </w:pPr>
      <w:r w:rsidRPr="0008504D">
        <w:rPr>
          <w:noProof/>
          <w:lang w:val="en-AU" w:eastAsia="en-AU"/>
        </w:rPr>
        <w:drawing>
          <wp:inline distT="0" distB="0" distL="0" distR="0" wp14:anchorId="69389C71" wp14:editId="3BD69A6E">
            <wp:extent cx="4890135" cy="3489960"/>
            <wp:effectExtent l="0" t="0" r="571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890135" cy="3489960"/>
                    </a:xfrm>
                    <a:prstGeom prst="rect">
                      <a:avLst/>
                    </a:prstGeom>
                    <a:noFill/>
                    <a:ln>
                      <a:noFill/>
                    </a:ln>
                  </pic:spPr>
                </pic:pic>
              </a:graphicData>
            </a:graphic>
          </wp:inline>
        </w:drawing>
      </w:r>
    </w:p>
    <w:p w14:paraId="7FD86F1E" w14:textId="77777777" w:rsidR="00016DD4" w:rsidRPr="00016DD4" w:rsidRDefault="00016DD4" w:rsidP="00016DD4">
      <w:pPr>
        <w:spacing w:after="0" w:line="240" w:lineRule="auto"/>
        <w:jc w:val="left"/>
        <w:rPr>
          <w:rFonts w:ascii="Arial" w:hAnsi="Arial" w:cs="Arial"/>
          <w:color w:val="000000"/>
          <w:sz w:val="16"/>
          <w:szCs w:val="16"/>
        </w:rPr>
      </w:pPr>
      <w:r w:rsidRPr="00016DD4">
        <w:rPr>
          <w:rFonts w:ascii="Arial" w:hAnsi="Arial" w:cs="Arial"/>
          <w:color w:val="000000"/>
          <w:sz w:val="16"/>
          <w:szCs w:val="16"/>
        </w:rPr>
        <w:t>Prepared on Australian Accounting Standards basis.</w:t>
      </w:r>
    </w:p>
    <w:p w14:paraId="2D2BE07D" w14:textId="77777777" w:rsidR="00016DD4" w:rsidRPr="00016DD4" w:rsidRDefault="00016DD4" w:rsidP="008A2254">
      <w:pPr>
        <w:pStyle w:val="ListParagraph"/>
        <w:numPr>
          <w:ilvl w:val="1"/>
          <w:numId w:val="33"/>
        </w:numPr>
        <w:spacing w:after="0" w:line="240" w:lineRule="auto"/>
        <w:rPr>
          <w:rFonts w:ascii="Arial" w:hAnsi="Arial" w:cs="Arial"/>
          <w:color w:val="000000"/>
          <w:sz w:val="16"/>
          <w:szCs w:val="16"/>
        </w:rPr>
      </w:pPr>
      <w:r w:rsidRPr="00016DD4">
        <w:rPr>
          <w:rFonts w:ascii="Arial" w:hAnsi="Arial" w:cs="Arial"/>
          <w:color w:val="000000"/>
          <w:sz w:val="16"/>
          <w:szCs w:val="16"/>
        </w:rPr>
        <w:t>From 2010-11, the Government introduced net cash appropriation arrangements where Bill (No. 1) revenue appropriations for the depreciation/amortisation expenses of non-corporate Commonwealth entities (and select corporate Commonwealth entities) were replaced with a separate Administered Capital Budget (ACB) provided through Bill (No. 1) equity appropriations. For information regarding ACBs, please refer to Table 3.10 Administered Capital Budget Statement.</w:t>
      </w:r>
    </w:p>
    <w:p w14:paraId="074FE85E" w14:textId="77777777" w:rsidR="00446C60" w:rsidRDefault="00446C60" w:rsidP="00446C60">
      <w:pPr>
        <w:spacing w:after="0" w:line="240" w:lineRule="auto"/>
        <w:jc w:val="left"/>
        <w:rPr>
          <w:rFonts w:ascii="Arial" w:hAnsi="Arial"/>
          <w:b/>
          <w:color w:val="000000"/>
          <w:lang w:val="x-none" w:eastAsia="x-none"/>
        </w:rPr>
      </w:pPr>
    </w:p>
    <w:p w14:paraId="1F92002B" w14:textId="77777777" w:rsidR="00446C60" w:rsidRDefault="00446C60" w:rsidP="00446C60">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3F1D36EE" w14:textId="77777777" w:rsidR="00171C45" w:rsidRPr="00171C45" w:rsidRDefault="00171C45" w:rsidP="00171C45">
      <w:pPr>
        <w:spacing w:after="0" w:line="240" w:lineRule="auto"/>
        <w:rPr>
          <w:rFonts w:ascii="Arial" w:hAnsi="Arial" w:cs="Arial"/>
          <w:color w:val="000000"/>
          <w:sz w:val="16"/>
          <w:szCs w:val="16"/>
        </w:rPr>
      </w:pPr>
      <w:r w:rsidRPr="00171C45">
        <w:rPr>
          <w:noProof/>
        </w:rPr>
        <w:drawing>
          <wp:inline distT="0" distB="0" distL="0" distR="0" wp14:anchorId="32EF3FB5" wp14:editId="1F6BE31D">
            <wp:extent cx="4895850" cy="2922711"/>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895850" cy="2922711"/>
                    </a:xfrm>
                    <a:prstGeom prst="rect">
                      <a:avLst/>
                    </a:prstGeom>
                    <a:noFill/>
                    <a:ln>
                      <a:noFill/>
                    </a:ln>
                  </pic:spPr>
                </pic:pic>
              </a:graphicData>
            </a:graphic>
          </wp:inline>
        </w:drawing>
      </w:r>
      <w:r w:rsidRPr="00171C45">
        <w:rPr>
          <w:rFonts w:ascii="Arial" w:hAnsi="Arial" w:cs="Arial"/>
          <w:color w:val="000000"/>
          <w:sz w:val="16"/>
          <w:szCs w:val="16"/>
        </w:rPr>
        <w:t xml:space="preserve"> Prepared on Australian Accounting Standards basis.</w:t>
      </w:r>
    </w:p>
    <w:p w14:paraId="5ED122F9" w14:textId="77777777" w:rsidR="00446C60" w:rsidRPr="00B7521F" w:rsidRDefault="00446C60" w:rsidP="00446C60">
      <w:pPr>
        <w:pStyle w:val="TableGraphic"/>
        <w:rPr>
          <w:rFonts w:ascii="Arial" w:hAnsi="Arial" w:cs="Arial"/>
          <w:sz w:val="16"/>
          <w:szCs w:val="16"/>
        </w:rPr>
      </w:pPr>
    </w:p>
    <w:p w14:paraId="1837947C" w14:textId="77777777" w:rsidR="00446C60" w:rsidRDefault="00171C45" w:rsidP="00171C45">
      <w:pPr>
        <w:pStyle w:val="TableHeadingcontinued"/>
      </w:pPr>
      <w:r>
        <w:t xml:space="preserve"> </w:t>
      </w:r>
      <w:r w:rsidR="00446C60">
        <w:t xml:space="preserve">Table 3.9: </w:t>
      </w:r>
      <w:r w:rsidR="00446C60" w:rsidRPr="00C41D55">
        <w:t xml:space="preserve">Schedule of </w:t>
      </w:r>
      <w:r w:rsidR="00446C60">
        <w:t xml:space="preserve">budgeted administered cash flows </w:t>
      </w:r>
      <w:r w:rsidR="00446C60" w:rsidRPr="00C41D55">
        <w:t>(for</w:t>
      </w:r>
      <w:r w:rsidR="00446C60">
        <w:t> the </w:t>
      </w:r>
      <w:r w:rsidR="00446C60" w:rsidRPr="00C41D55">
        <w:t>period ended 30 June)</w:t>
      </w:r>
    </w:p>
    <w:p w14:paraId="27480D59" w14:textId="77777777" w:rsidR="00171C45" w:rsidRPr="00171C45" w:rsidRDefault="00171C45" w:rsidP="00171C45">
      <w:pPr>
        <w:spacing w:after="0" w:line="240" w:lineRule="auto"/>
        <w:rPr>
          <w:rFonts w:ascii="Arial" w:hAnsi="Arial" w:cs="Arial"/>
          <w:color w:val="000000"/>
          <w:sz w:val="16"/>
          <w:szCs w:val="16"/>
        </w:rPr>
      </w:pPr>
      <w:r w:rsidRPr="00171C45">
        <w:rPr>
          <w:noProof/>
        </w:rPr>
        <w:drawing>
          <wp:inline distT="0" distB="0" distL="0" distR="0" wp14:anchorId="08F499A5" wp14:editId="2AB6F4B5">
            <wp:extent cx="4895850" cy="4303908"/>
            <wp:effectExtent l="0" t="0" r="0" b="190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895850" cy="4303908"/>
                    </a:xfrm>
                    <a:prstGeom prst="rect">
                      <a:avLst/>
                    </a:prstGeom>
                    <a:noFill/>
                    <a:ln>
                      <a:noFill/>
                    </a:ln>
                  </pic:spPr>
                </pic:pic>
              </a:graphicData>
            </a:graphic>
          </wp:inline>
        </w:drawing>
      </w:r>
      <w:r w:rsidRPr="00171C45">
        <w:rPr>
          <w:rFonts w:ascii="Arial" w:hAnsi="Arial" w:cs="Arial"/>
          <w:color w:val="000000"/>
          <w:sz w:val="16"/>
          <w:szCs w:val="16"/>
        </w:rPr>
        <w:t xml:space="preserve"> Prepared on Australian Accounting Standards basis.</w:t>
      </w:r>
    </w:p>
    <w:p w14:paraId="1234E0EF" w14:textId="77777777" w:rsidR="00446C60" w:rsidRPr="00033179" w:rsidRDefault="00446C60" w:rsidP="00446C60">
      <w:pPr>
        <w:pStyle w:val="TableGraphic"/>
        <w:rPr>
          <w:lang w:val="x-none" w:eastAsia="x-none"/>
        </w:rPr>
      </w:pPr>
    </w:p>
    <w:p w14:paraId="11A5DCE3" w14:textId="77777777" w:rsidR="00446C60" w:rsidRDefault="00446C60" w:rsidP="00446C60">
      <w:pPr>
        <w:pStyle w:val="TableHeading"/>
      </w:pPr>
      <w:r>
        <w:br w:type="page"/>
      </w:r>
      <w:r w:rsidRPr="00D30CBA">
        <w:t>Table</w:t>
      </w:r>
      <w:r>
        <w:t xml:space="preserve"> 3.10</w:t>
      </w:r>
      <w:r w:rsidRPr="00D30CBA">
        <w:t xml:space="preserve">: </w:t>
      </w:r>
      <w:r>
        <w:rPr>
          <w:lang w:val="en-AU"/>
        </w:rPr>
        <w:t xml:space="preserve">Schedule of </w:t>
      </w:r>
      <w:r>
        <w:t>administered capital budget statement (for the period ended 30 June)</w:t>
      </w:r>
    </w:p>
    <w:p w14:paraId="23179C73" w14:textId="77777777" w:rsidR="00171C45" w:rsidRPr="00171C45" w:rsidRDefault="00171C45" w:rsidP="00171C45">
      <w:pPr>
        <w:spacing w:after="0" w:line="240" w:lineRule="auto"/>
        <w:rPr>
          <w:rFonts w:ascii="Arial" w:hAnsi="Arial" w:cs="Arial"/>
          <w:color w:val="000000"/>
          <w:sz w:val="16"/>
          <w:szCs w:val="16"/>
        </w:rPr>
      </w:pPr>
      <w:r w:rsidRPr="00171C45">
        <w:rPr>
          <w:noProof/>
        </w:rPr>
        <w:drawing>
          <wp:inline distT="0" distB="0" distL="0" distR="0" wp14:anchorId="47D68C36" wp14:editId="0CCDBFE6">
            <wp:extent cx="4895850" cy="2774726"/>
            <wp:effectExtent l="0" t="0" r="0" b="698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895850" cy="2774726"/>
                    </a:xfrm>
                    <a:prstGeom prst="rect">
                      <a:avLst/>
                    </a:prstGeom>
                    <a:noFill/>
                    <a:ln>
                      <a:noFill/>
                    </a:ln>
                  </pic:spPr>
                </pic:pic>
              </a:graphicData>
            </a:graphic>
          </wp:inline>
        </w:drawing>
      </w:r>
      <w:r w:rsidRPr="00171C45">
        <w:rPr>
          <w:rFonts w:ascii="Arial" w:hAnsi="Arial" w:cs="Arial"/>
          <w:color w:val="000000"/>
          <w:sz w:val="16"/>
          <w:szCs w:val="16"/>
        </w:rPr>
        <w:t xml:space="preserve"> Prepared on Australian Accounting Standards basis.</w:t>
      </w:r>
    </w:p>
    <w:p w14:paraId="5BD9B327" w14:textId="77777777" w:rsidR="00171C45" w:rsidRPr="00171C45" w:rsidRDefault="00171C45" w:rsidP="008A2254">
      <w:pPr>
        <w:pStyle w:val="ListParagraph"/>
        <w:numPr>
          <w:ilvl w:val="1"/>
          <w:numId w:val="36"/>
        </w:numPr>
        <w:spacing w:after="0" w:line="240" w:lineRule="auto"/>
        <w:rPr>
          <w:rFonts w:ascii="Arial" w:hAnsi="Arial" w:cs="Arial"/>
          <w:sz w:val="16"/>
          <w:szCs w:val="16"/>
        </w:rPr>
      </w:pPr>
      <w:r w:rsidRPr="00171C45">
        <w:rPr>
          <w:rFonts w:ascii="Arial" w:hAnsi="Arial" w:cs="Arial"/>
          <w:sz w:val="16"/>
          <w:szCs w:val="16"/>
        </w:rPr>
        <w:t>Includes purchases from current and previous years' Administered Capital Budgets (ACBs).</w:t>
      </w:r>
    </w:p>
    <w:p w14:paraId="49BAD508" w14:textId="77777777" w:rsidR="00446C60" w:rsidRPr="00E3217B" w:rsidRDefault="00446C60" w:rsidP="00E3217B">
      <w:pPr>
        <w:pStyle w:val="TableGraphic"/>
        <w:rPr>
          <w:lang w:val="x-none" w:eastAsia="x-none"/>
        </w:rPr>
        <w:sectPr w:rsidR="00446C60" w:rsidRPr="00E3217B" w:rsidSect="007D6962">
          <w:headerReference w:type="even" r:id="rId414"/>
          <w:headerReference w:type="default" r:id="rId415"/>
          <w:footerReference w:type="even" r:id="rId416"/>
          <w:footerReference w:type="first" r:id="rId417"/>
          <w:pgSz w:w="11906" w:h="16838" w:code="9"/>
          <w:pgMar w:top="2835" w:right="2098" w:bottom="2466" w:left="2098" w:header="1814" w:footer="1814" w:gutter="0"/>
          <w:cols w:space="708"/>
          <w:titlePg/>
          <w:docGrid w:linePitch="360"/>
        </w:sectPr>
      </w:pPr>
    </w:p>
    <w:p w14:paraId="1F8B6308" w14:textId="77777777" w:rsidR="00446C60" w:rsidRPr="00C17B32" w:rsidRDefault="00446C60" w:rsidP="00446C60">
      <w:pPr>
        <w:pStyle w:val="TableHeading"/>
        <w:keepNext w:val="0"/>
        <w:spacing w:after="0" w:line="260" w:lineRule="exact"/>
        <w:jc w:val="both"/>
        <w:rPr>
          <w:lang w:val="en-AU"/>
        </w:rPr>
      </w:pPr>
      <w:r>
        <w:t xml:space="preserve">Table 3.11: Statement of administered asset movements (Budget year </w:t>
      </w:r>
      <w:r>
        <w:rPr>
          <w:lang w:val="en-AU"/>
        </w:rPr>
        <w:t>2022-23</w:t>
      </w:r>
      <w:r>
        <w:t>)</w:t>
      </w:r>
    </w:p>
    <w:p w14:paraId="4162FC8D" w14:textId="77777777" w:rsidR="00171C45" w:rsidRPr="00171C45" w:rsidRDefault="00171C45" w:rsidP="00171C45">
      <w:pPr>
        <w:spacing w:after="0" w:line="240" w:lineRule="auto"/>
        <w:jc w:val="left"/>
        <w:rPr>
          <w:rFonts w:ascii="Arial" w:hAnsi="Arial" w:cs="Arial"/>
          <w:color w:val="000000"/>
          <w:sz w:val="16"/>
          <w:szCs w:val="16"/>
        </w:rPr>
      </w:pPr>
      <w:r w:rsidRPr="00171C45">
        <w:rPr>
          <w:noProof/>
        </w:rPr>
        <w:drawing>
          <wp:inline distT="0" distB="0" distL="0" distR="0" wp14:anchorId="4C478A95" wp14:editId="6F9C6086">
            <wp:extent cx="4730750" cy="328295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730750" cy="3282950"/>
                    </a:xfrm>
                    <a:prstGeom prst="rect">
                      <a:avLst/>
                    </a:prstGeom>
                    <a:noFill/>
                    <a:ln>
                      <a:noFill/>
                    </a:ln>
                  </pic:spPr>
                </pic:pic>
              </a:graphicData>
            </a:graphic>
          </wp:inline>
        </w:drawing>
      </w:r>
      <w:r w:rsidRPr="00171C45">
        <w:rPr>
          <w:rFonts w:ascii="Arial" w:hAnsi="Arial" w:cs="Arial"/>
          <w:color w:val="000000"/>
          <w:sz w:val="16"/>
          <w:szCs w:val="16"/>
        </w:rPr>
        <w:t xml:space="preserve"> Prepared on Australian Accounting Standards basis.</w:t>
      </w:r>
    </w:p>
    <w:p w14:paraId="0D7F947A" w14:textId="77777777" w:rsidR="00171C45" w:rsidRPr="00171C45" w:rsidRDefault="00171C45" w:rsidP="00392A48">
      <w:pPr>
        <w:pStyle w:val="ListParagraph"/>
        <w:numPr>
          <w:ilvl w:val="0"/>
          <w:numId w:val="136"/>
        </w:numPr>
        <w:spacing w:after="0" w:line="240" w:lineRule="auto"/>
        <w:rPr>
          <w:rFonts w:ascii="Arial" w:hAnsi="Arial" w:cs="Arial"/>
          <w:sz w:val="16"/>
          <w:szCs w:val="16"/>
        </w:rPr>
      </w:pPr>
      <w:r w:rsidRPr="00171C45">
        <w:rPr>
          <w:rFonts w:ascii="Arial" w:hAnsi="Arial" w:cs="Arial"/>
          <w:sz w:val="16"/>
          <w:szCs w:val="16"/>
        </w:rPr>
        <w:t xml:space="preserve">'Appropriation ordinary annual services' refers to funding provided through Appropriation Bill (No.1) 2022-23 for depreciation/amortisation expenses, Administered Capital Budget or other operational expenses. </w:t>
      </w:r>
    </w:p>
    <w:p w14:paraId="726FCB55" w14:textId="77777777" w:rsidR="00446C60" w:rsidRDefault="00446C60" w:rsidP="00446C60">
      <w:pPr>
        <w:pStyle w:val="Heading7"/>
      </w:pPr>
    </w:p>
    <w:p w14:paraId="45D872DD" w14:textId="77777777" w:rsidR="002456F1" w:rsidRDefault="00446C60" w:rsidP="00446C60">
      <w:pPr>
        <w:sectPr w:rsidR="002456F1" w:rsidSect="008844B5">
          <w:headerReference w:type="even" r:id="rId419"/>
          <w:type w:val="oddPage"/>
          <w:pgSz w:w="11906" w:h="16838" w:code="9"/>
          <w:pgMar w:top="2835" w:right="2098" w:bottom="2466" w:left="2098" w:header="1814" w:footer="1814" w:gutter="0"/>
          <w:cols w:space="708"/>
          <w:titlePg/>
          <w:docGrid w:linePitch="360"/>
        </w:sectPr>
      </w:pPr>
      <w:r w:rsidRPr="00C17B32">
        <w:br w:type="page"/>
      </w:r>
    </w:p>
    <w:p w14:paraId="1BBB7336" w14:textId="77777777" w:rsidR="002456F1" w:rsidRDefault="002456F1" w:rsidP="00446C60"/>
    <w:p w14:paraId="013F99D1" w14:textId="77777777" w:rsidR="002456F1" w:rsidRDefault="002456F1">
      <w:pPr>
        <w:spacing w:after="0" w:line="240" w:lineRule="auto"/>
        <w:jc w:val="left"/>
      </w:pPr>
      <w:r>
        <w:br w:type="page"/>
      </w:r>
    </w:p>
    <w:p w14:paraId="7FFC8711" w14:textId="77777777" w:rsidR="00446C60" w:rsidRPr="000C3B86" w:rsidRDefault="00446C60" w:rsidP="00446C60"/>
    <w:p w14:paraId="15D69476" w14:textId="77777777" w:rsidR="00742EE3" w:rsidRPr="005A7C0B" w:rsidRDefault="00742EE3" w:rsidP="00742EE3">
      <w:pPr>
        <w:pStyle w:val="PartHeading"/>
      </w:pPr>
      <w:r>
        <w:t>Old Parliament House</w:t>
      </w:r>
    </w:p>
    <w:p w14:paraId="640A267E" w14:textId="77777777" w:rsidR="00742EE3" w:rsidRDefault="00742EE3" w:rsidP="00742EE3">
      <w:pPr>
        <w:pStyle w:val="PartHeading"/>
      </w:pPr>
    </w:p>
    <w:p w14:paraId="74738F61" w14:textId="77777777" w:rsidR="00742EE3" w:rsidRDefault="00742EE3" w:rsidP="00742EE3">
      <w:pPr>
        <w:pStyle w:val="PartHeading"/>
      </w:pPr>
    </w:p>
    <w:p w14:paraId="105073C1" w14:textId="77777777" w:rsidR="00742EE3" w:rsidRDefault="00742EE3" w:rsidP="00742EE3">
      <w:pPr>
        <w:pStyle w:val="PartHeading-TOC"/>
      </w:pPr>
      <w:bookmarkStart w:id="933" w:name="_Toc98496287"/>
      <w:bookmarkStart w:id="934" w:name="_Toc98765328"/>
      <w:bookmarkStart w:id="935" w:name="_Toc99011813"/>
      <w:bookmarkStart w:id="936" w:name="_Toc99201062"/>
      <w:r>
        <w:t>Entity resources and planned performance</w:t>
      </w:r>
      <w:bookmarkEnd w:id="933"/>
      <w:bookmarkEnd w:id="934"/>
      <w:bookmarkEnd w:id="935"/>
      <w:bookmarkEnd w:id="936"/>
    </w:p>
    <w:p w14:paraId="79755BCC" w14:textId="77777777" w:rsidR="002456F1" w:rsidRDefault="002456F1" w:rsidP="00742EE3">
      <w:pPr>
        <w:pStyle w:val="PartHeading"/>
      </w:pPr>
    </w:p>
    <w:p w14:paraId="264F9327" w14:textId="77777777" w:rsidR="002456F1" w:rsidRDefault="002456F1">
      <w:pPr>
        <w:spacing w:after="0" w:line="240" w:lineRule="auto"/>
        <w:jc w:val="left"/>
        <w:rPr>
          <w:rFonts w:ascii="Arial Bold" w:hAnsi="Arial Bold" w:cs="Arial"/>
          <w:b/>
          <w:bCs/>
          <w:kern w:val="28"/>
          <w:sz w:val="52"/>
          <w:szCs w:val="32"/>
        </w:rPr>
      </w:pPr>
      <w:r>
        <w:br w:type="page"/>
      </w:r>
    </w:p>
    <w:p w14:paraId="55CD0453" w14:textId="77777777" w:rsidR="002456F1" w:rsidRDefault="002456F1" w:rsidP="00742EE3">
      <w:pPr>
        <w:pStyle w:val="PartHeading"/>
      </w:pPr>
    </w:p>
    <w:p w14:paraId="352BD718" w14:textId="77777777" w:rsidR="002456F1" w:rsidRDefault="002456F1">
      <w:pPr>
        <w:spacing w:after="0" w:line="240" w:lineRule="auto"/>
        <w:jc w:val="left"/>
        <w:rPr>
          <w:rFonts w:ascii="Arial Bold" w:hAnsi="Arial Bold" w:cs="Arial"/>
          <w:b/>
          <w:bCs/>
          <w:kern w:val="28"/>
          <w:sz w:val="52"/>
          <w:szCs w:val="32"/>
        </w:rPr>
      </w:pPr>
      <w:r>
        <w:br w:type="page"/>
      </w:r>
    </w:p>
    <w:p w14:paraId="6DE77F9E" w14:textId="77777777" w:rsidR="00742EE3" w:rsidRDefault="00742EE3" w:rsidP="00742EE3">
      <w:pPr>
        <w:pStyle w:val="PartHeading"/>
        <w:sectPr w:rsidR="00742EE3" w:rsidSect="002456F1">
          <w:headerReference w:type="default" r:id="rId420"/>
          <w:footerReference w:type="even" r:id="rId421"/>
          <w:footerReference w:type="default" r:id="rId422"/>
          <w:headerReference w:type="first" r:id="rId423"/>
          <w:footerReference w:type="first" r:id="rId424"/>
          <w:pgSz w:w="11906" w:h="16838" w:code="9"/>
          <w:pgMar w:top="2835" w:right="2098" w:bottom="2466" w:left="2098" w:header="1814" w:footer="1814" w:gutter="0"/>
          <w:cols w:space="708"/>
          <w:vAlign w:val="center"/>
          <w:titlePg/>
          <w:docGrid w:linePitch="360"/>
        </w:sectPr>
      </w:pPr>
    </w:p>
    <w:p w14:paraId="6517D0AC" w14:textId="77777777" w:rsidR="00742EE3" w:rsidRPr="002A32FD" w:rsidRDefault="00742EE3" w:rsidP="00742EE3">
      <w:pPr>
        <w:pStyle w:val="ContentsHeading"/>
      </w:pPr>
      <w:r>
        <w:t>Old Parliament House</w:t>
      </w:r>
    </w:p>
    <w:p w14:paraId="5DAD557D" w14:textId="77777777" w:rsidR="00AC2929" w:rsidRDefault="00AC2929" w:rsidP="00AC2929">
      <w:pPr>
        <w:pStyle w:val="TOC1"/>
        <w:rPr>
          <w:rFonts w:asciiTheme="minorHAnsi" w:eastAsiaTheme="minorEastAsia" w:hAnsiTheme="minorHAnsi" w:cstheme="minorBidi"/>
          <w:b w:val="0"/>
          <w:caps w:val="0"/>
          <w:noProof/>
          <w:sz w:val="22"/>
          <w:szCs w:val="22"/>
        </w:rPr>
      </w:pPr>
      <w:r w:rsidRPr="00AC2929">
        <w:rPr>
          <w:rStyle w:val="Hyperlink"/>
          <w:noProof/>
        </w:rPr>
        <w:t>Section 1: Entity overview and resources</w:t>
      </w:r>
      <w:r>
        <w:rPr>
          <w:noProof/>
          <w:webHidden/>
        </w:rPr>
        <w:tab/>
        <w:t>327</w:t>
      </w:r>
    </w:p>
    <w:p w14:paraId="5DB571AD"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1.1</w:t>
      </w:r>
      <w:r>
        <w:rPr>
          <w:rFonts w:asciiTheme="minorHAnsi" w:eastAsiaTheme="minorEastAsia" w:hAnsiTheme="minorHAnsi" w:cstheme="minorBidi"/>
          <w:noProof/>
          <w:sz w:val="22"/>
          <w:szCs w:val="22"/>
        </w:rPr>
        <w:tab/>
      </w:r>
      <w:r w:rsidRPr="00AC2929">
        <w:rPr>
          <w:rStyle w:val="Hyperlink"/>
          <w:noProof/>
        </w:rPr>
        <w:t>Strategic direction statement</w:t>
      </w:r>
      <w:r>
        <w:rPr>
          <w:noProof/>
          <w:webHidden/>
        </w:rPr>
        <w:tab/>
        <w:t>327</w:t>
      </w:r>
    </w:p>
    <w:p w14:paraId="14D6EED0"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1.2</w:t>
      </w:r>
      <w:r>
        <w:rPr>
          <w:rFonts w:asciiTheme="minorHAnsi" w:eastAsiaTheme="minorEastAsia" w:hAnsiTheme="minorHAnsi" w:cstheme="minorBidi"/>
          <w:noProof/>
          <w:sz w:val="22"/>
          <w:szCs w:val="22"/>
        </w:rPr>
        <w:tab/>
      </w:r>
      <w:r w:rsidRPr="00AC2929">
        <w:rPr>
          <w:rStyle w:val="Hyperlink"/>
          <w:noProof/>
        </w:rPr>
        <w:t>Entity resource statement</w:t>
      </w:r>
      <w:r>
        <w:rPr>
          <w:noProof/>
          <w:webHidden/>
        </w:rPr>
        <w:tab/>
        <w:t>328</w:t>
      </w:r>
    </w:p>
    <w:p w14:paraId="149469CC"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1.3</w:t>
      </w:r>
      <w:r>
        <w:rPr>
          <w:rFonts w:asciiTheme="minorHAnsi" w:eastAsiaTheme="minorEastAsia" w:hAnsiTheme="minorHAnsi" w:cstheme="minorBidi"/>
          <w:noProof/>
          <w:sz w:val="22"/>
          <w:szCs w:val="22"/>
        </w:rPr>
        <w:tab/>
      </w:r>
      <w:r w:rsidRPr="00AC2929">
        <w:rPr>
          <w:rStyle w:val="Hyperlink"/>
          <w:noProof/>
        </w:rPr>
        <w:t>Budget measures</w:t>
      </w:r>
      <w:r>
        <w:rPr>
          <w:noProof/>
          <w:webHidden/>
        </w:rPr>
        <w:tab/>
        <w:t>330</w:t>
      </w:r>
    </w:p>
    <w:p w14:paraId="1CAB6E7C" w14:textId="77777777" w:rsidR="00AC2929" w:rsidRDefault="00AC2929" w:rsidP="00AC2929">
      <w:pPr>
        <w:pStyle w:val="TOC1"/>
        <w:rPr>
          <w:rFonts w:asciiTheme="minorHAnsi" w:eastAsiaTheme="minorEastAsia" w:hAnsiTheme="minorHAnsi" w:cstheme="minorBidi"/>
          <w:b w:val="0"/>
          <w:caps w:val="0"/>
          <w:noProof/>
          <w:sz w:val="22"/>
          <w:szCs w:val="22"/>
        </w:rPr>
      </w:pPr>
      <w:r w:rsidRPr="00AC2929">
        <w:rPr>
          <w:rStyle w:val="Hyperlink"/>
          <w:noProof/>
        </w:rPr>
        <w:t>Section 2: Outcomes and planned performance</w:t>
      </w:r>
      <w:r>
        <w:rPr>
          <w:noProof/>
          <w:webHidden/>
        </w:rPr>
        <w:tab/>
        <w:t>331</w:t>
      </w:r>
    </w:p>
    <w:p w14:paraId="77BA4770"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 xml:space="preserve">2.1 </w:t>
      </w:r>
      <w:r>
        <w:rPr>
          <w:rFonts w:asciiTheme="minorHAnsi" w:eastAsiaTheme="minorEastAsia" w:hAnsiTheme="minorHAnsi" w:cstheme="minorBidi"/>
          <w:noProof/>
          <w:sz w:val="22"/>
          <w:szCs w:val="22"/>
        </w:rPr>
        <w:tab/>
      </w:r>
      <w:r w:rsidRPr="00AC2929">
        <w:rPr>
          <w:rStyle w:val="Hyperlink"/>
          <w:noProof/>
        </w:rPr>
        <w:t>Budgeted expenses and performance for Outcome 1</w:t>
      </w:r>
      <w:r>
        <w:rPr>
          <w:noProof/>
          <w:webHidden/>
        </w:rPr>
        <w:tab/>
        <w:t>332</w:t>
      </w:r>
    </w:p>
    <w:p w14:paraId="40537CF6" w14:textId="77777777" w:rsidR="00AC2929" w:rsidRDefault="00AC2929" w:rsidP="00AC2929">
      <w:pPr>
        <w:pStyle w:val="TOC1"/>
        <w:rPr>
          <w:rFonts w:asciiTheme="minorHAnsi" w:eastAsiaTheme="minorEastAsia" w:hAnsiTheme="minorHAnsi" w:cstheme="minorBidi"/>
          <w:b w:val="0"/>
          <w:caps w:val="0"/>
          <w:noProof/>
          <w:sz w:val="22"/>
          <w:szCs w:val="22"/>
        </w:rPr>
      </w:pPr>
      <w:r w:rsidRPr="00AC2929">
        <w:rPr>
          <w:rStyle w:val="Hyperlink"/>
          <w:noProof/>
        </w:rPr>
        <w:t>Section 3: Budgeted financial statements</w:t>
      </w:r>
      <w:r>
        <w:rPr>
          <w:noProof/>
          <w:webHidden/>
        </w:rPr>
        <w:tab/>
        <w:t>337</w:t>
      </w:r>
    </w:p>
    <w:p w14:paraId="5DEDCB26" w14:textId="77777777" w:rsidR="00AC2929" w:rsidRDefault="00AC2929" w:rsidP="00AC2929">
      <w:pPr>
        <w:pStyle w:val="TOC2"/>
        <w:tabs>
          <w:tab w:val="left" w:pos="800"/>
        </w:tabs>
        <w:rPr>
          <w:rFonts w:asciiTheme="minorHAnsi" w:eastAsiaTheme="minorEastAsia" w:hAnsiTheme="minorHAnsi" w:cstheme="minorBidi"/>
          <w:noProof/>
          <w:sz w:val="22"/>
          <w:szCs w:val="22"/>
        </w:rPr>
      </w:pPr>
      <w:r w:rsidRPr="00AC2929">
        <w:rPr>
          <w:rStyle w:val="Hyperlink"/>
          <w:noProof/>
        </w:rPr>
        <w:t>3.1</w:t>
      </w:r>
      <w:r>
        <w:rPr>
          <w:rFonts w:asciiTheme="minorHAnsi" w:eastAsiaTheme="minorEastAsia" w:hAnsiTheme="minorHAnsi" w:cstheme="minorBidi"/>
          <w:noProof/>
          <w:sz w:val="22"/>
          <w:szCs w:val="22"/>
        </w:rPr>
        <w:tab/>
      </w:r>
      <w:r w:rsidRPr="00AC2929">
        <w:rPr>
          <w:rStyle w:val="Hyperlink"/>
          <w:noProof/>
        </w:rPr>
        <w:t>Budgeted financial statements</w:t>
      </w:r>
      <w:r>
        <w:rPr>
          <w:noProof/>
          <w:webHidden/>
        </w:rPr>
        <w:tab/>
        <w:t>337</w:t>
      </w:r>
    </w:p>
    <w:p w14:paraId="06974C39" w14:textId="77777777" w:rsidR="00521CBE" w:rsidRDefault="00521CBE" w:rsidP="00521CBE">
      <w:pPr>
        <w:pStyle w:val="TOC1"/>
        <w:sectPr w:rsidR="00521CBE" w:rsidSect="00521CBE">
          <w:headerReference w:type="even" r:id="rId425"/>
          <w:footerReference w:type="even" r:id="rId426"/>
          <w:type w:val="continuous"/>
          <w:pgSz w:w="11906" w:h="16838" w:code="9"/>
          <w:pgMar w:top="2835" w:right="2098" w:bottom="2466" w:left="2098" w:header="1814" w:footer="1814" w:gutter="0"/>
          <w:cols w:space="708"/>
          <w:titlePg/>
          <w:docGrid w:linePitch="360"/>
        </w:sectPr>
      </w:pPr>
    </w:p>
    <w:p w14:paraId="7553CAE5" w14:textId="77777777" w:rsidR="00521CBE" w:rsidRDefault="00521CBE" w:rsidP="00521CBE">
      <w:pPr>
        <w:pStyle w:val="TOC1"/>
        <w:sectPr w:rsidR="00521CBE" w:rsidSect="00521CBE">
          <w:pgSz w:w="11906" w:h="16838" w:code="9"/>
          <w:pgMar w:top="2835" w:right="2098" w:bottom="2466" w:left="2098" w:header="1814" w:footer="1814" w:gutter="0"/>
          <w:cols w:space="708"/>
          <w:titlePg/>
          <w:docGrid w:linePitch="360"/>
        </w:sectPr>
      </w:pPr>
    </w:p>
    <w:p w14:paraId="2A9BA921" w14:textId="77777777" w:rsidR="00521CBE" w:rsidRDefault="00521CBE" w:rsidP="00521CBE">
      <w:pPr>
        <w:pStyle w:val="TOC1"/>
      </w:pPr>
    </w:p>
    <w:p w14:paraId="30B42D3B" w14:textId="77777777" w:rsidR="00742EE3" w:rsidRDefault="00742EE3" w:rsidP="00742EE3">
      <w:pPr>
        <w:pStyle w:val="Heading1"/>
      </w:pPr>
      <w:bookmarkStart w:id="937" w:name="_Toc99201063"/>
      <w:r>
        <w:t>Old Parliament House</w:t>
      </w:r>
      <w:bookmarkEnd w:id="937"/>
      <w:r>
        <w:t xml:space="preserve"> </w:t>
      </w:r>
    </w:p>
    <w:p w14:paraId="0B380CE6" w14:textId="77777777" w:rsidR="00742EE3" w:rsidRPr="002C4D41" w:rsidRDefault="00742EE3" w:rsidP="00742EE3">
      <w:pPr>
        <w:pStyle w:val="Heading2"/>
      </w:pPr>
      <w:bookmarkStart w:id="938" w:name="_Toc98766455"/>
      <w:bookmarkStart w:id="939" w:name="_Toc98856190"/>
      <w:bookmarkStart w:id="940" w:name="_Toc98932942"/>
      <w:bookmarkStart w:id="941" w:name="_Toc99008198"/>
      <w:bookmarkStart w:id="942" w:name="_Toc99009560"/>
      <w:bookmarkStart w:id="943" w:name="_Toc99010788"/>
      <w:bookmarkStart w:id="944" w:name="_Toc99014023"/>
      <w:bookmarkStart w:id="945" w:name="_Toc99187598"/>
      <w:bookmarkStart w:id="946" w:name="_Toc99269720"/>
      <w:r w:rsidRPr="002C4D41">
        <w:t xml:space="preserve">Section 1: Entity overview and </w:t>
      </w:r>
      <w:r>
        <w:t>reso</w:t>
      </w:r>
      <w:r w:rsidRPr="002C4D41">
        <w:t>urces</w:t>
      </w:r>
      <w:bookmarkEnd w:id="938"/>
      <w:bookmarkEnd w:id="939"/>
      <w:bookmarkEnd w:id="940"/>
      <w:bookmarkEnd w:id="941"/>
      <w:bookmarkEnd w:id="942"/>
      <w:bookmarkEnd w:id="943"/>
      <w:bookmarkEnd w:id="944"/>
      <w:bookmarkEnd w:id="945"/>
      <w:bookmarkEnd w:id="946"/>
    </w:p>
    <w:p w14:paraId="00538C94" w14:textId="77777777" w:rsidR="00742EE3" w:rsidRDefault="00742EE3" w:rsidP="00742EE3">
      <w:pPr>
        <w:pStyle w:val="Heading3"/>
      </w:pPr>
      <w:bookmarkStart w:id="947" w:name="_Toc98766456"/>
      <w:bookmarkStart w:id="948" w:name="_Toc98856191"/>
      <w:bookmarkStart w:id="949" w:name="_Toc98932943"/>
      <w:bookmarkStart w:id="950" w:name="_Toc99008199"/>
      <w:bookmarkStart w:id="951" w:name="_Toc99009561"/>
      <w:bookmarkStart w:id="952" w:name="_Toc99010789"/>
      <w:bookmarkStart w:id="953" w:name="_Toc99014024"/>
      <w:bookmarkStart w:id="954" w:name="_Toc99187599"/>
      <w:bookmarkStart w:id="955" w:name="_Toc99269721"/>
      <w:r>
        <w:t>1.1</w:t>
      </w:r>
      <w:r>
        <w:tab/>
        <w:t>Strategic direction statement</w:t>
      </w:r>
      <w:bookmarkEnd w:id="947"/>
      <w:bookmarkEnd w:id="948"/>
      <w:bookmarkEnd w:id="949"/>
      <w:bookmarkEnd w:id="950"/>
      <w:bookmarkEnd w:id="951"/>
      <w:bookmarkEnd w:id="952"/>
      <w:bookmarkEnd w:id="953"/>
      <w:bookmarkEnd w:id="954"/>
      <w:bookmarkEnd w:id="955"/>
    </w:p>
    <w:p w14:paraId="2044C603" w14:textId="77777777" w:rsidR="00742EE3" w:rsidRPr="00A85385" w:rsidRDefault="00742EE3" w:rsidP="00742EE3">
      <w:r w:rsidRPr="00A85385">
        <w:t>The Museum of Australian Democracy</w:t>
      </w:r>
      <w:r w:rsidRPr="00A85385" w:rsidDel="0019553E">
        <w:t xml:space="preserve"> </w:t>
      </w:r>
      <w:r w:rsidR="00876329">
        <w:t xml:space="preserve">(MOAD) </w:t>
      </w:r>
      <w:r w:rsidRPr="00A85385">
        <w:t>was established in Old Parliament House</w:t>
      </w:r>
      <w:r>
        <w:t xml:space="preserve"> (OPH)</w:t>
      </w:r>
      <w:r w:rsidRPr="00A85385">
        <w:t xml:space="preserve"> in 2009 to provide an enriched understanding and appreciation of the political legacy and intrinsic value of Australian democracy. </w:t>
      </w:r>
      <w:r w:rsidR="006C5071">
        <w:t xml:space="preserve">The </w:t>
      </w:r>
      <w:r>
        <w:t>OPH</w:t>
      </w:r>
      <w:r w:rsidRPr="00A85385">
        <w:t xml:space="preserve"> provides transformative learning experiences through formal, curriculum-based programs for schools and unique informal experiences through exhibitions, youth parliaments, self-directed l</w:t>
      </w:r>
      <w:r w:rsidR="006C5071">
        <w:t>earning and online engagement to</w:t>
      </w:r>
      <w:r>
        <w:t xml:space="preserve"> </w:t>
      </w:r>
      <w:r w:rsidRPr="00A85385">
        <w:t>explore what it means to be an informed and engaged citizen.</w:t>
      </w:r>
    </w:p>
    <w:p w14:paraId="096D1612" w14:textId="77777777" w:rsidR="00742EE3" w:rsidRPr="00A85385" w:rsidRDefault="00742EE3" w:rsidP="00742EE3">
      <w:r w:rsidRPr="00A85385">
        <w:t>As the home of our Federal Parliament from 1927 to 1988 and an icon of outstanding national heritage significance</w:t>
      </w:r>
      <w:r w:rsidR="006C5071">
        <w:t>,</w:t>
      </w:r>
      <w:r w:rsidRPr="00A85385">
        <w:t xml:space="preserve"> </w:t>
      </w:r>
      <w:r>
        <w:t>OPH</w:t>
      </w:r>
      <w:r w:rsidRPr="00A85385">
        <w:t xml:space="preserve"> aim</w:t>
      </w:r>
      <w:r>
        <w:t>s</w:t>
      </w:r>
      <w:r w:rsidRPr="00A85385">
        <w:t xml:space="preserve"> to communicate the spirit of </w:t>
      </w:r>
      <w:r>
        <w:t>OPH</w:t>
      </w:r>
      <w:r w:rsidRPr="00A85385">
        <w:t xml:space="preserve"> as a significant national heritage site, while ensuring the building and heritage collections are conserved for future generations.</w:t>
      </w:r>
    </w:p>
    <w:p w14:paraId="38F45C26" w14:textId="77777777" w:rsidR="00742EE3" w:rsidRPr="00A85385" w:rsidRDefault="006C5071" w:rsidP="00742EE3">
      <w:pPr>
        <w:spacing w:after="120"/>
      </w:pPr>
      <w:r>
        <w:t>The OPH</w:t>
      </w:r>
      <w:r w:rsidR="00742EE3" w:rsidRPr="00A85385">
        <w:t xml:space="preserve"> </w:t>
      </w:r>
      <w:r w:rsidR="00742EE3" w:rsidRPr="00096DA7">
        <w:t>2018–23 Strategic Plan</w:t>
      </w:r>
      <w:r w:rsidR="00742EE3" w:rsidRPr="00A85385">
        <w:t xml:space="preserve"> outlines the vision and direction to build upon </w:t>
      </w:r>
      <w:r w:rsidR="00742EE3">
        <w:t>its</w:t>
      </w:r>
      <w:r w:rsidR="00742EE3" w:rsidRPr="00A85385">
        <w:t xml:space="preserve"> strategic priorities of bold, relevant, authentic and dynamic content and activities. The priorities which support</w:t>
      </w:r>
      <w:r w:rsidR="00742EE3">
        <w:t xml:space="preserve"> its </w:t>
      </w:r>
      <w:r w:rsidR="00742EE3" w:rsidRPr="00A85385">
        <w:t>strategic direction and align with broader government objectives are:</w:t>
      </w:r>
    </w:p>
    <w:p w14:paraId="117FECB5" w14:textId="77777777" w:rsidR="00742EE3" w:rsidRDefault="006C5071" w:rsidP="00742EE3">
      <w:pPr>
        <w:pStyle w:val="bulletlevel1"/>
      </w:pPr>
      <w:r>
        <w:t>o</w:t>
      </w:r>
      <w:r w:rsidR="00742EE3">
        <w:t>ur exhibitions, events, collections research and education programs will provoke thoughtful engagement through stories and creative interpretations of past and current events informed by authoritative research and data analysis.  We will advance nationa</w:t>
      </w:r>
      <w:r>
        <w:t>l conversations about democracy,</w:t>
      </w:r>
    </w:p>
    <w:p w14:paraId="73A8997E" w14:textId="77777777" w:rsidR="00742EE3" w:rsidRDefault="006C5071" w:rsidP="00742EE3">
      <w:pPr>
        <w:pStyle w:val="bulletlevel1"/>
      </w:pPr>
      <w:r>
        <w:t>w</w:t>
      </w:r>
      <w:r w:rsidR="00742EE3">
        <w:t xml:space="preserve">e promote active citizenship via a suite of audience experiences and targeted activities that are timely and influential, and which support inclusion and </w:t>
      </w:r>
      <w:r>
        <w:t>build civic and social cohesion,</w:t>
      </w:r>
    </w:p>
    <w:p w14:paraId="26156A64" w14:textId="77777777" w:rsidR="00742EE3" w:rsidRPr="00950302" w:rsidRDefault="006C5071" w:rsidP="00742EE3">
      <w:pPr>
        <w:pStyle w:val="bulletlevel1"/>
      </w:pPr>
      <w:r>
        <w:t>i</w:t>
      </w:r>
      <w:r w:rsidR="00742EE3">
        <w:t xml:space="preserve">n this nationally significant building, we will </w:t>
      </w:r>
      <w:r w:rsidR="00742EE3" w:rsidRPr="00950302">
        <w:t>create a vibrant and contemporary hub</w:t>
      </w:r>
      <w:r w:rsidR="00742EE3">
        <w:t xml:space="preserve"> that empowers civic and individual engagement in the democratic process.  Progress will be achieved</w:t>
      </w:r>
      <w:r w:rsidR="00742EE3" w:rsidRPr="00950302">
        <w:t xml:space="preserve"> in harmony with heritage values that recognise, preserve and </w:t>
      </w:r>
      <w:r>
        <w:t>communicate the spirit of place, and</w:t>
      </w:r>
    </w:p>
    <w:p w14:paraId="1E9F3C4C" w14:textId="77777777" w:rsidR="00742EE3" w:rsidRPr="009A2FD2" w:rsidRDefault="006C5071" w:rsidP="00742EE3">
      <w:pPr>
        <w:pStyle w:val="bulletlevel1"/>
      </w:pPr>
      <w:r>
        <w:t>o</w:t>
      </w:r>
      <w:r w:rsidR="00742EE3">
        <w:t xml:space="preserve">ur organisational culture will enable MoAD and its valued staff </w:t>
      </w:r>
      <w:r w:rsidR="00742EE3" w:rsidRPr="00950302">
        <w:t>to be nimble, collaborative and efficient</w:t>
      </w:r>
      <w:r w:rsidR="00742EE3">
        <w:t xml:space="preserve">.  Our actions and relationships will </w:t>
      </w:r>
      <w:r w:rsidR="00742EE3" w:rsidRPr="00950302">
        <w:t xml:space="preserve">ensure ongoing </w:t>
      </w:r>
      <w:r w:rsidR="00742EE3" w:rsidRPr="009A2FD2">
        <w:t>relevance and financial sustainability.</w:t>
      </w:r>
    </w:p>
    <w:p w14:paraId="5DD8EB67" w14:textId="77777777" w:rsidR="00742EE3" w:rsidRDefault="00742EE3" w:rsidP="00742EE3">
      <w:pPr>
        <w:pStyle w:val="Heading3"/>
      </w:pPr>
      <w:r w:rsidRPr="0079797F">
        <w:br w:type="page"/>
      </w:r>
      <w:bookmarkStart w:id="956" w:name="_Toc98766457"/>
      <w:bookmarkStart w:id="957" w:name="_Toc98856192"/>
      <w:bookmarkStart w:id="958" w:name="_Toc98932944"/>
      <w:bookmarkStart w:id="959" w:name="_Toc99008200"/>
      <w:bookmarkStart w:id="960" w:name="_Toc99009562"/>
      <w:bookmarkStart w:id="961" w:name="_Toc99010790"/>
      <w:bookmarkStart w:id="962" w:name="_Toc99014025"/>
      <w:bookmarkStart w:id="963" w:name="_Toc99187600"/>
      <w:bookmarkStart w:id="964" w:name="_Toc99269722"/>
      <w:r>
        <w:t>1.2</w:t>
      </w:r>
      <w:r>
        <w:tab/>
        <w:t>Entity resource statement</w:t>
      </w:r>
      <w:bookmarkEnd w:id="956"/>
      <w:bookmarkEnd w:id="957"/>
      <w:bookmarkEnd w:id="958"/>
      <w:bookmarkEnd w:id="959"/>
      <w:bookmarkEnd w:id="960"/>
      <w:bookmarkEnd w:id="961"/>
      <w:bookmarkEnd w:id="962"/>
      <w:bookmarkEnd w:id="963"/>
      <w:bookmarkEnd w:id="964"/>
    </w:p>
    <w:p w14:paraId="65CBA64F" w14:textId="77777777" w:rsidR="00742EE3" w:rsidRDefault="00742EE3" w:rsidP="00742EE3">
      <w:r>
        <w:t xml:space="preserve">Table 1.1 shows the total funding from all sources available to </w:t>
      </w:r>
      <w:r w:rsidR="006C5071">
        <w:t>OPH</w:t>
      </w:r>
      <w:r>
        <w:t xml:space="preserve"> for its operations and to deliver programs and services on behalf of the Government.</w:t>
      </w:r>
    </w:p>
    <w:p w14:paraId="50B80103" w14:textId="77777777" w:rsidR="00742EE3" w:rsidRDefault="00742EE3" w:rsidP="00742EE3">
      <w:r>
        <w:t>The table summarises how resources will be applied by outcome (government strategic policy objectives) and by administered (on behalf of the Government or the public) and departmental (for the entity’s operations) classification.</w:t>
      </w:r>
    </w:p>
    <w:p w14:paraId="3E0BA18A" w14:textId="77777777" w:rsidR="00742EE3" w:rsidRDefault="00742EE3" w:rsidP="00742EE3">
      <w:r>
        <w:t xml:space="preserve">For more detailed information on special accounts and special appropriations, please refer to </w:t>
      </w:r>
      <w:r w:rsidRPr="006C5071">
        <w:t>Budget Paper No. 4 – Agency Resourcing.</w:t>
      </w:r>
    </w:p>
    <w:p w14:paraId="5F40EF9E" w14:textId="77777777" w:rsidR="00742EE3" w:rsidRDefault="00742EE3" w:rsidP="00742EE3">
      <w:r>
        <w:t>Information in this table is presented on a resourcing (that is, appropriatio</w:t>
      </w:r>
      <w:r w:rsidR="006C5071">
        <w:t>ns/cash available) basis, while</w:t>
      </w:r>
      <w:r>
        <w:t xml:space="preserve"> the</w:t>
      </w:r>
      <w:r w:rsidR="00876329">
        <w:t xml:space="preserve"> ‘Budgeted expenses by Outcome 1</w:t>
      </w:r>
      <w:r>
        <w:t>’ tables in Section 2 and the financial statements in Section 3 are presented on an accrual basis.</w:t>
      </w:r>
    </w:p>
    <w:p w14:paraId="59355AFC" w14:textId="77777777" w:rsidR="00D1194E" w:rsidRDefault="00742EE3" w:rsidP="00D1194E">
      <w:pPr>
        <w:pStyle w:val="TableHeading"/>
      </w:pPr>
      <w:r>
        <w:br w:type="page"/>
      </w:r>
      <w:r w:rsidRPr="00D44150">
        <w:t xml:space="preserve">Table 1.1: </w:t>
      </w:r>
      <w:r>
        <w:rPr>
          <w:lang w:val="en-AU"/>
        </w:rPr>
        <w:t>OPH</w:t>
      </w:r>
      <w:r w:rsidRPr="00D44150">
        <w:t xml:space="preserve"> resource statement</w:t>
      </w:r>
      <w:r>
        <w:t xml:space="preserve"> — Budget estimates for </w:t>
      </w:r>
      <w:r>
        <w:rPr>
          <w:lang w:val="en-AU"/>
        </w:rPr>
        <w:t>2022-23</w:t>
      </w:r>
      <w:r>
        <w:t xml:space="preserve"> </w:t>
      </w:r>
      <w:r w:rsidRPr="00D44150">
        <w:t>as at Budget</w:t>
      </w:r>
      <w:r w:rsidR="00D1194E" w:rsidRPr="00D1194E">
        <w:rPr>
          <w:lang w:val="en-AU"/>
        </w:rPr>
        <w:t xml:space="preserve"> </w:t>
      </w:r>
      <w:r w:rsidR="00D1194E">
        <w:rPr>
          <w:lang w:val="en-AU"/>
        </w:rPr>
        <w:t>March</w:t>
      </w:r>
      <w:r w:rsidR="00D1194E" w:rsidRPr="00D44150">
        <w:t xml:space="preserve"> </w:t>
      </w:r>
      <w:r w:rsidR="00D1194E">
        <w:rPr>
          <w:lang w:val="en-AU"/>
        </w:rPr>
        <w:t>2022</w:t>
      </w:r>
      <w:r w:rsidRPr="00D44150">
        <w:t xml:space="preserve"> </w:t>
      </w:r>
    </w:p>
    <w:p w14:paraId="6EF06689" w14:textId="77777777" w:rsidR="006C5071" w:rsidRPr="006C5071" w:rsidRDefault="00BF575B" w:rsidP="006C5071">
      <w:pPr>
        <w:pStyle w:val="TableGraphic"/>
        <w:rPr>
          <w:lang w:val="x-none" w:eastAsia="x-none"/>
        </w:rPr>
      </w:pPr>
      <w:r w:rsidRPr="00BF575B">
        <w:rPr>
          <w:noProof/>
        </w:rPr>
        <w:drawing>
          <wp:inline distT="0" distB="0" distL="0" distR="0" wp14:anchorId="5D2FF22F" wp14:editId="136AD882">
            <wp:extent cx="4598670" cy="2336165"/>
            <wp:effectExtent l="0" t="0" r="0" b="698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598670" cy="2336165"/>
                    </a:xfrm>
                    <a:prstGeom prst="rect">
                      <a:avLst/>
                    </a:prstGeom>
                    <a:noFill/>
                    <a:ln>
                      <a:noFill/>
                    </a:ln>
                  </pic:spPr>
                </pic:pic>
              </a:graphicData>
            </a:graphic>
          </wp:inline>
        </w:drawing>
      </w:r>
    </w:p>
    <w:p w14:paraId="179A92AE" w14:textId="77777777" w:rsidR="00742EE3" w:rsidRPr="00AD125A" w:rsidRDefault="00742EE3" w:rsidP="00742EE3">
      <w:pPr>
        <w:spacing w:after="0"/>
        <w:rPr>
          <w:rFonts w:ascii="Arial" w:hAnsi="Arial" w:cs="Arial"/>
          <w:sz w:val="16"/>
        </w:rPr>
      </w:pPr>
      <w:r w:rsidRPr="00AD125A">
        <w:rPr>
          <w:rFonts w:ascii="Arial" w:hAnsi="Arial" w:cs="Arial"/>
          <w:sz w:val="16"/>
        </w:rPr>
        <w:t>All figures shown above are GST exclusive - these may not match figures in the cash flow statement.</w:t>
      </w:r>
    </w:p>
    <w:p w14:paraId="1FF9C8E5" w14:textId="77777777" w:rsidR="00275F56" w:rsidRDefault="006070AD" w:rsidP="00275F56">
      <w:pPr>
        <w:pStyle w:val="ListParagraph"/>
        <w:numPr>
          <w:ilvl w:val="0"/>
          <w:numId w:val="70"/>
        </w:numPr>
        <w:spacing w:after="0"/>
        <w:rPr>
          <w:rFonts w:ascii="Arial" w:eastAsia="Times New Roman" w:hAnsi="Arial" w:cs="Arial"/>
          <w:sz w:val="16"/>
          <w:szCs w:val="20"/>
          <w:lang w:val="en-AU" w:eastAsia="en-AU"/>
        </w:rPr>
      </w:pPr>
      <w:r>
        <w:rPr>
          <w:rFonts w:ascii="Arial" w:eastAsia="Times New Roman" w:hAnsi="Arial" w:cs="Arial"/>
          <w:sz w:val="16"/>
          <w:szCs w:val="20"/>
          <w:lang w:val="en-AU" w:eastAsia="en-AU"/>
        </w:rPr>
        <w:t xml:space="preserve">Annual appropriations </w:t>
      </w:r>
      <w:r w:rsidR="006758F4">
        <w:rPr>
          <w:rFonts w:ascii="Arial" w:eastAsia="Times New Roman" w:hAnsi="Arial" w:cs="Arial"/>
          <w:sz w:val="16"/>
          <w:szCs w:val="20"/>
          <w:lang w:val="en-AU" w:eastAsia="en-AU"/>
        </w:rPr>
        <w:t xml:space="preserve">appearing for 2021-22 estimated actuals </w:t>
      </w:r>
      <w:r>
        <w:rPr>
          <w:rFonts w:ascii="Arial" w:eastAsia="Times New Roman" w:hAnsi="Arial" w:cs="Arial"/>
          <w:sz w:val="16"/>
          <w:szCs w:val="20"/>
          <w:lang w:val="en-AU" w:eastAsia="en-AU"/>
        </w:rPr>
        <w:t xml:space="preserve">exclude amounts in </w:t>
      </w:r>
      <w:r w:rsidRPr="00AD125A">
        <w:rPr>
          <w:rFonts w:ascii="Arial" w:eastAsia="Times New Roman" w:hAnsi="Arial" w:cs="Arial"/>
          <w:sz w:val="16"/>
          <w:szCs w:val="20"/>
          <w:lang w:val="en-AU" w:eastAsia="en-AU"/>
        </w:rPr>
        <w:t xml:space="preserve">Appropriation Bill </w:t>
      </w:r>
      <w:r>
        <w:rPr>
          <w:rFonts w:ascii="Arial" w:eastAsia="Times New Roman" w:hAnsi="Arial" w:cs="Arial"/>
          <w:sz w:val="16"/>
          <w:szCs w:val="20"/>
          <w:lang w:val="en-AU" w:eastAsia="en-AU"/>
        </w:rPr>
        <w:t>(</w:t>
      </w:r>
      <w:r w:rsidRPr="00AD125A">
        <w:rPr>
          <w:rFonts w:ascii="Arial" w:eastAsia="Times New Roman" w:hAnsi="Arial" w:cs="Arial"/>
          <w:sz w:val="16"/>
          <w:szCs w:val="20"/>
          <w:lang w:val="en-AU" w:eastAsia="en-AU"/>
        </w:rPr>
        <w:t>No.</w:t>
      </w:r>
      <w:r w:rsidR="00750FD9">
        <w:rPr>
          <w:rFonts w:ascii="Arial" w:eastAsia="Times New Roman" w:hAnsi="Arial" w:cs="Arial"/>
          <w:sz w:val="16"/>
          <w:szCs w:val="20"/>
          <w:lang w:val="en-AU" w:eastAsia="en-AU"/>
        </w:rPr>
        <w:t xml:space="preserve"> 3</w:t>
      </w:r>
      <w:r>
        <w:rPr>
          <w:rFonts w:ascii="Arial" w:eastAsia="Times New Roman" w:hAnsi="Arial" w:cs="Arial"/>
          <w:sz w:val="16"/>
          <w:szCs w:val="20"/>
          <w:lang w:val="en-AU" w:eastAsia="en-AU"/>
        </w:rPr>
        <w:t>) 2021-22</w:t>
      </w:r>
      <w:r w:rsidR="00275F56">
        <w:rPr>
          <w:rFonts w:ascii="Arial" w:eastAsia="Times New Roman" w:hAnsi="Arial" w:cs="Arial"/>
          <w:sz w:val="16"/>
          <w:szCs w:val="20"/>
          <w:lang w:val="en-AU" w:eastAsia="en-AU"/>
        </w:rPr>
        <w:t>,</w:t>
      </w:r>
      <w:r w:rsidR="00391F7D">
        <w:rPr>
          <w:rFonts w:ascii="Arial" w:eastAsia="Times New Roman" w:hAnsi="Arial" w:cs="Arial"/>
          <w:sz w:val="16"/>
          <w:szCs w:val="20"/>
          <w:lang w:val="en-AU" w:eastAsia="en-AU"/>
        </w:rPr>
        <w:t xml:space="preserve"> which is yet to receive Royal Assent</w:t>
      </w:r>
      <w:r w:rsidR="00275F56" w:rsidRPr="00275F56">
        <w:rPr>
          <w:rFonts w:ascii="Arial" w:eastAsia="Times New Roman" w:hAnsi="Arial" w:cs="Arial"/>
          <w:sz w:val="16"/>
          <w:szCs w:val="20"/>
          <w:lang w:val="en-AU" w:eastAsia="en-AU"/>
        </w:rPr>
        <w:t xml:space="preserve"> </w:t>
      </w:r>
    </w:p>
    <w:p w14:paraId="4C9CCF0F" w14:textId="77777777" w:rsidR="006070AD" w:rsidRPr="00275F56" w:rsidRDefault="00275F56" w:rsidP="00275F56">
      <w:pPr>
        <w:pStyle w:val="ListParagraph"/>
        <w:numPr>
          <w:ilvl w:val="0"/>
          <w:numId w:val="70"/>
        </w:numPr>
        <w:spacing w:after="0"/>
        <w:rPr>
          <w:rFonts w:ascii="Arial" w:eastAsia="Times New Roman" w:hAnsi="Arial" w:cs="Arial"/>
          <w:sz w:val="16"/>
          <w:szCs w:val="20"/>
          <w:lang w:val="en-AU" w:eastAsia="en-AU"/>
        </w:rPr>
      </w:pPr>
      <w:r w:rsidRPr="00AD125A">
        <w:rPr>
          <w:rFonts w:ascii="Arial" w:eastAsia="Times New Roman" w:hAnsi="Arial" w:cs="Arial"/>
          <w:sz w:val="16"/>
          <w:szCs w:val="20"/>
          <w:lang w:val="en-AU" w:eastAsia="en-AU"/>
        </w:rPr>
        <w:t>Appropriation Bill (No. 1) 2022-23.</w:t>
      </w:r>
    </w:p>
    <w:p w14:paraId="36C0526F" w14:textId="77777777" w:rsidR="00DD223D" w:rsidRPr="006070AD" w:rsidRDefault="00DD223D">
      <w:pPr>
        <w:spacing w:after="0" w:line="240" w:lineRule="auto"/>
        <w:jc w:val="left"/>
        <w:rPr>
          <w:rFonts w:ascii="Arial" w:hAnsi="Arial"/>
          <w:b/>
          <w:color w:val="000000"/>
          <w:lang w:eastAsia="x-none"/>
        </w:rPr>
      </w:pPr>
      <w:r>
        <w:br w:type="page"/>
      </w:r>
    </w:p>
    <w:p w14:paraId="0B2739F4" w14:textId="77777777" w:rsidR="00DD223D" w:rsidRPr="005A7C0B" w:rsidRDefault="00DD223D" w:rsidP="00DD223D">
      <w:pPr>
        <w:pStyle w:val="Heading3"/>
        <w:spacing w:before="0"/>
      </w:pPr>
      <w:bookmarkStart w:id="965" w:name="_Toc98856193"/>
      <w:bookmarkStart w:id="966" w:name="_Toc98932945"/>
      <w:bookmarkStart w:id="967" w:name="_Toc99008201"/>
      <w:bookmarkStart w:id="968" w:name="_Toc99009563"/>
      <w:bookmarkStart w:id="969" w:name="_Toc99010791"/>
      <w:bookmarkStart w:id="970" w:name="_Toc99014026"/>
      <w:bookmarkStart w:id="971" w:name="_Toc99187601"/>
      <w:bookmarkStart w:id="972" w:name="_Toc99269723"/>
      <w:r w:rsidRPr="005A7C0B">
        <w:t>1.3</w:t>
      </w:r>
      <w:r w:rsidRPr="005A7C0B">
        <w:tab/>
        <w:t>Budget measures</w:t>
      </w:r>
      <w:bookmarkEnd w:id="965"/>
      <w:bookmarkEnd w:id="966"/>
      <w:bookmarkEnd w:id="967"/>
      <w:bookmarkEnd w:id="968"/>
      <w:bookmarkEnd w:id="969"/>
      <w:bookmarkEnd w:id="970"/>
      <w:bookmarkEnd w:id="971"/>
      <w:bookmarkEnd w:id="972"/>
    </w:p>
    <w:p w14:paraId="7AE70002" w14:textId="77777777" w:rsidR="00DD223D" w:rsidRDefault="006C5071" w:rsidP="00DD223D">
      <w:r>
        <w:t>The OPH has no new Budget measures in the 2022-23 Budget</w:t>
      </w:r>
      <w:r w:rsidR="00DD223D">
        <w:t>.</w:t>
      </w:r>
    </w:p>
    <w:p w14:paraId="0AF839AD" w14:textId="77777777" w:rsidR="006C5071" w:rsidRDefault="006C5071">
      <w:pPr>
        <w:spacing w:after="0" w:line="240" w:lineRule="auto"/>
        <w:jc w:val="left"/>
        <w:rPr>
          <w:rFonts w:ascii="Arial Bold" w:hAnsi="Arial Bold"/>
          <w:b/>
          <w:sz w:val="26"/>
        </w:rPr>
      </w:pPr>
      <w:bookmarkStart w:id="973" w:name="_Toc98766458"/>
      <w:bookmarkStart w:id="974" w:name="_Toc98856194"/>
      <w:bookmarkStart w:id="975" w:name="_Toc98932946"/>
      <w:bookmarkStart w:id="976" w:name="_Toc99008202"/>
      <w:bookmarkStart w:id="977" w:name="_Toc99009564"/>
      <w:bookmarkStart w:id="978" w:name="_Toc99010792"/>
      <w:bookmarkStart w:id="979" w:name="_Toc99014027"/>
      <w:r>
        <w:br w:type="page"/>
      </w:r>
    </w:p>
    <w:p w14:paraId="6FC95984" w14:textId="77777777" w:rsidR="00742EE3" w:rsidRPr="00810C6A" w:rsidRDefault="00742EE3" w:rsidP="00742EE3">
      <w:pPr>
        <w:pStyle w:val="Heading2"/>
      </w:pPr>
      <w:bookmarkStart w:id="980" w:name="_Toc99187602"/>
      <w:bookmarkStart w:id="981" w:name="_Toc99269724"/>
      <w:r w:rsidRPr="00810C6A">
        <w:t>Section 2: Outcomes and planned performance</w:t>
      </w:r>
      <w:bookmarkEnd w:id="973"/>
      <w:bookmarkEnd w:id="974"/>
      <w:bookmarkEnd w:id="975"/>
      <w:bookmarkEnd w:id="976"/>
      <w:bookmarkEnd w:id="977"/>
      <w:bookmarkEnd w:id="978"/>
      <w:bookmarkEnd w:id="979"/>
      <w:bookmarkEnd w:id="980"/>
      <w:bookmarkEnd w:id="981"/>
    </w:p>
    <w:p w14:paraId="1A7C1B96" w14:textId="77777777" w:rsidR="00742EE3" w:rsidRPr="005E6F2B" w:rsidRDefault="00742EE3" w:rsidP="00742EE3">
      <w:r w:rsidRPr="005E6F2B">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t>
      </w:r>
      <w:r w:rsidR="00EA7807">
        <w:t>that</w:t>
      </w:r>
      <w:r w:rsidRPr="005E6F2B">
        <w:t xml:space="preserve"> contribute to government outcomes over the Budget and forward years.</w:t>
      </w:r>
    </w:p>
    <w:p w14:paraId="263AFC12" w14:textId="77777777" w:rsidR="00742EE3" w:rsidRDefault="00742EE3" w:rsidP="00742EE3">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742EE3" w14:paraId="178323B9" w14:textId="77777777" w:rsidTr="00742EE3">
        <w:tc>
          <w:tcPr>
            <w:tcW w:w="7700" w:type="dxa"/>
          </w:tcPr>
          <w:p w14:paraId="3FE50951" w14:textId="77777777" w:rsidR="00742EE3" w:rsidRPr="006906E4" w:rsidRDefault="00742EE3" w:rsidP="00742EE3">
            <w:pPr>
              <w:spacing w:before="120" w:after="120" w:line="240" w:lineRule="auto"/>
              <w:rPr>
                <w:b/>
              </w:rPr>
            </w:pPr>
            <w:r w:rsidRPr="006906E4">
              <w:rPr>
                <w:b/>
              </w:rPr>
              <w:t>Note:</w:t>
            </w:r>
          </w:p>
          <w:p w14:paraId="50A34CE7" w14:textId="77777777" w:rsidR="00742EE3" w:rsidRDefault="00742EE3" w:rsidP="00742EE3">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23CA2A03" w14:textId="77777777" w:rsidR="00742EE3" w:rsidRDefault="00742EE3" w:rsidP="00742EE3">
            <w:r>
              <w:t xml:space="preserve">The most recent corporate plan for Old Parliament House can be found at: </w:t>
            </w:r>
            <w:hyperlink r:id="rId428" w:history="1">
              <w:r w:rsidR="00EA7807" w:rsidRPr="00077E13">
                <w:rPr>
                  <w:rStyle w:val="Hyperlink"/>
                </w:rPr>
                <w:t>www.moadoph.gov.au/about/corporate-documents/</w:t>
              </w:r>
            </w:hyperlink>
          </w:p>
          <w:p w14:paraId="1DBA84BE" w14:textId="77777777" w:rsidR="00742EE3" w:rsidRDefault="00742EE3" w:rsidP="00742EE3">
            <w:r>
              <w:t>The most recent annual performance sta</w:t>
            </w:r>
            <w:r w:rsidR="00EA7807">
              <w:t xml:space="preserve">tement can be found at: </w:t>
            </w:r>
            <w:r>
              <w:t>www.moadoph.gov.au/about/annual-reports/</w:t>
            </w:r>
          </w:p>
        </w:tc>
      </w:tr>
    </w:tbl>
    <w:p w14:paraId="1CFE3A9D" w14:textId="77777777" w:rsidR="00742EE3" w:rsidRDefault="00742EE3" w:rsidP="00742EE3">
      <w:pPr>
        <w:rPr>
          <w:highlight w:val="yellow"/>
        </w:rPr>
      </w:pPr>
    </w:p>
    <w:p w14:paraId="601B5AAC" w14:textId="77777777" w:rsidR="00293991" w:rsidRDefault="00293991">
      <w:pPr>
        <w:spacing w:after="0" w:line="240" w:lineRule="auto"/>
        <w:jc w:val="left"/>
        <w:rPr>
          <w:rFonts w:ascii="Arial Bold" w:hAnsi="Arial Bold"/>
          <w:b/>
          <w:sz w:val="22"/>
        </w:rPr>
      </w:pPr>
      <w:bookmarkStart w:id="982" w:name="_Toc98766459"/>
      <w:bookmarkStart w:id="983" w:name="_Toc98856195"/>
      <w:bookmarkStart w:id="984" w:name="_Toc98932947"/>
      <w:r>
        <w:br w:type="page"/>
      </w:r>
    </w:p>
    <w:p w14:paraId="147256D2" w14:textId="77777777" w:rsidR="00742EE3" w:rsidRPr="00F743D8" w:rsidRDefault="00742EE3" w:rsidP="00742EE3">
      <w:pPr>
        <w:pStyle w:val="Heading3"/>
      </w:pPr>
      <w:bookmarkStart w:id="985" w:name="_Toc99008203"/>
      <w:bookmarkStart w:id="986" w:name="_Toc99009565"/>
      <w:bookmarkStart w:id="987" w:name="_Toc99010793"/>
      <w:bookmarkStart w:id="988" w:name="_Toc99014028"/>
      <w:bookmarkStart w:id="989" w:name="_Toc99187603"/>
      <w:bookmarkStart w:id="990" w:name="_Toc99269725"/>
      <w:r>
        <w:t>2.1</w:t>
      </w:r>
      <w:r w:rsidRPr="00F743D8">
        <w:t xml:space="preserve"> </w:t>
      </w:r>
      <w:r w:rsidRPr="00F743D8">
        <w:tab/>
        <w:t xml:space="preserve">Budgeted expenses and performance for Outcome </w:t>
      </w:r>
      <w:r>
        <w:t>1</w:t>
      </w:r>
      <w:bookmarkEnd w:id="982"/>
      <w:bookmarkEnd w:id="983"/>
      <w:bookmarkEnd w:id="984"/>
      <w:bookmarkEnd w:id="985"/>
      <w:bookmarkEnd w:id="986"/>
      <w:bookmarkEnd w:id="987"/>
      <w:bookmarkEnd w:id="988"/>
      <w:bookmarkEnd w:id="989"/>
      <w:bookmarkEnd w:id="99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742EE3" w:rsidRPr="005E6F2B" w14:paraId="2DCC487C" w14:textId="77777777" w:rsidTr="00742EE3">
        <w:tc>
          <w:tcPr>
            <w:tcW w:w="7704" w:type="dxa"/>
            <w:shd w:val="clear" w:color="auto" w:fill="E6E6E6"/>
          </w:tcPr>
          <w:p w14:paraId="01798412" w14:textId="77777777" w:rsidR="00742EE3" w:rsidRPr="005E6F2B" w:rsidRDefault="00742EE3" w:rsidP="00742EE3">
            <w:pPr>
              <w:pStyle w:val="TableColumnHeadingLeft"/>
            </w:pPr>
            <w:r w:rsidRPr="005E6F2B">
              <w:t xml:space="preserve">Outcome </w:t>
            </w:r>
            <w:r>
              <w:t>1</w:t>
            </w:r>
            <w:r w:rsidRPr="005E6F2B">
              <w:t xml:space="preserve">: </w:t>
            </w:r>
            <w:r w:rsidRPr="00112148">
              <w:rPr>
                <w:rFonts w:cs="Arial"/>
                <w:color w:val="000000"/>
              </w:rPr>
              <w:t>An enhanced appreciation and understanding of the political and social heritage of Australia for members of the public, through activities including the conservation and upkeep of, and the provision of access to, Old Parliament House and the development of its collections, exhib</w:t>
            </w:r>
            <w:r>
              <w:rPr>
                <w:rFonts w:cs="Arial"/>
                <w:color w:val="000000"/>
              </w:rPr>
              <w:t>itions and educational programs.</w:t>
            </w:r>
          </w:p>
        </w:tc>
      </w:tr>
    </w:tbl>
    <w:p w14:paraId="11057B64" w14:textId="77777777" w:rsidR="00742EE3" w:rsidRPr="005E6F2B" w:rsidRDefault="00742EE3" w:rsidP="00742EE3">
      <w:pPr>
        <w:pStyle w:val="NoSpacing"/>
      </w:pPr>
    </w:p>
    <w:p w14:paraId="1A5B6F1A" w14:textId="77777777" w:rsidR="00742EE3" w:rsidRPr="00446612" w:rsidRDefault="00742EE3" w:rsidP="00742EE3">
      <w:pPr>
        <w:pStyle w:val="Heading5"/>
      </w:pPr>
      <w:r w:rsidRPr="00446612">
        <w:t xml:space="preserve">Budgeted expenses for Outcome </w:t>
      </w:r>
      <w:r>
        <w:t>1</w:t>
      </w:r>
    </w:p>
    <w:p w14:paraId="40C20A61" w14:textId="77777777" w:rsidR="00742EE3" w:rsidRDefault="00742EE3" w:rsidP="00742EE3">
      <w:r w:rsidRPr="00950281">
        <w:t xml:space="preserve">This table shows how much </w:t>
      </w:r>
      <w:r w:rsidR="006F0B0E">
        <w:t>OPH</w:t>
      </w:r>
      <w:r w:rsidRPr="00950281">
        <w:t xml:space="preserve"> intends to spend (on an accrual basis) on achieving the outcome, broken </w:t>
      </w:r>
      <w:r w:rsidR="00EA7807">
        <w:t>down by program, as well as by a</w:t>
      </w:r>
      <w:r w:rsidRPr="00950281">
        <w:t>dministered an</w:t>
      </w:r>
      <w:r>
        <w:t xml:space="preserve">d </w:t>
      </w:r>
      <w:r w:rsidR="00EA7807">
        <w:t>d</w:t>
      </w:r>
      <w:r>
        <w:t>epartmental funding sources.</w:t>
      </w:r>
    </w:p>
    <w:p w14:paraId="6F1509D5" w14:textId="77777777" w:rsidR="00742EE3" w:rsidRPr="006F0B0E" w:rsidRDefault="00742EE3" w:rsidP="00742EE3">
      <w:pPr>
        <w:spacing w:after="0"/>
        <w:rPr>
          <w:rFonts w:ascii="Arial" w:hAnsi="Arial" w:cs="Arial"/>
          <w:b/>
        </w:rPr>
      </w:pPr>
      <w:r w:rsidRPr="006F0B0E">
        <w:rPr>
          <w:rFonts w:ascii="Arial" w:hAnsi="Arial" w:cs="Arial"/>
          <w:b/>
        </w:rPr>
        <w:t>Table 2.1.1: Budgeted expenses for Outcome 1</w:t>
      </w:r>
    </w:p>
    <w:p w14:paraId="152729C4" w14:textId="77777777" w:rsidR="00742EE3" w:rsidRDefault="006758F4" w:rsidP="00742EE3">
      <w:pPr>
        <w:pStyle w:val="TableHeading"/>
      </w:pPr>
      <w:r w:rsidRPr="006758F4">
        <w:rPr>
          <w:noProof/>
          <w:lang w:val="en-AU" w:eastAsia="en-AU"/>
        </w:rPr>
        <w:drawing>
          <wp:inline distT="0" distB="0" distL="0" distR="0" wp14:anchorId="0500A821" wp14:editId="053EB69C">
            <wp:extent cx="4895850" cy="3310774"/>
            <wp:effectExtent l="0" t="0" r="0" b="444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895850" cy="3310774"/>
                    </a:xfrm>
                    <a:prstGeom prst="rect">
                      <a:avLst/>
                    </a:prstGeom>
                    <a:noFill/>
                    <a:ln>
                      <a:noFill/>
                    </a:ln>
                  </pic:spPr>
                </pic:pic>
              </a:graphicData>
            </a:graphic>
          </wp:inline>
        </w:drawing>
      </w:r>
    </w:p>
    <w:p w14:paraId="1A7A0192" w14:textId="77777777" w:rsidR="00742EE3" w:rsidRPr="00040760" w:rsidRDefault="00742EE3" w:rsidP="00392A48">
      <w:pPr>
        <w:pStyle w:val="ChartandTableFootnoteAlpha"/>
        <w:numPr>
          <w:ilvl w:val="0"/>
          <w:numId w:val="88"/>
        </w:numPr>
        <w:rPr>
          <w:rFonts w:cs="Arial"/>
        </w:rPr>
      </w:pPr>
      <w:r w:rsidRPr="00040760">
        <w:rPr>
          <w:rFonts w:cs="Arial"/>
        </w:rPr>
        <w:t>Expenses not requiring appropriation in the Budget year are made up of depreciation expenses, amortisation expenses, make good expenses, audit fees.</w:t>
      </w:r>
    </w:p>
    <w:p w14:paraId="559B0ED0" w14:textId="77777777" w:rsidR="00742EE3" w:rsidRDefault="00742EE3" w:rsidP="00742EE3">
      <w:pPr>
        <w:pStyle w:val="ChartandTableFootnote"/>
      </w:pPr>
      <w:r w:rsidRPr="00AD125A">
        <w:rPr>
          <w:rFonts w:cs="Arial"/>
          <w:color w:val="auto"/>
          <w:lang w:val="en-AU" w:eastAsia="en-AU"/>
        </w:rPr>
        <w:t xml:space="preserve">Note: Departmental appropriation splits and totals are indicative estimates and may change in the course of the </w:t>
      </w:r>
      <w:r w:rsidR="004C12AF">
        <w:rPr>
          <w:rFonts w:cs="Arial"/>
          <w:color w:val="auto"/>
          <w:lang w:val="en-AU" w:eastAsia="en-AU"/>
        </w:rPr>
        <w:t>Budget year</w:t>
      </w:r>
      <w:r w:rsidRPr="00AD125A">
        <w:rPr>
          <w:rFonts w:cs="Arial"/>
          <w:color w:val="auto"/>
          <w:lang w:val="en-AU" w:eastAsia="en-AU"/>
        </w:rPr>
        <w:t xml:space="preserve"> as government priorities change.</w:t>
      </w:r>
    </w:p>
    <w:p w14:paraId="3894140F" w14:textId="77777777" w:rsidR="006F0B0E" w:rsidRDefault="006F0B0E">
      <w:pPr>
        <w:spacing w:after="0" w:line="240" w:lineRule="auto"/>
        <w:jc w:val="left"/>
        <w:rPr>
          <w:rFonts w:ascii="Arial" w:hAnsi="Arial"/>
          <w:b/>
          <w:color w:val="000000"/>
          <w:lang w:val="x-none" w:eastAsia="x-none"/>
        </w:rPr>
      </w:pPr>
      <w:r>
        <w:br w:type="page"/>
      </w:r>
    </w:p>
    <w:p w14:paraId="23D25CC4" w14:textId="77777777" w:rsidR="00040760" w:rsidRPr="005153A8" w:rsidRDefault="00040760" w:rsidP="00040760">
      <w:pPr>
        <w:pStyle w:val="TableHeading"/>
        <w:rPr>
          <w:lang w:val="en-AU"/>
        </w:rPr>
      </w:pPr>
      <w:r w:rsidRPr="00F71634">
        <w:t>Table 2.</w:t>
      </w:r>
      <w:r>
        <w:rPr>
          <w:lang w:val="en-AU"/>
        </w:rPr>
        <w:t>1</w:t>
      </w:r>
      <w:r w:rsidRPr="00F71634">
        <w:t xml:space="preserve">.3: Performance </w:t>
      </w:r>
      <w:r>
        <w:rPr>
          <w:lang w:val="en-AU"/>
        </w:rPr>
        <w:t>measure</w:t>
      </w:r>
      <w:r w:rsidRPr="00F71634">
        <w:t xml:space="preserve"> for Outcome </w:t>
      </w:r>
      <w:r>
        <w:rPr>
          <w:lang w:val="en-AU"/>
        </w:rPr>
        <w:t>1</w:t>
      </w:r>
    </w:p>
    <w:p w14:paraId="583D9275" w14:textId="77777777" w:rsidR="00040760" w:rsidRPr="00F71634" w:rsidRDefault="00040760" w:rsidP="00040760">
      <w:r w:rsidRPr="001B2F81">
        <w:t>Table 2.</w:t>
      </w:r>
      <w:r>
        <w:t>1</w:t>
      </w:r>
      <w:r w:rsidRPr="001B2F81">
        <w:t>.</w:t>
      </w:r>
      <w:r>
        <w:t>3</w:t>
      </w:r>
      <w:r w:rsidRPr="001B2F81">
        <w:t xml:space="preserve"> details the performance measures for each program associated</w:t>
      </w:r>
      <w:r w:rsidR="006F0B0E">
        <w:t xml:space="preserve"> with Outcome </w:t>
      </w:r>
      <w:r>
        <w:t>1</w:t>
      </w:r>
      <w:r w:rsidRPr="001B2F81">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w:t>
      </w:r>
      <w:r>
        <w:t>2</w:t>
      </w:r>
      <w:r w:rsidRPr="001B2F81">
        <w:t>-</w:t>
      </w:r>
      <w:r>
        <w:t>23</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40760" w:rsidRPr="001B2F81" w14:paraId="2712ACA1" w14:textId="77777777" w:rsidTr="000D4CBE">
        <w:trPr>
          <w:trHeight w:val="569"/>
          <w:tblHeader/>
        </w:trPr>
        <w:tc>
          <w:tcPr>
            <w:tcW w:w="7796" w:type="dxa"/>
            <w:gridSpan w:val="3"/>
            <w:shd w:val="clear" w:color="auto" w:fill="F2F2F2"/>
          </w:tcPr>
          <w:p w14:paraId="4D2888BE" w14:textId="77777777" w:rsidR="00040760" w:rsidRPr="00BE4D64" w:rsidRDefault="00040760" w:rsidP="000D4CBE">
            <w:pPr>
              <w:pStyle w:val="TableColumnHeadingLeft"/>
              <w:rPr>
                <w:rFonts w:cs="Arial"/>
                <w:color w:val="000000"/>
              </w:rPr>
            </w:pPr>
            <w:r w:rsidRPr="006906E4">
              <w:t xml:space="preserve">Outcome </w:t>
            </w:r>
            <w:r w:rsidRPr="00112148">
              <w:rPr>
                <w:rFonts w:cs="Arial"/>
                <w:color w:val="000000"/>
              </w:rPr>
              <w:t>1: An enhanced appreciation and understanding of the political and social heritage of Australia for members of the public, through activities including the conservation and upkeep of, and the provision of access to, Old Parliament House and the development of its collections, exhib</w:t>
            </w:r>
            <w:r>
              <w:rPr>
                <w:rFonts w:cs="Arial"/>
                <w:color w:val="000000"/>
              </w:rPr>
              <w:t>itions and educational programs.</w:t>
            </w:r>
          </w:p>
        </w:tc>
      </w:tr>
      <w:tr w:rsidR="00040760" w:rsidRPr="001B2F81" w14:paraId="268DF004" w14:textId="77777777" w:rsidTr="006F0B0E">
        <w:trPr>
          <w:trHeight w:val="1220"/>
          <w:tblHeader/>
        </w:trPr>
        <w:tc>
          <w:tcPr>
            <w:tcW w:w="7796" w:type="dxa"/>
            <w:gridSpan w:val="3"/>
            <w:shd w:val="clear" w:color="auto" w:fill="F2F2F2"/>
          </w:tcPr>
          <w:p w14:paraId="12755A88" w14:textId="77777777" w:rsidR="00040760" w:rsidRDefault="00040760" w:rsidP="000D4CBE">
            <w:pPr>
              <w:tabs>
                <w:tab w:val="left" w:pos="709"/>
              </w:tabs>
              <w:spacing w:after="60"/>
              <w:rPr>
                <w:rFonts w:ascii="Arial" w:hAnsi="Arial" w:cs="Arial"/>
                <w:b/>
                <w:color w:val="000000"/>
                <w:sz w:val="16"/>
                <w:szCs w:val="16"/>
              </w:rPr>
            </w:pPr>
            <w:r w:rsidRPr="006F0B0E">
              <w:rPr>
                <w:rFonts w:ascii="Arial" w:hAnsi="Arial" w:cs="Arial"/>
                <w:b/>
                <w:sz w:val="16"/>
                <w:szCs w:val="16"/>
              </w:rPr>
              <w:t>Program 1.1</w:t>
            </w:r>
            <w:r w:rsidR="00EA7807">
              <w:rPr>
                <w:rFonts w:ascii="Arial" w:hAnsi="Arial" w:cs="Arial"/>
                <w:b/>
                <w:sz w:val="16"/>
                <w:szCs w:val="16"/>
              </w:rPr>
              <w:t xml:space="preserve"> </w:t>
            </w:r>
            <w:r w:rsidRPr="006F0B0E">
              <w:rPr>
                <w:rFonts w:ascii="Arial" w:hAnsi="Arial" w:cs="Arial"/>
                <w:b/>
                <w:color w:val="000000"/>
                <w:sz w:val="16"/>
                <w:szCs w:val="16"/>
              </w:rPr>
              <w:t>—</w:t>
            </w:r>
            <w:r w:rsidR="00EA7807">
              <w:rPr>
                <w:rFonts w:ascii="Arial" w:hAnsi="Arial" w:cs="Arial"/>
                <w:b/>
                <w:color w:val="000000"/>
                <w:sz w:val="16"/>
                <w:szCs w:val="16"/>
              </w:rPr>
              <w:t xml:space="preserve"> </w:t>
            </w:r>
            <w:r>
              <w:rPr>
                <w:rFonts w:ascii="Arial" w:hAnsi="Arial" w:cs="Arial"/>
                <w:b/>
                <w:color w:val="000000"/>
                <w:sz w:val="16"/>
                <w:szCs w:val="16"/>
              </w:rPr>
              <w:t xml:space="preserve"> </w:t>
            </w:r>
            <w:r w:rsidRPr="004E629F">
              <w:rPr>
                <w:rFonts w:ascii="Arial" w:hAnsi="Arial" w:cs="Arial"/>
                <w:b/>
                <w:color w:val="000000"/>
                <w:sz w:val="16"/>
                <w:szCs w:val="16"/>
              </w:rPr>
              <w:t>Old Parliament House</w:t>
            </w:r>
          </w:p>
          <w:p w14:paraId="3B1ED62B" w14:textId="77777777" w:rsidR="00040760" w:rsidRPr="002839B3" w:rsidRDefault="00EA7807" w:rsidP="006F0B0E">
            <w:pPr>
              <w:tabs>
                <w:tab w:val="left" w:pos="709"/>
              </w:tabs>
              <w:spacing w:after="60" w:line="240" w:lineRule="auto"/>
              <w:rPr>
                <w:rFonts w:ascii="Arial" w:hAnsi="Arial" w:cs="Arial"/>
                <w:color w:val="000000"/>
                <w:sz w:val="16"/>
                <w:szCs w:val="16"/>
              </w:rPr>
            </w:pPr>
            <w:r>
              <w:rPr>
                <w:rFonts w:ascii="Arial" w:hAnsi="Arial" w:cs="Arial"/>
                <w:color w:val="000000"/>
                <w:sz w:val="16"/>
                <w:szCs w:val="16"/>
              </w:rPr>
              <w:t xml:space="preserve">The </w:t>
            </w:r>
            <w:r w:rsidR="00040760" w:rsidRPr="002839B3">
              <w:rPr>
                <w:rFonts w:ascii="Arial" w:hAnsi="Arial" w:cs="Arial"/>
                <w:color w:val="000000"/>
                <w:sz w:val="16"/>
                <w:szCs w:val="16"/>
              </w:rPr>
              <w:t>OPH’s collection is of national, regional and local significance. It captures the ideas, movements, individuals and events of Australian democracy and the story of this nationally listed heritage place, Old Parliament House, which was home to the Federal Parliament for 61 years.</w:t>
            </w:r>
          </w:p>
          <w:p w14:paraId="290B0365" w14:textId="77777777" w:rsidR="00040760" w:rsidRPr="006F0B0E" w:rsidRDefault="00EA7807" w:rsidP="006F0B0E">
            <w:pPr>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 xml:space="preserve">The </w:t>
            </w:r>
            <w:r w:rsidR="00040760" w:rsidRPr="002839B3">
              <w:rPr>
                <w:rFonts w:ascii="Arial" w:hAnsi="Arial" w:cs="Arial"/>
                <w:color w:val="000000"/>
                <w:sz w:val="16"/>
                <w:szCs w:val="16"/>
              </w:rPr>
              <w:t>OPH offers a spectrum of entry points: through interpretations of the building, in-house and touring exhibitions, onsite and online projects, education and public programs, children’s activities and opportunities to experience the spirit of Old Parliament House through festivals and events.</w:t>
            </w:r>
          </w:p>
        </w:tc>
      </w:tr>
      <w:tr w:rsidR="00040760" w:rsidRPr="001B2F81" w14:paraId="25B90AE2" w14:textId="77777777" w:rsidTr="006F0B0E">
        <w:trPr>
          <w:trHeight w:val="1937"/>
        </w:trPr>
        <w:tc>
          <w:tcPr>
            <w:tcW w:w="1560" w:type="dxa"/>
            <w:tcBorders>
              <w:bottom w:val="double" w:sz="4" w:space="0" w:color="auto"/>
            </w:tcBorders>
          </w:tcPr>
          <w:p w14:paraId="2E3D9761" w14:textId="77777777" w:rsidR="00040760" w:rsidRPr="00160C23" w:rsidRDefault="00EA7807" w:rsidP="000D4CBE">
            <w:pPr>
              <w:tabs>
                <w:tab w:val="left" w:pos="709"/>
              </w:tabs>
              <w:spacing w:before="60"/>
              <w:rPr>
                <w:rFonts w:ascii="Arial" w:hAnsi="Arial" w:cs="Arial"/>
                <w:b/>
                <w:sz w:val="16"/>
                <w:szCs w:val="16"/>
              </w:rPr>
            </w:pPr>
            <w:r>
              <w:rPr>
                <w:rFonts w:ascii="Arial" w:hAnsi="Arial" w:cs="Arial"/>
                <w:b/>
                <w:sz w:val="16"/>
                <w:szCs w:val="16"/>
              </w:rPr>
              <w:t>Key a</w:t>
            </w:r>
            <w:r w:rsidR="00040760" w:rsidRPr="00160C23">
              <w:rPr>
                <w:rFonts w:ascii="Arial" w:hAnsi="Arial" w:cs="Arial"/>
                <w:b/>
                <w:sz w:val="16"/>
                <w:szCs w:val="16"/>
              </w:rPr>
              <w:t>ctivities</w:t>
            </w:r>
          </w:p>
        </w:tc>
        <w:tc>
          <w:tcPr>
            <w:tcW w:w="6236" w:type="dxa"/>
            <w:gridSpan w:val="2"/>
            <w:tcBorders>
              <w:bottom w:val="double" w:sz="4" w:space="0" w:color="auto"/>
            </w:tcBorders>
          </w:tcPr>
          <w:p w14:paraId="0BE53A7C" w14:textId="77777777" w:rsidR="00040760" w:rsidRPr="004E629F" w:rsidRDefault="00EA7807" w:rsidP="000D4CBE">
            <w:pPr>
              <w:spacing w:before="120" w:after="0"/>
              <w:rPr>
                <w:rFonts w:ascii="Arial" w:hAnsi="Arial" w:cs="Arial"/>
                <w:sz w:val="16"/>
                <w:szCs w:val="16"/>
              </w:rPr>
            </w:pPr>
            <w:r>
              <w:rPr>
                <w:rFonts w:ascii="Arial" w:hAnsi="Arial" w:cs="Arial"/>
                <w:sz w:val="16"/>
                <w:szCs w:val="16"/>
              </w:rPr>
              <w:t>The p</w:t>
            </w:r>
            <w:r w:rsidR="00040760" w:rsidRPr="004E629F">
              <w:rPr>
                <w:rFonts w:ascii="Arial" w:hAnsi="Arial" w:cs="Arial"/>
                <w:sz w:val="16"/>
                <w:szCs w:val="16"/>
              </w:rPr>
              <w:t>rogram will be delivered in the following ways:</w:t>
            </w:r>
          </w:p>
          <w:p w14:paraId="74015D24" w14:textId="77777777" w:rsidR="00040760" w:rsidRPr="004E629F" w:rsidRDefault="00040760" w:rsidP="008A2254">
            <w:pPr>
              <w:numPr>
                <w:ilvl w:val="0"/>
                <w:numId w:val="69"/>
              </w:numPr>
              <w:spacing w:before="60" w:after="0" w:line="240" w:lineRule="auto"/>
              <w:ind w:left="227" w:hanging="227"/>
              <w:jc w:val="left"/>
              <w:rPr>
                <w:rFonts w:ascii="Arial" w:hAnsi="Arial" w:cs="Arial"/>
                <w:sz w:val="16"/>
                <w:szCs w:val="16"/>
              </w:rPr>
            </w:pPr>
            <w:r w:rsidRPr="004E629F">
              <w:rPr>
                <w:rFonts w:ascii="Arial" w:hAnsi="Arial" w:cs="Arial"/>
                <w:sz w:val="16"/>
                <w:szCs w:val="16"/>
              </w:rPr>
              <w:t>Ensuring the heritage values of Old Parliament House are recognised, preserved and communicated</w:t>
            </w:r>
          </w:p>
          <w:p w14:paraId="735F33D3" w14:textId="77777777" w:rsidR="00040760" w:rsidRPr="004E629F" w:rsidRDefault="00040760" w:rsidP="008A2254">
            <w:pPr>
              <w:numPr>
                <w:ilvl w:val="0"/>
                <w:numId w:val="69"/>
              </w:numPr>
              <w:spacing w:before="60" w:after="0" w:line="240" w:lineRule="auto"/>
              <w:ind w:left="227" w:hanging="227"/>
              <w:jc w:val="left"/>
              <w:rPr>
                <w:rFonts w:ascii="Arial" w:hAnsi="Arial" w:cs="Arial"/>
                <w:sz w:val="16"/>
                <w:szCs w:val="16"/>
              </w:rPr>
            </w:pPr>
            <w:r w:rsidRPr="004E629F">
              <w:rPr>
                <w:rFonts w:ascii="Arial" w:hAnsi="Arial" w:cs="Arial"/>
                <w:sz w:val="16"/>
                <w:szCs w:val="16"/>
              </w:rPr>
              <w:t>Managing a collection of national, regional and local significance to document and illustrate the development of Australian democracy</w:t>
            </w:r>
          </w:p>
          <w:p w14:paraId="26540856" w14:textId="77777777" w:rsidR="00040760" w:rsidRDefault="00040760" w:rsidP="008A2254">
            <w:pPr>
              <w:numPr>
                <w:ilvl w:val="0"/>
                <w:numId w:val="69"/>
              </w:numPr>
              <w:spacing w:before="60" w:after="0" w:line="240" w:lineRule="auto"/>
              <w:ind w:left="227" w:hanging="227"/>
              <w:jc w:val="left"/>
              <w:rPr>
                <w:rFonts w:ascii="Arial" w:hAnsi="Arial" w:cs="Arial"/>
                <w:sz w:val="16"/>
                <w:szCs w:val="16"/>
              </w:rPr>
            </w:pPr>
            <w:r w:rsidRPr="004E629F">
              <w:rPr>
                <w:rFonts w:ascii="Arial" w:hAnsi="Arial" w:cs="Arial"/>
                <w:sz w:val="16"/>
                <w:szCs w:val="16"/>
              </w:rPr>
              <w:t>Providing enhanced visitor experiences through participation onsite and online</w:t>
            </w:r>
          </w:p>
          <w:p w14:paraId="00D08744" w14:textId="77777777" w:rsidR="00040760" w:rsidRDefault="00040760" w:rsidP="008A2254">
            <w:pPr>
              <w:numPr>
                <w:ilvl w:val="0"/>
                <w:numId w:val="69"/>
              </w:numPr>
              <w:spacing w:before="60" w:after="0" w:line="240" w:lineRule="auto"/>
              <w:ind w:left="227" w:hanging="227"/>
              <w:jc w:val="left"/>
              <w:rPr>
                <w:rFonts w:ascii="Arial" w:hAnsi="Arial" w:cs="Arial"/>
                <w:sz w:val="16"/>
                <w:szCs w:val="16"/>
              </w:rPr>
            </w:pPr>
            <w:r w:rsidRPr="00914106">
              <w:rPr>
                <w:rFonts w:ascii="Arial" w:hAnsi="Arial" w:cs="Arial"/>
                <w:sz w:val="16"/>
                <w:szCs w:val="16"/>
              </w:rPr>
              <w:t>Providing quality learning programs that align with national curriculum requirements both onsite and to regional and remote areas through our digital excursion program</w:t>
            </w:r>
          </w:p>
          <w:p w14:paraId="5AE1DBC5" w14:textId="77777777" w:rsidR="00040760" w:rsidRPr="006F0B0E" w:rsidRDefault="00040760" w:rsidP="008A2254">
            <w:pPr>
              <w:numPr>
                <w:ilvl w:val="0"/>
                <w:numId w:val="69"/>
              </w:numPr>
              <w:spacing w:before="60" w:after="0" w:line="240" w:lineRule="auto"/>
              <w:ind w:left="227" w:hanging="227"/>
              <w:jc w:val="left"/>
              <w:rPr>
                <w:rFonts w:ascii="Arial" w:hAnsi="Arial" w:cs="Arial"/>
                <w:sz w:val="16"/>
                <w:szCs w:val="16"/>
              </w:rPr>
            </w:pPr>
            <w:r>
              <w:rPr>
                <w:rFonts w:ascii="Arial" w:hAnsi="Arial" w:cs="Arial"/>
                <w:sz w:val="16"/>
                <w:szCs w:val="16"/>
              </w:rPr>
              <w:t>Delivering critical capital works program and conservation of key heritage spaces</w:t>
            </w:r>
          </w:p>
        </w:tc>
      </w:tr>
      <w:tr w:rsidR="00040760" w:rsidRPr="001B2F81" w14:paraId="649668D8" w14:textId="77777777" w:rsidTr="000D4CBE">
        <w:trPr>
          <w:trHeight w:val="258"/>
        </w:trPr>
        <w:tc>
          <w:tcPr>
            <w:tcW w:w="1560" w:type="dxa"/>
            <w:tcBorders>
              <w:top w:val="double" w:sz="4" w:space="0" w:color="auto"/>
              <w:bottom w:val="single" w:sz="4" w:space="0" w:color="auto"/>
              <w:right w:val="single" w:sz="4" w:space="0" w:color="auto"/>
            </w:tcBorders>
          </w:tcPr>
          <w:p w14:paraId="46E337C6" w14:textId="77777777" w:rsidR="00040760" w:rsidRPr="00160C23" w:rsidRDefault="00EA7807" w:rsidP="000D4CBE">
            <w:pPr>
              <w:pStyle w:val="TableTextBase"/>
              <w:rPr>
                <w:b/>
                <w:sz w:val="16"/>
                <w:szCs w:val="16"/>
              </w:rPr>
            </w:pPr>
            <w:r>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15DF7F33" w14:textId="77777777" w:rsidR="00040760" w:rsidRPr="00160C23" w:rsidRDefault="00040760" w:rsidP="000D4CBE">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3A1F79F4" w14:textId="77777777" w:rsidR="00040760" w:rsidRPr="00160C23" w:rsidRDefault="00EA7807" w:rsidP="000D4CBE">
            <w:pPr>
              <w:pStyle w:val="TableTextBase"/>
              <w:rPr>
                <w:rFonts w:cs="Arial"/>
                <w:b/>
                <w:sz w:val="16"/>
                <w:szCs w:val="16"/>
              </w:rPr>
            </w:pPr>
            <w:r>
              <w:rPr>
                <w:rFonts w:cs="Arial"/>
                <w:b/>
                <w:sz w:val="16"/>
                <w:szCs w:val="16"/>
              </w:rPr>
              <w:t>Expected performance r</w:t>
            </w:r>
            <w:r w:rsidR="00040760" w:rsidRPr="00160C23">
              <w:rPr>
                <w:rFonts w:cs="Arial"/>
                <w:b/>
                <w:sz w:val="16"/>
                <w:szCs w:val="16"/>
              </w:rPr>
              <w:t>esults</w:t>
            </w:r>
          </w:p>
        </w:tc>
      </w:tr>
      <w:tr w:rsidR="00040760" w:rsidRPr="001B2F81" w14:paraId="6E3241DA" w14:textId="77777777" w:rsidTr="00EA7807">
        <w:trPr>
          <w:trHeight w:val="20"/>
        </w:trPr>
        <w:tc>
          <w:tcPr>
            <w:tcW w:w="1560" w:type="dxa"/>
            <w:tcBorders>
              <w:top w:val="single" w:sz="4" w:space="0" w:color="auto"/>
              <w:bottom w:val="dotted" w:sz="4" w:space="0" w:color="auto"/>
              <w:right w:val="single" w:sz="4" w:space="0" w:color="auto"/>
            </w:tcBorders>
          </w:tcPr>
          <w:p w14:paraId="79411330" w14:textId="77777777" w:rsidR="00040760" w:rsidRPr="00160C23" w:rsidRDefault="00040760" w:rsidP="000D4CBE">
            <w:pPr>
              <w:pStyle w:val="TableTextBase"/>
              <w:rPr>
                <w:sz w:val="16"/>
                <w:szCs w:val="16"/>
              </w:rPr>
            </w:pPr>
            <w:r w:rsidRPr="00160C23">
              <w:rPr>
                <w:sz w:val="16"/>
                <w:szCs w:val="16"/>
              </w:rPr>
              <w:t xml:space="preserve">Current year </w:t>
            </w:r>
          </w:p>
          <w:p w14:paraId="508A07C8" w14:textId="77777777" w:rsidR="00040760" w:rsidRDefault="00040760" w:rsidP="000D4CBE">
            <w:pPr>
              <w:pStyle w:val="TableTextBase"/>
              <w:rPr>
                <w:rFonts w:cs="Arial"/>
                <w:sz w:val="16"/>
                <w:szCs w:val="16"/>
              </w:rPr>
            </w:pPr>
            <w:r w:rsidRPr="005B6AE5">
              <w:rPr>
                <w:rFonts w:cs="Arial"/>
                <w:sz w:val="16"/>
                <w:szCs w:val="16"/>
              </w:rPr>
              <w:t>202</w:t>
            </w:r>
            <w:r>
              <w:rPr>
                <w:rFonts w:cs="Arial"/>
                <w:sz w:val="16"/>
                <w:szCs w:val="16"/>
              </w:rPr>
              <w:t>1</w:t>
            </w:r>
            <w:r w:rsidRPr="005B6AE5">
              <w:rPr>
                <w:rFonts w:cs="Arial"/>
                <w:sz w:val="16"/>
                <w:szCs w:val="16"/>
              </w:rPr>
              <w:t>-2</w:t>
            </w:r>
            <w:r>
              <w:rPr>
                <w:rFonts w:cs="Arial"/>
                <w:sz w:val="16"/>
                <w:szCs w:val="16"/>
              </w:rPr>
              <w:t>2</w:t>
            </w:r>
          </w:p>
          <w:p w14:paraId="5A595A7F" w14:textId="77777777" w:rsidR="00EA7807" w:rsidRDefault="00EA7807" w:rsidP="000D4CBE">
            <w:pPr>
              <w:pStyle w:val="TableTextBase"/>
              <w:rPr>
                <w:rFonts w:cs="Arial"/>
                <w:sz w:val="16"/>
                <w:szCs w:val="16"/>
              </w:rPr>
            </w:pPr>
          </w:p>
          <w:p w14:paraId="30F1A7FC" w14:textId="77777777" w:rsidR="00EA7807" w:rsidRDefault="00EA7807" w:rsidP="000D4CBE">
            <w:pPr>
              <w:pStyle w:val="TableTextBase"/>
              <w:rPr>
                <w:rFonts w:cs="Arial"/>
                <w:sz w:val="16"/>
                <w:szCs w:val="16"/>
              </w:rPr>
            </w:pPr>
          </w:p>
          <w:p w14:paraId="41C62CF6" w14:textId="77777777" w:rsidR="00EA7807" w:rsidRDefault="00EA7807" w:rsidP="000D4CBE">
            <w:pPr>
              <w:pStyle w:val="TableTextBase"/>
              <w:rPr>
                <w:rFonts w:cs="Arial"/>
                <w:sz w:val="16"/>
                <w:szCs w:val="16"/>
              </w:rPr>
            </w:pPr>
          </w:p>
          <w:p w14:paraId="6AB7BEF8" w14:textId="77777777" w:rsidR="00EA7807" w:rsidRDefault="00EA7807" w:rsidP="000D4CBE">
            <w:pPr>
              <w:pStyle w:val="TableTextBase"/>
              <w:rPr>
                <w:rFonts w:cs="Arial"/>
                <w:sz w:val="16"/>
                <w:szCs w:val="16"/>
              </w:rPr>
            </w:pPr>
          </w:p>
          <w:p w14:paraId="262615A0" w14:textId="77777777" w:rsidR="00EA7807" w:rsidRDefault="00EA7807" w:rsidP="000D4CBE">
            <w:pPr>
              <w:pStyle w:val="TableTextBase"/>
              <w:rPr>
                <w:rFonts w:cs="Arial"/>
                <w:sz w:val="16"/>
                <w:szCs w:val="16"/>
              </w:rPr>
            </w:pPr>
          </w:p>
          <w:p w14:paraId="1E185353" w14:textId="77777777" w:rsidR="00EA7807" w:rsidRDefault="00EA7807" w:rsidP="000D4CBE">
            <w:pPr>
              <w:pStyle w:val="TableTextBase"/>
              <w:rPr>
                <w:rFonts w:cs="Arial"/>
                <w:sz w:val="16"/>
                <w:szCs w:val="16"/>
              </w:rPr>
            </w:pPr>
          </w:p>
          <w:p w14:paraId="26415379" w14:textId="77777777" w:rsidR="00EA7807" w:rsidRDefault="00EA7807" w:rsidP="000D4CBE">
            <w:pPr>
              <w:pStyle w:val="TableTextBase"/>
              <w:rPr>
                <w:rFonts w:cs="Arial"/>
                <w:sz w:val="16"/>
                <w:szCs w:val="16"/>
              </w:rPr>
            </w:pPr>
          </w:p>
          <w:p w14:paraId="332C04E7" w14:textId="77777777" w:rsidR="00EA7807" w:rsidRDefault="00EA7807" w:rsidP="000D4CBE">
            <w:pPr>
              <w:pStyle w:val="TableTextBase"/>
              <w:rPr>
                <w:rFonts w:cs="Arial"/>
                <w:sz w:val="16"/>
                <w:szCs w:val="16"/>
              </w:rPr>
            </w:pPr>
          </w:p>
          <w:p w14:paraId="3AC4D162" w14:textId="77777777" w:rsidR="00EA7807" w:rsidRDefault="00EA7807" w:rsidP="000D4CBE">
            <w:pPr>
              <w:pStyle w:val="TableTextBase"/>
              <w:rPr>
                <w:rFonts w:cs="Arial"/>
                <w:sz w:val="16"/>
                <w:szCs w:val="16"/>
              </w:rPr>
            </w:pPr>
          </w:p>
          <w:p w14:paraId="2BA170AC" w14:textId="77777777" w:rsidR="00EA7807" w:rsidRDefault="00EA7807" w:rsidP="000D4CBE">
            <w:pPr>
              <w:pStyle w:val="TableTextBase"/>
              <w:rPr>
                <w:rFonts w:cs="Arial"/>
                <w:sz w:val="16"/>
                <w:szCs w:val="16"/>
              </w:rPr>
            </w:pPr>
          </w:p>
          <w:p w14:paraId="6B6C48AE" w14:textId="77777777" w:rsidR="00EA7807" w:rsidRDefault="00EA7807" w:rsidP="000D4CBE">
            <w:pPr>
              <w:pStyle w:val="TableTextBase"/>
              <w:rPr>
                <w:rFonts w:cs="Arial"/>
                <w:sz w:val="16"/>
                <w:szCs w:val="16"/>
              </w:rPr>
            </w:pPr>
          </w:p>
          <w:p w14:paraId="342D1F04" w14:textId="77777777" w:rsidR="00EA7807" w:rsidRDefault="00EA7807" w:rsidP="000D4CBE">
            <w:pPr>
              <w:pStyle w:val="TableTextBase"/>
              <w:rPr>
                <w:rFonts w:cs="Arial"/>
                <w:sz w:val="16"/>
                <w:szCs w:val="16"/>
              </w:rPr>
            </w:pPr>
          </w:p>
          <w:p w14:paraId="420BB432" w14:textId="77777777" w:rsidR="00EA7807" w:rsidRDefault="00EA7807" w:rsidP="000D4CBE">
            <w:pPr>
              <w:pStyle w:val="TableTextBase"/>
              <w:rPr>
                <w:rFonts w:cs="Arial"/>
                <w:sz w:val="16"/>
                <w:szCs w:val="16"/>
              </w:rPr>
            </w:pPr>
          </w:p>
          <w:p w14:paraId="560CB08A" w14:textId="77777777" w:rsidR="00EA7807" w:rsidRPr="00EA7807" w:rsidRDefault="00EA7807" w:rsidP="000D4CBE">
            <w:pPr>
              <w:pStyle w:val="TableTextBase"/>
              <w:rPr>
                <w:b/>
                <w:sz w:val="16"/>
                <w:szCs w:val="16"/>
              </w:rPr>
            </w:pPr>
            <w:r>
              <w:rPr>
                <w:rFonts w:cs="Arial"/>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3FDD77D3" w14:textId="77777777" w:rsidR="00040760" w:rsidRDefault="00040760" w:rsidP="000D4CBE">
            <w:pPr>
              <w:pStyle w:val="ListParagraph"/>
              <w:spacing w:after="60" w:line="240" w:lineRule="auto"/>
              <w:ind w:left="0"/>
              <w:rPr>
                <w:rFonts w:ascii="Arial" w:hAnsi="Arial"/>
                <w:sz w:val="16"/>
                <w:szCs w:val="16"/>
              </w:rPr>
            </w:pPr>
            <w:r w:rsidRPr="005B6AE5">
              <w:rPr>
                <w:rFonts w:ascii="Arial" w:hAnsi="Arial"/>
                <w:b/>
                <w:sz w:val="16"/>
                <w:szCs w:val="16"/>
              </w:rPr>
              <w:t>Deliver a spectrum of experiences</w:t>
            </w:r>
            <w:r w:rsidRPr="005B6AE5">
              <w:rPr>
                <w:rFonts w:ascii="Arial" w:hAnsi="Arial"/>
                <w:sz w:val="16"/>
                <w:szCs w:val="16"/>
              </w:rPr>
              <w:t xml:space="preserve"> – exhibitions, events, learning programs and digital activities that allow our audience to engage with the concepts and history of democracy.</w:t>
            </w:r>
          </w:p>
          <w:p w14:paraId="2E4A9D64" w14:textId="77777777" w:rsidR="00040760" w:rsidRDefault="00040760" w:rsidP="000D4CBE">
            <w:pPr>
              <w:pStyle w:val="ListParagraph"/>
              <w:spacing w:after="60" w:line="240" w:lineRule="auto"/>
              <w:ind w:left="0"/>
              <w:rPr>
                <w:rFonts w:ascii="Arial" w:hAnsi="Arial"/>
                <w:sz w:val="16"/>
                <w:szCs w:val="16"/>
              </w:rPr>
            </w:pPr>
          </w:p>
          <w:p w14:paraId="7F84C098" w14:textId="77777777" w:rsidR="00040760" w:rsidRDefault="00040760" w:rsidP="000D4CBE">
            <w:pPr>
              <w:pStyle w:val="ListParagraph"/>
              <w:spacing w:after="60" w:line="240" w:lineRule="auto"/>
              <w:ind w:left="0"/>
              <w:rPr>
                <w:rFonts w:ascii="Arial" w:hAnsi="Arial"/>
                <w:sz w:val="16"/>
                <w:szCs w:val="16"/>
              </w:rPr>
            </w:pPr>
          </w:p>
          <w:p w14:paraId="22DD7B0F" w14:textId="77777777" w:rsidR="00040760" w:rsidRDefault="00040760" w:rsidP="000D4CBE">
            <w:pPr>
              <w:pStyle w:val="ListParagraph"/>
              <w:spacing w:after="60" w:line="240" w:lineRule="auto"/>
              <w:ind w:left="0"/>
              <w:rPr>
                <w:rFonts w:ascii="Arial" w:hAnsi="Arial"/>
                <w:sz w:val="16"/>
                <w:szCs w:val="16"/>
              </w:rPr>
            </w:pPr>
          </w:p>
          <w:p w14:paraId="25C6C166" w14:textId="77777777" w:rsidR="00040760" w:rsidRDefault="00040760" w:rsidP="000D4CBE">
            <w:pPr>
              <w:pStyle w:val="ListParagraph"/>
              <w:spacing w:after="60" w:line="240" w:lineRule="auto"/>
              <w:ind w:left="0"/>
              <w:rPr>
                <w:rFonts w:ascii="Arial" w:hAnsi="Arial"/>
                <w:sz w:val="16"/>
                <w:szCs w:val="16"/>
              </w:rPr>
            </w:pPr>
          </w:p>
          <w:p w14:paraId="54F61C74" w14:textId="77777777" w:rsidR="00040760" w:rsidRDefault="00040760" w:rsidP="000D4CBE">
            <w:pPr>
              <w:pStyle w:val="ListParagraph"/>
              <w:spacing w:after="60" w:line="240" w:lineRule="auto"/>
              <w:ind w:left="0"/>
              <w:rPr>
                <w:rFonts w:ascii="Arial" w:hAnsi="Arial"/>
                <w:sz w:val="16"/>
                <w:szCs w:val="16"/>
              </w:rPr>
            </w:pPr>
          </w:p>
          <w:p w14:paraId="00AE630A" w14:textId="77777777" w:rsidR="00040760" w:rsidRDefault="00040760" w:rsidP="000D4CBE">
            <w:pPr>
              <w:pStyle w:val="ListParagraph"/>
              <w:spacing w:after="60" w:line="240" w:lineRule="auto"/>
              <w:ind w:left="0"/>
              <w:rPr>
                <w:rFonts w:ascii="Arial" w:hAnsi="Arial"/>
                <w:sz w:val="16"/>
                <w:szCs w:val="16"/>
              </w:rPr>
            </w:pPr>
          </w:p>
          <w:p w14:paraId="3D1A2264" w14:textId="77777777" w:rsidR="00040760" w:rsidRDefault="00040760" w:rsidP="000D4CBE">
            <w:pPr>
              <w:pStyle w:val="ListParagraph"/>
              <w:spacing w:after="60" w:line="240" w:lineRule="auto"/>
              <w:ind w:left="0"/>
              <w:rPr>
                <w:rFonts w:ascii="Arial" w:hAnsi="Arial"/>
                <w:sz w:val="16"/>
                <w:szCs w:val="16"/>
              </w:rPr>
            </w:pPr>
          </w:p>
          <w:p w14:paraId="2EA6332B" w14:textId="77777777" w:rsidR="00040760" w:rsidRDefault="00040760" w:rsidP="000D4CBE">
            <w:pPr>
              <w:pStyle w:val="ListParagraph"/>
              <w:spacing w:after="60" w:line="240" w:lineRule="auto"/>
              <w:ind w:left="0"/>
              <w:rPr>
                <w:rFonts w:ascii="Arial" w:hAnsi="Arial"/>
                <w:sz w:val="16"/>
                <w:szCs w:val="16"/>
              </w:rPr>
            </w:pPr>
          </w:p>
          <w:p w14:paraId="3905B996" w14:textId="77777777" w:rsidR="00040760" w:rsidRDefault="00040760" w:rsidP="000D4CBE">
            <w:pPr>
              <w:pStyle w:val="ListParagraph"/>
              <w:spacing w:after="60" w:line="240" w:lineRule="auto"/>
              <w:ind w:left="0"/>
              <w:rPr>
                <w:rFonts w:ascii="Arial" w:hAnsi="Arial"/>
                <w:sz w:val="16"/>
                <w:szCs w:val="16"/>
              </w:rPr>
            </w:pPr>
          </w:p>
          <w:p w14:paraId="2BAD757A" w14:textId="77777777" w:rsidR="00040760" w:rsidRDefault="00040760" w:rsidP="000D4CBE">
            <w:pPr>
              <w:pStyle w:val="ListParagraph"/>
              <w:spacing w:after="60" w:line="240" w:lineRule="auto"/>
              <w:ind w:left="0"/>
              <w:rPr>
                <w:rFonts w:ascii="Arial" w:hAnsi="Arial"/>
                <w:sz w:val="16"/>
                <w:szCs w:val="16"/>
              </w:rPr>
            </w:pPr>
          </w:p>
          <w:p w14:paraId="388095D3" w14:textId="77777777" w:rsidR="00040760" w:rsidRDefault="00040760" w:rsidP="000D4CBE">
            <w:pPr>
              <w:pStyle w:val="ListParagraph"/>
              <w:spacing w:after="60" w:line="240" w:lineRule="auto"/>
              <w:ind w:left="0"/>
              <w:rPr>
                <w:rFonts w:ascii="Arial" w:hAnsi="Arial"/>
                <w:sz w:val="16"/>
                <w:szCs w:val="16"/>
              </w:rPr>
            </w:pPr>
          </w:p>
          <w:p w14:paraId="38008496" w14:textId="77777777" w:rsidR="00040760" w:rsidRDefault="00040760" w:rsidP="000D4CBE">
            <w:pPr>
              <w:pStyle w:val="ListParagraph"/>
              <w:spacing w:after="60" w:line="240" w:lineRule="auto"/>
              <w:ind w:left="0"/>
              <w:rPr>
                <w:rFonts w:ascii="Arial" w:hAnsi="Arial"/>
                <w:sz w:val="16"/>
                <w:szCs w:val="16"/>
              </w:rPr>
            </w:pPr>
          </w:p>
          <w:p w14:paraId="06EB4C88" w14:textId="77777777" w:rsidR="00040760" w:rsidRDefault="00040760" w:rsidP="000D4CBE">
            <w:pPr>
              <w:pStyle w:val="ListParagraph"/>
              <w:spacing w:after="60" w:line="240" w:lineRule="auto"/>
              <w:ind w:left="0"/>
              <w:rPr>
                <w:rFonts w:ascii="Arial" w:hAnsi="Arial"/>
                <w:sz w:val="16"/>
                <w:szCs w:val="16"/>
              </w:rPr>
            </w:pPr>
          </w:p>
          <w:p w14:paraId="0BE3AF50" w14:textId="77777777" w:rsidR="00EA7807" w:rsidRDefault="00EA7807" w:rsidP="000D4CBE">
            <w:pPr>
              <w:pStyle w:val="ListParagraph"/>
              <w:spacing w:after="60" w:line="240" w:lineRule="auto"/>
              <w:ind w:left="0"/>
              <w:rPr>
                <w:rFonts w:ascii="Arial" w:hAnsi="Arial"/>
                <w:sz w:val="16"/>
                <w:szCs w:val="16"/>
              </w:rPr>
            </w:pPr>
          </w:p>
          <w:p w14:paraId="38C9427D" w14:textId="77777777" w:rsidR="00040760" w:rsidRDefault="00040760" w:rsidP="000D4CBE">
            <w:pPr>
              <w:pStyle w:val="ListParagraph"/>
              <w:spacing w:after="60" w:line="240" w:lineRule="auto"/>
              <w:ind w:left="0"/>
              <w:rPr>
                <w:rFonts w:ascii="Arial" w:hAnsi="Arial"/>
                <w:sz w:val="16"/>
                <w:szCs w:val="16"/>
              </w:rPr>
            </w:pPr>
          </w:p>
          <w:p w14:paraId="1C08989E" w14:textId="77777777" w:rsidR="00040760" w:rsidRPr="00EA7807" w:rsidRDefault="00EA7807" w:rsidP="006F0B0E">
            <w:pPr>
              <w:pStyle w:val="ListParagraph"/>
              <w:spacing w:after="60" w:line="240" w:lineRule="auto"/>
              <w:ind w:left="0"/>
              <w:rPr>
                <w:rFonts w:ascii="Arial" w:hAnsi="Arial"/>
                <w:b/>
                <w:sz w:val="16"/>
                <w:szCs w:val="16"/>
              </w:rPr>
            </w:pPr>
            <w:r w:rsidRPr="00EA7807">
              <w:rPr>
                <w:rFonts w:ascii="Arial" w:hAnsi="Arial"/>
                <w:b/>
                <w:sz w:val="16"/>
                <w:szCs w:val="16"/>
              </w:rPr>
              <w:t>Performance measures</w:t>
            </w:r>
          </w:p>
        </w:tc>
        <w:tc>
          <w:tcPr>
            <w:tcW w:w="3118" w:type="dxa"/>
            <w:tcBorders>
              <w:top w:val="single" w:sz="4" w:space="0" w:color="auto"/>
              <w:left w:val="single" w:sz="4" w:space="0" w:color="auto"/>
              <w:bottom w:val="dotted" w:sz="4" w:space="0" w:color="auto"/>
            </w:tcBorders>
          </w:tcPr>
          <w:p w14:paraId="10D3ABC2" w14:textId="77777777" w:rsidR="00040760" w:rsidRPr="0055689E" w:rsidRDefault="00040760" w:rsidP="000D4CBE">
            <w:pPr>
              <w:pStyle w:val="Tabletextcell8left12"/>
              <w:spacing w:after="60"/>
              <w:rPr>
                <w:b/>
                <w:bCs/>
              </w:rPr>
            </w:pPr>
            <w:r w:rsidRPr="0055689E">
              <w:rPr>
                <w:b/>
                <w:bCs/>
              </w:rPr>
              <w:t>Due to the continued</w:t>
            </w:r>
            <w:r w:rsidR="00CA41DD">
              <w:rPr>
                <w:b/>
                <w:bCs/>
              </w:rPr>
              <w:t xml:space="preserve"> closure of the </w:t>
            </w:r>
            <w:r w:rsidR="00275F56">
              <w:rPr>
                <w:b/>
                <w:bCs/>
              </w:rPr>
              <w:t>museum</w:t>
            </w:r>
            <w:r>
              <w:rPr>
                <w:b/>
                <w:bCs/>
              </w:rPr>
              <w:t xml:space="preserve"> from the</w:t>
            </w:r>
            <w:r w:rsidRPr="0055689E">
              <w:rPr>
                <w:b/>
                <w:bCs/>
              </w:rPr>
              <w:t xml:space="preserve"> impacts of COVID </w:t>
            </w:r>
            <w:r w:rsidRPr="37E7CE84">
              <w:rPr>
                <w:b/>
                <w:bCs/>
              </w:rPr>
              <w:t>and the fire</w:t>
            </w:r>
            <w:r>
              <w:rPr>
                <w:b/>
                <w:bCs/>
              </w:rPr>
              <w:t xml:space="preserve">, </w:t>
            </w:r>
            <w:r w:rsidRPr="0055689E">
              <w:rPr>
                <w:b/>
                <w:bCs/>
              </w:rPr>
              <w:t xml:space="preserve">OPH is unlikely to meet onsite KPI’s. </w:t>
            </w:r>
            <w:r w:rsidR="00EA7807">
              <w:rPr>
                <w:b/>
                <w:bCs/>
              </w:rPr>
              <w:t xml:space="preserve">The </w:t>
            </w:r>
            <w:r w:rsidRPr="0055689E">
              <w:rPr>
                <w:b/>
                <w:bCs/>
              </w:rPr>
              <w:t xml:space="preserve">OPH expects to meet offsite and online KPI’s.  </w:t>
            </w:r>
          </w:p>
          <w:p w14:paraId="2370FA75" w14:textId="77777777" w:rsidR="00040760" w:rsidRPr="005B6AE5" w:rsidRDefault="00040760" w:rsidP="000D4CBE">
            <w:pPr>
              <w:pStyle w:val="Tabletextcell8left12"/>
              <w:spacing w:after="60"/>
            </w:pPr>
            <w:r w:rsidRPr="005B6AE5">
              <w:t xml:space="preserve">150,000 number of visits to the organisation. </w:t>
            </w:r>
          </w:p>
          <w:p w14:paraId="40453132" w14:textId="77777777" w:rsidR="00040760" w:rsidRPr="005B6AE5" w:rsidRDefault="00040760" w:rsidP="000D4CBE">
            <w:pPr>
              <w:pStyle w:val="Tabletextcell8left12"/>
              <w:spacing w:after="60"/>
            </w:pPr>
            <w:r w:rsidRPr="005B6AE5">
              <w:t>140,000 number of offsite visitors to the organisation.</w:t>
            </w:r>
          </w:p>
          <w:p w14:paraId="397D2B13" w14:textId="77777777" w:rsidR="00040760" w:rsidRPr="005B6AE5" w:rsidRDefault="00040760" w:rsidP="000D4CBE">
            <w:pPr>
              <w:pStyle w:val="Tabletextcell8left12"/>
              <w:spacing w:after="60"/>
            </w:pPr>
            <w:r>
              <w:t>500</w:t>
            </w:r>
            <w:r w:rsidRPr="005B6AE5">
              <w:t>,000 number of visits to the organisation’s website.</w:t>
            </w:r>
          </w:p>
          <w:p w14:paraId="11EA3E90" w14:textId="77777777" w:rsidR="00040760" w:rsidRPr="005B6AE5" w:rsidRDefault="00040760" w:rsidP="000D4CBE">
            <w:pPr>
              <w:pStyle w:val="Tabletextcell8left12"/>
              <w:spacing w:after="60"/>
            </w:pPr>
            <w:r w:rsidRPr="005B6AE5">
              <w:t>90% of visitors were satisfied with their visit.</w:t>
            </w:r>
          </w:p>
          <w:p w14:paraId="626ED8CD" w14:textId="77777777" w:rsidR="00040760" w:rsidRDefault="00040760" w:rsidP="000D4CBE">
            <w:pPr>
              <w:pStyle w:val="Tabletextcell8left12"/>
              <w:spacing w:after="60"/>
            </w:pPr>
            <w:r w:rsidRPr="005B6AE5">
              <w:t>35,000 people participating in public programs.</w:t>
            </w:r>
          </w:p>
          <w:p w14:paraId="51801D0B" w14:textId="77777777" w:rsidR="00EA7807" w:rsidRPr="005B6AE5" w:rsidRDefault="00EA7807" w:rsidP="000D4CBE">
            <w:pPr>
              <w:pStyle w:val="Tabletextcell8left12"/>
              <w:spacing w:after="60"/>
            </w:pPr>
          </w:p>
          <w:p w14:paraId="3AE71067" w14:textId="77777777" w:rsidR="00040760" w:rsidRDefault="00040760" w:rsidP="006F0B0E">
            <w:pPr>
              <w:pStyle w:val="Tabletextcell8left12"/>
              <w:spacing w:after="60"/>
            </w:pPr>
          </w:p>
          <w:p w14:paraId="4D6D1E5A" w14:textId="77777777" w:rsidR="00EA7807" w:rsidRPr="00EA7807" w:rsidRDefault="00EA7807" w:rsidP="006F0B0E">
            <w:pPr>
              <w:pStyle w:val="Tabletextcell8left12"/>
              <w:spacing w:after="60"/>
              <w:rPr>
                <w:b/>
              </w:rPr>
            </w:pPr>
            <w:r w:rsidRPr="00EA7807">
              <w:rPr>
                <w:b/>
              </w:rPr>
              <w:t>Expected performance results</w:t>
            </w:r>
          </w:p>
        </w:tc>
      </w:tr>
      <w:tr w:rsidR="00EA7807" w:rsidRPr="001B2F81" w14:paraId="698C2383" w14:textId="77777777" w:rsidTr="000D4CBE">
        <w:trPr>
          <w:trHeight w:val="642"/>
        </w:trPr>
        <w:tc>
          <w:tcPr>
            <w:tcW w:w="1560" w:type="dxa"/>
            <w:tcBorders>
              <w:top w:val="single" w:sz="4" w:space="0" w:color="auto"/>
              <w:bottom w:val="dotted" w:sz="4" w:space="0" w:color="auto"/>
              <w:right w:val="single" w:sz="4" w:space="0" w:color="auto"/>
            </w:tcBorders>
          </w:tcPr>
          <w:p w14:paraId="19153C43" w14:textId="77777777" w:rsidR="00EA7807" w:rsidRPr="00EA7807" w:rsidRDefault="00EA7807" w:rsidP="00EA7807">
            <w:pPr>
              <w:pStyle w:val="TableTextBase"/>
              <w:rPr>
                <w:sz w:val="16"/>
                <w:szCs w:val="16"/>
              </w:rPr>
            </w:pPr>
            <w:r w:rsidRPr="00EA7807">
              <w:rPr>
                <w:sz w:val="16"/>
                <w:szCs w:val="16"/>
              </w:rPr>
              <w:t xml:space="preserve">Current year </w:t>
            </w:r>
          </w:p>
          <w:p w14:paraId="5EB597C0" w14:textId="77777777" w:rsidR="00EA7807" w:rsidRPr="00EA7807" w:rsidRDefault="00EA7807" w:rsidP="00EA7807">
            <w:pPr>
              <w:pStyle w:val="TableTextBase"/>
              <w:rPr>
                <w:rFonts w:cs="Arial"/>
                <w:sz w:val="16"/>
                <w:szCs w:val="16"/>
              </w:rPr>
            </w:pPr>
            <w:r w:rsidRPr="00EA7807">
              <w:rPr>
                <w:rFonts w:cs="Arial"/>
                <w:sz w:val="16"/>
                <w:szCs w:val="16"/>
              </w:rPr>
              <w:t>2021-22</w:t>
            </w:r>
          </w:p>
          <w:p w14:paraId="778B908A" w14:textId="77777777" w:rsidR="00EA7807" w:rsidRPr="00EA7807" w:rsidRDefault="00EA7807" w:rsidP="000D4CBE">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4034FEA3" w14:textId="77777777" w:rsidR="00EA7807" w:rsidRPr="005B6AE5" w:rsidRDefault="00EA7807" w:rsidP="000D4CBE">
            <w:pPr>
              <w:pStyle w:val="ListParagraph"/>
              <w:spacing w:after="60" w:line="240" w:lineRule="auto"/>
              <w:ind w:left="0"/>
              <w:rPr>
                <w:rFonts w:ascii="Arial" w:hAnsi="Arial"/>
                <w:b/>
                <w:sz w:val="16"/>
                <w:szCs w:val="16"/>
              </w:rPr>
            </w:pPr>
            <w:r w:rsidRPr="005B6AE5">
              <w:rPr>
                <w:rFonts w:ascii="Arial" w:hAnsi="Arial"/>
                <w:b/>
                <w:sz w:val="16"/>
                <w:szCs w:val="16"/>
              </w:rPr>
              <w:t xml:space="preserve">Collect, share and </w:t>
            </w:r>
            <w:r>
              <w:rPr>
                <w:rFonts w:ascii="Arial" w:hAnsi="Arial"/>
                <w:b/>
                <w:sz w:val="16"/>
                <w:szCs w:val="16"/>
              </w:rPr>
              <w:t xml:space="preserve">digitise </w:t>
            </w:r>
            <w:r w:rsidRPr="005B6AE5">
              <w:rPr>
                <w:rFonts w:ascii="Arial" w:hAnsi="Arial"/>
                <w:b/>
                <w:sz w:val="16"/>
                <w:szCs w:val="16"/>
              </w:rPr>
              <w:t>—</w:t>
            </w:r>
            <w:r>
              <w:rPr>
                <w:rFonts w:ascii="Arial" w:hAnsi="Arial"/>
                <w:b/>
                <w:sz w:val="16"/>
                <w:szCs w:val="16"/>
              </w:rPr>
              <w:t xml:space="preserve"> </w:t>
            </w:r>
            <w:r w:rsidRPr="005B6AE5">
              <w:rPr>
                <w:rFonts w:ascii="Arial" w:hAnsi="Arial"/>
                <w:sz w:val="16"/>
                <w:szCs w:val="16"/>
              </w:rPr>
              <w:t>build and maintain a rich national collection for current and future generations of Australians to enjoy and learn from</w:t>
            </w:r>
            <w:r>
              <w:rPr>
                <w:rFonts w:ascii="Arial" w:hAnsi="Arial"/>
                <w:sz w:val="16"/>
                <w:szCs w:val="16"/>
              </w:rPr>
              <w:t>.</w:t>
            </w:r>
          </w:p>
        </w:tc>
        <w:tc>
          <w:tcPr>
            <w:tcW w:w="3118" w:type="dxa"/>
            <w:tcBorders>
              <w:top w:val="single" w:sz="4" w:space="0" w:color="auto"/>
              <w:left w:val="single" w:sz="4" w:space="0" w:color="auto"/>
              <w:bottom w:val="dotted" w:sz="4" w:space="0" w:color="auto"/>
            </w:tcBorders>
          </w:tcPr>
          <w:p w14:paraId="4C197A79" w14:textId="77777777" w:rsidR="00EA7807" w:rsidRPr="005B6AE5" w:rsidRDefault="00EA7807" w:rsidP="00EA7807">
            <w:pPr>
              <w:pStyle w:val="Tabletextcell8left12"/>
              <w:spacing w:after="60"/>
            </w:pPr>
            <w:r w:rsidRPr="005B6AE5">
              <w:t>45,000 students and teachers participating in school programs onsite and offsite.</w:t>
            </w:r>
          </w:p>
          <w:p w14:paraId="087C43D6" w14:textId="77777777" w:rsidR="00EA7807" w:rsidRPr="005B6AE5" w:rsidRDefault="00EA7807" w:rsidP="00EA7807">
            <w:pPr>
              <w:pStyle w:val="Tabletextcell8left12"/>
              <w:spacing w:after="60"/>
            </w:pPr>
            <w:r w:rsidRPr="005B6AE5">
              <w:t>80,000 students and teachers participating in virtual and online excursions.</w:t>
            </w:r>
          </w:p>
          <w:p w14:paraId="22430DFC" w14:textId="77777777" w:rsidR="00EA7807" w:rsidRPr="005B6AE5" w:rsidRDefault="00EA7807" w:rsidP="00EA7807">
            <w:pPr>
              <w:pStyle w:val="Tabletextcell8left12"/>
              <w:spacing w:after="60"/>
            </w:pPr>
            <w:r>
              <w:t>900</w:t>
            </w:r>
            <w:r w:rsidRPr="005B6AE5">
              <w:t xml:space="preserve"> educational institutions participating in organised school learning programs.</w:t>
            </w:r>
          </w:p>
          <w:p w14:paraId="017C3A97" w14:textId="77777777" w:rsidR="00EA7807" w:rsidRPr="005B6AE5" w:rsidRDefault="00EA7807" w:rsidP="00EA7807">
            <w:pPr>
              <w:pStyle w:val="Tabletextcell8left12"/>
              <w:spacing w:after="60"/>
            </w:pPr>
          </w:p>
          <w:p w14:paraId="15E0759F" w14:textId="77777777" w:rsidR="00EA7807" w:rsidRPr="0055689E" w:rsidRDefault="00EA7807" w:rsidP="00EA7807">
            <w:pPr>
              <w:pStyle w:val="Tabletextcell8left12"/>
              <w:spacing w:after="60"/>
              <w:rPr>
                <w:b/>
                <w:bCs/>
              </w:rPr>
            </w:pPr>
            <w:r w:rsidRPr="0055689E">
              <w:rPr>
                <w:b/>
                <w:bCs/>
              </w:rPr>
              <w:t>Expected to meet KPI</w:t>
            </w:r>
          </w:p>
          <w:p w14:paraId="5F0D022B" w14:textId="77777777" w:rsidR="00EA7807" w:rsidRPr="005B6AE5" w:rsidRDefault="00EA7807" w:rsidP="00EA7807">
            <w:pPr>
              <w:pStyle w:val="Tabletextcell8left12"/>
              <w:spacing w:after="60"/>
            </w:pPr>
            <w:r w:rsidRPr="005B6AE5">
              <w:t>95% of teachers reporting overall positive experience.</w:t>
            </w:r>
          </w:p>
          <w:p w14:paraId="111913D0" w14:textId="77777777" w:rsidR="00EA7807" w:rsidRDefault="00EA7807" w:rsidP="00EA7807">
            <w:pPr>
              <w:pStyle w:val="Tabletextcell8left12"/>
              <w:spacing w:after="60"/>
            </w:pPr>
            <w:r w:rsidRPr="005B6AE5">
              <w:t>95% of teachers reporting relevance to the classroom curriculum.</w:t>
            </w:r>
          </w:p>
          <w:p w14:paraId="0A19C8D0" w14:textId="77777777" w:rsidR="00EA7807" w:rsidRDefault="00EA7807" w:rsidP="00EA7807">
            <w:pPr>
              <w:pStyle w:val="Tabletextcell8left12"/>
              <w:spacing w:after="60"/>
            </w:pPr>
          </w:p>
          <w:p w14:paraId="1A399A86" w14:textId="77777777" w:rsidR="00EA7807" w:rsidRDefault="00EA7807" w:rsidP="00EA7807">
            <w:pPr>
              <w:pStyle w:val="Tabletextcell8left12"/>
              <w:spacing w:after="60"/>
            </w:pPr>
          </w:p>
          <w:p w14:paraId="2EE9BAAE" w14:textId="77777777" w:rsidR="00EA7807" w:rsidRPr="005B6AE5" w:rsidRDefault="00EA7807" w:rsidP="00EA7807">
            <w:pPr>
              <w:pStyle w:val="Tabletextcell8left12"/>
              <w:spacing w:after="60"/>
            </w:pPr>
            <w:r w:rsidRPr="005B6AE5">
              <w:t>35% of the total collection available to the public.</w:t>
            </w:r>
          </w:p>
          <w:p w14:paraId="57AB814C" w14:textId="77777777" w:rsidR="00EA7807" w:rsidRPr="0055689E" w:rsidRDefault="00EA7807" w:rsidP="00EA7807">
            <w:pPr>
              <w:pStyle w:val="Tabletextcell8left12"/>
              <w:spacing w:after="60"/>
              <w:rPr>
                <w:b/>
                <w:bCs/>
              </w:rPr>
            </w:pPr>
            <w:r w:rsidRPr="005B6AE5">
              <w:t>90% of the tota</w:t>
            </w:r>
            <w:r>
              <w:t>l collection digitised.</w:t>
            </w:r>
          </w:p>
        </w:tc>
      </w:tr>
      <w:tr w:rsidR="00040760" w:rsidRPr="001B2F81" w14:paraId="33DB8B3A" w14:textId="77777777" w:rsidTr="000D4CBE">
        <w:trPr>
          <w:trHeight w:val="100"/>
        </w:trPr>
        <w:tc>
          <w:tcPr>
            <w:tcW w:w="1560" w:type="dxa"/>
            <w:tcBorders>
              <w:top w:val="single" w:sz="4" w:space="0" w:color="auto"/>
              <w:bottom w:val="dotted" w:sz="4" w:space="0" w:color="auto"/>
              <w:right w:val="single" w:sz="4" w:space="0" w:color="auto"/>
            </w:tcBorders>
          </w:tcPr>
          <w:p w14:paraId="403B4FCD" w14:textId="77777777" w:rsidR="00040760" w:rsidRDefault="00040760" w:rsidP="000D4CBE">
            <w:pPr>
              <w:pStyle w:val="TableTextBase"/>
              <w:rPr>
                <w:sz w:val="16"/>
                <w:szCs w:val="16"/>
              </w:rPr>
            </w:pPr>
            <w:r w:rsidRPr="00EA7807">
              <w:rPr>
                <w:sz w:val="16"/>
                <w:szCs w:val="16"/>
              </w:rPr>
              <w:t>Budget Year     2022-23</w:t>
            </w:r>
          </w:p>
          <w:p w14:paraId="3E7144F0" w14:textId="77777777" w:rsidR="00EA7807" w:rsidRDefault="00EA7807" w:rsidP="000D4CBE">
            <w:pPr>
              <w:pStyle w:val="TableTextBase"/>
              <w:rPr>
                <w:sz w:val="16"/>
                <w:szCs w:val="16"/>
              </w:rPr>
            </w:pPr>
          </w:p>
          <w:p w14:paraId="1A6E8062" w14:textId="77777777" w:rsidR="00EA7807" w:rsidRDefault="00EA7807" w:rsidP="000D4CBE">
            <w:pPr>
              <w:pStyle w:val="TableTextBase"/>
              <w:rPr>
                <w:sz w:val="16"/>
                <w:szCs w:val="16"/>
              </w:rPr>
            </w:pPr>
          </w:p>
          <w:p w14:paraId="1C3FF73C" w14:textId="77777777" w:rsidR="00EA7807" w:rsidRDefault="00EA7807" w:rsidP="000D4CBE">
            <w:pPr>
              <w:pStyle w:val="TableTextBase"/>
              <w:rPr>
                <w:sz w:val="16"/>
                <w:szCs w:val="16"/>
              </w:rPr>
            </w:pPr>
          </w:p>
          <w:p w14:paraId="5CFC8526" w14:textId="77777777" w:rsidR="00EA7807" w:rsidRDefault="00EA7807" w:rsidP="000D4CBE">
            <w:pPr>
              <w:pStyle w:val="TableTextBase"/>
              <w:rPr>
                <w:sz w:val="16"/>
                <w:szCs w:val="16"/>
              </w:rPr>
            </w:pPr>
          </w:p>
          <w:p w14:paraId="5E8CE02A" w14:textId="77777777" w:rsidR="00EA7807" w:rsidRDefault="00EA7807" w:rsidP="000D4CBE">
            <w:pPr>
              <w:pStyle w:val="TableTextBase"/>
              <w:rPr>
                <w:sz w:val="16"/>
                <w:szCs w:val="16"/>
              </w:rPr>
            </w:pPr>
          </w:p>
          <w:p w14:paraId="5D809189" w14:textId="77777777" w:rsidR="00EA7807" w:rsidRDefault="00EA7807" w:rsidP="000D4CBE">
            <w:pPr>
              <w:pStyle w:val="TableTextBase"/>
              <w:rPr>
                <w:sz w:val="16"/>
                <w:szCs w:val="16"/>
              </w:rPr>
            </w:pPr>
          </w:p>
          <w:p w14:paraId="285C0C4A" w14:textId="77777777" w:rsidR="00EA7807" w:rsidRDefault="00EA7807" w:rsidP="000D4CBE">
            <w:pPr>
              <w:pStyle w:val="TableTextBase"/>
              <w:rPr>
                <w:sz w:val="16"/>
                <w:szCs w:val="16"/>
              </w:rPr>
            </w:pPr>
          </w:p>
          <w:p w14:paraId="6E502C5A" w14:textId="77777777" w:rsidR="00EA7807" w:rsidRDefault="00EA7807" w:rsidP="000D4CBE">
            <w:pPr>
              <w:pStyle w:val="TableTextBase"/>
              <w:rPr>
                <w:sz w:val="16"/>
                <w:szCs w:val="16"/>
              </w:rPr>
            </w:pPr>
          </w:p>
          <w:p w14:paraId="14C25EC0" w14:textId="77777777" w:rsidR="00EA7807" w:rsidRDefault="00EA7807" w:rsidP="000D4CBE">
            <w:pPr>
              <w:pStyle w:val="TableTextBase"/>
              <w:rPr>
                <w:sz w:val="16"/>
                <w:szCs w:val="16"/>
              </w:rPr>
            </w:pPr>
          </w:p>
          <w:p w14:paraId="7FB9AE82" w14:textId="77777777" w:rsidR="00EA7807" w:rsidRDefault="00EA7807" w:rsidP="000D4CBE">
            <w:pPr>
              <w:pStyle w:val="TableTextBase"/>
              <w:rPr>
                <w:sz w:val="16"/>
                <w:szCs w:val="16"/>
              </w:rPr>
            </w:pPr>
          </w:p>
          <w:p w14:paraId="1168AB5D" w14:textId="77777777" w:rsidR="00EA7807" w:rsidRDefault="00EA7807" w:rsidP="000D4CBE">
            <w:pPr>
              <w:pStyle w:val="TableTextBase"/>
              <w:rPr>
                <w:sz w:val="16"/>
                <w:szCs w:val="16"/>
              </w:rPr>
            </w:pPr>
          </w:p>
          <w:p w14:paraId="7782C541" w14:textId="77777777" w:rsidR="00EA7807" w:rsidRDefault="00EA7807" w:rsidP="000D4CBE">
            <w:pPr>
              <w:pStyle w:val="TableTextBase"/>
              <w:rPr>
                <w:sz w:val="16"/>
                <w:szCs w:val="16"/>
              </w:rPr>
            </w:pPr>
          </w:p>
          <w:p w14:paraId="6ED650D6" w14:textId="77777777" w:rsidR="00EA7807" w:rsidRDefault="00EA7807" w:rsidP="000D4CBE">
            <w:pPr>
              <w:pStyle w:val="TableTextBase"/>
              <w:rPr>
                <w:sz w:val="16"/>
                <w:szCs w:val="16"/>
              </w:rPr>
            </w:pPr>
          </w:p>
          <w:p w14:paraId="2EE81642" w14:textId="77777777" w:rsidR="00EA7807" w:rsidRDefault="00EA7807" w:rsidP="000D4CBE">
            <w:pPr>
              <w:pStyle w:val="TableTextBase"/>
              <w:rPr>
                <w:sz w:val="16"/>
                <w:szCs w:val="16"/>
              </w:rPr>
            </w:pPr>
          </w:p>
          <w:p w14:paraId="18AAA6D7" w14:textId="77777777" w:rsidR="00EA7807" w:rsidRDefault="00EA7807" w:rsidP="000D4CBE">
            <w:pPr>
              <w:pStyle w:val="TableTextBase"/>
              <w:rPr>
                <w:sz w:val="16"/>
                <w:szCs w:val="16"/>
              </w:rPr>
            </w:pPr>
          </w:p>
          <w:p w14:paraId="65CF36CF" w14:textId="77777777" w:rsidR="00EA7807" w:rsidRDefault="00EA7807" w:rsidP="000D4CBE">
            <w:pPr>
              <w:pStyle w:val="TableTextBase"/>
              <w:rPr>
                <w:sz w:val="16"/>
                <w:szCs w:val="16"/>
              </w:rPr>
            </w:pPr>
          </w:p>
          <w:p w14:paraId="59767F96" w14:textId="77777777" w:rsidR="00EA7807" w:rsidRPr="00EA7807" w:rsidRDefault="00EA7807" w:rsidP="000D4CBE">
            <w:pPr>
              <w:pStyle w:val="TableTextBase"/>
              <w:rPr>
                <w:b/>
                <w:sz w:val="16"/>
                <w:szCs w:val="16"/>
              </w:rPr>
            </w:pPr>
            <w:r w:rsidRPr="00EA7807">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320975E9" w14:textId="77777777" w:rsidR="00040760" w:rsidRPr="007E7BB6" w:rsidRDefault="00040760" w:rsidP="000D4CBE">
            <w:pPr>
              <w:pStyle w:val="ListParagraph"/>
              <w:spacing w:after="60" w:line="240" w:lineRule="auto"/>
              <w:ind w:left="0"/>
              <w:rPr>
                <w:rFonts w:ascii="Arial" w:hAnsi="Arial"/>
                <w:sz w:val="16"/>
                <w:szCs w:val="16"/>
              </w:rPr>
            </w:pPr>
            <w:r w:rsidRPr="007E7BB6">
              <w:rPr>
                <w:rFonts w:ascii="Arial" w:hAnsi="Arial"/>
                <w:b/>
                <w:sz w:val="16"/>
                <w:szCs w:val="16"/>
              </w:rPr>
              <w:t>Deliver a spectrum of experiences</w:t>
            </w:r>
            <w:r w:rsidRPr="007E7BB6">
              <w:rPr>
                <w:rFonts w:ascii="Arial" w:hAnsi="Arial"/>
                <w:sz w:val="16"/>
                <w:szCs w:val="16"/>
              </w:rPr>
              <w:t xml:space="preserve"> – exhibitions, events, learning programs and digital activities that allow our audience to engage with the concepts and history of democracy.</w:t>
            </w:r>
          </w:p>
          <w:p w14:paraId="2FFD2C02" w14:textId="77777777" w:rsidR="00040760" w:rsidRPr="007E7BB6" w:rsidRDefault="00040760" w:rsidP="000D4CBE">
            <w:pPr>
              <w:pStyle w:val="ListParagraph"/>
              <w:spacing w:after="60" w:line="240" w:lineRule="auto"/>
              <w:ind w:left="0"/>
              <w:rPr>
                <w:rFonts w:ascii="Arial" w:hAnsi="Arial"/>
                <w:sz w:val="16"/>
                <w:szCs w:val="16"/>
              </w:rPr>
            </w:pPr>
          </w:p>
          <w:p w14:paraId="1E8E23B1" w14:textId="77777777" w:rsidR="00040760" w:rsidRPr="007E7BB6" w:rsidRDefault="00040760" w:rsidP="000D4CBE">
            <w:pPr>
              <w:pStyle w:val="ListParagraph"/>
              <w:spacing w:after="60" w:line="240" w:lineRule="auto"/>
              <w:ind w:left="0"/>
              <w:rPr>
                <w:rFonts w:ascii="Arial" w:hAnsi="Arial"/>
                <w:sz w:val="16"/>
                <w:szCs w:val="16"/>
              </w:rPr>
            </w:pPr>
          </w:p>
          <w:p w14:paraId="4DFC0468" w14:textId="77777777" w:rsidR="00040760" w:rsidRPr="007E7BB6" w:rsidRDefault="00040760" w:rsidP="000D4CBE">
            <w:pPr>
              <w:pStyle w:val="ListParagraph"/>
              <w:spacing w:after="60" w:line="240" w:lineRule="auto"/>
              <w:ind w:left="0"/>
              <w:rPr>
                <w:rFonts w:ascii="Arial" w:hAnsi="Arial"/>
                <w:sz w:val="16"/>
                <w:szCs w:val="16"/>
              </w:rPr>
            </w:pPr>
          </w:p>
          <w:p w14:paraId="5841F215" w14:textId="77777777" w:rsidR="00040760" w:rsidRPr="007E7BB6" w:rsidRDefault="00040760" w:rsidP="000D4CBE">
            <w:pPr>
              <w:pStyle w:val="ListParagraph"/>
              <w:spacing w:after="60" w:line="240" w:lineRule="auto"/>
              <w:ind w:left="0"/>
              <w:rPr>
                <w:rFonts w:ascii="Arial" w:hAnsi="Arial"/>
                <w:sz w:val="16"/>
                <w:szCs w:val="16"/>
              </w:rPr>
            </w:pPr>
          </w:p>
          <w:p w14:paraId="74F0E379" w14:textId="77777777" w:rsidR="00040760" w:rsidRPr="007E7BB6" w:rsidRDefault="00040760" w:rsidP="000D4CBE">
            <w:pPr>
              <w:pStyle w:val="ListParagraph"/>
              <w:spacing w:after="60" w:line="240" w:lineRule="auto"/>
              <w:ind w:left="0"/>
              <w:rPr>
                <w:rFonts w:ascii="Arial" w:hAnsi="Arial"/>
                <w:sz w:val="16"/>
                <w:szCs w:val="16"/>
              </w:rPr>
            </w:pPr>
          </w:p>
          <w:p w14:paraId="58537C9C" w14:textId="77777777" w:rsidR="00040760" w:rsidRPr="007E7BB6" w:rsidRDefault="00040760" w:rsidP="000D4CBE">
            <w:pPr>
              <w:pStyle w:val="ListParagraph"/>
              <w:spacing w:after="60" w:line="240" w:lineRule="auto"/>
              <w:ind w:left="0"/>
              <w:rPr>
                <w:rFonts w:ascii="Arial" w:hAnsi="Arial"/>
                <w:sz w:val="16"/>
                <w:szCs w:val="16"/>
              </w:rPr>
            </w:pPr>
          </w:p>
          <w:p w14:paraId="15E05CFE" w14:textId="77777777" w:rsidR="00040760" w:rsidRPr="007E7BB6" w:rsidRDefault="00040760" w:rsidP="000D4CBE">
            <w:pPr>
              <w:pStyle w:val="ListParagraph"/>
              <w:spacing w:after="60" w:line="240" w:lineRule="auto"/>
              <w:ind w:left="0"/>
              <w:rPr>
                <w:rFonts w:ascii="Arial" w:hAnsi="Arial"/>
                <w:sz w:val="16"/>
                <w:szCs w:val="16"/>
              </w:rPr>
            </w:pPr>
          </w:p>
          <w:p w14:paraId="5B5C3A76" w14:textId="77777777" w:rsidR="00040760" w:rsidRPr="007E7BB6" w:rsidRDefault="00040760" w:rsidP="000D4CBE">
            <w:pPr>
              <w:pStyle w:val="ListParagraph"/>
              <w:spacing w:after="60" w:line="240" w:lineRule="auto"/>
              <w:ind w:left="0"/>
              <w:rPr>
                <w:rFonts w:ascii="Arial" w:hAnsi="Arial"/>
                <w:sz w:val="16"/>
                <w:szCs w:val="16"/>
              </w:rPr>
            </w:pPr>
          </w:p>
          <w:p w14:paraId="7C3BB7ED" w14:textId="77777777" w:rsidR="00040760" w:rsidRPr="007E7BB6" w:rsidRDefault="00040760" w:rsidP="000D4CBE">
            <w:pPr>
              <w:pStyle w:val="ListParagraph"/>
              <w:spacing w:after="60" w:line="240" w:lineRule="auto"/>
              <w:ind w:left="0"/>
              <w:rPr>
                <w:rFonts w:ascii="Arial" w:hAnsi="Arial"/>
                <w:sz w:val="16"/>
                <w:szCs w:val="16"/>
              </w:rPr>
            </w:pPr>
          </w:p>
          <w:p w14:paraId="1A0BF0FE" w14:textId="77777777" w:rsidR="00040760" w:rsidRPr="007E7BB6" w:rsidRDefault="00040760" w:rsidP="000D4CBE">
            <w:pPr>
              <w:pStyle w:val="ListParagraph"/>
              <w:spacing w:after="60" w:line="240" w:lineRule="auto"/>
              <w:ind w:left="0"/>
              <w:rPr>
                <w:rFonts w:ascii="Arial" w:hAnsi="Arial"/>
                <w:sz w:val="16"/>
                <w:szCs w:val="16"/>
              </w:rPr>
            </w:pPr>
          </w:p>
          <w:p w14:paraId="5728F758" w14:textId="77777777" w:rsidR="00040760" w:rsidRPr="007E7BB6" w:rsidRDefault="00040760" w:rsidP="000D4CBE">
            <w:pPr>
              <w:pStyle w:val="ListParagraph"/>
              <w:spacing w:after="60" w:line="240" w:lineRule="auto"/>
              <w:ind w:left="0"/>
              <w:rPr>
                <w:rFonts w:ascii="Arial" w:hAnsi="Arial"/>
                <w:sz w:val="16"/>
                <w:szCs w:val="16"/>
              </w:rPr>
            </w:pPr>
          </w:p>
          <w:p w14:paraId="59A5D837" w14:textId="77777777" w:rsidR="00040760" w:rsidRPr="007E7BB6" w:rsidRDefault="00040760" w:rsidP="000D4CBE">
            <w:pPr>
              <w:pStyle w:val="ListParagraph"/>
              <w:spacing w:after="60" w:line="240" w:lineRule="auto"/>
              <w:ind w:left="0"/>
              <w:rPr>
                <w:rFonts w:ascii="Arial" w:hAnsi="Arial"/>
                <w:sz w:val="16"/>
                <w:szCs w:val="16"/>
              </w:rPr>
            </w:pPr>
          </w:p>
          <w:p w14:paraId="4A648960" w14:textId="77777777" w:rsidR="00040760" w:rsidRPr="007E7BB6" w:rsidRDefault="00040760" w:rsidP="000D4CBE">
            <w:pPr>
              <w:pStyle w:val="ListParagraph"/>
              <w:spacing w:after="60" w:line="240" w:lineRule="auto"/>
              <w:ind w:left="0"/>
              <w:rPr>
                <w:rFonts w:ascii="Arial" w:hAnsi="Arial"/>
                <w:sz w:val="16"/>
                <w:szCs w:val="16"/>
              </w:rPr>
            </w:pPr>
          </w:p>
          <w:p w14:paraId="0DF70816" w14:textId="77777777" w:rsidR="00040760" w:rsidRPr="007E7BB6" w:rsidRDefault="00040760" w:rsidP="000D4CBE">
            <w:pPr>
              <w:pStyle w:val="ListParagraph"/>
              <w:spacing w:after="60" w:line="240" w:lineRule="auto"/>
              <w:ind w:left="0"/>
              <w:rPr>
                <w:rFonts w:ascii="Arial" w:hAnsi="Arial"/>
                <w:sz w:val="16"/>
                <w:szCs w:val="16"/>
              </w:rPr>
            </w:pPr>
          </w:p>
          <w:p w14:paraId="58FDF029" w14:textId="77777777" w:rsidR="00040760" w:rsidRPr="007E7BB6" w:rsidRDefault="00040760" w:rsidP="000D4CBE">
            <w:pPr>
              <w:pStyle w:val="ListParagraph"/>
              <w:spacing w:after="60" w:line="240" w:lineRule="auto"/>
              <w:ind w:left="0"/>
              <w:rPr>
                <w:rFonts w:ascii="Arial" w:hAnsi="Arial"/>
                <w:sz w:val="16"/>
                <w:szCs w:val="16"/>
              </w:rPr>
            </w:pPr>
          </w:p>
          <w:p w14:paraId="20F32944" w14:textId="77777777" w:rsidR="00040760" w:rsidRPr="007E7BB6" w:rsidRDefault="00040760" w:rsidP="000D4CBE">
            <w:pPr>
              <w:pStyle w:val="ListParagraph"/>
              <w:spacing w:after="60" w:line="240" w:lineRule="auto"/>
              <w:ind w:left="0"/>
              <w:rPr>
                <w:rFonts w:ascii="Arial" w:hAnsi="Arial"/>
                <w:sz w:val="16"/>
                <w:szCs w:val="16"/>
              </w:rPr>
            </w:pPr>
          </w:p>
          <w:p w14:paraId="2B82DD69" w14:textId="77777777" w:rsidR="004C12AF" w:rsidRDefault="004C12AF" w:rsidP="000D4CBE">
            <w:pPr>
              <w:pStyle w:val="TableTextBase"/>
              <w:rPr>
                <w:sz w:val="16"/>
                <w:szCs w:val="16"/>
              </w:rPr>
            </w:pPr>
          </w:p>
          <w:p w14:paraId="5674D877" w14:textId="77777777" w:rsidR="00EA7807" w:rsidRDefault="00EA7807" w:rsidP="000D4CBE">
            <w:pPr>
              <w:pStyle w:val="TableTextBase"/>
              <w:rPr>
                <w:sz w:val="16"/>
                <w:szCs w:val="16"/>
              </w:rPr>
            </w:pPr>
          </w:p>
          <w:p w14:paraId="5BA12678" w14:textId="77777777" w:rsidR="00EA7807" w:rsidRPr="00EA7807" w:rsidRDefault="00EA7807" w:rsidP="000D4CBE">
            <w:pPr>
              <w:pStyle w:val="TableTextBase"/>
              <w:rPr>
                <w:b/>
                <w:sz w:val="16"/>
                <w:szCs w:val="16"/>
              </w:rPr>
            </w:pPr>
            <w:r w:rsidRPr="00EA7807">
              <w:rPr>
                <w:b/>
                <w:sz w:val="16"/>
                <w:szCs w:val="16"/>
              </w:rPr>
              <w:t>Performance measures</w:t>
            </w:r>
          </w:p>
        </w:tc>
        <w:tc>
          <w:tcPr>
            <w:tcW w:w="3118" w:type="dxa"/>
            <w:tcBorders>
              <w:top w:val="single" w:sz="4" w:space="0" w:color="auto"/>
              <w:left w:val="single" w:sz="4" w:space="0" w:color="auto"/>
              <w:bottom w:val="dotted" w:sz="4" w:space="0" w:color="auto"/>
            </w:tcBorders>
          </w:tcPr>
          <w:p w14:paraId="504DB03F" w14:textId="77777777" w:rsidR="00040760" w:rsidRPr="00EA7807" w:rsidRDefault="00040760" w:rsidP="000D4CBE">
            <w:pPr>
              <w:pStyle w:val="Tabletextcell8left12"/>
              <w:spacing w:after="60"/>
              <w:rPr>
                <w:color w:val="000000" w:themeColor="text1"/>
              </w:rPr>
            </w:pPr>
            <w:r w:rsidRPr="00EA7807">
              <w:rPr>
                <w:color w:val="000000" w:themeColor="text1"/>
              </w:rPr>
              <w:t xml:space="preserve">180,000 number of visits to the organisation. </w:t>
            </w:r>
          </w:p>
          <w:p w14:paraId="4F6F34E1" w14:textId="77777777" w:rsidR="00040760" w:rsidRPr="00EA7807" w:rsidRDefault="00040760" w:rsidP="000D4CBE">
            <w:pPr>
              <w:pStyle w:val="Tabletextcell8left12"/>
              <w:spacing w:after="60"/>
              <w:rPr>
                <w:color w:val="000000" w:themeColor="text1"/>
              </w:rPr>
            </w:pPr>
            <w:r w:rsidRPr="00EA7807">
              <w:rPr>
                <w:color w:val="000000" w:themeColor="text1"/>
              </w:rPr>
              <w:t xml:space="preserve">125,000 number of offsite visitors </w:t>
            </w:r>
          </w:p>
          <w:p w14:paraId="784C8D54" w14:textId="77777777" w:rsidR="00040760" w:rsidRPr="00EA7807" w:rsidRDefault="00040760" w:rsidP="000D4CBE">
            <w:pPr>
              <w:pStyle w:val="Tabletextcell8left12"/>
              <w:spacing w:after="60"/>
              <w:rPr>
                <w:color w:val="000000" w:themeColor="text1"/>
              </w:rPr>
            </w:pPr>
            <w:r w:rsidRPr="00EA7807">
              <w:rPr>
                <w:color w:val="000000" w:themeColor="text1"/>
              </w:rPr>
              <w:t>800,000 number of visits to the organisation’s website.</w:t>
            </w:r>
          </w:p>
          <w:p w14:paraId="2BD6B771" w14:textId="77777777" w:rsidR="00040760" w:rsidRPr="00EA7807" w:rsidRDefault="00040760" w:rsidP="000D4CBE">
            <w:pPr>
              <w:pStyle w:val="Tabletextcell8left12"/>
              <w:spacing w:after="60"/>
              <w:rPr>
                <w:color w:val="000000" w:themeColor="text1"/>
              </w:rPr>
            </w:pPr>
            <w:r w:rsidRPr="00EA7807">
              <w:rPr>
                <w:color w:val="000000" w:themeColor="text1"/>
              </w:rPr>
              <w:t>90% of visitors were satisfied with their visit.</w:t>
            </w:r>
          </w:p>
          <w:p w14:paraId="6748417D" w14:textId="77777777" w:rsidR="00040760" w:rsidRPr="00EA7807" w:rsidRDefault="00040760" w:rsidP="000D4CBE">
            <w:pPr>
              <w:pStyle w:val="Tabletextcell8left12"/>
              <w:spacing w:after="60"/>
              <w:rPr>
                <w:color w:val="000000" w:themeColor="text1"/>
              </w:rPr>
            </w:pPr>
            <w:r w:rsidRPr="00EA7807">
              <w:rPr>
                <w:color w:val="000000" w:themeColor="text1"/>
              </w:rPr>
              <w:t>35,000 people participating in public programs.</w:t>
            </w:r>
          </w:p>
          <w:p w14:paraId="5A0557A3" w14:textId="77777777" w:rsidR="00040760" w:rsidRPr="00EA7807" w:rsidRDefault="00040760" w:rsidP="000D4CBE">
            <w:pPr>
              <w:pStyle w:val="Tabletextcell8left12"/>
              <w:spacing w:after="60"/>
              <w:rPr>
                <w:color w:val="000000" w:themeColor="text1"/>
              </w:rPr>
            </w:pPr>
            <w:r w:rsidRPr="00EA7807">
              <w:rPr>
                <w:color w:val="000000" w:themeColor="text1"/>
              </w:rPr>
              <w:t>45,000 students and teachers participating in school programs onsite and offsite.</w:t>
            </w:r>
          </w:p>
          <w:p w14:paraId="19FFF264" w14:textId="77777777" w:rsidR="00040760" w:rsidRPr="00EA7807" w:rsidRDefault="00040760" w:rsidP="000D4CBE">
            <w:pPr>
              <w:pStyle w:val="Tabletextcell8left12"/>
              <w:spacing w:after="60"/>
              <w:rPr>
                <w:color w:val="000000" w:themeColor="text1"/>
              </w:rPr>
            </w:pPr>
            <w:r w:rsidRPr="00EA7807">
              <w:rPr>
                <w:color w:val="000000" w:themeColor="text1"/>
              </w:rPr>
              <w:t>110,000 students and teachers participating in virtual and online excursions.</w:t>
            </w:r>
          </w:p>
          <w:p w14:paraId="0B02A891" w14:textId="77777777" w:rsidR="00040760" w:rsidRPr="00EA7807" w:rsidRDefault="00040760" w:rsidP="000D4CBE">
            <w:pPr>
              <w:pStyle w:val="Tabletextcell8left12"/>
              <w:spacing w:after="60"/>
              <w:rPr>
                <w:color w:val="000000" w:themeColor="text1"/>
              </w:rPr>
            </w:pPr>
            <w:r w:rsidRPr="00EA7807">
              <w:rPr>
                <w:color w:val="000000" w:themeColor="text1"/>
              </w:rPr>
              <w:t>250,000 students classroom resources reach</w:t>
            </w:r>
          </w:p>
          <w:p w14:paraId="00098C09" w14:textId="77777777" w:rsidR="00040760" w:rsidRPr="00EA7807" w:rsidRDefault="00040760" w:rsidP="000D4CBE">
            <w:pPr>
              <w:pStyle w:val="Tabletextcell8left12"/>
              <w:spacing w:after="60"/>
              <w:rPr>
                <w:color w:val="000000" w:themeColor="text1"/>
              </w:rPr>
            </w:pPr>
            <w:r w:rsidRPr="00EA7807">
              <w:rPr>
                <w:color w:val="000000" w:themeColor="text1"/>
              </w:rPr>
              <w:t>900 educational institutions participating in organised school learning programs.</w:t>
            </w:r>
          </w:p>
          <w:p w14:paraId="094DE215" w14:textId="77777777" w:rsidR="00040760" w:rsidRPr="00EA7807" w:rsidRDefault="00040760" w:rsidP="000D4CBE">
            <w:pPr>
              <w:pStyle w:val="TableTextBase"/>
              <w:rPr>
                <w:i/>
                <w:color w:val="000000" w:themeColor="text1"/>
                <w:sz w:val="16"/>
                <w:szCs w:val="16"/>
              </w:rPr>
            </w:pPr>
          </w:p>
          <w:p w14:paraId="0BE6E493" w14:textId="77777777" w:rsidR="00EA7807" w:rsidRPr="00EA7807" w:rsidRDefault="00EA7807" w:rsidP="000D4CBE">
            <w:pPr>
              <w:pStyle w:val="TableTextBase"/>
              <w:rPr>
                <w:b/>
                <w:color w:val="000000" w:themeColor="text1"/>
                <w:sz w:val="16"/>
                <w:szCs w:val="16"/>
              </w:rPr>
            </w:pPr>
            <w:r w:rsidRPr="00EA7807">
              <w:rPr>
                <w:b/>
                <w:color w:val="000000" w:themeColor="text1"/>
                <w:sz w:val="16"/>
                <w:szCs w:val="16"/>
              </w:rPr>
              <w:t>Expected performance results</w:t>
            </w:r>
          </w:p>
        </w:tc>
      </w:tr>
      <w:tr w:rsidR="00EA7807" w:rsidRPr="001B2F81" w14:paraId="734DFBDA" w14:textId="77777777" w:rsidTr="000D4CBE">
        <w:trPr>
          <w:trHeight w:val="100"/>
        </w:trPr>
        <w:tc>
          <w:tcPr>
            <w:tcW w:w="1560" w:type="dxa"/>
            <w:tcBorders>
              <w:top w:val="single" w:sz="4" w:space="0" w:color="auto"/>
              <w:bottom w:val="dotted" w:sz="4" w:space="0" w:color="auto"/>
              <w:right w:val="single" w:sz="4" w:space="0" w:color="auto"/>
            </w:tcBorders>
          </w:tcPr>
          <w:p w14:paraId="0878FDB8" w14:textId="77777777" w:rsidR="00635861" w:rsidRDefault="00635861" w:rsidP="00635861">
            <w:pPr>
              <w:pStyle w:val="TableTextBase"/>
              <w:rPr>
                <w:sz w:val="16"/>
                <w:szCs w:val="16"/>
              </w:rPr>
            </w:pPr>
            <w:r w:rsidRPr="00EA7807">
              <w:rPr>
                <w:sz w:val="16"/>
                <w:szCs w:val="16"/>
              </w:rPr>
              <w:t>Budget Year     2022-23</w:t>
            </w:r>
          </w:p>
          <w:p w14:paraId="24AA2E59" w14:textId="77777777" w:rsidR="00EA7807" w:rsidRPr="00EA7807" w:rsidRDefault="00EA7807" w:rsidP="000D4CBE">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2FC0D025" w14:textId="77777777" w:rsidR="00635861" w:rsidRDefault="00635861" w:rsidP="000D4CBE">
            <w:pPr>
              <w:pStyle w:val="ListParagraph"/>
              <w:spacing w:after="60" w:line="240" w:lineRule="auto"/>
              <w:ind w:left="0"/>
              <w:rPr>
                <w:rFonts w:ascii="Arial" w:hAnsi="Arial" w:cs="Arial"/>
                <w:b/>
                <w:sz w:val="16"/>
                <w:szCs w:val="16"/>
              </w:rPr>
            </w:pPr>
          </w:p>
          <w:p w14:paraId="12FDDDAE" w14:textId="77777777" w:rsidR="00635861" w:rsidRDefault="00635861" w:rsidP="000D4CBE">
            <w:pPr>
              <w:pStyle w:val="ListParagraph"/>
              <w:spacing w:after="60" w:line="240" w:lineRule="auto"/>
              <w:ind w:left="0"/>
              <w:rPr>
                <w:rFonts w:ascii="Arial" w:hAnsi="Arial" w:cs="Arial"/>
                <w:b/>
                <w:sz w:val="16"/>
                <w:szCs w:val="16"/>
              </w:rPr>
            </w:pPr>
          </w:p>
          <w:p w14:paraId="302E2591" w14:textId="77777777" w:rsidR="00635861" w:rsidRDefault="00635861" w:rsidP="000D4CBE">
            <w:pPr>
              <w:pStyle w:val="ListParagraph"/>
              <w:spacing w:after="60" w:line="240" w:lineRule="auto"/>
              <w:ind w:left="0"/>
              <w:rPr>
                <w:rFonts w:ascii="Arial" w:hAnsi="Arial" w:cs="Arial"/>
                <w:b/>
                <w:sz w:val="16"/>
                <w:szCs w:val="16"/>
              </w:rPr>
            </w:pPr>
          </w:p>
          <w:p w14:paraId="7563FED8" w14:textId="77777777" w:rsidR="00635861" w:rsidRDefault="00635861" w:rsidP="000D4CBE">
            <w:pPr>
              <w:pStyle w:val="ListParagraph"/>
              <w:spacing w:after="60" w:line="240" w:lineRule="auto"/>
              <w:ind w:left="0"/>
              <w:rPr>
                <w:rFonts w:ascii="Arial" w:hAnsi="Arial" w:cs="Arial"/>
                <w:b/>
                <w:sz w:val="16"/>
                <w:szCs w:val="16"/>
              </w:rPr>
            </w:pPr>
          </w:p>
          <w:p w14:paraId="18349623" w14:textId="77777777" w:rsidR="00635861" w:rsidRDefault="00635861" w:rsidP="000D4CBE">
            <w:pPr>
              <w:pStyle w:val="ListParagraph"/>
              <w:spacing w:after="60" w:line="240" w:lineRule="auto"/>
              <w:ind w:left="0"/>
              <w:rPr>
                <w:rFonts w:ascii="Arial" w:hAnsi="Arial" w:cs="Arial"/>
                <w:b/>
                <w:sz w:val="16"/>
                <w:szCs w:val="16"/>
              </w:rPr>
            </w:pPr>
          </w:p>
          <w:p w14:paraId="34708552" w14:textId="77777777" w:rsidR="00635861" w:rsidRDefault="00635861" w:rsidP="000D4CBE">
            <w:pPr>
              <w:pStyle w:val="ListParagraph"/>
              <w:spacing w:after="60" w:line="240" w:lineRule="auto"/>
              <w:ind w:left="0"/>
              <w:rPr>
                <w:rFonts w:ascii="Arial" w:hAnsi="Arial" w:cs="Arial"/>
                <w:b/>
                <w:sz w:val="16"/>
                <w:szCs w:val="16"/>
              </w:rPr>
            </w:pPr>
          </w:p>
          <w:p w14:paraId="5BB77500" w14:textId="77777777" w:rsidR="00635861" w:rsidRDefault="00635861" w:rsidP="000D4CBE">
            <w:pPr>
              <w:pStyle w:val="ListParagraph"/>
              <w:spacing w:after="60" w:line="240" w:lineRule="auto"/>
              <w:ind w:left="0"/>
              <w:rPr>
                <w:rFonts w:ascii="Arial" w:hAnsi="Arial" w:cs="Arial"/>
                <w:b/>
                <w:sz w:val="16"/>
                <w:szCs w:val="16"/>
              </w:rPr>
            </w:pPr>
          </w:p>
          <w:p w14:paraId="28107584" w14:textId="77777777" w:rsidR="00635861" w:rsidRDefault="00635861" w:rsidP="000D4CBE">
            <w:pPr>
              <w:pStyle w:val="ListParagraph"/>
              <w:spacing w:after="60" w:line="240" w:lineRule="auto"/>
              <w:ind w:left="0"/>
              <w:rPr>
                <w:rFonts w:ascii="Arial" w:hAnsi="Arial" w:cs="Arial"/>
                <w:b/>
                <w:sz w:val="16"/>
                <w:szCs w:val="16"/>
              </w:rPr>
            </w:pPr>
          </w:p>
          <w:p w14:paraId="1A790DBD" w14:textId="77777777" w:rsidR="00635861" w:rsidRDefault="00635861" w:rsidP="000D4CBE">
            <w:pPr>
              <w:pStyle w:val="ListParagraph"/>
              <w:spacing w:after="60" w:line="240" w:lineRule="auto"/>
              <w:ind w:left="0"/>
              <w:rPr>
                <w:rFonts w:ascii="Arial" w:hAnsi="Arial" w:cs="Arial"/>
                <w:b/>
                <w:sz w:val="16"/>
                <w:szCs w:val="16"/>
              </w:rPr>
            </w:pPr>
          </w:p>
          <w:p w14:paraId="3110DBC2" w14:textId="77777777" w:rsidR="00635861" w:rsidRDefault="00635861" w:rsidP="000D4CBE">
            <w:pPr>
              <w:pStyle w:val="ListParagraph"/>
              <w:spacing w:after="60" w:line="240" w:lineRule="auto"/>
              <w:ind w:left="0"/>
              <w:rPr>
                <w:rFonts w:ascii="Arial" w:hAnsi="Arial" w:cs="Arial"/>
                <w:b/>
                <w:sz w:val="16"/>
                <w:szCs w:val="16"/>
              </w:rPr>
            </w:pPr>
          </w:p>
          <w:p w14:paraId="6ECB81FB" w14:textId="77777777" w:rsidR="00635861" w:rsidRDefault="00635861" w:rsidP="000D4CBE">
            <w:pPr>
              <w:pStyle w:val="ListParagraph"/>
              <w:spacing w:after="60" w:line="240" w:lineRule="auto"/>
              <w:ind w:left="0"/>
              <w:rPr>
                <w:rFonts w:ascii="Arial" w:hAnsi="Arial" w:cs="Arial"/>
                <w:b/>
                <w:sz w:val="16"/>
                <w:szCs w:val="16"/>
              </w:rPr>
            </w:pPr>
          </w:p>
          <w:p w14:paraId="10467897" w14:textId="77777777" w:rsidR="00EA7807" w:rsidRPr="00EA7807" w:rsidRDefault="00EA7807" w:rsidP="000D4CBE">
            <w:pPr>
              <w:pStyle w:val="ListParagraph"/>
              <w:spacing w:after="60" w:line="240" w:lineRule="auto"/>
              <w:ind w:left="0"/>
              <w:rPr>
                <w:rFonts w:ascii="Arial" w:hAnsi="Arial" w:cs="Arial"/>
                <w:b/>
                <w:sz w:val="16"/>
                <w:szCs w:val="16"/>
              </w:rPr>
            </w:pPr>
            <w:r w:rsidRPr="00EA7807">
              <w:rPr>
                <w:rFonts w:ascii="Arial" w:hAnsi="Arial" w:cs="Arial"/>
                <w:b/>
                <w:sz w:val="16"/>
                <w:szCs w:val="16"/>
              </w:rPr>
              <w:t xml:space="preserve">Collect, share and digitise — </w:t>
            </w:r>
            <w:r w:rsidRPr="00EA7807">
              <w:rPr>
                <w:rFonts w:ascii="Arial" w:hAnsi="Arial" w:cs="Arial"/>
                <w:sz w:val="16"/>
                <w:szCs w:val="16"/>
              </w:rPr>
              <w:t>build and maintain a rich national collection for current and future generations of Australians to enjoy and learn from.</w:t>
            </w:r>
          </w:p>
        </w:tc>
        <w:tc>
          <w:tcPr>
            <w:tcW w:w="3118" w:type="dxa"/>
            <w:tcBorders>
              <w:top w:val="single" w:sz="4" w:space="0" w:color="auto"/>
              <w:left w:val="single" w:sz="4" w:space="0" w:color="auto"/>
              <w:bottom w:val="dotted" w:sz="4" w:space="0" w:color="auto"/>
            </w:tcBorders>
          </w:tcPr>
          <w:p w14:paraId="7A8CFCD0" w14:textId="77777777" w:rsidR="00EA7807" w:rsidRPr="009241DC" w:rsidRDefault="00EA7807" w:rsidP="00EA7807">
            <w:pPr>
              <w:pStyle w:val="Tabletextcell8left12"/>
              <w:spacing w:after="60"/>
            </w:pPr>
            <w:r w:rsidRPr="009241DC">
              <w:t>95% of teachers reporting overall positive experience.</w:t>
            </w:r>
          </w:p>
          <w:p w14:paraId="0DCBAE1A" w14:textId="77777777" w:rsidR="00EA7807" w:rsidRPr="007E7BB6" w:rsidRDefault="00EA7807" w:rsidP="00EA7807">
            <w:pPr>
              <w:pStyle w:val="Tabletextcell8left12"/>
              <w:spacing w:after="60"/>
            </w:pPr>
            <w:r>
              <w:t>95% of teachers reporting relevance to the classroom curriculum.</w:t>
            </w:r>
          </w:p>
          <w:p w14:paraId="59E2DCB5" w14:textId="77777777" w:rsidR="00EA7807" w:rsidRPr="007E7BB6" w:rsidRDefault="00EA7807" w:rsidP="00EA7807">
            <w:pPr>
              <w:pStyle w:val="Tabletextcell8left12"/>
              <w:spacing w:after="60"/>
            </w:pPr>
          </w:p>
          <w:p w14:paraId="6F39ED9C" w14:textId="77777777" w:rsidR="00EA7807" w:rsidRDefault="00EA7807" w:rsidP="00EA7807">
            <w:pPr>
              <w:pStyle w:val="Tabletextcell8left12"/>
              <w:spacing w:after="60"/>
            </w:pPr>
          </w:p>
          <w:p w14:paraId="1C5D5C0E" w14:textId="77777777" w:rsidR="00EA7807" w:rsidRDefault="00EA7807" w:rsidP="00EA7807">
            <w:pPr>
              <w:pStyle w:val="Tabletextcell8left12"/>
              <w:spacing w:after="60"/>
            </w:pPr>
          </w:p>
          <w:p w14:paraId="44A14B98" w14:textId="77777777" w:rsidR="00EA7807" w:rsidRDefault="00EA7807" w:rsidP="00EA7807">
            <w:pPr>
              <w:pStyle w:val="Tabletextcell8left12"/>
              <w:spacing w:after="60"/>
            </w:pPr>
          </w:p>
          <w:p w14:paraId="7ADDDD22" w14:textId="77777777" w:rsidR="00EA7807" w:rsidRPr="007E7BB6" w:rsidRDefault="00EA7807" w:rsidP="00EA7807">
            <w:pPr>
              <w:pStyle w:val="Tabletextcell8left12"/>
              <w:spacing w:after="60"/>
            </w:pPr>
          </w:p>
          <w:p w14:paraId="2C79562B" w14:textId="77777777" w:rsidR="00EA7807" w:rsidRPr="007E7BB6" w:rsidRDefault="00EA7807" w:rsidP="00EA7807">
            <w:pPr>
              <w:pStyle w:val="Tabletextcell8left12"/>
              <w:spacing w:after="60"/>
            </w:pPr>
            <w:r w:rsidRPr="007E7BB6">
              <w:t>35% of the total collection available to the public.</w:t>
            </w:r>
          </w:p>
          <w:p w14:paraId="45EB69FD" w14:textId="77777777" w:rsidR="00EA7807" w:rsidRPr="009241DC" w:rsidRDefault="00EA7807" w:rsidP="00EA7807">
            <w:pPr>
              <w:pStyle w:val="Tabletextcell8left12"/>
              <w:spacing w:after="60"/>
            </w:pPr>
            <w:r w:rsidRPr="007E7BB6">
              <w:t>90% of the total collection digitised</w:t>
            </w:r>
          </w:p>
        </w:tc>
      </w:tr>
      <w:tr w:rsidR="00040760" w:rsidRPr="001B2F81" w14:paraId="7C5E6B4E" w14:textId="77777777" w:rsidTr="00635861">
        <w:trPr>
          <w:trHeight w:val="60"/>
        </w:trPr>
        <w:tc>
          <w:tcPr>
            <w:tcW w:w="1560" w:type="dxa"/>
            <w:tcBorders>
              <w:top w:val="dotted" w:sz="4" w:space="0" w:color="auto"/>
              <w:bottom w:val="dotted" w:sz="4" w:space="0" w:color="auto"/>
              <w:right w:val="single" w:sz="4" w:space="0" w:color="auto"/>
            </w:tcBorders>
          </w:tcPr>
          <w:p w14:paraId="11C3DE72" w14:textId="77777777" w:rsidR="00040760" w:rsidRPr="00635861" w:rsidRDefault="00040760" w:rsidP="000D4CBE">
            <w:pPr>
              <w:pStyle w:val="TableTextBase"/>
              <w:rPr>
                <w:sz w:val="16"/>
                <w:szCs w:val="16"/>
              </w:rPr>
            </w:pPr>
            <w:r w:rsidRPr="00635861">
              <w:rPr>
                <w:sz w:val="16"/>
                <w:szCs w:val="16"/>
              </w:rPr>
              <w:t xml:space="preserve">Forward Estimates </w:t>
            </w:r>
          </w:p>
          <w:p w14:paraId="223985D2" w14:textId="77777777" w:rsidR="00040760" w:rsidRPr="00635861" w:rsidRDefault="00040760" w:rsidP="000D4CBE">
            <w:pPr>
              <w:pStyle w:val="TableTextBase"/>
              <w:rPr>
                <w:sz w:val="16"/>
                <w:szCs w:val="16"/>
              </w:rPr>
            </w:pPr>
            <w:r w:rsidRPr="00635861">
              <w:rPr>
                <w:sz w:val="16"/>
                <w:szCs w:val="16"/>
              </w:rPr>
              <w:t>2023-26</w:t>
            </w:r>
          </w:p>
          <w:p w14:paraId="13CF8AEE" w14:textId="77777777" w:rsidR="00635861" w:rsidRPr="00635861" w:rsidRDefault="00635861" w:rsidP="000D4CBE">
            <w:pPr>
              <w:pStyle w:val="TableTextBase"/>
              <w:rPr>
                <w:sz w:val="16"/>
                <w:szCs w:val="16"/>
              </w:rPr>
            </w:pPr>
          </w:p>
          <w:p w14:paraId="1C11846F" w14:textId="77777777" w:rsidR="00635861" w:rsidRPr="00635861" w:rsidRDefault="00635861" w:rsidP="000D4CBE">
            <w:pPr>
              <w:pStyle w:val="TableTextBase"/>
              <w:rPr>
                <w:sz w:val="16"/>
                <w:szCs w:val="16"/>
              </w:rPr>
            </w:pPr>
          </w:p>
          <w:p w14:paraId="67126419" w14:textId="77777777" w:rsidR="00635861" w:rsidRPr="00635861" w:rsidRDefault="00635861" w:rsidP="000D4CBE">
            <w:pPr>
              <w:pStyle w:val="TableTextBase"/>
              <w:rPr>
                <w:sz w:val="16"/>
                <w:szCs w:val="16"/>
              </w:rPr>
            </w:pPr>
          </w:p>
          <w:p w14:paraId="479701C0" w14:textId="77777777" w:rsidR="00635861" w:rsidRPr="00635861" w:rsidRDefault="00635861" w:rsidP="000D4CBE">
            <w:pPr>
              <w:pStyle w:val="TableTextBase"/>
              <w:rPr>
                <w:sz w:val="16"/>
                <w:szCs w:val="16"/>
              </w:rPr>
            </w:pPr>
          </w:p>
          <w:p w14:paraId="072B0775" w14:textId="77777777" w:rsidR="00635861" w:rsidRPr="00635861" w:rsidRDefault="00635861" w:rsidP="000D4CBE">
            <w:pPr>
              <w:pStyle w:val="TableTextBase"/>
              <w:rPr>
                <w:sz w:val="16"/>
                <w:szCs w:val="16"/>
              </w:rPr>
            </w:pPr>
          </w:p>
          <w:p w14:paraId="18C9CBC7" w14:textId="77777777" w:rsidR="00635861" w:rsidRPr="00635861" w:rsidRDefault="00635861" w:rsidP="000D4CBE">
            <w:pPr>
              <w:pStyle w:val="TableTextBase"/>
              <w:rPr>
                <w:sz w:val="16"/>
                <w:szCs w:val="16"/>
              </w:rPr>
            </w:pPr>
          </w:p>
          <w:p w14:paraId="109B5495" w14:textId="77777777" w:rsidR="00635861" w:rsidRPr="00635861" w:rsidRDefault="00635861" w:rsidP="000D4CBE">
            <w:pPr>
              <w:pStyle w:val="TableTextBase"/>
              <w:rPr>
                <w:sz w:val="16"/>
                <w:szCs w:val="16"/>
              </w:rPr>
            </w:pPr>
          </w:p>
          <w:p w14:paraId="32088FF4" w14:textId="77777777" w:rsidR="00635861" w:rsidRPr="00635861" w:rsidRDefault="00635861" w:rsidP="000D4CBE">
            <w:pPr>
              <w:pStyle w:val="TableTextBase"/>
              <w:rPr>
                <w:sz w:val="16"/>
                <w:szCs w:val="16"/>
              </w:rPr>
            </w:pPr>
          </w:p>
          <w:p w14:paraId="0D87437C" w14:textId="77777777" w:rsidR="00635861" w:rsidRPr="00635861" w:rsidRDefault="00635861" w:rsidP="000D4CBE">
            <w:pPr>
              <w:pStyle w:val="TableTextBase"/>
              <w:rPr>
                <w:sz w:val="16"/>
                <w:szCs w:val="16"/>
              </w:rPr>
            </w:pPr>
          </w:p>
          <w:p w14:paraId="1934963C" w14:textId="77777777" w:rsidR="00635861" w:rsidRPr="00635861" w:rsidRDefault="00635861" w:rsidP="000D4CBE">
            <w:pPr>
              <w:pStyle w:val="TableTextBase"/>
              <w:rPr>
                <w:sz w:val="16"/>
                <w:szCs w:val="16"/>
              </w:rPr>
            </w:pPr>
          </w:p>
          <w:p w14:paraId="11743964" w14:textId="77777777" w:rsidR="00635861" w:rsidRPr="00635861" w:rsidRDefault="00635861" w:rsidP="000D4CBE">
            <w:pPr>
              <w:pStyle w:val="TableTextBase"/>
              <w:rPr>
                <w:sz w:val="16"/>
                <w:szCs w:val="16"/>
              </w:rPr>
            </w:pPr>
          </w:p>
          <w:p w14:paraId="32CA70A5" w14:textId="77777777" w:rsidR="00635861" w:rsidRPr="00635861" w:rsidRDefault="00635861" w:rsidP="000D4CBE">
            <w:pPr>
              <w:pStyle w:val="TableTextBase"/>
              <w:rPr>
                <w:sz w:val="16"/>
                <w:szCs w:val="16"/>
              </w:rPr>
            </w:pPr>
          </w:p>
          <w:p w14:paraId="1B503014" w14:textId="77777777" w:rsidR="00635861" w:rsidRPr="00635861" w:rsidRDefault="00635861" w:rsidP="000D4CBE">
            <w:pPr>
              <w:pStyle w:val="TableTextBase"/>
              <w:rPr>
                <w:sz w:val="16"/>
                <w:szCs w:val="16"/>
              </w:rPr>
            </w:pPr>
          </w:p>
          <w:p w14:paraId="6E512357" w14:textId="77777777" w:rsidR="00635861" w:rsidRPr="00635861" w:rsidRDefault="00635861" w:rsidP="000D4CBE">
            <w:pPr>
              <w:pStyle w:val="TableTextBase"/>
              <w:rPr>
                <w:sz w:val="16"/>
                <w:szCs w:val="16"/>
              </w:rPr>
            </w:pPr>
          </w:p>
          <w:p w14:paraId="39C5A3A9" w14:textId="77777777" w:rsidR="00635861" w:rsidRPr="00635861" w:rsidRDefault="00635861" w:rsidP="000D4CBE">
            <w:pPr>
              <w:pStyle w:val="TableTextBase"/>
              <w:rPr>
                <w:sz w:val="16"/>
                <w:szCs w:val="16"/>
              </w:rPr>
            </w:pPr>
          </w:p>
          <w:p w14:paraId="6E246954" w14:textId="77777777" w:rsidR="00635861" w:rsidRPr="00635861" w:rsidRDefault="00635861" w:rsidP="000D4CBE">
            <w:pPr>
              <w:pStyle w:val="TableTextBase"/>
              <w:rPr>
                <w:sz w:val="16"/>
                <w:szCs w:val="16"/>
              </w:rPr>
            </w:pPr>
          </w:p>
          <w:p w14:paraId="05E99AAE" w14:textId="77777777" w:rsidR="00635861" w:rsidRPr="00635861" w:rsidRDefault="00635861" w:rsidP="000D4CBE">
            <w:pPr>
              <w:pStyle w:val="TableTextBase"/>
              <w:rPr>
                <w:sz w:val="16"/>
                <w:szCs w:val="16"/>
              </w:rPr>
            </w:pPr>
          </w:p>
          <w:p w14:paraId="6DDFACB2" w14:textId="77777777" w:rsidR="00635861" w:rsidRPr="00635861" w:rsidRDefault="00635861" w:rsidP="000D4CBE">
            <w:pPr>
              <w:pStyle w:val="TableTextBase"/>
              <w:rPr>
                <w:sz w:val="16"/>
                <w:szCs w:val="16"/>
              </w:rPr>
            </w:pPr>
          </w:p>
          <w:p w14:paraId="38F11E4D" w14:textId="77777777" w:rsidR="00635861" w:rsidRPr="00635861" w:rsidRDefault="00635861" w:rsidP="000D4CBE">
            <w:pPr>
              <w:pStyle w:val="TableTextBase"/>
              <w:rPr>
                <w:sz w:val="16"/>
                <w:szCs w:val="16"/>
              </w:rPr>
            </w:pPr>
          </w:p>
          <w:p w14:paraId="152450B5" w14:textId="77777777" w:rsidR="00635861" w:rsidRPr="00635861" w:rsidRDefault="00635861" w:rsidP="000D4CBE">
            <w:pPr>
              <w:pStyle w:val="TableTextBase"/>
              <w:rPr>
                <w:sz w:val="16"/>
                <w:szCs w:val="16"/>
              </w:rPr>
            </w:pPr>
          </w:p>
          <w:p w14:paraId="2D38F656" w14:textId="77777777" w:rsidR="00635861" w:rsidRPr="00635861" w:rsidRDefault="00635861" w:rsidP="000D4CBE">
            <w:pPr>
              <w:pStyle w:val="TableTextBase"/>
              <w:rPr>
                <w:sz w:val="16"/>
                <w:szCs w:val="16"/>
              </w:rPr>
            </w:pPr>
          </w:p>
          <w:p w14:paraId="7D4F1F20" w14:textId="77777777" w:rsidR="00635861" w:rsidRPr="00635861" w:rsidRDefault="00635861" w:rsidP="000D4CBE">
            <w:pPr>
              <w:pStyle w:val="TableTextBase"/>
              <w:rPr>
                <w:b/>
                <w:sz w:val="16"/>
                <w:szCs w:val="16"/>
              </w:rPr>
            </w:pPr>
            <w:r w:rsidRPr="00635861">
              <w:rPr>
                <w:b/>
                <w:sz w:val="16"/>
                <w:szCs w:val="16"/>
              </w:rPr>
              <w:t>Year</w:t>
            </w:r>
          </w:p>
        </w:tc>
        <w:tc>
          <w:tcPr>
            <w:tcW w:w="3118" w:type="dxa"/>
            <w:tcBorders>
              <w:top w:val="dotted" w:sz="4" w:space="0" w:color="auto"/>
              <w:left w:val="single" w:sz="4" w:space="0" w:color="auto"/>
              <w:bottom w:val="dotted" w:sz="4" w:space="0" w:color="auto"/>
              <w:right w:val="single" w:sz="4" w:space="0" w:color="auto"/>
            </w:tcBorders>
          </w:tcPr>
          <w:p w14:paraId="5F69FF51" w14:textId="77777777" w:rsidR="00040760" w:rsidRPr="00635861" w:rsidRDefault="00040760" w:rsidP="000D4CBE">
            <w:pPr>
              <w:pStyle w:val="ListParagraph"/>
              <w:spacing w:after="60" w:line="240" w:lineRule="auto"/>
              <w:ind w:left="0"/>
              <w:rPr>
                <w:rFonts w:ascii="Arial" w:hAnsi="Arial"/>
                <w:sz w:val="16"/>
                <w:szCs w:val="16"/>
              </w:rPr>
            </w:pPr>
            <w:r w:rsidRPr="00635861">
              <w:rPr>
                <w:rFonts w:ascii="Arial" w:hAnsi="Arial"/>
                <w:b/>
                <w:sz w:val="16"/>
                <w:szCs w:val="16"/>
              </w:rPr>
              <w:t>Deliver a spectrum of experiences</w:t>
            </w:r>
            <w:r w:rsidRPr="00635861">
              <w:rPr>
                <w:rFonts w:ascii="Arial" w:hAnsi="Arial"/>
                <w:sz w:val="16"/>
                <w:szCs w:val="16"/>
              </w:rPr>
              <w:t xml:space="preserve"> – exhibitions, events, learning programs and digital activities that allow our audience to engage with the concepts and history of democracy.</w:t>
            </w:r>
          </w:p>
          <w:p w14:paraId="0074A776" w14:textId="77777777" w:rsidR="00040760" w:rsidRPr="00635861" w:rsidRDefault="00040760" w:rsidP="000D4CBE">
            <w:pPr>
              <w:pStyle w:val="ListParagraph"/>
              <w:spacing w:after="60" w:line="240" w:lineRule="auto"/>
              <w:ind w:left="0"/>
              <w:rPr>
                <w:rFonts w:ascii="Arial" w:hAnsi="Arial"/>
                <w:sz w:val="16"/>
                <w:szCs w:val="16"/>
              </w:rPr>
            </w:pPr>
          </w:p>
          <w:p w14:paraId="164915F6" w14:textId="77777777" w:rsidR="00040760" w:rsidRPr="00635861" w:rsidRDefault="00040760" w:rsidP="000D4CBE">
            <w:pPr>
              <w:pStyle w:val="ListParagraph"/>
              <w:spacing w:after="60" w:line="240" w:lineRule="auto"/>
              <w:ind w:left="0"/>
              <w:rPr>
                <w:rFonts w:ascii="Arial" w:hAnsi="Arial"/>
                <w:sz w:val="16"/>
                <w:szCs w:val="16"/>
              </w:rPr>
            </w:pPr>
          </w:p>
          <w:p w14:paraId="0CDC4BC6" w14:textId="77777777" w:rsidR="00040760" w:rsidRPr="00635861" w:rsidRDefault="00040760" w:rsidP="000D4CBE">
            <w:pPr>
              <w:pStyle w:val="ListParagraph"/>
              <w:spacing w:after="60" w:line="240" w:lineRule="auto"/>
              <w:ind w:left="0"/>
              <w:rPr>
                <w:rFonts w:ascii="Arial" w:hAnsi="Arial"/>
                <w:sz w:val="16"/>
                <w:szCs w:val="16"/>
              </w:rPr>
            </w:pPr>
          </w:p>
          <w:p w14:paraId="7A539BE4" w14:textId="77777777" w:rsidR="00040760" w:rsidRPr="00635861" w:rsidRDefault="00040760" w:rsidP="000D4CBE">
            <w:pPr>
              <w:pStyle w:val="ListParagraph"/>
              <w:spacing w:after="60" w:line="240" w:lineRule="auto"/>
              <w:ind w:left="0"/>
              <w:rPr>
                <w:rFonts w:ascii="Arial" w:hAnsi="Arial"/>
                <w:sz w:val="16"/>
                <w:szCs w:val="16"/>
              </w:rPr>
            </w:pPr>
          </w:p>
          <w:p w14:paraId="749081C8" w14:textId="77777777" w:rsidR="00040760" w:rsidRPr="00635861" w:rsidRDefault="00040760" w:rsidP="000D4CBE">
            <w:pPr>
              <w:pStyle w:val="ListParagraph"/>
              <w:spacing w:after="60" w:line="240" w:lineRule="auto"/>
              <w:ind w:left="0"/>
              <w:rPr>
                <w:rFonts w:ascii="Arial" w:hAnsi="Arial"/>
                <w:sz w:val="16"/>
                <w:szCs w:val="16"/>
              </w:rPr>
            </w:pPr>
          </w:p>
          <w:p w14:paraId="66CFD94E" w14:textId="77777777" w:rsidR="00040760" w:rsidRPr="00635861" w:rsidRDefault="00040760" w:rsidP="000D4CBE">
            <w:pPr>
              <w:pStyle w:val="ListParagraph"/>
              <w:spacing w:after="60" w:line="240" w:lineRule="auto"/>
              <w:ind w:left="0"/>
              <w:rPr>
                <w:rFonts w:ascii="Arial" w:hAnsi="Arial"/>
                <w:sz w:val="16"/>
                <w:szCs w:val="16"/>
              </w:rPr>
            </w:pPr>
          </w:p>
          <w:p w14:paraId="4ED064B8" w14:textId="77777777" w:rsidR="00040760" w:rsidRPr="00635861" w:rsidRDefault="00040760" w:rsidP="000D4CBE">
            <w:pPr>
              <w:pStyle w:val="ListParagraph"/>
              <w:spacing w:after="60" w:line="240" w:lineRule="auto"/>
              <w:ind w:left="0"/>
              <w:rPr>
                <w:rFonts w:ascii="Arial" w:hAnsi="Arial"/>
                <w:sz w:val="16"/>
                <w:szCs w:val="16"/>
              </w:rPr>
            </w:pPr>
          </w:p>
          <w:p w14:paraId="2BB4C973" w14:textId="77777777" w:rsidR="00040760" w:rsidRPr="00635861" w:rsidRDefault="00040760" w:rsidP="000D4CBE">
            <w:pPr>
              <w:pStyle w:val="ListParagraph"/>
              <w:spacing w:after="60" w:line="240" w:lineRule="auto"/>
              <w:ind w:left="0"/>
              <w:rPr>
                <w:rFonts w:ascii="Arial" w:hAnsi="Arial"/>
                <w:sz w:val="16"/>
                <w:szCs w:val="16"/>
              </w:rPr>
            </w:pPr>
          </w:p>
          <w:p w14:paraId="51A11C1D" w14:textId="77777777" w:rsidR="00040760" w:rsidRPr="00635861" w:rsidRDefault="00040760" w:rsidP="000D4CBE">
            <w:pPr>
              <w:pStyle w:val="ListParagraph"/>
              <w:spacing w:after="60" w:line="240" w:lineRule="auto"/>
              <w:ind w:left="0"/>
              <w:rPr>
                <w:rFonts w:ascii="Arial" w:hAnsi="Arial"/>
                <w:sz w:val="16"/>
                <w:szCs w:val="16"/>
              </w:rPr>
            </w:pPr>
          </w:p>
          <w:p w14:paraId="2CC06E7C" w14:textId="77777777" w:rsidR="00040760" w:rsidRPr="00635861" w:rsidRDefault="00040760" w:rsidP="000D4CBE">
            <w:pPr>
              <w:pStyle w:val="ListParagraph"/>
              <w:spacing w:after="60" w:line="240" w:lineRule="auto"/>
              <w:ind w:left="0"/>
              <w:rPr>
                <w:rFonts w:ascii="Arial" w:hAnsi="Arial"/>
                <w:sz w:val="16"/>
                <w:szCs w:val="16"/>
              </w:rPr>
            </w:pPr>
          </w:p>
          <w:p w14:paraId="6D5B5EBD" w14:textId="77777777" w:rsidR="00040760" w:rsidRPr="00635861" w:rsidRDefault="00040760" w:rsidP="000D4CBE">
            <w:pPr>
              <w:pStyle w:val="ListParagraph"/>
              <w:spacing w:after="60" w:line="240" w:lineRule="auto"/>
              <w:ind w:left="0"/>
              <w:rPr>
                <w:rFonts w:ascii="Arial" w:hAnsi="Arial"/>
                <w:sz w:val="16"/>
                <w:szCs w:val="16"/>
              </w:rPr>
            </w:pPr>
          </w:p>
          <w:p w14:paraId="654E74BD" w14:textId="77777777" w:rsidR="00040760" w:rsidRPr="00635861" w:rsidRDefault="00040760" w:rsidP="000D4CBE">
            <w:pPr>
              <w:pStyle w:val="ListParagraph"/>
              <w:spacing w:after="60" w:line="240" w:lineRule="auto"/>
              <w:ind w:left="0"/>
              <w:rPr>
                <w:rFonts w:ascii="Arial" w:hAnsi="Arial"/>
                <w:sz w:val="16"/>
                <w:szCs w:val="16"/>
              </w:rPr>
            </w:pPr>
          </w:p>
          <w:p w14:paraId="0DE16F13" w14:textId="77777777" w:rsidR="00040760" w:rsidRPr="00635861" w:rsidRDefault="00040760" w:rsidP="000D4CBE">
            <w:pPr>
              <w:pStyle w:val="ListParagraph"/>
              <w:spacing w:after="60" w:line="240" w:lineRule="auto"/>
              <w:ind w:left="0"/>
              <w:rPr>
                <w:rFonts w:ascii="Arial" w:hAnsi="Arial"/>
                <w:sz w:val="16"/>
                <w:szCs w:val="16"/>
              </w:rPr>
            </w:pPr>
          </w:p>
          <w:p w14:paraId="1C6EDB69" w14:textId="77777777" w:rsidR="00040760" w:rsidRPr="00635861" w:rsidRDefault="00040760" w:rsidP="000D4CBE">
            <w:pPr>
              <w:pStyle w:val="ListParagraph"/>
              <w:spacing w:after="60" w:line="240" w:lineRule="auto"/>
              <w:ind w:left="0"/>
              <w:rPr>
                <w:rFonts w:ascii="Arial" w:hAnsi="Arial"/>
                <w:sz w:val="16"/>
                <w:szCs w:val="16"/>
              </w:rPr>
            </w:pPr>
          </w:p>
          <w:p w14:paraId="63E404C3" w14:textId="77777777" w:rsidR="00040760" w:rsidRPr="00635861" w:rsidRDefault="00040760" w:rsidP="000D4CBE">
            <w:pPr>
              <w:pStyle w:val="ListParagraph"/>
              <w:spacing w:after="60" w:line="240" w:lineRule="auto"/>
              <w:ind w:left="0"/>
              <w:rPr>
                <w:rFonts w:ascii="Arial" w:hAnsi="Arial"/>
                <w:sz w:val="16"/>
                <w:szCs w:val="16"/>
              </w:rPr>
            </w:pPr>
          </w:p>
          <w:p w14:paraId="3D97A0D4" w14:textId="77777777" w:rsidR="00040760" w:rsidRPr="00635861" w:rsidRDefault="00040760" w:rsidP="000D4CBE">
            <w:pPr>
              <w:pStyle w:val="ListParagraph"/>
              <w:spacing w:after="60" w:line="240" w:lineRule="auto"/>
              <w:ind w:left="0"/>
              <w:rPr>
                <w:rFonts w:ascii="Arial" w:hAnsi="Arial"/>
                <w:sz w:val="16"/>
                <w:szCs w:val="16"/>
              </w:rPr>
            </w:pPr>
          </w:p>
          <w:p w14:paraId="7D01C5BF" w14:textId="77777777" w:rsidR="00040760" w:rsidRPr="00635861" w:rsidRDefault="00040760" w:rsidP="000D4CBE">
            <w:pPr>
              <w:pStyle w:val="ListParagraph"/>
              <w:spacing w:after="60" w:line="240" w:lineRule="auto"/>
              <w:ind w:left="0"/>
              <w:rPr>
                <w:rFonts w:ascii="Arial" w:hAnsi="Arial"/>
                <w:sz w:val="16"/>
                <w:szCs w:val="16"/>
              </w:rPr>
            </w:pPr>
          </w:p>
          <w:p w14:paraId="480C1D55" w14:textId="77777777" w:rsidR="00040760" w:rsidRPr="00635861" w:rsidRDefault="00040760" w:rsidP="000D4CBE">
            <w:pPr>
              <w:pStyle w:val="ListParagraph"/>
              <w:spacing w:after="60" w:line="240" w:lineRule="auto"/>
              <w:ind w:left="0"/>
              <w:rPr>
                <w:rFonts w:ascii="Arial" w:hAnsi="Arial"/>
                <w:b/>
                <w:sz w:val="16"/>
                <w:szCs w:val="16"/>
              </w:rPr>
            </w:pPr>
          </w:p>
          <w:p w14:paraId="13CE23EB" w14:textId="77777777" w:rsidR="00040760" w:rsidRPr="00635861" w:rsidRDefault="00040760" w:rsidP="000D4CBE">
            <w:pPr>
              <w:pStyle w:val="ListParagraph"/>
              <w:spacing w:after="60" w:line="240" w:lineRule="auto"/>
              <w:ind w:left="0"/>
              <w:rPr>
                <w:rFonts w:ascii="Arial" w:hAnsi="Arial"/>
                <w:b/>
                <w:sz w:val="16"/>
                <w:szCs w:val="16"/>
              </w:rPr>
            </w:pPr>
          </w:p>
          <w:p w14:paraId="6644A045" w14:textId="77777777" w:rsidR="00040760" w:rsidRPr="00635861" w:rsidRDefault="00040760" w:rsidP="000D4CBE">
            <w:pPr>
              <w:pStyle w:val="ListParagraph"/>
              <w:spacing w:after="60" w:line="240" w:lineRule="auto"/>
              <w:ind w:left="0"/>
              <w:rPr>
                <w:rFonts w:ascii="Arial" w:hAnsi="Arial"/>
                <w:b/>
                <w:sz w:val="16"/>
                <w:szCs w:val="16"/>
              </w:rPr>
            </w:pPr>
          </w:p>
          <w:p w14:paraId="71C57638" w14:textId="77777777" w:rsidR="00040760" w:rsidRPr="00635861" w:rsidRDefault="00040760" w:rsidP="000D4CBE">
            <w:pPr>
              <w:pStyle w:val="ListParagraph"/>
              <w:spacing w:after="60" w:line="240" w:lineRule="auto"/>
              <w:ind w:left="0"/>
              <w:rPr>
                <w:rFonts w:ascii="Arial" w:hAnsi="Arial"/>
                <w:b/>
                <w:sz w:val="16"/>
                <w:szCs w:val="16"/>
              </w:rPr>
            </w:pPr>
          </w:p>
          <w:p w14:paraId="3F55258D" w14:textId="77777777" w:rsidR="00040760" w:rsidRPr="00635861" w:rsidRDefault="00040760" w:rsidP="000D4CBE">
            <w:pPr>
              <w:pStyle w:val="ListParagraph"/>
              <w:spacing w:after="60" w:line="240" w:lineRule="auto"/>
              <w:ind w:left="0"/>
              <w:rPr>
                <w:rFonts w:ascii="Arial" w:hAnsi="Arial"/>
                <w:b/>
                <w:sz w:val="16"/>
                <w:szCs w:val="16"/>
              </w:rPr>
            </w:pPr>
          </w:p>
          <w:p w14:paraId="408E5895" w14:textId="77777777" w:rsidR="00040760" w:rsidRPr="00635861" w:rsidRDefault="00040760" w:rsidP="000D4CBE">
            <w:pPr>
              <w:pStyle w:val="ListParagraph"/>
              <w:spacing w:after="60" w:line="240" w:lineRule="auto"/>
              <w:ind w:left="0"/>
              <w:rPr>
                <w:rFonts w:ascii="Arial" w:hAnsi="Arial"/>
                <w:b/>
                <w:sz w:val="16"/>
                <w:szCs w:val="16"/>
              </w:rPr>
            </w:pPr>
          </w:p>
          <w:p w14:paraId="2FE9151C" w14:textId="77777777" w:rsidR="00040760" w:rsidRPr="00635861" w:rsidRDefault="00040760" w:rsidP="000D4CBE">
            <w:pPr>
              <w:pStyle w:val="ListParagraph"/>
              <w:spacing w:after="60" w:line="240" w:lineRule="auto"/>
              <w:ind w:left="0"/>
              <w:rPr>
                <w:rFonts w:ascii="Arial" w:hAnsi="Arial"/>
                <w:b/>
                <w:sz w:val="16"/>
                <w:szCs w:val="16"/>
              </w:rPr>
            </w:pPr>
          </w:p>
          <w:p w14:paraId="1BDBA9DE" w14:textId="77777777" w:rsidR="00040760" w:rsidRPr="00635861" w:rsidRDefault="00040760" w:rsidP="000D4CBE">
            <w:pPr>
              <w:pStyle w:val="ListParagraph"/>
              <w:spacing w:after="60" w:line="240" w:lineRule="auto"/>
              <w:ind w:left="0"/>
              <w:rPr>
                <w:rFonts w:ascii="Arial" w:hAnsi="Arial"/>
                <w:b/>
                <w:sz w:val="16"/>
                <w:szCs w:val="16"/>
              </w:rPr>
            </w:pPr>
          </w:p>
          <w:p w14:paraId="55106331" w14:textId="77777777" w:rsidR="00040760" w:rsidRPr="00635861" w:rsidRDefault="00040760" w:rsidP="000D4CBE">
            <w:pPr>
              <w:pStyle w:val="ListParagraph"/>
              <w:spacing w:after="60" w:line="240" w:lineRule="auto"/>
              <w:ind w:left="0"/>
              <w:rPr>
                <w:rFonts w:ascii="Arial" w:hAnsi="Arial"/>
                <w:b/>
                <w:sz w:val="16"/>
                <w:szCs w:val="16"/>
              </w:rPr>
            </w:pPr>
          </w:p>
          <w:p w14:paraId="70BA3BD2" w14:textId="77777777" w:rsidR="00040760" w:rsidRPr="00635861" w:rsidRDefault="00635861" w:rsidP="000D4CBE">
            <w:pPr>
              <w:pStyle w:val="TableTextBase"/>
              <w:rPr>
                <w:b/>
                <w:color w:val="0070C0"/>
                <w:sz w:val="16"/>
                <w:szCs w:val="16"/>
              </w:rPr>
            </w:pPr>
            <w:r w:rsidRPr="00635861">
              <w:rPr>
                <w:b/>
                <w:color w:val="000000" w:themeColor="text1"/>
                <w:sz w:val="16"/>
                <w:szCs w:val="16"/>
              </w:rPr>
              <w:t>Performance measures</w:t>
            </w:r>
          </w:p>
        </w:tc>
        <w:tc>
          <w:tcPr>
            <w:tcW w:w="3118" w:type="dxa"/>
            <w:tcBorders>
              <w:top w:val="dotted" w:sz="4" w:space="0" w:color="auto"/>
              <w:left w:val="single" w:sz="4" w:space="0" w:color="auto"/>
              <w:bottom w:val="dotted" w:sz="4" w:space="0" w:color="auto"/>
            </w:tcBorders>
          </w:tcPr>
          <w:p w14:paraId="3395CC25" w14:textId="77777777" w:rsidR="00040760" w:rsidRPr="00635861" w:rsidRDefault="00040760" w:rsidP="000D4CBE">
            <w:pPr>
              <w:pStyle w:val="Tabletextcell8left12"/>
              <w:spacing w:after="60"/>
            </w:pPr>
            <w:r w:rsidRPr="00635861">
              <w:t xml:space="preserve">220,000 number of visits to the organisation by 2025-26. </w:t>
            </w:r>
          </w:p>
          <w:p w14:paraId="14C56DCD" w14:textId="77777777" w:rsidR="00040760" w:rsidRPr="00635861" w:rsidRDefault="00040760" w:rsidP="000D4CBE">
            <w:pPr>
              <w:pStyle w:val="Tabletextcell8left12"/>
              <w:spacing w:after="60"/>
            </w:pPr>
            <w:r w:rsidRPr="00635861">
              <w:t>135,000 number of offsite visitors by 2025-26.</w:t>
            </w:r>
          </w:p>
          <w:p w14:paraId="75121A73" w14:textId="77777777" w:rsidR="00040760" w:rsidRPr="00635861" w:rsidRDefault="00040760" w:rsidP="000D4CBE">
            <w:pPr>
              <w:pStyle w:val="Tabletextcell8left12"/>
              <w:spacing w:after="60"/>
            </w:pPr>
            <w:r w:rsidRPr="00635861">
              <w:t>900,000 number of visits to the organisation’s website by 2025-26.</w:t>
            </w:r>
          </w:p>
          <w:p w14:paraId="528DAAD5" w14:textId="77777777" w:rsidR="00040760" w:rsidRPr="00635861" w:rsidRDefault="00040760" w:rsidP="000D4CBE">
            <w:pPr>
              <w:pStyle w:val="Tabletextcell8left12"/>
              <w:spacing w:after="60"/>
            </w:pPr>
            <w:r w:rsidRPr="00635861">
              <w:t>Maintain 90% of visitors satisfied with their visit.</w:t>
            </w:r>
          </w:p>
          <w:p w14:paraId="1FDF8D5D" w14:textId="77777777" w:rsidR="00040760" w:rsidRPr="00635861" w:rsidRDefault="00040760" w:rsidP="000D4CBE">
            <w:pPr>
              <w:pStyle w:val="Tabletextcell8left12"/>
              <w:spacing w:after="60"/>
            </w:pPr>
            <w:r w:rsidRPr="00635861">
              <w:t>60,000 people participating in public programs by 2025-26.</w:t>
            </w:r>
          </w:p>
          <w:p w14:paraId="5E3EF669" w14:textId="77777777" w:rsidR="00040760" w:rsidRPr="00635861" w:rsidRDefault="00040760" w:rsidP="000D4CBE">
            <w:pPr>
              <w:pStyle w:val="Tabletextcell8left12"/>
              <w:spacing w:after="60"/>
            </w:pPr>
            <w:r w:rsidRPr="00635861">
              <w:t>80,000 students and teachers participating in school programs onsite and offsite by 2025-26.</w:t>
            </w:r>
          </w:p>
          <w:p w14:paraId="307FFAE1" w14:textId="77777777" w:rsidR="00040760" w:rsidRPr="00635861" w:rsidRDefault="00040760" w:rsidP="000D4CBE">
            <w:pPr>
              <w:pStyle w:val="Tabletextcell8left12"/>
              <w:spacing w:after="60"/>
            </w:pPr>
            <w:r w:rsidRPr="00635861">
              <w:t>115,000 students and teachers participating in virtual and online excursions by 2025-26.</w:t>
            </w:r>
          </w:p>
          <w:p w14:paraId="38C85052" w14:textId="77777777" w:rsidR="00040760" w:rsidRPr="00635861" w:rsidRDefault="00CA41DD" w:rsidP="000D4CBE">
            <w:pPr>
              <w:pStyle w:val="Tabletextcell8left12"/>
              <w:spacing w:after="60"/>
            </w:pPr>
            <w:r>
              <w:rPr>
                <w:color w:val="000000" w:themeColor="text1"/>
              </w:rPr>
              <w:t>R</w:t>
            </w:r>
            <w:r w:rsidRPr="00635861">
              <w:rPr>
                <w:color w:val="000000" w:themeColor="text1"/>
              </w:rPr>
              <w:t>each</w:t>
            </w:r>
            <w:r>
              <w:t xml:space="preserve"> 320,000 student</w:t>
            </w:r>
            <w:r w:rsidR="00040760" w:rsidRPr="00635861">
              <w:t xml:space="preserve"> </w:t>
            </w:r>
            <w:r w:rsidR="00040760" w:rsidRPr="00635861">
              <w:rPr>
                <w:color w:val="000000" w:themeColor="text1"/>
              </w:rPr>
              <w:t xml:space="preserve">classroom resources </w:t>
            </w:r>
            <w:r w:rsidR="00040760" w:rsidRPr="00635861">
              <w:t>by 2025-26.</w:t>
            </w:r>
          </w:p>
          <w:p w14:paraId="77BE37AC" w14:textId="77777777" w:rsidR="00040760" w:rsidRPr="00635861" w:rsidRDefault="00040760" w:rsidP="000D4CBE">
            <w:pPr>
              <w:pStyle w:val="Tabletextcell8left12"/>
              <w:spacing w:after="60"/>
            </w:pPr>
            <w:r w:rsidRPr="00635861">
              <w:t>950 educational institutions participating in organised school learning programs by 2025-26.</w:t>
            </w:r>
          </w:p>
          <w:p w14:paraId="576AB22D" w14:textId="77777777" w:rsidR="00040760" w:rsidRPr="00635861" w:rsidRDefault="00040760" w:rsidP="000D4CBE">
            <w:pPr>
              <w:pStyle w:val="Tabletextcell8left12"/>
              <w:spacing w:after="60"/>
            </w:pPr>
          </w:p>
          <w:p w14:paraId="33424962" w14:textId="77777777" w:rsidR="00040760" w:rsidRPr="00635861" w:rsidRDefault="00040760" w:rsidP="000D4CBE">
            <w:pPr>
              <w:pStyle w:val="Tabletextcell8left12"/>
              <w:spacing w:after="60"/>
            </w:pPr>
            <w:r w:rsidRPr="00635861">
              <w:t>Maintain 95% of teachers reporting overall positive experience.</w:t>
            </w:r>
          </w:p>
          <w:p w14:paraId="1105F0B2" w14:textId="77777777" w:rsidR="00040760" w:rsidRPr="00635861" w:rsidRDefault="00040760" w:rsidP="000D4CBE">
            <w:pPr>
              <w:pStyle w:val="Tabletextcell8left12"/>
              <w:spacing w:after="60"/>
            </w:pPr>
            <w:r w:rsidRPr="00635861">
              <w:t>Maintain 95% of teachers reporting relevance to the classroom curriculum.</w:t>
            </w:r>
          </w:p>
          <w:p w14:paraId="2BEFAA11" w14:textId="77777777" w:rsidR="00040760" w:rsidRPr="00635861" w:rsidRDefault="00040760" w:rsidP="000D4CBE">
            <w:pPr>
              <w:pStyle w:val="Tabletextcell8left12"/>
              <w:spacing w:after="60"/>
            </w:pPr>
          </w:p>
          <w:p w14:paraId="245C1A01" w14:textId="77777777" w:rsidR="00040760" w:rsidRPr="00635861" w:rsidRDefault="00635861" w:rsidP="000D4CBE">
            <w:pPr>
              <w:pStyle w:val="TableTextBase"/>
              <w:rPr>
                <w:b/>
                <w:color w:val="0070C0"/>
                <w:sz w:val="16"/>
                <w:szCs w:val="16"/>
              </w:rPr>
            </w:pPr>
            <w:r w:rsidRPr="00635861">
              <w:rPr>
                <w:b/>
                <w:color w:val="000000" w:themeColor="text1"/>
                <w:sz w:val="16"/>
                <w:szCs w:val="16"/>
              </w:rPr>
              <w:t>Expected performance results</w:t>
            </w:r>
          </w:p>
        </w:tc>
      </w:tr>
      <w:tr w:rsidR="00635861" w:rsidRPr="001B2F81" w14:paraId="24A9EFB9" w14:textId="77777777" w:rsidTr="000D4CBE">
        <w:trPr>
          <w:trHeight w:val="491"/>
        </w:trPr>
        <w:tc>
          <w:tcPr>
            <w:tcW w:w="1560" w:type="dxa"/>
            <w:tcBorders>
              <w:top w:val="dotted" w:sz="4" w:space="0" w:color="auto"/>
              <w:bottom w:val="dotted" w:sz="4" w:space="0" w:color="auto"/>
              <w:right w:val="single" w:sz="4" w:space="0" w:color="auto"/>
            </w:tcBorders>
          </w:tcPr>
          <w:p w14:paraId="4D479276" w14:textId="77777777" w:rsidR="00635861" w:rsidRPr="00635861" w:rsidRDefault="00635861" w:rsidP="00635861">
            <w:pPr>
              <w:pStyle w:val="TableTextBase"/>
              <w:rPr>
                <w:rFonts w:cs="Arial"/>
                <w:sz w:val="16"/>
              </w:rPr>
            </w:pPr>
            <w:r w:rsidRPr="00635861">
              <w:rPr>
                <w:rFonts w:cs="Arial"/>
                <w:sz w:val="16"/>
              </w:rPr>
              <w:t xml:space="preserve">Forward Estimates </w:t>
            </w:r>
          </w:p>
          <w:p w14:paraId="4DCA8DE9" w14:textId="77777777" w:rsidR="00635861" w:rsidRPr="00635861" w:rsidRDefault="00635861" w:rsidP="00635861">
            <w:pPr>
              <w:pStyle w:val="TableTextBase"/>
              <w:rPr>
                <w:rFonts w:cs="Arial"/>
                <w:sz w:val="16"/>
              </w:rPr>
            </w:pPr>
            <w:r w:rsidRPr="00635861">
              <w:rPr>
                <w:rFonts w:cs="Arial"/>
                <w:sz w:val="16"/>
              </w:rPr>
              <w:t>2023-26</w:t>
            </w:r>
          </w:p>
        </w:tc>
        <w:tc>
          <w:tcPr>
            <w:tcW w:w="3118" w:type="dxa"/>
            <w:tcBorders>
              <w:top w:val="dotted" w:sz="4" w:space="0" w:color="auto"/>
              <w:left w:val="single" w:sz="4" w:space="0" w:color="auto"/>
              <w:bottom w:val="dotted" w:sz="4" w:space="0" w:color="auto"/>
              <w:right w:val="single" w:sz="4" w:space="0" w:color="auto"/>
            </w:tcBorders>
          </w:tcPr>
          <w:p w14:paraId="6EB303B3" w14:textId="77777777" w:rsidR="00635861" w:rsidRPr="00635861" w:rsidRDefault="00635861" w:rsidP="00635861">
            <w:pPr>
              <w:pStyle w:val="ListParagraph"/>
              <w:spacing w:after="60" w:line="240" w:lineRule="auto"/>
              <w:ind w:left="0"/>
              <w:rPr>
                <w:rFonts w:ascii="Arial" w:hAnsi="Arial" w:cs="Arial"/>
                <w:b/>
                <w:sz w:val="16"/>
                <w:szCs w:val="16"/>
              </w:rPr>
            </w:pPr>
            <w:r w:rsidRPr="00635861">
              <w:rPr>
                <w:rFonts w:ascii="Arial" w:hAnsi="Arial" w:cs="Arial"/>
                <w:b/>
                <w:sz w:val="16"/>
                <w:szCs w:val="16"/>
              </w:rPr>
              <w:t>Collect, share and digitise</w:t>
            </w:r>
            <w:r>
              <w:rPr>
                <w:rFonts w:ascii="Arial" w:hAnsi="Arial" w:cs="Arial"/>
                <w:b/>
                <w:sz w:val="16"/>
                <w:szCs w:val="16"/>
              </w:rPr>
              <w:t xml:space="preserve"> </w:t>
            </w:r>
            <w:r w:rsidRPr="00635861">
              <w:rPr>
                <w:rFonts w:ascii="Arial" w:hAnsi="Arial" w:cs="Arial"/>
                <w:b/>
                <w:sz w:val="16"/>
                <w:szCs w:val="16"/>
              </w:rPr>
              <w:t>—</w:t>
            </w:r>
            <w:r>
              <w:rPr>
                <w:rFonts w:ascii="Arial" w:hAnsi="Arial" w:cs="Arial"/>
                <w:b/>
                <w:sz w:val="16"/>
                <w:szCs w:val="16"/>
              </w:rPr>
              <w:t xml:space="preserve"> </w:t>
            </w:r>
            <w:r w:rsidRPr="00635861">
              <w:rPr>
                <w:rFonts w:ascii="Arial" w:hAnsi="Arial" w:cs="Arial"/>
                <w:sz w:val="16"/>
                <w:szCs w:val="16"/>
              </w:rPr>
              <w:t>build and maintain a rich national collection for current and future generations of Australians to enjoy and learn from.</w:t>
            </w:r>
          </w:p>
        </w:tc>
        <w:tc>
          <w:tcPr>
            <w:tcW w:w="3118" w:type="dxa"/>
            <w:tcBorders>
              <w:top w:val="dotted" w:sz="4" w:space="0" w:color="auto"/>
              <w:left w:val="single" w:sz="4" w:space="0" w:color="auto"/>
              <w:bottom w:val="dotted" w:sz="4" w:space="0" w:color="auto"/>
            </w:tcBorders>
          </w:tcPr>
          <w:p w14:paraId="64A1E4FC" w14:textId="77777777" w:rsidR="00635861" w:rsidRPr="00635861" w:rsidRDefault="00635861" w:rsidP="00635861">
            <w:pPr>
              <w:pStyle w:val="Tabletextcell8left12"/>
              <w:spacing w:after="60"/>
              <w:rPr>
                <w:rFonts w:cs="Arial"/>
              </w:rPr>
            </w:pPr>
            <w:r w:rsidRPr="00635861">
              <w:rPr>
                <w:rFonts w:cs="Arial"/>
              </w:rPr>
              <w:t>Maintain 35% of the total collection available to the public.</w:t>
            </w:r>
          </w:p>
          <w:p w14:paraId="31DA743C" w14:textId="77777777" w:rsidR="00635861" w:rsidRPr="00635861" w:rsidRDefault="00635861" w:rsidP="00635861">
            <w:pPr>
              <w:pStyle w:val="Tabletextcell8left12"/>
              <w:spacing w:after="60"/>
              <w:rPr>
                <w:rFonts w:cs="Arial"/>
              </w:rPr>
            </w:pPr>
            <w:r w:rsidRPr="00635861">
              <w:rPr>
                <w:rFonts w:cs="Arial"/>
              </w:rPr>
              <w:t>Maintain 90% of the total collection digitised</w:t>
            </w:r>
          </w:p>
        </w:tc>
      </w:tr>
    </w:tbl>
    <w:p w14:paraId="265E6274" w14:textId="77777777" w:rsidR="00742EE3" w:rsidRPr="00AD42E2" w:rsidRDefault="00742EE3" w:rsidP="00742EE3">
      <w:pPr>
        <w:pStyle w:val="Heading2"/>
      </w:pPr>
      <w:r w:rsidRPr="005B6A94">
        <w:br w:type="page"/>
      </w:r>
      <w:bookmarkStart w:id="991" w:name="_Toc98766460"/>
      <w:bookmarkStart w:id="992" w:name="_Toc98856196"/>
      <w:bookmarkStart w:id="993" w:name="_Toc98932948"/>
      <w:bookmarkStart w:id="994" w:name="_Toc99008204"/>
      <w:bookmarkStart w:id="995" w:name="_Toc99009566"/>
      <w:bookmarkStart w:id="996" w:name="_Toc99010794"/>
      <w:bookmarkStart w:id="997" w:name="_Toc99014029"/>
      <w:bookmarkStart w:id="998" w:name="_Toc99187604"/>
      <w:bookmarkStart w:id="999" w:name="_Toc99269726"/>
      <w:r w:rsidRPr="00AD42E2">
        <w:t>Section 3: Budgeted financial statements</w:t>
      </w:r>
      <w:bookmarkEnd w:id="991"/>
      <w:bookmarkEnd w:id="992"/>
      <w:bookmarkEnd w:id="993"/>
      <w:bookmarkEnd w:id="994"/>
      <w:bookmarkEnd w:id="995"/>
      <w:bookmarkEnd w:id="996"/>
      <w:bookmarkEnd w:id="997"/>
      <w:bookmarkEnd w:id="998"/>
      <w:bookmarkEnd w:id="999"/>
    </w:p>
    <w:p w14:paraId="0DF3B23E" w14:textId="77777777" w:rsidR="00742EE3" w:rsidRDefault="00742EE3" w:rsidP="00742EE3">
      <w:r>
        <w:t xml:space="preserve">Section 3 presents budgeted financial statements which provide a comprehensive snapshot of </w:t>
      </w:r>
      <w:r w:rsidR="006758F4">
        <w:t>OPH’s</w:t>
      </w:r>
      <w:r>
        <w:t xml:space="preserve"> finances for the 2022-23</w:t>
      </w:r>
      <w:r>
        <w:rPr>
          <w:color w:val="00B050"/>
        </w:rPr>
        <w:t xml:space="preserve"> </w:t>
      </w:r>
      <w:r w:rsidR="004C12AF">
        <w:t>Budget year</w:t>
      </w:r>
      <w:r>
        <w:t>, including the impact of budget measures and resourcing on financial statements.</w:t>
      </w:r>
    </w:p>
    <w:p w14:paraId="5909AD8B" w14:textId="77777777" w:rsidR="00742EE3" w:rsidRPr="005328A9" w:rsidRDefault="00742EE3" w:rsidP="00742EE3">
      <w:pPr>
        <w:pStyle w:val="Heading3"/>
      </w:pPr>
      <w:bookmarkStart w:id="1000" w:name="_Toc98766461"/>
      <w:bookmarkStart w:id="1001" w:name="_Toc98856197"/>
      <w:bookmarkStart w:id="1002" w:name="_Toc98932949"/>
      <w:bookmarkStart w:id="1003" w:name="_Toc99008205"/>
      <w:bookmarkStart w:id="1004" w:name="_Toc99009567"/>
      <w:bookmarkStart w:id="1005" w:name="_Toc99010795"/>
      <w:bookmarkStart w:id="1006" w:name="_Toc99014030"/>
      <w:bookmarkStart w:id="1007" w:name="_Toc99187605"/>
      <w:bookmarkStart w:id="1008" w:name="_Toc99269727"/>
      <w:r w:rsidRPr="005328A9">
        <w:t>3.1</w:t>
      </w:r>
      <w:r w:rsidRPr="005328A9">
        <w:tab/>
        <w:t>Budgeted financial statements</w:t>
      </w:r>
      <w:bookmarkEnd w:id="1000"/>
      <w:bookmarkEnd w:id="1001"/>
      <w:bookmarkEnd w:id="1002"/>
      <w:bookmarkEnd w:id="1003"/>
      <w:bookmarkEnd w:id="1004"/>
      <w:bookmarkEnd w:id="1005"/>
      <w:bookmarkEnd w:id="1006"/>
      <w:bookmarkEnd w:id="1007"/>
      <w:bookmarkEnd w:id="1008"/>
    </w:p>
    <w:p w14:paraId="6353901A" w14:textId="77777777" w:rsidR="00742EE3" w:rsidRDefault="00742EE3" w:rsidP="00742EE3">
      <w:pPr>
        <w:pStyle w:val="Heading4"/>
      </w:pPr>
      <w:r>
        <w:t>3.1.2</w:t>
      </w:r>
      <w:r>
        <w:tab/>
        <w:t>Explanatory notes and analysis of budgeted financial statements</w:t>
      </w:r>
    </w:p>
    <w:p w14:paraId="17CC10C9" w14:textId="77777777" w:rsidR="00742EE3" w:rsidRDefault="004E586A" w:rsidP="00742EE3">
      <w:pPr>
        <w:pStyle w:val="bulletlevel1"/>
        <w:numPr>
          <w:ilvl w:val="0"/>
          <w:numId w:val="0"/>
        </w:numPr>
        <w:jc w:val="left"/>
      </w:pPr>
      <w:r>
        <w:t xml:space="preserve">The </w:t>
      </w:r>
      <w:r w:rsidR="00742EE3">
        <w:t>MoAD has experienced significant disruptions to it</w:t>
      </w:r>
      <w:r w:rsidR="00990268">
        <w:t>s operations during the 2021</w:t>
      </w:r>
      <w:r w:rsidR="00990268">
        <w:noBreakHyphen/>
        <w:t>22 </w:t>
      </w:r>
      <w:r w:rsidR="00742EE3">
        <w:t>financial year. This includ</w:t>
      </w:r>
      <w:r w:rsidR="00990268">
        <w:t>es a period of closure of over four</w:t>
      </w:r>
      <w:r w:rsidR="00742EE3">
        <w:t xml:space="preserve"> months as a result of protest action and fire damage to the building. </w:t>
      </w:r>
      <w:r w:rsidR="00742EE3">
        <w:br/>
      </w:r>
      <w:r w:rsidR="00742EE3">
        <w:br/>
        <w:t>In 2022-23</w:t>
      </w:r>
      <w:r w:rsidR="00990268">
        <w:t>,</w:t>
      </w:r>
      <w:r w:rsidR="00742EE3">
        <w:t xml:space="preserve"> we will see a significant increase in capital works including the replacement of the roof, asbestos removal, hydraulics remediation, and refurbishment of the House of Representatives chamber. A new permanent exhibition gallery will also open.</w:t>
      </w:r>
    </w:p>
    <w:p w14:paraId="0AACB29C" w14:textId="77777777" w:rsidR="00742EE3" w:rsidRPr="00633929" w:rsidRDefault="00742EE3" w:rsidP="00742EE3">
      <w:pPr>
        <w:spacing w:after="120"/>
        <w:rPr>
          <w:b/>
        </w:rPr>
      </w:pPr>
      <w:r w:rsidRPr="00633929">
        <w:rPr>
          <w:b/>
        </w:rPr>
        <w:t>Comprehensive income statement</w:t>
      </w:r>
    </w:p>
    <w:p w14:paraId="1E4CB802" w14:textId="77777777" w:rsidR="00742EE3" w:rsidRPr="00633929" w:rsidRDefault="00742EE3" w:rsidP="00742EE3">
      <w:pPr>
        <w:pStyle w:val="Paragraphtext"/>
      </w:pPr>
      <w:r w:rsidRPr="00633929">
        <w:t>Total budgeted income for 202</w:t>
      </w:r>
      <w:r>
        <w:t>2</w:t>
      </w:r>
      <w:r w:rsidRPr="00633929">
        <w:t>-2</w:t>
      </w:r>
      <w:r>
        <w:t>3</w:t>
      </w:r>
      <w:r w:rsidR="00990268">
        <w:t xml:space="preserve"> is estimated to be $16.9</w:t>
      </w:r>
      <w:r w:rsidRPr="00633929">
        <w:t xml:space="preserve"> million, of which $</w:t>
      </w:r>
      <w:r w:rsidR="00990268">
        <w:t>15.0 </w:t>
      </w:r>
      <w:r w:rsidRPr="00633929">
        <w:t xml:space="preserve">million is appropriation from Government. </w:t>
      </w:r>
    </w:p>
    <w:p w14:paraId="003BD416" w14:textId="77777777" w:rsidR="00742EE3" w:rsidRPr="00633929" w:rsidRDefault="00742EE3" w:rsidP="00742EE3">
      <w:pPr>
        <w:pStyle w:val="Paragraphtext"/>
      </w:pPr>
      <w:r w:rsidRPr="00633929">
        <w:t>Sale of goods and services is forecast to be $</w:t>
      </w:r>
      <w:r w:rsidR="00990268">
        <w:t>2.0</w:t>
      </w:r>
      <w:r w:rsidRPr="00633929">
        <w:t xml:space="preserve"> million</w:t>
      </w:r>
      <w:r w:rsidR="006051E2">
        <w:t>,</w:t>
      </w:r>
      <w:r w:rsidRPr="00633929">
        <w:t xml:space="preserve"> a slight drop from the current financial year due to the continuing impacts of COVID-19</w:t>
      </w:r>
      <w:r>
        <w:t xml:space="preserve">, </w:t>
      </w:r>
      <w:r w:rsidRPr="00633929">
        <w:t>reduced onsite visitation and the flow on effect to other revenue generating activities, such as cate</w:t>
      </w:r>
      <w:r w:rsidR="006051E2">
        <w:t>ring. The revenue is forecast</w:t>
      </w:r>
      <w:r w:rsidRPr="00633929">
        <w:t xml:space="preserve"> to be impacted for the forward estimates also</w:t>
      </w:r>
      <w:r>
        <w:t xml:space="preserve"> as we rebuild </w:t>
      </w:r>
      <w:r w:rsidRPr="00633929">
        <w:t>visitation</w:t>
      </w:r>
      <w:r>
        <w:t>.</w:t>
      </w:r>
    </w:p>
    <w:p w14:paraId="1243FBAE" w14:textId="77777777" w:rsidR="00742EE3" w:rsidRPr="00633929" w:rsidRDefault="00742EE3" w:rsidP="00742EE3">
      <w:pPr>
        <w:pStyle w:val="Paragraphtext"/>
      </w:pPr>
      <w:r w:rsidRPr="00633929">
        <w:t>Total expenses for 2021-22 are estimated to be $</w:t>
      </w:r>
      <w:r>
        <w:t>15.3</w:t>
      </w:r>
      <w:r w:rsidRPr="00633929">
        <w:t xml:space="preserve"> million (excluding depreciation), </w:t>
      </w:r>
      <w:r>
        <w:t xml:space="preserve">due to additional resources needed for the fire remediation and cyber security. Some of these expenses will be the subject of an insurance claim. </w:t>
      </w:r>
    </w:p>
    <w:p w14:paraId="551AF1B7" w14:textId="77777777" w:rsidR="00742EE3" w:rsidRPr="00633929" w:rsidRDefault="00742EE3" w:rsidP="00742EE3">
      <w:pPr>
        <w:spacing w:after="120"/>
      </w:pPr>
      <w:r w:rsidRPr="00633929">
        <w:t>Operational losses sustained by OPH are technical accounting losses driven by the heritage depreciation on the building. OPH maintains sufficient underlying cash balances to maintain financial sustainability.</w:t>
      </w:r>
    </w:p>
    <w:p w14:paraId="05B7E7D6" w14:textId="77777777" w:rsidR="00742EE3" w:rsidRPr="00633929" w:rsidRDefault="00742EE3" w:rsidP="00742EE3">
      <w:pPr>
        <w:spacing w:after="120"/>
        <w:rPr>
          <w:b/>
        </w:rPr>
      </w:pPr>
      <w:r w:rsidRPr="00633929">
        <w:rPr>
          <w:b/>
        </w:rPr>
        <w:t xml:space="preserve">Departmental </w:t>
      </w:r>
      <w:r w:rsidR="004E586A">
        <w:rPr>
          <w:b/>
        </w:rPr>
        <w:t>b</w:t>
      </w:r>
      <w:r w:rsidRPr="00633929">
        <w:rPr>
          <w:b/>
        </w:rPr>
        <w:t>alance Sheet</w:t>
      </w:r>
    </w:p>
    <w:p w14:paraId="7B45A713" w14:textId="77777777" w:rsidR="00742EE3" w:rsidRPr="00633929" w:rsidRDefault="00742EE3" w:rsidP="00742EE3">
      <w:r w:rsidRPr="00633929">
        <w:t>Total assets are budgeted to decrease</w:t>
      </w:r>
      <w:r>
        <w:t xml:space="preserve"> slightly</w:t>
      </w:r>
      <w:r w:rsidRPr="00633929">
        <w:t xml:space="preserve"> in 202</w:t>
      </w:r>
      <w:r>
        <w:t>2</w:t>
      </w:r>
      <w:r w:rsidRPr="00633929">
        <w:t>-2</w:t>
      </w:r>
      <w:r>
        <w:t>3</w:t>
      </w:r>
      <w:r w:rsidRPr="00633929">
        <w:t>, reflecting the depreciation on non-financial assets</w:t>
      </w:r>
      <w:r>
        <w:t>, the impairment due to damage by the fire,</w:t>
      </w:r>
      <w:r w:rsidRPr="00633929">
        <w:t xml:space="preserve"> offset by completed capital works during the year. $</w:t>
      </w:r>
      <w:r w:rsidR="00990268">
        <w:t>6.3</w:t>
      </w:r>
      <w:r w:rsidRPr="00633929">
        <w:t xml:space="preserve"> million is expected to be spent in the capital works program and includes additional funding received via equity injection for critical capital wor</w:t>
      </w:r>
      <w:r>
        <w:t>ks</w:t>
      </w:r>
      <w:r w:rsidRPr="00633929">
        <w:t xml:space="preserve">, a </w:t>
      </w:r>
      <w:r w:rsidR="00990268">
        <w:t xml:space="preserve">further $0.2 </w:t>
      </w:r>
      <w:r w:rsidRPr="00C66C1A">
        <w:t>m</w:t>
      </w:r>
      <w:r w:rsidR="00990268">
        <w:t>illion</w:t>
      </w:r>
      <w:r w:rsidRPr="00633929">
        <w:t xml:space="preserve"> </w:t>
      </w:r>
      <w:r w:rsidR="006051E2">
        <w:t xml:space="preserve">in </w:t>
      </w:r>
      <w:r w:rsidRPr="00633929">
        <w:t>capital will be spent on heritage collection preservation and acquisitions.</w:t>
      </w:r>
    </w:p>
    <w:p w14:paraId="3A2775CB" w14:textId="77777777" w:rsidR="00742EE3" w:rsidRPr="00E62FE6" w:rsidRDefault="006051E2" w:rsidP="00742EE3">
      <w:pPr>
        <w:keepLines/>
        <w:rPr>
          <w:highlight w:val="yellow"/>
        </w:rPr>
      </w:pPr>
      <w:r>
        <w:t xml:space="preserve">The </w:t>
      </w:r>
      <w:r w:rsidR="00990268">
        <w:t>OPH classifies the building as</w:t>
      </w:r>
      <w:r w:rsidR="00742EE3" w:rsidRPr="00633929">
        <w:t xml:space="preserve"> a ‘</w:t>
      </w:r>
      <w:r>
        <w:t>heritage &amp; c</w:t>
      </w:r>
      <w:r w:rsidR="00742EE3" w:rsidRPr="00633929">
        <w:t xml:space="preserve">ultural asset’. This is on the basis that the building reflects significant cultural heritage of the Australian nation and has satisfactorily met the criteria under the </w:t>
      </w:r>
      <w:r>
        <w:t>financial reporting r</w:t>
      </w:r>
      <w:r w:rsidR="00742EE3" w:rsidRPr="00633929">
        <w:t xml:space="preserve">ules for </w:t>
      </w:r>
      <w:r>
        <w:t>heritage and c</w:t>
      </w:r>
      <w:r w:rsidR="00742EE3" w:rsidRPr="00633929">
        <w:t xml:space="preserve">ultural classification. </w:t>
      </w:r>
    </w:p>
    <w:p w14:paraId="16DECA2F" w14:textId="77777777" w:rsidR="00742EE3" w:rsidRDefault="00742EE3" w:rsidP="00742EE3">
      <w:pPr>
        <w:jc w:val="left"/>
      </w:pPr>
      <w:r w:rsidRPr="00640C78">
        <w:br w:type="page"/>
      </w:r>
      <w:r w:rsidRPr="00D232B7">
        <w:rPr>
          <w:rStyle w:val="TableHeadingChar"/>
        </w:rPr>
        <w:t>3.2.</w:t>
      </w:r>
      <w:r w:rsidRPr="00D232B7">
        <w:rPr>
          <w:rStyle w:val="TableHeadingChar"/>
        </w:rPr>
        <w:tab/>
        <w:t>Budgeted financial statements tables</w:t>
      </w:r>
    </w:p>
    <w:p w14:paraId="7BFF33F4" w14:textId="77777777" w:rsidR="00742EE3" w:rsidRDefault="00742EE3" w:rsidP="00742EE3">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08791167" w14:textId="77777777" w:rsidR="00742EE3" w:rsidRDefault="00742EE3" w:rsidP="00742EE3">
      <w:pPr>
        <w:pStyle w:val="TableGraphic"/>
        <w:rPr>
          <w:noProof/>
        </w:rPr>
      </w:pPr>
      <w:r w:rsidRPr="00D52088">
        <w:rPr>
          <w:noProof/>
        </w:rPr>
        <w:t xml:space="preserve"> </w:t>
      </w:r>
      <w:r w:rsidR="006758F4" w:rsidRPr="006758F4">
        <w:rPr>
          <w:noProof/>
        </w:rPr>
        <w:drawing>
          <wp:inline distT="0" distB="0" distL="0" distR="0" wp14:anchorId="51F03020" wp14:editId="067310F9">
            <wp:extent cx="4895850" cy="5559485"/>
            <wp:effectExtent l="0" t="0" r="0" b="317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895850" cy="5559485"/>
                    </a:xfrm>
                    <a:prstGeom prst="rect">
                      <a:avLst/>
                    </a:prstGeom>
                    <a:noFill/>
                    <a:ln>
                      <a:noFill/>
                    </a:ln>
                  </pic:spPr>
                </pic:pic>
              </a:graphicData>
            </a:graphic>
          </wp:inline>
        </w:drawing>
      </w:r>
    </w:p>
    <w:p w14:paraId="279D5657" w14:textId="77777777" w:rsidR="00990268" w:rsidRPr="00AD125A" w:rsidRDefault="00990268" w:rsidP="00990268">
      <w:pPr>
        <w:pStyle w:val="ChartandTableFootnoteAlpha"/>
        <w:ind w:left="284" w:hanging="284"/>
      </w:pPr>
      <w:r w:rsidRPr="009D54F3">
        <w:t>Prepared on Australian Accounting Standards basis.</w:t>
      </w:r>
    </w:p>
    <w:p w14:paraId="5A060ABD" w14:textId="77777777" w:rsidR="006758F4" w:rsidRPr="006758F4" w:rsidRDefault="006758F4" w:rsidP="006758F4">
      <w:pPr>
        <w:pStyle w:val="ListParagraph"/>
        <w:numPr>
          <w:ilvl w:val="4"/>
          <w:numId w:val="168"/>
        </w:numPr>
        <w:spacing w:after="0" w:line="240" w:lineRule="auto"/>
        <w:jc w:val="both"/>
        <w:rPr>
          <w:rFonts w:ascii="Arial" w:hAnsi="Arial" w:cs="Arial"/>
          <w:sz w:val="16"/>
          <w:szCs w:val="16"/>
        </w:rPr>
      </w:pPr>
      <w:r w:rsidRPr="006758F4">
        <w:rPr>
          <w:rFonts w:ascii="Arial" w:hAnsi="Arial" w:cs="Arial"/>
          <w:sz w:val="16"/>
          <w:szCs w:val="16"/>
        </w:rPr>
        <w:t>From 2009-10, the Government replaced Bill 1 revenue appropriations for the heritage and cultural</w:t>
      </w:r>
      <w:r>
        <w:rPr>
          <w:rFonts w:ascii="Arial" w:hAnsi="Arial" w:cs="Arial"/>
          <w:sz w:val="16"/>
          <w:szCs w:val="16"/>
        </w:rPr>
        <w:t xml:space="preserve"> </w:t>
      </w:r>
      <w:r w:rsidRPr="006758F4">
        <w:rPr>
          <w:rFonts w:ascii="Arial" w:hAnsi="Arial" w:cs="Arial"/>
          <w:sz w:val="16"/>
          <w:szCs w:val="16"/>
        </w:rPr>
        <w:t>depreciation expenses of designated Collection Institutions, with a separate capital budget (the Collection Development Acquisition Budget (CDABs)) provided through Bill 2 equity appropriations. For information</w:t>
      </w:r>
      <w:r>
        <w:rPr>
          <w:rFonts w:ascii="Arial" w:hAnsi="Arial" w:cs="Arial"/>
          <w:sz w:val="16"/>
          <w:szCs w:val="16"/>
        </w:rPr>
        <w:t xml:space="preserve"> </w:t>
      </w:r>
      <w:r w:rsidRPr="006758F4">
        <w:rPr>
          <w:rFonts w:ascii="Arial" w:hAnsi="Arial" w:cs="Arial"/>
          <w:sz w:val="16"/>
          <w:szCs w:val="16"/>
        </w:rPr>
        <w:t>regarding CDAB, please refer to Table 3.5 Departmental Capital Budget Statement.</w:t>
      </w:r>
    </w:p>
    <w:p w14:paraId="34D6EB46" w14:textId="77777777" w:rsidR="00742EE3" w:rsidRPr="00990268" w:rsidRDefault="00A75066" w:rsidP="006758F4">
      <w:pPr>
        <w:pStyle w:val="ListParagraph"/>
        <w:numPr>
          <w:ilvl w:val="4"/>
          <w:numId w:val="168"/>
        </w:numPr>
        <w:spacing w:after="0" w:line="240" w:lineRule="auto"/>
        <w:jc w:val="both"/>
        <w:rPr>
          <w:rFonts w:ascii="Arial" w:hAnsi="Arial" w:cs="Arial"/>
          <w:sz w:val="16"/>
          <w:szCs w:val="16"/>
        </w:rPr>
      </w:pPr>
      <w:r>
        <w:rPr>
          <w:rFonts w:ascii="Arial" w:hAnsi="Arial" w:cs="Arial"/>
          <w:sz w:val="16"/>
          <w:szCs w:val="16"/>
        </w:rPr>
        <w:t>Applies to leases</w:t>
      </w:r>
      <w:r w:rsidR="00742EE3" w:rsidRPr="00990268">
        <w:rPr>
          <w:rFonts w:ascii="Arial" w:hAnsi="Arial" w:cs="Arial"/>
          <w:sz w:val="16"/>
          <w:szCs w:val="16"/>
        </w:rPr>
        <w:t xml:space="preserve"> under AASB 16 Leases.</w:t>
      </w:r>
    </w:p>
    <w:p w14:paraId="340CA483" w14:textId="77777777" w:rsidR="00742EE3" w:rsidRDefault="00742EE3" w:rsidP="00742EE3">
      <w:pPr>
        <w:pStyle w:val="TableHeading"/>
      </w:pPr>
      <w:r w:rsidRPr="00E4582E">
        <w:t>Table</w:t>
      </w:r>
      <w:r>
        <w:t xml:space="preserve"> 3.</w:t>
      </w:r>
      <w:r w:rsidRPr="00E4582E">
        <w:t>2: Budg</w:t>
      </w:r>
      <w:r>
        <w:t xml:space="preserve">eted departmental balance sheet </w:t>
      </w:r>
      <w:r w:rsidRPr="00E4582E">
        <w:t>(as at 30 June)</w:t>
      </w:r>
    </w:p>
    <w:p w14:paraId="64100563" w14:textId="77777777" w:rsidR="00742EE3" w:rsidRPr="00F626C2" w:rsidRDefault="006051E2" w:rsidP="00742EE3">
      <w:pPr>
        <w:pStyle w:val="TableGraphic"/>
      </w:pPr>
      <w:r w:rsidRPr="006051E2">
        <w:rPr>
          <w:noProof/>
        </w:rPr>
        <w:drawing>
          <wp:inline distT="0" distB="0" distL="0" distR="0" wp14:anchorId="075ECFAA" wp14:editId="5B5170DE">
            <wp:extent cx="4895850" cy="494210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895850" cy="4942101"/>
                    </a:xfrm>
                    <a:prstGeom prst="rect">
                      <a:avLst/>
                    </a:prstGeom>
                    <a:noFill/>
                    <a:ln>
                      <a:noFill/>
                    </a:ln>
                  </pic:spPr>
                </pic:pic>
              </a:graphicData>
            </a:graphic>
          </wp:inline>
        </w:drawing>
      </w:r>
    </w:p>
    <w:p w14:paraId="55AB91F6" w14:textId="77777777" w:rsidR="00742EE3" w:rsidRPr="004E75D8" w:rsidRDefault="00742EE3" w:rsidP="00742EE3">
      <w:pPr>
        <w:pStyle w:val="TableHeadingcontinued"/>
        <w:rPr>
          <w:rFonts w:ascii="Arial" w:hAnsi="Arial" w:cs="Arial"/>
          <w:b w:val="0"/>
          <w:color w:val="000000"/>
          <w:sz w:val="16"/>
          <w:lang w:val="x-none" w:eastAsia="x-none"/>
        </w:rPr>
      </w:pPr>
      <w:r w:rsidRPr="004E75D8">
        <w:rPr>
          <w:rFonts w:ascii="Arial" w:hAnsi="Arial" w:cs="Arial"/>
          <w:b w:val="0"/>
          <w:color w:val="000000"/>
          <w:sz w:val="16"/>
          <w:lang w:val="x-none" w:eastAsia="x-none"/>
        </w:rPr>
        <w:t>Prepared on Australian Accounting Standards basis.</w:t>
      </w:r>
    </w:p>
    <w:p w14:paraId="320B72E5" w14:textId="77777777" w:rsidR="00742EE3" w:rsidRPr="00132F9E" w:rsidRDefault="00742EE3" w:rsidP="00742EE3">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7C437D93" w14:textId="77777777" w:rsidR="00742EE3" w:rsidRPr="00152B2B" w:rsidRDefault="00742EE3" w:rsidP="00742EE3"/>
    <w:p w14:paraId="44356E0F" w14:textId="77777777" w:rsidR="00742EE3" w:rsidRPr="00152B2B" w:rsidRDefault="00742EE3" w:rsidP="00742EE3"/>
    <w:p w14:paraId="50CC0074" w14:textId="77777777" w:rsidR="00742EE3" w:rsidRDefault="00742EE3" w:rsidP="00742EE3">
      <w:pPr>
        <w:pStyle w:val="TableHeading"/>
        <w:rPr>
          <w:rFonts w:ascii="Times New Roman" w:hAnsi="Times New Roman"/>
        </w:rPr>
      </w:pPr>
      <w:r>
        <w:br w:type="page"/>
      </w:r>
      <w:r w:rsidRPr="00AD42E2">
        <w:t>Table 3.3: Departmental statement of changes in equity — summary of</w:t>
      </w:r>
      <w:r>
        <w:t xml:space="preserve"> movement (Budget year </w:t>
      </w:r>
      <w:r>
        <w:rPr>
          <w:lang w:val="en-AU"/>
        </w:rPr>
        <w:t>2022-23</w:t>
      </w:r>
      <w:r w:rsidRPr="00D30CBA">
        <w:t>)</w:t>
      </w:r>
    </w:p>
    <w:p w14:paraId="3D3A3529" w14:textId="77777777" w:rsidR="00742EE3" w:rsidRDefault="00742EE3" w:rsidP="00742EE3">
      <w:pPr>
        <w:pStyle w:val="TableGraphic"/>
      </w:pPr>
      <w:r w:rsidRPr="002376AD">
        <w:t xml:space="preserve"> </w:t>
      </w:r>
      <w:r w:rsidR="006758F4" w:rsidRPr="006758F4">
        <w:rPr>
          <w:noProof/>
        </w:rPr>
        <w:drawing>
          <wp:inline distT="0" distB="0" distL="0" distR="0" wp14:anchorId="5E63D2C2" wp14:editId="36993BB6">
            <wp:extent cx="4745355" cy="2910840"/>
            <wp:effectExtent l="0" t="0" r="0" b="381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745355" cy="2910840"/>
                    </a:xfrm>
                    <a:prstGeom prst="rect">
                      <a:avLst/>
                    </a:prstGeom>
                    <a:noFill/>
                    <a:ln>
                      <a:noFill/>
                    </a:ln>
                  </pic:spPr>
                </pic:pic>
              </a:graphicData>
            </a:graphic>
          </wp:inline>
        </w:drawing>
      </w:r>
    </w:p>
    <w:p w14:paraId="7D16499F" w14:textId="77777777" w:rsidR="00742EE3" w:rsidRPr="00132F9E" w:rsidRDefault="00742EE3" w:rsidP="00742EE3">
      <w:pPr>
        <w:pStyle w:val="TableGraphic"/>
        <w:rPr>
          <w:rFonts w:ascii="Arial" w:hAnsi="Arial" w:cs="Arial"/>
          <w:sz w:val="16"/>
          <w:szCs w:val="16"/>
        </w:rPr>
      </w:pPr>
      <w:r w:rsidRPr="00D606C2">
        <w:rPr>
          <w:rFonts w:ascii="Arial" w:hAnsi="Arial" w:cs="Arial"/>
          <w:sz w:val="16"/>
        </w:rPr>
        <w:t>Prepared on Australian Accounting Standards basis</w:t>
      </w:r>
    </w:p>
    <w:p w14:paraId="5B134FE5" w14:textId="77777777" w:rsidR="00742EE3" w:rsidRPr="00152B2B" w:rsidRDefault="00742EE3" w:rsidP="00742EE3"/>
    <w:p w14:paraId="0EECFD34" w14:textId="77777777" w:rsidR="00742EE3" w:rsidRPr="00A00283" w:rsidRDefault="00742EE3" w:rsidP="00742EE3">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34BA74C8" w14:textId="77777777" w:rsidR="00742EE3" w:rsidRPr="00F10305" w:rsidRDefault="006758F4" w:rsidP="00742EE3">
      <w:pPr>
        <w:pStyle w:val="TableGraphic"/>
        <w:tabs>
          <w:tab w:val="left" w:pos="6237"/>
        </w:tabs>
      </w:pPr>
      <w:r w:rsidRPr="006758F4">
        <w:rPr>
          <w:noProof/>
        </w:rPr>
        <w:drawing>
          <wp:inline distT="0" distB="0" distL="0" distR="0" wp14:anchorId="2F9489CA" wp14:editId="7076C799">
            <wp:extent cx="4895850" cy="4834174"/>
            <wp:effectExtent l="0" t="0" r="0" b="508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895850" cy="4834174"/>
                    </a:xfrm>
                    <a:prstGeom prst="rect">
                      <a:avLst/>
                    </a:prstGeom>
                    <a:noFill/>
                    <a:ln>
                      <a:noFill/>
                    </a:ln>
                  </pic:spPr>
                </pic:pic>
              </a:graphicData>
            </a:graphic>
          </wp:inline>
        </w:drawing>
      </w:r>
    </w:p>
    <w:p w14:paraId="701EDBAB" w14:textId="77777777" w:rsidR="00742EE3" w:rsidRPr="00132F9E" w:rsidRDefault="00742EE3" w:rsidP="00742EE3">
      <w:pPr>
        <w:pStyle w:val="TableGraphic"/>
        <w:rPr>
          <w:rFonts w:ascii="Arial" w:hAnsi="Arial" w:cs="Arial"/>
          <w:sz w:val="16"/>
          <w:szCs w:val="16"/>
        </w:rPr>
      </w:pPr>
      <w:r w:rsidRPr="00132F9E">
        <w:rPr>
          <w:rFonts w:ascii="Arial" w:hAnsi="Arial" w:cs="Arial"/>
          <w:sz w:val="16"/>
          <w:szCs w:val="16"/>
        </w:rPr>
        <w:t>Prepared on Australian Accounting Standards basis.</w:t>
      </w:r>
    </w:p>
    <w:p w14:paraId="6ADE261B" w14:textId="77777777" w:rsidR="00742EE3" w:rsidRPr="004E75D8" w:rsidRDefault="00742EE3" w:rsidP="00742EE3">
      <w:pPr>
        <w:pStyle w:val="TableHeadingcontinued"/>
      </w:pPr>
    </w:p>
    <w:p w14:paraId="6768C4BB" w14:textId="77777777" w:rsidR="00742EE3" w:rsidRPr="00A00283" w:rsidRDefault="00742EE3" w:rsidP="00742EE3">
      <w:pPr>
        <w:pStyle w:val="TableHeading"/>
      </w:pPr>
      <w:r>
        <w:br w:type="page"/>
      </w:r>
      <w:r w:rsidRPr="00D30CBA">
        <w:t>Table</w:t>
      </w:r>
      <w:r>
        <w:t xml:space="preserve"> 3.5</w:t>
      </w:r>
      <w:r w:rsidRPr="00D30CBA">
        <w:t xml:space="preserve">: </w:t>
      </w:r>
      <w:r>
        <w:t>Departmental capital budget statement (for the period ended 30 June)</w:t>
      </w:r>
    </w:p>
    <w:p w14:paraId="39501B91" w14:textId="77777777" w:rsidR="00742EE3" w:rsidRPr="00132F9E" w:rsidRDefault="006758F4" w:rsidP="00742EE3">
      <w:pPr>
        <w:pStyle w:val="TableGraphic"/>
        <w:rPr>
          <w:rFonts w:ascii="Arial" w:hAnsi="Arial" w:cs="Arial"/>
          <w:sz w:val="16"/>
          <w:szCs w:val="16"/>
        </w:rPr>
      </w:pPr>
      <w:r w:rsidRPr="006758F4">
        <w:rPr>
          <w:noProof/>
        </w:rPr>
        <w:drawing>
          <wp:inline distT="0" distB="0" distL="0" distR="0" wp14:anchorId="17D421C9" wp14:editId="4020D065">
            <wp:extent cx="4895850" cy="2191969"/>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895850" cy="2191969"/>
                    </a:xfrm>
                    <a:prstGeom prst="rect">
                      <a:avLst/>
                    </a:prstGeom>
                    <a:noFill/>
                    <a:ln>
                      <a:noFill/>
                    </a:ln>
                  </pic:spPr>
                </pic:pic>
              </a:graphicData>
            </a:graphic>
          </wp:inline>
        </w:drawing>
      </w:r>
      <w:r w:rsidR="00742EE3" w:rsidRPr="00132F9E">
        <w:rPr>
          <w:rFonts w:ascii="Arial" w:hAnsi="Arial" w:cs="Arial"/>
          <w:sz w:val="16"/>
          <w:szCs w:val="16"/>
        </w:rPr>
        <w:t>Prepared on Australian Accounting Standards basis.</w:t>
      </w:r>
    </w:p>
    <w:p w14:paraId="513E5727" w14:textId="77777777" w:rsidR="00742EE3" w:rsidRPr="00A44CE5" w:rsidRDefault="00742EE3" w:rsidP="00392A48">
      <w:pPr>
        <w:pStyle w:val="ChartandTableFootnoteAlpha"/>
        <w:numPr>
          <w:ilvl w:val="0"/>
          <w:numId w:val="101"/>
        </w:numPr>
        <w:rPr>
          <w:rFonts w:cs="Arial"/>
          <w:szCs w:val="16"/>
        </w:rPr>
      </w:pPr>
      <w:r w:rsidRPr="00A44CE5">
        <w:rPr>
          <w:rFonts w:cs="Arial"/>
          <w:szCs w:val="16"/>
        </w:rPr>
        <w:t>Includes both current Bill 2 and prior Act 2/4/6 appropriations.</w:t>
      </w:r>
    </w:p>
    <w:p w14:paraId="5FA245F6" w14:textId="77777777" w:rsidR="00742EE3" w:rsidRDefault="00742EE3" w:rsidP="00392A48">
      <w:pPr>
        <w:pStyle w:val="ChartandTableFootnoteAlpha"/>
        <w:numPr>
          <w:ilvl w:val="0"/>
          <w:numId w:val="101"/>
        </w:numPr>
        <w:spacing w:after="20"/>
      </w:pPr>
      <w:r>
        <w:t>Includes the following s74 external</w:t>
      </w:r>
      <w:r w:rsidDel="005013B5">
        <w:t xml:space="preserve"> </w:t>
      </w:r>
      <w:r>
        <w:t>receipts:</w:t>
      </w:r>
    </w:p>
    <w:p w14:paraId="6F62E38D" w14:textId="77777777" w:rsidR="00742EE3" w:rsidRPr="000F37E6" w:rsidRDefault="00742EE3" w:rsidP="00742EE3">
      <w:pPr>
        <w:pStyle w:val="ChartandTableFootnote-Dash"/>
      </w:pPr>
      <w:r>
        <w:t>- sponsorship, subsidy, gifts or similar contribution;</w:t>
      </w:r>
    </w:p>
    <w:p w14:paraId="3FC09BB9" w14:textId="77777777" w:rsidR="00742EE3" w:rsidRDefault="00742EE3" w:rsidP="00742EE3">
      <w:pPr>
        <w:pStyle w:val="ChartandTableFootnote-Dash"/>
      </w:pPr>
      <w:r w:rsidRPr="000F37E6">
        <w:t>- internally developed assets;</w:t>
      </w:r>
      <w:r>
        <w:t xml:space="preserve"> and</w:t>
      </w:r>
    </w:p>
    <w:p w14:paraId="5B22D9A7" w14:textId="77777777" w:rsidR="00742EE3" w:rsidRDefault="00742EE3" w:rsidP="006758F4">
      <w:pPr>
        <w:pStyle w:val="ChartandTableFootnote-Dash"/>
        <w:ind w:left="397" w:firstLine="0"/>
      </w:pPr>
      <w:r>
        <w:t xml:space="preserve">- proceeds from the sale of assets. </w:t>
      </w:r>
      <w:r w:rsidRPr="00D30CBA">
        <w:t>Table</w:t>
      </w:r>
      <w:r>
        <w:t xml:space="preserve"> 3.6</w:t>
      </w:r>
      <w:r w:rsidRPr="00D30CBA">
        <w:t xml:space="preserve">: </w:t>
      </w:r>
      <w:r>
        <w:t xml:space="preserve">Statement of departmental asset movements (Budget year </w:t>
      </w:r>
      <w:r w:rsidR="006758F4">
        <w:t>(</w:t>
      </w:r>
      <w:r>
        <w:t>2022-23</w:t>
      </w:r>
      <w:r w:rsidR="006758F4">
        <w:t>)</w:t>
      </w:r>
      <w:r>
        <w:t>)</w:t>
      </w:r>
    </w:p>
    <w:p w14:paraId="6304C684" w14:textId="77777777" w:rsidR="00A736A7" w:rsidRDefault="00A736A7">
      <w:pPr>
        <w:spacing w:after="0" w:line="240" w:lineRule="auto"/>
        <w:jc w:val="left"/>
        <w:rPr>
          <w:rFonts w:ascii="Arial" w:hAnsi="Arial"/>
          <w:sz w:val="16"/>
        </w:rPr>
      </w:pPr>
      <w:r>
        <w:br w:type="page"/>
      </w:r>
    </w:p>
    <w:p w14:paraId="4940908B" w14:textId="77777777" w:rsidR="00A736A7" w:rsidRDefault="00A736A7" w:rsidP="00A736A7">
      <w:pPr>
        <w:spacing w:after="0" w:line="240" w:lineRule="auto"/>
        <w:rPr>
          <w:rFonts w:ascii="Arial" w:hAnsi="Arial" w:cs="Arial"/>
          <w:b/>
          <w:bCs/>
          <w:color w:val="000000"/>
          <w:szCs w:val="16"/>
        </w:rPr>
      </w:pPr>
      <w:r w:rsidRPr="00A736A7">
        <w:rPr>
          <w:rFonts w:ascii="Arial" w:hAnsi="Arial" w:cs="Arial"/>
          <w:b/>
          <w:bCs/>
          <w:color w:val="000000"/>
          <w:szCs w:val="16"/>
        </w:rPr>
        <w:t>Table 3.6:  Statement of departmental asset movements (Budget year 2022-23)</w:t>
      </w:r>
    </w:p>
    <w:p w14:paraId="4CF5EF20" w14:textId="77777777" w:rsidR="00742EE3" w:rsidRPr="006943D1" w:rsidRDefault="006758F4" w:rsidP="00742EE3">
      <w:pPr>
        <w:pStyle w:val="TableGraphic"/>
      </w:pPr>
      <w:r w:rsidRPr="006758F4">
        <w:rPr>
          <w:noProof/>
        </w:rPr>
        <w:drawing>
          <wp:inline distT="0" distB="0" distL="0" distR="0" wp14:anchorId="45E78B42" wp14:editId="5ED63146">
            <wp:extent cx="4895850" cy="4185218"/>
            <wp:effectExtent l="0" t="0" r="0"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895850" cy="4185218"/>
                    </a:xfrm>
                    <a:prstGeom prst="rect">
                      <a:avLst/>
                    </a:prstGeom>
                    <a:noFill/>
                    <a:ln>
                      <a:noFill/>
                    </a:ln>
                  </pic:spPr>
                </pic:pic>
              </a:graphicData>
            </a:graphic>
          </wp:inline>
        </w:drawing>
      </w:r>
    </w:p>
    <w:p w14:paraId="11E3752C" w14:textId="77777777" w:rsidR="00742EE3" w:rsidRPr="002E5D24" w:rsidRDefault="00742EE3" w:rsidP="00742EE3">
      <w:pPr>
        <w:pStyle w:val="ChartandTableFootnote"/>
      </w:pPr>
      <w:r w:rsidRPr="00132F9E">
        <w:t>Prepared on Australian Accounting Standards basis.</w:t>
      </w:r>
    </w:p>
    <w:p w14:paraId="5E12C497" w14:textId="77777777" w:rsidR="00742EE3" w:rsidRPr="00A736A7" w:rsidRDefault="00742EE3" w:rsidP="00392A48">
      <w:pPr>
        <w:pStyle w:val="ChartandTableFootnoteAlpha"/>
        <w:numPr>
          <w:ilvl w:val="0"/>
          <w:numId w:val="102"/>
        </w:numPr>
        <w:rPr>
          <w:rFonts w:cs="Arial"/>
          <w:szCs w:val="16"/>
        </w:rPr>
      </w:pPr>
      <w:r w:rsidRPr="00A736A7">
        <w:rPr>
          <w:rFonts w:cs="Arial"/>
          <w:szCs w:val="16"/>
        </w:rPr>
        <w:t>‘Appropriation equity’ refers to equity injections appropriations provided through Appropriation Bill (No. 2) 2022-23</w:t>
      </w:r>
      <w:r w:rsidR="00813C93">
        <w:rPr>
          <w:rFonts w:cs="Arial"/>
          <w:szCs w:val="16"/>
        </w:rPr>
        <w:t xml:space="preserve">, including Collection </w:t>
      </w:r>
      <w:r w:rsidR="00CA41DD">
        <w:rPr>
          <w:rFonts w:cs="Arial"/>
          <w:szCs w:val="16"/>
        </w:rPr>
        <w:t>Development</w:t>
      </w:r>
      <w:r w:rsidR="00813C93">
        <w:rPr>
          <w:rFonts w:cs="Arial"/>
          <w:szCs w:val="16"/>
        </w:rPr>
        <w:t xml:space="preserve"> and Acquisition Budget</w:t>
      </w:r>
      <w:r w:rsidRPr="00A736A7">
        <w:rPr>
          <w:rFonts w:cs="Arial"/>
          <w:szCs w:val="16"/>
        </w:rPr>
        <w:t>.</w:t>
      </w:r>
    </w:p>
    <w:p w14:paraId="110CCA1F" w14:textId="77777777" w:rsidR="006B1F4D" w:rsidRDefault="00742EE3" w:rsidP="00392A48">
      <w:pPr>
        <w:pStyle w:val="ChartandTableFootnoteAlpha"/>
        <w:numPr>
          <w:ilvl w:val="0"/>
          <w:numId w:val="102"/>
        </w:numPr>
        <w:rPr>
          <w:rFonts w:cs="Arial"/>
          <w:szCs w:val="16"/>
        </w:rPr>
        <w:sectPr w:rsidR="006B1F4D" w:rsidSect="009640AF">
          <w:headerReference w:type="even" r:id="rId436"/>
          <w:headerReference w:type="default" r:id="rId437"/>
          <w:footerReference w:type="even" r:id="rId438"/>
          <w:footerReference w:type="default" r:id="rId439"/>
          <w:footerReference w:type="first" r:id="rId440"/>
          <w:type w:val="oddPage"/>
          <w:pgSz w:w="11906" w:h="16838" w:code="9"/>
          <w:pgMar w:top="1828" w:right="2098" w:bottom="2466" w:left="2098" w:header="1814" w:footer="1814" w:gutter="0"/>
          <w:cols w:space="708"/>
          <w:titlePg/>
          <w:docGrid w:linePitch="360"/>
        </w:sectPr>
      </w:pPr>
      <w:r w:rsidRPr="00293991">
        <w:rPr>
          <w:rFonts w:cs="Arial"/>
          <w:szCs w:val="16"/>
        </w:rPr>
        <w:t xml:space="preserve">‘Appropriation ordinary annual services’ refers to funding provided through </w:t>
      </w:r>
      <w:r w:rsidR="00813C93" w:rsidRPr="00293991">
        <w:rPr>
          <w:rFonts w:cs="Arial"/>
          <w:szCs w:val="16"/>
        </w:rPr>
        <w:t>Appropriation Bill (No. 1) 2022</w:t>
      </w:r>
      <w:r w:rsidR="00813C93" w:rsidRPr="00293991">
        <w:rPr>
          <w:rFonts w:cs="Arial"/>
          <w:szCs w:val="16"/>
        </w:rPr>
        <w:noBreakHyphen/>
      </w:r>
      <w:r w:rsidRPr="00293991">
        <w:rPr>
          <w:rFonts w:cs="Arial"/>
          <w:szCs w:val="16"/>
        </w:rPr>
        <w:t>23 for depreci</w:t>
      </w:r>
      <w:r w:rsidR="00813C93" w:rsidRPr="00293991">
        <w:rPr>
          <w:rFonts w:cs="Arial"/>
          <w:szCs w:val="16"/>
        </w:rPr>
        <w:t>ation/amortisation expenses, Departmental Capital Budget</w:t>
      </w:r>
      <w:r w:rsidRPr="00293991">
        <w:rPr>
          <w:rFonts w:cs="Arial"/>
          <w:szCs w:val="16"/>
        </w:rPr>
        <w:t>s or other operational expenses.</w:t>
      </w:r>
    </w:p>
    <w:p w14:paraId="32B2C501" w14:textId="77777777" w:rsidR="006B1F4D" w:rsidRDefault="006B1F4D" w:rsidP="00392A48">
      <w:pPr>
        <w:pStyle w:val="ChartandTableFootnoteAlpha"/>
        <w:numPr>
          <w:ilvl w:val="0"/>
          <w:numId w:val="102"/>
        </w:numPr>
        <w:rPr>
          <w:rFonts w:cs="Arial"/>
          <w:szCs w:val="16"/>
        </w:rPr>
        <w:sectPr w:rsidR="006B1F4D" w:rsidSect="006B1F4D">
          <w:headerReference w:type="first" r:id="rId441"/>
          <w:footerReference w:type="first" r:id="rId442"/>
          <w:type w:val="evenPage"/>
          <w:pgSz w:w="11906" w:h="16838" w:code="9"/>
          <w:pgMar w:top="1828" w:right="2098" w:bottom="2466" w:left="2098" w:header="1814" w:footer="1814" w:gutter="0"/>
          <w:cols w:space="708"/>
          <w:titlePg/>
          <w:docGrid w:linePitch="360"/>
        </w:sectPr>
      </w:pPr>
    </w:p>
    <w:p w14:paraId="0F3C849E" w14:textId="77777777" w:rsidR="00075BA5" w:rsidRDefault="00075BA5" w:rsidP="006B1F4D">
      <w:pPr>
        <w:pStyle w:val="ChartandTableFootnoteAlpha"/>
      </w:pPr>
    </w:p>
    <w:p w14:paraId="1FB85F4B" w14:textId="77777777" w:rsidR="00F2151C" w:rsidRDefault="00F2151C" w:rsidP="00F2151C">
      <w:pPr>
        <w:pStyle w:val="PartHeading"/>
      </w:pPr>
      <w:r>
        <w:t>T</w:t>
      </w:r>
      <w:r w:rsidR="00C85F02">
        <w:t>orres Strait Regional Authority</w:t>
      </w:r>
    </w:p>
    <w:p w14:paraId="7F2C7511" w14:textId="77777777" w:rsidR="00F2151C" w:rsidRDefault="00F2151C" w:rsidP="00F2151C">
      <w:pPr>
        <w:pStyle w:val="PartHeading"/>
      </w:pPr>
    </w:p>
    <w:p w14:paraId="67940F8D" w14:textId="77777777" w:rsidR="00F2151C" w:rsidRDefault="00F2151C" w:rsidP="00F2151C">
      <w:pPr>
        <w:pStyle w:val="PartHeading-TOC"/>
      </w:pPr>
      <w:bookmarkStart w:id="1009" w:name="_Toc98496289"/>
      <w:bookmarkStart w:id="1010" w:name="_Toc98765330"/>
      <w:bookmarkStart w:id="1011" w:name="_Toc99011815"/>
      <w:bookmarkStart w:id="1012" w:name="_Toc99201064"/>
      <w:r>
        <w:t>Entity resources and planned performance</w:t>
      </w:r>
      <w:bookmarkEnd w:id="1009"/>
      <w:bookmarkEnd w:id="1010"/>
      <w:bookmarkEnd w:id="1011"/>
      <w:bookmarkEnd w:id="1012"/>
    </w:p>
    <w:p w14:paraId="36257029" w14:textId="77777777" w:rsidR="006B1F4D" w:rsidRDefault="00F2151C" w:rsidP="00F2151C">
      <w:pPr>
        <w:spacing w:after="0" w:line="240" w:lineRule="auto"/>
        <w:jc w:val="left"/>
      </w:pPr>
      <w:r>
        <w:br w:type="page"/>
      </w:r>
    </w:p>
    <w:p w14:paraId="554CA9DD" w14:textId="77777777" w:rsidR="006B1F4D" w:rsidRDefault="006B1F4D">
      <w:pPr>
        <w:spacing w:after="0" w:line="240" w:lineRule="auto"/>
        <w:jc w:val="left"/>
      </w:pPr>
      <w:r>
        <w:br w:type="page"/>
      </w:r>
    </w:p>
    <w:p w14:paraId="791D5C5F" w14:textId="77777777" w:rsidR="005F6A96" w:rsidRDefault="005F6A96" w:rsidP="00F2151C">
      <w:pPr>
        <w:spacing w:after="0" w:line="240" w:lineRule="auto"/>
        <w:jc w:val="left"/>
        <w:rPr>
          <w:rFonts w:ascii="Arial Bold" w:hAnsi="Arial Bold"/>
          <w:b/>
          <w:sz w:val="36"/>
        </w:rPr>
        <w:sectPr w:rsidR="005F6A96" w:rsidSect="005F6A96">
          <w:headerReference w:type="even" r:id="rId443"/>
          <w:headerReference w:type="default" r:id="rId444"/>
          <w:footerReference w:type="even" r:id="rId445"/>
          <w:footerReference w:type="default" r:id="rId446"/>
          <w:headerReference w:type="first" r:id="rId447"/>
          <w:footerReference w:type="first" r:id="rId448"/>
          <w:type w:val="oddPage"/>
          <w:pgSz w:w="11906" w:h="16838" w:code="9"/>
          <w:pgMar w:top="2466" w:right="2098" w:bottom="2466" w:left="2098" w:header="1899" w:footer="1899" w:gutter="0"/>
          <w:cols w:space="708"/>
          <w:vAlign w:val="center"/>
          <w:titlePg/>
          <w:docGrid w:linePitch="360"/>
        </w:sectPr>
      </w:pPr>
    </w:p>
    <w:p w14:paraId="766DA796" w14:textId="77777777" w:rsidR="00F2151C" w:rsidRDefault="00F2151C" w:rsidP="00F2151C">
      <w:pPr>
        <w:spacing w:after="0" w:line="240" w:lineRule="auto"/>
        <w:jc w:val="left"/>
        <w:rPr>
          <w:rFonts w:ascii="Arial Bold" w:hAnsi="Arial Bold"/>
          <w:b/>
          <w:sz w:val="36"/>
        </w:rPr>
      </w:pPr>
    </w:p>
    <w:p w14:paraId="67C32817" w14:textId="77777777" w:rsidR="00F2151C" w:rsidRPr="002A32FD" w:rsidRDefault="00C85F02" w:rsidP="00F2151C">
      <w:pPr>
        <w:pStyle w:val="ContentsHeading"/>
      </w:pPr>
      <w:r>
        <w:t>Torres Strait Regional Authority</w:t>
      </w:r>
    </w:p>
    <w:p w14:paraId="44E5EB46"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62" w:history="1">
        <w:r w:rsidR="001E043E" w:rsidRPr="00F15159">
          <w:rPr>
            <w:rStyle w:val="Hyperlink"/>
            <w:noProof/>
          </w:rPr>
          <w:t>Section 1: Entity overview and resources</w:t>
        </w:r>
        <w:r w:rsidR="001E043E">
          <w:rPr>
            <w:noProof/>
            <w:webHidden/>
          </w:rPr>
          <w:tab/>
        </w:r>
        <w:r w:rsidR="001E043E">
          <w:rPr>
            <w:noProof/>
            <w:webHidden/>
          </w:rPr>
          <w:fldChar w:fldCharType="begin"/>
        </w:r>
        <w:r w:rsidR="001E043E">
          <w:rPr>
            <w:noProof/>
            <w:webHidden/>
          </w:rPr>
          <w:instrText xml:space="preserve"> PAGEREF _Toc98766462 \h </w:instrText>
        </w:r>
        <w:r w:rsidR="001E043E">
          <w:rPr>
            <w:noProof/>
            <w:webHidden/>
          </w:rPr>
        </w:r>
        <w:r w:rsidR="001E043E">
          <w:rPr>
            <w:noProof/>
            <w:webHidden/>
          </w:rPr>
          <w:fldChar w:fldCharType="separate"/>
        </w:r>
        <w:r w:rsidR="00AC2929">
          <w:rPr>
            <w:noProof/>
            <w:webHidden/>
          </w:rPr>
          <w:t>349</w:t>
        </w:r>
        <w:r w:rsidR="001E043E">
          <w:rPr>
            <w:noProof/>
            <w:webHidden/>
          </w:rPr>
          <w:fldChar w:fldCharType="end"/>
        </w:r>
      </w:hyperlink>
    </w:p>
    <w:p w14:paraId="437FAC01"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63" w:history="1">
        <w:r w:rsidR="001E043E" w:rsidRPr="00F15159">
          <w:rPr>
            <w:rStyle w:val="Hyperlink"/>
            <w:noProof/>
          </w:rPr>
          <w:t>1.1</w:t>
        </w:r>
        <w:r w:rsidR="001E043E">
          <w:rPr>
            <w:rFonts w:asciiTheme="minorHAnsi" w:eastAsiaTheme="minorEastAsia" w:hAnsiTheme="minorHAnsi" w:cstheme="minorBidi"/>
            <w:noProof/>
            <w:sz w:val="22"/>
            <w:szCs w:val="22"/>
          </w:rPr>
          <w:tab/>
        </w:r>
        <w:r w:rsidR="001E043E" w:rsidRPr="00F15159">
          <w:rPr>
            <w:rStyle w:val="Hyperlink"/>
            <w:noProof/>
          </w:rPr>
          <w:t>Strategic direction statement</w:t>
        </w:r>
        <w:r w:rsidR="001E043E">
          <w:rPr>
            <w:noProof/>
            <w:webHidden/>
          </w:rPr>
          <w:tab/>
        </w:r>
        <w:r w:rsidR="001E043E">
          <w:rPr>
            <w:noProof/>
            <w:webHidden/>
          </w:rPr>
          <w:fldChar w:fldCharType="begin"/>
        </w:r>
        <w:r w:rsidR="001E043E">
          <w:rPr>
            <w:noProof/>
            <w:webHidden/>
          </w:rPr>
          <w:instrText xml:space="preserve"> PAGEREF _Toc98766463 \h </w:instrText>
        </w:r>
        <w:r w:rsidR="001E043E">
          <w:rPr>
            <w:noProof/>
            <w:webHidden/>
          </w:rPr>
        </w:r>
        <w:r w:rsidR="001E043E">
          <w:rPr>
            <w:noProof/>
            <w:webHidden/>
          </w:rPr>
          <w:fldChar w:fldCharType="separate"/>
        </w:r>
        <w:r w:rsidR="00AC2929">
          <w:rPr>
            <w:noProof/>
            <w:webHidden/>
          </w:rPr>
          <w:t>349</w:t>
        </w:r>
        <w:r w:rsidR="001E043E">
          <w:rPr>
            <w:noProof/>
            <w:webHidden/>
          </w:rPr>
          <w:fldChar w:fldCharType="end"/>
        </w:r>
      </w:hyperlink>
    </w:p>
    <w:p w14:paraId="13F67875"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64" w:history="1">
        <w:r w:rsidR="001E043E" w:rsidRPr="00F15159">
          <w:rPr>
            <w:rStyle w:val="Hyperlink"/>
            <w:noProof/>
          </w:rPr>
          <w:t>1.2</w:t>
        </w:r>
        <w:r w:rsidR="001E043E">
          <w:rPr>
            <w:rFonts w:asciiTheme="minorHAnsi" w:eastAsiaTheme="minorEastAsia" w:hAnsiTheme="minorHAnsi" w:cstheme="minorBidi"/>
            <w:noProof/>
            <w:sz w:val="22"/>
            <w:szCs w:val="22"/>
          </w:rPr>
          <w:tab/>
        </w:r>
        <w:r w:rsidR="001E043E" w:rsidRPr="00F15159">
          <w:rPr>
            <w:rStyle w:val="Hyperlink"/>
            <w:noProof/>
          </w:rPr>
          <w:t>Entity resource statement</w:t>
        </w:r>
        <w:r w:rsidR="001E043E">
          <w:rPr>
            <w:noProof/>
            <w:webHidden/>
          </w:rPr>
          <w:tab/>
        </w:r>
        <w:r w:rsidR="001E043E">
          <w:rPr>
            <w:noProof/>
            <w:webHidden/>
          </w:rPr>
          <w:fldChar w:fldCharType="begin"/>
        </w:r>
        <w:r w:rsidR="001E043E">
          <w:rPr>
            <w:noProof/>
            <w:webHidden/>
          </w:rPr>
          <w:instrText xml:space="preserve"> PAGEREF _Toc98766464 \h </w:instrText>
        </w:r>
        <w:r w:rsidR="001E043E">
          <w:rPr>
            <w:noProof/>
            <w:webHidden/>
          </w:rPr>
        </w:r>
        <w:r w:rsidR="001E043E">
          <w:rPr>
            <w:noProof/>
            <w:webHidden/>
          </w:rPr>
          <w:fldChar w:fldCharType="separate"/>
        </w:r>
        <w:r w:rsidR="00AC2929">
          <w:rPr>
            <w:noProof/>
            <w:webHidden/>
          </w:rPr>
          <w:t>351</w:t>
        </w:r>
        <w:r w:rsidR="001E043E">
          <w:rPr>
            <w:noProof/>
            <w:webHidden/>
          </w:rPr>
          <w:fldChar w:fldCharType="end"/>
        </w:r>
      </w:hyperlink>
    </w:p>
    <w:p w14:paraId="7177EF07"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65" w:history="1">
        <w:r w:rsidR="001E043E" w:rsidRPr="00F15159">
          <w:rPr>
            <w:rStyle w:val="Hyperlink"/>
            <w:noProof/>
          </w:rPr>
          <w:t>1.3</w:t>
        </w:r>
        <w:r w:rsidR="001E043E">
          <w:rPr>
            <w:rFonts w:asciiTheme="minorHAnsi" w:eastAsiaTheme="minorEastAsia" w:hAnsiTheme="minorHAnsi" w:cstheme="minorBidi"/>
            <w:noProof/>
            <w:sz w:val="22"/>
            <w:szCs w:val="22"/>
          </w:rPr>
          <w:tab/>
        </w:r>
        <w:r w:rsidR="001E043E" w:rsidRPr="00F15159">
          <w:rPr>
            <w:rStyle w:val="Hyperlink"/>
            <w:noProof/>
          </w:rPr>
          <w:t>Budget measures</w:t>
        </w:r>
        <w:r w:rsidR="001E043E">
          <w:rPr>
            <w:noProof/>
            <w:webHidden/>
          </w:rPr>
          <w:tab/>
        </w:r>
        <w:r w:rsidR="001E043E">
          <w:rPr>
            <w:noProof/>
            <w:webHidden/>
          </w:rPr>
          <w:fldChar w:fldCharType="begin"/>
        </w:r>
        <w:r w:rsidR="001E043E">
          <w:rPr>
            <w:noProof/>
            <w:webHidden/>
          </w:rPr>
          <w:instrText xml:space="preserve"> PAGEREF _Toc98766465 \h </w:instrText>
        </w:r>
        <w:r w:rsidR="001E043E">
          <w:rPr>
            <w:noProof/>
            <w:webHidden/>
          </w:rPr>
        </w:r>
        <w:r w:rsidR="001E043E">
          <w:rPr>
            <w:noProof/>
            <w:webHidden/>
          </w:rPr>
          <w:fldChar w:fldCharType="separate"/>
        </w:r>
        <w:r w:rsidR="00AC2929">
          <w:rPr>
            <w:noProof/>
            <w:webHidden/>
          </w:rPr>
          <w:t>353</w:t>
        </w:r>
        <w:r w:rsidR="001E043E">
          <w:rPr>
            <w:noProof/>
            <w:webHidden/>
          </w:rPr>
          <w:fldChar w:fldCharType="end"/>
        </w:r>
      </w:hyperlink>
    </w:p>
    <w:p w14:paraId="2119C72C"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66" w:history="1">
        <w:r w:rsidR="001E043E" w:rsidRPr="00F15159">
          <w:rPr>
            <w:rStyle w:val="Hyperlink"/>
            <w:noProof/>
          </w:rPr>
          <w:t>Section 2: Outcomes and planned performance</w:t>
        </w:r>
        <w:r w:rsidR="001E043E">
          <w:rPr>
            <w:noProof/>
            <w:webHidden/>
          </w:rPr>
          <w:tab/>
        </w:r>
        <w:r w:rsidR="001E043E">
          <w:rPr>
            <w:noProof/>
            <w:webHidden/>
          </w:rPr>
          <w:fldChar w:fldCharType="begin"/>
        </w:r>
        <w:r w:rsidR="001E043E">
          <w:rPr>
            <w:noProof/>
            <w:webHidden/>
          </w:rPr>
          <w:instrText xml:space="preserve"> PAGEREF _Toc98766466 \h </w:instrText>
        </w:r>
        <w:r w:rsidR="001E043E">
          <w:rPr>
            <w:noProof/>
            <w:webHidden/>
          </w:rPr>
        </w:r>
        <w:r w:rsidR="001E043E">
          <w:rPr>
            <w:noProof/>
            <w:webHidden/>
          </w:rPr>
          <w:fldChar w:fldCharType="separate"/>
        </w:r>
        <w:r w:rsidR="00AC2929">
          <w:rPr>
            <w:noProof/>
            <w:webHidden/>
          </w:rPr>
          <w:t>354</w:t>
        </w:r>
        <w:r w:rsidR="001E043E">
          <w:rPr>
            <w:noProof/>
            <w:webHidden/>
          </w:rPr>
          <w:fldChar w:fldCharType="end"/>
        </w:r>
      </w:hyperlink>
    </w:p>
    <w:p w14:paraId="74FA9E8D"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67" w:history="1">
        <w:r w:rsidR="001E043E" w:rsidRPr="00F15159">
          <w:rPr>
            <w:rStyle w:val="Hyperlink"/>
            <w:noProof/>
          </w:rPr>
          <w:t xml:space="preserve">2.1 </w:t>
        </w:r>
        <w:r w:rsidR="001E043E">
          <w:rPr>
            <w:rFonts w:asciiTheme="minorHAnsi" w:eastAsiaTheme="minorEastAsia" w:hAnsiTheme="minorHAnsi" w:cstheme="minorBidi"/>
            <w:noProof/>
            <w:sz w:val="22"/>
            <w:szCs w:val="22"/>
          </w:rPr>
          <w:tab/>
        </w:r>
        <w:r w:rsidR="001E043E" w:rsidRPr="00F15159">
          <w:rPr>
            <w:rStyle w:val="Hyperlink"/>
            <w:noProof/>
          </w:rPr>
          <w:t>Budgeted expenses and performance for Outcome 1</w:t>
        </w:r>
        <w:r w:rsidR="001E043E">
          <w:rPr>
            <w:noProof/>
            <w:webHidden/>
          </w:rPr>
          <w:tab/>
        </w:r>
        <w:r w:rsidR="001E043E">
          <w:rPr>
            <w:noProof/>
            <w:webHidden/>
          </w:rPr>
          <w:fldChar w:fldCharType="begin"/>
        </w:r>
        <w:r w:rsidR="001E043E">
          <w:rPr>
            <w:noProof/>
            <w:webHidden/>
          </w:rPr>
          <w:instrText xml:space="preserve"> PAGEREF _Toc98766467 \h </w:instrText>
        </w:r>
        <w:r w:rsidR="001E043E">
          <w:rPr>
            <w:noProof/>
            <w:webHidden/>
          </w:rPr>
        </w:r>
        <w:r w:rsidR="001E043E">
          <w:rPr>
            <w:noProof/>
            <w:webHidden/>
          </w:rPr>
          <w:fldChar w:fldCharType="separate"/>
        </w:r>
        <w:r w:rsidR="00AC2929">
          <w:rPr>
            <w:noProof/>
            <w:webHidden/>
          </w:rPr>
          <w:t>355</w:t>
        </w:r>
        <w:r w:rsidR="001E043E">
          <w:rPr>
            <w:noProof/>
            <w:webHidden/>
          </w:rPr>
          <w:fldChar w:fldCharType="end"/>
        </w:r>
      </w:hyperlink>
    </w:p>
    <w:p w14:paraId="4DA17092" w14:textId="77777777" w:rsidR="001E043E" w:rsidRDefault="00A76B91" w:rsidP="001E043E">
      <w:pPr>
        <w:pStyle w:val="TOC1"/>
        <w:rPr>
          <w:rFonts w:asciiTheme="minorHAnsi" w:eastAsiaTheme="minorEastAsia" w:hAnsiTheme="minorHAnsi" w:cstheme="minorBidi"/>
          <w:b w:val="0"/>
          <w:caps w:val="0"/>
          <w:noProof/>
          <w:sz w:val="22"/>
          <w:szCs w:val="22"/>
        </w:rPr>
      </w:pPr>
      <w:hyperlink w:anchor="_Toc98766468" w:history="1">
        <w:r w:rsidR="001E043E" w:rsidRPr="00F15159">
          <w:rPr>
            <w:rStyle w:val="Hyperlink"/>
            <w:noProof/>
          </w:rPr>
          <w:t>Section 3: Budgeted financial statements</w:t>
        </w:r>
        <w:r w:rsidR="001E043E">
          <w:rPr>
            <w:noProof/>
            <w:webHidden/>
          </w:rPr>
          <w:tab/>
        </w:r>
        <w:r w:rsidR="001E043E">
          <w:rPr>
            <w:noProof/>
            <w:webHidden/>
          </w:rPr>
          <w:fldChar w:fldCharType="begin"/>
        </w:r>
        <w:r w:rsidR="001E043E">
          <w:rPr>
            <w:noProof/>
            <w:webHidden/>
          </w:rPr>
          <w:instrText xml:space="preserve"> PAGEREF _Toc98766468 \h </w:instrText>
        </w:r>
        <w:r w:rsidR="001E043E">
          <w:rPr>
            <w:noProof/>
            <w:webHidden/>
          </w:rPr>
        </w:r>
        <w:r w:rsidR="001E043E">
          <w:rPr>
            <w:noProof/>
            <w:webHidden/>
          </w:rPr>
          <w:fldChar w:fldCharType="separate"/>
        </w:r>
        <w:r w:rsidR="00AC2929">
          <w:rPr>
            <w:noProof/>
            <w:webHidden/>
          </w:rPr>
          <w:t>359</w:t>
        </w:r>
        <w:r w:rsidR="001E043E">
          <w:rPr>
            <w:noProof/>
            <w:webHidden/>
          </w:rPr>
          <w:fldChar w:fldCharType="end"/>
        </w:r>
      </w:hyperlink>
    </w:p>
    <w:p w14:paraId="456879DD" w14:textId="77777777" w:rsidR="001E043E" w:rsidRDefault="00A76B91" w:rsidP="001E043E">
      <w:pPr>
        <w:pStyle w:val="TOC2"/>
        <w:tabs>
          <w:tab w:val="left" w:pos="800"/>
        </w:tabs>
        <w:rPr>
          <w:rFonts w:asciiTheme="minorHAnsi" w:eastAsiaTheme="minorEastAsia" w:hAnsiTheme="minorHAnsi" w:cstheme="minorBidi"/>
          <w:noProof/>
          <w:sz w:val="22"/>
          <w:szCs w:val="22"/>
        </w:rPr>
      </w:pPr>
      <w:hyperlink w:anchor="_Toc98766469" w:history="1">
        <w:r w:rsidR="001E043E" w:rsidRPr="00F15159">
          <w:rPr>
            <w:rStyle w:val="Hyperlink"/>
            <w:noProof/>
          </w:rPr>
          <w:t>3.1</w:t>
        </w:r>
        <w:r w:rsidR="001E043E">
          <w:rPr>
            <w:rFonts w:asciiTheme="minorHAnsi" w:eastAsiaTheme="minorEastAsia" w:hAnsiTheme="minorHAnsi" w:cstheme="minorBidi"/>
            <w:noProof/>
            <w:sz w:val="22"/>
            <w:szCs w:val="22"/>
          </w:rPr>
          <w:tab/>
        </w:r>
        <w:r w:rsidR="001E043E" w:rsidRPr="00F15159">
          <w:rPr>
            <w:rStyle w:val="Hyperlink"/>
            <w:noProof/>
          </w:rPr>
          <w:t>Budgeted financial statements</w:t>
        </w:r>
        <w:r w:rsidR="001E043E">
          <w:rPr>
            <w:noProof/>
            <w:webHidden/>
          </w:rPr>
          <w:tab/>
        </w:r>
        <w:r w:rsidR="001E043E">
          <w:rPr>
            <w:noProof/>
            <w:webHidden/>
          </w:rPr>
          <w:fldChar w:fldCharType="begin"/>
        </w:r>
        <w:r w:rsidR="001E043E">
          <w:rPr>
            <w:noProof/>
            <w:webHidden/>
          </w:rPr>
          <w:instrText xml:space="preserve"> PAGEREF _Toc98766469 \h </w:instrText>
        </w:r>
        <w:r w:rsidR="001E043E">
          <w:rPr>
            <w:noProof/>
            <w:webHidden/>
          </w:rPr>
        </w:r>
        <w:r w:rsidR="001E043E">
          <w:rPr>
            <w:noProof/>
            <w:webHidden/>
          </w:rPr>
          <w:fldChar w:fldCharType="separate"/>
        </w:r>
        <w:r w:rsidR="00AC2929">
          <w:rPr>
            <w:noProof/>
            <w:webHidden/>
          </w:rPr>
          <w:t>359</w:t>
        </w:r>
        <w:r w:rsidR="001E043E">
          <w:rPr>
            <w:noProof/>
            <w:webHidden/>
          </w:rPr>
          <w:fldChar w:fldCharType="end"/>
        </w:r>
      </w:hyperlink>
    </w:p>
    <w:p w14:paraId="5417F18B" w14:textId="77777777" w:rsidR="00F2151C" w:rsidRDefault="00F2151C" w:rsidP="001E043E">
      <w:pPr>
        <w:pStyle w:val="TOC1"/>
      </w:pPr>
      <w:r>
        <w:fldChar w:fldCharType="begin"/>
      </w:r>
      <w:r>
        <w:instrText xml:space="preserve"> TOC \h \z \t "Heading 2,1,Heading 3,2" </w:instrText>
      </w:r>
      <w:r>
        <w:fldChar w:fldCharType="end"/>
      </w:r>
    </w:p>
    <w:p w14:paraId="359A4EAB" w14:textId="77777777" w:rsidR="00F2151C" w:rsidRPr="008B5AFD" w:rsidRDefault="00F2151C" w:rsidP="00F2151C"/>
    <w:p w14:paraId="7BC8C28B" w14:textId="77777777" w:rsidR="00075BA5" w:rsidRDefault="00075BA5" w:rsidP="00F2151C"/>
    <w:p w14:paraId="5FDC5930" w14:textId="77777777" w:rsidR="00075BA5" w:rsidRDefault="00075BA5">
      <w:pPr>
        <w:spacing w:after="0" w:line="240" w:lineRule="auto"/>
        <w:jc w:val="left"/>
      </w:pPr>
      <w:r>
        <w:br w:type="page"/>
      </w:r>
    </w:p>
    <w:p w14:paraId="235668AC" w14:textId="77777777" w:rsidR="00075BA5" w:rsidRDefault="00075BA5" w:rsidP="00F2151C"/>
    <w:p w14:paraId="44FA46FB" w14:textId="77777777" w:rsidR="006B1F4D" w:rsidRDefault="00075BA5">
      <w:pPr>
        <w:spacing w:after="0" w:line="240" w:lineRule="auto"/>
        <w:jc w:val="left"/>
        <w:sectPr w:rsidR="006B1F4D" w:rsidSect="005F6A96">
          <w:type w:val="continuous"/>
          <w:pgSz w:w="11906" w:h="16838" w:code="9"/>
          <w:pgMar w:top="2466" w:right="2098" w:bottom="2466" w:left="2098" w:header="1899" w:footer="1899" w:gutter="0"/>
          <w:cols w:space="708"/>
          <w:titlePg/>
          <w:docGrid w:linePitch="360"/>
        </w:sectPr>
      </w:pPr>
      <w:r>
        <w:br w:type="page"/>
      </w:r>
    </w:p>
    <w:p w14:paraId="5081E360" w14:textId="77777777" w:rsidR="00075BA5" w:rsidRDefault="00075BA5">
      <w:pPr>
        <w:spacing w:after="0" w:line="240" w:lineRule="auto"/>
        <w:jc w:val="left"/>
      </w:pPr>
    </w:p>
    <w:p w14:paraId="21FCABB3" w14:textId="77777777" w:rsidR="00F2151C" w:rsidRDefault="00F2151C" w:rsidP="00F2151C">
      <w:pPr>
        <w:pStyle w:val="Heading1"/>
      </w:pPr>
      <w:bookmarkStart w:id="1013" w:name="_Toc99201065"/>
      <w:r>
        <w:t>T</w:t>
      </w:r>
      <w:r w:rsidR="00B06FB9">
        <w:t>orres</w:t>
      </w:r>
      <w:r>
        <w:t xml:space="preserve"> S</w:t>
      </w:r>
      <w:r w:rsidR="00B06FB9">
        <w:t>trait</w:t>
      </w:r>
      <w:r>
        <w:t xml:space="preserve"> R</w:t>
      </w:r>
      <w:r w:rsidR="00B06FB9">
        <w:t>egional</w:t>
      </w:r>
      <w:r>
        <w:t xml:space="preserve"> A</w:t>
      </w:r>
      <w:r w:rsidR="00B06FB9">
        <w:t>uthority</w:t>
      </w:r>
      <w:bookmarkEnd w:id="1013"/>
    </w:p>
    <w:p w14:paraId="7553B2FD" w14:textId="77777777" w:rsidR="00F2151C" w:rsidRPr="002C4D41" w:rsidRDefault="00F2151C" w:rsidP="00F2151C">
      <w:pPr>
        <w:pStyle w:val="Heading2"/>
      </w:pPr>
      <w:bookmarkStart w:id="1014" w:name="_Toc67575489"/>
      <w:bookmarkStart w:id="1015" w:name="_Toc98766462"/>
      <w:bookmarkStart w:id="1016" w:name="_Toc98856198"/>
      <w:bookmarkStart w:id="1017" w:name="_Toc98932950"/>
      <w:bookmarkStart w:id="1018" w:name="_Toc99008206"/>
      <w:bookmarkStart w:id="1019" w:name="_Toc99009568"/>
      <w:bookmarkStart w:id="1020" w:name="_Toc99010796"/>
      <w:bookmarkStart w:id="1021" w:name="_Toc99014031"/>
      <w:bookmarkStart w:id="1022" w:name="_Toc99187606"/>
      <w:bookmarkStart w:id="1023" w:name="_Toc99269728"/>
      <w:r w:rsidRPr="002C4D41">
        <w:t>Section 1: Entity overview and resources</w:t>
      </w:r>
      <w:bookmarkEnd w:id="1014"/>
      <w:bookmarkEnd w:id="1015"/>
      <w:bookmarkEnd w:id="1016"/>
      <w:bookmarkEnd w:id="1017"/>
      <w:bookmarkEnd w:id="1018"/>
      <w:bookmarkEnd w:id="1019"/>
      <w:bookmarkEnd w:id="1020"/>
      <w:bookmarkEnd w:id="1021"/>
      <w:bookmarkEnd w:id="1022"/>
      <w:bookmarkEnd w:id="1023"/>
    </w:p>
    <w:p w14:paraId="27068042" w14:textId="77777777" w:rsidR="00F2151C" w:rsidRDefault="00F2151C" w:rsidP="00F2151C">
      <w:pPr>
        <w:pStyle w:val="Heading3"/>
      </w:pPr>
      <w:bookmarkStart w:id="1024" w:name="_Toc67575490"/>
      <w:bookmarkStart w:id="1025" w:name="_Toc98766463"/>
      <w:bookmarkStart w:id="1026" w:name="_Toc98856199"/>
      <w:bookmarkStart w:id="1027" w:name="_Toc98932951"/>
      <w:bookmarkStart w:id="1028" w:name="_Toc99008207"/>
      <w:bookmarkStart w:id="1029" w:name="_Toc99009569"/>
      <w:bookmarkStart w:id="1030" w:name="_Toc99010797"/>
      <w:bookmarkStart w:id="1031" w:name="_Toc99014032"/>
      <w:bookmarkStart w:id="1032" w:name="_Toc99187607"/>
      <w:bookmarkStart w:id="1033" w:name="_Toc99269729"/>
      <w:r>
        <w:t>1.1</w:t>
      </w:r>
      <w:r>
        <w:tab/>
        <w:t>Strategic direction statement</w:t>
      </w:r>
      <w:bookmarkEnd w:id="1024"/>
      <w:bookmarkEnd w:id="1025"/>
      <w:bookmarkEnd w:id="1026"/>
      <w:bookmarkEnd w:id="1027"/>
      <w:bookmarkEnd w:id="1028"/>
      <w:bookmarkEnd w:id="1029"/>
      <w:bookmarkEnd w:id="1030"/>
      <w:bookmarkEnd w:id="1031"/>
      <w:bookmarkEnd w:id="1032"/>
      <w:bookmarkEnd w:id="1033"/>
    </w:p>
    <w:p w14:paraId="3F7330A1" w14:textId="77777777" w:rsidR="00F2151C" w:rsidRDefault="00F2151C" w:rsidP="00F2151C">
      <w:pPr>
        <w:pStyle w:val="BulletIntro"/>
        <w:spacing w:after="240"/>
        <w:rPr>
          <w:rFonts w:cs="Arial"/>
        </w:rPr>
      </w:pPr>
      <w:r>
        <w:rPr>
          <w:rFonts w:cs="Arial"/>
        </w:rPr>
        <w:t xml:space="preserve">The Torres Strait Regional Authority (TSRA) is the </w:t>
      </w:r>
      <w:r w:rsidRPr="36D441FF">
        <w:rPr>
          <w:rFonts w:cs="Arial"/>
        </w:rPr>
        <w:t xml:space="preserve">lead </w:t>
      </w:r>
      <w:r w:rsidR="00C85F02">
        <w:rPr>
          <w:rFonts w:cs="Arial"/>
        </w:rPr>
        <w:t>Australian Government agency for</w:t>
      </w:r>
      <w:r>
        <w:rPr>
          <w:rFonts w:cs="Arial"/>
        </w:rPr>
        <w:t xml:space="preserve"> Indigenous affairs in the Torres Strait region including the communities of Bamaga and Seisia on the Northern Peninsula Area.</w:t>
      </w:r>
    </w:p>
    <w:p w14:paraId="411D635C" w14:textId="77777777" w:rsidR="00F2151C" w:rsidRDefault="00F2151C" w:rsidP="00F2151C">
      <w:pPr>
        <w:pStyle w:val="BulletIntro"/>
        <w:spacing w:after="240"/>
        <w:rPr>
          <w:rFonts w:cs="Arial"/>
        </w:rPr>
      </w:pPr>
      <w:r>
        <w:rPr>
          <w:rFonts w:cs="Arial"/>
        </w:rPr>
        <w:t xml:space="preserve">The role of the TSRA is progress toward closing the gap for Torres Strait Islander and Aboriginal people living in the region, and to empower Torres Strait Islander and Aboriginal people living in the region to determine their own affairs based on the </w:t>
      </w:r>
      <w:r w:rsidR="00327149">
        <w:rPr>
          <w:rFonts w:cs="Arial"/>
        </w:rPr>
        <w:t>A</w:t>
      </w:r>
      <w:r w:rsidR="00327149">
        <w:rPr>
          <w:rFonts w:cs="Arial"/>
          <w:i/>
        </w:rPr>
        <w:t>ilan K</w:t>
      </w:r>
      <w:r>
        <w:rPr>
          <w:rFonts w:cs="Arial"/>
          <w:i/>
        </w:rPr>
        <w:t>astom</w:t>
      </w:r>
      <w:r>
        <w:rPr>
          <w:rFonts w:cs="Arial"/>
        </w:rPr>
        <w:t xml:space="preserve"> (island custom) of the Torres Strait. The TSRA also provides advice to the Minister for Indigenous Australians about issues that are relevant to Torres Strait Islander and Aboriginal people livi</w:t>
      </w:r>
      <w:r w:rsidR="00EA3984">
        <w:rPr>
          <w:rFonts w:cs="Arial"/>
        </w:rPr>
        <w:t>ng in the Torres Strait region.</w:t>
      </w:r>
    </w:p>
    <w:p w14:paraId="1F799638" w14:textId="77777777" w:rsidR="00F2151C" w:rsidRDefault="00F2151C" w:rsidP="00F2151C">
      <w:pPr>
        <w:pStyle w:val="BulletIntro"/>
        <w:spacing w:after="240"/>
        <w:rPr>
          <w:rFonts w:cs="Arial"/>
        </w:rPr>
      </w:pPr>
      <w:r>
        <w:rPr>
          <w:rFonts w:cs="Arial"/>
        </w:rPr>
        <w:t>The TSRA’s strategic plan is articulated in the TSRA’s Torres Strait Development Plan 2019–22 (the Development Plan). The Development Plan and its eight program components have been informed and driven by the Torres Strait and Northern Peninsula Area Regional Plan 2009–29 (the Regional Plan) and the goals and aspirations of the residents of the Torres Strait. The TSRA vision, which is shared by both the Regional Plan and the Development Plan, is:</w:t>
      </w:r>
    </w:p>
    <w:p w14:paraId="16849500" w14:textId="77777777" w:rsidR="00F2151C" w:rsidRDefault="00F2151C" w:rsidP="008A2254">
      <w:pPr>
        <w:pStyle w:val="BulletIntro"/>
        <w:numPr>
          <w:ilvl w:val="0"/>
          <w:numId w:val="17"/>
        </w:numPr>
        <w:spacing w:after="240"/>
        <w:rPr>
          <w:rFonts w:cs="Arial"/>
        </w:rPr>
      </w:pPr>
      <w:r>
        <w:rPr>
          <w:rFonts w:cs="Arial"/>
        </w:rPr>
        <w:t>Empowering our people, in our decision, in our culture, for our future</w:t>
      </w:r>
    </w:p>
    <w:p w14:paraId="7754CC61" w14:textId="77777777" w:rsidR="00F2151C" w:rsidRPr="00410668" w:rsidRDefault="00F2151C" w:rsidP="008A2254">
      <w:pPr>
        <w:pStyle w:val="BulletIntro"/>
        <w:numPr>
          <w:ilvl w:val="0"/>
          <w:numId w:val="17"/>
        </w:numPr>
        <w:spacing w:after="240"/>
        <w:rPr>
          <w:rFonts w:cs="Arial"/>
          <w:i/>
        </w:rPr>
      </w:pPr>
      <w:r w:rsidRPr="00410668">
        <w:rPr>
          <w:i/>
        </w:rPr>
        <w:t xml:space="preserve">Ngalpun yangu kaaba w oeydhay, a ngalpun muruyguw danalgan mabaygal kunakan palayk, wagel goeygoeyika (KALA LAGAW YA) </w:t>
      </w:r>
    </w:p>
    <w:p w14:paraId="0B31ABF7" w14:textId="77777777" w:rsidR="00F2151C" w:rsidRPr="00410668" w:rsidRDefault="00F2151C" w:rsidP="008A2254">
      <w:pPr>
        <w:pStyle w:val="BulletIntro"/>
        <w:numPr>
          <w:ilvl w:val="0"/>
          <w:numId w:val="17"/>
        </w:numPr>
        <w:spacing w:after="240"/>
        <w:rPr>
          <w:rFonts w:cs="Arial"/>
          <w:i/>
        </w:rPr>
      </w:pPr>
      <w:r w:rsidRPr="00410668">
        <w:rPr>
          <w:i/>
        </w:rPr>
        <w:t xml:space="preserve">Buaigiz kelar obaiswerare, merbi mir apuge mena obakedi, muige merbi areribi tonarge, ko merbi keub kerkerem (MERIAM MIR) </w:t>
      </w:r>
    </w:p>
    <w:p w14:paraId="0B9EC6A0" w14:textId="77777777" w:rsidR="00F2151C" w:rsidRPr="00410668" w:rsidRDefault="00F2151C" w:rsidP="008A2254">
      <w:pPr>
        <w:pStyle w:val="BulletIntro"/>
        <w:numPr>
          <w:ilvl w:val="0"/>
          <w:numId w:val="17"/>
        </w:numPr>
        <w:spacing w:after="240"/>
        <w:rPr>
          <w:rFonts w:cs="Arial"/>
          <w:i/>
        </w:rPr>
      </w:pPr>
      <w:r w:rsidRPr="00410668">
        <w:rPr>
          <w:i/>
        </w:rPr>
        <w:t>Ngalpan moebaygal thoepoeriwoeyamoeyn, ngalpan ya kuduthoeraynu, ngalpan igililmaypa, sepa setha wara goeygil sey boey wagel (KALA KAWAU YA)</w:t>
      </w:r>
    </w:p>
    <w:p w14:paraId="65369BD3" w14:textId="77777777" w:rsidR="00F2151C" w:rsidRDefault="00F2151C" w:rsidP="00F2151C">
      <w:pPr>
        <w:pStyle w:val="BulletIntro"/>
        <w:spacing w:after="240"/>
        <w:rPr>
          <w:rFonts w:cs="Arial"/>
        </w:rPr>
      </w:pPr>
      <w:r>
        <w:rPr>
          <w:rFonts w:cs="Arial"/>
        </w:rPr>
        <w:t>The TSRA’s Development Plan also aligns with the Australian Government’s Indigenous Advancement Strategy.</w:t>
      </w:r>
    </w:p>
    <w:p w14:paraId="7B04D43A" w14:textId="77777777" w:rsidR="00F2151C" w:rsidRDefault="00F2151C" w:rsidP="00F2151C">
      <w:pPr>
        <w:spacing w:after="0" w:line="240" w:lineRule="auto"/>
        <w:jc w:val="left"/>
        <w:rPr>
          <w:rFonts w:cs="Arial"/>
        </w:rPr>
      </w:pPr>
      <w:r>
        <w:rPr>
          <w:rFonts w:cs="Arial"/>
        </w:rPr>
        <w:br w:type="page"/>
      </w:r>
    </w:p>
    <w:p w14:paraId="034EA877" w14:textId="77777777" w:rsidR="00F2151C" w:rsidRDefault="00F2151C" w:rsidP="00F2151C">
      <w:pPr>
        <w:pStyle w:val="BulletIntro"/>
        <w:spacing w:after="240"/>
        <w:rPr>
          <w:rFonts w:cs="Arial"/>
        </w:rPr>
      </w:pPr>
      <w:r>
        <w:rPr>
          <w:rFonts w:cs="Arial"/>
        </w:rPr>
        <w:t>Priority areas for TSRA include:</w:t>
      </w:r>
    </w:p>
    <w:p w14:paraId="7BA18637" w14:textId="77777777" w:rsidR="00F2151C" w:rsidRDefault="00F2151C" w:rsidP="008A2254">
      <w:pPr>
        <w:pStyle w:val="BulletIntro"/>
        <w:numPr>
          <w:ilvl w:val="0"/>
          <w:numId w:val="18"/>
        </w:numPr>
        <w:spacing w:after="240"/>
        <w:ind w:left="284" w:hanging="284"/>
        <w:rPr>
          <w:rFonts w:cs="Arial"/>
        </w:rPr>
      </w:pPr>
      <w:r>
        <w:rPr>
          <w:rFonts w:cs="Arial"/>
        </w:rPr>
        <w:t>continuing to drive the regional planning processes, including improving the integration of service delivery between governments at all levels working in the region and engaging with local stakeholders, informing them of the TSRA’s Development Plan</w:t>
      </w:r>
    </w:p>
    <w:p w14:paraId="7EA6D388" w14:textId="77777777" w:rsidR="00F2151C" w:rsidRDefault="00F2151C" w:rsidP="008A2254">
      <w:pPr>
        <w:pStyle w:val="BulletIntro"/>
        <w:numPr>
          <w:ilvl w:val="0"/>
          <w:numId w:val="18"/>
        </w:numPr>
        <w:spacing w:after="240"/>
        <w:ind w:left="284" w:hanging="284"/>
        <w:rPr>
          <w:rFonts w:cs="Arial"/>
        </w:rPr>
      </w:pPr>
      <w:r>
        <w:rPr>
          <w:rFonts w:cs="Arial"/>
        </w:rPr>
        <w:t>monitoring, evaluating and delivering advice on the sustainable management of the natural resources (land and sea) of the Torres Strait communities. This includes the sustainable use of marine turtle and dugong; engagement with neighbouring Papua New Guinea treaty villages on environmental issues and maintaining the natural resource base to foster economic opportunity and maintain the cultural values that are linked to natural assets</w:t>
      </w:r>
    </w:p>
    <w:p w14:paraId="610DFA5F" w14:textId="77777777" w:rsidR="00F2151C" w:rsidRDefault="00F2151C" w:rsidP="008A2254">
      <w:pPr>
        <w:pStyle w:val="BulletIntro"/>
        <w:numPr>
          <w:ilvl w:val="0"/>
          <w:numId w:val="18"/>
        </w:numPr>
        <w:spacing w:after="240"/>
        <w:ind w:left="284" w:hanging="284"/>
        <w:rPr>
          <w:rFonts w:cs="Arial"/>
        </w:rPr>
      </w:pPr>
      <w:r>
        <w:rPr>
          <w:rFonts w:cs="Arial"/>
        </w:rPr>
        <w:t>implementing the Torres Strait Climate Change Strategy to help reduce climate change risks and build regional and community resilience while building an understanding to inform a flexible and adaptive approach to responding to future uncertainties</w:t>
      </w:r>
    </w:p>
    <w:p w14:paraId="704AF2FD" w14:textId="77777777" w:rsidR="00F2151C" w:rsidRPr="00410668" w:rsidRDefault="00F2151C" w:rsidP="008A2254">
      <w:pPr>
        <w:pStyle w:val="BulletIntro"/>
        <w:numPr>
          <w:ilvl w:val="0"/>
          <w:numId w:val="18"/>
        </w:numPr>
        <w:spacing w:after="240"/>
        <w:ind w:left="284" w:hanging="284"/>
        <w:rPr>
          <w:rFonts w:cs="Arial"/>
        </w:rPr>
      </w:pPr>
      <w:r>
        <w:rPr>
          <w:rFonts w:cs="Arial"/>
        </w:rPr>
        <w:t>enhancing the Torres Strait region’s wealth by creating sustainable industries and increasing employment opportunities for our people equivalent to the wider Australian community</w:t>
      </w:r>
    </w:p>
    <w:p w14:paraId="0658C402" w14:textId="77777777" w:rsidR="00F2151C" w:rsidRDefault="00F2151C" w:rsidP="008A2254">
      <w:pPr>
        <w:pStyle w:val="BulletIntro"/>
        <w:numPr>
          <w:ilvl w:val="0"/>
          <w:numId w:val="18"/>
        </w:numPr>
        <w:spacing w:after="240"/>
        <w:ind w:left="284" w:hanging="284"/>
        <w:rPr>
          <w:rFonts w:cs="Arial"/>
        </w:rPr>
      </w:pPr>
      <w:r>
        <w:rPr>
          <w:rFonts w:cs="Arial"/>
        </w:rPr>
        <w:t>securing whole-of-government infrastructure investment for Torres Strait communities in the region to support healthy homes and healthy living environments, including progressing t</w:t>
      </w:r>
      <w:r w:rsidR="00327149">
        <w:rPr>
          <w:rFonts w:cs="Arial"/>
        </w:rPr>
        <w:t>he Major Infrastructure Program</w:t>
      </w:r>
      <w:r>
        <w:rPr>
          <w:rFonts w:cs="Arial"/>
        </w:rPr>
        <w:t>, a bilateral commitment between the Australian and Queensland Governments, to build essential health infrastructure in the region including water supply and reticulation; sanitation and wastewater; community roads and drainage; serviced housing lots; and asset sustainability</w:t>
      </w:r>
    </w:p>
    <w:p w14:paraId="16642A04" w14:textId="77777777" w:rsidR="00F2151C" w:rsidRDefault="00F2151C" w:rsidP="008A2254">
      <w:pPr>
        <w:pStyle w:val="BulletIntro"/>
        <w:numPr>
          <w:ilvl w:val="0"/>
          <w:numId w:val="18"/>
        </w:numPr>
        <w:spacing w:after="240"/>
        <w:ind w:left="284" w:hanging="284"/>
        <w:rPr>
          <w:rFonts w:cs="Arial"/>
        </w:rPr>
      </w:pPr>
      <w:r>
        <w:rPr>
          <w:rFonts w:cs="Arial"/>
        </w:rPr>
        <w:t xml:space="preserve">improving access to safe and accessible community infrastructure and improved land and sea communications systems </w:t>
      </w:r>
    </w:p>
    <w:p w14:paraId="1BAC9227" w14:textId="77777777" w:rsidR="00F2151C" w:rsidRDefault="00F2151C" w:rsidP="008A2254">
      <w:pPr>
        <w:pStyle w:val="BulletIntro"/>
        <w:numPr>
          <w:ilvl w:val="0"/>
          <w:numId w:val="18"/>
        </w:numPr>
        <w:spacing w:after="240"/>
        <w:ind w:left="284" w:hanging="284"/>
        <w:rPr>
          <w:rFonts w:cs="Arial"/>
        </w:rPr>
      </w:pPr>
      <w:r>
        <w:rPr>
          <w:rFonts w:cs="Arial"/>
        </w:rPr>
        <w:t>protect, promote, revitalise and maintain Torres Strait Islander and Aboriginal traditions and cultural heritage</w:t>
      </w:r>
    </w:p>
    <w:p w14:paraId="466FAC92" w14:textId="77777777" w:rsidR="00F2151C" w:rsidRDefault="00F2151C" w:rsidP="008A2254">
      <w:pPr>
        <w:pStyle w:val="BulletIntro"/>
        <w:numPr>
          <w:ilvl w:val="0"/>
          <w:numId w:val="18"/>
        </w:numPr>
        <w:spacing w:after="240"/>
        <w:ind w:left="284" w:hanging="284"/>
        <w:rPr>
          <w:rFonts w:cs="Arial"/>
        </w:rPr>
      </w:pPr>
      <w:r>
        <w:rPr>
          <w:rFonts w:cs="Arial"/>
        </w:rPr>
        <w:t>leading the coastal management infrastructure project to protect existing community infrastructure from rising seawater.</w:t>
      </w:r>
    </w:p>
    <w:p w14:paraId="453C450A" w14:textId="77777777" w:rsidR="00F2151C" w:rsidRDefault="00F2151C" w:rsidP="00F2151C">
      <w:pPr>
        <w:pStyle w:val="BulletIntro"/>
        <w:spacing w:after="240"/>
        <w:rPr>
          <w:rFonts w:cs="Arial"/>
        </w:rPr>
      </w:pPr>
      <w:r>
        <w:rPr>
          <w:rFonts w:cs="Arial"/>
          <w:bCs/>
        </w:rPr>
        <w:t>Further details of the TSRA’s objectives and performance monitoring are set out in Section 2 of this document.</w:t>
      </w:r>
    </w:p>
    <w:p w14:paraId="34316EF8" w14:textId="77777777" w:rsidR="00F2151C" w:rsidRDefault="00F2151C" w:rsidP="00F2151C">
      <w:pPr>
        <w:pStyle w:val="Heading3"/>
      </w:pPr>
      <w:r w:rsidRPr="0079797F">
        <w:br w:type="page"/>
      </w:r>
      <w:bookmarkStart w:id="1034" w:name="_Toc67575491"/>
      <w:bookmarkStart w:id="1035" w:name="_Toc98766464"/>
      <w:bookmarkStart w:id="1036" w:name="_Toc98856200"/>
      <w:bookmarkStart w:id="1037" w:name="_Toc98932952"/>
      <w:bookmarkStart w:id="1038" w:name="_Toc99008208"/>
      <w:bookmarkStart w:id="1039" w:name="_Toc99009570"/>
      <w:bookmarkStart w:id="1040" w:name="_Toc99010798"/>
      <w:bookmarkStart w:id="1041" w:name="_Toc99014033"/>
      <w:bookmarkStart w:id="1042" w:name="_Toc99187608"/>
      <w:bookmarkStart w:id="1043" w:name="_Toc99269730"/>
      <w:r>
        <w:t>1.2</w:t>
      </w:r>
      <w:r>
        <w:tab/>
        <w:t>Entity resource statement</w:t>
      </w:r>
      <w:bookmarkEnd w:id="1034"/>
      <w:bookmarkEnd w:id="1035"/>
      <w:bookmarkEnd w:id="1036"/>
      <w:bookmarkEnd w:id="1037"/>
      <w:bookmarkEnd w:id="1038"/>
      <w:bookmarkEnd w:id="1039"/>
      <w:bookmarkEnd w:id="1040"/>
      <w:bookmarkEnd w:id="1041"/>
      <w:bookmarkEnd w:id="1042"/>
      <w:bookmarkEnd w:id="1043"/>
    </w:p>
    <w:p w14:paraId="677AEDDE" w14:textId="77777777" w:rsidR="00F2151C" w:rsidRDefault="00F2151C" w:rsidP="00F2151C">
      <w:r>
        <w:t xml:space="preserve">Table 1.1 shows the total funding from all sources available to the </w:t>
      </w:r>
      <w:r w:rsidR="00E7089F">
        <w:t>TSRA</w:t>
      </w:r>
      <w:r>
        <w:t xml:space="preserve"> for its operations and to deliver programs and services on behalf of the Government.</w:t>
      </w:r>
    </w:p>
    <w:p w14:paraId="72044C51" w14:textId="77777777" w:rsidR="00F2151C" w:rsidRDefault="00F2151C" w:rsidP="00F2151C">
      <w:r>
        <w:t>The table summarises how resources will be applied by outcome (government strategic policy objectives) and by administered (on behalf of the Government or the public) and departmental (for the entity’s operations) classification.</w:t>
      </w:r>
    </w:p>
    <w:p w14:paraId="29F0A422" w14:textId="77777777" w:rsidR="00F2151C" w:rsidRDefault="00F2151C" w:rsidP="00F2151C">
      <w:r>
        <w:t xml:space="preserve">For more detailed information on special accounts and special appropriations, please refer to </w:t>
      </w:r>
      <w:r w:rsidRPr="00C85F02">
        <w:t>Budget Paper No. 4 – Agency Resourcing.</w:t>
      </w:r>
    </w:p>
    <w:p w14:paraId="0FD564A0" w14:textId="77777777" w:rsidR="00F2151C" w:rsidRDefault="00F2151C" w:rsidP="00F2151C">
      <w:r>
        <w:t>Information in this table is presented on a resourcing (that is, appropriations/cash available) basis, whilst the ‘Budgeted expenses by Outcome 1’ tables in Section 2 and the financial statements in Section 3 are presented on an accrual basis.</w:t>
      </w:r>
    </w:p>
    <w:p w14:paraId="0882116A" w14:textId="77777777" w:rsidR="00F2151C" w:rsidRPr="00B44FBB" w:rsidRDefault="00F2151C" w:rsidP="00D867A3">
      <w:pPr>
        <w:pStyle w:val="ChartandTableFootnote"/>
        <w:rPr>
          <w:b/>
        </w:rPr>
      </w:pPr>
      <w:r>
        <w:br w:type="page"/>
      </w:r>
      <w:r w:rsidRPr="00B44FBB">
        <w:rPr>
          <w:b/>
          <w:sz w:val="20"/>
        </w:rPr>
        <w:t xml:space="preserve">Table 1.1: TSRA resource statement — Budget </w:t>
      </w:r>
      <w:r w:rsidRPr="00B44FBB">
        <w:rPr>
          <w:b/>
          <w:noProof/>
          <w:sz w:val="20"/>
        </w:rPr>
        <w:t>estimates</w:t>
      </w:r>
      <w:r w:rsidRPr="00B44FBB">
        <w:rPr>
          <w:b/>
          <w:sz w:val="20"/>
        </w:rPr>
        <w:t xml:space="preserve"> for 2022-23 as at Budget March 2022</w:t>
      </w:r>
    </w:p>
    <w:p w14:paraId="00E2C755" w14:textId="77777777" w:rsidR="00F2151C" w:rsidRDefault="00354C39" w:rsidP="00F2151C">
      <w:pPr>
        <w:pStyle w:val="TableGraphic"/>
        <w:rPr>
          <w:rFonts w:ascii="Arial" w:hAnsi="Arial"/>
          <w:color w:val="000000"/>
          <w:lang w:val="x-none" w:eastAsia="x-none"/>
        </w:rPr>
      </w:pPr>
      <w:r w:rsidRPr="00354C39">
        <w:rPr>
          <w:noProof/>
        </w:rPr>
        <w:drawing>
          <wp:inline distT="0" distB="0" distL="0" distR="0" wp14:anchorId="5A2D4383" wp14:editId="1583E6D0">
            <wp:extent cx="4699635" cy="2720340"/>
            <wp:effectExtent l="0" t="0" r="5715"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699635" cy="2720340"/>
                    </a:xfrm>
                    <a:prstGeom prst="rect">
                      <a:avLst/>
                    </a:prstGeom>
                    <a:noFill/>
                    <a:ln>
                      <a:noFill/>
                    </a:ln>
                  </pic:spPr>
                </pic:pic>
              </a:graphicData>
            </a:graphic>
          </wp:inline>
        </w:drawing>
      </w:r>
    </w:p>
    <w:p w14:paraId="1705C7B8" w14:textId="77777777" w:rsidR="00CF701D" w:rsidRPr="00CF701D" w:rsidRDefault="00CF701D" w:rsidP="00CF701D">
      <w:pPr>
        <w:pStyle w:val="TableHeading"/>
        <w:rPr>
          <w:b w:val="0"/>
          <w:sz w:val="16"/>
        </w:rPr>
      </w:pPr>
      <w:r w:rsidRPr="00CF701D">
        <w:rPr>
          <w:b w:val="0"/>
          <w:sz w:val="16"/>
        </w:rPr>
        <w:t xml:space="preserve">All figures shown above are GST exclusive - these may not match figures in the cash flow statement. </w:t>
      </w:r>
      <w:r w:rsidRPr="00CF701D">
        <w:rPr>
          <w:b w:val="0"/>
          <w:sz w:val="16"/>
        </w:rPr>
        <w:tab/>
      </w:r>
    </w:p>
    <w:p w14:paraId="53CBAE64" w14:textId="77777777" w:rsidR="00CF701D" w:rsidRDefault="00CF701D" w:rsidP="008A2254">
      <w:pPr>
        <w:pStyle w:val="TableHeading"/>
        <w:numPr>
          <w:ilvl w:val="4"/>
          <w:numId w:val="17"/>
        </w:numPr>
        <w:rPr>
          <w:b w:val="0"/>
          <w:sz w:val="16"/>
        </w:rPr>
      </w:pPr>
      <w:r w:rsidRPr="00CF701D">
        <w:rPr>
          <w:b w:val="0"/>
          <w:sz w:val="16"/>
        </w:rPr>
        <w:t>Appr</w:t>
      </w:r>
      <w:r>
        <w:rPr>
          <w:b w:val="0"/>
          <w:sz w:val="16"/>
        </w:rPr>
        <w:t>opriation Bill (No. 1) 2022-23.</w:t>
      </w:r>
    </w:p>
    <w:p w14:paraId="47EE21C9" w14:textId="77777777" w:rsidR="00CF701D" w:rsidRPr="00CF701D" w:rsidRDefault="00CF701D" w:rsidP="008A2254">
      <w:pPr>
        <w:pStyle w:val="TableHeading"/>
        <w:numPr>
          <w:ilvl w:val="4"/>
          <w:numId w:val="17"/>
        </w:numPr>
        <w:rPr>
          <w:b w:val="0"/>
          <w:sz w:val="16"/>
        </w:rPr>
      </w:pPr>
      <w:r w:rsidRPr="00CF701D">
        <w:rPr>
          <w:b w:val="0"/>
          <w:sz w:val="16"/>
        </w:rPr>
        <w:t>Amounts received from other entities within the portfolio, or from other portfolios.</w:t>
      </w:r>
      <w:r w:rsidRPr="00CF701D">
        <w:rPr>
          <w:b w:val="0"/>
          <w:sz w:val="16"/>
        </w:rPr>
        <w:tab/>
      </w:r>
    </w:p>
    <w:p w14:paraId="1592E9F3" w14:textId="77777777" w:rsidR="00F2151C" w:rsidRDefault="00CF701D" w:rsidP="00CF701D">
      <w:pPr>
        <w:pStyle w:val="TableHeading"/>
      </w:pPr>
      <w:r>
        <w:tab/>
      </w:r>
      <w:r w:rsidR="00F2151C">
        <w:br w:type="page"/>
      </w:r>
    </w:p>
    <w:p w14:paraId="4025BF28" w14:textId="77777777" w:rsidR="00F2151C" w:rsidRPr="005A7C0B" w:rsidRDefault="00F2151C" w:rsidP="00F2151C">
      <w:pPr>
        <w:pStyle w:val="Heading3"/>
        <w:spacing w:before="0"/>
      </w:pPr>
      <w:bookmarkStart w:id="1044" w:name="_Toc67575492"/>
      <w:bookmarkStart w:id="1045" w:name="_Toc98766465"/>
      <w:bookmarkStart w:id="1046" w:name="_Toc98856201"/>
      <w:bookmarkStart w:id="1047" w:name="_Toc98932953"/>
      <w:bookmarkStart w:id="1048" w:name="_Toc99008209"/>
      <w:bookmarkStart w:id="1049" w:name="_Toc99009571"/>
      <w:bookmarkStart w:id="1050" w:name="_Toc99010799"/>
      <w:bookmarkStart w:id="1051" w:name="_Toc99014034"/>
      <w:bookmarkStart w:id="1052" w:name="_Toc99187609"/>
      <w:bookmarkStart w:id="1053" w:name="_Toc99269731"/>
      <w:r w:rsidRPr="005A7C0B">
        <w:t>1.3</w:t>
      </w:r>
      <w:r w:rsidRPr="005A7C0B">
        <w:tab/>
        <w:t>Budget measures</w:t>
      </w:r>
      <w:bookmarkEnd w:id="1044"/>
      <w:bookmarkEnd w:id="1045"/>
      <w:bookmarkEnd w:id="1046"/>
      <w:bookmarkEnd w:id="1047"/>
      <w:bookmarkEnd w:id="1048"/>
      <w:bookmarkEnd w:id="1049"/>
      <w:bookmarkEnd w:id="1050"/>
      <w:bookmarkEnd w:id="1051"/>
      <w:bookmarkEnd w:id="1052"/>
      <w:bookmarkEnd w:id="1053"/>
    </w:p>
    <w:p w14:paraId="03233DFF" w14:textId="77777777" w:rsidR="00F2151C" w:rsidRDefault="00F2151C" w:rsidP="00F2151C">
      <w:r>
        <w:t>T</w:t>
      </w:r>
      <w:r w:rsidR="006C5071">
        <w:t>he T</w:t>
      </w:r>
      <w:r>
        <w:t>SRA has no new Budget measures in the 2022-23 Budget.</w:t>
      </w:r>
    </w:p>
    <w:p w14:paraId="7A0E18A7" w14:textId="77777777" w:rsidR="00F2151C" w:rsidRPr="00D232B7" w:rsidRDefault="00F2151C" w:rsidP="00F2151C">
      <w:pPr>
        <w:pStyle w:val="TableHeadingcontinued"/>
      </w:pPr>
      <w:r>
        <w:br w:type="page"/>
      </w:r>
    </w:p>
    <w:p w14:paraId="09D4C7A5" w14:textId="77777777" w:rsidR="00F2151C" w:rsidRPr="00810C6A" w:rsidRDefault="00F2151C" w:rsidP="00F2151C">
      <w:pPr>
        <w:pStyle w:val="Heading2"/>
      </w:pPr>
      <w:bookmarkStart w:id="1054" w:name="_Toc67575493"/>
      <w:bookmarkStart w:id="1055" w:name="_Toc98766466"/>
      <w:bookmarkStart w:id="1056" w:name="_Toc98856202"/>
      <w:bookmarkStart w:id="1057" w:name="_Toc98932954"/>
      <w:bookmarkStart w:id="1058" w:name="_Toc99008210"/>
      <w:bookmarkStart w:id="1059" w:name="_Toc99009572"/>
      <w:bookmarkStart w:id="1060" w:name="_Toc99010800"/>
      <w:bookmarkStart w:id="1061" w:name="_Toc99014035"/>
      <w:bookmarkStart w:id="1062" w:name="_Toc99187610"/>
      <w:bookmarkStart w:id="1063" w:name="_Toc99269732"/>
      <w:r w:rsidRPr="00810C6A">
        <w:t>Section 2: Outcomes and planned performance</w:t>
      </w:r>
      <w:bookmarkEnd w:id="1054"/>
      <w:bookmarkEnd w:id="1055"/>
      <w:bookmarkEnd w:id="1056"/>
      <w:bookmarkEnd w:id="1057"/>
      <w:bookmarkEnd w:id="1058"/>
      <w:bookmarkEnd w:id="1059"/>
      <w:bookmarkEnd w:id="1060"/>
      <w:bookmarkEnd w:id="1061"/>
      <w:bookmarkEnd w:id="1062"/>
      <w:bookmarkEnd w:id="1063"/>
    </w:p>
    <w:p w14:paraId="42FBAAA1" w14:textId="77777777" w:rsidR="00F2151C" w:rsidRPr="005E6F2B" w:rsidRDefault="00F2151C" w:rsidP="00F2151C">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BCDCA57" w14:textId="77777777" w:rsidR="00F2151C" w:rsidRDefault="00F2151C" w:rsidP="00F2151C">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F2151C" w14:paraId="58EEBE25" w14:textId="77777777" w:rsidTr="004F3DE6">
        <w:tc>
          <w:tcPr>
            <w:tcW w:w="7700" w:type="dxa"/>
          </w:tcPr>
          <w:p w14:paraId="30D83C01" w14:textId="77777777" w:rsidR="00F2151C" w:rsidRPr="006906E4" w:rsidRDefault="00F2151C" w:rsidP="004F3DE6">
            <w:pPr>
              <w:spacing w:after="120" w:line="240" w:lineRule="auto"/>
            </w:pPr>
            <w:r w:rsidRPr="006906E4">
              <w:t>Note:</w:t>
            </w:r>
          </w:p>
          <w:p w14:paraId="7282C861" w14:textId="77777777" w:rsidR="00F2151C" w:rsidRDefault="00F2151C" w:rsidP="004F3DE6">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1E4E1F29" w14:textId="77777777" w:rsidR="00F2151C" w:rsidRDefault="00F2151C" w:rsidP="004F3DE6">
            <w:r>
              <w:t>The most recent corporate plan for TSRA can be found at: www.transparency.gov.au/sites/default/files/reports/</w:t>
            </w:r>
            <w:hyperlink r:id="rId450" w:history="1">
              <w:r>
                <w:rPr>
                  <w:rStyle w:val="Hyperlink"/>
                </w:rPr>
                <w:t>tsra-corporate-plan-2</w:t>
              </w:r>
              <w:r w:rsidR="00327149">
                <w:rPr>
                  <w:rStyle w:val="Hyperlink"/>
                </w:rPr>
                <w:t>020-2021-to-2023-2024-final.pdf</w:t>
              </w:r>
            </w:hyperlink>
          </w:p>
          <w:p w14:paraId="360E2D5B" w14:textId="77777777" w:rsidR="00F2151C" w:rsidRDefault="00F2151C" w:rsidP="00CF701D">
            <w:r>
              <w:t>The most recent annual performance statement can be found at: www.transparency.gov.au/annual-reports/torres-strait-regional-a</w:t>
            </w:r>
            <w:r w:rsidR="00A20056">
              <w:t>uthority/reporting-year/2020-21</w:t>
            </w:r>
          </w:p>
        </w:tc>
      </w:tr>
    </w:tbl>
    <w:p w14:paraId="5A017339" w14:textId="77777777" w:rsidR="00F2151C" w:rsidRDefault="00F2151C" w:rsidP="00F2151C">
      <w:pPr>
        <w:rPr>
          <w:highlight w:val="yellow"/>
        </w:rPr>
      </w:pPr>
    </w:p>
    <w:p w14:paraId="04AE2D20" w14:textId="77777777" w:rsidR="00327149" w:rsidRDefault="00327149">
      <w:pPr>
        <w:spacing w:after="0" w:line="240" w:lineRule="auto"/>
        <w:jc w:val="left"/>
        <w:rPr>
          <w:rFonts w:ascii="Arial Bold" w:hAnsi="Arial Bold"/>
          <w:b/>
          <w:sz w:val="22"/>
        </w:rPr>
      </w:pPr>
      <w:r>
        <w:br w:type="page"/>
      </w:r>
    </w:p>
    <w:p w14:paraId="2905C8D1" w14:textId="77777777" w:rsidR="00F2151C" w:rsidRDefault="00F2151C" w:rsidP="00F2151C">
      <w:pPr>
        <w:pStyle w:val="Heading3"/>
        <w:sectPr w:rsidR="00F2151C" w:rsidSect="005F6A96">
          <w:headerReference w:type="even" r:id="rId451"/>
          <w:headerReference w:type="default" r:id="rId452"/>
          <w:footerReference w:type="even" r:id="rId453"/>
          <w:footerReference w:type="default" r:id="rId454"/>
          <w:footerReference w:type="first" r:id="rId455"/>
          <w:type w:val="continuous"/>
          <w:pgSz w:w="11906" w:h="16838" w:code="9"/>
          <w:pgMar w:top="2466" w:right="2098" w:bottom="2466" w:left="2098" w:header="1899" w:footer="1899" w:gutter="0"/>
          <w:cols w:space="708"/>
          <w:titlePg/>
          <w:docGrid w:linePitch="360"/>
        </w:sectPr>
      </w:pPr>
    </w:p>
    <w:p w14:paraId="5DF5C980" w14:textId="77777777" w:rsidR="00F2151C" w:rsidRPr="00F743D8" w:rsidRDefault="00F2151C" w:rsidP="00F2151C">
      <w:pPr>
        <w:pStyle w:val="Heading3"/>
      </w:pPr>
      <w:bookmarkStart w:id="1064" w:name="_Toc67575494"/>
      <w:bookmarkStart w:id="1065" w:name="_Toc98766467"/>
      <w:bookmarkStart w:id="1066" w:name="_Toc98856203"/>
      <w:bookmarkStart w:id="1067" w:name="_Toc98932955"/>
      <w:bookmarkStart w:id="1068" w:name="_Toc99008211"/>
      <w:bookmarkStart w:id="1069" w:name="_Toc99009573"/>
      <w:bookmarkStart w:id="1070" w:name="_Toc99010801"/>
      <w:bookmarkStart w:id="1071" w:name="_Toc99014036"/>
      <w:bookmarkStart w:id="1072" w:name="_Toc99187611"/>
      <w:bookmarkStart w:id="1073" w:name="_Toc99269733"/>
      <w:r>
        <w:t>2.1</w:t>
      </w:r>
      <w:r w:rsidRPr="00F743D8">
        <w:t xml:space="preserve"> </w:t>
      </w:r>
      <w:r w:rsidRPr="00F743D8">
        <w:tab/>
        <w:t xml:space="preserve">Budgeted expenses and performance for Outcome </w:t>
      </w:r>
      <w:r>
        <w:t>1</w:t>
      </w:r>
      <w:bookmarkEnd w:id="1064"/>
      <w:bookmarkEnd w:id="1065"/>
      <w:bookmarkEnd w:id="1066"/>
      <w:bookmarkEnd w:id="1067"/>
      <w:bookmarkEnd w:id="1068"/>
      <w:bookmarkEnd w:id="1069"/>
      <w:bookmarkEnd w:id="1070"/>
      <w:bookmarkEnd w:id="1071"/>
      <w:bookmarkEnd w:id="1072"/>
      <w:bookmarkEnd w:id="1073"/>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F2151C" w:rsidRPr="005E6F2B" w14:paraId="68BCDABE" w14:textId="77777777" w:rsidTr="004F3DE6">
        <w:tc>
          <w:tcPr>
            <w:tcW w:w="7704" w:type="dxa"/>
            <w:shd w:val="clear" w:color="auto" w:fill="E6E6E6"/>
          </w:tcPr>
          <w:p w14:paraId="39400998" w14:textId="77777777" w:rsidR="00F2151C" w:rsidRPr="005E6F2B" w:rsidRDefault="00F2151C" w:rsidP="00327149">
            <w:pPr>
              <w:pStyle w:val="TableColumnHeadingLeft"/>
            </w:pPr>
            <w:r w:rsidRPr="005E6F2B">
              <w:t xml:space="preserve">Outcome </w:t>
            </w:r>
            <w:r>
              <w:t>1</w:t>
            </w:r>
            <w:r w:rsidRPr="005E6F2B">
              <w:t xml:space="preserve">: </w:t>
            </w:r>
            <w:r>
              <w:rPr>
                <w:rFonts w:cs="Arial"/>
              </w:rPr>
              <w:t xml:space="preserve">Progress towards Closing the Gap for Torres Strait Islander and Aboriginal people living in the Torres Strait </w:t>
            </w:r>
            <w:r w:rsidR="00327149">
              <w:rPr>
                <w:rFonts w:cs="Arial"/>
              </w:rPr>
              <w:t>r</w:t>
            </w:r>
            <w:r>
              <w:rPr>
                <w:rFonts w:cs="Arial"/>
              </w:rPr>
              <w:t>egion through development planning, coordination, sustainable resource management, and preservation and promotion of Indigenous culture.</w:t>
            </w:r>
          </w:p>
        </w:tc>
      </w:tr>
    </w:tbl>
    <w:p w14:paraId="302092A7" w14:textId="77777777" w:rsidR="00F2151C" w:rsidRPr="005E6F2B" w:rsidRDefault="00F2151C" w:rsidP="00F2151C">
      <w:pPr>
        <w:pStyle w:val="NoSpacing"/>
      </w:pPr>
    </w:p>
    <w:p w14:paraId="6CA6CC29" w14:textId="77777777" w:rsidR="00F2151C" w:rsidRPr="00FE1EE1" w:rsidRDefault="00F2151C" w:rsidP="00F2151C">
      <w:pPr>
        <w:pStyle w:val="Heading5"/>
        <w:rPr>
          <w:b/>
          <w:bCs w:val="0"/>
        </w:rPr>
      </w:pPr>
      <w:r w:rsidRPr="00FE1EE1">
        <w:rPr>
          <w:b/>
          <w:bCs w:val="0"/>
        </w:rPr>
        <w:t>Budgeted expenses for Outcome 1</w:t>
      </w:r>
    </w:p>
    <w:p w14:paraId="55F32346" w14:textId="77777777" w:rsidR="00F2151C" w:rsidRDefault="00F2151C" w:rsidP="00F2151C">
      <w:r w:rsidRPr="00950281">
        <w:t xml:space="preserve">This table shows how much the </w:t>
      </w:r>
      <w:r w:rsidR="00CF701D">
        <w:t>TSRA</w:t>
      </w:r>
      <w:r w:rsidRPr="00950281">
        <w:t xml:space="preserve"> intends to spend (on an accrual basis) on achieving the outcome, broken </w:t>
      </w:r>
      <w:r w:rsidR="00327149">
        <w:t>down by program, as well as by a</w:t>
      </w:r>
      <w:r w:rsidRPr="00950281">
        <w:t>dministered an</w:t>
      </w:r>
      <w:r w:rsidR="00327149">
        <w:t>d d</w:t>
      </w:r>
      <w:r>
        <w:t>epartmental funding sources.</w:t>
      </w:r>
    </w:p>
    <w:p w14:paraId="6B9D214C" w14:textId="77777777" w:rsidR="00F2151C" w:rsidRPr="00156FA1" w:rsidRDefault="00F2151C" w:rsidP="00F2151C">
      <w:pPr>
        <w:spacing w:after="0"/>
        <w:rPr>
          <w:rFonts w:ascii="Arial" w:hAnsi="Arial" w:cs="Arial"/>
          <w:b/>
        </w:rPr>
      </w:pPr>
      <w:r w:rsidRPr="00156FA1">
        <w:rPr>
          <w:rFonts w:ascii="Arial" w:hAnsi="Arial" w:cs="Arial"/>
          <w:b/>
        </w:rPr>
        <w:t>Table 2.1.1: Budgeted expenses for Outcome 1</w:t>
      </w:r>
    </w:p>
    <w:p w14:paraId="06135DE5" w14:textId="77777777" w:rsidR="00F2151C" w:rsidRDefault="00354C39" w:rsidP="00F2151C">
      <w:pPr>
        <w:pStyle w:val="TableHeading"/>
      </w:pPr>
      <w:r w:rsidRPr="00354C39">
        <w:rPr>
          <w:noProof/>
          <w:lang w:val="en-AU" w:eastAsia="en-AU"/>
        </w:rPr>
        <w:drawing>
          <wp:inline distT="0" distB="0" distL="0" distR="0" wp14:anchorId="003A7476" wp14:editId="5D927D80">
            <wp:extent cx="4693285" cy="185801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693285" cy="1858010"/>
                    </a:xfrm>
                    <a:prstGeom prst="rect">
                      <a:avLst/>
                    </a:prstGeom>
                    <a:noFill/>
                    <a:ln>
                      <a:noFill/>
                    </a:ln>
                  </pic:spPr>
                </pic:pic>
              </a:graphicData>
            </a:graphic>
          </wp:inline>
        </w:drawing>
      </w:r>
    </w:p>
    <w:p w14:paraId="3005C248" w14:textId="77777777" w:rsidR="00F43F86" w:rsidRPr="00F43F86" w:rsidRDefault="00F43F86" w:rsidP="00F43F86">
      <w:pPr>
        <w:spacing w:after="0" w:line="240" w:lineRule="auto"/>
        <w:rPr>
          <w:rFonts w:ascii="Arial" w:hAnsi="Arial" w:cs="Arial"/>
          <w:sz w:val="16"/>
          <w:szCs w:val="16"/>
        </w:rPr>
      </w:pPr>
      <w:r w:rsidRPr="00F43F86">
        <w:rPr>
          <w:rFonts w:ascii="Arial" w:hAnsi="Arial" w:cs="Arial"/>
          <w:sz w:val="16"/>
          <w:szCs w:val="16"/>
        </w:rPr>
        <w:t>Note: Departmental appropriation splits and totals are indicative estimates and may change in the course of the budget year as government priorities change.</w:t>
      </w:r>
    </w:p>
    <w:p w14:paraId="67FAFE73" w14:textId="77777777" w:rsidR="00F2151C" w:rsidRDefault="00F2151C" w:rsidP="00F2151C"/>
    <w:p w14:paraId="230067C2" w14:textId="77777777" w:rsidR="00F2151C" w:rsidRPr="00156FA1" w:rsidRDefault="00F2151C" w:rsidP="00F2151C">
      <w:pPr>
        <w:pStyle w:val="TableHeading"/>
        <w:rPr>
          <w:lang w:val="en-AU"/>
        </w:rPr>
      </w:pPr>
      <w:r>
        <w:br w:type="page"/>
      </w:r>
    </w:p>
    <w:p w14:paraId="6199391E" w14:textId="77777777" w:rsidR="00F2151C" w:rsidRPr="00E419D2" w:rsidRDefault="00F2151C" w:rsidP="00F2151C">
      <w:pPr>
        <w:pStyle w:val="TableHeading"/>
        <w:rPr>
          <w:lang w:val="en-AU"/>
        </w:rPr>
      </w:pPr>
      <w:r w:rsidRPr="00F71634">
        <w:t>Table 2.</w:t>
      </w:r>
      <w:r>
        <w:rPr>
          <w:lang w:val="en-AU"/>
        </w:rPr>
        <w:t>1</w:t>
      </w:r>
      <w:r w:rsidRPr="00F71634">
        <w:t>.</w:t>
      </w:r>
      <w:r>
        <w:rPr>
          <w:lang w:val="en-AU"/>
        </w:rPr>
        <w:t>2</w:t>
      </w:r>
      <w:r w:rsidRPr="00F71634">
        <w:t xml:space="preserve">: Performance criteria for Outcome </w:t>
      </w:r>
      <w:r>
        <w:rPr>
          <w:lang w:val="en-AU"/>
        </w:rPr>
        <w:t>1</w:t>
      </w:r>
    </w:p>
    <w:p w14:paraId="4E312437" w14:textId="77777777" w:rsidR="00F2151C" w:rsidRPr="00B166C6" w:rsidRDefault="00F2151C" w:rsidP="00F2151C">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rsidR="008D3E62">
        <w:t>2022-23</w:t>
      </w:r>
      <w:r w:rsidRPr="00B166C6">
        <w:t xml:space="preserve"> Budget measures have created new programs or materially changed existing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F2151C" w:rsidRPr="00F71634" w14:paraId="1D03F678" w14:textId="77777777" w:rsidTr="004F3DE6">
        <w:trPr>
          <w:tblHeader/>
        </w:trPr>
        <w:tc>
          <w:tcPr>
            <w:tcW w:w="7700" w:type="dxa"/>
            <w:gridSpan w:val="3"/>
            <w:shd w:val="clear" w:color="auto" w:fill="F2F2F2" w:themeFill="background1" w:themeFillShade="F2"/>
          </w:tcPr>
          <w:p w14:paraId="4E473689" w14:textId="77777777" w:rsidR="00F2151C" w:rsidRPr="006906E4" w:rsidRDefault="00F2151C" w:rsidP="004F3DE6">
            <w:pPr>
              <w:pStyle w:val="TableColumnHeadingLeft"/>
            </w:pPr>
            <w:r w:rsidRPr="006906E4">
              <w:t xml:space="preserve">Outcome </w:t>
            </w:r>
            <w:r>
              <w:t>1</w:t>
            </w:r>
            <w:r w:rsidRPr="006906E4">
              <w:t xml:space="preserve"> – </w:t>
            </w:r>
            <w:r>
              <w:rPr>
                <w:rFonts w:cs="Arial"/>
              </w:rPr>
              <w:t>Progress towards Closing the Gap for Torres Strait Islander and Aboriginal peop</w:t>
            </w:r>
            <w:r w:rsidR="00327149">
              <w:rPr>
                <w:rFonts w:cs="Arial"/>
              </w:rPr>
              <w:t>le living in the Torres Strait r</w:t>
            </w:r>
            <w:r>
              <w:rPr>
                <w:rFonts w:cs="Arial"/>
              </w:rPr>
              <w:t>egion through development planning, coordination, sustainable resource management, and preservation and promotion of Indigenous culture.</w:t>
            </w:r>
          </w:p>
        </w:tc>
      </w:tr>
      <w:tr w:rsidR="00F2151C" w:rsidRPr="00F71634" w14:paraId="4583F3B3" w14:textId="77777777" w:rsidTr="00F43F86">
        <w:trPr>
          <w:tblHeader/>
        </w:trPr>
        <w:tc>
          <w:tcPr>
            <w:tcW w:w="7700" w:type="dxa"/>
            <w:gridSpan w:val="3"/>
            <w:tcBorders>
              <w:bottom w:val="single" w:sz="4" w:space="0" w:color="auto"/>
            </w:tcBorders>
            <w:shd w:val="clear" w:color="auto" w:fill="F2F2F2" w:themeFill="background1" w:themeFillShade="F2"/>
          </w:tcPr>
          <w:p w14:paraId="3C13251F" w14:textId="77777777" w:rsidR="00F2151C" w:rsidRPr="006906E4" w:rsidRDefault="00F2151C" w:rsidP="002D1A66">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Pr>
                <w:rFonts w:ascii="Arial" w:hAnsi="Arial" w:cs="Arial"/>
                <w:sz w:val="16"/>
                <w:szCs w:val="16"/>
              </w:rPr>
              <w:t xml:space="preserve">The objective of this program is currently delivered through </w:t>
            </w:r>
            <w:r w:rsidR="002D1A66">
              <w:rPr>
                <w:rFonts w:ascii="Arial" w:hAnsi="Arial" w:cs="Arial"/>
                <w:sz w:val="16"/>
                <w:szCs w:val="16"/>
              </w:rPr>
              <w:t>several</w:t>
            </w:r>
            <w:r>
              <w:rPr>
                <w:rFonts w:ascii="Arial" w:hAnsi="Arial" w:cs="Arial"/>
                <w:sz w:val="16"/>
                <w:szCs w:val="16"/>
              </w:rPr>
              <w:t xml:space="preserve"> activities, which are derived from the TSRA Torres Strait Development Plan 2019-22.</w:t>
            </w:r>
          </w:p>
        </w:tc>
      </w:tr>
      <w:tr w:rsidR="00F2151C" w:rsidRPr="00F71634" w14:paraId="46020E6F" w14:textId="77777777" w:rsidTr="00F43F86">
        <w:tc>
          <w:tcPr>
            <w:tcW w:w="1693" w:type="dxa"/>
            <w:tcBorders>
              <w:bottom w:val="single" w:sz="4" w:space="0" w:color="auto"/>
            </w:tcBorders>
          </w:tcPr>
          <w:p w14:paraId="7228E0E8" w14:textId="77777777" w:rsidR="00F2151C" w:rsidRPr="006906E4" w:rsidRDefault="00F2151C" w:rsidP="004F3DE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07" w:type="dxa"/>
            <w:gridSpan w:val="2"/>
            <w:tcBorders>
              <w:bottom w:val="single" w:sz="4" w:space="0" w:color="auto"/>
            </w:tcBorders>
          </w:tcPr>
          <w:p w14:paraId="25491E0B"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Increasing economic development by:</w:t>
            </w:r>
          </w:p>
          <w:p w14:paraId="011245EB"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 xml:space="preserve">improving commercial capability of Torres Strait Islander and </w:t>
            </w:r>
            <w:r w:rsidR="008D3E62">
              <w:rPr>
                <w:rFonts w:ascii="Arial" w:hAnsi="Arial" w:cs="Arial"/>
                <w:sz w:val="16"/>
                <w:szCs w:val="16"/>
              </w:rPr>
              <w:t>Aboriginal people in the region</w:t>
            </w:r>
          </w:p>
          <w:p w14:paraId="35110B82"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providing access to capital for</w:t>
            </w:r>
            <w:r w:rsidR="008D3E62">
              <w:rPr>
                <w:rFonts w:ascii="Arial" w:hAnsi="Arial" w:cs="Arial"/>
                <w:sz w:val="16"/>
                <w:szCs w:val="16"/>
              </w:rPr>
              <w:t xml:space="preserve"> commercially viable businesses</w:t>
            </w:r>
          </w:p>
          <w:p w14:paraId="69F34A79"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the use of fisheries by:</w:t>
            </w:r>
          </w:p>
          <w:p w14:paraId="357CFDE7"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Implementing commercially and environmentally sustainable strategies to increase Torres Strait Islander and Aboriginal ownershi</w:t>
            </w:r>
            <w:r w:rsidR="008D3E62">
              <w:rPr>
                <w:rFonts w:ascii="Arial" w:hAnsi="Arial" w:cs="Arial"/>
                <w:sz w:val="16"/>
                <w:szCs w:val="16"/>
              </w:rPr>
              <w:t>p of the local fishing industry</w:t>
            </w:r>
          </w:p>
          <w:p w14:paraId="17256555"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Maintaining culture, art and heritage by:</w:t>
            </w:r>
          </w:p>
          <w:p w14:paraId="10AD1C43"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supporting an active and sustainable arts a</w:t>
            </w:r>
            <w:r w:rsidR="008D3E62">
              <w:rPr>
                <w:rFonts w:ascii="Arial" w:hAnsi="Arial" w:cs="Arial"/>
                <w:sz w:val="16"/>
                <w:szCs w:val="16"/>
              </w:rPr>
              <w:t>nd craft industry in the region</w:t>
            </w:r>
          </w:p>
          <w:p w14:paraId="5C21FA86"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integrating cultural values and protocols into service p</w:t>
            </w:r>
            <w:r w:rsidR="008D3E62">
              <w:rPr>
                <w:rFonts w:ascii="Arial" w:hAnsi="Arial" w:cs="Arial"/>
                <w:sz w:val="16"/>
                <w:szCs w:val="16"/>
              </w:rPr>
              <w:t>lanning and management practice</w:t>
            </w:r>
          </w:p>
          <w:p w14:paraId="1E94CBC3"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 xml:space="preserve">preserving and promoting cultural heritage and histories of the region. </w:t>
            </w:r>
          </w:p>
          <w:p w14:paraId="4D59AC97"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environmental management by:</w:t>
            </w:r>
          </w:p>
          <w:p w14:paraId="043EF1E7"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strengthening sustainable use, protection and management of</w:t>
            </w:r>
            <w:r w:rsidR="008D3E62">
              <w:rPr>
                <w:rFonts w:ascii="Arial" w:hAnsi="Arial" w:cs="Arial"/>
                <w:sz w:val="16"/>
                <w:szCs w:val="16"/>
              </w:rPr>
              <w:t xml:space="preserve"> natural and cultural resources</w:t>
            </w:r>
          </w:p>
          <w:p w14:paraId="7DD2E49C"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facilitating community adaptation to climate change im</w:t>
            </w:r>
            <w:r w:rsidR="008D3E62">
              <w:rPr>
                <w:rFonts w:ascii="Arial" w:hAnsi="Arial" w:cs="Arial"/>
                <w:sz w:val="16"/>
                <w:szCs w:val="16"/>
              </w:rPr>
              <w:t>pacts, including sea level rise</w:t>
            </w:r>
          </w:p>
          <w:p w14:paraId="1E992FA2"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supporting com</w:t>
            </w:r>
            <w:r w:rsidR="008D3E62">
              <w:rPr>
                <w:rFonts w:ascii="Arial" w:hAnsi="Arial" w:cs="Arial"/>
                <w:sz w:val="16"/>
                <w:szCs w:val="16"/>
              </w:rPr>
              <w:t>munity sustainable horticulture</w:t>
            </w:r>
          </w:p>
          <w:p w14:paraId="75C5102C"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Enhancing governance and leadership by:</w:t>
            </w:r>
          </w:p>
          <w:p w14:paraId="240A5C46"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tabs>
                <w:tab w:val="left" w:pos="245"/>
              </w:tabs>
              <w:spacing w:before="60" w:line="240" w:lineRule="auto"/>
              <w:jc w:val="left"/>
              <w:rPr>
                <w:rFonts w:ascii="Arial" w:hAnsi="Arial" w:cs="Arial"/>
                <w:sz w:val="16"/>
                <w:szCs w:val="16"/>
              </w:rPr>
            </w:pPr>
            <w:r>
              <w:rPr>
                <w:rFonts w:ascii="Arial" w:hAnsi="Arial" w:cs="Arial"/>
                <w:sz w:val="16"/>
                <w:szCs w:val="16"/>
              </w:rPr>
              <w:t>•</w:t>
            </w:r>
            <w:r>
              <w:rPr>
                <w:rFonts w:ascii="Arial" w:hAnsi="Arial" w:cs="Arial"/>
                <w:sz w:val="16"/>
                <w:szCs w:val="16"/>
              </w:rPr>
              <w:tab/>
              <w:t>strengthening Torres Strait Islander and Aboriginal organisational leadership an</w:t>
            </w:r>
            <w:r w:rsidR="008D3E62">
              <w:rPr>
                <w:rFonts w:ascii="Arial" w:hAnsi="Arial" w:cs="Arial"/>
                <w:sz w:val="16"/>
                <w:szCs w:val="16"/>
              </w:rPr>
              <w:t>d governance</w:t>
            </w:r>
          </w:p>
          <w:p w14:paraId="3C82BFAC"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Community health and safety by:</w:t>
            </w:r>
          </w:p>
          <w:p w14:paraId="7F0005F1"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 xml:space="preserve">investing in whole-of-government infrastructure to support healthy homes </w:t>
            </w:r>
            <w:r w:rsidR="008D3E62">
              <w:rPr>
                <w:rFonts w:ascii="Arial" w:hAnsi="Arial" w:cs="Arial"/>
                <w:sz w:val="16"/>
                <w:szCs w:val="16"/>
              </w:rPr>
              <w:t>and healthy living environments</w:t>
            </w:r>
          </w:p>
          <w:p w14:paraId="3EF0F44C"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implementing policies to support community managed delivery of primary and public health care services based o</w:t>
            </w:r>
            <w:r w:rsidR="008D3E62">
              <w:rPr>
                <w:rFonts w:ascii="Arial" w:hAnsi="Arial" w:cs="Arial"/>
                <w:sz w:val="16"/>
                <w:szCs w:val="16"/>
              </w:rPr>
              <w:t>n regional needs and priorities</w:t>
            </w:r>
          </w:p>
          <w:p w14:paraId="3CD8EA4A"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improving access to aff</w:t>
            </w:r>
            <w:r w:rsidR="008D3E62">
              <w:rPr>
                <w:rFonts w:ascii="Arial" w:hAnsi="Arial" w:cs="Arial"/>
                <w:sz w:val="16"/>
                <w:szCs w:val="16"/>
              </w:rPr>
              <w:t>ordable fresh and healthy foods</w:t>
            </w:r>
          </w:p>
          <w:p w14:paraId="68A0FB30"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ensuring affordable home ownership</w:t>
            </w:r>
            <w:r w:rsidR="008D3E62">
              <w:rPr>
                <w:rFonts w:ascii="Arial" w:hAnsi="Arial" w:cs="Arial"/>
                <w:sz w:val="16"/>
                <w:szCs w:val="16"/>
              </w:rPr>
              <w:t xml:space="preserve"> is available across the region</w:t>
            </w:r>
          </w:p>
          <w:p w14:paraId="02D14645"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investing in effectiv</w:t>
            </w:r>
            <w:r w:rsidR="008D3E62">
              <w:rPr>
                <w:rFonts w:ascii="Arial" w:hAnsi="Arial" w:cs="Arial"/>
                <w:sz w:val="16"/>
                <w:szCs w:val="16"/>
              </w:rPr>
              <w:t>e community and social services</w:t>
            </w:r>
          </w:p>
          <w:p w14:paraId="318172C6" w14:textId="77777777" w:rsidR="00F2151C"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supporting law enforcemen</w:t>
            </w:r>
            <w:r w:rsidR="008D3E62">
              <w:rPr>
                <w:rFonts w:ascii="Arial" w:hAnsi="Arial" w:cs="Arial"/>
                <w:sz w:val="16"/>
                <w:szCs w:val="16"/>
              </w:rPr>
              <w:t>t and community safety programs</w:t>
            </w:r>
          </w:p>
          <w:p w14:paraId="4E1CE821" w14:textId="77777777" w:rsidR="00F2151C" w:rsidRPr="00E419D2" w:rsidRDefault="00F2151C"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i/>
                <w:color w:val="FF0000"/>
                <w:sz w:val="16"/>
                <w:szCs w:val="16"/>
                <w:lang w:val="en-AU"/>
              </w:rPr>
            </w:pPr>
            <w:r>
              <w:rPr>
                <w:rFonts w:ascii="Arial" w:hAnsi="Arial" w:cs="Arial"/>
                <w:sz w:val="16"/>
                <w:szCs w:val="16"/>
              </w:rPr>
              <w:t>•</w:t>
            </w:r>
            <w:r>
              <w:rPr>
                <w:rFonts w:ascii="Arial" w:hAnsi="Arial" w:cs="Arial"/>
                <w:sz w:val="16"/>
                <w:szCs w:val="16"/>
              </w:rPr>
              <w:tab/>
              <w:t>ensuring communities have access to appro</w:t>
            </w:r>
            <w:r w:rsidR="008D3E62">
              <w:rPr>
                <w:rFonts w:ascii="Arial" w:hAnsi="Arial" w:cs="Arial"/>
                <w:sz w:val="16"/>
                <w:szCs w:val="16"/>
              </w:rPr>
              <w:t>priate transport infrastructure</w:t>
            </w:r>
          </w:p>
        </w:tc>
      </w:tr>
      <w:tr w:rsidR="00F43F86" w:rsidRPr="00F71634" w14:paraId="7DD19754" w14:textId="77777777" w:rsidTr="00F43F86">
        <w:tc>
          <w:tcPr>
            <w:tcW w:w="1693" w:type="dxa"/>
            <w:tcBorders>
              <w:top w:val="single" w:sz="4" w:space="0" w:color="auto"/>
              <w:left w:val="nil"/>
              <w:bottom w:val="nil"/>
              <w:right w:val="nil"/>
            </w:tcBorders>
          </w:tcPr>
          <w:p w14:paraId="57F086FF" w14:textId="77777777" w:rsidR="00F43F86" w:rsidRDefault="00F43F86" w:rsidP="004F3DE6">
            <w:pPr>
              <w:tabs>
                <w:tab w:val="left" w:pos="709"/>
              </w:tabs>
              <w:spacing w:before="60" w:after="60" w:line="240" w:lineRule="auto"/>
              <w:jc w:val="left"/>
              <w:rPr>
                <w:rFonts w:ascii="Arial" w:hAnsi="Arial" w:cs="Arial"/>
                <w:b/>
                <w:sz w:val="16"/>
                <w:szCs w:val="16"/>
              </w:rPr>
            </w:pPr>
          </w:p>
          <w:p w14:paraId="4177DA33" w14:textId="77777777" w:rsidR="00F43F86" w:rsidRDefault="00F43F86" w:rsidP="004F3DE6">
            <w:pPr>
              <w:tabs>
                <w:tab w:val="left" w:pos="709"/>
              </w:tabs>
              <w:spacing w:before="60" w:after="60" w:line="240" w:lineRule="auto"/>
              <w:jc w:val="left"/>
              <w:rPr>
                <w:rFonts w:ascii="Arial" w:hAnsi="Arial" w:cs="Arial"/>
                <w:b/>
                <w:sz w:val="16"/>
                <w:szCs w:val="16"/>
              </w:rPr>
            </w:pPr>
          </w:p>
          <w:p w14:paraId="2DFAB025" w14:textId="77777777" w:rsidR="00F43F86" w:rsidRDefault="00F43F86" w:rsidP="004F3DE6">
            <w:pPr>
              <w:tabs>
                <w:tab w:val="left" w:pos="709"/>
              </w:tabs>
              <w:spacing w:before="60" w:after="60" w:line="240" w:lineRule="auto"/>
              <w:jc w:val="left"/>
              <w:rPr>
                <w:rFonts w:ascii="Arial" w:hAnsi="Arial" w:cs="Arial"/>
                <w:b/>
                <w:sz w:val="16"/>
                <w:szCs w:val="16"/>
              </w:rPr>
            </w:pPr>
          </w:p>
          <w:p w14:paraId="05443836" w14:textId="77777777" w:rsidR="00F43F86" w:rsidRDefault="00F43F86" w:rsidP="004F3DE6">
            <w:pPr>
              <w:tabs>
                <w:tab w:val="left" w:pos="709"/>
              </w:tabs>
              <w:spacing w:before="60" w:after="60" w:line="240" w:lineRule="auto"/>
              <w:jc w:val="left"/>
              <w:rPr>
                <w:rFonts w:ascii="Arial" w:hAnsi="Arial" w:cs="Arial"/>
                <w:b/>
                <w:sz w:val="16"/>
                <w:szCs w:val="16"/>
              </w:rPr>
            </w:pPr>
          </w:p>
          <w:p w14:paraId="252D2F02" w14:textId="77777777" w:rsidR="00F43F86" w:rsidRPr="006906E4" w:rsidRDefault="00F43F86" w:rsidP="004F3DE6">
            <w:pPr>
              <w:tabs>
                <w:tab w:val="left" w:pos="709"/>
              </w:tabs>
              <w:spacing w:before="60" w:after="60" w:line="240" w:lineRule="auto"/>
              <w:jc w:val="left"/>
              <w:rPr>
                <w:rFonts w:ascii="Arial" w:hAnsi="Arial" w:cs="Arial"/>
                <w:b/>
                <w:sz w:val="16"/>
                <w:szCs w:val="16"/>
              </w:rPr>
            </w:pPr>
          </w:p>
        </w:tc>
        <w:tc>
          <w:tcPr>
            <w:tcW w:w="6007" w:type="dxa"/>
            <w:gridSpan w:val="2"/>
            <w:tcBorders>
              <w:top w:val="single" w:sz="4" w:space="0" w:color="auto"/>
              <w:left w:val="nil"/>
              <w:bottom w:val="nil"/>
              <w:right w:val="nil"/>
            </w:tcBorders>
          </w:tcPr>
          <w:p w14:paraId="51712CD4" w14:textId="77777777" w:rsidR="00F43F86" w:rsidRDefault="00F43F86" w:rsidP="004F3DE6">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p>
        </w:tc>
      </w:tr>
      <w:tr w:rsidR="00F2151C" w:rsidRPr="00F71634" w14:paraId="70326109" w14:textId="77777777" w:rsidTr="00F43F86">
        <w:tc>
          <w:tcPr>
            <w:tcW w:w="7700" w:type="dxa"/>
            <w:gridSpan w:val="3"/>
            <w:tcBorders>
              <w:top w:val="nil"/>
              <w:bottom w:val="double" w:sz="4" w:space="0" w:color="auto"/>
            </w:tcBorders>
          </w:tcPr>
          <w:p w14:paraId="6CA77B4E" w14:textId="77777777" w:rsidR="00F2151C" w:rsidRPr="006906E4" w:rsidRDefault="00F2151C" w:rsidP="004F3DE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F2151C" w:rsidRPr="00F71634" w14:paraId="1A4861D6" w14:textId="77777777" w:rsidTr="00F43F86">
        <w:tc>
          <w:tcPr>
            <w:tcW w:w="1693" w:type="dxa"/>
            <w:tcBorders>
              <w:top w:val="double" w:sz="4" w:space="0" w:color="auto"/>
              <w:bottom w:val="single" w:sz="4" w:space="0" w:color="auto"/>
              <w:right w:val="single" w:sz="4" w:space="0" w:color="auto"/>
            </w:tcBorders>
          </w:tcPr>
          <w:p w14:paraId="57C1804B" w14:textId="77777777" w:rsidR="00F2151C" w:rsidRPr="006906E4" w:rsidRDefault="00F2151C" w:rsidP="004F3DE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356397FC" w14:textId="77777777" w:rsidR="00F2151C" w:rsidRPr="006906E4" w:rsidRDefault="00F2151C" w:rsidP="004F3DE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57" w:type="dxa"/>
            <w:tcBorders>
              <w:top w:val="double" w:sz="4" w:space="0" w:color="auto"/>
              <w:left w:val="single" w:sz="4" w:space="0" w:color="auto"/>
              <w:bottom w:val="single" w:sz="4" w:space="0" w:color="auto"/>
            </w:tcBorders>
          </w:tcPr>
          <w:p w14:paraId="48CA771D" w14:textId="77777777" w:rsidR="00F2151C" w:rsidRPr="006906E4" w:rsidRDefault="008D3E62" w:rsidP="008D3E62">
            <w:pPr>
              <w:tabs>
                <w:tab w:val="left" w:pos="709"/>
              </w:tabs>
              <w:spacing w:before="60" w:after="60" w:line="240" w:lineRule="auto"/>
              <w:jc w:val="left"/>
              <w:rPr>
                <w:rFonts w:ascii="Arial" w:hAnsi="Arial" w:cs="Arial"/>
                <w:b/>
                <w:sz w:val="16"/>
                <w:szCs w:val="16"/>
              </w:rPr>
            </w:pPr>
            <w:r>
              <w:rPr>
                <w:rFonts w:ascii="Arial" w:hAnsi="Arial" w:cs="Arial"/>
                <w:b/>
                <w:sz w:val="16"/>
                <w:szCs w:val="16"/>
              </w:rPr>
              <w:t>Actual a</w:t>
            </w:r>
            <w:r w:rsidR="00F2151C" w:rsidRPr="00AB6AD4">
              <w:rPr>
                <w:rFonts w:ascii="Arial" w:hAnsi="Arial" w:cs="Arial"/>
                <w:b/>
                <w:sz w:val="16"/>
                <w:szCs w:val="16"/>
              </w:rPr>
              <w:t>chievement/</w:t>
            </w:r>
            <w:r>
              <w:rPr>
                <w:rFonts w:ascii="Arial" w:hAnsi="Arial" w:cs="Arial"/>
                <w:b/>
                <w:sz w:val="16"/>
                <w:szCs w:val="16"/>
              </w:rPr>
              <w:t>t</w:t>
            </w:r>
            <w:r w:rsidR="00F2151C" w:rsidRPr="00AB6AD4">
              <w:rPr>
                <w:rFonts w:ascii="Arial" w:hAnsi="Arial" w:cs="Arial"/>
                <w:b/>
                <w:sz w:val="16"/>
                <w:szCs w:val="16"/>
              </w:rPr>
              <w:t>argets</w:t>
            </w:r>
          </w:p>
        </w:tc>
      </w:tr>
      <w:tr w:rsidR="00F2151C" w:rsidRPr="00F71634" w14:paraId="4B90AD85" w14:textId="77777777" w:rsidTr="00F43F86">
        <w:trPr>
          <w:trHeight w:val="60"/>
        </w:trPr>
        <w:tc>
          <w:tcPr>
            <w:tcW w:w="1693" w:type="dxa"/>
            <w:tcBorders>
              <w:top w:val="single" w:sz="4" w:space="0" w:color="auto"/>
              <w:bottom w:val="single" w:sz="4" w:space="0" w:color="auto"/>
              <w:right w:val="single" w:sz="4" w:space="0" w:color="auto"/>
            </w:tcBorders>
          </w:tcPr>
          <w:p w14:paraId="65DE2176" w14:textId="77777777" w:rsidR="00F2151C" w:rsidRPr="006906E4" w:rsidRDefault="00F2151C" w:rsidP="004F3DE6">
            <w:pPr>
              <w:tabs>
                <w:tab w:val="left" w:pos="709"/>
              </w:tabs>
              <w:spacing w:before="60" w:after="60" w:line="240" w:lineRule="auto"/>
              <w:jc w:val="left"/>
              <w:rPr>
                <w:rFonts w:ascii="Arial" w:hAnsi="Arial" w:cs="Arial"/>
                <w:sz w:val="16"/>
                <w:szCs w:val="16"/>
              </w:rPr>
            </w:pPr>
            <w:r w:rsidRPr="36D441FF">
              <w:rPr>
                <w:rFonts w:ascii="Arial" w:hAnsi="Arial" w:cs="Arial"/>
                <w:sz w:val="16"/>
                <w:szCs w:val="16"/>
              </w:rPr>
              <w:t>2022-23</w:t>
            </w:r>
          </w:p>
        </w:tc>
        <w:tc>
          <w:tcPr>
            <w:tcW w:w="3450" w:type="dxa"/>
            <w:tcBorders>
              <w:top w:val="single" w:sz="4" w:space="0" w:color="auto"/>
              <w:left w:val="single" w:sz="4" w:space="0" w:color="auto"/>
              <w:bottom w:val="single" w:sz="4" w:space="0" w:color="auto"/>
              <w:right w:val="single" w:sz="4" w:space="0" w:color="auto"/>
            </w:tcBorders>
          </w:tcPr>
          <w:p w14:paraId="15B69A17"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Increasing the number of, or economic base of existing Torres Strait Islander and aboriginal businesses through the provision of Business Growth and Mini Business Growth packages</w:t>
            </w:r>
          </w:p>
          <w:p w14:paraId="19421F40"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Improving business skills of potential and existing business o</w:t>
            </w:r>
            <w:r w:rsidR="008D3E62">
              <w:rPr>
                <w:rFonts w:ascii="Arial" w:hAnsi="Arial" w:cs="Arial"/>
                <w:sz w:val="16"/>
                <w:szCs w:val="16"/>
              </w:rPr>
              <w:t>wners through the provision of b</w:t>
            </w:r>
            <w:r>
              <w:rPr>
                <w:rFonts w:ascii="Arial" w:hAnsi="Arial" w:cs="Arial"/>
                <w:sz w:val="16"/>
                <w:szCs w:val="16"/>
              </w:rPr>
              <w:t xml:space="preserve">usiness </w:t>
            </w:r>
            <w:r w:rsidR="008D3E62">
              <w:rPr>
                <w:rFonts w:ascii="Arial" w:hAnsi="Arial" w:cs="Arial"/>
                <w:sz w:val="16"/>
                <w:szCs w:val="16"/>
              </w:rPr>
              <w:t>workshops and b</w:t>
            </w:r>
            <w:r>
              <w:rPr>
                <w:rFonts w:ascii="Arial" w:hAnsi="Arial" w:cs="Arial"/>
                <w:sz w:val="16"/>
                <w:szCs w:val="16"/>
              </w:rPr>
              <w:t>u</w:t>
            </w:r>
            <w:r w:rsidR="008D3E62">
              <w:rPr>
                <w:rFonts w:ascii="Arial" w:hAnsi="Arial" w:cs="Arial"/>
                <w:sz w:val="16"/>
                <w:szCs w:val="16"/>
              </w:rPr>
              <w:t>siness m</w:t>
            </w:r>
            <w:r>
              <w:rPr>
                <w:rFonts w:ascii="Arial" w:hAnsi="Arial" w:cs="Arial"/>
                <w:sz w:val="16"/>
                <w:szCs w:val="16"/>
              </w:rPr>
              <w:t>entoring</w:t>
            </w:r>
          </w:p>
          <w:p w14:paraId="18B5AB40" w14:textId="77777777" w:rsidR="00F2151C" w:rsidRDefault="008D3E62"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Increase in the percentage of total allowable catch of finfish/tropical rock l</w:t>
            </w:r>
            <w:r w:rsidR="00F2151C">
              <w:rPr>
                <w:rFonts w:ascii="Arial" w:hAnsi="Arial" w:cs="Arial"/>
                <w:sz w:val="16"/>
                <w:szCs w:val="16"/>
              </w:rPr>
              <w:t>obster caught by Torres Strait Islander and Aboriginal people in the region when compared to the previous period</w:t>
            </w:r>
          </w:p>
          <w:p w14:paraId="0C77774B"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Work towards and</w:t>
            </w:r>
            <w:r w:rsidR="008D3E62">
              <w:rPr>
                <w:rFonts w:ascii="Arial" w:hAnsi="Arial" w:cs="Arial"/>
                <w:sz w:val="16"/>
                <w:szCs w:val="16"/>
              </w:rPr>
              <w:t>/or maintain 100% ownership of finfish and tropical rock l</w:t>
            </w:r>
            <w:r>
              <w:rPr>
                <w:rFonts w:ascii="Arial" w:hAnsi="Arial" w:cs="Arial"/>
                <w:sz w:val="16"/>
                <w:szCs w:val="16"/>
              </w:rPr>
              <w:t>obster fisheries</w:t>
            </w:r>
          </w:p>
          <w:p w14:paraId="5E281ED5"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Completion of the transition, ownership and management of fisheries assets to a locally owned and operated business structure</w:t>
            </w:r>
          </w:p>
          <w:p w14:paraId="4433C01F" w14:textId="77777777" w:rsidR="00F2151C" w:rsidRPr="00410668"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Increase in the number of artists and growth of cultural practitioners in the industry</w:t>
            </w:r>
          </w:p>
          <w:p w14:paraId="105E50F0"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sidRPr="36D441FF">
              <w:rPr>
                <w:rFonts w:ascii="Arial" w:hAnsi="Arial" w:cs="Arial"/>
                <w:sz w:val="16"/>
                <w:szCs w:val="16"/>
              </w:rPr>
              <w:t>Maintaining</w:t>
            </w:r>
            <w:r>
              <w:rPr>
                <w:rFonts w:ascii="Arial" w:hAnsi="Arial" w:cs="Arial"/>
                <w:sz w:val="16"/>
                <w:szCs w:val="16"/>
              </w:rPr>
              <w:t xml:space="preserve"> current community based management plans for each community and achieving annual service targets in each of those plans</w:t>
            </w:r>
          </w:p>
          <w:p w14:paraId="0D53BB57"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Increase the level of engagement of elected Torres Strait Islander and Aboriginal leaders in policy</w:t>
            </w:r>
            <w:r>
              <w:rPr>
                <w:rFonts w:ascii="Arial" w:hAnsi="Arial" w:cs="Arial"/>
              </w:rPr>
              <w:t xml:space="preserve"> </w:t>
            </w:r>
            <w:r>
              <w:rPr>
                <w:rFonts w:ascii="Arial" w:hAnsi="Arial" w:cs="Arial"/>
                <w:sz w:val="16"/>
                <w:szCs w:val="16"/>
              </w:rPr>
              <w:t>development and decision-making</w:t>
            </w:r>
          </w:p>
          <w:p w14:paraId="6046BC44"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sidRPr="6163816F">
              <w:rPr>
                <w:rFonts w:ascii="Arial" w:hAnsi="Arial" w:cs="Arial"/>
                <w:sz w:val="16"/>
                <w:szCs w:val="16"/>
              </w:rPr>
              <w:t>Improved monitoring of the effectiveness of health</w:t>
            </w:r>
            <w:r>
              <w:rPr>
                <w:rFonts w:ascii="Arial" w:hAnsi="Arial" w:cs="Arial"/>
                <w:sz w:val="16"/>
                <w:szCs w:val="16"/>
              </w:rPr>
              <w:t xml:space="preserve"> service delivery in the region</w:t>
            </w:r>
          </w:p>
          <w:p w14:paraId="14B1575F"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Implementation of the Regional Infrastructure Advisory Committee’s action plan</w:t>
            </w:r>
          </w:p>
          <w:p w14:paraId="727182BE" w14:textId="77777777" w:rsidR="00F2151C"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Provide advocacy and support services for the delivery of identified infrastructure projects</w:t>
            </w:r>
          </w:p>
          <w:p w14:paraId="07B1ABD0" w14:textId="77777777" w:rsidR="00F2151C" w:rsidRPr="00410668" w:rsidRDefault="00F2151C" w:rsidP="008A2254">
            <w:pPr>
              <w:pStyle w:val="BulletBox"/>
              <w:keepLines w:val="0"/>
              <w:numPr>
                <w:ilvl w:val="0"/>
                <w:numId w:val="19"/>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eastAsia="Arial" w:hAnsi="Arial" w:cs="Arial"/>
                <w:sz w:val="16"/>
                <w:szCs w:val="16"/>
              </w:rPr>
            </w:pPr>
            <w:r>
              <w:rPr>
                <w:rFonts w:ascii="Arial" w:hAnsi="Arial" w:cs="Arial"/>
                <w:sz w:val="16"/>
                <w:szCs w:val="16"/>
              </w:rPr>
              <w:t xml:space="preserve">Improvement in the quality of and access to social and legal services </w:t>
            </w:r>
          </w:p>
        </w:tc>
        <w:tc>
          <w:tcPr>
            <w:tcW w:w="2557" w:type="dxa"/>
            <w:tcBorders>
              <w:top w:val="single" w:sz="4" w:space="0" w:color="auto"/>
              <w:left w:val="single" w:sz="4" w:space="0" w:color="auto"/>
              <w:bottom w:val="single" w:sz="4" w:space="0" w:color="auto"/>
            </w:tcBorders>
          </w:tcPr>
          <w:p w14:paraId="4618F68C" w14:textId="77777777" w:rsidR="00F2151C" w:rsidRDefault="008D3E62" w:rsidP="004F3DE6">
            <w:pPr>
              <w:tabs>
                <w:tab w:val="left" w:pos="709"/>
              </w:tabs>
              <w:spacing w:before="60" w:after="60" w:line="240" w:lineRule="auto"/>
              <w:jc w:val="left"/>
              <w:rPr>
                <w:rFonts w:ascii="Arial" w:hAnsi="Arial" w:cs="Arial"/>
                <w:sz w:val="16"/>
                <w:szCs w:val="16"/>
              </w:rPr>
            </w:pPr>
            <w:r>
              <w:rPr>
                <w:rFonts w:ascii="Arial" w:hAnsi="Arial" w:cs="Arial"/>
                <w:sz w:val="16"/>
                <w:szCs w:val="16"/>
              </w:rPr>
              <w:t>The benefits and t</w:t>
            </w:r>
            <w:r w:rsidR="00F2151C">
              <w:rPr>
                <w:rFonts w:ascii="Arial" w:hAnsi="Arial" w:cs="Arial"/>
                <w:sz w:val="16"/>
                <w:szCs w:val="16"/>
              </w:rPr>
              <w:t>argets for each of the TSRA’s activity areas as set out in the TSRA Torres Strait Development Plan 2019-22 have been met.</w:t>
            </w:r>
          </w:p>
          <w:p w14:paraId="46B7243D" w14:textId="77777777" w:rsidR="00F2151C" w:rsidRDefault="00F2151C" w:rsidP="004F3DE6">
            <w:pPr>
              <w:tabs>
                <w:tab w:val="left" w:pos="709"/>
              </w:tabs>
              <w:spacing w:before="60" w:after="60" w:line="240" w:lineRule="auto"/>
              <w:jc w:val="left"/>
              <w:rPr>
                <w:rFonts w:ascii="Arial" w:hAnsi="Arial" w:cs="Arial"/>
                <w:sz w:val="16"/>
                <w:szCs w:val="16"/>
              </w:rPr>
            </w:pPr>
          </w:p>
          <w:p w14:paraId="7AF607A8" w14:textId="77777777" w:rsidR="00F2151C" w:rsidRPr="00E419D2" w:rsidRDefault="00F2151C" w:rsidP="004F3DE6">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Additional detail will be provided in the TSRA </w:t>
            </w:r>
            <w:r w:rsidRPr="36D441FF">
              <w:rPr>
                <w:rFonts w:ascii="Arial" w:hAnsi="Arial" w:cs="Arial"/>
                <w:sz w:val="16"/>
                <w:szCs w:val="16"/>
              </w:rPr>
              <w:t>2022-23</w:t>
            </w:r>
            <w:r>
              <w:rPr>
                <w:rFonts w:ascii="Arial" w:hAnsi="Arial" w:cs="Arial"/>
                <w:sz w:val="16"/>
                <w:szCs w:val="16"/>
              </w:rPr>
              <w:t xml:space="preserve"> Annual Report.</w:t>
            </w:r>
          </w:p>
        </w:tc>
      </w:tr>
      <w:tr w:rsidR="00F43F86" w:rsidRPr="00F71634" w14:paraId="1D428DEB" w14:textId="77777777" w:rsidTr="00F43F86">
        <w:trPr>
          <w:trHeight w:val="60"/>
        </w:trPr>
        <w:tc>
          <w:tcPr>
            <w:tcW w:w="1693" w:type="dxa"/>
            <w:tcBorders>
              <w:top w:val="single" w:sz="4" w:space="0" w:color="auto"/>
              <w:left w:val="nil"/>
              <w:bottom w:val="nil"/>
              <w:right w:val="nil"/>
            </w:tcBorders>
          </w:tcPr>
          <w:p w14:paraId="085D99F7" w14:textId="77777777" w:rsidR="00F43F86" w:rsidRPr="36D441FF" w:rsidRDefault="00F43F86" w:rsidP="004F3DE6">
            <w:pPr>
              <w:tabs>
                <w:tab w:val="left" w:pos="709"/>
              </w:tabs>
              <w:spacing w:before="60" w:after="60" w:line="240" w:lineRule="auto"/>
              <w:jc w:val="left"/>
              <w:rPr>
                <w:rFonts w:ascii="Arial" w:hAnsi="Arial" w:cs="Arial"/>
                <w:sz w:val="16"/>
                <w:szCs w:val="16"/>
              </w:rPr>
            </w:pPr>
          </w:p>
        </w:tc>
        <w:tc>
          <w:tcPr>
            <w:tcW w:w="3450" w:type="dxa"/>
            <w:tcBorders>
              <w:top w:val="single" w:sz="4" w:space="0" w:color="auto"/>
              <w:left w:val="nil"/>
              <w:bottom w:val="nil"/>
              <w:right w:val="nil"/>
            </w:tcBorders>
          </w:tcPr>
          <w:p w14:paraId="09E8599F" w14:textId="77777777" w:rsidR="00F43F86" w:rsidRDefault="00F43F86" w:rsidP="00F43F86">
            <w:pPr>
              <w:pStyle w:val="BulletBox"/>
              <w:keepLines w:val="0"/>
              <w:pBdr>
                <w:top w:val="none" w:sz="0" w:space="0" w:color="auto"/>
                <w:left w:val="none" w:sz="0" w:space="0" w:color="auto"/>
                <w:bottom w:val="none" w:sz="0" w:space="0" w:color="auto"/>
                <w:right w:val="none" w:sz="0" w:space="0" w:color="auto"/>
              </w:pBdr>
              <w:tabs>
                <w:tab w:val="clear" w:pos="284"/>
              </w:tabs>
              <w:spacing w:before="60" w:line="240" w:lineRule="auto"/>
              <w:ind w:left="283" w:firstLine="0"/>
              <w:jc w:val="left"/>
              <w:rPr>
                <w:rFonts w:ascii="Arial" w:hAnsi="Arial" w:cs="Arial"/>
                <w:sz w:val="16"/>
                <w:szCs w:val="16"/>
              </w:rPr>
            </w:pPr>
          </w:p>
        </w:tc>
        <w:tc>
          <w:tcPr>
            <w:tcW w:w="2557" w:type="dxa"/>
            <w:tcBorders>
              <w:top w:val="single" w:sz="4" w:space="0" w:color="auto"/>
              <w:left w:val="nil"/>
              <w:bottom w:val="nil"/>
              <w:right w:val="nil"/>
            </w:tcBorders>
          </w:tcPr>
          <w:p w14:paraId="31C2E7C7" w14:textId="77777777" w:rsidR="00F43F86" w:rsidRDefault="00F43F86" w:rsidP="004F3DE6">
            <w:pPr>
              <w:tabs>
                <w:tab w:val="left" w:pos="709"/>
              </w:tabs>
              <w:spacing w:before="60" w:after="60" w:line="240" w:lineRule="auto"/>
              <w:jc w:val="left"/>
              <w:rPr>
                <w:rFonts w:ascii="Arial" w:hAnsi="Arial" w:cs="Arial"/>
                <w:sz w:val="16"/>
                <w:szCs w:val="16"/>
              </w:rPr>
            </w:pPr>
          </w:p>
        </w:tc>
      </w:tr>
      <w:tr w:rsidR="00F2151C" w:rsidRPr="00F71634" w14:paraId="6CF8B1FD" w14:textId="77777777" w:rsidTr="00F43F86">
        <w:tc>
          <w:tcPr>
            <w:tcW w:w="1693" w:type="dxa"/>
            <w:tcBorders>
              <w:top w:val="nil"/>
              <w:bottom w:val="dotted" w:sz="4" w:space="0" w:color="auto"/>
              <w:right w:val="single" w:sz="4" w:space="0" w:color="auto"/>
            </w:tcBorders>
          </w:tcPr>
          <w:p w14:paraId="1D4B34EF" w14:textId="77777777" w:rsidR="00F2151C" w:rsidRPr="006906E4" w:rsidRDefault="00F2151C" w:rsidP="004F3DE6">
            <w:pPr>
              <w:tabs>
                <w:tab w:val="left" w:pos="709"/>
              </w:tabs>
              <w:spacing w:before="60" w:after="60" w:line="240" w:lineRule="auto"/>
              <w:jc w:val="left"/>
              <w:rPr>
                <w:rFonts w:ascii="Arial" w:hAnsi="Arial" w:cs="Arial"/>
                <w:sz w:val="16"/>
                <w:szCs w:val="16"/>
              </w:rPr>
            </w:pPr>
            <w:r w:rsidRPr="36D441FF">
              <w:rPr>
                <w:rFonts w:ascii="Arial" w:hAnsi="Arial" w:cs="Arial"/>
                <w:sz w:val="16"/>
                <w:szCs w:val="16"/>
              </w:rPr>
              <w:t>2023-24</w:t>
            </w:r>
          </w:p>
        </w:tc>
        <w:tc>
          <w:tcPr>
            <w:tcW w:w="3450" w:type="dxa"/>
            <w:tcBorders>
              <w:top w:val="nil"/>
              <w:left w:val="single" w:sz="4" w:space="0" w:color="auto"/>
              <w:bottom w:val="dotted" w:sz="4" w:space="0" w:color="auto"/>
              <w:right w:val="single" w:sz="4" w:space="0" w:color="auto"/>
            </w:tcBorders>
          </w:tcPr>
          <w:p w14:paraId="693A7004" w14:textId="77777777" w:rsidR="00F2151C" w:rsidRPr="008D3E62" w:rsidRDefault="00F2151C" w:rsidP="004F3DE6">
            <w:pPr>
              <w:tabs>
                <w:tab w:val="left" w:pos="709"/>
              </w:tabs>
              <w:spacing w:before="60" w:after="60" w:line="240" w:lineRule="auto"/>
              <w:jc w:val="left"/>
              <w:rPr>
                <w:rFonts w:ascii="Arial" w:hAnsi="Arial" w:cs="Arial"/>
                <w:sz w:val="16"/>
                <w:szCs w:val="16"/>
              </w:rPr>
            </w:pPr>
            <w:r w:rsidRPr="008D3E62">
              <w:rPr>
                <w:rFonts w:ascii="Arial" w:hAnsi="Arial" w:cs="Arial"/>
                <w:sz w:val="16"/>
                <w:szCs w:val="16"/>
              </w:rPr>
              <w:t>As per 2022-</w:t>
            </w:r>
            <w:r w:rsidRPr="008D3E62">
              <w:rPr>
                <w:rFonts w:ascii="Arial" w:hAnsi="Arial" w:cs="Arial"/>
                <w:iCs/>
                <w:sz w:val="16"/>
                <w:szCs w:val="16"/>
              </w:rPr>
              <w:t>23</w:t>
            </w:r>
          </w:p>
        </w:tc>
        <w:tc>
          <w:tcPr>
            <w:tcW w:w="2557" w:type="dxa"/>
            <w:tcBorders>
              <w:top w:val="nil"/>
              <w:left w:val="single" w:sz="4" w:space="0" w:color="auto"/>
              <w:bottom w:val="dotted" w:sz="4" w:space="0" w:color="auto"/>
            </w:tcBorders>
          </w:tcPr>
          <w:p w14:paraId="01E83654" w14:textId="77777777" w:rsidR="00F2151C" w:rsidRDefault="00F2151C" w:rsidP="004F3DE6">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The </w:t>
            </w:r>
            <w:r w:rsidR="008D3E62">
              <w:rPr>
                <w:rFonts w:ascii="Arial" w:hAnsi="Arial" w:cs="Arial"/>
                <w:sz w:val="16"/>
                <w:szCs w:val="16"/>
              </w:rPr>
              <w:t>benefits and t</w:t>
            </w:r>
            <w:r>
              <w:rPr>
                <w:rFonts w:ascii="Arial" w:hAnsi="Arial" w:cs="Arial"/>
                <w:sz w:val="16"/>
                <w:szCs w:val="16"/>
              </w:rPr>
              <w:t>argets for each of the TSRA’s activity areas are set out in the TSRA Torres Strait Development Plan 2019-22.</w:t>
            </w:r>
          </w:p>
          <w:p w14:paraId="4478E512" w14:textId="77777777" w:rsidR="00F2151C" w:rsidRPr="006906E4" w:rsidRDefault="00F2151C" w:rsidP="004F3DE6">
            <w:pPr>
              <w:tabs>
                <w:tab w:val="left" w:pos="709"/>
              </w:tabs>
              <w:spacing w:before="60" w:after="60" w:line="240" w:lineRule="auto"/>
              <w:jc w:val="left"/>
              <w:rPr>
                <w:rFonts w:ascii="Arial" w:hAnsi="Arial" w:cs="Arial"/>
                <w:i/>
                <w:color w:val="FF0000"/>
                <w:sz w:val="16"/>
                <w:szCs w:val="16"/>
              </w:rPr>
            </w:pPr>
          </w:p>
        </w:tc>
      </w:tr>
      <w:tr w:rsidR="00F2151C" w:rsidRPr="00F71634" w14:paraId="3D1B6083" w14:textId="77777777" w:rsidTr="004F3DE6">
        <w:tc>
          <w:tcPr>
            <w:tcW w:w="1693" w:type="dxa"/>
            <w:tcBorders>
              <w:top w:val="dotted" w:sz="4" w:space="0" w:color="auto"/>
              <w:right w:val="single" w:sz="4" w:space="0" w:color="auto"/>
            </w:tcBorders>
          </w:tcPr>
          <w:p w14:paraId="1BD12E93" w14:textId="77777777" w:rsidR="00F2151C" w:rsidRPr="006906E4" w:rsidRDefault="00F2151C" w:rsidP="004F3DE6">
            <w:pPr>
              <w:tabs>
                <w:tab w:val="left" w:pos="709"/>
              </w:tabs>
              <w:spacing w:before="60" w:after="60" w:line="240" w:lineRule="auto"/>
              <w:jc w:val="left"/>
              <w:rPr>
                <w:rFonts w:ascii="Arial" w:hAnsi="Arial" w:cs="Arial"/>
                <w:sz w:val="16"/>
                <w:szCs w:val="16"/>
              </w:rPr>
            </w:pPr>
            <w:r>
              <w:rPr>
                <w:rFonts w:ascii="Arial" w:hAnsi="Arial" w:cs="Arial"/>
                <w:sz w:val="16"/>
                <w:szCs w:val="16"/>
              </w:rPr>
              <w:t>2024-</w:t>
            </w:r>
            <w:r w:rsidRPr="36D441FF">
              <w:rPr>
                <w:rFonts w:ascii="Arial" w:hAnsi="Arial" w:cs="Arial"/>
                <w:sz w:val="16"/>
                <w:szCs w:val="16"/>
              </w:rPr>
              <w:t>25</w:t>
            </w:r>
            <w:r w:rsidRPr="006906E4">
              <w:rPr>
                <w:rFonts w:ascii="Arial" w:hAnsi="Arial" w:cs="Arial"/>
                <w:sz w:val="16"/>
                <w:szCs w:val="16"/>
              </w:rPr>
              <w:t xml:space="preserve"> and beyond</w:t>
            </w:r>
          </w:p>
        </w:tc>
        <w:tc>
          <w:tcPr>
            <w:tcW w:w="3450" w:type="dxa"/>
            <w:tcBorders>
              <w:top w:val="dotted" w:sz="4" w:space="0" w:color="auto"/>
              <w:left w:val="single" w:sz="4" w:space="0" w:color="auto"/>
              <w:right w:val="single" w:sz="4" w:space="0" w:color="auto"/>
            </w:tcBorders>
          </w:tcPr>
          <w:p w14:paraId="42F47406" w14:textId="77777777" w:rsidR="00F2151C" w:rsidRPr="008D3E62" w:rsidRDefault="00F2151C" w:rsidP="004F3DE6">
            <w:pPr>
              <w:tabs>
                <w:tab w:val="left" w:pos="709"/>
              </w:tabs>
              <w:spacing w:before="60" w:after="60" w:line="240" w:lineRule="auto"/>
              <w:jc w:val="left"/>
              <w:rPr>
                <w:rFonts w:ascii="Arial" w:hAnsi="Arial" w:cs="Arial"/>
                <w:sz w:val="16"/>
                <w:szCs w:val="16"/>
              </w:rPr>
            </w:pPr>
            <w:r w:rsidRPr="008D3E62">
              <w:rPr>
                <w:rFonts w:ascii="Arial" w:hAnsi="Arial" w:cs="Arial"/>
                <w:sz w:val="16"/>
                <w:szCs w:val="16"/>
              </w:rPr>
              <w:t>As per 2022-</w:t>
            </w:r>
            <w:r w:rsidRPr="008D3E62">
              <w:rPr>
                <w:rFonts w:ascii="Arial" w:hAnsi="Arial" w:cs="Arial"/>
                <w:iCs/>
                <w:sz w:val="16"/>
                <w:szCs w:val="16"/>
              </w:rPr>
              <w:t>23</w:t>
            </w:r>
          </w:p>
        </w:tc>
        <w:tc>
          <w:tcPr>
            <w:tcW w:w="2557" w:type="dxa"/>
            <w:tcBorders>
              <w:top w:val="dotted" w:sz="4" w:space="0" w:color="auto"/>
              <w:left w:val="single" w:sz="4" w:space="0" w:color="auto"/>
            </w:tcBorders>
          </w:tcPr>
          <w:p w14:paraId="3713F3FB" w14:textId="77777777" w:rsidR="00F2151C" w:rsidRDefault="008D3E62" w:rsidP="004F3DE6">
            <w:pPr>
              <w:tabs>
                <w:tab w:val="left" w:pos="709"/>
              </w:tabs>
              <w:spacing w:before="60" w:after="60" w:line="240" w:lineRule="auto"/>
              <w:jc w:val="left"/>
              <w:rPr>
                <w:rFonts w:ascii="Arial" w:hAnsi="Arial" w:cs="Arial"/>
                <w:sz w:val="16"/>
                <w:szCs w:val="16"/>
              </w:rPr>
            </w:pPr>
            <w:r>
              <w:rPr>
                <w:rFonts w:ascii="Arial" w:hAnsi="Arial" w:cs="Arial"/>
                <w:sz w:val="16"/>
                <w:szCs w:val="16"/>
              </w:rPr>
              <w:t>The benefits and t</w:t>
            </w:r>
            <w:r w:rsidR="00F2151C">
              <w:rPr>
                <w:rFonts w:ascii="Arial" w:hAnsi="Arial" w:cs="Arial"/>
                <w:sz w:val="16"/>
                <w:szCs w:val="16"/>
              </w:rPr>
              <w:t>argets for each of the TSRA’s activity areas are set out in the TSRA Torres Strait Development Plan 2019-22.</w:t>
            </w:r>
          </w:p>
          <w:p w14:paraId="1383A9F2" w14:textId="77777777" w:rsidR="00F2151C" w:rsidRPr="006906E4" w:rsidRDefault="00F2151C" w:rsidP="004F3DE6">
            <w:pPr>
              <w:tabs>
                <w:tab w:val="left" w:pos="709"/>
              </w:tabs>
              <w:spacing w:before="60" w:after="60" w:line="240" w:lineRule="auto"/>
              <w:jc w:val="left"/>
              <w:rPr>
                <w:rFonts w:ascii="Arial" w:hAnsi="Arial" w:cs="Arial"/>
                <w:i/>
                <w:color w:val="FF0000"/>
                <w:sz w:val="16"/>
                <w:szCs w:val="16"/>
              </w:rPr>
            </w:pPr>
          </w:p>
        </w:tc>
      </w:tr>
      <w:tr w:rsidR="00F2151C" w:rsidRPr="00F71634" w14:paraId="73B564B4" w14:textId="77777777" w:rsidTr="004F3DE6">
        <w:tc>
          <w:tcPr>
            <w:tcW w:w="1693" w:type="dxa"/>
          </w:tcPr>
          <w:p w14:paraId="5E5252E3" w14:textId="77777777" w:rsidR="00F2151C" w:rsidRPr="006906E4" w:rsidRDefault="00F2151C" w:rsidP="004F3DE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07" w:type="dxa"/>
            <w:gridSpan w:val="2"/>
          </w:tcPr>
          <w:p w14:paraId="1742AB61" w14:textId="77777777" w:rsidR="00F2151C" w:rsidRPr="00E419D2" w:rsidRDefault="008D3E62" w:rsidP="008D3E62">
            <w:pPr>
              <w:tabs>
                <w:tab w:val="left" w:pos="709"/>
              </w:tabs>
              <w:spacing w:before="60" w:after="60" w:line="240" w:lineRule="auto"/>
              <w:jc w:val="left"/>
              <w:rPr>
                <w:rFonts w:ascii="Arial" w:hAnsi="Arial" w:cs="Arial"/>
                <w:sz w:val="16"/>
                <w:szCs w:val="16"/>
              </w:rPr>
            </w:pPr>
            <w:r>
              <w:rPr>
                <w:rFonts w:ascii="Arial" w:hAnsi="Arial" w:cs="Arial"/>
                <w:sz w:val="16"/>
                <w:szCs w:val="16"/>
              </w:rPr>
              <w:t>The TSRA’s purpose statement, in the corporate plan</w:t>
            </w:r>
            <w:r w:rsidR="00F2151C">
              <w:rPr>
                <w:rFonts w:ascii="Arial" w:hAnsi="Arial" w:cs="Arial"/>
                <w:sz w:val="16"/>
                <w:szCs w:val="16"/>
              </w:rPr>
              <w:t xml:space="preserve"> is the same as the TSRA’s </w:t>
            </w:r>
            <w:r>
              <w:rPr>
                <w:rFonts w:ascii="Arial" w:hAnsi="Arial" w:cs="Arial"/>
                <w:sz w:val="16"/>
                <w:szCs w:val="16"/>
              </w:rPr>
              <w:t>s</w:t>
            </w:r>
            <w:r w:rsidR="00F2151C">
              <w:rPr>
                <w:rFonts w:ascii="Arial" w:hAnsi="Arial" w:cs="Arial"/>
                <w:sz w:val="16"/>
                <w:szCs w:val="16"/>
              </w:rPr>
              <w:t xml:space="preserve">trategic </w:t>
            </w:r>
            <w:r>
              <w:rPr>
                <w:rFonts w:ascii="Arial" w:hAnsi="Arial" w:cs="Arial"/>
                <w:sz w:val="16"/>
                <w:szCs w:val="16"/>
              </w:rPr>
              <w:t>d</w:t>
            </w:r>
            <w:r w:rsidR="00F2151C" w:rsidRPr="36D441FF">
              <w:rPr>
                <w:rFonts w:ascii="Arial" w:hAnsi="Arial" w:cs="Arial"/>
                <w:sz w:val="16"/>
                <w:szCs w:val="16"/>
              </w:rPr>
              <w:t>irection</w:t>
            </w:r>
            <w:r>
              <w:rPr>
                <w:rFonts w:ascii="Arial" w:hAnsi="Arial" w:cs="Arial"/>
                <w:sz w:val="16"/>
                <w:szCs w:val="16"/>
              </w:rPr>
              <w:t xml:space="preserve"> s</w:t>
            </w:r>
            <w:r w:rsidR="00F2151C">
              <w:rPr>
                <w:rFonts w:ascii="Arial" w:hAnsi="Arial" w:cs="Arial"/>
                <w:sz w:val="16"/>
                <w:szCs w:val="16"/>
              </w:rPr>
              <w:t>tatement above.</w:t>
            </w:r>
          </w:p>
        </w:tc>
      </w:tr>
    </w:tbl>
    <w:p w14:paraId="10E53DA3" w14:textId="77777777" w:rsidR="00F2151C" w:rsidRDefault="00F2151C" w:rsidP="00F2151C">
      <w:pPr>
        <w:spacing w:after="0" w:line="240" w:lineRule="auto"/>
        <w:jc w:val="left"/>
        <w:rPr>
          <w:rFonts w:ascii="Arial" w:hAnsi="Arial"/>
          <w:b/>
          <w:sz w:val="26"/>
        </w:rPr>
      </w:pPr>
      <w:r>
        <w:br w:type="page"/>
      </w:r>
    </w:p>
    <w:p w14:paraId="457A4D96" w14:textId="77777777" w:rsidR="00F2151C" w:rsidRPr="00AD42E2" w:rsidRDefault="00F2151C" w:rsidP="00F2151C">
      <w:pPr>
        <w:pStyle w:val="Heading2"/>
      </w:pPr>
      <w:bookmarkStart w:id="1074" w:name="_Toc67575495"/>
      <w:bookmarkStart w:id="1075" w:name="_Toc98766468"/>
      <w:bookmarkStart w:id="1076" w:name="_Toc98856204"/>
      <w:bookmarkStart w:id="1077" w:name="_Toc98932956"/>
      <w:bookmarkStart w:id="1078" w:name="_Toc99008212"/>
      <w:bookmarkStart w:id="1079" w:name="_Toc99009574"/>
      <w:bookmarkStart w:id="1080" w:name="_Toc99010802"/>
      <w:bookmarkStart w:id="1081" w:name="_Toc99014037"/>
      <w:bookmarkStart w:id="1082" w:name="_Toc99187612"/>
      <w:bookmarkStart w:id="1083" w:name="_Toc99269734"/>
      <w:r w:rsidRPr="00AD42E2">
        <w:t>Section 3: Budgeted financial statements</w:t>
      </w:r>
      <w:bookmarkEnd w:id="1074"/>
      <w:bookmarkEnd w:id="1075"/>
      <w:bookmarkEnd w:id="1076"/>
      <w:bookmarkEnd w:id="1077"/>
      <w:bookmarkEnd w:id="1078"/>
      <w:bookmarkEnd w:id="1079"/>
      <w:bookmarkEnd w:id="1080"/>
      <w:bookmarkEnd w:id="1081"/>
      <w:bookmarkEnd w:id="1082"/>
      <w:bookmarkEnd w:id="1083"/>
    </w:p>
    <w:p w14:paraId="7FFF563E" w14:textId="77777777" w:rsidR="00F2151C" w:rsidRDefault="00F2151C" w:rsidP="00F2151C">
      <w:r>
        <w:t>Section 3 presents budgeted financial statements which provide a comprehensive snapshot of entity finances for the 2022-23</w:t>
      </w:r>
      <w:r>
        <w:rPr>
          <w:color w:val="00B050"/>
        </w:rPr>
        <w:t xml:space="preserve"> </w:t>
      </w:r>
      <w:r w:rsidR="004C12AF">
        <w:t>Budget year</w:t>
      </w:r>
      <w:r>
        <w:t>, including the impact of budget measures and resourcing on financial statements.</w:t>
      </w:r>
    </w:p>
    <w:p w14:paraId="019C982A" w14:textId="77777777" w:rsidR="00F2151C" w:rsidRPr="005328A9" w:rsidRDefault="00F2151C" w:rsidP="00F2151C">
      <w:pPr>
        <w:pStyle w:val="Heading3"/>
      </w:pPr>
      <w:bookmarkStart w:id="1084" w:name="_Toc67575496"/>
      <w:bookmarkStart w:id="1085" w:name="_Toc98766469"/>
      <w:bookmarkStart w:id="1086" w:name="_Toc98856205"/>
      <w:bookmarkStart w:id="1087" w:name="_Toc98932957"/>
      <w:bookmarkStart w:id="1088" w:name="_Toc99008213"/>
      <w:bookmarkStart w:id="1089" w:name="_Toc99009575"/>
      <w:bookmarkStart w:id="1090" w:name="_Toc99010803"/>
      <w:bookmarkStart w:id="1091" w:name="_Toc99014038"/>
      <w:bookmarkStart w:id="1092" w:name="_Toc99187613"/>
      <w:bookmarkStart w:id="1093" w:name="_Toc99269735"/>
      <w:r w:rsidRPr="005328A9">
        <w:t>3.1</w:t>
      </w:r>
      <w:r w:rsidRPr="005328A9">
        <w:tab/>
        <w:t>Budgeted financial statements</w:t>
      </w:r>
      <w:bookmarkEnd w:id="1084"/>
      <w:bookmarkEnd w:id="1085"/>
      <w:bookmarkEnd w:id="1086"/>
      <w:bookmarkEnd w:id="1087"/>
      <w:bookmarkEnd w:id="1088"/>
      <w:bookmarkEnd w:id="1089"/>
      <w:bookmarkEnd w:id="1090"/>
      <w:bookmarkEnd w:id="1091"/>
      <w:bookmarkEnd w:id="1092"/>
      <w:bookmarkEnd w:id="1093"/>
    </w:p>
    <w:p w14:paraId="6F863EAC" w14:textId="77777777" w:rsidR="00F2151C" w:rsidRDefault="00F2151C" w:rsidP="00F2151C">
      <w:pPr>
        <w:pStyle w:val="Heading4"/>
      </w:pPr>
      <w:r>
        <w:t>3.1.2</w:t>
      </w:r>
      <w:r>
        <w:tab/>
        <w:t>Explanatory notes and analysis of budgeted financial statements</w:t>
      </w:r>
    </w:p>
    <w:p w14:paraId="0C1F4E44" w14:textId="77777777" w:rsidR="00F2151C" w:rsidRPr="006051E2" w:rsidRDefault="00F2151C" w:rsidP="00F2151C">
      <w:pPr>
        <w:spacing w:after="120" w:line="240" w:lineRule="auto"/>
        <w:rPr>
          <w:rFonts w:cs="Arial"/>
          <w:b/>
        </w:rPr>
      </w:pPr>
      <w:r w:rsidRPr="006051E2">
        <w:rPr>
          <w:rFonts w:cs="Arial"/>
          <w:b/>
        </w:rPr>
        <w:t xml:space="preserve">Departmental </w:t>
      </w:r>
    </w:p>
    <w:p w14:paraId="280A366F" w14:textId="77777777" w:rsidR="00F2151C" w:rsidRPr="00B457F2" w:rsidRDefault="00F2151C" w:rsidP="00F2151C">
      <w:pPr>
        <w:rPr>
          <w:rFonts w:cs="Arial"/>
        </w:rPr>
      </w:pPr>
      <w:r w:rsidRPr="00B457F2">
        <w:rPr>
          <w:rFonts w:cs="Arial"/>
        </w:rPr>
        <w:t>This statement provides a picture of the expected financial results for the TSRA by identifying full accrual expenses and revenues, which highlights whether the TSRA is operating at a sustainable level. The TSRA is forecasting income of $</w:t>
      </w:r>
      <w:r>
        <w:rPr>
          <w:rFonts w:cs="Arial"/>
        </w:rPr>
        <w:t>54.1</w:t>
      </w:r>
      <w:r w:rsidRPr="00B457F2">
        <w:rPr>
          <w:rFonts w:cs="Arial"/>
        </w:rPr>
        <w:t xml:space="preserve"> million and expenditure of $</w:t>
      </w:r>
      <w:r>
        <w:rPr>
          <w:rFonts w:cs="Arial"/>
        </w:rPr>
        <w:t>54.1</w:t>
      </w:r>
      <w:r w:rsidRPr="00B457F2">
        <w:rPr>
          <w:rFonts w:cs="Arial"/>
        </w:rPr>
        <w:t xml:space="preserve"> million resulting in a breakeven result for the </w:t>
      </w:r>
      <w:r>
        <w:rPr>
          <w:rFonts w:cs="Arial"/>
        </w:rPr>
        <w:t>2022-</w:t>
      </w:r>
      <w:r w:rsidRPr="36D441FF">
        <w:rPr>
          <w:rFonts w:cs="Arial"/>
        </w:rPr>
        <w:t>23</w:t>
      </w:r>
      <w:r w:rsidRPr="00B457F2">
        <w:rPr>
          <w:rFonts w:cs="Arial"/>
        </w:rPr>
        <w:t xml:space="preserve"> financial year</w:t>
      </w:r>
      <w:r w:rsidR="00A20056" w:rsidRPr="00A20056">
        <w:rPr>
          <w:color w:val="000000"/>
        </w:rPr>
        <w:t xml:space="preserve"> </w:t>
      </w:r>
      <w:r w:rsidR="00A20056">
        <w:rPr>
          <w:color w:val="000000"/>
        </w:rPr>
        <w:t>and each forward year after adjusting for depreciation and amortisation expense and principal repayments on leased assets</w:t>
      </w:r>
      <w:r w:rsidRPr="00B457F2">
        <w:rPr>
          <w:rFonts w:cs="Arial"/>
        </w:rPr>
        <w:t>.</w:t>
      </w:r>
    </w:p>
    <w:p w14:paraId="2AD70EDA" w14:textId="77777777" w:rsidR="00F2151C" w:rsidRPr="006051E2" w:rsidRDefault="00F2151C" w:rsidP="00F2151C">
      <w:pPr>
        <w:pStyle w:val="BodyText"/>
        <w:rPr>
          <w:rFonts w:ascii="Book Antiqua" w:hAnsi="Book Antiqua" w:cs="Arial"/>
          <w:b/>
          <w:sz w:val="20"/>
        </w:rPr>
      </w:pPr>
      <w:r w:rsidRPr="006051E2">
        <w:rPr>
          <w:rFonts w:ascii="Book Antiqua" w:hAnsi="Book Antiqua" w:cs="Arial"/>
          <w:b/>
          <w:sz w:val="20"/>
        </w:rPr>
        <w:t>Budgeted Departmental Balance Sheet</w:t>
      </w:r>
    </w:p>
    <w:p w14:paraId="17618276" w14:textId="77777777" w:rsidR="00F2151C" w:rsidRPr="00B457F2" w:rsidRDefault="00F2151C" w:rsidP="00F2151C">
      <w:pPr>
        <w:rPr>
          <w:rFonts w:cs="Arial"/>
        </w:rPr>
      </w:pPr>
      <w:r w:rsidRPr="00B457F2">
        <w:rPr>
          <w:rFonts w:cs="Arial"/>
        </w:rPr>
        <w:t xml:space="preserve">The TSRA’s forecast balance sheet for the financial year ending 30 June </w:t>
      </w:r>
      <w:r w:rsidRPr="36D441FF">
        <w:rPr>
          <w:rFonts w:cs="Arial"/>
        </w:rPr>
        <w:t>2023</w:t>
      </w:r>
      <w:r w:rsidRPr="00B457F2">
        <w:rPr>
          <w:rFonts w:cs="Arial"/>
        </w:rPr>
        <w:t xml:space="preserve"> shows the TSRA with total assets of $</w:t>
      </w:r>
      <w:r>
        <w:rPr>
          <w:rFonts w:cs="Arial"/>
        </w:rPr>
        <w:t>94.</w:t>
      </w:r>
      <w:r w:rsidRPr="36D441FF">
        <w:rPr>
          <w:rFonts w:cs="Arial"/>
        </w:rPr>
        <w:t>8</w:t>
      </w:r>
      <w:r w:rsidRPr="00B457F2">
        <w:rPr>
          <w:rFonts w:cs="Arial"/>
        </w:rPr>
        <w:t xml:space="preserve"> million and liabilities of $</w:t>
      </w:r>
      <w:r>
        <w:rPr>
          <w:rFonts w:cs="Arial"/>
        </w:rPr>
        <w:t>6.</w:t>
      </w:r>
      <w:r w:rsidRPr="36D441FF">
        <w:rPr>
          <w:rFonts w:cs="Arial"/>
        </w:rPr>
        <w:t>1</w:t>
      </w:r>
      <w:r w:rsidRPr="00B457F2">
        <w:rPr>
          <w:rFonts w:cs="Arial"/>
        </w:rPr>
        <w:t xml:space="preserve"> million, resulting in a net asset position of $</w:t>
      </w:r>
      <w:r>
        <w:rPr>
          <w:rFonts w:cs="Arial"/>
        </w:rPr>
        <w:t>88.</w:t>
      </w:r>
      <w:r w:rsidRPr="36D441FF">
        <w:rPr>
          <w:rFonts w:cs="Arial"/>
        </w:rPr>
        <w:t>7</w:t>
      </w:r>
      <w:r w:rsidRPr="00B457F2">
        <w:rPr>
          <w:rFonts w:cs="Arial"/>
        </w:rPr>
        <w:t xml:space="preserve"> million.</w:t>
      </w:r>
    </w:p>
    <w:p w14:paraId="12D6A45D" w14:textId="77777777" w:rsidR="00F2151C" w:rsidRPr="006051E2" w:rsidRDefault="00F2151C" w:rsidP="00F2151C">
      <w:pPr>
        <w:pStyle w:val="BodyText"/>
        <w:rPr>
          <w:rFonts w:ascii="Book Antiqua" w:hAnsi="Book Antiqua" w:cs="Arial"/>
          <w:b/>
          <w:sz w:val="20"/>
        </w:rPr>
      </w:pPr>
      <w:r w:rsidRPr="006051E2">
        <w:rPr>
          <w:rFonts w:ascii="Book Antiqua" w:hAnsi="Book Antiqua" w:cs="Arial"/>
          <w:b/>
          <w:sz w:val="20"/>
        </w:rPr>
        <w:t>Budgeted Departmental Statement of Cash Flows</w:t>
      </w:r>
    </w:p>
    <w:p w14:paraId="4F6C3FCD" w14:textId="77777777" w:rsidR="00F2151C" w:rsidRPr="00B457F2" w:rsidRDefault="00F2151C" w:rsidP="00F2151C">
      <w:pPr>
        <w:rPr>
          <w:rFonts w:cs="Arial"/>
        </w:rPr>
      </w:pPr>
      <w:r w:rsidRPr="00B457F2">
        <w:rPr>
          <w:rFonts w:cs="Arial"/>
        </w:rPr>
        <w:t>Predicted departmental cash flows have been adjusted to reflect the anticipated impact on cash after considering the forecast movements in the Departmental Balance Sheet (Table 3.2) and Comprehensive Income Statement (Table 3.1). The agency is forecasting a cash position of $</w:t>
      </w:r>
      <w:r>
        <w:rPr>
          <w:rFonts w:cs="Arial"/>
        </w:rPr>
        <w:t>5.</w:t>
      </w:r>
      <w:r w:rsidRPr="36D441FF">
        <w:rPr>
          <w:rFonts w:cs="Arial"/>
        </w:rPr>
        <w:t>0</w:t>
      </w:r>
      <w:r w:rsidRPr="00B457F2">
        <w:rPr>
          <w:rFonts w:cs="Arial"/>
        </w:rPr>
        <w:t xml:space="preserve"> million for the financial year ending 30 June </w:t>
      </w:r>
      <w:r w:rsidRPr="36D441FF">
        <w:rPr>
          <w:rFonts w:cs="Arial"/>
        </w:rPr>
        <w:t>2023</w:t>
      </w:r>
      <w:r w:rsidRPr="00B457F2">
        <w:rPr>
          <w:rFonts w:cs="Arial"/>
        </w:rPr>
        <w:t>.</w:t>
      </w:r>
    </w:p>
    <w:p w14:paraId="06D88846" w14:textId="77777777" w:rsidR="00F2151C" w:rsidRPr="006051E2" w:rsidRDefault="00F2151C" w:rsidP="00F2151C">
      <w:pPr>
        <w:pStyle w:val="BodyText"/>
        <w:rPr>
          <w:rFonts w:ascii="Book Antiqua" w:hAnsi="Book Antiqua" w:cs="Arial"/>
          <w:b/>
          <w:sz w:val="20"/>
        </w:rPr>
      </w:pPr>
      <w:r w:rsidRPr="006051E2">
        <w:rPr>
          <w:rFonts w:ascii="Book Antiqua" w:hAnsi="Book Antiqua" w:cs="Arial"/>
          <w:b/>
          <w:sz w:val="20"/>
        </w:rPr>
        <w:t>Departmental Capital Budget Statement and Statement of Asset Movements</w:t>
      </w:r>
    </w:p>
    <w:p w14:paraId="3BF08F04" w14:textId="77777777" w:rsidR="00F2151C" w:rsidRDefault="00F2151C" w:rsidP="00F2151C">
      <w:r w:rsidRPr="00B457F2">
        <w:rPr>
          <w:rFonts w:cs="Arial"/>
        </w:rPr>
        <w:t>The TSRA has a Capital Management Plan that is linked to the TSRA’s Departmental Capital Budget Statement (Table 3.5). The TSRA is forecast to spend $</w:t>
      </w:r>
      <w:r>
        <w:rPr>
          <w:rFonts w:cs="Arial"/>
        </w:rPr>
        <w:t>2.</w:t>
      </w:r>
      <w:r w:rsidRPr="36D441FF">
        <w:rPr>
          <w:rFonts w:cs="Arial"/>
        </w:rPr>
        <w:t>4</w:t>
      </w:r>
      <w:r w:rsidRPr="00B457F2">
        <w:rPr>
          <w:rFonts w:cs="Arial"/>
          <w:color w:val="FF0000"/>
        </w:rPr>
        <w:t> </w:t>
      </w:r>
      <w:r w:rsidRPr="00B457F2">
        <w:rPr>
          <w:rFonts w:cs="Arial"/>
        </w:rPr>
        <w:t xml:space="preserve">million on capital expenditure in the </w:t>
      </w:r>
      <w:r>
        <w:rPr>
          <w:rFonts w:cs="Arial"/>
        </w:rPr>
        <w:t>2022-</w:t>
      </w:r>
      <w:r w:rsidRPr="36D441FF">
        <w:rPr>
          <w:rFonts w:cs="Arial"/>
        </w:rPr>
        <w:t>23</w:t>
      </w:r>
      <w:r w:rsidRPr="00B457F2">
        <w:rPr>
          <w:rFonts w:cs="Arial"/>
        </w:rPr>
        <w:t xml:space="preserve"> financial year.</w:t>
      </w:r>
      <w:r>
        <w:t xml:space="preserve"> </w:t>
      </w:r>
    </w:p>
    <w:p w14:paraId="16AB5F07" w14:textId="77777777" w:rsidR="00F2151C" w:rsidRDefault="00F2151C" w:rsidP="00F2151C">
      <w:pPr>
        <w:jc w:val="left"/>
      </w:pPr>
      <w:r>
        <w:br w:type="page"/>
      </w:r>
      <w:r w:rsidRPr="00D232B7">
        <w:rPr>
          <w:rStyle w:val="TableHeadingChar"/>
        </w:rPr>
        <w:t>3.2.</w:t>
      </w:r>
      <w:r w:rsidRPr="00D232B7">
        <w:rPr>
          <w:rStyle w:val="TableHeadingChar"/>
        </w:rPr>
        <w:tab/>
        <w:t>Budgeted financial statements tables</w:t>
      </w:r>
    </w:p>
    <w:p w14:paraId="47694976" w14:textId="77777777" w:rsidR="00F2151C" w:rsidRDefault="00F2151C" w:rsidP="00F2151C">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2D341D5E" w14:textId="77777777" w:rsidR="0010347E" w:rsidRPr="0010347E" w:rsidRDefault="00354C39" w:rsidP="0010347E">
      <w:pPr>
        <w:pStyle w:val="TableHeadingcontinued"/>
        <w:rPr>
          <w:rFonts w:ascii="Arial" w:hAnsi="Arial" w:cs="Arial"/>
          <w:b w:val="0"/>
          <w:sz w:val="16"/>
        </w:rPr>
      </w:pPr>
      <w:r w:rsidRPr="00354C39">
        <w:rPr>
          <w:noProof/>
        </w:rPr>
        <w:drawing>
          <wp:inline distT="0" distB="0" distL="0" distR="0" wp14:anchorId="57E57EE7" wp14:editId="1A423F42">
            <wp:extent cx="4832350" cy="5723890"/>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832350" cy="5723890"/>
                    </a:xfrm>
                    <a:prstGeom prst="rect">
                      <a:avLst/>
                    </a:prstGeom>
                    <a:noFill/>
                    <a:ln>
                      <a:noFill/>
                    </a:ln>
                  </pic:spPr>
                </pic:pic>
              </a:graphicData>
            </a:graphic>
          </wp:inline>
        </w:drawing>
      </w:r>
      <w:r w:rsidR="008D3E62" w:rsidRPr="008D3E62">
        <w:t xml:space="preserve"> </w:t>
      </w:r>
      <w:r w:rsidR="0010347E" w:rsidRPr="0010347E">
        <w:rPr>
          <w:rFonts w:ascii="Arial" w:hAnsi="Arial" w:cs="Arial"/>
          <w:b w:val="0"/>
          <w:sz w:val="16"/>
        </w:rPr>
        <w:t>Prepared on Australian Ac</w:t>
      </w:r>
      <w:r w:rsidR="0010347E">
        <w:rPr>
          <w:rFonts w:ascii="Arial" w:hAnsi="Arial" w:cs="Arial"/>
          <w:b w:val="0"/>
          <w:sz w:val="16"/>
        </w:rPr>
        <w:t xml:space="preserve">counting Standards basis. </w:t>
      </w:r>
      <w:r w:rsidR="0010347E">
        <w:rPr>
          <w:rFonts w:ascii="Arial" w:hAnsi="Arial" w:cs="Arial"/>
          <w:b w:val="0"/>
          <w:sz w:val="16"/>
        </w:rPr>
        <w:tab/>
      </w:r>
      <w:r w:rsidR="0010347E">
        <w:rPr>
          <w:rFonts w:ascii="Arial" w:hAnsi="Arial" w:cs="Arial"/>
          <w:b w:val="0"/>
          <w:sz w:val="16"/>
        </w:rPr>
        <w:tab/>
      </w:r>
      <w:r w:rsidR="0010347E">
        <w:rPr>
          <w:rFonts w:ascii="Arial" w:hAnsi="Arial" w:cs="Arial"/>
          <w:b w:val="0"/>
          <w:sz w:val="16"/>
        </w:rPr>
        <w:tab/>
      </w:r>
      <w:r w:rsidR="0010347E">
        <w:rPr>
          <w:rFonts w:ascii="Arial" w:hAnsi="Arial" w:cs="Arial"/>
          <w:b w:val="0"/>
          <w:sz w:val="16"/>
        </w:rPr>
        <w:tab/>
      </w:r>
      <w:r w:rsidR="0010347E">
        <w:rPr>
          <w:rFonts w:ascii="Arial" w:hAnsi="Arial" w:cs="Arial"/>
          <w:b w:val="0"/>
          <w:sz w:val="16"/>
        </w:rPr>
        <w:tab/>
      </w:r>
    </w:p>
    <w:p w14:paraId="43576F66" w14:textId="77777777" w:rsidR="00354C39" w:rsidRDefault="00A75066" w:rsidP="00392A48">
      <w:pPr>
        <w:pStyle w:val="TableHeadingcontinued"/>
        <w:numPr>
          <w:ilvl w:val="0"/>
          <w:numId w:val="162"/>
        </w:numPr>
      </w:pPr>
      <w:r>
        <w:rPr>
          <w:rFonts w:ascii="Arial" w:hAnsi="Arial" w:cs="Arial"/>
          <w:b w:val="0"/>
          <w:sz w:val="16"/>
        </w:rPr>
        <w:t>Applies to leases</w:t>
      </w:r>
      <w:r w:rsidR="0010347E" w:rsidRPr="0010347E">
        <w:rPr>
          <w:rFonts w:ascii="Arial" w:hAnsi="Arial" w:cs="Arial"/>
          <w:b w:val="0"/>
          <w:sz w:val="16"/>
        </w:rPr>
        <w:t xml:space="preserve"> under AASB 16 Leases.</w:t>
      </w:r>
      <w:r w:rsidR="0010347E" w:rsidRPr="0010347E">
        <w:rPr>
          <w:rFonts w:ascii="Arial" w:hAnsi="Arial" w:cs="Arial"/>
          <w:b w:val="0"/>
        </w:rPr>
        <w:tab/>
      </w:r>
      <w:r w:rsidR="0010347E" w:rsidRPr="0010347E">
        <w:rPr>
          <w:rFonts w:ascii="Arial" w:hAnsi="Arial" w:cs="Arial"/>
          <w:b w:val="0"/>
        </w:rPr>
        <w:tab/>
      </w:r>
      <w:r w:rsidR="0010347E">
        <w:tab/>
      </w:r>
      <w:r w:rsidR="0010347E">
        <w:tab/>
      </w:r>
      <w:r w:rsidR="0010347E">
        <w:tab/>
      </w:r>
    </w:p>
    <w:p w14:paraId="0C596424" w14:textId="77777777" w:rsidR="00354C39" w:rsidRDefault="00354C39">
      <w:pPr>
        <w:spacing w:after="0" w:line="240" w:lineRule="auto"/>
        <w:jc w:val="left"/>
        <w:rPr>
          <w:rFonts w:ascii="Arial Bold" w:hAnsi="Arial Bold"/>
          <w:b/>
        </w:rPr>
      </w:pPr>
      <w:r>
        <w:br w:type="page"/>
      </w:r>
    </w:p>
    <w:p w14:paraId="5C636283" w14:textId="77777777" w:rsidR="00F2151C" w:rsidRDefault="00F2151C" w:rsidP="00354C39">
      <w:pPr>
        <w:pStyle w:val="TableHeadingcontinued"/>
      </w:pPr>
      <w:r w:rsidRPr="00E4582E">
        <w:t>Table</w:t>
      </w:r>
      <w:r>
        <w:t xml:space="preserve"> 3.</w:t>
      </w:r>
      <w:r w:rsidRPr="00E4582E">
        <w:t>2: Budg</w:t>
      </w:r>
      <w:r>
        <w:t xml:space="preserve">eted departmental balance sheet </w:t>
      </w:r>
      <w:r w:rsidRPr="00E4582E">
        <w:t>(as at 30 June)</w:t>
      </w:r>
    </w:p>
    <w:p w14:paraId="6BC72696" w14:textId="77777777" w:rsidR="00F2151C" w:rsidRPr="00F626C2" w:rsidRDefault="00354C39" w:rsidP="00F2151C">
      <w:pPr>
        <w:pStyle w:val="TableGraphic"/>
      </w:pPr>
      <w:r w:rsidRPr="00354C39">
        <w:rPr>
          <w:noProof/>
        </w:rPr>
        <w:drawing>
          <wp:inline distT="0" distB="0" distL="0" distR="0" wp14:anchorId="7A818A8F" wp14:editId="56AD8A02">
            <wp:extent cx="4895850" cy="5062547"/>
            <wp:effectExtent l="0" t="0" r="0" b="50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95850" cy="5062547"/>
                    </a:xfrm>
                    <a:prstGeom prst="rect">
                      <a:avLst/>
                    </a:prstGeom>
                    <a:noFill/>
                    <a:ln>
                      <a:noFill/>
                    </a:ln>
                  </pic:spPr>
                </pic:pic>
              </a:graphicData>
            </a:graphic>
          </wp:inline>
        </w:drawing>
      </w:r>
    </w:p>
    <w:p w14:paraId="52203104" w14:textId="77777777" w:rsidR="0010347E" w:rsidRPr="0010347E" w:rsidRDefault="0010347E" w:rsidP="0010347E">
      <w:pPr>
        <w:pStyle w:val="TableHeadingcontinued"/>
        <w:rPr>
          <w:rFonts w:ascii="Arial" w:hAnsi="Arial" w:cs="Arial"/>
          <w:b w:val="0"/>
          <w:sz w:val="16"/>
        </w:rPr>
      </w:pPr>
      <w:r w:rsidRPr="0010347E">
        <w:rPr>
          <w:rFonts w:ascii="Arial" w:hAnsi="Arial" w:cs="Arial"/>
          <w:b w:val="0"/>
          <w:sz w:val="16"/>
        </w:rPr>
        <w:t>Prepared on Australian Accounting Standards basis.</w:t>
      </w:r>
      <w:r w:rsidRPr="0010347E">
        <w:rPr>
          <w:rFonts w:ascii="Arial" w:hAnsi="Arial" w:cs="Arial"/>
          <w:b w:val="0"/>
          <w:sz w:val="16"/>
        </w:rPr>
        <w:tab/>
      </w:r>
      <w:r w:rsidRPr="0010347E">
        <w:rPr>
          <w:rFonts w:ascii="Arial" w:hAnsi="Arial" w:cs="Arial"/>
          <w:b w:val="0"/>
          <w:sz w:val="16"/>
        </w:rPr>
        <w:tab/>
      </w:r>
      <w:r w:rsidRPr="0010347E">
        <w:rPr>
          <w:rFonts w:ascii="Arial" w:hAnsi="Arial" w:cs="Arial"/>
          <w:b w:val="0"/>
          <w:sz w:val="16"/>
        </w:rPr>
        <w:tab/>
      </w:r>
      <w:r w:rsidRPr="0010347E">
        <w:rPr>
          <w:rFonts w:ascii="Arial" w:hAnsi="Arial" w:cs="Arial"/>
          <w:b w:val="0"/>
          <w:sz w:val="16"/>
        </w:rPr>
        <w:tab/>
      </w:r>
      <w:r w:rsidRPr="0010347E">
        <w:rPr>
          <w:rFonts w:ascii="Arial" w:hAnsi="Arial" w:cs="Arial"/>
          <w:b w:val="0"/>
          <w:sz w:val="16"/>
        </w:rPr>
        <w:tab/>
      </w:r>
    </w:p>
    <w:p w14:paraId="38054F47" w14:textId="77777777" w:rsidR="00F2151C" w:rsidRPr="00AD42E2" w:rsidRDefault="0010347E" w:rsidP="0010347E">
      <w:pPr>
        <w:pStyle w:val="TableHeadingcontinued"/>
      </w:pPr>
      <w:r w:rsidRPr="0010347E">
        <w:rPr>
          <w:rFonts w:ascii="Arial" w:hAnsi="Arial" w:cs="Arial"/>
          <w:b w:val="0"/>
          <w:sz w:val="16"/>
        </w:rPr>
        <w:t>*Equity is the residual interest in assets after the deduction of liabilities.</w:t>
      </w:r>
      <w:r w:rsidRPr="0010347E">
        <w:rPr>
          <w:sz w:val="16"/>
        </w:rPr>
        <w:t xml:space="preserve"> </w:t>
      </w:r>
      <w:r>
        <w:tab/>
      </w:r>
      <w:r>
        <w:tab/>
      </w:r>
      <w:r>
        <w:tab/>
      </w:r>
      <w:r>
        <w:tab/>
      </w:r>
      <w:r>
        <w:tab/>
      </w:r>
      <w:r w:rsidR="00F2151C">
        <w:br w:type="page"/>
      </w:r>
      <w:r w:rsidR="00F2151C" w:rsidRPr="00AD42E2">
        <w:t xml:space="preserve"> </w:t>
      </w:r>
    </w:p>
    <w:p w14:paraId="3EBF350E" w14:textId="77777777" w:rsidR="00F2151C" w:rsidRDefault="00F2151C" w:rsidP="00F2151C">
      <w:pPr>
        <w:pStyle w:val="TableHeading"/>
        <w:rPr>
          <w:rFonts w:ascii="Times New Roman" w:hAnsi="Times New Roman"/>
        </w:rPr>
      </w:pPr>
      <w:r w:rsidRPr="00AD42E2">
        <w:t>Table 3.3: Departmental statement of changes in equity — summary of</w:t>
      </w:r>
      <w:r>
        <w:t xml:space="preserve"> movement (Budget year </w:t>
      </w:r>
      <w:r>
        <w:rPr>
          <w:lang w:val="en-AU"/>
        </w:rPr>
        <w:t>2022-23</w:t>
      </w:r>
      <w:r w:rsidRPr="00D30CBA">
        <w:t>)</w:t>
      </w:r>
    </w:p>
    <w:p w14:paraId="486320E5" w14:textId="77777777" w:rsidR="0010347E" w:rsidRPr="0010347E" w:rsidRDefault="00F2151C" w:rsidP="0010347E">
      <w:pPr>
        <w:spacing w:after="0" w:line="240" w:lineRule="auto"/>
        <w:rPr>
          <w:rFonts w:ascii="Arial" w:hAnsi="Arial" w:cs="Arial"/>
          <w:color w:val="000000"/>
          <w:sz w:val="16"/>
          <w:szCs w:val="16"/>
        </w:rPr>
      </w:pPr>
      <w:r w:rsidRPr="002376AD">
        <w:t xml:space="preserve"> </w:t>
      </w:r>
      <w:r w:rsidR="005263E1" w:rsidRPr="005263E1">
        <w:rPr>
          <w:noProof/>
        </w:rPr>
        <w:drawing>
          <wp:inline distT="0" distB="0" distL="0" distR="0" wp14:anchorId="5A944485" wp14:editId="05157B56">
            <wp:extent cx="4445000" cy="19685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445000" cy="1968500"/>
                    </a:xfrm>
                    <a:prstGeom prst="rect">
                      <a:avLst/>
                    </a:prstGeom>
                    <a:noFill/>
                    <a:ln>
                      <a:noFill/>
                    </a:ln>
                  </pic:spPr>
                </pic:pic>
              </a:graphicData>
            </a:graphic>
          </wp:inline>
        </w:drawing>
      </w:r>
      <w:r w:rsidR="0010347E" w:rsidRPr="0010347E">
        <w:rPr>
          <w:rFonts w:ascii="Arial" w:hAnsi="Arial" w:cs="Arial"/>
          <w:color w:val="000000"/>
          <w:sz w:val="16"/>
          <w:szCs w:val="16"/>
        </w:rPr>
        <w:t xml:space="preserve"> Prepared on Australian Accounting Standards basis.</w:t>
      </w:r>
    </w:p>
    <w:p w14:paraId="1DF1BD9F" w14:textId="77777777" w:rsidR="00F2151C" w:rsidRDefault="00F2151C" w:rsidP="00F2151C">
      <w:pPr>
        <w:pStyle w:val="TableGraphic"/>
      </w:pPr>
    </w:p>
    <w:p w14:paraId="5E043ABA" w14:textId="77777777" w:rsidR="00F2151C" w:rsidRPr="00A00283" w:rsidRDefault="00F2151C" w:rsidP="00F2151C">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634DD3B9" w14:textId="77777777" w:rsidR="00F2151C" w:rsidRPr="00F10305" w:rsidRDefault="00E50DB8" w:rsidP="00F2151C">
      <w:pPr>
        <w:pStyle w:val="TableGraphic"/>
        <w:tabs>
          <w:tab w:val="left" w:pos="6237"/>
        </w:tabs>
      </w:pPr>
      <w:r w:rsidRPr="00E50DB8">
        <w:rPr>
          <w:noProof/>
        </w:rPr>
        <w:drawing>
          <wp:inline distT="0" distB="0" distL="0" distR="0" wp14:anchorId="24293DA1" wp14:editId="5D2E037B">
            <wp:extent cx="4756150" cy="5664200"/>
            <wp:effectExtent l="0" t="0" r="635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756150" cy="5664200"/>
                    </a:xfrm>
                    <a:prstGeom prst="rect">
                      <a:avLst/>
                    </a:prstGeom>
                    <a:noFill/>
                    <a:ln>
                      <a:noFill/>
                    </a:ln>
                  </pic:spPr>
                </pic:pic>
              </a:graphicData>
            </a:graphic>
          </wp:inline>
        </w:drawing>
      </w:r>
    </w:p>
    <w:p w14:paraId="3BC05E76" w14:textId="77777777" w:rsidR="0010347E" w:rsidRPr="0010347E" w:rsidRDefault="0010347E" w:rsidP="0010347E">
      <w:pPr>
        <w:spacing w:after="0" w:line="240" w:lineRule="auto"/>
        <w:rPr>
          <w:rFonts w:ascii="Arial" w:hAnsi="Arial" w:cs="Arial"/>
          <w:color w:val="000000"/>
          <w:sz w:val="16"/>
          <w:szCs w:val="16"/>
        </w:rPr>
      </w:pPr>
      <w:r w:rsidRPr="0010347E">
        <w:rPr>
          <w:rFonts w:ascii="Arial" w:hAnsi="Arial" w:cs="Arial"/>
          <w:color w:val="000000"/>
          <w:sz w:val="16"/>
          <w:szCs w:val="16"/>
        </w:rPr>
        <w:t>Prepared on Australian Accounting Standards basis.</w:t>
      </w:r>
    </w:p>
    <w:p w14:paraId="5DF4B12D" w14:textId="77777777" w:rsidR="0010347E" w:rsidRDefault="0010347E" w:rsidP="0010347E">
      <w:pPr>
        <w:pStyle w:val="TableGraphic"/>
      </w:pPr>
    </w:p>
    <w:p w14:paraId="0F3E0329" w14:textId="77777777" w:rsidR="00F2151C" w:rsidRPr="00A00283" w:rsidRDefault="00F2151C" w:rsidP="00F2151C">
      <w:pPr>
        <w:pStyle w:val="TableHeadingcontinued"/>
      </w:pPr>
      <w:r>
        <w:br w:type="page"/>
      </w:r>
      <w:r w:rsidRPr="00D30CBA">
        <w:t>Table</w:t>
      </w:r>
      <w:r>
        <w:t xml:space="preserve"> 3.5</w:t>
      </w:r>
      <w:r w:rsidRPr="00D30CBA">
        <w:t xml:space="preserve">: </w:t>
      </w:r>
      <w:r>
        <w:t>Departmental capital budget statement (for the period ended 30 June)</w:t>
      </w:r>
    </w:p>
    <w:p w14:paraId="590C0061" w14:textId="77777777" w:rsidR="0010347E" w:rsidRPr="0010347E" w:rsidRDefault="00354C39" w:rsidP="0010347E">
      <w:pPr>
        <w:pStyle w:val="TableGraphic"/>
        <w:rPr>
          <w:rFonts w:ascii="Arial" w:hAnsi="Arial" w:cs="Arial"/>
          <w:sz w:val="16"/>
        </w:rPr>
      </w:pPr>
      <w:r w:rsidRPr="00354C39">
        <w:rPr>
          <w:noProof/>
        </w:rPr>
        <w:drawing>
          <wp:inline distT="0" distB="0" distL="0" distR="0" wp14:anchorId="49487627" wp14:editId="7BE9824B">
            <wp:extent cx="4895850" cy="1834293"/>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895850" cy="1834293"/>
                    </a:xfrm>
                    <a:prstGeom prst="rect">
                      <a:avLst/>
                    </a:prstGeom>
                    <a:noFill/>
                    <a:ln>
                      <a:noFill/>
                    </a:ln>
                  </pic:spPr>
                </pic:pic>
              </a:graphicData>
            </a:graphic>
          </wp:inline>
        </w:drawing>
      </w:r>
      <w:r w:rsidR="0010347E" w:rsidRPr="0010347E">
        <w:t xml:space="preserve"> </w:t>
      </w:r>
      <w:r w:rsidR="0010347E" w:rsidRPr="0010347E">
        <w:rPr>
          <w:rFonts w:ascii="Arial" w:hAnsi="Arial" w:cs="Arial"/>
          <w:sz w:val="16"/>
        </w:rPr>
        <w:t>Prepared on Australian Accounting Standards basis.</w:t>
      </w:r>
    </w:p>
    <w:p w14:paraId="3C7763D4" w14:textId="77777777" w:rsidR="0010347E" w:rsidRPr="00CA41DD" w:rsidRDefault="0010347E" w:rsidP="00354C39">
      <w:pPr>
        <w:pStyle w:val="TableGraphic"/>
        <w:numPr>
          <w:ilvl w:val="0"/>
          <w:numId w:val="163"/>
        </w:numPr>
        <w:ind w:left="357" w:right="0" w:hanging="357"/>
        <w:jc w:val="left"/>
        <w:rPr>
          <w:rFonts w:ascii="Arial" w:hAnsi="Arial" w:cs="Arial"/>
          <w:sz w:val="16"/>
        </w:rPr>
      </w:pPr>
      <w:r w:rsidRPr="0010347E">
        <w:rPr>
          <w:rFonts w:ascii="Arial" w:hAnsi="Arial" w:cs="Arial"/>
          <w:sz w:val="16"/>
        </w:rPr>
        <w:t>Includes the following sources of funding:</w:t>
      </w:r>
      <w:r w:rsidR="00354C39">
        <w:rPr>
          <w:rFonts w:ascii="Arial" w:hAnsi="Arial" w:cs="Arial"/>
          <w:sz w:val="16"/>
        </w:rPr>
        <w:br/>
      </w:r>
      <w:r w:rsidRPr="00CA41DD">
        <w:rPr>
          <w:rFonts w:ascii="Arial" w:hAnsi="Arial" w:cs="Arial"/>
          <w:sz w:val="16"/>
        </w:rPr>
        <w:t>- current Bill 1 and prior year Act 1/3/5 appropriations (excluding amounts from the DCB).</w:t>
      </w:r>
      <w:r>
        <w:tab/>
      </w:r>
      <w:r>
        <w:tab/>
      </w:r>
      <w:r>
        <w:tab/>
      </w:r>
      <w:r>
        <w:tab/>
      </w:r>
    </w:p>
    <w:p w14:paraId="4B3D86A5" w14:textId="77777777" w:rsidR="00E50DB8" w:rsidRDefault="00E50DB8">
      <w:pPr>
        <w:spacing w:after="0" w:line="240" w:lineRule="auto"/>
        <w:jc w:val="left"/>
      </w:pPr>
      <w:r>
        <w:br w:type="page"/>
      </w:r>
    </w:p>
    <w:p w14:paraId="12633E7D" w14:textId="77777777" w:rsidR="00F2151C" w:rsidRDefault="0010347E" w:rsidP="004138AD">
      <w:pPr>
        <w:spacing w:after="0" w:line="240" w:lineRule="auto"/>
        <w:jc w:val="left"/>
      </w:pPr>
      <w:r>
        <w:tab/>
      </w:r>
      <w:r>
        <w:tab/>
      </w:r>
    </w:p>
    <w:p w14:paraId="0460ED06" w14:textId="77777777" w:rsidR="004138AD" w:rsidRPr="00A00283" w:rsidRDefault="004138AD" w:rsidP="004138AD">
      <w:pPr>
        <w:pStyle w:val="TableHeadingcontinued"/>
      </w:pPr>
      <w:r w:rsidRPr="00D30CBA">
        <w:t>Table</w:t>
      </w:r>
      <w:r>
        <w:t xml:space="preserve"> 3.6</w:t>
      </w:r>
      <w:r w:rsidRPr="00D30CBA">
        <w:t xml:space="preserve">: </w:t>
      </w:r>
      <w:r w:rsidRPr="00F52A3D">
        <w:t>Statement of departmental asset movements (Budget year 202</w:t>
      </w:r>
      <w:r>
        <w:t>2</w:t>
      </w:r>
      <w:r w:rsidRPr="00F52A3D">
        <w:t>-2</w:t>
      </w:r>
      <w:r>
        <w:t>3</w:t>
      </w:r>
      <w:r w:rsidRPr="00F52A3D">
        <w:t>)</w:t>
      </w:r>
    </w:p>
    <w:bookmarkEnd w:id="113"/>
    <w:bookmarkEnd w:id="114"/>
    <w:p w14:paraId="1571A7B8" w14:textId="77777777" w:rsidR="000C3B86" w:rsidRDefault="006F3572" w:rsidP="006F3572">
      <w:pPr>
        <w:spacing w:after="0" w:line="240" w:lineRule="auto"/>
        <w:jc w:val="left"/>
      </w:pPr>
      <w:r w:rsidRPr="004138AD">
        <w:rPr>
          <w:noProof/>
        </w:rPr>
        <w:drawing>
          <wp:inline distT="0" distB="0" distL="0" distR="0" wp14:anchorId="48386611" wp14:editId="36B06687">
            <wp:extent cx="4849495" cy="4490720"/>
            <wp:effectExtent l="0" t="0" r="8255" b="508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849495" cy="4490720"/>
                    </a:xfrm>
                    <a:prstGeom prst="rect">
                      <a:avLst/>
                    </a:prstGeom>
                    <a:noFill/>
                    <a:ln>
                      <a:noFill/>
                    </a:ln>
                  </pic:spPr>
                </pic:pic>
              </a:graphicData>
            </a:graphic>
          </wp:inline>
        </w:drawing>
      </w:r>
    </w:p>
    <w:p w14:paraId="443BFB96" w14:textId="77777777" w:rsidR="00751DCE" w:rsidRPr="00751DCE" w:rsidRDefault="00751DCE" w:rsidP="00751DCE">
      <w:pPr>
        <w:spacing w:after="0" w:line="240" w:lineRule="auto"/>
        <w:rPr>
          <w:rFonts w:ascii="Arial" w:hAnsi="Arial" w:cs="Arial"/>
          <w:color w:val="000000"/>
          <w:sz w:val="16"/>
          <w:szCs w:val="16"/>
        </w:rPr>
      </w:pPr>
      <w:r w:rsidRPr="00751DCE">
        <w:rPr>
          <w:rFonts w:ascii="Arial" w:hAnsi="Arial" w:cs="Arial"/>
          <w:color w:val="000000"/>
          <w:sz w:val="16"/>
          <w:szCs w:val="16"/>
        </w:rPr>
        <w:t>Prepared on Australian Accounting Standards basis.</w:t>
      </w:r>
    </w:p>
    <w:p w14:paraId="4C2F76BE" w14:textId="77777777" w:rsidR="00751DCE" w:rsidRPr="00451433" w:rsidRDefault="00751DCE" w:rsidP="008A2254">
      <w:pPr>
        <w:pStyle w:val="ListParagraph"/>
        <w:numPr>
          <w:ilvl w:val="4"/>
          <w:numId w:val="19"/>
        </w:numPr>
        <w:spacing w:after="0" w:line="240" w:lineRule="auto"/>
        <w:rPr>
          <w:rFonts w:ascii="Arial" w:hAnsi="Arial" w:cs="Arial"/>
          <w:sz w:val="16"/>
          <w:szCs w:val="16"/>
        </w:rPr>
      </w:pPr>
      <w:r w:rsidRPr="00451433">
        <w:rPr>
          <w:rFonts w:ascii="Arial" w:hAnsi="Arial" w:cs="Arial"/>
          <w:sz w:val="16"/>
          <w:szCs w:val="16"/>
        </w:rPr>
        <w:t xml:space="preserve">'Appropriation ordinary annual services' refers to funding provided through </w:t>
      </w:r>
      <w:r w:rsidR="00451433" w:rsidRPr="00451433">
        <w:rPr>
          <w:rFonts w:ascii="Arial" w:hAnsi="Arial" w:cs="Arial"/>
          <w:iCs/>
          <w:sz w:val="16"/>
          <w:szCs w:val="16"/>
        </w:rPr>
        <w:t>Appropriation Bill (No.1) 2022</w:t>
      </w:r>
      <w:r w:rsidR="00451433" w:rsidRPr="00451433">
        <w:rPr>
          <w:rFonts w:ascii="Arial" w:hAnsi="Arial" w:cs="Arial"/>
          <w:iCs/>
          <w:sz w:val="16"/>
          <w:szCs w:val="16"/>
        </w:rPr>
        <w:noBreakHyphen/>
      </w:r>
      <w:r w:rsidRPr="00451433">
        <w:rPr>
          <w:rFonts w:ascii="Arial" w:hAnsi="Arial" w:cs="Arial"/>
          <w:iCs/>
          <w:sz w:val="16"/>
          <w:szCs w:val="16"/>
        </w:rPr>
        <w:t>23</w:t>
      </w:r>
      <w:r w:rsidRPr="00451433">
        <w:rPr>
          <w:rFonts w:ascii="Arial" w:hAnsi="Arial" w:cs="Arial"/>
          <w:sz w:val="16"/>
          <w:szCs w:val="16"/>
        </w:rPr>
        <w:t xml:space="preserve"> for depreciation/amortisation expenses, DCBs or other operational expenses.</w:t>
      </w:r>
    </w:p>
    <w:p w14:paraId="53EB3B47" w14:textId="77777777" w:rsidR="00751DCE" w:rsidRDefault="00751DCE" w:rsidP="000C3B86"/>
    <w:p w14:paraId="024DEDFC" w14:textId="77777777" w:rsidR="005223D4" w:rsidRDefault="00751DCE">
      <w:pPr>
        <w:spacing w:after="0" w:line="240" w:lineRule="auto"/>
        <w:jc w:val="left"/>
        <w:sectPr w:rsidR="005223D4" w:rsidSect="00327149">
          <w:headerReference w:type="first" r:id="rId463"/>
          <w:footerReference w:type="first" r:id="rId464"/>
          <w:type w:val="continuous"/>
          <w:pgSz w:w="11906" w:h="16838" w:code="9"/>
          <w:pgMar w:top="2835" w:right="2098" w:bottom="2466" w:left="2098" w:header="1814" w:footer="1814" w:gutter="0"/>
          <w:cols w:space="708"/>
          <w:titlePg/>
          <w:docGrid w:linePitch="360"/>
        </w:sectPr>
      </w:pPr>
      <w:r>
        <w:br w:type="page"/>
      </w:r>
    </w:p>
    <w:p w14:paraId="02AF9233" w14:textId="77777777" w:rsidR="00C103FD" w:rsidRDefault="00C103FD">
      <w:pPr>
        <w:spacing w:after="0" w:line="240" w:lineRule="auto"/>
        <w:jc w:val="left"/>
        <w:sectPr w:rsidR="00C103FD" w:rsidSect="00C103FD">
          <w:headerReference w:type="first" r:id="rId465"/>
          <w:footerReference w:type="first" r:id="rId466"/>
          <w:type w:val="continuous"/>
          <w:pgSz w:w="11906" w:h="16838" w:code="9"/>
          <w:pgMar w:top="2835" w:right="2098" w:bottom="2466" w:left="2098" w:header="1814" w:footer="1814" w:gutter="0"/>
          <w:cols w:space="708"/>
          <w:vAlign w:val="center"/>
          <w:titlePg/>
          <w:docGrid w:linePitch="360"/>
        </w:sectPr>
      </w:pPr>
    </w:p>
    <w:p w14:paraId="2488641B" w14:textId="77777777" w:rsidR="00751DCE" w:rsidRDefault="00751DCE">
      <w:pPr>
        <w:spacing w:after="0" w:line="240" w:lineRule="auto"/>
        <w:jc w:val="left"/>
      </w:pPr>
    </w:p>
    <w:p w14:paraId="1F75256A" w14:textId="77777777" w:rsidR="005223D4" w:rsidRDefault="005223D4" w:rsidP="004036D5">
      <w:pPr>
        <w:pStyle w:val="PartHeading"/>
        <w:sectPr w:rsidR="005223D4" w:rsidSect="00503FD8">
          <w:headerReference w:type="even" r:id="rId467"/>
          <w:headerReference w:type="default" r:id="rId468"/>
          <w:footerReference w:type="even" r:id="rId469"/>
          <w:footerReference w:type="default" r:id="rId470"/>
          <w:headerReference w:type="first" r:id="rId471"/>
          <w:footerReference w:type="first" r:id="rId472"/>
          <w:type w:val="oddPage"/>
          <w:pgSz w:w="11906" w:h="16838" w:code="9"/>
          <w:pgMar w:top="2835" w:right="2098" w:bottom="2466" w:left="2098" w:header="1814" w:footer="1814" w:gutter="0"/>
          <w:cols w:space="708"/>
          <w:titlePg/>
          <w:docGrid w:linePitch="360"/>
        </w:sectPr>
      </w:pPr>
    </w:p>
    <w:p w14:paraId="6C291BE3" w14:textId="77777777" w:rsidR="00C103FD" w:rsidRDefault="00C103FD" w:rsidP="004036D5">
      <w:pPr>
        <w:pStyle w:val="PartHeading"/>
      </w:pPr>
    </w:p>
    <w:p w14:paraId="001FBF24" w14:textId="77777777" w:rsidR="00C103FD" w:rsidRDefault="00C103FD" w:rsidP="00C103FD">
      <w:pPr>
        <w:rPr>
          <w:rFonts w:ascii="Arial Bold" w:hAnsi="Arial Bold" w:cs="Arial"/>
          <w:kern w:val="28"/>
          <w:sz w:val="52"/>
          <w:szCs w:val="32"/>
        </w:rPr>
      </w:pPr>
    </w:p>
    <w:p w14:paraId="5CF47C4D" w14:textId="77777777" w:rsidR="004036D5" w:rsidRPr="005A7C0B" w:rsidRDefault="004036D5" w:rsidP="005223D4">
      <w:pPr>
        <w:pStyle w:val="PartHeading"/>
      </w:pPr>
      <w:r>
        <w:t>Workplace Gender Equality Agency</w:t>
      </w:r>
    </w:p>
    <w:p w14:paraId="2A5186F8" w14:textId="77777777" w:rsidR="004036D5" w:rsidRDefault="004036D5" w:rsidP="005223D4">
      <w:pPr>
        <w:pStyle w:val="PartHeading"/>
      </w:pPr>
    </w:p>
    <w:p w14:paraId="14B396A9" w14:textId="77777777" w:rsidR="004036D5" w:rsidRDefault="004036D5" w:rsidP="005223D4">
      <w:pPr>
        <w:pStyle w:val="PartHeading"/>
      </w:pPr>
    </w:p>
    <w:p w14:paraId="48A79E92" w14:textId="77777777" w:rsidR="005223D4" w:rsidRDefault="004036D5" w:rsidP="005223D4">
      <w:pPr>
        <w:pStyle w:val="PartHeading-TOC"/>
      </w:pPr>
      <w:bookmarkStart w:id="1094" w:name="_Toc99011817"/>
      <w:bookmarkStart w:id="1095" w:name="_Toc99201066"/>
      <w:r>
        <w:t>Entity resources and planned performance</w:t>
      </w:r>
      <w:bookmarkEnd w:id="1094"/>
      <w:bookmarkEnd w:id="1095"/>
    </w:p>
    <w:p w14:paraId="617B2453" w14:textId="77777777" w:rsidR="005223D4" w:rsidRDefault="005223D4" w:rsidP="005223D4">
      <w:pPr>
        <w:rPr>
          <w:rFonts w:ascii="Arial Bold" w:hAnsi="Arial Bold" w:cs="Arial"/>
          <w:kern w:val="28"/>
          <w:sz w:val="52"/>
          <w:szCs w:val="32"/>
        </w:rPr>
      </w:pPr>
      <w:r>
        <w:br w:type="page"/>
      </w:r>
    </w:p>
    <w:p w14:paraId="4C2D6376" w14:textId="77777777" w:rsidR="005223D4" w:rsidRDefault="005223D4" w:rsidP="005223D4">
      <w:pPr>
        <w:pStyle w:val="PartHeading-TOC"/>
      </w:pPr>
    </w:p>
    <w:p w14:paraId="044D8182" w14:textId="77777777" w:rsidR="005223D4" w:rsidRDefault="005223D4" w:rsidP="005223D4">
      <w:pPr>
        <w:rPr>
          <w:rFonts w:ascii="Arial Bold" w:hAnsi="Arial Bold" w:cs="Arial"/>
          <w:kern w:val="28"/>
          <w:sz w:val="52"/>
          <w:szCs w:val="32"/>
        </w:rPr>
      </w:pPr>
      <w:r>
        <w:br w:type="page"/>
      </w:r>
    </w:p>
    <w:p w14:paraId="2C6E1153" w14:textId="77777777" w:rsidR="004036D5" w:rsidRDefault="004036D5" w:rsidP="005223D4">
      <w:pPr>
        <w:pStyle w:val="PartHeading-TOC"/>
      </w:pPr>
    </w:p>
    <w:p w14:paraId="159B605E" w14:textId="77777777" w:rsidR="004036D5" w:rsidRPr="002A32FD" w:rsidRDefault="004036D5" w:rsidP="004036D5">
      <w:pPr>
        <w:pStyle w:val="ContentsHeading"/>
      </w:pPr>
      <w:r>
        <w:t>Workplace Gender Equality Agency</w:t>
      </w:r>
    </w:p>
    <w:p w14:paraId="04CCA701" w14:textId="77777777" w:rsidR="005223D4" w:rsidRDefault="004036D5">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99008214" w:history="1">
        <w:r w:rsidR="005223D4" w:rsidRPr="00807D53">
          <w:rPr>
            <w:rStyle w:val="Hyperlink"/>
            <w:noProof/>
          </w:rPr>
          <w:t>Section 1: Entity overview and resources</w:t>
        </w:r>
        <w:r w:rsidR="005223D4">
          <w:rPr>
            <w:noProof/>
            <w:webHidden/>
          </w:rPr>
          <w:tab/>
        </w:r>
        <w:r w:rsidR="005223D4">
          <w:rPr>
            <w:noProof/>
            <w:webHidden/>
          </w:rPr>
          <w:fldChar w:fldCharType="begin"/>
        </w:r>
        <w:r w:rsidR="005223D4">
          <w:rPr>
            <w:noProof/>
            <w:webHidden/>
          </w:rPr>
          <w:instrText xml:space="preserve"> PAGEREF _Toc99008214 \h </w:instrText>
        </w:r>
        <w:r w:rsidR="005223D4">
          <w:rPr>
            <w:noProof/>
            <w:webHidden/>
          </w:rPr>
        </w:r>
        <w:r w:rsidR="005223D4">
          <w:rPr>
            <w:noProof/>
            <w:webHidden/>
          </w:rPr>
          <w:fldChar w:fldCharType="separate"/>
        </w:r>
        <w:r w:rsidR="00AC2929">
          <w:rPr>
            <w:noProof/>
            <w:webHidden/>
          </w:rPr>
          <w:t>371</w:t>
        </w:r>
        <w:r w:rsidR="005223D4">
          <w:rPr>
            <w:noProof/>
            <w:webHidden/>
          </w:rPr>
          <w:fldChar w:fldCharType="end"/>
        </w:r>
      </w:hyperlink>
    </w:p>
    <w:p w14:paraId="3A2F9553" w14:textId="77777777" w:rsidR="005223D4" w:rsidRDefault="00A76B91">
      <w:pPr>
        <w:pStyle w:val="TOC2"/>
        <w:tabs>
          <w:tab w:val="left" w:pos="800"/>
        </w:tabs>
        <w:rPr>
          <w:rFonts w:asciiTheme="minorHAnsi" w:eastAsiaTheme="minorEastAsia" w:hAnsiTheme="minorHAnsi" w:cstheme="minorBidi"/>
          <w:noProof/>
          <w:sz w:val="22"/>
          <w:szCs w:val="22"/>
        </w:rPr>
      </w:pPr>
      <w:hyperlink w:anchor="_Toc99008215" w:history="1">
        <w:r w:rsidR="005223D4" w:rsidRPr="00807D53">
          <w:rPr>
            <w:rStyle w:val="Hyperlink"/>
            <w:noProof/>
          </w:rPr>
          <w:t>1.1</w:t>
        </w:r>
        <w:r w:rsidR="005223D4">
          <w:rPr>
            <w:rFonts w:asciiTheme="minorHAnsi" w:eastAsiaTheme="minorEastAsia" w:hAnsiTheme="minorHAnsi" w:cstheme="minorBidi"/>
            <w:noProof/>
            <w:sz w:val="22"/>
            <w:szCs w:val="22"/>
          </w:rPr>
          <w:tab/>
        </w:r>
        <w:r w:rsidR="005223D4" w:rsidRPr="00807D53">
          <w:rPr>
            <w:rStyle w:val="Hyperlink"/>
            <w:noProof/>
          </w:rPr>
          <w:t>Strategic direction statement</w:t>
        </w:r>
        <w:r w:rsidR="005223D4">
          <w:rPr>
            <w:noProof/>
            <w:webHidden/>
          </w:rPr>
          <w:tab/>
        </w:r>
        <w:r w:rsidR="005223D4">
          <w:rPr>
            <w:noProof/>
            <w:webHidden/>
          </w:rPr>
          <w:fldChar w:fldCharType="begin"/>
        </w:r>
        <w:r w:rsidR="005223D4">
          <w:rPr>
            <w:noProof/>
            <w:webHidden/>
          </w:rPr>
          <w:instrText xml:space="preserve"> PAGEREF _Toc99008215 \h </w:instrText>
        </w:r>
        <w:r w:rsidR="005223D4">
          <w:rPr>
            <w:noProof/>
            <w:webHidden/>
          </w:rPr>
        </w:r>
        <w:r w:rsidR="005223D4">
          <w:rPr>
            <w:noProof/>
            <w:webHidden/>
          </w:rPr>
          <w:fldChar w:fldCharType="separate"/>
        </w:r>
        <w:r w:rsidR="00AC2929">
          <w:rPr>
            <w:noProof/>
            <w:webHidden/>
          </w:rPr>
          <w:t>371</w:t>
        </w:r>
        <w:r w:rsidR="005223D4">
          <w:rPr>
            <w:noProof/>
            <w:webHidden/>
          </w:rPr>
          <w:fldChar w:fldCharType="end"/>
        </w:r>
      </w:hyperlink>
    </w:p>
    <w:p w14:paraId="4E806153" w14:textId="77777777" w:rsidR="005223D4" w:rsidRDefault="00A76B91">
      <w:pPr>
        <w:pStyle w:val="TOC2"/>
        <w:tabs>
          <w:tab w:val="left" w:pos="800"/>
        </w:tabs>
        <w:rPr>
          <w:rFonts w:asciiTheme="minorHAnsi" w:eastAsiaTheme="minorEastAsia" w:hAnsiTheme="minorHAnsi" w:cstheme="minorBidi"/>
          <w:noProof/>
          <w:sz w:val="22"/>
          <w:szCs w:val="22"/>
        </w:rPr>
      </w:pPr>
      <w:hyperlink w:anchor="_Toc99008216" w:history="1">
        <w:r w:rsidR="005223D4" w:rsidRPr="00807D53">
          <w:rPr>
            <w:rStyle w:val="Hyperlink"/>
            <w:noProof/>
          </w:rPr>
          <w:t>1.2</w:t>
        </w:r>
        <w:r w:rsidR="005223D4">
          <w:rPr>
            <w:rFonts w:asciiTheme="minorHAnsi" w:eastAsiaTheme="minorEastAsia" w:hAnsiTheme="minorHAnsi" w:cstheme="minorBidi"/>
            <w:noProof/>
            <w:sz w:val="22"/>
            <w:szCs w:val="22"/>
          </w:rPr>
          <w:tab/>
        </w:r>
        <w:r w:rsidR="005223D4" w:rsidRPr="00807D53">
          <w:rPr>
            <w:rStyle w:val="Hyperlink"/>
            <w:noProof/>
          </w:rPr>
          <w:t>Entity resource statement</w:t>
        </w:r>
        <w:r w:rsidR="005223D4">
          <w:rPr>
            <w:noProof/>
            <w:webHidden/>
          </w:rPr>
          <w:tab/>
        </w:r>
        <w:r w:rsidR="005223D4">
          <w:rPr>
            <w:noProof/>
            <w:webHidden/>
          </w:rPr>
          <w:fldChar w:fldCharType="begin"/>
        </w:r>
        <w:r w:rsidR="005223D4">
          <w:rPr>
            <w:noProof/>
            <w:webHidden/>
          </w:rPr>
          <w:instrText xml:space="preserve"> PAGEREF _Toc99008216 \h </w:instrText>
        </w:r>
        <w:r w:rsidR="005223D4">
          <w:rPr>
            <w:noProof/>
            <w:webHidden/>
          </w:rPr>
        </w:r>
        <w:r w:rsidR="005223D4">
          <w:rPr>
            <w:noProof/>
            <w:webHidden/>
          </w:rPr>
          <w:fldChar w:fldCharType="separate"/>
        </w:r>
        <w:r w:rsidR="00AC2929">
          <w:rPr>
            <w:noProof/>
            <w:webHidden/>
          </w:rPr>
          <w:t>374</w:t>
        </w:r>
        <w:r w:rsidR="005223D4">
          <w:rPr>
            <w:noProof/>
            <w:webHidden/>
          </w:rPr>
          <w:fldChar w:fldCharType="end"/>
        </w:r>
      </w:hyperlink>
    </w:p>
    <w:p w14:paraId="2E2294A1" w14:textId="77777777" w:rsidR="005223D4" w:rsidRDefault="00A76B91">
      <w:pPr>
        <w:pStyle w:val="TOC2"/>
        <w:tabs>
          <w:tab w:val="left" w:pos="800"/>
        </w:tabs>
        <w:rPr>
          <w:rFonts w:asciiTheme="minorHAnsi" w:eastAsiaTheme="minorEastAsia" w:hAnsiTheme="minorHAnsi" w:cstheme="minorBidi"/>
          <w:noProof/>
          <w:sz w:val="22"/>
          <w:szCs w:val="22"/>
        </w:rPr>
      </w:pPr>
      <w:hyperlink w:anchor="_Toc99008217" w:history="1">
        <w:r w:rsidR="005223D4" w:rsidRPr="00807D53">
          <w:rPr>
            <w:rStyle w:val="Hyperlink"/>
            <w:noProof/>
          </w:rPr>
          <w:t>1.3</w:t>
        </w:r>
        <w:r w:rsidR="005223D4">
          <w:rPr>
            <w:rFonts w:asciiTheme="minorHAnsi" w:eastAsiaTheme="minorEastAsia" w:hAnsiTheme="minorHAnsi" w:cstheme="minorBidi"/>
            <w:noProof/>
            <w:sz w:val="22"/>
            <w:szCs w:val="22"/>
          </w:rPr>
          <w:tab/>
        </w:r>
        <w:r w:rsidR="005223D4" w:rsidRPr="00807D53">
          <w:rPr>
            <w:rStyle w:val="Hyperlink"/>
            <w:noProof/>
          </w:rPr>
          <w:t>Budget measures</w:t>
        </w:r>
        <w:r w:rsidR="005223D4">
          <w:rPr>
            <w:noProof/>
            <w:webHidden/>
          </w:rPr>
          <w:tab/>
        </w:r>
        <w:r w:rsidR="005223D4">
          <w:rPr>
            <w:noProof/>
            <w:webHidden/>
          </w:rPr>
          <w:fldChar w:fldCharType="begin"/>
        </w:r>
        <w:r w:rsidR="005223D4">
          <w:rPr>
            <w:noProof/>
            <w:webHidden/>
          </w:rPr>
          <w:instrText xml:space="preserve"> PAGEREF _Toc99008217 \h </w:instrText>
        </w:r>
        <w:r w:rsidR="005223D4">
          <w:rPr>
            <w:noProof/>
            <w:webHidden/>
          </w:rPr>
        </w:r>
        <w:r w:rsidR="005223D4">
          <w:rPr>
            <w:noProof/>
            <w:webHidden/>
          </w:rPr>
          <w:fldChar w:fldCharType="separate"/>
        </w:r>
        <w:r w:rsidR="00AC2929">
          <w:rPr>
            <w:noProof/>
            <w:webHidden/>
          </w:rPr>
          <w:t>375</w:t>
        </w:r>
        <w:r w:rsidR="005223D4">
          <w:rPr>
            <w:noProof/>
            <w:webHidden/>
          </w:rPr>
          <w:fldChar w:fldCharType="end"/>
        </w:r>
      </w:hyperlink>
    </w:p>
    <w:p w14:paraId="7FACB868" w14:textId="77777777" w:rsidR="005223D4" w:rsidRDefault="00A76B91">
      <w:pPr>
        <w:pStyle w:val="TOC1"/>
        <w:rPr>
          <w:rFonts w:asciiTheme="minorHAnsi" w:eastAsiaTheme="minorEastAsia" w:hAnsiTheme="minorHAnsi" w:cstheme="minorBidi"/>
          <w:b w:val="0"/>
          <w:caps w:val="0"/>
          <w:noProof/>
          <w:sz w:val="22"/>
          <w:szCs w:val="22"/>
        </w:rPr>
      </w:pPr>
      <w:hyperlink w:anchor="_Toc99008218" w:history="1">
        <w:r w:rsidR="005223D4" w:rsidRPr="00807D53">
          <w:rPr>
            <w:rStyle w:val="Hyperlink"/>
            <w:noProof/>
          </w:rPr>
          <w:t>Section 2: Outcomes and planned performance</w:t>
        </w:r>
        <w:r w:rsidR="005223D4">
          <w:rPr>
            <w:noProof/>
            <w:webHidden/>
          </w:rPr>
          <w:tab/>
        </w:r>
        <w:r w:rsidR="005223D4">
          <w:rPr>
            <w:noProof/>
            <w:webHidden/>
          </w:rPr>
          <w:fldChar w:fldCharType="begin"/>
        </w:r>
        <w:r w:rsidR="005223D4">
          <w:rPr>
            <w:noProof/>
            <w:webHidden/>
          </w:rPr>
          <w:instrText xml:space="preserve"> PAGEREF _Toc99008218 \h </w:instrText>
        </w:r>
        <w:r w:rsidR="005223D4">
          <w:rPr>
            <w:noProof/>
            <w:webHidden/>
          </w:rPr>
        </w:r>
        <w:r w:rsidR="005223D4">
          <w:rPr>
            <w:noProof/>
            <w:webHidden/>
          </w:rPr>
          <w:fldChar w:fldCharType="separate"/>
        </w:r>
        <w:r w:rsidR="00AC2929">
          <w:rPr>
            <w:noProof/>
            <w:webHidden/>
          </w:rPr>
          <w:t>376</w:t>
        </w:r>
        <w:r w:rsidR="005223D4">
          <w:rPr>
            <w:noProof/>
            <w:webHidden/>
          </w:rPr>
          <w:fldChar w:fldCharType="end"/>
        </w:r>
      </w:hyperlink>
    </w:p>
    <w:p w14:paraId="202B5868" w14:textId="77777777" w:rsidR="005223D4" w:rsidRDefault="00A76B91">
      <w:pPr>
        <w:pStyle w:val="TOC2"/>
        <w:tabs>
          <w:tab w:val="left" w:pos="800"/>
        </w:tabs>
        <w:rPr>
          <w:rFonts w:asciiTheme="minorHAnsi" w:eastAsiaTheme="minorEastAsia" w:hAnsiTheme="minorHAnsi" w:cstheme="minorBidi"/>
          <w:noProof/>
          <w:sz w:val="22"/>
          <w:szCs w:val="22"/>
        </w:rPr>
      </w:pPr>
      <w:hyperlink w:anchor="_Toc99008219" w:history="1">
        <w:r w:rsidR="005223D4" w:rsidRPr="00807D53">
          <w:rPr>
            <w:rStyle w:val="Hyperlink"/>
            <w:noProof/>
          </w:rPr>
          <w:t xml:space="preserve">2.1 </w:t>
        </w:r>
        <w:r w:rsidR="005223D4">
          <w:rPr>
            <w:rFonts w:asciiTheme="minorHAnsi" w:eastAsiaTheme="minorEastAsia" w:hAnsiTheme="minorHAnsi" w:cstheme="minorBidi"/>
            <w:noProof/>
            <w:sz w:val="22"/>
            <w:szCs w:val="22"/>
          </w:rPr>
          <w:tab/>
        </w:r>
        <w:r w:rsidR="005223D4" w:rsidRPr="00807D53">
          <w:rPr>
            <w:rStyle w:val="Hyperlink"/>
            <w:noProof/>
          </w:rPr>
          <w:t>Budgeted expenses and performance for Outcome 1</w:t>
        </w:r>
        <w:r w:rsidR="005223D4">
          <w:rPr>
            <w:noProof/>
            <w:webHidden/>
          </w:rPr>
          <w:tab/>
        </w:r>
        <w:r w:rsidR="005223D4">
          <w:rPr>
            <w:noProof/>
            <w:webHidden/>
          </w:rPr>
          <w:fldChar w:fldCharType="begin"/>
        </w:r>
        <w:r w:rsidR="005223D4">
          <w:rPr>
            <w:noProof/>
            <w:webHidden/>
          </w:rPr>
          <w:instrText xml:space="preserve"> PAGEREF _Toc99008219 \h </w:instrText>
        </w:r>
        <w:r w:rsidR="005223D4">
          <w:rPr>
            <w:noProof/>
            <w:webHidden/>
          </w:rPr>
        </w:r>
        <w:r w:rsidR="005223D4">
          <w:rPr>
            <w:noProof/>
            <w:webHidden/>
          </w:rPr>
          <w:fldChar w:fldCharType="separate"/>
        </w:r>
        <w:r w:rsidR="00AC2929">
          <w:rPr>
            <w:noProof/>
            <w:webHidden/>
          </w:rPr>
          <w:t>377</w:t>
        </w:r>
        <w:r w:rsidR="005223D4">
          <w:rPr>
            <w:noProof/>
            <w:webHidden/>
          </w:rPr>
          <w:fldChar w:fldCharType="end"/>
        </w:r>
      </w:hyperlink>
    </w:p>
    <w:p w14:paraId="39EB538A" w14:textId="77777777" w:rsidR="005223D4" w:rsidRDefault="00A76B91">
      <w:pPr>
        <w:pStyle w:val="TOC1"/>
        <w:rPr>
          <w:rFonts w:asciiTheme="minorHAnsi" w:eastAsiaTheme="minorEastAsia" w:hAnsiTheme="minorHAnsi" w:cstheme="minorBidi"/>
          <w:b w:val="0"/>
          <w:caps w:val="0"/>
          <w:noProof/>
          <w:sz w:val="22"/>
          <w:szCs w:val="22"/>
        </w:rPr>
      </w:pPr>
      <w:hyperlink w:anchor="_Toc99008220" w:history="1">
        <w:r w:rsidR="005223D4" w:rsidRPr="00807D53">
          <w:rPr>
            <w:rStyle w:val="Hyperlink"/>
            <w:noProof/>
          </w:rPr>
          <w:t>Section 3: Budgeted financial statements</w:t>
        </w:r>
        <w:r w:rsidR="005223D4">
          <w:rPr>
            <w:noProof/>
            <w:webHidden/>
          </w:rPr>
          <w:tab/>
        </w:r>
        <w:r w:rsidR="005223D4">
          <w:rPr>
            <w:noProof/>
            <w:webHidden/>
          </w:rPr>
          <w:fldChar w:fldCharType="begin"/>
        </w:r>
        <w:r w:rsidR="005223D4">
          <w:rPr>
            <w:noProof/>
            <w:webHidden/>
          </w:rPr>
          <w:instrText xml:space="preserve"> PAGEREF _Toc99008220 \h </w:instrText>
        </w:r>
        <w:r w:rsidR="005223D4">
          <w:rPr>
            <w:noProof/>
            <w:webHidden/>
          </w:rPr>
        </w:r>
        <w:r w:rsidR="005223D4">
          <w:rPr>
            <w:noProof/>
            <w:webHidden/>
          </w:rPr>
          <w:fldChar w:fldCharType="separate"/>
        </w:r>
        <w:r w:rsidR="00AC2929">
          <w:rPr>
            <w:noProof/>
            <w:webHidden/>
          </w:rPr>
          <w:t>380</w:t>
        </w:r>
        <w:r w:rsidR="005223D4">
          <w:rPr>
            <w:noProof/>
            <w:webHidden/>
          </w:rPr>
          <w:fldChar w:fldCharType="end"/>
        </w:r>
      </w:hyperlink>
    </w:p>
    <w:p w14:paraId="13F0B319" w14:textId="77777777" w:rsidR="005223D4" w:rsidRDefault="00A76B91">
      <w:pPr>
        <w:pStyle w:val="TOC2"/>
        <w:tabs>
          <w:tab w:val="left" w:pos="800"/>
        </w:tabs>
        <w:rPr>
          <w:rFonts w:asciiTheme="minorHAnsi" w:eastAsiaTheme="minorEastAsia" w:hAnsiTheme="minorHAnsi" w:cstheme="minorBidi"/>
          <w:noProof/>
          <w:sz w:val="22"/>
          <w:szCs w:val="22"/>
        </w:rPr>
      </w:pPr>
      <w:hyperlink w:anchor="_Toc99008221" w:history="1">
        <w:r w:rsidR="005223D4" w:rsidRPr="00807D53">
          <w:rPr>
            <w:rStyle w:val="Hyperlink"/>
            <w:noProof/>
          </w:rPr>
          <w:t>3.1</w:t>
        </w:r>
        <w:r w:rsidR="005223D4">
          <w:rPr>
            <w:rFonts w:asciiTheme="minorHAnsi" w:eastAsiaTheme="minorEastAsia" w:hAnsiTheme="minorHAnsi" w:cstheme="minorBidi"/>
            <w:noProof/>
            <w:sz w:val="22"/>
            <w:szCs w:val="22"/>
          </w:rPr>
          <w:tab/>
        </w:r>
        <w:r w:rsidR="005223D4" w:rsidRPr="00807D53">
          <w:rPr>
            <w:rStyle w:val="Hyperlink"/>
            <w:noProof/>
          </w:rPr>
          <w:t>Budgeted financial statements</w:t>
        </w:r>
        <w:r w:rsidR="005223D4">
          <w:rPr>
            <w:noProof/>
            <w:webHidden/>
          </w:rPr>
          <w:tab/>
        </w:r>
        <w:r w:rsidR="005223D4">
          <w:rPr>
            <w:noProof/>
            <w:webHidden/>
          </w:rPr>
          <w:fldChar w:fldCharType="begin"/>
        </w:r>
        <w:r w:rsidR="005223D4">
          <w:rPr>
            <w:noProof/>
            <w:webHidden/>
          </w:rPr>
          <w:instrText xml:space="preserve"> PAGEREF _Toc99008221 \h </w:instrText>
        </w:r>
        <w:r w:rsidR="005223D4">
          <w:rPr>
            <w:noProof/>
            <w:webHidden/>
          </w:rPr>
        </w:r>
        <w:r w:rsidR="005223D4">
          <w:rPr>
            <w:noProof/>
            <w:webHidden/>
          </w:rPr>
          <w:fldChar w:fldCharType="separate"/>
        </w:r>
        <w:r w:rsidR="00AC2929">
          <w:rPr>
            <w:noProof/>
            <w:webHidden/>
          </w:rPr>
          <w:t>380</w:t>
        </w:r>
        <w:r w:rsidR="005223D4">
          <w:rPr>
            <w:noProof/>
            <w:webHidden/>
          </w:rPr>
          <w:fldChar w:fldCharType="end"/>
        </w:r>
      </w:hyperlink>
    </w:p>
    <w:p w14:paraId="14137105" w14:textId="77777777" w:rsidR="004036D5" w:rsidRDefault="004036D5" w:rsidP="004036D5">
      <w:pPr>
        <w:pStyle w:val="TOC1"/>
      </w:pPr>
      <w:r>
        <w:fldChar w:fldCharType="end"/>
      </w:r>
    </w:p>
    <w:p w14:paraId="48E3835D" w14:textId="77777777" w:rsidR="004036D5" w:rsidRPr="008B5AFD" w:rsidRDefault="004036D5" w:rsidP="004036D5"/>
    <w:p w14:paraId="5B33699D" w14:textId="77777777" w:rsidR="004036D5" w:rsidRDefault="004036D5" w:rsidP="004036D5">
      <w:pPr>
        <w:spacing w:after="0" w:line="240" w:lineRule="auto"/>
        <w:jc w:val="left"/>
        <w:rPr>
          <w:rFonts w:ascii="Arial Bold" w:hAnsi="Arial Bold"/>
          <w:b/>
          <w:kern w:val="34"/>
          <w:sz w:val="36"/>
        </w:rPr>
      </w:pPr>
      <w:r>
        <w:br w:type="page"/>
      </w:r>
    </w:p>
    <w:p w14:paraId="5E679C47" w14:textId="77777777" w:rsidR="005223D4" w:rsidRDefault="00C103FD" w:rsidP="00C103FD">
      <w:pPr>
        <w:sectPr w:rsidR="005223D4" w:rsidSect="005223D4">
          <w:headerReference w:type="default" r:id="rId473"/>
          <w:footerReference w:type="default" r:id="rId474"/>
          <w:type w:val="continuous"/>
          <w:pgSz w:w="11906" w:h="16838" w:code="9"/>
          <w:pgMar w:top="2835" w:right="2098" w:bottom="2466" w:left="2098" w:header="1814" w:footer="1814" w:gutter="0"/>
          <w:cols w:space="708"/>
          <w:titlePg/>
          <w:docGrid w:linePitch="360"/>
        </w:sectPr>
      </w:pPr>
      <w:r>
        <w:br w:type="page"/>
      </w:r>
    </w:p>
    <w:p w14:paraId="47E32D61" w14:textId="77777777" w:rsidR="004036D5" w:rsidRDefault="004036D5" w:rsidP="004036D5">
      <w:pPr>
        <w:pStyle w:val="Heading1"/>
      </w:pPr>
      <w:bookmarkStart w:id="1096" w:name="_Toc99201067"/>
      <w:r>
        <w:t>Workplace Gender Equality Agency</w:t>
      </w:r>
      <w:bookmarkEnd w:id="1096"/>
    </w:p>
    <w:p w14:paraId="7150B70E" w14:textId="77777777" w:rsidR="004036D5" w:rsidRPr="002C4D41" w:rsidRDefault="004036D5" w:rsidP="004036D5">
      <w:pPr>
        <w:pStyle w:val="Heading2"/>
      </w:pPr>
      <w:bookmarkStart w:id="1097" w:name="_Toc98932958"/>
      <w:bookmarkStart w:id="1098" w:name="_Toc99008214"/>
      <w:bookmarkStart w:id="1099" w:name="_Toc99009576"/>
      <w:bookmarkStart w:id="1100" w:name="_Toc99010804"/>
      <w:bookmarkStart w:id="1101" w:name="_Toc99014039"/>
      <w:bookmarkStart w:id="1102" w:name="_Toc99187614"/>
      <w:bookmarkStart w:id="1103" w:name="_Toc99269736"/>
      <w:r w:rsidRPr="002C4D41">
        <w:t xml:space="preserve">Section 1: Entity overview and </w:t>
      </w:r>
      <w:r>
        <w:t>reso</w:t>
      </w:r>
      <w:r w:rsidRPr="002C4D41">
        <w:t>urces</w:t>
      </w:r>
      <w:bookmarkEnd w:id="1097"/>
      <w:bookmarkEnd w:id="1098"/>
      <w:bookmarkEnd w:id="1099"/>
      <w:bookmarkEnd w:id="1100"/>
      <w:bookmarkEnd w:id="1101"/>
      <w:bookmarkEnd w:id="1102"/>
      <w:bookmarkEnd w:id="1103"/>
    </w:p>
    <w:p w14:paraId="408B859A" w14:textId="77777777" w:rsidR="004036D5" w:rsidRDefault="004036D5" w:rsidP="004036D5">
      <w:pPr>
        <w:pStyle w:val="Heading3"/>
      </w:pPr>
      <w:bookmarkStart w:id="1104" w:name="_Toc98932959"/>
      <w:bookmarkStart w:id="1105" w:name="_Toc99008215"/>
      <w:bookmarkStart w:id="1106" w:name="_Toc99009577"/>
      <w:bookmarkStart w:id="1107" w:name="_Toc99010805"/>
      <w:bookmarkStart w:id="1108" w:name="_Toc99014040"/>
      <w:bookmarkStart w:id="1109" w:name="_Toc99187615"/>
      <w:bookmarkStart w:id="1110" w:name="_Toc99269737"/>
      <w:r>
        <w:t>1.1</w:t>
      </w:r>
      <w:r>
        <w:tab/>
        <w:t>Strategic direction statement</w:t>
      </w:r>
      <w:bookmarkEnd w:id="1104"/>
      <w:bookmarkEnd w:id="1105"/>
      <w:bookmarkEnd w:id="1106"/>
      <w:bookmarkEnd w:id="1107"/>
      <w:bookmarkEnd w:id="1108"/>
      <w:bookmarkEnd w:id="1109"/>
      <w:bookmarkEnd w:id="1110"/>
    </w:p>
    <w:p w14:paraId="439145FA" w14:textId="77777777" w:rsidR="004036D5" w:rsidRPr="000C0E9E" w:rsidRDefault="004036D5" w:rsidP="004036D5">
      <w:r w:rsidRPr="000C0E9E">
        <w:t xml:space="preserve">The Workplace Gender Equality Agency (WGEA) is established by the </w:t>
      </w:r>
      <w:r w:rsidRPr="000C0E9E">
        <w:rPr>
          <w:i/>
          <w:iCs/>
        </w:rPr>
        <w:t xml:space="preserve">Workplace Gender Equality Act 2012 </w:t>
      </w:r>
      <w:r w:rsidRPr="000C0E9E">
        <w:t xml:space="preserve">(the Act) and is charged with promoting and improving gender equality in Australian workplaces. </w:t>
      </w:r>
    </w:p>
    <w:p w14:paraId="37366A47" w14:textId="77777777" w:rsidR="004036D5" w:rsidRPr="000C0E9E" w:rsidRDefault="004036D5" w:rsidP="004036D5">
      <w:r w:rsidRPr="000C0E9E">
        <w:t xml:space="preserve">The Act requires non-public sector employers with 100 or more employees to submit a report to WGEA annually against standardised gender equality </w:t>
      </w:r>
      <w:r w:rsidR="00F4257A">
        <w:t>indicators</w:t>
      </w:r>
      <w:r w:rsidRPr="000C0E9E">
        <w:t xml:space="preserve"> (GEIs)</w:t>
      </w:r>
      <w:r w:rsidRPr="00107BE4">
        <w:t xml:space="preserve"> </w:t>
      </w:r>
      <w:r>
        <w:t>covering gender composition of the workforce, governing bodies, remuneration, policies and practices relating to flexible work and caring responsibilities</w:t>
      </w:r>
      <w:r w:rsidR="00F30B34">
        <w:t>,</w:t>
      </w:r>
      <w:r>
        <w:t xml:space="preserve"> consultation</w:t>
      </w:r>
      <w:r w:rsidR="00F30B34">
        <w:t>,</w:t>
      </w:r>
      <w:r>
        <w:t xml:space="preserve"> and </w:t>
      </w:r>
      <w:r w:rsidRPr="002E07BA">
        <w:t>sex-based harassment and discrimination</w:t>
      </w:r>
      <w:r>
        <w:t>.</w:t>
      </w:r>
      <w:r w:rsidRPr="000C0E9E">
        <w:t xml:space="preserve"> </w:t>
      </w:r>
    </w:p>
    <w:p w14:paraId="3D97F332" w14:textId="77777777" w:rsidR="004036D5" w:rsidRDefault="00F4257A" w:rsidP="004036D5">
      <w:r>
        <w:t xml:space="preserve">The </w:t>
      </w:r>
      <w:r w:rsidR="004036D5" w:rsidRPr="000C0E9E">
        <w:t xml:space="preserve">WGEA’s dataset provides a comprehensive picture of the state of gender equality in Australian workplaces. </w:t>
      </w:r>
      <w:r w:rsidR="004036D5" w:rsidRPr="008F503C">
        <w:t>Af</w:t>
      </w:r>
      <w:r w:rsidR="004036D5">
        <w:t>t</w:t>
      </w:r>
      <w:r w:rsidR="004036D5" w:rsidRPr="008F503C">
        <w:t xml:space="preserve">er </w:t>
      </w:r>
      <w:r w:rsidR="004036D5">
        <w:t>eight</w:t>
      </w:r>
      <w:r w:rsidR="004036D5" w:rsidRPr="008F503C">
        <w:t xml:space="preserve"> years of data collection, </w:t>
      </w:r>
      <w:r>
        <w:t>WGEA</w:t>
      </w:r>
      <w:r w:rsidR="004036D5" w:rsidRPr="008F503C">
        <w:t xml:space="preserve"> has</w:t>
      </w:r>
      <w:r w:rsidR="004036D5">
        <w:t xml:space="preserve"> </w:t>
      </w:r>
      <w:r w:rsidR="004036D5" w:rsidRPr="008F503C">
        <w:t>arguably developed the most wide-ranging dataset on</w:t>
      </w:r>
      <w:r w:rsidR="004036D5">
        <w:t xml:space="preserve"> w</w:t>
      </w:r>
      <w:r w:rsidR="004036D5" w:rsidRPr="008F503C">
        <w:t xml:space="preserve">orkplace gender equality in the world. </w:t>
      </w:r>
      <w:r w:rsidR="004036D5">
        <w:t xml:space="preserve"> Through the dataset we are able to</w:t>
      </w:r>
      <w:r w:rsidR="004036D5" w:rsidRPr="008F503C">
        <w:t xml:space="preserve"> highlight areas of growth, identif</w:t>
      </w:r>
      <w:r w:rsidR="004036D5">
        <w:t>y</w:t>
      </w:r>
      <w:r w:rsidR="004036D5" w:rsidRPr="008F503C">
        <w:t xml:space="preserve"> leading practice initiatives and pinpoint where progress has slowed or sta</w:t>
      </w:r>
      <w:r w:rsidR="004036D5">
        <w:t>gnated in the private sector</w:t>
      </w:r>
      <w:r w:rsidR="004036D5" w:rsidRPr="008F503C">
        <w:t>.</w:t>
      </w:r>
    </w:p>
    <w:p w14:paraId="095990FF" w14:textId="77777777" w:rsidR="004036D5" w:rsidRDefault="00F4257A" w:rsidP="004036D5">
      <w:pPr>
        <w:spacing w:after="0"/>
      </w:pPr>
      <w:r>
        <w:t xml:space="preserve">The </w:t>
      </w:r>
      <w:r w:rsidR="004036D5">
        <w:t>WGEA’s recent Gender Equity Insights Report from a partnership with Ba</w:t>
      </w:r>
      <w:r>
        <w:t>nkwest Curtin Economics Centre</w:t>
      </w:r>
      <w:r w:rsidR="004036D5">
        <w:t xml:space="preserve"> reveals that, on current trends, it will take 26 years to close the WGEA total remuneration gender pay gap in this country. While some companies have embraced change, we need wide-spread, meaningful, cultural shifts across the business community that leads to long-term improvements in gender equality.</w:t>
      </w:r>
    </w:p>
    <w:p w14:paraId="4C1C3338" w14:textId="77777777" w:rsidR="004036D5" w:rsidRDefault="004036D5" w:rsidP="004036D5">
      <w:pPr>
        <w:spacing w:after="0"/>
      </w:pPr>
    </w:p>
    <w:p w14:paraId="70E5C81A" w14:textId="77777777" w:rsidR="004036D5" w:rsidRDefault="004036D5" w:rsidP="004036D5">
      <w:pPr>
        <w:spacing w:after="0"/>
      </w:pPr>
      <w:r>
        <w:t>O</w:t>
      </w:r>
      <w:r w:rsidRPr="008F503C">
        <w:t xml:space="preserve">ur data identifies </w:t>
      </w:r>
      <w:r>
        <w:t xml:space="preserve">while progress is being made, it is slow and we need to accelerate the rate of improvement. </w:t>
      </w:r>
      <w:r w:rsidRPr="008F503C">
        <w:t xml:space="preserve"> Organisations have policies</w:t>
      </w:r>
      <w:r>
        <w:t xml:space="preserve"> and </w:t>
      </w:r>
      <w:r w:rsidRPr="008F503C">
        <w:t>strategies in place but</w:t>
      </w:r>
      <w:r>
        <w:t xml:space="preserve"> that doesn’t necessarily translate to effectively implementing and embedding them</w:t>
      </w:r>
      <w:r w:rsidRPr="00107BE4">
        <w:t>.</w:t>
      </w:r>
      <w:r>
        <w:t xml:space="preserve"> For example, while 98% of companies have policies or strategies to prevent sexual harassment, 39% of women and 26% of men have experienced sexual harassment at work in the recent past.</w:t>
      </w:r>
      <w:r w:rsidRPr="008F503C">
        <w:cr/>
      </w:r>
    </w:p>
    <w:p w14:paraId="3A3A88B4" w14:textId="77777777" w:rsidR="00F4257A" w:rsidRDefault="004036D5" w:rsidP="004036D5">
      <w:r>
        <w:t>The</w:t>
      </w:r>
      <w:r w:rsidRPr="000C0E9E">
        <w:t xml:space="preserve"> data also </w:t>
      </w:r>
      <w:r>
        <w:t>confirms</w:t>
      </w:r>
      <w:r w:rsidRPr="000C0E9E">
        <w:t xml:space="preserve"> th</w:t>
      </w:r>
      <w:r>
        <w:t>at g</w:t>
      </w:r>
      <w:r w:rsidRPr="000C0E9E">
        <w:t>ender segregation remains deeply entrenched across industries, occupations and workplaces</w:t>
      </w:r>
      <w:r>
        <w:t>. T</w:t>
      </w:r>
      <w:r w:rsidRPr="000C0E9E">
        <w:t xml:space="preserve">he </w:t>
      </w:r>
      <w:r>
        <w:t xml:space="preserve">overall </w:t>
      </w:r>
      <w:r w:rsidRPr="000C0E9E">
        <w:t>proportion of women in management has increased</w:t>
      </w:r>
      <w:r>
        <w:t xml:space="preserve"> but</w:t>
      </w:r>
      <w:r w:rsidRPr="000C0E9E">
        <w:t xml:space="preserve"> most senior roles, especially at CEO </w:t>
      </w:r>
      <w:r>
        <w:t xml:space="preserve">and Board Chair </w:t>
      </w:r>
      <w:r w:rsidRPr="000C0E9E">
        <w:t xml:space="preserve">level, are still dominated by men. </w:t>
      </w:r>
    </w:p>
    <w:p w14:paraId="729B3396" w14:textId="77777777" w:rsidR="00F4257A" w:rsidRDefault="00F4257A">
      <w:pPr>
        <w:spacing w:after="0" w:line="240" w:lineRule="auto"/>
        <w:jc w:val="left"/>
      </w:pPr>
      <w:r>
        <w:br w:type="page"/>
      </w:r>
    </w:p>
    <w:p w14:paraId="4716E54C" w14:textId="77777777" w:rsidR="004036D5" w:rsidRPr="000C0E9E" w:rsidRDefault="00F4257A" w:rsidP="004036D5">
      <w:r>
        <w:t xml:space="preserve">The </w:t>
      </w:r>
      <w:r w:rsidR="004036D5" w:rsidRPr="000C0E9E">
        <w:t>WGEA’s growing dataset is a valuable resource for employers, employees and researchers.</w:t>
      </w:r>
      <w:r w:rsidR="004036D5">
        <w:t xml:space="preserve"> </w:t>
      </w:r>
      <w:r w:rsidR="004036D5" w:rsidRPr="000C0E9E">
        <w:t xml:space="preserve">The data set underpins </w:t>
      </w:r>
      <w:r w:rsidR="004036D5">
        <w:t xml:space="preserve">all </w:t>
      </w:r>
      <w:r w:rsidR="004036D5" w:rsidRPr="000C0E9E">
        <w:t>WGEA’s activities to promote workplace gender equality</w:t>
      </w:r>
      <w:r w:rsidR="004036D5">
        <w:t>.</w:t>
      </w:r>
      <w:r w:rsidR="004036D5" w:rsidRPr="000C0E9E">
        <w:t xml:space="preserve"> These include:</w:t>
      </w:r>
    </w:p>
    <w:p w14:paraId="54676C59" w14:textId="77777777" w:rsidR="004036D5" w:rsidRPr="00107BE4" w:rsidRDefault="004036D5" w:rsidP="008A2254">
      <w:pPr>
        <w:pStyle w:val="ListParagraph"/>
        <w:numPr>
          <w:ilvl w:val="0"/>
          <w:numId w:val="71"/>
        </w:numPr>
        <w:ind w:left="426" w:hanging="426"/>
        <w:jc w:val="both"/>
        <w:rPr>
          <w:rFonts w:ascii="Book Antiqua" w:hAnsi="Book Antiqua"/>
          <w:sz w:val="20"/>
          <w:szCs w:val="20"/>
        </w:rPr>
      </w:pPr>
      <w:r w:rsidRPr="00107BE4">
        <w:rPr>
          <w:rFonts w:ascii="Book Antiqua" w:hAnsi="Book Antiqua"/>
          <w:sz w:val="20"/>
          <w:szCs w:val="20"/>
        </w:rPr>
        <w:t xml:space="preserve">the annual publication of key findings in Australia’s gender equality scorecard and the publication of organisation-specific public reports, providing information on a range of gender equality policies, strategies and practices for reporting organisations </w:t>
      </w:r>
    </w:p>
    <w:p w14:paraId="1EB48713" w14:textId="77777777" w:rsidR="004036D5" w:rsidRPr="000C0E9E" w:rsidRDefault="004036D5" w:rsidP="008A2254">
      <w:pPr>
        <w:pStyle w:val="ListParagraph"/>
        <w:numPr>
          <w:ilvl w:val="0"/>
          <w:numId w:val="71"/>
        </w:numPr>
        <w:ind w:left="426" w:hanging="426"/>
        <w:jc w:val="both"/>
        <w:rPr>
          <w:rFonts w:ascii="Book Antiqua" w:hAnsi="Book Antiqua"/>
          <w:sz w:val="20"/>
          <w:szCs w:val="20"/>
        </w:rPr>
      </w:pPr>
      <w:r w:rsidRPr="000C0E9E">
        <w:rPr>
          <w:rFonts w:ascii="Book Antiqua" w:hAnsi="Book Antiqua"/>
          <w:sz w:val="20"/>
          <w:szCs w:val="20"/>
        </w:rPr>
        <w:t>provi</w:t>
      </w:r>
      <w:r>
        <w:rPr>
          <w:rFonts w:ascii="Book Antiqua" w:hAnsi="Book Antiqua"/>
          <w:sz w:val="20"/>
          <w:szCs w:val="20"/>
        </w:rPr>
        <w:t>sion of</w:t>
      </w:r>
      <w:r w:rsidRPr="000C0E9E">
        <w:rPr>
          <w:rFonts w:ascii="Book Antiqua" w:hAnsi="Book Antiqua"/>
          <w:sz w:val="20"/>
          <w:szCs w:val="20"/>
        </w:rPr>
        <w:t xml:space="preserve"> a confidential </w:t>
      </w:r>
      <w:r w:rsidR="00F30B34">
        <w:rPr>
          <w:rFonts w:ascii="Book Antiqua" w:hAnsi="Book Antiqua"/>
          <w:sz w:val="20"/>
          <w:szCs w:val="20"/>
        </w:rPr>
        <w:t>customis</w:t>
      </w:r>
      <w:r>
        <w:rPr>
          <w:rFonts w:ascii="Book Antiqua" w:hAnsi="Book Antiqua"/>
          <w:sz w:val="20"/>
          <w:szCs w:val="20"/>
        </w:rPr>
        <w:t>ed insights and</w:t>
      </w:r>
      <w:r w:rsidRPr="000C0E9E">
        <w:rPr>
          <w:rFonts w:ascii="Book Antiqua" w:hAnsi="Book Antiqua"/>
          <w:sz w:val="20"/>
          <w:szCs w:val="20"/>
        </w:rPr>
        <w:t xml:space="preserve"> competitor analysis benchmark report</w:t>
      </w:r>
      <w:r>
        <w:rPr>
          <w:rFonts w:ascii="Book Antiqua" w:hAnsi="Book Antiqua"/>
          <w:sz w:val="20"/>
          <w:szCs w:val="20"/>
        </w:rPr>
        <w:t xml:space="preserve"> for every compliant employer</w:t>
      </w:r>
      <w:r w:rsidRPr="000C0E9E">
        <w:rPr>
          <w:rFonts w:ascii="Book Antiqua" w:hAnsi="Book Antiqua"/>
          <w:sz w:val="20"/>
          <w:szCs w:val="20"/>
        </w:rPr>
        <w:t xml:space="preserve"> </w:t>
      </w:r>
    </w:p>
    <w:p w14:paraId="0EAE973B" w14:textId="77777777" w:rsidR="004036D5" w:rsidRPr="000C0E9E" w:rsidRDefault="004036D5" w:rsidP="008A2254">
      <w:pPr>
        <w:pStyle w:val="ListParagraph"/>
        <w:numPr>
          <w:ilvl w:val="0"/>
          <w:numId w:val="71"/>
        </w:numPr>
        <w:ind w:left="426" w:hanging="426"/>
        <w:jc w:val="both"/>
        <w:rPr>
          <w:rFonts w:ascii="Book Antiqua" w:hAnsi="Book Antiqua"/>
          <w:sz w:val="20"/>
          <w:szCs w:val="20"/>
        </w:rPr>
      </w:pPr>
      <w:r>
        <w:rPr>
          <w:rFonts w:ascii="Book Antiqua" w:hAnsi="Book Antiqua"/>
          <w:sz w:val="20"/>
          <w:szCs w:val="20"/>
        </w:rPr>
        <w:t>the</w:t>
      </w:r>
      <w:r w:rsidRPr="000C0E9E">
        <w:rPr>
          <w:rFonts w:ascii="Book Antiqua" w:hAnsi="Book Antiqua"/>
          <w:sz w:val="20"/>
          <w:szCs w:val="20"/>
        </w:rPr>
        <w:t xml:space="preserve"> Data Explorer—an interactive tool which allows the public to</w:t>
      </w:r>
      <w:r>
        <w:rPr>
          <w:rFonts w:ascii="Book Antiqua" w:hAnsi="Book Antiqua"/>
          <w:sz w:val="20"/>
          <w:szCs w:val="20"/>
        </w:rPr>
        <w:t xml:space="preserve"> interrogate the</w:t>
      </w:r>
      <w:r w:rsidRPr="000C0E9E">
        <w:rPr>
          <w:rFonts w:ascii="Book Antiqua" w:hAnsi="Book Antiqua"/>
          <w:sz w:val="20"/>
          <w:szCs w:val="20"/>
        </w:rPr>
        <w:t xml:space="preserve"> data and examine gender equality indicators by industry </w:t>
      </w:r>
      <w:r>
        <w:rPr>
          <w:rFonts w:ascii="Book Antiqua" w:hAnsi="Book Antiqua"/>
          <w:sz w:val="20"/>
          <w:szCs w:val="20"/>
        </w:rPr>
        <w:t>and employer</w:t>
      </w:r>
    </w:p>
    <w:p w14:paraId="5AEC762B" w14:textId="77777777" w:rsidR="004036D5" w:rsidRPr="000C0E9E" w:rsidRDefault="004036D5" w:rsidP="008A2254">
      <w:pPr>
        <w:pStyle w:val="ListParagraph"/>
        <w:numPr>
          <w:ilvl w:val="0"/>
          <w:numId w:val="71"/>
        </w:numPr>
        <w:ind w:left="426" w:hanging="426"/>
        <w:jc w:val="both"/>
        <w:rPr>
          <w:rFonts w:ascii="Book Antiqua" w:hAnsi="Book Antiqua"/>
          <w:sz w:val="20"/>
          <w:szCs w:val="20"/>
        </w:rPr>
      </w:pPr>
      <w:r w:rsidRPr="000C0E9E">
        <w:rPr>
          <w:rFonts w:ascii="Book Antiqua" w:hAnsi="Book Antiqua"/>
          <w:sz w:val="20"/>
          <w:szCs w:val="20"/>
        </w:rPr>
        <w:t>research partnerships to glean further insights from the data into drivers of improved gender equality outcomes</w:t>
      </w:r>
    </w:p>
    <w:p w14:paraId="3C7E3141" w14:textId="77777777" w:rsidR="004036D5" w:rsidRPr="000C0E9E" w:rsidRDefault="004036D5" w:rsidP="008A2254">
      <w:pPr>
        <w:pStyle w:val="ListParagraph"/>
        <w:numPr>
          <w:ilvl w:val="0"/>
          <w:numId w:val="71"/>
        </w:numPr>
        <w:ind w:left="426" w:hanging="426"/>
        <w:jc w:val="both"/>
        <w:rPr>
          <w:rFonts w:ascii="Book Antiqua" w:hAnsi="Book Antiqua"/>
          <w:sz w:val="20"/>
          <w:szCs w:val="20"/>
        </w:rPr>
      </w:pPr>
      <w:r w:rsidRPr="000C0E9E">
        <w:rPr>
          <w:rFonts w:ascii="Book Antiqua" w:hAnsi="Book Antiqua"/>
          <w:sz w:val="20"/>
          <w:szCs w:val="20"/>
        </w:rPr>
        <w:t>the development of educational tools and resources and delivery of educational workshops and events</w:t>
      </w:r>
    </w:p>
    <w:p w14:paraId="50345817" w14:textId="77777777" w:rsidR="004036D5" w:rsidRPr="000C0E9E" w:rsidRDefault="004036D5" w:rsidP="008A2254">
      <w:pPr>
        <w:pStyle w:val="ListParagraph"/>
        <w:numPr>
          <w:ilvl w:val="0"/>
          <w:numId w:val="71"/>
        </w:numPr>
        <w:ind w:left="426" w:hanging="426"/>
        <w:jc w:val="both"/>
        <w:rPr>
          <w:rFonts w:ascii="Book Antiqua" w:hAnsi="Book Antiqua"/>
          <w:sz w:val="20"/>
          <w:szCs w:val="20"/>
        </w:rPr>
      </w:pPr>
      <w:r w:rsidRPr="000C0E9E">
        <w:rPr>
          <w:rFonts w:ascii="Book Antiqua" w:hAnsi="Book Antiqua"/>
          <w:sz w:val="20"/>
          <w:szCs w:val="20"/>
        </w:rPr>
        <w:t xml:space="preserve">the WGEA </w:t>
      </w:r>
      <w:r w:rsidRPr="009C30EE">
        <w:rPr>
          <w:rFonts w:ascii="Book Antiqua" w:hAnsi="Book Antiqua"/>
          <w:sz w:val="20"/>
          <w:szCs w:val="20"/>
        </w:rPr>
        <w:t xml:space="preserve">Employer of Choice for Gender Equality </w:t>
      </w:r>
      <w:r w:rsidRPr="000C0E9E">
        <w:rPr>
          <w:rFonts w:ascii="Book Antiqua" w:hAnsi="Book Antiqua"/>
          <w:sz w:val="20"/>
          <w:szCs w:val="20"/>
        </w:rPr>
        <w:t>citation recognising leading practice</w:t>
      </w:r>
      <w:r w:rsidR="002D6639">
        <w:rPr>
          <w:rFonts w:ascii="Book Antiqua" w:hAnsi="Book Antiqua"/>
          <w:sz w:val="20"/>
          <w:szCs w:val="20"/>
        </w:rPr>
        <w:t>, and</w:t>
      </w:r>
      <w:r w:rsidRPr="000C0E9E">
        <w:rPr>
          <w:rFonts w:ascii="Book Antiqua" w:hAnsi="Book Antiqua"/>
          <w:sz w:val="20"/>
          <w:szCs w:val="20"/>
        </w:rPr>
        <w:t xml:space="preserve"> </w:t>
      </w:r>
    </w:p>
    <w:p w14:paraId="03243D28" w14:textId="77777777" w:rsidR="004036D5" w:rsidRPr="000C0E9E" w:rsidRDefault="004036D5" w:rsidP="008A2254">
      <w:pPr>
        <w:pStyle w:val="ListParagraph"/>
        <w:numPr>
          <w:ilvl w:val="0"/>
          <w:numId w:val="71"/>
        </w:numPr>
        <w:ind w:left="426" w:hanging="426"/>
        <w:jc w:val="both"/>
        <w:rPr>
          <w:rFonts w:ascii="Book Antiqua" w:hAnsi="Book Antiqua"/>
          <w:sz w:val="20"/>
          <w:szCs w:val="20"/>
        </w:rPr>
      </w:pPr>
      <w:r w:rsidRPr="000C0E9E">
        <w:rPr>
          <w:rFonts w:ascii="Book Antiqua" w:hAnsi="Book Antiqua"/>
          <w:sz w:val="20"/>
          <w:szCs w:val="20"/>
        </w:rPr>
        <w:t xml:space="preserve">extensive engagement with business, government and the community to drive public awareness and debate </w:t>
      </w:r>
      <w:r>
        <w:rPr>
          <w:rFonts w:ascii="Book Antiqua" w:hAnsi="Book Antiqua"/>
          <w:sz w:val="20"/>
          <w:szCs w:val="20"/>
        </w:rPr>
        <w:t>about</w:t>
      </w:r>
      <w:r w:rsidRPr="000C0E9E">
        <w:rPr>
          <w:rFonts w:ascii="Book Antiqua" w:hAnsi="Book Antiqua"/>
          <w:sz w:val="20"/>
          <w:szCs w:val="20"/>
        </w:rPr>
        <w:t xml:space="preserve"> gender equality issues. </w:t>
      </w:r>
    </w:p>
    <w:p w14:paraId="204ACFFF" w14:textId="77777777" w:rsidR="004036D5" w:rsidRDefault="004036D5" w:rsidP="004036D5">
      <w:r>
        <w:t>Funding was secured through the Respect@Work measure in 2021 to support th</w:t>
      </w:r>
      <w:r w:rsidR="00F4257A">
        <w:t xml:space="preserve">e expansion of reporting to WGEA </w:t>
      </w:r>
      <w:r>
        <w:t xml:space="preserve">by the </w:t>
      </w:r>
      <w:r w:rsidR="00F4257A">
        <w:t>Australian Public Service</w:t>
      </w:r>
      <w:r>
        <w:t xml:space="preserve">. A </w:t>
      </w:r>
      <w:r w:rsidR="002D6639">
        <w:t xml:space="preserve">pilot has been completed and a </w:t>
      </w:r>
      <w:r>
        <w:t xml:space="preserve">reporting program is being developed. In December 2021 National Cabinet agreed in principle </w:t>
      </w:r>
      <w:r>
        <w:rPr>
          <w:color w:val="000000"/>
        </w:rPr>
        <w:t>to provide public sector workforce data to WGEA. This means that state and territory governments are joining the Commonwealth commitment to provide data</w:t>
      </w:r>
      <w:r>
        <w:t xml:space="preserve"> to WGEA </w:t>
      </w:r>
      <w:r>
        <w:rPr>
          <w:color w:val="000000"/>
        </w:rPr>
        <w:t xml:space="preserve">on </w:t>
      </w:r>
      <w:r>
        <w:t xml:space="preserve">the </w:t>
      </w:r>
      <w:r>
        <w:rPr>
          <w:color w:val="000000"/>
        </w:rPr>
        <w:t>six Gender Equality Indicators. This will expand the Australian workforce covered by gender equality reporting to nearly 60%.</w:t>
      </w:r>
    </w:p>
    <w:p w14:paraId="711A2069" w14:textId="77777777" w:rsidR="004036D5" w:rsidRDefault="004036D5" w:rsidP="004036D5">
      <w:r>
        <w:t xml:space="preserve">Significantly, the Government’s review of the </w:t>
      </w:r>
      <w:r w:rsidR="00151321">
        <w:t xml:space="preserve">Act was released in March 2022 </w:t>
      </w:r>
      <w:r>
        <w:t>and the Agency will be focused in the coming years on supporting and driving the implementation of a</w:t>
      </w:r>
      <w:r w:rsidR="002D6639">
        <w:t xml:space="preserve">ll ten of its recommendations. </w:t>
      </w:r>
      <w:r>
        <w:t>Funding secured through the Women’s Leadership measure will e</w:t>
      </w:r>
      <w:r w:rsidR="00BD37B5">
        <w:t xml:space="preserve">xpand WGEA’s </w:t>
      </w:r>
      <w:r>
        <w:t>capacity to collaboratively work with employers to drive change in Australian workplaces to improve gender equality, reduce the regulatory burden and enable organisations to maximise their efforts to focus on implementation and driving action.</w:t>
      </w:r>
    </w:p>
    <w:p w14:paraId="125A4486" w14:textId="77777777" w:rsidR="004036D5" w:rsidRPr="000C0E9E" w:rsidRDefault="002D6639" w:rsidP="004036D5">
      <w:r>
        <w:t xml:space="preserve">The </w:t>
      </w:r>
      <w:r w:rsidR="004036D5" w:rsidRPr="000C0E9E">
        <w:t>WGEA’s strategic priorities in 202</w:t>
      </w:r>
      <w:r w:rsidR="004036D5">
        <w:t>2</w:t>
      </w:r>
      <w:r w:rsidR="004036D5" w:rsidRPr="000C0E9E">
        <w:t>–2</w:t>
      </w:r>
      <w:r w:rsidR="004036D5">
        <w:t>3</w:t>
      </w:r>
      <w:r w:rsidR="004036D5" w:rsidRPr="000C0E9E">
        <w:t xml:space="preserve"> and the forward years are to </w:t>
      </w:r>
      <w:r w:rsidR="004036D5">
        <w:t>accelerate the rate of change of gender equality by generating knowledge and insights through enriching the data collection, driving broader and deeper action on gender equality, enabling and amplifying momentum on gender equality</w:t>
      </w:r>
      <w:r w:rsidR="00BD37B5">
        <w:t>,</w:t>
      </w:r>
      <w:r w:rsidR="004036D5">
        <w:t xml:space="preserve"> and</w:t>
      </w:r>
      <w:r w:rsidR="004036D5" w:rsidRPr="000C0E9E">
        <w:t xml:space="preserve"> develop</w:t>
      </w:r>
      <w:r w:rsidR="004036D5">
        <w:t>ing</w:t>
      </w:r>
      <w:r w:rsidR="004036D5" w:rsidRPr="000C0E9E">
        <w:t xml:space="preserve"> the team and advanc</w:t>
      </w:r>
      <w:r w:rsidR="004036D5">
        <w:t>ing</w:t>
      </w:r>
      <w:r w:rsidR="004036D5" w:rsidRPr="000C0E9E">
        <w:t xml:space="preserve"> </w:t>
      </w:r>
      <w:r w:rsidR="00BD37B5">
        <w:t>WGEA’s</w:t>
      </w:r>
      <w:r w:rsidR="004036D5" w:rsidRPr="000C0E9E">
        <w:t xml:space="preserve"> technology. </w:t>
      </w:r>
    </w:p>
    <w:p w14:paraId="2C037D35" w14:textId="77777777" w:rsidR="004036D5" w:rsidRPr="0079797F" w:rsidRDefault="00BD37B5" w:rsidP="004036D5">
      <w:r>
        <w:t xml:space="preserve">The </w:t>
      </w:r>
      <w:r w:rsidR="004036D5" w:rsidRPr="000C0E9E">
        <w:t xml:space="preserve">WGEA believes Australia is well positioned to capitalise on the economic benefits that improved workplace gender equality can deliver and looks forward to continuing to work towards the vision that </w:t>
      </w:r>
      <w:r w:rsidR="004036D5">
        <w:t xml:space="preserve">all people, irrespective of gender, </w:t>
      </w:r>
      <w:r w:rsidR="004036D5" w:rsidRPr="000C0E9E">
        <w:t xml:space="preserve">are equally represented, valued and rewarded </w:t>
      </w:r>
      <w:r w:rsidR="004036D5">
        <w:t>at work</w:t>
      </w:r>
      <w:r w:rsidR="004036D5" w:rsidRPr="000C0E9E">
        <w:t>.</w:t>
      </w:r>
    </w:p>
    <w:p w14:paraId="1CE71A65" w14:textId="77777777" w:rsidR="004036D5" w:rsidRDefault="004036D5" w:rsidP="004036D5">
      <w:pPr>
        <w:pStyle w:val="Heading3"/>
      </w:pPr>
      <w:r w:rsidRPr="0079797F">
        <w:br w:type="page"/>
      </w:r>
      <w:bookmarkStart w:id="1111" w:name="_Toc98932960"/>
      <w:bookmarkStart w:id="1112" w:name="_Toc99008216"/>
      <w:bookmarkStart w:id="1113" w:name="_Toc99009578"/>
      <w:bookmarkStart w:id="1114" w:name="_Toc99010806"/>
      <w:bookmarkStart w:id="1115" w:name="_Toc99014041"/>
      <w:bookmarkStart w:id="1116" w:name="_Toc99187616"/>
      <w:bookmarkStart w:id="1117" w:name="_Toc99269738"/>
      <w:r>
        <w:t>1.2</w:t>
      </w:r>
      <w:r>
        <w:tab/>
        <w:t>Entity resource statement</w:t>
      </w:r>
      <w:bookmarkEnd w:id="1111"/>
      <w:bookmarkEnd w:id="1112"/>
      <w:bookmarkEnd w:id="1113"/>
      <w:bookmarkEnd w:id="1114"/>
      <w:bookmarkEnd w:id="1115"/>
      <w:bookmarkEnd w:id="1116"/>
      <w:bookmarkEnd w:id="1117"/>
    </w:p>
    <w:p w14:paraId="68EC5ABF" w14:textId="77777777" w:rsidR="004036D5" w:rsidRDefault="004036D5" w:rsidP="004036D5">
      <w:r>
        <w:t>Table 1.1 shows the total funding from all sources available to WGEA for its operations and to deliver programs and services on behalf of the Government.</w:t>
      </w:r>
    </w:p>
    <w:p w14:paraId="4E624B38" w14:textId="77777777" w:rsidR="004036D5" w:rsidRDefault="004036D5" w:rsidP="004036D5">
      <w:r>
        <w:t>The table summarises how resources will be applied by outcome (government strategic policy objectives) and by administered (on behalf of the Government or the public) and departmental (for WGEA’s operations) classification.</w:t>
      </w:r>
    </w:p>
    <w:p w14:paraId="2BEC8A86" w14:textId="77777777" w:rsidR="004036D5" w:rsidRDefault="004036D5" w:rsidP="004036D5">
      <w:r>
        <w:t xml:space="preserve">For more detailed information on special accounts and special appropriations, please refer to </w:t>
      </w:r>
      <w:r w:rsidRPr="00BD37B5">
        <w:t>Budget Paper No. 4 – Agency Resourcing</w:t>
      </w:r>
      <w:r>
        <w:t>.</w:t>
      </w:r>
    </w:p>
    <w:p w14:paraId="2C8AEEBA" w14:textId="77777777" w:rsidR="004036D5" w:rsidRDefault="004036D5" w:rsidP="004036D5">
      <w:r>
        <w:t xml:space="preserve">Information in this table is presented on a resourcing (that is, appropriations/cash available) basis, </w:t>
      </w:r>
      <w:r w:rsidR="00BD37B5">
        <w:t>while</w:t>
      </w:r>
      <w:r>
        <w:t xml:space="preserve"> the ‘Budgeted expenses by Outcome 1’ tables in Section 2 and the financial statements in Section 3 are presented on an accrual basis.</w:t>
      </w:r>
    </w:p>
    <w:p w14:paraId="68F52A50" w14:textId="77777777" w:rsidR="004036D5" w:rsidRPr="00F4257A" w:rsidRDefault="00BD37B5" w:rsidP="004036D5">
      <w:pPr>
        <w:pStyle w:val="TableGraphic"/>
        <w:rPr>
          <w:rFonts w:ascii="Arial" w:hAnsi="Arial" w:cs="Arial"/>
          <w:b/>
        </w:rPr>
      </w:pPr>
      <w:r>
        <w:rPr>
          <w:rFonts w:ascii="Arial" w:hAnsi="Arial" w:cs="Arial"/>
          <w:b/>
        </w:rPr>
        <w:t>Table 1.1 WGEA resource s</w:t>
      </w:r>
      <w:r w:rsidR="00F4257A" w:rsidRPr="00F4257A">
        <w:rPr>
          <w:rFonts w:ascii="Arial" w:hAnsi="Arial" w:cs="Arial"/>
          <w:b/>
        </w:rPr>
        <w:t>tatement – Budget estimates for 2022-23 as at Budget March 2022</w:t>
      </w:r>
    </w:p>
    <w:p w14:paraId="2065299D" w14:textId="77777777" w:rsidR="004036D5" w:rsidRDefault="00F12BE6" w:rsidP="004036D5">
      <w:pPr>
        <w:pStyle w:val="TableGraphic"/>
        <w:rPr>
          <w:rFonts w:ascii="Arial" w:hAnsi="Arial" w:cs="Arial"/>
          <w:b/>
          <w:color w:val="000000"/>
          <w:lang w:val="x-none" w:eastAsia="x-none"/>
        </w:rPr>
      </w:pPr>
      <w:r w:rsidRPr="00F12BE6">
        <w:rPr>
          <w:rFonts w:ascii="Arial" w:hAnsi="Arial" w:cs="Arial"/>
          <w:b/>
          <w:color w:val="000000"/>
          <w:lang w:val="x-none" w:eastAsia="x-none"/>
        </w:rPr>
        <w:t xml:space="preserve"> </w:t>
      </w:r>
      <w:r w:rsidRPr="00F12BE6">
        <w:rPr>
          <w:noProof/>
        </w:rPr>
        <w:drawing>
          <wp:inline distT="0" distB="0" distL="0" distR="0" wp14:anchorId="285A2668" wp14:editId="258023B2">
            <wp:extent cx="4895850" cy="1757453"/>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895850" cy="1757453"/>
                    </a:xfrm>
                    <a:prstGeom prst="rect">
                      <a:avLst/>
                    </a:prstGeom>
                    <a:noFill/>
                    <a:ln>
                      <a:noFill/>
                    </a:ln>
                  </pic:spPr>
                </pic:pic>
              </a:graphicData>
            </a:graphic>
          </wp:inline>
        </w:drawing>
      </w:r>
    </w:p>
    <w:p w14:paraId="63FA2AC0" w14:textId="77777777" w:rsidR="00553B0A" w:rsidRPr="00553B0A" w:rsidRDefault="00553B0A" w:rsidP="00553B0A">
      <w:pPr>
        <w:spacing w:after="0" w:line="240" w:lineRule="auto"/>
        <w:rPr>
          <w:rFonts w:ascii="Arial" w:hAnsi="Arial" w:cs="Arial"/>
          <w:color w:val="000000"/>
          <w:sz w:val="16"/>
          <w:szCs w:val="16"/>
        </w:rPr>
      </w:pPr>
      <w:r w:rsidRPr="00553B0A">
        <w:rPr>
          <w:rFonts w:ascii="Arial" w:hAnsi="Arial" w:cs="Arial"/>
          <w:color w:val="000000"/>
          <w:sz w:val="16"/>
          <w:szCs w:val="16"/>
        </w:rPr>
        <w:t>All figures shown above are GST exclusive - these may not match figures in the cash flow statement.</w:t>
      </w:r>
    </w:p>
    <w:p w14:paraId="0F46E2DE" w14:textId="77777777" w:rsidR="00553B0A" w:rsidRDefault="00553B0A" w:rsidP="00553B0A">
      <w:pPr>
        <w:spacing w:after="0" w:line="240" w:lineRule="auto"/>
        <w:rPr>
          <w:rFonts w:ascii="Arial" w:hAnsi="Arial" w:cs="Arial"/>
          <w:color w:val="000000"/>
          <w:sz w:val="16"/>
          <w:szCs w:val="16"/>
        </w:rPr>
      </w:pPr>
      <w:r w:rsidRPr="00553B0A">
        <w:rPr>
          <w:rFonts w:ascii="Arial" w:hAnsi="Arial" w:cs="Arial"/>
          <w:color w:val="000000"/>
          <w:sz w:val="16"/>
          <w:szCs w:val="16"/>
        </w:rPr>
        <w:t>Prepared on a resourcing (i.e. appropriations available) basis.</w:t>
      </w:r>
    </w:p>
    <w:p w14:paraId="2D7A0D55" w14:textId="77777777" w:rsidR="00F12BE6" w:rsidRDefault="00130659" w:rsidP="00F12BE6">
      <w:pPr>
        <w:pStyle w:val="ListParagraph"/>
        <w:numPr>
          <w:ilvl w:val="4"/>
          <w:numId w:val="167"/>
        </w:numPr>
        <w:spacing w:after="0" w:line="240" w:lineRule="auto"/>
        <w:rPr>
          <w:rFonts w:ascii="Arial" w:hAnsi="Arial" w:cs="Arial"/>
          <w:color w:val="000000"/>
          <w:sz w:val="16"/>
          <w:szCs w:val="16"/>
        </w:rPr>
      </w:pPr>
      <w:r>
        <w:rPr>
          <w:rFonts w:ascii="Arial" w:hAnsi="Arial" w:cs="Arial"/>
          <w:color w:val="000000"/>
          <w:sz w:val="16"/>
          <w:szCs w:val="16"/>
        </w:rPr>
        <w:t>Annual appropriation amounts appearing in 2021-22 estimated actuals exclude $0.2 million reclassified from operating to departmental capital budget (DCB) in Appropriation Bill (No. 3) 2021-22 which is yet to receive Royal Assent.</w:t>
      </w:r>
    </w:p>
    <w:p w14:paraId="3E5E2F93" w14:textId="77777777" w:rsidR="00F12BE6" w:rsidRPr="00130659" w:rsidRDefault="00922830" w:rsidP="00130659">
      <w:pPr>
        <w:pStyle w:val="ListParagraph"/>
        <w:numPr>
          <w:ilvl w:val="4"/>
          <w:numId w:val="167"/>
        </w:numPr>
        <w:spacing w:after="0" w:line="240" w:lineRule="auto"/>
        <w:rPr>
          <w:rFonts w:ascii="Arial" w:hAnsi="Arial" w:cs="Arial"/>
          <w:color w:val="000000"/>
          <w:sz w:val="16"/>
          <w:szCs w:val="16"/>
        </w:rPr>
      </w:pPr>
      <w:r>
        <w:rPr>
          <w:rFonts w:ascii="Arial" w:hAnsi="Arial" w:cs="Arial"/>
          <w:color w:val="000000"/>
          <w:sz w:val="16"/>
          <w:szCs w:val="16"/>
        </w:rPr>
        <w:t>Appropriation Bill (No. 1)</w:t>
      </w:r>
      <w:r w:rsidR="00553B0A" w:rsidRPr="00553B0A">
        <w:rPr>
          <w:rFonts w:ascii="Arial" w:hAnsi="Arial" w:cs="Arial"/>
          <w:color w:val="000000"/>
          <w:sz w:val="16"/>
          <w:szCs w:val="16"/>
        </w:rPr>
        <w:t xml:space="preserve"> 2022-23.</w:t>
      </w:r>
    </w:p>
    <w:p w14:paraId="3E53EEFF" w14:textId="77777777" w:rsidR="00553B0A" w:rsidRDefault="00FD3383" w:rsidP="00392A48">
      <w:pPr>
        <w:pStyle w:val="ListParagraph"/>
        <w:numPr>
          <w:ilvl w:val="4"/>
          <w:numId w:val="167"/>
        </w:numPr>
        <w:spacing w:after="0" w:line="240" w:lineRule="auto"/>
        <w:rPr>
          <w:rFonts w:ascii="Arial" w:hAnsi="Arial" w:cs="Arial"/>
          <w:color w:val="000000"/>
          <w:sz w:val="16"/>
          <w:szCs w:val="16"/>
        </w:rPr>
      </w:pPr>
      <w:r>
        <w:rPr>
          <w:rFonts w:ascii="Arial" w:hAnsi="Arial" w:cs="Arial"/>
          <w:color w:val="000000"/>
          <w:sz w:val="16"/>
          <w:szCs w:val="16"/>
        </w:rPr>
        <w:t>Estimated external r</w:t>
      </w:r>
      <w:r w:rsidR="00553B0A" w:rsidRPr="00553B0A">
        <w:rPr>
          <w:rFonts w:ascii="Arial" w:hAnsi="Arial" w:cs="Arial"/>
          <w:color w:val="000000"/>
          <w:sz w:val="16"/>
          <w:szCs w:val="16"/>
        </w:rPr>
        <w:t>evenue receipts under section 74 of the PGPA Act.</w:t>
      </w:r>
    </w:p>
    <w:p w14:paraId="35048940" w14:textId="77777777" w:rsidR="00553B0A" w:rsidRPr="00553B0A" w:rsidRDefault="00553B0A" w:rsidP="00392A48">
      <w:pPr>
        <w:pStyle w:val="ListParagraph"/>
        <w:numPr>
          <w:ilvl w:val="4"/>
          <w:numId w:val="167"/>
        </w:numPr>
        <w:spacing w:after="0" w:line="240" w:lineRule="auto"/>
        <w:rPr>
          <w:rFonts w:ascii="Arial" w:hAnsi="Arial" w:cs="Arial"/>
          <w:color w:val="000000"/>
          <w:sz w:val="16"/>
          <w:szCs w:val="16"/>
        </w:rPr>
      </w:pPr>
      <w:r w:rsidRPr="00553B0A">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0A122336" w14:textId="77777777" w:rsidR="00F4257A" w:rsidRPr="00FD3383" w:rsidRDefault="00FD3383" w:rsidP="00FD3383">
      <w:pPr>
        <w:spacing w:after="0" w:line="240" w:lineRule="auto"/>
        <w:jc w:val="left"/>
        <w:rPr>
          <w:rFonts w:ascii="Arial" w:hAnsi="Arial" w:cs="Arial"/>
          <w:color w:val="000000"/>
          <w:sz w:val="16"/>
          <w:szCs w:val="16"/>
        </w:rPr>
      </w:pPr>
      <w:r>
        <w:rPr>
          <w:rFonts w:ascii="Arial" w:hAnsi="Arial" w:cs="Arial"/>
          <w:color w:val="000000"/>
          <w:sz w:val="16"/>
          <w:szCs w:val="16"/>
        </w:rPr>
        <w:br w:type="page"/>
      </w:r>
    </w:p>
    <w:p w14:paraId="74DD829D" w14:textId="77777777" w:rsidR="004036D5" w:rsidRPr="005A7C0B" w:rsidRDefault="004036D5" w:rsidP="004036D5">
      <w:pPr>
        <w:pStyle w:val="Heading3"/>
        <w:spacing w:before="0"/>
      </w:pPr>
      <w:bookmarkStart w:id="1118" w:name="_Toc98932961"/>
      <w:bookmarkStart w:id="1119" w:name="_Toc99008217"/>
      <w:bookmarkStart w:id="1120" w:name="_Toc99009579"/>
      <w:bookmarkStart w:id="1121" w:name="_Toc99010807"/>
      <w:bookmarkStart w:id="1122" w:name="_Toc99014042"/>
      <w:bookmarkStart w:id="1123" w:name="_Toc99187617"/>
      <w:bookmarkStart w:id="1124" w:name="_Toc99269739"/>
      <w:r w:rsidRPr="005A7C0B">
        <w:t>1.3</w:t>
      </w:r>
      <w:r w:rsidRPr="005A7C0B">
        <w:tab/>
        <w:t>Budget measures</w:t>
      </w:r>
      <w:bookmarkEnd w:id="1118"/>
      <w:bookmarkEnd w:id="1119"/>
      <w:bookmarkEnd w:id="1120"/>
      <w:bookmarkEnd w:id="1121"/>
      <w:bookmarkEnd w:id="1122"/>
      <w:bookmarkEnd w:id="1123"/>
      <w:bookmarkEnd w:id="1124"/>
    </w:p>
    <w:p w14:paraId="70E8C37C" w14:textId="77777777" w:rsidR="004036D5" w:rsidRDefault="004036D5" w:rsidP="004036D5">
      <w:r w:rsidRPr="00DC32EC">
        <w:t xml:space="preserve">Budget measures </w:t>
      </w:r>
      <w:r>
        <w:t>are r</w:t>
      </w:r>
      <w:r w:rsidRPr="00DC32EC">
        <w:t>elating to</w:t>
      </w:r>
      <w:r>
        <w:t xml:space="preserve"> WGEA</w:t>
      </w:r>
      <w:r w:rsidRPr="00DC32EC">
        <w:t xml:space="preserve"> a</w:t>
      </w:r>
      <w:r>
        <w:t>re detailed in Budget Paper No. </w:t>
      </w:r>
      <w:r w:rsidRPr="00DC32EC">
        <w:t>2</w:t>
      </w:r>
      <w:r>
        <w:t xml:space="preserve"> and are summarised below.</w:t>
      </w:r>
    </w:p>
    <w:p w14:paraId="2CA04F07" w14:textId="77777777" w:rsidR="003F4258" w:rsidRDefault="00FD3383" w:rsidP="003F4258">
      <w:pPr>
        <w:spacing w:after="0" w:line="240" w:lineRule="auto"/>
        <w:jc w:val="left"/>
        <w:rPr>
          <w:rFonts w:ascii="Arial" w:hAnsi="Arial" w:cs="Arial"/>
          <w:b/>
          <w:bCs/>
        </w:rPr>
      </w:pPr>
      <w:r w:rsidRPr="002B3B9C">
        <w:rPr>
          <w:rFonts w:ascii="Arial" w:hAnsi="Arial" w:cs="Arial"/>
          <w:b/>
          <w:bCs/>
        </w:rPr>
        <w:t xml:space="preserve">Table 1.2:  </w:t>
      </w:r>
      <w:r w:rsidR="00922830">
        <w:rPr>
          <w:rFonts w:ascii="Arial" w:hAnsi="Arial" w:cs="Arial"/>
          <w:b/>
          <w:bCs/>
        </w:rPr>
        <w:t>WGEA</w:t>
      </w:r>
      <w:r w:rsidRPr="002B3B9C">
        <w:rPr>
          <w:rFonts w:ascii="Arial" w:hAnsi="Arial" w:cs="Arial"/>
          <w:b/>
          <w:bCs/>
        </w:rPr>
        <w:t xml:space="preserve"> 2022-23 Budget measures</w:t>
      </w:r>
      <w:r>
        <w:rPr>
          <w:rFonts w:ascii="Arial" w:hAnsi="Arial" w:cs="Arial"/>
          <w:b/>
          <w:bCs/>
        </w:rPr>
        <w:br/>
      </w:r>
      <w:r w:rsidRPr="002B3B9C">
        <w:rPr>
          <w:rFonts w:ascii="Arial" w:hAnsi="Arial" w:cs="Arial"/>
          <w:b/>
          <w:bCs/>
        </w:rPr>
        <w:t>Measures announced since the 2021-22 Mid-Year Economic and F</w:t>
      </w:r>
      <w:r>
        <w:rPr>
          <w:rFonts w:ascii="Arial" w:hAnsi="Arial" w:cs="Arial"/>
          <w:b/>
          <w:bCs/>
        </w:rPr>
        <w:t>iscal Outlook (MYEFO)</w:t>
      </w:r>
    </w:p>
    <w:p w14:paraId="1D049770" w14:textId="77777777" w:rsidR="003F4258" w:rsidRDefault="007C4E66" w:rsidP="003F4258">
      <w:pPr>
        <w:spacing w:after="0" w:line="240" w:lineRule="auto"/>
        <w:jc w:val="left"/>
        <w:rPr>
          <w:rFonts w:ascii="Arial" w:hAnsi="Arial" w:cs="Arial"/>
          <w:sz w:val="16"/>
        </w:rPr>
      </w:pPr>
      <w:r w:rsidRPr="007C4E66">
        <w:rPr>
          <w:noProof/>
        </w:rPr>
        <w:drawing>
          <wp:inline distT="0" distB="0" distL="0" distR="0" wp14:anchorId="3FE63B2E" wp14:editId="7E79338A">
            <wp:extent cx="4895850" cy="12955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895850" cy="1295531"/>
                    </a:xfrm>
                    <a:prstGeom prst="rect">
                      <a:avLst/>
                    </a:prstGeom>
                    <a:noFill/>
                    <a:ln>
                      <a:noFill/>
                    </a:ln>
                  </pic:spPr>
                </pic:pic>
              </a:graphicData>
            </a:graphic>
          </wp:inline>
        </w:drawing>
      </w:r>
      <w:r w:rsidR="003F4258">
        <w:rPr>
          <w:rFonts w:ascii="Arial" w:hAnsi="Arial" w:cs="Arial"/>
          <w:b/>
          <w:bCs/>
        </w:rPr>
        <w:br/>
      </w:r>
      <w:r w:rsidR="003F4258" w:rsidRPr="003F4258">
        <w:rPr>
          <w:rFonts w:ascii="Arial" w:hAnsi="Arial" w:cs="Arial"/>
          <w:sz w:val="16"/>
        </w:rPr>
        <w:t>Prepared on a Government Finance Statistics (Underlying Cash) basis. Figures displayed as a negative (-) represent a decrease in funds and a positive (+) represent an increase in funds.</w:t>
      </w:r>
      <w:r w:rsidR="003F4258" w:rsidRPr="003F4258">
        <w:rPr>
          <w:rFonts w:ascii="Arial" w:hAnsi="Arial" w:cs="Arial"/>
          <w:sz w:val="16"/>
        </w:rPr>
        <w:tab/>
      </w:r>
    </w:p>
    <w:p w14:paraId="543259A3" w14:textId="77777777" w:rsidR="003F4258" w:rsidRDefault="003F4258" w:rsidP="00392A48">
      <w:pPr>
        <w:pStyle w:val="ListParagraph"/>
        <w:numPr>
          <w:ilvl w:val="4"/>
          <w:numId w:val="166"/>
        </w:numPr>
        <w:spacing w:after="0" w:line="240" w:lineRule="auto"/>
        <w:rPr>
          <w:rFonts w:ascii="Arial" w:hAnsi="Arial" w:cs="Arial"/>
          <w:color w:val="000000"/>
          <w:sz w:val="16"/>
          <w:szCs w:val="16"/>
        </w:rPr>
      </w:pPr>
      <w:r w:rsidRPr="003F4258">
        <w:rPr>
          <w:rFonts w:ascii="Arial" w:hAnsi="Arial" w:cs="Arial"/>
          <w:color w:val="000000"/>
          <w:sz w:val="16"/>
          <w:szCs w:val="16"/>
        </w:rPr>
        <w:t>The measure</w:t>
      </w:r>
      <w:r w:rsidR="007C4E66">
        <w:rPr>
          <w:rFonts w:ascii="Arial" w:hAnsi="Arial" w:cs="Arial"/>
          <w:color w:val="000000"/>
          <w:sz w:val="16"/>
          <w:szCs w:val="16"/>
        </w:rPr>
        <w:t xml:space="preserve"> titled</w:t>
      </w:r>
      <w:r w:rsidRPr="003F4258">
        <w:rPr>
          <w:rFonts w:ascii="Arial" w:hAnsi="Arial" w:cs="Arial"/>
          <w:color w:val="000000"/>
          <w:sz w:val="16"/>
          <w:szCs w:val="16"/>
        </w:rPr>
        <w:t xml:space="preserve"> Women's Leadership </w:t>
      </w:r>
      <w:r w:rsidR="00776CC8">
        <w:rPr>
          <w:rFonts w:ascii="Arial" w:hAnsi="Arial" w:cs="Arial"/>
          <w:color w:val="000000"/>
          <w:sz w:val="16"/>
          <w:szCs w:val="16"/>
        </w:rPr>
        <w:t>Package</w:t>
      </w:r>
      <w:r w:rsidRPr="003F4258">
        <w:rPr>
          <w:rFonts w:ascii="Arial" w:hAnsi="Arial" w:cs="Arial"/>
          <w:color w:val="000000"/>
          <w:sz w:val="16"/>
          <w:szCs w:val="16"/>
        </w:rPr>
        <w:t xml:space="preserve"> is </w:t>
      </w:r>
      <w:r w:rsidR="007C4E66">
        <w:rPr>
          <w:rFonts w:ascii="Arial" w:hAnsi="Arial" w:cs="Arial"/>
          <w:color w:val="000000"/>
          <w:sz w:val="16"/>
          <w:szCs w:val="16"/>
        </w:rPr>
        <w:t>cross portfolio measure</w:t>
      </w:r>
      <w:r w:rsidRPr="003F4258">
        <w:rPr>
          <w:rFonts w:ascii="Arial" w:hAnsi="Arial" w:cs="Arial"/>
          <w:color w:val="000000"/>
          <w:sz w:val="16"/>
          <w:szCs w:val="16"/>
        </w:rPr>
        <w:t xml:space="preserve">. The full measure description and package details appear in Budget Paper No. 2 </w:t>
      </w:r>
      <w:r w:rsidR="007C4E66">
        <w:rPr>
          <w:rFonts w:ascii="Arial" w:hAnsi="Arial" w:cs="Arial"/>
          <w:color w:val="000000"/>
          <w:sz w:val="16"/>
          <w:szCs w:val="16"/>
        </w:rPr>
        <w:t>cross portfolio</w:t>
      </w:r>
      <w:r>
        <w:rPr>
          <w:rFonts w:ascii="Arial" w:hAnsi="Arial" w:cs="Arial"/>
          <w:color w:val="000000"/>
          <w:sz w:val="16"/>
          <w:szCs w:val="16"/>
        </w:rPr>
        <w:t>.</w:t>
      </w:r>
    </w:p>
    <w:p w14:paraId="2AA593AA" w14:textId="77777777" w:rsidR="003F4258" w:rsidRDefault="003F4258" w:rsidP="003F4258">
      <w:pPr>
        <w:spacing w:after="0" w:line="240" w:lineRule="auto"/>
        <w:jc w:val="left"/>
        <w:rPr>
          <w:rFonts w:ascii="Arial" w:hAnsi="Arial" w:cs="Arial"/>
          <w:color w:val="000000"/>
          <w:sz w:val="16"/>
          <w:szCs w:val="16"/>
        </w:rPr>
      </w:pPr>
    </w:p>
    <w:p w14:paraId="2D1EA53E" w14:textId="77777777" w:rsidR="003F4258" w:rsidRPr="003F4258" w:rsidRDefault="003F4258" w:rsidP="003F4258">
      <w:pPr>
        <w:spacing w:after="0" w:line="240" w:lineRule="auto"/>
        <w:jc w:val="left"/>
        <w:rPr>
          <w:rFonts w:ascii="Arial" w:hAnsi="Arial" w:cs="Arial"/>
          <w:color w:val="000000"/>
          <w:sz w:val="16"/>
          <w:szCs w:val="16"/>
        </w:rPr>
      </w:pPr>
    </w:p>
    <w:p w14:paraId="0BB6161E" w14:textId="77777777" w:rsidR="003F4258" w:rsidRDefault="003F4258" w:rsidP="003F4258">
      <w:pPr>
        <w:jc w:val="left"/>
      </w:pPr>
      <w:r w:rsidRPr="003F4258">
        <w:tab/>
      </w:r>
      <w:r w:rsidRPr="003F4258">
        <w:tab/>
      </w:r>
      <w:r w:rsidRPr="003F4258">
        <w:tab/>
      </w:r>
      <w:r w:rsidRPr="003F4258">
        <w:tab/>
      </w:r>
      <w:r w:rsidRPr="003F4258">
        <w:tab/>
      </w:r>
      <w:r w:rsidRPr="003F4258">
        <w:tab/>
      </w:r>
      <w:r w:rsidRPr="003F4258">
        <w:tab/>
      </w:r>
      <w:r w:rsidRPr="003F4258">
        <w:tab/>
      </w:r>
    </w:p>
    <w:p w14:paraId="637B2129" w14:textId="77777777" w:rsidR="004036D5" w:rsidRPr="003F4258" w:rsidRDefault="004036D5" w:rsidP="007F4556">
      <w:pPr>
        <w:pStyle w:val="Heading2"/>
        <w:rPr>
          <w:rFonts w:ascii="Arial" w:hAnsi="Arial" w:cs="Arial"/>
          <w:bCs/>
        </w:rPr>
      </w:pPr>
      <w:r>
        <w:br w:type="page"/>
      </w:r>
      <w:bookmarkStart w:id="1125" w:name="_Toc98932962"/>
      <w:bookmarkStart w:id="1126" w:name="_Toc99008218"/>
      <w:bookmarkStart w:id="1127" w:name="_Toc99009580"/>
      <w:bookmarkStart w:id="1128" w:name="_Toc99010808"/>
      <w:bookmarkStart w:id="1129" w:name="_Toc99014043"/>
      <w:bookmarkStart w:id="1130" w:name="_Toc99187618"/>
      <w:bookmarkStart w:id="1131" w:name="_Toc99269740"/>
      <w:r w:rsidRPr="00810C6A">
        <w:t>Section 2: Outcomes and planned performance</w:t>
      </w:r>
      <w:bookmarkEnd w:id="1125"/>
      <w:bookmarkEnd w:id="1126"/>
      <w:bookmarkEnd w:id="1127"/>
      <w:bookmarkEnd w:id="1128"/>
      <w:bookmarkEnd w:id="1129"/>
      <w:bookmarkEnd w:id="1130"/>
      <w:bookmarkEnd w:id="1131"/>
    </w:p>
    <w:p w14:paraId="05B41ECE" w14:textId="77777777" w:rsidR="004036D5" w:rsidRPr="005E6F2B" w:rsidRDefault="004036D5" w:rsidP="004036D5">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A0E7071" w14:textId="77777777" w:rsidR="004036D5" w:rsidRDefault="004036D5" w:rsidP="004036D5">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4036D5" w14:paraId="118AA5E5" w14:textId="77777777" w:rsidTr="002F7A80">
        <w:tc>
          <w:tcPr>
            <w:tcW w:w="7700" w:type="dxa"/>
          </w:tcPr>
          <w:p w14:paraId="46FC9450" w14:textId="77777777" w:rsidR="004036D5" w:rsidRPr="006906E4" w:rsidRDefault="004036D5" w:rsidP="002F7A80">
            <w:pPr>
              <w:spacing w:before="120" w:after="120" w:line="240" w:lineRule="auto"/>
              <w:rPr>
                <w:b/>
              </w:rPr>
            </w:pPr>
            <w:r w:rsidRPr="006906E4">
              <w:rPr>
                <w:b/>
              </w:rPr>
              <w:t>Note:</w:t>
            </w:r>
          </w:p>
          <w:p w14:paraId="62D2A52A" w14:textId="77777777" w:rsidR="004036D5" w:rsidRDefault="004036D5" w:rsidP="002F7A80">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measure described in Portfolio Budget Statements will be read with broader information provided in an entity’s corporate plans and annual perfor</w:t>
            </w:r>
            <w:r w:rsidR="00922830">
              <w:t>mance statements – included in annual r</w:t>
            </w:r>
            <w:r w:rsidR="00C05C6C">
              <w:t xml:space="preserve">eports </w:t>
            </w:r>
            <w:r w:rsidR="00C05C6C" w:rsidRPr="00C05C6C">
              <w:t>–</w:t>
            </w:r>
            <w:r w:rsidR="00C05C6C">
              <w:t xml:space="preserve"> </w:t>
            </w:r>
            <w:r>
              <w:t>to provide a complete picture of an entity’s planned and actual performance.</w:t>
            </w:r>
          </w:p>
          <w:p w14:paraId="46172FDF" w14:textId="77777777" w:rsidR="004036D5" w:rsidRDefault="004036D5" w:rsidP="002F7A80">
            <w:r>
              <w:t xml:space="preserve">The most recent corporate plan for WGEA can be found at: </w:t>
            </w:r>
            <w:r w:rsidRPr="00E37F19">
              <w:t xml:space="preserve">www.wgea.gov.au/about/governance/corporate-plan </w:t>
            </w:r>
          </w:p>
          <w:p w14:paraId="02946245" w14:textId="77777777" w:rsidR="004036D5" w:rsidRDefault="004036D5" w:rsidP="007F4556">
            <w:r>
              <w:t xml:space="preserve">The most recent annual performance statement can be found at: </w:t>
            </w:r>
            <w:r w:rsidRPr="00E37F19">
              <w:t xml:space="preserve">www.wgea.gov.au/about/governance/annual-report </w:t>
            </w:r>
          </w:p>
        </w:tc>
      </w:tr>
    </w:tbl>
    <w:p w14:paraId="0F0AF7D9" w14:textId="77777777" w:rsidR="004036D5" w:rsidRDefault="004036D5" w:rsidP="004036D5">
      <w:pPr>
        <w:rPr>
          <w:highlight w:val="yellow"/>
        </w:rPr>
      </w:pPr>
    </w:p>
    <w:p w14:paraId="32D2E60C" w14:textId="77777777" w:rsidR="004036D5" w:rsidRDefault="004036D5" w:rsidP="004036D5">
      <w:pPr>
        <w:pStyle w:val="Heading3"/>
        <w:sectPr w:rsidR="004036D5" w:rsidSect="005223D4">
          <w:headerReference w:type="even" r:id="rId477"/>
          <w:headerReference w:type="default" r:id="rId478"/>
          <w:footerReference w:type="even" r:id="rId479"/>
          <w:footerReference w:type="default" r:id="rId480"/>
          <w:footerReference w:type="first" r:id="rId481"/>
          <w:type w:val="continuous"/>
          <w:pgSz w:w="11906" w:h="16838" w:code="9"/>
          <w:pgMar w:top="2835" w:right="2098" w:bottom="2466" w:left="2098" w:header="1814" w:footer="1814" w:gutter="0"/>
          <w:cols w:space="708"/>
          <w:titlePg/>
          <w:docGrid w:linePitch="360"/>
        </w:sectPr>
      </w:pPr>
    </w:p>
    <w:p w14:paraId="5FD02643" w14:textId="77777777" w:rsidR="004036D5" w:rsidRPr="00F743D8" w:rsidRDefault="004036D5" w:rsidP="004036D5">
      <w:pPr>
        <w:pStyle w:val="Heading3"/>
      </w:pPr>
      <w:bookmarkStart w:id="1132" w:name="_Toc98932963"/>
      <w:bookmarkStart w:id="1133" w:name="_Toc99008219"/>
      <w:bookmarkStart w:id="1134" w:name="_Toc99009581"/>
      <w:bookmarkStart w:id="1135" w:name="_Toc99010809"/>
      <w:bookmarkStart w:id="1136" w:name="_Toc99014044"/>
      <w:bookmarkStart w:id="1137" w:name="_Toc99187619"/>
      <w:bookmarkStart w:id="1138" w:name="_Toc99269741"/>
      <w:r>
        <w:t>2.1</w:t>
      </w:r>
      <w:r w:rsidRPr="00F743D8">
        <w:t xml:space="preserve"> </w:t>
      </w:r>
      <w:r w:rsidRPr="00F743D8">
        <w:tab/>
        <w:t xml:space="preserve">Budgeted expenses and performance for Outcome </w:t>
      </w:r>
      <w:r>
        <w:t>1</w:t>
      </w:r>
      <w:bookmarkEnd w:id="1132"/>
      <w:bookmarkEnd w:id="1133"/>
      <w:bookmarkEnd w:id="1134"/>
      <w:bookmarkEnd w:id="1135"/>
      <w:bookmarkEnd w:id="1136"/>
      <w:bookmarkEnd w:id="1137"/>
      <w:bookmarkEnd w:id="113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036D5" w:rsidRPr="005E6F2B" w14:paraId="18BB4042" w14:textId="77777777" w:rsidTr="002F7A80">
        <w:tc>
          <w:tcPr>
            <w:tcW w:w="7704" w:type="dxa"/>
            <w:shd w:val="clear" w:color="auto" w:fill="E6E6E6"/>
          </w:tcPr>
          <w:p w14:paraId="4F58B241" w14:textId="77777777" w:rsidR="004036D5" w:rsidRPr="005E6F2B" w:rsidRDefault="004036D5" w:rsidP="002F7A80">
            <w:pPr>
              <w:pStyle w:val="TableColumnHeadingLeft"/>
            </w:pPr>
            <w:r w:rsidRPr="005E6F2B">
              <w:t xml:space="preserve">Outcome </w:t>
            </w:r>
            <w:r>
              <w:t>1</w:t>
            </w:r>
            <w:r w:rsidRPr="005E6F2B">
              <w:t xml:space="preserve">: </w:t>
            </w:r>
            <w:r w:rsidRPr="0034534B">
              <w:t>Promote and improve gender equality in Australian workplaces including through the provision of advice and assistance to employers and the assessment and measurement of workplace gender data.</w:t>
            </w:r>
          </w:p>
        </w:tc>
      </w:tr>
    </w:tbl>
    <w:p w14:paraId="629CD2E1" w14:textId="77777777" w:rsidR="004036D5" w:rsidRPr="005E6F2B" w:rsidRDefault="004036D5" w:rsidP="004036D5">
      <w:pPr>
        <w:pStyle w:val="NoSpacing"/>
      </w:pPr>
    </w:p>
    <w:p w14:paraId="3552F6B4" w14:textId="77777777" w:rsidR="004036D5" w:rsidRPr="00446612" w:rsidRDefault="004036D5" w:rsidP="004036D5">
      <w:pPr>
        <w:pStyle w:val="Heading5"/>
      </w:pPr>
      <w:r w:rsidRPr="00446612">
        <w:t xml:space="preserve">Budgeted expenses for Outcome </w:t>
      </w:r>
      <w:r>
        <w:t>1</w:t>
      </w:r>
    </w:p>
    <w:p w14:paraId="4ACF1F9F" w14:textId="77777777" w:rsidR="004036D5" w:rsidRDefault="004036D5" w:rsidP="004036D5">
      <w:r w:rsidRPr="00950281">
        <w:t xml:space="preserve">This table shows how much </w:t>
      </w:r>
      <w:r w:rsidR="007F4556">
        <w:t>WGEA</w:t>
      </w:r>
      <w:r w:rsidRPr="00950281">
        <w:t xml:space="preserve"> intends to spend (on an accrual basis) on achieving the outcome, broken </w:t>
      </w:r>
      <w:r w:rsidR="00C05C6C">
        <w:t>down by program, as well as by a</w:t>
      </w:r>
      <w:r w:rsidRPr="00950281">
        <w:t>dministered an</w:t>
      </w:r>
      <w:r w:rsidR="00C05C6C">
        <w:t>d d</w:t>
      </w:r>
      <w:r>
        <w:t>epartmental funding sources.</w:t>
      </w:r>
    </w:p>
    <w:p w14:paraId="06FCF480" w14:textId="77777777" w:rsidR="004036D5" w:rsidRDefault="004036D5" w:rsidP="00C05C6C">
      <w:pPr>
        <w:spacing w:after="0"/>
      </w:pPr>
      <w:r w:rsidRPr="002B3B9C">
        <w:rPr>
          <w:rFonts w:ascii="Arial" w:hAnsi="Arial" w:cs="Arial"/>
          <w:b/>
        </w:rPr>
        <w:t>Table 2.1.1: Budgeted expenses for Outcome 1</w:t>
      </w:r>
      <w:r w:rsidR="007F4556" w:rsidRPr="007F4556">
        <w:t xml:space="preserve"> </w:t>
      </w:r>
    </w:p>
    <w:p w14:paraId="313C8EE5" w14:textId="77777777" w:rsidR="00C05C6C" w:rsidRDefault="00130659" w:rsidP="00C05C6C">
      <w:pPr>
        <w:pStyle w:val="TableHeading"/>
        <w:rPr>
          <w:rFonts w:eastAsia="Calibri" w:cs="Arial"/>
          <w:b w:val="0"/>
          <w:sz w:val="16"/>
          <w:szCs w:val="16"/>
          <w:lang w:val="en-US" w:eastAsia="en-US"/>
        </w:rPr>
      </w:pPr>
      <w:r w:rsidRPr="00130659">
        <w:rPr>
          <w:rFonts w:eastAsia="Calibri"/>
          <w:noProof/>
          <w:lang w:val="en-AU" w:eastAsia="en-AU"/>
        </w:rPr>
        <w:drawing>
          <wp:inline distT="0" distB="0" distL="0" distR="0" wp14:anchorId="0ABB418D" wp14:editId="4CCE80FC">
            <wp:extent cx="4895850" cy="1939097"/>
            <wp:effectExtent l="0" t="0" r="0" b="444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895850" cy="1939097"/>
                    </a:xfrm>
                    <a:prstGeom prst="rect">
                      <a:avLst/>
                    </a:prstGeom>
                    <a:noFill/>
                    <a:ln>
                      <a:noFill/>
                    </a:ln>
                  </pic:spPr>
                </pic:pic>
              </a:graphicData>
            </a:graphic>
          </wp:inline>
        </w:drawing>
      </w:r>
    </w:p>
    <w:p w14:paraId="7B42AA19" w14:textId="77777777" w:rsidR="00C05C6C" w:rsidRPr="00C05C6C" w:rsidRDefault="00C05C6C" w:rsidP="00392A48">
      <w:pPr>
        <w:pStyle w:val="TableHeading"/>
        <w:numPr>
          <w:ilvl w:val="4"/>
          <w:numId w:val="165"/>
        </w:numPr>
      </w:pPr>
      <w:r w:rsidRPr="007F4556">
        <w:rPr>
          <w:rFonts w:eastAsia="Calibri" w:cs="Arial"/>
          <w:b w:val="0"/>
          <w:sz w:val="16"/>
          <w:szCs w:val="16"/>
          <w:lang w:val="en-US" w:eastAsia="en-US"/>
        </w:rPr>
        <w:t>Estimated expenses incurred in relation to receipts retained under section 74 of the PGPA Act.</w:t>
      </w:r>
    </w:p>
    <w:p w14:paraId="47848927" w14:textId="77777777" w:rsidR="00C05C6C" w:rsidRPr="007F4556" w:rsidRDefault="00C05C6C" w:rsidP="00C05C6C">
      <w:pPr>
        <w:pStyle w:val="TableHeading"/>
        <w:numPr>
          <w:ilvl w:val="4"/>
          <w:numId w:val="6"/>
        </w:numPr>
      </w:pPr>
      <w:r w:rsidRPr="007F4556">
        <w:rPr>
          <w:rFonts w:eastAsia="Calibri" w:cs="Arial"/>
          <w:b w:val="0"/>
          <w:sz w:val="16"/>
          <w:szCs w:val="16"/>
          <w:lang w:val="en-US" w:eastAsia="en-US"/>
        </w:rPr>
        <w:t>Expenses not requiring appropriation in the Budget year are made up of depreciation expenses, amort</w:t>
      </w:r>
      <w:r>
        <w:rPr>
          <w:rFonts w:eastAsia="Calibri" w:cs="Arial"/>
          <w:b w:val="0"/>
          <w:sz w:val="16"/>
          <w:szCs w:val="16"/>
          <w:lang w:val="en-US" w:eastAsia="en-US"/>
        </w:rPr>
        <w:t>isation expenses and audit fees.</w:t>
      </w:r>
    </w:p>
    <w:p w14:paraId="428E719D" w14:textId="77777777" w:rsidR="00C05C6C" w:rsidRPr="007F4556" w:rsidRDefault="00C05C6C" w:rsidP="00C05C6C">
      <w:pPr>
        <w:spacing w:after="0" w:line="240" w:lineRule="auto"/>
        <w:jc w:val="left"/>
        <w:rPr>
          <w:rFonts w:ascii="Arial" w:hAnsi="Arial" w:cs="Arial"/>
          <w:sz w:val="16"/>
          <w:szCs w:val="15"/>
        </w:rPr>
      </w:pPr>
      <w:r w:rsidRPr="007F4556">
        <w:rPr>
          <w:rFonts w:ascii="Arial" w:hAnsi="Arial" w:cs="Arial"/>
          <w:sz w:val="16"/>
          <w:szCs w:val="15"/>
        </w:rPr>
        <w:t>Note: Departmental appropriation splits and totals are indicative estimates and may change in the course of the budget year as government priorities change.</w:t>
      </w:r>
    </w:p>
    <w:p w14:paraId="6DA962B5" w14:textId="77777777" w:rsidR="004036D5" w:rsidRPr="00F71634" w:rsidRDefault="007F4556" w:rsidP="007F4556">
      <w:pPr>
        <w:pStyle w:val="TableHeading"/>
      </w:pPr>
      <w:r w:rsidRPr="007F4556">
        <w:rPr>
          <w:rFonts w:eastAsia="Calibri" w:cs="Arial"/>
          <w:b w:val="0"/>
          <w:sz w:val="16"/>
          <w:szCs w:val="16"/>
          <w:lang w:val="en-US" w:eastAsia="en-US"/>
        </w:rPr>
        <w:tab/>
      </w:r>
      <w:r w:rsidRPr="007F4556">
        <w:rPr>
          <w:rFonts w:eastAsia="Calibri" w:cs="Arial"/>
          <w:b w:val="0"/>
          <w:sz w:val="16"/>
          <w:szCs w:val="16"/>
          <w:lang w:val="en-US" w:eastAsia="en-US"/>
        </w:rPr>
        <w:tab/>
      </w:r>
      <w:r w:rsidRPr="007F4556">
        <w:rPr>
          <w:rFonts w:eastAsia="Calibri" w:cs="Arial"/>
          <w:b w:val="0"/>
          <w:sz w:val="16"/>
          <w:szCs w:val="16"/>
          <w:lang w:val="en-US" w:eastAsia="en-US"/>
        </w:rPr>
        <w:tab/>
      </w:r>
      <w:r w:rsidRPr="007F4556">
        <w:rPr>
          <w:rFonts w:eastAsia="Calibri" w:cs="Arial"/>
          <w:b w:val="0"/>
          <w:sz w:val="16"/>
          <w:szCs w:val="16"/>
          <w:lang w:val="en-US" w:eastAsia="en-US"/>
        </w:rPr>
        <w:tab/>
      </w:r>
      <w:r w:rsidRPr="007F4556">
        <w:rPr>
          <w:rFonts w:eastAsia="Calibri" w:cs="Arial"/>
          <w:b w:val="0"/>
          <w:sz w:val="16"/>
          <w:szCs w:val="16"/>
          <w:lang w:val="en-US" w:eastAsia="en-US"/>
        </w:rPr>
        <w:tab/>
      </w:r>
      <w:r w:rsidRPr="007F4556">
        <w:rPr>
          <w:rFonts w:eastAsia="Calibri" w:cs="Arial"/>
          <w:b w:val="0"/>
          <w:sz w:val="16"/>
          <w:szCs w:val="16"/>
          <w:lang w:val="en-US" w:eastAsia="en-US"/>
        </w:rPr>
        <w:tab/>
      </w:r>
      <w:r w:rsidRPr="007F4556">
        <w:rPr>
          <w:rFonts w:eastAsia="Calibri" w:cs="Arial"/>
          <w:b w:val="0"/>
          <w:sz w:val="16"/>
          <w:szCs w:val="16"/>
          <w:lang w:val="en-US" w:eastAsia="en-US"/>
        </w:rPr>
        <w:tab/>
      </w:r>
      <w:r w:rsidR="004036D5">
        <w:br w:type="page"/>
      </w:r>
      <w:r w:rsidR="004036D5" w:rsidRPr="002F7B4C">
        <w:rPr>
          <w:rStyle w:val="TableHeadingChar"/>
          <w:b/>
          <w:bCs/>
          <w:lang w:val="en-AU"/>
        </w:rPr>
        <w:t>T</w:t>
      </w:r>
      <w:r w:rsidR="004036D5" w:rsidRPr="00F71634">
        <w:t>able 2.</w:t>
      </w:r>
      <w:r w:rsidR="004036D5">
        <w:rPr>
          <w:lang w:val="en-AU"/>
        </w:rPr>
        <w:t>1</w:t>
      </w:r>
      <w:r w:rsidR="004036D5" w:rsidRPr="00F71634">
        <w:t>.</w:t>
      </w:r>
      <w:r w:rsidR="004036D5">
        <w:rPr>
          <w:lang w:val="en-AU"/>
        </w:rPr>
        <w:t>2</w:t>
      </w:r>
      <w:r w:rsidR="004036D5" w:rsidRPr="00F71634">
        <w:t xml:space="preserve">: Performance </w:t>
      </w:r>
      <w:r w:rsidR="004036D5">
        <w:rPr>
          <w:lang w:val="en-AU"/>
        </w:rPr>
        <w:t>measure</w:t>
      </w:r>
      <w:r w:rsidR="004036D5" w:rsidRPr="00F71634">
        <w:t xml:space="preserve"> for Outcome </w:t>
      </w:r>
      <w:r w:rsidR="004036D5">
        <w:rPr>
          <w:lang w:val="en-AU"/>
        </w:rPr>
        <w:t>1</w:t>
      </w:r>
    </w:p>
    <w:p w14:paraId="163CAF52" w14:textId="77777777" w:rsidR="004036D5" w:rsidRPr="00F71634" w:rsidRDefault="004036D5" w:rsidP="004036D5">
      <w:r w:rsidRPr="001B2F81">
        <w:t>Table 2.</w:t>
      </w:r>
      <w:r>
        <w:t>1</w:t>
      </w:r>
      <w:r w:rsidRPr="001B2F81">
        <w:t>.</w:t>
      </w:r>
      <w:r>
        <w:t>2</w:t>
      </w:r>
      <w:r w:rsidRPr="001B2F81">
        <w:t xml:space="preserve"> details the performance measures for each </w:t>
      </w:r>
      <w:r w:rsidR="009B5F5D">
        <w:t>program associated with Outcome </w:t>
      </w:r>
      <w:r>
        <w:t>1</w:t>
      </w:r>
      <w:r w:rsidRPr="001B2F81">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w:t>
      </w:r>
      <w:r>
        <w:t>2</w:t>
      </w:r>
      <w:r w:rsidRPr="001B2F81">
        <w:t>-</w:t>
      </w:r>
      <w:r>
        <w:t>23</w:t>
      </w:r>
      <w:r w:rsidRPr="001B2F81">
        <w:t xml:space="preserve"> Budget measures that have created new programs or materially changed existing programs </w:t>
      </w:r>
      <w:r>
        <w:t>are</w:t>
      </w:r>
      <w:r w:rsidRPr="001B2F81">
        <w:t xml:space="preserve"> provided.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4036D5" w:rsidRPr="001B2F81" w14:paraId="7C8B92A1" w14:textId="77777777" w:rsidTr="002F7A80">
        <w:trPr>
          <w:trHeight w:val="569"/>
          <w:tblHeader/>
        </w:trPr>
        <w:tc>
          <w:tcPr>
            <w:tcW w:w="7796" w:type="dxa"/>
            <w:gridSpan w:val="3"/>
            <w:shd w:val="clear" w:color="auto" w:fill="F2F2F2"/>
          </w:tcPr>
          <w:p w14:paraId="311E901E" w14:textId="77777777" w:rsidR="004036D5" w:rsidRPr="00C41058" w:rsidRDefault="004036D5" w:rsidP="002F7A80">
            <w:pPr>
              <w:pStyle w:val="TableColumnHeadingLeft"/>
            </w:pPr>
            <w:r w:rsidRPr="00C05C6C">
              <w:rPr>
                <w:rStyle w:val="TableHeadingChar"/>
                <w:b/>
              </w:rPr>
              <w:t>Outcome 1</w:t>
            </w:r>
            <w:r w:rsidRPr="00C05C6C">
              <w:rPr>
                <w:b w:val="0"/>
              </w:rPr>
              <w:t xml:space="preserve"> –</w:t>
            </w:r>
            <w:r w:rsidRPr="00C41058">
              <w:rPr>
                <w:b w:val="0"/>
              </w:rPr>
              <w:t xml:space="preserve"> </w:t>
            </w:r>
            <w:r w:rsidRPr="0034534B">
              <w:t xml:space="preserve">Promote and improve gender equality in Australian workplaces including through the provision of advice and assistance to employers and the assessment and measurement of workplace gender data. </w:t>
            </w:r>
          </w:p>
        </w:tc>
      </w:tr>
      <w:tr w:rsidR="004036D5" w:rsidRPr="001B2F81" w14:paraId="3DEE8C99" w14:textId="77777777" w:rsidTr="002F7A80">
        <w:trPr>
          <w:trHeight w:val="522"/>
          <w:tblHeader/>
        </w:trPr>
        <w:tc>
          <w:tcPr>
            <w:tcW w:w="7796" w:type="dxa"/>
            <w:gridSpan w:val="3"/>
            <w:shd w:val="clear" w:color="auto" w:fill="F2F2F2"/>
          </w:tcPr>
          <w:p w14:paraId="1185327C" w14:textId="77777777" w:rsidR="004036D5" w:rsidRPr="00C05C6C" w:rsidRDefault="004036D5" w:rsidP="002F7A80">
            <w:pPr>
              <w:pStyle w:val="TableTextLeft"/>
              <w:rPr>
                <w:sz w:val="16"/>
                <w:szCs w:val="16"/>
              </w:rPr>
            </w:pPr>
            <w:r w:rsidRPr="00C05C6C">
              <w:rPr>
                <w:sz w:val="16"/>
                <w:szCs w:val="16"/>
              </w:rPr>
              <w:t>Program 1.1</w:t>
            </w:r>
            <w:r w:rsidR="00C05C6C">
              <w:rPr>
                <w:sz w:val="16"/>
                <w:szCs w:val="16"/>
              </w:rPr>
              <w:t xml:space="preserve"> </w:t>
            </w:r>
            <w:r w:rsidRPr="00C05C6C">
              <w:rPr>
                <w:sz w:val="16"/>
                <w:szCs w:val="16"/>
              </w:rPr>
              <w:t xml:space="preserve">- </w:t>
            </w:r>
            <w:r w:rsidR="00C05C6C" w:rsidRPr="00C05C6C">
              <w:rPr>
                <w:sz w:val="16"/>
                <w:szCs w:val="16"/>
              </w:rPr>
              <w:t>The</w:t>
            </w:r>
            <w:r w:rsidR="00C05C6C" w:rsidRPr="00C05C6C">
              <w:rPr>
                <w:b/>
                <w:sz w:val="16"/>
                <w:szCs w:val="16"/>
              </w:rPr>
              <w:t xml:space="preserve"> </w:t>
            </w:r>
            <w:r w:rsidRPr="00C05C6C">
              <w:rPr>
                <w:rFonts w:cs="Arial"/>
                <w:sz w:val="16"/>
                <w:szCs w:val="16"/>
              </w:rPr>
              <w:t>WGEA will deliver on Outcome 1 by assisting relevant employers to report to WGEA; educating employers on improving gender equality outcomes; promoting and contributing to understanding, acceptance and public discussion of gender equality in the Australian workplace; using gender equality data to improve workplace gender equality</w:t>
            </w:r>
            <w:r w:rsidR="000D3FB5">
              <w:rPr>
                <w:rFonts w:cs="Arial"/>
                <w:sz w:val="16"/>
                <w:szCs w:val="16"/>
              </w:rPr>
              <w:t>;</w:t>
            </w:r>
            <w:r w:rsidRPr="00C05C6C">
              <w:rPr>
                <w:rFonts w:cs="Arial"/>
                <w:sz w:val="16"/>
                <w:szCs w:val="16"/>
              </w:rPr>
              <w:t xml:space="preserve"> and fostering compliance with the reporting and transparency provisions of the Act. </w:t>
            </w:r>
          </w:p>
        </w:tc>
      </w:tr>
      <w:tr w:rsidR="004036D5" w:rsidRPr="001B2F81" w14:paraId="346C6788" w14:textId="77777777" w:rsidTr="00C05C6C">
        <w:trPr>
          <w:trHeight w:val="1909"/>
        </w:trPr>
        <w:tc>
          <w:tcPr>
            <w:tcW w:w="1560" w:type="dxa"/>
            <w:tcBorders>
              <w:bottom w:val="double" w:sz="4" w:space="0" w:color="auto"/>
            </w:tcBorders>
          </w:tcPr>
          <w:p w14:paraId="0394A35A" w14:textId="77777777" w:rsidR="004036D5" w:rsidRPr="00160C23" w:rsidRDefault="00C05C6C" w:rsidP="002F7A80">
            <w:pPr>
              <w:tabs>
                <w:tab w:val="left" w:pos="709"/>
              </w:tabs>
              <w:spacing w:before="60"/>
              <w:rPr>
                <w:rFonts w:ascii="Arial" w:hAnsi="Arial" w:cs="Arial"/>
                <w:b/>
                <w:sz w:val="16"/>
                <w:szCs w:val="16"/>
              </w:rPr>
            </w:pPr>
            <w:r>
              <w:rPr>
                <w:rFonts w:ascii="Arial" w:hAnsi="Arial" w:cs="Arial"/>
                <w:b/>
                <w:sz w:val="16"/>
                <w:szCs w:val="16"/>
              </w:rPr>
              <w:t>Key a</w:t>
            </w:r>
            <w:r w:rsidR="009B5F5D">
              <w:rPr>
                <w:rFonts w:ascii="Arial" w:hAnsi="Arial" w:cs="Arial"/>
                <w:b/>
                <w:sz w:val="16"/>
                <w:szCs w:val="16"/>
              </w:rPr>
              <w:t>ctivities</w:t>
            </w:r>
          </w:p>
        </w:tc>
        <w:tc>
          <w:tcPr>
            <w:tcW w:w="6236" w:type="dxa"/>
            <w:gridSpan w:val="2"/>
            <w:tcBorders>
              <w:bottom w:val="double" w:sz="4" w:space="0" w:color="auto"/>
            </w:tcBorders>
          </w:tcPr>
          <w:p w14:paraId="784B5808" w14:textId="77777777" w:rsidR="004036D5" w:rsidRDefault="004036D5" w:rsidP="002F7A80">
            <w:pPr>
              <w:tabs>
                <w:tab w:val="left" w:pos="709"/>
              </w:tabs>
              <w:spacing w:before="60"/>
              <w:rPr>
                <w:rFonts w:ascii="Arial" w:hAnsi="Arial" w:cs="Arial"/>
                <w:bCs/>
                <w:sz w:val="16"/>
                <w:szCs w:val="16"/>
              </w:rPr>
            </w:pPr>
            <w:r w:rsidRPr="00160C23">
              <w:rPr>
                <w:rFonts w:ascii="Arial" w:hAnsi="Arial" w:cs="Arial"/>
                <w:bCs/>
                <w:sz w:val="16"/>
                <w:szCs w:val="16"/>
              </w:rPr>
              <w:t>Key activities reported in the current corporate plan that relate to this program.</w:t>
            </w:r>
          </w:p>
          <w:p w14:paraId="7D7D2EC7" w14:textId="77777777" w:rsidR="004036D5" w:rsidRPr="00FA560A" w:rsidRDefault="004036D5" w:rsidP="008A2254">
            <w:pPr>
              <w:numPr>
                <w:ilvl w:val="0"/>
                <w:numId w:val="72"/>
              </w:numPr>
              <w:autoSpaceDE w:val="0"/>
              <w:autoSpaceDN w:val="0"/>
              <w:adjustRightInd w:val="0"/>
              <w:spacing w:after="0" w:line="240" w:lineRule="auto"/>
              <w:rPr>
                <w:rFonts w:ascii="Arial" w:hAnsi="Arial" w:cs="Arial"/>
                <w:sz w:val="16"/>
                <w:szCs w:val="16"/>
              </w:rPr>
            </w:pPr>
            <w:r w:rsidRPr="00FA560A">
              <w:rPr>
                <w:rFonts w:ascii="Arial" w:hAnsi="Arial" w:cs="Arial"/>
                <w:sz w:val="16"/>
                <w:szCs w:val="16"/>
              </w:rPr>
              <w:t xml:space="preserve">Bridging the gap between evidence and action </w:t>
            </w:r>
            <w:r>
              <w:rPr>
                <w:rFonts w:ascii="Arial" w:hAnsi="Arial" w:cs="Arial"/>
                <w:sz w:val="16"/>
                <w:szCs w:val="16"/>
              </w:rPr>
              <w:t>through</w:t>
            </w:r>
            <w:r w:rsidRPr="00FA560A">
              <w:rPr>
                <w:rFonts w:ascii="Arial" w:hAnsi="Arial" w:cs="Arial"/>
                <w:sz w:val="16"/>
                <w:szCs w:val="16"/>
              </w:rPr>
              <w:t xml:space="preserve"> undertaking research,</w:t>
            </w:r>
            <w:r w:rsidR="00C05C6C">
              <w:rPr>
                <w:rFonts w:ascii="Arial" w:hAnsi="Arial" w:cs="Arial"/>
                <w:sz w:val="16"/>
                <w:szCs w:val="16"/>
              </w:rPr>
              <w:t xml:space="preserve"> educational and other program</w:t>
            </w:r>
            <w:r w:rsidRPr="00FA560A">
              <w:rPr>
                <w:rFonts w:ascii="Arial" w:hAnsi="Arial" w:cs="Arial"/>
                <w:sz w:val="16"/>
                <w:szCs w:val="16"/>
              </w:rPr>
              <w:t xml:space="preserve">s designed to promote and improve gender equality in the workplace and supporting the review of </w:t>
            </w:r>
            <w:r w:rsidR="00C05C6C">
              <w:rPr>
                <w:rFonts w:ascii="Arial" w:hAnsi="Arial" w:cs="Arial"/>
                <w:sz w:val="16"/>
                <w:szCs w:val="16"/>
              </w:rPr>
              <w:t>the</w:t>
            </w:r>
            <w:r w:rsidRPr="00FA560A">
              <w:rPr>
                <w:rFonts w:ascii="Arial" w:hAnsi="Arial" w:cs="Arial"/>
                <w:sz w:val="16"/>
                <w:szCs w:val="16"/>
              </w:rPr>
              <w:t xml:space="preserve"> Act and related reforms.</w:t>
            </w:r>
          </w:p>
          <w:p w14:paraId="46787C82" w14:textId="77777777" w:rsidR="004036D5" w:rsidRPr="00FA560A" w:rsidRDefault="004036D5" w:rsidP="008A2254">
            <w:pPr>
              <w:numPr>
                <w:ilvl w:val="0"/>
                <w:numId w:val="72"/>
              </w:numPr>
              <w:autoSpaceDE w:val="0"/>
              <w:autoSpaceDN w:val="0"/>
              <w:adjustRightInd w:val="0"/>
              <w:spacing w:after="0" w:line="240" w:lineRule="auto"/>
              <w:rPr>
                <w:rFonts w:ascii="Arial" w:hAnsi="Arial" w:cs="Arial"/>
                <w:sz w:val="16"/>
                <w:szCs w:val="16"/>
              </w:rPr>
            </w:pPr>
            <w:r w:rsidRPr="00FA560A">
              <w:rPr>
                <w:rFonts w:ascii="Arial" w:hAnsi="Arial" w:cs="Arial"/>
                <w:sz w:val="16"/>
                <w:szCs w:val="16"/>
              </w:rPr>
              <w:t>Maximising the potential of the dataset and enhancin</w:t>
            </w:r>
            <w:r w:rsidR="00C05C6C">
              <w:rPr>
                <w:rFonts w:ascii="Arial" w:hAnsi="Arial" w:cs="Arial"/>
                <w:sz w:val="16"/>
                <w:szCs w:val="16"/>
              </w:rPr>
              <w:t>g analytical capability of the a</w:t>
            </w:r>
            <w:r w:rsidRPr="00FA560A">
              <w:rPr>
                <w:rFonts w:ascii="Arial" w:hAnsi="Arial" w:cs="Arial"/>
                <w:sz w:val="16"/>
                <w:szCs w:val="16"/>
              </w:rPr>
              <w:t>gency’s reporting and data management platform</w:t>
            </w:r>
          </w:p>
          <w:p w14:paraId="174D5694" w14:textId="77777777" w:rsidR="004036D5" w:rsidRDefault="004036D5" w:rsidP="008A2254">
            <w:pPr>
              <w:numPr>
                <w:ilvl w:val="0"/>
                <w:numId w:val="72"/>
              </w:numPr>
              <w:autoSpaceDE w:val="0"/>
              <w:autoSpaceDN w:val="0"/>
              <w:adjustRightInd w:val="0"/>
              <w:spacing w:after="0" w:line="240" w:lineRule="auto"/>
              <w:rPr>
                <w:rFonts w:ascii="Arial" w:hAnsi="Arial" w:cs="Arial"/>
                <w:sz w:val="17"/>
                <w:szCs w:val="17"/>
              </w:rPr>
            </w:pPr>
            <w:r w:rsidRPr="00FA560A">
              <w:rPr>
                <w:rFonts w:ascii="Arial" w:hAnsi="Arial" w:cs="Arial"/>
                <w:sz w:val="16"/>
                <w:szCs w:val="16"/>
              </w:rPr>
              <w:t>Enabling the collection of public sector gender equality data</w:t>
            </w:r>
            <w:r w:rsidRPr="00FA560A">
              <w:rPr>
                <w:rFonts w:ascii="Arial" w:hAnsi="Arial" w:cs="Arial"/>
                <w:sz w:val="17"/>
                <w:szCs w:val="17"/>
              </w:rPr>
              <w:t>.</w:t>
            </w:r>
          </w:p>
          <w:p w14:paraId="0CFF2CF5" w14:textId="77777777" w:rsidR="00C05C6C" w:rsidRPr="00C05C6C" w:rsidRDefault="00C05C6C" w:rsidP="00C05C6C">
            <w:pPr>
              <w:autoSpaceDE w:val="0"/>
              <w:autoSpaceDN w:val="0"/>
              <w:adjustRightInd w:val="0"/>
              <w:spacing w:after="0" w:line="240" w:lineRule="auto"/>
              <w:rPr>
                <w:rFonts w:ascii="Arial" w:hAnsi="Arial" w:cs="Arial"/>
                <w:sz w:val="17"/>
                <w:szCs w:val="17"/>
              </w:rPr>
            </w:pPr>
          </w:p>
        </w:tc>
      </w:tr>
      <w:tr w:rsidR="004036D5" w:rsidRPr="001B2F81" w14:paraId="7BBB3D6E" w14:textId="77777777" w:rsidTr="002F7A80">
        <w:trPr>
          <w:trHeight w:val="258"/>
        </w:trPr>
        <w:tc>
          <w:tcPr>
            <w:tcW w:w="1560" w:type="dxa"/>
            <w:tcBorders>
              <w:top w:val="double" w:sz="4" w:space="0" w:color="auto"/>
              <w:bottom w:val="single" w:sz="4" w:space="0" w:color="auto"/>
              <w:right w:val="single" w:sz="4" w:space="0" w:color="auto"/>
            </w:tcBorders>
          </w:tcPr>
          <w:p w14:paraId="3DCC8C8C" w14:textId="77777777" w:rsidR="004036D5" w:rsidRPr="00160C23" w:rsidRDefault="00C05C6C" w:rsidP="002F7A80">
            <w:pPr>
              <w:pStyle w:val="TableTextBase"/>
              <w:rPr>
                <w:b/>
                <w:sz w:val="16"/>
                <w:szCs w:val="16"/>
              </w:rPr>
            </w:pPr>
            <w:r>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6B389CEA" w14:textId="77777777" w:rsidR="004036D5" w:rsidRPr="00160C23" w:rsidRDefault="004036D5" w:rsidP="002F7A80">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75E8B6D7" w14:textId="77777777" w:rsidR="004036D5" w:rsidRPr="00160C23" w:rsidRDefault="00C05C6C" w:rsidP="002F7A80">
            <w:pPr>
              <w:pStyle w:val="TableTextBase"/>
              <w:rPr>
                <w:rFonts w:cs="Arial"/>
                <w:b/>
                <w:sz w:val="16"/>
                <w:szCs w:val="16"/>
              </w:rPr>
            </w:pPr>
            <w:r>
              <w:rPr>
                <w:rFonts w:cs="Arial"/>
                <w:b/>
                <w:sz w:val="16"/>
                <w:szCs w:val="16"/>
              </w:rPr>
              <w:t>Expected performance r</w:t>
            </w:r>
            <w:r w:rsidR="004036D5" w:rsidRPr="00160C23">
              <w:rPr>
                <w:rFonts w:cs="Arial"/>
                <w:b/>
                <w:sz w:val="16"/>
                <w:szCs w:val="16"/>
              </w:rPr>
              <w:t>esults</w:t>
            </w:r>
          </w:p>
        </w:tc>
      </w:tr>
      <w:tr w:rsidR="004036D5" w:rsidRPr="001B2F81" w14:paraId="0FD01C76" w14:textId="77777777" w:rsidTr="002F7A80">
        <w:trPr>
          <w:trHeight w:val="642"/>
        </w:trPr>
        <w:tc>
          <w:tcPr>
            <w:tcW w:w="1560" w:type="dxa"/>
            <w:vMerge w:val="restart"/>
            <w:tcBorders>
              <w:top w:val="single" w:sz="4" w:space="0" w:color="auto"/>
              <w:right w:val="single" w:sz="4" w:space="0" w:color="auto"/>
            </w:tcBorders>
          </w:tcPr>
          <w:p w14:paraId="59309162" w14:textId="77777777" w:rsidR="004036D5" w:rsidRPr="00160C23" w:rsidRDefault="004036D5" w:rsidP="002F7A80">
            <w:pPr>
              <w:pStyle w:val="TableTextBase"/>
              <w:rPr>
                <w:sz w:val="16"/>
                <w:szCs w:val="16"/>
              </w:rPr>
            </w:pPr>
            <w:r w:rsidRPr="00160C23">
              <w:rPr>
                <w:sz w:val="16"/>
                <w:szCs w:val="16"/>
              </w:rPr>
              <w:t xml:space="preserve">Current year </w:t>
            </w:r>
          </w:p>
          <w:p w14:paraId="37463026" w14:textId="77777777" w:rsidR="004036D5" w:rsidRPr="00160C23" w:rsidRDefault="004036D5" w:rsidP="002F7A80">
            <w:pPr>
              <w:pStyle w:val="TableTextBase"/>
              <w:rPr>
                <w:sz w:val="16"/>
                <w:szCs w:val="16"/>
              </w:rPr>
            </w:pPr>
            <w:r w:rsidRPr="00160C23">
              <w:rPr>
                <w:sz w:val="16"/>
                <w:szCs w:val="16"/>
              </w:rPr>
              <w:t>2021-22</w:t>
            </w:r>
          </w:p>
        </w:tc>
        <w:tc>
          <w:tcPr>
            <w:tcW w:w="3118" w:type="dxa"/>
            <w:tcBorders>
              <w:top w:val="single" w:sz="4" w:space="0" w:color="auto"/>
              <w:left w:val="single" w:sz="4" w:space="0" w:color="auto"/>
              <w:bottom w:val="dotted" w:sz="4" w:space="0" w:color="auto"/>
              <w:right w:val="single" w:sz="4" w:space="0" w:color="auto"/>
            </w:tcBorders>
          </w:tcPr>
          <w:p w14:paraId="1AB1E997" w14:textId="77777777" w:rsidR="004036D5" w:rsidRDefault="00C05C6C" w:rsidP="002F7A80">
            <w:pPr>
              <w:pStyle w:val="TableTextBase"/>
              <w:rPr>
                <w:rFonts w:cs="Arial"/>
                <w:i/>
                <w:color w:val="FF0000"/>
                <w:sz w:val="16"/>
                <w:szCs w:val="16"/>
              </w:rPr>
            </w:pPr>
            <w:r>
              <w:rPr>
                <w:rFonts w:cs="Arial"/>
                <w:iCs/>
                <w:sz w:val="16"/>
                <w:szCs w:val="16"/>
              </w:rPr>
              <w:t xml:space="preserve">The </w:t>
            </w:r>
            <w:r w:rsidR="004036D5" w:rsidRPr="00407303">
              <w:rPr>
                <w:rFonts w:cs="Arial"/>
                <w:iCs/>
                <w:sz w:val="16"/>
                <w:szCs w:val="16"/>
              </w:rPr>
              <w:t>WGEA is bridging the gap between evidence and action</w:t>
            </w:r>
          </w:p>
          <w:p w14:paraId="365AF9C8" w14:textId="77777777" w:rsidR="004036D5" w:rsidRPr="00160C23" w:rsidRDefault="004036D5" w:rsidP="002F7A80">
            <w:pPr>
              <w:tabs>
                <w:tab w:val="left" w:pos="709"/>
              </w:tabs>
              <w:spacing w:before="60" w:after="60" w:line="240" w:lineRule="auto"/>
              <w:jc w:val="left"/>
              <w:rPr>
                <w:i/>
                <w:color w:val="0070C0"/>
                <w:sz w:val="16"/>
                <w:szCs w:val="16"/>
              </w:rPr>
            </w:pPr>
          </w:p>
        </w:tc>
        <w:tc>
          <w:tcPr>
            <w:tcW w:w="3118" w:type="dxa"/>
            <w:tcBorders>
              <w:top w:val="single" w:sz="4" w:space="0" w:color="auto"/>
              <w:left w:val="single" w:sz="4" w:space="0" w:color="auto"/>
              <w:bottom w:val="dotted" w:sz="4" w:space="0" w:color="auto"/>
            </w:tcBorders>
          </w:tcPr>
          <w:p w14:paraId="5B2D42C6" w14:textId="77777777" w:rsidR="004036D5" w:rsidRPr="005A3382" w:rsidRDefault="004036D5" w:rsidP="002F7A80">
            <w:pPr>
              <w:pStyle w:val="TableTextBase"/>
              <w:rPr>
                <w:iCs/>
                <w:sz w:val="16"/>
                <w:szCs w:val="16"/>
              </w:rPr>
            </w:pPr>
            <w:r w:rsidRPr="005A3382">
              <w:rPr>
                <w:iCs/>
                <w:sz w:val="16"/>
                <w:szCs w:val="16"/>
              </w:rPr>
              <w:t>• Implementation of education and engagement campaigns tailored to identified employer action gaps</w:t>
            </w:r>
          </w:p>
          <w:p w14:paraId="72678CF4" w14:textId="77777777" w:rsidR="004036D5" w:rsidRPr="005A3382" w:rsidRDefault="004036D5" w:rsidP="002F7A80">
            <w:pPr>
              <w:pStyle w:val="TableTextBase"/>
              <w:rPr>
                <w:iCs/>
                <w:sz w:val="16"/>
                <w:szCs w:val="16"/>
              </w:rPr>
            </w:pPr>
            <w:r w:rsidRPr="005A3382">
              <w:rPr>
                <w:iCs/>
                <w:sz w:val="16"/>
                <w:szCs w:val="16"/>
              </w:rPr>
              <w:t>•</w:t>
            </w:r>
            <w:r>
              <w:rPr>
                <w:iCs/>
                <w:sz w:val="16"/>
                <w:szCs w:val="16"/>
              </w:rPr>
              <w:t xml:space="preserve"> </w:t>
            </w:r>
            <w:r w:rsidRPr="005A3382">
              <w:rPr>
                <w:iCs/>
                <w:sz w:val="16"/>
                <w:szCs w:val="16"/>
              </w:rPr>
              <w:t>Expansion of WGEA recognition of best practice programs</w:t>
            </w:r>
          </w:p>
          <w:p w14:paraId="0997637B" w14:textId="77777777" w:rsidR="004036D5" w:rsidRPr="00160C23" w:rsidRDefault="004036D5" w:rsidP="002F7A80">
            <w:pPr>
              <w:pStyle w:val="TableTextBase"/>
              <w:rPr>
                <w:i/>
                <w:color w:val="0070C0"/>
                <w:sz w:val="16"/>
                <w:szCs w:val="16"/>
              </w:rPr>
            </w:pPr>
            <w:r>
              <w:rPr>
                <w:rFonts w:cs="Arial"/>
                <w:b/>
                <w:bCs/>
                <w:iCs/>
                <w:sz w:val="16"/>
                <w:szCs w:val="16"/>
              </w:rPr>
              <w:t>Assessment:</w:t>
            </w:r>
            <w:r>
              <w:rPr>
                <w:rFonts w:cs="Arial"/>
                <w:iCs/>
                <w:sz w:val="16"/>
                <w:szCs w:val="16"/>
              </w:rPr>
              <w:t xml:space="preserve"> On track across the dura</w:t>
            </w:r>
            <w:r w:rsidR="00823C7E">
              <w:rPr>
                <w:rFonts w:cs="Arial"/>
                <w:iCs/>
                <w:sz w:val="16"/>
                <w:szCs w:val="16"/>
              </w:rPr>
              <w:t>tion of the multi-year program</w:t>
            </w:r>
          </w:p>
        </w:tc>
      </w:tr>
      <w:tr w:rsidR="004036D5" w:rsidRPr="001B2F81" w14:paraId="5840E725" w14:textId="77777777" w:rsidTr="002F7A80">
        <w:trPr>
          <w:trHeight w:val="642"/>
        </w:trPr>
        <w:tc>
          <w:tcPr>
            <w:tcW w:w="1560" w:type="dxa"/>
            <w:vMerge/>
            <w:tcBorders>
              <w:right w:val="single" w:sz="4" w:space="0" w:color="auto"/>
            </w:tcBorders>
          </w:tcPr>
          <w:p w14:paraId="3DE085E0" w14:textId="77777777" w:rsidR="004036D5" w:rsidRPr="00160C23" w:rsidRDefault="004036D5" w:rsidP="002F7A80">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697CC641" w14:textId="77777777" w:rsidR="004036D5" w:rsidRDefault="00C05C6C" w:rsidP="002F7A80">
            <w:pPr>
              <w:tabs>
                <w:tab w:val="left" w:pos="709"/>
              </w:tabs>
              <w:spacing w:before="60" w:after="60" w:line="240" w:lineRule="auto"/>
              <w:jc w:val="left"/>
              <w:rPr>
                <w:rFonts w:ascii="Arial" w:hAnsi="Arial" w:cs="Arial"/>
                <w:iCs/>
                <w:sz w:val="16"/>
                <w:szCs w:val="16"/>
              </w:rPr>
            </w:pPr>
            <w:r>
              <w:rPr>
                <w:rFonts w:ascii="Arial" w:hAnsi="Arial" w:cs="Arial"/>
                <w:iCs/>
                <w:sz w:val="16"/>
                <w:szCs w:val="16"/>
              </w:rPr>
              <w:t xml:space="preserve">The </w:t>
            </w:r>
            <w:r w:rsidR="004036D5" w:rsidRPr="00407303">
              <w:rPr>
                <w:rFonts w:ascii="Arial" w:hAnsi="Arial" w:cs="Arial"/>
                <w:iCs/>
                <w:sz w:val="16"/>
                <w:szCs w:val="16"/>
              </w:rPr>
              <w:t xml:space="preserve">WGEA </w:t>
            </w:r>
            <w:r w:rsidR="004036D5">
              <w:rPr>
                <w:rFonts w:ascii="Arial" w:hAnsi="Arial" w:cs="Arial"/>
                <w:iCs/>
                <w:sz w:val="16"/>
                <w:szCs w:val="16"/>
              </w:rPr>
              <w:t>maximises the potential of the data by tailoring analysis and resources to reflect changing workforce and work patterns</w:t>
            </w:r>
          </w:p>
          <w:p w14:paraId="72CE8A52" w14:textId="77777777" w:rsidR="004036D5" w:rsidRPr="00407303" w:rsidRDefault="004036D5" w:rsidP="002F7A80">
            <w:pPr>
              <w:pStyle w:val="TableTextBase"/>
              <w:rPr>
                <w:rFonts w:cs="Arial"/>
                <w:iCs/>
                <w:sz w:val="16"/>
                <w:szCs w:val="16"/>
              </w:rPr>
            </w:pPr>
          </w:p>
        </w:tc>
        <w:tc>
          <w:tcPr>
            <w:tcW w:w="3118" w:type="dxa"/>
            <w:tcBorders>
              <w:top w:val="single" w:sz="4" w:space="0" w:color="auto"/>
              <w:left w:val="single" w:sz="4" w:space="0" w:color="auto"/>
              <w:bottom w:val="dotted" w:sz="4" w:space="0" w:color="auto"/>
            </w:tcBorders>
          </w:tcPr>
          <w:p w14:paraId="789D5C67" w14:textId="77777777" w:rsidR="004036D5" w:rsidRPr="005A3382" w:rsidRDefault="004036D5" w:rsidP="002F7A80">
            <w:pPr>
              <w:pStyle w:val="TableTextBase"/>
              <w:rPr>
                <w:iCs/>
                <w:sz w:val="16"/>
                <w:szCs w:val="16"/>
              </w:rPr>
            </w:pPr>
            <w:r w:rsidRPr="005A3382">
              <w:rPr>
                <w:iCs/>
                <w:sz w:val="16"/>
                <w:szCs w:val="16"/>
              </w:rPr>
              <w:t>•</w:t>
            </w:r>
            <w:r>
              <w:rPr>
                <w:iCs/>
                <w:sz w:val="16"/>
                <w:szCs w:val="16"/>
              </w:rPr>
              <w:t xml:space="preserve"> </w:t>
            </w:r>
            <w:r w:rsidRPr="005A3382">
              <w:rPr>
                <w:iCs/>
                <w:sz w:val="16"/>
                <w:szCs w:val="16"/>
              </w:rPr>
              <w:t>Expansion of data analysis and data visualisation of workplace gender equality issues</w:t>
            </w:r>
          </w:p>
          <w:p w14:paraId="47EEDBEB" w14:textId="77777777" w:rsidR="004036D5" w:rsidRPr="005A3382" w:rsidRDefault="004036D5" w:rsidP="002F7A80">
            <w:pPr>
              <w:pStyle w:val="TableTextBase"/>
              <w:rPr>
                <w:iCs/>
                <w:sz w:val="16"/>
                <w:szCs w:val="16"/>
              </w:rPr>
            </w:pPr>
            <w:r w:rsidRPr="005A3382">
              <w:rPr>
                <w:iCs/>
                <w:sz w:val="16"/>
                <w:szCs w:val="16"/>
              </w:rPr>
              <w:t>• Deployment of enhanced analysis and visualisation tools</w:t>
            </w:r>
          </w:p>
          <w:p w14:paraId="3177B3FE" w14:textId="77777777" w:rsidR="004036D5" w:rsidRPr="001132AC" w:rsidRDefault="004036D5" w:rsidP="002F7A80">
            <w:pPr>
              <w:pStyle w:val="TableTextBase"/>
              <w:rPr>
                <w:i/>
                <w:color w:val="0070C0"/>
                <w:sz w:val="16"/>
                <w:szCs w:val="16"/>
              </w:rPr>
            </w:pPr>
            <w:r>
              <w:rPr>
                <w:rFonts w:cs="Arial"/>
                <w:b/>
                <w:bCs/>
                <w:iCs/>
                <w:sz w:val="16"/>
                <w:szCs w:val="16"/>
              </w:rPr>
              <w:t>Assessment:</w:t>
            </w:r>
            <w:r>
              <w:rPr>
                <w:rFonts w:cs="Arial"/>
                <w:iCs/>
                <w:sz w:val="16"/>
                <w:szCs w:val="16"/>
              </w:rPr>
              <w:t xml:space="preserve"> Targets met</w:t>
            </w:r>
          </w:p>
        </w:tc>
      </w:tr>
      <w:tr w:rsidR="004036D5" w:rsidRPr="001B2F81" w14:paraId="7C0AD48B" w14:textId="77777777" w:rsidTr="002F7A80">
        <w:trPr>
          <w:trHeight w:val="642"/>
        </w:trPr>
        <w:tc>
          <w:tcPr>
            <w:tcW w:w="1560" w:type="dxa"/>
            <w:vMerge/>
            <w:tcBorders>
              <w:bottom w:val="dotted" w:sz="4" w:space="0" w:color="auto"/>
              <w:right w:val="single" w:sz="4" w:space="0" w:color="auto"/>
            </w:tcBorders>
          </w:tcPr>
          <w:p w14:paraId="4CF06868" w14:textId="77777777" w:rsidR="004036D5" w:rsidRPr="00160C23" w:rsidRDefault="004036D5" w:rsidP="002F7A80">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3DE24230" w14:textId="77777777" w:rsidR="004036D5" w:rsidRDefault="00C05C6C" w:rsidP="002F7A80">
            <w:pPr>
              <w:pStyle w:val="TableTextBase"/>
              <w:rPr>
                <w:rFonts w:cs="Arial"/>
                <w:iCs/>
                <w:sz w:val="16"/>
                <w:szCs w:val="16"/>
              </w:rPr>
            </w:pPr>
            <w:r>
              <w:rPr>
                <w:rFonts w:cs="Arial"/>
                <w:iCs/>
                <w:sz w:val="16"/>
                <w:szCs w:val="16"/>
              </w:rPr>
              <w:t xml:space="preserve">The </w:t>
            </w:r>
            <w:r w:rsidR="004036D5">
              <w:rPr>
                <w:rFonts w:cs="Arial"/>
                <w:iCs/>
                <w:sz w:val="16"/>
                <w:szCs w:val="16"/>
              </w:rPr>
              <w:t>WGEA’s reporting and data management platform provides meaningful analysis for organisations and the public</w:t>
            </w:r>
          </w:p>
          <w:p w14:paraId="2C11EE33" w14:textId="77777777" w:rsidR="004036D5" w:rsidRDefault="004036D5" w:rsidP="002F7A80">
            <w:pPr>
              <w:pStyle w:val="TableTextBase"/>
              <w:rPr>
                <w:rFonts w:cs="Arial"/>
                <w:iCs/>
                <w:sz w:val="16"/>
                <w:szCs w:val="16"/>
              </w:rPr>
            </w:pPr>
          </w:p>
          <w:p w14:paraId="46EBEE4C" w14:textId="77777777" w:rsidR="002F7A80" w:rsidRDefault="002F7A80" w:rsidP="002F7A80">
            <w:pPr>
              <w:pStyle w:val="TableTextBase"/>
              <w:rPr>
                <w:rFonts w:cs="Arial"/>
                <w:iCs/>
                <w:sz w:val="16"/>
                <w:szCs w:val="16"/>
              </w:rPr>
            </w:pPr>
          </w:p>
          <w:p w14:paraId="6421B64B" w14:textId="77777777" w:rsidR="002F7A80" w:rsidRPr="00407303" w:rsidRDefault="002F7A80" w:rsidP="002F7A80">
            <w:pPr>
              <w:pStyle w:val="TableTextBase"/>
              <w:rPr>
                <w:rFonts w:cs="Arial"/>
                <w:iCs/>
                <w:sz w:val="16"/>
                <w:szCs w:val="16"/>
              </w:rPr>
            </w:pPr>
          </w:p>
        </w:tc>
        <w:tc>
          <w:tcPr>
            <w:tcW w:w="3118" w:type="dxa"/>
            <w:tcBorders>
              <w:top w:val="single" w:sz="4" w:space="0" w:color="auto"/>
              <w:left w:val="single" w:sz="4" w:space="0" w:color="auto"/>
              <w:bottom w:val="dotted" w:sz="4" w:space="0" w:color="auto"/>
            </w:tcBorders>
          </w:tcPr>
          <w:p w14:paraId="7C5B4F88" w14:textId="77777777" w:rsidR="004036D5" w:rsidRPr="005A3382" w:rsidRDefault="004036D5" w:rsidP="002F7A80">
            <w:pPr>
              <w:pStyle w:val="TableTextBase"/>
              <w:rPr>
                <w:iCs/>
                <w:sz w:val="16"/>
                <w:szCs w:val="16"/>
              </w:rPr>
            </w:pPr>
            <w:r w:rsidRPr="005A3382">
              <w:rPr>
                <w:iCs/>
                <w:sz w:val="16"/>
                <w:szCs w:val="16"/>
              </w:rPr>
              <w:t>•</w:t>
            </w:r>
            <w:r>
              <w:rPr>
                <w:iCs/>
                <w:sz w:val="16"/>
                <w:szCs w:val="16"/>
              </w:rPr>
              <w:t xml:space="preserve"> </w:t>
            </w:r>
            <w:r w:rsidRPr="005A3382">
              <w:rPr>
                <w:iCs/>
                <w:sz w:val="16"/>
                <w:szCs w:val="16"/>
              </w:rPr>
              <w:t>Expansion of the data set and additional data points collected</w:t>
            </w:r>
          </w:p>
          <w:p w14:paraId="56071103" w14:textId="77777777" w:rsidR="004036D5" w:rsidRPr="005A3382" w:rsidRDefault="004036D5" w:rsidP="002F7A80">
            <w:pPr>
              <w:pStyle w:val="TableTextBase"/>
              <w:rPr>
                <w:iCs/>
                <w:sz w:val="16"/>
                <w:szCs w:val="16"/>
              </w:rPr>
            </w:pPr>
            <w:r w:rsidRPr="005A3382">
              <w:rPr>
                <w:iCs/>
                <w:sz w:val="16"/>
                <w:szCs w:val="16"/>
              </w:rPr>
              <w:t>•</w:t>
            </w:r>
            <w:r>
              <w:rPr>
                <w:iCs/>
                <w:sz w:val="16"/>
                <w:szCs w:val="16"/>
              </w:rPr>
              <w:t xml:space="preserve"> </w:t>
            </w:r>
            <w:r w:rsidR="00823C7E">
              <w:rPr>
                <w:iCs/>
                <w:sz w:val="16"/>
                <w:szCs w:val="16"/>
              </w:rPr>
              <w:t>Increased engagement with the data t</w:t>
            </w:r>
            <w:r w:rsidRPr="005A3382">
              <w:rPr>
                <w:iCs/>
                <w:sz w:val="16"/>
                <w:szCs w:val="16"/>
              </w:rPr>
              <w:t>ools and employer performance public dashboards</w:t>
            </w:r>
          </w:p>
          <w:p w14:paraId="68247CA0" w14:textId="77777777" w:rsidR="004036D5" w:rsidRDefault="004036D5" w:rsidP="002F7A80">
            <w:pPr>
              <w:pStyle w:val="TableTextBase"/>
              <w:rPr>
                <w:rFonts w:cs="Arial"/>
                <w:iCs/>
                <w:sz w:val="16"/>
                <w:szCs w:val="16"/>
              </w:rPr>
            </w:pPr>
            <w:r>
              <w:rPr>
                <w:rFonts w:cs="Arial"/>
                <w:b/>
                <w:bCs/>
                <w:iCs/>
                <w:sz w:val="16"/>
                <w:szCs w:val="16"/>
              </w:rPr>
              <w:t>Assessment:</w:t>
            </w:r>
            <w:r>
              <w:rPr>
                <w:rFonts w:cs="Arial"/>
                <w:iCs/>
                <w:sz w:val="16"/>
                <w:szCs w:val="16"/>
              </w:rPr>
              <w:t xml:space="preserve"> On track across the dur</w:t>
            </w:r>
            <w:r w:rsidR="009B5F5D">
              <w:rPr>
                <w:rFonts w:cs="Arial"/>
                <w:iCs/>
                <w:sz w:val="16"/>
                <w:szCs w:val="16"/>
              </w:rPr>
              <w:t>ation of the multi-year program</w:t>
            </w:r>
          </w:p>
          <w:p w14:paraId="5ACDEC7A" w14:textId="77777777" w:rsidR="00C05C6C" w:rsidRDefault="00C05C6C" w:rsidP="002F7A80">
            <w:pPr>
              <w:pStyle w:val="TableTextBase"/>
              <w:rPr>
                <w:rFonts w:cs="Arial"/>
                <w:iCs/>
                <w:sz w:val="16"/>
                <w:szCs w:val="16"/>
              </w:rPr>
            </w:pPr>
          </w:p>
          <w:p w14:paraId="28F5E2CE" w14:textId="77777777" w:rsidR="00C05C6C" w:rsidRPr="001132AC" w:rsidRDefault="00C05C6C" w:rsidP="002F7A80">
            <w:pPr>
              <w:pStyle w:val="TableTextBase"/>
              <w:rPr>
                <w:i/>
                <w:color w:val="0070C0"/>
                <w:sz w:val="16"/>
                <w:szCs w:val="16"/>
              </w:rPr>
            </w:pPr>
          </w:p>
        </w:tc>
      </w:tr>
      <w:tr w:rsidR="004036D5" w:rsidRPr="001B2F81" w14:paraId="38095B0D" w14:textId="77777777" w:rsidTr="00C009AB">
        <w:trPr>
          <w:trHeight w:val="361"/>
        </w:trPr>
        <w:tc>
          <w:tcPr>
            <w:tcW w:w="1560" w:type="dxa"/>
            <w:tcBorders>
              <w:top w:val="single" w:sz="4" w:space="0" w:color="auto"/>
              <w:bottom w:val="dotted" w:sz="4" w:space="0" w:color="auto"/>
              <w:right w:val="single" w:sz="4" w:space="0" w:color="auto"/>
            </w:tcBorders>
          </w:tcPr>
          <w:p w14:paraId="4688E549" w14:textId="77777777" w:rsidR="004036D5" w:rsidRPr="009B5F5D" w:rsidRDefault="004036D5" w:rsidP="00C009AB">
            <w:pPr>
              <w:pStyle w:val="TableTextBase"/>
              <w:rPr>
                <w:rFonts w:cs="Arial"/>
                <w:b/>
                <w:sz w:val="16"/>
                <w:szCs w:val="16"/>
              </w:rPr>
            </w:pPr>
            <w:r w:rsidRPr="009B5F5D">
              <w:rPr>
                <w:rFonts w:cs="Arial"/>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0CD1070D" w14:textId="77777777" w:rsidR="004036D5" w:rsidRPr="009B5F5D" w:rsidRDefault="004036D5" w:rsidP="002F7A80">
            <w:pPr>
              <w:pStyle w:val="TableTextBase"/>
              <w:rPr>
                <w:rFonts w:cs="Arial"/>
                <w:b/>
                <w:sz w:val="16"/>
                <w:szCs w:val="16"/>
              </w:rPr>
            </w:pPr>
            <w:r w:rsidRPr="009B5F5D">
              <w:rPr>
                <w:rFonts w:cs="Arial"/>
                <w:b/>
                <w:sz w:val="16"/>
                <w:szCs w:val="16"/>
              </w:rPr>
              <w:t>Performance measures</w:t>
            </w:r>
          </w:p>
        </w:tc>
        <w:tc>
          <w:tcPr>
            <w:tcW w:w="3118" w:type="dxa"/>
            <w:tcBorders>
              <w:top w:val="single" w:sz="4" w:space="0" w:color="auto"/>
              <w:left w:val="single" w:sz="4" w:space="0" w:color="auto"/>
              <w:bottom w:val="dotted" w:sz="4" w:space="0" w:color="auto"/>
            </w:tcBorders>
          </w:tcPr>
          <w:p w14:paraId="4A0835EB" w14:textId="77777777" w:rsidR="004036D5" w:rsidRPr="009B5F5D" w:rsidRDefault="00823C7E" w:rsidP="002F7A80">
            <w:pPr>
              <w:pStyle w:val="TableTextBase"/>
              <w:rPr>
                <w:rFonts w:cs="Arial"/>
                <w:b/>
                <w:sz w:val="16"/>
                <w:szCs w:val="16"/>
              </w:rPr>
            </w:pPr>
            <w:r>
              <w:rPr>
                <w:rFonts w:cs="Arial"/>
                <w:b/>
                <w:sz w:val="16"/>
                <w:szCs w:val="16"/>
              </w:rPr>
              <w:t>Expected p</w:t>
            </w:r>
            <w:r w:rsidR="004036D5" w:rsidRPr="009B5F5D">
              <w:rPr>
                <w:rFonts w:cs="Arial"/>
                <w:b/>
                <w:sz w:val="16"/>
                <w:szCs w:val="16"/>
              </w:rPr>
              <w:t>er</w:t>
            </w:r>
            <w:r>
              <w:rPr>
                <w:rFonts w:cs="Arial"/>
                <w:b/>
                <w:sz w:val="16"/>
                <w:szCs w:val="16"/>
              </w:rPr>
              <w:t>formance r</w:t>
            </w:r>
            <w:r w:rsidR="004036D5" w:rsidRPr="009B5F5D">
              <w:rPr>
                <w:rFonts w:cs="Arial"/>
                <w:b/>
                <w:sz w:val="16"/>
                <w:szCs w:val="16"/>
              </w:rPr>
              <w:t>esults</w:t>
            </w:r>
          </w:p>
        </w:tc>
      </w:tr>
      <w:tr w:rsidR="004036D5" w:rsidRPr="001B2F81" w14:paraId="0C394FB4" w14:textId="77777777" w:rsidTr="002F7A80">
        <w:trPr>
          <w:trHeight w:val="100"/>
        </w:trPr>
        <w:tc>
          <w:tcPr>
            <w:tcW w:w="1560" w:type="dxa"/>
            <w:vMerge w:val="restart"/>
            <w:tcBorders>
              <w:top w:val="single" w:sz="4" w:space="0" w:color="auto"/>
              <w:right w:val="single" w:sz="4" w:space="0" w:color="auto"/>
            </w:tcBorders>
          </w:tcPr>
          <w:p w14:paraId="59F6E407" w14:textId="77777777" w:rsidR="004036D5" w:rsidRPr="009B5F5D" w:rsidRDefault="00823C7E" w:rsidP="002F7A80">
            <w:pPr>
              <w:pStyle w:val="TableTextBase"/>
              <w:rPr>
                <w:rFonts w:cs="Arial"/>
                <w:sz w:val="16"/>
                <w:szCs w:val="16"/>
              </w:rPr>
            </w:pPr>
            <w:r>
              <w:rPr>
                <w:rFonts w:cs="Arial"/>
                <w:sz w:val="16"/>
                <w:szCs w:val="16"/>
              </w:rPr>
              <w:t>Budget y</w:t>
            </w:r>
            <w:r w:rsidR="004036D5" w:rsidRPr="009B5F5D">
              <w:rPr>
                <w:rFonts w:cs="Arial"/>
                <w:sz w:val="16"/>
                <w:szCs w:val="16"/>
              </w:rPr>
              <w:t>ear     2022-23</w:t>
            </w:r>
          </w:p>
        </w:tc>
        <w:tc>
          <w:tcPr>
            <w:tcW w:w="3118" w:type="dxa"/>
            <w:tcBorders>
              <w:top w:val="single" w:sz="4" w:space="0" w:color="auto"/>
              <w:left w:val="single" w:sz="4" w:space="0" w:color="auto"/>
              <w:bottom w:val="dotted" w:sz="4" w:space="0" w:color="auto"/>
              <w:right w:val="single" w:sz="4" w:space="0" w:color="auto"/>
            </w:tcBorders>
          </w:tcPr>
          <w:p w14:paraId="6F96C65E" w14:textId="77777777" w:rsidR="004036D5" w:rsidRPr="009B5F5D" w:rsidRDefault="00823C7E" w:rsidP="002F7A80">
            <w:pPr>
              <w:pStyle w:val="TableTextBase"/>
              <w:rPr>
                <w:rFonts w:cs="Arial"/>
                <w:i/>
                <w:color w:val="0070C0"/>
                <w:sz w:val="16"/>
                <w:szCs w:val="16"/>
              </w:rPr>
            </w:pPr>
            <w:r>
              <w:rPr>
                <w:rFonts w:cs="Arial"/>
                <w:iCs/>
                <w:sz w:val="16"/>
                <w:szCs w:val="16"/>
              </w:rPr>
              <w:t xml:space="preserve">The </w:t>
            </w:r>
            <w:r w:rsidR="004036D5" w:rsidRPr="009B5F5D">
              <w:rPr>
                <w:rFonts w:cs="Arial"/>
                <w:iCs/>
                <w:sz w:val="16"/>
                <w:szCs w:val="16"/>
              </w:rPr>
              <w:t>WGEA uses data set to provide enhanced insights,  resources and tools to suppo</w:t>
            </w:r>
            <w:r>
              <w:rPr>
                <w:rFonts w:cs="Arial"/>
                <w:iCs/>
                <w:sz w:val="16"/>
                <w:szCs w:val="16"/>
              </w:rPr>
              <w:t>rt action by relevant employers</w:t>
            </w:r>
            <w:r w:rsidR="004036D5" w:rsidRPr="009B5F5D">
              <w:rPr>
                <w:rFonts w:cs="Arial"/>
                <w:iCs/>
                <w:sz w:val="16"/>
                <w:szCs w:val="16"/>
              </w:rPr>
              <w:t xml:space="preserve"> </w:t>
            </w:r>
          </w:p>
        </w:tc>
        <w:tc>
          <w:tcPr>
            <w:tcW w:w="3118" w:type="dxa"/>
            <w:tcBorders>
              <w:top w:val="single" w:sz="4" w:space="0" w:color="auto"/>
              <w:left w:val="single" w:sz="4" w:space="0" w:color="auto"/>
              <w:bottom w:val="dotted" w:sz="4" w:space="0" w:color="auto"/>
            </w:tcBorders>
          </w:tcPr>
          <w:p w14:paraId="0644FE96" w14:textId="77777777" w:rsidR="004036D5" w:rsidRPr="009B5F5D" w:rsidRDefault="004036D5" w:rsidP="002F7A80">
            <w:pPr>
              <w:tabs>
                <w:tab w:val="left" w:pos="0"/>
              </w:tabs>
              <w:spacing w:before="60" w:after="60" w:line="240" w:lineRule="auto"/>
              <w:jc w:val="left"/>
              <w:rPr>
                <w:rFonts w:ascii="Arial" w:hAnsi="Arial" w:cs="Arial"/>
                <w:i/>
                <w:color w:val="0070C0"/>
                <w:sz w:val="16"/>
                <w:szCs w:val="16"/>
              </w:rPr>
            </w:pPr>
            <w:r w:rsidRPr="009B5F5D">
              <w:rPr>
                <w:rFonts w:ascii="Arial" w:hAnsi="Arial" w:cs="Arial"/>
                <w:iCs/>
                <w:sz w:val="16"/>
                <w:szCs w:val="16"/>
              </w:rPr>
              <w:t xml:space="preserve">• </w:t>
            </w:r>
            <w:r w:rsidR="00823C7E">
              <w:rPr>
                <w:rFonts w:ascii="Arial" w:hAnsi="Arial" w:cs="Arial"/>
                <w:iCs/>
                <w:sz w:val="16"/>
                <w:szCs w:val="16"/>
              </w:rPr>
              <w:t xml:space="preserve">The </w:t>
            </w:r>
            <w:r w:rsidRPr="009B5F5D">
              <w:rPr>
                <w:rFonts w:ascii="Arial" w:hAnsi="Arial" w:cs="Arial"/>
                <w:sz w:val="16"/>
                <w:szCs w:val="16"/>
              </w:rPr>
              <w:t>WGEA data collection produces expanded dataset enabling d</w:t>
            </w:r>
            <w:r w:rsidR="00823C7E">
              <w:rPr>
                <w:rFonts w:ascii="Arial" w:hAnsi="Arial" w:cs="Arial"/>
                <w:sz w:val="16"/>
                <w:szCs w:val="16"/>
              </w:rPr>
              <w:t>eeper and more nuanced insights</w:t>
            </w:r>
          </w:p>
          <w:p w14:paraId="1FE76C7A" w14:textId="77777777" w:rsidR="004036D5" w:rsidRPr="009B5F5D" w:rsidRDefault="004036D5" w:rsidP="002F7A80">
            <w:pPr>
              <w:tabs>
                <w:tab w:val="left" w:pos="0"/>
              </w:tabs>
              <w:spacing w:before="60" w:after="60" w:line="240" w:lineRule="auto"/>
              <w:jc w:val="left"/>
              <w:rPr>
                <w:rFonts w:ascii="Arial" w:hAnsi="Arial" w:cs="Arial"/>
                <w:i/>
                <w:color w:val="0070C0"/>
                <w:sz w:val="16"/>
                <w:szCs w:val="16"/>
              </w:rPr>
            </w:pPr>
            <w:r w:rsidRPr="009B5F5D">
              <w:rPr>
                <w:rFonts w:ascii="Arial" w:hAnsi="Arial" w:cs="Arial"/>
                <w:iCs/>
                <w:sz w:val="16"/>
                <w:szCs w:val="16"/>
              </w:rPr>
              <w:t>• Development of targeted tools and resources</w:t>
            </w:r>
          </w:p>
        </w:tc>
      </w:tr>
      <w:tr w:rsidR="004036D5" w:rsidRPr="001B2F81" w14:paraId="2363CC2C" w14:textId="77777777" w:rsidTr="002F7A80">
        <w:trPr>
          <w:trHeight w:val="100"/>
        </w:trPr>
        <w:tc>
          <w:tcPr>
            <w:tcW w:w="1560" w:type="dxa"/>
            <w:vMerge/>
            <w:tcBorders>
              <w:right w:val="single" w:sz="4" w:space="0" w:color="auto"/>
            </w:tcBorders>
          </w:tcPr>
          <w:p w14:paraId="0DB35588" w14:textId="77777777" w:rsidR="004036D5" w:rsidRPr="009B5F5D" w:rsidRDefault="004036D5" w:rsidP="002F7A80">
            <w:pPr>
              <w:pStyle w:val="TableTextBase"/>
              <w:rPr>
                <w:rFonts w:cs="Arial"/>
                <w:sz w:val="16"/>
                <w:szCs w:val="16"/>
              </w:rPr>
            </w:pPr>
          </w:p>
        </w:tc>
        <w:tc>
          <w:tcPr>
            <w:tcW w:w="3118" w:type="dxa"/>
            <w:tcBorders>
              <w:top w:val="dotted" w:sz="4" w:space="0" w:color="auto"/>
              <w:left w:val="single" w:sz="4" w:space="0" w:color="auto"/>
              <w:bottom w:val="dotted" w:sz="4" w:space="0" w:color="auto"/>
              <w:right w:val="single" w:sz="4" w:space="0" w:color="auto"/>
            </w:tcBorders>
          </w:tcPr>
          <w:p w14:paraId="33E4EB2B" w14:textId="77777777" w:rsidR="004036D5" w:rsidRPr="009B5F5D" w:rsidRDefault="00823C7E" w:rsidP="002F7A80">
            <w:pPr>
              <w:pStyle w:val="TableTextBase"/>
              <w:rPr>
                <w:rFonts w:cs="Arial"/>
                <w:iCs/>
                <w:sz w:val="16"/>
                <w:szCs w:val="16"/>
              </w:rPr>
            </w:pPr>
            <w:r>
              <w:rPr>
                <w:rFonts w:cs="Arial"/>
                <w:iCs/>
                <w:sz w:val="16"/>
                <w:szCs w:val="16"/>
              </w:rPr>
              <w:t xml:space="preserve">The </w:t>
            </w:r>
            <w:r w:rsidR="004036D5" w:rsidRPr="009B5F5D">
              <w:rPr>
                <w:rFonts w:cs="Arial"/>
                <w:iCs/>
                <w:sz w:val="16"/>
                <w:szCs w:val="16"/>
              </w:rPr>
              <w:t>WGEA drives broader and deeper action on gender equality</w:t>
            </w:r>
          </w:p>
        </w:tc>
        <w:tc>
          <w:tcPr>
            <w:tcW w:w="3118" w:type="dxa"/>
            <w:tcBorders>
              <w:top w:val="dotted" w:sz="4" w:space="0" w:color="auto"/>
              <w:left w:val="single" w:sz="4" w:space="0" w:color="auto"/>
              <w:bottom w:val="dotted" w:sz="4" w:space="0" w:color="auto"/>
              <w:right w:val="single" w:sz="4" w:space="0" w:color="auto"/>
            </w:tcBorders>
          </w:tcPr>
          <w:p w14:paraId="701EA344" w14:textId="77777777" w:rsidR="004036D5" w:rsidRPr="009B5F5D" w:rsidRDefault="004036D5" w:rsidP="002F7A80">
            <w:pPr>
              <w:tabs>
                <w:tab w:val="left" w:pos="0"/>
              </w:tabs>
              <w:spacing w:before="60" w:after="60" w:line="240" w:lineRule="auto"/>
              <w:jc w:val="left"/>
              <w:rPr>
                <w:rFonts w:ascii="Arial" w:hAnsi="Arial" w:cs="Arial"/>
                <w:sz w:val="16"/>
                <w:szCs w:val="16"/>
              </w:rPr>
            </w:pPr>
            <w:r w:rsidRPr="009B5F5D">
              <w:rPr>
                <w:rFonts w:ascii="Arial" w:hAnsi="Arial" w:cs="Arial"/>
                <w:iCs/>
                <w:sz w:val="16"/>
                <w:szCs w:val="16"/>
              </w:rPr>
              <w:t>• I</w:t>
            </w:r>
            <w:r w:rsidRPr="009B5F5D">
              <w:rPr>
                <w:rFonts w:ascii="Arial" w:hAnsi="Arial" w:cs="Arial"/>
                <w:sz w:val="16"/>
                <w:szCs w:val="16"/>
              </w:rPr>
              <w:t>nclusion of Publi</w:t>
            </w:r>
            <w:r w:rsidR="00823C7E">
              <w:rPr>
                <w:rFonts w:ascii="Arial" w:hAnsi="Arial" w:cs="Arial"/>
                <w:sz w:val="16"/>
                <w:szCs w:val="16"/>
              </w:rPr>
              <w:t>c Sector in dataset and analysis</w:t>
            </w:r>
          </w:p>
          <w:p w14:paraId="626A4EF4" w14:textId="77777777" w:rsidR="004036D5" w:rsidRPr="009B5F5D" w:rsidRDefault="004036D5" w:rsidP="002F7A80">
            <w:pPr>
              <w:tabs>
                <w:tab w:val="left" w:pos="0"/>
              </w:tabs>
              <w:spacing w:before="60" w:after="60" w:line="240" w:lineRule="auto"/>
              <w:jc w:val="left"/>
              <w:rPr>
                <w:rFonts w:ascii="Arial" w:hAnsi="Arial" w:cs="Arial"/>
                <w:i/>
                <w:color w:val="0070C0"/>
                <w:sz w:val="16"/>
                <w:szCs w:val="16"/>
              </w:rPr>
            </w:pPr>
            <w:r w:rsidRPr="009B5F5D">
              <w:rPr>
                <w:rFonts w:ascii="Arial" w:hAnsi="Arial" w:cs="Arial"/>
                <w:iCs/>
                <w:sz w:val="16"/>
                <w:szCs w:val="16"/>
              </w:rPr>
              <w:t xml:space="preserve">• </w:t>
            </w:r>
            <w:r w:rsidRPr="009B5F5D">
              <w:rPr>
                <w:rFonts w:ascii="Arial" w:hAnsi="Arial" w:cs="Arial"/>
                <w:sz w:val="16"/>
                <w:szCs w:val="16"/>
              </w:rPr>
              <w:t>Expansion of WGEA recognition for best practice approaches</w:t>
            </w:r>
          </w:p>
        </w:tc>
      </w:tr>
      <w:tr w:rsidR="004036D5" w:rsidRPr="001B2F81" w14:paraId="0EFA4049" w14:textId="77777777" w:rsidTr="00C009AB">
        <w:trPr>
          <w:trHeight w:val="100"/>
        </w:trPr>
        <w:tc>
          <w:tcPr>
            <w:tcW w:w="1560" w:type="dxa"/>
            <w:vMerge/>
            <w:tcBorders>
              <w:bottom w:val="single" w:sz="4" w:space="0" w:color="auto"/>
              <w:right w:val="single" w:sz="4" w:space="0" w:color="auto"/>
            </w:tcBorders>
          </w:tcPr>
          <w:p w14:paraId="469C6C2E" w14:textId="77777777" w:rsidR="004036D5" w:rsidRPr="009B5F5D" w:rsidRDefault="004036D5" w:rsidP="002F7A80">
            <w:pPr>
              <w:pStyle w:val="TableTextBase"/>
              <w:rPr>
                <w:rFonts w:cs="Arial"/>
                <w:sz w:val="16"/>
                <w:szCs w:val="16"/>
              </w:rPr>
            </w:pPr>
          </w:p>
        </w:tc>
        <w:tc>
          <w:tcPr>
            <w:tcW w:w="3118" w:type="dxa"/>
            <w:tcBorders>
              <w:top w:val="dotted" w:sz="4" w:space="0" w:color="auto"/>
              <w:left w:val="single" w:sz="4" w:space="0" w:color="auto"/>
              <w:bottom w:val="single" w:sz="4" w:space="0" w:color="auto"/>
              <w:right w:val="single" w:sz="4" w:space="0" w:color="auto"/>
            </w:tcBorders>
          </w:tcPr>
          <w:p w14:paraId="79EF0363" w14:textId="77777777" w:rsidR="004036D5" w:rsidRPr="009B5F5D" w:rsidRDefault="00823C7E" w:rsidP="002F7A80">
            <w:pPr>
              <w:pStyle w:val="TableTextBase"/>
              <w:rPr>
                <w:rFonts w:cs="Arial"/>
                <w:iCs/>
                <w:sz w:val="16"/>
                <w:szCs w:val="16"/>
              </w:rPr>
            </w:pPr>
            <w:r>
              <w:rPr>
                <w:rFonts w:cs="Arial"/>
                <w:iCs/>
                <w:sz w:val="16"/>
                <w:szCs w:val="16"/>
              </w:rPr>
              <w:t xml:space="preserve">The </w:t>
            </w:r>
            <w:r w:rsidR="004036D5" w:rsidRPr="009B5F5D">
              <w:rPr>
                <w:rFonts w:cs="Arial"/>
                <w:iCs/>
                <w:sz w:val="16"/>
                <w:szCs w:val="16"/>
              </w:rPr>
              <w:t>WGEA enables and amplifies momentum on gender equality</w:t>
            </w:r>
          </w:p>
        </w:tc>
        <w:tc>
          <w:tcPr>
            <w:tcW w:w="3118" w:type="dxa"/>
            <w:tcBorders>
              <w:top w:val="dotted" w:sz="4" w:space="0" w:color="auto"/>
              <w:left w:val="single" w:sz="4" w:space="0" w:color="auto"/>
              <w:bottom w:val="single" w:sz="4" w:space="0" w:color="auto"/>
            </w:tcBorders>
          </w:tcPr>
          <w:p w14:paraId="6161F5A2" w14:textId="77777777" w:rsidR="004036D5" w:rsidRPr="009B5F5D" w:rsidRDefault="004036D5" w:rsidP="002F7A80">
            <w:pPr>
              <w:tabs>
                <w:tab w:val="left" w:pos="0"/>
              </w:tabs>
              <w:spacing w:before="60" w:after="60" w:line="240" w:lineRule="auto"/>
              <w:jc w:val="left"/>
              <w:rPr>
                <w:rFonts w:ascii="Arial" w:hAnsi="Arial" w:cs="Arial"/>
                <w:iCs/>
                <w:sz w:val="16"/>
                <w:szCs w:val="16"/>
              </w:rPr>
            </w:pPr>
            <w:r w:rsidRPr="009B5F5D">
              <w:rPr>
                <w:rFonts w:ascii="Arial" w:hAnsi="Arial" w:cs="Arial"/>
                <w:iCs/>
                <w:sz w:val="16"/>
                <w:szCs w:val="16"/>
              </w:rPr>
              <w:t>• Delivery of effect</w:t>
            </w:r>
            <w:r w:rsidR="00823C7E">
              <w:rPr>
                <w:rFonts w:ascii="Arial" w:hAnsi="Arial" w:cs="Arial"/>
                <w:iCs/>
                <w:sz w:val="16"/>
                <w:szCs w:val="16"/>
              </w:rPr>
              <w:t>ive public and targeted campaig</w:t>
            </w:r>
            <w:r w:rsidR="00151321">
              <w:rPr>
                <w:rFonts w:ascii="Arial" w:hAnsi="Arial" w:cs="Arial"/>
                <w:iCs/>
                <w:sz w:val="16"/>
                <w:szCs w:val="16"/>
              </w:rPr>
              <w:t>n</w:t>
            </w:r>
            <w:r w:rsidRPr="009B5F5D">
              <w:rPr>
                <w:rFonts w:ascii="Arial" w:hAnsi="Arial" w:cs="Arial"/>
                <w:iCs/>
                <w:sz w:val="16"/>
                <w:szCs w:val="16"/>
              </w:rPr>
              <w:t>s to improve gender equality</w:t>
            </w:r>
            <w:r w:rsidR="00823C7E">
              <w:rPr>
                <w:rFonts w:ascii="Arial" w:hAnsi="Arial" w:cs="Arial"/>
                <w:iCs/>
                <w:sz w:val="16"/>
                <w:szCs w:val="16"/>
              </w:rPr>
              <w:t>.</w:t>
            </w:r>
            <w:r w:rsidRPr="009B5F5D">
              <w:rPr>
                <w:rFonts w:ascii="Arial" w:hAnsi="Arial" w:cs="Arial"/>
                <w:iCs/>
                <w:sz w:val="16"/>
                <w:szCs w:val="16"/>
              </w:rPr>
              <w:t xml:space="preserve"> </w:t>
            </w:r>
          </w:p>
          <w:p w14:paraId="06192DAF" w14:textId="77777777" w:rsidR="004036D5" w:rsidRPr="009B5F5D" w:rsidRDefault="004036D5" w:rsidP="002F7A80">
            <w:pPr>
              <w:tabs>
                <w:tab w:val="left" w:pos="0"/>
              </w:tabs>
              <w:spacing w:before="60" w:after="60" w:line="240" w:lineRule="auto"/>
              <w:jc w:val="left"/>
              <w:rPr>
                <w:rFonts w:ascii="Arial" w:hAnsi="Arial" w:cs="Arial"/>
                <w:iCs/>
                <w:sz w:val="16"/>
                <w:szCs w:val="16"/>
              </w:rPr>
            </w:pPr>
            <w:r w:rsidRPr="009B5F5D">
              <w:rPr>
                <w:rFonts w:ascii="Arial" w:hAnsi="Arial" w:cs="Arial"/>
                <w:iCs/>
                <w:sz w:val="16"/>
                <w:szCs w:val="16"/>
              </w:rPr>
              <w:t>•</w:t>
            </w:r>
            <w:r w:rsidR="00823C7E">
              <w:rPr>
                <w:rFonts w:ascii="Arial" w:hAnsi="Arial" w:cs="Arial"/>
                <w:iCs/>
                <w:sz w:val="16"/>
                <w:szCs w:val="16"/>
              </w:rPr>
              <w:t xml:space="preserve"> </w:t>
            </w:r>
            <w:r w:rsidRPr="009B5F5D">
              <w:rPr>
                <w:rFonts w:ascii="Arial" w:hAnsi="Arial" w:cs="Arial"/>
                <w:iCs/>
                <w:sz w:val="16"/>
                <w:szCs w:val="16"/>
              </w:rPr>
              <w:t>New collaborations to build understanding and drive change</w:t>
            </w:r>
            <w:r w:rsidR="00823C7E">
              <w:rPr>
                <w:rFonts w:ascii="Arial" w:hAnsi="Arial" w:cs="Arial"/>
                <w:iCs/>
                <w:sz w:val="16"/>
                <w:szCs w:val="16"/>
              </w:rPr>
              <w:t>.</w:t>
            </w:r>
          </w:p>
        </w:tc>
      </w:tr>
      <w:tr w:rsidR="004036D5" w:rsidRPr="001B2F81" w14:paraId="36B1BAA0" w14:textId="77777777" w:rsidTr="00C009AB">
        <w:trPr>
          <w:trHeight w:val="491"/>
        </w:trPr>
        <w:tc>
          <w:tcPr>
            <w:tcW w:w="1560" w:type="dxa"/>
            <w:tcBorders>
              <w:top w:val="single" w:sz="4" w:space="0" w:color="auto"/>
              <w:bottom w:val="single" w:sz="4" w:space="0" w:color="auto"/>
              <w:right w:val="single" w:sz="4" w:space="0" w:color="auto"/>
            </w:tcBorders>
          </w:tcPr>
          <w:p w14:paraId="3180DC5B" w14:textId="77777777" w:rsidR="004036D5" w:rsidRPr="009B5F5D" w:rsidRDefault="004036D5" w:rsidP="002F7A80">
            <w:pPr>
              <w:pStyle w:val="TableTextBase"/>
              <w:rPr>
                <w:rFonts w:cs="Arial"/>
                <w:sz w:val="16"/>
                <w:szCs w:val="16"/>
              </w:rPr>
            </w:pPr>
            <w:r w:rsidRPr="009B5F5D">
              <w:rPr>
                <w:rFonts w:cs="Arial"/>
                <w:sz w:val="16"/>
                <w:szCs w:val="16"/>
              </w:rPr>
              <w:t xml:space="preserve">Forward </w:t>
            </w:r>
            <w:r w:rsidR="00823C7E">
              <w:rPr>
                <w:rFonts w:cs="Arial"/>
                <w:sz w:val="16"/>
                <w:szCs w:val="16"/>
              </w:rPr>
              <w:t>e</w:t>
            </w:r>
            <w:r w:rsidRPr="009B5F5D">
              <w:rPr>
                <w:rFonts w:cs="Arial"/>
                <w:sz w:val="16"/>
                <w:szCs w:val="16"/>
              </w:rPr>
              <w:t xml:space="preserve">stimates </w:t>
            </w:r>
          </w:p>
          <w:p w14:paraId="37924C80" w14:textId="77777777" w:rsidR="004036D5" w:rsidRPr="009B5F5D" w:rsidRDefault="004036D5" w:rsidP="002F7A80">
            <w:pPr>
              <w:pStyle w:val="TableTextBase"/>
              <w:rPr>
                <w:rFonts w:cs="Arial"/>
                <w:b/>
                <w:sz w:val="16"/>
                <w:szCs w:val="16"/>
              </w:rPr>
            </w:pPr>
            <w:r w:rsidRPr="009B5F5D">
              <w:rPr>
                <w:rFonts w:cs="Arial"/>
                <w:sz w:val="16"/>
                <w:szCs w:val="16"/>
              </w:rPr>
              <w:t>2023-26</w:t>
            </w:r>
          </w:p>
        </w:tc>
        <w:tc>
          <w:tcPr>
            <w:tcW w:w="3118" w:type="dxa"/>
            <w:tcBorders>
              <w:top w:val="single" w:sz="4" w:space="0" w:color="auto"/>
              <w:left w:val="single" w:sz="4" w:space="0" w:color="auto"/>
              <w:bottom w:val="single" w:sz="4" w:space="0" w:color="auto"/>
              <w:right w:val="single" w:sz="4" w:space="0" w:color="auto"/>
            </w:tcBorders>
          </w:tcPr>
          <w:p w14:paraId="028DA23F" w14:textId="77777777" w:rsidR="004036D5" w:rsidRPr="009B5F5D" w:rsidRDefault="009B5F5D" w:rsidP="002F7A80">
            <w:pPr>
              <w:pStyle w:val="TableTextBase"/>
              <w:rPr>
                <w:rFonts w:cs="Arial"/>
                <w:iCs/>
                <w:sz w:val="16"/>
                <w:szCs w:val="16"/>
              </w:rPr>
            </w:pPr>
            <w:r>
              <w:rPr>
                <w:rFonts w:cs="Arial"/>
                <w:iCs/>
                <w:sz w:val="16"/>
                <w:szCs w:val="16"/>
              </w:rPr>
              <w:t>As per 2022-23</w:t>
            </w:r>
          </w:p>
          <w:p w14:paraId="0E95F2E7" w14:textId="77777777" w:rsidR="004036D5" w:rsidRPr="009B5F5D" w:rsidRDefault="004036D5" w:rsidP="002F7A80">
            <w:pPr>
              <w:pStyle w:val="TableTextBase"/>
              <w:rPr>
                <w:rFonts w:cs="Arial"/>
                <w:b/>
                <w:color w:val="0070C0"/>
                <w:sz w:val="16"/>
                <w:szCs w:val="16"/>
              </w:rPr>
            </w:pPr>
          </w:p>
        </w:tc>
        <w:tc>
          <w:tcPr>
            <w:tcW w:w="3118" w:type="dxa"/>
            <w:tcBorders>
              <w:top w:val="single" w:sz="4" w:space="0" w:color="auto"/>
              <w:left w:val="single" w:sz="4" w:space="0" w:color="auto"/>
              <w:bottom w:val="single" w:sz="4" w:space="0" w:color="auto"/>
            </w:tcBorders>
          </w:tcPr>
          <w:p w14:paraId="29943B3F" w14:textId="77777777" w:rsidR="004036D5" w:rsidRPr="009B5F5D" w:rsidRDefault="004036D5" w:rsidP="002F7A80">
            <w:pPr>
              <w:pStyle w:val="TableTextBase"/>
              <w:rPr>
                <w:rFonts w:cs="Arial"/>
                <w:b/>
                <w:color w:val="0070C0"/>
                <w:sz w:val="16"/>
                <w:szCs w:val="16"/>
              </w:rPr>
            </w:pPr>
          </w:p>
        </w:tc>
      </w:tr>
    </w:tbl>
    <w:p w14:paraId="5B5164B0" w14:textId="77777777" w:rsidR="004036D5" w:rsidRPr="00AD42E2" w:rsidRDefault="004036D5" w:rsidP="004036D5">
      <w:pPr>
        <w:pStyle w:val="Heading2"/>
      </w:pPr>
      <w:r w:rsidRPr="005B6A94">
        <w:br w:type="page"/>
      </w:r>
      <w:bookmarkStart w:id="1139" w:name="_Toc98932964"/>
      <w:bookmarkStart w:id="1140" w:name="_Toc99008220"/>
      <w:bookmarkStart w:id="1141" w:name="_Toc99009582"/>
      <w:bookmarkStart w:id="1142" w:name="_Toc99010810"/>
      <w:bookmarkStart w:id="1143" w:name="_Toc99014045"/>
      <w:bookmarkStart w:id="1144" w:name="_Toc99187620"/>
      <w:bookmarkStart w:id="1145" w:name="_Toc99269742"/>
      <w:r w:rsidRPr="00AD42E2">
        <w:t>Section 3: Budgeted financial statements</w:t>
      </w:r>
      <w:bookmarkEnd w:id="1139"/>
      <w:bookmarkEnd w:id="1140"/>
      <w:bookmarkEnd w:id="1141"/>
      <w:bookmarkEnd w:id="1142"/>
      <w:bookmarkEnd w:id="1143"/>
      <w:bookmarkEnd w:id="1144"/>
      <w:bookmarkEnd w:id="1145"/>
    </w:p>
    <w:p w14:paraId="5C90A899" w14:textId="77777777" w:rsidR="004036D5" w:rsidRDefault="004036D5" w:rsidP="004036D5">
      <w:r>
        <w:t>Section 3 presents budgeted financial statements which provide a comprehensive snapshot of entity finances for the 2022-23</w:t>
      </w:r>
      <w:r>
        <w:rPr>
          <w:color w:val="00B050"/>
        </w:rPr>
        <w:t xml:space="preserve"> </w:t>
      </w:r>
      <w:r w:rsidR="004C12AF">
        <w:t>Budget year</w:t>
      </w:r>
      <w:r>
        <w:t>, including the impact of budget measures and resourcing on financial statements.</w:t>
      </w:r>
    </w:p>
    <w:p w14:paraId="34A0EEAB" w14:textId="77777777" w:rsidR="004036D5" w:rsidRDefault="004036D5" w:rsidP="008A2254">
      <w:pPr>
        <w:pStyle w:val="Heading3"/>
        <w:numPr>
          <w:ilvl w:val="1"/>
          <w:numId w:val="72"/>
        </w:numPr>
      </w:pPr>
      <w:bookmarkStart w:id="1146" w:name="_Toc98932965"/>
      <w:bookmarkStart w:id="1147" w:name="_Toc99008221"/>
      <w:bookmarkStart w:id="1148" w:name="_Toc99009583"/>
      <w:bookmarkStart w:id="1149" w:name="_Toc99010811"/>
      <w:bookmarkStart w:id="1150" w:name="_Toc99014046"/>
      <w:bookmarkStart w:id="1151" w:name="_Toc99187621"/>
      <w:bookmarkStart w:id="1152" w:name="_Toc99269743"/>
      <w:r w:rsidRPr="005328A9">
        <w:t>Budgeted financial statements</w:t>
      </w:r>
      <w:bookmarkEnd w:id="1146"/>
      <w:bookmarkEnd w:id="1147"/>
      <w:bookmarkEnd w:id="1148"/>
      <w:bookmarkEnd w:id="1149"/>
      <w:bookmarkEnd w:id="1150"/>
      <w:bookmarkEnd w:id="1151"/>
      <w:bookmarkEnd w:id="1152"/>
    </w:p>
    <w:p w14:paraId="1CF0DDFB" w14:textId="77777777" w:rsidR="004036D5" w:rsidRPr="000339FB" w:rsidRDefault="004036D5" w:rsidP="008A2254">
      <w:pPr>
        <w:pStyle w:val="ListParagraph"/>
        <w:numPr>
          <w:ilvl w:val="2"/>
          <w:numId w:val="72"/>
        </w:numPr>
        <w:rPr>
          <w:rFonts w:ascii="Arial" w:hAnsi="Arial" w:cs="Arial"/>
          <w:b/>
          <w:bCs/>
          <w:sz w:val="20"/>
          <w:szCs w:val="20"/>
        </w:rPr>
      </w:pPr>
      <w:r w:rsidRPr="000339FB">
        <w:rPr>
          <w:rFonts w:ascii="Arial" w:hAnsi="Arial" w:cs="Arial"/>
          <w:b/>
          <w:bCs/>
          <w:sz w:val="20"/>
          <w:szCs w:val="20"/>
        </w:rPr>
        <w:t xml:space="preserve">Differences between entity resourcing and financial statements </w:t>
      </w:r>
    </w:p>
    <w:p w14:paraId="5F80A113" w14:textId="77777777" w:rsidR="004036D5" w:rsidRDefault="004036D5" w:rsidP="004036D5">
      <w:r>
        <w:t>The entity resource statement (Table 1.1) provides a consolidated view of all the resources available to WGEA in 2022-23. This includes appropriations that are yet to be drawn down to cover departmental payables and provisions on the balance sheet. The departmental comprehensive income statement (Table 3.1) shows only the departmental operating appropriation provided in each year.</w:t>
      </w:r>
    </w:p>
    <w:p w14:paraId="64B04D43" w14:textId="77777777" w:rsidR="004036D5" w:rsidRDefault="004036D5" w:rsidP="004036D5">
      <w:pPr>
        <w:pStyle w:val="Heading4"/>
      </w:pPr>
      <w:r>
        <w:t>3.1.2</w:t>
      </w:r>
      <w:r>
        <w:tab/>
        <w:t>Explanatory notes and analysis of budgeted financial statements</w:t>
      </w:r>
    </w:p>
    <w:p w14:paraId="5A90EABD" w14:textId="77777777" w:rsidR="004036D5" w:rsidRPr="004A19B4" w:rsidRDefault="000D3FB5" w:rsidP="000D3FB5">
      <w:pPr>
        <w:spacing w:after="160"/>
      </w:pPr>
      <w:r>
        <w:t xml:space="preserve">The </w:t>
      </w:r>
      <w:r w:rsidR="004036D5" w:rsidRPr="004A19B4">
        <w:t>WGEA is budgeting for a break-even net cost of service for 202</w:t>
      </w:r>
      <w:r w:rsidR="004036D5">
        <w:t>2</w:t>
      </w:r>
      <w:r w:rsidR="004036D5" w:rsidRPr="004A19B4">
        <w:t>-2</w:t>
      </w:r>
      <w:r w:rsidR="004036D5">
        <w:t>3</w:t>
      </w:r>
      <w:r w:rsidR="004036D5" w:rsidRPr="004A19B4">
        <w:t xml:space="preserve"> and the forward estimates.</w:t>
      </w:r>
    </w:p>
    <w:p w14:paraId="048A47FB" w14:textId="77777777" w:rsidR="004036D5" w:rsidRPr="004A19B4" w:rsidRDefault="004036D5" w:rsidP="000D3FB5">
      <w:r w:rsidRPr="004A19B4">
        <w:t>Total revenue for WGEA in 202</w:t>
      </w:r>
      <w:r>
        <w:t>2</w:t>
      </w:r>
      <w:r w:rsidRPr="004A19B4">
        <w:t>-2</w:t>
      </w:r>
      <w:r>
        <w:t>3</w:t>
      </w:r>
      <w:r w:rsidRPr="004A19B4">
        <w:t xml:space="preserve"> is budgeted at $</w:t>
      </w:r>
      <w:r w:rsidR="008D4BEF">
        <w:t>9.7</w:t>
      </w:r>
      <w:r w:rsidRPr="004A19B4">
        <w:t xml:space="preserve"> million (202</w:t>
      </w:r>
      <w:r>
        <w:t>1</w:t>
      </w:r>
      <w:r w:rsidRPr="004A19B4">
        <w:t>-2</w:t>
      </w:r>
      <w:r>
        <w:t>2</w:t>
      </w:r>
      <w:r w:rsidRPr="004A19B4">
        <w:t>: $6.</w:t>
      </w:r>
      <w:r>
        <w:t>3</w:t>
      </w:r>
      <w:r w:rsidRPr="004A19B4">
        <w:t xml:space="preserve"> million) and comprises:</w:t>
      </w:r>
    </w:p>
    <w:p w14:paraId="47F80A33" w14:textId="77777777" w:rsidR="004036D5" w:rsidRPr="004A19B4" w:rsidRDefault="000D3FB5" w:rsidP="008A2254">
      <w:pPr>
        <w:numPr>
          <w:ilvl w:val="0"/>
          <w:numId w:val="73"/>
        </w:numPr>
        <w:spacing w:after="160" w:line="259" w:lineRule="auto"/>
      </w:pPr>
      <w:r>
        <w:t>revenue from g</w:t>
      </w:r>
      <w:r w:rsidR="004036D5" w:rsidRPr="004A19B4">
        <w:t>overnment (appropriation funding) of $</w:t>
      </w:r>
      <w:r w:rsidR="008D4BEF">
        <w:t>9.6</w:t>
      </w:r>
      <w:r w:rsidR="004036D5" w:rsidRPr="004A19B4">
        <w:t xml:space="preserve"> million and </w:t>
      </w:r>
    </w:p>
    <w:p w14:paraId="11AC3234" w14:textId="77777777" w:rsidR="004036D5" w:rsidRPr="004A19B4" w:rsidRDefault="008D4BEF" w:rsidP="008A2254">
      <w:pPr>
        <w:numPr>
          <w:ilvl w:val="0"/>
          <w:numId w:val="73"/>
        </w:numPr>
        <w:spacing w:after="160" w:line="259" w:lineRule="auto"/>
      </w:pPr>
      <w:r>
        <w:t>own source revenue of $0.1</w:t>
      </w:r>
      <w:r w:rsidR="004036D5" w:rsidRPr="004A19B4">
        <w:t xml:space="preserve"> million.</w:t>
      </w:r>
    </w:p>
    <w:p w14:paraId="160EA90B" w14:textId="77777777" w:rsidR="004036D5" w:rsidRPr="004A19B4" w:rsidRDefault="004036D5" w:rsidP="000D3FB5">
      <w:r w:rsidRPr="004A19B4">
        <w:t>Operating expenses in 202</w:t>
      </w:r>
      <w:r>
        <w:t>2</w:t>
      </w:r>
      <w:r w:rsidRPr="004A19B4">
        <w:t>-2</w:t>
      </w:r>
      <w:r>
        <w:t>3</w:t>
      </w:r>
      <w:r w:rsidRPr="004A19B4">
        <w:t xml:space="preserve"> are estimated to total $</w:t>
      </w:r>
      <w:r>
        <w:t>11.1</w:t>
      </w:r>
      <w:r w:rsidRPr="004A19B4">
        <w:t xml:space="preserve"> million (202</w:t>
      </w:r>
      <w:r>
        <w:t>1-22</w:t>
      </w:r>
      <w:r w:rsidRPr="004A19B4">
        <w:t>: $</w:t>
      </w:r>
      <w:r w:rsidR="008D4BEF">
        <w:t>8.5 mil</w:t>
      </w:r>
      <w:r w:rsidRPr="004A19B4">
        <w:t xml:space="preserve">lion). The </w:t>
      </w:r>
      <w:r>
        <w:t xml:space="preserve">increase </w:t>
      </w:r>
      <w:r w:rsidRPr="004A19B4">
        <w:t>in operating expenses in 202</w:t>
      </w:r>
      <w:r>
        <w:t>2-23</w:t>
      </w:r>
      <w:r w:rsidRPr="004A19B4">
        <w:t xml:space="preserve"> is mostly attributed </w:t>
      </w:r>
      <w:r>
        <w:t>to change</w:t>
      </w:r>
      <w:r w:rsidRPr="004A19B4">
        <w:t xml:space="preserve"> in the activities related to the measure</w:t>
      </w:r>
      <w:r w:rsidRPr="004A19B4">
        <w:rPr>
          <w:i/>
          <w:color w:val="FF0000"/>
        </w:rPr>
        <w:t xml:space="preserve"> </w:t>
      </w:r>
      <w:r w:rsidRPr="004A19B4">
        <w:t>Women’s</w:t>
      </w:r>
      <w:r>
        <w:t xml:space="preserve"> Leadership Program </w:t>
      </w:r>
      <w:r w:rsidRPr="004A19B4">
        <w:t>that provided $</w:t>
      </w:r>
      <w:r w:rsidR="008D4BEF">
        <w:t>3.1</w:t>
      </w:r>
      <w:r w:rsidRPr="004A19B4">
        <w:t xml:space="preserve"> million in 202</w:t>
      </w:r>
      <w:r>
        <w:t>2-23</w:t>
      </w:r>
      <w:r w:rsidRPr="004A19B4">
        <w:t xml:space="preserve"> </w:t>
      </w:r>
      <w:r>
        <w:t>and change in the activities related to the measure to support R</w:t>
      </w:r>
      <w:r w:rsidR="008D4BEF">
        <w:t>espect@Work which provided $0.6</w:t>
      </w:r>
      <w:r>
        <w:t xml:space="preserve"> mill</w:t>
      </w:r>
      <w:r w:rsidR="008D4BEF">
        <w:t>ion in 2021-22 compared to $1.0</w:t>
      </w:r>
      <w:r w:rsidR="00987F75">
        <w:t xml:space="preserve"> million in 2022</w:t>
      </w:r>
      <w:r w:rsidR="00987F75">
        <w:noBreakHyphen/>
      </w:r>
      <w:r>
        <w:t>23.</w:t>
      </w:r>
    </w:p>
    <w:p w14:paraId="4B77CEA8" w14:textId="77777777" w:rsidR="004036D5" w:rsidRPr="004A19B4" w:rsidRDefault="004036D5" w:rsidP="000D3FB5">
      <w:r w:rsidRPr="004A19B4">
        <w:t>Total assets at the end of the 202</w:t>
      </w:r>
      <w:r>
        <w:t>2</w:t>
      </w:r>
      <w:r w:rsidRPr="004A19B4">
        <w:t>-2</w:t>
      </w:r>
      <w:r>
        <w:t>3</w:t>
      </w:r>
      <w:r w:rsidRPr="004A19B4">
        <w:t xml:space="preserve"> year are estimated to be $</w:t>
      </w:r>
      <w:r w:rsidR="008D4BEF">
        <w:t>7.4</w:t>
      </w:r>
      <w:r w:rsidRPr="004A19B4">
        <w:t xml:space="preserve"> million.  The majority of the assets represent receivables (appropriation receivables) and intangible assets.</w:t>
      </w:r>
    </w:p>
    <w:p w14:paraId="4E3FDDB2" w14:textId="77777777" w:rsidR="004036D5" w:rsidRDefault="004036D5" w:rsidP="000D3FB5">
      <w:pPr>
        <w:rPr>
          <w:rStyle w:val="TableHeadingChar"/>
        </w:rPr>
      </w:pPr>
      <w:r w:rsidRPr="004A19B4">
        <w:t>Total liabilities for 202</w:t>
      </w:r>
      <w:r>
        <w:t>2</w:t>
      </w:r>
      <w:r w:rsidRPr="004A19B4">
        <w:t>-2</w:t>
      </w:r>
      <w:r>
        <w:t>3</w:t>
      </w:r>
      <w:r w:rsidRPr="004A19B4">
        <w:t xml:space="preserve"> are estimated at $</w:t>
      </w:r>
      <w:r w:rsidR="00604A58">
        <w:t>3.5</w:t>
      </w:r>
      <w:r w:rsidRPr="004A19B4">
        <w:t xml:space="preserve"> million. The largest liability items are accrued employee entitlements</w:t>
      </w:r>
      <w:r>
        <w:t xml:space="preserve"> and the applicatio</w:t>
      </w:r>
      <w:r w:rsidR="00CC64EA">
        <w:t xml:space="preserve">n of leases in accordance with </w:t>
      </w:r>
      <w:r>
        <w:t>AASB</w:t>
      </w:r>
      <w:r w:rsidR="00CC64EA">
        <w:t> </w:t>
      </w:r>
      <w:r>
        <w:t xml:space="preserve">16 Leases. </w:t>
      </w:r>
      <w:r>
        <w:br w:type="page"/>
      </w:r>
      <w:r w:rsidRPr="00D232B7">
        <w:rPr>
          <w:rStyle w:val="TableHeadingChar"/>
        </w:rPr>
        <w:t>3.2.</w:t>
      </w:r>
      <w:r w:rsidRPr="00D232B7">
        <w:rPr>
          <w:rStyle w:val="TableHeadingChar"/>
        </w:rPr>
        <w:tab/>
        <w:t>Budgeted financial statements tables</w:t>
      </w:r>
    </w:p>
    <w:p w14:paraId="0328C744" w14:textId="77777777" w:rsidR="004036D5" w:rsidRPr="00B54E24" w:rsidRDefault="004036D5" w:rsidP="004036D5">
      <w:pPr>
        <w:spacing w:after="0"/>
        <w:jc w:val="left"/>
        <w:rPr>
          <w:rFonts w:ascii="Arial" w:hAnsi="Arial" w:cs="Arial"/>
          <w:b/>
          <w:bCs/>
        </w:rPr>
      </w:pPr>
      <w:r w:rsidRPr="00B54E24">
        <w:rPr>
          <w:rFonts w:ascii="Arial" w:hAnsi="Arial" w:cs="Arial"/>
          <w:b/>
          <w:bCs/>
        </w:rPr>
        <w:t xml:space="preserve">Table 3.1: Comprehensive income statement (showing net cost of services) </w:t>
      </w:r>
      <w:r w:rsidRPr="00B54E24">
        <w:rPr>
          <w:rFonts w:ascii="Arial" w:hAnsi="Arial" w:cs="Arial"/>
          <w:b/>
          <w:bCs/>
          <w:snapToGrid w:val="0"/>
        </w:rPr>
        <w:t>for the period ended 30 June</w:t>
      </w:r>
    </w:p>
    <w:p w14:paraId="4E7127C3" w14:textId="77777777" w:rsidR="00ED1EAB" w:rsidRDefault="00ED1EAB" w:rsidP="00CC64EA">
      <w:pPr>
        <w:pStyle w:val="TableHeading"/>
        <w:rPr>
          <w:rFonts w:cs="Arial"/>
          <w:bCs/>
        </w:rPr>
      </w:pPr>
      <w:r w:rsidRPr="00ED1EAB">
        <w:rPr>
          <w:b w:val="0"/>
          <w:snapToGrid w:val="0"/>
        </w:rPr>
        <w:t xml:space="preserve"> </w:t>
      </w:r>
      <w:r w:rsidRPr="00ED1EAB">
        <w:rPr>
          <w:noProof/>
          <w:lang w:val="en-AU" w:eastAsia="en-AU"/>
        </w:rPr>
        <w:drawing>
          <wp:inline distT="0" distB="0" distL="0" distR="0" wp14:anchorId="29371752" wp14:editId="41865B1D">
            <wp:extent cx="4895850" cy="40988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895850" cy="4098866"/>
                    </a:xfrm>
                    <a:prstGeom prst="rect">
                      <a:avLst/>
                    </a:prstGeom>
                    <a:noFill/>
                    <a:ln>
                      <a:noFill/>
                    </a:ln>
                  </pic:spPr>
                </pic:pic>
              </a:graphicData>
            </a:graphic>
          </wp:inline>
        </w:drawing>
      </w:r>
      <w:r w:rsidR="00A75066" w:rsidRPr="00A75066">
        <w:rPr>
          <w:b w:val="0"/>
          <w:snapToGrid w:val="0"/>
        </w:rPr>
        <w:t xml:space="preserve">  </w:t>
      </w:r>
      <w:r w:rsidR="00A75066" w:rsidRPr="00A75066">
        <w:rPr>
          <w:rFonts w:cs="Arial"/>
          <w:bCs/>
        </w:rPr>
        <w:t xml:space="preserve"> </w:t>
      </w:r>
    </w:p>
    <w:p w14:paraId="660F3630" w14:textId="77777777" w:rsidR="00ED1EAB" w:rsidRDefault="00ED1EAB">
      <w:pPr>
        <w:spacing w:after="0" w:line="240" w:lineRule="auto"/>
        <w:jc w:val="left"/>
        <w:rPr>
          <w:lang w:val="x-none" w:eastAsia="x-none"/>
        </w:rPr>
      </w:pPr>
      <w:r>
        <w:rPr>
          <w:lang w:val="x-none" w:eastAsia="x-none"/>
        </w:rPr>
        <w:br w:type="page"/>
      </w:r>
    </w:p>
    <w:p w14:paraId="709EB1D1" w14:textId="77777777" w:rsidR="00ED1EAB" w:rsidRPr="00692513" w:rsidRDefault="00ED1EAB" w:rsidP="00ED1EAB">
      <w:pPr>
        <w:pStyle w:val="TableHeadingcontinued"/>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13188BBA" w14:textId="77777777" w:rsidR="00ED1EAB" w:rsidRPr="00ED1EAB" w:rsidRDefault="00ED1EAB" w:rsidP="00ED1EAB">
      <w:pPr>
        <w:pStyle w:val="TableGraphic"/>
        <w:rPr>
          <w:rFonts w:ascii="Arial Bold" w:hAnsi="Arial Bold"/>
          <w:b/>
          <w:snapToGrid w:val="0"/>
        </w:rPr>
      </w:pPr>
      <w:r w:rsidRPr="00ED1EAB">
        <w:rPr>
          <w:rFonts w:ascii="Arial Bold" w:hAnsi="Arial Bold"/>
          <w:b/>
          <w:snapToGrid w:val="0"/>
        </w:rPr>
        <w:t>Note: Impact of net cash appropriation arrangements</w:t>
      </w:r>
    </w:p>
    <w:p w14:paraId="2FB50828" w14:textId="77777777" w:rsidR="00CC64EA" w:rsidRDefault="00ED1EAB" w:rsidP="00CC64EA">
      <w:pPr>
        <w:pStyle w:val="TableHeading"/>
        <w:rPr>
          <w:rFonts w:eastAsia="Calibri" w:cs="Arial"/>
          <w:b w:val="0"/>
          <w:sz w:val="16"/>
          <w:szCs w:val="16"/>
          <w:lang w:val="en-US" w:eastAsia="en-US"/>
        </w:rPr>
      </w:pPr>
      <w:r w:rsidRPr="00ED1EAB">
        <w:rPr>
          <w:noProof/>
          <w:lang w:val="en-AU" w:eastAsia="en-AU"/>
        </w:rPr>
        <w:drawing>
          <wp:inline distT="0" distB="0" distL="0" distR="0" wp14:anchorId="5A623576" wp14:editId="04A9C61D">
            <wp:extent cx="4965700" cy="2147570"/>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965700" cy="2147570"/>
                    </a:xfrm>
                    <a:prstGeom prst="rect">
                      <a:avLst/>
                    </a:prstGeom>
                    <a:noFill/>
                    <a:ln>
                      <a:noFill/>
                    </a:ln>
                  </pic:spPr>
                </pic:pic>
              </a:graphicData>
            </a:graphic>
          </wp:inline>
        </w:drawing>
      </w:r>
      <w:r w:rsidRPr="00ED1EAB">
        <w:t xml:space="preserve"> </w:t>
      </w:r>
      <w:r w:rsidR="00CC64EA" w:rsidRPr="00CC64EA">
        <w:rPr>
          <w:rFonts w:cs="Arial"/>
          <w:b w:val="0"/>
          <w:snapToGrid w:val="0"/>
          <w:sz w:val="16"/>
        </w:rPr>
        <w:t>Prepared on Australian Accounting Standards basis.</w:t>
      </w:r>
      <w:r w:rsidR="00CC64EA" w:rsidRPr="00CC64EA">
        <w:rPr>
          <w:rFonts w:cs="Arial"/>
          <w:snapToGrid w:val="0"/>
          <w:sz w:val="16"/>
        </w:rPr>
        <w:t xml:space="preserve"> </w:t>
      </w:r>
    </w:p>
    <w:p w14:paraId="4F06B91A" w14:textId="77777777" w:rsidR="00CC64EA" w:rsidRPr="00CC64EA" w:rsidRDefault="00CC64EA" w:rsidP="00392A48">
      <w:pPr>
        <w:pStyle w:val="TableHeading"/>
        <w:numPr>
          <w:ilvl w:val="4"/>
          <w:numId w:val="109"/>
        </w:numPr>
      </w:pPr>
      <w:r w:rsidRPr="00CC64EA">
        <w:rPr>
          <w:rFonts w:eastAsia="Calibri" w:cs="Arial"/>
          <w:b w:val="0"/>
          <w:sz w:val="16"/>
          <w:szCs w:val="16"/>
          <w:lang w:val="en-US" w:eastAsia="en-US"/>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4FF7FABA" w14:textId="77777777" w:rsidR="00A75066" w:rsidRDefault="00A75066" w:rsidP="00987F75">
      <w:pPr>
        <w:pStyle w:val="TableHeading"/>
        <w:numPr>
          <w:ilvl w:val="4"/>
          <w:numId w:val="6"/>
        </w:numPr>
        <w:spacing w:after="0"/>
        <w:rPr>
          <w:rFonts w:eastAsia="Calibri" w:cs="Arial"/>
          <w:b w:val="0"/>
          <w:sz w:val="16"/>
          <w:szCs w:val="16"/>
          <w:lang w:val="en-US" w:eastAsia="en-US"/>
        </w:rPr>
      </w:pPr>
      <w:r>
        <w:rPr>
          <w:rFonts w:eastAsia="Calibri" w:cs="Arial"/>
          <w:b w:val="0"/>
          <w:sz w:val="16"/>
          <w:szCs w:val="16"/>
          <w:lang w:val="en-US" w:eastAsia="en-US"/>
        </w:rPr>
        <w:t>Applies to leases</w:t>
      </w:r>
      <w:r w:rsidR="00CC64EA" w:rsidRPr="00A75066">
        <w:rPr>
          <w:rFonts w:eastAsia="Calibri" w:cs="Arial"/>
          <w:b w:val="0"/>
          <w:sz w:val="16"/>
          <w:szCs w:val="16"/>
          <w:lang w:val="en-US" w:eastAsia="en-US"/>
        </w:rPr>
        <w:t xml:space="preserve"> under AASB 16 Leases.</w:t>
      </w:r>
      <w:r w:rsidR="00CC64EA" w:rsidRPr="00A75066">
        <w:rPr>
          <w:rFonts w:eastAsia="Calibri" w:cs="Arial"/>
          <w:b w:val="0"/>
          <w:sz w:val="16"/>
          <w:szCs w:val="16"/>
          <w:lang w:val="en-US" w:eastAsia="en-US"/>
        </w:rPr>
        <w:tab/>
      </w:r>
      <w:r w:rsidR="00CC64EA" w:rsidRPr="00A75066">
        <w:rPr>
          <w:rFonts w:eastAsia="Calibri" w:cs="Arial"/>
          <w:b w:val="0"/>
          <w:sz w:val="16"/>
          <w:szCs w:val="16"/>
          <w:lang w:val="en-US" w:eastAsia="en-US"/>
        </w:rPr>
        <w:tab/>
      </w:r>
      <w:r w:rsidR="00CC64EA" w:rsidRPr="00A75066">
        <w:rPr>
          <w:rFonts w:eastAsia="Calibri" w:cs="Arial"/>
          <w:b w:val="0"/>
          <w:sz w:val="16"/>
          <w:szCs w:val="16"/>
          <w:lang w:val="en-US" w:eastAsia="en-US"/>
        </w:rPr>
        <w:tab/>
      </w:r>
    </w:p>
    <w:p w14:paraId="775A9B11" w14:textId="77777777" w:rsidR="00A75066" w:rsidRDefault="00A75066">
      <w:pPr>
        <w:spacing w:after="0" w:line="240" w:lineRule="auto"/>
        <w:jc w:val="left"/>
        <w:rPr>
          <w:rFonts w:ascii="Arial" w:eastAsia="Calibri" w:hAnsi="Arial" w:cs="Arial"/>
          <w:color w:val="000000"/>
          <w:sz w:val="16"/>
          <w:szCs w:val="16"/>
          <w:lang w:val="en-US" w:eastAsia="en-US"/>
        </w:rPr>
      </w:pPr>
      <w:r>
        <w:rPr>
          <w:rFonts w:eastAsia="Calibri" w:cs="Arial"/>
          <w:b/>
          <w:sz w:val="16"/>
          <w:szCs w:val="16"/>
          <w:lang w:val="en-US" w:eastAsia="en-US"/>
        </w:rPr>
        <w:br w:type="page"/>
      </w:r>
    </w:p>
    <w:p w14:paraId="69FBD1C9" w14:textId="77777777" w:rsidR="004036D5" w:rsidRPr="00477BAC" w:rsidRDefault="004036D5" w:rsidP="00477BAC">
      <w:pPr>
        <w:pStyle w:val="TableHeading"/>
        <w:rPr>
          <w:b w:val="0"/>
        </w:rPr>
      </w:pPr>
      <w:r w:rsidRPr="00E4582E">
        <w:t>Table</w:t>
      </w:r>
      <w:r>
        <w:t xml:space="preserve"> 3.</w:t>
      </w:r>
      <w:r w:rsidRPr="00E4582E">
        <w:t>2: Budg</w:t>
      </w:r>
      <w:r>
        <w:t xml:space="preserve">eted departmental balance sheet </w:t>
      </w:r>
      <w:r w:rsidRPr="00E4582E">
        <w:t>(as at 30 June)</w:t>
      </w:r>
      <w:r w:rsidR="00477BAC">
        <w:br/>
      </w:r>
      <w:r w:rsidR="00A52F73" w:rsidRPr="00A52F73">
        <w:rPr>
          <w:noProof/>
          <w:lang w:val="en-AU" w:eastAsia="en-AU"/>
        </w:rPr>
        <w:drawing>
          <wp:inline distT="0" distB="0" distL="0" distR="0" wp14:anchorId="0021FCA3" wp14:editId="32E5B23D">
            <wp:extent cx="4895850" cy="4816934"/>
            <wp:effectExtent l="0" t="0" r="0" b="317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895850" cy="4816934"/>
                    </a:xfrm>
                    <a:prstGeom prst="rect">
                      <a:avLst/>
                    </a:prstGeom>
                    <a:noFill/>
                    <a:ln>
                      <a:noFill/>
                    </a:ln>
                  </pic:spPr>
                </pic:pic>
              </a:graphicData>
            </a:graphic>
          </wp:inline>
        </w:drawing>
      </w:r>
      <w:r w:rsidR="00CC64EA" w:rsidRPr="00477BAC">
        <w:rPr>
          <w:rFonts w:cs="Arial"/>
          <w:b w:val="0"/>
          <w:sz w:val="16"/>
        </w:rPr>
        <w:t xml:space="preserve">Prepared on Australian Accounting Standards basis. </w:t>
      </w:r>
    </w:p>
    <w:p w14:paraId="7CABFA89" w14:textId="77777777" w:rsidR="00CC64EA" w:rsidRPr="00477BAC" w:rsidRDefault="00CC64EA" w:rsidP="00CC64EA">
      <w:pPr>
        <w:spacing w:after="0" w:line="240" w:lineRule="auto"/>
        <w:rPr>
          <w:rFonts w:ascii="Arial" w:hAnsi="Arial" w:cs="Arial"/>
          <w:color w:val="000000"/>
          <w:sz w:val="16"/>
          <w:szCs w:val="16"/>
        </w:rPr>
      </w:pPr>
      <w:r w:rsidRPr="00477BAC">
        <w:rPr>
          <w:rFonts w:ascii="Arial" w:hAnsi="Arial" w:cs="Arial"/>
          <w:color w:val="000000"/>
          <w:sz w:val="16"/>
          <w:szCs w:val="16"/>
        </w:rPr>
        <w:t xml:space="preserve"> *Equity is the residual interest in assets after the deduction of liabilities. </w:t>
      </w:r>
    </w:p>
    <w:p w14:paraId="6CB756E6" w14:textId="77777777" w:rsidR="004036D5" w:rsidRPr="00477BAC" w:rsidRDefault="00CC64EA" w:rsidP="00CC64EA">
      <w:pPr>
        <w:spacing w:after="0" w:line="240" w:lineRule="auto"/>
        <w:jc w:val="left"/>
      </w:pPr>
      <w:r w:rsidRPr="00477BAC">
        <w:br w:type="page"/>
      </w:r>
    </w:p>
    <w:p w14:paraId="508D9C95" w14:textId="77777777" w:rsidR="00477BAC" w:rsidRDefault="004036D5" w:rsidP="004036D5">
      <w:pPr>
        <w:pStyle w:val="TableHeading"/>
      </w:pPr>
      <w:r w:rsidRPr="00AD42E2">
        <w:t>Table 3.3: Departmental statement of changes in equity — summary of</w:t>
      </w:r>
      <w:r>
        <w:t xml:space="preserve"> movement (</w:t>
      </w:r>
      <w:r w:rsidR="004C12AF">
        <w:t>Budget year</w:t>
      </w:r>
      <w:r>
        <w:t xml:space="preserve"> </w:t>
      </w:r>
      <w:r>
        <w:rPr>
          <w:lang w:val="en-AU"/>
        </w:rPr>
        <w:t>2022-23</w:t>
      </w:r>
      <w:r w:rsidRPr="00D30CBA">
        <w:t>)</w:t>
      </w:r>
      <w:r w:rsidRPr="002376AD">
        <w:t xml:space="preserve"> </w:t>
      </w:r>
    </w:p>
    <w:p w14:paraId="63BCD0AD" w14:textId="77777777" w:rsidR="00477BAC" w:rsidRPr="00477BAC" w:rsidRDefault="00D550B2" w:rsidP="00477BAC">
      <w:pPr>
        <w:pStyle w:val="TableHeading"/>
      </w:pPr>
      <w:r w:rsidRPr="00D550B2">
        <w:rPr>
          <w:noProof/>
          <w:lang w:val="en-AU" w:eastAsia="en-AU"/>
        </w:rPr>
        <w:drawing>
          <wp:inline distT="0" distB="0" distL="0" distR="0" wp14:anchorId="30F38A68" wp14:editId="0A117B25">
            <wp:extent cx="4895850" cy="2469812"/>
            <wp:effectExtent l="0" t="0" r="0" b="698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895850" cy="2469812"/>
                    </a:xfrm>
                    <a:prstGeom prst="rect">
                      <a:avLst/>
                    </a:prstGeom>
                    <a:noFill/>
                    <a:ln>
                      <a:noFill/>
                    </a:ln>
                  </pic:spPr>
                </pic:pic>
              </a:graphicData>
            </a:graphic>
          </wp:inline>
        </w:drawing>
      </w:r>
      <w:r w:rsidR="00477BAC" w:rsidRPr="00477BAC">
        <w:rPr>
          <w:rFonts w:cs="Arial"/>
          <w:b w:val="0"/>
          <w:sz w:val="16"/>
        </w:rPr>
        <w:t xml:space="preserve">Prepared on Australian Accounting Standards basis. </w:t>
      </w:r>
    </w:p>
    <w:p w14:paraId="5D9E60CD" w14:textId="77777777" w:rsidR="004036D5" w:rsidRPr="00477BAC" w:rsidRDefault="004036D5" w:rsidP="00477BAC">
      <w:pPr>
        <w:pStyle w:val="TableHeading"/>
      </w:pPr>
    </w:p>
    <w:p w14:paraId="1FF47E27" w14:textId="77777777" w:rsidR="004036D5" w:rsidRDefault="004036D5" w:rsidP="004036D5">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198644E" w14:textId="77777777" w:rsidR="00477BAC" w:rsidRPr="00CC64EA" w:rsidRDefault="00130659" w:rsidP="00477BAC">
      <w:pPr>
        <w:pStyle w:val="TableHeading"/>
        <w:rPr>
          <w:rFonts w:cs="Arial"/>
          <w:b w:val="0"/>
          <w:snapToGrid w:val="0"/>
          <w:sz w:val="16"/>
        </w:rPr>
      </w:pPr>
      <w:r w:rsidRPr="00130659">
        <w:rPr>
          <w:noProof/>
          <w:lang w:val="en-AU" w:eastAsia="en-AU"/>
        </w:rPr>
        <w:drawing>
          <wp:inline distT="0" distB="0" distL="0" distR="0" wp14:anchorId="5BADF93B" wp14:editId="3C3F2E84">
            <wp:extent cx="4895850" cy="5064843"/>
            <wp:effectExtent l="0" t="0" r="0" b="254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895850" cy="5064843"/>
                    </a:xfrm>
                    <a:prstGeom prst="rect">
                      <a:avLst/>
                    </a:prstGeom>
                    <a:noFill/>
                    <a:ln>
                      <a:noFill/>
                    </a:ln>
                  </pic:spPr>
                </pic:pic>
              </a:graphicData>
            </a:graphic>
          </wp:inline>
        </w:drawing>
      </w:r>
    </w:p>
    <w:p w14:paraId="4E4CB869" w14:textId="77777777" w:rsidR="00477BAC" w:rsidRDefault="00477BAC" w:rsidP="00477BAC">
      <w:pPr>
        <w:pStyle w:val="TableHeading"/>
        <w:rPr>
          <w:rFonts w:eastAsia="Calibri" w:cs="Arial"/>
          <w:b w:val="0"/>
          <w:sz w:val="16"/>
          <w:szCs w:val="16"/>
          <w:lang w:val="en-US" w:eastAsia="en-US"/>
        </w:rPr>
      </w:pPr>
      <w:r w:rsidRPr="00CC64EA">
        <w:rPr>
          <w:rFonts w:cs="Arial"/>
          <w:b w:val="0"/>
          <w:snapToGrid w:val="0"/>
          <w:sz w:val="16"/>
        </w:rPr>
        <w:t>Prepared on Australian Accounting Standards basis.</w:t>
      </w:r>
      <w:r w:rsidRPr="00CC64EA">
        <w:rPr>
          <w:rFonts w:cs="Arial"/>
          <w:snapToGrid w:val="0"/>
          <w:sz w:val="16"/>
        </w:rPr>
        <w:t xml:space="preserve"> </w:t>
      </w:r>
    </w:p>
    <w:p w14:paraId="704B7733" w14:textId="77777777" w:rsidR="00D550B2" w:rsidRDefault="00D550B2">
      <w:pPr>
        <w:spacing w:after="0" w:line="240" w:lineRule="auto"/>
        <w:jc w:val="left"/>
        <w:rPr>
          <w:rFonts w:ascii="Arial" w:hAnsi="Arial" w:cs="Arial"/>
          <w:b/>
        </w:rPr>
      </w:pPr>
      <w:r>
        <w:rPr>
          <w:rFonts w:ascii="Arial" w:hAnsi="Arial" w:cs="Arial"/>
          <w:b/>
        </w:rPr>
        <w:br w:type="page"/>
      </w:r>
    </w:p>
    <w:p w14:paraId="1A28C9C7" w14:textId="77777777" w:rsidR="00494C9E" w:rsidRDefault="004036D5" w:rsidP="00494C9E">
      <w:pPr>
        <w:spacing w:after="0"/>
        <w:rPr>
          <w:rFonts w:ascii="Arial" w:hAnsi="Arial" w:cs="Arial"/>
          <w:b/>
        </w:rPr>
      </w:pPr>
      <w:r w:rsidRPr="00DF3C04">
        <w:rPr>
          <w:rFonts w:ascii="Arial" w:hAnsi="Arial" w:cs="Arial"/>
          <w:b/>
        </w:rPr>
        <w:t>Table 3.5: Departmental capital budget statement (f</w:t>
      </w:r>
      <w:r w:rsidR="00DF3C04">
        <w:rPr>
          <w:rFonts w:ascii="Arial" w:hAnsi="Arial" w:cs="Arial"/>
          <w:b/>
        </w:rPr>
        <w:t>or the period ended 30 June)</w:t>
      </w:r>
    </w:p>
    <w:p w14:paraId="29D1A0A6" w14:textId="77777777" w:rsidR="00494C9E" w:rsidRDefault="00D550B2" w:rsidP="00494C9E">
      <w:pPr>
        <w:pStyle w:val="TableHeading"/>
        <w:rPr>
          <w:rFonts w:eastAsia="Calibri" w:cs="Arial"/>
          <w:b w:val="0"/>
          <w:sz w:val="16"/>
          <w:szCs w:val="16"/>
          <w:lang w:val="en-US" w:eastAsia="en-US"/>
        </w:rPr>
      </w:pPr>
      <w:r w:rsidRPr="00D550B2">
        <w:rPr>
          <w:noProof/>
          <w:lang w:val="en-AU" w:eastAsia="en-AU"/>
        </w:rPr>
        <w:drawing>
          <wp:inline distT="0" distB="0" distL="0" distR="0" wp14:anchorId="5EE84EE0" wp14:editId="1126C7D0">
            <wp:extent cx="4895850" cy="2628259"/>
            <wp:effectExtent l="0" t="0" r="0"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895850" cy="2628259"/>
                    </a:xfrm>
                    <a:prstGeom prst="rect">
                      <a:avLst/>
                    </a:prstGeom>
                    <a:noFill/>
                    <a:ln>
                      <a:noFill/>
                    </a:ln>
                  </pic:spPr>
                </pic:pic>
              </a:graphicData>
            </a:graphic>
          </wp:inline>
        </w:drawing>
      </w:r>
      <w:r w:rsidR="00494C9E" w:rsidRPr="00CC64EA">
        <w:rPr>
          <w:rFonts w:cs="Arial"/>
          <w:b w:val="0"/>
          <w:snapToGrid w:val="0"/>
          <w:sz w:val="16"/>
        </w:rPr>
        <w:t>Prepared on Australian Accounting Standards basis.</w:t>
      </w:r>
      <w:r w:rsidR="00494C9E" w:rsidRPr="00CC64EA">
        <w:rPr>
          <w:rFonts w:cs="Arial"/>
          <w:snapToGrid w:val="0"/>
          <w:sz w:val="16"/>
        </w:rPr>
        <w:t xml:space="preserve"> </w:t>
      </w:r>
    </w:p>
    <w:p w14:paraId="6A0CD379" w14:textId="77777777" w:rsidR="004434C0" w:rsidRDefault="00494C9E" w:rsidP="00392A48">
      <w:pPr>
        <w:pStyle w:val="TableHeading"/>
        <w:numPr>
          <w:ilvl w:val="4"/>
          <w:numId w:val="110"/>
        </w:numPr>
        <w:rPr>
          <w:rFonts w:eastAsia="Calibri" w:cs="Arial"/>
          <w:b w:val="0"/>
          <w:sz w:val="16"/>
          <w:szCs w:val="16"/>
          <w:lang w:val="en-US" w:eastAsia="en-US"/>
        </w:rPr>
      </w:pPr>
      <w:r>
        <w:rPr>
          <w:rFonts w:eastAsia="Calibri" w:cs="Arial"/>
          <w:b w:val="0"/>
          <w:sz w:val="16"/>
          <w:szCs w:val="16"/>
          <w:lang w:val="en-US" w:eastAsia="en-US"/>
        </w:rPr>
        <w:t>Includes purchases from current and previous years’ DCBs.</w:t>
      </w:r>
    </w:p>
    <w:p w14:paraId="0919BAA0" w14:textId="77777777" w:rsidR="004434C0" w:rsidRDefault="004434C0">
      <w:pPr>
        <w:spacing w:after="0" w:line="240" w:lineRule="auto"/>
        <w:jc w:val="left"/>
        <w:rPr>
          <w:rFonts w:ascii="Arial" w:eastAsia="Calibri" w:hAnsi="Arial" w:cs="Arial"/>
          <w:color w:val="000000"/>
          <w:sz w:val="16"/>
          <w:szCs w:val="16"/>
          <w:lang w:val="en-US" w:eastAsia="en-US"/>
        </w:rPr>
      </w:pPr>
      <w:r>
        <w:rPr>
          <w:rFonts w:eastAsia="Calibri" w:cs="Arial"/>
          <w:b/>
          <w:sz w:val="16"/>
          <w:szCs w:val="16"/>
          <w:lang w:val="en-US" w:eastAsia="en-US"/>
        </w:rPr>
        <w:br w:type="page"/>
      </w:r>
    </w:p>
    <w:p w14:paraId="3B1954A8" w14:textId="77777777" w:rsidR="00494C9E" w:rsidRDefault="004434C0" w:rsidP="004434C0">
      <w:pPr>
        <w:pStyle w:val="TableHeading"/>
        <w:rPr>
          <w:lang w:val="en-AU"/>
        </w:rPr>
      </w:pPr>
      <w:r w:rsidRPr="004434C0">
        <w:rPr>
          <w:lang w:val="en-AU"/>
        </w:rPr>
        <w:t>Table</w:t>
      </w:r>
      <w:r>
        <w:rPr>
          <w:lang w:val="en-AU"/>
        </w:rPr>
        <w:t xml:space="preserve"> 3.6</w:t>
      </w:r>
      <w:r w:rsidRPr="004434C0">
        <w:rPr>
          <w:lang w:val="en-AU"/>
        </w:rPr>
        <w:t>: Statement of departmental asset movements (Budget year 2022-23)</w:t>
      </w:r>
    </w:p>
    <w:p w14:paraId="55D18447" w14:textId="77777777" w:rsidR="004434C0" w:rsidRDefault="00AC018B" w:rsidP="004434C0">
      <w:pPr>
        <w:pStyle w:val="TableHeading"/>
        <w:rPr>
          <w:rFonts w:eastAsia="Calibri" w:cs="Arial"/>
          <w:b w:val="0"/>
          <w:sz w:val="16"/>
          <w:szCs w:val="16"/>
          <w:lang w:val="en-US" w:eastAsia="en-US"/>
        </w:rPr>
      </w:pPr>
      <w:r w:rsidRPr="00AC018B">
        <w:rPr>
          <w:noProof/>
          <w:lang w:val="en-AU" w:eastAsia="en-AU"/>
        </w:rPr>
        <w:drawing>
          <wp:inline distT="0" distB="0" distL="0" distR="0" wp14:anchorId="17CC2146" wp14:editId="0D254270">
            <wp:extent cx="4728210" cy="430593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728210" cy="4305935"/>
                    </a:xfrm>
                    <a:prstGeom prst="rect">
                      <a:avLst/>
                    </a:prstGeom>
                    <a:noFill/>
                    <a:ln>
                      <a:noFill/>
                    </a:ln>
                  </pic:spPr>
                </pic:pic>
              </a:graphicData>
            </a:graphic>
          </wp:inline>
        </w:drawing>
      </w:r>
      <w:r w:rsidR="004434C0" w:rsidRPr="00CC64EA">
        <w:rPr>
          <w:rFonts w:cs="Arial"/>
          <w:b w:val="0"/>
          <w:snapToGrid w:val="0"/>
          <w:sz w:val="16"/>
        </w:rPr>
        <w:t>Prepared on Australian Accounting Standards basis.</w:t>
      </w:r>
      <w:r w:rsidR="004434C0" w:rsidRPr="00CC64EA">
        <w:rPr>
          <w:rFonts w:cs="Arial"/>
          <w:snapToGrid w:val="0"/>
          <w:sz w:val="16"/>
        </w:rPr>
        <w:t xml:space="preserve"> </w:t>
      </w:r>
    </w:p>
    <w:p w14:paraId="61CC6A10" w14:textId="77777777" w:rsidR="004434C0" w:rsidRDefault="004434C0" w:rsidP="00392A48">
      <w:pPr>
        <w:pStyle w:val="TableHeading"/>
        <w:numPr>
          <w:ilvl w:val="4"/>
          <w:numId w:val="111"/>
        </w:numPr>
        <w:rPr>
          <w:rFonts w:eastAsia="Calibri" w:cs="Arial"/>
          <w:b w:val="0"/>
          <w:sz w:val="16"/>
          <w:szCs w:val="16"/>
          <w:lang w:val="en-US" w:eastAsia="en-US"/>
        </w:rPr>
      </w:pPr>
      <w:r w:rsidRPr="004434C0">
        <w:rPr>
          <w:rFonts w:eastAsia="Calibri" w:cs="Arial"/>
          <w:b w:val="0"/>
          <w:sz w:val="16"/>
          <w:szCs w:val="16"/>
          <w:lang w:val="en-US" w:eastAsia="en-US"/>
        </w:rPr>
        <w:t xml:space="preserve">'Appropriation </w:t>
      </w:r>
      <w:r w:rsidR="000A76C9">
        <w:rPr>
          <w:rFonts w:eastAsia="Calibri" w:cs="Arial"/>
          <w:b w:val="0"/>
          <w:sz w:val="16"/>
          <w:szCs w:val="16"/>
          <w:lang w:val="en-US" w:eastAsia="en-US"/>
        </w:rPr>
        <w:t>equity’</w:t>
      </w:r>
      <w:r w:rsidRPr="004434C0">
        <w:rPr>
          <w:rFonts w:eastAsia="Calibri" w:cs="Arial"/>
          <w:b w:val="0"/>
          <w:sz w:val="16"/>
          <w:szCs w:val="16"/>
          <w:lang w:val="en-US" w:eastAsia="en-US"/>
        </w:rPr>
        <w:t xml:space="preserve"> refers to funding provided through Appropriation Bill (No.1) 2022-23 for depreciation/amortisation expenses, </w:t>
      </w:r>
      <w:r>
        <w:rPr>
          <w:rFonts w:eastAsia="Calibri" w:cs="Arial"/>
          <w:b w:val="0"/>
          <w:sz w:val="16"/>
          <w:szCs w:val="16"/>
          <w:lang w:val="en-US" w:eastAsia="en-US"/>
        </w:rPr>
        <w:t>DCB</w:t>
      </w:r>
      <w:r w:rsidRPr="004434C0">
        <w:rPr>
          <w:rFonts w:eastAsia="Calibri" w:cs="Arial"/>
          <w:b w:val="0"/>
          <w:sz w:val="16"/>
          <w:szCs w:val="16"/>
          <w:lang w:val="en-US" w:eastAsia="en-US"/>
        </w:rPr>
        <w:t xml:space="preserve"> or other operational expenses.</w:t>
      </w:r>
    </w:p>
    <w:p w14:paraId="7A0DD295" w14:textId="77777777" w:rsidR="00AC018B" w:rsidRDefault="00494C9E" w:rsidP="00494C9E">
      <w:pPr>
        <w:spacing w:after="0"/>
      </w:pPr>
      <w:r>
        <w:rPr>
          <w:rFonts w:ascii="Arial" w:hAnsi="Arial" w:cs="Arial"/>
          <w:b/>
        </w:rPr>
        <w:br/>
      </w:r>
    </w:p>
    <w:p w14:paraId="7F54981C" w14:textId="77777777" w:rsidR="00AC018B" w:rsidRDefault="00AC018B">
      <w:pPr>
        <w:spacing w:after="0" w:line="240" w:lineRule="auto"/>
        <w:jc w:val="left"/>
        <w:sectPr w:rsidR="00AC018B" w:rsidSect="002F7A80">
          <w:headerReference w:type="even" r:id="rId490"/>
          <w:headerReference w:type="default" r:id="rId491"/>
          <w:footerReference w:type="default" r:id="rId492"/>
          <w:headerReference w:type="first" r:id="rId493"/>
          <w:pgSz w:w="11906" w:h="16838" w:code="9"/>
          <w:pgMar w:top="2835" w:right="2098" w:bottom="2466" w:left="2098" w:header="1814" w:footer="1814" w:gutter="0"/>
          <w:cols w:space="708"/>
          <w:titlePg/>
          <w:docGrid w:linePitch="360"/>
        </w:sectPr>
      </w:pPr>
      <w:r>
        <w:br w:type="page"/>
      </w:r>
    </w:p>
    <w:p w14:paraId="6B5C5F48" w14:textId="77777777" w:rsidR="00AC018B" w:rsidRDefault="00AC018B">
      <w:pPr>
        <w:spacing w:after="0" w:line="240" w:lineRule="auto"/>
        <w:jc w:val="left"/>
      </w:pPr>
    </w:p>
    <w:p w14:paraId="51C049C3" w14:textId="77777777" w:rsidR="00AC018B" w:rsidRDefault="00AC018B" w:rsidP="00494C9E">
      <w:pPr>
        <w:spacing w:after="0"/>
      </w:pPr>
    </w:p>
    <w:p w14:paraId="58DA9A60" w14:textId="77777777" w:rsidR="00AC018B" w:rsidRDefault="00AC018B">
      <w:pPr>
        <w:spacing w:after="0" w:line="240" w:lineRule="auto"/>
        <w:jc w:val="left"/>
      </w:pPr>
      <w:r>
        <w:br w:type="page"/>
      </w:r>
    </w:p>
    <w:p w14:paraId="55613B3A" w14:textId="77777777" w:rsidR="004036D5" w:rsidRDefault="004036D5" w:rsidP="00494C9E">
      <w:pPr>
        <w:spacing w:after="0"/>
        <w:sectPr w:rsidR="004036D5" w:rsidSect="00AC018B">
          <w:headerReference w:type="first" r:id="rId494"/>
          <w:footerReference w:type="first" r:id="rId495"/>
          <w:type w:val="continuous"/>
          <w:pgSz w:w="11906" w:h="16838" w:code="9"/>
          <w:pgMar w:top="2835" w:right="2098" w:bottom="2466" w:left="2098" w:header="1814" w:footer="1814" w:gutter="0"/>
          <w:cols w:space="708"/>
          <w:titlePg/>
          <w:docGrid w:linePitch="360"/>
        </w:sectPr>
      </w:pPr>
    </w:p>
    <w:p w14:paraId="0E29FE8F" w14:textId="77777777" w:rsidR="006F7493" w:rsidRDefault="006F7493" w:rsidP="000C3B86">
      <w:pPr>
        <w:sectPr w:rsidR="006F7493" w:rsidSect="00503FD8">
          <w:headerReference w:type="first" r:id="rId496"/>
          <w:footerReference w:type="first" r:id="rId497"/>
          <w:type w:val="oddPage"/>
          <w:pgSz w:w="11906" w:h="16838" w:code="9"/>
          <w:pgMar w:top="2835" w:right="2098" w:bottom="2466" w:left="2098" w:header="1814" w:footer="1814" w:gutter="0"/>
          <w:cols w:space="708"/>
          <w:titlePg/>
          <w:docGrid w:linePitch="360"/>
        </w:sectPr>
      </w:pPr>
    </w:p>
    <w:p w14:paraId="7C17694B" w14:textId="77777777" w:rsidR="006F7493" w:rsidRPr="00EB30AC" w:rsidRDefault="006F7493" w:rsidP="00EE41C9">
      <w:pPr>
        <w:pStyle w:val="Heading1"/>
      </w:pPr>
      <w:bookmarkStart w:id="1153" w:name="_Toc68603372"/>
      <w:bookmarkStart w:id="1154" w:name="_Toc69891273"/>
      <w:bookmarkStart w:id="1155" w:name="_Toc70329481"/>
      <w:bookmarkStart w:id="1156" w:name="_Toc99201068"/>
      <w:r w:rsidRPr="00EB30AC">
        <w:t>Portfolio glossary</w:t>
      </w:r>
      <w:bookmarkEnd w:id="1153"/>
      <w:bookmarkEnd w:id="1154"/>
      <w:bookmarkEnd w:id="1155"/>
      <w:bookmarkEnd w:id="1156"/>
    </w:p>
    <w:tbl>
      <w:tblPr>
        <w:tblW w:w="0" w:type="auto"/>
        <w:tblLook w:val="01E0" w:firstRow="1" w:lastRow="1" w:firstColumn="1" w:lastColumn="1" w:noHBand="0" w:noVBand="0"/>
      </w:tblPr>
      <w:tblGrid>
        <w:gridCol w:w="2871"/>
        <w:gridCol w:w="4839"/>
      </w:tblGrid>
      <w:tr w:rsidR="006F7493" w14:paraId="38BD1DAB" w14:textId="77777777" w:rsidTr="00302E82">
        <w:trPr>
          <w:tblHeader/>
        </w:trPr>
        <w:tc>
          <w:tcPr>
            <w:tcW w:w="2871" w:type="dxa"/>
          </w:tcPr>
          <w:p w14:paraId="292F6F0A" w14:textId="77777777" w:rsidR="006F7493" w:rsidRDefault="006F7493" w:rsidP="00302E82">
            <w:pPr>
              <w:pStyle w:val="TableColumnHeadingLeft"/>
            </w:pPr>
            <w:r>
              <w:t>Term</w:t>
            </w:r>
          </w:p>
        </w:tc>
        <w:tc>
          <w:tcPr>
            <w:tcW w:w="4839" w:type="dxa"/>
          </w:tcPr>
          <w:p w14:paraId="1BC391CD" w14:textId="77777777" w:rsidR="006F7493" w:rsidRDefault="006F7493" w:rsidP="00302E82">
            <w:pPr>
              <w:pStyle w:val="TableColumnHeadingLeft"/>
            </w:pPr>
            <w:r>
              <w:t>Meaning</w:t>
            </w:r>
          </w:p>
        </w:tc>
      </w:tr>
      <w:tr w:rsidR="006F7493" w14:paraId="716D4D1E" w14:textId="77777777" w:rsidTr="00302E82">
        <w:tc>
          <w:tcPr>
            <w:tcW w:w="2871" w:type="dxa"/>
          </w:tcPr>
          <w:p w14:paraId="4A280BCD" w14:textId="77777777" w:rsidR="006F7493" w:rsidRDefault="006F7493" w:rsidP="00302E82">
            <w:pPr>
              <w:pStyle w:val="TableTextLeft"/>
              <w:jc w:val="both"/>
            </w:pPr>
            <w:r>
              <w:t>Accumulated depreciation</w:t>
            </w:r>
          </w:p>
        </w:tc>
        <w:tc>
          <w:tcPr>
            <w:tcW w:w="4839" w:type="dxa"/>
          </w:tcPr>
          <w:p w14:paraId="7D5999C6" w14:textId="77777777" w:rsidR="006F7493" w:rsidRDefault="006F7493" w:rsidP="00302E82">
            <w:pPr>
              <w:pStyle w:val="TableTextLeft"/>
              <w:jc w:val="both"/>
            </w:pPr>
            <w:r>
              <w:t xml:space="preserve">The aggregate depreciation recorded for a particular depreciating asset. </w:t>
            </w:r>
          </w:p>
        </w:tc>
      </w:tr>
      <w:tr w:rsidR="006F7493" w14:paraId="2D337B78" w14:textId="77777777" w:rsidTr="00302E82">
        <w:tc>
          <w:tcPr>
            <w:tcW w:w="2871" w:type="dxa"/>
          </w:tcPr>
          <w:p w14:paraId="09347269" w14:textId="77777777" w:rsidR="006F7493" w:rsidRDefault="006F7493" w:rsidP="00302E82">
            <w:pPr>
              <w:pStyle w:val="TableTextLeft"/>
              <w:jc w:val="both"/>
            </w:pPr>
            <w:r>
              <w:t>Actual available appropriation</w:t>
            </w:r>
          </w:p>
        </w:tc>
        <w:tc>
          <w:tcPr>
            <w:tcW w:w="4839" w:type="dxa"/>
          </w:tcPr>
          <w:p w14:paraId="3C15D905" w14:textId="77777777" w:rsidR="006F7493" w:rsidRDefault="006F7493" w:rsidP="00302E82">
            <w:pPr>
              <w:pStyle w:val="TableTextLeft"/>
              <w:jc w:val="both"/>
            </w:pPr>
            <w:r>
              <w:t>The actual available appropriation indicates the total appropriation available to the entity for the 2020-21 as at the 2021-22 Budget. It includes all appropriation made available to the entity in the year (plus or minus</w:t>
            </w:r>
            <w:r w:rsidR="00BF575B">
              <w:t xml:space="preserve"> - s</w:t>
            </w:r>
            <w:r>
              <w:t>ection 75 transfers, formal reductions, advance to the Finance Minister and movements of funds). It is the same as comparator figure included in the Appropriation Bills and, as such, provides a comparison with the appropriation proposed for the Budget year.</w:t>
            </w:r>
          </w:p>
        </w:tc>
      </w:tr>
      <w:tr w:rsidR="006F7493" w14:paraId="2F13378E" w14:textId="77777777" w:rsidTr="00302E82">
        <w:tc>
          <w:tcPr>
            <w:tcW w:w="2871" w:type="dxa"/>
          </w:tcPr>
          <w:p w14:paraId="2B147E97" w14:textId="77777777" w:rsidR="006F7493" w:rsidRDefault="006F7493" w:rsidP="00302E82">
            <w:pPr>
              <w:pStyle w:val="TableTextLeft"/>
              <w:jc w:val="both"/>
            </w:pPr>
            <w:r>
              <w:t>Administered item</w:t>
            </w:r>
          </w:p>
        </w:tc>
        <w:tc>
          <w:tcPr>
            <w:tcW w:w="4839" w:type="dxa"/>
          </w:tcPr>
          <w:p w14:paraId="4C493215" w14:textId="77777777" w:rsidR="006F7493" w:rsidRDefault="006F7493" w:rsidP="00302E82">
            <w:pPr>
              <w:pStyle w:val="TableTextLeft"/>
              <w:jc w:val="both"/>
            </w:pPr>
            <w:r>
              <w:t xml:space="preserve">Appropriation that consists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 </w:t>
            </w:r>
          </w:p>
        </w:tc>
      </w:tr>
      <w:tr w:rsidR="006F7493" w14:paraId="73E5B110" w14:textId="77777777" w:rsidTr="00302E82">
        <w:tc>
          <w:tcPr>
            <w:tcW w:w="2871" w:type="dxa"/>
          </w:tcPr>
          <w:p w14:paraId="0F4719F5" w14:textId="77777777" w:rsidR="006F7493" w:rsidRDefault="006F7493" w:rsidP="00302E82">
            <w:pPr>
              <w:pStyle w:val="TableTextLeft"/>
              <w:jc w:val="both"/>
            </w:pPr>
            <w:r>
              <w:t xml:space="preserve">Appropriation </w:t>
            </w:r>
          </w:p>
        </w:tc>
        <w:tc>
          <w:tcPr>
            <w:tcW w:w="4839" w:type="dxa"/>
          </w:tcPr>
          <w:p w14:paraId="35BB778A" w14:textId="77777777" w:rsidR="006F7493" w:rsidRDefault="006F7493" w:rsidP="00302E82">
            <w:pPr>
              <w:pStyle w:val="TableTextLeft"/>
              <w:jc w:val="both"/>
            </w:pPr>
            <w:r>
              <w:t xml:space="preserve">An amount of public money parliament authorises for spending (i.e. funds to be withdrawn from the CRF). Parliament makes laws for appropriating money under the Annual Appropriation Acts and under Special Appropriations, with spending restricted to the purposes in the Appropriation Acts. </w:t>
            </w:r>
          </w:p>
        </w:tc>
      </w:tr>
      <w:tr w:rsidR="006F7493" w14:paraId="221803B0" w14:textId="77777777" w:rsidTr="00302E82">
        <w:tc>
          <w:tcPr>
            <w:tcW w:w="2871" w:type="dxa"/>
          </w:tcPr>
          <w:p w14:paraId="4DC69B0A" w14:textId="77777777" w:rsidR="006F7493" w:rsidRDefault="006F7493" w:rsidP="00302E82">
            <w:pPr>
              <w:pStyle w:val="TableTextLeft"/>
              <w:jc w:val="both"/>
            </w:pPr>
            <w:r>
              <w:t xml:space="preserve">Appropriation Bill </w:t>
            </w:r>
          </w:p>
          <w:p w14:paraId="57369B95" w14:textId="77777777" w:rsidR="006F7493" w:rsidRDefault="006F7493" w:rsidP="00302E82">
            <w:pPr>
              <w:pStyle w:val="TableTextLeft"/>
              <w:jc w:val="both"/>
            </w:pPr>
            <w:r>
              <w:t>(No.</w:t>
            </w:r>
            <w:r w:rsidR="00BF575B">
              <w:t xml:space="preserve"> </w:t>
            </w:r>
            <w:r>
              <w:t xml:space="preserve">1) </w:t>
            </w:r>
          </w:p>
        </w:tc>
        <w:tc>
          <w:tcPr>
            <w:tcW w:w="4839" w:type="dxa"/>
          </w:tcPr>
          <w:p w14:paraId="64FB91DF" w14:textId="77777777" w:rsidR="006F7493" w:rsidRDefault="006F7493" w:rsidP="00302E82">
            <w:pPr>
              <w:pStyle w:val="TableTextLeft"/>
              <w:jc w:val="both"/>
            </w:pPr>
            <w:r>
              <w:t xml:space="preserve">The Bill proposes spending the CRF for the ordinary annual services of government. Bills proposing appropriations for ordinary annual services cannot </w:t>
            </w:r>
            <w:r w:rsidR="00BF575B">
              <w:t>be amended by the Senate under s</w:t>
            </w:r>
            <w:r>
              <w:t>ection 53 of the Australian Constitution. Once the Bill is passed by Parliament and given Royal Assent, it becomes Appropriation Act (No.1).</w:t>
            </w:r>
          </w:p>
        </w:tc>
      </w:tr>
      <w:tr w:rsidR="006F7493" w14:paraId="0E613306" w14:textId="77777777" w:rsidTr="00302E82">
        <w:tc>
          <w:tcPr>
            <w:tcW w:w="2871" w:type="dxa"/>
          </w:tcPr>
          <w:p w14:paraId="0E522B17" w14:textId="77777777" w:rsidR="006F7493" w:rsidRDefault="006F7493" w:rsidP="00302E82">
            <w:pPr>
              <w:pStyle w:val="TableTextLeft"/>
              <w:jc w:val="both"/>
            </w:pPr>
            <w:r>
              <w:t xml:space="preserve">Appropriation Bill </w:t>
            </w:r>
          </w:p>
          <w:p w14:paraId="014BD505" w14:textId="77777777" w:rsidR="006F7493" w:rsidRDefault="006F7493" w:rsidP="00302E82">
            <w:pPr>
              <w:pStyle w:val="TableTextLeft"/>
              <w:jc w:val="both"/>
            </w:pPr>
            <w:r>
              <w:t>(No.</w:t>
            </w:r>
            <w:r w:rsidR="00BF575B">
              <w:t xml:space="preserve"> </w:t>
            </w:r>
            <w:r>
              <w:t>2)</w:t>
            </w:r>
          </w:p>
        </w:tc>
        <w:tc>
          <w:tcPr>
            <w:tcW w:w="4839" w:type="dxa"/>
          </w:tcPr>
          <w:p w14:paraId="5537D51E" w14:textId="77777777" w:rsidR="006F7493" w:rsidRDefault="006F7493" w:rsidP="00302E82">
            <w:pPr>
              <w:pStyle w:val="TableTextLeft"/>
              <w:jc w:val="both"/>
            </w:pPr>
            <w:r>
              <w:t>The Bill proposes spending from the CRF for purposes other than the ordinary annual services of government. Under existing arrangements between the two Houses of Parliament, this Bill includes appropriation funding of administered expenses for new outcomes, for payments to the states and territories, and for departmental or administered capital. Funding for extensions to existing programs can be included in Appropriation Bill (No.1). Once the Bill is passed by Parliament and given Royal Assent, it becomes Appropriation Act (No.2).</w:t>
            </w:r>
          </w:p>
          <w:p w14:paraId="59F7B17F" w14:textId="77777777" w:rsidR="00FD6A3C" w:rsidRDefault="00FD6A3C" w:rsidP="00302E82">
            <w:pPr>
              <w:pStyle w:val="TableTextLeft"/>
              <w:jc w:val="both"/>
            </w:pPr>
          </w:p>
        </w:tc>
      </w:tr>
    </w:tbl>
    <w:p w14:paraId="41EF3782" w14:textId="77777777" w:rsidR="006F7493" w:rsidRDefault="006F7493" w:rsidP="006F7493">
      <w:pPr>
        <w:pStyle w:val="TableTextLeft"/>
        <w:sectPr w:rsidR="006F7493" w:rsidSect="00ED509E">
          <w:headerReference w:type="even" r:id="rId498"/>
          <w:headerReference w:type="default" r:id="rId499"/>
          <w:headerReference w:type="first" r:id="rId500"/>
          <w:type w:val="continuous"/>
          <w:pgSz w:w="11906" w:h="16838" w:code="9"/>
          <w:pgMar w:top="2466" w:right="2098" w:bottom="2466" w:left="2098" w:header="1899" w:footer="1899" w:gutter="0"/>
          <w:cols w:space="708"/>
          <w:titlePg/>
          <w:docGrid w:linePitch="360"/>
        </w:sectPr>
      </w:pPr>
    </w:p>
    <w:tbl>
      <w:tblPr>
        <w:tblW w:w="0" w:type="auto"/>
        <w:tblLook w:val="01E0" w:firstRow="1" w:lastRow="1" w:firstColumn="1" w:lastColumn="1" w:noHBand="0" w:noVBand="0"/>
      </w:tblPr>
      <w:tblGrid>
        <w:gridCol w:w="2871"/>
        <w:gridCol w:w="4839"/>
      </w:tblGrid>
      <w:tr w:rsidR="006F7493" w14:paraId="39522766" w14:textId="77777777" w:rsidTr="00302E82">
        <w:tc>
          <w:tcPr>
            <w:tcW w:w="2871" w:type="dxa"/>
          </w:tcPr>
          <w:p w14:paraId="11315743" w14:textId="77777777" w:rsidR="006F7493" w:rsidRDefault="006F7493" w:rsidP="00302E82">
            <w:pPr>
              <w:pStyle w:val="TableTextLeft"/>
              <w:jc w:val="both"/>
            </w:pPr>
            <w:r>
              <w:t>Appropriation Bills (Nos.3</w:t>
            </w:r>
          </w:p>
          <w:p w14:paraId="2CED616F" w14:textId="77777777" w:rsidR="006F7493" w:rsidRDefault="006F7493" w:rsidP="00302E82">
            <w:pPr>
              <w:pStyle w:val="TableTextLeft"/>
              <w:jc w:val="both"/>
            </w:pPr>
            <w:r>
              <w:t>and 4)</w:t>
            </w:r>
          </w:p>
        </w:tc>
        <w:tc>
          <w:tcPr>
            <w:tcW w:w="4839" w:type="dxa"/>
          </w:tcPr>
          <w:p w14:paraId="29BFACBA" w14:textId="77777777" w:rsidR="006F7493" w:rsidRDefault="006F7493" w:rsidP="00302E82">
            <w:pPr>
              <w:pStyle w:val="TableTextLeft"/>
              <w:jc w:val="both"/>
            </w:pPr>
            <w:r>
              <w:t xml:space="preserve">If an amount provided in Appropriation Acts (Nos.1 or 2) is not enough to meet approved expenditure in a financial year, supplementary appropriation may be sought in Appropriation Bills (Nos.3 and 4). Once these Bills are passed by Parliament and given Royal Assent, they become the Appropriation Acts (Nos.3 and 4). They are also commonly referred to the Additional Estimates Bills.  </w:t>
            </w:r>
          </w:p>
        </w:tc>
      </w:tr>
      <w:tr w:rsidR="006F7493" w14:paraId="374EB8BC" w14:textId="77777777" w:rsidTr="00302E82">
        <w:tc>
          <w:tcPr>
            <w:tcW w:w="2871" w:type="dxa"/>
          </w:tcPr>
          <w:p w14:paraId="1FBE4701" w14:textId="77777777" w:rsidR="006F7493" w:rsidRDefault="006F7493" w:rsidP="00302E82">
            <w:pPr>
              <w:pStyle w:val="TableTextLeft"/>
              <w:jc w:val="both"/>
            </w:pPr>
            <w:r>
              <w:t>Assets</w:t>
            </w:r>
          </w:p>
        </w:tc>
        <w:tc>
          <w:tcPr>
            <w:tcW w:w="4839" w:type="dxa"/>
          </w:tcPr>
          <w:p w14:paraId="61B6A7C2" w14:textId="77777777" w:rsidR="006F7493" w:rsidRDefault="006F7493" w:rsidP="00302E82">
            <w:pPr>
              <w:pStyle w:val="TableTextLeft"/>
              <w:jc w:val="both"/>
            </w:pPr>
            <w:r>
              <w:t xml:space="preserve">Future economic benefits controlled by an entity as a result of past transactions or other past events. </w:t>
            </w:r>
          </w:p>
        </w:tc>
      </w:tr>
      <w:tr w:rsidR="006F7493" w14:paraId="13A4329E" w14:textId="77777777" w:rsidTr="00302E82">
        <w:tc>
          <w:tcPr>
            <w:tcW w:w="2871" w:type="dxa"/>
          </w:tcPr>
          <w:p w14:paraId="6211D66B" w14:textId="77777777" w:rsidR="006F7493" w:rsidRDefault="006F7493" w:rsidP="00302E82">
            <w:pPr>
              <w:pStyle w:val="TableTextLeft"/>
              <w:jc w:val="both"/>
            </w:pPr>
            <w:r>
              <w:t>Average staffing level</w:t>
            </w:r>
          </w:p>
        </w:tc>
        <w:tc>
          <w:tcPr>
            <w:tcW w:w="4839" w:type="dxa"/>
          </w:tcPr>
          <w:p w14:paraId="615BA3B5" w14:textId="77777777" w:rsidR="006F7493" w:rsidRDefault="006F7493" w:rsidP="00302E82">
            <w:pPr>
              <w:pStyle w:val="TableTextLeft"/>
              <w:jc w:val="both"/>
            </w:pPr>
            <w:r>
              <w:t xml:space="preserve">The average number of employees receiving salary / wages (or compensation in lieu of salary / wages) over a financial year, with adjustments for casual and art-time employees to show the full-time equivalent. </w:t>
            </w:r>
          </w:p>
        </w:tc>
      </w:tr>
      <w:tr w:rsidR="006F7493" w14:paraId="04AD640C" w14:textId="77777777" w:rsidTr="00302E82">
        <w:tc>
          <w:tcPr>
            <w:tcW w:w="2871" w:type="dxa"/>
          </w:tcPr>
          <w:p w14:paraId="1D36A567" w14:textId="77777777" w:rsidR="006F7493" w:rsidRDefault="006F7493" w:rsidP="00302E82">
            <w:pPr>
              <w:pStyle w:val="TableTextLeft"/>
              <w:jc w:val="both"/>
            </w:pPr>
            <w:r>
              <w:t>Budget Paper 1 (BP1)</w:t>
            </w:r>
          </w:p>
        </w:tc>
        <w:tc>
          <w:tcPr>
            <w:tcW w:w="4839" w:type="dxa"/>
          </w:tcPr>
          <w:p w14:paraId="54741744" w14:textId="77777777" w:rsidR="006F7493" w:rsidRDefault="006F7493" w:rsidP="00302E82">
            <w:pPr>
              <w:pStyle w:val="TableTextLeft"/>
              <w:jc w:val="both"/>
            </w:pPr>
            <w:r>
              <w:t xml:space="preserve">Budget Strategy and Outlook. Provides information and analysis on whole-of-government expenditure and revenue. </w:t>
            </w:r>
          </w:p>
        </w:tc>
      </w:tr>
      <w:tr w:rsidR="006F7493" w14:paraId="587F8B42" w14:textId="77777777" w:rsidTr="00302E82">
        <w:tc>
          <w:tcPr>
            <w:tcW w:w="2871" w:type="dxa"/>
          </w:tcPr>
          <w:p w14:paraId="0AE3D9C2" w14:textId="77777777" w:rsidR="006F7493" w:rsidRDefault="006F7493" w:rsidP="00302E82">
            <w:pPr>
              <w:pStyle w:val="TableTextLeft"/>
              <w:jc w:val="both"/>
            </w:pPr>
            <w:r>
              <w:t>Budget Paper 2 (BP2)</w:t>
            </w:r>
          </w:p>
        </w:tc>
        <w:tc>
          <w:tcPr>
            <w:tcW w:w="4839" w:type="dxa"/>
          </w:tcPr>
          <w:p w14:paraId="6225A032" w14:textId="77777777" w:rsidR="006F7493" w:rsidRDefault="006F7493" w:rsidP="00302E82">
            <w:pPr>
              <w:pStyle w:val="TableTextLeft"/>
              <w:jc w:val="both"/>
            </w:pPr>
            <w:r>
              <w:t xml:space="preserve">Budget Measures. Provides a description of each budget measure by portfolio. </w:t>
            </w:r>
          </w:p>
        </w:tc>
      </w:tr>
      <w:tr w:rsidR="006F7493" w14:paraId="6ADADFBA" w14:textId="77777777" w:rsidTr="00302E82">
        <w:tc>
          <w:tcPr>
            <w:tcW w:w="2871" w:type="dxa"/>
          </w:tcPr>
          <w:p w14:paraId="300E4ECD" w14:textId="77777777" w:rsidR="006F7493" w:rsidRDefault="006F7493" w:rsidP="00302E82">
            <w:pPr>
              <w:pStyle w:val="TableTextLeft"/>
              <w:jc w:val="both"/>
            </w:pPr>
            <w:r>
              <w:t>Budget Paper 3 (BP3)</w:t>
            </w:r>
          </w:p>
        </w:tc>
        <w:tc>
          <w:tcPr>
            <w:tcW w:w="4839" w:type="dxa"/>
          </w:tcPr>
          <w:p w14:paraId="2FF1D090" w14:textId="77777777" w:rsidR="006F7493" w:rsidRDefault="006F7493" w:rsidP="00302E82">
            <w:pPr>
              <w:pStyle w:val="TableTextLeft"/>
              <w:jc w:val="both"/>
            </w:pPr>
            <w:r>
              <w:t>Australia’s Federal Relations. Provides information and analysis on federal; funding improved to the states and territories.</w:t>
            </w:r>
          </w:p>
        </w:tc>
      </w:tr>
      <w:tr w:rsidR="006F7493" w14:paraId="1620780B" w14:textId="77777777" w:rsidTr="00302E82">
        <w:tc>
          <w:tcPr>
            <w:tcW w:w="2871" w:type="dxa"/>
          </w:tcPr>
          <w:p w14:paraId="69C5E458" w14:textId="77777777" w:rsidR="006F7493" w:rsidRDefault="006F7493" w:rsidP="00302E82">
            <w:pPr>
              <w:pStyle w:val="TableTextLeft"/>
              <w:jc w:val="both"/>
            </w:pPr>
            <w:r>
              <w:t>Budget Paper 4 (BP4)</w:t>
            </w:r>
          </w:p>
        </w:tc>
        <w:tc>
          <w:tcPr>
            <w:tcW w:w="4839" w:type="dxa"/>
          </w:tcPr>
          <w:p w14:paraId="67D5F4E2" w14:textId="77777777" w:rsidR="006F7493" w:rsidRDefault="006F7493" w:rsidP="00302E82">
            <w:pPr>
              <w:pStyle w:val="TableTextLeft"/>
              <w:jc w:val="both"/>
            </w:pPr>
            <w:r>
              <w:t>Entity Resourcing. Details total resourcing available to agencies.</w:t>
            </w:r>
          </w:p>
        </w:tc>
      </w:tr>
      <w:tr w:rsidR="006F7493" w14:paraId="750FCB57" w14:textId="77777777" w:rsidTr="00302E82">
        <w:tc>
          <w:tcPr>
            <w:tcW w:w="2871" w:type="dxa"/>
          </w:tcPr>
          <w:p w14:paraId="76A9EDB9" w14:textId="77777777" w:rsidR="006F7493" w:rsidRDefault="006F7493" w:rsidP="00302E82">
            <w:pPr>
              <w:pStyle w:val="TableTextLeft"/>
              <w:jc w:val="both"/>
            </w:pPr>
            <w:r>
              <w:t>Capital Expenditure</w:t>
            </w:r>
          </w:p>
        </w:tc>
        <w:tc>
          <w:tcPr>
            <w:tcW w:w="4839" w:type="dxa"/>
          </w:tcPr>
          <w:p w14:paraId="7011C718" w14:textId="77777777" w:rsidR="006F7493" w:rsidRDefault="006F7493" w:rsidP="00302E82">
            <w:pPr>
              <w:pStyle w:val="TableTextLeft"/>
              <w:jc w:val="both"/>
            </w:pPr>
            <w:r>
              <w:t xml:space="preserve">Expenditure by an entity on capital projects; for example, purchasing a building. </w:t>
            </w:r>
          </w:p>
        </w:tc>
      </w:tr>
      <w:tr w:rsidR="006F7493" w14:paraId="1E02FF4E" w14:textId="77777777" w:rsidTr="00302E82">
        <w:tc>
          <w:tcPr>
            <w:tcW w:w="2871" w:type="dxa"/>
          </w:tcPr>
          <w:p w14:paraId="79F8D0E6" w14:textId="77777777" w:rsidR="006F7493" w:rsidRDefault="006F7493" w:rsidP="00302E82">
            <w:pPr>
              <w:pStyle w:val="TableTextLeft"/>
              <w:jc w:val="both"/>
            </w:pPr>
            <w:r>
              <w:t xml:space="preserve">Consolidated Revenue Fund </w:t>
            </w:r>
          </w:p>
          <w:p w14:paraId="5972F0FA" w14:textId="77777777" w:rsidR="006F7493" w:rsidRDefault="006F7493" w:rsidP="00302E82">
            <w:pPr>
              <w:pStyle w:val="TableTextLeft"/>
              <w:jc w:val="both"/>
            </w:pPr>
            <w:r>
              <w:t>(CRF)</w:t>
            </w:r>
          </w:p>
        </w:tc>
        <w:tc>
          <w:tcPr>
            <w:tcW w:w="4839" w:type="dxa"/>
          </w:tcPr>
          <w:p w14:paraId="2993968A" w14:textId="77777777" w:rsidR="006F7493" w:rsidRDefault="006F7493" w:rsidP="00302E82">
            <w:pPr>
              <w:pStyle w:val="TableTextLeft"/>
              <w:jc w:val="both"/>
            </w:pPr>
            <w:r>
              <w:t xml:space="preserve">The principal operating fund from which money is drawn to pay for the activities of the Government. Section 81 of the Australian Constitution provides that all revenue raised or monies received by the Executive Government forms one consolidated revenue fund from which appropriations are made for the purposes of the Australian Government. </w:t>
            </w:r>
          </w:p>
        </w:tc>
      </w:tr>
      <w:tr w:rsidR="006F7493" w14:paraId="1DE87E25" w14:textId="77777777" w:rsidTr="00302E82">
        <w:tc>
          <w:tcPr>
            <w:tcW w:w="2871" w:type="dxa"/>
          </w:tcPr>
          <w:p w14:paraId="74091EA3" w14:textId="77777777" w:rsidR="006F7493" w:rsidRDefault="006F7493" w:rsidP="00302E82">
            <w:pPr>
              <w:pStyle w:val="TableTextLeft"/>
              <w:jc w:val="both"/>
            </w:pPr>
            <w:r>
              <w:t>Departmental Capital Budget</w:t>
            </w:r>
          </w:p>
          <w:p w14:paraId="1CE9421C" w14:textId="77777777" w:rsidR="006F7493" w:rsidRDefault="006F7493" w:rsidP="00302E82">
            <w:pPr>
              <w:pStyle w:val="TableTextLeft"/>
              <w:jc w:val="both"/>
            </w:pPr>
            <w:r>
              <w:t>(DCB)</w:t>
            </w:r>
          </w:p>
        </w:tc>
        <w:tc>
          <w:tcPr>
            <w:tcW w:w="4839" w:type="dxa"/>
          </w:tcPr>
          <w:p w14:paraId="3B99FF6B" w14:textId="77777777" w:rsidR="006F7493" w:rsidRDefault="006F7493" w:rsidP="00302E82">
            <w:pPr>
              <w:pStyle w:val="TableTextLeft"/>
              <w:jc w:val="both"/>
            </w:pPr>
            <w:r>
              <w:t>Net cash appropriation arrangements involve the cessation of funding for depreciation, amortisation and make good expenses. Funding for these expenses has been replaced with a collection development and acquisition budget (CDAB) for designated collection institutions (DCIs), and departmental capital budgets (DCBs).</w:t>
            </w:r>
          </w:p>
        </w:tc>
      </w:tr>
      <w:tr w:rsidR="006F7493" w14:paraId="041463AE" w14:textId="77777777" w:rsidTr="00302E82">
        <w:tc>
          <w:tcPr>
            <w:tcW w:w="2871" w:type="dxa"/>
          </w:tcPr>
          <w:p w14:paraId="7B3C15D9" w14:textId="77777777" w:rsidR="006F7493" w:rsidRDefault="006F7493" w:rsidP="00302E82">
            <w:pPr>
              <w:pStyle w:val="TableTextLeft"/>
              <w:jc w:val="both"/>
            </w:pPr>
            <w:r>
              <w:t>Departmental Item</w:t>
            </w:r>
          </w:p>
        </w:tc>
        <w:tc>
          <w:tcPr>
            <w:tcW w:w="4839" w:type="dxa"/>
          </w:tcPr>
          <w:p w14:paraId="4B1F1FD1" w14:textId="77777777" w:rsidR="006F7493" w:rsidRDefault="006F7493" w:rsidP="00302E82">
            <w:pPr>
              <w:pStyle w:val="TableTextLeft"/>
              <w:jc w:val="both"/>
            </w:pPr>
            <w:r>
              <w:t xml:space="preserve">Resources (assets, liabilities, revenues and expenses) that entity accountable authority control directly. This includes outsourced activities funded and controlled by the entity. Examples of departmental items include entity running costs, accrued employee entitlements and net appropriations. A departmental item is a component of a departmental program. </w:t>
            </w:r>
          </w:p>
        </w:tc>
      </w:tr>
      <w:tr w:rsidR="006F7493" w14:paraId="748A276A" w14:textId="77777777" w:rsidTr="00302E82">
        <w:tc>
          <w:tcPr>
            <w:tcW w:w="2871" w:type="dxa"/>
          </w:tcPr>
          <w:p w14:paraId="1D40BA05" w14:textId="77777777" w:rsidR="006F7493" w:rsidRDefault="006F7493" w:rsidP="00302E82">
            <w:pPr>
              <w:pStyle w:val="TableTextLeft"/>
              <w:jc w:val="both"/>
            </w:pPr>
            <w:r>
              <w:t>Depreciation</w:t>
            </w:r>
          </w:p>
        </w:tc>
        <w:tc>
          <w:tcPr>
            <w:tcW w:w="4839" w:type="dxa"/>
          </w:tcPr>
          <w:p w14:paraId="572D00F2" w14:textId="77777777" w:rsidR="006F7493" w:rsidRDefault="006F7493" w:rsidP="00302E82">
            <w:pPr>
              <w:pStyle w:val="TableTextLeft"/>
              <w:jc w:val="both"/>
            </w:pPr>
            <w:r>
              <w:t>Apportionment of an asset’s capital values as an expense over its estimated useful life to take account of normal usage, obsolescence, or the passage of time.</w:t>
            </w:r>
          </w:p>
        </w:tc>
      </w:tr>
      <w:tr w:rsidR="006F7493" w14:paraId="3FA8E279" w14:textId="77777777" w:rsidTr="00302E82">
        <w:tc>
          <w:tcPr>
            <w:tcW w:w="2871" w:type="dxa"/>
          </w:tcPr>
          <w:p w14:paraId="73171619" w14:textId="77777777" w:rsidR="006F7493" w:rsidRDefault="006F7493" w:rsidP="00302E82">
            <w:pPr>
              <w:pStyle w:val="TableTextLeft"/>
              <w:jc w:val="both"/>
            </w:pPr>
            <w:r>
              <w:t>Equity or net assets</w:t>
            </w:r>
          </w:p>
        </w:tc>
        <w:tc>
          <w:tcPr>
            <w:tcW w:w="4839" w:type="dxa"/>
          </w:tcPr>
          <w:p w14:paraId="57B7C261" w14:textId="77777777" w:rsidR="006F7493" w:rsidRDefault="006F7493" w:rsidP="00302E82">
            <w:pPr>
              <w:pStyle w:val="TableTextLeft"/>
              <w:jc w:val="both"/>
            </w:pPr>
            <w:r>
              <w:t>Residual interest in the assets of an entity after deduction of its liabilities.</w:t>
            </w:r>
          </w:p>
        </w:tc>
      </w:tr>
      <w:tr w:rsidR="006F7493" w14:paraId="1623BB98" w14:textId="77777777" w:rsidTr="00302E82">
        <w:tc>
          <w:tcPr>
            <w:tcW w:w="2871" w:type="dxa"/>
          </w:tcPr>
          <w:p w14:paraId="4D0510A0" w14:textId="77777777" w:rsidR="006F7493" w:rsidRDefault="006F7493" w:rsidP="00302E82">
            <w:pPr>
              <w:pStyle w:val="TableTextLeft"/>
              <w:jc w:val="both"/>
            </w:pPr>
            <w:r>
              <w:t xml:space="preserve">Entity </w:t>
            </w:r>
          </w:p>
        </w:tc>
        <w:tc>
          <w:tcPr>
            <w:tcW w:w="4839" w:type="dxa"/>
          </w:tcPr>
          <w:p w14:paraId="565BADB4" w14:textId="77777777" w:rsidR="006F7493" w:rsidRPr="000142C7" w:rsidRDefault="006F7493" w:rsidP="00302E82">
            <w:pPr>
              <w:pStyle w:val="TableTextLeft"/>
              <w:jc w:val="both"/>
            </w:pPr>
            <w:r>
              <w:t xml:space="preserve">A department, agency, company or authority under the </w:t>
            </w:r>
            <w:r>
              <w:rPr>
                <w:i/>
              </w:rPr>
              <w:t xml:space="preserve">Public Governance, Performance and </w:t>
            </w:r>
            <w:r w:rsidR="00151321">
              <w:rPr>
                <w:i/>
              </w:rPr>
              <w:t>Accountability Act </w:t>
            </w:r>
            <w:r>
              <w:rPr>
                <w:i/>
              </w:rPr>
              <w:t xml:space="preserve">2013 </w:t>
            </w:r>
            <w:r>
              <w:t>(PGPA Act) or any other Commonwealth statutory authority.</w:t>
            </w:r>
          </w:p>
        </w:tc>
      </w:tr>
      <w:tr w:rsidR="006F7493" w14:paraId="002AEA79" w14:textId="77777777" w:rsidTr="00302E82">
        <w:tc>
          <w:tcPr>
            <w:tcW w:w="2871" w:type="dxa"/>
          </w:tcPr>
          <w:p w14:paraId="73E06A97" w14:textId="77777777" w:rsidR="006F7493" w:rsidRDefault="006F7493" w:rsidP="00302E82">
            <w:pPr>
              <w:pStyle w:val="TableTextLeft"/>
              <w:jc w:val="both"/>
            </w:pPr>
            <w:r>
              <w:t>Estimated actual expenses</w:t>
            </w:r>
          </w:p>
        </w:tc>
        <w:tc>
          <w:tcPr>
            <w:tcW w:w="4839" w:type="dxa"/>
          </w:tcPr>
          <w:p w14:paraId="036621CA" w14:textId="77777777" w:rsidR="006F7493" w:rsidRDefault="006F7493" w:rsidP="00302E82">
            <w:pPr>
              <w:pStyle w:val="TableTextLeft"/>
              <w:jc w:val="both"/>
            </w:pPr>
            <w:r>
              <w:t xml:space="preserve">Details of the current year’s estimated final figures included in the Budget documentation to be used for comparison. </w:t>
            </w:r>
          </w:p>
        </w:tc>
      </w:tr>
      <w:tr w:rsidR="006F7493" w14:paraId="661C5874" w14:textId="77777777" w:rsidTr="00302E82">
        <w:tc>
          <w:tcPr>
            <w:tcW w:w="2871" w:type="dxa"/>
          </w:tcPr>
          <w:p w14:paraId="0971DE41" w14:textId="77777777" w:rsidR="006F7493" w:rsidRDefault="006F7493" w:rsidP="00302E82">
            <w:pPr>
              <w:pStyle w:val="TableTextLeft"/>
              <w:jc w:val="both"/>
            </w:pPr>
            <w:r>
              <w:t>Expenditure</w:t>
            </w:r>
          </w:p>
        </w:tc>
        <w:tc>
          <w:tcPr>
            <w:tcW w:w="4839" w:type="dxa"/>
          </w:tcPr>
          <w:p w14:paraId="7068233A" w14:textId="77777777" w:rsidR="006F7493" w:rsidRDefault="006F7493" w:rsidP="00302E82">
            <w:pPr>
              <w:pStyle w:val="TableTextLeft"/>
              <w:jc w:val="both"/>
            </w:pPr>
            <w:r>
              <w:t>Spending money from the Consolidated Revenue Fund or a notional payment to a PGPA Act entity.</w:t>
            </w:r>
          </w:p>
        </w:tc>
      </w:tr>
      <w:tr w:rsidR="006F7493" w14:paraId="6AC6BC3A" w14:textId="77777777" w:rsidTr="00302E82">
        <w:tc>
          <w:tcPr>
            <w:tcW w:w="2871" w:type="dxa"/>
          </w:tcPr>
          <w:p w14:paraId="687A3686" w14:textId="77777777" w:rsidR="006F7493" w:rsidRDefault="006F7493" w:rsidP="00302E82">
            <w:pPr>
              <w:pStyle w:val="TableTextLeft"/>
              <w:jc w:val="both"/>
            </w:pPr>
            <w:r>
              <w:t>Expense</w:t>
            </w:r>
          </w:p>
        </w:tc>
        <w:tc>
          <w:tcPr>
            <w:tcW w:w="4839" w:type="dxa"/>
          </w:tcPr>
          <w:p w14:paraId="338AB176" w14:textId="77777777" w:rsidR="006F7493" w:rsidRDefault="006F7493" w:rsidP="00302E82">
            <w:pPr>
              <w:pStyle w:val="TableTextLeft"/>
              <w:jc w:val="both"/>
            </w:pPr>
            <w:r>
              <w:t xml:space="preserve">Decreases in economic benefits in the forms of outflows or depletions of assets or incurrence of liabilities that result in decreases in equity, other than those relating to distribution to equity participants. </w:t>
            </w:r>
          </w:p>
        </w:tc>
      </w:tr>
      <w:tr w:rsidR="006F7493" w14:paraId="01DF0AF1" w14:textId="77777777" w:rsidTr="00302E82">
        <w:tc>
          <w:tcPr>
            <w:tcW w:w="2871" w:type="dxa"/>
          </w:tcPr>
          <w:p w14:paraId="652FFE65" w14:textId="77777777" w:rsidR="006F7493" w:rsidRDefault="006F7493" w:rsidP="00302E82">
            <w:pPr>
              <w:pStyle w:val="TableTextLeft"/>
            </w:pPr>
            <w:r>
              <w:t>Expenses not requiring appropriation in the Budget year</w:t>
            </w:r>
          </w:p>
        </w:tc>
        <w:tc>
          <w:tcPr>
            <w:tcW w:w="4839" w:type="dxa"/>
          </w:tcPr>
          <w:p w14:paraId="7D3F564F" w14:textId="77777777" w:rsidR="006F7493" w:rsidRDefault="006F7493" w:rsidP="00302E82">
            <w:pPr>
              <w:pStyle w:val="TableTextLeft"/>
              <w:jc w:val="both"/>
            </w:pPr>
            <w:r>
              <w:t xml:space="preserve">Expenses not involving a cash flow impact are not included within the calculation of an appropriation. An example of such an event is goods or services received free of charge that are then expensed; for example, ANAO audit services. The ANAO does not charge for audit services; however, the expense must be recognised. Similarly, bad debts are recognised as an expense but are not recognised for the purpose of calculating appropriation amounts to be sought from parliament. </w:t>
            </w:r>
          </w:p>
        </w:tc>
      </w:tr>
      <w:tr w:rsidR="006F7493" w14:paraId="5C295BED" w14:textId="77777777" w:rsidTr="00302E82">
        <w:tc>
          <w:tcPr>
            <w:tcW w:w="2871" w:type="dxa"/>
          </w:tcPr>
          <w:p w14:paraId="64B364F0" w14:textId="77777777" w:rsidR="006F7493" w:rsidRDefault="006F7493" w:rsidP="00302E82">
            <w:pPr>
              <w:pStyle w:val="TableTextLeft"/>
              <w:jc w:val="both"/>
            </w:pPr>
            <w:r>
              <w:t>Forward estimates period</w:t>
            </w:r>
          </w:p>
        </w:tc>
        <w:tc>
          <w:tcPr>
            <w:tcW w:w="4839" w:type="dxa"/>
          </w:tcPr>
          <w:p w14:paraId="51343D88" w14:textId="77777777" w:rsidR="006F7493" w:rsidRDefault="006F7493" w:rsidP="00302E82">
            <w:pPr>
              <w:pStyle w:val="TableTextLeft"/>
              <w:jc w:val="both"/>
            </w:pPr>
            <w:r>
              <w:t>The three years following the Budget years. For example if 2021-22 is the Budget year, 2022-23 is forward year 1, 2023-24 is forward year 2 and 2024-25 is forward year 3. The period does include the current or Budget year.</w:t>
            </w:r>
          </w:p>
        </w:tc>
      </w:tr>
      <w:tr w:rsidR="006F7493" w14:paraId="1F23A253" w14:textId="77777777" w:rsidTr="00302E82">
        <w:tc>
          <w:tcPr>
            <w:tcW w:w="2871" w:type="dxa"/>
          </w:tcPr>
          <w:p w14:paraId="39B884EA" w14:textId="77777777" w:rsidR="006F7493" w:rsidRDefault="006F7493" w:rsidP="00302E82">
            <w:pPr>
              <w:pStyle w:val="TableTextLeft"/>
              <w:jc w:val="both"/>
            </w:pPr>
            <w:r>
              <w:t>Funds</w:t>
            </w:r>
          </w:p>
        </w:tc>
        <w:tc>
          <w:tcPr>
            <w:tcW w:w="4839" w:type="dxa"/>
          </w:tcPr>
          <w:p w14:paraId="76CFDB79" w14:textId="77777777" w:rsidR="006F7493" w:rsidRDefault="006F7493" w:rsidP="00302E82">
            <w:pPr>
              <w:pStyle w:val="TableTextLeft"/>
              <w:jc w:val="both"/>
            </w:pPr>
            <w:r>
              <w:t>Money that has been appropriated but not drawn from the Consolidated Revenue Fund.</w:t>
            </w:r>
          </w:p>
        </w:tc>
      </w:tr>
      <w:tr w:rsidR="006F7493" w14:paraId="26531B25" w14:textId="77777777" w:rsidTr="00302E82">
        <w:tc>
          <w:tcPr>
            <w:tcW w:w="2871" w:type="dxa"/>
          </w:tcPr>
          <w:p w14:paraId="35171D40" w14:textId="77777777" w:rsidR="006F7493" w:rsidRDefault="006F7493" w:rsidP="00302E82">
            <w:pPr>
              <w:pStyle w:val="TableTextLeft"/>
              <w:jc w:val="both"/>
            </w:pPr>
            <w:r>
              <w:t>Income</w:t>
            </w:r>
          </w:p>
        </w:tc>
        <w:tc>
          <w:tcPr>
            <w:tcW w:w="4839" w:type="dxa"/>
          </w:tcPr>
          <w:p w14:paraId="52C9E495" w14:textId="77777777" w:rsidR="006F7493" w:rsidRDefault="006F7493" w:rsidP="00302E82">
            <w:pPr>
              <w:pStyle w:val="TableTextLeft"/>
              <w:jc w:val="both"/>
            </w:pPr>
            <w:r>
              <w:t>Total value of resources earned or received to cover the production of goods and services.</w:t>
            </w:r>
          </w:p>
        </w:tc>
      </w:tr>
      <w:tr w:rsidR="006F7493" w14:paraId="02E74994" w14:textId="77777777" w:rsidTr="00302E82">
        <w:tc>
          <w:tcPr>
            <w:tcW w:w="2871" w:type="dxa"/>
          </w:tcPr>
          <w:p w14:paraId="5D452D50" w14:textId="77777777" w:rsidR="006F7493" w:rsidRDefault="006F7493" w:rsidP="00302E82">
            <w:pPr>
              <w:pStyle w:val="TableTextLeft"/>
              <w:jc w:val="both"/>
            </w:pPr>
            <w:r>
              <w:t>Make good</w:t>
            </w:r>
          </w:p>
        </w:tc>
        <w:tc>
          <w:tcPr>
            <w:tcW w:w="4839" w:type="dxa"/>
          </w:tcPr>
          <w:p w14:paraId="41E82BDB" w14:textId="77777777" w:rsidR="006F7493" w:rsidRDefault="006F7493" w:rsidP="00302E82">
            <w:pPr>
              <w:pStyle w:val="TableTextLeft"/>
              <w:jc w:val="both"/>
            </w:pPr>
            <w:r>
              <w:t xml:space="preserve">Make good is the cost of dismantling and removing an item and restoring the site on which it is located, the obligation for which an entity incurs wither when the item is acquired or as a consequence of having used the item during the particular period for purposes other than to produce inventories during that period. A common example of make good in the public sector is the restoration of office premises at the end of a lease period. </w:t>
            </w:r>
          </w:p>
        </w:tc>
      </w:tr>
      <w:tr w:rsidR="006F7493" w14:paraId="58632D14" w14:textId="77777777" w:rsidTr="00302E82">
        <w:tc>
          <w:tcPr>
            <w:tcW w:w="2871" w:type="dxa"/>
          </w:tcPr>
          <w:p w14:paraId="7DFE5E25" w14:textId="77777777" w:rsidR="006F7493" w:rsidRDefault="006F7493" w:rsidP="00302E82">
            <w:pPr>
              <w:pStyle w:val="TableTextLeft"/>
              <w:jc w:val="both"/>
            </w:pPr>
            <w:r>
              <w:t>Measure</w:t>
            </w:r>
          </w:p>
        </w:tc>
        <w:tc>
          <w:tcPr>
            <w:tcW w:w="4839" w:type="dxa"/>
          </w:tcPr>
          <w:p w14:paraId="226EB82B" w14:textId="77777777" w:rsidR="006F7493" w:rsidRDefault="006F7493" w:rsidP="00302E82">
            <w:pPr>
              <w:pStyle w:val="TableTextLeft"/>
              <w:jc w:val="both"/>
            </w:pPr>
            <w:r>
              <w:t>A new policy or savings decision of the government with financial impacts on the government’s underlying cash balance, fiscal balance, operating balance, headline cash balance, net debt or net worth. Such proposals are normally made in the context of the annual Budget, and are typically published in Budget Paper No. 2, and in the Mid-Year Economic and Fiscal Outlook (MYEFO).</w:t>
            </w:r>
          </w:p>
          <w:p w14:paraId="0C9C0471" w14:textId="77777777" w:rsidR="00FD6A3C" w:rsidRDefault="00FD6A3C" w:rsidP="00302E82">
            <w:pPr>
              <w:pStyle w:val="TableTextLeft"/>
              <w:jc w:val="both"/>
            </w:pPr>
          </w:p>
        </w:tc>
      </w:tr>
      <w:tr w:rsidR="006F7493" w14:paraId="0931527B" w14:textId="77777777" w:rsidTr="00302E82">
        <w:tc>
          <w:tcPr>
            <w:tcW w:w="2871" w:type="dxa"/>
          </w:tcPr>
          <w:p w14:paraId="6FC543C9" w14:textId="77777777" w:rsidR="006F7493" w:rsidRDefault="006F7493" w:rsidP="00302E82">
            <w:pPr>
              <w:pStyle w:val="TableTextLeft"/>
              <w:jc w:val="both"/>
            </w:pPr>
            <w:r>
              <w:t xml:space="preserve">Mid-Year Economic and </w:t>
            </w:r>
          </w:p>
          <w:p w14:paraId="7DC668F5" w14:textId="77777777" w:rsidR="006F7493" w:rsidRDefault="006F7493" w:rsidP="00302E82">
            <w:pPr>
              <w:pStyle w:val="TableTextLeft"/>
              <w:jc w:val="both"/>
            </w:pPr>
            <w:r>
              <w:t>Fiscal Outlook (MYEFO)</w:t>
            </w:r>
          </w:p>
        </w:tc>
        <w:tc>
          <w:tcPr>
            <w:tcW w:w="4839" w:type="dxa"/>
          </w:tcPr>
          <w:p w14:paraId="3FB5716B" w14:textId="77777777" w:rsidR="006F7493" w:rsidRDefault="006F7493" w:rsidP="00302E82">
            <w:pPr>
              <w:pStyle w:val="TableTextLeft"/>
              <w:jc w:val="both"/>
            </w:pPr>
            <w:r>
              <w:t xml:space="preserve">The MYEFO provides an update of the government’s budget estimates by examining expenses and revenues in the year to date, as well as provisions for new decisions that have been taken since the Budget. The report provides updated information to allow the assessment of the government’s fiscal performance against the fiscal strategy set out in its current fiscal strategy statement. </w:t>
            </w:r>
          </w:p>
          <w:p w14:paraId="2ECCFDCC" w14:textId="77777777" w:rsidR="006F7493" w:rsidRDefault="006F7493" w:rsidP="00302E82">
            <w:pPr>
              <w:pStyle w:val="TableTextLeft"/>
              <w:jc w:val="both"/>
            </w:pPr>
          </w:p>
        </w:tc>
      </w:tr>
      <w:tr w:rsidR="006F7493" w14:paraId="7FECAAE7" w14:textId="77777777" w:rsidTr="00302E82">
        <w:tc>
          <w:tcPr>
            <w:tcW w:w="2871" w:type="dxa"/>
          </w:tcPr>
          <w:p w14:paraId="4435E438" w14:textId="77777777" w:rsidR="006F7493" w:rsidRDefault="006F7493" w:rsidP="00302E82">
            <w:pPr>
              <w:pStyle w:val="TableTextLeft"/>
              <w:jc w:val="both"/>
            </w:pPr>
            <w:r>
              <w:t>Movement of Funds</w:t>
            </w:r>
          </w:p>
          <w:p w14:paraId="62810046" w14:textId="77777777" w:rsidR="006F7493" w:rsidRDefault="006F7493" w:rsidP="00302E82">
            <w:pPr>
              <w:pStyle w:val="TableTextLeft"/>
              <w:jc w:val="both"/>
            </w:pPr>
            <w:r>
              <w:t>Between years</w:t>
            </w:r>
          </w:p>
        </w:tc>
        <w:tc>
          <w:tcPr>
            <w:tcW w:w="4839" w:type="dxa"/>
          </w:tcPr>
          <w:p w14:paraId="09F465A9" w14:textId="77777777" w:rsidR="006F7493" w:rsidRDefault="006F7493" w:rsidP="00302E82">
            <w:pPr>
              <w:pStyle w:val="TableTextLeft"/>
              <w:jc w:val="both"/>
            </w:pPr>
            <w:r>
              <w:t>A movement of funds process is carried out twice each year in relation to unexpected administered operating appropriations. This involves portfolio ministers submitting requests to the Finance Minister advising of timing changes to funding requirements. If agreed by the Finance Minister, the appropriation is made available in later year(s).</w:t>
            </w:r>
          </w:p>
        </w:tc>
      </w:tr>
      <w:tr w:rsidR="006F7493" w14:paraId="0BB0B7C0" w14:textId="77777777" w:rsidTr="00302E82">
        <w:tc>
          <w:tcPr>
            <w:tcW w:w="2871" w:type="dxa"/>
          </w:tcPr>
          <w:p w14:paraId="35656E0F" w14:textId="77777777" w:rsidR="006F7493" w:rsidRDefault="006F7493" w:rsidP="00302E82">
            <w:pPr>
              <w:pStyle w:val="TableTextLeft"/>
              <w:jc w:val="both"/>
            </w:pPr>
            <w:r>
              <w:t>Non-operating</w:t>
            </w:r>
          </w:p>
        </w:tc>
        <w:tc>
          <w:tcPr>
            <w:tcW w:w="4839" w:type="dxa"/>
          </w:tcPr>
          <w:p w14:paraId="0F3BFEF5" w14:textId="77777777" w:rsidR="006F7493" w:rsidRDefault="006F7493" w:rsidP="00302E82">
            <w:pPr>
              <w:pStyle w:val="TableTextLeft"/>
              <w:jc w:val="both"/>
            </w:pPr>
            <w:r>
              <w:t>Sometimes called capital costs.</w:t>
            </w:r>
          </w:p>
        </w:tc>
      </w:tr>
      <w:tr w:rsidR="006F7493" w14:paraId="0EE304CE" w14:textId="77777777" w:rsidTr="00302E82">
        <w:tc>
          <w:tcPr>
            <w:tcW w:w="2871" w:type="dxa"/>
          </w:tcPr>
          <w:p w14:paraId="158603D0" w14:textId="77777777" w:rsidR="006F7493" w:rsidRDefault="006F7493" w:rsidP="00302E82">
            <w:pPr>
              <w:pStyle w:val="TableTextLeft"/>
              <w:jc w:val="both"/>
            </w:pPr>
            <w:r>
              <w:t>Official Public Account</w:t>
            </w:r>
          </w:p>
          <w:p w14:paraId="514D0BD7" w14:textId="77777777" w:rsidR="006F7493" w:rsidRDefault="006F7493" w:rsidP="00302E82">
            <w:pPr>
              <w:pStyle w:val="TableTextLeft"/>
              <w:jc w:val="both"/>
            </w:pPr>
            <w:r>
              <w:t>(OPA)</w:t>
            </w:r>
          </w:p>
          <w:p w14:paraId="13CC29AD" w14:textId="77777777" w:rsidR="006F7493" w:rsidRDefault="006F7493" w:rsidP="00302E82">
            <w:pPr>
              <w:pStyle w:val="TableTextLeft"/>
              <w:jc w:val="both"/>
            </w:pPr>
          </w:p>
        </w:tc>
        <w:tc>
          <w:tcPr>
            <w:tcW w:w="4839" w:type="dxa"/>
          </w:tcPr>
          <w:p w14:paraId="1A677AE9" w14:textId="77777777" w:rsidR="006F7493" w:rsidRDefault="006F7493" w:rsidP="00302E82">
            <w:pPr>
              <w:pStyle w:val="TableTextLeft"/>
              <w:jc w:val="both"/>
            </w:pPr>
            <w:r>
              <w:t xml:space="preserve">The OPA is the Australian Government’s central bank account held within the Reserve Bank of Australia. The OPA reflects the operations of Consolidated Revenue Fund. </w:t>
            </w:r>
          </w:p>
        </w:tc>
      </w:tr>
      <w:tr w:rsidR="006F7493" w14:paraId="58079C2B" w14:textId="77777777" w:rsidTr="00302E82">
        <w:tc>
          <w:tcPr>
            <w:tcW w:w="2871" w:type="dxa"/>
          </w:tcPr>
          <w:p w14:paraId="363C033E" w14:textId="77777777" w:rsidR="006F7493" w:rsidRDefault="006F7493" w:rsidP="00302E82">
            <w:pPr>
              <w:pStyle w:val="TableTextLeft"/>
              <w:jc w:val="both"/>
            </w:pPr>
            <w:r>
              <w:t>Operating</w:t>
            </w:r>
          </w:p>
        </w:tc>
        <w:tc>
          <w:tcPr>
            <w:tcW w:w="4839" w:type="dxa"/>
          </w:tcPr>
          <w:p w14:paraId="3755220A" w14:textId="77777777" w:rsidR="006F7493" w:rsidRDefault="006F7493" w:rsidP="00302E82">
            <w:pPr>
              <w:pStyle w:val="TableTextLeft"/>
              <w:jc w:val="both"/>
            </w:pPr>
            <w:r>
              <w:t>Normally related to ongoing, or recurring expenses, such as paying salaries or making program payments.</w:t>
            </w:r>
          </w:p>
        </w:tc>
      </w:tr>
      <w:tr w:rsidR="006F7493" w14:paraId="298FD5E8" w14:textId="77777777" w:rsidTr="00302E82">
        <w:tc>
          <w:tcPr>
            <w:tcW w:w="2871" w:type="dxa"/>
          </w:tcPr>
          <w:p w14:paraId="36FF02DA" w14:textId="77777777" w:rsidR="006F7493" w:rsidRDefault="006F7493" w:rsidP="00302E82">
            <w:pPr>
              <w:pStyle w:val="TableTextLeft"/>
              <w:jc w:val="both"/>
            </w:pPr>
            <w:r>
              <w:t>Operating result</w:t>
            </w:r>
          </w:p>
        </w:tc>
        <w:tc>
          <w:tcPr>
            <w:tcW w:w="4839" w:type="dxa"/>
          </w:tcPr>
          <w:p w14:paraId="701D27E1" w14:textId="77777777" w:rsidR="006F7493" w:rsidRDefault="006F7493" w:rsidP="00302E82">
            <w:pPr>
              <w:pStyle w:val="TableTextLeft"/>
              <w:jc w:val="both"/>
            </w:pPr>
            <w:r>
              <w:t>Equal income less expenses.</w:t>
            </w:r>
          </w:p>
        </w:tc>
      </w:tr>
      <w:tr w:rsidR="006F7493" w14:paraId="1853D8EB" w14:textId="77777777" w:rsidTr="00302E82">
        <w:tc>
          <w:tcPr>
            <w:tcW w:w="2871" w:type="dxa"/>
          </w:tcPr>
          <w:p w14:paraId="0E0DDFCE" w14:textId="77777777" w:rsidR="006F7493" w:rsidRDefault="006F7493" w:rsidP="00302E82">
            <w:pPr>
              <w:pStyle w:val="TableTextLeft"/>
              <w:jc w:val="both"/>
            </w:pPr>
            <w:r>
              <w:t>Outcome</w:t>
            </w:r>
          </w:p>
        </w:tc>
        <w:tc>
          <w:tcPr>
            <w:tcW w:w="4839" w:type="dxa"/>
          </w:tcPr>
          <w:p w14:paraId="454F8FFE" w14:textId="77777777" w:rsidR="006F7493" w:rsidRDefault="006F7493" w:rsidP="00302E82">
            <w:pPr>
              <w:pStyle w:val="TableTextLeft"/>
              <w:jc w:val="both"/>
            </w:pPr>
            <w:r>
              <w:t>An outcome is the intended result, consequence or impact of government actions on the Australian community</w:t>
            </w:r>
          </w:p>
        </w:tc>
      </w:tr>
      <w:tr w:rsidR="006F7493" w14:paraId="31B361B6" w14:textId="77777777" w:rsidTr="00302E82">
        <w:tc>
          <w:tcPr>
            <w:tcW w:w="2871" w:type="dxa"/>
          </w:tcPr>
          <w:p w14:paraId="63B57A73" w14:textId="77777777" w:rsidR="006F7493" w:rsidRDefault="006F7493" w:rsidP="00302E82">
            <w:pPr>
              <w:pStyle w:val="TableTextLeft"/>
              <w:jc w:val="both"/>
              <w:rPr>
                <w:i/>
              </w:rPr>
            </w:pPr>
            <w:r>
              <w:rPr>
                <w:i/>
              </w:rPr>
              <w:t xml:space="preserve">Public Governance, Performance and Accountability Act 2013 </w:t>
            </w:r>
          </w:p>
          <w:p w14:paraId="442767C4" w14:textId="77777777" w:rsidR="006F7493" w:rsidRPr="00296B36" w:rsidRDefault="006F7493" w:rsidP="00302E82">
            <w:pPr>
              <w:pStyle w:val="TableTextLeft"/>
              <w:jc w:val="both"/>
            </w:pPr>
            <w:r>
              <w:t>(PGPA Act)</w:t>
            </w:r>
          </w:p>
        </w:tc>
        <w:tc>
          <w:tcPr>
            <w:tcW w:w="4839" w:type="dxa"/>
          </w:tcPr>
          <w:p w14:paraId="36C4A9D0" w14:textId="77777777" w:rsidR="006F7493" w:rsidRDefault="006F7493" w:rsidP="00302E82">
            <w:pPr>
              <w:pStyle w:val="TableTextLeft"/>
              <w:jc w:val="both"/>
            </w:pPr>
            <w:r>
              <w:t xml:space="preserve">The PGPA Act is the principal legislation concerning the governance, performance and accountability of, and the use and management of public resources by the Commonwealth. </w:t>
            </w:r>
          </w:p>
        </w:tc>
      </w:tr>
      <w:tr w:rsidR="006F7493" w14:paraId="0B1C06FD" w14:textId="77777777" w:rsidTr="00302E82">
        <w:tc>
          <w:tcPr>
            <w:tcW w:w="2871" w:type="dxa"/>
          </w:tcPr>
          <w:p w14:paraId="49B85217" w14:textId="77777777" w:rsidR="006F7493" w:rsidRDefault="006F7493" w:rsidP="00302E82">
            <w:pPr>
              <w:pStyle w:val="TableTextLeft"/>
              <w:jc w:val="both"/>
            </w:pPr>
            <w:r>
              <w:t>Portfolio Budget Statements</w:t>
            </w:r>
          </w:p>
          <w:p w14:paraId="3F32276E" w14:textId="77777777" w:rsidR="006F7493" w:rsidRPr="00296B36" w:rsidRDefault="006F7493" w:rsidP="00302E82">
            <w:pPr>
              <w:pStyle w:val="TableTextLeft"/>
              <w:jc w:val="both"/>
            </w:pPr>
            <w:r>
              <w:t>(PBS)</w:t>
            </w:r>
          </w:p>
        </w:tc>
        <w:tc>
          <w:tcPr>
            <w:tcW w:w="4839" w:type="dxa"/>
          </w:tcPr>
          <w:p w14:paraId="021F7018" w14:textId="77777777" w:rsidR="006F7493" w:rsidRDefault="006F7493" w:rsidP="00302E82">
            <w:pPr>
              <w:pStyle w:val="TableTextLeft"/>
              <w:jc w:val="both"/>
            </w:pPr>
            <w:r>
              <w:t>Budget related paper detailing budget initiatives and explanations of appropriations specified by outcomes and program by each entity within a portfolio.</w:t>
            </w:r>
          </w:p>
        </w:tc>
      </w:tr>
      <w:tr w:rsidR="006F7493" w14:paraId="7E55720E" w14:textId="77777777" w:rsidTr="00302E82">
        <w:tc>
          <w:tcPr>
            <w:tcW w:w="2871" w:type="dxa"/>
          </w:tcPr>
          <w:p w14:paraId="4D44C937" w14:textId="77777777" w:rsidR="006F7493" w:rsidRDefault="006F7493" w:rsidP="00302E82">
            <w:pPr>
              <w:pStyle w:val="TableTextLeft"/>
              <w:jc w:val="both"/>
            </w:pPr>
            <w:r>
              <w:t>Program</w:t>
            </w:r>
          </w:p>
        </w:tc>
        <w:tc>
          <w:tcPr>
            <w:tcW w:w="4839" w:type="dxa"/>
          </w:tcPr>
          <w:p w14:paraId="62E82161" w14:textId="77777777" w:rsidR="006F7493" w:rsidRDefault="006F7493" w:rsidP="00302E82">
            <w:pPr>
              <w:pStyle w:val="TableTextLeft"/>
              <w:jc w:val="both"/>
            </w:pPr>
            <w:r>
              <w:t xml:space="preserve">Activity that delivers benefits, services or transfer payments to individuals, industry and / or the community as a whole, with the aim of achieving the intended result specified in an outcome statement. </w:t>
            </w:r>
          </w:p>
        </w:tc>
      </w:tr>
      <w:tr w:rsidR="006F7493" w14:paraId="38F4AC66" w14:textId="77777777" w:rsidTr="00302E82">
        <w:tc>
          <w:tcPr>
            <w:tcW w:w="2871" w:type="dxa"/>
          </w:tcPr>
          <w:p w14:paraId="2F0591E7" w14:textId="77777777" w:rsidR="006F7493" w:rsidRDefault="006F7493" w:rsidP="00302E82">
            <w:pPr>
              <w:pStyle w:val="TableTextLeft"/>
              <w:jc w:val="both"/>
            </w:pPr>
            <w:r>
              <w:t>Program support</w:t>
            </w:r>
          </w:p>
        </w:tc>
        <w:tc>
          <w:tcPr>
            <w:tcW w:w="4839" w:type="dxa"/>
          </w:tcPr>
          <w:p w14:paraId="03BB067D" w14:textId="77777777" w:rsidR="006F7493" w:rsidRDefault="006F7493" w:rsidP="00302E82">
            <w:pPr>
              <w:pStyle w:val="TableTextLeft"/>
              <w:jc w:val="both"/>
            </w:pPr>
            <w:r>
              <w:t>The entity running costs allocated to a program. This is funded as part of the entity’s departmental appropriations.</w:t>
            </w:r>
          </w:p>
        </w:tc>
      </w:tr>
      <w:tr w:rsidR="006F7493" w14:paraId="5F49C756" w14:textId="77777777" w:rsidTr="00302E82">
        <w:tc>
          <w:tcPr>
            <w:tcW w:w="2871" w:type="dxa"/>
          </w:tcPr>
          <w:p w14:paraId="1D86875E" w14:textId="77777777" w:rsidR="006F7493" w:rsidRDefault="006F7493" w:rsidP="00302E82">
            <w:pPr>
              <w:pStyle w:val="TableTextLeft"/>
              <w:jc w:val="both"/>
            </w:pPr>
            <w:r>
              <w:t>ROU assets</w:t>
            </w:r>
          </w:p>
        </w:tc>
        <w:tc>
          <w:tcPr>
            <w:tcW w:w="4839" w:type="dxa"/>
          </w:tcPr>
          <w:p w14:paraId="4D03F179" w14:textId="77777777" w:rsidR="006F7493" w:rsidRDefault="006F7493" w:rsidP="00302E82">
            <w:pPr>
              <w:pStyle w:val="TableTextLeft"/>
              <w:jc w:val="both"/>
              <w:rPr>
                <w:i/>
              </w:rPr>
            </w:pPr>
            <w:r>
              <w:t xml:space="preserve">An asset that represents a lessee’s right to use (ROU) an underlying asset for the lease term in accordance with </w:t>
            </w:r>
            <w:r w:rsidRPr="00BF575B">
              <w:t>AASB 16 Leases.</w:t>
            </w:r>
          </w:p>
          <w:p w14:paraId="2B537E02" w14:textId="77777777" w:rsidR="00FD6A3C" w:rsidRDefault="00FD6A3C" w:rsidP="00302E82">
            <w:pPr>
              <w:pStyle w:val="TableTextLeft"/>
              <w:jc w:val="both"/>
              <w:rPr>
                <w:i/>
              </w:rPr>
            </w:pPr>
          </w:p>
          <w:p w14:paraId="3D15DE68" w14:textId="77777777" w:rsidR="00FD6A3C" w:rsidRDefault="00FD6A3C" w:rsidP="00302E82">
            <w:pPr>
              <w:pStyle w:val="TableTextLeft"/>
              <w:jc w:val="both"/>
              <w:rPr>
                <w:i/>
              </w:rPr>
            </w:pPr>
          </w:p>
          <w:p w14:paraId="0B0200CB" w14:textId="77777777" w:rsidR="00FD6A3C" w:rsidRDefault="00FD6A3C" w:rsidP="00302E82">
            <w:pPr>
              <w:pStyle w:val="TableTextLeft"/>
              <w:jc w:val="both"/>
              <w:rPr>
                <w:i/>
              </w:rPr>
            </w:pPr>
          </w:p>
          <w:p w14:paraId="66E52A62" w14:textId="77777777" w:rsidR="00FD6A3C" w:rsidRDefault="00FD6A3C" w:rsidP="00302E82">
            <w:pPr>
              <w:pStyle w:val="TableTextLeft"/>
              <w:jc w:val="both"/>
              <w:rPr>
                <w:i/>
              </w:rPr>
            </w:pPr>
          </w:p>
          <w:p w14:paraId="0097EC1D" w14:textId="77777777" w:rsidR="00FD6A3C" w:rsidRPr="00FE5B5D" w:rsidRDefault="00FD6A3C" w:rsidP="00302E82">
            <w:pPr>
              <w:pStyle w:val="TableTextLeft"/>
              <w:jc w:val="both"/>
              <w:rPr>
                <w:i/>
              </w:rPr>
            </w:pPr>
          </w:p>
        </w:tc>
      </w:tr>
      <w:tr w:rsidR="006F7493" w14:paraId="3962760C" w14:textId="77777777" w:rsidTr="00302E82">
        <w:tc>
          <w:tcPr>
            <w:tcW w:w="2871" w:type="dxa"/>
          </w:tcPr>
          <w:p w14:paraId="2C710DEE" w14:textId="77777777" w:rsidR="006F7493" w:rsidRDefault="006F7493" w:rsidP="00302E82">
            <w:pPr>
              <w:pStyle w:val="TableTextLeft"/>
              <w:jc w:val="both"/>
            </w:pPr>
            <w:r>
              <w:t>Special Account</w:t>
            </w:r>
          </w:p>
        </w:tc>
        <w:tc>
          <w:tcPr>
            <w:tcW w:w="4839" w:type="dxa"/>
          </w:tcPr>
          <w:p w14:paraId="083020AE" w14:textId="77777777" w:rsidR="006F7493" w:rsidRDefault="006F7493" w:rsidP="00302E82">
            <w:pPr>
              <w:pStyle w:val="TableTextLeft"/>
              <w:jc w:val="both"/>
            </w:pPr>
            <w:r>
              <w:t>Balances existing within the CRF that are supported by standing appropriations, PGPA Act (s.78, s.79 and s.80). Special accounts allow money in the CRF to be acknowledged as set-aside (hypothecated) for a particular purpose. Amounts credited to a special account can only be spent for the purposes of the special account. Special accounts can only be established by a written determination of the Finance Minister (s.78 of the PGPA Act) or through an Act of Parliament (referred to s.80 of the PGPA Act).</w:t>
            </w:r>
          </w:p>
        </w:tc>
      </w:tr>
      <w:tr w:rsidR="006F7493" w14:paraId="62EBEF18" w14:textId="77777777" w:rsidTr="00302E82">
        <w:tc>
          <w:tcPr>
            <w:tcW w:w="2871" w:type="dxa"/>
          </w:tcPr>
          <w:p w14:paraId="1157851A" w14:textId="77777777" w:rsidR="006F7493" w:rsidRDefault="006F7493" w:rsidP="00302E82">
            <w:pPr>
              <w:pStyle w:val="TableTextLeft"/>
              <w:jc w:val="both"/>
            </w:pPr>
            <w:r>
              <w:t xml:space="preserve">Special appropriations </w:t>
            </w:r>
          </w:p>
          <w:p w14:paraId="6599E8A5" w14:textId="77777777" w:rsidR="006F7493" w:rsidRDefault="006F7493" w:rsidP="00302E82">
            <w:pPr>
              <w:pStyle w:val="TableTextLeft"/>
              <w:jc w:val="both"/>
            </w:pPr>
            <w:r>
              <w:t xml:space="preserve">(including standing </w:t>
            </w:r>
          </w:p>
          <w:p w14:paraId="5C7EF69A" w14:textId="77777777" w:rsidR="006F7493" w:rsidRDefault="006F7493" w:rsidP="00302E82">
            <w:pPr>
              <w:pStyle w:val="TableTextLeft"/>
              <w:jc w:val="both"/>
            </w:pPr>
            <w:r>
              <w:t>Appropriations)</w:t>
            </w:r>
          </w:p>
        </w:tc>
        <w:tc>
          <w:tcPr>
            <w:tcW w:w="4839" w:type="dxa"/>
          </w:tcPr>
          <w:p w14:paraId="0DC76B08" w14:textId="77777777" w:rsidR="006F7493" w:rsidRDefault="006F7493" w:rsidP="00302E82">
            <w:pPr>
              <w:pStyle w:val="TableTextLeft"/>
              <w:jc w:val="both"/>
            </w:pPr>
            <w:r>
              <w:t>An amount of money appropriated by a particular Act of Parliament for a specific purpose and number of years. For special appropriation, the authority to withdraw funds from the CRF does not generally cease at the end of the financial year.</w:t>
            </w:r>
          </w:p>
          <w:p w14:paraId="3661D9C3" w14:textId="77777777" w:rsidR="006F7493" w:rsidRDefault="006F7493" w:rsidP="00302E82">
            <w:pPr>
              <w:pStyle w:val="TableTextLeft"/>
              <w:jc w:val="both"/>
            </w:pPr>
            <w:r>
              <w:t xml:space="preserve">Standing appropriations are a subcategory consisting of ongoing special appropriations – the amount appropriated will depend on circumstances specified in the legislation. </w:t>
            </w:r>
          </w:p>
        </w:tc>
      </w:tr>
    </w:tbl>
    <w:p w14:paraId="10406315" w14:textId="77777777" w:rsidR="006F7493" w:rsidRDefault="006F7493" w:rsidP="006F7493"/>
    <w:p w14:paraId="1125DDAB" w14:textId="77777777" w:rsidR="000C3B86" w:rsidRDefault="000C3B86" w:rsidP="000C3B86"/>
    <w:p w14:paraId="74B5B612" w14:textId="77777777" w:rsidR="006613E1" w:rsidRDefault="006613E1" w:rsidP="000C3B86"/>
    <w:p w14:paraId="7A16BF48" w14:textId="77777777" w:rsidR="006613E1" w:rsidRDefault="006613E1" w:rsidP="006613E1"/>
    <w:sectPr w:rsidR="006613E1" w:rsidSect="007D6962">
      <w:headerReference w:type="default" r:id="rId501"/>
      <w:footerReference w:type="even" r:id="rId502"/>
      <w:headerReference w:type="first" r:id="rId503"/>
      <w:footerReference w:type="first" r:id="rId504"/>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EAE3A" w14:textId="77777777" w:rsidR="00CD76C2" w:rsidRDefault="00CD76C2" w:rsidP="00C07DEC">
      <w:r>
        <w:separator/>
      </w:r>
    </w:p>
  </w:endnote>
  <w:endnote w:type="continuationSeparator" w:id="0">
    <w:p w14:paraId="324137CF" w14:textId="77777777" w:rsidR="00CD76C2" w:rsidRDefault="00CD76C2"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Roboto Light">
    <w:altName w:val="MS Gothic"/>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D6FC0" w14:textId="77777777" w:rsidR="00511059" w:rsidRDefault="0051105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4BA4">
      <w:rPr>
        <w:rStyle w:val="PageNumber"/>
        <w:noProof/>
      </w:rPr>
      <w:t>vii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FB0C" w14:textId="77777777" w:rsidR="00511059" w:rsidRPr="002061DA" w:rsidRDefault="00511059" w:rsidP="002061DA">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2707F" w14:textId="77777777" w:rsidR="00511059" w:rsidRDefault="00511059" w:rsidP="00FA10DB">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255</w:t>
    </w:r>
    <w:r w:rsidRPr="00B628E8">
      <w:rPr>
        <w:b/>
        <w:bCs/>
        <w:noProof/>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D993E" w14:textId="77777777" w:rsidR="00511059" w:rsidRDefault="00511059" w:rsidP="00782467">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257</w:t>
    </w:r>
    <w:r w:rsidRPr="00B628E8">
      <w:rPr>
        <w:b/>
        <w:bCs/>
        <w:noProof/>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E5966" w14:textId="77777777" w:rsidR="00511059" w:rsidRPr="006D1838" w:rsidRDefault="00511059" w:rsidP="006D1838">
    <w:pPr>
      <w:pStyle w:val="FooterOdd"/>
      <w:rPr>
        <w:noProof/>
        <w:szCs w:val="18"/>
      </w:rPr>
    </w:pPr>
    <w:r w:rsidRPr="006D1838">
      <w:rPr>
        <w:rStyle w:val="PageNumber"/>
        <w:b/>
        <w:bCs/>
        <w:sz w:val="18"/>
        <w:szCs w:val="18"/>
      </w:rPr>
      <w:t xml:space="preserve">Page </w:t>
    </w:r>
    <w:r w:rsidRPr="006D1838">
      <w:rPr>
        <w:b/>
        <w:bCs/>
        <w:szCs w:val="18"/>
      </w:rPr>
      <w:fldChar w:fldCharType="begin"/>
    </w:r>
    <w:r w:rsidRPr="006D1838">
      <w:rPr>
        <w:b/>
        <w:bCs/>
        <w:szCs w:val="18"/>
      </w:rPr>
      <w:instrText xml:space="preserve"> PAGE   \* MERGEFORMAT </w:instrText>
    </w:r>
    <w:r w:rsidRPr="006D1838">
      <w:rPr>
        <w:b/>
        <w:bCs/>
        <w:szCs w:val="18"/>
      </w:rPr>
      <w:fldChar w:fldCharType="separate"/>
    </w:r>
    <w:r w:rsidR="00A76B91">
      <w:rPr>
        <w:b/>
        <w:bCs/>
        <w:noProof/>
        <w:szCs w:val="18"/>
      </w:rPr>
      <w:t>273</w:t>
    </w:r>
    <w:r w:rsidRPr="006D1838">
      <w:rPr>
        <w:b/>
        <w:bCs/>
        <w:noProof/>
        <w:szCs w:val="18"/>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3B6C" w14:textId="77777777" w:rsidR="00511059" w:rsidRPr="00F35AB4" w:rsidRDefault="00511059" w:rsidP="00F35AB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30FC" w14:textId="77777777" w:rsidR="00511059" w:rsidRPr="0063110C" w:rsidRDefault="00511059" w:rsidP="0063110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8C182" w14:textId="77777777" w:rsidR="00511059" w:rsidRPr="006D1838" w:rsidRDefault="00511059" w:rsidP="006D1838">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0B36" w14:textId="77777777" w:rsidR="00511059" w:rsidRDefault="00511059" w:rsidP="00A929E1">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FA513" w14:textId="77777777" w:rsidR="00511059" w:rsidRDefault="00511059" w:rsidP="00A929E1">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8AAC" w14:textId="77777777" w:rsidR="00511059" w:rsidRPr="001808A4" w:rsidRDefault="00511059" w:rsidP="00A929E1">
    <w:pPr>
      <w:pStyle w:val="FooterBase"/>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9D16F" w14:textId="77777777" w:rsidR="00511059" w:rsidRPr="00A3066A" w:rsidRDefault="00511059" w:rsidP="00A929E1">
    <w:pPr>
      <w:pStyle w:val="PlainText"/>
      <w:rPr>
        <w:rFonts w:ascii="Courier New" w:hAnsi="Courier New" w:cs="Courier New"/>
      </w:rPr>
    </w:pPr>
  </w:p>
  <w:p w14:paraId="62646A10" w14:textId="77777777" w:rsidR="00511059" w:rsidRDefault="00511059" w:rsidP="00D1452D">
    <w:pPr>
      <w:pStyle w:val="FooterOdd"/>
      <w:jc w:val="left"/>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296</w:t>
    </w:r>
    <w:r w:rsidRPr="00B628E8">
      <w:rPr>
        <w:b/>
        <w:bC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0BD0C" w14:textId="77777777" w:rsidR="00511059" w:rsidRPr="0049200C" w:rsidRDefault="00511059" w:rsidP="0049200C">
    <w:pPr>
      <w:pStyle w:val="FooterBase"/>
      <w:rPr>
        <w:rStyle w:val="PageNumber"/>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178A" w14:textId="77777777" w:rsidR="00511059" w:rsidRPr="00A3066A" w:rsidRDefault="00511059" w:rsidP="00A929E1">
    <w:pPr>
      <w:pStyle w:val="PlainText"/>
      <w:rPr>
        <w:rFonts w:ascii="Courier New" w:hAnsi="Courier New" w:cs="Courier New"/>
      </w:rPr>
    </w:pPr>
  </w:p>
  <w:p w14:paraId="017DDBDC" w14:textId="77777777" w:rsidR="00511059" w:rsidRDefault="00511059" w:rsidP="00284DDD">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295</w:t>
    </w:r>
    <w:r w:rsidRPr="00B628E8">
      <w:rPr>
        <w:b/>
        <w:bCs/>
        <w:noProof/>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4AB24" w14:textId="77777777" w:rsidR="00511059" w:rsidRPr="00A3066A" w:rsidRDefault="00511059" w:rsidP="00A929E1">
    <w:pPr>
      <w:pStyle w:val="PlainText"/>
      <w:rPr>
        <w:rFonts w:ascii="Courier New" w:hAnsi="Courier New" w:cs="Courier New"/>
      </w:rPr>
    </w:pPr>
    <w:bookmarkStart w:id="829" w:name="TITUS3FooterFirstPage"/>
  </w:p>
  <w:bookmarkEnd w:id="829"/>
  <w:p w14:paraId="39F666AF" w14:textId="77777777" w:rsidR="00511059" w:rsidRDefault="00511059" w:rsidP="00A929E1">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279</w:t>
    </w:r>
    <w:r w:rsidRPr="00B628E8">
      <w:rPr>
        <w:b/>
        <w:bCs/>
        <w:noProof/>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2F6BA" w14:textId="77777777" w:rsidR="00511059" w:rsidRDefault="00511059" w:rsidP="006867C3">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285</w:t>
    </w:r>
    <w:r w:rsidRPr="00B628E8">
      <w:rPr>
        <w:b/>
        <w:bCs/>
        <w:noProof/>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8F05" w14:textId="77777777" w:rsidR="00511059" w:rsidRDefault="00511059">
    <w:pPr>
      <w:pStyle w:val="Footer"/>
    </w:pPr>
  </w:p>
  <w:p w14:paraId="23DC7162" w14:textId="77777777" w:rsidR="00511059" w:rsidRPr="00C221A7" w:rsidRDefault="00511059" w:rsidP="00C221A7">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7494" w14:textId="77777777" w:rsidR="00511059" w:rsidRPr="00A3066A" w:rsidRDefault="00511059" w:rsidP="00A929E1">
    <w:pPr>
      <w:pStyle w:val="PlainText"/>
      <w:rPr>
        <w:rFonts w:ascii="Courier New" w:hAnsi="Courier New" w:cs="Courier New"/>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EC4D" w14:textId="77777777" w:rsidR="00511059" w:rsidRPr="00C221A7" w:rsidRDefault="00511059" w:rsidP="00C221A7">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8BE0" w14:textId="77777777" w:rsidR="00511059" w:rsidRPr="00C221A7" w:rsidRDefault="00511059" w:rsidP="00C221A7">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583386"/>
      <w:docPartObj>
        <w:docPartGallery w:val="Page Numbers (Bottom of Page)"/>
        <w:docPartUnique/>
      </w:docPartObj>
    </w:sdtPr>
    <w:sdtEndPr>
      <w:rPr>
        <w:noProof/>
      </w:rPr>
    </w:sdtEndPr>
    <w:sdtContent>
      <w:p w14:paraId="12C0286B" w14:textId="77777777" w:rsidR="00511059" w:rsidRDefault="00511059">
        <w:pPr>
          <w:pStyle w:val="Footer"/>
        </w:pPr>
        <w:r>
          <w:fldChar w:fldCharType="begin"/>
        </w:r>
        <w:r>
          <w:instrText xml:space="preserve"> PAGE   \* MERGEFORMAT </w:instrText>
        </w:r>
        <w:r>
          <w:fldChar w:fldCharType="separate"/>
        </w:r>
        <w:r>
          <w:rPr>
            <w:noProof/>
          </w:rPr>
          <w:t>311</w:t>
        </w:r>
        <w:r>
          <w:rPr>
            <w:noProof/>
          </w:rPr>
          <w:fldChar w:fldCharType="end"/>
        </w:r>
      </w:p>
    </w:sdtContent>
  </w:sdt>
  <w:p w14:paraId="70DB404C" w14:textId="77777777" w:rsidR="00511059" w:rsidRPr="00A3066A" w:rsidRDefault="00511059" w:rsidP="00A929E1">
    <w:pPr>
      <w:pStyle w:val="PlainText"/>
      <w:rPr>
        <w:rFonts w:ascii="Courier New" w:hAnsi="Courier New" w:cs="Courier New"/>
      </w:rP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F95A8" w14:textId="77777777" w:rsidR="00511059" w:rsidRDefault="00511059">
    <w:pPr>
      <w:pStyle w:val="Footer"/>
    </w:pPr>
  </w:p>
  <w:p w14:paraId="271D2E64" w14:textId="77777777" w:rsidR="00511059" w:rsidRPr="00C221A7" w:rsidRDefault="00511059" w:rsidP="00C221A7">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E1828" w14:textId="77777777" w:rsidR="00511059" w:rsidRDefault="00511059" w:rsidP="00C221A7">
    <w:pPr>
      <w:pStyle w:val="FooterOdd"/>
      <w:jc w:val="left"/>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314</w:t>
    </w:r>
    <w:r w:rsidRPr="00B628E8">
      <w:rPr>
        <w:b/>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0E80" w14:textId="77777777" w:rsidR="00511059" w:rsidRPr="005F6A96" w:rsidRDefault="00511059" w:rsidP="00D867A3">
    <w:pPr>
      <w:pStyle w:val="FooterOdd"/>
      <w:jc w:val="left"/>
    </w:pPr>
    <w:r w:rsidRPr="005F6A96">
      <w:rPr>
        <w:rStyle w:val="PageNumber"/>
        <w:rFonts w:cs="Times New Roman"/>
        <w:b/>
        <w:bCs/>
        <w:sz w:val="18"/>
      </w:rPr>
      <w:t xml:space="preserve">Page </w:t>
    </w:r>
    <w:r w:rsidRPr="005F6A96">
      <w:rPr>
        <w:rStyle w:val="PageNumber"/>
        <w:rFonts w:cs="Times New Roman"/>
        <w:b/>
        <w:bCs/>
        <w:sz w:val="18"/>
      </w:rPr>
      <w:fldChar w:fldCharType="begin"/>
    </w:r>
    <w:r w:rsidRPr="005F6A96">
      <w:rPr>
        <w:rStyle w:val="PageNumber"/>
        <w:rFonts w:cs="Times New Roman"/>
        <w:b/>
        <w:bCs/>
        <w:sz w:val="18"/>
      </w:rPr>
      <w:instrText xml:space="preserve"> PAGE  \* Arabic </w:instrText>
    </w:r>
    <w:r w:rsidRPr="005F6A96">
      <w:rPr>
        <w:rStyle w:val="PageNumber"/>
        <w:rFonts w:cs="Times New Roman"/>
        <w:b/>
        <w:bCs/>
        <w:sz w:val="18"/>
      </w:rPr>
      <w:fldChar w:fldCharType="separate"/>
    </w:r>
    <w:r w:rsidR="00A76B91">
      <w:rPr>
        <w:rStyle w:val="PageNumber"/>
        <w:rFonts w:cs="Times New Roman"/>
        <w:b/>
        <w:bCs/>
        <w:noProof/>
        <w:sz w:val="18"/>
      </w:rPr>
      <w:t>10</w:t>
    </w:r>
    <w:r w:rsidRPr="005F6A96">
      <w:rPr>
        <w:rStyle w:val="PageNumber"/>
        <w:rFonts w:cs="Times New Roman"/>
        <w:b/>
        <w:bCs/>
        <w:sz w:val="18"/>
      </w:rPr>
      <w:fldChar w:fldCharType="end"/>
    </w:r>
    <w:r w:rsidRPr="005F6A96">
      <w:rPr>
        <w:rStyle w:val="PageNumber"/>
        <w:rFonts w:cs="Times New Roman"/>
        <w:sz w:val="18"/>
      </w:rPr>
      <w:t xml:space="preserve"> </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2FBB9" w14:textId="77777777" w:rsidR="00511059" w:rsidRDefault="00511059" w:rsidP="00C221A7">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315</w:t>
    </w:r>
    <w:r w:rsidRPr="00B628E8">
      <w:rPr>
        <w:b/>
        <w:bCs/>
        <w:noProof/>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D5854" w14:textId="77777777" w:rsidR="00511059" w:rsidRDefault="00511059" w:rsidP="00C221A7">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301</w:t>
    </w:r>
    <w:r w:rsidRPr="00B628E8">
      <w:rPr>
        <w:b/>
        <w:bCs/>
        <w:noProof/>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116D6" w14:textId="77777777" w:rsidR="00511059" w:rsidRDefault="00511059" w:rsidP="00C221A7">
    <w:pPr>
      <w:pStyle w:val="FooterOdd"/>
      <w:jc w:val="left"/>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306</w:t>
    </w:r>
    <w:r w:rsidRPr="00B628E8">
      <w:rPr>
        <w:b/>
        <w:bCs/>
        <w:noProof/>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7B253" w14:textId="77777777" w:rsidR="00511059" w:rsidRDefault="00511059" w:rsidP="00B8365B">
    <w:pPr>
      <w:pStyle w:val="Footer"/>
      <w:framePr w:wrap="around" w:vAnchor="page" w:hAnchor="page" w:x="1872" w:yAlign="center" w:anchorLock="1"/>
      <w:textDirection w:val="tbRl"/>
      <w:rPr>
        <w:rStyle w:val="PageNumber"/>
      </w:rPr>
    </w:pP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B50FACF" w14:textId="77777777" w:rsidR="00511059" w:rsidRDefault="00511059" w:rsidP="003A4566">
    <w:pPr>
      <w:pStyle w:val="DLMSecurity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495A" w14:textId="77777777" w:rsidR="00511059" w:rsidRDefault="00511059" w:rsidP="00C221A7">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319</w:t>
    </w:r>
    <w:r w:rsidRPr="00B628E8">
      <w:rPr>
        <w:b/>
        <w:bCs/>
        <w:noProof/>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549D9" w14:textId="77777777" w:rsidR="00511059" w:rsidRDefault="00511059" w:rsidP="00C221A7">
    <w:pPr>
      <w:pStyle w:val="FooterOdd"/>
      <w:jc w:val="left"/>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316</w:t>
    </w:r>
    <w:r w:rsidRPr="00B628E8">
      <w:rPr>
        <w:b/>
        <w:bCs/>
        <w:noProof/>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772C" w14:textId="77777777" w:rsidR="00511059" w:rsidRDefault="00511059" w:rsidP="00C221A7">
    <w:pPr>
      <w:pStyle w:val="FooterOdd"/>
      <w:jc w:val="left"/>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320</w:t>
    </w:r>
    <w:r w:rsidRPr="00B628E8">
      <w:rPr>
        <w:b/>
        <w:bCs/>
        <w:noProof/>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AF1B3" w14:textId="77777777" w:rsidR="00511059" w:rsidRDefault="00511059" w:rsidP="00C221A7">
    <w:pPr>
      <w:pStyle w:val="FooterOdd"/>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321</w:t>
    </w:r>
    <w:r w:rsidRPr="00B628E8">
      <w:rPr>
        <w:b/>
        <w:bCs/>
        <w:noProof/>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5526" w14:textId="77777777" w:rsidR="00511059" w:rsidRPr="002456F1" w:rsidRDefault="00511059" w:rsidP="002456F1">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EE9D0" w14:textId="77777777" w:rsidR="00511059" w:rsidRPr="00521CBE" w:rsidRDefault="00511059" w:rsidP="00521CB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6D41C" w14:textId="77777777" w:rsidR="00511059" w:rsidRPr="004F3DE6" w:rsidRDefault="00511059" w:rsidP="00984EE2">
    <w:pPr>
      <w:pStyle w:val="FooterOdd"/>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11</w:t>
    </w:r>
    <w:r w:rsidRPr="00B628E8">
      <w:rPr>
        <w:rStyle w:val="PageNumber"/>
        <w:rFonts w:cs="Times New Roman"/>
        <w:b/>
        <w:bCs/>
        <w:sz w:val="18"/>
      </w:rPr>
      <w:fldChar w:fldCharType="end"/>
    </w:r>
    <w:r w:rsidRPr="00B628E8">
      <w:rPr>
        <w:rStyle w:val="PageNumber"/>
        <w:rFonts w:cs="Times New Roman"/>
        <w:sz w:val="18"/>
      </w:rPr>
      <w:t xml:space="preserve">  </w:t>
    </w:r>
    <w:r>
      <w:rPr>
        <w:rStyle w:val="PageNumber"/>
        <w:rFonts w:cs="Times New Roman"/>
        <w:sz w:val="18"/>
        <w:lang w:val="en-AU"/>
      </w:rPr>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0445A" w14:textId="77777777" w:rsidR="00511059" w:rsidRPr="00521CBE" w:rsidRDefault="00511059" w:rsidP="00521CB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83642" w14:textId="77777777" w:rsidR="00511059" w:rsidRDefault="00511059" w:rsidP="00521CBE">
    <w:pPr>
      <w:pStyle w:val="FooterOdd"/>
      <w:rPr>
        <w:noProof/>
      </w:rPr>
    </w:pPr>
    <w:r>
      <w:rPr>
        <w:rStyle w:val="PageNumber"/>
        <w:lang w:val="en-AU"/>
      </w:rPr>
      <w:t>Old Parliament House</w:t>
    </w:r>
    <w:r w:rsidRPr="00B628E8">
      <w:rPr>
        <w:rStyle w:val="PageNumber"/>
      </w:rPr>
      <w:t xml:space="preserve"> </w:t>
    </w:r>
    <w:r>
      <w:rPr>
        <w:rStyle w:val="PageNumber"/>
        <w:lang w:val="en-AU"/>
      </w:rPr>
      <w:t xml:space="preserve"> </w:t>
    </w:r>
    <w:r w:rsidRPr="00B628E8">
      <w:rPr>
        <w:rStyle w:val="PageNumber"/>
      </w:rPr>
      <w:t>|</w:t>
    </w:r>
    <w:r>
      <w:rPr>
        <w:rStyle w:val="PageNumber"/>
        <w:lang w:val="en-AU"/>
      </w:rPr>
      <w:t xml:space="preserve"> </w:t>
    </w:r>
    <w:r w:rsidRPr="00B628E8">
      <w:rPr>
        <w:rStyle w:val="PageNumber"/>
      </w:rPr>
      <w:t xml:space="preserve"> </w:t>
    </w: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noProof/>
      </w:rPr>
      <w:t>340</w:t>
    </w:r>
    <w:r w:rsidRPr="00B628E8">
      <w:rPr>
        <w:b/>
        <w:bCs/>
        <w:noProof/>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48532" w14:textId="77777777" w:rsidR="00511059" w:rsidRPr="00293991" w:rsidRDefault="00511059" w:rsidP="00293991">
    <w:pPr>
      <w:pStyle w:val="FooterOdd"/>
      <w:jc w:val="left"/>
      <w:rPr>
        <w:rStyle w:val="PageNumber"/>
        <w:sz w:val="18"/>
        <w:szCs w:val="18"/>
        <w:lang w:val="en-AU"/>
      </w:rPr>
    </w:pPr>
    <w:r w:rsidRPr="00293991">
      <w:rPr>
        <w:rStyle w:val="PageNumber"/>
        <w:b/>
        <w:bCs/>
        <w:sz w:val="18"/>
        <w:szCs w:val="18"/>
        <w:lang w:val="en-AU"/>
      </w:rPr>
      <w:t>P</w:t>
    </w:r>
    <w:r w:rsidRPr="00293991">
      <w:rPr>
        <w:rStyle w:val="PageNumber"/>
        <w:b/>
        <w:bCs/>
        <w:sz w:val="18"/>
        <w:szCs w:val="18"/>
      </w:rPr>
      <w:t xml:space="preserve">age </w:t>
    </w:r>
    <w:r w:rsidRPr="00293991">
      <w:rPr>
        <w:b/>
        <w:bCs/>
        <w:szCs w:val="18"/>
      </w:rPr>
      <w:fldChar w:fldCharType="begin"/>
    </w:r>
    <w:r w:rsidRPr="00293991">
      <w:rPr>
        <w:b/>
        <w:bCs/>
        <w:szCs w:val="18"/>
      </w:rPr>
      <w:instrText xml:space="preserve"> PAGE   \* MERGEFORMAT </w:instrText>
    </w:r>
    <w:r w:rsidRPr="00293991">
      <w:rPr>
        <w:b/>
        <w:bCs/>
        <w:szCs w:val="18"/>
      </w:rPr>
      <w:fldChar w:fldCharType="separate"/>
    </w:r>
    <w:r w:rsidR="00A76B91">
      <w:rPr>
        <w:b/>
        <w:bCs/>
        <w:noProof/>
        <w:szCs w:val="18"/>
      </w:rPr>
      <w:t>342</w:t>
    </w:r>
    <w:r w:rsidRPr="00293991">
      <w:rPr>
        <w:b/>
        <w:bCs/>
        <w:noProof/>
        <w:szCs w:val="18"/>
      </w:rPr>
      <w:fldChar w:fldCharType="end"/>
    </w:r>
    <w:r w:rsidRPr="00293991">
      <w:rPr>
        <w:rStyle w:val="PageNumber"/>
        <w:sz w:val="18"/>
        <w:szCs w:val="18"/>
      </w:rPr>
      <w:t xml:space="preserve"> </w:t>
    </w:r>
    <w:r w:rsidRPr="00293991">
      <w:rPr>
        <w:rStyle w:val="PageNumber"/>
        <w:sz w:val="18"/>
        <w:szCs w:val="18"/>
        <w:lang w:val="en-AU"/>
      </w:rPr>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D89A3" w14:textId="77777777" w:rsidR="00511059" w:rsidRPr="00B628E8" w:rsidRDefault="00511059" w:rsidP="00FC684B">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343</w:t>
    </w:r>
    <w:r w:rsidRPr="00B628E8">
      <w:rPr>
        <w:rStyle w:val="PageNumber"/>
        <w:rFonts w:cs="Times New Roman"/>
        <w:b/>
        <w:bCs/>
        <w:sz w:val="18"/>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14F0A" w14:textId="77777777" w:rsidR="00511059" w:rsidRPr="00293991" w:rsidRDefault="00511059" w:rsidP="00293991">
    <w:pPr>
      <w:pStyle w:val="FooterOdd"/>
      <w:rPr>
        <w:rStyle w:val="PageNumber"/>
        <w:sz w:val="18"/>
        <w:szCs w:val="18"/>
        <w:lang w:val="en-AU"/>
      </w:rPr>
    </w:pPr>
    <w:r w:rsidRPr="00293991">
      <w:rPr>
        <w:rStyle w:val="PageNumber"/>
        <w:b/>
        <w:bCs/>
        <w:sz w:val="18"/>
        <w:szCs w:val="18"/>
        <w:lang w:val="en-AU"/>
      </w:rPr>
      <w:t>P</w:t>
    </w:r>
    <w:r w:rsidRPr="00293991">
      <w:rPr>
        <w:rStyle w:val="PageNumber"/>
        <w:b/>
        <w:bCs/>
        <w:sz w:val="18"/>
        <w:szCs w:val="18"/>
      </w:rPr>
      <w:t xml:space="preserve">age </w:t>
    </w:r>
    <w:r w:rsidRPr="00293991">
      <w:rPr>
        <w:b/>
        <w:bCs/>
        <w:szCs w:val="18"/>
      </w:rPr>
      <w:fldChar w:fldCharType="begin"/>
    </w:r>
    <w:r w:rsidRPr="00293991">
      <w:rPr>
        <w:b/>
        <w:bCs/>
        <w:szCs w:val="18"/>
      </w:rPr>
      <w:instrText xml:space="preserve"> PAGE   \* MERGEFORMAT </w:instrText>
    </w:r>
    <w:r w:rsidRPr="00293991">
      <w:rPr>
        <w:b/>
        <w:bCs/>
        <w:szCs w:val="18"/>
      </w:rPr>
      <w:fldChar w:fldCharType="separate"/>
    </w:r>
    <w:r w:rsidR="00A76B91">
      <w:rPr>
        <w:b/>
        <w:bCs/>
        <w:noProof/>
        <w:szCs w:val="18"/>
      </w:rPr>
      <w:t>327</w:t>
    </w:r>
    <w:r w:rsidRPr="00293991">
      <w:rPr>
        <w:b/>
        <w:bCs/>
        <w:noProof/>
        <w:szCs w:val="18"/>
      </w:rPr>
      <w:fldChar w:fldCharType="end"/>
    </w:r>
    <w:r w:rsidRPr="00293991">
      <w:rPr>
        <w:rStyle w:val="PageNumber"/>
        <w:sz w:val="18"/>
        <w:szCs w:val="18"/>
      </w:rPr>
      <w:t xml:space="preserve"> </w:t>
    </w:r>
    <w:r w:rsidRPr="00293991">
      <w:rPr>
        <w:rStyle w:val="PageNumber"/>
        <w:sz w:val="18"/>
        <w:szCs w:val="18"/>
        <w:lang w:val="en-AU"/>
      </w:rPr>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2ABF5" w14:textId="77777777" w:rsidR="00511059" w:rsidRPr="006B1F4D" w:rsidRDefault="00511059" w:rsidP="006B1F4D">
    <w:pPr>
      <w:pStyle w:val="Footer"/>
      <w:rPr>
        <w:rStyle w:val="PageNumber"/>
        <w:rFonts w:cs="Times New Roman"/>
      </w:rP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C26E4" w14:textId="77777777" w:rsidR="00511059" w:rsidRPr="006B1F4D" w:rsidRDefault="00511059" w:rsidP="006B1F4D">
    <w:pPr>
      <w:pStyle w:val="Footer"/>
      <w:rPr>
        <w:rStyle w:val="PageNumber"/>
        <w:rFonts w:cs="Times New Roman"/>
      </w:rP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4B77B" w14:textId="77777777" w:rsidR="00511059" w:rsidRPr="006B1F4D" w:rsidRDefault="00511059" w:rsidP="006B1F4D">
    <w:pPr>
      <w:pStyle w:val="Footer"/>
      <w:rPr>
        <w:rStyle w:val="PageNumber"/>
        <w:rFonts w:cs="Times New Roman"/>
      </w:rP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D5D6F" w14:textId="77777777" w:rsidR="00511059" w:rsidRPr="006B1F4D" w:rsidRDefault="00511059" w:rsidP="006B1F4D">
    <w:pPr>
      <w:pStyle w:val="Footer"/>
      <w:rPr>
        <w:rStyle w:val="PageNumber"/>
        <w:rFonts w:cs="Times New Roman"/>
      </w:rP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3C5A" w14:textId="77777777" w:rsidR="00511059" w:rsidRPr="0082356C" w:rsidRDefault="00511059" w:rsidP="0082356C">
    <w:pPr>
      <w:pStyle w:val="FooterOdd"/>
      <w:jc w:val="left"/>
      <w:rPr>
        <w:rStyle w:val="PageNumber"/>
        <w:sz w:val="18"/>
        <w:szCs w:val="18"/>
        <w:lang w:val="en-AU"/>
      </w:rPr>
    </w:pPr>
    <w:r w:rsidRPr="0082356C">
      <w:rPr>
        <w:rStyle w:val="PageNumber"/>
        <w:b/>
        <w:bCs/>
        <w:sz w:val="18"/>
        <w:szCs w:val="18"/>
        <w:lang w:val="en-AU"/>
      </w:rPr>
      <w:t>P</w:t>
    </w:r>
    <w:r w:rsidRPr="0082356C">
      <w:rPr>
        <w:rStyle w:val="PageNumber"/>
        <w:b/>
        <w:bCs/>
        <w:sz w:val="18"/>
        <w:szCs w:val="18"/>
      </w:rPr>
      <w:t xml:space="preserve">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364</w:t>
    </w:r>
    <w:r w:rsidRPr="00B628E8">
      <w:rPr>
        <w:rStyle w:val="PageNumber"/>
        <w:rFonts w:cs="Times New Roman"/>
        <w:b/>
        <w:bCs/>
        <w:sz w:val="18"/>
      </w:rPr>
      <w:fldChar w:fldCharType="end"/>
    </w:r>
    <w:r w:rsidRPr="0082356C">
      <w:rPr>
        <w:rStyle w:val="PageNumber"/>
        <w:sz w:val="18"/>
        <w:szCs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E89A7" w14:textId="77777777" w:rsidR="00511059" w:rsidRPr="004F3DE6" w:rsidRDefault="00511059" w:rsidP="004F3DE6">
    <w:pPr>
      <w:pStyle w:val="FooterOdd"/>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w:t>
    </w:r>
    <w:r w:rsidRPr="00B628E8">
      <w:rPr>
        <w:rStyle w:val="PageNumber"/>
        <w:rFonts w:cs="Times New Roman"/>
        <w:b/>
        <w:bCs/>
        <w:sz w:val="18"/>
      </w:rPr>
      <w:fldChar w:fldCharType="end"/>
    </w:r>
    <w:r w:rsidRPr="00B628E8">
      <w:rPr>
        <w:rStyle w:val="PageNumber"/>
        <w:rFonts w:cs="Times New Roman"/>
        <w:sz w:val="18"/>
      </w:rPr>
      <w:t xml:space="preserve">  </w:t>
    </w:r>
    <w:r w:rsidRPr="00B628E8">
      <w:rPr>
        <w:rStyle w:val="PageNumber"/>
        <w:rFonts w:cs="Times New Roman"/>
        <w:b/>
        <w:bCs/>
        <w:sz w:val="18"/>
      </w:rPr>
      <w:t xml:space="preserve"> </w:t>
    </w:r>
    <w:r w:rsidRPr="00B628E8">
      <w:rPr>
        <w:rStyle w:val="PageNumber"/>
        <w:rFonts w:cs="Times New Roman"/>
        <w:sz w:val="18"/>
      </w:rPr>
      <w:t xml:space="preserve"> </w:t>
    </w:r>
    <w:r>
      <w:rPr>
        <w:rStyle w:val="PageNumber"/>
        <w:rFonts w:cs="Times New Roman"/>
        <w:sz w:val="18"/>
        <w:lang w:val="en-AU"/>
      </w:rP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B11B4" w14:textId="77777777" w:rsidR="00511059" w:rsidRPr="00B628E8" w:rsidRDefault="00511059" w:rsidP="00FC684B">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365</w:t>
    </w:r>
    <w:r w:rsidRPr="00B628E8">
      <w:rPr>
        <w:rStyle w:val="PageNumber"/>
        <w:rFonts w:cs="Times New Roman"/>
        <w:b/>
        <w:bCs/>
        <w:sz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4A0D5" w14:textId="77777777" w:rsidR="00511059" w:rsidRPr="00FC684B" w:rsidRDefault="00511059" w:rsidP="005F6A96">
    <w:pPr>
      <w:pStyle w:val="Header"/>
      <w:jc w:val="right"/>
    </w:pPr>
  </w:p>
  <w:p w14:paraId="756AC359" w14:textId="77777777" w:rsidR="00511059" w:rsidRPr="00B628E8" w:rsidRDefault="00511059" w:rsidP="005F6A96">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349</w:t>
    </w:r>
    <w:r w:rsidRPr="00B628E8">
      <w:rPr>
        <w:rStyle w:val="PageNumber"/>
        <w:rFonts w:cs="Times New Roman"/>
        <w:b/>
        <w:bCs/>
        <w:sz w:val="18"/>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7F07B" w14:textId="77777777" w:rsidR="00511059" w:rsidRPr="00FC684B" w:rsidRDefault="00511059" w:rsidP="005F6A96">
    <w:pPr>
      <w:pStyle w:val="Header"/>
      <w:jc w:val="right"/>
    </w:pPr>
  </w:p>
  <w:p w14:paraId="7CE193B8" w14:textId="77777777" w:rsidR="00511059" w:rsidRPr="00B628E8" w:rsidRDefault="00511059" w:rsidP="005F6A96">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355</w:t>
    </w:r>
    <w:r w:rsidRPr="00B628E8">
      <w:rPr>
        <w:rStyle w:val="PageNumber"/>
        <w:rFonts w:cs="Times New Roman"/>
        <w:b/>
        <w:bCs/>
        <w:sz w:val="18"/>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37C5F" w14:textId="77777777" w:rsidR="00511059" w:rsidRPr="00FC684B" w:rsidRDefault="00511059" w:rsidP="005F6A96">
    <w:pPr>
      <w:pStyle w:val="Header"/>
      <w:jc w:val="right"/>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05125" w14:textId="77777777" w:rsidR="00511059" w:rsidRPr="005223D4" w:rsidRDefault="00511059" w:rsidP="005223D4">
    <w:pPr>
      <w:pStyle w:val="Footer"/>
      <w:rPr>
        <w:rStyle w:val="PageNumber"/>
        <w:rFonts w:cs="Times New Roman"/>
      </w:rP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70D24" w14:textId="77777777" w:rsidR="00511059" w:rsidRPr="00B628E8" w:rsidRDefault="00511059" w:rsidP="005223D4">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Pr>
        <w:rStyle w:val="PageNumber"/>
        <w:rFonts w:cs="Times New Roman"/>
        <w:b/>
        <w:bCs/>
        <w:noProof/>
        <w:sz w:val="18"/>
      </w:rPr>
      <w:t>379</w:t>
    </w:r>
    <w:r w:rsidRPr="00B628E8">
      <w:rPr>
        <w:rStyle w:val="PageNumber"/>
        <w:rFonts w:cs="Times New Roman"/>
        <w:b/>
        <w:bCs/>
        <w:sz w:val="18"/>
      </w:rPr>
      <w:fldChar w:fldCharType="end"/>
    </w:r>
  </w:p>
  <w:p w14:paraId="3E3010A5" w14:textId="77777777" w:rsidR="00511059" w:rsidRPr="005223D4" w:rsidRDefault="00511059" w:rsidP="005223D4">
    <w:pPr>
      <w:pStyle w:val="Footer"/>
      <w:rPr>
        <w:rStyle w:val="PageNumber"/>
        <w:rFonts w:cs="Times New Roman"/>
      </w:rPr>
    </w:pPr>
  </w:p>
  <w:p w14:paraId="54FB595D" w14:textId="77777777" w:rsidR="00511059" w:rsidRDefault="00511059"/>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14CB1" w14:textId="77777777" w:rsidR="00511059" w:rsidRPr="00B8611D" w:rsidRDefault="00511059" w:rsidP="002F7A8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D5C6B" w14:textId="77777777" w:rsidR="00511059" w:rsidRPr="005223D4" w:rsidRDefault="00511059" w:rsidP="005223D4">
    <w:pPr>
      <w:pStyle w:val="Footer"/>
      <w:rPr>
        <w:rStyle w:val="PageNumber"/>
        <w:rFonts w:cs="Times New Roman"/>
      </w:rPr>
    </w:pPr>
  </w:p>
  <w:p w14:paraId="6BFF5EE4" w14:textId="77777777" w:rsidR="00511059" w:rsidRDefault="00511059"/>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FAE25" w14:textId="77777777" w:rsidR="00511059" w:rsidRPr="0082356C" w:rsidRDefault="00511059" w:rsidP="005223D4">
    <w:pPr>
      <w:pStyle w:val="FooterOdd"/>
      <w:jc w:val="left"/>
      <w:rPr>
        <w:rStyle w:val="PageNumber"/>
        <w:sz w:val="18"/>
        <w:szCs w:val="18"/>
        <w:lang w:val="en-AU"/>
      </w:rPr>
    </w:pPr>
    <w:r w:rsidRPr="0082356C">
      <w:rPr>
        <w:rStyle w:val="PageNumber"/>
        <w:b/>
        <w:bCs/>
        <w:sz w:val="18"/>
        <w:szCs w:val="18"/>
        <w:lang w:val="en-AU"/>
      </w:rPr>
      <w:t>P</w:t>
    </w:r>
    <w:r w:rsidRPr="0082356C">
      <w:rPr>
        <w:rStyle w:val="PageNumber"/>
        <w:b/>
        <w:bCs/>
        <w:sz w:val="18"/>
        <w:szCs w:val="18"/>
      </w:rPr>
      <w:t xml:space="preserve">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386</w:t>
    </w:r>
    <w:r w:rsidRPr="00B628E8">
      <w:rPr>
        <w:rStyle w:val="PageNumber"/>
        <w:rFonts w:cs="Times New Roman"/>
        <w:b/>
        <w:bCs/>
        <w:sz w:val="18"/>
      </w:rPr>
      <w:fldChar w:fldCharType="end"/>
    </w:r>
    <w:r w:rsidRPr="0082356C">
      <w:rPr>
        <w:rStyle w:val="PageNumber"/>
        <w:sz w:val="18"/>
        <w:szCs w:val="18"/>
      </w:rPr>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D54E" w14:textId="77777777" w:rsidR="00511059" w:rsidRPr="00B628E8" w:rsidRDefault="00511059" w:rsidP="005223D4">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375</w:t>
    </w:r>
    <w:r w:rsidRPr="00B628E8">
      <w:rPr>
        <w:rStyle w:val="PageNumber"/>
        <w:rFonts w:cs="Times New Roman"/>
        <w:b/>
        <w:bCs/>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A64C3" w14:textId="77777777" w:rsidR="00511059" w:rsidRPr="00DB47F7" w:rsidRDefault="00511059" w:rsidP="00DB47F7">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63BE3" w14:textId="77777777" w:rsidR="00511059" w:rsidRPr="00B628E8" w:rsidRDefault="00511059" w:rsidP="005223D4">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377</w:t>
    </w:r>
    <w:r w:rsidRPr="00B628E8">
      <w:rPr>
        <w:rStyle w:val="PageNumber"/>
        <w:rFonts w:cs="Times New Roman"/>
        <w:b/>
        <w:bCs/>
        <w:sz w:val="18"/>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6AF35" w14:textId="77777777" w:rsidR="00511059" w:rsidRPr="005223D4" w:rsidRDefault="00511059" w:rsidP="00B628E8">
    <w:pPr>
      <w:pStyle w:val="FooterOdd"/>
      <w:rPr>
        <w:rStyle w:val="PageNumber"/>
        <w:sz w:val="18"/>
      </w:rPr>
    </w:pPr>
    <w:r w:rsidRPr="005223D4">
      <w:rPr>
        <w:rStyle w:val="PageNumber"/>
        <w:b/>
        <w:bCs/>
        <w:sz w:val="18"/>
      </w:rPr>
      <w:t xml:space="preserve">Page </w:t>
    </w:r>
    <w:r w:rsidRPr="005223D4">
      <w:rPr>
        <w:rStyle w:val="PageNumber"/>
        <w:b/>
        <w:bCs/>
        <w:sz w:val="18"/>
      </w:rPr>
      <w:fldChar w:fldCharType="begin"/>
    </w:r>
    <w:r w:rsidRPr="005223D4">
      <w:rPr>
        <w:rStyle w:val="PageNumber"/>
        <w:b/>
        <w:bCs/>
        <w:sz w:val="18"/>
      </w:rPr>
      <w:instrText xml:space="preserve"> PAGE  \* Arabic </w:instrText>
    </w:r>
    <w:r w:rsidRPr="005223D4">
      <w:rPr>
        <w:rStyle w:val="PageNumber"/>
        <w:b/>
        <w:bCs/>
        <w:sz w:val="18"/>
      </w:rPr>
      <w:fldChar w:fldCharType="separate"/>
    </w:r>
    <w:r w:rsidR="00A76B91">
      <w:rPr>
        <w:rStyle w:val="PageNumber"/>
        <w:b/>
        <w:bCs/>
        <w:noProof/>
        <w:sz w:val="18"/>
      </w:rPr>
      <w:t>393</w:t>
    </w:r>
    <w:r w:rsidRPr="005223D4">
      <w:rPr>
        <w:rStyle w:val="PageNumber"/>
        <w:b/>
        <w:bCs/>
        <w:sz w:val="18"/>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0C442" w14:textId="77777777" w:rsidR="00511059" w:rsidRPr="00AC018B" w:rsidRDefault="00511059" w:rsidP="00AC018B">
    <w:pPr>
      <w:pStyle w:val="Footer"/>
      <w:rPr>
        <w:rStyle w:val="PageNumber"/>
        <w:rFonts w:cs="Times New Roman"/>
      </w:rP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2F8B4" w14:textId="77777777" w:rsidR="00511059" w:rsidRPr="00BB43DB" w:rsidRDefault="00511059" w:rsidP="00B628E8">
    <w:pPr>
      <w:pStyle w:val="FooterOdd"/>
      <w:rPr>
        <w:b/>
        <w:bCs/>
        <w:szCs w:val="18"/>
      </w:rPr>
    </w:pPr>
    <w:r w:rsidRPr="00BB43DB">
      <w:rPr>
        <w:rStyle w:val="PageNumber"/>
        <w:sz w:val="18"/>
        <w:szCs w:val="18"/>
      </w:rPr>
      <w:t xml:space="preserve"> </w:t>
    </w:r>
    <w:r w:rsidRPr="00BB43DB">
      <w:rPr>
        <w:rStyle w:val="PageNumber"/>
        <w:b/>
        <w:bCs/>
        <w:sz w:val="18"/>
        <w:szCs w:val="18"/>
      </w:rPr>
      <w:t xml:space="preserve">Page </w:t>
    </w:r>
    <w:r w:rsidRPr="00BB43DB">
      <w:rPr>
        <w:rStyle w:val="PageNumber"/>
        <w:rFonts w:cs="Times New Roman"/>
        <w:b/>
        <w:bCs/>
        <w:sz w:val="18"/>
        <w:szCs w:val="18"/>
      </w:rPr>
      <w:fldChar w:fldCharType="begin"/>
    </w:r>
    <w:r w:rsidRPr="00BB43DB">
      <w:rPr>
        <w:rStyle w:val="PageNumber"/>
        <w:rFonts w:cs="Times New Roman"/>
        <w:b/>
        <w:bCs/>
        <w:sz w:val="18"/>
        <w:szCs w:val="18"/>
      </w:rPr>
      <w:instrText xml:space="preserve"> PAGE  \* Arabic </w:instrText>
    </w:r>
    <w:r w:rsidRPr="00BB43DB">
      <w:rPr>
        <w:rStyle w:val="PageNumber"/>
        <w:rFonts w:cs="Times New Roman"/>
        <w:b/>
        <w:bCs/>
        <w:sz w:val="18"/>
        <w:szCs w:val="18"/>
      </w:rPr>
      <w:fldChar w:fldCharType="separate"/>
    </w:r>
    <w:r w:rsidR="00A76B91">
      <w:rPr>
        <w:rStyle w:val="PageNumber"/>
        <w:rFonts w:cs="Times New Roman"/>
        <w:b/>
        <w:bCs/>
        <w:noProof/>
        <w:sz w:val="18"/>
        <w:szCs w:val="18"/>
      </w:rPr>
      <w:t>389</w:t>
    </w:r>
    <w:r w:rsidRPr="00BB43DB">
      <w:rPr>
        <w:rStyle w:val="PageNumber"/>
        <w:rFonts w:cs="Times New Roman"/>
        <w:b/>
        <w:bCs/>
        <w:sz w:val="18"/>
        <w:szCs w:val="18"/>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7F1D3" w14:textId="77777777" w:rsidR="00511059" w:rsidRPr="0082356C" w:rsidRDefault="00511059" w:rsidP="0082356C">
    <w:pPr>
      <w:pStyle w:val="FooterOdd"/>
      <w:jc w:val="left"/>
      <w:rPr>
        <w:rStyle w:val="PageNumber"/>
        <w:sz w:val="18"/>
        <w:szCs w:val="18"/>
        <w:lang w:val="en-AU"/>
      </w:rPr>
    </w:pPr>
    <w:r w:rsidRPr="0082356C">
      <w:rPr>
        <w:rStyle w:val="PageNumber"/>
        <w:b/>
        <w:bCs/>
        <w:sz w:val="18"/>
        <w:szCs w:val="18"/>
        <w:lang w:val="en-AU"/>
      </w:rPr>
      <w:t>P</w:t>
    </w:r>
    <w:r w:rsidRPr="0082356C">
      <w:rPr>
        <w:rStyle w:val="PageNumber"/>
        <w:b/>
        <w:bCs/>
        <w:sz w:val="18"/>
        <w:szCs w:val="18"/>
      </w:rPr>
      <w:t xml:space="preserve">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392</w:t>
    </w:r>
    <w:r w:rsidRPr="00B628E8">
      <w:rPr>
        <w:rStyle w:val="PageNumber"/>
        <w:rFonts w:cs="Times New Roman"/>
        <w:b/>
        <w:bCs/>
        <w:sz w:val="18"/>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406E2" w14:textId="77777777" w:rsidR="00511059" w:rsidRPr="00BB43DB" w:rsidRDefault="00511059" w:rsidP="00ED509E">
    <w:pPr>
      <w:pStyle w:val="FooterOdd"/>
      <w:jc w:val="left"/>
      <w:rPr>
        <w:b/>
        <w:bCs/>
        <w:szCs w:val="18"/>
      </w:rPr>
    </w:pPr>
    <w:r w:rsidRPr="00BB43DB">
      <w:rPr>
        <w:rStyle w:val="PageNumber"/>
        <w:sz w:val="18"/>
        <w:szCs w:val="18"/>
      </w:rPr>
      <w:t xml:space="preserve"> </w:t>
    </w:r>
    <w:r w:rsidRPr="00BB43DB">
      <w:rPr>
        <w:rStyle w:val="PageNumber"/>
        <w:b/>
        <w:bCs/>
        <w:sz w:val="18"/>
        <w:szCs w:val="18"/>
      </w:rPr>
      <w:t xml:space="preserve">Page </w:t>
    </w:r>
    <w:r w:rsidRPr="00BB43DB">
      <w:rPr>
        <w:rStyle w:val="PageNumber"/>
        <w:rFonts w:cs="Times New Roman"/>
        <w:b/>
        <w:bCs/>
        <w:sz w:val="18"/>
        <w:szCs w:val="18"/>
      </w:rPr>
      <w:fldChar w:fldCharType="begin"/>
    </w:r>
    <w:r w:rsidRPr="00BB43DB">
      <w:rPr>
        <w:rStyle w:val="PageNumber"/>
        <w:rFonts w:cs="Times New Roman"/>
        <w:b/>
        <w:bCs/>
        <w:sz w:val="18"/>
        <w:szCs w:val="18"/>
      </w:rPr>
      <w:instrText xml:space="preserve"> PAGE  \* Arabic </w:instrText>
    </w:r>
    <w:r w:rsidRPr="00BB43DB">
      <w:rPr>
        <w:rStyle w:val="PageNumber"/>
        <w:rFonts w:cs="Times New Roman"/>
        <w:b/>
        <w:bCs/>
        <w:sz w:val="18"/>
        <w:szCs w:val="18"/>
      </w:rPr>
      <w:fldChar w:fldCharType="separate"/>
    </w:r>
    <w:r w:rsidR="00A76B91">
      <w:rPr>
        <w:rStyle w:val="PageNumber"/>
        <w:rFonts w:cs="Times New Roman"/>
        <w:b/>
        <w:bCs/>
        <w:noProof/>
        <w:sz w:val="18"/>
        <w:szCs w:val="18"/>
      </w:rPr>
      <w:t>390</w:t>
    </w:r>
    <w:r w:rsidRPr="00BB43DB">
      <w:rPr>
        <w:rStyle w:val="PageNumber"/>
        <w:rFonts w:cs="Times New Roman"/>
        <w:b/>
        <w:bCs/>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CFEA" w14:textId="77777777" w:rsidR="00511059" w:rsidRPr="00124EBD" w:rsidRDefault="00511059" w:rsidP="00124EB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F79E4" w14:textId="77777777" w:rsidR="00511059" w:rsidRPr="00DB47F7" w:rsidRDefault="00511059" w:rsidP="00DB47F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6F7A" w14:textId="77777777" w:rsidR="00511059" w:rsidRPr="0000774A" w:rsidRDefault="00511059" w:rsidP="0000774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7AD7E" w14:textId="77777777" w:rsidR="00511059" w:rsidRPr="001808A4" w:rsidRDefault="00511059" w:rsidP="0049200C">
    <w:pPr>
      <w:pStyle w:val="FooterBas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32EE4" w14:textId="77777777" w:rsidR="00511059" w:rsidRPr="00213592" w:rsidRDefault="00511059" w:rsidP="00213592"/>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491C" w14:textId="77777777" w:rsidR="00511059" w:rsidRPr="001808A4" w:rsidRDefault="00511059" w:rsidP="0049200C">
    <w:pPr>
      <w:pStyle w:val="FooterBase"/>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D6C89" w14:textId="77777777" w:rsidR="00511059" w:rsidRPr="003F0C8B" w:rsidRDefault="00511059" w:rsidP="003F0C8B">
    <w:pPr>
      <w:pStyle w:val="FooterEven"/>
      <w:rPr>
        <w:rStyle w:val="PageNumber"/>
        <w:rFonts w:cs="Times New Roman"/>
        <w:sz w:val="18"/>
      </w:rPr>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sidR="00A76B91">
      <w:rPr>
        <w:rStyle w:val="PageNumber"/>
        <w:rFonts w:cs="Times New Roman"/>
        <w:b/>
        <w:bCs w:val="0"/>
        <w:noProof/>
        <w:sz w:val="18"/>
      </w:rPr>
      <w:t>44</w:t>
    </w:r>
    <w:r w:rsidRPr="003F0C8B">
      <w:rPr>
        <w:rStyle w:val="PageNumber"/>
        <w:rFonts w:cs="Times New Roman"/>
        <w:b/>
        <w:bCs w:val="0"/>
        <w:sz w:val="18"/>
      </w:rPr>
      <w:fldChar w:fldCharType="end"/>
    </w:r>
    <w:r w:rsidRPr="003F0C8B">
      <w:rPr>
        <w:rStyle w:val="PageNumber"/>
        <w:rFonts w:cs="Times New Roman"/>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00FD6" w14:textId="77777777" w:rsidR="00511059" w:rsidRDefault="00511059" w:rsidP="00124EBD">
    <w:pPr>
      <w:pStyle w:val="FooterOdd"/>
      <w:rPr>
        <w:noProof/>
      </w:rPr>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63</w:t>
    </w:r>
    <w:r w:rsidRPr="00B628E8">
      <w:rPr>
        <w:b/>
        <w:bC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30161" w14:textId="77777777" w:rsidR="00511059" w:rsidRDefault="00511059" w:rsidP="001A3AD4">
    <w:pPr>
      <w:pStyle w:val="FooterOdd"/>
      <w:rPr>
        <w:noProof/>
      </w:rPr>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29</w:t>
    </w:r>
    <w:r w:rsidRPr="00B628E8">
      <w:rPr>
        <w:b/>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DE6D6" w14:textId="77777777" w:rsidR="00511059" w:rsidRDefault="00511059" w:rsidP="00884639">
    <w:pPr>
      <w:pStyle w:val="FooterOdd"/>
      <w:rPr>
        <w:noProof/>
      </w:rPr>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41</w:t>
    </w:r>
    <w:r w:rsidRPr="00B628E8">
      <w:rPr>
        <w:b/>
        <w:bC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FE91F" w14:textId="77777777" w:rsidR="00511059" w:rsidRPr="00884639" w:rsidRDefault="00511059" w:rsidP="0088463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4C16" w14:textId="77777777" w:rsidR="00511059" w:rsidRPr="00884639" w:rsidRDefault="00511059" w:rsidP="00884639">
    <w:pPr>
      <w:pStyle w:val="Footer"/>
      <w:rPr>
        <w:rStyle w:val="PageNumber"/>
        <w:rFonts w:cs="Times New Roman"/>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8EDFE" w14:textId="77777777" w:rsidR="00511059" w:rsidRPr="008B3C1E" w:rsidRDefault="00511059" w:rsidP="008B3C1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A6BCB" w14:textId="77777777" w:rsidR="00511059" w:rsidRPr="001808A4" w:rsidRDefault="00511059" w:rsidP="0049200C">
    <w:pPr>
      <w:pStyle w:val="FooterBase"/>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25308" w14:textId="77777777" w:rsidR="00511059" w:rsidRPr="000304FC" w:rsidRDefault="00511059" w:rsidP="008B3C1E">
    <w:pPr>
      <w:pStyle w:val="HeaderOdd"/>
    </w:pPr>
  </w:p>
  <w:p w14:paraId="35586101" w14:textId="77777777" w:rsidR="00511059" w:rsidRPr="008B3C1E" w:rsidRDefault="00511059" w:rsidP="008B3C1E">
    <w:pPr>
      <w:pStyle w:val="FooterOdd"/>
      <w:jc w:val="left"/>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64</w:t>
    </w:r>
    <w:r w:rsidRPr="00B628E8">
      <w:rPr>
        <w:rStyle w:val="PageNumber"/>
        <w:rFonts w:cs="Times New Roman"/>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611D3" w14:textId="77777777" w:rsidR="00511059" w:rsidRDefault="00511059" w:rsidP="0066280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0D9B6" w14:textId="77777777" w:rsidR="00511059" w:rsidRPr="000304FC" w:rsidRDefault="00511059" w:rsidP="008B3C1E">
    <w:pPr>
      <w:pStyle w:val="HeaderOdd"/>
    </w:pPr>
  </w:p>
  <w:p w14:paraId="08BCD3B1" w14:textId="77777777" w:rsidR="00511059" w:rsidRPr="00B628E8" w:rsidRDefault="00511059" w:rsidP="008B3C1E">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51</w:t>
    </w:r>
    <w:r w:rsidRPr="00B628E8">
      <w:rPr>
        <w:rStyle w:val="PageNumber"/>
        <w:rFonts w:cs="Times New Roman"/>
        <w:b/>
        <w:bCs/>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55E2" w14:textId="77777777" w:rsidR="00511059" w:rsidRPr="00B4084B" w:rsidRDefault="00511059" w:rsidP="006D56BD">
    <w:pPr>
      <w:pStyle w:val="HeaderOdd"/>
    </w:pPr>
  </w:p>
  <w:p w14:paraId="5A589D5C" w14:textId="77777777" w:rsidR="00511059" w:rsidRPr="00884639" w:rsidRDefault="00511059" w:rsidP="006D56BD">
    <w:pPr>
      <w:pStyle w:val="FooterOdd"/>
      <w:rPr>
        <w:noProof/>
        <w:szCs w:val="18"/>
      </w:rPr>
    </w:pPr>
    <w:r w:rsidRPr="00B628E8">
      <w:rPr>
        <w:rStyle w:val="PageNumber"/>
      </w:rPr>
      <w:t xml:space="preserve"> </w:t>
    </w:r>
    <w:r w:rsidRPr="00884639">
      <w:rPr>
        <w:rStyle w:val="PageNumber"/>
        <w:b/>
        <w:bCs/>
        <w:sz w:val="18"/>
        <w:szCs w:val="18"/>
      </w:rPr>
      <w:t xml:space="preserve">Page </w:t>
    </w:r>
    <w:r w:rsidRPr="00884639">
      <w:rPr>
        <w:b/>
        <w:bCs/>
        <w:szCs w:val="18"/>
      </w:rPr>
      <w:fldChar w:fldCharType="begin"/>
    </w:r>
    <w:r w:rsidRPr="00884639">
      <w:rPr>
        <w:b/>
        <w:bCs/>
        <w:szCs w:val="18"/>
      </w:rPr>
      <w:instrText xml:space="preserve"> PAGE   \* MERGEFORMAT </w:instrText>
    </w:r>
    <w:r w:rsidRPr="00884639">
      <w:rPr>
        <w:b/>
        <w:bCs/>
        <w:szCs w:val="18"/>
      </w:rPr>
      <w:fldChar w:fldCharType="separate"/>
    </w:r>
    <w:r w:rsidR="00A76B91">
      <w:rPr>
        <w:b/>
        <w:bCs/>
        <w:noProof/>
        <w:szCs w:val="18"/>
      </w:rPr>
      <w:t>55</w:t>
    </w:r>
    <w:r w:rsidRPr="00884639">
      <w:rPr>
        <w:b/>
        <w:bCs/>
        <w:noProof/>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0D0A2" w14:textId="77777777" w:rsidR="00511059" w:rsidRPr="000304FC" w:rsidRDefault="00511059" w:rsidP="008B3C1E">
    <w:pPr>
      <w:pStyle w:val="HeaderOdd"/>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8E277" w14:textId="77777777" w:rsidR="00511059" w:rsidRPr="005D17E1" w:rsidRDefault="00511059" w:rsidP="005D17E1">
    <w:pPr>
      <w:pStyle w:val="Footer"/>
      <w:rPr>
        <w:rStyle w:val="PageNumber"/>
        <w:rFonts w:cs="Times New Roman"/>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DB9A0" w14:textId="77777777" w:rsidR="00511059" w:rsidRPr="00B4084B" w:rsidRDefault="00511059" w:rsidP="006D56BD">
    <w:pPr>
      <w:pStyle w:val="HeaderOdd"/>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B1520" w14:textId="77777777" w:rsidR="00511059" w:rsidRPr="005D17E1" w:rsidRDefault="00511059" w:rsidP="005D17E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3F3BD" w14:textId="77777777" w:rsidR="00511059" w:rsidRPr="001808A4" w:rsidRDefault="00511059" w:rsidP="0049200C">
    <w:pPr>
      <w:pStyle w:val="FooterBase"/>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E3055" w14:textId="77777777" w:rsidR="00511059" w:rsidRPr="000304FC" w:rsidRDefault="00511059" w:rsidP="00C31BE3">
    <w:pPr>
      <w:pStyle w:val="HeaderOdd"/>
    </w:pPr>
  </w:p>
  <w:p w14:paraId="66A0E35A" w14:textId="77777777" w:rsidR="00511059" w:rsidRPr="008B3C1E" w:rsidRDefault="00511059" w:rsidP="00C31BE3">
    <w:pPr>
      <w:pStyle w:val="FooterOdd"/>
      <w:jc w:val="left"/>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72</w:t>
    </w:r>
    <w:r w:rsidRPr="00B628E8">
      <w:rPr>
        <w:rStyle w:val="PageNumber"/>
        <w:rFonts w:cs="Times New Roman"/>
        <w:b/>
        <w:bCs/>
        <w:sz w:val="18"/>
      </w:rPr>
      <w:fldChar w:fldCharType="end"/>
    </w:r>
    <w:r w:rsidRPr="008B3C1E">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D6EF4" w14:textId="77777777" w:rsidR="00511059" w:rsidRPr="00B628E8" w:rsidRDefault="00511059" w:rsidP="00A1302F">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73</w:t>
    </w:r>
    <w:r w:rsidRPr="00B628E8">
      <w:rPr>
        <w:rStyle w:val="PageNumber"/>
        <w:rFonts w:cs="Times New Roman"/>
        <w:b/>
        <w:bCs/>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6E9C" w14:textId="77777777" w:rsidR="00511059" w:rsidRPr="00B628E8" w:rsidRDefault="00511059" w:rsidP="005D17E1">
    <w:pPr>
      <w:pStyle w:val="FooterOdd"/>
      <w:rPr>
        <w:rStyle w:val="PageNumber"/>
        <w:rFonts w:cs="Times New Roman"/>
        <w:sz w:val="18"/>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69</w:t>
    </w:r>
    <w:r w:rsidRPr="00B628E8">
      <w:rPr>
        <w:rStyle w:val="PageNumber"/>
        <w:rFonts w:cs="Times New Roman"/>
        <w:b/>
        <w:bCs/>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0A3F" w14:textId="77777777" w:rsidR="00511059" w:rsidRPr="003F0C8B" w:rsidRDefault="00511059" w:rsidP="003F0C8B">
    <w:pPr>
      <w:pStyle w:val="FooterEven"/>
      <w:rPr>
        <w:rStyle w:val="PageNumber"/>
        <w:rFonts w:cs="Times New Roman"/>
        <w:sz w:val="18"/>
      </w:rPr>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sidR="00A76B91">
      <w:rPr>
        <w:rStyle w:val="PageNumber"/>
        <w:rFonts w:cs="Times New Roman"/>
        <w:b/>
        <w:bCs w:val="0"/>
        <w:noProof/>
        <w:sz w:val="18"/>
      </w:rPr>
      <w:t>iv</w:t>
    </w:r>
    <w:r w:rsidRPr="003F0C8B">
      <w:rPr>
        <w:rStyle w:val="PageNumber"/>
        <w:rFonts w:cs="Times New Roman"/>
        <w:b/>
        <w:bCs w:val="0"/>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33BC" w14:textId="77777777" w:rsidR="00511059" w:rsidRPr="001C0BAE" w:rsidRDefault="00511059" w:rsidP="001C0BAE">
    <w:pPr>
      <w:pStyle w:val="FooterOdd"/>
      <w:jc w:val="left"/>
      <w:rPr>
        <w:rFonts w:cs="Arial"/>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86</w:t>
    </w:r>
    <w:r w:rsidRPr="006E744E">
      <w:rPr>
        <w:rStyle w:val="PageNumber"/>
        <w:b/>
        <w:bCs/>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1167" w14:textId="77777777" w:rsidR="00511059" w:rsidRPr="006E744E" w:rsidRDefault="00511059" w:rsidP="001C0BAE">
    <w:pPr>
      <w:pStyle w:val="FooterOdd"/>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85</w:t>
    </w:r>
    <w:r w:rsidRPr="006E744E">
      <w:rPr>
        <w:rStyle w:val="PageNumber"/>
        <w:b/>
        <w:bCs/>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1074A" w14:textId="77777777" w:rsidR="00511059" w:rsidRPr="008B3C1E" w:rsidRDefault="00511059" w:rsidP="000E7BD9">
    <w:pPr>
      <w:pStyle w:val="FooterOdd"/>
      <w:jc w:val="left"/>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sidR="00A76B91">
      <w:rPr>
        <w:rStyle w:val="PageNumber"/>
        <w:rFonts w:cs="Times New Roman"/>
        <w:b/>
        <w:bCs/>
        <w:noProof/>
        <w:sz w:val="18"/>
      </w:rPr>
      <w:t>74</w:t>
    </w:r>
    <w:r w:rsidRPr="00B628E8">
      <w:rPr>
        <w:rStyle w:val="PageNumber"/>
        <w:rFonts w:cs="Times New Roman"/>
        <w:b/>
        <w:bCs/>
        <w:sz w:val="18"/>
      </w:rPr>
      <w:fldChar w:fldCharType="end"/>
    </w:r>
    <w:r w:rsidRPr="008B3C1E">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1485" w14:textId="77777777" w:rsidR="00511059" w:rsidRPr="007A7BF4" w:rsidRDefault="00511059" w:rsidP="007A7BF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17931" w14:textId="77777777" w:rsidR="00511059" w:rsidRPr="007A7BF4" w:rsidRDefault="00511059" w:rsidP="007A7BF4">
    <w:pPr>
      <w:pStyle w:val="Footer"/>
      <w:rPr>
        <w:rStyle w:val="PageNumber"/>
        <w:rFonts w:cs="Times New Roman"/>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2566" w14:textId="77777777" w:rsidR="00511059" w:rsidRPr="000E7BD9" w:rsidRDefault="00511059" w:rsidP="000E7BD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B5F0" w14:textId="77777777" w:rsidR="00511059" w:rsidRPr="001C0BAE" w:rsidRDefault="00511059" w:rsidP="00A62A0C">
    <w:pPr>
      <w:pStyle w:val="FooterOdd"/>
      <w:jc w:val="left"/>
      <w:rPr>
        <w:rFonts w:cs="Arial"/>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114</w:t>
    </w:r>
    <w:r w:rsidRPr="006E744E">
      <w:rPr>
        <w:rStyle w:val="PageNumber"/>
        <w:b/>
        <w:bCs/>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966D" w14:textId="77777777" w:rsidR="00511059" w:rsidRPr="006E744E" w:rsidRDefault="00511059" w:rsidP="00A62A0C">
    <w:pPr>
      <w:pStyle w:val="FooterOdd"/>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115</w:t>
    </w:r>
    <w:r w:rsidRPr="006E744E">
      <w:rPr>
        <w:rStyle w:val="PageNumber"/>
        <w:b/>
        <w:bCs/>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2BCD" w14:textId="77777777" w:rsidR="00511059" w:rsidRPr="006E744E" w:rsidRDefault="00511059" w:rsidP="00A62A0C">
    <w:pPr>
      <w:pStyle w:val="FooterOdd"/>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91</w:t>
    </w:r>
    <w:r w:rsidRPr="006E744E">
      <w:rPr>
        <w:rStyle w:val="PageNumber"/>
        <w:b/>
        <w:bCs/>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F70A" w14:textId="77777777" w:rsidR="00511059" w:rsidRPr="00A62A0C" w:rsidRDefault="00511059" w:rsidP="00A62A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D9218" w14:textId="77777777" w:rsidR="00511059" w:rsidRPr="004F1212" w:rsidRDefault="00511059" w:rsidP="004342F8">
    <w:pPr>
      <w:pStyle w:val="Footer"/>
      <w:rPr>
        <w:rStyle w:val="PageNumber"/>
        <w:lang w:val="en-AU"/>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2C176" w14:textId="77777777" w:rsidR="00511059" w:rsidRPr="00A62A0C" w:rsidRDefault="00511059" w:rsidP="00A62A0C">
    <w:pPr>
      <w:pStyle w:val="Footer"/>
      <w:rPr>
        <w:rStyle w:val="PageNumber"/>
        <w:rFonts w:cs="Times New Roman"/>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1A4B" w14:textId="77777777" w:rsidR="00511059" w:rsidRPr="00A62A0C" w:rsidRDefault="00511059" w:rsidP="00A62A0C">
    <w:pPr>
      <w:pStyle w:val="Footer"/>
      <w:rPr>
        <w:rStyle w:val="PageNumber"/>
        <w:rFonts w:cs="Times New Roman"/>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A3AC" w14:textId="77777777" w:rsidR="00511059" w:rsidRDefault="00511059" w:rsidP="00154F73">
    <w:pPr>
      <w:pStyle w:val="FooterOdd"/>
      <w:jc w:val="left"/>
    </w:pPr>
    <w:r w:rsidRPr="00154F73">
      <w:t xml:space="preserve"> </w:t>
    </w: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136</w:t>
    </w:r>
    <w:r w:rsidRPr="00B628E8">
      <w:rPr>
        <w:b/>
        <w:bCs/>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7CCCA" w14:textId="77777777" w:rsidR="00511059" w:rsidRPr="00B4084B" w:rsidRDefault="00511059" w:rsidP="00BD0018">
    <w:pPr>
      <w:pStyle w:val="HeaderOdd"/>
    </w:pPr>
  </w:p>
  <w:p w14:paraId="79282E7B" w14:textId="77777777" w:rsidR="00511059" w:rsidRPr="006E744E" w:rsidRDefault="00511059" w:rsidP="00BD0018">
    <w:pPr>
      <w:pStyle w:val="FooterOdd"/>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135</w:t>
    </w:r>
    <w:r w:rsidRPr="006E744E">
      <w:rPr>
        <w:rStyle w:val="PageNumber"/>
        <w:b/>
        <w:bCs/>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9281" w14:textId="77777777" w:rsidR="00511059" w:rsidRPr="006E744E" w:rsidRDefault="00511059" w:rsidP="00154F73">
    <w:pPr>
      <w:pStyle w:val="FooterOdd"/>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121</w:t>
    </w:r>
    <w:r w:rsidRPr="006E744E">
      <w:rPr>
        <w:rStyle w:val="PageNumber"/>
        <w:b/>
        <w:bCs/>
        <w:sz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FDD16" w14:textId="77777777" w:rsidR="00511059" w:rsidRPr="00154F73" w:rsidRDefault="00511059" w:rsidP="00154F7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90F4E" w14:textId="77777777" w:rsidR="00511059" w:rsidRPr="00154F73" w:rsidRDefault="00511059" w:rsidP="00154F73">
    <w:pPr>
      <w:pStyle w:val="Footer"/>
      <w:rPr>
        <w:rStyle w:val="PageNumber"/>
        <w:rFonts w:cs="Times New Roman"/>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C383" w14:textId="77777777" w:rsidR="00511059" w:rsidRPr="00154F73" w:rsidRDefault="00511059" w:rsidP="00154F73">
    <w:pPr>
      <w:pStyle w:val="Footer"/>
      <w:rPr>
        <w:rStyle w:val="PageNumber"/>
        <w:rFonts w:cs="Times New Roman"/>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BBADA" w14:textId="77777777" w:rsidR="00511059" w:rsidRDefault="00511059" w:rsidP="002B73EB">
    <w:pPr>
      <w:pStyle w:val="FooterOdd"/>
      <w:jc w:val="left"/>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152</w:t>
    </w:r>
    <w:r w:rsidRPr="00B628E8">
      <w:rPr>
        <w:b/>
        <w:bCs/>
        <w:noProof/>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B0270" w14:textId="77777777" w:rsidR="00511059" w:rsidRPr="006E744E" w:rsidRDefault="00511059" w:rsidP="002B73EB">
    <w:pPr>
      <w:pStyle w:val="FooterOdd"/>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153</w:t>
    </w:r>
    <w:r w:rsidRPr="006E744E">
      <w:rPr>
        <w:rStyle w:val="PageNumber"/>
        <w:b/>
        <w:bCs/>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4414B" w14:textId="77777777" w:rsidR="00511059" w:rsidRPr="003F0C8B" w:rsidRDefault="00511059" w:rsidP="003F0C8B">
    <w:pPr>
      <w:pStyle w:val="FooterEven"/>
      <w:rPr>
        <w:rStyle w:val="PageNumber"/>
        <w:rFonts w:cs="Times New Roman"/>
        <w:sz w:val="18"/>
      </w:rPr>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sidR="00A76B91">
      <w:rPr>
        <w:rStyle w:val="PageNumber"/>
        <w:rFonts w:cs="Times New Roman"/>
        <w:b/>
        <w:bCs w:val="0"/>
        <w:noProof/>
        <w:sz w:val="18"/>
      </w:rPr>
      <w:t>viii</w:t>
    </w:r>
    <w:r w:rsidRPr="003F0C8B">
      <w:rPr>
        <w:rStyle w:val="PageNumber"/>
        <w:rFonts w:cs="Times New Roman"/>
        <w:b/>
        <w:bCs w:val="0"/>
        <w:sz w:val="18"/>
      </w:rPr>
      <w:fldChar w:fldCharType="end"/>
    </w:r>
    <w:r w:rsidRPr="003F0C8B">
      <w:rPr>
        <w:rStyle w:val="PageNumber"/>
        <w:rFonts w:cs="Times New Roman"/>
        <w:sz w:val="18"/>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96732" w14:textId="77777777" w:rsidR="00511059" w:rsidRPr="006E744E" w:rsidRDefault="00511059" w:rsidP="002B73EB">
    <w:pPr>
      <w:pStyle w:val="FooterOdd"/>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141</w:t>
    </w:r>
    <w:r w:rsidRPr="006E744E">
      <w:rPr>
        <w:rStyle w:val="PageNumber"/>
        <w:b/>
        <w:bCs/>
        <w:sz w:val="18"/>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5310" w14:textId="77777777" w:rsidR="00511059" w:rsidRDefault="00511059" w:rsidP="007C29A7">
    <w:pPr>
      <w:pStyle w:val="FooterOdd"/>
      <w:jc w:val="left"/>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146</w:t>
    </w:r>
    <w:r w:rsidRPr="00B628E8">
      <w:rPr>
        <w:b/>
        <w:bCs/>
        <w:noProof/>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46C9E" w14:textId="77777777" w:rsidR="00511059" w:rsidRDefault="00511059" w:rsidP="00B8365B">
    <w:pPr>
      <w:pStyle w:val="Footer"/>
      <w:framePr w:wrap="around" w:vAnchor="page" w:hAnchor="page" w:x="1872" w:yAlign="center" w:anchorLock="1"/>
      <w:textDirection w:val="tbRl"/>
      <w:rPr>
        <w:rStyle w:val="PageNumber"/>
      </w:rPr>
    </w:pPr>
    <w:r>
      <w:rPr>
        <w:noProof/>
        <w:lang w:val="en-AU" w:eastAsia="en-AU"/>
      </w:rPr>
      <mc:AlternateContent>
        <mc:Choice Requires="wps">
          <w:drawing>
            <wp:anchor distT="0" distB="0" distL="114300" distR="114300" simplePos="0" relativeHeight="251851264" behindDoc="0" locked="0" layoutInCell="0" allowOverlap="1" wp14:anchorId="16CEE9D7" wp14:editId="1AEDAB1C">
              <wp:simplePos x="0" y="0"/>
              <wp:positionH relativeFrom="page">
                <wp:posOffset>0</wp:posOffset>
              </wp:positionH>
              <wp:positionV relativeFrom="page">
                <wp:posOffset>10234930</wp:posOffset>
              </wp:positionV>
              <wp:extent cx="7560310" cy="266700"/>
              <wp:effectExtent l="0" t="0" r="0" b="0"/>
              <wp:wrapNone/>
              <wp:docPr id="89" name="MSIPCMf25d4cc989f6c891df705d95" descr="{&quot;HashCode&quot;:-1532311468,&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FCCAB" w14:textId="77777777"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13C2AB" id="_x0000_t202" coordsize="21600,21600" o:spt="202" path="m,l,21600r21600,l21600,xe">
              <v:stroke joinstyle="miter"/>
              <v:path gradientshapeok="t" o:connecttype="rect"/>
            </v:shapetype>
            <v:shape id="MSIPCMf25d4cc989f6c891df705d95" o:spid="_x0000_s1046" type="#_x0000_t202" alt="{&quot;HashCode&quot;:-1532311468,&quot;Height&quot;:841.0,&quot;Width&quot;:595.0,&quot;Placement&quot;:&quot;Footer&quot;,&quot;Index&quot;:&quot;OddAndEven&quot;,&quot;Section&quot;:5,&quot;Top&quot;:0.0,&quot;Left&quot;:0.0}" style="position:absolute;left:0;text-align:left;margin-left:0;margin-top:805.9pt;width:595.3pt;height:21pt;z-index:251851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" o:allowincell="f" filled="f" stroked="f" strokeweight=".5pt">
              <v:textbox inset=",0,,0">
                <w:txbxContent>
                  <w:p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v:textbox>
              <w10:wrap anchorx="page" anchory="page"/>
            </v:shape>
          </w:pict>
        </mc:Fallback>
      </mc:AlternateContent>
    </w: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14:paraId="0E97AF3C" w14:textId="77777777" w:rsidR="00511059" w:rsidRDefault="00511059" w:rsidP="003A4566">
    <w:pPr>
      <w:pStyle w:val="DLMSecurity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36FF6" w14:textId="77777777" w:rsidR="00511059" w:rsidRPr="00D232B7" w:rsidRDefault="00511059">
    <w:pPr>
      <w:pStyle w:val="Footer"/>
      <w:rPr>
        <w:rStyle w:val="PageNumber"/>
      </w:rPr>
    </w:pPr>
    <w:r>
      <w:rPr>
        <w:noProof/>
        <w:lang w:val="en-AU" w:eastAsia="en-AU"/>
      </w:rPr>
      <mc:AlternateContent>
        <mc:Choice Requires="wps">
          <w:drawing>
            <wp:anchor distT="0" distB="0" distL="114300" distR="114300" simplePos="0" relativeHeight="251850240" behindDoc="0" locked="0" layoutInCell="0" allowOverlap="1" wp14:anchorId="2ACA0805" wp14:editId="23A28029">
              <wp:simplePos x="0" y="0"/>
              <wp:positionH relativeFrom="page">
                <wp:posOffset>0</wp:posOffset>
              </wp:positionH>
              <wp:positionV relativeFrom="page">
                <wp:posOffset>10234930</wp:posOffset>
              </wp:positionV>
              <wp:extent cx="7560310" cy="266700"/>
              <wp:effectExtent l="0" t="0" r="0" b="0"/>
              <wp:wrapNone/>
              <wp:docPr id="28" name="MSIPCM09b5421b818b11831e6ac3e9" descr="{&quot;HashCode&quot;:-1532311468,&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A89209" w14:textId="77777777"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B73A60" id="_x0000_t202" coordsize="21600,21600" o:spt="202" path="m,l,21600r21600,l21600,xe">
              <v:stroke joinstyle="miter"/>
              <v:path gradientshapeok="t" o:connecttype="rect"/>
            </v:shapetype>
            <v:shape id="MSIPCM09b5421b818b11831e6ac3e9" o:spid="_x0000_s1047" type="#_x0000_t202" alt="{&quot;HashCode&quot;:-1532311468,&quot;Height&quot;:841.0,&quot;Width&quot;:595.0,&quot;Placement&quot;:&quot;Footer&quot;,&quot;Index&quot;:&quot;Primary&quot;,&quot;Section&quot;:5,&quot;Top&quot;:0.0,&quot;Left&quot;:0.0}" style="position:absolute;left:0;text-align:left;margin-left:0;margin-top:805.9pt;width:595.3pt;height:21pt;z-index:251850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" o:allowincell="f" filled="f" stroked="f" strokeweight=".5pt">
              <v:textbox inset=",0,,0">
                <w:txbxContent>
                  <w:p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6F09" w14:textId="77777777" w:rsidR="00511059" w:rsidRPr="006E744E" w:rsidRDefault="00511059" w:rsidP="00A816FA">
    <w:pPr>
      <w:pStyle w:val="FooterOdd"/>
      <w:jc w:val="left"/>
      <w:rPr>
        <w:rStyle w:val="PageNumber"/>
        <w:sz w:val="18"/>
      </w:rPr>
    </w:pPr>
    <w:r w:rsidRPr="006E744E">
      <w:rPr>
        <w:rStyle w:val="PageNumber"/>
        <w:b/>
        <w:bCs/>
        <w:sz w:val="18"/>
      </w:rPr>
      <w:t xml:space="preserve">Page </w:t>
    </w:r>
    <w:r w:rsidRPr="006E744E">
      <w:rPr>
        <w:rStyle w:val="PageNumber"/>
        <w:b/>
        <w:bCs/>
        <w:sz w:val="18"/>
      </w:rPr>
      <w:fldChar w:fldCharType="begin"/>
    </w:r>
    <w:r w:rsidRPr="006E744E">
      <w:rPr>
        <w:rStyle w:val="PageNumber"/>
        <w:b/>
        <w:bCs/>
        <w:sz w:val="18"/>
      </w:rPr>
      <w:instrText xml:space="preserve"> PAGE  \* Arabic </w:instrText>
    </w:r>
    <w:r w:rsidRPr="006E744E">
      <w:rPr>
        <w:rStyle w:val="PageNumber"/>
        <w:b/>
        <w:bCs/>
        <w:sz w:val="18"/>
      </w:rPr>
      <w:fldChar w:fldCharType="separate"/>
    </w:r>
    <w:r w:rsidR="00A76B91">
      <w:rPr>
        <w:rStyle w:val="PageNumber"/>
        <w:b/>
        <w:bCs/>
        <w:noProof/>
        <w:sz w:val="18"/>
      </w:rPr>
      <w:t>154</w:t>
    </w:r>
    <w:r w:rsidRPr="006E744E">
      <w:rPr>
        <w:rStyle w:val="PageNumber"/>
        <w:b/>
        <w:bCs/>
        <w:sz w:val="18"/>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74C6D" w14:textId="77777777" w:rsidR="00511059" w:rsidRPr="006728AB" w:rsidRDefault="00511059" w:rsidP="006728AB">
    <w:pPr>
      <w:pStyle w:val="Footer"/>
      <w:rPr>
        <w:rStyle w:val="PageNumber"/>
        <w:rFonts w:cs="Times New Roman"/>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4E78" w14:textId="77777777" w:rsidR="00511059" w:rsidRPr="001808A4" w:rsidRDefault="00511059" w:rsidP="0049200C">
    <w:pPr>
      <w:pStyle w:val="FooterBase"/>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F608" w14:textId="77777777" w:rsidR="00511059" w:rsidRPr="001808A4" w:rsidRDefault="00511059" w:rsidP="0049200C">
    <w:pPr>
      <w:pStyle w:val="FooterBase"/>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E791" w14:textId="77777777" w:rsidR="00511059" w:rsidRPr="005E3EA5" w:rsidRDefault="00511059" w:rsidP="006728AB">
    <w:pPr>
      <w:pStyle w:val="FooterOdd"/>
      <w:jc w:val="left"/>
      <w:rPr>
        <w:noProof/>
        <w:szCs w:val="18"/>
        <w:lang w:val="en-AU"/>
      </w:rPr>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182</w:t>
    </w:r>
    <w:r w:rsidRPr="00B628E8">
      <w:rPr>
        <w:b/>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F51E5" w14:textId="77777777" w:rsidR="00511059" w:rsidRPr="002A4892" w:rsidRDefault="00511059" w:rsidP="006728AB">
    <w:pPr>
      <w:pStyle w:val="FooterOdd"/>
      <w:rPr>
        <w:noProof/>
        <w:szCs w:val="18"/>
      </w:rPr>
    </w:pPr>
    <w:r w:rsidRPr="002A4892">
      <w:rPr>
        <w:rStyle w:val="PageNumber"/>
        <w:b/>
        <w:bCs/>
        <w:sz w:val="18"/>
        <w:szCs w:val="18"/>
      </w:rPr>
      <w:t xml:space="preserve">Page </w:t>
    </w:r>
    <w:r w:rsidRPr="002A4892">
      <w:rPr>
        <w:b/>
        <w:bCs/>
        <w:szCs w:val="18"/>
      </w:rPr>
      <w:fldChar w:fldCharType="begin"/>
    </w:r>
    <w:r w:rsidRPr="002A4892">
      <w:rPr>
        <w:b/>
        <w:bCs/>
        <w:szCs w:val="18"/>
      </w:rPr>
      <w:instrText xml:space="preserve"> PAGE   \* MERGEFORMAT </w:instrText>
    </w:r>
    <w:r w:rsidRPr="002A4892">
      <w:rPr>
        <w:b/>
        <w:bCs/>
        <w:szCs w:val="18"/>
      </w:rPr>
      <w:fldChar w:fldCharType="separate"/>
    </w:r>
    <w:r w:rsidR="00A76B91">
      <w:rPr>
        <w:b/>
        <w:bCs/>
        <w:noProof/>
        <w:szCs w:val="18"/>
      </w:rPr>
      <w:t>181</w:t>
    </w:r>
    <w:r w:rsidRPr="002A4892">
      <w:rPr>
        <w:b/>
        <w:bCs/>
        <w:noProof/>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04198" w14:textId="77777777" w:rsidR="00511059" w:rsidRPr="004F3DE6" w:rsidRDefault="00511059" w:rsidP="00C5714B">
    <w:pPr>
      <w:pStyle w:val="FooterOdd"/>
    </w:pPr>
    <w:r>
      <w:rPr>
        <w:rStyle w:val="PageNumber"/>
        <w:rFonts w:cs="Times New Roman"/>
        <w:sz w:val="18"/>
        <w:lang w:val="en-AU"/>
      </w:rPr>
      <w:t>Prime Minister and Cabinet Portfolio Overview</w:t>
    </w:r>
    <w:r w:rsidRPr="00B628E8">
      <w:rPr>
        <w:rStyle w:val="PageNumber"/>
        <w:rFonts w:cs="Times New Roman"/>
        <w:sz w:val="18"/>
      </w:rPr>
      <w:t xml:space="preserve"> </w:t>
    </w:r>
    <w:r>
      <w:rPr>
        <w:rStyle w:val="PageNumber"/>
        <w:rFonts w:cs="Times New Roman"/>
        <w:sz w:val="18"/>
        <w:lang w:val="en-AU"/>
      </w:rPr>
      <w:t xml:space="preserve"> </w:t>
    </w:r>
    <w:r w:rsidRPr="00B628E8">
      <w:rPr>
        <w:rStyle w:val="PageNumber"/>
        <w:rFonts w:cs="Times New Roman"/>
        <w:sz w:val="18"/>
      </w:rPr>
      <w:t>|</w:t>
    </w:r>
    <w:r>
      <w:rPr>
        <w:rStyle w:val="PageNumber"/>
        <w:rFonts w:cs="Times New Roman"/>
        <w:sz w:val="18"/>
        <w:lang w:val="en-AU"/>
      </w:rPr>
      <w:t xml:space="preserve"> </w:t>
    </w:r>
    <w:r w:rsidRPr="00B628E8">
      <w:rPr>
        <w:rStyle w:val="PageNumber"/>
        <w:rFonts w:cs="Times New Roman"/>
        <w:sz w:val="18"/>
      </w:rPr>
      <w:t xml:space="preserve"> </w:t>
    </w: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Pr>
        <w:rStyle w:val="PageNumber"/>
        <w:rFonts w:cs="Times New Roman"/>
        <w:b/>
        <w:bCs/>
        <w:noProof/>
        <w:sz w:val="18"/>
      </w:rPr>
      <w:t>3</w:t>
    </w:r>
    <w:r w:rsidRPr="00B628E8">
      <w:rPr>
        <w:rStyle w:val="PageNumber"/>
        <w:rFonts w:cs="Times New Roman"/>
        <w:b/>
        <w:bCs/>
        <w:sz w:val="18"/>
      </w:rPr>
      <w:fldChar w:fldCharType="end"/>
    </w:r>
    <w:r w:rsidRPr="00B628E8">
      <w:rPr>
        <w:rStyle w:val="PageNumber"/>
        <w:rFonts w:cs="Times New Roman"/>
        <w:sz w:val="18"/>
      </w:rPr>
      <w:t xml:space="preserve"> </w:t>
    </w:r>
    <w:r>
      <w:rPr>
        <w:rStyle w:val="PageNumber"/>
        <w:rFonts w:cs="Times New Roman"/>
        <w:sz w:val="18"/>
        <w:lang w:val="en-AU"/>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EA371" w14:textId="77777777" w:rsidR="00511059" w:rsidRDefault="00511059" w:rsidP="00782467">
    <w:pPr>
      <w:pStyle w:val="FooterOdd"/>
      <w:rPr>
        <w:noProof/>
      </w:rPr>
    </w:pPr>
    <w:r w:rsidRPr="00B65914">
      <w:rPr>
        <w:rStyle w:val="PageNumber"/>
        <w:b/>
        <w:bCs/>
        <w:sz w:val="18"/>
        <w:szCs w:val="18"/>
      </w:rPr>
      <w:t xml:space="preserve">Page </w:t>
    </w:r>
    <w:r w:rsidRPr="00B65914">
      <w:rPr>
        <w:b/>
        <w:bCs/>
        <w:szCs w:val="18"/>
      </w:rPr>
      <w:fldChar w:fldCharType="begin"/>
    </w:r>
    <w:r w:rsidRPr="00B65914">
      <w:rPr>
        <w:b/>
        <w:bCs/>
        <w:szCs w:val="18"/>
      </w:rPr>
      <w:instrText xml:space="preserve"> PAGE   \* MERGEFORMAT </w:instrText>
    </w:r>
    <w:r w:rsidRPr="00B65914">
      <w:rPr>
        <w:b/>
        <w:bCs/>
        <w:szCs w:val="18"/>
      </w:rPr>
      <w:fldChar w:fldCharType="separate"/>
    </w:r>
    <w:r w:rsidR="00A76B91">
      <w:rPr>
        <w:b/>
        <w:bCs/>
        <w:noProof/>
        <w:szCs w:val="18"/>
      </w:rPr>
      <w:t>159</w:t>
    </w:r>
    <w:r w:rsidRPr="00B65914">
      <w:rPr>
        <w:b/>
        <w:bCs/>
        <w:noProof/>
        <w:szCs w:val="18"/>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EBE8B" w14:textId="77777777" w:rsidR="00511059" w:rsidRDefault="00511059" w:rsidP="000D6DF8">
    <w:pPr>
      <w:pStyle w:val="FooterOdd"/>
      <w:rPr>
        <w:noProof/>
      </w:rPr>
    </w:pPr>
    <w:r w:rsidRPr="00B628E8">
      <w:rPr>
        <w:rStyle w:val="PageNumber"/>
      </w:rPr>
      <w:t xml:space="preserve"> </w:t>
    </w:r>
    <w:r w:rsidRPr="00B65914">
      <w:rPr>
        <w:rStyle w:val="PageNumber"/>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165</w:t>
    </w:r>
    <w:r w:rsidRPr="00B628E8">
      <w:rPr>
        <w:b/>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F64B" w14:textId="77777777" w:rsidR="00511059" w:rsidRPr="005E3EA5" w:rsidRDefault="00511059" w:rsidP="00CC7466">
    <w:pPr>
      <w:pStyle w:val="FooterOdd"/>
      <w:jc w:val="left"/>
      <w:rPr>
        <w:noProof/>
        <w:szCs w:val="18"/>
        <w:lang w:val="en-AU"/>
      </w:rPr>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noProof/>
      </w:rPr>
      <w:t>186</w:t>
    </w:r>
    <w:r w:rsidRPr="00B628E8">
      <w:rPr>
        <w:b/>
        <w:bCs/>
        <w:noProof/>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0313" w14:textId="77777777" w:rsidR="00511059" w:rsidRPr="00B8025D" w:rsidRDefault="00511059" w:rsidP="00B8025D">
    <w:pPr>
      <w:pStyle w:val="Footer"/>
      <w:rPr>
        <w:rStyle w:val="PageNumber"/>
        <w:rFonts w:cs="Times New Roman"/>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340DD" w14:textId="77777777" w:rsidR="00511059" w:rsidRDefault="00511059">
    <w:pPr>
      <w:pStyle w:val="Footer"/>
    </w:pPr>
  </w:p>
  <w:p w14:paraId="5A7C45AF" w14:textId="77777777" w:rsidR="00511059" w:rsidRDefault="00511059" w:rsidP="00BC4CD8">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FB7A9" w14:textId="77777777" w:rsidR="00511059" w:rsidRPr="00CC7466" w:rsidRDefault="00511059" w:rsidP="00CC7466">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8DE7" w14:textId="77777777" w:rsidR="00511059" w:rsidRPr="00B8025D" w:rsidRDefault="00511059" w:rsidP="00B8025D">
    <w:pPr>
      <w:pStyle w:val="Footer"/>
      <w:rPr>
        <w:rStyle w:val="PageNumber"/>
        <w:rFonts w:cs="Times New Roman"/>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621A" w14:textId="77777777" w:rsidR="00511059" w:rsidRPr="005E3EA5" w:rsidRDefault="00511059" w:rsidP="00CC7466">
    <w:pPr>
      <w:pStyle w:val="FooterOdd"/>
      <w:jc w:val="left"/>
      <w:rPr>
        <w:noProof/>
        <w:szCs w:val="18"/>
        <w:lang w:val="en-AU"/>
      </w:rPr>
    </w:pPr>
    <w:r w:rsidRPr="00B628E8">
      <w:rPr>
        <w:rStyle w:val="PageNumber"/>
        <w:rFonts w:cs="Times New Roman"/>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204</w:t>
    </w:r>
    <w:r w:rsidRPr="00B628E8">
      <w:rPr>
        <w:b/>
        <w:bCs/>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78E0" w14:textId="77777777" w:rsidR="00511059" w:rsidRDefault="00511059" w:rsidP="00CC7466">
    <w:pPr>
      <w:pStyle w:val="FooterOdd"/>
      <w:rPr>
        <w:noProof/>
      </w:rPr>
    </w:pPr>
    <w:r w:rsidRPr="002A4892">
      <w:rPr>
        <w:rStyle w:val="PageNumber"/>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205</w:t>
    </w:r>
    <w:r w:rsidRPr="00B628E8">
      <w:rPr>
        <w:b/>
        <w:bCs/>
        <w:noProof/>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E27BE" w14:textId="77777777" w:rsidR="00511059" w:rsidRDefault="00511059">
    <w:pPr>
      <w:pStyle w:val="Footer"/>
    </w:pPr>
  </w:p>
  <w:p w14:paraId="6C4789EC" w14:textId="77777777" w:rsidR="00511059" w:rsidRDefault="00511059" w:rsidP="00CC7466">
    <w:pPr>
      <w:pStyle w:val="FooterOdd"/>
      <w:rPr>
        <w:noProof/>
      </w:rPr>
    </w:pPr>
    <w:r w:rsidRPr="002A4892">
      <w:rPr>
        <w:rStyle w:val="PageNumber"/>
        <w:b/>
        <w:bCs/>
        <w:sz w:val="18"/>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187</w:t>
    </w:r>
    <w:r w:rsidRPr="00B628E8">
      <w:rPr>
        <w:b/>
        <w:bC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2875F" w14:textId="77777777" w:rsidR="00511059" w:rsidRPr="00B628E8" w:rsidRDefault="00511059" w:rsidP="00B628E8">
    <w:pPr>
      <w:pStyle w:val="FooterOdd"/>
      <w:rPr>
        <w:b/>
        <w:bCs/>
      </w:rPr>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w:instrText>
    </w:r>
    <w:r w:rsidRPr="00B628E8">
      <w:rPr>
        <w:rStyle w:val="PageNumber"/>
        <w:rFonts w:cs="Times New Roman"/>
        <w:b/>
        <w:bCs/>
        <w:sz w:val="18"/>
      </w:rPr>
      <w:fldChar w:fldCharType="separate"/>
    </w:r>
    <w:r w:rsidR="00A76B91">
      <w:rPr>
        <w:rStyle w:val="PageNumber"/>
        <w:rFonts w:cs="Times New Roman"/>
        <w:b/>
        <w:bCs/>
        <w:noProof/>
        <w:sz w:val="18"/>
      </w:rPr>
      <w:t>vii</w:t>
    </w:r>
    <w:r w:rsidRPr="00B628E8">
      <w:rPr>
        <w:rStyle w:val="PageNumber"/>
        <w:rFonts w:cs="Times New Roman"/>
        <w:b/>
        <w:bCs/>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4D42C" w14:textId="77777777" w:rsidR="00511059" w:rsidRPr="00CC7466" w:rsidRDefault="00511059" w:rsidP="00CC7466">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CB0A" w14:textId="77777777" w:rsidR="00511059" w:rsidRPr="00CC7466" w:rsidRDefault="00511059" w:rsidP="00CC7466">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1CD1" w14:textId="77777777" w:rsidR="00511059" w:rsidRDefault="00511059">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2BD53" w14:textId="77777777" w:rsidR="00511059" w:rsidRDefault="00511059">
    <w:pPr>
      <w:pStyle w:val="Footer"/>
    </w:pPr>
  </w:p>
  <w:p w14:paraId="22A5DD44" w14:textId="77777777" w:rsidR="00511059" w:rsidRPr="009019E0" w:rsidRDefault="00511059" w:rsidP="00490F43">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E802" w14:textId="77777777" w:rsidR="00511059" w:rsidRPr="00732889" w:rsidRDefault="00511059" w:rsidP="0073288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C8B71" w14:textId="77777777" w:rsidR="00511059" w:rsidRPr="002030E8" w:rsidRDefault="00511059" w:rsidP="00732889">
    <w:pPr>
      <w:pStyle w:val="FooterOdd"/>
      <w:jc w:val="left"/>
      <w:rPr>
        <w:rFonts w:cs="Arial"/>
        <w:szCs w:val="18"/>
        <w:lang w:val="en-AU"/>
      </w:rPr>
    </w:pPr>
    <w:r w:rsidRPr="00B628E8">
      <w:rPr>
        <w:rStyle w:val="PageNumber"/>
        <w:rFonts w:cs="Times New Roman"/>
        <w:b/>
        <w:bCs/>
        <w:sz w:val="18"/>
      </w:rPr>
      <w:t>Page</w:t>
    </w:r>
    <w:r>
      <w:rPr>
        <w:rStyle w:val="PageNumber"/>
        <w:rFonts w:cs="Times New Roman"/>
        <w:b/>
        <w:bCs/>
        <w:sz w:val="18"/>
        <w:lang w:val="en-AU"/>
      </w:rPr>
      <w:t xml:space="preserve"> </w:t>
    </w:r>
    <w:r w:rsidRPr="002216E7">
      <w:rPr>
        <w:rStyle w:val="PageNumber"/>
        <w:b/>
        <w:bCs/>
        <w:sz w:val="18"/>
        <w:szCs w:val="18"/>
      </w:rPr>
      <w:fldChar w:fldCharType="begin"/>
    </w:r>
    <w:r w:rsidRPr="002216E7">
      <w:rPr>
        <w:rStyle w:val="PageNumber"/>
        <w:b/>
        <w:bCs/>
        <w:sz w:val="18"/>
        <w:szCs w:val="18"/>
      </w:rPr>
      <w:instrText xml:space="preserve"> PAGE  \* Arabic </w:instrText>
    </w:r>
    <w:r w:rsidRPr="002216E7">
      <w:rPr>
        <w:rStyle w:val="PageNumber"/>
        <w:b/>
        <w:bCs/>
        <w:sz w:val="18"/>
        <w:szCs w:val="18"/>
      </w:rPr>
      <w:fldChar w:fldCharType="separate"/>
    </w:r>
    <w:r w:rsidR="00A76B91">
      <w:rPr>
        <w:rStyle w:val="PageNumber"/>
        <w:b/>
        <w:bCs/>
        <w:noProof/>
        <w:sz w:val="18"/>
        <w:szCs w:val="18"/>
      </w:rPr>
      <w:t>240</w:t>
    </w:r>
    <w:r w:rsidRPr="002216E7">
      <w:rPr>
        <w:rStyle w:val="PageNumber"/>
        <w:b/>
        <w:bCs/>
        <w:sz w:val="18"/>
        <w:szCs w:val="18"/>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E82FE" w14:textId="77777777" w:rsidR="00511059" w:rsidRPr="00B4084B" w:rsidRDefault="00511059" w:rsidP="00F46389">
    <w:pPr>
      <w:pStyle w:val="HeaderOdd"/>
    </w:pPr>
  </w:p>
  <w:p w14:paraId="68340D55" w14:textId="77777777" w:rsidR="00511059" w:rsidRPr="00A82D60" w:rsidRDefault="00511059" w:rsidP="00F46389">
    <w:pPr>
      <w:pStyle w:val="FooterOdd"/>
      <w:rPr>
        <w:rStyle w:val="PageNumber"/>
        <w:sz w:val="18"/>
      </w:rPr>
    </w:pPr>
    <w:r w:rsidRPr="00A82D60">
      <w:rPr>
        <w:rStyle w:val="PageNumber"/>
        <w:b/>
        <w:bCs/>
        <w:sz w:val="18"/>
      </w:rPr>
      <w:t xml:space="preserve">Page </w:t>
    </w:r>
    <w:r w:rsidRPr="00A82D60">
      <w:rPr>
        <w:rStyle w:val="PageNumber"/>
        <w:b/>
        <w:bCs/>
        <w:sz w:val="18"/>
      </w:rPr>
      <w:fldChar w:fldCharType="begin"/>
    </w:r>
    <w:r w:rsidRPr="00A82D60">
      <w:rPr>
        <w:rStyle w:val="PageNumber"/>
        <w:b/>
        <w:bCs/>
        <w:sz w:val="18"/>
      </w:rPr>
      <w:instrText xml:space="preserve"> PAGE  \* Arabic </w:instrText>
    </w:r>
    <w:r w:rsidRPr="00A82D60">
      <w:rPr>
        <w:rStyle w:val="PageNumber"/>
        <w:b/>
        <w:bCs/>
        <w:sz w:val="18"/>
      </w:rPr>
      <w:fldChar w:fldCharType="separate"/>
    </w:r>
    <w:r w:rsidR="00A76B91">
      <w:rPr>
        <w:rStyle w:val="PageNumber"/>
        <w:b/>
        <w:bCs/>
        <w:noProof/>
        <w:sz w:val="18"/>
      </w:rPr>
      <w:t>231</w:t>
    </w:r>
    <w:r w:rsidRPr="00A82D60">
      <w:rPr>
        <w:rStyle w:val="PageNumber"/>
        <w:b/>
        <w:bCs/>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EF01F" w14:textId="77777777" w:rsidR="00511059" w:rsidRPr="00A82D60" w:rsidRDefault="00511059" w:rsidP="00011CC7">
    <w:pPr>
      <w:pStyle w:val="FooterOdd"/>
      <w:rPr>
        <w:rStyle w:val="PageNumber"/>
        <w:sz w:val="18"/>
      </w:rPr>
    </w:pPr>
    <w:r w:rsidRPr="00A82D60">
      <w:rPr>
        <w:rStyle w:val="PageNumber"/>
        <w:b/>
        <w:bCs/>
        <w:sz w:val="18"/>
      </w:rPr>
      <w:t xml:space="preserve">Page </w:t>
    </w:r>
    <w:r w:rsidRPr="00A82D60">
      <w:rPr>
        <w:rStyle w:val="PageNumber"/>
        <w:b/>
        <w:bCs/>
        <w:sz w:val="18"/>
      </w:rPr>
      <w:fldChar w:fldCharType="begin"/>
    </w:r>
    <w:r w:rsidRPr="00A82D60">
      <w:rPr>
        <w:rStyle w:val="PageNumber"/>
        <w:b/>
        <w:bCs/>
        <w:sz w:val="18"/>
      </w:rPr>
      <w:instrText xml:space="preserve"> PAGE  \* Arabic </w:instrText>
    </w:r>
    <w:r w:rsidRPr="00A82D60">
      <w:rPr>
        <w:rStyle w:val="PageNumber"/>
        <w:b/>
        <w:bCs/>
        <w:sz w:val="18"/>
      </w:rPr>
      <w:fldChar w:fldCharType="separate"/>
    </w:r>
    <w:r w:rsidR="00A76B91">
      <w:rPr>
        <w:rStyle w:val="PageNumber"/>
        <w:b/>
        <w:bCs/>
        <w:noProof/>
        <w:sz w:val="18"/>
      </w:rPr>
      <w:t>233</w:t>
    </w:r>
    <w:r w:rsidRPr="00A82D60">
      <w:rPr>
        <w:rStyle w:val="PageNumber"/>
        <w:b/>
        <w:bCs/>
        <w:sz w:val="18"/>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68A3" w14:textId="77777777" w:rsidR="00511059" w:rsidRPr="00A82D60" w:rsidRDefault="00511059" w:rsidP="00B91697">
    <w:pPr>
      <w:pStyle w:val="FooterOdd"/>
      <w:rPr>
        <w:rStyle w:val="PageNumber"/>
        <w:sz w:val="18"/>
      </w:rPr>
    </w:pPr>
    <w:r w:rsidRPr="00A82D60">
      <w:rPr>
        <w:rStyle w:val="PageNumber"/>
        <w:b/>
        <w:bCs/>
        <w:sz w:val="18"/>
      </w:rPr>
      <w:t xml:space="preserve">Page </w:t>
    </w:r>
    <w:r w:rsidRPr="00A82D60">
      <w:rPr>
        <w:rStyle w:val="PageNumber"/>
        <w:b/>
        <w:bCs/>
        <w:sz w:val="18"/>
      </w:rPr>
      <w:fldChar w:fldCharType="begin"/>
    </w:r>
    <w:r w:rsidRPr="00A82D60">
      <w:rPr>
        <w:rStyle w:val="PageNumber"/>
        <w:b/>
        <w:bCs/>
        <w:sz w:val="18"/>
      </w:rPr>
      <w:instrText xml:space="preserve"> PAGE  \* Arabic </w:instrText>
    </w:r>
    <w:r w:rsidRPr="00A82D60">
      <w:rPr>
        <w:rStyle w:val="PageNumber"/>
        <w:b/>
        <w:bCs/>
        <w:sz w:val="18"/>
      </w:rPr>
      <w:fldChar w:fldCharType="separate"/>
    </w:r>
    <w:r w:rsidR="00A76B91">
      <w:rPr>
        <w:rStyle w:val="PageNumber"/>
        <w:b/>
        <w:bCs/>
        <w:noProof/>
        <w:sz w:val="18"/>
      </w:rPr>
      <w:t>239</w:t>
    </w:r>
    <w:r w:rsidRPr="00A82D60">
      <w:rPr>
        <w:rStyle w:val="PageNumber"/>
        <w:b/>
        <w:bCs/>
        <w:sz w:val="18"/>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45B1E" w14:textId="77777777" w:rsidR="00511059" w:rsidRPr="002030E8" w:rsidRDefault="00511059" w:rsidP="00011CC7">
    <w:pPr>
      <w:pStyle w:val="FooterOdd"/>
      <w:jc w:val="left"/>
      <w:rPr>
        <w:rFonts w:cs="Arial"/>
        <w:szCs w:val="18"/>
        <w:lang w:val="en-AU"/>
      </w:rPr>
    </w:pPr>
    <w:r w:rsidRPr="00B628E8">
      <w:rPr>
        <w:rStyle w:val="PageNumber"/>
        <w:rFonts w:cs="Times New Roman"/>
        <w:b/>
        <w:bCs/>
        <w:sz w:val="18"/>
      </w:rPr>
      <w:t>Page</w:t>
    </w:r>
    <w:r>
      <w:rPr>
        <w:rStyle w:val="PageNumber"/>
        <w:rFonts w:cs="Times New Roman"/>
        <w:b/>
        <w:bCs/>
        <w:sz w:val="18"/>
        <w:lang w:val="en-AU"/>
      </w:rPr>
      <w:t xml:space="preserve"> </w:t>
    </w:r>
    <w:r w:rsidRPr="002216E7">
      <w:rPr>
        <w:rStyle w:val="PageNumber"/>
        <w:b/>
        <w:bCs/>
        <w:sz w:val="18"/>
        <w:szCs w:val="18"/>
      </w:rPr>
      <w:fldChar w:fldCharType="begin"/>
    </w:r>
    <w:r w:rsidRPr="002216E7">
      <w:rPr>
        <w:rStyle w:val="PageNumber"/>
        <w:b/>
        <w:bCs/>
        <w:sz w:val="18"/>
        <w:szCs w:val="18"/>
      </w:rPr>
      <w:instrText xml:space="preserve"> PAGE  \* Arabic </w:instrText>
    </w:r>
    <w:r w:rsidRPr="002216E7">
      <w:rPr>
        <w:rStyle w:val="PageNumber"/>
        <w:b/>
        <w:bCs/>
        <w:sz w:val="18"/>
        <w:szCs w:val="18"/>
      </w:rPr>
      <w:fldChar w:fldCharType="separate"/>
    </w:r>
    <w:r w:rsidR="00A76B91">
      <w:rPr>
        <w:rStyle w:val="PageNumber"/>
        <w:b/>
        <w:bCs/>
        <w:noProof/>
        <w:sz w:val="18"/>
        <w:szCs w:val="18"/>
      </w:rPr>
      <w:t>236</w:t>
    </w:r>
    <w:r w:rsidRPr="002216E7">
      <w:rPr>
        <w:rStyle w:val="PageNumber"/>
        <w:b/>
        <w:bCs/>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7960A" w14:textId="77777777" w:rsidR="00511059" w:rsidRPr="00085043" w:rsidRDefault="00511059" w:rsidP="00085043">
    <w:pPr>
      <w:pStyle w:val="Footer"/>
      <w:rPr>
        <w:rStyle w:val="PageNumber"/>
        <w:rFonts w:cs="Times New Roman"/>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05457" w14:textId="77777777" w:rsidR="00511059" w:rsidRDefault="00511059" w:rsidP="00B8365B">
    <w:pPr>
      <w:pStyle w:val="Footer"/>
      <w:framePr w:wrap="around" w:vAnchor="page" w:hAnchor="page" w:x="1872" w:yAlign="center" w:anchorLock="1"/>
      <w:textDirection w:val="tbRl"/>
      <w:rPr>
        <w:rStyle w:val="PageNumber"/>
      </w:rPr>
    </w:pP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12F06F64" w14:textId="77777777" w:rsidR="00511059" w:rsidRDefault="00511059" w:rsidP="003A4566">
    <w:pPr>
      <w:pStyle w:val="DLMSecurity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AC7CB" w14:textId="77777777" w:rsidR="00511059" w:rsidRPr="00580B24" w:rsidRDefault="00511059">
    <w:pPr>
      <w:pStyle w:val="Footer"/>
      <w:rPr>
        <w:caps/>
        <w:noProof/>
      </w:rPr>
    </w:pPr>
    <w:r w:rsidRPr="00580B24">
      <w:rPr>
        <w:caps/>
      </w:rPr>
      <w:fldChar w:fldCharType="begin"/>
    </w:r>
    <w:r w:rsidRPr="00580B24">
      <w:rPr>
        <w:caps/>
      </w:rPr>
      <w:instrText xml:space="preserve"> PAGE   \* MERGEFORMAT </w:instrText>
    </w:r>
    <w:r w:rsidRPr="00580B24">
      <w:rPr>
        <w:caps/>
      </w:rPr>
      <w:fldChar w:fldCharType="separate"/>
    </w:r>
    <w:r>
      <w:rPr>
        <w:caps/>
        <w:noProof/>
      </w:rPr>
      <w:t>38</w:t>
    </w:r>
    <w:r w:rsidRPr="00580B24">
      <w:rPr>
        <w:caps/>
        <w:noProof/>
      </w:rPr>
      <w:fldChar w:fldCharType="end"/>
    </w:r>
  </w:p>
  <w:p w14:paraId="7E3F8651" w14:textId="77777777" w:rsidR="00511059" w:rsidRPr="00D232B7" w:rsidRDefault="00511059">
    <w:pPr>
      <w:pStyle w:val="Footer"/>
      <w:rPr>
        <w:rStyle w:val="PageNumber"/>
      </w:rP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979E5" w14:textId="77777777" w:rsidR="00511059" w:rsidRPr="00A82D60" w:rsidRDefault="00511059" w:rsidP="00B91697">
    <w:pPr>
      <w:pStyle w:val="FooterOdd"/>
      <w:rPr>
        <w:rStyle w:val="PageNumber"/>
        <w:sz w:val="18"/>
      </w:rPr>
    </w:pPr>
    <w:r w:rsidRPr="00A82D60">
      <w:rPr>
        <w:rStyle w:val="PageNumber"/>
        <w:b/>
        <w:bCs/>
        <w:sz w:val="18"/>
      </w:rPr>
      <w:t xml:space="preserve">Page </w:t>
    </w:r>
    <w:r w:rsidRPr="00A82D60">
      <w:rPr>
        <w:rStyle w:val="PageNumber"/>
        <w:b/>
        <w:bCs/>
        <w:sz w:val="18"/>
      </w:rPr>
      <w:fldChar w:fldCharType="begin"/>
    </w:r>
    <w:r w:rsidRPr="00A82D60">
      <w:rPr>
        <w:rStyle w:val="PageNumber"/>
        <w:b/>
        <w:bCs/>
        <w:sz w:val="18"/>
      </w:rPr>
      <w:instrText xml:space="preserve"> PAGE  \* Arabic </w:instrText>
    </w:r>
    <w:r w:rsidRPr="00A82D60">
      <w:rPr>
        <w:rStyle w:val="PageNumber"/>
        <w:b/>
        <w:bCs/>
        <w:sz w:val="18"/>
      </w:rPr>
      <w:fldChar w:fldCharType="separate"/>
    </w:r>
    <w:r w:rsidR="00A76B91">
      <w:rPr>
        <w:rStyle w:val="PageNumber"/>
        <w:b/>
        <w:bCs/>
        <w:noProof/>
        <w:sz w:val="18"/>
      </w:rPr>
      <w:t>241</w:t>
    </w:r>
    <w:r w:rsidRPr="00A82D60">
      <w:rPr>
        <w:rStyle w:val="PageNumber"/>
        <w:b/>
        <w:bCs/>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CF9C3" w14:textId="77777777" w:rsidR="00511059" w:rsidRPr="002030E8" w:rsidRDefault="00511059" w:rsidP="00B91697">
    <w:pPr>
      <w:pStyle w:val="FooterOdd"/>
      <w:jc w:val="left"/>
      <w:rPr>
        <w:rFonts w:cs="Arial"/>
        <w:szCs w:val="18"/>
        <w:lang w:val="en-AU"/>
      </w:rPr>
    </w:pPr>
    <w:r w:rsidRPr="00B628E8">
      <w:rPr>
        <w:rStyle w:val="PageNumber"/>
        <w:rFonts w:cs="Times New Roman"/>
        <w:b/>
        <w:bCs/>
        <w:sz w:val="18"/>
      </w:rPr>
      <w:t>Page</w:t>
    </w:r>
    <w:r>
      <w:rPr>
        <w:rStyle w:val="PageNumber"/>
        <w:rFonts w:cs="Times New Roman"/>
        <w:b/>
        <w:bCs/>
        <w:sz w:val="18"/>
        <w:lang w:val="en-AU"/>
      </w:rPr>
      <w:t xml:space="preserve"> </w:t>
    </w:r>
    <w:r w:rsidRPr="002216E7">
      <w:rPr>
        <w:rStyle w:val="PageNumber"/>
        <w:b/>
        <w:bCs/>
        <w:sz w:val="18"/>
        <w:szCs w:val="18"/>
      </w:rPr>
      <w:fldChar w:fldCharType="begin"/>
    </w:r>
    <w:r w:rsidRPr="002216E7">
      <w:rPr>
        <w:rStyle w:val="PageNumber"/>
        <w:b/>
        <w:bCs/>
        <w:sz w:val="18"/>
        <w:szCs w:val="18"/>
      </w:rPr>
      <w:instrText xml:space="preserve"> PAGE  \* Arabic </w:instrText>
    </w:r>
    <w:r w:rsidRPr="002216E7">
      <w:rPr>
        <w:rStyle w:val="PageNumber"/>
        <w:b/>
        <w:bCs/>
        <w:sz w:val="18"/>
        <w:szCs w:val="18"/>
      </w:rPr>
      <w:fldChar w:fldCharType="separate"/>
    </w:r>
    <w:r w:rsidR="00A76B91">
      <w:rPr>
        <w:rStyle w:val="PageNumber"/>
        <w:b/>
        <w:bCs/>
        <w:noProof/>
        <w:sz w:val="18"/>
        <w:szCs w:val="18"/>
      </w:rPr>
      <w:t>244</w:t>
    </w:r>
    <w:r w:rsidRPr="002216E7">
      <w:rPr>
        <w:rStyle w:val="PageNumber"/>
        <w:b/>
        <w:bCs/>
        <w:sz w:val="18"/>
        <w:szCs w:val="18"/>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FB53" w14:textId="77777777" w:rsidR="00511059" w:rsidRPr="00A82D60" w:rsidRDefault="00511059" w:rsidP="00B91697">
    <w:pPr>
      <w:pStyle w:val="FooterOdd"/>
      <w:rPr>
        <w:rStyle w:val="PageNumber"/>
        <w:sz w:val="18"/>
      </w:rPr>
    </w:pPr>
    <w:r w:rsidRPr="00A82D60">
      <w:rPr>
        <w:rStyle w:val="PageNumber"/>
        <w:b/>
        <w:bCs/>
        <w:sz w:val="18"/>
      </w:rPr>
      <w:t xml:space="preserve">Page </w:t>
    </w:r>
    <w:r w:rsidRPr="00A82D60">
      <w:rPr>
        <w:rStyle w:val="PageNumber"/>
        <w:b/>
        <w:bCs/>
        <w:sz w:val="18"/>
      </w:rPr>
      <w:fldChar w:fldCharType="begin"/>
    </w:r>
    <w:r w:rsidRPr="00A82D60">
      <w:rPr>
        <w:rStyle w:val="PageNumber"/>
        <w:b/>
        <w:bCs/>
        <w:sz w:val="18"/>
      </w:rPr>
      <w:instrText xml:space="preserve"> PAGE  \* Arabic </w:instrText>
    </w:r>
    <w:r w:rsidRPr="00A82D60">
      <w:rPr>
        <w:rStyle w:val="PageNumber"/>
        <w:b/>
        <w:bCs/>
        <w:sz w:val="18"/>
      </w:rPr>
      <w:fldChar w:fldCharType="separate"/>
    </w:r>
    <w:r w:rsidR="00A76B91">
      <w:rPr>
        <w:rStyle w:val="PageNumber"/>
        <w:b/>
        <w:bCs/>
        <w:noProof/>
        <w:sz w:val="18"/>
      </w:rPr>
      <w:t>245</w:t>
    </w:r>
    <w:r w:rsidRPr="00A82D60">
      <w:rPr>
        <w:rStyle w:val="PageNumber"/>
        <w:b/>
        <w:bCs/>
        <w:sz w:val="18"/>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0DD1A" w14:textId="77777777" w:rsidR="00511059" w:rsidRPr="002030E8" w:rsidRDefault="00511059" w:rsidP="00B91697">
    <w:pPr>
      <w:pStyle w:val="FooterOdd"/>
      <w:jc w:val="left"/>
      <w:rPr>
        <w:rFonts w:cs="Arial"/>
        <w:szCs w:val="18"/>
        <w:lang w:val="en-AU"/>
      </w:rPr>
    </w:pPr>
    <w:r w:rsidRPr="00B628E8">
      <w:rPr>
        <w:rStyle w:val="PageNumber"/>
        <w:rFonts w:cs="Times New Roman"/>
        <w:b/>
        <w:bCs/>
        <w:sz w:val="18"/>
      </w:rPr>
      <w:t>Page</w:t>
    </w:r>
    <w:r>
      <w:rPr>
        <w:rStyle w:val="PageNumber"/>
        <w:rFonts w:cs="Times New Roman"/>
        <w:b/>
        <w:bCs/>
        <w:sz w:val="18"/>
        <w:lang w:val="en-AU"/>
      </w:rPr>
      <w:t xml:space="preserve"> </w:t>
    </w:r>
    <w:r w:rsidRPr="002216E7">
      <w:rPr>
        <w:rStyle w:val="PageNumber"/>
        <w:b/>
        <w:bCs/>
        <w:sz w:val="18"/>
        <w:szCs w:val="18"/>
      </w:rPr>
      <w:fldChar w:fldCharType="begin"/>
    </w:r>
    <w:r w:rsidRPr="002216E7">
      <w:rPr>
        <w:rStyle w:val="PageNumber"/>
        <w:b/>
        <w:bCs/>
        <w:sz w:val="18"/>
        <w:szCs w:val="18"/>
      </w:rPr>
      <w:instrText xml:space="preserve"> PAGE  \* Arabic </w:instrText>
    </w:r>
    <w:r w:rsidRPr="002216E7">
      <w:rPr>
        <w:rStyle w:val="PageNumber"/>
        <w:b/>
        <w:bCs/>
        <w:sz w:val="18"/>
        <w:szCs w:val="18"/>
      </w:rPr>
      <w:fldChar w:fldCharType="separate"/>
    </w:r>
    <w:r w:rsidR="00A76B91">
      <w:rPr>
        <w:rStyle w:val="PageNumber"/>
        <w:b/>
        <w:bCs/>
        <w:noProof/>
        <w:sz w:val="18"/>
        <w:szCs w:val="18"/>
      </w:rPr>
      <w:t>242</w:t>
    </w:r>
    <w:r w:rsidRPr="002216E7">
      <w:rPr>
        <w:rStyle w:val="PageNumber"/>
        <w:b/>
        <w:bCs/>
        <w:sz w:val="18"/>
        <w:szCs w:val="18"/>
      </w:rPr>
      <w:fldChar w:fldCharType="end"/>
    </w:r>
    <w:r>
      <w:rPr>
        <w:b/>
        <w:bCs/>
        <w:noProof/>
        <w:lang w:val="en-AU"/>
      </w:rP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C1574" w14:textId="77777777" w:rsidR="00511059" w:rsidRPr="00EB5F20" w:rsidRDefault="00511059" w:rsidP="00EB5F2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571CA" w14:textId="77777777" w:rsidR="00511059" w:rsidRPr="009F2A20" w:rsidRDefault="00511059" w:rsidP="009F2A20">
    <w:pPr>
      <w:pStyle w:val="Footer"/>
      <w:rPr>
        <w:rStyle w:val="PageNumber"/>
        <w:rFonts w:cs="Times New Roman"/>
      </w:rP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F8783" w14:textId="77777777" w:rsidR="00511059" w:rsidRPr="009F2A20" w:rsidRDefault="00511059" w:rsidP="009F2A2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C0B15" w14:textId="77777777" w:rsidR="00511059" w:rsidRDefault="00511059" w:rsidP="00EB5F20">
    <w:pPr>
      <w:pStyle w:val="FooterOdd"/>
      <w:jc w:val="left"/>
      <w:rPr>
        <w:noProof/>
      </w:rPr>
    </w:pPr>
    <w:r w:rsidRPr="00B628E8">
      <w:rPr>
        <w:rStyle w:val="PageNumber"/>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A76B91">
      <w:rPr>
        <w:b/>
        <w:bCs/>
        <w:noProof/>
      </w:rPr>
      <w:t>272</w:t>
    </w:r>
    <w:r w:rsidRPr="00B628E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F3612" w14:textId="77777777" w:rsidR="00CD76C2" w:rsidRDefault="00CD76C2" w:rsidP="00C07DEC">
      <w:r>
        <w:separator/>
      </w:r>
    </w:p>
  </w:footnote>
  <w:footnote w:type="continuationSeparator" w:id="0">
    <w:p w14:paraId="5A4DA435" w14:textId="77777777" w:rsidR="00CD76C2" w:rsidRDefault="00CD76C2" w:rsidP="00C0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7EAE1" w14:textId="77777777" w:rsidR="00511059" w:rsidRDefault="00511059">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808" w:type="dxa"/>
      <w:tblLook w:val="04A0" w:firstRow="1" w:lastRow="0" w:firstColumn="1" w:lastColumn="0" w:noHBand="0" w:noVBand="1"/>
    </w:tblPr>
    <w:tblGrid>
      <w:gridCol w:w="7808"/>
    </w:tblGrid>
    <w:tr w:rsidR="00511059" w14:paraId="3DC2C5E2" w14:textId="77777777" w:rsidTr="00A1302F">
      <w:trPr>
        <w:trHeight w:hRule="exact" w:val="326"/>
      </w:trPr>
      <w:tc>
        <w:tcPr>
          <w:tcW w:w="7808" w:type="dxa"/>
        </w:tcPr>
        <w:p w14:paraId="2832BE7F" w14:textId="77777777" w:rsidR="00511059" w:rsidRDefault="00511059" w:rsidP="00C5714B">
          <w:pPr>
            <w:pStyle w:val="HeaderEven"/>
            <w:jc w:val="right"/>
          </w:pPr>
        </w:p>
      </w:tc>
    </w:tr>
  </w:tbl>
  <w:p w14:paraId="742E4E55" w14:textId="77777777" w:rsidR="00511059" w:rsidRPr="00C5714B" w:rsidRDefault="00511059" w:rsidP="00C5714B">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20216565" w14:textId="77777777" w:rsidTr="006D1838">
      <w:trPr>
        <w:trHeight w:hRule="exact" w:val="340"/>
      </w:trPr>
      <w:tc>
        <w:tcPr>
          <w:tcW w:w="7797" w:type="dxa"/>
        </w:tcPr>
        <w:p w14:paraId="0E8F078D" w14:textId="77777777" w:rsidR="00511059" w:rsidRDefault="00511059" w:rsidP="006D1838">
          <w:pPr>
            <w:pStyle w:val="HeaderOdd"/>
          </w:pPr>
        </w:p>
      </w:tc>
    </w:tr>
  </w:tbl>
  <w:p w14:paraId="3C3B9DDF" w14:textId="77777777" w:rsidR="00511059" w:rsidRPr="00B4084B" w:rsidRDefault="00511059" w:rsidP="006D1838">
    <w:pPr>
      <w:pStyle w:val="HeaderOdd"/>
      <w:jc w:val="both"/>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EDE9D" w14:textId="77777777" w:rsidR="00511059" w:rsidRDefault="00511059" w:rsidP="00A929E1">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9A40" w14:textId="77777777" w:rsidR="00511059" w:rsidRDefault="00511059" w:rsidP="00A929E1">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B2BC9" w14:textId="77777777" w:rsidR="00511059" w:rsidRDefault="00511059" w:rsidP="00A929E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C705F" w14:textId="77777777" w:rsidR="00511059" w:rsidRPr="00F00984" w:rsidRDefault="00511059" w:rsidP="00A02E16">
    <w:pPr>
      <w:pStyle w:val="HeaderEven"/>
    </w:pPr>
    <w:r w:rsidRPr="000635BE">
      <w:rPr>
        <w:rFonts w:ascii="Arial Bold" w:hAnsi="Arial Bold"/>
        <w:b/>
        <w:bCs/>
        <w:noProof/>
        <w:position w:val="-10"/>
      </w:rPr>
      <w:drawing>
        <wp:inline distT="0" distB="0" distL="0" distR="0" wp14:anchorId="2C478C1A" wp14:editId="4FD6967D">
          <wp:extent cx="989308" cy="170121"/>
          <wp:effectExtent l="0" t="0" r="190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sidRPr="00293991">
      <w:rPr>
        <w:rStyle w:val="PageNumber"/>
        <w:sz w:val="18"/>
      </w:rPr>
      <w:fldChar w:fldCharType="begin"/>
    </w:r>
    <w:r w:rsidRPr="00293991">
      <w:rPr>
        <w:rStyle w:val="PageNumber"/>
        <w:sz w:val="18"/>
      </w:rPr>
      <w:instrText xml:space="preserve"> STYLEREF  "Heading 1"  \* MERGEFORMAT </w:instrText>
    </w:r>
    <w:r w:rsidRPr="00293991">
      <w:rPr>
        <w:rStyle w:val="PageNumber"/>
        <w:sz w:val="18"/>
      </w:rPr>
      <w:fldChar w:fldCharType="separate"/>
    </w:r>
    <w:r w:rsidR="00A76B91">
      <w:rPr>
        <w:rStyle w:val="PageNumber"/>
        <w:noProof/>
        <w:sz w:val="18"/>
      </w:rPr>
      <w:t>Office of National Intelligence</w:t>
    </w:r>
    <w:r w:rsidRPr="00293991">
      <w:rPr>
        <w:rStyle w:val="PageNumber"/>
        <w:sz w:val="18"/>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FCF81" w14:textId="77777777" w:rsidR="00511059" w:rsidRPr="00B4084B" w:rsidRDefault="00511059" w:rsidP="00521CBE">
    <w:pPr>
      <w:pStyle w:val="HeaderOdd"/>
    </w:pPr>
    <w:r w:rsidRPr="00293991">
      <w:rPr>
        <w:rStyle w:val="PageNumber"/>
        <w:sz w:val="18"/>
      </w:rPr>
      <w:fldChar w:fldCharType="begin"/>
    </w:r>
    <w:r w:rsidRPr="00293991">
      <w:rPr>
        <w:rStyle w:val="PageNumber"/>
        <w:sz w:val="18"/>
      </w:rPr>
      <w:instrText xml:space="preserve"> STYLEREF  "Heading 1"  \* MERGEFORMAT </w:instrText>
    </w:r>
    <w:r w:rsidRPr="00293991">
      <w:rPr>
        <w:rStyle w:val="PageNumber"/>
        <w:sz w:val="18"/>
      </w:rPr>
      <w:fldChar w:fldCharType="separate"/>
    </w:r>
    <w:r w:rsidR="00A76B91">
      <w:rPr>
        <w:rStyle w:val="PageNumber"/>
        <w:noProof/>
        <w:sz w:val="18"/>
      </w:rPr>
      <w:t>Office of National Intelligence</w:t>
    </w:r>
    <w:r w:rsidRPr="00293991">
      <w:rPr>
        <w:rStyle w:val="PageNumber"/>
        <w:sz w:val="18"/>
      </w:rPr>
      <w:fldChar w:fldCharType="end"/>
    </w:r>
    <w:r>
      <w:rPr>
        <w:rStyle w:val="PageNumber"/>
        <w:sz w:val="18"/>
      </w:rPr>
      <w:t xml:space="preserve">  </w:t>
    </w:r>
    <w:r w:rsidRPr="00213592">
      <w:rPr>
        <w:position w:val="-2"/>
      </w:rPr>
      <w:t xml:space="preserve">|  </w:t>
    </w:r>
    <w:r w:rsidRPr="000635BE">
      <w:rPr>
        <w:rFonts w:ascii="Arial Bold" w:hAnsi="Arial Bold"/>
        <w:b/>
        <w:bCs/>
        <w:noProof/>
        <w:position w:val="-10"/>
      </w:rPr>
      <w:drawing>
        <wp:inline distT="0" distB="0" distL="0" distR="0" wp14:anchorId="76581977" wp14:editId="2CD5E530">
          <wp:extent cx="989308" cy="170121"/>
          <wp:effectExtent l="0" t="0" r="1905" b="190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59C883B8" w14:textId="77777777" w:rsidR="00511059" w:rsidRPr="00521CBE" w:rsidRDefault="00511059" w:rsidP="00521CB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34BC4" w14:textId="77777777" w:rsidR="00511059" w:rsidRPr="00293991" w:rsidRDefault="00511059" w:rsidP="00293991">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E2E98" w14:textId="77777777" w:rsidR="00511059" w:rsidRPr="00B4084B" w:rsidRDefault="00511059" w:rsidP="006867C3">
    <w:pPr>
      <w:pStyle w:val="HeaderOdd"/>
    </w:pPr>
    <w:r w:rsidRPr="00293991">
      <w:rPr>
        <w:rStyle w:val="PageNumber"/>
        <w:sz w:val="18"/>
      </w:rPr>
      <w:fldChar w:fldCharType="begin"/>
    </w:r>
    <w:r w:rsidRPr="00293991">
      <w:rPr>
        <w:rStyle w:val="PageNumber"/>
        <w:sz w:val="18"/>
      </w:rPr>
      <w:instrText xml:space="preserve"> STYLEREF  "Heading 1"  \* MERGEFORMAT </w:instrText>
    </w:r>
    <w:r w:rsidRPr="00293991">
      <w:rPr>
        <w:rStyle w:val="PageNumber"/>
        <w:sz w:val="18"/>
      </w:rPr>
      <w:fldChar w:fldCharType="separate"/>
    </w:r>
    <w:r w:rsidR="00A76B91">
      <w:rPr>
        <w:rStyle w:val="PageNumber"/>
        <w:noProof/>
        <w:sz w:val="18"/>
      </w:rPr>
      <w:t>Office of National Intelligence</w:t>
    </w:r>
    <w:r w:rsidRPr="00293991">
      <w:rPr>
        <w:rStyle w:val="PageNumber"/>
        <w:sz w:val="18"/>
      </w:rPr>
      <w:fldChar w:fldCharType="end"/>
    </w:r>
    <w:r>
      <w:rPr>
        <w:rStyle w:val="PageNumber"/>
        <w:sz w:val="18"/>
      </w:rPr>
      <w:t xml:space="preserve">  </w:t>
    </w:r>
    <w:r w:rsidRPr="00213592">
      <w:rPr>
        <w:position w:val="-2"/>
      </w:rPr>
      <w:t xml:space="preserve">|  </w:t>
    </w:r>
    <w:r w:rsidRPr="000635BE">
      <w:rPr>
        <w:rFonts w:ascii="Arial Bold" w:hAnsi="Arial Bold"/>
        <w:b/>
        <w:bCs/>
        <w:noProof/>
        <w:position w:val="-10"/>
      </w:rPr>
      <w:drawing>
        <wp:inline distT="0" distB="0" distL="0" distR="0" wp14:anchorId="24C63F20" wp14:editId="64707C8C">
          <wp:extent cx="989308" cy="170121"/>
          <wp:effectExtent l="0" t="0" r="1905" b="190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F644" w14:textId="77777777" w:rsidR="00511059" w:rsidRPr="00C221A7" w:rsidRDefault="00511059" w:rsidP="00C221A7">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2238F" w14:textId="77777777" w:rsidR="00511059" w:rsidRPr="00521CBE" w:rsidRDefault="00511059" w:rsidP="00521C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038CE" w14:textId="77777777" w:rsidR="00511059" w:rsidRDefault="00511059" w:rsidP="004461A4">
    <w:pPr>
      <w:pStyle w:val="DLMSecurity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8818A" w14:textId="77777777" w:rsidR="00511059" w:rsidRPr="00446C60" w:rsidRDefault="00511059" w:rsidP="00446C60">
    <w:pPr>
      <w:pStyle w:val="PlainText"/>
      <w:rPr>
        <w:rFonts w:ascii="Arial" w:hAnsi="Arial" w:cs="Arial"/>
        <w:sz w:val="18"/>
        <w:szCs w:val="18"/>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77A74" w14:textId="77777777" w:rsidR="00511059" w:rsidRPr="00F00984" w:rsidRDefault="00511059" w:rsidP="00C221A7">
    <w:pPr>
      <w:pStyle w:val="HeaderEven"/>
    </w:pPr>
    <w:r w:rsidRPr="000635BE">
      <w:rPr>
        <w:rFonts w:ascii="Arial Bold" w:hAnsi="Arial Bold"/>
        <w:b/>
        <w:bCs/>
        <w:noProof/>
        <w:position w:val="-10"/>
      </w:rPr>
      <w:drawing>
        <wp:inline distT="0" distB="0" distL="0" distR="0" wp14:anchorId="4A670377" wp14:editId="6CFCC8B1">
          <wp:extent cx="989308" cy="170121"/>
          <wp:effectExtent l="0" t="0" r="1905" b="190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Pr>
        <w:position w:val="-2"/>
      </w:rPr>
      <w:t>|  Office of the Official Secretary to the Governor-General</w:t>
    </w:r>
  </w:p>
  <w:p w14:paraId="50A17C98" w14:textId="77777777" w:rsidR="00511059" w:rsidRPr="00C221A7" w:rsidRDefault="00511059" w:rsidP="00C221A7">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45F50" w14:textId="77777777" w:rsidR="00511059" w:rsidRPr="00B4084B" w:rsidRDefault="00511059" w:rsidP="00C221A7">
    <w:pPr>
      <w:pStyle w:val="HeaderOdd"/>
    </w:pPr>
    <w:r>
      <w:rPr>
        <w:position w:val="-2"/>
      </w:rPr>
      <w:t>Office of the Official Secretary to the Governor-General</w:t>
    </w:r>
    <w:r>
      <w:rPr>
        <w:rStyle w:val="PageNumber"/>
        <w:sz w:val="18"/>
      </w:rPr>
      <w:t xml:space="preserve">  </w:t>
    </w:r>
    <w:r w:rsidRPr="00213592">
      <w:rPr>
        <w:position w:val="-2"/>
      </w:rPr>
      <w:t xml:space="preserve">|  </w:t>
    </w:r>
    <w:r w:rsidRPr="000635BE">
      <w:rPr>
        <w:rFonts w:ascii="Arial Bold" w:hAnsi="Arial Bold"/>
        <w:b/>
        <w:bCs/>
        <w:noProof/>
        <w:position w:val="-10"/>
      </w:rPr>
      <w:drawing>
        <wp:inline distT="0" distB="0" distL="0" distR="0" wp14:anchorId="38AC0DAF" wp14:editId="3B95D541">
          <wp:extent cx="989308" cy="170121"/>
          <wp:effectExtent l="0" t="0" r="1905" b="190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6CF96A75" w14:textId="77777777" w:rsidR="00511059" w:rsidRPr="00521CBE" w:rsidRDefault="00511059" w:rsidP="00521CB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6394E" w14:textId="77777777" w:rsidR="00511059" w:rsidRPr="00446C60" w:rsidRDefault="00511059" w:rsidP="00446C60">
    <w:pPr>
      <w:pStyle w:val="PlainText"/>
      <w:rPr>
        <w:rFonts w:ascii="Arial" w:hAnsi="Arial" w:cs="Arial"/>
        <w:sz w:val="18"/>
        <w:szCs w:val="18"/>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FF86" w14:textId="77777777" w:rsidR="00511059" w:rsidRPr="00C221A7" w:rsidRDefault="00511059" w:rsidP="00C221A7">
    <w:pPr>
      <w:pStyle w:val="Header"/>
    </w:pPr>
    <w:r w:rsidRPr="000635BE">
      <w:rPr>
        <w:rFonts w:ascii="Arial Bold" w:hAnsi="Arial Bold"/>
        <w:b/>
        <w:bCs/>
        <w:noProof/>
        <w:position w:val="-10"/>
        <w:lang w:val="en-AU"/>
      </w:rPr>
      <w:drawing>
        <wp:inline distT="0" distB="0" distL="0" distR="0" wp14:anchorId="7E2300EA" wp14:editId="1FE71D33">
          <wp:extent cx="989308" cy="170121"/>
          <wp:effectExtent l="0" t="0" r="1905" b="190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Pr>
        <w:position w:val="-2"/>
      </w:rPr>
      <w:t xml:space="preserve">|  </w:t>
    </w:r>
    <w:r w:rsidRPr="00C221A7">
      <w:rPr>
        <w:rFonts w:ascii="Arial" w:hAnsi="Arial" w:cs="Arial"/>
        <w:i w:val="0"/>
        <w:position w:val="-2"/>
        <w:sz w:val="18"/>
      </w:rPr>
      <w:t>Office of the Official Secretary to the Governor-General</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F176A" w14:textId="77777777" w:rsidR="00511059" w:rsidRPr="00850462" w:rsidRDefault="00511059" w:rsidP="00901F73">
    <w:pPr>
      <w:framePr w:w="289" w:h="7663" w:hRule="exact" w:wrap="around" w:vAnchor="page" w:hAnchor="page" w:x="14646" w:y="2093" w:anchorLock="1"/>
      <w:spacing w:line="276" w:lineRule="auto"/>
      <w:jc w:val="left"/>
      <w:textDirection w:val="tbRl"/>
      <w:rPr>
        <w:rStyle w:val="FramedHeader"/>
      </w:rPr>
    </w:pPr>
  </w:p>
  <w:p w14:paraId="67923F95" w14:textId="77777777" w:rsidR="00511059" w:rsidRPr="003364C1" w:rsidRDefault="00511059" w:rsidP="003364C1">
    <w:pPr>
      <w:pStyle w:val="Header"/>
    </w:pPr>
    <w:r>
      <w:rPr>
        <w:noProof/>
        <w:lang w:val="en-AU"/>
      </w:rPr>
      <mc:AlternateContent>
        <mc:Choice Requires="wps">
          <w:drawing>
            <wp:anchor distT="0" distB="0" distL="114300" distR="114300" simplePos="0" relativeHeight="251765248" behindDoc="0" locked="0" layoutInCell="1" allowOverlap="1" wp14:anchorId="005801AD" wp14:editId="4B44FCA6">
              <wp:simplePos x="0" y="0"/>
              <wp:positionH relativeFrom="page">
                <wp:posOffset>129309</wp:posOffset>
              </wp:positionH>
              <wp:positionV relativeFrom="page">
                <wp:posOffset>1385454</wp:posOffset>
              </wp:positionV>
              <wp:extent cx="942975" cy="5006109"/>
              <wp:effectExtent l="0" t="0" r="9525" b="4445"/>
              <wp:wrapNone/>
              <wp:docPr id="559" name="Text Box 6" descr="Landscape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006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63105" w14:textId="77777777" w:rsidR="00511059" w:rsidRDefault="00511059" w:rsidP="00C97362">
                          <w:pPr>
                            <w:pStyle w:val="FileProperties"/>
                            <w:tabs>
                              <w:tab w:val="right" w:pos="7711"/>
                            </w:tabs>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FE1E5" id="_x0000_t202" coordsize="21600,21600" o:spt="202" path="m,l,21600r21600,l21600,xe">
              <v:stroke joinstyle="miter"/>
              <v:path gradientshapeok="t" o:connecttype="rect"/>
            </v:shapetype>
            <v:shape id="_x0000_s1056" type="#_x0000_t202" alt="Landscape Classification Footer" style="position:absolute;margin-left:10.2pt;margin-top:109.1pt;width:74.25pt;height:394.2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" stroked="f">
              <v:textbox style="layout-flow:vertical">
                <w:txbxContent>
                  <w:p w:rsidR="00511059" w:rsidRDefault="00511059" w:rsidP="00C97362">
                    <w:pPr>
                      <w:pStyle w:val="FileProperties"/>
                      <w:tabs>
                        <w:tab w:val="right" w:pos="7711"/>
                      </w:tabs>
                    </w:pP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0B609" w14:textId="77777777" w:rsidR="00511059" w:rsidRDefault="00511059" w:rsidP="003B3684">
    <w:pPr>
      <w:pStyle w:val="HeaderEven"/>
    </w:pPr>
    <w:r w:rsidRPr="005E792C">
      <w:rPr>
        <w:noProof/>
        <w:sz w:val="2"/>
        <w:szCs w:val="2"/>
      </w:rPr>
      <mc:AlternateContent>
        <mc:Choice Requires="wps">
          <w:drawing>
            <wp:anchor distT="0" distB="0" distL="114300" distR="114300" simplePos="0" relativeHeight="251769344" behindDoc="0" locked="0" layoutInCell="1" allowOverlap="1" wp14:anchorId="309D4BFE" wp14:editId="1D790F6A">
              <wp:simplePos x="0" y="0"/>
              <wp:positionH relativeFrom="column">
                <wp:posOffset>-541020</wp:posOffset>
              </wp:positionH>
              <wp:positionV relativeFrom="margin">
                <wp:posOffset>0</wp:posOffset>
              </wp:positionV>
              <wp:extent cx="399600" cy="4896000"/>
              <wp:effectExtent l="0" t="0" r="635" b="0"/>
              <wp:wrapNone/>
              <wp:docPr id="560"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w="9525">
                        <a:noFill/>
                        <a:miter lim="800000"/>
                        <a:headEnd/>
                        <a:tailEnd/>
                      </a:ln>
                    </wps:spPr>
                    <wps:txbx>
                      <w:txbxContent>
                        <w:p w14:paraId="44FD45E8" w14:textId="77777777" w:rsidR="00511059" w:rsidRDefault="00511059" w:rsidP="0062706E">
                          <w:pPr>
                            <w:pStyle w:val="FooterOdd"/>
                          </w:pPr>
                          <w:r>
                            <w:rPr>
                              <w:noProof/>
                            </w:rPr>
                            <w:fldChar w:fldCharType="begin"/>
                          </w:r>
                          <w:r>
                            <w:rPr>
                              <w:noProof/>
                            </w:rPr>
                            <w:instrText xml:space="preserve"> STYLEREF  "Heading 1"  \* MERGEFORMAT </w:instrText>
                          </w:r>
                          <w:r>
                            <w:rPr>
                              <w:noProof/>
                            </w:rPr>
                            <w:fldChar w:fldCharType="separate"/>
                          </w:r>
                          <w:r>
                            <w:rPr>
                              <w:noProof/>
                            </w:rPr>
                            <w:t>Office of National Intelligence</w:t>
                          </w:r>
                          <w:r>
                            <w:rPr>
                              <w:noProof/>
                            </w:rPr>
                            <w:fldChar w:fldCharType="end"/>
                          </w:r>
                          <w:r w:rsidRPr="00B3705D">
                            <w:t xml:space="preserve">  |  </w:t>
                          </w:r>
                          <w:r w:rsidRPr="00B3705D">
                            <w:rPr>
                              <w:b/>
                              <w:bCs/>
                            </w:rPr>
                            <w:t xml:space="preserve">Page </w:t>
                          </w:r>
                          <w:r w:rsidRPr="00B3705D">
                            <w:rPr>
                              <w:b/>
                              <w:bCs/>
                            </w:rPr>
                            <w:fldChar w:fldCharType="begin"/>
                          </w:r>
                          <w:r w:rsidRPr="00B3705D">
                            <w:rPr>
                              <w:b/>
                              <w:bCs/>
                            </w:rPr>
                            <w:instrText xml:space="preserve"> PAGE  \* Arabic  \* MERGEFORMAT </w:instrText>
                          </w:r>
                          <w:r w:rsidRPr="00B3705D">
                            <w:rPr>
                              <w:b/>
                              <w:bCs/>
                            </w:rPr>
                            <w:fldChar w:fldCharType="separate"/>
                          </w:r>
                          <w:r>
                            <w:rPr>
                              <w:b/>
                              <w:bCs/>
                              <w:noProof/>
                            </w:rPr>
                            <w:t>267</w:t>
                          </w:r>
                          <w:r w:rsidRPr="00B3705D">
                            <w:rPr>
                              <w:b/>
                              <w:bCs/>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4772F" id="_x0000_t202" coordsize="21600,21600" o:spt="202" path="m,l,21600r21600,l21600,xe">
              <v:stroke joinstyle="miter"/>
              <v:path gradientshapeok="t" o:connecttype="rect"/>
            </v:shapetype>
            <v:shape id="_x0000_s1057" type="#_x0000_t202" alt="Landscape Page Number" style="position:absolute;margin-left:-42.6pt;margin-top:0;width:31.45pt;height:38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" stroked="f">
              <v:textbox style="layout-flow:vertical" inset="0,0,0,0">
                <w:txbxContent>
                  <w:p w:rsidR="00511059" w:rsidRDefault="00511059" w:rsidP="0062706E">
                    <w:pPr>
                      <w:pStyle w:val="FooterOdd"/>
                    </w:pPr>
                    <w:r>
                      <w:rPr>
                        <w:noProof/>
                      </w:rPr>
                      <w:fldChar w:fldCharType="begin"/>
                    </w:r>
                    <w:r>
                      <w:rPr>
                        <w:noProof/>
                      </w:rPr>
                      <w:instrText xml:space="preserve"> STYLEREF  "Heading 1"  \* MERGEFORMAT </w:instrText>
                    </w:r>
                    <w:r>
                      <w:rPr>
                        <w:noProof/>
                      </w:rPr>
                      <w:fldChar w:fldCharType="separate"/>
                    </w:r>
                    <w:r>
                      <w:rPr>
                        <w:noProof/>
                      </w:rPr>
                      <w:t>Office of National Intelligence</w:t>
                    </w:r>
                    <w:r>
                      <w:rPr>
                        <w:noProof/>
                      </w:rPr>
                      <w:fldChar w:fldCharType="end"/>
                    </w:r>
                    <w:r w:rsidRPr="00B3705D">
                      <w:t xml:space="preserve">  |  </w:t>
                    </w:r>
                    <w:r w:rsidRPr="00B3705D">
                      <w:rPr>
                        <w:b/>
                        <w:bCs/>
                      </w:rPr>
                      <w:t xml:space="preserve">Page </w:t>
                    </w:r>
                    <w:r w:rsidRPr="00B3705D">
                      <w:rPr>
                        <w:b/>
                        <w:bCs/>
                      </w:rPr>
                      <w:fldChar w:fldCharType="begin"/>
                    </w:r>
                    <w:r w:rsidRPr="00B3705D">
                      <w:rPr>
                        <w:b/>
                        <w:bCs/>
                      </w:rPr>
                      <w:instrText xml:space="preserve"> PAGE  \* Arabic  \* MERGEFORMAT </w:instrText>
                    </w:r>
                    <w:r w:rsidRPr="00B3705D">
                      <w:rPr>
                        <w:b/>
                        <w:bCs/>
                      </w:rPr>
                      <w:fldChar w:fldCharType="separate"/>
                    </w:r>
                    <w:r>
                      <w:rPr>
                        <w:b/>
                        <w:bCs/>
                        <w:noProof/>
                      </w:rPr>
                      <w:t>267</w:t>
                    </w:r>
                    <w:r w:rsidRPr="00B3705D">
                      <w:rPr>
                        <w:b/>
                        <w:bCs/>
                      </w:rPr>
                      <w:fldChar w:fldCharType="end"/>
                    </w:r>
                  </w:p>
                </w:txbxContent>
              </v:textbox>
              <w10:wrap anchory="margin"/>
            </v:shape>
          </w:pict>
        </mc:Fallback>
      </mc:AlternateContent>
    </w:r>
    <w:r w:rsidRPr="0097580B">
      <w:rPr>
        <w:noProof/>
        <w:sz w:val="32"/>
        <w:szCs w:val="32"/>
      </w:rPr>
      <mc:AlternateContent>
        <mc:Choice Requires="wps">
          <w:drawing>
            <wp:anchor distT="0" distB="0" distL="114300" distR="114300" simplePos="0" relativeHeight="251768320" behindDoc="0" locked="0" layoutInCell="1" allowOverlap="1" wp14:anchorId="48511B91" wp14:editId="6A9B5D25">
              <wp:simplePos x="0" y="0"/>
              <wp:positionH relativeFrom="column">
                <wp:posOffset>7560945</wp:posOffset>
              </wp:positionH>
              <wp:positionV relativeFrom="margin">
                <wp:posOffset>0</wp:posOffset>
              </wp:positionV>
              <wp:extent cx="399600" cy="4896000"/>
              <wp:effectExtent l="0" t="0" r="635" b="0"/>
              <wp:wrapNone/>
              <wp:docPr id="561"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E75C3" w14:textId="77777777" w:rsidR="00511059" w:rsidRPr="00137C7E" w:rsidRDefault="00511059" w:rsidP="008C444D">
                          <w:pPr>
                            <w:pStyle w:val="HeaderOdd"/>
                          </w:pPr>
                          <w:r w:rsidRPr="004D660D">
                            <w:rPr>
                              <w:position w:val="-2"/>
                            </w:rPr>
                            <w:t>Portfolio Budget Statements  |</w:t>
                          </w:r>
                          <w:r>
                            <w:t xml:space="preserve">  </w:t>
                          </w:r>
                          <w:r w:rsidRPr="000635BE">
                            <w:rPr>
                              <w:rFonts w:ascii="Arial Bold" w:hAnsi="Arial Bold"/>
                              <w:b/>
                              <w:bCs/>
                              <w:noProof/>
                              <w:position w:val="-10"/>
                            </w:rPr>
                            <w:drawing>
                              <wp:inline distT="0" distB="0" distL="0" distR="0" wp14:anchorId="2FC46A5F" wp14:editId="1D317BF5">
                                <wp:extent cx="1000760" cy="172091"/>
                                <wp:effectExtent l="0" t="4763" r="4128" b="4127"/>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172091"/>
                                        </a:xfrm>
                                        <a:prstGeom prst="rect">
                                          <a:avLst/>
                                        </a:prstGeom>
                                        <a:noFill/>
                                      </pic:spPr>
                                    </pic:pic>
                                  </a:graphicData>
                                </a:graphic>
                              </wp:inline>
                            </w:drawing>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6F4F" id="_x0000_s1058" type="#_x0000_t202" alt="Landscape Odd Header" style="position:absolute;margin-left:595.35pt;margin-top:0;width:31.45pt;height:38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" stroked="f">
              <v:textbox style="layout-flow:vertical" inset="0,0,0,.2mm">
                <w:txbxContent>
                  <w:p w:rsidR="00511059" w:rsidRPr="00137C7E" w:rsidRDefault="00511059" w:rsidP="008C444D">
                    <w:pPr>
                      <w:pStyle w:val="HeaderOdd"/>
                    </w:pPr>
                    <w:r w:rsidRPr="004D660D">
                      <w:rPr>
                        <w:position w:val="-2"/>
                      </w:rPr>
                      <w:t>Portfolio Budget Statements  |</w:t>
                    </w:r>
                    <w:r>
                      <w:t xml:space="preserve">  </w:t>
                    </w:r>
                    <w:r w:rsidRPr="000635BE">
                      <w:rPr>
                        <w:rFonts w:ascii="Arial Bold" w:hAnsi="Arial Bold"/>
                        <w:b/>
                        <w:bCs/>
                        <w:noProof/>
                        <w:position w:val="-10"/>
                      </w:rPr>
                      <w:drawing>
                        <wp:inline distT="0" distB="0" distL="0" distR="0" wp14:anchorId="12597667" wp14:editId="0D1FFE33">
                          <wp:extent cx="1000760" cy="172091"/>
                          <wp:effectExtent l="0" t="4763" r="4128" b="4127"/>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000760" cy="172091"/>
                                  </a:xfrm>
                                  <a:prstGeom prst="rect">
                                    <a:avLst/>
                                  </a:prstGeom>
                                  <a:noFill/>
                                </pic:spPr>
                              </pic:pic>
                            </a:graphicData>
                          </a:graphic>
                        </wp:inline>
                      </w:drawing>
                    </w:r>
                  </w:p>
                </w:txbxContent>
              </v:textbox>
              <w10:wrap anchory="margin"/>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41A5" w14:textId="77777777" w:rsidR="00511059" w:rsidRPr="00F00984" w:rsidRDefault="00511059" w:rsidP="00C221A7">
    <w:pPr>
      <w:pStyle w:val="HeaderEven"/>
    </w:pPr>
    <w:r w:rsidRPr="000635BE">
      <w:rPr>
        <w:rFonts w:ascii="Arial Bold" w:hAnsi="Arial Bold"/>
        <w:b/>
        <w:bCs/>
        <w:noProof/>
        <w:position w:val="-10"/>
      </w:rPr>
      <w:drawing>
        <wp:inline distT="0" distB="0" distL="0" distR="0" wp14:anchorId="65513B9E" wp14:editId="7868FACE">
          <wp:extent cx="989308" cy="170121"/>
          <wp:effectExtent l="0" t="0" r="1905" b="190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Pr>
        <w:position w:val="-2"/>
      </w:rPr>
      <w:t>|  Office of the Official Secretary to the Governor-General</w: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ED72D" w14:textId="77777777" w:rsidR="00511059" w:rsidRPr="00F00984" w:rsidRDefault="00511059" w:rsidP="00D401C2">
    <w:pPr>
      <w:pStyle w:val="HeaderEven"/>
    </w:pPr>
    <w:r w:rsidRPr="000635BE">
      <w:rPr>
        <w:rFonts w:ascii="Arial Bold" w:hAnsi="Arial Bold"/>
        <w:b/>
        <w:bCs/>
        <w:noProof/>
        <w:position w:val="-10"/>
      </w:rPr>
      <w:drawing>
        <wp:inline distT="0" distB="0" distL="0" distR="0" wp14:anchorId="6E6AABF1" wp14:editId="0D53272D">
          <wp:extent cx="989308" cy="170121"/>
          <wp:effectExtent l="0" t="0" r="1905" b="190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Pr>
        <w:position w:val="-2"/>
      </w:rPr>
      <w:t>|  Office of the Official Secretary to the Governor-General</w:t>
    </w:r>
  </w:p>
  <w:p w14:paraId="0A51A5B4" w14:textId="77777777" w:rsidR="00511059" w:rsidRPr="00D401C2" w:rsidRDefault="00511059" w:rsidP="00D401C2">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2393E" w14:textId="77777777" w:rsidR="00511059" w:rsidRPr="00B4084B" w:rsidRDefault="00511059" w:rsidP="00D401C2">
    <w:pPr>
      <w:pStyle w:val="HeaderOdd"/>
    </w:pPr>
    <w:r>
      <w:rPr>
        <w:position w:val="-2"/>
      </w:rPr>
      <w:t>Office of the Official Secretary to the Governor-General</w:t>
    </w:r>
    <w:r>
      <w:rPr>
        <w:rStyle w:val="PageNumber"/>
        <w:sz w:val="18"/>
      </w:rPr>
      <w:t xml:space="preserve">  </w:t>
    </w:r>
    <w:r w:rsidRPr="00213592">
      <w:rPr>
        <w:position w:val="-2"/>
      </w:rPr>
      <w:t xml:space="preserve">|  </w:t>
    </w:r>
    <w:r w:rsidRPr="000635BE">
      <w:rPr>
        <w:rFonts w:ascii="Arial Bold" w:hAnsi="Arial Bold"/>
        <w:b/>
        <w:bCs/>
        <w:noProof/>
        <w:position w:val="-10"/>
      </w:rPr>
      <w:drawing>
        <wp:inline distT="0" distB="0" distL="0" distR="0" wp14:anchorId="4A12AF1B" wp14:editId="49D47CC5">
          <wp:extent cx="989308" cy="170121"/>
          <wp:effectExtent l="0" t="0" r="1905" b="190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7CAAD71C" w14:textId="77777777" w:rsidR="00511059" w:rsidRPr="00E3217B" w:rsidRDefault="00511059" w:rsidP="00E321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8B1A4" w14:textId="77777777" w:rsidR="00511059" w:rsidRDefault="00511059" w:rsidP="004461A4">
    <w:pPr>
      <w:pStyle w:val="DLMSecurity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2"/>
    </w:tblGrid>
    <w:tr w:rsidR="00511059" w14:paraId="1B4FD17E" w14:textId="77777777" w:rsidTr="00742EE3">
      <w:trPr>
        <w:trHeight w:hRule="exact" w:val="570"/>
      </w:trPr>
      <w:tc>
        <w:tcPr>
          <w:tcW w:w="7812" w:type="dxa"/>
        </w:tcPr>
        <w:p w14:paraId="228D21A1" w14:textId="77777777" w:rsidR="00511059" w:rsidRDefault="00511059" w:rsidP="00E3217B">
          <w:pPr>
            <w:pStyle w:val="HeaderOdd"/>
          </w:pPr>
        </w:p>
      </w:tc>
    </w:tr>
  </w:tbl>
  <w:p w14:paraId="6024847F" w14:textId="77777777" w:rsidR="00511059" w:rsidRDefault="00511059" w:rsidP="00876329">
    <w:pPr>
      <w:pStyle w:val="HeaderOdd"/>
      <w:jc w:val="both"/>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2"/>
    </w:tblGrid>
    <w:tr w:rsidR="00511059" w14:paraId="7A572D01" w14:textId="77777777" w:rsidTr="00742EE3">
      <w:trPr>
        <w:trHeight w:hRule="exact" w:val="570"/>
      </w:trPr>
      <w:tc>
        <w:tcPr>
          <w:tcW w:w="7812" w:type="dxa"/>
        </w:tcPr>
        <w:p w14:paraId="20A879D9" w14:textId="77777777" w:rsidR="00511059" w:rsidRDefault="00511059" w:rsidP="00E3217B">
          <w:pPr>
            <w:pStyle w:val="HeaderOdd"/>
          </w:pPr>
        </w:p>
      </w:tc>
    </w:tr>
  </w:tbl>
  <w:p w14:paraId="7D6681E3" w14:textId="77777777" w:rsidR="00511059" w:rsidRPr="00E3217B" w:rsidRDefault="00511059" w:rsidP="00E3217B">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0EF61" w14:textId="77777777" w:rsidR="00511059" w:rsidRPr="00876329" w:rsidRDefault="00511059" w:rsidP="00876329">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7C1EC528" w14:textId="77777777" w:rsidTr="00742EE3">
      <w:trPr>
        <w:trHeight w:hRule="exact" w:val="340"/>
      </w:trPr>
      <w:tc>
        <w:tcPr>
          <w:tcW w:w="7797" w:type="dxa"/>
        </w:tcPr>
        <w:p w14:paraId="1B288640" w14:textId="77777777" w:rsidR="00511059" w:rsidRPr="00446C60" w:rsidRDefault="00511059" w:rsidP="008844B5">
          <w:pPr>
            <w:pStyle w:val="PlainText"/>
            <w:rPr>
              <w:rFonts w:ascii="Arial" w:hAnsi="Arial" w:cs="Arial"/>
              <w:sz w:val="18"/>
              <w:szCs w:val="18"/>
            </w:rPr>
          </w:pPr>
          <w:r w:rsidRPr="00446C60">
            <w:rPr>
              <w:rFonts w:ascii="Arial" w:hAnsi="Arial" w:cs="Arial"/>
              <w:b/>
              <w:bCs/>
              <w:noProof/>
              <w:position w:val="-10"/>
              <w:sz w:val="18"/>
              <w:szCs w:val="18"/>
              <w:lang w:eastAsia="en-AU"/>
            </w:rPr>
            <w:drawing>
              <wp:inline distT="0" distB="0" distL="0" distR="0" wp14:anchorId="77C362DC" wp14:editId="1DB49533">
                <wp:extent cx="989308" cy="170121"/>
                <wp:effectExtent l="0" t="0" r="1905" b="190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rsidRPr="00446C60">
            <w:rPr>
              <w:rFonts w:ascii="Arial" w:hAnsi="Arial" w:cs="Arial"/>
              <w:sz w:val="18"/>
              <w:szCs w:val="18"/>
            </w:rPr>
            <w:t xml:space="preserve">  </w:t>
          </w:r>
          <w:r w:rsidRPr="00446C60">
            <w:rPr>
              <w:rFonts w:ascii="Arial" w:hAnsi="Arial" w:cs="Arial"/>
              <w:position w:val="-2"/>
              <w:sz w:val="18"/>
              <w:szCs w:val="18"/>
            </w:rPr>
            <w:t xml:space="preserve">|  </w:t>
          </w:r>
          <w:r w:rsidRPr="0082356C">
            <w:rPr>
              <w:rStyle w:val="PageNumber"/>
              <w:sz w:val="18"/>
            </w:rPr>
            <w:t>Old Parliament House</w:t>
          </w:r>
        </w:p>
        <w:p w14:paraId="7CB30DA1" w14:textId="77777777" w:rsidR="00511059" w:rsidRDefault="00511059" w:rsidP="003F458D">
          <w:pPr>
            <w:pStyle w:val="HeaderEven"/>
            <w:ind w:left="-113"/>
          </w:pPr>
        </w:p>
      </w:tc>
    </w:tr>
  </w:tbl>
  <w:p w14:paraId="437E907C" w14:textId="77777777" w:rsidR="00511059" w:rsidRPr="00F00984" w:rsidRDefault="00511059" w:rsidP="00A02E16">
    <w:pPr>
      <w:pStyle w:val="HeaderEven"/>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A1FFFF3" w14:textId="77777777" w:rsidTr="00293991">
      <w:trPr>
        <w:trHeight w:hRule="exact" w:val="340"/>
      </w:trPr>
      <w:tc>
        <w:tcPr>
          <w:tcW w:w="7797" w:type="dxa"/>
        </w:tcPr>
        <w:p w14:paraId="61910526" w14:textId="77777777" w:rsidR="00511059" w:rsidRPr="00293991" w:rsidRDefault="00511059" w:rsidP="00293991">
          <w:pPr>
            <w:pStyle w:val="Header"/>
            <w:rPr>
              <w:lang w:val="en-AU"/>
            </w:rPr>
          </w:pPr>
          <w:r w:rsidRPr="000635BE">
            <w:rPr>
              <w:rFonts w:ascii="Arial Bold" w:hAnsi="Arial Bold"/>
              <w:b/>
              <w:bCs/>
              <w:noProof/>
              <w:position w:val="-10"/>
              <w:lang w:val="en-AU"/>
            </w:rPr>
            <w:drawing>
              <wp:inline distT="0" distB="0" distL="0" distR="0" wp14:anchorId="33CC81FF" wp14:editId="47A3DD84">
                <wp:extent cx="989308" cy="170121"/>
                <wp:effectExtent l="0" t="0" r="1905" b="190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w:t>
          </w:r>
          <w:r>
            <w:rPr>
              <w:rFonts w:ascii="Arial" w:hAnsi="Arial" w:cs="Arial"/>
              <w:i w:val="0"/>
              <w:sz w:val="18"/>
              <w:lang w:val="en-AU"/>
            </w:rPr>
            <w:t>Old Parliament House</w:t>
          </w:r>
        </w:p>
        <w:p w14:paraId="137F6A5C" w14:textId="77777777" w:rsidR="00511059" w:rsidRDefault="00511059" w:rsidP="00293991">
          <w:pPr>
            <w:pStyle w:val="HeaderOdd"/>
          </w:pPr>
        </w:p>
      </w:tc>
    </w:tr>
  </w:tbl>
  <w:p w14:paraId="58AACD6A" w14:textId="77777777" w:rsidR="00511059" w:rsidRDefault="00511059"/>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08DB9A4" w14:textId="77777777" w:rsidTr="00293991">
      <w:trPr>
        <w:trHeight w:hRule="exact" w:val="340"/>
      </w:trPr>
      <w:tc>
        <w:tcPr>
          <w:tcW w:w="7797" w:type="dxa"/>
        </w:tcPr>
        <w:p w14:paraId="65AF48EE" w14:textId="77777777" w:rsidR="00511059" w:rsidRDefault="00511059" w:rsidP="00293991">
          <w:pPr>
            <w:pStyle w:val="HeaderOdd"/>
          </w:pPr>
          <w:r>
            <w:rPr>
              <w:position w:val="-2"/>
            </w:rPr>
            <w:t>Old Parliament House</w:t>
          </w:r>
          <w:r w:rsidRPr="00213592">
            <w:rPr>
              <w:position w:val="-2"/>
            </w:rPr>
            <w:t xml:space="preserve">  |</w:t>
          </w:r>
          <w:r>
            <w:t xml:space="preserve">  </w:t>
          </w:r>
          <w:r w:rsidRPr="000635BE">
            <w:rPr>
              <w:rFonts w:ascii="Arial Bold" w:hAnsi="Arial Bold"/>
              <w:b/>
              <w:bCs/>
              <w:noProof/>
              <w:position w:val="-10"/>
            </w:rPr>
            <w:drawing>
              <wp:inline distT="0" distB="0" distL="0" distR="0" wp14:anchorId="7475EE89" wp14:editId="6B4CF8F3">
                <wp:extent cx="989308" cy="170121"/>
                <wp:effectExtent l="0" t="0" r="1905" b="190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281780A0" w14:textId="77777777" w:rsidR="00511059" w:rsidRDefault="00511059" w:rsidP="00293991"/>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C5AE6" w14:textId="77777777" w:rsidR="00511059" w:rsidRPr="00876329" w:rsidRDefault="00511059" w:rsidP="00876329">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C417B" w14:textId="77777777" w:rsidR="00511059" w:rsidRPr="00F2151C" w:rsidRDefault="00511059" w:rsidP="00FC684B">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16915" w14:textId="77777777" w:rsidR="00511059" w:rsidRPr="00FC684B" w:rsidRDefault="00511059" w:rsidP="00FC684B">
    <w:pPr>
      <w:pStyle w:val="Header"/>
      <w:jc w:val="right"/>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9D12F" w14:textId="77777777" w:rsidR="00511059" w:rsidRDefault="00511059">
    <w:pPr>
      <w:pStyle w:val="Header"/>
    </w:pPr>
  </w:p>
  <w:p w14:paraId="5DCAA0AF" w14:textId="77777777" w:rsidR="00511059" w:rsidRPr="00B4084B" w:rsidRDefault="00511059" w:rsidP="00F2151C">
    <w:pPr>
      <w:pStyle w:val="HeaderOdd"/>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01AE" w14:textId="77777777" w:rsidR="00511059" w:rsidRPr="0049200C" w:rsidRDefault="00511059" w:rsidP="00FD522D">
    <w:pPr>
      <w:pStyle w:val="HeaderOdd"/>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61B4E" w14:textId="77777777" w:rsidR="00511059" w:rsidRPr="00F2151C" w:rsidRDefault="00511059" w:rsidP="00FC684B">
    <w:pPr>
      <w:pStyle w:val="Header"/>
    </w:pPr>
    <w:r w:rsidRPr="000635BE">
      <w:rPr>
        <w:rFonts w:ascii="Arial Bold" w:hAnsi="Arial Bold"/>
        <w:b/>
        <w:bCs/>
        <w:noProof/>
        <w:position w:val="-10"/>
        <w:lang w:val="en-AU"/>
      </w:rPr>
      <w:drawing>
        <wp:inline distT="0" distB="0" distL="0" distR="0" wp14:anchorId="02F773CC" wp14:editId="6A2213C7">
          <wp:extent cx="989308" cy="170121"/>
          <wp:effectExtent l="0" t="0" r="1905" b="190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w:t>
    </w:r>
    <w:r w:rsidRPr="00C103FD">
      <w:rPr>
        <w:rFonts w:ascii="Arial" w:hAnsi="Arial" w:cs="Arial"/>
        <w:i w:val="0"/>
        <w:sz w:val="18"/>
      </w:rPr>
      <w:t>Torres Strait Regional Authority</w: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6E22B111" w14:textId="77777777" w:rsidTr="00302E82">
      <w:trPr>
        <w:trHeight w:hRule="exact" w:val="340"/>
      </w:trPr>
      <w:tc>
        <w:tcPr>
          <w:tcW w:w="7797" w:type="dxa"/>
        </w:tcPr>
        <w:p w14:paraId="458082B2" w14:textId="77777777" w:rsidR="00511059" w:rsidRDefault="00511059" w:rsidP="00075BA5">
          <w:pPr>
            <w:pStyle w:val="HeaderOdd"/>
          </w:pPr>
          <w:r w:rsidRPr="00C103FD">
            <w:rPr>
              <w:rFonts w:cs="Arial"/>
            </w:rPr>
            <w:t>Torres Strait Regional Authority</w:t>
          </w:r>
          <w:r>
            <w:t xml:space="preserve">  </w:t>
          </w:r>
          <w:r w:rsidRPr="00C103FD">
            <w:rPr>
              <w:rFonts w:ascii="Book Antiqua" w:hAnsi="Book Antiqua"/>
              <w:sz w:val="20"/>
            </w:rPr>
            <w:t>|</w:t>
          </w:r>
          <w:r>
            <w:t xml:space="preserve">  </w:t>
          </w:r>
          <w:r w:rsidRPr="000635BE">
            <w:rPr>
              <w:rFonts w:ascii="Arial Bold" w:hAnsi="Arial Bold"/>
              <w:b/>
              <w:bCs/>
              <w:noProof/>
              <w:position w:val="-10"/>
            </w:rPr>
            <w:drawing>
              <wp:inline distT="0" distB="0" distL="0" distR="0" wp14:anchorId="385D9BC0" wp14:editId="7A2CF927">
                <wp:extent cx="989308" cy="170121"/>
                <wp:effectExtent l="0" t="0" r="1905" b="190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43EFC12D" w14:textId="77777777" w:rsidR="00511059" w:rsidRPr="00FC684B" w:rsidRDefault="00511059" w:rsidP="00FC684B">
    <w:pPr>
      <w:pStyle w:val="Header"/>
      <w:jc w:val="righ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5EC799C9" w14:textId="77777777" w:rsidTr="00EA7807">
      <w:trPr>
        <w:trHeight w:hRule="exact" w:val="340"/>
      </w:trPr>
      <w:tc>
        <w:tcPr>
          <w:tcW w:w="7797" w:type="dxa"/>
        </w:tcPr>
        <w:p w14:paraId="5A71E769" w14:textId="77777777" w:rsidR="00511059" w:rsidRDefault="00511059" w:rsidP="005F6A96">
          <w:pPr>
            <w:pStyle w:val="HeaderOdd"/>
          </w:pPr>
          <w:r w:rsidRPr="00C103FD">
            <w:rPr>
              <w:rFonts w:cs="Arial"/>
            </w:rPr>
            <w:t>Torres Strait Regional Authority</w:t>
          </w:r>
          <w:r>
            <w:t xml:space="preserve">  </w:t>
          </w:r>
          <w:r w:rsidRPr="00C103FD">
            <w:rPr>
              <w:rFonts w:ascii="Book Antiqua" w:hAnsi="Book Antiqua"/>
              <w:sz w:val="20"/>
            </w:rPr>
            <w:t>|</w:t>
          </w:r>
          <w:r>
            <w:t xml:space="preserve">  </w:t>
          </w:r>
          <w:r w:rsidRPr="000635BE">
            <w:rPr>
              <w:rFonts w:ascii="Arial Bold" w:hAnsi="Arial Bold"/>
              <w:b/>
              <w:bCs/>
              <w:noProof/>
              <w:position w:val="-10"/>
            </w:rPr>
            <w:drawing>
              <wp:inline distT="0" distB="0" distL="0" distR="0" wp14:anchorId="2A5F364B" wp14:editId="21B2AF18">
                <wp:extent cx="989308" cy="170121"/>
                <wp:effectExtent l="0" t="0" r="1905" b="190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r w:rsidR="00511059" w14:paraId="47C1C88B" w14:textId="77777777" w:rsidTr="00302E82">
      <w:trPr>
        <w:trHeight w:hRule="exact" w:val="340"/>
      </w:trPr>
      <w:tc>
        <w:tcPr>
          <w:tcW w:w="7797" w:type="dxa"/>
        </w:tcPr>
        <w:p w14:paraId="2A638A6A" w14:textId="77777777" w:rsidR="00511059" w:rsidRDefault="00511059" w:rsidP="00075BA5">
          <w:pPr>
            <w:pStyle w:val="HeaderOdd"/>
          </w:pPr>
        </w:p>
      </w:tc>
    </w:tr>
  </w:tbl>
  <w:p w14:paraId="703753A3" w14:textId="77777777" w:rsidR="00511059" w:rsidRPr="009B180F" w:rsidRDefault="00511059" w:rsidP="009B180F">
    <w:pPr>
      <w:pStyle w:val="HeaderOdd"/>
    </w:pPr>
    <w:r w:rsidRPr="009B180F">
      <w:t xml:space="preserve"> </w: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3867DFC5" w14:textId="77777777" w:rsidTr="00EA7807">
      <w:trPr>
        <w:trHeight w:hRule="exact" w:val="340"/>
      </w:trPr>
      <w:tc>
        <w:tcPr>
          <w:tcW w:w="7797" w:type="dxa"/>
        </w:tcPr>
        <w:p w14:paraId="40A94279" w14:textId="77777777" w:rsidR="00511059" w:rsidRDefault="00511059" w:rsidP="005F6A96">
          <w:pPr>
            <w:pStyle w:val="HeaderOdd"/>
          </w:pPr>
        </w:p>
      </w:tc>
    </w:tr>
    <w:tr w:rsidR="00511059" w14:paraId="1A428A32" w14:textId="77777777" w:rsidTr="00302E82">
      <w:trPr>
        <w:trHeight w:hRule="exact" w:val="340"/>
      </w:trPr>
      <w:tc>
        <w:tcPr>
          <w:tcW w:w="7797" w:type="dxa"/>
        </w:tcPr>
        <w:p w14:paraId="04004ACF" w14:textId="77777777" w:rsidR="00511059" w:rsidRDefault="00511059" w:rsidP="00075BA5">
          <w:pPr>
            <w:pStyle w:val="HeaderOdd"/>
          </w:pPr>
        </w:p>
      </w:tc>
    </w:tr>
  </w:tbl>
  <w:p w14:paraId="05BC4CFA" w14:textId="77777777" w:rsidR="00511059" w:rsidRPr="009B180F" w:rsidRDefault="00511059" w:rsidP="009B180F">
    <w:pPr>
      <w:pStyle w:val="HeaderOdd"/>
    </w:pPr>
    <w:r w:rsidRPr="009B180F">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4C0C9129" w14:textId="77777777" w:rsidTr="002F7A80">
      <w:trPr>
        <w:trHeight w:hRule="exact" w:val="340"/>
      </w:trPr>
      <w:tc>
        <w:tcPr>
          <w:tcW w:w="7797" w:type="dxa"/>
        </w:tcPr>
        <w:p w14:paraId="6D50B3BF" w14:textId="77777777" w:rsidR="00511059" w:rsidRDefault="00511059" w:rsidP="003F458D">
          <w:pPr>
            <w:pStyle w:val="HeaderEven"/>
            <w:ind w:left="-113"/>
          </w:pPr>
        </w:p>
      </w:tc>
    </w:tr>
  </w:tbl>
  <w:p w14:paraId="1929A598" w14:textId="77777777" w:rsidR="00511059" w:rsidRPr="00F00984" w:rsidRDefault="00511059" w:rsidP="00A02E16">
    <w:pPr>
      <w:pStyle w:val="HeaderEven"/>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2FAAC5B9" w14:textId="77777777" w:rsidTr="002F7A80">
      <w:trPr>
        <w:trHeight w:hRule="exact" w:val="340"/>
      </w:trPr>
      <w:tc>
        <w:tcPr>
          <w:tcW w:w="7797" w:type="dxa"/>
        </w:tcPr>
        <w:p w14:paraId="560C4473" w14:textId="77777777" w:rsidR="00511059" w:rsidRDefault="00511059" w:rsidP="00050A97">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5EF3E902" wp14:editId="4E3EE1E5">
                <wp:extent cx="989308" cy="170121"/>
                <wp:effectExtent l="0" t="0" r="1905" b="190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45700ACC" w14:textId="77777777" w:rsidR="00511059" w:rsidRDefault="00511059" w:rsidP="00A02E16">
    <w:pPr>
      <w:pStyle w:val="HeaderOdd"/>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D0E1B" w14:textId="77777777" w:rsidR="00511059" w:rsidRPr="00B4084B" w:rsidRDefault="00511059" w:rsidP="0049200C">
    <w:pPr>
      <w:pStyle w:val="HeaderOdd"/>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0D730A7" w14:textId="77777777" w:rsidTr="002F7A80">
      <w:trPr>
        <w:trHeight w:hRule="exact" w:val="340"/>
      </w:trPr>
      <w:tc>
        <w:tcPr>
          <w:tcW w:w="7797" w:type="dxa"/>
        </w:tcPr>
        <w:p w14:paraId="1C15F14F" w14:textId="77777777" w:rsidR="00511059" w:rsidRDefault="00511059" w:rsidP="00050A97">
          <w:pPr>
            <w:pStyle w:val="HeaderOdd"/>
          </w:pPr>
        </w:p>
      </w:tc>
    </w:tr>
  </w:tbl>
  <w:p w14:paraId="2A723F0D" w14:textId="77777777" w:rsidR="00511059" w:rsidRDefault="00511059" w:rsidP="00A02E16">
    <w:pPr>
      <w:pStyle w:val="HeaderOdd"/>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3A7156EB" w14:textId="77777777" w:rsidTr="002F7A80">
      <w:trPr>
        <w:trHeight w:hRule="exact" w:val="340"/>
      </w:trPr>
      <w:tc>
        <w:tcPr>
          <w:tcW w:w="7797" w:type="dxa"/>
        </w:tcPr>
        <w:p w14:paraId="7199104D" w14:textId="77777777" w:rsidR="00511059" w:rsidRPr="005223D4" w:rsidRDefault="00511059" w:rsidP="005223D4">
          <w:pPr>
            <w:pStyle w:val="Header"/>
            <w:rPr>
              <w:lang w:val="en-AU"/>
            </w:rPr>
          </w:pPr>
          <w:r w:rsidRPr="000635BE">
            <w:rPr>
              <w:rFonts w:ascii="Arial Bold" w:hAnsi="Arial Bold"/>
              <w:b/>
              <w:bCs/>
              <w:noProof/>
              <w:position w:val="-10"/>
              <w:lang w:val="en-AU"/>
            </w:rPr>
            <w:drawing>
              <wp:inline distT="0" distB="0" distL="0" distR="0" wp14:anchorId="5D6CE4CF" wp14:editId="3592B224">
                <wp:extent cx="989308" cy="170121"/>
                <wp:effectExtent l="0" t="0" r="1905" b="190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w:t>
          </w:r>
          <w:r>
            <w:rPr>
              <w:rFonts w:ascii="Arial" w:hAnsi="Arial" w:cs="Arial"/>
              <w:i w:val="0"/>
              <w:sz w:val="18"/>
              <w:lang w:val="en-AU"/>
            </w:rPr>
            <w:t>Workplace Gender Equality Agency</w:t>
          </w:r>
        </w:p>
        <w:p w14:paraId="181360B2" w14:textId="77777777" w:rsidR="00511059" w:rsidRDefault="00511059" w:rsidP="003F458D">
          <w:pPr>
            <w:pStyle w:val="HeaderEven"/>
            <w:ind w:left="-113"/>
          </w:pPr>
        </w:p>
      </w:tc>
    </w:tr>
  </w:tbl>
  <w:p w14:paraId="29204F70" w14:textId="77777777" w:rsidR="00511059" w:rsidRPr="00F00984" w:rsidRDefault="00511059" w:rsidP="00A02E16">
    <w:pPr>
      <w:pStyle w:val="HeaderEven"/>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3D17E843" w14:textId="77777777" w:rsidTr="005223D4">
      <w:trPr>
        <w:trHeight w:hRule="exact" w:val="340"/>
      </w:trPr>
      <w:tc>
        <w:tcPr>
          <w:tcW w:w="7797" w:type="dxa"/>
        </w:tcPr>
        <w:p w14:paraId="6CCAD9F1" w14:textId="77777777" w:rsidR="00511059" w:rsidRDefault="00511059" w:rsidP="005223D4">
          <w:pPr>
            <w:pStyle w:val="HeaderOdd"/>
          </w:pPr>
          <w:r w:rsidRPr="005223D4">
            <w:rPr>
              <w:rFonts w:cs="Arial"/>
            </w:rPr>
            <w:t>Workplace Gender Equality Agency</w:t>
          </w:r>
          <w:r>
            <w:t xml:space="preserve">  </w:t>
          </w:r>
          <w:r w:rsidRPr="00C103FD">
            <w:rPr>
              <w:rFonts w:ascii="Book Antiqua" w:hAnsi="Book Antiqua"/>
              <w:sz w:val="20"/>
            </w:rPr>
            <w:t>|</w:t>
          </w:r>
          <w:r>
            <w:t xml:space="preserve">  </w:t>
          </w:r>
          <w:r w:rsidRPr="000635BE">
            <w:rPr>
              <w:rFonts w:ascii="Arial Bold" w:hAnsi="Arial Bold"/>
              <w:b/>
              <w:bCs/>
              <w:noProof/>
              <w:position w:val="-10"/>
            </w:rPr>
            <w:drawing>
              <wp:inline distT="0" distB="0" distL="0" distR="0" wp14:anchorId="57C8D9DB" wp14:editId="4F5A8B09">
                <wp:extent cx="989308" cy="170121"/>
                <wp:effectExtent l="0" t="0" r="1905" b="190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r w:rsidR="00511059" w14:paraId="105A9A97" w14:textId="77777777" w:rsidTr="002F7A80">
      <w:trPr>
        <w:trHeight w:hRule="exact" w:val="340"/>
      </w:trPr>
      <w:tc>
        <w:tcPr>
          <w:tcW w:w="7797" w:type="dxa"/>
        </w:tcPr>
        <w:p w14:paraId="593639F7" w14:textId="77777777" w:rsidR="00511059" w:rsidRDefault="00511059" w:rsidP="00050A97">
          <w:pPr>
            <w:pStyle w:val="HeaderOdd"/>
          </w:pPr>
        </w:p>
      </w:tc>
    </w:tr>
  </w:tbl>
  <w:p w14:paraId="7EE94EDF" w14:textId="77777777" w:rsidR="00511059" w:rsidRDefault="00511059" w:rsidP="00A02E16">
    <w:pPr>
      <w:pStyle w:val="HeaderOdd"/>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EEE01" w14:textId="77777777" w:rsidR="00511059" w:rsidRDefault="00511059" w:rsidP="00ED5F6E">
    <w:pPr>
      <w:pStyle w:val="HeaderEven"/>
      <w:ind w:left="-113"/>
      <w:rPr>
        <w:b/>
      </w:rPr>
    </w:pPr>
    <w:r w:rsidRPr="000635BE">
      <w:rPr>
        <w:rFonts w:ascii="Arial Bold" w:hAnsi="Arial Bold"/>
        <w:b/>
        <w:bCs/>
        <w:noProof/>
        <w:position w:val="-10"/>
      </w:rPr>
      <w:drawing>
        <wp:inline distT="0" distB="0" distL="0" distR="0" wp14:anchorId="5A76FECF" wp14:editId="221A4363">
          <wp:extent cx="989308" cy="170121"/>
          <wp:effectExtent l="0" t="0" r="1905" b="190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w:t>
    </w:r>
    <w:r w:rsidRPr="00546AD7">
      <w:rPr>
        <w:sz w:val="16"/>
      </w:rPr>
      <w:t>Portfolio Overview</w:t>
    </w:r>
  </w:p>
  <w:p w14:paraId="65AD5515" w14:textId="77777777" w:rsidR="00511059" w:rsidRDefault="00511059" w:rsidP="00C5714B">
    <w:pPr>
      <w:pStyle w:val="HeaderEven"/>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79A0FFD" w14:textId="77777777" w:rsidTr="002F7A80">
      <w:trPr>
        <w:trHeight w:hRule="exact" w:val="340"/>
      </w:trPr>
      <w:tc>
        <w:tcPr>
          <w:tcW w:w="7797" w:type="dxa"/>
        </w:tcPr>
        <w:p w14:paraId="28D775AB" w14:textId="77777777" w:rsidR="00511059" w:rsidRPr="005223D4" w:rsidRDefault="00511059" w:rsidP="005223D4">
          <w:pPr>
            <w:pStyle w:val="Header"/>
            <w:rPr>
              <w:lang w:val="en-AU"/>
            </w:rPr>
          </w:pPr>
          <w:r w:rsidRPr="000635BE">
            <w:rPr>
              <w:rFonts w:ascii="Arial Bold" w:hAnsi="Arial Bold"/>
              <w:b/>
              <w:bCs/>
              <w:noProof/>
              <w:position w:val="-10"/>
              <w:lang w:val="en-AU"/>
            </w:rPr>
            <w:drawing>
              <wp:inline distT="0" distB="0" distL="0" distR="0" wp14:anchorId="5F94C85C" wp14:editId="69D7676F">
                <wp:extent cx="989308" cy="170121"/>
                <wp:effectExtent l="0" t="0" r="1905" b="190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w:t>
          </w:r>
          <w:r>
            <w:rPr>
              <w:rFonts w:ascii="Arial" w:hAnsi="Arial" w:cs="Arial"/>
              <w:i w:val="0"/>
              <w:sz w:val="18"/>
              <w:lang w:val="en-AU"/>
            </w:rPr>
            <w:t>Workplace Gender Equality Agency</w:t>
          </w:r>
        </w:p>
        <w:p w14:paraId="6CC9DFC2" w14:textId="77777777" w:rsidR="00511059" w:rsidRDefault="00511059" w:rsidP="00050A97">
          <w:pPr>
            <w:pStyle w:val="HeaderEven"/>
            <w:ind w:left="-113"/>
          </w:pPr>
        </w:p>
      </w:tc>
    </w:tr>
  </w:tbl>
  <w:p w14:paraId="0C640FCA" w14:textId="77777777" w:rsidR="00511059" w:rsidRPr="00F00984" w:rsidRDefault="00511059" w:rsidP="00F00984">
    <w:pPr>
      <w:pStyle w:val="HeaderEven"/>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4C2563FC" w14:textId="77777777" w:rsidTr="005223D4">
      <w:trPr>
        <w:trHeight w:hRule="exact" w:val="340"/>
      </w:trPr>
      <w:tc>
        <w:tcPr>
          <w:tcW w:w="7797" w:type="dxa"/>
        </w:tcPr>
        <w:p w14:paraId="2728327B" w14:textId="77777777" w:rsidR="00511059" w:rsidRDefault="00511059" w:rsidP="005223D4">
          <w:pPr>
            <w:pStyle w:val="HeaderOdd"/>
          </w:pPr>
          <w:r w:rsidRPr="005223D4">
            <w:rPr>
              <w:rFonts w:cs="Arial"/>
            </w:rPr>
            <w:t>Workplace Gender Equality Agency</w:t>
          </w:r>
          <w:r>
            <w:t xml:space="preserve">  </w:t>
          </w:r>
          <w:r w:rsidRPr="00C103FD">
            <w:rPr>
              <w:rFonts w:ascii="Book Antiqua" w:hAnsi="Book Antiqua"/>
              <w:sz w:val="20"/>
            </w:rPr>
            <w:t>|</w:t>
          </w:r>
          <w:r>
            <w:t xml:space="preserve">  </w:t>
          </w:r>
          <w:r w:rsidRPr="000635BE">
            <w:rPr>
              <w:rFonts w:ascii="Arial Bold" w:hAnsi="Arial Bold"/>
              <w:b/>
              <w:bCs/>
              <w:noProof/>
              <w:position w:val="-10"/>
            </w:rPr>
            <w:drawing>
              <wp:inline distT="0" distB="0" distL="0" distR="0" wp14:anchorId="07A7EA64" wp14:editId="4FD7A25E">
                <wp:extent cx="989308" cy="170121"/>
                <wp:effectExtent l="0" t="0" r="1905" b="190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r w:rsidR="00511059" w14:paraId="4366274C" w14:textId="77777777" w:rsidTr="002F7A80">
      <w:trPr>
        <w:trHeight w:hRule="exact" w:val="340"/>
      </w:trPr>
      <w:tc>
        <w:tcPr>
          <w:tcW w:w="7797" w:type="dxa"/>
        </w:tcPr>
        <w:p w14:paraId="5179A971" w14:textId="77777777" w:rsidR="00511059" w:rsidRDefault="00511059" w:rsidP="00050A97">
          <w:pPr>
            <w:pStyle w:val="HeaderOdd"/>
          </w:pPr>
        </w:p>
      </w:tc>
    </w:tr>
  </w:tbl>
  <w:p w14:paraId="40FE60E2" w14:textId="77777777" w:rsidR="00511059" w:rsidRDefault="00511059" w:rsidP="00F00984">
    <w:pPr>
      <w:pStyle w:val="HeaderOdd"/>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7E68B5EA" w14:textId="77777777" w:rsidTr="005223D4">
      <w:trPr>
        <w:trHeight w:hRule="exact" w:val="340"/>
      </w:trPr>
      <w:tc>
        <w:tcPr>
          <w:tcW w:w="7797" w:type="dxa"/>
        </w:tcPr>
        <w:p w14:paraId="7E78E150" w14:textId="77777777" w:rsidR="00511059" w:rsidRDefault="00511059" w:rsidP="005223D4">
          <w:pPr>
            <w:pStyle w:val="HeaderOdd"/>
          </w:pPr>
          <w:r w:rsidRPr="005223D4">
            <w:rPr>
              <w:rFonts w:cs="Arial"/>
            </w:rPr>
            <w:t>Workplace Gender Equality Agency</w:t>
          </w:r>
          <w:r>
            <w:t xml:space="preserve">  </w:t>
          </w:r>
          <w:r w:rsidRPr="00C103FD">
            <w:rPr>
              <w:rFonts w:ascii="Book Antiqua" w:hAnsi="Book Antiqua"/>
              <w:sz w:val="20"/>
            </w:rPr>
            <w:t>|</w:t>
          </w:r>
          <w:r>
            <w:t xml:space="preserve">  </w:t>
          </w:r>
          <w:r w:rsidRPr="000635BE">
            <w:rPr>
              <w:rFonts w:ascii="Arial Bold" w:hAnsi="Arial Bold"/>
              <w:b/>
              <w:bCs/>
              <w:noProof/>
              <w:position w:val="-10"/>
            </w:rPr>
            <w:drawing>
              <wp:inline distT="0" distB="0" distL="0" distR="0" wp14:anchorId="1E7CD827" wp14:editId="367D0824">
                <wp:extent cx="989308" cy="170121"/>
                <wp:effectExtent l="0" t="0" r="1905" b="190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r w:rsidR="00511059" w14:paraId="385DE28D" w14:textId="77777777" w:rsidTr="002F7A80">
      <w:trPr>
        <w:trHeight w:hRule="exact" w:val="340"/>
      </w:trPr>
      <w:tc>
        <w:tcPr>
          <w:tcW w:w="7797" w:type="dxa"/>
        </w:tcPr>
        <w:p w14:paraId="1217DBF4" w14:textId="77777777" w:rsidR="00511059" w:rsidRDefault="00511059" w:rsidP="00050A97">
          <w:pPr>
            <w:pStyle w:val="HeaderOdd"/>
          </w:pPr>
        </w:p>
      </w:tc>
    </w:tr>
  </w:tbl>
  <w:p w14:paraId="04C91CEF" w14:textId="77777777" w:rsidR="00511059" w:rsidRPr="00F00984" w:rsidRDefault="00511059" w:rsidP="00695014">
    <w:pPr>
      <w:pStyle w:val="HeaderEven"/>
      <w:jc w:val="right"/>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7D0C0A33" w14:textId="77777777" w:rsidTr="005223D4">
      <w:trPr>
        <w:trHeight w:hRule="exact" w:val="340"/>
      </w:trPr>
      <w:tc>
        <w:tcPr>
          <w:tcW w:w="7797" w:type="dxa"/>
        </w:tcPr>
        <w:p w14:paraId="4E1454F5" w14:textId="77777777" w:rsidR="00511059" w:rsidRDefault="00511059" w:rsidP="005223D4">
          <w:pPr>
            <w:pStyle w:val="HeaderOdd"/>
          </w:pPr>
        </w:p>
      </w:tc>
    </w:tr>
    <w:tr w:rsidR="00511059" w14:paraId="09CDA5FF" w14:textId="77777777" w:rsidTr="002F7A80">
      <w:trPr>
        <w:trHeight w:hRule="exact" w:val="340"/>
      </w:trPr>
      <w:tc>
        <w:tcPr>
          <w:tcW w:w="7797" w:type="dxa"/>
        </w:tcPr>
        <w:p w14:paraId="51F04681" w14:textId="77777777" w:rsidR="00511059" w:rsidRDefault="00511059" w:rsidP="00050A97">
          <w:pPr>
            <w:pStyle w:val="HeaderOdd"/>
          </w:pPr>
        </w:p>
      </w:tc>
    </w:tr>
  </w:tbl>
  <w:p w14:paraId="3165E707" w14:textId="77777777" w:rsidR="00511059" w:rsidRPr="00F00984" w:rsidRDefault="00511059" w:rsidP="00695014">
    <w:pPr>
      <w:pStyle w:val="HeaderEven"/>
      <w:jc w:val="righ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27CAA8FA" w14:textId="77777777" w:rsidTr="005223D4">
      <w:trPr>
        <w:trHeight w:hRule="exact" w:val="340"/>
      </w:trPr>
      <w:tc>
        <w:tcPr>
          <w:tcW w:w="7797" w:type="dxa"/>
        </w:tcPr>
        <w:p w14:paraId="37AAA00B" w14:textId="77777777" w:rsidR="00511059" w:rsidRDefault="00511059" w:rsidP="005223D4">
          <w:pPr>
            <w:pStyle w:val="HeaderOdd"/>
          </w:pPr>
        </w:p>
      </w:tc>
    </w:tr>
    <w:tr w:rsidR="00511059" w14:paraId="2825808F" w14:textId="77777777" w:rsidTr="002F7A80">
      <w:trPr>
        <w:trHeight w:hRule="exact" w:val="340"/>
      </w:trPr>
      <w:tc>
        <w:tcPr>
          <w:tcW w:w="7797" w:type="dxa"/>
        </w:tcPr>
        <w:p w14:paraId="24C156A3" w14:textId="77777777" w:rsidR="00511059" w:rsidRDefault="00511059" w:rsidP="00050A97">
          <w:pPr>
            <w:pStyle w:val="HeaderOdd"/>
          </w:pPr>
        </w:p>
      </w:tc>
    </w:tr>
  </w:tbl>
  <w:p w14:paraId="41C1C384" w14:textId="77777777" w:rsidR="00511059" w:rsidRPr="00F00984" w:rsidRDefault="00511059" w:rsidP="00695014">
    <w:pPr>
      <w:pStyle w:val="HeaderEven"/>
      <w:jc w:val="right"/>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BCA8" w14:textId="77777777" w:rsidR="00511059" w:rsidRPr="006F7493" w:rsidRDefault="00511059" w:rsidP="006F7493">
    <w:pPr>
      <w:pStyle w:val="Header"/>
      <w:rPr>
        <w:rFonts w:ascii="Arial" w:hAnsi="Arial" w:cs="Arial"/>
        <w:i w:val="0"/>
        <w:sz w:val="18"/>
        <w:szCs w:val="18"/>
      </w:rPr>
    </w:pPr>
    <w:r w:rsidRPr="006F7493">
      <w:rPr>
        <w:rFonts w:ascii="Arial" w:hAnsi="Arial" w:cs="Arial"/>
        <w:b/>
        <w:bCs/>
        <w:i w:val="0"/>
        <w:noProof/>
        <w:position w:val="-10"/>
        <w:sz w:val="18"/>
        <w:szCs w:val="18"/>
        <w:lang w:val="en-AU"/>
      </w:rPr>
      <w:drawing>
        <wp:inline distT="0" distB="0" distL="0" distR="0" wp14:anchorId="75AE1ADA" wp14:editId="33490BDE">
          <wp:extent cx="989308" cy="170121"/>
          <wp:effectExtent l="0" t="0" r="1905"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rsidRPr="006F7493">
      <w:rPr>
        <w:rFonts w:ascii="Arial" w:hAnsi="Arial" w:cs="Arial"/>
        <w:i w:val="0"/>
        <w:sz w:val="18"/>
        <w:szCs w:val="18"/>
      </w:rPr>
      <w:t xml:space="preserve">  </w:t>
    </w:r>
    <w:r w:rsidRPr="006F7493">
      <w:rPr>
        <w:rFonts w:ascii="Arial" w:hAnsi="Arial" w:cs="Arial"/>
        <w:i w:val="0"/>
        <w:position w:val="-2"/>
        <w:sz w:val="18"/>
        <w:szCs w:val="18"/>
      </w:rPr>
      <w:t xml:space="preserve">|  </w:t>
    </w:r>
    <w:r w:rsidRPr="007D6962">
      <w:rPr>
        <w:rStyle w:val="PageNumber"/>
        <w:i w:val="0"/>
        <w:sz w:val="18"/>
        <w:szCs w:val="18"/>
        <w:lang w:val="en-AU"/>
      </w:rPr>
      <w:t>Portfolio Glossary</w: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D4C0F" w14:textId="77777777" w:rsidR="00511059" w:rsidRDefault="00511059">
    <w:pPr>
      <w:pStyle w:val="HeaderOdd"/>
    </w:pPr>
    <w:r>
      <w:t>Glossary</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0F73066B" w14:textId="77777777" w:rsidTr="00302E82">
      <w:trPr>
        <w:trHeight w:hRule="exact" w:val="340"/>
      </w:trPr>
      <w:tc>
        <w:tcPr>
          <w:tcW w:w="7797" w:type="dxa"/>
        </w:tcPr>
        <w:p w14:paraId="4EA79E5C" w14:textId="77777777" w:rsidR="00511059" w:rsidRDefault="00511059" w:rsidP="006F7493">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14590211" wp14:editId="35B1056B">
                <wp:extent cx="989308" cy="170121"/>
                <wp:effectExtent l="0" t="0" r="1905"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4AC9E5ED" w14:textId="77777777" w:rsidR="00511059" w:rsidRPr="00F00984" w:rsidRDefault="00511059" w:rsidP="00302E82">
    <w:pPr>
      <w:pStyle w:val="HeaderEven"/>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BF8DB61" w14:textId="77777777" w:rsidTr="00302E82">
      <w:trPr>
        <w:trHeight w:hRule="exact" w:val="340"/>
      </w:trPr>
      <w:tc>
        <w:tcPr>
          <w:tcW w:w="7797" w:type="dxa"/>
        </w:tcPr>
        <w:p w14:paraId="4B8DDA34" w14:textId="77777777" w:rsidR="00511059" w:rsidRDefault="00511059" w:rsidP="006F7493">
          <w:pPr>
            <w:pStyle w:val="HeaderOdd"/>
          </w:pPr>
          <w:r w:rsidRPr="007D6962">
            <w:rPr>
              <w:rStyle w:val="PageNumber"/>
              <w:sz w:val="18"/>
              <w:szCs w:val="18"/>
            </w:rPr>
            <w:t>Portfolio Glossary</w:t>
          </w:r>
          <w:r>
            <w:rPr>
              <w:rStyle w:val="PageNumber"/>
              <w:sz w:val="18"/>
              <w:szCs w:val="18"/>
            </w:rPr>
            <w:t xml:space="preserve"> </w:t>
          </w:r>
          <w:r w:rsidRPr="00213592">
            <w:rPr>
              <w:position w:val="-2"/>
            </w:rPr>
            <w:t xml:space="preserve"> |</w:t>
          </w:r>
          <w:r>
            <w:t xml:space="preserve">  </w:t>
          </w:r>
          <w:r w:rsidRPr="000635BE">
            <w:rPr>
              <w:rFonts w:ascii="Arial Bold" w:hAnsi="Arial Bold"/>
              <w:b/>
              <w:bCs/>
              <w:noProof/>
              <w:position w:val="-10"/>
            </w:rPr>
            <w:drawing>
              <wp:inline distT="0" distB="0" distL="0" distR="0" wp14:anchorId="63299909" wp14:editId="4DE0CCD4">
                <wp:extent cx="989308" cy="170121"/>
                <wp:effectExtent l="0" t="0" r="1905"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3504CD97" w14:textId="77777777" w:rsidR="00511059" w:rsidRPr="006F7493" w:rsidRDefault="00511059" w:rsidP="006F7493">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6DE9610D" w14:textId="77777777" w:rsidTr="00302E82">
      <w:trPr>
        <w:trHeight w:hRule="exact" w:val="340"/>
      </w:trPr>
      <w:tc>
        <w:tcPr>
          <w:tcW w:w="7797" w:type="dxa"/>
        </w:tcPr>
        <w:p w14:paraId="774A4852" w14:textId="77777777" w:rsidR="00511059" w:rsidRPr="006F7493" w:rsidRDefault="00511059" w:rsidP="00ED509E">
          <w:pPr>
            <w:pStyle w:val="Header"/>
            <w:rPr>
              <w:rFonts w:ascii="Arial" w:hAnsi="Arial" w:cs="Arial"/>
              <w:i w:val="0"/>
              <w:sz w:val="18"/>
              <w:szCs w:val="18"/>
            </w:rPr>
          </w:pPr>
          <w:r w:rsidRPr="006F7493">
            <w:rPr>
              <w:rFonts w:ascii="Arial" w:hAnsi="Arial" w:cs="Arial"/>
              <w:b/>
              <w:bCs/>
              <w:i w:val="0"/>
              <w:noProof/>
              <w:position w:val="-10"/>
              <w:sz w:val="18"/>
              <w:szCs w:val="18"/>
              <w:lang w:val="en-AU"/>
            </w:rPr>
            <w:drawing>
              <wp:inline distT="0" distB="0" distL="0" distR="0" wp14:anchorId="441EC3B2" wp14:editId="6B4665F8">
                <wp:extent cx="989308" cy="170121"/>
                <wp:effectExtent l="0" t="0" r="1905" b="190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rsidRPr="006F7493">
            <w:rPr>
              <w:rFonts w:ascii="Arial" w:hAnsi="Arial" w:cs="Arial"/>
              <w:i w:val="0"/>
              <w:sz w:val="18"/>
              <w:szCs w:val="18"/>
            </w:rPr>
            <w:t xml:space="preserve">  </w:t>
          </w:r>
          <w:r w:rsidRPr="006F7493">
            <w:rPr>
              <w:rFonts w:ascii="Arial" w:hAnsi="Arial" w:cs="Arial"/>
              <w:i w:val="0"/>
              <w:position w:val="-2"/>
              <w:sz w:val="18"/>
              <w:szCs w:val="18"/>
            </w:rPr>
            <w:t xml:space="preserve">|  </w:t>
          </w:r>
          <w:r w:rsidRPr="007D6962">
            <w:rPr>
              <w:rStyle w:val="PageNumber"/>
              <w:i w:val="0"/>
              <w:sz w:val="18"/>
              <w:szCs w:val="18"/>
              <w:lang w:val="en-AU"/>
            </w:rPr>
            <w:t>Portfolio Glossary</w:t>
          </w:r>
        </w:p>
        <w:p w14:paraId="77C57A15" w14:textId="77777777" w:rsidR="00511059" w:rsidRDefault="00511059" w:rsidP="006F7493">
          <w:pPr>
            <w:pStyle w:val="HeaderOdd"/>
          </w:pPr>
        </w:p>
      </w:tc>
    </w:tr>
  </w:tbl>
  <w:p w14:paraId="2D3D1F71" w14:textId="77777777" w:rsidR="00511059" w:rsidRPr="00F00984" w:rsidRDefault="00511059" w:rsidP="00302E82">
    <w:pPr>
      <w:pStyle w:val="HeaderEven"/>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3EC08" w14:textId="77777777" w:rsidR="00511059" w:rsidRDefault="00511059" w:rsidP="00984EE2">
    <w:pPr>
      <w:jc w:val="right"/>
    </w:pPr>
    <w:r w:rsidRPr="00546AD7">
      <w:rPr>
        <w:rFonts w:ascii="Arial" w:hAnsi="Arial" w:cs="Arial"/>
        <w:sz w:val="16"/>
      </w:rPr>
      <w:t>Portfolio Overview</w:t>
    </w:r>
    <w:r w:rsidRPr="00546AD7">
      <w:rPr>
        <w:sz w:val="16"/>
      </w:rPr>
      <w:t xml:space="preserve">  </w:t>
    </w:r>
    <w:r>
      <w:t xml:space="preserve">|  </w:t>
    </w:r>
    <w:r w:rsidRPr="000635BE">
      <w:rPr>
        <w:rFonts w:ascii="Arial Bold" w:hAnsi="Arial Bold"/>
        <w:b/>
        <w:bCs/>
        <w:noProof/>
        <w:position w:val="-10"/>
      </w:rPr>
      <w:drawing>
        <wp:inline distT="0" distB="0" distL="0" distR="0" wp14:anchorId="6497EDED" wp14:editId="338F8972">
          <wp:extent cx="989308" cy="170121"/>
          <wp:effectExtent l="0" t="0" r="1905" b="190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0202B0FF" w14:textId="77777777" w:rsidR="00511059" w:rsidRPr="00C5714B" w:rsidRDefault="00511059" w:rsidP="00C5714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E3F8" w14:textId="77777777" w:rsidR="00511059" w:rsidRPr="00546AD7" w:rsidRDefault="00511059" w:rsidP="00546A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D96ED" w14:textId="77777777" w:rsidR="00511059" w:rsidRDefault="00511059" w:rsidP="00C5714B">
    <w:pPr>
      <w:pStyle w:val="HeaderEven"/>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CDDB7" w14:textId="77777777" w:rsidR="00511059" w:rsidRPr="00C5714B" w:rsidRDefault="00511059" w:rsidP="00C5714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034824AA" w14:textId="77777777" w:rsidTr="0030299A">
      <w:trPr>
        <w:trHeight w:hRule="exact" w:val="340"/>
      </w:trPr>
      <w:tc>
        <w:tcPr>
          <w:tcW w:w="7797" w:type="dxa"/>
        </w:tcPr>
        <w:p w14:paraId="5816F1D4" w14:textId="77777777" w:rsidR="00511059" w:rsidRDefault="00511059" w:rsidP="00ED5F6E">
          <w:pPr>
            <w:pStyle w:val="HeaderEven"/>
            <w:ind w:left="-113"/>
          </w:pPr>
          <w:bookmarkStart w:id="80" w:name="_Hlk94690506"/>
          <w:r w:rsidRPr="000635BE">
            <w:rPr>
              <w:rFonts w:ascii="Arial Bold" w:hAnsi="Arial Bold"/>
              <w:bCs/>
              <w:noProof/>
              <w:position w:val="-10"/>
            </w:rPr>
            <w:drawing>
              <wp:inline distT="0" distB="0" distL="0" distR="0" wp14:anchorId="2498A6EB" wp14:editId="0F484A4F">
                <wp:extent cx="989308" cy="170121"/>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Pr>
              <w:position w:val="-2"/>
            </w:rPr>
            <w:t xml:space="preserve">|  </w:t>
          </w:r>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A76B91">
            <w:rPr>
              <w:rStyle w:val="PageNumber"/>
              <w:rFonts w:cs="Times New Roman"/>
              <w:noProof/>
              <w:sz w:val="18"/>
            </w:rPr>
            <w:t>Department of the Prime Minister and Cabinet</w:t>
          </w:r>
          <w:r>
            <w:rPr>
              <w:rStyle w:val="PageNumber"/>
              <w:rFonts w:cs="Times New Roman"/>
              <w:sz w:val="18"/>
            </w:rPr>
            <w:fldChar w:fldCharType="end"/>
          </w:r>
          <w:r w:rsidRPr="00B628E8">
            <w:rPr>
              <w:rStyle w:val="PageNumber"/>
              <w:rFonts w:cs="Times New Roman"/>
              <w:sz w:val="18"/>
            </w:rPr>
            <w:t xml:space="preserve"> </w:t>
          </w:r>
          <w:r>
            <w:rPr>
              <w:rStyle w:val="PageNumber"/>
              <w:rFonts w:cs="Times New Roman"/>
              <w:sz w:val="18"/>
            </w:rPr>
            <w:t xml:space="preserve"> </w:t>
          </w:r>
        </w:p>
      </w:tc>
    </w:tr>
    <w:bookmarkEnd w:id="80"/>
  </w:tbl>
  <w:p w14:paraId="01B34EA6" w14:textId="77777777" w:rsidR="00511059" w:rsidRPr="00F00984" w:rsidRDefault="00511059" w:rsidP="00A02E16">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73C2" w14:textId="77777777" w:rsidR="00511059" w:rsidRPr="000C4F54" w:rsidRDefault="00511059" w:rsidP="000C4F54">
    <w:pPr>
      <w:pStyle w:val="HeaderOdd"/>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4FE6C05C" w14:textId="77777777" w:rsidTr="00BA2414">
      <w:trPr>
        <w:trHeight w:hRule="exact" w:val="340"/>
      </w:trPr>
      <w:tc>
        <w:tcPr>
          <w:tcW w:w="7797" w:type="dxa"/>
        </w:tcPr>
        <w:p w14:paraId="75BC3268" w14:textId="77777777" w:rsidR="00511059" w:rsidRDefault="00511059" w:rsidP="00EA3239">
          <w:pPr>
            <w:pStyle w:val="HeaderOdd"/>
          </w:pPr>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A76B91">
            <w:rPr>
              <w:rStyle w:val="PageNumber"/>
              <w:rFonts w:cs="Times New Roman"/>
              <w:noProof/>
              <w:sz w:val="18"/>
            </w:rPr>
            <w:t>Department of the Prime Minister and Cabinet</w:t>
          </w:r>
          <w:r>
            <w:rPr>
              <w:rStyle w:val="PageNumber"/>
              <w:rFonts w:cs="Times New Roman"/>
              <w:sz w:val="18"/>
            </w:rPr>
            <w:fldChar w:fldCharType="end"/>
          </w:r>
          <w:r>
            <w:rPr>
              <w:rStyle w:val="PageNumber"/>
              <w:rFonts w:cs="Times New Roman"/>
              <w:sz w:val="18"/>
            </w:rPr>
            <w:t xml:space="preserve">  |</w:t>
          </w:r>
          <w:r w:rsidRPr="00213592">
            <w:rPr>
              <w:position w:val="-2"/>
            </w:rPr>
            <w:t xml:space="preserve">  </w:t>
          </w:r>
          <w:r w:rsidRPr="000635BE">
            <w:rPr>
              <w:rFonts w:ascii="Arial Bold" w:hAnsi="Arial Bold"/>
              <w:bCs/>
              <w:noProof/>
              <w:position w:val="-10"/>
            </w:rPr>
            <w:drawing>
              <wp:inline distT="0" distB="0" distL="0" distR="0" wp14:anchorId="6357705E" wp14:editId="2C7EC4C7">
                <wp:extent cx="989308" cy="170121"/>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626E5792" w14:textId="77777777" w:rsidR="00511059" w:rsidRDefault="00511059" w:rsidP="00BA2414">
    <w:pPr>
      <w:pStyle w:val="HeaderOdd"/>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DF190" w14:textId="77777777" w:rsidR="00511059" w:rsidRPr="00124EBD" w:rsidRDefault="00511059" w:rsidP="00124E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228B77E6" w14:textId="77777777" w:rsidTr="009750C8">
      <w:trPr>
        <w:trHeight w:hRule="exact" w:val="340"/>
      </w:trPr>
      <w:tc>
        <w:tcPr>
          <w:tcW w:w="7797" w:type="dxa"/>
        </w:tcPr>
        <w:p w14:paraId="2C4D0A28" w14:textId="77777777" w:rsidR="00511059" w:rsidRDefault="00511059" w:rsidP="001A3AD4">
          <w:pPr>
            <w:pStyle w:val="HeaderOdd"/>
          </w:pPr>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A76B91">
            <w:rPr>
              <w:rStyle w:val="PageNumber"/>
              <w:rFonts w:cs="Times New Roman"/>
              <w:noProof/>
              <w:sz w:val="18"/>
            </w:rPr>
            <w:t>Department of the Prime Minister and Cabinet</w:t>
          </w:r>
          <w:r>
            <w:rPr>
              <w:rStyle w:val="PageNumber"/>
              <w:rFonts w:cs="Times New Roman"/>
              <w:sz w:val="18"/>
            </w:rPr>
            <w:fldChar w:fldCharType="end"/>
          </w:r>
          <w:r>
            <w:rPr>
              <w:rStyle w:val="PageNumber"/>
              <w:rFonts w:cs="Times New Roman"/>
              <w:sz w:val="18"/>
            </w:rPr>
            <w:t xml:space="preserve">  |</w:t>
          </w:r>
          <w:r w:rsidRPr="00213592">
            <w:rPr>
              <w:position w:val="-2"/>
            </w:rPr>
            <w:t xml:space="preserve">  </w:t>
          </w:r>
          <w:r w:rsidRPr="000635BE">
            <w:rPr>
              <w:rFonts w:ascii="Arial Bold" w:hAnsi="Arial Bold"/>
              <w:bCs/>
              <w:noProof/>
              <w:position w:val="-10"/>
            </w:rPr>
            <w:drawing>
              <wp:inline distT="0" distB="0" distL="0" distR="0" wp14:anchorId="164FDF16" wp14:editId="112E0BD6">
                <wp:extent cx="989308" cy="170121"/>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5B838473" w14:textId="77777777" w:rsidR="00511059" w:rsidRDefault="00511059" w:rsidP="001A3AD4">
    <w:pPr>
      <w:pStyle w:val="HeaderOdd"/>
      <w:jc w:val="center"/>
    </w:pPr>
  </w:p>
  <w:p w14:paraId="5F7D1E12" w14:textId="77777777" w:rsidR="00511059" w:rsidRPr="00124EBD" w:rsidRDefault="00511059" w:rsidP="00124EB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3CBD630B" w14:textId="77777777" w:rsidTr="00B65914">
      <w:trPr>
        <w:trHeight w:hRule="exact" w:val="340"/>
      </w:trPr>
      <w:tc>
        <w:tcPr>
          <w:tcW w:w="7797" w:type="dxa"/>
        </w:tcPr>
        <w:p w14:paraId="7B13AC14" w14:textId="77777777" w:rsidR="00511059" w:rsidRDefault="00511059" w:rsidP="00884639">
          <w:pPr>
            <w:pStyle w:val="HeaderOdd"/>
          </w:pPr>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A76B91">
            <w:rPr>
              <w:rStyle w:val="PageNumber"/>
              <w:rFonts w:cs="Times New Roman"/>
              <w:noProof/>
              <w:sz w:val="18"/>
            </w:rPr>
            <w:t>Department of the Prime Minister and Cabinet</w:t>
          </w:r>
          <w:r>
            <w:rPr>
              <w:rStyle w:val="PageNumber"/>
              <w:rFonts w:cs="Times New Roman"/>
              <w:sz w:val="18"/>
            </w:rPr>
            <w:fldChar w:fldCharType="end"/>
          </w:r>
          <w:r>
            <w:rPr>
              <w:rStyle w:val="PageNumber"/>
              <w:rFonts w:cs="Times New Roman"/>
              <w:sz w:val="18"/>
            </w:rPr>
            <w:t xml:space="preserve">  |</w:t>
          </w:r>
          <w:r w:rsidRPr="00213592">
            <w:rPr>
              <w:position w:val="-2"/>
            </w:rPr>
            <w:t xml:space="preserve">  </w:t>
          </w:r>
          <w:r w:rsidRPr="000635BE">
            <w:rPr>
              <w:rFonts w:ascii="Arial Bold" w:hAnsi="Arial Bold"/>
              <w:bCs/>
              <w:noProof/>
              <w:position w:val="-10"/>
            </w:rPr>
            <w:drawing>
              <wp:inline distT="0" distB="0" distL="0" distR="0" wp14:anchorId="2E88D71A" wp14:editId="52B0C96D">
                <wp:extent cx="989308" cy="170121"/>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r w:rsidR="00511059" w14:paraId="73A21D9B" w14:textId="77777777" w:rsidTr="0030299A">
      <w:trPr>
        <w:trHeight w:hRule="exact" w:val="340"/>
      </w:trPr>
      <w:tc>
        <w:tcPr>
          <w:tcW w:w="7797" w:type="dxa"/>
        </w:tcPr>
        <w:p w14:paraId="488D6680" w14:textId="77777777" w:rsidR="00511059" w:rsidRDefault="00511059" w:rsidP="00050A97">
          <w:pPr>
            <w:pStyle w:val="HeaderEven"/>
            <w:ind w:left="-113"/>
          </w:pPr>
        </w:p>
      </w:tc>
    </w:tr>
  </w:tbl>
  <w:p w14:paraId="2D56ACBC" w14:textId="77777777" w:rsidR="00511059" w:rsidRPr="000304FC" w:rsidRDefault="00511059" w:rsidP="00A02E16">
    <w:pPr>
      <w:pStyle w:val="HeaderEven"/>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1E0E40BF" w14:textId="77777777" w:rsidTr="00B65914">
      <w:trPr>
        <w:trHeight w:hRule="exact" w:val="340"/>
      </w:trPr>
      <w:tc>
        <w:tcPr>
          <w:tcW w:w="7797" w:type="dxa"/>
        </w:tcPr>
        <w:p w14:paraId="2B05F17E" w14:textId="77777777" w:rsidR="00511059" w:rsidRDefault="00511059" w:rsidP="00884639">
          <w:pPr>
            <w:pStyle w:val="HeaderOdd"/>
          </w:pPr>
        </w:p>
      </w:tc>
    </w:tr>
    <w:tr w:rsidR="00511059" w14:paraId="7DE90A9F" w14:textId="77777777" w:rsidTr="0030299A">
      <w:trPr>
        <w:trHeight w:hRule="exact" w:val="340"/>
      </w:trPr>
      <w:tc>
        <w:tcPr>
          <w:tcW w:w="7797" w:type="dxa"/>
        </w:tcPr>
        <w:p w14:paraId="23D6AE4A" w14:textId="77777777" w:rsidR="00511059" w:rsidRDefault="00511059" w:rsidP="00050A97">
          <w:pPr>
            <w:pStyle w:val="HeaderEven"/>
            <w:ind w:left="-113"/>
          </w:pPr>
        </w:p>
      </w:tc>
    </w:tr>
  </w:tbl>
  <w:p w14:paraId="70496960" w14:textId="77777777" w:rsidR="00511059" w:rsidRPr="000304FC" w:rsidRDefault="00511059" w:rsidP="00A02E16">
    <w:pPr>
      <w:pStyle w:val="HeaderEven"/>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2FB2CE0A" w14:textId="77777777" w:rsidTr="0030299A">
      <w:trPr>
        <w:trHeight w:hRule="exact" w:val="340"/>
      </w:trPr>
      <w:tc>
        <w:tcPr>
          <w:tcW w:w="7797" w:type="dxa"/>
        </w:tcPr>
        <w:p w14:paraId="55296274" w14:textId="77777777" w:rsidR="00511059" w:rsidRDefault="00511059" w:rsidP="00ED5F6E">
          <w:pPr>
            <w:pStyle w:val="HeaderEven"/>
            <w:ind w:left="-113"/>
          </w:pPr>
        </w:p>
      </w:tc>
    </w:tr>
  </w:tbl>
  <w:p w14:paraId="79971D90" w14:textId="77777777" w:rsidR="00511059" w:rsidRPr="00F00984" w:rsidRDefault="00511059" w:rsidP="00A02E16">
    <w:pPr>
      <w:pStyle w:val="HeaderEven"/>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5E419D96" w14:textId="77777777" w:rsidTr="0030299A">
      <w:trPr>
        <w:trHeight w:hRule="exact" w:val="340"/>
      </w:trPr>
      <w:tc>
        <w:tcPr>
          <w:tcW w:w="7797" w:type="dxa"/>
        </w:tcPr>
        <w:p w14:paraId="7A99182E" w14:textId="77777777" w:rsidR="00511059" w:rsidRDefault="00511059" w:rsidP="008B3C1E">
          <w:pPr>
            <w:pStyle w:val="HeaderEven"/>
          </w:pPr>
        </w:p>
      </w:tc>
    </w:tr>
  </w:tbl>
  <w:p w14:paraId="16476D85" w14:textId="77777777" w:rsidR="00511059" w:rsidRPr="000304FC" w:rsidRDefault="00511059" w:rsidP="00A02E16">
    <w:pPr>
      <w:pStyle w:val="HeaderEven"/>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B570F" w14:textId="77777777" w:rsidR="00511059" w:rsidRPr="00884639" w:rsidRDefault="00511059" w:rsidP="005D17E1">
    <w:pPr>
      <w:pStyle w:val="Header"/>
      <w:rPr>
        <w:lang w:val="en-AU"/>
      </w:rPr>
    </w:pPr>
    <w:r w:rsidRPr="000635BE">
      <w:rPr>
        <w:rFonts w:ascii="Arial Bold" w:hAnsi="Arial Bold"/>
        <w:b/>
        <w:bCs/>
        <w:noProof/>
        <w:position w:val="-10"/>
        <w:lang w:val="en-AU"/>
      </w:rPr>
      <w:drawing>
        <wp:inline distT="0" distB="0" distL="0" distR="0" wp14:anchorId="632C314A" wp14:editId="316BC3CB">
          <wp:extent cx="989308" cy="170121"/>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w:t>
    </w:r>
    <w:r>
      <w:rPr>
        <w:rFonts w:ascii="Arial" w:hAnsi="Arial" w:cs="Arial"/>
        <w:i w:val="0"/>
        <w:sz w:val="18"/>
        <w:lang w:val="en-AU"/>
      </w:rPr>
      <w:t>Aboriginal Hostels Limited</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7F275" w14:textId="77777777" w:rsidR="00511059" w:rsidRPr="002D4787" w:rsidRDefault="00511059" w:rsidP="002D4787">
    <w:pPr>
      <w:pStyle w:val="HeaderEven"/>
      <w:ind w:left="-113"/>
      <w:jc w:val="right"/>
    </w:pPr>
    <w:r>
      <w:rPr>
        <w:position w:val="-2"/>
      </w:rPr>
      <w:t>Aboriginal Hostels Limited</w:t>
    </w:r>
    <w:r>
      <w:t xml:space="preserve">  </w:t>
    </w:r>
    <w:r w:rsidRPr="00213592">
      <w:rPr>
        <w:position w:val="-2"/>
      </w:rPr>
      <w:t xml:space="preserve">|  </w:t>
    </w:r>
    <w:r w:rsidRPr="000635BE">
      <w:rPr>
        <w:rFonts w:ascii="Arial Bold" w:hAnsi="Arial Bold"/>
        <w:b/>
        <w:bCs/>
        <w:noProof/>
        <w:position w:val="-10"/>
      </w:rPr>
      <w:drawing>
        <wp:inline distT="0" distB="0" distL="0" distR="0" wp14:anchorId="0E430968" wp14:editId="3CCC9946">
          <wp:extent cx="989308" cy="170121"/>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E6AB" w14:textId="77777777" w:rsidR="00511059" w:rsidRPr="00884639" w:rsidRDefault="00511059" w:rsidP="00884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621E" w14:textId="77777777" w:rsidR="00511059" w:rsidRDefault="00511059"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57AFF4D6" w14:textId="77777777" w:rsidR="00511059" w:rsidRDefault="00511059"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51AC7" w14:textId="77777777" w:rsidR="00511059" w:rsidRPr="002D4787" w:rsidRDefault="00511059" w:rsidP="00884639">
    <w:pPr>
      <w:pStyle w:val="HeaderEven"/>
      <w:jc w:val="right"/>
    </w:pPr>
    <w:r>
      <w:rPr>
        <w:position w:val="-2"/>
      </w:rPr>
      <w:t>Aboriginal Hostels Limited</w:t>
    </w:r>
    <w:r>
      <w:t xml:space="preserve">  </w:t>
    </w:r>
    <w:r w:rsidRPr="00213592">
      <w:rPr>
        <w:position w:val="-2"/>
      </w:rPr>
      <w:t xml:space="preserve">|  </w:t>
    </w:r>
    <w:r w:rsidRPr="000635BE">
      <w:rPr>
        <w:rFonts w:ascii="Arial Bold" w:hAnsi="Arial Bold"/>
        <w:b/>
        <w:bCs/>
        <w:noProof/>
        <w:position w:val="-10"/>
      </w:rPr>
      <w:drawing>
        <wp:inline distT="0" distB="0" distL="0" distR="0" wp14:anchorId="1020D8A4" wp14:editId="5723C69F">
          <wp:extent cx="989308" cy="170121"/>
          <wp:effectExtent l="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F6A5" w14:textId="77777777" w:rsidR="00511059" w:rsidRPr="005D17E1" w:rsidRDefault="00511059" w:rsidP="005D17E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3C539" w14:textId="77777777" w:rsidR="00511059" w:rsidRDefault="00511059" w:rsidP="00A02E16">
    <w:pPr>
      <w:pStyle w:val="HeaderOdd"/>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D1EF" w14:textId="77777777" w:rsidR="00511059" w:rsidRDefault="00511059" w:rsidP="00067B02">
    <w:pPr>
      <w:jc w:val="righ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805FF" w14:textId="77777777" w:rsidR="00511059" w:rsidRPr="00067B02" w:rsidRDefault="00511059" w:rsidP="00067B0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2D55493F" w14:textId="77777777" w:rsidTr="00E315A5">
      <w:trPr>
        <w:trHeight w:hRule="exact" w:val="340"/>
      </w:trPr>
      <w:tc>
        <w:tcPr>
          <w:tcW w:w="7797" w:type="dxa"/>
        </w:tcPr>
        <w:p w14:paraId="2C9D65C0" w14:textId="77777777" w:rsidR="00511059" w:rsidRDefault="00511059" w:rsidP="000E7BD9">
          <w:pPr>
            <w:pStyle w:val="HeaderEven"/>
            <w:ind w:left="-113"/>
          </w:pPr>
          <w:r w:rsidRPr="000635BE">
            <w:rPr>
              <w:rFonts w:ascii="Arial Bold" w:hAnsi="Arial Bold"/>
              <w:b/>
              <w:bCs/>
              <w:noProof/>
              <w:position w:val="-10"/>
            </w:rPr>
            <w:drawing>
              <wp:inline distT="0" distB="0" distL="0" distR="0" wp14:anchorId="1287A0B3" wp14:editId="782CABD2">
                <wp:extent cx="989308" cy="170121"/>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sidRPr="000E7BD9">
            <w:rPr>
              <w:position w:val="-2"/>
            </w:rPr>
            <w:t>Australian Institute of Aboriginal a</w:t>
          </w:r>
          <w:r>
            <w:rPr>
              <w:position w:val="-2"/>
            </w:rPr>
            <w:t>nd Torres Strait Islander Studies</w:t>
          </w:r>
        </w:p>
      </w:tc>
    </w:tr>
  </w:tbl>
  <w:p w14:paraId="3BE7CF34" w14:textId="77777777" w:rsidR="00511059" w:rsidRPr="00F00984" w:rsidRDefault="00511059" w:rsidP="00A02E16">
    <w:pPr>
      <w:pStyle w:val="HeaderEven"/>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733568D0" w14:textId="77777777" w:rsidTr="00E315A5">
      <w:trPr>
        <w:trHeight w:hRule="exact" w:val="340"/>
      </w:trPr>
      <w:tc>
        <w:tcPr>
          <w:tcW w:w="7797" w:type="dxa"/>
        </w:tcPr>
        <w:p w14:paraId="1D0C12AE" w14:textId="77777777" w:rsidR="00511059" w:rsidRDefault="00511059" w:rsidP="00050A97">
          <w:pPr>
            <w:pStyle w:val="HeaderOdd"/>
          </w:pPr>
          <w:r w:rsidRPr="000E7BD9">
            <w:rPr>
              <w:position w:val="-2"/>
            </w:rPr>
            <w:t>Australian Institute of Aboriginal a</w:t>
          </w:r>
          <w:r>
            <w:rPr>
              <w:position w:val="-2"/>
            </w:rPr>
            <w:t>nd Torres Strait Islander Studies</w:t>
          </w:r>
          <w:r w:rsidRPr="00213592">
            <w:rPr>
              <w:position w:val="-2"/>
            </w:rPr>
            <w:t xml:space="preserve"> </w:t>
          </w:r>
          <w:r>
            <w:rPr>
              <w:position w:val="-2"/>
            </w:rPr>
            <w:t xml:space="preserve"> </w:t>
          </w:r>
          <w:r w:rsidRPr="00213592">
            <w:rPr>
              <w:position w:val="-2"/>
            </w:rPr>
            <w:t>|</w:t>
          </w:r>
          <w:r>
            <w:t xml:space="preserve">  </w:t>
          </w:r>
          <w:r w:rsidRPr="000635BE">
            <w:rPr>
              <w:rFonts w:ascii="Arial Bold" w:hAnsi="Arial Bold"/>
              <w:b/>
              <w:bCs/>
              <w:noProof/>
              <w:position w:val="-10"/>
            </w:rPr>
            <w:drawing>
              <wp:inline distT="0" distB="0" distL="0" distR="0" wp14:anchorId="64C88B5A" wp14:editId="7C96E378">
                <wp:extent cx="989308" cy="170121"/>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6302D7F7" w14:textId="77777777" w:rsidR="00511059" w:rsidRDefault="00511059" w:rsidP="00A02E16">
    <w:pPr>
      <w:pStyle w:val="HeaderOdd"/>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BCC0" w14:textId="77777777" w:rsidR="00511059" w:rsidRPr="00B4084B" w:rsidRDefault="00511059" w:rsidP="00C31BE3">
    <w:pPr>
      <w:pStyle w:val="HeaderOdd"/>
      <w:jc w:val="left"/>
    </w:pPr>
  </w:p>
  <w:p w14:paraId="6DE2F182" w14:textId="77777777" w:rsidR="00511059" w:rsidRDefault="00511059"/>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12AE6361" w14:textId="77777777" w:rsidTr="00A1302F">
      <w:trPr>
        <w:trHeight w:hRule="exact" w:val="340"/>
      </w:trPr>
      <w:tc>
        <w:tcPr>
          <w:tcW w:w="7797" w:type="dxa"/>
        </w:tcPr>
        <w:p w14:paraId="0A41E66D" w14:textId="77777777" w:rsidR="00511059" w:rsidRPr="00B4084B" w:rsidRDefault="00511059" w:rsidP="000E7BD9">
          <w:pPr>
            <w:pStyle w:val="HeaderOdd"/>
            <w:jc w:val="left"/>
          </w:pPr>
          <w:r w:rsidRPr="000635BE">
            <w:rPr>
              <w:rFonts w:ascii="Arial Bold" w:hAnsi="Arial Bold"/>
              <w:b/>
              <w:bCs/>
              <w:noProof/>
              <w:position w:val="-10"/>
            </w:rPr>
            <w:drawing>
              <wp:inline distT="0" distB="0" distL="0" distR="0" wp14:anchorId="43A16263" wp14:editId="21484A1B">
                <wp:extent cx="989308" cy="170121"/>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sidRPr="000E7BD9">
            <w:rPr>
              <w:position w:val="-2"/>
            </w:rPr>
            <w:t>Australian Institute of Aboriginal a</w:t>
          </w:r>
          <w:r>
            <w:rPr>
              <w:position w:val="-2"/>
            </w:rPr>
            <w:t>nd Torres Strait Islander Studies</w:t>
          </w:r>
        </w:p>
        <w:p w14:paraId="1D31985A" w14:textId="77777777" w:rsidR="00511059" w:rsidRDefault="00511059" w:rsidP="001C0BAE">
          <w:pPr>
            <w:pStyle w:val="HeaderOdd"/>
          </w:pPr>
        </w:p>
      </w:tc>
    </w:tr>
  </w:tbl>
  <w:p w14:paraId="472739EF" w14:textId="77777777" w:rsidR="00511059" w:rsidRPr="001C0BAE" w:rsidRDefault="00511059" w:rsidP="001C0BA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FEB3702" w14:textId="77777777" w:rsidTr="00B65914">
      <w:trPr>
        <w:trHeight w:hRule="exact" w:val="340"/>
      </w:trPr>
      <w:tc>
        <w:tcPr>
          <w:tcW w:w="7797" w:type="dxa"/>
        </w:tcPr>
        <w:p w14:paraId="0E27977C" w14:textId="77777777" w:rsidR="00511059" w:rsidRDefault="00511059" w:rsidP="000E7BD9">
          <w:pPr>
            <w:pStyle w:val="HeaderOdd"/>
          </w:pPr>
          <w:r w:rsidRPr="000E7BD9">
            <w:rPr>
              <w:position w:val="-2"/>
            </w:rPr>
            <w:t>Australian Institute of Aboriginal a</w:t>
          </w:r>
          <w:r>
            <w:rPr>
              <w:position w:val="-2"/>
            </w:rPr>
            <w:t>nd Torres Strait Islander Studies</w:t>
          </w:r>
          <w:r w:rsidRPr="00213592">
            <w:rPr>
              <w:position w:val="-2"/>
            </w:rPr>
            <w:t xml:space="preserve"> </w:t>
          </w:r>
          <w:r>
            <w:rPr>
              <w:position w:val="-2"/>
            </w:rPr>
            <w:t xml:space="preserve"> </w:t>
          </w:r>
          <w:r w:rsidRPr="00213592">
            <w:rPr>
              <w:position w:val="-2"/>
            </w:rPr>
            <w:t>|</w:t>
          </w:r>
          <w:r>
            <w:t xml:space="preserve">  </w:t>
          </w:r>
          <w:r w:rsidRPr="000635BE">
            <w:rPr>
              <w:rFonts w:ascii="Arial Bold" w:hAnsi="Arial Bold"/>
              <w:b/>
              <w:bCs/>
              <w:noProof/>
              <w:position w:val="-10"/>
            </w:rPr>
            <w:drawing>
              <wp:inline distT="0" distB="0" distL="0" distR="0" wp14:anchorId="6D4FB4FD" wp14:editId="25DF3D2E">
                <wp:extent cx="989308" cy="170121"/>
                <wp:effectExtent l="0" t="0" r="1905" b="190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tbl>
    <w:tblPr>
      <w:tblW w:w="7797" w:type="dxa"/>
      <w:tblLook w:val="04A0" w:firstRow="1" w:lastRow="0" w:firstColumn="1" w:lastColumn="0" w:noHBand="0" w:noVBand="1"/>
    </w:tblPr>
    <w:tblGrid>
      <w:gridCol w:w="7797"/>
    </w:tblGrid>
    <w:tr w:rsidR="00511059" w14:paraId="1D2AEAA9" w14:textId="77777777" w:rsidTr="005E3EA5">
      <w:trPr>
        <w:trHeight w:hRule="exact" w:val="421"/>
      </w:trPr>
      <w:tc>
        <w:tcPr>
          <w:tcW w:w="7797" w:type="dxa"/>
        </w:tcPr>
        <w:p w14:paraId="1DA9FBBB" w14:textId="77777777" w:rsidR="00511059" w:rsidRDefault="00511059" w:rsidP="00FC6916">
          <w:pPr>
            <w:pStyle w:val="HeaderOdd"/>
          </w:pPr>
        </w:p>
      </w:tc>
    </w:tr>
  </w:tbl>
  <w:p w14:paraId="127911F1" w14:textId="77777777" w:rsidR="00511059" w:rsidRDefault="00511059" w:rsidP="00361259">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E0D6B" w14:textId="77777777" w:rsidR="00511059" w:rsidRDefault="00511059"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3475B03E" w14:textId="77777777" w:rsidR="00511059" w:rsidRDefault="00511059"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3E8C9" w14:textId="77777777" w:rsidR="00511059" w:rsidRPr="00B4084B" w:rsidRDefault="00511059" w:rsidP="00C31BE3">
    <w:pPr>
      <w:pStyle w:val="HeaderOdd"/>
      <w:jc w:val="left"/>
    </w:pPr>
    <w:r w:rsidRPr="000635BE">
      <w:rPr>
        <w:rFonts w:ascii="Arial Bold" w:hAnsi="Arial Bold"/>
        <w:b/>
        <w:bCs/>
        <w:noProof/>
        <w:position w:val="-10"/>
      </w:rPr>
      <w:drawing>
        <wp:inline distT="0" distB="0" distL="0" distR="0" wp14:anchorId="003ADD84" wp14:editId="6D50AF39">
          <wp:extent cx="989308" cy="170121"/>
          <wp:effectExtent l="0" t="0" r="1905" b="190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sidRPr="000E7BD9">
      <w:rPr>
        <w:position w:val="-2"/>
      </w:rPr>
      <w:t>Australian Institute of Aboriginal a</w:t>
    </w:r>
    <w:r>
      <w:rPr>
        <w:position w:val="-2"/>
      </w:rPr>
      <w:t>nd Torres Strait Island Studies</w:t>
    </w:r>
  </w:p>
  <w:p w14:paraId="58865444" w14:textId="77777777" w:rsidR="00511059" w:rsidRDefault="00511059"/>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1A454173" w14:textId="77777777" w:rsidTr="00A1302F">
      <w:trPr>
        <w:trHeight w:hRule="exact" w:val="340"/>
      </w:trPr>
      <w:tc>
        <w:tcPr>
          <w:tcW w:w="7797" w:type="dxa"/>
        </w:tcPr>
        <w:p w14:paraId="4841AAE0" w14:textId="77777777" w:rsidR="00511059" w:rsidRDefault="00511059" w:rsidP="007A7BF4">
          <w:pPr>
            <w:pStyle w:val="HeaderOdd"/>
            <w:jc w:val="left"/>
          </w:pPr>
        </w:p>
      </w:tc>
    </w:tr>
  </w:tbl>
  <w:p w14:paraId="6DEC85BB" w14:textId="77777777" w:rsidR="00511059" w:rsidRPr="001C0BAE" w:rsidRDefault="00511059" w:rsidP="001C0BA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50055F19" w14:textId="77777777" w:rsidTr="005E3EA5">
      <w:trPr>
        <w:trHeight w:hRule="exact" w:val="421"/>
      </w:trPr>
      <w:tc>
        <w:tcPr>
          <w:tcW w:w="7797" w:type="dxa"/>
        </w:tcPr>
        <w:p w14:paraId="37ABAC7F" w14:textId="77777777" w:rsidR="00511059" w:rsidRDefault="00511059" w:rsidP="00FC6916">
          <w:pPr>
            <w:pStyle w:val="HeaderOdd"/>
          </w:pPr>
        </w:p>
      </w:tc>
    </w:tr>
  </w:tbl>
  <w:p w14:paraId="791E2F8D" w14:textId="77777777" w:rsidR="00511059" w:rsidRDefault="00511059" w:rsidP="00361259">
    <w:pPr>
      <w:pStyle w:val="HeaderOdd"/>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8FEB1" w14:textId="77777777" w:rsidR="00511059" w:rsidRDefault="00511059"/>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6094B" w14:textId="77777777" w:rsidR="00511059" w:rsidRPr="00B4084B" w:rsidRDefault="00511059" w:rsidP="00A62A0C">
    <w:pPr>
      <w:pStyle w:val="HeaderOdd"/>
      <w:jc w:val="left"/>
    </w:pPr>
    <w:r w:rsidRPr="000635BE">
      <w:rPr>
        <w:rFonts w:ascii="Arial Bold" w:hAnsi="Arial Bold"/>
        <w:b/>
        <w:bCs/>
        <w:noProof/>
        <w:position w:val="-10"/>
      </w:rPr>
      <w:drawing>
        <wp:inline distT="0" distB="0" distL="0" distR="0" wp14:anchorId="4B5F063C" wp14:editId="177EFCA6">
          <wp:extent cx="989308" cy="170121"/>
          <wp:effectExtent l="0" t="0" r="1905" b="190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sidRPr="000E7BD9">
      <w:rPr>
        <w:position w:val="-2"/>
      </w:rPr>
      <w:t xml:space="preserve">Australian </w:t>
    </w:r>
    <w:r>
      <w:rPr>
        <w:position w:val="-2"/>
      </w:rPr>
      <w:t>National Audit Office</w:t>
    </w:r>
  </w:p>
  <w:p w14:paraId="7EEF393D" w14:textId="77777777" w:rsidR="00511059" w:rsidRPr="001C0BAE" w:rsidRDefault="00511059" w:rsidP="001C0BA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4152699D" w14:textId="77777777" w:rsidTr="00A62A0C">
      <w:trPr>
        <w:trHeight w:hRule="exact" w:val="340"/>
      </w:trPr>
      <w:tc>
        <w:tcPr>
          <w:tcW w:w="7797" w:type="dxa"/>
        </w:tcPr>
        <w:p w14:paraId="0B43C111" w14:textId="77777777" w:rsidR="00511059" w:rsidRDefault="00511059" w:rsidP="00A62A0C">
          <w:pPr>
            <w:pStyle w:val="HeaderOdd"/>
          </w:pPr>
          <w:r w:rsidRPr="000E7BD9">
            <w:rPr>
              <w:position w:val="-2"/>
            </w:rPr>
            <w:t xml:space="preserve">Australian </w:t>
          </w:r>
          <w:r>
            <w:rPr>
              <w:position w:val="-2"/>
            </w:rPr>
            <w:t>National Audit Office</w:t>
          </w:r>
          <w:r w:rsidRPr="00213592">
            <w:rPr>
              <w:position w:val="-2"/>
            </w:rPr>
            <w:t xml:space="preserve"> </w:t>
          </w:r>
          <w:r>
            <w:rPr>
              <w:position w:val="-2"/>
            </w:rPr>
            <w:t xml:space="preserve"> </w:t>
          </w:r>
          <w:r w:rsidRPr="00213592">
            <w:rPr>
              <w:position w:val="-2"/>
            </w:rPr>
            <w:t>|</w:t>
          </w:r>
          <w:r>
            <w:t xml:space="preserve">  </w:t>
          </w:r>
          <w:r w:rsidRPr="000635BE">
            <w:rPr>
              <w:rFonts w:ascii="Arial Bold" w:hAnsi="Arial Bold"/>
              <w:b/>
              <w:bCs/>
              <w:noProof/>
              <w:position w:val="-10"/>
            </w:rPr>
            <w:drawing>
              <wp:inline distT="0" distB="0" distL="0" distR="0" wp14:anchorId="7DAF1F67" wp14:editId="4254ADFA">
                <wp:extent cx="989308" cy="170121"/>
                <wp:effectExtent l="0" t="0" r="1905" b="190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11AA8DF8" w14:textId="77777777" w:rsidR="00511059" w:rsidRDefault="00511059" w:rsidP="00361259">
    <w:pPr>
      <w:pStyle w:val="HeaderOdd"/>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3738F665" w14:textId="77777777" w:rsidTr="00A1302F">
      <w:trPr>
        <w:trHeight w:hRule="exact" w:val="340"/>
      </w:trPr>
      <w:tc>
        <w:tcPr>
          <w:tcW w:w="7797" w:type="dxa"/>
        </w:tcPr>
        <w:p w14:paraId="5D4EE877" w14:textId="77777777" w:rsidR="00511059" w:rsidRDefault="00511059" w:rsidP="000457F5">
          <w:pPr>
            <w:pStyle w:val="HeaderOdd"/>
            <w:jc w:val="left"/>
          </w:pPr>
        </w:p>
      </w:tc>
    </w:tr>
  </w:tbl>
  <w:p w14:paraId="1F516061" w14:textId="77777777" w:rsidR="00511059" w:rsidRPr="001C0BAE" w:rsidRDefault="00511059" w:rsidP="001C0BA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00D6B014" w14:textId="77777777" w:rsidTr="00A62A0C">
      <w:trPr>
        <w:trHeight w:hRule="exact" w:val="340"/>
      </w:trPr>
      <w:tc>
        <w:tcPr>
          <w:tcW w:w="7797" w:type="dxa"/>
        </w:tcPr>
        <w:p w14:paraId="49774D20" w14:textId="77777777" w:rsidR="00511059" w:rsidRDefault="00511059" w:rsidP="00A62A0C">
          <w:pPr>
            <w:pStyle w:val="HeaderOdd"/>
          </w:pPr>
        </w:p>
      </w:tc>
    </w:tr>
  </w:tbl>
  <w:p w14:paraId="472D8E83" w14:textId="77777777" w:rsidR="00511059" w:rsidRDefault="00511059" w:rsidP="00361259">
    <w:pPr>
      <w:pStyle w:val="HeaderOdd"/>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ACF61FE" w14:textId="77777777" w:rsidTr="002F7A80">
      <w:trPr>
        <w:trHeight w:hRule="exact" w:val="340"/>
      </w:trPr>
      <w:tc>
        <w:tcPr>
          <w:tcW w:w="7797" w:type="dxa"/>
        </w:tcPr>
        <w:p w14:paraId="2D21888B" w14:textId="77777777" w:rsidR="00511059" w:rsidRPr="009B180F" w:rsidRDefault="00511059" w:rsidP="00154F73">
          <w:pPr>
            <w:pStyle w:val="HeaderOdd"/>
            <w:jc w:val="left"/>
          </w:pPr>
          <w:r w:rsidRPr="000635BE">
            <w:rPr>
              <w:rFonts w:ascii="Arial Bold" w:hAnsi="Arial Bold"/>
              <w:bCs/>
              <w:noProof/>
              <w:position w:val="-10"/>
            </w:rPr>
            <w:drawing>
              <wp:inline distT="0" distB="0" distL="0" distR="0" wp14:anchorId="45A31787" wp14:editId="1CCA695E">
                <wp:extent cx="989308" cy="170121"/>
                <wp:effectExtent l="0" t="0" r="1905" b="190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position w:val="-2"/>
            </w:rPr>
            <w:t>Australian Public Service Commission</w:t>
          </w:r>
          <w:r w:rsidRPr="009B180F">
            <w:t xml:space="preserve"> </w:t>
          </w:r>
        </w:p>
        <w:p w14:paraId="7A7FFB0F" w14:textId="77777777" w:rsidR="00511059" w:rsidRDefault="00511059" w:rsidP="003F458D">
          <w:pPr>
            <w:pStyle w:val="HeaderEven"/>
            <w:ind w:left="-113"/>
          </w:pPr>
        </w:p>
      </w:tc>
    </w:tr>
  </w:tbl>
  <w:p w14:paraId="20EF0459" w14:textId="77777777" w:rsidR="00511059" w:rsidRPr="00F00984" w:rsidRDefault="00511059" w:rsidP="00A02E16">
    <w:pPr>
      <w:pStyle w:val="HeaderEven"/>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6FFD4915" w14:textId="77777777" w:rsidTr="00154F73">
      <w:trPr>
        <w:trHeight w:hRule="exact" w:val="421"/>
      </w:trPr>
      <w:tc>
        <w:tcPr>
          <w:tcW w:w="7797" w:type="dxa"/>
        </w:tcPr>
        <w:p w14:paraId="217DBE61" w14:textId="77777777" w:rsidR="00511059" w:rsidRDefault="00511059" w:rsidP="00154F73">
          <w:pPr>
            <w:pStyle w:val="HeaderOdd"/>
          </w:pPr>
          <w:r>
            <w:rPr>
              <w:position w:val="-2"/>
            </w:rPr>
            <w:t>Australian Public Service Commission</w:t>
          </w:r>
          <w:r w:rsidRPr="00213592">
            <w:rPr>
              <w:position w:val="-2"/>
            </w:rPr>
            <w:t xml:space="preserve">  |</w:t>
          </w:r>
          <w:r>
            <w:t xml:space="preserve">  </w:t>
          </w:r>
          <w:r w:rsidRPr="000635BE">
            <w:rPr>
              <w:rFonts w:ascii="Arial Bold" w:hAnsi="Arial Bold"/>
              <w:bCs/>
              <w:noProof/>
              <w:position w:val="-10"/>
            </w:rPr>
            <w:drawing>
              <wp:inline distT="0" distB="0" distL="0" distR="0" wp14:anchorId="1C38EE07" wp14:editId="4F1042D5">
                <wp:extent cx="989308" cy="170121"/>
                <wp:effectExtent l="0" t="0" r="1905" b="190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34D93257" w14:textId="77777777" w:rsidTr="002F7A80">
      <w:trPr>
        <w:trHeight w:hRule="exact" w:val="340"/>
      </w:trPr>
      <w:tc>
        <w:tcPr>
          <w:tcW w:w="7797" w:type="dxa"/>
        </w:tcPr>
        <w:p w14:paraId="62E98D28" w14:textId="77777777" w:rsidR="00511059" w:rsidRDefault="00511059" w:rsidP="00050A97">
          <w:pPr>
            <w:pStyle w:val="HeaderOdd"/>
          </w:pPr>
        </w:p>
      </w:tc>
    </w:tr>
  </w:tbl>
  <w:p w14:paraId="0B6D0249" w14:textId="77777777" w:rsidR="00511059" w:rsidRDefault="00511059" w:rsidP="00A02E16">
    <w:pPr>
      <w:pStyle w:val="HeaderOd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1315B79B" w14:textId="77777777" w:rsidTr="00C5714B">
      <w:trPr>
        <w:trHeight w:hRule="exact" w:val="712"/>
      </w:trPr>
      <w:tc>
        <w:tcPr>
          <w:tcW w:w="7797" w:type="dxa"/>
        </w:tcPr>
        <w:p w14:paraId="1C4B62B0" w14:textId="77777777" w:rsidR="00511059" w:rsidRDefault="00511059" w:rsidP="005F6A96">
          <w:pPr>
            <w:pStyle w:val="HeaderEven"/>
            <w:ind w:left="-113"/>
          </w:pPr>
          <w:r w:rsidRPr="000635BE">
            <w:rPr>
              <w:rFonts w:ascii="Arial Bold" w:hAnsi="Arial Bold"/>
              <w:bCs/>
              <w:noProof/>
              <w:position w:val="-10"/>
            </w:rPr>
            <w:drawing>
              <wp:inline distT="0" distB="0" distL="0" distR="0" wp14:anchorId="3D08B75E" wp14:editId="126F6752">
                <wp:extent cx="989308" cy="170121"/>
                <wp:effectExtent l="0" t="0" r="190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p>
      </w:tc>
    </w:tr>
  </w:tbl>
  <w:p w14:paraId="43317B97" w14:textId="77777777" w:rsidR="00511059" w:rsidRPr="0049200C" w:rsidRDefault="00511059" w:rsidP="00C5714B">
    <w:pPr>
      <w:pStyle w:val="HeaderEven"/>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8D037" w14:textId="77777777" w:rsidR="00511059" w:rsidRPr="00B4084B" w:rsidRDefault="00511059" w:rsidP="0049200C">
    <w:pPr>
      <w:pStyle w:val="HeaderOdd"/>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65BCD1D8" w14:textId="77777777" w:rsidTr="002F7A80">
      <w:trPr>
        <w:trHeight w:hRule="exact" w:val="340"/>
      </w:trPr>
      <w:tc>
        <w:tcPr>
          <w:tcW w:w="7797" w:type="dxa"/>
        </w:tcPr>
        <w:p w14:paraId="25B7666D" w14:textId="77777777" w:rsidR="00511059" w:rsidRPr="009B180F" w:rsidRDefault="00511059" w:rsidP="0083297D">
          <w:pPr>
            <w:pStyle w:val="HeaderOdd"/>
            <w:jc w:val="left"/>
          </w:pPr>
          <w:r w:rsidRPr="000635BE">
            <w:rPr>
              <w:rFonts w:ascii="Arial Bold" w:hAnsi="Arial Bold"/>
              <w:bCs/>
              <w:noProof/>
              <w:position w:val="-10"/>
            </w:rPr>
            <w:drawing>
              <wp:inline distT="0" distB="0" distL="0" distR="0" wp14:anchorId="3DE0B960" wp14:editId="7134631A">
                <wp:extent cx="989308" cy="170121"/>
                <wp:effectExtent l="0" t="0" r="1905" b="190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position w:val="-2"/>
            </w:rPr>
            <w:t>Australian Public Service Commission</w:t>
          </w:r>
          <w:r w:rsidRPr="009B180F">
            <w:t xml:space="preserve"> </w:t>
          </w:r>
        </w:p>
        <w:p w14:paraId="07E1350C" w14:textId="77777777" w:rsidR="00511059" w:rsidRDefault="00511059" w:rsidP="00154F73">
          <w:pPr>
            <w:pStyle w:val="HeaderOdd"/>
            <w:jc w:val="left"/>
          </w:pPr>
        </w:p>
      </w:tc>
    </w:tr>
  </w:tbl>
  <w:p w14:paraId="17CB260F" w14:textId="77777777" w:rsidR="00511059" w:rsidRPr="00F00984" w:rsidRDefault="00511059" w:rsidP="00A02E16">
    <w:pPr>
      <w:pStyle w:val="HeaderEven"/>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1762D02C" w14:textId="77777777" w:rsidTr="00154F73">
      <w:trPr>
        <w:trHeight w:hRule="exact" w:val="421"/>
      </w:trPr>
      <w:tc>
        <w:tcPr>
          <w:tcW w:w="7797" w:type="dxa"/>
        </w:tcPr>
        <w:p w14:paraId="2E914DCF" w14:textId="77777777" w:rsidR="00511059" w:rsidRDefault="00511059" w:rsidP="00154F73">
          <w:pPr>
            <w:pStyle w:val="HeaderOdd"/>
          </w:pPr>
        </w:p>
      </w:tc>
    </w:tr>
  </w:tbl>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52842034" w14:textId="77777777" w:rsidTr="002F7A80">
      <w:trPr>
        <w:trHeight w:hRule="exact" w:val="340"/>
      </w:trPr>
      <w:tc>
        <w:tcPr>
          <w:tcW w:w="7797" w:type="dxa"/>
        </w:tcPr>
        <w:p w14:paraId="44D8F6E2" w14:textId="77777777" w:rsidR="00511059" w:rsidRDefault="00511059" w:rsidP="00050A97">
          <w:pPr>
            <w:pStyle w:val="HeaderOdd"/>
          </w:pPr>
        </w:p>
      </w:tc>
    </w:tr>
  </w:tbl>
  <w:p w14:paraId="31D45E82" w14:textId="77777777" w:rsidR="00511059" w:rsidRDefault="00511059" w:rsidP="00A02E16">
    <w:pPr>
      <w:pStyle w:val="HeaderOdd"/>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BE0B0" w14:textId="77777777" w:rsidR="00511059" w:rsidRPr="00F00984" w:rsidRDefault="00511059" w:rsidP="00A02E16">
    <w:pPr>
      <w:pStyle w:val="HeaderEven"/>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ED98E" w14:textId="77777777" w:rsidR="00511059" w:rsidRPr="00F00984" w:rsidRDefault="00511059" w:rsidP="002B73EB">
    <w:pPr>
      <w:pStyle w:val="HeaderOdd"/>
      <w:jc w:val="left"/>
    </w:pPr>
    <w:r w:rsidRPr="000635BE">
      <w:rPr>
        <w:rFonts w:ascii="Arial Bold" w:hAnsi="Arial Bold"/>
        <w:bCs/>
        <w:noProof/>
        <w:position w:val="-10"/>
      </w:rPr>
      <w:drawing>
        <wp:inline distT="0" distB="0" distL="0" distR="0" wp14:anchorId="01CAC460" wp14:editId="5ADC47F4">
          <wp:extent cx="989308" cy="170121"/>
          <wp:effectExtent l="0" t="0" r="1905" b="190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w:t>
    </w:r>
    <w:r w:rsidRPr="002B73EB">
      <w:rPr>
        <w:position w:val="-2"/>
      </w:rPr>
      <w:t xml:space="preserve"> </w:t>
    </w:r>
    <w:r>
      <w:rPr>
        <w:position w:val="-2"/>
      </w:rPr>
      <w:t xml:space="preserve"> Digital Transformation Agency</w:t>
    </w:r>
    <w:r w:rsidRPr="00213592">
      <w:rPr>
        <w:position w:val="-2"/>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7143EA2C" w14:textId="77777777" w:rsidTr="00B65914">
      <w:trPr>
        <w:trHeight w:hRule="exact" w:val="421"/>
      </w:trPr>
      <w:tc>
        <w:tcPr>
          <w:tcW w:w="7797" w:type="dxa"/>
        </w:tcPr>
        <w:p w14:paraId="126CC165" w14:textId="77777777" w:rsidR="00511059" w:rsidRDefault="00511059" w:rsidP="0083297D">
          <w:pPr>
            <w:pStyle w:val="HeaderOdd"/>
          </w:pPr>
          <w:r>
            <w:rPr>
              <w:position w:val="-2"/>
            </w:rPr>
            <w:t>Digital Transformation Agency</w:t>
          </w:r>
          <w:r w:rsidRPr="00213592">
            <w:rPr>
              <w:position w:val="-2"/>
            </w:rPr>
            <w:t xml:space="preserve">  |</w:t>
          </w:r>
          <w:r>
            <w:t xml:space="preserve">  </w:t>
          </w:r>
          <w:r w:rsidRPr="000635BE">
            <w:rPr>
              <w:rFonts w:ascii="Arial Bold" w:hAnsi="Arial Bold"/>
              <w:bCs/>
              <w:noProof/>
              <w:position w:val="-10"/>
            </w:rPr>
            <w:drawing>
              <wp:inline distT="0" distB="0" distL="0" distR="0" wp14:anchorId="4FC13482" wp14:editId="42083A0A">
                <wp:extent cx="989308" cy="170121"/>
                <wp:effectExtent l="0" t="0" r="1905" b="190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557B99D0" w14:textId="77777777" w:rsidR="00511059" w:rsidRDefault="00511059" w:rsidP="0083297D">
    <w:pPr>
      <w:pStyle w:val="HeaderOdd"/>
      <w:jc w:val="both"/>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16CABFA3" w14:textId="77777777" w:rsidTr="00327149">
      <w:trPr>
        <w:trHeight w:hRule="exact" w:val="421"/>
      </w:trPr>
      <w:tc>
        <w:tcPr>
          <w:tcW w:w="7797" w:type="dxa"/>
        </w:tcPr>
        <w:p w14:paraId="1B7903CD" w14:textId="77777777" w:rsidR="00511059" w:rsidRPr="00F00984" w:rsidRDefault="00511059" w:rsidP="007C29A7">
          <w:pPr>
            <w:pStyle w:val="HeaderOdd"/>
            <w:jc w:val="left"/>
          </w:pPr>
          <w:r w:rsidRPr="000635BE">
            <w:rPr>
              <w:rFonts w:ascii="Arial Bold" w:hAnsi="Arial Bold"/>
              <w:bCs/>
              <w:noProof/>
              <w:position w:val="-10"/>
            </w:rPr>
            <w:drawing>
              <wp:inline distT="0" distB="0" distL="0" distR="0" wp14:anchorId="50A7712A" wp14:editId="42AD48CD">
                <wp:extent cx="989308" cy="170121"/>
                <wp:effectExtent l="0" t="0" r="1905" b="190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w:t>
          </w:r>
          <w:r w:rsidRPr="002B73EB">
            <w:rPr>
              <w:position w:val="-2"/>
            </w:rPr>
            <w:t xml:space="preserve"> </w:t>
          </w:r>
          <w:r>
            <w:rPr>
              <w:position w:val="-2"/>
            </w:rPr>
            <w:t xml:space="preserve"> Digital Transformation Agency</w:t>
          </w:r>
          <w:r w:rsidRPr="00213592">
            <w:rPr>
              <w:position w:val="-2"/>
            </w:rPr>
            <w:t xml:space="preserve">  </w:t>
          </w:r>
        </w:p>
        <w:p w14:paraId="0C93A26C" w14:textId="77777777" w:rsidR="00511059" w:rsidRDefault="00511059" w:rsidP="002B73EB">
          <w:pPr>
            <w:pStyle w:val="HeaderOdd"/>
          </w:pPr>
        </w:p>
      </w:tc>
    </w:tr>
  </w:tbl>
  <w:p w14:paraId="7B267EBE" w14:textId="77777777" w:rsidR="00511059" w:rsidRPr="00F00984" w:rsidRDefault="00511059" w:rsidP="00695014">
    <w:pPr>
      <w:pStyle w:val="HeaderEven"/>
      <w:jc w:val="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A82D9" w14:textId="77777777" w:rsidR="00511059" w:rsidRPr="00850462" w:rsidRDefault="00511059" w:rsidP="00901F73">
    <w:pPr>
      <w:framePr w:w="289" w:h="7663" w:hRule="exact" w:wrap="around" w:vAnchor="page" w:hAnchor="page" w:x="14646" w:y="2093" w:anchorLock="1"/>
      <w:spacing w:line="276" w:lineRule="auto"/>
      <w:jc w:val="left"/>
      <w:textDirection w:val="tbRl"/>
      <w:rPr>
        <w:rStyle w:val="FramedHeader"/>
      </w:rPr>
    </w:pPr>
    <w:r>
      <w:rPr>
        <w:i/>
        <w:noProof/>
      </w:rPr>
      <mc:AlternateContent>
        <mc:Choice Requires="wps">
          <w:drawing>
            <wp:anchor distT="0" distB="0" distL="114300" distR="114300" simplePos="0" relativeHeight="251849216" behindDoc="0" locked="0" layoutInCell="0" allowOverlap="1" wp14:anchorId="0CCEB392" wp14:editId="70CBAC5F">
              <wp:simplePos x="0" y="0"/>
              <wp:positionH relativeFrom="page">
                <wp:posOffset>0</wp:posOffset>
              </wp:positionH>
              <wp:positionV relativeFrom="page">
                <wp:posOffset>190500</wp:posOffset>
              </wp:positionV>
              <wp:extent cx="7560310" cy="266700"/>
              <wp:effectExtent l="0" t="0" r="0" b="0"/>
              <wp:wrapNone/>
              <wp:docPr id="20" name="MSIPCMa90c4e21a9941636361f0aa2" descr="{&quot;HashCode&quot;:-1556449037,&quot;Height&quot;:841.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FD7F76" w14:textId="77777777"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B4C15F" id="_x0000_t202" coordsize="21600,21600" o:spt="202" path="m,l,21600r21600,l21600,xe">
              <v:stroke joinstyle="miter"/>
              <v:path gradientshapeok="t" o:connecttype="rect"/>
            </v:shapetype>
            <v:shape id="MSIPCMa90c4e21a9941636361f0aa2" o:spid="_x0000_s1042" type="#_x0000_t202" alt="{&quot;HashCode&quot;:-1556449037,&quot;Height&quot;:841.0,&quot;Width&quot;:595.0,&quot;Placement&quot;:&quot;Header&quot;,&quot;Index&quot;:&quot;OddAndEven&quot;,&quot;Section&quot;:5,&quot;Top&quot;:0.0,&quot;Left&quot;:0.0}" style="position:absolute;margin-left:0;margin-top:15pt;width:595.3pt;height:21pt;z-index:251849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" o:allowincell="f" filled="f" stroked="f" strokeweight=".5pt">
              <v:textbox inset=",0,,0">
                <w:txbxContent>
                  <w:p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v:textbox>
              <w10:wrap anchorx="page" anchory="page"/>
            </v:shape>
          </w:pict>
        </mc:Fallback>
      </mc:AlternateContent>
    </w:r>
    <w:r w:rsidRPr="00850462">
      <w:rPr>
        <w:rStyle w:val="FramedHeader"/>
      </w:rPr>
      <w:t xml:space="preserve"> [</w:t>
    </w:r>
    <w:r w:rsidRPr="00850462">
      <w:rPr>
        <w:rStyle w:val="FramedHeader"/>
      </w:rPr>
      <w:fldChar w:fldCharType="begin"/>
    </w:r>
    <w:r w:rsidRPr="00850462">
      <w:rPr>
        <w:rStyle w:val="FramedHeader"/>
      </w:rPr>
      <w:instrText xml:space="preserve"> MACROBUTTON  AcceptAllChangesInDoc Department abbreviation </w:instrText>
    </w:r>
    <w:r w:rsidRPr="00850462">
      <w:rPr>
        <w:rStyle w:val="FramedHeader"/>
      </w:rPr>
      <w:fldChar w:fldCharType="end"/>
    </w:r>
    <w:r w:rsidRPr="00850462">
      <w:rPr>
        <w:rStyle w:val="FramedHeader"/>
      </w:rPr>
      <w:t xml:space="preserve">] Budget Statements </w:t>
    </w:r>
  </w:p>
  <w:p w14:paraId="71AA9C0A" w14:textId="77777777" w:rsidR="00511059" w:rsidRPr="003364C1" w:rsidRDefault="00511059" w:rsidP="00AC292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20514" w14:textId="77777777" w:rsidR="00511059" w:rsidRDefault="00511059" w:rsidP="003B3684">
    <w:pPr>
      <w:pStyle w:val="HeaderEven"/>
    </w:pPr>
    <w:r>
      <w:rPr>
        <w:noProof/>
        <w:sz w:val="2"/>
        <w:szCs w:val="2"/>
      </w:rPr>
      <mc:AlternateContent>
        <mc:Choice Requires="wps">
          <w:drawing>
            <wp:anchor distT="0" distB="0" distL="114300" distR="114300" simplePos="0" relativeHeight="251848192" behindDoc="0" locked="0" layoutInCell="0" allowOverlap="1" wp14:anchorId="50A0AB87" wp14:editId="3EE12CFD">
              <wp:simplePos x="0" y="0"/>
              <wp:positionH relativeFrom="page">
                <wp:posOffset>0</wp:posOffset>
              </wp:positionH>
              <wp:positionV relativeFrom="page">
                <wp:posOffset>190500</wp:posOffset>
              </wp:positionV>
              <wp:extent cx="7560310" cy="266700"/>
              <wp:effectExtent l="0" t="0" r="0" b="0"/>
              <wp:wrapNone/>
              <wp:docPr id="18" name="MSIPCMdc6a44f79936b1e0eaae2789" descr="{&quot;HashCode&quot;:-1556449037,&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9B33B8" w14:textId="77777777"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B6BCDF" id="_x0000_t202" coordsize="21600,21600" o:spt="202" path="m,l,21600r21600,l21600,xe">
              <v:stroke joinstyle="miter"/>
              <v:path gradientshapeok="t" o:connecttype="rect"/>
            </v:shapetype>
            <v:shape id="MSIPCMdc6a44f79936b1e0eaae2789" o:spid="_x0000_s1043" type="#_x0000_t202" alt="{&quot;HashCode&quot;:-1556449037,&quot;Height&quot;:841.0,&quot;Width&quot;:595.0,&quot;Placement&quot;:&quot;Header&quot;,&quot;Index&quot;:&quot;Primary&quot;,&quot;Section&quot;:5,&quot;Top&quot;:0.0,&quot;Left&quot;:0.0}" style="position:absolute;margin-left:0;margin-top:15pt;width:595.3pt;height:21pt;z-index:251848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" o:allowincell="f" filled="f" stroked="f" strokeweight=".5pt">
              <v:textbox inset=",0,,0">
                <w:txbxContent>
                  <w:p w:rsidR="00511059" w:rsidRPr="003378E7" w:rsidRDefault="00511059" w:rsidP="002F7A80">
                    <w:pPr>
                      <w:spacing w:after="0"/>
                      <w:jc w:val="center"/>
                      <w:rPr>
                        <w:rFonts w:ascii="Calibri" w:hAnsi="Calibri" w:cs="Calibri"/>
                        <w:color w:val="A80000"/>
                        <w:sz w:val="24"/>
                      </w:rPr>
                    </w:pPr>
                    <w:r w:rsidRPr="003378E7">
                      <w:rPr>
                        <w:rFonts w:ascii="Calibri" w:hAnsi="Calibri" w:cs="Calibri"/>
                        <w:color w:val="A80000"/>
                        <w:sz w:val="24"/>
                      </w:rPr>
                      <w:t>PROTECTED</w:t>
                    </w:r>
                  </w:p>
                </w:txbxContent>
              </v:textbox>
              <w10:wrap anchorx="page" anchory="page"/>
            </v:shape>
          </w:pict>
        </mc:Fallback>
      </mc:AlternateContent>
    </w:r>
    <w:r w:rsidRPr="005E792C">
      <w:rPr>
        <w:noProof/>
        <w:sz w:val="2"/>
        <w:szCs w:val="2"/>
      </w:rPr>
      <mc:AlternateContent>
        <mc:Choice Requires="wps">
          <w:drawing>
            <wp:anchor distT="0" distB="0" distL="114300" distR="114300" simplePos="0" relativeHeight="251846144" behindDoc="0" locked="0" layoutInCell="1" allowOverlap="1" wp14:anchorId="5F87C2AB" wp14:editId="76441560">
              <wp:simplePos x="0" y="0"/>
              <wp:positionH relativeFrom="column">
                <wp:posOffset>-541020</wp:posOffset>
              </wp:positionH>
              <wp:positionV relativeFrom="margin">
                <wp:posOffset>0</wp:posOffset>
              </wp:positionV>
              <wp:extent cx="399600" cy="4896000"/>
              <wp:effectExtent l="0" t="0" r="635" b="0"/>
              <wp:wrapNone/>
              <wp:docPr id="152"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w="9525">
                        <a:noFill/>
                        <a:miter lim="800000"/>
                        <a:headEnd/>
                        <a:tailEnd/>
                      </a:ln>
                    </wps:spPr>
                    <wps:txbx>
                      <w:txbxContent>
                        <w:p w14:paraId="2D97636C" w14:textId="77777777" w:rsidR="00511059" w:rsidRDefault="00A76B91" w:rsidP="0062706E">
                          <w:pPr>
                            <w:pStyle w:val="FooterOdd"/>
                          </w:pPr>
                          <w:r>
                            <w:fldChar w:fldCharType="begin"/>
                          </w:r>
                          <w:r>
                            <w:instrText xml:space="preserve"> STYLEREF  "Heading 1"  \* MERGEFORMAT </w:instrText>
                          </w:r>
                          <w:r>
                            <w:fldChar w:fldCharType="separate"/>
                          </w:r>
                          <w:r w:rsidR="00511059">
                            <w:rPr>
                              <w:noProof/>
                            </w:rPr>
                            <w:t>Digital Transformation Agency</w:t>
                          </w:r>
                          <w:r>
                            <w:rPr>
                              <w:noProof/>
                            </w:rPr>
                            <w:fldChar w:fldCharType="end"/>
                          </w:r>
                          <w:r w:rsidR="00511059" w:rsidRPr="00B3705D">
                            <w:t xml:space="preserve">  |  </w:t>
                          </w:r>
                          <w:r w:rsidR="00511059" w:rsidRPr="00B3705D">
                            <w:rPr>
                              <w:b/>
                              <w:bCs/>
                            </w:rPr>
                            <w:t xml:space="preserve">Page </w:t>
                          </w:r>
                          <w:r w:rsidR="00511059" w:rsidRPr="00B3705D">
                            <w:rPr>
                              <w:b/>
                              <w:bCs/>
                            </w:rPr>
                            <w:fldChar w:fldCharType="begin"/>
                          </w:r>
                          <w:r w:rsidR="00511059" w:rsidRPr="00B3705D">
                            <w:rPr>
                              <w:b/>
                              <w:bCs/>
                            </w:rPr>
                            <w:instrText xml:space="preserve"> PAGE  \* Arabic  \* MERGEFORMAT </w:instrText>
                          </w:r>
                          <w:r w:rsidR="00511059" w:rsidRPr="00B3705D">
                            <w:rPr>
                              <w:b/>
                              <w:bCs/>
                            </w:rPr>
                            <w:fldChar w:fldCharType="separate"/>
                          </w:r>
                          <w:r w:rsidR="00511059">
                            <w:rPr>
                              <w:b/>
                              <w:bCs/>
                              <w:noProof/>
                            </w:rPr>
                            <w:t>165</w:t>
                          </w:r>
                          <w:r w:rsidR="00511059" w:rsidRPr="00B3705D">
                            <w:rPr>
                              <w:b/>
                              <w:bCs/>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E0B40" id="Text Box 7" o:spid="_x0000_s1044" type="#_x0000_t202" alt="Landscape Page Number" style="position:absolute;margin-left:-42.6pt;margin-top:0;width:31.45pt;height:38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" stroked="f">
              <v:textbox style="layout-flow:vertical" inset="0,0,0,0">
                <w:txbxContent>
                  <w:p w:rsidR="00511059" w:rsidRDefault="00511059" w:rsidP="0062706E">
                    <w:pPr>
                      <w:pStyle w:val="FooterOdd"/>
                    </w:pPr>
                    <w:fldSimple w:instr=" STYLEREF  &quot;Heading 1&quot;  \* MERGEFORMAT ">
                      <w:r>
                        <w:rPr>
                          <w:noProof/>
                        </w:rPr>
                        <w:t>Digital Transformation Agency</w:t>
                      </w:r>
                    </w:fldSimple>
                    <w:r w:rsidRPr="00B3705D">
                      <w:t xml:space="preserve">  |  </w:t>
                    </w:r>
                    <w:r w:rsidRPr="00B3705D">
                      <w:rPr>
                        <w:b/>
                        <w:bCs/>
                      </w:rPr>
                      <w:t xml:space="preserve">Page </w:t>
                    </w:r>
                    <w:r w:rsidRPr="00B3705D">
                      <w:rPr>
                        <w:b/>
                        <w:bCs/>
                      </w:rPr>
                      <w:fldChar w:fldCharType="begin"/>
                    </w:r>
                    <w:r w:rsidRPr="00B3705D">
                      <w:rPr>
                        <w:b/>
                        <w:bCs/>
                      </w:rPr>
                      <w:instrText xml:space="preserve"> PAGE  \* Arabic  \* MERGEFORMAT </w:instrText>
                    </w:r>
                    <w:r w:rsidRPr="00B3705D">
                      <w:rPr>
                        <w:b/>
                        <w:bCs/>
                      </w:rPr>
                      <w:fldChar w:fldCharType="separate"/>
                    </w:r>
                    <w:r>
                      <w:rPr>
                        <w:b/>
                        <w:bCs/>
                        <w:noProof/>
                      </w:rPr>
                      <w:t>165</w:t>
                    </w:r>
                    <w:r w:rsidRPr="00B3705D">
                      <w:rPr>
                        <w:b/>
                        <w:bCs/>
                      </w:rPr>
                      <w:fldChar w:fldCharType="end"/>
                    </w:r>
                  </w:p>
                </w:txbxContent>
              </v:textbox>
              <w10:wrap anchory="margin"/>
            </v:shape>
          </w:pict>
        </mc:Fallback>
      </mc:AlternateContent>
    </w:r>
    <w:r w:rsidRPr="0097580B">
      <w:rPr>
        <w:noProof/>
        <w:sz w:val="32"/>
        <w:szCs w:val="32"/>
      </w:rPr>
      <mc:AlternateContent>
        <mc:Choice Requires="wps">
          <w:drawing>
            <wp:anchor distT="0" distB="0" distL="114300" distR="114300" simplePos="0" relativeHeight="251845120" behindDoc="0" locked="0" layoutInCell="1" allowOverlap="1" wp14:anchorId="2CF4FC5C" wp14:editId="4D823242">
              <wp:simplePos x="0" y="0"/>
              <wp:positionH relativeFrom="column">
                <wp:posOffset>7560945</wp:posOffset>
              </wp:positionH>
              <wp:positionV relativeFrom="margin">
                <wp:posOffset>0</wp:posOffset>
              </wp:positionV>
              <wp:extent cx="399600" cy="4896000"/>
              <wp:effectExtent l="0" t="0" r="635" b="0"/>
              <wp:wrapNone/>
              <wp:docPr id="148"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E2F3B" w14:textId="77777777" w:rsidR="00511059" w:rsidRPr="00137C7E" w:rsidRDefault="00511059" w:rsidP="008C444D">
                          <w:pPr>
                            <w:pStyle w:val="HeaderOdd"/>
                          </w:pPr>
                          <w:r w:rsidRPr="004D660D">
                            <w:rPr>
                              <w:position w:val="-2"/>
                            </w:rPr>
                            <w:t>Portfolio Budget Statements  |</w:t>
                          </w:r>
                          <w:r>
                            <w:t xml:space="preserve">  </w:t>
                          </w:r>
                          <w:r w:rsidRPr="000635BE">
                            <w:rPr>
                              <w:rFonts w:ascii="Arial Bold" w:hAnsi="Arial Bold"/>
                              <w:b/>
                              <w:bCs/>
                              <w:noProof/>
                              <w:position w:val="-10"/>
                            </w:rPr>
                            <w:drawing>
                              <wp:inline distT="0" distB="0" distL="0" distR="0" wp14:anchorId="035AFD93" wp14:editId="54BE9E1C">
                                <wp:extent cx="1000760" cy="172091"/>
                                <wp:effectExtent l="0" t="4763" r="4128" b="4127"/>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172091"/>
                                        </a:xfrm>
                                        <a:prstGeom prst="rect">
                                          <a:avLst/>
                                        </a:prstGeom>
                                        <a:noFill/>
                                      </pic:spPr>
                                    </pic:pic>
                                  </a:graphicData>
                                </a:graphic>
                              </wp:inline>
                            </w:drawing>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5F0C1" id="Text Box 6" o:spid="_x0000_s1045" type="#_x0000_t202" alt="Landscape Odd Header" style="position:absolute;margin-left:595.35pt;margin-top:0;width:31.45pt;height:385.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" stroked="f">
              <v:textbox style="layout-flow:vertical" inset="0,0,0,.2mm">
                <w:txbxContent>
                  <w:p w:rsidR="00511059" w:rsidRPr="00137C7E" w:rsidRDefault="00511059" w:rsidP="008C444D">
                    <w:pPr>
                      <w:pStyle w:val="HeaderOdd"/>
                    </w:pPr>
                    <w:r w:rsidRPr="004D660D">
                      <w:rPr>
                        <w:position w:val="-2"/>
                      </w:rPr>
                      <w:t>Portfolio Budget Statements  |</w:t>
                    </w:r>
                    <w:r>
                      <w:t xml:space="preserve">  </w:t>
                    </w:r>
                    <w:r w:rsidRPr="000635BE">
                      <w:rPr>
                        <w:rFonts w:ascii="Arial Bold" w:hAnsi="Arial Bold"/>
                        <w:b/>
                        <w:bCs/>
                        <w:noProof/>
                        <w:position w:val="-10"/>
                      </w:rPr>
                      <w:drawing>
                        <wp:inline distT="0" distB="0" distL="0" distR="0" wp14:anchorId="027298E1" wp14:editId="015FA338">
                          <wp:extent cx="1000760" cy="172091"/>
                          <wp:effectExtent l="0" t="4763" r="4128" b="4127"/>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000760" cy="172091"/>
                                  </a:xfrm>
                                  <a:prstGeom prst="rect">
                                    <a:avLst/>
                                  </a:prstGeom>
                                  <a:noFill/>
                                </pic:spPr>
                              </pic:pic>
                            </a:graphicData>
                          </a:graphic>
                        </wp:inline>
                      </w:drawing>
                    </w:r>
                  </w:p>
                </w:txbxContent>
              </v:textbox>
              <w10:wrap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19EBE072" w14:textId="77777777" w:rsidTr="00327149">
      <w:trPr>
        <w:trHeight w:hRule="exact" w:val="421"/>
      </w:trPr>
      <w:tc>
        <w:tcPr>
          <w:tcW w:w="7797" w:type="dxa"/>
        </w:tcPr>
        <w:p w14:paraId="6E2D5EB7" w14:textId="77777777" w:rsidR="00511059" w:rsidRPr="00F00984" w:rsidRDefault="00511059" w:rsidP="00A816FA">
          <w:pPr>
            <w:pStyle w:val="HeaderOdd"/>
            <w:jc w:val="left"/>
          </w:pPr>
          <w:r w:rsidRPr="000635BE">
            <w:rPr>
              <w:rFonts w:ascii="Arial Bold" w:hAnsi="Arial Bold"/>
              <w:bCs/>
              <w:noProof/>
              <w:position w:val="-10"/>
            </w:rPr>
            <w:drawing>
              <wp:inline distT="0" distB="0" distL="0" distR="0" wp14:anchorId="2C1B5E4B" wp14:editId="30FD1BF8">
                <wp:extent cx="989308" cy="170121"/>
                <wp:effectExtent l="0" t="0" r="1905" b="190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w:t>
          </w:r>
          <w:r w:rsidRPr="002B73EB">
            <w:rPr>
              <w:position w:val="-2"/>
            </w:rPr>
            <w:t xml:space="preserve"> </w:t>
          </w:r>
          <w:r>
            <w:rPr>
              <w:position w:val="-2"/>
            </w:rPr>
            <w:t xml:space="preserve"> Digital Transformation Agency</w:t>
          </w:r>
          <w:r w:rsidRPr="00213592">
            <w:rPr>
              <w:position w:val="-2"/>
            </w:rPr>
            <w:t xml:space="preserve">  </w:t>
          </w:r>
        </w:p>
        <w:p w14:paraId="5D978C3D" w14:textId="77777777" w:rsidR="00511059" w:rsidRDefault="00511059" w:rsidP="002B73EB">
          <w:pPr>
            <w:pStyle w:val="HeaderOdd"/>
          </w:pPr>
        </w:p>
      </w:tc>
    </w:tr>
  </w:tbl>
  <w:p w14:paraId="090E388E" w14:textId="77777777" w:rsidR="00511059" w:rsidRPr="00F00984" w:rsidRDefault="00511059" w:rsidP="00695014">
    <w:pPr>
      <w:pStyle w:val="HeaderEven"/>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E36A" w14:textId="77777777" w:rsidR="00511059" w:rsidRDefault="00511059" w:rsidP="004461A4">
    <w:pPr>
      <w:pStyle w:val="DLMSecurity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2D200023" w14:textId="77777777" w:rsidTr="00327149">
      <w:trPr>
        <w:trHeight w:hRule="exact" w:val="421"/>
      </w:trPr>
      <w:tc>
        <w:tcPr>
          <w:tcW w:w="7797" w:type="dxa"/>
        </w:tcPr>
        <w:p w14:paraId="61E87010" w14:textId="77777777" w:rsidR="00511059" w:rsidRDefault="00511059" w:rsidP="001E2B5D">
          <w:pPr>
            <w:pStyle w:val="HeaderOdd"/>
            <w:jc w:val="left"/>
          </w:pPr>
        </w:p>
      </w:tc>
    </w:tr>
  </w:tbl>
  <w:p w14:paraId="3FB20EE3" w14:textId="77777777" w:rsidR="00511059" w:rsidRPr="00F00984" w:rsidRDefault="00511059" w:rsidP="00695014">
    <w:pPr>
      <w:pStyle w:val="HeaderEven"/>
      <w:jc w:val="righ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7C6B3C2" w14:textId="77777777" w:rsidTr="00E315A5">
      <w:trPr>
        <w:trHeight w:hRule="exact" w:val="340"/>
      </w:trPr>
      <w:tc>
        <w:tcPr>
          <w:tcW w:w="7797" w:type="dxa"/>
        </w:tcPr>
        <w:p w14:paraId="7C81B9ED" w14:textId="77777777" w:rsidR="00511059" w:rsidRDefault="00511059" w:rsidP="00B65914">
          <w:pPr>
            <w:pStyle w:val="HeaderEven"/>
            <w:ind w:left="-113"/>
          </w:pPr>
          <w:r w:rsidRPr="000635BE">
            <w:rPr>
              <w:rFonts w:ascii="Arial Bold" w:hAnsi="Arial Bold"/>
              <w:b/>
              <w:bCs/>
              <w:noProof/>
              <w:position w:val="-10"/>
            </w:rPr>
            <w:drawing>
              <wp:inline distT="0" distB="0" distL="0" distR="0" wp14:anchorId="7926BFD3" wp14:editId="5E99ED79">
                <wp:extent cx="989308" cy="170121"/>
                <wp:effectExtent l="0" t="0" r="1905" b="190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rStyle w:val="PageNumber"/>
              <w:sz w:val="18"/>
              <w:szCs w:val="18"/>
            </w:rPr>
            <w:t>Indigenous Business Australia</w:t>
          </w:r>
        </w:p>
      </w:tc>
    </w:tr>
  </w:tbl>
  <w:p w14:paraId="3CEADA4A" w14:textId="77777777" w:rsidR="00511059" w:rsidRPr="00F00984" w:rsidRDefault="00511059" w:rsidP="00A02E16">
    <w:pPr>
      <w:pStyle w:val="HeaderEven"/>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F0DA076" w14:textId="77777777" w:rsidTr="00E315A5">
      <w:trPr>
        <w:trHeight w:hRule="exact" w:val="340"/>
      </w:trPr>
      <w:tc>
        <w:tcPr>
          <w:tcW w:w="7797" w:type="dxa"/>
        </w:tcPr>
        <w:p w14:paraId="5E813CFD" w14:textId="77777777" w:rsidR="00511059" w:rsidRDefault="00511059" w:rsidP="00050A97">
          <w:pPr>
            <w:pStyle w:val="HeaderOdd"/>
          </w:pPr>
          <w:r w:rsidRPr="00B65914">
            <w:rPr>
              <w:rStyle w:val="PageNumber"/>
              <w:sz w:val="18"/>
            </w:rPr>
            <w:fldChar w:fldCharType="begin"/>
          </w:r>
          <w:r w:rsidRPr="00B65914">
            <w:rPr>
              <w:rStyle w:val="PageNumber"/>
              <w:sz w:val="18"/>
            </w:rPr>
            <w:instrText xml:space="preserve"> STYLEREF  "Heading 1"  \* MERGEFORMAT </w:instrText>
          </w:r>
          <w:r w:rsidRPr="00B65914">
            <w:rPr>
              <w:rStyle w:val="PageNumber"/>
              <w:sz w:val="18"/>
            </w:rPr>
            <w:fldChar w:fldCharType="separate"/>
          </w:r>
          <w:r w:rsidR="00A76B91">
            <w:rPr>
              <w:rStyle w:val="PageNumber"/>
              <w:noProof/>
              <w:sz w:val="18"/>
            </w:rPr>
            <w:t>Indigenous Business Australia</w:t>
          </w:r>
          <w:r w:rsidRPr="00B65914">
            <w:rPr>
              <w:rStyle w:val="PageNumber"/>
              <w:sz w:val="18"/>
            </w:rPr>
            <w:fldChar w:fldCharType="end"/>
          </w:r>
          <w:r>
            <w:rPr>
              <w:rStyle w:val="PageNumber"/>
            </w:rPr>
            <w:t xml:space="preserve">  </w:t>
          </w:r>
          <w:r w:rsidRPr="00213592">
            <w:rPr>
              <w:position w:val="-2"/>
            </w:rPr>
            <w:t>|</w:t>
          </w:r>
          <w:r>
            <w:t xml:space="preserve">  </w:t>
          </w:r>
          <w:r w:rsidRPr="000635BE">
            <w:rPr>
              <w:rFonts w:ascii="Arial Bold" w:hAnsi="Arial Bold"/>
              <w:b/>
              <w:bCs/>
              <w:noProof/>
              <w:position w:val="-10"/>
            </w:rPr>
            <w:drawing>
              <wp:inline distT="0" distB="0" distL="0" distR="0" wp14:anchorId="5238237B" wp14:editId="4EB60E6F">
                <wp:extent cx="989308" cy="170121"/>
                <wp:effectExtent l="0" t="0" r="1905" b="190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68D18D94" w14:textId="77777777" w:rsidR="00511059" w:rsidRDefault="00511059" w:rsidP="00A02E16">
    <w:pPr>
      <w:pStyle w:val="HeaderOdd"/>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DA03" w14:textId="77777777" w:rsidR="00511059" w:rsidRPr="00B4084B" w:rsidRDefault="00511059" w:rsidP="0049200C">
    <w:pPr>
      <w:pStyle w:val="HeaderOdd"/>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354CD7A9" w14:textId="77777777" w:rsidTr="00B65914">
      <w:trPr>
        <w:trHeight w:hRule="exact" w:val="340"/>
      </w:trPr>
      <w:tc>
        <w:tcPr>
          <w:tcW w:w="7797" w:type="dxa"/>
        </w:tcPr>
        <w:p w14:paraId="7DA16FD9" w14:textId="77777777" w:rsidR="00511059" w:rsidRDefault="00511059" w:rsidP="00B65914">
          <w:pPr>
            <w:pStyle w:val="HeaderOdd"/>
          </w:pPr>
          <w:r w:rsidRPr="00B65914">
            <w:rPr>
              <w:rStyle w:val="PageNumber"/>
              <w:sz w:val="18"/>
            </w:rPr>
            <w:fldChar w:fldCharType="begin"/>
          </w:r>
          <w:r w:rsidRPr="00B65914">
            <w:rPr>
              <w:rStyle w:val="PageNumber"/>
              <w:sz w:val="18"/>
            </w:rPr>
            <w:instrText xml:space="preserve"> STYLEREF  "Heading 1"  \* MERGEFORMAT </w:instrText>
          </w:r>
          <w:r w:rsidRPr="00B65914">
            <w:rPr>
              <w:rStyle w:val="PageNumber"/>
              <w:sz w:val="18"/>
            </w:rPr>
            <w:fldChar w:fldCharType="separate"/>
          </w:r>
          <w:r w:rsidR="00A76B91">
            <w:rPr>
              <w:rStyle w:val="PageNumber"/>
              <w:noProof/>
              <w:sz w:val="18"/>
            </w:rPr>
            <w:t>Indigenous Business Australia</w:t>
          </w:r>
          <w:r w:rsidRPr="00B65914">
            <w:rPr>
              <w:rStyle w:val="PageNumber"/>
              <w:sz w:val="18"/>
            </w:rPr>
            <w:fldChar w:fldCharType="end"/>
          </w:r>
          <w:r>
            <w:rPr>
              <w:rStyle w:val="PageNumber"/>
            </w:rPr>
            <w:t xml:space="preserve">  </w:t>
          </w:r>
          <w:r w:rsidRPr="00213592">
            <w:rPr>
              <w:position w:val="-2"/>
            </w:rPr>
            <w:t>|</w:t>
          </w:r>
          <w:r>
            <w:t xml:space="preserve">  </w:t>
          </w:r>
          <w:r w:rsidRPr="000635BE">
            <w:rPr>
              <w:rFonts w:ascii="Arial Bold" w:hAnsi="Arial Bold"/>
              <w:b/>
              <w:bCs/>
              <w:noProof/>
              <w:position w:val="-10"/>
            </w:rPr>
            <w:drawing>
              <wp:inline distT="0" distB="0" distL="0" distR="0" wp14:anchorId="39548F9E" wp14:editId="7C166B53">
                <wp:extent cx="989308" cy="170121"/>
                <wp:effectExtent l="0" t="0" r="1905" b="190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5FFA43BC" w14:textId="77777777" w:rsidR="00511059" w:rsidRPr="00B4084B" w:rsidRDefault="00511059" w:rsidP="00B65914">
    <w:pPr>
      <w:pStyle w:val="HeaderOdd"/>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F18A" w14:textId="77777777" w:rsidR="00511059" w:rsidRPr="00F00984" w:rsidRDefault="00511059" w:rsidP="00A02E16">
    <w:pPr>
      <w:pStyle w:val="HeaderEven"/>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CCD6" w14:textId="77777777" w:rsidR="00511059" w:rsidRPr="00732889" w:rsidRDefault="00511059" w:rsidP="00732889">
    <w:pPr>
      <w:pStyle w:val="Header"/>
    </w:pPr>
    <w:r w:rsidRPr="000635BE">
      <w:rPr>
        <w:rFonts w:ascii="Arial Bold" w:hAnsi="Arial Bold"/>
        <w:b/>
        <w:bCs/>
        <w:noProof/>
        <w:position w:val="-10"/>
        <w:lang w:val="en-AU"/>
      </w:rPr>
      <w:drawing>
        <wp:inline distT="0" distB="0" distL="0" distR="0" wp14:anchorId="03204192" wp14:editId="07803F9B">
          <wp:extent cx="989308" cy="170121"/>
          <wp:effectExtent l="0" t="0" r="1905" b="190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sidRPr="00BC4CD8">
      <w:rPr>
        <w:rFonts w:ascii="Arial" w:hAnsi="Arial" w:cs="Arial"/>
        <w:bCs/>
        <w:i w:val="0"/>
        <w:sz w:val="18"/>
        <w:szCs w:val="18"/>
      </w:rPr>
      <w:t>Indigenous</w:t>
    </w:r>
    <w:r w:rsidRPr="00BC4CD8">
      <w:rPr>
        <w:rFonts w:ascii="Arial" w:hAnsi="Arial" w:cs="Arial"/>
        <w:b/>
        <w:bCs/>
        <w:i w:val="0"/>
        <w:sz w:val="18"/>
        <w:szCs w:val="18"/>
      </w:rPr>
      <w:t xml:space="preserve"> </w:t>
    </w:r>
    <w:r w:rsidRPr="00BC4CD8">
      <w:rPr>
        <w:rStyle w:val="PageNumber"/>
        <w:i w:val="0"/>
        <w:sz w:val="18"/>
        <w:szCs w:val="18"/>
      </w:rPr>
      <w:t>Land and Sea Corporation</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BF9C4" w14:textId="77777777" w:rsidR="00511059" w:rsidRPr="00B4084B" w:rsidRDefault="00511059" w:rsidP="0049200C">
    <w:pPr>
      <w:pStyle w:val="HeaderOdd"/>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3DC80914" w14:textId="77777777" w:rsidTr="00E875D0">
      <w:trPr>
        <w:trHeight w:hRule="exact" w:val="421"/>
      </w:trPr>
      <w:tc>
        <w:tcPr>
          <w:tcW w:w="7797" w:type="dxa"/>
        </w:tcPr>
        <w:p w14:paraId="0E751C36" w14:textId="77777777" w:rsidR="00511059" w:rsidRDefault="00511059" w:rsidP="00CC7466">
          <w:pPr>
            <w:pStyle w:val="HeaderOdd"/>
            <w:jc w:val="left"/>
          </w:pPr>
        </w:p>
      </w:tc>
    </w:tr>
  </w:tbl>
  <w:p w14:paraId="3E11065A" w14:textId="77777777" w:rsidR="00511059" w:rsidRPr="00F00984" w:rsidRDefault="00511059" w:rsidP="00A02E16">
    <w:pPr>
      <w:pStyle w:val="HeaderEven"/>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6AC999D9" w14:textId="77777777" w:rsidTr="00E875D0">
      <w:trPr>
        <w:trHeight w:hRule="exact" w:val="340"/>
      </w:trPr>
      <w:tc>
        <w:tcPr>
          <w:tcW w:w="7797" w:type="dxa"/>
        </w:tcPr>
        <w:p w14:paraId="2472FFBC" w14:textId="77777777" w:rsidR="00511059" w:rsidRDefault="00511059" w:rsidP="00CC7466">
          <w:pPr>
            <w:pStyle w:val="HeaderOdd"/>
          </w:pPr>
        </w:p>
      </w:tc>
    </w:tr>
  </w:tbl>
  <w:p w14:paraId="53200FC5" w14:textId="77777777" w:rsidR="00511059" w:rsidRPr="00CC7466" w:rsidRDefault="00511059" w:rsidP="00CC74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FAA5" w14:textId="77777777" w:rsidR="00511059" w:rsidRPr="0049200C" w:rsidRDefault="00511059" w:rsidP="000C4F54">
    <w:pPr>
      <w:pStyle w:val="HeaderOdd"/>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53E11B60" w14:textId="77777777" w:rsidTr="00E875D0">
      <w:trPr>
        <w:trHeight w:hRule="exact" w:val="421"/>
      </w:trPr>
      <w:tc>
        <w:tcPr>
          <w:tcW w:w="7797" w:type="dxa"/>
        </w:tcPr>
        <w:p w14:paraId="447B93C7" w14:textId="77777777" w:rsidR="00511059" w:rsidRDefault="00511059" w:rsidP="00CC7466">
          <w:pPr>
            <w:pStyle w:val="HeaderOdd"/>
            <w:jc w:val="left"/>
          </w:pPr>
          <w:r w:rsidRPr="000635BE">
            <w:rPr>
              <w:rFonts w:ascii="Arial Bold" w:hAnsi="Arial Bold"/>
              <w:b/>
              <w:bCs/>
              <w:noProof/>
              <w:position w:val="-10"/>
            </w:rPr>
            <w:drawing>
              <wp:inline distT="0" distB="0" distL="0" distR="0" wp14:anchorId="5E14CE50" wp14:editId="5F3BBBF3">
                <wp:extent cx="989308" cy="170121"/>
                <wp:effectExtent l="0" t="0" r="1905" b="190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rStyle w:val="PageNumber"/>
              <w:sz w:val="18"/>
              <w:szCs w:val="18"/>
            </w:rPr>
            <w:t>Indigenous Land and Sea Corporation</w:t>
          </w:r>
        </w:p>
      </w:tc>
    </w:tr>
  </w:tbl>
  <w:p w14:paraId="7DE402CB" w14:textId="77777777" w:rsidR="00511059" w:rsidRPr="00F00984" w:rsidRDefault="00511059" w:rsidP="00A02E16">
    <w:pPr>
      <w:pStyle w:val="HeaderEven"/>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282705EB" w14:textId="77777777" w:rsidTr="00E875D0">
      <w:trPr>
        <w:trHeight w:hRule="exact" w:val="340"/>
      </w:trPr>
      <w:tc>
        <w:tcPr>
          <w:tcW w:w="7797" w:type="dxa"/>
        </w:tcPr>
        <w:p w14:paraId="1855A1A5" w14:textId="77777777" w:rsidR="00511059" w:rsidRDefault="00511059" w:rsidP="00CC7466">
          <w:pPr>
            <w:pStyle w:val="HeaderOdd"/>
          </w:pPr>
          <w:r w:rsidRPr="00B65914">
            <w:rPr>
              <w:rStyle w:val="PageNumber"/>
              <w:sz w:val="18"/>
            </w:rPr>
            <w:fldChar w:fldCharType="begin"/>
          </w:r>
          <w:r w:rsidRPr="00B65914">
            <w:rPr>
              <w:rStyle w:val="PageNumber"/>
              <w:sz w:val="18"/>
            </w:rPr>
            <w:instrText xml:space="preserve"> STYLEREF  "Heading 1"  \* MERGEFORMAT </w:instrText>
          </w:r>
          <w:r w:rsidRPr="00B65914">
            <w:rPr>
              <w:rStyle w:val="PageNumber"/>
              <w:sz w:val="18"/>
            </w:rPr>
            <w:fldChar w:fldCharType="separate"/>
          </w:r>
          <w:r w:rsidR="00A76B91">
            <w:rPr>
              <w:rStyle w:val="PageNumber"/>
              <w:noProof/>
              <w:sz w:val="18"/>
            </w:rPr>
            <w:t>Indigenous Land and Sea Corporation</w:t>
          </w:r>
          <w:r w:rsidRPr="00B65914">
            <w:rPr>
              <w:rStyle w:val="PageNumber"/>
              <w:sz w:val="18"/>
            </w:rPr>
            <w:fldChar w:fldCharType="end"/>
          </w:r>
          <w:r>
            <w:rPr>
              <w:rStyle w:val="PageNumber"/>
            </w:rPr>
            <w:t xml:space="preserve">  </w:t>
          </w:r>
          <w:r w:rsidRPr="00213592">
            <w:rPr>
              <w:position w:val="-2"/>
            </w:rPr>
            <w:t>|</w:t>
          </w:r>
          <w:r>
            <w:t xml:space="preserve">  </w:t>
          </w:r>
          <w:r w:rsidRPr="000635BE">
            <w:rPr>
              <w:rFonts w:ascii="Arial Bold" w:hAnsi="Arial Bold"/>
              <w:b/>
              <w:bCs/>
              <w:noProof/>
              <w:position w:val="-10"/>
            </w:rPr>
            <w:drawing>
              <wp:inline distT="0" distB="0" distL="0" distR="0" wp14:anchorId="11A65596" wp14:editId="352E1C15">
                <wp:extent cx="989308" cy="170121"/>
                <wp:effectExtent l="0" t="0" r="1905" b="190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7C1ACD14" w14:textId="77777777" w:rsidR="00511059" w:rsidRPr="00CC7466" w:rsidRDefault="00511059" w:rsidP="00CC746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97" w:type="dxa"/>
      <w:tblLook w:val="04A0" w:firstRow="1" w:lastRow="0" w:firstColumn="1" w:lastColumn="0" w:noHBand="0" w:noVBand="1"/>
    </w:tblPr>
    <w:tblGrid>
      <w:gridCol w:w="7797"/>
    </w:tblGrid>
    <w:tr w:rsidR="00511059" w14:paraId="7A0FA96E" w14:textId="77777777" w:rsidTr="00E875D0">
      <w:trPr>
        <w:trHeight w:hRule="exact" w:val="421"/>
      </w:trPr>
      <w:tc>
        <w:tcPr>
          <w:tcW w:w="7797" w:type="dxa"/>
        </w:tcPr>
        <w:p w14:paraId="350E20DE" w14:textId="77777777" w:rsidR="00511059" w:rsidRDefault="00511059" w:rsidP="00CC7466">
          <w:pPr>
            <w:pStyle w:val="HeaderOdd"/>
            <w:jc w:val="left"/>
          </w:pPr>
        </w:p>
      </w:tc>
    </w:tr>
  </w:tbl>
  <w:p w14:paraId="45E3D76C" w14:textId="77777777" w:rsidR="00511059" w:rsidRPr="00F00984" w:rsidRDefault="00511059" w:rsidP="00A02E16">
    <w:pPr>
      <w:pStyle w:val="HeaderEven"/>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0AAD20F4" w14:textId="77777777" w:rsidTr="00E875D0">
      <w:trPr>
        <w:trHeight w:hRule="exact" w:val="340"/>
      </w:trPr>
      <w:tc>
        <w:tcPr>
          <w:tcW w:w="7797" w:type="dxa"/>
        </w:tcPr>
        <w:p w14:paraId="439372EF" w14:textId="77777777" w:rsidR="00511059" w:rsidRDefault="00511059" w:rsidP="00CC7466">
          <w:pPr>
            <w:pStyle w:val="HeaderOdd"/>
          </w:pPr>
        </w:p>
      </w:tc>
    </w:tr>
  </w:tbl>
  <w:p w14:paraId="2ED5FA39" w14:textId="77777777" w:rsidR="00511059" w:rsidRPr="00CC7466" w:rsidRDefault="00511059" w:rsidP="00CC746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C38B" w14:textId="77777777" w:rsidR="00511059" w:rsidRPr="00B4084B" w:rsidRDefault="00511059" w:rsidP="0049200C">
    <w:pPr>
      <w:pStyle w:val="HeaderOdd"/>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E90E" w14:textId="77777777" w:rsidR="00511059" w:rsidRPr="00F00984" w:rsidRDefault="00511059" w:rsidP="00A02E16">
    <w:pPr>
      <w:pStyle w:val="HeaderEven"/>
    </w:pPr>
    <w:r w:rsidRPr="000635BE">
      <w:rPr>
        <w:rFonts w:ascii="Arial Bold" w:hAnsi="Arial Bold"/>
        <w:b/>
        <w:bCs/>
        <w:noProof/>
        <w:position w:val="-10"/>
      </w:rPr>
      <w:drawing>
        <wp:inline distT="0" distB="0" distL="0" distR="0" wp14:anchorId="44F81B22" wp14:editId="7D35C875">
          <wp:extent cx="989308" cy="170121"/>
          <wp:effectExtent l="0" t="0" r="1905" b="190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bCs/>
        <w:szCs w:val="18"/>
      </w:rPr>
      <w:t>National Indigenous Australians Agency</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0CC79A9F" w14:textId="77777777" w:rsidTr="00422337">
      <w:trPr>
        <w:trHeight w:hRule="exact" w:val="340"/>
      </w:trPr>
      <w:tc>
        <w:tcPr>
          <w:tcW w:w="7797" w:type="dxa"/>
        </w:tcPr>
        <w:p w14:paraId="1BEA7643" w14:textId="77777777" w:rsidR="00511059" w:rsidRDefault="00511059" w:rsidP="00F46389">
          <w:pPr>
            <w:pStyle w:val="HeaderOdd"/>
          </w:pPr>
          <w:r w:rsidRPr="00A82D60">
            <w:rPr>
              <w:rStyle w:val="PageNumber"/>
              <w:sz w:val="18"/>
            </w:rPr>
            <w:fldChar w:fldCharType="begin"/>
          </w:r>
          <w:r w:rsidRPr="00A82D60">
            <w:rPr>
              <w:rStyle w:val="PageNumber"/>
              <w:sz w:val="18"/>
            </w:rPr>
            <w:instrText xml:space="preserve"> STYLEREF  "Heading 1"  \* MERGEFORMAT </w:instrText>
          </w:r>
          <w:r w:rsidRPr="00A82D60">
            <w:rPr>
              <w:rStyle w:val="PageNumber"/>
              <w:sz w:val="18"/>
            </w:rPr>
            <w:fldChar w:fldCharType="separate"/>
          </w:r>
          <w:r w:rsidR="00A76B91">
            <w:rPr>
              <w:rStyle w:val="PageNumber"/>
              <w:noProof/>
              <w:sz w:val="18"/>
            </w:rPr>
            <w:t>National Indigenous Australians Agency</w:t>
          </w:r>
          <w:r w:rsidRPr="00A82D60">
            <w:rPr>
              <w:rStyle w:val="PageNumber"/>
              <w:sz w:val="18"/>
            </w:rPr>
            <w:fldChar w:fldCharType="end"/>
          </w:r>
          <w:r>
            <w:rPr>
              <w:rStyle w:val="PageNumber"/>
              <w:sz w:val="18"/>
            </w:rPr>
            <w:t xml:space="preserve">  </w:t>
          </w:r>
          <w:r w:rsidRPr="00213592">
            <w:rPr>
              <w:position w:val="-2"/>
            </w:rPr>
            <w:t>|</w:t>
          </w:r>
          <w:r>
            <w:t xml:space="preserve">  </w:t>
          </w:r>
          <w:r w:rsidRPr="000635BE">
            <w:rPr>
              <w:rFonts w:ascii="Arial Bold" w:hAnsi="Arial Bold"/>
              <w:b/>
              <w:bCs/>
              <w:noProof/>
              <w:position w:val="-10"/>
            </w:rPr>
            <w:drawing>
              <wp:inline distT="0" distB="0" distL="0" distR="0" wp14:anchorId="135819EE" wp14:editId="35E788D1">
                <wp:extent cx="989308" cy="170121"/>
                <wp:effectExtent l="0" t="0" r="1905" b="190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608374AA" w14:textId="77777777" w:rsidR="00511059" w:rsidRPr="00732889" w:rsidRDefault="00511059" w:rsidP="0025622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50B05A86" w14:textId="77777777" w:rsidTr="00422337">
      <w:trPr>
        <w:trHeight w:hRule="exact" w:val="340"/>
      </w:trPr>
      <w:tc>
        <w:tcPr>
          <w:tcW w:w="7797" w:type="dxa"/>
        </w:tcPr>
        <w:p w14:paraId="347391E2" w14:textId="77777777" w:rsidR="00511059" w:rsidRDefault="00511059" w:rsidP="00732889">
          <w:pPr>
            <w:pStyle w:val="HeaderOdd"/>
          </w:pPr>
        </w:p>
      </w:tc>
    </w:tr>
  </w:tbl>
  <w:p w14:paraId="188DB534" w14:textId="77777777" w:rsidR="00511059" w:rsidRPr="00B4084B" w:rsidRDefault="00511059" w:rsidP="0049200C">
    <w:pPr>
      <w:pStyle w:val="HeaderOdd"/>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21020" w14:textId="77777777" w:rsidR="00511059" w:rsidRDefault="00511059" w:rsidP="00B91697">
    <w:pPr>
      <w:pStyle w:val="HeaderOdd"/>
    </w:pPr>
    <w:r w:rsidRPr="00A82D60">
      <w:rPr>
        <w:rStyle w:val="PageNumber"/>
        <w:sz w:val="18"/>
      </w:rPr>
      <w:fldChar w:fldCharType="begin"/>
    </w:r>
    <w:r w:rsidRPr="00A82D60">
      <w:rPr>
        <w:rStyle w:val="PageNumber"/>
        <w:sz w:val="18"/>
      </w:rPr>
      <w:instrText xml:space="preserve"> STYLEREF  "Heading 1"  \* MERGEFORMAT </w:instrText>
    </w:r>
    <w:r w:rsidRPr="00A82D60">
      <w:rPr>
        <w:rStyle w:val="PageNumber"/>
        <w:sz w:val="18"/>
      </w:rPr>
      <w:fldChar w:fldCharType="separate"/>
    </w:r>
    <w:r w:rsidR="00A76B91">
      <w:rPr>
        <w:rStyle w:val="PageNumber"/>
        <w:noProof/>
        <w:sz w:val="18"/>
      </w:rPr>
      <w:t>National Indigenous Australians Agency</w:t>
    </w:r>
    <w:r w:rsidRPr="00A82D60">
      <w:rPr>
        <w:rStyle w:val="PageNumber"/>
        <w:sz w:val="18"/>
      </w:rPr>
      <w:fldChar w:fldCharType="end"/>
    </w:r>
    <w:r>
      <w:rPr>
        <w:rStyle w:val="PageNumber"/>
        <w:sz w:val="18"/>
      </w:rPr>
      <w:t xml:space="preserve">  </w:t>
    </w:r>
    <w:r w:rsidRPr="00213592">
      <w:rPr>
        <w:position w:val="-2"/>
      </w:rPr>
      <w:t>|</w:t>
    </w:r>
    <w:r>
      <w:t xml:space="preserve">  </w:t>
    </w:r>
    <w:r w:rsidRPr="000635BE">
      <w:rPr>
        <w:rFonts w:ascii="Arial Bold" w:hAnsi="Arial Bold"/>
        <w:b/>
        <w:bCs/>
        <w:noProof/>
        <w:position w:val="-10"/>
      </w:rPr>
      <w:drawing>
        <wp:inline distT="0" distB="0" distL="0" distR="0" wp14:anchorId="0E788D19" wp14:editId="41C9C363">
          <wp:extent cx="989308" cy="170121"/>
          <wp:effectExtent l="0" t="0" r="1905" b="190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BEFDD" w14:textId="77777777" w:rsidR="00511059" w:rsidRDefault="00511059" w:rsidP="00490F43">
    <w:pPr>
      <w:pStyle w:val="HeaderOdd"/>
    </w:pPr>
    <w:r>
      <w:t>NIAA</w:t>
    </w:r>
    <w:r w:rsidRPr="00F00984">
      <w:t xml:space="preserve"> </w:t>
    </w:r>
    <w:r>
      <w:t xml:space="preserve">Portfolio </w:t>
    </w:r>
    <w:r w:rsidRPr="00F00984">
      <w:t>Budget Statements</w:t>
    </w:r>
    <w:r>
      <w:rPr>
        <w:noProof/>
      </w:rPr>
      <w:t xml:space="preserve"> </w:t>
    </w:r>
    <w:r>
      <w:rPr>
        <w:i/>
        <w:noProof/>
      </w:rPr>
      <w:t xml:space="preserve">| </w:t>
    </w:r>
    <w:r w:rsidRPr="000635BE">
      <w:rPr>
        <w:rFonts w:ascii="Arial Bold" w:hAnsi="Arial Bold"/>
        <w:b/>
        <w:bCs/>
        <w:noProof/>
        <w:position w:val="-10"/>
      </w:rPr>
      <w:drawing>
        <wp:inline distT="0" distB="0" distL="0" distR="0" wp14:anchorId="7459757E" wp14:editId="26FD5C62">
          <wp:extent cx="989308" cy="170121"/>
          <wp:effectExtent l="0" t="0" r="1905" b="190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rsidR="00A76B91">
      <w:fldChar w:fldCharType="begin"/>
    </w:r>
    <w:r w:rsidR="00A76B91">
      <w:instrText xml:space="preserve"> TITLE   \* MERGEFORMAT </w:instrText>
    </w:r>
    <w:r w:rsidR="00A76B91">
      <w:fldChar w:fldCharType="separate"/>
    </w:r>
    <w:r>
      <w:t>DS amended Attachment C - 2022-23 PBS Word Template v1</w:t>
    </w:r>
    <w:r w:rsidR="00A76B91">
      <w:fldChar w:fldCharType="end"/>
    </w:r>
  </w:p>
  <w:p w14:paraId="0E7DD219" w14:textId="77777777" w:rsidR="00511059" w:rsidRPr="001559E7" w:rsidRDefault="00511059" w:rsidP="00490F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808" w:type="dxa"/>
      <w:tblLook w:val="04A0" w:firstRow="1" w:lastRow="0" w:firstColumn="1" w:lastColumn="0" w:noHBand="0" w:noVBand="1"/>
    </w:tblPr>
    <w:tblGrid>
      <w:gridCol w:w="7808"/>
    </w:tblGrid>
    <w:tr w:rsidR="00511059" w14:paraId="48D8CE09" w14:textId="77777777" w:rsidTr="00C5714B">
      <w:trPr>
        <w:trHeight w:hRule="exact" w:val="326"/>
      </w:trPr>
      <w:tc>
        <w:tcPr>
          <w:tcW w:w="7808" w:type="dxa"/>
        </w:tcPr>
        <w:p w14:paraId="280E54D2" w14:textId="77777777" w:rsidR="00511059" w:rsidRDefault="00511059" w:rsidP="00C5714B">
          <w:pPr>
            <w:pStyle w:val="HeaderEven"/>
          </w:pPr>
          <w:r w:rsidRPr="000635BE">
            <w:rPr>
              <w:rFonts w:ascii="Arial Bold" w:hAnsi="Arial Bold"/>
              <w:bCs/>
              <w:noProof/>
              <w:position w:val="-10"/>
            </w:rPr>
            <w:drawing>
              <wp:inline distT="0" distB="0" distL="0" distR="0" wp14:anchorId="56DB63EB" wp14:editId="399511E0">
                <wp:extent cx="989308" cy="170121"/>
                <wp:effectExtent l="0" t="0" r="1905" b="190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w:t>
          </w:r>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A76B91">
            <w:rPr>
              <w:rStyle w:val="PageNumber"/>
              <w:rFonts w:cs="Times New Roman"/>
              <w:noProof/>
              <w:sz w:val="18"/>
            </w:rPr>
            <w:t>User guide</w:t>
          </w:r>
          <w:r>
            <w:rPr>
              <w:rStyle w:val="PageNumber"/>
              <w:rFonts w:cs="Times New Roman"/>
              <w:sz w:val="18"/>
            </w:rPr>
            <w:fldChar w:fldCharType="end"/>
          </w:r>
        </w:p>
      </w:tc>
    </w:tr>
  </w:tbl>
  <w:p w14:paraId="40650FA1" w14:textId="77777777" w:rsidR="00511059" w:rsidRPr="004F1212" w:rsidRDefault="00511059" w:rsidP="00C5714B">
    <w:pPr>
      <w:pStyle w:val="HeaderEven"/>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20D4" w14:textId="77777777" w:rsidR="00511059" w:rsidRDefault="00511059" w:rsidP="00B91697">
    <w:pPr>
      <w:pStyle w:val="HeaderOdd"/>
    </w:pPr>
    <w:r w:rsidRPr="00A82D60">
      <w:rPr>
        <w:rStyle w:val="PageNumber"/>
        <w:sz w:val="18"/>
      </w:rPr>
      <w:fldChar w:fldCharType="begin"/>
    </w:r>
    <w:r w:rsidRPr="00A82D60">
      <w:rPr>
        <w:rStyle w:val="PageNumber"/>
        <w:sz w:val="18"/>
      </w:rPr>
      <w:instrText xml:space="preserve"> STYLEREF  "Heading 1"  \* MERGEFORMAT </w:instrText>
    </w:r>
    <w:r w:rsidRPr="00A82D60">
      <w:rPr>
        <w:rStyle w:val="PageNumber"/>
        <w:sz w:val="18"/>
      </w:rPr>
      <w:fldChar w:fldCharType="separate"/>
    </w:r>
    <w:r w:rsidR="00A76B91">
      <w:rPr>
        <w:rStyle w:val="PageNumber"/>
        <w:noProof/>
        <w:sz w:val="18"/>
      </w:rPr>
      <w:t>National Indigenous Australians Agency</w:t>
    </w:r>
    <w:r w:rsidRPr="00A82D60">
      <w:rPr>
        <w:rStyle w:val="PageNumber"/>
        <w:sz w:val="18"/>
      </w:rPr>
      <w:fldChar w:fldCharType="end"/>
    </w:r>
    <w:r>
      <w:rPr>
        <w:rStyle w:val="PageNumber"/>
        <w:sz w:val="18"/>
      </w:rPr>
      <w:t xml:space="preserve">  </w:t>
    </w:r>
    <w:r w:rsidRPr="00213592">
      <w:rPr>
        <w:position w:val="-2"/>
      </w:rPr>
      <w:t>|</w:t>
    </w:r>
    <w:r>
      <w:t xml:space="preserve">  </w:t>
    </w:r>
    <w:r w:rsidRPr="000635BE">
      <w:rPr>
        <w:rFonts w:ascii="Arial Bold" w:hAnsi="Arial Bold"/>
        <w:b/>
        <w:bCs/>
        <w:noProof/>
        <w:position w:val="-10"/>
      </w:rPr>
      <w:drawing>
        <wp:inline distT="0" distB="0" distL="0" distR="0" wp14:anchorId="60CDEDF2" wp14:editId="572E4EA7">
          <wp:extent cx="989308" cy="170121"/>
          <wp:effectExtent l="0" t="0" r="1905" b="190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036C5616" w14:textId="77777777" w:rsidR="00511059" w:rsidRPr="001559E7" w:rsidRDefault="00511059" w:rsidP="00B91697">
    <w:pPr>
      <w:pStyle w:val="Header"/>
      <w:jc w:val="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2CFEE" w14:textId="77777777" w:rsidR="00511059" w:rsidRDefault="00511059" w:rsidP="00490F43">
    <w:pPr>
      <w:pStyle w:val="HeaderOdd"/>
    </w:pPr>
    <w:r w:rsidRPr="00A82D60">
      <w:rPr>
        <w:rStyle w:val="PageNumber"/>
        <w:sz w:val="18"/>
      </w:rPr>
      <w:fldChar w:fldCharType="begin"/>
    </w:r>
    <w:r w:rsidRPr="00A82D60">
      <w:rPr>
        <w:rStyle w:val="PageNumber"/>
        <w:sz w:val="18"/>
      </w:rPr>
      <w:instrText xml:space="preserve"> STYLEREF  "Heading 1"  \* MERGEFORMAT </w:instrText>
    </w:r>
    <w:r w:rsidRPr="00A82D60">
      <w:rPr>
        <w:rStyle w:val="PageNumber"/>
        <w:sz w:val="18"/>
      </w:rPr>
      <w:fldChar w:fldCharType="separate"/>
    </w:r>
    <w:r w:rsidR="00A76B91">
      <w:rPr>
        <w:rStyle w:val="PageNumber"/>
        <w:noProof/>
        <w:sz w:val="18"/>
      </w:rPr>
      <w:t>National Indigenous Australians Agency</w:t>
    </w:r>
    <w:r w:rsidRPr="00A82D60">
      <w:rPr>
        <w:rStyle w:val="PageNumber"/>
        <w:sz w:val="18"/>
      </w:rPr>
      <w:fldChar w:fldCharType="end"/>
    </w:r>
    <w:r>
      <w:rPr>
        <w:rStyle w:val="PageNumber"/>
        <w:sz w:val="18"/>
      </w:rPr>
      <w:t xml:space="preserve">  </w:t>
    </w:r>
    <w:r>
      <w:rPr>
        <w:i/>
        <w:noProof/>
      </w:rPr>
      <w:t xml:space="preserve">|  </w:t>
    </w:r>
    <w:r w:rsidRPr="000635BE">
      <w:rPr>
        <w:rFonts w:ascii="Arial Bold" w:hAnsi="Arial Bold"/>
        <w:b/>
        <w:bCs/>
        <w:noProof/>
        <w:position w:val="-10"/>
      </w:rPr>
      <w:drawing>
        <wp:inline distT="0" distB="0" distL="0" distR="0" wp14:anchorId="268C5288" wp14:editId="7046FA87">
          <wp:extent cx="989308" cy="170121"/>
          <wp:effectExtent l="0" t="0" r="1905" b="190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p>
  <w:p w14:paraId="094FACD0" w14:textId="77777777" w:rsidR="00511059" w:rsidRPr="001559E7" w:rsidRDefault="00511059" w:rsidP="00490F4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327E6" w14:textId="77777777" w:rsidR="00511059" w:rsidRPr="001559E7" w:rsidRDefault="00511059" w:rsidP="0025622C">
    <w:pPr>
      <w:pStyle w:val="Header"/>
      <w:jc w:val="right"/>
    </w:pPr>
    <w:r w:rsidRPr="0025622C">
      <w:rPr>
        <w:rStyle w:val="PageNumber"/>
        <w:i w:val="0"/>
        <w:sz w:val="18"/>
      </w:rPr>
      <w:fldChar w:fldCharType="begin"/>
    </w:r>
    <w:r w:rsidRPr="0025622C">
      <w:rPr>
        <w:rStyle w:val="PageNumber"/>
        <w:i w:val="0"/>
        <w:sz w:val="18"/>
      </w:rPr>
      <w:instrText xml:space="preserve"> STYLEREF  "Heading 1"  \* MERGEFORMAT </w:instrText>
    </w:r>
    <w:r w:rsidRPr="0025622C">
      <w:rPr>
        <w:rStyle w:val="PageNumber"/>
        <w:i w:val="0"/>
        <w:sz w:val="18"/>
      </w:rPr>
      <w:fldChar w:fldCharType="separate"/>
    </w:r>
    <w:r w:rsidR="00A76B91">
      <w:rPr>
        <w:rStyle w:val="PageNumber"/>
        <w:i w:val="0"/>
        <w:noProof/>
        <w:sz w:val="18"/>
      </w:rPr>
      <w:t>National Indigenous Australians Agency</w:t>
    </w:r>
    <w:r w:rsidRPr="0025622C">
      <w:rPr>
        <w:rStyle w:val="PageNumber"/>
        <w:i w:val="0"/>
        <w:sz w:val="18"/>
      </w:rPr>
      <w:fldChar w:fldCharType="end"/>
    </w:r>
    <w:r>
      <w:rPr>
        <w:rStyle w:val="PageNumber"/>
        <w:sz w:val="18"/>
      </w:rPr>
      <w:t xml:space="preserve">  </w:t>
    </w:r>
    <w:r w:rsidRPr="00213592">
      <w:rPr>
        <w:position w:val="-2"/>
      </w:rPr>
      <w:t>|</w:t>
    </w:r>
    <w:r>
      <w:t xml:space="preserve">  </w:t>
    </w:r>
    <w:r w:rsidRPr="000635BE">
      <w:rPr>
        <w:rFonts w:ascii="Arial Bold" w:hAnsi="Arial Bold"/>
        <w:b/>
        <w:bCs/>
        <w:noProof/>
        <w:position w:val="-10"/>
        <w:lang w:val="en-AU"/>
      </w:rPr>
      <w:drawing>
        <wp:inline distT="0" distB="0" distL="0" distR="0" wp14:anchorId="6E06060D" wp14:editId="7823080C">
          <wp:extent cx="989308" cy="170121"/>
          <wp:effectExtent l="0" t="0" r="1905" b="190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2694B" w14:textId="77777777" w:rsidR="00511059" w:rsidRPr="00F00984" w:rsidRDefault="00511059" w:rsidP="0025622C">
    <w:pPr>
      <w:pStyle w:val="HeaderEven"/>
    </w:pPr>
    <w:r w:rsidRPr="000635BE">
      <w:rPr>
        <w:rFonts w:ascii="Arial Bold" w:hAnsi="Arial Bold"/>
        <w:b/>
        <w:bCs/>
        <w:noProof/>
        <w:position w:val="-10"/>
      </w:rPr>
      <w:drawing>
        <wp:inline distT="0" distB="0" distL="0" distR="0" wp14:anchorId="72F8A0C7" wp14:editId="473CEC34">
          <wp:extent cx="989308" cy="170121"/>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bCs/>
        <w:szCs w:val="18"/>
      </w:rPr>
      <w:t>National Indigenous Australians Agency</w:t>
    </w:r>
  </w:p>
  <w:p w14:paraId="25FE283B" w14:textId="77777777" w:rsidR="00511059" w:rsidRPr="0025622C" w:rsidRDefault="00511059" w:rsidP="0025622C">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145F3" w14:textId="77777777" w:rsidR="00511059" w:rsidRPr="00850462" w:rsidRDefault="00511059" w:rsidP="00901F73">
    <w:pPr>
      <w:framePr w:w="289" w:h="7663" w:hRule="exact" w:wrap="around" w:vAnchor="page" w:hAnchor="page" w:x="14646" w:y="2093" w:anchorLock="1"/>
      <w:spacing w:line="276" w:lineRule="auto"/>
      <w:jc w:val="left"/>
      <w:textDirection w:val="tbRl"/>
      <w:rPr>
        <w:rStyle w:val="FramedHeader"/>
      </w:rPr>
    </w:pPr>
    <w:r w:rsidRPr="00850462">
      <w:rPr>
        <w:rStyle w:val="FramedHeader"/>
      </w:rPr>
      <w:t xml:space="preserve"> [</w:t>
    </w:r>
    <w:r w:rsidRPr="00850462">
      <w:rPr>
        <w:rStyle w:val="FramedHeader"/>
      </w:rPr>
      <w:fldChar w:fldCharType="begin"/>
    </w:r>
    <w:r w:rsidRPr="00850462">
      <w:rPr>
        <w:rStyle w:val="FramedHeader"/>
      </w:rPr>
      <w:instrText xml:space="preserve"> MACROBUTTON  AcceptAllChangesInDoc Department abbreviation </w:instrText>
    </w:r>
    <w:r w:rsidRPr="00850462">
      <w:rPr>
        <w:rStyle w:val="FramedHeader"/>
      </w:rPr>
      <w:fldChar w:fldCharType="end"/>
    </w:r>
    <w:r w:rsidRPr="00850462">
      <w:rPr>
        <w:rStyle w:val="FramedHeader"/>
      </w:rPr>
      <w:t xml:space="preserve">] Budget Statements </w:t>
    </w:r>
  </w:p>
  <w:p w14:paraId="38F55B09" w14:textId="77777777" w:rsidR="00511059" w:rsidRPr="003364C1" w:rsidRDefault="00511059" w:rsidP="003364C1">
    <w:pPr>
      <w:pStyle w:val="Header"/>
    </w:pPr>
    <w:r>
      <w:rPr>
        <w:noProof/>
        <w:lang w:val="en-AU"/>
      </w:rPr>
      <mc:AlternateContent>
        <mc:Choice Requires="wps">
          <w:drawing>
            <wp:anchor distT="0" distB="0" distL="114300" distR="114300" simplePos="0" relativeHeight="251829760" behindDoc="0" locked="0" layoutInCell="1" allowOverlap="1" wp14:anchorId="073E4EC0" wp14:editId="7C5FD6A4">
              <wp:simplePos x="0" y="0"/>
              <wp:positionH relativeFrom="page">
                <wp:posOffset>129309</wp:posOffset>
              </wp:positionH>
              <wp:positionV relativeFrom="page">
                <wp:posOffset>1385454</wp:posOffset>
              </wp:positionV>
              <wp:extent cx="942975" cy="5006109"/>
              <wp:effectExtent l="0" t="0" r="9525" b="4445"/>
              <wp:wrapNone/>
              <wp:docPr id="56" name="Text Box 6" descr="Landscape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006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E24C6" w14:textId="77777777" w:rsidR="00511059" w:rsidRDefault="00511059" w:rsidP="00C97362">
                          <w:pPr>
                            <w:pStyle w:val="FileProperties"/>
                            <w:tabs>
                              <w:tab w:val="right" w:pos="7711"/>
                            </w:tabs>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F9F51" id="_x0000_t202" coordsize="21600,21600" o:spt="202" path="m,l,21600r21600,l21600,xe">
              <v:stroke joinstyle="miter"/>
              <v:path gradientshapeok="t" o:connecttype="rect"/>
            </v:shapetype>
            <v:shape id="_x0000_s1048" type="#_x0000_t202" alt="Landscape Classification Footer" style="position:absolute;margin-left:10.2pt;margin-top:109.1pt;width:74.25pt;height:394.2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" stroked="f">
              <v:textbox style="layout-flow:vertical">
                <w:txbxContent>
                  <w:p w:rsidR="00511059" w:rsidRDefault="00511059" w:rsidP="00C97362">
                    <w:pPr>
                      <w:pStyle w:val="FileProperties"/>
                      <w:tabs>
                        <w:tab w:val="right" w:pos="7711"/>
                      </w:tabs>
                    </w:pP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34CA" w14:textId="77777777" w:rsidR="00511059" w:rsidRDefault="00511059" w:rsidP="003B3684">
    <w:pPr>
      <w:pStyle w:val="HeaderEven"/>
    </w:pPr>
    <w:r>
      <w:rPr>
        <w:rFonts w:ascii="Times New Roman" w:hAnsi="Times New Roman"/>
        <w:noProof/>
        <w:sz w:val="24"/>
        <w:szCs w:val="24"/>
      </w:rPr>
      <mc:AlternateContent>
        <mc:Choice Requires="wps">
          <w:drawing>
            <wp:anchor distT="0" distB="0" distL="114300" distR="114300" simplePos="0" relativeHeight="251834880" behindDoc="0" locked="0" layoutInCell="1" allowOverlap="1" wp14:anchorId="03BA48F1" wp14:editId="1C8D06AA">
              <wp:simplePos x="0" y="0"/>
              <wp:positionH relativeFrom="rightMargin">
                <wp:posOffset>19050</wp:posOffset>
              </wp:positionH>
              <wp:positionV relativeFrom="margin">
                <wp:posOffset>-9525</wp:posOffset>
              </wp:positionV>
              <wp:extent cx="400050" cy="4911725"/>
              <wp:effectExtent l="0" t="0" r="0" b="3175"/>
              <wp:wrapNone/>
              <wp:docPr id="127" name="Text Box 127"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noFill/>
                      <a:ln>
                        <a:noFill/>
                      </a:ln>
                    </wps:spPr>
                    <wps:txbx>
                      <w:txbxContent>
                        <w:p w14:paraId="1C158FFE" w14:textId="77777777" w:rsidR="00511059" w:rsidRPr="000304FC" w:rsidRDefault="00511059" w:rsidP="009179EB">
                          <w:pPr>
                            <w:pStyle w:val="HeaderEven"/>
                          </w:pPr>
                          <w:r w:rsidRPr="00F00984">
                            <w:t>[Department abbreviation] Budget Statements</w:t>
                          </w:r>
                          <w:r w:rsidR="00A76B91">
                            <w:fldChar w:fldCharType="begin"/>
                          </w:r>
                          <w:r w:rsidR="00A76B91">
                            <w:instrText xml:space="preserve"> TITLE   \* MERGEFORMAT </w:instrText>
                          </w:r>
                          <w:r w:rsidR="00A76B91">
                            <w:fldChar w:fldCharType="separate"/>
                          </w:r>
                          <w:r>
                            <w:t>DS amended Attachment C - 2022-23 PBS Word Template v1</w:t>
                          </w:r>
                          <w:r w:rsidR="00A76B91">
                            <w:fldChar w:fldCharType="end"/>
                          </w:r>
                        </w:p>
                        <w:p w14:paraId="0241BAB9" w14:textId="77777777" w:rsidR="00511059" w:rsidRDefault="00511059" w:rsidP="00A02E16">
                          <w:pPr>
                            <w:pStyle w:val="HeaderOdd"/>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F671B" id="_x0000_t202" coordsize="21600,21600" o:spt="202" path="m,l,21600r21600,l21600,xe">
              <v:stroke joinstyle="miter"/>
              <v:path gradientshapeok="t" o:connecttype="rect"/>
            </v:shapetype>
            <v:shape id="Text Box 127" o:spid="_x0000_s1049" type="#_x0000_t202" alt="Landscape Odd Header" style="position:absolute;margin-left:1.5pt;margin-top:-.75pt;width:31.5pt;height:386.75pt;z-index:251834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" filled="f" stroked="f">
              <v:textbox style="layout-flow:vertical">
                <w:txbxContent>
                  <w:p w:rsidR="00511059" w:rsidRPr="000304FC" w:rsidRDefault="00511059" w:rsidP="009179EB">
                    <w:pPr>
                      <w:pStyle w:val="HeaderEven"/>
                    </w:pPr>
                    <w:r w:rsidRPr="00F00984">
                      <w:t>[Department abbreviation] Budget Statements</w:t>
                    </w:r>
                    <w:fldSimple w:instr=" TITLE   \* MERGEFORMAT ">
                      <w:r>
                        <w:t>DS amended Attachment C - 2022-23 PBS Word Template v1</w:t>
                      </w:r>
                    </w:fldSimple>
                  </w:p>
                  <w:p w:rsidR="00511059" w:rsidRDefault="00511059" w:rsidP="00A02E16">
                    <w:pPr>
                      <w:pStyle w:val="HeaderOdd"/>
                    </w:pPr>
                  </w:p>
                </w:txbxContent>
              </v:textbox>
              <w10:wrap anchorx="margin" anchory="margin"/>
            </v:shape>
          </w:pict>
        </mc:Fallback>
      </mc:AlternateContent>
    </w:r>
    <w:r>
      <w:rPr>
        <w:noProof/>
      </w:rPr>
      <mc:AlternateContent>
        <mc:Choice Requires="wps">
          <w:drawing>
            <wp:anchor distT="0" distB="0" distL="114300" distR="114300" simplePos="0" relativeHeight="251832832" behindDoc="0" locked="0" layoutInCell="1" allowOverlap="1" wp14:anchorId="69457BAD" wp14:editId="29A68679">
              <wp:simplePos x="0" y="0"/>
              <wp:positionH relativeFrom="column">
                <wp:posOffset>7623810</wp:posOffset>
              </wp:positionH>
              <wp:positionV relativeFrom="margin">
                <wp:posOffset>-14605</wp:posOffset>
              </wp:positionV>
              <wp:extent cx="400050" cy="4911725"/>
              <wp:effectExtent l="0" t="0" r="0" b="3175"/>
              <wp:wrapNone/>
              <wp:docPr id="97"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CB5D6" w14:textId="77777777" w:rsidR="00511059" w:rsidRPr="00137C7E" w:rsidRDefault="00A76B91" w:rsidP="003B3684">
                          <w:pPr>
                            <w:pStyle w:val="HeaderOdd"/>
                            <w:rPr>
                              <w:rStyle w:val="FramedHeader"/>
                            </w:rPr>
                          </w:pPr>
                          <w:r>
                            <w:fldChar w:fldCharType="begin"/>
                          </w:r>
                          <w:r>
                            <w:instrText xml:space="preserve"> TITLE   \* MERGEFORMAT </w:instrText>
                          </w:r>
                          <w:r>
                            <w:fldChar w:fldCharType="separate"/>
                          </w:r>
                          <w:r w:rsidR="00511059">
                            <w:t>DS amended Attachment C - 2022-23 PBS Word Template v1</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2357" id="_x0000_s1050" type="#_x0000_t202" alt="Landscape Odd Header" style="position:absolute;margin-left:600.3pt;margin-top:-1.15pt;width:31.5pt;height:386.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" stroked="f">
              <v:textbox style="layout-flow:vertical">
                <w:txbxContent>
                  <w:p w:rsidR="00511059" w:rsidRPr="00137C7E" w:rsidRDefault="00511059" w:rsidP="003B3684">
                    <w:pPr>
                      <w:pStyle w:val="HeaderOdd"/>
                      <w:rPr>
                        <w:rStyle w:val="FramedHeader"/>
                      </w:rPr>
                    </w:pPr>
                    <w:fldSimple w:instr=" TITLE   \* MERGEFORMAT ">
                      <w:r>
                        <w:t>DS amended Attachment C - 2022-23 PBS Word Template v1</w:t>
                      </w:r>
                    </w:fldSimple>
                  </w:p>
                </w:txbxContent>
              </v:textbox>
              <w10:wrap anchory="margin"/>
            </v:shape>
          </w:pict>
        </mc:Fallback>
      </mc:AlternateContent>
    </w:r>
    <w:r>
      <w:rPr>
        <w:noProof/>
      </w:rPr>
      <mc:AlternateContent>
        <mc:Choice Requires="wps">
          <w:drawing>
            <wp:anchor distT="0" distB="0" distL="114300" distR="114300" simplePos="0" relativeHeight="251831808" behindDoc="0" locked="0" layoutInCell="1" allowOverlap="1" wp14:anchorId="748195A3" wp14:editId="2A568B92">
              <wp:simplePos x="0" y="0"/>
              <wp:positionH relativeFrom="column">
                <wp:posOffset>-469900</wp:posOffset>
              </wp:positionH>
              <wp:positionV relativeFrom="margin">
                <wp:posOffset>-1905</wp:posOffset>
              </wp:positionV>
              <wp:extent cx="399415" cy="4910455"/>
              <wp:effectExtent l="0" t="0" r="635" b="4445"/>
              <wp:wrapNone/>
              <wp:docPr id="98"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0D04E" w14:textId="77777777" w:rsidR="00511059" w:rsidRPr="009763C1" w:rsidRDefault="00511059" w:rsidP="003B3684">
                          <w:pPr>
                            <w:pStyle w:val="FooterEven"/>
                            <w:jc w:val="center"/>
                            <w:rPr>
                              <w:rStyle w:val="PageNumber"/>
                            </w:rPr>
                          </w:pPr>
                          <w:r w:rsidRPr="009763C1">
                            <w:rPr>
                              <w:rStyle w:val="PageNumber"/>
                            </w:rPr>
                            <w:fldChar w:fldCharType="begin"/>
                          </w:r>
                          <w:r w:rsidRPr="009763C1">
                            <w:rPr>
                              <w:rStyle w:val="PageNumber"/>
                            </w:rPr>
                            <w:instrText xml:space="preserve"> PAGE  \* MERGEFORMAT </w:instrText>
                          </w:r>
                          <w:r w:rsidRPr="009763C1">
                            <w:rPr>
                              <w:rStyle w:val="PageNumber"/>
                            </w:rPr>
                            <w:fldChar w:fldCharType="separate"/>
                          </w:r>
                          <w:r>
                            <w:rPr>
                              <w:rStyle w:val="PageNumber"/>
                              <w:noProof/>
                            </w:rPr>
                            <w:t>36</w:t>
                          </w:r>
                          <w:r w:rsidRPr="009763C1">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8AA87" id="_x0000_s1051" type="#_x0000_t202" alt="Landscape Page Number" style="position:absolute;margin-left:-37pt;margin-top:-.15pt;width:31.45pt;height:386.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" stroked="f">
              <v:textbox style="layout-flow:vertical">
                <w:txbxContent>
                  <w:p w:rsidR="00511059" w:rsidRPr="009763C1" w:rsidRDefault="00511059" w:rsidP="003B3684">
                    <w:pPr>
                      <w:pStyle w:val="FooterEven"/>
                      <w:jc w:val="center"/>
                      <w:rPr>
                        <w:rStyle w:val="PageNumber"/>
                      </w:rPr>
                    </w:pPr>
                    <w:r w:rsidRPr="009763C1">
                      <w:rPr>
                        <w:rStyle w:val="PageNumber"/>
                      </w:rPr>
                      <w:fldChar w:fldCharType="begin"/>
                    </w:r>
                    <w:r w:rsidRPr="009763C1">
                      <w:rPr>
                        <w:rStyle w:val="PageNumber"/>
                      </w:rPr>
                      <w:instrText xml:space="preserve"> PAGE  \* MERGEFORMAT </w:instrText>
                    </w:r>
                    <w:r w:rsidRPr="009763C1">
                      <w:rPr>
                        <w:rStyle w:val="PageNumber"/>
                      </w:rPr>
                      <w:fldChar w:fldCharType="separate"/>
                    </w:r>
                    <w:r>
                      <w:rPr>
                        <w:rStyle w:val="PageNumber"/>
                        <w:noProof/>
                      </w:rPr>
                      <w:t>36</w:t>
                    </w:r>
                    <w:r w:rsidRPr="009763C1">
                      <w:rPr>
                        <w:rStyle w:val="PageNumber"/>
                      </w:rPr>
                      <w:fldChar w:fldCharType="end"/>
                    </w:r>
                  </w:p>
                </w:txbxContent>
              </v:textbox>
              <w10:wrap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725B4" w14:textId="77777777" w:rsidR="00511059" w:rsidRDefault="00511059" w:rsidP="0025622C">
    <w:pPr>
      <w:pStyle w:val="HeaderOdd"/>
    </w:pPr>
    <w:r w:rsidRPr="00A82D60">
      <w:rPr>
        <w:rStyle w:val="PageNumber"/>
        <w:sz w:val="18"/>
      </w:rPr>
      <w:fldChar w:fldCharType="begin"/>
    </w:r>
    <w:r w:rsidRPr="00A82D60">
      <w:rPr>
        <w:rStyle w:val="PageNumber"/>
        <w:sz w:val="18"/>
      </w:rPr>
      <w:instrText xml:space="preserve"> STYLEREF  "Heading 1"  \* MERGEFORMAT </w:instrText>
    </w:r>
    <w:r w:rsidRPr="00A82D60">
      <w:rPr>
        <w:rStyle w:val="PageNumber"/>
        <w:sz w:val="18"/>
      </w:rPr>
      <w:fldChar w:fldCharType="separate"/>
    </w:r>
    <w:r w:rsidR="00A76B91">
      <w:rPr>
        <w:rStyle w:val="PageNumber"/>
        <w:noProof/>
        <w:sz w:val="18"/>
      </w:rPr>
      <w:t>National Indigenous Australians Agency</w:t>
    </w:r>
    <w:r w:rsidRPr="00A82D60">
      <w:rPr>
        <w:rStyle w:val="PageNumber"/>
        <w:sz w:val="18"/>
      </w:rPr>
      <w:fldChar w:fldCharType="end"/>
    </w:r>
    <w:r>
      <w:rPr>
        <w:rStyle w:val="PageNumber"/>
        <w:sz w:val="18"/>
      </w:rPr>
      <w:t xml:space="preserve">  </w:t>
    </w:r>
    <w:r>
      <w:rPr>
        <w:i/>
        <w:noProof/>
      </w:rPr>
      <w:t xml:space="preserve">|  </w:t>
    </w:r>
    <w:r w:rsidRPr="000635BE">
      <w:rPr>
        <w:rFonts w:ascii="Arial Bold" w:hAnsi="Arial Bold"/>
        <w:b/>
        <w:bCs/>
        <w:noProof/>
        <w:position w:val="-10"/>
      </w:rPr>
      <w:drawing>
        <wp:inline distT="0" distB="0" distL="0" distR="0" wp14:anchorId="55353588" wp14:editId="755385E8">
          <wp:extent cx="989308" cy="170121"/>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p>
  <w:p w14:paraId="662E329F" w14:textId="77777777" w:rsidR="00511059" w:rsidRPr="0049200C" w:rsidRDefault="00511059" w:rsidP="00B91697">
    <w:pPr>
      <w:pStyle w:val="HeaderOdd"/>
    </w:pPr>
    <w:r>
      <w:rPr>
        <w:rFonts w:ascii="Times New Roman" w:hAnsi="Times New Roman"/>
        <w:noProof/>
        <w:sz w:val="24"/>
        <w:szCs w:val="24"/>
      </w:rPr>
      <mc:AlternateContent>
        <mc:Choice Requires="wps">
          <w:drawing>
            <wp:anchor distT="0" distB="0" distL="114300" distR="114300" simplePos="0" relativeHeight="251833856" behindDoc="0" locked="0" layoutInCell="1" allowOverlap="1" wp14:anchorId="20451DE1" wp14:editId="1697F950">
              <wp:simplePos x="0" y="0"/>
              <wp:positionH relativeFrom="column">
                <wp:posOffset>7582619</wp:posOffset>
              </wp:positionH>
              <wp:positionV relativeFrom="margin">
                <wp:align>top</wp:align>
              </wp:positionV>
              <wp:extent cx="400050" cy="4911725"/>
              <wp:effectExtent l="0" t="0" r="0" b="3175"/>
              <wp:wrapNone/>
              <wp:docPr id="99" name="Text Box 99"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9D76F" w14:textId="77777777" w:rsidR="00511059" w:rsidRPr="000304FC" w:rsidRDefault="00511059" w:rsidP="009179EB">
                          <w:pPr>
                            <w:pStyle w:val="HeaderEven"/>
                          </w:pPr>
                          <w:r w:rsidRPr="00F00984">
                            <w:t>[Department abbreviation] Budget Statements</w:t>
                          </w:r>
                          <w:r w:rsidR="00A76B91">
                            <w:fldChar w:fldCharType="begin"/>
                          </w:r>
                          <w:r w:rsidR="00A76B91">
                            <w:instrText xml:space="preserve"> TITLE   \* MERGEFORMAT </w:instrText>
                          </w:r>
                          <w:r w:rsidR="00A76B91">
                            <w:fldChar w:fldCharType="separate"/>
                          </w:r>
                          <w:r>
                            <w:t>DS amended Attachment C - 2022-23 PBS Word Template v1</w:t>
                          </w:r>
                          <w:r w:rsidR="00A76B91">
                            <w:fldChar w:fldCharType="end"/>
                          </w:r>
                        </w:p>
                        <w:p w14:paraId="6DDA955D" w14:textId="77777777" w:rsidR="00511059" w:rsidRDefault="00A76B91" w:rsidP="00A02E16">
                          <w:pPr>
                            <w:pStyle w:val="HeaderEven"/>
                          </w:pPr>
                          <w:r>
                            <w:fldChar w:fldCharType="begin"/>
                          </w:r>
                          <w:r>
                            <w:instrText xml:space="preserve"> TITLE   \* MERGEFORMAT </w:instrText>
                          </w:r>
                          <w:r>
                            <w:fldChar w:fldCharType="separate"/>
                          </w:r>
                          <w:r w:rsidR="00511059">
                            <w:t>DS amended Attachment C - 2022-23 PBS Word Template v1</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CBEDD" id="_x0000_t202" coordsize="21600,21600" o:spt="202" path="m,l,21600r21600,l21600,xe">
              <v:stroke joinstyle="miter"/>
              <v:path gradientshapeok="t" o:connecttype="rect"/>
            </v:shapetype>
            <v:shape id="Text Box 99" o:spid="_x0000_s1052" type="#_x0000_t202" alt="Landscape Odd Header" style="position:absolute;left:0;text-align:left;margin-left:597.05pt;margin-top:0;width:31.5pt;height:386.75pt;z-index:25183385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" stroked="f">
              <v:textbox style="layout-flow:vertical">
                <w:txbxContent>
                  <w:p w:rsidR="00511059" w:rsidRPr="000304FC" w:rsidRDefault="00511059" w:rsidP="009179EB">
                    <w:pPr>
                      <w:pStyle w:val="HeaderEven"/>
                    </w:pPr>
                    <w:r w:rsidRPr="00F00984">
                      <w:t>[Department abbreviation] Budget Statements</w:t>
                    </w:r>
                    <w:fldSimple w:instr=" TITLE   \* MERGEFORMAT ">
                      <w:r>
                        <w:t>DS amended Attachment C - 2022-23 PBS Word Template v1</w:t>
                      </w:r>
                    </w:fldSimple>
                  </w:p>
                  <w:p w:rsidR="00511059" w:rsidRDefault="00511059" w:rsidP="00A02E16">
                    <w:pPr>
                      <w:pStyle w:val="HeaderEven"/>
                    </w:pPr>
                    <w:fldSimple w:instr=" TITLE   \* MERGEFORMAT ">
                      <w:r>
                        <w:t>DS amended Attachment C - 2022-23 PBS Word Template v1</w:t>
                      </w:r>
                    </w:fldSimple>
                  </w:p>
                </w:txbxContent>
              </v:textbox>
              <w10:wrap anchory="margin"/>
            </v:shape>
          </w:pict>
        </mc:Fallback>
      </mc:AlternateContent>
    </w:r>
    <w:r>
      <w:rPr>
        <w:noProof/>
      </w:rPr>
      <mc:AlternateContent>
        <mc:Choice Requires="wps">
          <w:drawing>
            <wp:anchor distT="0" distB="0" distL="114300" distR="114300" simplePos="0" relativeHeight="251830784" behindDoc="0" locked="0" layoutInCell="1" allowOverlap="1" wp14:anchorId="5F442ADB" wp14:editId="552D079F">
              <wp:simplePos x="0" y="0"/>
              <wp:positionH relativeFrom="column">
                <wp:posOffset>7619365</wp:posOffset>
              </wp:positionH>
              <wp:positionV relativeFrom="margin">
                <wp:align>bottom</wp:align>
              </wp:positionV>
              <wp:extent cx="400050" cy="4911725"/>
              <wp:effectExtent l="0" t="0" r="0" b="3175"/>
              <wp:wrapNone/>
              <wp:docPr id="101"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B51A0" w14:textId="77777777" w:rsidR="00511059" w:rsidRPr="00137C7E" w:rsidRDefault="00A76B91" w:rsidP="009B180F">
                          <w:pPr>
                            <w:pStyle w:val="HeaderEven"/>
                            <w:rPr>
                              <w:rStyle w:val="FramedHeader"/>
                            </w:rPr>
                          </w:pPr>
                          <w:r>
                            <w:fldChar w:fldCharType="begin"/>
                          </w:r>
                          <w:r>
                            <w:instrText xml:space="preserve"> TITLE   \* MERGEFORMAT </w:instrText>
                          </w:r>
                          <w:r>
                            <w:fldChar w:fldCharType="separate"/>
                          </w:r>
                          <w:r w:rsidR="00511059">
                            <w:t>DS amended Attachment C - 2022-23 PBS Word Template v1</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D3313" id="_x0000_s1053" type="#_x0000_t202" alt="Landscape Odd Header" style="position:absolute;left:0;text-align:left;margin-left:599.95pt;margin-top:0;width:31.5pt;height:386.75pt;z-index:25183078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" stroked="f">
              <v:textbox style="layout-flow:vertical">
                <w:txbxContent>
                  <w:p w:rsidR="00511059" w:rsidRPr="00137C7E" w:rsidRDefault="00511059" w:rsidP="009B180F">
                    <w:pPr>
                      <w:pStyle w:val="HeaderEven"/>
                      <w:rPr>
                        <w:rStyle w:val="FramedHeader"/>
                      </w:rPr>
                    </w:pPr>
                    <w:fldSimple w:instr=" TITLE   \* MERGEFORMAT ">
                      <w:r>
                        <w:t>DS amended Attachment C - 2022-23 PBS Word Template v1</w:t>
                      </w:r>
                    </w:fldSimple>
                  </w:p>
                </w:txbxContent>
              </v:textbox>
              <w10:wrap anchory="margin"/>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80C27" w14:textId="77777777" w:rsidR="00511059" w:rsidRDefault="00511059" w:rsidP="00B91697">
    <w:pPr>
      <w:pStyle w:val="HeaderEven"/>
    </w:pPr>
    <w:r w:rsidRPr="000635BE">
      <w:rPr>
        <w:rFonts w:ascii="Arial Bold" w:hAnsi="Arial Bold"/>
        <w:b/>
        <w:bCs/>
        <w:noProof/>
        <w:position w:val="-10"/>
      </w:rPr>
      <w:drawing>
        <wp:inline distT="0" distB="0" distL="0" distR="0" wp14:anchorId="3B8A4677" wp14:editId="42BE05B1">
          <wp:extent cx="989308" cy="170121"/>
          <wp:effectExtent l="0" t="0" r="190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bCs/>
        <w:szCs w:val="18"/>
      </w:rPr>
      <w:t>National Indigenous Australians Agency</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3DB6" w14:textId="77777777" w:rsidR="00511059" w:rsidRDefault="00511059" w:rsidP="0025622C">
    <w:pPr>
      <w:pStyle w:val="HeaderOdd"/>
    </w:pPr>
    <w:r w:rsidRPr="00A82D60">
      <w:rPr>
        <w:rStyle w:val="PageNumber"/>
        <w:sz w:val="18"/>
      </w:rPr>
      <w:fldChar w:fldCharType="begin"/>
    </w:r>
    <w:r w:rsidRPr="00A82D60">
      <w:rPr>
        <w:rStyle w:val="PageNumber"/>
        <w:sz w:val="18"/>
      </w:rPr>
      <w:instrText xml:space="preserve"> STYLEREF  "Heading 1"  \* MERGEFORMAT </w:instrText>
    </w:r>
    <w:r w:rsidRPr="00A82D60">
      <w:rPr>
        <w:rStyle w:val="PageNumber"/>
        <w:sz w:val="18"/>
      </w:rPr>
      <w:fldChar w:fldCharType="separate"/>
    </w:r>
    <w:r w:rsidR="00A76B91">
      <w:rPr>
        <w:rStyle w:val="PageNumber"/>
        <w:noProof/>
        <w:sz w:val="18"/>
      </w:rPr>
      <w:t>National Indigenous Australians Agency</w:t>
    </w:r>
    <w:r w:rsidRPr="00A82D60">
      <w:rPr>
        <w:rStyle w:val="PageNumber"/>
        <w:sz w:val="18"/>
      </w:rPr>
      <w:fldChar w:fldCharType="end"/>
    </w:r>
    <w:r>
      <w:rPr>
        <w:rStyle w:val="PageNumber"/>
        <w:sz w:val="18"/>
      </w:rPr>
      <w:t xml:space="preserve">  </w:t>
    </w:r>
    <w:r>
      <w:rPr>
        <w:i/>
        <w:noProof/>
      </w:rPr>
      <w:t xml:space="preserve">|  </w:t>
    </w:r>
    <w:r w:rsidRPr="000635BE">
      <w:rPr>
        <w:rFonts w:ascii="Arial Bold" w:hAnsi="Arial Bold"/>
        <w:b/>
        <w:bCs/>
        <w:noProof/>
        <w:position w:val="-10"/>
      </w:rPr>
      <w:drawing>
        <wp:inline distT="0" distB="0" distL="0" distR="0" wp14:anchorId="0EED3590" wp14:editId="3D2C9C1F">
          <wp:extent cx="989308" cy="170121"/>
          <wp:effectExtent l="0" t="0" r="190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p>
  <w:p w14:paraId="2BE63E51" w14:textId="77777777" w:rsidR="00511059" w:rsidRDefault="00511059">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DA23D" w14:textId="77777777" w:rsidR="00511059" w:rsidRPr="00F00984" w:rsidRDefault="00511059" w:rsidP="0025622C">
    <w:pPr>
      <w:pStyle w:val="HeaderEven"/>
    </w:pPr>
    <w:r w:rsidRPr="000635BE">
      <w:rPr>
        <w:rFonts w:ascii="Arial Bold" w:hAnsi="Arial Bold"/>
        <w:b/>
        <w:bCs/>
        <w:noProof/>
        <w:position w:val="-10"/>
      </w:rPr>
      <w:drawing>
        <wp:inline distT="0" distB="0" distL="0" distR="0" wp14:anchorId="736E1DB0" wp14:editId="6275CD44">
          <wp:extent cx="989308" cy="170121"/>
          <wp:effectExtent l="0"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bCs/>
        <w:szCs w:val="18"/>
      </w:rPr>
      <w:t>National Indigenous Australians Agency</w:t>
    </w:r>
  </w:p>
  <w:p w14:paraId="1925F06E" w14:textId="77777777" w:rsidR="00511059" w:rsidRPr="0025622C" w:rsidRDefault="00511059" w:rsidP="002562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45C58" w14:textId="77777777" w:rsidR="00511059" w:rsidRDefault="00511059" w:rsidP="004F1212">
    <w:pPr>
      <w:pStyle w:val="HeaderEven"/>
    </w:pPr>
    <w:r w:rsidRPr="00F00984">
      <w:t>[Department abbreviation] Budget Statements</w:t>
    </w:r>
    <w:r>
      <w:rPr>
        <w:noProof/>
      </w:rPr>
      <w:t xml:space="preserve"> </w:t>
    </w:r>
    <w:r>
      <w:rPr>
        <w:noProof/>
      </w:rPr>
      <mc:AlternateContent>
        <mc:Choice Requires="wps">
          <w:drawing>
            <wp:anchor distT="0" distB="0" distL="0" distR="0" simplePos="0" relativeHeight="251640320" behindDoc="0" locked="1" layoutInCell="0" allowOverlap="1" wp14:anchorId="26DBA09C" wp14:editId="52AD392B">
              <wp:simplePos x="0" y="0"/>
              <wp:positionH relativeFrom="margin">
                <wp:align>center</wp:align>
              </wp:positionH>
              <wp:positionV relativeFrom="page">
                <wp:posOffset>512445</wp:posOffset>
              </wp:positionV>
              <wp:extent cx="4910455" cy="615315"/>
              <wp:effectExtent l="0" t="0" r="4445" b="0"/>
              <wp:wrapSquare wrapText="bothSides"/>
              <wp:docPr id="42" name="Text Box 1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90FD" w14:textId="77777777" w:rsidR="00511059" w:rsidRDefault="00511059" w:rsidP="0049200C">
                          <w:pPr>
                            <w:pStyle w:val="Classification"/>
                          </w:pPr>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75D77" id="_x0000_t202" coordsize="21600,21600" o:spt="202" path="m,l,21600r21600,l21600,xe">
              <v:stroke joinstyle="miter"/>
              <v:path gradientshapeok="t" o:connecttype="rect"/>
            </v:shapetype>
            <v:shape id="Text Box 14" o:spid="_x0000_s1041" type="#_x0000_t202" alt="Portrait Classification Header" style="position:absolute;margin-left:0;margin-top:40.35pt;width:386.65pt;height:48.45pt;z-index:25164032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" o:allowincell="f" filled="f" stroked="f">
              <v:textbox inset="0,0,0,0">
                <w:txbxContent>
                  <w:p w:rsidR="00511059" w:rsidRDefault="00511059" w:rsidP="0049200C">
                    <w:pPr>
                      <w:pStyle w:val="Classification"/>
                    </w:pPr>
                    <w:r>
                      <w:t xml:space="preserve">Protected: </w:t>
                    </w:r>
                    <w:r>
                      <w:br/>
                      <w:t>Sensitive: Cabinet</w:t>
                    </w:r>
                  </w:p>
                </w:txbxContent>
              </v:textbox>
              <w10:wrap type="square" anchorx="margin" anchory="page"/>
              <w10:anchorlock/>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03931" w14:textId="77777777" w:rsidR="00511059" w:rsidRPr="009F2A20" w:rsidRDefault="00511059" w:rsidP="009F2A2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1582" w14:textId="77777777" w:rsidR="00511059" w:rsidRPr="0049200C" w:rsidRDefault="00511059" w:rsidP="00B91697">
    <w:pPr>
      <w:pStyle w:val="HeaderOdd"/>
    </w:pPr>
    <w:r>
      <w:rPr>
        <w:rFonts w:ascii="Times New Roman" w:hAnsi="Times New Roman"/>
        <w:noProof/>
        <w:sz w:val="24"/>
        <w:szCs w:val="24"/>
      </w:rPr>
      <mc:AlternateContent>
        <mc:Choice Requires="wps">
          <w:drawing>
            <wp:anchor distT="0" distB="0" distL="114300" distR="114300" simplePos="0" relativeHeight="251841024" behindDoc="0" locked="0" layoutInCell="1" allowOverlap="1" wp14:anchorId="5C508BEF" wp14:editId="19152EB0">
              <wp:simplePos x="0" y="0"/>
              <wp:positionH relativeFrom="column">
                <wp:posOffset>7582619</wp:posOffset>
              </wp:positionH>
              <wp:positionV relativeFrom="margin">
                <wp:align>top</wp:align>
              </wp:positionV>
              <wp:extent cx="400050" cy="4911725"/>
              <wp:effectExtent l="0" t="0" r="0" b="3175"/>
              <wp:wrapNone/>
              <wp:docPr id="78" name="Text Box 78"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720C8" w14:textId="77777777" w:rsidR="00511059" w:rsidRPr="000304FC" w:rsidRDefault="00511059" w:rsidP="00B91697">
                          <w:pPr>
                            <w:pStyle w:val="HeaderEven"/>
                          </w:pPr>
                          <w:r w:rsidRPr="00F00984">
                            <w:t>[Department abbreviation] Budget Statements</w:t>
                          </w:r>
                          <w:r w:rsidR="00A76B91">
                            <w:fldChar w:fldCharType="begin"/>
                          </w:r>
                          <w:r w:rsidR="00A76B91">
                            <w:instrText xml:space="preserve"> TITLE   \* MERGEFORMAT </w:instrText>
                          </w:r>
                          <w:r w:rsidR="00A76B91">
                            <w:fldChar w:fldCharType="separate"/>
                          </w:r>
                          <w:r>
                            <w:t>DS amended Attachment C - 2022-23 PBS Word Template v1</w:t>
                          </w:r>
                          <w:r w:rsidR="00A76B91">
                            <w:fldChar w:fldCharType="end"/>
                          </w:r>
                        </w:p>
                        <w:p w14:paraId="2B91836F" w14:textId="77777777" w:rsidR="00511059" w:rsidRDefault="00A76B91" w:rsidP="00B91697">
                          <w:pPr>
                            <w:pStyle w:val="HeaderEven"/>
                          </w:pPr>
                          <w:r>
                            <w:fldChar w:fldCharType="begin"/>
                          </w:r>
                          <w:r>
                            <w:instrText xml:space="preserve"> TITLE   \* MERGEFORMAT </w:instrText>
                          </w:r>
                          <w:r>
                            <w:fldChar w:fldCharType="separate"/>
                          </w:r>
                          <w:r w:rsidR="00511059">
                            <w:t>DS amended Attachment C - 2022-23 PBS Word Template v1</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9CAA9" id="_x0000_t202" coordsize="21600,21600" o:spt="202" path="m,l,21600r21600,l21600,xe">
              <v:stroke joinstyle="miter"/>
              <v:path gradientshapeok="t" o:connecttype="rect"/>
            </v:shapetype>
            <v:shape id="Text Box 78" o:spid="_x0000_s1054" type="#_x0000_t202" alt="Landscape Odd Header" style="position:absolute;left:0;text-align:left;margin-left:597.05pt;margin-top:0;width:31.5pt;height:386.75pt;z-index:25184102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" stroked="f">
              <v:textbox style="layout-flow:vertical">
                <w:txbxContent>
                  <w:p w:rsidR="00511059" w:rsidRPr="000304FC" w:rsidRDefault="00511059" w:rsidP="00B91697">
                    <w:pPr>
                      <w:pStyle w:val="HeaderEven"/>
                    </w:pPr>
                    <w:r w:rsidRPr="00F00984">
                      <w:t>[Department abbreviation] Budget Statements</w:t>
                    </w:r>
                    <w:fldSimple w:instr=" TITLE   \* MERGEFORMAT ">
                      <w:r>
                        <w:t>DS amended Attachment C - 2022-23 PBS Word Template v1</w:t>
                      </w:r>
                    </w:fldSimple>
                  </w:p>
                  <w:p w:rsidR="00511059" w:rsidRDefault="00511059" w:rsidP="00B91697">
                    <w:pPr>
                      <w:pStyle w:val="HeaderEven"/>
                    </w:pPr>
                    <w:fldSimple w:instr=" TITLE   \* MERGEFORMAT ">
                      <w:r>
                        <w:t>DS amended Attachment C - 2022-23 PBS Word Template v1</w:t>
                      </w:r>
                    </w:fldSimple>
                  </w:p>
                </w:txbxContent>
              </v:textbox>
              <w10:wrap anchory="margin"/>
            </v:shape>
          </w:pict>
        </mc:Fallback>
      </mc:AlternateContent>
    </w:r>
    <w:r>
      <w:rPr>
        <w:noProof/>
      </w:rPr>
      <mc:AlternateContent>
        <mc:Choice Requires="wps">
          <w:drawing>
            <wp:anchor distT="0" distB="0" distL="114300" distR="114300" simplePos="0" relativeHeight="251840000" behindDoc="0" locked="0" layoutInCell="1" allowOverlap="1" wp14:anchorId="5CACC7C3" wp14:editId="6B787C06">
              <wp:simplePos x="0" y="0"/>
              <wp:positionH relativeFrom="column">
                <wp:posOffset>7619365</wp:posOffset>
              </wp:positionH>
              <wp:positionV relativeFrom="margin">
                <wp:align>bottom</wp:align>
              </wp:positionV>
              <wp:extent cx="400050" cy="4911725"/>
              <wp:effectExtent l="0" t="0" r="0" b="3175"/>
              <wp:wrapNone/>
              <wp:docPr id="79"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C292D" w14:textId="77777777" w:rsidR="00511059" w:rsidRPr="00137C7E" w:rsidRDefault="00A76B91" w:rsidP="00B91697">
                          <w:pPr>
                            <w:pStyle w:val="HeaderEven"/>
                            <w:rPr>
                              <w:rStyle w:val="FramedHeader"/>
                            </w:rPr>
                          </w:pPr>
                          <w:r>
                            <w:fldChar w:fldCharType="begin"/>
                          </w:r>
                          <w:r>
                            <w:instrText xml:space="preserve"> TITLE   \* MERGEFORMAT </w:instrText>
                          </w:r>
                          <w:r>
                            <w:fldChar w:fldCharType="separate"/>
                          </w:r>
                          <w:r w:rsidR="00511059">
                            <w:t>DS amended Attachment C - 2022-23 PBS Word Template v1</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5DE3" id="_x0000_s1055" type="#_x0000_t202" alt="Landscape Odd Header" style="position:absolute;left:0;text-align:left;margin-left:599.95pt;margin-top:0;width:31.5pt;height:386.75pt;z-index:25184000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" stroked="f">
              <v:textbox style="layout-flow:vertical">
                <w:txbxContent>
                  <w:p w:rsidR="00511059" w:rsidRPr="00137C7E" w:rsidRDefault="00511059" w:rsidP="00B91697">
                    <w:pPr>
                      <w:pStyle w:val="HeaderEven"/>
                      <w:rPr>
                        <w:rStyle w:val="FramedHeader"/>
                      </w:rPr>
                    </w:pPr>
                    <w:fldSimple w:instr=" TITLE   \* MERGEFORMAT ">
                      <w:r>
                        <w:t>DS amended Attachment C - 2022-23 PBS Word Template v1</w:t>
                      </w:r>
                    </w:fldSimple>
                  </w:p>
                </w:txbxContent>
              </v:textbox>
              <w10:wrap anchory="margin"/>
            </v:shape>
          </w:pict>
        </mc:Fallback>
      </mc:AlternateContent>
    </w:r>
  </w:p>
  <w:p w14:paraId="28BDDA7E" w14:textId="77777777" w:rsidR="00511059" w:rsidRDefault="00511059">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EA710" w14:textId="77777777" w:rsidR="00511059" w:rsidRPr="009F2A20" w:rsidRDefault="00511059" w:rsidP="009F2A20">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7C22B20D" w14:textId="77777777" w:rsidTr="002F7A80">
      <w:trPr>
        <w:trHeight w:hRule="exact" w:val="340"/>
      </w:trPr>
      <w:tc>
        <w:tcPr>
          <w:tcW w:w="7797" w:type="dxa"/>
        </w:tcPr>
        <w:p w14:paraId="4A67688C" w14:textId="77777777" w:rsidR="00511059" w:rsidRDefault="00511059" w:rsidP="003F458D">
          <w:pPr>
            <w:pStyle w:val="HeaderEven"/>
            <w:ind w:left="-113"/>
          </w:pPr>
          <w:r w:rsidRPr="000635BE">
            <w:rPr>
              <w:rFonts w:ascii="Arial Bold" w:hAnsi="Arial Bold"/>
              <w:b/>
              <w:bCs/>
              <w:noProof/>
              <w:position w:val="-10"/>
            </w:rPr>
            <w:drawing>
              <wp:inline distT="0" distB="0" distL="0" distR="0" wp14:anchorId="083AD982" wp14:editId="54B71649">
                <wp:extent cx="989308" cy="170121"/>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xml:space="preserve">|  </w:t>
          </w:r>
          <w:r>
            <w:rPr>
              <w:position w:val="-2"/>
            </w:rPr>
            <w:t>National Recovery and Resilience Agency</w:t>
          </w:r>
          <w:r w:rsidRPr="00213592">
            <w:rPr>
              <w:position w:val="-2"/>
            </w:rPr>
            <w:t xml:space="preserve">  </w:t>
          </w:r>
        </w:p>
      </w:tc>
    </w:tr>
  </w:tbl>
  <w:p w14:paraId="5A158BD7" w14:textId="77777777" w:rsidR="00511059" w:rsidRPr="00F00984" w:rsidRDefault="00511059" w:rsidP="00A02E16">
    <w:pPr>
      <w:pStyle w:val="HeaderEven"/>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6CD86FE3" w14:textId="77777777" w:rsidTr="002F7A80">
      <w:trPr>
        <w:trHeight w:hRule="exact" w:val="340"/>
      </w:trPr>
      <w:tc>
        <w:tcPr>
          <w:tcW w:w="7797" w:type="dxa"/>
        </w:tcPr>
        <w:p w14:paraId="04C74CC2" w14:textId="77777777" w:rsidR="00511059" w:rsidRDefault="00511059" w:rsidP="00050A97">
          <w:pPr>
            <w:pStyle w:val="HeaderOdd"/>
          </w:pPr>
          <w:r>
            <w:rPr>
              <w:position w:val="-2"/>
            </w:rPr>
            <w:t>National Recovery and Resilience Agency</w:t>
          </w:r>
          <w:r w:rsidRPr="00213592">
            <w:rPr>
              <w:position w:val="-2"/>
            </w:rPr>
            <w:t xml:space="preserve">  |</w:t>
          </w:r>
          <w:r>
            <w:t xml:space="preserve">  </w:t>
          </w:r>
          <w:r w:rsidRPr="000635BE">
            <w:rPr>
              <w:rFonts w:ascii="Arial Bold" w:hAnsi="Arial Bold"/>
              <w:b/>
              <w:bCs/>
              <w:noProof/>
              <w:position w:val="-10"/>
            </w:rPr>
            <w:drawing>
              <wp:inline distT="0" distB="0" distL="0" distR="0" wp14:anchorId="0EDEC1FE" wp14:editId="12C4EE17">
                <wp:extent cx="989308" cy="170121"/>
                <wp:effectExtent l="0" t="0" r="190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46494742" w14:textId="77777777" w:rsidR="00511059" w:rsidRDefault="00511059" w:rsidP="00A02E16">
    <w:pPr>
      <w:pStyle w:val="HeaderOdd"/>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E261F" w14:textId="77777777" w:rsidR="00511059" w:rsidRPr="00B4084B" w:rsidRDefault="00511059" w:rsidP="0049200C">
    <w:pPr>
      <w:pStyle w:val="HeaderOdd"/>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29762FBC" w14:textId="77777777" w:rsidTr="009C51A8">
      <w:trPr>
        <w:trHeight w:hRule="exact" w:val="340"/>
      </w:trPr>
      <w:tc>
        <w:tcPr>
          <w:tcW w:w="7797" w:type="dxa"/>
        </w:tcPr>
        <w:p w14:paraId="108A6CA2" w14:textId="77777777" w:rsidR="00511059" w:rsidRDefault="00511059" w:rsidP="00EB5F20">
          <w:pPr>
            <w:pStyle w:val="HeaderOdd"/>
          </w:pPr>
          <w:r>
            <w:rPr>
              <w:position w:val="-2"/>
            </w:rPr>
            <w:t>National Recovery and Resilience Agency</w:t>
          </w:r>
          <w:r w:rsidRPr="00213592">
            <w:rPr>
              <w:position w:val="-2"/>
            </w:rPr>
            <w:t xml:space="preserve">  |</w:t>
          </w:r>
          <w:r>
            <w:t xml:space="preserve">  </w:t>
          </w:r>
          <w:r w:rsidRPr="000635BE">
            <w:rPr>
              <w:rFonts w:ascii="Arial Bold" w:hAnsi="Arial Bold"/>
              <w:b/>
              <w:bCs/>
              <w:noProof/>
              <w:position w:val="-10"/>
            </w:rPr>
            <w:drawing>
              <wp:inline distT="0" distB="0" distL="0" distR="0" wp14:anchorId="27EEA067" wp14:editId="088C642A">
                <wp:extent cx="989308" cy="170121"/>
                <wp:effectExtent l="0" t="0" r="190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36121192" w14:textId="77777777" w:rsidR="00511059" w:rsidRDefault="00511059" w:rsidP="00A02E16">
    <w:pPr>
      <w:pStyle w:val="HeaderOdd"/>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1F0488DC" w14:textId="77777777" w:rsidTr="009C51A8">
      <w:trPr>
        <w:trHeight w:hRule="exact" w:val="340"/>
      </w:trPr>
      <w:tc>
        <w:tcPr>
          <w:tcW w:w="7797" w:type="dxa"/>
        </w:tcPr>
        <w:p w14:paraId="6DA2F100" w14:textId="77777777" w:rsidR="00511059" w:rsidRDefault="00511059" w:rsidP="00EB5F20">
          <w:pPr>
            <w:pStyle w:val="HeaderOdd"/>
          </w:pPr>
          <w:r>
            <w:rPr>
              <w:position w:val="-2"/>
            </w:rPr>
            <w:t>National Recovery and Resilience Agency</w:t>
          </w:r>
          <w:r w:rsidRPr="00213592">
            <w:rPr>
              <w:position w:val="-2"/>
            </w:rPr>
            <w:t xml:space="preserve">  |</w:t>
          </w:r>
          <w:r>
            <w:t xml:space="preserve">  </w:t>
          </w:r>
          <w:r w:rsidRPr="000635BE">
            <w:rPr>
              <w:rFonts w:ascii="Arial Bold" w:hAnsi="Arial Bold"/>
              <w:b/>
              <w:bCs/>
              <w:noProof/>
              <w:position w:val="-10"/>
            </w:rPr>
            <w:drawing>
              <wp:inline distT="0" distB="0" distL="0" distR="0" wp14:anchorId="0CEB6372" wp14:editId="3D52CB21">
                <wp:extent cx="989308" cy="170121"/>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0C031D24" w14:textId="77777777" w:rsidR="00511059" w:rsidRPr="00B4084B" w:rsidRDefault="00511059" w:rsidP="0049200C">
    <w:pPr>
      <w:pStyle w:val="HeaderOdd"/>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DBC0" w14:textId="77777777" w:rsidR="00511059" w:rsidRPr="006D1838" w:rsidRDefault="00511059" w:rsidP="006D183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11059" w14:paraId="05FC41B5" w14:textId="77777777" w:rsidTr="009C51A8">
      <w:trPr>
        <w:trHeight w:hRule="exact" w:val="340"/>
      </w:trPr>
      <w:tc>
        <w:tcPr>
          <w:tcW w:w="7797" w:type="dxa"/>
        </w:tcPr>
        <w:p w14:paraId="39156CD0" w14:textId="77777777" w:rsidR="00511059" w:rsidRDefault="00511059" w:rsidP="00EB5F20">
          <w:pPr>
            <w:pStyle w:val="HeaderOdd"/>
          </w:pPr>
        </w:p>
      </w:tc>
    </w:tr>
  </w:tbl>
  <w:p w14:paraId="39715D93" w14:textId="77777777" w:rsidR="00511059" w:rsidRDefault="00511059" w:rsidP="00A02E16">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8C7"/>
    <w:multiLevelType w:val="hybridMultilevel"/>
    <w:tmpl w:val="3248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A0AE9"/>
    <w:multiLevelType w:val="multilevel"/>
    <w:tmpl w:val="0C9E7E38"/>
    <w:lvl w:ilvl="0">
      <w:start w:val="1"/>
      <w:numFmt w:val="bullet"/>
      <w:lvlText w:val=""/>
      <w:lvlJc w:val="left"/>
      <w:pPr>
        <w:tabs>
          <w:tab w:val="num" w:pos="283"/>
        </w:tabs>
        <w:ind w:left="283" w:hanging="283"/>
      </w:pPr>
      <w:rPr>
        <w:rFonts w:ascii="Symbol" w:hAnsi="Symbol" w:hint="default"/>
        <w:b w:val="0"/>
        <w:i w:val="0"/>
        <w:color w:val="auto"/>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 w15:restartNumberingAfterBreak="0">
    <w:nsid w:val="043F1D74"/>
    <w:multiLevelType w:val="hybridMultilevel"/>
    <w:tmpl w:val="370E8632"/>
    <w:lvl w:ilvl="0" w:tplc="0C090001">
      <w:start w:val="1"/>
      <w:numFmt w:val="bullet"/>
      <w:lvlText w:val=""/>
      <w:lvlJc w:val="left"/>
      <w:pPr>
        <w:ind w:left="863"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start w:val="1"/>
      <w:numFmt w:val="bullet"/>
      <w:lvlText w:val=""/>
      <w:lvlJc w:val="left"/>
      <w:pPr>
        <w:ind w:left="2303" w:hanging="360"/>
      </w:pPr>
      <w:rPr>
        <w:rFonts w:ascii="Wingdings" w:hAnsi="Wingdings" w:hint="default"/>
      </w:rPr>
    </w:lvl>
    <w:lvl w:ilvl="3" w:tplc="0C090001">
      <w:start w:val="1"/>
      <w:numFmt w:val="bullet"/>
      <w:lvlText w:val=""/>
      <w:lvlJc w:val="left"/>
      <w:pPr>
        <w:ind w:left="3023" w:hanging="360"/>
      </w:pPr>
      <w:rPr>
        <w:rFonts w:ascii="Symbol" w:hAnsi="Symbol" w:hint="default"/>
      </w:rPr>
    </w:lvl>
    <w:lvl w:ilvl="4" w:tplc="0C090003">
      <w:start w:val="1"/>
      <w:numFmt w:val="bullet"/>
      <w:lvlText w:val="o"/>
      <w:lvlJc w:val="left"/>
      <w:pPr>
        <w:ind w:left="3743" w:hanging="360"/>
      </w:pPr>
      <w:rPr>
        <w:rFonts w:ascii="Courier New" w:hAnsi="Courier New" w:cs="Courier New" w:hint="default"/>
      </w:rPr>
    </w:lvl>
    <w:lvl w:ilvl="5" w:tplc="0C090005">
      <w:start w:val="1"/>
      <w:numFmt w:val="bullet"/>
      <w:lvlText w:val=""/>
      <w:lvlJc w:val="left"/>
      <w:pPr>
        <w:ind w:left="4463" w:hanging="360"/>
      </w:pPr>
      <w:rPr>
        <w:rFonts w:ascii="Wingdings" w:hAnsi="Wingdings" w:hint="default"/>
      </w:rPr>
    </w:lvl>
    <w:lvl w:ilvl="6" w:tplc="0C090001">
      <w:start w:val="1"/>
      <w:numFmt w:val="bullet"/>
      <w:lvlText w:val=""/>
      <w:lvlJc w:val="left"/>
      <w:pPr>
        <w:ind w:left="5183" w:hanging="360"/>
      </w:pPr>
      <w:rPr>
        <w:rFonts w:ascii="Symbol" w:hAnsi="Symbol" w:hint="default"/>
      </w:rPr>
    </w:lvl>
    <w:lvl w:ilvl="7" w:tplc="0C090003">
      <w:start w:val="1"/>
      <w:numFmt w:val="bullet"/>
      <w:lvlText w:val="o"/>
      <w:lvlJc w:val="left"/>
      <w:pPr>
        <w:ind w:left="5903" w:hanging="360"/>
      </w:pPr>
      <w:rPr>
        <w:rFonts w:ascii="Courier New" w:hAnsi="Courier New" w:cs="Courier New" w:hint="default"/>
      </w:rPr>
    </w:lvl>
    <w:lvl w:ilvl="8" w:tplc="0C090005">
      <w:start w:val="1"/>
      <w:numFmt w:val="bullet"/>
      <w:lvlText w:val=""/>
      <w:lvlJc w:val="left"/>
      <w:pPr>
        <w:ind w:left="6623" w:hanging="360"/>
      </w:pPr>
      <w:rPr>
        <w:rFonts w:ascii="Wingdings" w:hAnsi="Wingdings" w:hint="default"/>
      </w:rPr>
    </w:lvl>
  </w:abstractNum>
  <w:abstractNum w:abstractNumId="3" w15:restartNumberingAfterBreak="0">
    <w:nsid w:val="082B0FED"/>
    <w:multiLevelType w:val="hybridMultilevel"/>
    <w:tmpl w:val="57E0A07A"/>
    <w:lvl w:ilvl="0" w:tplc="21CE29D2">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A6913C1"/>
    <w:multiLevelType w:val="hybridMultilevel"/>
    <w:tmpl w:val="E2684F54"/>
    <w:lvl w:ilvl="0" w:tplc="13E220C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E03B9C"/>
    <w:multiLevelType w:val="hybridMultilevel"/>
    <w:tmpl w:val="0840CC14"/>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F3086B"/>
    <w:multiLevelType w:val="hybridMultilevel"/>
    <w:tmpl w:val="5194FCBE"/>
    <w:lvl w:ilvl="0" w:tplc="D6203726">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430BB4"/>
    <w:multiLevelType w:val="hybridMultilevel"/>
    <w:tmpl w:val="89645FA0"/>
    <w:lvl w:ilvl="0" w:tplc="8FA4EAD4">
      <w:start w:val="1"/>
      <w:numFmt w:val="decimal"/>
      <w:lvlText w:val="%1."/>
      <w:lvlJc w:val="left"/>
      <w:pPr>
        <w:ind w:left="360" w:hanging="360"/>
      </w:pPr>
      <w:rPr>
        <w:rFonts w:ascii="Arial" w:hAnsi="Arial" w:cs="Arial" w:hint="default"/>
        <w:i w:val="0"/>
        <w:color w:val="auto"/>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602213"/>
    <w:multiLevelType w:val="hybridMultilevel"/>
    <w:tmpl w:val="8BD86F26"/>
    <w:lvl w:ilvl="0" w:tplc="2F4CF8B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771C62"/>
    <w:multiLevelType w:val="hybridMultilevel"/>
    <w:tmpl w:val="1B560A28"/>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0ECF3DD4"/>
    <w:multiLevelType w:val="hybridMultilevel"/>
    <w:tmpl w:val="5FE4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E46C0A"/>
    <w:multiLevelType w:val="hybridMultilevel"/>
    <w:tmpl w:val="F0D609CA"/>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F530BDD"/>
    <w:multiLevelType w:val="hybridMultilevel"/>
    <w:tmpl w:val="9340A014"/>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FA603A1"/>
    <w:multiLevelType w:val="hybridMultilevel"/>
    <w:tmpl w:val="D3EA6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17" w15:restartNumberingAfterBreak="0">
    <w:nsid w:val="11715C50"/>
    <w:multiLevelType w:val="hybridMultilevel"/>
    <w:tmpl w:val="62444DFA"/>
    <w:lvl w:ilvl="0" w:tplc="94506D36">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307314C"/>
    <w:multiLevelType w:val="hybridMultilevel"/>
    <w:tmpl w:val="62444DFA"/>
    <w:lvl w:ilvl="0" w:tplc="94506D36">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3E744F7"/>
    <w:multiLevelType w:val="hybridMultilevel"/>
    <w:tmpl w:val="D76CFA46"/>
    <w:lvl w:ilvl="0" w:tplc="A0B6DFAA">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4390820"/>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21" w15:restartNumberingAfterBreak="0">
    <w:nsid w:val="144C48D1"/>
    <w:multiLevelType w:val="hybridMultilevel"/>
    <w:tmpl w:val="CB04EC2E"/>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48A2177"/>
    <w:multiLevelType w:val="hybridMultilevel"/>
    <w:tmpl w:val="FBA69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8F6973"/>
    <w:multiLevelType w:val="hybridMultilevel"/>
    <w:tmpl w:val="CD7CA3F6"/>
    <w:lvl w:ilvl="0" w:tplc="6B1C71DE">
      <w:start w:val="1"/>
      <w:numFmt w:val="decimal"/>
      <w:lvlText w:val="%1."/>
      <w:lvlJc w:val="left"/>
      <w:pPr>
        <w:ind w:left="360" w:hanging="360"/>
      </w:pPr>
      <w:rPr>
        <w:rFonts w:hint="default"/>
        <w:i w:val="0"/>
        <w:color w:val="auto"/>
      </w:rPr>
    </w:lvl>
    <w:lvl w:ilvl="1" w:tplc="92D2E89E">
      <w:start w:val="1"/>
      <w:numFmt w:val="lowerLetter"/>
      <w:lvlText w:val="(%2)"/>
      <w:lvlJc w:val="left"/>
      <w:pPr>
        <w:ind w:left="36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4EC6681"/>
    <w:multiLevelType w:val="hybridMultilevel"/>
    <w:tmpl w:val="BE6A857C"/>
    <w:lvl w:ilvl="0" w:tplc="6B1C71DE">
      <w:start w:val="1"/>
      <w:numFmt w:val="decimal"/>
      <w:lvlText w:val="%1."/>
      <w:lvlJc w:val="left"/>
      <w:pPr>
        <w:ind w:left="786"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57E331B"/>
    <w:multiLevelType w:val="multilevel"/>
    <w:tmpl w:val="BA5845AE"/>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6" w15:restartNumberingAfterBreak="0">
    <w:nsid w:val="1A184547"/>
    <w:multiLevelType w:val="hybridMultilevel"/>
    <w:tmpl w:val="7EF853FE"/>
    <w:lvl w:ilvl="0" w:tplc="8910D090">
      <w:start w:val="1"/>
      <w:numFmt w:val="lowerLetter"/>
      <w:lvlText w:val="(%1)"/>
      <w:lvlJc w:val="left"/>
      <w:pPr>
        <w:ind w:left="360" w:hanging="360"/>
      </w:pPr>
      <w:rPr>
        <w:rFonts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B8742DC"/>
    <w:multiLevelType w:val="hybridMultilevel"/>
    <w:tmpl w:val="BAA4BB1A"/>
    <w:lvl w:ilvl="0" w:tplc="7B862AD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A92837"/>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29" w15:restartNumberingAfterBreak="0">
    <w:nsid w:val="1D8C29A2"/>
    <w:multiLevelType w:val="hybridMultilevel"/>
    <w:tmpl w:val="E37C9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DCF535B"/>
    <w:multiLevelType w:val="hybridMultilevel"/>
    <w:tmpl w:val="05B69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5475CC"/>
    <w:multiLevelType w:val="hybridMultilevel"/>
    <w:tmpl w:val="5F4EA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0576E7F"/>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33" w15:restartNumberingAfterBreak="0">
    <w:nsid w:val="20CB4740"/>
    <w:multiLevelType w:val="hybridMultilevel"/>
    <w:tmpl w:val="1458E864"/>
    <w:lvl w:ilvl="0" w:tplc="CF36DC14">
      <w:start w:val="1"/>
      <w:numFmt w:val="decimal"/>
      <w:lvlText w:val="%1."/>
      <w:lvlJc w:val="left"/>
      <w:pPr>
        <w:ind w:left="643" w:hanging="360"/>
      </w:pPr>
      <w:rPr>
        <w:rFonts w:ascii="Book Antiqua" w:hAnsi="Book Antiqu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1C95BBB"/>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35" w15:restartNumberingAfterBreak="0">
    <w:nsid w:val="250C058B"/>
    <w:multiLevelType w:val="hybridMultilevel"/>
    <w:tmpl w:val="54349EFE"/>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5346EB6"/>
    <w:multiLevelType w:val="hybridMultilevel"/>
    <w:tmpl w:val="173EF446"/>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2786740F"/>
    <w:multiLevelType w:val="hybridMultilevel"/>
    <w:tmpl w:val="57D4F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82C4E08"/>
    <w:multiLevelType w:val="hybridMultilevel"/>
    <w:tmpl w:val="A9FA7CAE"/>
    <w:lvl w:ilvl="0" w:tplc="6D8ACDDA">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6D8ACDDA">
      <w:start w:val="1"/>
      <w:numFmt w:val="lowerLetter"/>
      <w:lvlText w:val="(%5)"/>
      <w:lvlJc w:val="left"/>
      <w:pPr>
        <w:ind w:left="360" w:hanging="360"/>
      </w:pPr>
      <w:rPr>
        <w:rFonts w:ascii="Arial" w:eastAsia="Times New Roman" w:hAnsi="Arial" w:cs="Times New Roman"/>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C825CA"/>
    <w:multiLevelType w:val="multilevel"/>
    <w:tmpl w:val="12BC301A"/>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41" w15:restartNumberingAfterBreak="0">
    <w:nsid w:val="2ACF0BAD"/>
    <w:multiLevelType w:val="hybridMultilevel"/>
    <w:tmpl w:val="15744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A10942"/>
    <w:multiLevelType w:val="hybridMultilevel"/>
    <w:tmpl w:val="BE265DAA"/>
    <w:lvl w:ilvl="0" w:tplc="67EC3084">
      <w:start w:val="1"/>
      <w:numFmt w:val="decimal"/>
      <w:lvlText w:val="%1."/>
      <w:lvlJc w:val="left"/>
      <w:pPr>
        <w:ind w:left="360" w:hanging="360"/>
      </w:pPr>
      <w:rPr>
        <w:rFonts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BFA4967"/>
    <w:multiLevelType w:val="hybridMultilevel"/>
    <w:tmpl w:val="5D423D3A"/>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C7A0286"/>
    <w:multiLevelType w:val="hybridMultilevel"/>
    <w:tmpl w:val="9E467A64"/>
    <w:lvl w:ilvl="0" w:tplc="AD82DAC8">
      <w:start w:val="1"/>
      <w:numFmt w:val="decimal"/>
      <w:lvlText w:val="%1."/>
      <w:lvlJc w:val="left"/>
      <w:pPr>
        <w:ind w:left="360" w:hanging="360"/>
      </w:pPr>
      <w:rPr>
        <w:rFonts w:cs="Arial" w:hint="default"/>
        <w:b w:val="0"/>
        <w:i w:val="0"/>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6" w15:restartNumberingAfterBreak="0">
    <w:nsid w:val="2DAB4455"/>
    <w:multiLevelType w:val="hybridMultilevel"/>
    <w:tmpl w:val="6CB837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F2D0758"/>
    <w:multiLevelType w:val="singleLevel"/>
    <w:tmpl w:val="07664886"/>
    <w:lvl w:ilvl="0">
      <w:start w:val="1"/>
      <w:numFmt w:val="lowerLetter"/>
      <w:lvlRestart w:val="0"/>
      <w:lvlText w:val="(%1)"/>
      <w:lvlJc w:val="left"/>
      <w:pPr>
        <w:tabs>
          <w:tab w:val="num" w:pos="284"/>
        </w:tabs>
        <w:ind w:left="284" w:hanging="284"/>
      </w:pPr>
      <w:rPr>
        <w:rFonts w:ascii="Arial" w:hAnsi="Arial" w:cs="Arial"/>
        <w:b w:val="0"/>
        <w:i w:val="0"/>
        <w:color w:val="000000"/>
        <w:sz w:val="16"/>
      </w:rPr>
    </w:lvl>
  </w:abstractNum>
  <w:abstractNum w:abstractNumId="48" w15:restartNumberingAfterBreak="0">
    <w:nsid w:val="2F3D715C"/>
    <w:multiLevelType w:val="hybridMultilevel"/>
    <w:tmpl w:val="1A020732"/>
    <w:lvl w:ilvl="0" w:tplc="6D8ACDDA">
      <w:start w:val="1"/>
      <w:numFmt w:val="lowerLetter"/>
      <w:lvlText w:val="(%1)"/>
      <w:lvlJc w:val="left"/>
      <w:pPr>
        <w:ind w:left="360" w:hanging="360"/>
      </w:pPr>
      <w:rPr>
        <w:rFonts w:ascii="Arial" w:eastAsia="Times New Roman" w:hAnsi="Arial" w:cs="Times New Roman" w:hint="default"/>
        <w:b w:val="0"/>
        <w:i w:val="0"/>
        <w:color w:val="000000"/>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2FC97BFE"/>
    <w:multiLevelType w:val="hybridMultilevel"/>
    <w:tmpl w:val="1884EC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1147AA6"/>
    <w:multiLevelType w:val="hybridMultilevel"/>
    <w:tmpl w:val="EDCE8784"/>
    <w:lvl w:ilvl="0" w:tplc="6D8ACDDA">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60340A12">
      <w:start w:val="1"/>
      <w:numFmt w:val="lowerLetter"/>
      <w:lvlText w:val="(%5)"/>
      <w:lvlJc w:val="left"/>
      <w:pPr>
        <w:ind w:left="36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3C13CCF"/>
    <w:multiLevelType w:val="hybridMultilevel"/>
    <w:tmpl w:val="7C146F12"/>
    <w:lvl w:ilvl="0" w:tplc="0C090001">
      <w:start w:val="1"/>
      <w:numFmt w:val="bullet"/>
      <w:lvlText w:val=""/>
      <w:lvlJc w:val="left"/>
      <w:pPr>
        <w:ind w:left="720" w:hanging="360"/>
      </w:pPr>
      <w:rPr>
        <w:rFonts w:ascii="Symbol" w:hAnsi="Symbol" w:hint="default"/>
      </w:rPr>
    </w:lvl>
    <w:lvl w:ilvl="1" w:tplc="67E4F5B8">
      <w:start w:val="1"/>
      <w:numFmt w:val="lowerLetter"/>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D10F79"/>
    <w:multiLevelType w:val="hybridMultilevel"/>
    <w:tmpl w:val="96CCA424"/>
    <w:lvl w:ilvl="0" w:tplc="EA9E3568">
      <w:start w:val="9"/>
      <w:numFmt w:val="decimal"/>
      <w:lvlText w:val="%1."/>
      <w:lvlJc w:val="left"/>
      <w:pPr>
        <w:ind w:left="360" w:hanging="360"/>
      </w:pPr>
      <w:rPr>
        <w:rFonts w:ascii="Arial" w:hAnsi="Arial" w:cs="Arial" w:hint="default"/>
        <w:i w:val="0"/>
        <w:color w:val="auto"/>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8723D06"/>
    <w:multiLevelType w:val="hybridMultilevel"/>
    <w:tmpl w:val="5622CF6C"/>
    <w:lvl w:ilvl="0" w:tplc="A4F83D6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3A7C775F"/>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57" w15:restartNumberingAfterBreak="0">
    <w:nsid w:val="3B2E19AC"/>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58" w15:restartNumberingAfterBreak="0">
    <w:nsid w:val="3B3B05B9"/>
    <w:multiLevelType w:val="hybridMultilevel"/>
    <w:tmpl w:val="947CF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B5C7A44"/>
    <w:multiLevelType w:val="multilevel"/>
    <w:tmpl w:val="0C9E7E38"/>
    <w:lvl w:ilvl="0">
      <w:start w:val="1"/>
      <w:numFmt w:val="bullet"/>
      <w:lvlText w:val=""/>
      <w:lvlJc w:val="left"/>
      <w:pPr>
        <w:tabs>
          <w:tab w:val="num" w:pos="283"/>
        </w:tabs>
        <w:ind w:left="283" w:hanging="283"/>
      </w:pPr>
      <w:rPr>
        <w:rFonts w:ascii="Symbol" w:hAnsi="Symbol" w:hint="default"/>
        <w:b w:val="0"/>
        <w:i w:val="0"/>
        <w:color w:val="auto"/>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0" w15:restartNumberingAfterBreak="0">
    <w:nsid w:val="3CAD0982"/>
    <w:multiLevelType w:val="hybridMultilevel"/>
    <w:tmpl w:val="2786A7C0"/>
    <w:lvl w:ilvl="0" w:tplc="58C2646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3D5D69A2"/>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62" w15:restartNumberingAfterBreak="0">
    <w:nsid w:val="3D9E2769"/>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63" w15:restartNumberingAfterBreak="0">
    <w:nsid w:val="3E580272"/>
    <w:multiLevelType w:val="hybridMultilevel"/>
    <w:tmpl w:val="DB26F00C"/>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3F4B5F6D"/>
    <w:multiLevelType w:val="hybridMultilevel"/>
    <w:tmpl w:val="257A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10347F1"/>
    <w:multiLevelType w:val="hybridMultilevel"/>
    <w:tmpl w:val="8D5C8108"/>
    <w:lvl w:ilvl="0" w:tplc="7B60A404">
      <w:start w:val="1"/>
      <w:numFmt w:val="lowerLetter"/>
      <w:lvlText w:val="(%1)"/>
      <w:lvlJc w:val="left"/>
      <w:pPr>
        <w:ind w:left="360" w:hanging="360"/>
      </w:pPr>
      <w:rPr>
        <w:rFonts w:ascii="Arial" w:eastAsia="Times New Roman" w:hAnsi="Arial" w:cs="Arial" w:hint="default"/>
        <w:b w:val="0"/>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42725108"/>
    <w:multiLevelType w:val="hybridMultilevel"/>
    <w:tmpl w:val="F26A70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7" w15:restartNumberingAfterBreak="0">
    <w:nsid w:val="432A573A"/>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68"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69" w15:restartNumberingAfterBreak="0">
    <w:nsid w:val="470C6179"/>
    <w:multiLevelType w:val="hybridMultilevel"/>
    <w:tmpl w:val="61743D86"/>
    <w:lvl w:ilvl="0" w:tplc="4DF89BE4">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47DF6D96"/>
    <w:multiLevelType w:val="hybridMultilevel"/>
    <w:tmpl w:val="CE2022B0"/>
    <w:lvl w:ilvl="0" w:tplc="60340A1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49643588"/>
    <w:multiLevelType w:val="hybridMultilevel"/>
    <w:tmpl w:val="B0B0F6C0"/>
    <w:lvl w:ilvl="0" w:tplc="D3782D76">
      <w:start w:val="8"/>
      <w:numFmt w:val="decimal"/>
      <w:lvlText w:val="%1."/>
      <w:lvlJc w:val="left"/>
      <w:pPr>
        <w:ind w:left="360" w:hanging="360"/>
      </w:pPr>
      <w:rPr>
        <w:rFonts w:ascii="Arial" w:hAnsi="Arial" w:cs="Arial" w:hint="default"/>
        <w:i w:val="0"/>
        <w:color w:val="auto"/>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A5550C6"/>
    <w:multiLevelType w:val="hybridMultilevel"/>
    <w:tmpl w:val="944CB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B0C522A"/>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74" w15:restartNumberingAfterBreak="0">
    <w:nsid w:val="4B30327A"/>
    <w:multiLevelType w:val="multilevel"/>
    <w:tmpl w:val="12BC301A"/>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5" w15:restartNumberingAfterBreak="0">
    <w:nsid w:val="4B3B5516"/>
    <w:multiLevelType w:val="hybridMultilevel"/>
    <w:tmpl w:val="C7AA7AF4"/>
    <w:lvl w:ilvl="0" w:tplc="723CD520">
      <w:start w:val="1"/>
      <w:numFmt w:val="decimal"/>
      <w:lvlText w:val="%1."/>
      <w:lvlJc w:val="left"/>
      <w:pPr>
        <w:ind w:left="360" w:hanging="360"/>
      </w:pPr>
      <w:rPr>
        <w:rFonts w:cs="Arial"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4BEE3DF6"/>
    <w:multiLevelType w:val="hybridMultilevel"/>
    <w:tmpl w:val="493AB3A4"/>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4C1508C7"/>
    <w:multiLevelType w:val="multilevel"/>
    <w:tmpl w:val="9384B414"/>
    <w:lvl w:ilvl="0">
      <w:start w:val="1"/>
      <w:numFmt w:val="decimal"/>
      <w:lvlText w:val="%1."/>
      <w:lvlJc w:val="left"/>
      <w:pPr>
        <w:ind w:left="389" w:hanging="360"/>
      </w:pPr>
      <w:rPr>
        <w:color w:val="auto"/>
      </w:rPr>
    </w:lvl>
    <w:lvl w:ilvl="1">
      <w:start w:val="1"/>
      <w:numFmt w:val="decimal"/>
      <w:isLgl/>
      <w:lvlText w:val="%1.%2"/>
      <w:lvlJc w:val="left"/>
      <w:pPr>
        <w:ind w:left="734" w:hanging="705"/>
      </w:pPr>
      <w:rPr>
        <w:rFonts w:hint="default"/>
      </w:rPr>
    </w:lvl>
    <w:lvl w:ilvl="2">
      <w:start w:val="1"/>
      <w:numFmt w:val="decimal"/>
      <w:isLgl/>
      <w:lvlText w:val="%1.%2.%3"/>
      <w:lvlJc w:val="left"/>
      <w:pPr>
        <w:ind w:left="749" w:hanging="720"/>
      </w:pPr>
      <w:rPr>
        <w:rFonts w:ascii="Arial" w:hAnsi="Arial" w:cs="Arial" w:hint="default"/>
        <w:b/>
        <w:bCs/>
        <w:sz w:val="20"/>
        <w:szCs w:val="20"/>
      </w:rPr>
    </w:lvl>
    <w:lvl w:ilvl="3">
      <w:start w:val="1"/>
      <w:numFmt w:val="decimal"/>
      <w:isLgl/>
      <w:lvlText w:val="%1.%2.%3.%4"/>
      <w:lvlJc w:val="left"/>
      <w:pPr>
        <w:ind w:left="749" w:hanging="720"/>
      </w:pPr>
      <w:rPr>
        <w:rFonts w:hint="default"/>
      </w:rPr>
    </w:lvl>
    <w:lvl w:ilvl="4">
      <w:start w:val="1"/>
      <w:numFmt w:val="decimal"/>
      <w:isLgl/>
      <w:lvlText w:val="%1.%2.%3.%4.%5"/>
      <w:lvlJc w:val="left"/>
      <w:pPr>
        <w:ind w:left="1109" w:hanging="1080"/>
      </w:pPr>
      <w:rPr>
        <w:rFonts w:hint="default"/>
      </w:rPr>
    </w:lvl>
    <w:lvl w:ilvl="5">
      <w:start w:val="1"/>
      <w:numFmt w:val="decimal"/>
      <w:isLgl/>
      <w:lvlText w:val="%1.%2.%3.%4.%5.%6"/>
      <w:lvlJc w:val="left"/>
      <w:pPr>
        <w:ind w:left="1109" w:hanging="108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78" w15:restartNumberingAfterBreak="0">
    <w:nsid w:val="501456C0"/>
    <w:multiLevelType w:val="hybridMultilevel"/>
    <w:tmpl w:val="D29C20DE"/>
    <w:lvl w:ilvl="0" w:tplc="60340A1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507D138E"/>
    <w:multiLevelType w:val="singleLevel"/>
    <w:tmpl w:val="07664886"/>
    <w:lvl w:ilvl="0">
      <w:start w:val="1"/>
      <w:numFmt w:val="lowerLetter"/>
      <w:lvlRestart w:val="0"/>
      <w:lvlText w:val="(%1)"/>
      <w:lvlJc w:val="left"/>
      <w:pPr>
        <w:tabs>
          <w:tab w:val="num" w:pos="284"/>
        </w:tabs>
        <w:ind w:left="284" w:hanging="284"/>
      </w:pPr>
      <w:rPr>
        <w:rFonts w:ascii="Arial" w:hAnsi="Arial" w:cs="Arial"/>
        <w:b w:val="0"/>
        <w:i w:val="0"/>
        <w:color w:val="000000"/>
        <w:sz w:val="16"/>
      </w:rPr>
    </w:lvl>
  </w:abstractNum>
  <w:abstractNum w:abstractNumId="80" w15:restartNumberingAfterBreak="0">
    <w:nsid w:val="526F241C"/>
    <w:multiLevelType w:val="hybridMultilevel"/>
    <w:tmpl w:val="A24CA6E2"/>
    <w:lvl w:ilvl="0" w:tplc="C7C0BE74">
      <w:start w:val="1"/>
      <w:numFmt w:val="lowerLetter"/>
      <w:lvlText w:val="(%1)"/>
      <w:lvlJc w:val="left"/>
      <w:pPr>
        <w:ind w:left="928" w:hanging="360"/>
      </w:pPr>
      <w:rPr>
        <w:rFonts w:hint="default"/>
        <w:i w:val="0"/>
        <w:color w:val="auto"/>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81" w15:restartNumberingAfterBreak="0">
    <w:nsid w:val="539C49A1"/>
    <w:multiLevelType w:val="hybridMultilevel"/>
    <w:tmpl w:val="C7EC5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493434B"/>
    <w:multiLevelType w:val="singleLevel"/>
    <w:tmpl w:val="07664886"/>
    <w:lvl w:ilvl="0">
      <w:start w:val="1"/>
      <w:numFmt w:val="lowerLetter"/>
      <w:lvlRestart w:val="0"/>
      <w:lvlText w:val="(%1)"/>
      <w:lvlJc w:val="left"/>
      <w:pPr>
        <w:tabs>
          <w:tab w:val="num" w:pos="284"/>
        </w:tabs>
        <w:ind w:left="284" w:hanging="284"/>
      </w:pPr>
      <w:rPr>
        <w:rFonts w:ascii="Arial" w:hAnsi="Arial" w:cs="Arial"/>
        <w:b w:val="0"/>
        <w:i w:val="0"/>
        <w:color w:val="000000"/>
        <w:sz w:val="16"/>
      </w:rPr>
    </w:lvl>
  </w:abstractNum>
  <w:abstractNum w:abstractNumId="83" w15:restartNumberingAfterBreak="0">
    <w:nsid w:val="55403748"/>
    <w:multiLevelType w:val="singleLevel"/>
    <w:tmpl w:val="07664886"/>
    <w:lvl w:ilvl="0">
      <w:start w:val="1"/>
      <w:numFmt w:val="lowerLetter"/>
      <w:lvlRestart w:val="0"/>
      <w:lvlText w:val="(%1)"/>
      <w:lvlJc w:val="left"/>
      <w:pPr>
        <w:tabs>
          <w:tab w:val="num" w:pos="284"/>
        </w:tabs>
        <w:ind w:left="284" w:hanging="284"/>
      </w:pPr>
      <w:rPr>
        <w:rFonts w:ascii="Arial" w:hAnsi="Arial" w:cs="Arial"/>
        <w:b w:val="0"/>
        <w:i w:val="0"/>
        <w:color w:val="000000"/>
        <w:sz w:val="16"/>
      </w:rPr>
    </w:lvl>
  </w:abstractNum>
  <w:abstractNum w:abstractNumId="84" w15:restartNumberingAfterBreak="0">
    <w:nsid w:val="58101827"/>
    <w:multiLevelType w:val="multilevel"/>
    <w:tmpl w:val="F5D23E8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360"/>
        </w:tabs>
        <w:ind w:left="360" w:hanging="360"/>
      </w:pPr>
      <w:rPr>
        <w:b w:val="0"/>
        <w:i w:val="0"/>
        <w:sz w:val="16"/>
        <w:szCs w:val="16"/>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5" w15:restartNumberingAfterBreak="0">
    <w:nsid w:val="5A18120B"/>
    <w:multiLevelType w:val="hybridMultilevel"/>
    <w:tmpl w:val="D9EA61A2"/>
    <w:lvl w:ilvl="0" w:tplc="2CA64894">
      <w:start w:val="10"/>
      <w:numFmt w:val="decimal"/>
      <w:lvlText w:val="%1."/>
      <w:lvlJc w:val="left"/>
      <w:pPr>
        <w:ind w:left="36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A3B4CE1"/>
    <w:multiLevelType w:val="hybridMultilevel"/>
    <w:tmpl w:val="31700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AE55E81"/>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88" w15:restartNumberingAfterBreak="0">
    <w:nsid w:val="5AE8307A"/>
    <w:multiLevelType w:val="hybridMultilevel"/>
    <w:tmpl w:val="F322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B1D3378"/>
    <w:multiLevelType w:val="hybridMultilevel"/>
    <w:tmpl w:val="5EA09760"/>
    <w:lvl w:ilvl="0" w:tplc="A7FC0D96">
      <w:start w:val="1"/>
      <w:numFmt w:val="bullet"/>
      <w:pStyle w:val="Bulleted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B4C2B94"/>
    <w:multiLevelType w:val="hybridMultilevel"/>
    <w:tmpl w:val="B64022D4"/>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B836715"/>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92" w15:restartNumberingAfterBreak="0">
    <w:nsid w:val="5E8024E3"/>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93" w15:restartNumberingAfterBreak="0">
    <w:nsid w:val="5EDD00B8"/>
    <w:multiLevelType w:val="hybridMultilevel"/>
    <w:tmpl w:val="B10EEC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4" w15:restartNumberingAfterBreak="0">
    <w:nsid w:val="5F965AE4"/>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95" w15:restartNumberingAfterBreak="0">
    <w:nsid w:val="5FB037F9"/>
    <w:multiLevelType w:val="hybridMultilevel"/>
    <w:tmpl w:val="0C28C886"/>
    <w:lvl w:ilvl="0" w:tplc="723CD520">
      <w:start w:val="1"/>
      <w:numFmt w:val="decimal"/>
      <w:lvlText w:val="%1."/>
      <w:lvlJc w:val="left"/>
      <w:pPr>
        <w:ind w:left="360" w:hanging="360"/>
      </w:pPr>
      <w:rPr>
        <w:rFonts w:cs="Arial"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602A7FFC"/>
    <w:multiLevelType w:val="hybridMultilevel"/>
    <w:tmpl w:val="7D8CD688"/>
    <w:lvl w:ilvl="0" w:tplc="BA32C924">
      <w:numFmt w:val="bullet"/>
      <w:lvlText w:val=""/>
      <w:lvlJc w:val="left"/>
      <w:pPr>
        <w:ind w:left="467" w:hanging="360"/>
      </w:pPr>
      <w:rPr>
        <w:rFonts w:ascii="Symbol" w:eastAsia="Symbol" w:hAnsi="Symbol" w:cs="Symbol" w:hint="default"/>
        <w:color w:val="231F20"/>
        <w:w w:val="99"/>
        <w:sz w:val="16"/>
        <w:szCs w:val="16"/>
      </w:rPr>
    </w:lvl>
    <w:lvl w:ilvl="1" w:tplc="200A7196">
      <w:numFmt w:val="bullet"/>
      <w:lvlText w:val="•"/>
      <w:lvlJc w:val="left"/>
      <w:pPr>
        <w:ind w:left="1016" w:hanging="360"/>
      </w:pPr>
      <w:rPr>
        <w:rFonts w:hint="default"/>
      </w:rPr>
    </w:lvl>
    <w:lvl w:ilvl="2" w:tplc="E1CAC856">
      <w:numFmt w:val="bullet"/>
      <w:lvlText w:val="•"/>
      <w:lvlJc w:val="left"/>
      <w:pPr>
        <w:ind w:left="1573" w:hanging="360"/>
      </w:pPr>
      <w:rPr>
        <w:rFonts w:hint="default"/>
      </w:rPr>
    </w:lvl>
    <w:lvl w:ilvl="3" w:tplc="44F27320">
      <w:numFmt w:val="bullet"/>
      <w:lvlText w:val="•"/>
      <w:lvlJc w:val="left"/>
      <w:pPr>
        <w:ind w:left="2130" w:hanging="360"/>
      </w:pPr>
      <w:rPr>
        <w:rFonts w:hint="default"/>
      </w:rPr>
    </w:lvl>
    <w:lvl w:ilvl="4" w:tplc="22429FBE">
      <w:numFmt w:val="bullet"/>
      <w:lvlText w:val="•"/>
      <w:lvlJc w:val="left"/>
      <w:pPr>
        <w:ind w:left="2687" w:hanging="360"/>
      </w:pPr>
      <w:rPr>
        <w:rFonts w:hint="default"/>
      </w:rPr>
    </w:lvl>
    <w:lvl w:ilvl="5" w:tplc="BCDCD784">
      <w:numFmt w:val="bullet"/>
      <w:lvlText w:val="•"/>
      <w:lvlJc w:val="left"/>
      <w:pPr>
        <w:ind w:left="3244" w:hanging="360"/>
      </w:pPr>
      <w:rPr>
        <w:rFonts w:hint="default"/>
      </w:rPr>
    </w:lvl>
    <w:lvl w:ilvl="6" w:tplc="96BE9A66">
      <w:numFmt w:val="bullet"/>
      <w:lvlText w:val="•"/>
      <w:lvlJc w:val="left"/>
      <w:pPr>
        <w:ind w:left="3800" w:hanging="360"/>
      </w:pPr>
      <w:rPr>
        <w:rFonts w:hint="default"/>
      </w:rPr>
    </w:lvl>
    <w:lvl w:ilvl="7" w:tplc="C4F21FAA">
      <w:numFmt w:val="bullet"/>
      <w:lvlText w:val="•"/>
      <w:lvlJc w:val="left"/>
      <w:pPr>
        <w:ind w:left="4357" w:hanging="360"/>
      </w:pPr>
      <w:rPr>
        <w:rFonts w:hint="default"/>
      </w:rPr>
    </w:lvl>
    <w:lvl w:ilvl="8" w:tplc="234EC16C">
      <w:numFmt w:val="bullet"/>
      <w:lvlText w:val="•"/>
      <w:lvlJc w:val="left"/>
      <w:pPr>
        <w:ind w:left="4914" w:hanging="360"/>
      </w:pPr>
      <w:rPr>
        <w:rFonts w:hint="default"/>
      </w:rPr>
    </w:lvl>
  </w:abstractNum>
  <w:abstractNum w:abstractNumId="97" w15:restartNumberingAfterBreak="0">
    <w:nsid w:val="60A27262"/>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98" w15:restartNumberingAfterBreak="0">
    <w:nsid w:val="61AD6841"/>
    <w:multiLevelType w:val="hybridMultilevel"/>
    <w:tmpl w:val="BDD87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1D7515B"/>
    <w:multiLevelType w:val="hybridMultilevel"/>
    <w:tmpl w:val="95D6C658"/>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621F190B"/>
    <w:multiLevelType w:val="hybridMultilevel"/>
    <w:tmpl w:val="0840CC14"/>
    <w:lvl w:ilvl="0" w:tplc="21CE29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648E7166"/>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102" w15:restartNumberingAfterBreak="0">
    <w:nsid w:val="64BF4F6D"/>
    <w:multiLevelType w:val="hybridMultilevel"/>
    <w:tmpl w:val="A39C0DF0"/>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03" w15:restartNumberingAfterBreak="0">
    <w:nsid w:val="65832FA7"/>
    <w:multiLevelType w:val="hybridMultilevel"/>
    <w:tmpl w:val="B19C3C62"/>
    <w:lvl w:ilvl="0" w:tplc="6AA476A6">
      <w:start w:val="15"/>
      <w:numFmt w:val="decimal"/>
      <w:lvlText w:val="%1."/>
      <w:lvlJc w:val="left"/>
      <w:pPr>
        <w:ind w:left="360" w:hanging="360"/>
      </w:pPr>
      <w:rPr>
        <w:rFonts w:hint="default"/>
        <w:i w:val="0"/>
        <w:color w:val="auto"/>
      </w:rPr>
    </w:lvl>
    <w:lvl w:ilvl="1" w:tplc="21CE29D2">
      <w:start w:val="1"/>
      <w:numFmt w:val="lowerLetter"/>
      <w:lvlText w:val="(%2)"/>
      <w:lvlJc w:val="left"/>
      <w:pPr>
        <w:ind w:left="36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69C3B2B"/>
    <w:multiLevelType w:val="hybridMultilevel"/>
    <w:tmpl w:val="F732C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671A1F4D"/>
    <w:multiLevelType w:val="multilevel"/>
    <w:tmpl w:val="12BC301A"/>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06" w15:restartNumberingAfterBreak="0">
    <w:nsid w:val="676E4505"/>
    <w:multiLevelType w:val="hybridMultilevel"/>
    <w:tmpl w:val="03D8CA04"/>
    <w:lvl w:ilvl="0" w:tplc="C81C7D56">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8" w15:restartNumberingAfterBreak="0">
    <w:nsid w:val="6A54553F"/>
    <w:multiLevelType w:val="hybridMultilevel"/>
    <w:tmpl w:val="A08451F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6BF8543F"/>
    <w:multiLevelType w:val="hybridMultilevel"/>
    <w:tmpl w:val="5FF6BFC2"/>
    <w:lvl w:ilvl="0" w:tplc="03F07376">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C7C1694"/>
    <w:multiLevelType w:val="hybridMultilevel"/>
    <w:tmpl w:val="DEAAD98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D1F7E16"/>
    <w:multiLevelType w:val="hybridMultilevel"/>
    <w:tmpl w:val="B0C619A2"/>
    <w:lvl w:ilvl="0" w:tplc="AD82DAC8">
      <w:start w:val="1"/>
      <w:numFmt w:val="decimal"/>
      <w:lvlText w:val="%1."/>
      <w:lvlJc w:val="left"/>
      <w:pPr>
        <w:ind w:left="360" w:hanging="360"/>
      </w:pPr>
      <w:rPr>
        <w:rFonts w:cs="Arial" w:hint="default"/>
        <w:b w:val="0"/>
        <w:i w:val="0"/>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6E336047"/>
    <w:multiLevelType w:val="hybridMultilevel"/>
    <w:tmpl w:val="E52414EA"/>
    <w:lvl w:ilvl="0" w:tplc="D84C53B6">
      <w:start w:val="1"/>
      <w:numFmt w:val="bullet"/>
      <w:lvlText w:val=""/>
      <w:lvlJc w:val="left"/>
      <w:pPr>
        <w:ind w:left="360" w:hanging="360"/>
      </w:pPr>
      <w:rPr>
        <w:rFonts w:ascii="Symbol" w:hAnsi="Symbol" w:hint="default"/>
        <w:color w:val="000000" w:themeColor="text1"/>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F085215"/>
    <w:multiLevelType w:val="multilevel"/>
    <w:tmpl w:val="6B16A960"/>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0176259"/>
    <w:multiLevelType w:val="hybridMultilevel"/>
    <w:tmpl w:val="56626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16744D6"/>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116" w15:restartNumberingAfterBreak="0">
    <w:nsid w:val="722704C1"/>
    <w:multiLevelType w:val="hybridMultilevel"/>
    <w:tmpl w:val="4066F0E2"/>
    <w:lvl w:ilvl="0" w:tplc="AA6EBF16">
      <w:start w:val="1"/>
      <w:numFmt w:val="decimal"/>
      <w:lvlText w:val="%1."/>
      <w:lvlJc w:val="left"/>
      <w:pPr>
        <w:ind w:left="720" w:hanging="360"/>
      </w:pPr>
    </w:lvl>
    <w:lvl w:ilvl="1" w:tplc="33DCD07A">
      <w:start w:val="1"/>
      <w:numFmt w:val="lowerLetter"/>
      <w:lvlText w:val="%2."/>
      <w:lvlJc w:val="left"/>
      <w:pPr>
        <w:ind w:left="1440" w:hanging="360"/>
      </w:pPr>
    </w:lvl>
    <w:lvl w:ilvl="2" w:tplc="78B419EA">
      <w:start w:val="1"/>
      <w:numFmt w:val="lowerRoman"/>
      <w:lvlText w:val="%3."/>
      <w:lvlJc w:val="right"/>
      <w:pPr>
        <w:ind w:left="2160" w:hanging="180"/>
      </w:pPr>
    </w:lvl>
    <w:lvl w:ilvl="3" w:tplc="A47A844A">
      <w:start w:val="1"/>
      <w:numFmt w:val="decimal"/>
      <w:lvlText w:val="%4."/>
      <w:lvlJc w:val="left"/>
      <w:pPr>
        <w:ind w:left="2880" w:hanging="360"/>
      </w:pPr>
    </w:lvl>
    <w:lvl w:ilvl="4" w:tplc="69C64570">
      <w:start w:val="1"/>
      <w:numFmt w:val="lowerLetter"/>
      <w:lvlText w:val="%5."/>
      <w:lvlJc w:val="left"/>
      <w:pPr>
        <w:ind w:left="3600" w:hanging="360"/>
      </w:pPr>
    </w:lvl>
    <w:lvl w:ilvl="5" w:tplc="55C85F5E">
      <w:start w:val="1"/>
      <w:numFmt w:val="lowerRoman"/>
      <w:lvlText w:val="%6."/>
      <w:lvlJc w:val="right"/>
      <w:pPr>
        <w:ind w:left="4320" w:hanging="180"/>
      </w:pPr>
    </w:lvl>
    <w:lvl w:ilvl="6" w:tplc="F5FA3BCC">
      <w:start w:val="1"/>
      <w:numFmt w:val="decimal"/>
      <w:lvlText w:val="%7."/>
      <w:lvlJc w:val="left"/>
      <w:pPr>
        <w:ind w:left="5040" w:hanging="360"/>
      </w:pPr>
    </w:lvl>
    <w:lvl w:ilvl="7" w:tplc="4D449C90">
      <w:start w:val="1"/>
      <w:numFmt w:val="lowerLetter"/>
      <w:lvlText w:val="%8."/>
      <w:lvlJc w:val="left"/>
      <w:pPr>
        <w:ind w:left="5760" w:hanging="360"/>
      </w:pPr>
    </w:lvl>
    <w:lvl w:ilvl="8" w:tplc="C3FC5150">
      <w:start w:val="1"/>
      <w:numFmt w:val="lowerRoman"/>
      <w:lvlText w:val="%9."/>
      <w:lvlJc w:val="right"/>
      <w:pPr>
        <w:ind w:left="6480" w:hanging="180"/>
      </w:pPr>
    </w:lvl>
  </w:abstractNum>
  <w:abstractNum w:abstractNumId="117" w15:restartNumberingAfterBreak="0">
    <w:nsid w:val="723E082E"/>
    <w:multiLevelType w:val="hybridMultilevel"/>
    <w:tmpl w:val="0936C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4AE143E"/>
    <w:multiLevelType w:val="hybridMultilevel"/>
    <w:tmpl w:val="FECEF3B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74CD2EB1"/>
    <w:multiLevelType w:val="multilevel"/>
    <w:tmpl w:val="E7A8D006"/>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auto"/>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0" w15:restartNumberingAfterBreak="0">
    <w:nsid w:val="756749ED"/>
    <w:multiLevelType w:val="hybridMultilevel"/>
    <w:tmpl w:val="797C1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75870624"/>
    <w:multiLevelType w:val="hybridMultilevel"/>
    <w:tmpl w:val="E5908A80"/>
    <w:lvl w:ilvl="0" w:tplc="BCA497E0">
      <w:start w:val="1"/>
      <w:numFmt w:val="decimal"/>
      <w:lvlText w:val="%1."/>
      <w:lvlJc w:val="left"/>
      <w:pPr>
        <w:ind w:left="360" w:hanging="360"/>
      </w:pPr>
      <w:rPr>
        <w:rFonts w:cs="Arial" w:hint="default"/>
        <w:i w:val="0"/>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75B20E6B"/>
    <w:multiLevelType w:val="hybridMultilevel"/>
    <w:tmpl w:val="A704D4C8"/>
    <w:lvl w:ilvl="0" w:tplc="8910D090">
      <w:start w:val="1"/>
      <w:numFmt w:val="lowerLetter"/>
      <w:lvlText w:val="(%1)"/>
      <w:lvlJc w:val="left"/>
      <w:pPr>
        <w:ind w:left="36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6480097"/>
    <w:multiLevelType w:val="hybridMultilevel"/>
    <w:tmpl w:val="9CF844B8"/>
    <w:lvl w:ilvl="0" w:tplc="DD6AC44A">
      <w:numFmt w:val="bullet"/>
      <w:lvlText w:val=""/>
      <w:lvlJc w:val="left"/>
      <w:pPr>
        <w:ind w:left="983" w:hanging="568"/>
      </w:pPr>
      <w:rPr>
        <w:rFonts w:ascii="Symbol" w:eastAsia="Symbol" w:hAnsi="Symbol" w:cs="Symbol" w:hint="default"/>
        <w:color w:val="231F20"/>
        <w:w w:val="100"/>
        <w:sz w:val="20"/>
        <w:szCs w:val="20"/>
      </w:rPr>
    </w:lvl>
    <w:lvl w:ilvl="1" w:tplc="DB56F7A4">
      <w:numFmt w:val="bullet"/>
      <w:lvlText w:val="o"/>
      <w:lvlJc w:val="left"/>
      <w:pPr>
        <w:ind w:left="1496" w:hanging="360"/>
      </w:pPr>
      <w:rPr>
        <w:rFonts w:ascii="Courier New" w:eastAsia="Courier New" w:hAnsi="Courier New" w:cs="Courier New" w:hint="default"/>
        <w:color w:val="231F20"/>
        <w:w w:val="100"/>
        <w:sz w:val="20"/>
        <w:szCs w:val="20"/>
      </w:rPr>
    </w:lvl>
    <w:lvl w:ilvl="2" w:tplc="069268BC">
      <w:numFmt w:val="bullet"/>
      <w:lvlText w:val="•"/>
      <w:lvlJc w:val="left"/>
      <w:pPr>
        <w:ind w:left="2282" w:hanging="360"/>
      </w:pPr>
      <w:rPr>
        <w:rFonts w:hint="default"/>
      </w:rPr>
    </w:lvl>
    <w:lvl w:ilvl="3" w:tplc="7088B2F0">
      <w:numFmt w:val="bullet"/>
      <w:lvlText w:val="•"/>
      <w:lvlJc w:val="left"/>
      <w:pPr>
        <w:ind w:left="3065" w:hanging="360"/>
      </w:pPr>
      <w:rPr>
        <w:rFonts w:hint="default"/>
      </w:rPr>
    </w:lvl>
    <w:lvl w:ilvl="4" w:tplc="55F2A5F6">
      <w:numFmt w:val="bullet"/>
      <w:lvlText w:val="•"/>
      <w:lvlJc w:val="left"/>
      <w:pPr>
        <w:ind w:left="3848" w:hanging="360"/>
      </w:pPr>
      <w:rPr>
        <w:rFonts w:hint="default"/>
      </w:rPr>
    </w:lvl>
    <w:lvl w:ilvl="5" w:tplc="7E829F2C">
      <w:numFmt w:val="bullet"/>
      <w:lvlText w:val="•"/>
      <w:lvlJc w:val="left"/>
      <w:pPr>
        <w:ind w:left="4630" w:hanging="360"/>
      </w:pPr>
      <w:rPr>
        <w:rFonts w:hint="default"/>
      </w:rPr>
    </w:lvl>
    <w:lvl w:ilvl="6" w:tplc="ECA6607A">
      <w:numFmt w:val="bullet"/>
      <w:lvlText w:val="•"/>
      <w:lvlJc w:val="left"/>
      <w:pPr>
        <w:ind w:left="5413" w:hanging="360"/>
      </w:pPr>
      <w:rPr>
        <w:rFonts w:hint="default"/>
      </w:rPr>
    </w:lvl>
    <w:lvl w:ilvl="7" w:tplc="98183DC4">
      <w:numFmt w:val="bullet"/>
      <w:lvlText w:val="•"/>
      <w:lvlJc w:val="left"/>
      <w:pPr>
        <w:ind w:left="6196" w:hanging="360"/>
      </w:pPr>
      <w:rPr>
        <w:rFonts w:hint="default"/>
      </w:rPr>
    </w:lvl>
    <w:lvl w:ilvl="8" w:tplc="EABE3C38">
      <w:numFmt w:val="bullet"/>
      <w:lvlText w:val="•"/>
      <w:lvlJc w:val="left"/>
      <w:pPr>
        <w:ind w:left="6978" w:hanging="360"/>
      </w:pPr>
      <w:rPr>
        <w:rFonts w:hint="default"/>
      </w:rPr>
    </w:lvl>
  </w:abstractNum>
  <w:abstractNum w:abstractNumId="124" w15:restartNumberingAfterBreak="0">
    <w:nsid w:val="7740256D"/>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125" w15:restartNumberingAfterBreak="0">
    <w:nsid w:val="784B2022"/>
    <w:multiLevelType w:val="hybridMultilevel"/>
    <w:tmpl w:val="CC849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869254B"/>
    <w:multiLevelType w:val="hybridMultilevel"/>
    <w:tmpl w:val="D4B81016"/>
    <w:lvl w:ilvl="0" w:tplc="1DB891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79266DF8"/>
    <w:multiLevelType w:val="singleLevel"/>
    <w:tmpl w:val="6D8ACDDA"/>
    <w:lvl w:ilvl="0">
      <w:start w:val="1"/>
      <w:numFmt w:val="lowerLetter"/>
      <w:lvlText w:val="(%1)"/>
      <w:lvlJc w:val="left"/>
      <w:pPr>
        <w:ind w:left="360" w:hanging="360"/>
      </w:pPr>
      <w:rPr>
        <w:rFonts w:ascii="Arial" w:eastAsia="Times New Roman" w:hAnsi="Arial" w:cs="Times New Roman" w:hint="default"/>
        <w:b w:val="0"/>
        <w:i w:val="0"/>
        <w:color w:val="000000"/>
        <w:sz w:val="16"/>
      </w:rPr>
    </w:lvl>
  </w:abstractNum>
  <w:abstractNum w:abstractNumId="128" w15:restartNumberingAfterBreak="0">
    <w:nsid w:val="79881FA6"/>
    <w:multiLevelType w:val="hybridMultilevel"/>
    <w:tmpl w:val="91D8B4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A207E98"/>
    <w:multiLevelType w:val="singleLevel"/>
    <w:tmpl w:val="0C090001"/>
    <w:lvl w:ilvl="0">
      <w:start w:val="1"/>
      <w:numFmt w:val="bullet"/>
      <w:lvlText w:val=""/>
      <w:lvlJc w:val="left"/>
      <w:pPr>
        <w:ind w:left="360" w:hanging="360"/>
      </w:pPr>
      <w:rPr>
        <w:rFonts w:ascii="Symbol" w:hAnsi="Symbol" w:hint="default"/>
        <w:b w:val="0"/>
        <w:i w:val="0"/>
        <w:color w:val="000000"/>
        <w:sz w:val="16"/>
      </w:rPr>
    </w:lvl>
  </w:abstractNum>
  <w:abstractNum w:abstractNumId="130" w15:restartNumberingAfterBreak="0">
    <w:nsid w:val="7ABF4DA5"/>
    <w:multiLevelType w:val="hybridMultilevel"/>
    <w:tmpl w:val="13D64BC8"/>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7B9B4B67"/>
    <w:multiLevelType w:val="hybridMultilevel"/>
    <w:tmpl w:val="A3FA56F4"/>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2" w15:restartNumberingAfterBreak="0">
    <w:nsid w:val="7BAE12E7"/>
    <w:multiLevelType w:val="hybridMultilevel"/>
    <w:tmpl w:val="D1D80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BE72C78"/>
    <w:multiLevelType w:val="hybridMultilevel"/>
    <w:tmpl w:val="65C2284C"/>
    <w:lvl w:ilvl="0" w:tplc="53763F1C">
      <w:numFmt w:val="bullet"/>
      <w:lvlText w:val=""/>
      <w:lvlJc w:val="left"/>
      <w:pPr>
        <w:ind w:left="827" w:hanging="350"/>
      </w:pPr>
      <w:rPr>
        <w:rFonts w:ascii="Symbol" w:eastAsia="Symbol" w:hAnsi="Symbol" w:cs="Symbol" w:hint="default"/>
        <w:color w:val="231F20"/>
        <w:w w:val="99"/>
        <w:sz w:val="16"/>
        <w:szCs w:val="16"/>
      </w:rPr>
    </w:lvl>
    <w:lvl w:ilvl="1" w:tplc="9DAE8D48">
      <w:numFmt w:val="bullet"/>
      <w:lvlText w:val="•"/>
      <w:lvlJc w:val="left"/>
      <w:pPr>
        <w:ind w:left="1510" w:hanging="350"/>
      </w:pPr>
      <w:rPr>
        <w:rFonts w:hint="default"/>
      </w:rPr>
    </w:lvl>
    <w:lvl w:ilvl="2" w:tplc="8506CAEE">
      <w:numFmt w:val="bullet"/>
      <w:lvlText w:val="•"/>
      <w:lvlJc w:val="left"/>
      <w:pPr>
        <w:ind w:left="2201" w:hanging="350"/>
      </w:pPr>
      <w:rPr>
        <w:rFonts w:hint="default"/>
      </w:rPr>
    </w:lvl>
    <w:lvl w:ilvl="3" w:tplc="9362A5FC">
      <w:numFmt w:val="bullet"/>
      <w:lvlText w:val="•"/>
      <w:lvlJc w:val="left"/>
      <w:pPr>
        <w:ind w:left="2892" w:hanging="350"/>
      </w:pPr>
      <w:rPr>
        <w:rFonts w:hint="default"/>
      </w:rPr>
    </w:lvl>
    <w:lvl w:ilvl="4" w:tplc="45646B7A">
      <w:numFmt w:val="bullet"/>
      <w:lvlText w:val="•"/>
      <w:lvlJc w:val="left"/>
      <w:pPr>
        <w:ind w:left="3583" w:hanging="350"/>
      </w:pPr>
      <w:rPr>
        <w:rFonts w:hint="default"/>
      </w:rPr>
    </w:lvl>
    <w:lvl w:ilvl="5" w:tplc="AC28EB4A">
      <w:numFmt w:val="bullet"/>
      <w:lvlText w:val="•"/>
      <w:lvlJc w:val="left"/>
      <w:pPr>
        <w:ind w:left="4274" w:hanging="350"/>
      </w:pPr>
      <w:rPr>
        <w:rFonts w:hint="default"/>
      </w:rPr>
    </w:lvl>
    <w:lvl w:ilvl="6" w:tplc="0900BE08">
      <w:numFmt w:val="bullet"/>
      <w:lvlText w:val="•"/>
      <w:lvlJc w:val="left"/>
      <w:pPr>
        <w:ind w:left="4965" w:hanging="350"/>
      </w:pPr>
      <w:rPr>
        <w:rFonts w:hint="default"/>
      </w:rPr>
    </w:lvl>
    <w:lvl w:ilvl="7" w:tplc="EE22564C">
      <w:numFmt w:val="bullet"/>
      <w:lvlText w:val="•"/>
      <w:lvlJc w:val="left"/>
      <w:pPr>
        <w:ind w:left="5656" w:hanging="350"/>
      </w:pPr>
      <w:rPr>
        <w:rFonts w:hint="default"/>
      </w:rPr>
    </w:lvl>
    <w:lvl w:ilvl="8" w:tplc="3C4CB01C">
      <w:numFmt w:val="bullet"/>
      <w:lvlText w:val="•"/>
      <w:lvlJc w:val="left"/>
      <w:pPr>
        <w:ind w:left="6347" w:hanging="350"/>
      </w:pPr>
      <w:rPr>
        <w:rFonts w:hint="default"/>
      </w:rPr>
    </w:lvl>
  </w:abstractNum>
  <w:abstractNum w:abstractNumId="134" w15:restartNumberingAfterBreak="0">
    <w:nsid w:val="7C826B2A"/>
    <w:multiLevelType w:val="hybridMultilevel"/>
    <w:tmpl w:val="11E4A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D5168FE"/>
    <w:multiLevelType w:val="hybridMultilevel"/>
    <w:tmpl w:val="534E3F50"/>
    <w:lvl w:ilvl="0" w:tplc="60340A1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7D8A6FB6"/>
    <w:multiLevelType w:val="hybridMultilevel"/>
    <w:tmpl w:val="AD261A1E"/>
    <w:lvl w:ilvl="0" w:tplc="0C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37" w15:restartNumberingAfterBreak="0">
    <w:nsid w:val="7E4204A2"/>
    <w:multiLevelType w:val="hybridMultilevel"/>
    <w:tmpl w:val="B07E7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E4E5A15"/>
    <w:multiLevelType w:val="multilevel"/>
    <w:tmpl w:val="12BC301A"/>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39" w15:restartNumberingAfterBreak="0">
    <w:nsid w:val="7E8A3F4A"/>
    <w:multiLevelType w:val="hybridMultilevel"/>
    <w:tmpl w:val="755E2604"/>
    <w:lvl w:ilvl="0" w:tplc="AEBE2766">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8"/>
  </w:num>
  <w:num w:numId="2">
    <w:abstractNumId w:val="11"/>
  </w:num>
  <w:num w:numId="3">
    <w:abstractNumId w:val="107"/>
  </w:num>
  <w:num w:numId="4">
    <w:abstractNumId w:val="119"/>
  </w:num>
  <w:num w:numId="5">
    <w:abstractNumId w:val="45"/>
  </w:num>
  <w:num w:numId="6">
    <w:abstractNumId w:val="84"/>
  </w:num>
  <w:num w:numId="7">
    <w:abstractNumId w:val="57"/>
    <w:lvlOverride w:ilvl="0">
      <w:startOverride w:val="1"/>
    </w:lvlOverride>
  </w:num>
  <w:num w:numId="8">
    <w:abstractNumId w:val="37"/>
  </w:num>
  <w:num w:numId="9">
    <w:abstractNumId w:val="114"/>
  </w:num>
  <w:num w:numId="10">
    <w:abstractNumId w:val="22"/>
  </w:num>
  <w:num w:numId="11">
    <w:abstractNumId w:val="117"/>
  </w:num>
  <w:num w:numId="12">
    <w:abstractNumId w:val="137"/>
  </w:num>
  <w:num w:numId="13">
    <w:abstractNumId w:val="66"/>
  </w:num>
  <w:num w:numId="14">
    <w:abstractNumId w:val="9"/>
  </w:num>
  <w:num w:numId="15">
    <w:abstractNumId w:val="27"/>
  </w:num>
  <w:num w:numId="16">
    <w:abstractNumId w:val="125"/>
  </w:num>
  <w:num w:numId="17">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3"/>
  </w:num>
  <w:num w:numId="21">
    <w:abstractNumId w:val="133"/>
  </w:num>
  <w:num w:numId="22">
    <w:abstractNumId w:val="96"/>
  </w:num>
  <w:num w:numId="23">
    <w:abstractNumId w:val="116"/>
  </w:num>
  <w:num w:numId="24">
    <w:abstractNumId w:val="129"/>
  </w:num>
  <w:num w:numId="25">
    <w:abstractNumId w:val="15"/>
  </w:num>
  <w:num w:numId="26">
    <w:abstractNumId w:val="120"/>
  </w:num>
  <w:num w:numId="27">
    <w:abstractNumId w:val="46"/>
  </w:num>
  <w:num w:numId="28">
    <w:abstractNumId w:val="134"/>
  </w:num>
  <w:num w:numId="29">
    <w:abstractNumId w:val="7"/>
  </w:num>
  <w:num w:numId="30">
    <w:abstractNumId w:val="24"/>
  </w:num>
  <w:num w:numId="31">
    <w:abstractNumId w:val="71"/>
  </w:num>
  <w:num w:numId="32">
    <w:abstractNumId w:val="52"/>
  </w:num>
  <w:num w:numId="33">
    <w:abstractNumId w:val="103"/>
  </w:num>
  <w:num w:numId="34">
    <w:abstractNumId w:val="102"/>
  </w:num>
  <w:num w:numId="35">
    <w:abstractNumId w:val="76"/>
  </w:num>
  <w:num w:numId="36">
    <w:abstractNumId w:val="23"/>
  </w:num>
  <w:num w:numId="37">
    <w:abstractNumId w:val="35"/>
  </w:num>
  <w:num w:numId="38">
    <w:abstractNumId w:val="85"/>
  </w:num>
  <w:num w:numId="39">
    <w:abstractNumId w:val="112"/>
  </w:num>
  <w:num w:numId="40">
    <w:abstractNumId w:val="12"/>
  </w:num>
  <w:num w:numId="41">
    <w:abstractNumId w:val="93"/>
  </w:num>
  <w:num w:numId="42">
    <w:abstractNumId w:val="21"/>
  </w:num>
  <w:num w:numId="43">
    <w:abstractNumId w:val="104"/>
  </w:num>
  <w:num w:numId="44">
    <w:abstractNumId w:val="90"/>
  </w:num>
  <w:num w:numId="45">
    <w:abstractNumId w:val="31"/>
  </w:num>
  <w:num w:numId="46">
    <w:abstractNumId w:val="88"/>
  </w:num>
  <w:num w:numId="47">
    <w:abstractNumId w:val="110"/>
  </w:num>
  <w:num w:numId="48">
    <w:abstractNumId w:val="29"/>
  </w:num>
  <w:num w:numId="49">
    <w:abstractNumId w:val="41"/>
  </w:num>
  <w:num w:numId="50">
    <w:abstractNumId w:val="121"/>
  </w:num>
  <w:num w:numId="51">
    <w:abstractNumId w:val="42"/>
  </w:num>
  <w:num w:numId="52">
    <w:abstractNumId w:val="44"/>
  </w:num>
  <w:num w:numId="53">
    <w:abstractNumId w:val="111"/>
  </w:num>
  <w:num w:numId="54">
    <w:abstractNumId w:val="75"/>
  </w:num>
  <w:num w:numId="55">
    <w:abstractNumId w:val="95"/>
  </w:num>
  <w:num w:numId="56">
    <w:abstractNumId w:val="53"/>
  </w:num>
  <w:num w:numId="57">
    <w:abstractNumId w:val="64"/>
  </w:num>
  <w:num w:numId="58">
    <w:abstractNumId w:val="78"/>
  </w:num>
  <w:num w:numId="59">
    <w:abstractNumId w:val="51"/>
  </w:num>
  <w:num w:numId="60">
    <w:abstractNumId w:val="136"/>
  </w:num>
  <w:num w:numId="61">
    <w:abstractNumId w:val="98"/>
  </w:num>
  <w:num w:numId="62">
    <w:abstractNumId w:val="86"/>
  </w:num>
  <w:num w:numId="63">
    <w:abstractNumId w:val="118"/>
  </w:num>
  <w:num w:numId="64">
    <w:abstractNumId w:val="89"/>
  </w:num>
  <w:num w:numId="65">
    <w:abstractNumId w:val="59"/>
  </w:num>
  <w:num w:numId="66">
    <w:abstractNumId w:val="72"/>
  </w:num>
  <w:num w:numId="67">
    <w:abstractNumId w:val="0"/>
  </w:num>
  <w:num w:numId="68">
    <w:abstractNumId w:val="109"/>
  </w:num>
  <w:num w:numId="69">
    <w:abstractNumId w:val="132"/>
  </w:num>
  <w:num w:numId="70">
    <w:abstractNumId w:val="4"/>
  </w:num>
  <w:num w:numId="71">
    <w:abstractNumId w:val="69"/>
  </w:num>
  <w:num w:numId="72">
    <w:abstractNumId w:val="77"/>
  </w:num>
  <w:num w:numId="73">
    <w:abstractNumId w:val="49"/>
  </w:num>
  <w:num w:numId="74">
    <w:abstractNumId w:val="8"/>
  </w:num>
  <w:num w:numId="75">
    <w:abstractNumId w:val="113"/>
  </w:num>
  <w:num w:numId="76">
    <w:abstractNumId w:val="80"/>
  </w:num>
  <w:num w:numId="77">
    <w:abstractNumId w:val="6"/>
  </w:num>
  <w:num w:numId="78">
    <w:abstractNumId w:val="139"/>
  </w:num>
  <w:num w:numId="79">
    <w:abstractNumId w:val="17"/>
  </w:num>
  <w:num w:numId="80">
    <w:abstractNumId w:val="18"/>
  </w:num>
  <w:num w:numId="81">
    <w:abstractNumId w:val="19"/>
  </w:num>
  <w:num w:numId="82">
    <w:abstractNumId w:val="106"/>
  </w:num>
  <w:num w:numId="83">
    <w:abstractNumId w:val="131"/>
  </w:num>
  <w:num w:numId="84">
    <w:abstractNumId w:val="128"/>
  </w:num>
  <w:num w:numId="85">
    <w:abstractNumId w:val="82"/>
    <w:lvlOverride w:ilvl="0">
      <w:startOverride w:val="1"/>
    </w:lvlOverride>
  </w:num>
  <w:num w:numId="86">
    <w:abstractNumId w:val="83"/>
    <w:lvlOverride w:ilvl="0">
      <w:startOverride w:val="1"/>
    </w:lvlOverride>
  </w:num>
  <w:num w:numId="87">
    <w:abstractNumId w:val="47"/>
    <w:lvlOverride w:ilvl="0">
      <w:startOverride w:val="1"/>
    </w:lvlOverride>
  </w:num>
  <w:num w:numId="88">
    <w:abstractNumId w:val="57"/>
    <w:lvlOverride w:ilvl="0">
      <w:startOverride w:val="1"/>
    </w:lvlOverride>
  </w:num>
  <w:num w:numId="89">
    <w:abstractNumId w:val="57"/>
    <w:lvlOverride w:ilvl="0">
      <w:startOverride w:val="1"/>
    </w:lvlOverride>
  </w:num>
  <w:num w:numId="90">
    <w:abstractNumId w:val="57"/>
    <w:lvlOverride w:ilvl="0">
      <w:startOverride w:val="1"/>
    </w:lvlOverride>
  </w:num>
  <w:num w:numId="91">
    <w:abstractNumId w:val="57"/>
    <w:lvlOverride w:ilvl="0">
      <w:startOverride w:val="1"/>
    </w:lvlOverride>
  </w:num>
  <w:num w:numId="92">
    <w:abstractNumId w:val="57"/>
    <w:lvlOverride w:ilvl="0">
      <w:startOverride w:val="1"/>
    </w:lvlOverride>
  </w:num>
  <w:num w:numId="93">
    <w:abstractNumId w:val="126"/>
  </w:num>
  <w:num w:numId="94">
    <w:abstractNumId w:val="57"/>
    <w:lvlOverride w:ilvl="0">
      <w:startOverride w:val="1"/>
    </w:lvlOverride>
  </w:num>
  <w:num w:numId="95">
    <w:abstractNumId w:val="57"/>
    <w:lvlOverride w:ilvl="0">
      <w:startOverride w:val="1"/>
    </w:lvlOverride>
  </w:num>
  <w:num w:numId="96">
    <w:abstractNumId w:val="57"/>
    <w:lvlOverride w:ilvl="0">
      <w:startOverride w:val="1"/>
    </w:lvlOverride>
  </w:num>
  <w:num w:numId="97">
    <w:abstractNumId w:val="57"/>
    <w:lvlOverride w:ilvl="0">
      <w:startOverride w:val="1"/>
    </w:lvlOverride>
  </w:num>
  <w:num w:numId="98">
    <w:abstractNumId w:val="57"/>
    <w:lvlOverride w:ilvl="0">
      <w:startOverride w:val="1"/>
    </w:lvlOverride>
  </w:num>
  <w:num w:numId="99">
    <w:abstractNumId w:val="57"/>
    <w:lvlOverride w:ilvl="0">
      <w:startOverride w:val="1"/>
    </w:lvlOverride>
  </w:num>
  <w:num w:numId="100">
    <w:abstractNumId w:val="57"/>
    <w:lvlOverride w:ilvl="0">
      <w:startOverride w:val="1"/>
    </w:lvlOverride>
  </w:num>
  <w:num w:numId="101">
    <w:abstractNumId w:val="57"/>
    <w:lvlOverride w:ilvl="0">
      <w:startOverride w:val="1"/>
    </w:lvlOverride>
  </w:num>
  <w:num w:numId="102">
    <w:abstractNumId w:val="57"/>
    <w:lvlOverride w:ilvl="0">
      <w:startOverride w:val="1"/>
    </w:lvlOverride>
  </w:num>
  <w:num w:numId="103">
    <w:abstractNumId w:val="57"/>
    <w:lvlOverride w:ilvl="0">
      <w:startOverride w:val="1"/>
    </w:lvlOverride>
  </w:num>
  <w:num w:numId="104">
    <w:abstractNumId w:val="57"/>
    <w:lvlOverride w:ilvl="0">
      <w:startOverride w:val="1"/>
    </w:lvlOverride>
  </w:num>
  <w:num w:numId="105">
    <w:abstractNumId w:val="57"/>
    <w:lvlOverride w:ilvl="0">
      <w:startOverride w:val="1"/>
    </w:lvlOverride>
  </w:num>
  <w:num w:numId="106">
    <w:abstractNumId w:val="57"/>
    <w:lvlOverride w:ilvl="0">
      <w:startOverride w:val="1"/>
    </w:lvlOverride>
  </w:num>
  <w:num w:numId="107">
    <w:abstractNumId w:val="57"/>
    <w:lvlOverride w:ilvl="0">
      <w:startOverride w:val="1"/>
    </w:lvlOverride>
  </w:num>
  <w:num w:numId="108">
    <w:abstractNumId w:val="138"/>
  </w:num>
  <w:num w:numId="10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lvlOverride w:ilvl="0">
      <w:startOverride w:val="1"/>
    </w:lvlOverride>
  </w:num>
  <w:num w:numId="113">
    <w:abstractNumId w:val="57"/>
    <w:lvlOverride w:ilvl="0">
      <w:startOverride w:val="1"/>
    </w:lvlOverride>
  </w:num>
  <w:num w:numId="114">
    <w:abstractNumId w:val="57"/>
    <w:lvlOverride w:ilvl="0">
      <w:startOverride w:val="1"/>
    </w:lvlOverride>
  </w:num>
  <w:num w:numId="115">
    <w:abstractNumId w:val="57"/>
    <w:lvlOverride w:ilvl="0">
      <w:startOverride w:val="1"/>
    </w:lvlOverride>
  </w:num>
  <w:num w:numId="116">
    <w:abstractNumId w:val="57"/>
    <w:lvlOverride w:ilvl="0">
      <w:startOverride w:val="1"/>
    </w:lvlOverride>
  </w:num>
  <w:num w:numId="117">
    <w:abstractNumId w:val="57"/>
    <w:lvlOverride w:ilvl="0">
      <w:startOverride w:val="1"/>
    </w:lvlOverride>
  </w:num>
  <w:num w:numId="118">
    <w:abstractNumId w:val="57"/>
    <w:lvlOverride w:ilvl="0">
      <w:startOverride w:val="1"/>
    </w:lvlOverride>
  </w:num>
  <w:num w:numId="119">
    <w:abstractNumId w:val="57"/>
    <w:lvlOverride w:ilvl="0">
      <w:startOverride w:val="1"/>
    </w:lvlOverride>
  </w:num>
  <w:num w:numId="120">
    <w:abstractNumId w:val="57"/>
    <w:lvlOverride w:ilvl="0">
      <w:startOverride w:val="1"/>
    </w:lvlOverride>
  </w:num>
  <w:num w:numId="121">
    <w:abstractNumId w:val="57"/>
    <w:lvlOverride w:ilvl="0">
      <w:startOverride w:val="1"/>
    </w:lvlOverride>
  </w:num>
  <w:num w:numId="122">
    <w:abstractNumId w:val="57"/>
    <w:lvlOverride w:ilvl="0">
      <w:startOverride w:val="1"/>
    </w:lvlOverride>
  </w:num>
  <w:num w:numId="123">
    <w:abstractNumId w:val="57"/>
    <w:lvlOverride w:ilvl="0">
      <w:startOverride w:val="1"/>
    </w:lvlOverride>
  </w:num>
  <w:num w:numId="124">
    <w:abstractNumId w:val="57"/>
    <w:lvlOverride w:ilvl="0">
      <w:startOverride w:val="1"/>
    </w:lvlOverride>
  </w:num>
  <w:num w:numId="125">
    <w:abstractNumId w:val="60"/>
  </w:num>
  <w:num w:numId="126">
    <w:abstractNumId w:val="55"/>
  </w:num>
  <w:num w:numId="127">
    <w:abstractNumId w:val="38"/>
  </w:num>
  <w:num w:numId="128">
    <w:abstractNumId w:val="61"/>
  </w:num>
  <w:num w:numId="129">
    <w:abstractNumId w:val="48"/>
  </w:num>
  <w:num w:numId="130">
    <w:abstractNumId w:val="94"/>
  </w:num>
  <w:num w:numId="131">
    <w:abstractNumId w:val="135"/>
  </w:num>
  <w:num w:numId="132">
    <w:abstractNumId w:val="33"/>
  </w:num>
  <w:num w:numId="133">
    <w:abstractNumId w:val="39"/>
  </w:num>
  <w:num w:numId="134">
    <w:abstractNumId w:val="50"/>
  </w:num>
  <w:num w:numId="135">
    <w:abstractNumId w:val="124"/>
  </w:num>
  <w:num w:numId="136">
    <w:abstractNumId w:val="3"/>
  </w:num>
  <w:num w:numId="137">
    <w:abstractNumId w:val="70"/>
  </w:num>
  <w:num w:numId="138">
    <w:abstractNumId w:val="115"/>
  </w:num>
  <w:num w:numId="139">
    <w:abstractNumId w:val="20"/>
  </w:num>
  <w:num w:numId="140">
    <w:abstractNumId w:val="91"/>
  </w:num>
  <w:num w:numId="141">
    <w:abstractNumId w:val="56"/>
  </w:num>
  <w:num w:numId="142">
    <w:abstractNumId w:val="92"/>
  </w:num>
  <w:num w:numId="143">
    <w:abstractNumId w:val="101"/>
  </w:num>
  <w:num w:numId="144">
    <w:abstractNumId w:val="26"/>
  </w:num>
  <w:num w:numId="145">
    <w:abstractNumId w:val="122"/>
  </w:num>
  <w:num w:numId="146">
    <w:abstractNumId w:val="97"/>
  </w:num>
  <w:num w:numId="147">
    <w:abstractNumId w:val="34"/>
  </w:num>
  <w:num w:numId="148">
    <w:abstractNumId w:val="36"/>
  </w:num>
  <w:num w:numId="149">
    <w:abstractNumId w:val="99"/>
  </w:num>
  <w:num w:numId="150">
    <w:abstractNumId w:val="14"/>
  </w:num>
  <w:num w:numId="151">
    <w:abstractNumId w:val="5"/>
  </w:num>
  <w:num w:numId="152">
    <w:abstractNumId w:val="63"/>
  </w:num>
  <w:num w:numId="153">
    <w:abstractNumId w:val="79"/>
  </w:num>
  <w:num w:numId="154">
    <w:abstractNumId w:val="28"/>
  </w:num>
  <w:num w:numId="155">
    <w:abstractNumId w:val="62"/>
  </w:num>
  <w:num w:numId="156">
    <w:abstractNumId w:val="32"/>
  </w:num>
  <w:num w:numId="157">
    <w:abstractNumId w:val="87"/>
  </w:num>
  <w:num w:numId="158">
    <w:abstractNumId w:val="73"/>
  </w:num>
  <w:num w:numId="159">
    <w:abstractNumId w:val="81"/>
  </w:num>
  <w:num w:numId="160">
    <w:abstractNumId w:val="108"/>
  </w:num>
  <w:num w:numId="161">
    <w:abstractNumId w:val="130"/>
  </w:num>
  <w:num w:numId="162">
    <w:abstractNumId w:val="65"/>
  </w:num>
  <w:num w:numId="163">
    <w:abstractNumId w:val="10"/>
  </w:num>
  <w:num w:numId="164">
    <w:abstractNumId w:val="30"/>
  </w:num>
  <w:num w:numId="16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4"/>
  </w:num>
  <w:num w:numId="167">
    <w:abstractNumId w:val="40"/>
  </w:num>
  <w:num w:numId="168">
    <w:abstractNumId w:val="1"/>
  </w:num>
  <w:num w:numId="169">
    <w:abstractNumId w:val="43"/>
  </w:num>
  <w:num w:numId="170">
    <w:abstractNumId w:val="67"/>
  </w:num>
  <w:num w:numId="171">
    <w:abstractNumId w:val="13"/>
  </w:num>
  <w:num w:numId="172">
    <w:abstractNumId w:val="127"/>
  </w:num>
  <w:num w:numId="173">
    <w:abstractNumId w:val="58"/>
  </w:num>
  <w:num w:numId="174">
    <w:abstractNumId w:val="10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10657F"/>
    <w:rsid w:val="000000C3"/>
    <w:rsid w:val="0000358C"/>
    <w:rsid w:val="00003AC4"/>
    <w:rsid w:val="00003CA0"/>
    <w:rsid w:val="00003FFA"/>
    <w:rsid w:val="00005DEE"/>
    <w:rsid w:val="00006AE4"/>
    <w:rsid w:val="00006B50"/>
    <w:rsid w:val="0000711B"/>
    <w:rsid w:val="0000774A"/>
    <w:rsid w:val="00011CC7"/>
    <w:rsid w:val="0001294C"/>
    <w:rsid w:val="00012BB0"/>
    <w:rsid w:val="00013D25"/>
    <w:rsid w:val="0001438C"/>
    <w:rsid w:val="00014EB2"/>
    <w:rsid w:val="00015B2E"/>
    <w:rsid w:val="0001615A"/>
    <w:rsid w:val="00016D95"/>
    <w:rsid w:val="00016DD4"/>
    <w:rsid w:val="00017619"/>
    <w:rsid w:val="00017840"/>
    <w:rsid w:val="00020573"/>
    <w:rsid w:val="000216BF"/>
    <w:rsid w:val="00021DA6"/>
    <w:rsid w:val="000220B0"/>
    <w:rsid w:val="00023CED"/>
    <w:rsid w:val="000240CA"/>
    <w:rsid w:val="00025CB2"/>
    <w:rsid w:val="00027A10"/>
    <w:rsid w:val="000300D7"/>
    <w:rsid w:val="000304FC"/>
    <w:rsid w:val="00030FDA"/>
    <w:rsid w:val="00031B0C"/>
    <w:rsid w:val="0003384E"/>
    <w:rsid w:val="00033F08"/>
    <w:rsid w:val="00034C41"/>
    <w:rsid w:val="0003503B"/>
    <w:rsid w:val="00036095"/>
    <w:rsid w:val="000364F3"/>
    <w:rsid w:val="000366AE"/>
    <w:rsid w:val="000369AC"/>
    <w:rsid w:val="0003724F"/>
    <w:rsid w:val="00037BA1"/>
    <w:rsid w:val="00040760"/>
    <w:rsid w:val="000413D4"/>
    <w:rsid w:val="00042FDD"/>
    <w:rsid w:val="00044CF1"/>
    <w:rsid w:val="0004509D"/>
    <w:rsid w:val="00045667"/>
    <w:rsid w:val="000457F5"/>
    <w:rsid w:val="000476D8"/>
    <w:rsid w:val="0005030D"/>
    <w:rsid w:val="00050A97"/>
    <w:rsid w:val="00054A04"/>
    <w:rsid w:val="00054CC3"/>
    <w:rsid w:val="0005600E"/>
    <w:rsid w:val="00056260"/>
    <w:rsid w:val="0005722F"/>
    <w:rsid w:val="000606CB"/>
    <w:rsid w:val="00060890"/>
    <w:rsid w:val="00061415"/>
    <w:rsid w:val="00061720"/>
    <w:rsid w:val="0006199A"/>
    <w:rsid w:val="00061FD8"/>
    <w:rsid w:val="00063C44"/>
    <w:rsid w:val="00063CE1"/>
    <w:rsid w:val="000641DA"/>
    <w:rsid w:val="00065053"/>
    <w:rsid w:val="000655E4"/>
    <w:rsid w:val="000656AD"/>
    <w:rsid w:val="00065C71"/>
    <w:rsid w:val="000662CC"/>
    <w:rsid w:val="00066494"/>
    <w:rsid w:val="00066BBA"/>
    <w:rsid w:val="000671B7"/>
    <w:rsid w:val="00067B02"/>
    <w:rsid w:val="00067B6F"/>
    <w:rsid w:val="00067E1D"/>
    <w:rsid w:val="0007064C"/>
    <w:rsid w:val="000712EE"/>
    <w:rsid w:val="000725C0"/>
    <w:rsid w:val="00074CE6"/>
    <w:rsid w:val="00075BA5"/>
    <w:rsid w:val="00076455"/>
    <w:rsid w:val="000768A5"/>
    <w:rsid w:val="00077277"/>
    <w:rsid w:val="0007743A"/>
    <w:rsid w:val="00080069"/>
    <w:rsid w:val="00080125"/>
    <w:rsid w:val="00080F4F"/>
    <w:rsid w:val="00081CBC"/>
    <w:rsid w:val="00082159"/>
    <w:rsid w:val="00082B8F"/>
    <w:rsid w:val="0008449F"/>
    <w:rsid w:val="000846ED"/>
    <w:rsid w:val="00085043"/>
    <w:rsid w:val="0008504D"/>
    <w:rsid w:val="00090681"/>
    <w:rsid w:val="000924A7"/>
    <w:rsid w:val="00093D79"/>
    <w:rsid w:val="00094B28"/>
    <w:rsid w:val="00094B9A"/>
    <w:rsid w:val="00096568"/>
    <w:rsid w:val="00096DEE"/>
    <w:rsid w:val="00097063"/>
    <w:rsid w:val="00097336"/>
    <w:rsid w:val="000975DA"/>
    <w:rsid w:val="000A120A"/>
    <w:rsid w:val="000A1300"/>
    <w:rsid w:val="000A1920"/>
    <w:rsid w:val="000A1A89"/>
    <w:rsid w:val="000A1C91"/>
    <w:rsid w:val="000A227A"/>
    <w:rsid w:val="000A24C4"/>
    <w:rsid w:val="000A345B"/>
    <w:rsid w:val="000A372A"/>
    <w:rsid w:val="000A395D"/>
    <w:rsid w:val="000A532C"/>
    <w:rsid w:val="000A56A5"/>
    <w:rsid w:val="000A5C86"/>
    <w:rsid w:val="000A6897"/>
    <w:rsid w:val="000A6CC8"/>
    <w:rsid w:val="000A6DBE"/>
    <w:rsid w:val="000A76C9"/>
    <w:rsid w:val="000A7E1F"/>
    <w:rsid w:val="000B1FC4"/>
    <w:rsid w:val="000B21D6"/>
    <w:rsid w:val="000B2404"/>
    <w:rsid w:val="000B2BA3"/>
    <w:rsid w:val="000B36D8"/>
    <w:rsid w:val="000B3B7D"/>
    <w:rsid w:val="000B6E38"/>
    <w:rsid w:val="000C056F"/>
    <w:rsid w:val="000C1442"/>
    <w:rsid w:val="000C1928"/>
    <w:rsid w:val="000C19B3"/>
    <w:rsid w:val="000C19EF"/>
    <w:rsid w:val="000C2D7D"/>
    <w:rsid w:val="000C3B86"/>
    <w:rsid w:val="000C4A46"/>
    <w:rsid w:val="000C4F54"/>
    <w:rsid w:val="000C55A6"/>
    <w:rsid w:val="000C6A39"/>
    <w:rsid w:val="000C6FB8"/>
    <w:rsid w:val="000D0547"/>
    <w:rsid w:val="000D13E5"/>
    <w:rsid w:val="000D28EB"/>
    <w:rsid w:val="000D308C"/>
    <w:rsid w:val="000D3617"/>
    <w:rsid w:val="000D3FB5"/>
    <w:rsid w:val="000D4262"/>
    <w:rsid w:val="000D43DE"/>
    <w:rsid w:val="000D4CBE"/>
    <w:rsid w:val="000D4E6C"/>
    <w:rsid w:val="000D55B5"/>
    <w:rsid w:val="000D58A1"/>
    <w:rsid w:val="000D6DF8"/>
    <w:rsid w:val="000D7059"/>
    <w:rsid w:val="000D7E54"/>
    <w:rsid w:val="000E04C6"/>
    <w:rsid w:val="000E0A5A"/>
    <w:rsid w:val="000E0A85"/>
    <w:rsid w:val="000E1881"/>
    <w:rsid w:val="000E2F5F"/>
    <w:rsid w:val="000E4167"/>
    <w:rsid w:val="000E68E3"/>
    <w:rsid w:val="000E6DDB"/>
    <w:rsid w:val="000E74A6"/>
    <w:rsid w:val="000E7BD9"/>
    <w:rsid w:val="000F03B1"/>
    <w:rsid w:val="000F08AE"/>
    <w:rsid w:val="000F0DA6"/>
    <w:rsid w:val="000F1AAB"/>
    <w:rsid w:val="000F2D33"/>
    <w:rsid w:val="000F43F4"/>
    <w:rsid w:val="000F440E"/>
    <w:rsid w:val="000F6647"/>
    <w:rsid w:val="000F73B7"/>
    <w:rsid w:val="000F794F"/>
    <w:rsid w:val="000F7E7B"/>
    <w:rsid w:val="001002F8"/>
    <w:rsid w:val="00102406"/>
    <w:rsid w:val="00102654"/>
    <w:rsid w:val="001028CC"/>
    <w:rsid w:val="0010347E"/>
    <w:rsid w:val="00103DE7"/>
    <w:rsid w:val="001045F9"/>
    <w:rsid w:val="0010472B"/>
    <w:rsid w:val="00104F95"/>
    <w:rsid w:val="00105361"/>
    <w:rsid w:val="0010657F"/>
    <w:rsid w:val="00106FA4"/>
    <w:rsid w:val="001078E6"/>
    <w:rsid w:val="00111159"/>
    <w:rsid w:val="0011221E"/>
    <w:rsid w:val="00112953"/>
    <w:rsid w:val="001129D2"/>
    <w:rsid w:val="00112D0F"/>
    <w:rsid w:val="001133E0"/>
    <w:rsid w:val="001145B6"/>
    <w:rsid w:val="00115DE5"/>
    <w:rsid w:val="001163D6"/>
    <w:rsid w:val="0011726A"/>
    <w:rsid w:val="0012022D"/>
    <w:rsid w:val="00120B5E"/>
    <w:rsid w:val="0012108F"/>
    <w:rsid w:val="00121EB0"/>
    <w:rsid w:val="0012228D"/>
    <w:rsid w:val="00123218"/>
    <w:rsid w:val="001237BA"/>
    <w:rsid w:val="00123925"/>
    <w:rsid w:val="00124EBD"/>
    <w:rsid w:val="00126641"/>
    <w:rsid w:val="00126954"/>
    <w:rsid w:val="00127307"/>
    <w:rsid w:val="00127656"/>
    <w:rsid w:val="00130026"/>
    <w:rsid w:val="00130659"/>
    <w:rsid w:val="00132F9E"/>
    <w:rsid w:val="00133D3A"/>
    <w:rsid w:val="001352EE"/>
    <w:rsid w:val="00135505"/>
    <w:rsid w:val="001364A7"/>
    <w:rsid w:val="00136669"/>
    <w:rsid w:val="00136827"/>
    <w:rsid w:val="001375D4"/>
    <w:rsid w:val="00137726"/>
    <w:rsid w:val="00143750"/>
    <w:rsid w:val="00143E88"/>
    <w:rsid w:val="0014468F"/>
    <w:rsid w:val="001455D8"/>
    <w:rsid w:val="00146B5E"/>
    <w:rsid w:val="0014790A"/>
    <w:rsid w:val="00150E70"/>
    <w:rsid w:val="00151321"/>
    <w:rsid w:val="00151609"/>
    <w:rsid w:val="00151975"/>
    <w:rsid w:val="00151ABB"/>
    <w:rsid w:val="00152B2B"/>
    <w:rsid w:val="00154447"/>
    <w:rsid w:val="001549BE"/>
    <w:rsid w:val="00154CDE"/>
    <w:rsid w:val="00154F5B"/>
    <w:rsid w:val="00154F73"/>
    <w:rsid w:val="001577E6"/>
    <w:rsid w:val="00160C23"/>
    <w:rsid w:val="00161DAC"/>
    <w:rsid w:val="00162B55"/>
    <w:rsid w:val="00162D8B"/>
    <w:rsid w:val="00163101"/>
    <w:rsid w:val="001638E9"/>
    <w:rsid w:val="00163AC4"/>
    <w:rsid w:val="00165824"/>
    <w:rsid w:val="001666EA"/>
    <w:rsid w:val="00167406"/>
    <w:rsid w:val="0017111A"/>
    <w:rsid w:val="00171A85"/>
    <w:rsid w:val="00171C45"/>
    <w:rsid w:val="001720C5"/>
    <w:rsid w:val="00173F5C"/>
    <w:rsid w:val="00174186"/>
    <w:rsid w:val="00174565"/>
    <w:rsid w:val="00174EC9"/>
    <w:rsid w:val="00175BB3"/>
    <w:rsid w:val="00177A9A"/>
    <w:rsid w:val="001808A4"/>
    <w:rsid w:val="00180FF3"/>
    <w:rsid w:val="001815A5"/>
    <w:rsid w:val="00181F30"/>
    <w:rsid w:val="00182740"/>
    <w:rsid w:val="00183A23"/>
    <w:rsid w:val="00184071"/>
    <w:rsid w:val="00184B3B"/>
    <w:rsid w:val="001852C5"/>
    <w:rsid w:val="00185A3B"/>
    <w:rsid w:val="00186850"/>
    <w:rsid w:val="001904A5"/>
    <w:rsid w:val="001923C8"/>
    <w:rsid w:val="001939FF"/>
    <w:rsid w:val="00194DE8"/>
    <w:rsid w:val="00196D2E"/>
    <w:rsid w:val="00197990"/>
    <w:rsid w:val="001A0106"/>
    <w:rsid w:val="001A02CB"/>
    <w:rsid w:val="001A02FD"/>
    <w:rsid w:val="001A11DB"/>
    <w:rsid w:val="001A2C93"/>
    <w:rsid w:val="001A33F4"/>
    <w:rsid w:val="001A3AD4"/>
    <w:rsid w:val="001A4AA6"/>
    <w:rsid w:val="001A50DE"/>
    <w:rsid w:val="001A53AE"/>
    <w:rsid w:val="001A54F9"/>
    <w:rsid w:val="001A6256"/>
    <w:rsid w:val="001A6F29"/>
    <w:rsid w:val="001A789B"/>
    <w:rsid w:val="001B01BB"/>
    <w:rsid w:val="001B03CC"/>
    <w:rsid w:val="001B0C75"/>
    <w:rsid w:val="001B2010"/>
    <w:rsid w:val="001B2A29"/>
    <w:rsid w:val="001B2DEE"/>
    <w:rsid w:val="001B368E"/>
    <w:rsid w:val="001B44C2"/>
    <w:rsid w:val="001B4EC1"/>
    <w:rsid w:val="001B659F"/>
    <w:rsid w:val="001B7399"/>
    <w:rsid w:val="001B7655"/>
    <w:rsid w:val="001B7BAD"/>
    <w:rsid w:val="001B7F09"/>
    <w:rsid w:val="001C0BAE"/>
    <w:rsid w:val="001C1166"/>
    <w:rsid w:val="001C261E"/>
    <w:rsid w:val="001C285F"/>
    <w:rsid w:val="001C3AC7"/>
    <w:rsid w:val="001C42D0"/>
    <w:rsid w:val="001C7B78"/>
    <w:rsid w:val="001C7FB4"/>
    <w:rsid w:val="001D0A25"/>
    <w:rsid w:val="001D0BA6"/>
    <w:rsid w:val="001D1354"/>
    <w:rsid w:val="001D1903"/>
    <w:rsid w:val="001D1942"/>
    <w:rsid w:val="001D1D2A"/>
    <w:rsid w:val="001D1DDB"/>
    <w:rsid w:val="001D53EA"/>
    <w:rsid w:val="001D6424"/>
    <w:rsid w:val="001D6F7C"/>
    <w:rsid w:val="001E0156"/>
    <w:rsid w:val="001E043E"/>
    <w:rsid w:val="001E12A5"/>
    <w:rsid w:val="001E1BF9"/>
    <w:rsid w:val="001E1EDB"/>
    <w:rsid w:val="001E2B5D"/>
    <w:rsid w:val="001E3A18"/>
    <w:rsid w:val="001E7093"/>
    <w:rsid w:val="001E717D"/>
    <w:rsid w:val="001E71F5"/>
    <w:rsid w:val="001E7D86"/>
    <w:rsid w:val="001F0157"/>
    <w:rsid w:val="001F377B"/>
    <w:rsid w:val="001F3CF9"/>
    <w:rsid w:val="001F4D05"/>
    <w:rsid w:val="001F55E5"/>
    <w:rsid w:val="001F5864"/>
    <w:rsid w:val="001F5CB9"/>
    <w:rsid w:val="001F6B41"/>
    <w:rsid w:val="002003A1"/>
    <w:rsid w:val="00200DC3"/>
    <w:rsid w:val="002011E2"/>
    <w:rsid w:val="00201BB9"/>
    <w:rsid w:val="00201F7D"/>
    <w:rsid w:val="00202925"/>
    <w:rsid w:val="00202C70"/>
    <w:rsid w:val="002030E8"/>
    <w:rsid w:val="002050B0"/>
    <w:rsid w:val="00205D80"/>
    <w:rsid w:val="002061DA"/>
    <w:rsid w:val="00206401"/>
    <w:rsid w:val="00210874"/>
    <w:rsid w:val="0021093F"/>
    <w:rsid w:val="00212DB5"/>
    <w:rsid w:val="002133CA"/>
    <w:rsid w:val="00213592"/>
    <w:rsid w:val="002146B5"/>
    <w:rsid w:val="00214FA2"/>
    <w:rsid w:val="00215783"/>
    <w:rsid w:val="00216181"/>
    <w:rsid w:val="0021644B"/>
    <w:rsid w:val="00216489"/>
    <w:rsid w:val="00216DC9"/>
    <w:rsid w:val="00217CA0"/>
    <w:rsid w:val="002202EB"/>
    <w:rsid w:val="00220FCF"/>
    <w:rsid w:val="002216E7"/>
    <w:rsid w:val="00221705"/>
    <w:rsid w:val="00221972"/>
    <w:rsid w:val="002231C8"/>
    <w:rsid w:val="00224154"/>
    <w:rsid w:val="00224375"/>
    <w:rsid w:val="00225D3C"/>
    <w:rsid w:val="00230194"/>
    <w:rsid w:val="00230CAC"/>
    <w:rsid w:val="00231923"/>
    <w:rsid w:val="002329C3"/>
    <w:rsid w:val="002332AE"/>
    <w:rsid w:val="002333C2"/>
    <w:rsid w:val="00233526"/>
    <w:rsid w:val="002339F7"/>
    <w:rsid w:val="00233F2D"/>
    <w:rsid w:val="00234040"/>
    <w:rsid w:val="00235D67"/>
    <w:rsid w:val="0023626B"/>
    <w:rsid w:val="00237361"/>
    <w:rsid w:val="002376AD"/>
    <w:rsid w:val="00242F07"/>
    <w:rsid w:val="00243020"/>
    <w:rsid w:val="0024449B"/>
    <w:rsid w:val="00244D22"/>
    <w:rsid w:val="002456F1"/>
    <w:rsid w:val="00246C09"/>
    <w:rsid w:val="002470E4"/>
    <w:rsid w:val="00247262"/>
    <w:rsid w:val="002505FF"/>
    <w:rsid w:val="0025144C"/>
    <w:rsid w:val="00251B5D"/>
    <w:rsid w:val="00253FC9"/>
    <w:rsid w:val="0025616B"/>
    <w:rsid w:val="0025622C"/>
    <w:rsid w:val="00256362"/>
    <w:rsid w:val="00257285"/>
    <w:rsid w:val="00257FF4"/>
    <w:rsid w:val="002608CE"/>
    <w:rsid w:val="00261660"/>
    <w:rsid w:val="0026279C"/>
    <w:rsid w:val="00262CD3"/>
    <w:rsid w:val="00264181"/>
    <w:rsid w:val="00264BB2"/>
    <w:rsid w:val="00265289"/>
    <w:rsid w:val="00266613"/>
    <w:rsid w:val="00266FE9"/>
    <w:rsid w:val="00267668"/>
    <w:rsid w:val="00272396"/>
    <w:rsid w:val="00273D98"/>
    <w:rsid w:val="00275A4E"/>
    <w:rsid w:val="00275F56"/>
    <w:rsid w:val="0027614D"/>
    <w:rsid w:val="002761E8"/>
    <w:rsid w:val="0027651A"/>
    <w:rsid w:val="002770A1"/>
    <w:rsid w:val="0028001E"/>
    <w:rsid w:val="0028004A"/>
    <w:rsid w:val="00280D53"/>
    <w:rsid w:val="00281CF6"/>
    <w:rsid w:val="002822B9"/>
    <w:rsid w:val="0028359B"/>
    <w:rsid w:val="00284441"/>
    <w:rsid w:val="002849F7"/>
    <w:rsid w:val="00284DDD"/>
    <w:rsid w:val="002857FE"/>
    <w:rsid w:val="0028724B"/>
    <w:rsid w:val="00290933"/>
    <w:rsid w:val="00291E57"/>
    <w:rsid w:val="00292D6A"/>
    <w:rsid w:val="0029312A"/>
    <w:rsid w:val="0029325C"/>
    <w:rsid w:val="00293712"/>
    <w:rsid w:val="00293991"/>
    <w:rsid w:val="00293B2D"/>
    <w:rsid w:val="00293B46"/>
    <w:rsid w:val="00293C6B"/>
    <w:rsid w:val="002946CF"/>
    <w:rsid w:val="00294E5F"/>
    <w:rsid w:val="002960B7"/>
    <w:rsid w:val="00297040"/>
    <w:rsid w:val="00297643"/>
    <w:rsid w:val="00297824"/>
    <w:rsid w:val="00297942"/>
    <w:rsid w:val="002A02AE"/>
    <w:rsid w:val="002A0F2E"/>
    <w:rsid w:val="002A153F"/>
    <w:rsid w:val="002A1CC2"/>
    <w:rsid w:val="002A29E1"/>
    <w:rsid w:val="002A32FD"/>
    <w:rsid w:val="002A40DC"/>
    <w:rsid w:val="002A4534"/>
    <w:rsid w:val="002A4892"/>
    <w:rsid w:val="002A5329"/>
    <w:rsid w:val="002A5C2D"/>
    <w:rsid w:val="002A5CB3"/>
    <w:rsid w:val="002A61E5"/>
    <w:rsid w:val="002A74DD"/>
    <w:rsid w:val="002A7FC8"/>
    <w:rsid w:val="002B0A81"/>
    <w:rsid w:val="002B1CE7"/>
    <w:rsid w:val="002B2F0F"/>
    <w:rsid w:val="002B595D"/>
    <w:rsid w:val="002B5F6A"/>
    <w:rsid w:val="002B73EB"/>
    <w:rsid w:val="002B779E"/>
    <w:rsid w:val="002B7D6F"/>
    <w:rsid w:val="002B7D78"/>
    <w:rsid w:val="002C0552"/>
    <w:rsid w:val="002C0961"/>
    <w:rsid w:val="002C1CF7"/>
    <w:rsid w:val="002C1D11"/>
    <w:rsid w:val="002C25D0"/>
    <w:rsid w:val="002C280B"/>
    <w:rsid w:val="002C285B"/>
    <w:rsid w:val="002C2DB0"/>
    <w:rsid w:val="002C4D41"/>
    <w:rsid w:val="002C75B0"/>
    <w:rsid w:val="002C7703"/>
    <w:rsid w:val="002C7A63"/>
    <w:rsid w:val="002D0153"/>
    <w:rsid w:val="002D0985"/>
    <w:rsid w:val="002D1A66"/>
    <w:rsid w:val="002D403A"/>
    <w:rsid w:val="002D4262"/>
    <w:rsid w:val="002D46B7"/>
    <w:rsid w:val="002D4787"/>
    <w:rsid w:val="002D6163"/>
    <w:rsid w:val="002D6639"/>
    <w:rsid w:val="002E1064"/>
    <w:rsid w:val="002E2551"/>
    <w:rsid w:val="002E323F"/>
    <w:rsid w:val="002E5554"/>
    <w:rsid w:val="002E581A"/>
    <w:rsid w:val="002E59C4"/>
    <w:rsid w:val="002E5D24"/>
    <w:rsid w:val="002F1B12"/>
    <w:rsid w:val="002F2256"/>
    <w:rsid w:val="002F370B"/>
    <w:rsid w:val="002F530C"/>
    <w:rsid w:val="002F591B"/>
    <w:rsid w:val="002F5C70"/>
    <w:rsid w:val="002F7A80"/>
    <w:rsid w:val="002F7B47"/>
    <w:rsid w:val="002F7B4C"/>
    <w:rsid w:val="00300013"/>
    <w:rsid w:val="0030032D"/>
    <w:rsid w:val="003006F8"/>
    <w:rsid w:val="00300BF2"/>
    <w:rsid w:val="003027C1"/>
    <w:rsid w:val="0030299A"/>
    <w:rsid w:val="00302A25"/>
    <w:rsid w:val="00302E82"/>
    <w:rsid w:val="00304900"/>
    <w:rsid w:val="00304C13"/>
    <w:rsid w:val="00305718"/>
    <w:rsid w:val="00305EC5"/>
    <w:rsid w:val="00306107"/>
    <w:rsid w:val="0030621F"/>
    <w:rsid w:val="003077B8"/>
    <w:rsid w:val="00307E25"/>
    <w:rsid w:val="003111F8"/>
    <w:rsid w:val="00311280"/>
    <w:rsid w:val="0031204A"/>
    <w:rsid w:val="0031272B"/>
    <w:rsid w:val="0031354F"/>
    <w:rsid w:val="00315435"/>
    <w:rsid w:val="00317BF9"/>
    <w:rsid w:val="0032038C"/>
    <w:rsid w:val="00321889"/>
    <w:rsid w:val="00325C5E"/>
    <w:rsid w:val="00327149"/>
    <w:rsid w:val="0032738E"/>
    <w:rsid w:val="00331B40"/>
    <w:rsid w:val="00331C5F"/>
    <w:rsid w:val="00331E64"/>
    <w:rsid w:val="003325B9"/>
    <w:rsid w:val="00332E95"/>
    <w:rsid w:val="00333074"/>
    <w:rsid w:val="00333223"/>
    <w:rsid w:val="00333A43"/>
    <w:rsid w:val="00334F7E"/>
    <w:rsid w:val="003364C1"/>
    <w:rsid w:val="00337F82"/>
    <w:rsid w:val="00340640"/>
    <w:rsid w:val="00340810"/>
    <w:rsid w:val="003435D6"/>
    <w:rsid w:val="00343E09"/>
    <w:rsid w:val="003458E0"/>
    <w:rsid w:val="00345CCD"/>
    <w:rsid w:val="00350E6F"/>
    <w:rsid w:val="003511CE"/>
    <w:rsid w:val="00351909"/>
    <w:rsid w:val="00352BE0"/>
    <w:rsid w:val="0035333E"/>
    <w:rsid w:val="003538F0"/>
    <w:rsid w:val="003543A0"/>
    <w:rsid w:val="00354C39"/>
    <w:rsid w:val="00356863"/>
    <w:rsid w:val="00357DAE"/>
    <w:rsid w:val="003602A5"/>
    <w:rsid w:val="00361259"/>
    <w:rsid w:val="00361429"/>
    <w:rsid w:val="00362AA7"/>
    <w:rsid w:val="00363B11"/>
    <w:rsid w:val="003664E0"/>
    <w:rsid w:val="00366B2B"/>
    <w:rsid w:val="003672D6"/>
    <w:rsid w:val="003705BF"/>
    <w:rsid w:val="00370935"/>
    <w:rsid w:val="00371C1A"/>
    <w:rsid w:val="003724BD"/>
    <w:rsid w:val="00375D34"/>
    <w:rsid w:val="00375E52"/>
    <w:rsid w:val="00376E42"/>
    <w:rsid w:val="00380888"/>
    <w:rsid w:val="00380D9F"/>
    <w:rsid w:val="003819E1"/>
    <w:rsid w:val="00382234"/>
    <w:rsid w:val="00382348"/>
    <w:rsid w:val="00382561"/>
    <w:rsid w:val="003835D5"/>
    <w:rsid w:val="003852C0"/>
    <w:rsid w:val="00385A6A"/>
    <w:rsid w:val="0038672F"/>
    <w:rsid w:val="00386BC9"/>
    <w:rsid w:val="00386F24"/>
    <w:rsid w:val="003876AB"/>
    <w:rsid w:val="00387957"/>
    <w:rsid w:val="0039053D"/>
    <w:rsid w:val="00390C8F"/>
    <w:rsid w:val="00391F7D"/>
    <w:rsid w:val="00392A48"/>
    <w:rsid w:val="00392B8A"/>
    <w:rsid w:val="00392DD1"/>
    <w:rsid w:val="00393D2D"/>
    <w:rsid w:val="0039421D"/>
    <w:rsid w:val="0039449C"/>
    <w:rsid w:val="00394C03"/>
    <w:rsid w:val="00395E02"/>
    <w:rsid w:val="0039684C"/>
    <w:rsid w:val="003A0290"/>
    <w:rsid w:val="003A25BB"/>
    <w:rsid w:val="003A2B81"/>
    <w:rsid w:val="003A300D"/>
    <w:rsid w:val="003A3E7B"/>
    <w:rsid w:val="003A4566"/>
    <w:rsid w:val="003A7067"/>
    <w:rsid w:val="003A7742"/>
    <w:rsid w:val="003B09F6"/>
    <w:rsid w:val="003B0D03"/>
    <w:rsid w:val="003B1F0A"/>
    <w:rsid w:val="003B2C1F"/>
    <w:rsid w:val="003B329D"/>
    <w:rsid w:val="003B3684"/>
    <w:rsid w:val="003B5533"/>
    <w:rsid w:val="003B5A85"/>
    <w:rsid w:val="003B71EE"/>
    <w:rsid w:val="003B7621"/>
    <w:rsid w:val="003B7C64"/>
    <w:rsid w:val="003C0593"/>
    <w:rsid w:val="003C0DB7"/>
    <w:rsid w:val="003C13A6"/>
    <w:rsid w:val="003C1615"/>
    <w:rsid w:val="003C1EB4"/>
    <w:rsid w:val="003C2451"/>
    <w:rsid w:val="003C2A44"/>
    <w:rsid w:val="003C4E3A"/>
    <w:rsid w:val="003D0E1C"/>
    <w:rsid w:val="003D1E47"/>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8C4"/>
    <w:rsid w:val="003E6F3A"/>
    <w:rsid w:val="003F07EE"/>
    <w:rsid w:val="003F0C8B"/>
    <w:rsid w:val="003F1607"/>
    <w:rsid w:val="003F29F2"/>
    <w:rsid w:val="003F3C77"/>
    <w:rsid w:val="003F4258"/>
    <w:rsid w:val="003F458D"/>
    <w:rsid w:val="003F47DF"/>
    <w:rsid w:val="003F5660"/>
    <w:rsid w:val="003F6209"/>
    <w:rsid w:val="00400A8B"/>
    <w:rsid w:val="00401831"/>
    <w:rsid w:val="0040314A"/>
    <w:rsid w:val="004036D5"/>
    <w:rsid w:val="00405DAB"/>
    <w:rsid w:val="00405E17"/>
    <w:rsid w:val="00405E90"/>
    <w:rsid w:val="0040629D"/>
    <w:rsid w:val="004065CE"/>
    <w:rsid w:val="00406802"/>
    <w:rsid w:val="00407A2C"/>
    <w:rsid w:val="00407A61"/>
    <w:rsid w:val="004105DD"/>
    <w:rsid w:val="00410DCE"/>
    <w:rsid w:val="00412C0B"/>
    <w:rsid w:val="004138AD"/>
    <w:rsid w:val="0041404E"/>
    <w:rsid w:val="0041429D"/>
    <w:rsid w:val="004147D0"/>
    <w:rsid w:val="00414E1F"/>
    <w:rsid w:val="0041581E"/>
    <w:rsid w:val="004161E5"/>
    <w:rsid w:val="0041765C"/>
    <w:rsid w:val="00420837"/>
    <w:rsid w:val="00421EEC"/>
    <w:rsid w:val="00422337"/>
    <w:rsid w:val="00422933"/>
    <w:rsid w:val="00422F4B"/>
    <w:rsid w:val="00423003"/>
    <w:rsid w:val="004248B4"/>
    <w:rsid w:val="00424C66"/>
    <w:rsid w:val="0042526D"/>
    <w:rsid w:val="004254A2"/>
    <w:rsid w:val="00426D71"/>
    <w:rsid w:val="00430256"/>
    <w:rsid w:val="00430E3D"/>
    <w:rsid w:val="0043194D"/>
    <w:rsid w:val="00431BF1"/>
    <w:rsid w:val="00433D22"/>
    <w:rsid w:val="004342F8"/>
    <w:rsid w:val="00434A2F"/>
    <w:rsid w:val="00434B63"/>
    <w:rsid w:val="0044083A"/>
    <w:rsid w:val="004408FA"/>
    <w:rsid w:val="004434C0"/>
    <w:rsid w:val="0044552A"/>
    <w:rsid w:val="00445663"/>
    <w:rsid w:val="004461A4"/>
    <w:rsid w:val="00446612"/>
    <w:rsid w:val="00446C60"/>
    <w:rsid w:val="00450E44"/>
    <w:rsid w:val="00451433"/>
    <w:rsid w:val="00451501"/>
    <w:rsid w:val="004528D0"/>
    <w:rsid w:val="00453C86"/>
    <w:rsid w:val="00454564"/>
    <w:rsid w:val="004562E5"/>
    <w:rsid w:val="00457BC3"/>
    <w:rsid w:val="0046034D"/>
    <w:rsid w:val="00461801"/>
    <w:rsid w:val="00462272"/>
    <w:rsid w:val="00463248"/>
    <w:rsid w:val="0046390C"/>
    <w:rsid w:val="0046393E"/>
    <w:rsid w:val="00464569"/>
    <w:rsid w:val="00465D4E"/>
    <w:rsid w:val="00466381"/>
    <w:rsid w:val="00467393"/>
    <w:rsid w:val="00467BDD"/>
    <w:rsid w:val="004717F6"/>
    <w:rsid w:val="0047364D"/>
    <w:rsid w:val="0047481E"/>
    <w:rsid w:val="00474918"/>
    <w:rsid w:val="00475EAF"/>
    <w:rsid w:val="0047681C"/>
    <w:rsid w:val="00477BAC"/>
    <w:rsid w:val="004815F8"/>
    <w:rsid w:val="00481B83"/>
    <w:rsid w:val="00481E32"/>
    <w:rsid w:val="004831ED"/>
    <w:rsid w:val="004831FC"/>
    <w:rsid w:val="004836A7"/>
    <w:rsid w:val="004847B4"/>
    <w:rsid w:val="00484921"/>
    <w:rsid w:val="004863DD"/>
    <w:rsid w:val="00486614"/>
    <w:rsid w:val="00486816"/>
    <w:rsid w:val="00487E11"/>
    <w:rsid w:val="00487FB8"/>
    <w:rsid w:val="004900FE"/>
    <w:rsid w:val="00490F43"/>
    <w:rsid w:val="004919D4"/>
    <w:rsid w:val="00491FB2"/>
    <w:rsid w:val="0049200C"/>
    <w:rsid w:val="0049212C"/>
    <w:rsid w:val="00494C9E"/>
    <w:rsid w:val="00495C39"/>
    <w:rsid w:val="004975DB"/>
    <w:rsid w:val="004A1224"/>
    <w:rsid w:val="004A247B"/>
    <w:rsid w:val="004A28C5"/>
    <w:rsid w:val="004A2F59"/>
    <w:rsid w:val="004A3865"/>
    <w:rsid w:val="004A5E53"/>
    <w:rsid w:val="004A64B4"/>
    <w:rsid w:val="004A660C"/>
    <w:rsid w:val="004A6B44"/>
    <w:rsid w:val="004A6E0E"/>
    <w:rsid w:val="004B0B19"/>
    <w:rsid w:val="004B1E81"/>
    <w:rsid w:val="004B35F0"/>
    <w:rsid w:val="004B37A7"/>
    <w:rsid w:val="004B4426"/>
    <w:rsid w:val="004B44E1"/>
    <w:rsid w:val="004B5F2A"/>
    <w:rsid w:val="004B74B2"/>
    <w:rsid w:val="004C103D"/>
    <w:rsid w:val="004C12AF"/>
    <w:rsid w:val="004C1303"/>
    <w:rsid w:val="004C1399"/>
    <w:rsid w:val="004C1C09"/>
    <w:rsid w:val="004C2A17"/>
    <w:rsid w:val="004C2B0E"/>
    <w:rsid w:val="004C5507"/>
    <w:rsid w:val="004D0D6B"/>
    <w:rsid w:val="004D1E1A"/>
    <w:rsid w:val="004D1EFF"/>
    <w:rsid w:val="004D23A9"/>
    <w:rsid w:val="004D2683"/>
    <w:rsid w:val="004D29F5"/>
    <w:rsid w:val="004D2F90"/>
    <w:rsid w:val="004D660D"/>
    <w:rsid w:val="004D695B"/>
    <w:rsid w:val="004D749E"/>
    <w:rsid w:val="004D7804"/>
    <w:rsid w:val="004E0308"/>
    <w:rsid w:val="004E2825"/>
    <w:rsid w:val="004E3079"/>
    <w:rsid w:val="004E3276"/>
    <w:rsid w:val="004E3836"/>
    <w:rsid w:val="004E3B3F"/>
    <w:rsid w:val="004E586A"/>
    <w:rsid w:val="004E62E4"/>
    <w:rsid w:val="004E7C41"/>
    <w:rsid w:val="004F0E90"/>
    <w:rsid w:val="004F0F5B"/>
    <w:rsid w:val="004F1212"/>
    <w:rsid w:val="004F1C46"/>
    <w:rsid w:val="004F22B8"/>
    <w:rsid w:val="004F2437"/>
    <w:rsid w:val="004F2E6A"/>
    <w:rsid w:val="004F38E1"/>
    <w:rsid w:val="004F3DE6"/>
    <w:rsid w:val="004F4624"/>
    <w:rsid w:val="004F5573"/>
    <w:rsid w:val="004F5D8B"/>
    <w:rsid w:val="004F634F"/>
    <w:rsid w:val="004F7556"/>
    <w:rsid w:val="004F78BF"/>
    <w:rsid w:val="00500700"/>
    <w:rsid w:val="0050141B"/>
    <w:rsid w:val="00502638"/>
    <w:rsid w:val="005029BC"/>
    <w:rsid w:val="00502B87"/>
    <w:rsid w:val="0050346A"/>
    <w:rsid w:val="0050363B"/>
    <w:rsid w:val="00503FD8"/>
    <w:rsid w:val="00504472"/>
    <w:rsid w:val="005048E3"/>
    <w:rsid w:val="00504B6A"/>
    <w:rsid w:val="00505A77"/>
    <w:rsid w:val="00505CB3"/>
    <w:rsid w:val="005067C7"/>
    <w:rsid w:val="00506EB0"/>
    <w:rsid w:val="0050798C"/>
    <w:rsid w:val="00511059"/>
    <w:rsid w:val="0051207B"/>
    <w:rsid w:val="005136CD"/>
    <w:rsid w:val="005147B9"/>
    <w:rsid w:val="00514B1A"/>
    <w:rsid w:val="00514E2B"/>
    <w:rsid w:val="005150C5"/>
    <w:rsid w:val="00517351"/>
    <w:rsid w:val="00521860"/>
    <w:rsid w:val="00521CBE"/>
    <w:rsid w:val="00521D74"/>
    <w:rsid w:val="005222CC"/>
    <w:rsid w:val="005223D4"/>
    <w:rsid w:val="00522622"/>
    <w:rsid w:val="00522AD0"/>
    <w:rsid w:val="00523B5E"/>
    <w:rsid w:val="00524DD5"/>
    <w:rsid w:val="005250EE"/>
    <w:rsid w:val="00525AB1"/>
    <w:rsid w:val="005263E1"/>
    <w:rsid w:val="00526B01"/>
    <w:rsid w:val="00526C61"/>
    <w:rsid w:val="00527492"/>
    <w:rsid w:val="005277F5"/>
    <w:rsid w:val="005310C1"/>
    <w:rsid w:val="00531934"/>
    <w:rsid w:val="005328A9"/>
    <w:rsid w:val="00532994"/>
    <w:rsid w:val="005329BE"/>
    <w:rsid w:val="00533515"/>
    <w:rsid w:val="005342DE"/>
    <w:rsid w:val="00534AC0"/>
    <w:rsid w:val="00535557"/>
    <w:rsid w:val="0053606A"/>
    <w:rsid w:val="005361A9"/>
    <w:rsid w:val="005369C0"/>
    <w:rsid w:val="00536B92"/>
    <w:rsid w:val="00540811"/>
    <w:rsid w:val="00540B25"/>
    <w:rsid w:val="00540D82"/>
    <w:rsid w:val="00541254"/>
    <w:rsid w:val="005421CC"/>
    <w:rsid w:val="00542BA5"/>
    <w:rsid w:val="00544841"/>
    <w:rsid w:val="00546AD7"/>
    <w:rsid w:val="00547058"/>
    <w:rsid w:val="00547CD4"/>
    <w:rsid w:val="00547E34"/>
    <w:rsid w:val="00547EB8"/>
    <w:rsid w:val="00552FC2"/>
    <w:rsid w:val="00553B0A"/>
    <w:rsid w:val="00553DA2"/>
    <w:rsid w:val="005543FB"/>
    <w:rsid w:val="00555623"/>
    <w:rsid w:val="005562DC"/>
    <w:rsid w:val="00556712"/>
    <w:rsid w:val="00556725"/>
    <w:rsid w:val="00556B4B"/>
    <w:rsid w:val="00557A85"/>
    <w:rsid w:val="005606B5"/>
    <w:rsid w:val="00560E2D"/>
    <w:rsid w:val="005615AA"/>
    <w:rsid w:val="0056170C"/>
    <w:rsid w:val="00562BAD"/>
    <w:rsid w:val="0056365E"/>
    <w:rsid w:val="00565C77"/>
    <w:rsid w:val="00566181"/>
    <w:rsid w:val="005708BD"/>
    <w:rsid w:val="00572E62"/>
    <w:rsid w:val="0057317E"/>
    <w:rsid w:val="005731D3"/>
    <w:rsid w:val="005735F0"/>
    <w:rsid w:val="00573C7D"/>
    <w:rsid w:val="00574906"/>
    <w:rsid w:val="00574E9E"/>
    <w:rsid w:val="005752BC"/>
    <w:rsid w:val="0057622F"/>
    <w:rsid w:val="00577772"/>
    <w:rsid w:val="00577977"/>
    <w:rsid w:val="00581719"/>
    <w:rsid w:val="00581D30"/>
    <w:rsid w:val="0058259C"/>
    <w:rsid w:val="00583362"/>
    <w:rsid w:val="00584245"/>
    <w:rsid w:val="00584C2D"/>
    <w:rsid w:val="00584D80"/>
    <w:rsid w:val="00586535"/>
    <w:rsid w:val="00586BB5"/>
    <w:rsid w:val="00586DFB"/>
    <w:rsid w:val="00587C83"/>
    <w:rsid w:val="005905BC"/>
    <w:rsid w:val="005909CB"/>
    <w:rsid w:val="00590B75"/>
    <w:rsid w:val="00590DAA"/>
    <w:rsid w:val="0059205C"/>
    <w:rsid w:val="00592349"/>
    <w:rsid w:val="00592A28"/>
    <w:rsid w:val="00592D49"/>
    <w:rsid w:val="00592EAB"/>
    <w:rsid w:val="005955BA"/>
    <w:rsid w:val="00596F3F"/>
    <w:rsid w:val="00596F9B"/>
    <w:rsid w:val="00597EEF"/>
    <w:rsid w:val="005A1C4E"/>
    <w:rsid w:val="005A2E0C"/>
    <w:rsid w:val="005A3678"/>
    <w:rsid w:val="005A3DAF"/>
    <w:rsid w:val="005A4251"/>
    <w:rsid w:val="005A4A1A"/>
    <w:rsid w:val="005A5957"/>
    <w:rsid w:val="005A61D3"/>
    <w:rsid w:val="005A6E70"/>
    <w:rsid w:val="005A7C0B"/>
    <w:rsid w:val="005A7E70"/>
    <w:rsid w:val="005B1A53"/>
    <w:rsid w:val="005B2AF7"/>
    <w:rsid w:val="005B40E8"/>
    <w:rsid w:val="005B6A94"/>
    <w:rsid w:val="005B6DAA"/>
    <w:rsid w:val="005B7314"/>
    <w:rsid w:val="005B7C27"/>
    <w:rsid w:val="005B7D8B"/>
    <w:rsid w:val="005C03F6"/>
    <w:rsid w:val="005C0475"/>
    <w:rsid w:val="005C1569"/>
    <w:rsid w:val="005C224F"/>
    <w:rsid w:val="005C348A"/>
    <w:rsid w:val="005C3C1A"/>
    <w:rsid w:val="005C4604"/>
    <w:rsid w:val="005C46D8"/>
    <w:rsid w:val="005C4BEE"/>
    <w:rsid w:val="005C6E74"/>
    <w:rsid w:val="005C732E"/>
    <w:rsid w:val="005C781C"/>
    <w:rsid w:val="005D13ED"/>
    <w:rsid w:val="005D17E1"/>
    <w:rsid w:val="005D181E"/>
    <w:rsid w:val="005D1E16"/>
    <w:rsid w:val="005D330E"/>
    <w:rsid w:val="005D7A35"/>
    <w:rsid w:val="005E005D"/>
    <w:rsid w:val="005E034F"/>
    <w:rsid w:val="005E0475"/>
    <w:rsid w:val="005E09A7"/>
    <w:rsid w:val="005E198B"/>
    <w:rsid w:val="005E19D9"/>
    <w:rsid w:val="005E1D35"/>
    <w:rsid w:val="005E2A31"/>
    <w:rsid w:val="005E3D2F"/>
    <w:rsid w:val="005E3EA5"/>
    <w:rsid w:val="005E442F"/>
    <w:rsid w:val="005E54A3"/>
    <w:rsid w:val="005E5625"/>
    <w:rsid w:val="005E61D8"/>
    <w:rsid w:val="005E63E9"/>
    <w:rsid w:val="005E6F2B"/>
    <w:rsid w:val="005E7E2C"/>
    <w:rsid w:val="005F1ADE"/>
    <w:rsid w:val="005F29CD"/>
    <w:rsid w:val="005F3175"/>
    <w:rsid w:val="005F3436"/>
    <w:rsid w:val="005F3506"/>
    <w:rsid w:val="005F41D8"/>
    <w:rsid w:val="005F4739"/>
    <w:rsid w:val="005F4B42"/>
    <w:rsid w:val="005F6228"/>
    <w:rsid w:val="005F642B"/>
    <w:rsid w:val="005F67FC"/>
    <w:rsid w:val="005F6A96"/>
    <w:rsid w:val="005F7F41"/>
    <w:rsid w:val="00601630"/>
    <w:rsid w:val="00601A28"/>
    <w:rsid w:val="006026E1"/>
    <w:rsid w:val="006030FB"/>
    <w:rsid w:val="00603A90"/>
    <w:rsid w:val="00604A58"/>
    <w:rsid w:val="00605163"/>
    <w:rsid w:val="006051E2"/>
    <w:rsid w:val="00605BC3"/>
    <w:rsid w:val="006065BF"/>
    <w:rsid w:val="00606F5E"/>
    <w:rsid w:val="006070AD"/>
    <w:rsid w:val="006070EA"/>
    <w:rsid w:val="00607ABE"/>
    <w:rsid w:val="00607F53"/>
    <w:rsid w:val="006103D0"/>
    <w:rsid w:val="0061103A"/>
    <w:rsid w:val="00611EAE"/>
    <w:rsid w:val="0061364A"/>
    <w:rsid w:val="00613BEA"/>
    <w:rsid w:val="0061402C"/>
    <w:rsid w:val="0061595F"/>
    <w:rsid w:val="00615A79"/>
    <w:rsid w:val="00616179"/>
    <w:rsid w:val="0061675B"/>
    <w:rsid w:val="0062052B"/>
    <w:rsid w:val="00620797"/>
    <w:rsid w:val="00620F8F"/>
    <w:rsid w:val="00621A86"/>
    <w:rsid w:val="00623401"/>
    <w:rsid w:val="00623E92"/>
    <w:rsid w:val="006258B8"/>
    <w:rsid w:val="00625C40"/>
    <w:rsid w:val="0062611B"/>
    <w:rsid w:val="0062706E"/>
    <w:rsid w:val="00627E7C"/>
    <w:rsid w:val="00630CFF"/>
    <w:rsid w:val="0063110C"/>
    <w:rsid w:val="00631369"/>
    <w:rsid w:val="00632481"/>
    <w:rsid w:val="0063262D"/>
    <w:rsid w:val="0063268B"/>
    <w:rsid w:val="0063390E"/>
    <w:rsid w:val="00634673"/>
    <w:rsid w:val="00635861"/>
    <w:rsid w:val="0063678C"/>
    <w:rsid w:val="00637BBD"/>
    <w:rsid w:val="00640D17"/>
    <w:rsid w:val="006417A1"/>
    <w:rsid w:val="00641A99"/>
    <w:rsid w:val="00641CCA"/>
    <w:rsid w:val="00642768"/>
    <w:rsid w:val="00642A84"/>
    <w:rsid w:val="0064411F"/>
    <w:rsid w:val="00645E69"/>
    <w:rsid w:val="00646130"/>
    <w:rsid w:val="00646ACE"/>
    <w:rsid w:val="00646E21"/>
    <w:rsid w:val="006474C0"/>
    <w:rsid w:val="00647927"/>
    <w:rsid w:val="00650B2D"/>
    <w:rsid w:val="00652880"/>
    <w:rsid w:val="00652B9B"/>
    <w:rsid w:val="00652F78"/>
    <w:rsid w:val="00653743"/>
    <w:rsid w:val="00653DD9"/>
    <w:rsid w:val="00654119"/>
    <w:rsid w:val="00654E6A"/>
    <w:rsid w:val="00654EC2"/>
    <w:rsid w:val="006551FC"/>
    <w:rsid w:val="006575F3"/>
    <w:rsid w:val="00660871"/>
    <w:rsid w:val="006613E1"/>
    <w:rsid w:val="0066176D"/>
    <w:rsid w:val="00662809"/>
    <w:rsid w:val="00663823"/>
    <w:rsid w:val="00664E08"/>
    <w:rsid w:val="006650D0"/>
    <w:rsid w:val="0066774D"/>
    <w:rsid w:val="00667F42"/>
    <w:rsid w:val="00671284"/>
    <w:rsid w:val="006727FC"/>
    <w:rsid w:val="006728AB"/>
    <w:rsid w:val="00673906"/>
    <w:rsid w:val="006756CD"/>
    <w:rsid w:val="006758F4"/>
    <w:rsid w:val="00676E5B"/>
    <w:rsid w:val="006774D8"/>
    <w:rsid w:val="00677D6B"/>
    <w:rsid w:val="00680795"/>
    <w:rsid w:val="00680E75"/>
    <w:rsid w:val="00682713"/>
    <w:rsid w:val="006828C5"/>
    <w:rsid w:val="00683451"/>
    <w:rsid w:val="00683579"/>
    <w:rsid w:val="006843F4"/>
    <w:rsid w:val="00684598"/>
    <w:rsid w:val="006854CE"/>
    <w:rsid w:val="006867C3"/>
    <w:rsid w:val="00686B47"/>
    <w:rsid w:val="0068790B"/>
    <w:rsid w:val="006906E4"/>
    <w:rsid w:val="00691C54"/>
    <w:rsid w:val="00691E49"/>
    <w:rsid w:val="006922DC"/>
    <w:rsid w:val="00692513"/>
    <w:rsid w:val="006928E4"/>
    <w:rsid w:val="006941DD"/>
    <w:rsid w:val="006943D1"/>
    <w:rsid w:val="0069466B"/>
    <w:rsid w:val="00694795"/>
    <w:rsid w:val="00695014"/>
    <w:rsid w:val="00696AA8"/>
    <w:rsid w:val="006979BF"/>
    <w:rsid w:val="006A2427"/>
    <w:rsid w:val="006A257C"/>
    <w:rsid w:val="006A2615"/>
    <w:rsid w:val="006A4158"/>
    <w:rsid w:val="006A4AA7"/>
    <w:rsid w:val="006A4E15"/>
    <w:rsid w:val="006A5866"/>
    <w:rsid w:val="006A5AA2"/>
    <w:rsid w:val="006A5E4F"/>
    <w:rsid w:val="006A6358"/>
    <w:rsid w:val="006A643C"/>
    <w:rsid w:val="006A76A9"/>
    <w:rsid w:val="006A773D"/>
    <w:rsid w:val="006A77E9"/>
    <w:rsid w:val="006B0F54"/>
    <w:rsid w:val="006B12C6"/>
    <w:rsid w:val="006B1F4D"/>
    <w:rsid w:val="006B415B"/>
    <w:rsid w:val="006B4C95"/>
    <w:rsid w:val="006B4CBA"/>
    <w:rsid w:val="006B59AD"/>
    <w:rsid w:val="006B6F1A"/>
    <w:rsid w:val="006B6FEB"/>
    <w:rsid w:val="006B7542"/>
    <w:rsid w:val="006C0A59"/>
    <w:rsid w:val="006C19EE"/>
    <w:rsid w:val="006C2E46"/>
    <w:rsid w:val="006C3B05"/>
    <w:rsid w:val="006C4E45"/>
    <w:rsid w:val="006C5071"/>
    <w:rsid w:val="006C5EE1"/>
    <w:rsid w:val="006C61B1"/>
    <w:rsid w:val="006C6DB8"/>
    <w:rsid w:val="006D0669"/>
    <w:rsid w:val="006D0B28"/>
    <w:rsid w:val="006D1838"/>
    <w:rsid w:val="006D1D4E"/>
    <w:rsid w:val="006D1E32"/>
    <w:rsid w:val="006D3771"/>
    <w:rsid w:val="006D440A"/>
    <w:rsid w:val="006D5599"/>
    <w:rsid w:val="006D56BD"/>
    <w:rsid w:val="006D592F"/>
    <w:rsid w:val="006D62BE"/>
    <w:rsid w:val="006D7B71"/>
    <w:rsid w:val="006E0006"/>
    <w:rsid w:val="006E01BB"/>
    <w:rsid w:val="006E0DF6"/>
    <w:rsid w:val="006E1BDE"/>
    <w:rsid w:val="006E336C"/>
    <w:rsid w:val="006E35A9"/>
    <w:rsid w:val="006E3B9E"/>
    <w:rsid w:val="006E4A27"/>
    <w:rsid w:val="006E4DF1"/>
    <w:rsid w:val="006E5828"/>
    <w:rsid w:val="006E6BB9"/>
    <w:rsid w:val="006E744E"/>
    <w:rsid w:val="006E784F"/>
    <w:rsid w:val="006F0B0E"/>
    <w:rsid w:val="006F0B4F"/>
    <w:rsid w:val="006F0E97"/>
    <w:rsid w:val="006F1592"/>
    <w:rsid w:val="006F2DF3"/>
    <w:rsid w:val="006F2DF9"/>
    <w:rsid w:val="006F3572"/>
    <w:rsid w:val="006F3C6F"/>
    <w:rsid w:val="006F41C6"/>
    <w:rsid w:val="006F5DD9"/>
    <w:rsid w:val="006F6FA2"/>
    <w:rsid w:val="006F7493"/>
    <w:rsid w:val="007001D0"/>
    <w:rsid w:val="00700CE3"/>
    <w:rsid w:val="00701498"/>
    <w:rsid w:val="00701E70"/>
    <w:rsid w:val="007049BB"/>
    <w:rsid w:val="00704BB6"/>
    <w:rsid w:val="00704F47"/>
    <w:rsid w:val="00705001"/>
    <w:rsid w:val="00705BC0"/>
    <w:rsid w:val="007072C2"/>
    <w:rsid w:val="0070746B"/>
    <w:rsid w:val="007075CA"/>
    <w:rsid w:val="00710C02"/>
    <w:rsid w:val="0071151E"/>
    <w:rsid w:val="007118AC"/>
    <w:rsid w:val="00711FC7"/>
    <w:rsid w:val="0071482B"/>
    <w:rsid w:val="00714C8F"/>
    <w:rsid w:val="00715A32"/>
    <w:rsid w:val="00716F57"/>
    <w:rsid w:val="00717A74"/>
    <w:rsid w:val="00720EA2"/>
    <w:rsid w:val="00721409"/>
    <w:rsid w:val="00721CE0"/>
    <w:rsid w:val="007221A2"/>
    <w:rsid w:val="00722935"/>
    <w:rsid w:val="0072389E"/>
    <w:rsid w:val="00723BA8"/>
    <w:rsid w:val="00724257"/>
    <w:rsid w:val="00726FDE"/>
    <w:rsid w:val="00727815"/>
    <w:rsid w:val="007301A7"/>
    <w:rsid w:val="00730E31"/>
    <w:rsid w:val="00732889"/>
    <w:rsid w:val="00733697"/>
    <w:rsid w:val="007346F8"/>
    <w:rsid w:val="00734BA4"/>
    <w:rsid w:val="00734D66"/>
    <w:rsid w:val="00734E06"/>
    <w:rsid w:val="00736E9D"/>
    <w:rsid w:val="00736FD3"/>
    <w:rsid w:val="007373FA"/>
    <w:rsid w:val="007375F1"/>
    <w:rsid w:val="00737E7D"/>
    <w:rsid w:val="0074063F"/>
    <w:rsid w:val="00740703"/>
    <w:rsid w:val="00740EF1"/>
    <w:rsid w:val="00741BF8"/>
    <w:rsid w:val="0074250E"/>
    <w:rsid w:val="007425AD"/>
    <w:rsid w:val="00742EE3"/>
    <w:rsid w:val="007437BA"/>
    <w:rsid w:val="007444E7"/>
    <w:rsid w:val="00744D5F"/>
    <w:rsid w:val="00744DBD"/>
    <w:rsid w:val="00745398"/>
    <w:rsid w:val="00746FC3"/>
    <w:rsid w:val="00747B90"/>
    <w:rsid w:val="00750AB7"/>
    <w:rsid w:val="00750FD9"/>
    <w:rsid w:val="00751DCE"/>
    <w:rsid w:val="00753560"/>
    <w:rsid w:val="00754870"/>
    <w:rsid w:val="007561F0"/>
    <w:rsid w:val="00756632"/>
    <w:rsid w:val="0075754A"/>
    <w:rsid w:val="00757E29"/>
    <w:rsid w:val="00760554"/>
    <w:rsid w:val="0076083D"/>
    <w:rsid w:val="00761DC2"/>
    <w:rsid w:val="00762B1E"/>
    <w:rsid w:val="00764B94"/>
    <w:rsid w:val="007652E2"/>
    <w:rsid w:val="00765A82"/>
    <w:rsid w:val="00766434"/>
    <w:rsid w:val="00770E10"/>
    <w:rsid w:val="00771E5C"/>
    <w:rsid w:val="00772107"/>
    <w:rsid w:val="00772970"/>
    <w:rsid w:val="00772BA7"/>
    <w:rsid w:val="00773E30"/>
    <w:rsid w:val="007742FF"/>
    <w:rsid w:val="00774A83"/>
    <w:rsid w:val="00775146"/>
    <w:rsid w:val="0077566D"/>
    <w:rsid w:val="00776097"/>
    <w:rsid w:val="007766A5"/>
    <w:rsid w:val="00776CC8"/>
    <w:rsid w:val="00776E39"/>
    <w:rsid w:val="0078016D"/>
    <w:rsid w:val="00781778"/>
    <w:rsid w:val="00781B12"/>
    <w:rsid w:val="00782098"/>
    <w:rsid w:val="00782467"/>
    <w:rsid w:val="00783D75"/>
    <w:rsid w:val="007857E3"/>
    <w:rsid w:val="00786231"/>
    <w:rsid w:val="0078664E"/>
    <w:rsid w:val="00787C44"/>
    <w:rsid w:val="0079000B"/>
    <w:rsid w:val="007900CB"/>
    <w:rsid w:val="007905B2"/>
    <w:rsid w:val="00790E9B"/>
    <w:rsid w:val="007917E7"/>
    <w:rsid w:val="007927C6"/>
    <w:rsid w:val="0079348E"/>
    <w:rsid w:val="00793EEB"/>
    <w:rsid w:val="0079405B"/>
    <w:rsid w:val="00795679"/>
    <w:rsid w:val="0079797F"/>
    <w:rsid w:val="007A05F4"/>
    <w:rsid w:val="007A0BB9"/>
    <w:rsid w:val="007A14E8"/>
    <w:rsid w:val="007A1D73"/>
    <w:rsid w:val="007A3FD7"/>
    <w:rsid w:val="007A4023"/>
    <w:rsid w:val="007A5445"/>
    <w:rsid w:val="007A5A94"/>
    <w:rsid w:val="007A5E11"/>
    <w:rsid w:val="007A5E15"/>
    <w:rsid w:val="007A6C47"/>
    <w:rsid w:val="007A7BF4"/>
    <w:rsid w:val="007B31F7"/>
    <w:rsid w:val="007B347F"/>
    <w:rsid w:val="007B39F6"/>
    <w:rsid w:val="007B4481"/>
    <w:rsid w:val="007B5A98"/>
    <w:rsid w:val="007B5E30"/>
    <w:rsid w:val="007B5E45"/>
    <w:rsid w:val="007C095B"/>
    <w:rsid w:val="007C1DB0"/>
    <w:rsid w:val="007C2270"/>
    <w:rsid w:val="007C27D4"/>
    <w:rsid w:val="007C296E"/>
    <w:rsid w:val="007C29A7"/>
    <w:rsid w:val="007C4720"/>
    <w:rsid w:val="007C4CCE"/>
    <w:rsid w:val="007C4E66"/>
    <w:rsid w:val="007C570A"/>
    <w:rsid w:val="007C6011"/>
    <w:rsid w:val="007C7D49"/>
    <w:rsid w:val="007C7DE5"/>
    <w:rsid w:val="007D0EEB"/>
    <w:rsid w:val="007D1D99"/>
    <w:rsid w:val="007D4D2A"/>
    <w:rsid w:val="007D5E52"/>
    <w:rsid w:val="007D6962"/>
    <w:rsid w:val="007D763D"/>
    <w:rsid w:val="007D77A3"/>
    <w:rsid w:val="007E00B1"/>
    <w:rsid w:val="007E059F"/>
    <w:rsid w:val="007E0749"/>
    <w:rsid w:val="007E2F87"/>
    <w:rsid w:val="007E334F"/>
    <w:rsid w:val="007E3AC7"/>
    <w:rsid w:val="007E4155"/>
    <w:rsid w:val="007E4214"/>
    <w:rsid w:val="007E57B5"/>
    <w:rsid w:val="007E5D39"/>
    <w:rsid w:val="007E66C8"/>
    <w:rsid w:val="007E67BD"/>
    <w:rsid w:val="007E6BBD"/>
    <w:rsid w:val="007E6BF3"/>
    <w:rsid w:val="007F06E1"/>
    <w:rsid w:val="007F0C09"/>
    <w:rsid w:val="007F3E75"/>
    <w:rsid w:val="007F4556"/>
    <w:rsid w:val="007F517F"/>
    <w:rsid w:val="007F6391"/>
    <w:rsid w:val="007F6CAD"/>
    <w:rsid w:val="007F6FB8"/>
    <w:rsid w:val="007F7481"/>
    <w:rsid w:val="007F76FF"/>
    <w:rsid w:val="007F7E83"/>
    <w:rsid w:val="00801491"/>
    <w:rsid w:val="008015A7"/>
    <w:rsid w:val="00801B8F"/>
    <w:rsid w:val="00801C4A"/>
    <w:rsid w:val="00801EF6"/>
    <w:rsid w:val="00802AEC"/>
    <w:rsid w:val="00803099"/>
    <w:rsid w:val="0080406C"/>
    <w:rsid w:val="00804532"/>
    <w:rsid w:val="00804E8F"/>
    <w:rsid w:val="0080562C"/>
    <w:rsid w:val="008071D0"/>
    <w:rsid w:val="00807674"/>
    <w:rsid w:val="00807CDC"/>
    <w:rsid w:val="0081037F"/>
    <w:rsid w:val="0081066B"/>
    <w:rsid w:val="00810809"/>
    <w:rsid w:val="00810C6A"/>
    <w:rsid w:val="00810C86"/>
    <w:rsid w:val="00812350"/>
    <w:rsid w:val="00812369"/>
    <w:rsid w:val="00812741"/>
    <w:rsid w:val="008128E3"/>
    <w:rsid w:val="00812B12"/>
    <w:rsid w:val="00813C93"/>
    <w:rsid w:val="00815871"/>
    <w:rsid w:val="0082012F"/>
    <w:rsid w:val="00821789"/>
    <w:rsid w:val="0082180B"/>
    <w:rsid w:val="00821BC9"/>
    <w:rsid w:val="0082356C"/>
    <w:rsid w:val="00823C7E"/>
    <w:rsid w:val="00825147"/>
    <w:rsid w:val="00825D4F"/>
    <w:rsid w:val="00830017"/>
    <w:rsid w:val="00830787"/>
    <w:rsid w:val="00830DC9"/>
    <w:rsid w:val="00831489"/>
    <w:rsid w:val="008317AE"/>
    <w:rsid w:val="0083297D"/>
    <w:rsid w:val="00833A6A"/>
    <w:rsid w:val="00833E2F"/>
    <w:rsid w:val="00834240"/>
    <w:rsid w:val="00834F9A"/>
    <w:rsid w:val="008368F3"/>
    <w:rsid w:val="008374C7"/>
    <w:rsid w:val="008400A8"/>
    <w:rsid w:val="0084156A"/>
    <w:rsid w:val="008427B1"/>
    <w:rsid w:val="008449FF"/>
    <w:rsid w:val="00845E77"/>
    <w:rsid w:val="0084601D"/>
    <w:rsid w:val="008462FB"/>
    <w:rsid w:val="00846C73"/>
    <w:rsid w:val="008500CD"/>
    <w:rsid w:val="00850462"/>
    <w:rsid w:val="0085161D"/>
    <w:rsid w:val="00852EEF"/>
    <w:rsid w:val="00855597"/>
    <w:rsid w:val="00855780"/>
    <w:rsid w:val="008557AA"/>
    <w:rsid w:val="00856178"/>
    <w:rsid w:val="008562F9"/>
    <w:rsid w:val="008567C0"/>
    <w:rsid w:val="00856C69"/>
    <w:rsid w:val="008570AB"/>
    <w:rsid w:val="008575D5"/>
    <w:rsid w:val="00862545"/>
    <w:rsid w:val="00862D62"/>
    <w:rsid w:val="00863356"/>
    <w:rsid w:val="00864544"/>
    <w:rsid w:val="008653B5"/>
    <w:rsid w:val="00865A76"/>
    <w:rsid w:val="008663D7"/>
    <w:rsid w:val="0086730B"/>
    <w:rsid w:val="008674DC"/>
    <w:rsid w:val="008679E6"/>
    <w:rsid w:val="00867A0F"/>
    <w:rsid w:val="00871811"/>
    <w:rsid w:val="00872E1F"/>
    <w:rsid w:val="00873942"/>
    <w:rsid w:val="0087400E"/>
    <w:rsid w:val="00876329"/>
    <w:rsid w:val="00880558"/>
    <w:rsid w:val="00881DD6"/>
    <w:rsid w:val="00882ED0"/>
    <w:rsid w:val="00883894"/>
    <w:rsid w:val="00883AF5"/>
    <w:rsid w:val="008844B5"/>
    <w:rsid w:val="00884639"/>
    <w:rsid w:val="00885DA2"/>
    <w:rsid w:val="00885E17"/>
    <w:rsid w:val="00886342"/>
    <w:rsid w:val="008875DE"/>
    <w:rsid w:val="0089074D"/>
    <w:rsid w:val="0089092F"/>
    <w:rsid w:val="008910DE"/>
    <w:rsid w:val="00893594"/>
    <w:rsid w:val="008947EA"/>
    <w:rsid w:val="00894ABF"/>
    <w:rsid w:val="00895FFF"/>
    <w:rsid w:val="00896FF4"/>
    <w:rsid w:val="008A0E85"/>
    <w:rsid w:val="008A1390"/>
    <w:rsid w:val="008A15CB"/>
    <w:rsid w:val="008A1894"/>
    <w:rsid w:val="008A1D08"/>
    <w:rsid w:val="008A1DDE"/>
    <w:rsid w:val="008A2056"/>
    <w:rsid w:val="008A2254"/>
    <w:rsid w:val="008A2544"/>
    <w:rsid w:val="008A293B"/>
    <w:rsid w:val="008A34CE"/>
    <w:rsid w:val="008A371D"/>
    <w:rsid w:val="008A5443"/>
    <w:rsid w:val="008A55A8"/>
    <w:rsid w:val="008A5F01"/>
    <w:rsid w:val="008A6B66"/>
    <w:rsid w:val="008A7078"/>
    <w:rsid w:val="008B0969"/>
    <w:rsid w:val="008B11D0"/>
    <w:rsid w:val="008B32B6"/>
    <w:rsid w:val="008B340B"/>
    <w:rsid w:val="008B3C1E"/>
    <w:rsid w:val="008B4464"/>
    <w:rsid w:val="008B4788"/>
    <w:rsid w:val="008B4BF2"/>
    <w:rsid w:val="008B56E5"/>
    <w:rsid w:val="008B5AFD"/>
    <w:rsid w:val="008B6650"/>
    <w:rsid w:val="008B729C"/>
    <w:rsid w:val="008B777D"/>
    <w:rsid w:val="008B7A4E"/>
    <w:rsid w:val="008C0C99"/>
    <w:rsid w:val="008C1506"/>
    <w:rsid w:val="008C2D30"/>
    <w:rsid w:val="008C33F2"/>
    <w:rsid w:val="008C444D"/>
    <w:rsid w:val="008C4A2B"/>
    <w:rsid w:val="008C6C92"/>
    <w:rsid w:val="008C77F7"/>
    <w:rsid w:val="008D0262"/>
    <w:rsid w:val="008D033E"/>
    <w:rsid w:val="008D0AE4"/>
    <w:rsid w:val="008D1B0D"/>
    <w:rsid w:val="008D20E6"/>
    <w:rsid w:val="008D2F52"/>
    <w:rsid w:val="008D3E19"/>
    <w:rsid w:val="008D3E62"/>
    <w:rsid w:val="008D4BEF"/>
    <w:rsid w:val="008D57A4"/>
    <w:rsid w:val="008D5F06"/>
    <w:rsid w:val="008D6B57"/>
    <w:rsid w:val="008D74C3"/>
    <w:rsid w:val="008D7DFC"/>
    <w:rsid w:val="008E00FD"/>
    <w:rsid w:val="008E07C6"/>
    <w:rsid w:val="008E152D"/>
    <w:rsid w:val="008E3214"/>
    <w:rsid w:val="008E33EA"/>
    <w:rsid w:val="008E3557"/>
    <w:rsid w:val="008E4180"/>
    <w:rsid w:val="008E4ECE"/>
    <w:rsid w:val="008E56E5"/>
    <w:rsid w:val="008E5BB7"/>
    <w:rsid w:val="008E5F84"/>
    <w:rsid w:val="008E6A1B"/>
    <w:rsid w:val="008E6FAD"/>
    <w:rsid w:val="008E6FF6"/>
    <w:rsid w:val="008E72E5"/>
    <w:rsid w:val="008E79F9"/>
    <w:rsid w:val="008E7DCC"/>
    <w:rsid w:val="008F0EA9"/>
    <w:rsid w:val="008F1B1E"/>
    <w:rsid w:val="008F27CE"/>
    <w:rsid w:val="008F2B7E"/>
    <w:rsid w:val="008F31DF"/>
    <w:rsid w:val="008F37B7"/>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394F"/>
    <w:rsid w:val="009054D3"/>
    <w:rsid w:val="00905587"/>
    <w:rsid w:val="009057D3"/>
    <w:rsid w:val="00906722"/>
    <w:rsid w:val="009077D7"/>
    <w:rsid w:val="00907B9D"/>
    <w:rsid w:val="00910CFA"/>
    <w:rsid w:val="009125D2"/>
    <w:rsid w:val="00914007"/>
    <w:rsid w:val="00915689"/>
    <w:rsid w:val="00915E3F"/>
    <w:rsid w:val="00915F49"/>
    <w:rsid w:val="00915F97"/>
    <w:rsid w:val="009179EB"/>
    <w:rsid w:val="0092273F"/>
    <w:rsid w:val="00922830"/>
    <w:rsid w:val="009238F1"/>
    <w:rsid w:val="009249B4"/>
    <w:rsid w:val="00926716"/>
    <w:rsid w:val="009270DB"/>
    <w:rsid w:val="00930413"/>
    <w:rsid w:val="00930BEB"/>
    <w:rsid w:val="009323DF"/>
    <w:rsid w:val="00932AFC"/>
    <w:rsid w:val="0093389C"/>
    <w:rsid w:val="00933A7D"/>
    <w:rsid w:val="00933DA9"/>
    <w:rsid w:val="0093452F"/>
    <w:rsid w:val="0093491F"/>
    <w:rsid w:val="00935E14"/>
    <w:rsid w:val="00937423"/>
    <w:rsid w:val="0094099D"/>
    <w:rsid w:val="00941E4F"/>
    <w:rsid w:val="0094231C"/>
    <w:rsid w:val="00942454"/>
    <w:rsid w:val="0094480E"/>
    <w:rsid w:val="00947B5B"/>
    <w:rsid w:val="00950281"/>
    <w:rsid w:val="00951416"/>
    <w:rsid w:val="00951BD3"/>
    <w:rsid w:val="009529FD"/>
    <w:rsid w:val="00952B8F"/>
    <w:rsid w:val="009531A4"/>
    <w:rsid w:val="00954266"/>
    <w:rsid w:val="0095496C"/>
    <w:rsid w:val="00954D3B"/>
    <w:rsid w:val="0095569B"/>
    <w:rsid w:val="009559F2"/>
    <w:rsid w:val="009562CC"/>
    <w:rsid w:val="0095695E"/>
    <w:rsid w:val="00957310"/>
    <w:rsid w:val="0095750D"/>
    <w:rsid w:val="00960B83"/>
    <w:rsid w:val="00962B8F"/>
    <w:rsid w:val="009637E4"/>
    <w:rsid w:val="009640AF"/>
    <w:rsid w:val="00964464"/>
    <w:rsid w:val="00965665"/>
    <w:rsid w:val="0096632E"/>
    <w:rsid w:val="00966D4F"/>
    <w:rsid w:val="0097069A"/>
    <w:rsid w:val="00970E65"/>
    <w:rsid w:val="0097102C"/>
    <w:rsid w:val="00971CBF"/>
    <w:rsid w:val="00971F52"/>
    <w:rsid w:val="0097202E"/>
    <w:rsid w:val="00972E0B"/>
    <w:rsid w:val="00973EAB"/>
    <w:rsid w:val="0097462D"/>
    <w:rsid w:val="009746B0"/>
    <w:rsid w:val="009748F0"/>
    <w:rsid w:val="00974A7C"/>
    <w:rsid w:val="00974B3C"/>
    <w:rsid w:val="009750C8"/>
    <w:rsid w:val="0097587B"/>
    <w:rsid w:val="009763C1"/>
    <w:rsid w:val="009766FE"/>
    <w:rsid w:val="00977715"/>
    <w:rsid w:val="00980215"/>
    <w:rsid w:val="00980439"/>
    <w:rsid w:val="00982444"/>
    <w:rsid w:val="009828D2"/>
    <w:rsid w:val="00982BA7"/>
    <w:rsid w:val="00982D92"/>
    <w:rsid w:val="00982F10"/>
    <w:rsid w:val="009834A0"/>
    <w:rsid w:val="009843A8"/>
    <w:rsid w:val="00984993"/>
    <w:rsid w:val="00984CA2"/>
    <w:rsid w:val="00984EE2"/>
    <w:rsid w:val="009854F1"/>
    <w:rsid w:val="00986411"/>
    <w:rsid w:val="0098714A"/>
    <w:rsid w:val="00987F75"/>
    <w:rsid w:val="00990268"/>
    <w:rsid w:val="00990428"/>
    <w:rsid w:val="00993EA1"/>
    <w:rsid w:val="0099469A"/>
    <w:rsid w:val="0099496C"/>
    <w:rsid w:val="00995582"/>
    <w:rsid w:val="00996569"/>
    <w:rsid w:val="009A057B"/>
    <w:rsid w:val="009A06F0"/>
    <w:rsid w:val="009A14DE"/>
    <w:rsid w:val="009A2294"/>
    <w:rsid w:val="009A40DD"/>
    <w:rsid w:val="009A42FE"/>
    <w:rsid w:val="009A5F36"/>
    <w:rsid w:val="009A6DED"/>
    <w:rsid w:val="009A727A"/>
    <w:rsid w:val="009A72B5"/>
    <w:rsid w:val="009A7BC2"/>
    <w:rsid w:val="009B011E"/>
    <w:rsid w:val="009B180F"/>
    <w:rsid w:val="009B1897"/>
    <w:rsid w:val="009B1BB7"/>
    <w:rsid w:val="009B1C51"/>
    <w:rsid w:val="009B29FB"/>
    <w:rsid w:val="009B34BC"/>
    <w:rsid w:val="009B48D4"/>
    <w:rsid w:val="009B5F5D"/>
    <w:rsid w:val="009B751B"/>
    <w:rsid w:val="009C0992"/>
    <w:rsid w:val="009C0C48"/>
    <w:rsid w:val="009C1830"/>
    <w:rsid w:val="009C23DA"/>
    <w:rsid w:val="009C24B3"/>
    <w:rsid w:val="009C2C09"/>
    <w:rsid w:val="009C2E5A"/>
    <w:rsid w:val="009C51A8"/>
    <w:rsid w:val="009C6214"/>
    <w:rsid w:val="009C672A"/>
    <w:rsid w:val="009C703A"/>
    <w:rsid w:val="009C70FB"/>
    <w:rsid w:val="009C7B18"/>
    <w:rsid w:val="009C7D55"/>
    <w:rsid w:val="009C7F52"/>
    <w:rsid w:val="009D07F2"/>
    <w:rsid w:val="009D1884"/>
    <w:rsid w:val="009D24A3"/>
    <w:rsid w:val="009D2FD6"/>
    <w:rsid w:val="009D3295"/>
    <w:rsid w:val="009D3665"/>
    <w:rsid w:val="009D3C84"/>
    <w:rsid w:val="009D40C6"/>
    <w:rsid w:val="009D521A"/>
    <w:rsid w:val="009D54F3"/>
    <w:rsid w:val="009D5DA3"/>
    <w:rsid w:val="009D6969"/>
    <w:rsid w:val="009D7470"/>
    <w:rsid w:val="009D7A58"/>
    <w:rsid w:val="009D7AB3"/>
    <w:rsid w:val="009E0638"/>
    <w:rsid w:val="009E0828"/>
    <w:rsid w:val="009E0CED"/>
    <w:rsid w:val="009E17A2"/>
    <w:rsid w:val="009E2D23"/>
    <w:rsid w:val="009E4043"/>
    <w:rsid w:val="009E43C1"/>
    <w:rsid w:val="009E54AE"/>
    <w:rsid w:val="009E5FC3"/>
    <w:rsid w:val="009E6DF1"/>
    <w:rsid w:val="009F0BEB"/>
    <w:rsid w:val="009F1884"/>
    <w:rsid w:val="009F1A7D"/>
    <w:rsid w:val="009F2A20"/>
    <w:rsid w:val="009F3BA0"/>
    <w:rsid w:val="009F3F5D"/>
    <w:rsid w:val="009F43CB"/>
    <w:rsid w:val="009F4CB9"/>
    <w:rsid w:val="00A00283"/>
    <w:rsid w:val="00A009FA"/>
    <w:rsid w:val="00A01C02"/>
    <w:rsid w:val="00A02D24"/>
    <w:rsid w:val="00A02E16"/>
    <w:rsid w:val="00A05113"/>
    <w:rsid w:val="00A054DC"/>
    <w:rsid w:val="00A069AE"/>
    <w:rsid w:val="00A10389"/>
    <w:rsid w:val="00A1133E"/>
    <w:rsid w:val="00A11888"/>
    <w:rsid w:val="00A11E62"/>
    <w:rsid w:val="00A11E8F"/>
    <w:rsid w:val="00A12369"/>
    <w:rsid w:val="00A12D45"/>
    <w:rsid w:val="00A1302F"/>
    <w:rsid w:val="00A13522"/>
    <w:rsid w:val="00A14357"/>
    <w:rsid w:val="00A1524F"/>
    <w:rsid w:val="00A15E63"/>
    <w:rsid w:val="00A167BF"/>
    <w:rsid w:val="00A167D9"/>
    <w:rsid w:val="00A16DB9"/>
    <w:rsid w:val="00A17672"/>
    <w:rsid w:val="00A20056"/>
    <w:rsid w:val="00A20A6B"/>
    <w:rsid w:val="00A20C5D"/>
    <w:rsid w:val="00A222CA"/>
    <w:rsid w:val="00A225E3"/>
    <w:rsid w:val="00A239CC"/>
    <w:rsid w:val="00A23BC2"/>
    <w:rsid w:val="00A23CB1"/>
    <w:rsid w:val="00A23EB5"/>
    <w:rsid w:val="00A248C9"/>
    <w:rsid w:val="00A26F01"/>
    <w:rsid w:val="00A279AC"/>
    <w:rsid w:val="00A27A30"/>
    <w:rsid w:val="00A30C5D"/>
    <w:rsid w:val="00A310F1"/>
    <w:rsid w:val="00A31C68"/>
    <w:rsid w:val="00A31FFF"/>
    <w:rsid w:val="00A325AE"/>
    <w:rsid w:val="00A326A6"/>
    <w:rsid w:val="00A34094"/>
    <w:rsid w:val="00A342D9"/>
    <w:rsid w:val="00A35E30"/>
    <w:rsid w:val="00A35FAA"/>
    <w:rsid w:val="00A364C0"/>
    <w:rsid w:val="00A3789A"/>
    <w:rsid w:val="00A40163"/>
    <w:rsid w:val="00A409BC"/>
    <w:rsid w:val="00A40FC3"/>
    <w:rsid w:val="00A41D7C"/>
    <w:rsid w:val="00A42F6D"/>
    <w:rsid w:val="00A43C9A"/>
    <w:rsid w:val="00A44612"/>
    <w:rsid w:val="00A44720"/>
    <w:rsid w:val="00A44CE5"/>
    <w:rsid w:val="00A46164"/>
    <w:rsid w:val="00A46A8E"/>
    <w:rsid w:val="00A51337"/>
    <w:rsid w:val="00A521C0"/>
    <w:rsid w:val="00A52F73"/>
    <w:rsid w:val="00A537E5"/>
    <w:rsid w:val="00A540A5"/>
    <w:rsid w:val="00A54248"/>
    <w:rsid w:val="00A55B6F"/>
    <w:rsid w:val="00A569DF"/>
    <w:rsid w:val="00A606D0"/>
    <w:rsid w:val="00A61BD0"/>
    <w:rsid w:val="00A62A0C"/>
    <w:rsid w:val="00A6388E"/>
    <w:rsid w:val="00A64BC6"/>
    <w:rsid w:val="00A64FD7"/>
    <w:rsid w:val="00A65087"/>
    <w:rsid w:val="00A650F2"/>
    <w:rsid w:val="00A659CB"/>
    <w:rsid w:val="00A70398"/>
    <w:rsid w:val="00A709AD"/>
    <w:rsid w:val="00A70D03"/>
    <w:rsid w:val="00A71441"/>
    <w:rsid w:val="00A721F1"/>
    <w:rsid w:val="00A72DA9"/>
    <w:rsid w:val="00A733CB"/>
    <w:rsid w:val="00A736A7"/>
    <w:rsid w:val="00A739DF"/>
    <w:rsid w:val="00A740A0"/>
    <w:rsid w:val="00A745EF"/>
    <w:rsid w:val="00A75066"/>
    <w:rsid w:val="00A751AD"/>
    <w:rsid w:val="00A76045"/>
    <w:rsid w:val="00A76B91"/>
    <w:rsid w:val="00A773CD"/>
    <w:rsid w:val="00A775CF"/>
    <w:rsid w:val="00A77853"/>
    <w:rsid w:val="00A77FAF"/>
    <w:rsid w:val="00A805EB"/>
    <w:rsid w:val="00A80C87"/>
    <w:rsid w:val="00A810C3"/>
    <w:rsid w:val="00A816FA"/>
    <w:rsid w:val="00A81EED"/>
    <w:rsid w:val="00A82D60"/>
    <w:rsid w:val="00A84503"/>
    <w:rsid w:val="00A867DA"/>
    <w:rsid w:val="00A8782F"/>
    <w:rsid w:val="00A9167D"/>
    <w:rsid w:val="00A91895"/>
    <w:rsid w:val="00A92701"/>
    <w:rsid w:val="00A929E1"/>
    <w:rsid w:val="00A92D25"/>
    <w:rsid w:val="00A9401F"/>
    <w:rsid w:val="00A94689"/>
    <w:rsid w:val="00A94DDB"/>
    <w:rsid w:val="00A94F82"/>
    <w:rsid w:val="00A950A1"/>
    <w:rsid w:val="00A965CD"/>
    <w:rsid w:val="00A96970"/>
    <w:rsid w:val="00AA1698"/>
    <w:rsid w:val="00AA1BEC"/>
    <w:rsid w:val="00AA27AA"/>
    <w:rsid w:val="00AA2822"/>
    <w:rsid w:val="00AA2DF3"/>
    <w:rsid w:val="00AA4761"/>
    <w:rsid w:val="00AA50BC"/>
    <w:rsid w:val="00AA6AE4"/>
    <w:rsid w:val="00AB24E7"/>
    <w:rsid w:val="00AB3237"/>
    <w:rsid w:val="00AB3917"/>
    <w:rsid w:val="00AB3A2D"/>
    <w:rsid w:val="00AB4AC8"/>
    <w:rsid w:val="00AB5E21"/>
    <w:rsid w:val="00AB6AD4"/>
    <w:rsid w:val="00AB75AE"/>
    <w:rsid w:val="00AB76EC"/>
    <w:rsid w:val="00AB7933"/>
    <w:rsid w:val="00AB7947"/>
    <w:rsid w:val="00AB7C5D"/>
    <w:rsid w:val="00AC018B"/>
    <w:rsid w:val="00AC1051"/>
    <w:rsid w:val="00AC13C9"/>
    <w:rsid w:val="00AC188B"/>
    <w:rsid w:val="00AC2929"/>
    <w:rsid w:val="00AC3071"/>
    <w:rsid w:val="00AC3A08"/>
    <w:rsid w:val="00AC3D18"/>
    <w:rsid w:val="00AC5C9C"/>
    <w:rsid w:val="00AC6332"/>
    <w:rsid w:val="00AD10CF"/>
    <w:rsid w:val="00AD2A10"/>
    <w:rsid w:val="00AD2FC0"/>
    <w:rsid w:val="00AD3581"/>
    <w:rsid w:val="00AD35EA"/>
    <w:rsid w:val="00AD3BC7"/>
    <w:rsid w:val="00AD42E2"/>
    <w:rsid w:val="00AD4967"/>
    <w:rsid w:val="00AD4DAF"/>
    <w:rsid w:val="00AD562E"/>
    <w:rsid w:val="00AD5B1B"/>
    <w:rsid w:val="00AD66BE"/>
    <w:rsid w:val="00AD6DB9"/>
    <w:rsid w:val="00AE12A9"/>
    <w:rsid w:val="00AE2459"/>
    <w:rsid w:val="00AE29C2"/>
    <w:rsid w:val="00AE3785"/>
    <w:rsid w:val="00AE3835"/>
    <w:rsid w:val="00AE3D23"/>
    <w:rsid w:val="00AE4CEC"/>
    <w:rsid w:val="00AE4EC8"/>
    <w:rsid w:val="00AE517C"/>
    <w:rsid w:val="00AE599E"/>
    <w:rsid w:val="00AE5D9F"/>
    <w:rsid w:val="00AE5F15"/>
    <w:rsid w:val="00AE61C0"/>
    <w:rsid w:val="00AE72C2"/>
    <w:rsid w:val="00AE76C9"/>
    <w:rsid w:val="00AF06B4"/>
    <w:rsid w:val="00AF0C7E"/>
    <w:rsid w:val="00AF0EB2"/>
    <w:rsid w:val="00AF1353"/>
    <w:rsid w:val="00AF2791"/>
    <w:rsid w:val="00AF2D63"/>
    <w:rsid w:val="00AF2EF5"/>
    <w:rsid w:val="00AF3117"/>
    <w:rsid w:val="00AF326B"/>
    <w:rsid w:val="00AF32F0"/>
    <w:rsid w:val="00AF3811"/>
    <w:rsid w:val="00AF418D"/>
    <w:rsid w:val="00AF560E"/>
    <w:rsid w:val="00AF6220"/>
    <w:rsid w:val="00AF70A4"/>
    <w:rsid w:val="00AF70EE"/>
    <w:rsid w:val="00AF7618"/>
    <w:rsid w:val="00B00B01"/>
    <w:rsid w:val="00B01538"/>
    <w:rsid w:val="00B04550"/>
    <w:rsid w:val="00B04964"/>
    <w:rsid w:val="00B04CBD"/>
    <w:rsid w:val="00B06FB9"/>
    <w:rsid w:val="00B10605"/>
    <w:rsid w:val="00B10F95"/>
    <w:rsid w:val="00B11260"/>
    <w:rsid w:val="00B11B0A"/>
    <w:rsid w:val="00B12331"/>
    <w:rsid w:val="00B124AD"/>
    <w:rsid w:val="00B14306"/>
    <w:rsid w:val="00B154B3"/>
    <w:rsid w:val="00B15B71"/>
    <w:rsid w:val="00B16085"/>
    <w:rsid w:val="00B166C6"/>
    <w:rsid w:val="00B1781D"/>
    <w:rsid w:val="00B2059C"/>
    <w:rsid w:val="00B21941"/>
    <w:rsid w:val="00B21EB4"/>
    <w:rsid w:val="00B22A5B"/>
    <w:rsid w:val="00B2691D"/>
    <w:rsid w:val="00B26C44"/>
    <w:rsid w:val="00B27820"/>
    <w:rsid w:val="00B306EA"/>
    <w:rsid w:val="00B30944"/>
    <w:rsid w:val="00B3104B"/>
    <w:rsid w:val="00B32AAC"/>
    <w:rsid w:val="00B33164"/>
    <w:rsid w:val="00B33F4D"/>
    <w:rsid w:val="00B36CFC"/>
    <w:rsid w:val="00B37148"/>
    <w:rsid w:val="00B37AFC"/>
    <w:rsid w:val="00B4084B"/>
    <w:rsid w:val="00B41232"/>
    <w:rsid w:val="00B42B56"/>
    <w:rsid w:val="00B44FBB"/>
    <w:rsid w:val="00B45864"/>
    <w:rsid w:val="00B460B5"/>
    <w:rsid w:val="00B47F4C"/>
    <w:rsid w:val="00B50032"/>
    <w:rsid w:val="00B50958"/>
    <w:rsid w:val="00B51526"/>
    <w:rsid w:val="00B567D8"/>
    <w:rsid w:val="00B60F6F"/>
    <w:rsid w:val="00B61A52"/>
    <w:rsid w:val="00B6230B"/>
    <w:rsid w:val="00B628E8"/>
    <w:rsid w:val="00B62C0E"/>
    <w:rsid w:val="00B63C3C"/>
    <w:rsid w:val="00B64779"/>
    <w:rsid w:val="00B64DC6"/>
    <w:rsid w:val="00B64DE4"/>
    <w:rsid w:val="00B65561"/>
    <w:rsid w:val="00B65914"/>
    <w:rsid w:val="00B6646C"/>
    <w:rsid w:val="00B66486"/>
    <w:rsid w:val="00B676B8"/>
    <w:rsid w:val="00B70250"/>
    <w:rsid w:val="00B7084F"/>
    <w:rsid w:val="00B70C9E"/>
    <w:rsid w:val="00B70F85"/>
    <w:rsid w:val="00B71222"/>
    <w:rsid w:val="00B7174A"/>
    <w:rsid w:val="00B7358B"/>
    <w:rsid w:val="00B7388C"/>
    <w:rsid w:val="00B73E0D"/>
    <w:rsid w:val="00B7521F"/>
    <w:rsid w:val="00B76A07"/>
    <w:rsid w:val="00B8025D"/>
    <w:rsid w:val="00B830A1"/>
    <w:rsid w:val="00B83160"/>
    <w:rsid w:val="00B8365B"/>
    <w:rsid w:val="00B83705"/>
    <w:rsid w:val="00B83CA0"/>
    <w:rsid w:val="00B84243"/>
    <w:rsid w:val="00B85C34"/>
    <w:rsid w:val="00B86CCD"/>
    <w:rsid w:val="00B871D0"/>
    <w:rsid w:val="00B876C0"/>
    <w:rsid w:val="00B87806"/>
    <w:rsid w:val="00B91697"/>
    <w:rsid w:val="00B92B09"/>
    <w:rsid w:val="00B93884"/>
    <w:rsid w:val="00B93D53"/>
    <w:rsid w:val="00B94405"/>
    <w:rsid w:val="00B94A65"/>
    <w:rsid w:val="00B94ADF"/>
    <w:rsid w:val="00B94FB4"/>
    <w:rsid w:val="00B95D2D"/>
    <w:rsid w:val="00B9607C"/>
    <w:rsid w:val="00B9631B"/>
    <w:rsid w:val="00B9676C"/>
    <w:rsid w:val="00BA0966"/>
    <w:rsid w:val="00BA0F2F"/>
    <w:rsid w:val="00BA2414"/>
    <w:rsid w:val="00BA28F3"/>
    <w:rsid w:val="00BA379F"/>
    <w:rsid w:val="00BA65C7"/>
    <w:rsid w:val="00BA6777"/>
    <w:rsid w:val="00BB066E"/>
    <w:rsid w:val="00BB2089"/>
    <w:rsid w:val="00BB2A98"/>
    <w:rsid w:val="00BB3AB5"/>
    <w:rsid w:val="00BB3DA8"/>
    <w:rsid w:val="00BB43DB"/>
    <w:rsid w:val="00BB498B"/>
    <w:rsid w:val="00BB5A84"/>
    <w:rsid w:val="00BB6D23"/>
    <w:rsid w:val="00BB721D"/>
    <w:rsid w:val="00BB7455"/>
    <w:rsid w:val="00BC2C65"/>
    <w:rsid w:val="00BC3472"/>
    <w:rsid w:val="00BC3CAB"/>
    <w:rsid w:val="00BC3F11"/>
    <w:rsid w:val="00BC42CE"/>
    <w:rsid w:val="00BC4CD8"/>
    <w:rsid w:val="00BC6702"/>
    <w:rsid w:val="00BC76B4"/>
    <w:rsid w:val="00BD0018"/>
    <w:rsid w:val="00BD210E"/>
    <w:rsid w:val="00BD2CB2"/>
    <w:rsid w:val="00BD2D36"/>
    <w:rsid w:val="00BD34C3"/>
    <w:rsid w:val="00BD37B5"/>
    <w:rsid w:val="00BD40CB"/>
    <w:rsid w:val="00BD420C"/>
    <w:rsid w:val="00BD4954"/>
    <w:rsid w:val="00BD78D5"/>
    <w:rsid w:val="00BE0659"/>
    <w:rsid w:val="00BE0A68"/>
    <w:rsid w:val="00BE1199"/>
    <w:rsid w:val="00BE537C"/>
    <w:rsid w:val="00BE6D85"/>
    <w:rsid w:val="00BE70B3"/>
    <w:rsid w:val="00BE746A"/>
    <w:rsid w:val="00BE7D58"/>
    <w:rsid w:val="00BF0270"/>
    <w:rsid w:val="00BF0E14"/>
    <w:rsid w:val="00BF164E"/>
    <w:rsid w:val="00BF1A33"/>
    <w:rsid w:val="00BF23C3"/>
    <w:rsid w:val="00BF3D35"/>
    <w:rsid w:val="00BF575B"/>
    <w:rsid w:val="00BF6D42"/>
    <w:rsid w:val="00BF7ED9"/>
    <w:rsid w:val="00C009AB"/>
    <w:rsid w:val="00C00AA5"/>
    <w:rsid w:val="00C00B3B"/>
    <w:rsid w:val="00C02450"/>
    <w:rsid w:val="00C038D0"/>
    <w:rsid w:val="00C03CE1"/>
    <w:rsid w:val="00C05C6C"/>
    <w:rsid w:val="00C066AF"/>
    <w:rsid w:val="00C06CE4"/>
    <w:rsid w:val="00C07DEC"/>
    <w:rsid w:val="00C07F1C"/>
    <w:rsid w:val="00C1005F"/>
    <w:rsid w:val="00C103FD"/>
    <w:rsid w:val="00C107D2"/>
    <w:rsid w:val="00C11F05"/>
    <w:rsid w:val="00C11F2F"/>
    <w:rsid w:val="00C12D0A"/>
    <w:rsid w:val="00C13681"/>
    <w:rsid w:val="00C13DA0"/>
    <w:rsid w:val="00C15DEF"/>
    <w:rsid w:val="00C17B32"/>
    <w:rsid w:val="00C20E76"/>
    <w:rsid w:val="00C221A7"/>
    <w:rsid w:val="00C23647"/>
    <w:rsid w:val="00C2476F"/>
    <w:rsid w:val="00C24BB1"/>
    <w:rsid w:val="00C2641F"/>
    <w:rsid w:val="00C26820"/>
    <w:rsid w:val="00C276B1"/>
    <w:rsid w:val="00C3009E"/>
    <w:rsid w:val="00C31BE3"/>
    <w:rsid w:val="00C31E81"/>
    <w:rsid w:val="00C3239B"/>
    <w:rsid w:val="00C3249E"/>
    <w:rsid w:val="00C3303C"/>
    <w:rsid w:val="00C3324A"/>
    <w:rsid w:val="00C342CD"/>
    <w:rsid w:val="00C34390"/>
    <w:rsid w:val="00C34C59"/>
    <w:rsid w:val="00C359BA"/>
    <w:rsid w:val="00C36775"/>
    <w:rsid w:val="00C371B2"/>
    <w:rsid w:val="00C37BFF"/>
    <w:rsid w:val="00C40689"/>
    <w:rsid w:val="00C40B6E"/>
    <w:rsid w:val="00C41058"/>
    <w:rsid w:val="00C41D55"/>
    <w:rsid w:val="00C42089"/>
    <w:rsid w:val="00C428E6"/>
    <w:rsid w:val="00C42D37"/>
    <w:rsid w:val="00C431A3"/>
    <w:rsid w:val="00C43411"/>
    <w:rsid w:val="00C43D15"/>
    <w:rsid w:val="00C43DF8"/>
    <w:rsid w:val="00C445F5"/>
    <w:rsid w:val="00C44BE3"/>
    <w:rsid w:val="00C44C1D"/>
    <w:rsid w:val="00C450A9"/>
    <w:rsid w:val="00C45903"/>
    <w:rsid w:val="00C46399"/>
    <w:rsid w:val="00C46D0E"/>
    <w:rsid w:val="00C47F6E"/>
    <w:rsid w:val="00C50825"/>
    <w:rsid w:val="00C53EF2"/>
    <w:rsid w:val="00C55846"/>
    <w:rsid w:val="00C5714B"/>
    <w:rsid w:val="00C57711"/>
    <w:rsid w:val="00C61EA2"/>
    <w:rsid w:val="00C6305B"/>
    <w:rsid w:val="00C63109"/>
    <w:rsid w:val="00C63C1F"/>
    <w:rsid w:val="00C63ED7"/>
    <w:rsid w:val="00C65397"/>
    <w:rsid w:val="00C66319"/>
    <w:rsid w:val="00C705DA"/>
    <w:rsid w:val="00C715F0"/>
    <w:rsid w:val="00C7356F"/>
    <w:rsid w:val="00C74126"/>
    <w:rsid w:val="00C74C39"/>
    <w:rsid w:val="00C74DA9"/>
    <w:rsid w:val="00C74E8D"/>
    <w:rsid w:val="00C753BA"/>
    <w:rsid w:val="00C7638D"/>
    <w:rsid w:val="00C763EA"/>
    <w:rsid w:val="00C77417"/>
    <w:rsid w:val="00C7744A"/>
    <w:rsid w:val="00C77BAF"/>
    <w:rsid w:val="00C8049D"/>
    <w:rsid w:val="00C854F5"/>
    <w:rsid w:val="00C85E77"/>
    <w:rsid w:val="00C85F02"/>
    <w:rsid w:val="00C86A12"/>
    <w:rsid w:val="00C86D90"/>
    <w:rsid w:val="00C872C5"/>
    <w:rsid w:val="00C8748F"/>
    <w:rsid w:val="00C87FB8"/>
    <w:rsid w:val="00C91347"/>
    <w:rsid w:val="00C91CF4"/>
    <w:rsid w:val="00C92123"/>
    <w:rsid w:val="00C946DC"/>
    <w:rsid w:val="00C95596"/>
    <w:rsid w:val="00C95850"/>
    <w:rsid w:val="00C95B85"/>
    <w:rsid w:val="00C97362"/>
    <w:rsid w:val="00C978F2"/>
    <w:rsid w:val="00C97ECB"/>
    <w:rsid w:val="00C97F24"/>
    <w:rsid w:val="00C97F3F"/>
    <w:rsid w:val="00CA0B5E"/>
    <w:rsid w:val="00CA0F4F"/>
    <w:rsid w:val="00CA15D7"/>
    <w:rsid w:val="00CA2F21"/>
    <w:rsid w:val="00CA3214"/>
    <w:rsid w:val="00CA41DD"/>
    <w:rsid w:val="00CA450E"/>
    <w:rsid w:val="00CA475B"/>
    <w:rsid w:val="00CA4819"/>
    <w:rsid w:val="00CA49A3"/>
    <w:rsid w:val="00CA600B"/>
    <w:rsid w:val="00CA709C"/>
    <w:rsid w:val="00CB1F59"/>
    <w:rsid w:val="00CB2844"/>
    <w:rsid w:val="00CB359A"/>
    <w:rsid w:val="00CB4589"/>
    <w:rsid w:val="00CB54F0"/>
    <w:rsid w:val="00CB60C9"/>
    <w:rsid w:val="00CB62C0"/>
    <w:rsid w:val="00CB6D24"/>
    <w:rsid w:val="00CB7111"/>
    <w:rsid w:val="00CB795F"/>
    <w:rsid w:val="00CC0486"/>
    <w:rsid w:val="00CC0A86"/>
    <w:rsid w:val="00CC0B67"/>
    <w:rsid w:val="00CC12AE"/>
    <w:rsid w:val="00CC2A06"/>
    <w:rsid w:val="00CC36A5"/>
    <w:rsid w:val="00CC379E"/>
    <w:rsid w:val="00CC4867"/>
    <w:rsid w:val="00CC5AB0"/>
    <w:rsid w:val="00CC5FDB"/>
    <w:rsid w:val="00CC6371"/>
    <w:rsid w:val="00CC64EA"/>
    <w:rsid w:val="00CC6AFF"/>
    <w:rsid w:val="00CC7466"/>
    <w:rsid w:val="00CC7ED8"/>
    <w:rsid w:val="00CC7F08"/>
    <w:rsid w:val="00CD12CE"/>
    <w:rsid w:val="00CD1BF3"/>
    <w:rsid w:val="00CD3382"/>
    <w:rsid w:val="00CD6D33"/>
    <w:rsid w:val="00CD73EB"/>
    <w:rsid w:val="00CD76C2"/>
    <w:rsid w:val="00CE0085"/>
    <w:rsid w:val="00CE021D"/>
    <w:rsid w:val="00CE0472"/>
    <w:rsid w:val="00CE179F"/>
    <w:rsid w:val="00CE19D8"/>
    <w:rsid w:val="00CE2B6C"/>
    <w:rsid w:val="00CE2C1A"/>
    <w:rsid w:val="00CE30D5"/>
    <w:rsid w:val="00CE3F53"/>
    <w:rsid w:val="00CE4134"/>
    <w:rsid w:val="00CE4D05"/>
    <w:rsid w:val="00CE558E"/>
    <w:rsid w:val="00CE5774"/>
    <w:rsid w:val="00CE7933"/>
    <w:rsid w:val="00CF02F7"/>
    <w:rsid w:val="00CF164C"/>
    <w:rsid w:val="00CF2C6F"/>
    <w:rsid w:val="00CF4131"/>
    <w:rsid w:val="00CF5085"/>
    <w:rsid w:val="00CF5FDC"/>
    <w:rsid w:val="00CF701D"/>
    <w:rsid w:val="00D00382"/>
    <w:rsid w:val="00D0086A"/>
    <w:rsid w:val="00D02C8E"/>
    <w:rsid w:val="00D02EF1"/>
    <w:rsid w:val="00D03C75"/>
    <w:rsid w:val="00D05719"/>
    <w:rsid w:val="00D07A8D"/>
    <w:rsid w:val="00D100DA"/>
    <w:rsid w:val="00D1024D"/>
    <w:rsid w:val="00D1194E"/>
    <w:rsid w:val="00D11F5B"/>
    <w:rsid w:val="00D120BF"/>
    <w:rsid w:val="00D12150"/>
    <w:rsid w:val="00D143EC"/>
    <w:rsid w:val="00D1452D"/>
    <w:rsid w:val="00D1469B"/>
    <w:rsid w:val="00D14E09"/>
    <w:rsid w:val="00D15792"/>
    <w:rsid w:val="00D1741D"/>
    <w:rsid w:val="00D174C3"/>
    <w:rsid w:val="00D17D15"/>
    <w:rsid w:val="00D17E55"/>
    <w:rsid w:val="00D2179B"/>
    <w:rsid w:val="00D21F46"/>
    <w:rsid w:val="00D22699"/>
    <w:rsid w:val="00D2316C"/>
    <w:rsid w:val="00D232B7"/>
    <w:rsid w:val="00D23531"/>
    <w:rsid w:val="00D24D0C"/>
    <w:rsid w:val="00D24FF4"/>
    <w:rsid w:val="00D27375"/>
    <w:rsid w:val="00D30A84"/>
    <w:rsid w:val="00D30CBA"/>
    <w:rsid w:val="00D323B5"/>
    <w:rsid w:val="00D327B7"/>
    <w:rsid w:val="00D3564F"/>
    <w:rsid w:val="00D36333"/>
    <w:rsid w:val="00D37A7B"/>
    <w:rsid w:val="00D37C36"/>
    <w:rsid w:val="00D401C2"/>
    <w:rsid w:val="00D4187B"/>
    <w:rsid w:val="00D428B3"/>
    <w:rsid w:val="00D43E58"/>
    <w:rsid w:val="00D44150"/>
    <w:rsid w:val="00D44D21"/>
    <w:rsid w:val="00D454D2"/>
    <w:rsid w:val="00D456C4"/>
    <w:rsid w:val="00D459CF"/>
    <w:rsid w:val="00D46A7B"/>
    <w:rsid w:val="00D46D74"/>
    <w:rsid w:val="00D47EBC"/>
    <w:rsid w:val="00D5073A"/>
    <w:rsid w:val="00D50C9B"/>
    <w:rsid w:val="00D52088"/>
    <w:rsid w:val="00D549BF"/>
    <w:rsid w:val="00D550B2"/>
    <w:rsid w:val="00D551E1"/>
    <w:rsid w:val="00D55763"/>
    <w:rsid w:val="00D5708A"/>
    <w:rsid w:val="00D576B5"/>
    <w:rsid w:val="00D57849"/>
    <w:rsid w:val="00D579C5"/>
    <w:rsid w:val="00D60439"/>
    <w:rsid w:val="00D606C2"/>
    <w:rsid w:val="00D6199A"/>
    <w:rsid w:val="00D62AB4"/>
    <w:rsid w:val="00D634BA"/>
    <w:rsid w:val="00D6589E"/>
    <w:rsid w:val="00D6661E"/>
    <w:rsid w:val="00D6714F"/>
    <w:rsid w:val="00D70BF5"/>
    <w:rsid w:val="00D70EB2"/>
    <w:rsid w:val="00D715EF"/>
    <w:rsid w:val="00D71A89"/>
    <w:rsid w:val="00D71B63"/>
    <w:rsid w:val="00D720BB"/>
    <w:rsid w:val="00D729FE"/>
    <w:rsid w:val="00D75924"/>
    <w:rsid w:val="00D75DD0"/>
    <w:rsid w:val="00D7602E"/>
    <w:rsid w:val="00D76996"/>
    <w:rsid w:val="00D7701E"/>
    <w:rsid w:val="00D77C45"/>
    <w:rsid w:val="00D80A4C"/>
    <w:rsid w:val="00D81071"/>
    <w:rsid w:val="00D81438"/>
    <w:rsid w:val="00D821E0"/>
    <w:rsid w:val="00D82879"/>
    <w:rsid w:val="00D835A8"/>
    <w:rsid w:val="00D83B82"/>
    <w:rsid w:val="00D83F04"/>
    <w:rsid w:val="00D85D3F"/>
    <w:rsid w:val="00D867A3"/>
    <w:rsid w:val="00D86FFD"/>
    <w:rsid w:val="00D87479"/>
    <w:rsid w:val="00D9150D"/>
    <w:rsid w:val="00D917BE"/>
    <w:rsid w:val="00D92B42"/>
    <w:rsid w:val="00D93254"/>
    <w:rsid w:val="00D952A8"/>
    <w:rsid w:val="00D961F2"/>
    <w:rsid w:val="00D97687"/>
    <w:rsid w:val="00D9775E"/>
    <w:rsid w:val="00DA1610"/>
    <w:rsid w:val="00DA1A11"/>
    <w:rsid w:val="00DA1ABD"/>
    <w:rsid w:val="00DA1BEF"/>
    <w:rsid w:val="00DA28A8"/>
    <w:rsid w:val="00DA2BBC"/>
    <w:rsid w:val="00DA3143"/>
    <w:rsid w:val="00DA4EAE"/>
    <w:rsid w:val="00DA55D4"/>
    <w:rsid w:val="00DA6854"/>
    <w:rsid w:val="00DA6D4F"/>
    <w:rsid w:val="00DA6FB4"/>
    <w:rsid w:val="00DA7AC3"/>
    <w:rsid w:val="00DA7B65"/>
    <w:rsid w:val="00DB10A8"/>
    <w:rsid w:val="00DB22B0"/>
    <w:rsid w:val="00DB2878"/>
    <w:rsid w:val="00DB47F7"/>
    <w:rsid w:val="00DB4AF6"/>
    <w:rsid w:val="00DB4C98"/>
    <w:rsid w:val="00DB584E"/>
    <w:rsid w:val="00DB69D9"/>
    <w:rsid w:val="00DB7A91"/>
    <w:rsid w:val="00DC1513"/>
    <w:rsid w:val="00DC16AF"/>
    <w:rsid w:val="00DC32EC"/>
    <w:rsid w:val="00DC4099"/>
    <w:rsid w:val="00DC4790"/>
    <w:rsid w:val="00DC6737"/>
    <w:rsid w:val="00DD051E"/>
    <w:rsid w:val="00DD05B3"/>
    <w:rsid w:val="00DD0BA0"/>
    <w:rsid w:val="00DD1046"/>
    <w:rsid w:val="00DD223D"/>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5A8"/>
    <w:rsid w:val="00DF0728"/>
    <w:rsid w:val="00DF1ADC"/>
    <w:rsid w:val="00DF2249"/>
    <w:rsid w:val="00DF2347"/>
    <w:rsid w:val="00DF29E2"/>
    <w:rsid w:val="00DF2C49"/>
    <w:rsid w:val="00DF2C5D"/>
    <w:rsid w:val="00DF30D5"/>
    <w:rsid w:val="00DF363A"/>
    <w:rsid w:val="00DF3C04"/>
    <w:rsid w:val="00DF4173"/>
    <w:rsid w:val="00DF4488"/>
    <w:rsid w:val="00DF53E8"/>
    <w:rsid w:val="00DF61C8"/>
    <w:rsid w:val="00DF6323"/>
    <w:rsid w:val="00DF6B26"/>
    <w:rsid w:val="00DF744E"/>
    <w:rsid w:val="00E00258"/>
    <w:rsid w:val="00E0068F"/>
    <w:rsid w:val="00E01B7C"/>
    <w:rsid w:val="00E054BA"/>
    <w:rsid w:val="00E05967"/>
    <w:rsid w:val="00E06F9F"/>
    <w:rsid w:val="00E1099E"/>
    <w:rsid w:val="00E10D3F"/>
    <w:rsid w:val="00E1129E"/>
    <w:rsid w:val="00E120DB"/>
    <w:rsid w:val="00E121DD"/>
    <w:rsid w:val="00E12264"/>
    <w:rsid w:val="00E13C49"/>
    <w:rsid w:val="00E15A7E"/>
    <w:rsid w:val="00E160CA"/>
    <w:rsid w:val="00E1675C"/>
    <w:rsid w:val="00E16977"/>
    <w:rsid w:val="00E16BE1"/>
    <w:rsid w:val="00E17DAB"/>
    <w:rsid w:val="00E20209"/>
    <w:rsid w:val="00E20628"/>
    <w:rsid w:val="00E2103B"/>
    <w:rsid w:val="00E2183E"/>
    <w:rsid w:val="00E223BE"/>
    <w:rsid w:val="00E224CB"/>
    <w:rsid w:val="00E22A07"/>
    <w:rsid w:val="00E235C3"/>
    <w:rsid w:val="00E253F7"/>
    <w:rsid w:val="00E26003"/>
    <w:rsid w:val="00E26765"/>
    <w:rsid w:val="00E273FF"/>
    <w:rsid w:val="00E27B91"/>
    <w:rsid w:val="00E306E7"/>
    <w:rsid w:val="00E3087C"/>
    <w:rsid w:val="00E30E1D"/>
    <w:rsid w:val="00E30FE2"/>
    <w:rsid w:val="00E315A5"/>
    <w:rsid w:val="00E31E69"/>
    <w:rsid w:val="00E3217B"/>
    <w:rsid w:val="00E335C8"/>
    <w:rsid w:val="00E3521E"/>
    <w:rsid w:val="00E35CEE"/>
    <w:rsid w:val="00E3664F"/>
    <w:rsid w:val="00E37BA9"/>
    <w:rsid w:val="00E37F9B"/>
    <w:rsid w:val="00E40B69"/>
    <w:rsid w:val="00E42411"/>
    <w:rsid w:val="00E42C8A"/>
    <w:rsid w:val="00E436F2"/>
    <w:rsid w:val="00E43965"/>
    <w:rsid w:val="00E43E3B"/>
    <w:rsid w:val="00E4452C"/>
    <w:rsid w:val="00E4582E"/>
    <w:rsid w:val="00E46293"/>
    <w:rsid w:val="00E46611"/>
    <w:rsid w:val="00E46AB8"/>
    <w:rsid w:val="00E473B3"/>
    <w:rsid w:val="00E478BB"/>
    <w:rsid w:val="00E479CE"/>
    <w:rsid w:val="00E50DB8"/>
    <w:rsid w:val="00E50E8D"/>
    <w:rsid w:val="00E51F1C"/>
    <w:rsid w:val="00E53F1A"/>
    <w:rsid w:val="00E54185"/>
    <w:rsid w:val="00E5444F"/>
    <w:rsid w:val="00E55ABA"/>
    <w:rsid w:val="00E57CA7"/>
    <w:rsid w:val="00E61264"/>
    <w:rsid w:val="00E61C5E"/>
    <w:rsid w:val="00E61EC0"/>
    <w:rsid w:val="00E620EF"/>
    <w:rsid w:val="00E6223B"/>
    <w:rsid w:val="00E62415"/>
    <w:rsid w:val="00E62B36"/>
    <w:rsid w:val="00E62DF5"/>
    <w:rsid w:val="00E63BDC"/>
    <w:rsid w:val="00E647C8"/>
    <w:rsid w:val="00E64EFB"/>
    <w:rsid w:val="00E653DE"/>
    <w:rsid w:val="00E67C82"/>
    <w:rsid w:val="00E702CE"/>
    <w:rsid w:val="00E7089F"/>
    <w:rsid w:val="00E70F0A"/>
    <w:rsid w:val="00E71844"/>
    <w:rsid w:val="00E731D7"/>
    <w:rsid w:val="00E7371B"/>
    <w:rsid w:val="00E73765"/>
    <w:rsid w:val="00E74ACE"/>
    <w:rsid w:val="00E75A0F"/>
    <w:rsid w:val="00E77C06"/>
    <w:rsid w:val="00E81274"/>
    <w:rsid w:val="00E81CA6"/>
    <w:rsid w:val="00E831F7"/>
    <w:rsid w:val="00E835D7"/>
    <w:rsid w:val="00E855E0"/>
    <w:rsid w:val="00E860B7"/>
    <w:rsid w:val="00E875D0"/>
    <w:rsid w:val="00E8780D"/>
    <w:rsid w:val="00E9221F"/>
    <w:rsid w:val="00E92644"/>
    <w:rsid w:val="00E93033"/>
    <w:rsid w:val="00E93C24"/>
    <w:rsid w:val="00E94499"/>
    <w:rsid w:val="00E95DB8"/>
    <w:rsid w:val="00E95E3B"/>
    <w:rsid w:val="00E97527"/>
    <w:rsid w:val="00EA186C"/>
    <w:rsid w:val="00EA3239"/>
    <w:rsid w:val="00EA3984"/>
    <w:rsid w:val="00EA3A49"/>
    <w:rsid w:val="00EA46A8"/>
    <w:rsid w:val="00EA5A9E"/>
    <w:rsid w:val="00EA5D42"/>
    <w:rsid w:val="00EA6556"/>
    <w:rsid w:val="00EA6842"/>
    <w:rsid w:val="00EA6D25"/>
    <w:rsid w:val="00EA761D"/>
    <w:rsid w:val="00EA7807"/>
    <w:rsid w:val="00EB1B80"/>
    <w:rsid w:val="00EB3118"/>
    <w:rsid w:val="00EB4C26"/>
    <w:rsid w:val="00EB5127"/>
    <w:rsid w:val="00EB53F2"/>
    <w:rsid w:val="00EB548C"/>
    <w:rsid w:val="00EB5F20"/>
    <w:rsid w:val="00EB7803"/>
    <w:rsid w:val="00EC0295"/>
    <w:rsid w:val="00EC0454"/>
    <w:rsid w:val="00EC19FA"/>
    <w:rsid w:val="00EC1F39"/>
    <w:rsid w:val="00EC20EE"/>
    <w:rsid w:val="00EC2948"/>
    <w:rsid w:val="00EC336F"/>
    <w:rsid w:val="00EC5F86"/>
    <w:rsid w:val="00EC60E2"/>
    <w:rsid w:val="00ED0940"/>
    <w:rsid w:val="00ED0D59"/>
    <w:rsid w:val="00ED1EAB"/>
    <w:rsid w:val="00ED25CE"/>
    <w:rsid w:val="00ED3A55"/>
    <w:rsid w:val="00ED3B06"/>
    <w:rsid w:val="00ED402C"/>
    <w:rsid w:val="00ED509E"/>
    <w:rsid w:val="00ED511B"/>
    <w:rsid w:val="00ED5F6E"/>
    <w:rsid w:val="00ED6808"/>
    <w:rsid w:val="00ED7DD7"/>
    <w:rsid w:val="00EE0ACF"/>
    <w:rsid w:val="00EE22E3"/>
    <w:rsid w:val="00EE2ED0"/>
    <w:rsid w:val="00EE37DE"/>
    <w:rsid w:val="00EE41C9"/>
    <w:rsid w:val="00EE67C5"/>
    <w:rsid w:val="00EF18EF"/>
    <w:rsid w:val="00EF4031"/>
    <w:rsid w:val="00EF45CE"/>
    <w:rsid w:val="00EF4C71"/>
    <w:rsid w:val="00EF695C"/>
    <w:rsid w:val="00F00984"/>
    <w:rsid w:val="00F01FF7"/>
    <w:rsid w:val="00F0461A"/>
    <w:rsid w:val="00F05908"/>
    <w:rsid w:val="00F10305"/>
    <w:rsid w:val="00F1076B"/>
    <w:rsid w:val="00F10D71"/>
    <w:rsid w:val="00F11B9B"/>
    <w:rsid w:val="00F11C20"/>
    <w:rsid w:val="00F11D20"/>
    <w:rsid w:val="00F120D0"/>
    <w:rsid w:val="00F12BE6"/>
    <w:rsid w:val="00F1363A"/>
    <w:rsid w:val="00F13E0D"/>
    <w:rsid w:val="00F15DFF"/>
    <w:rsid w:val="00F175CA"/>
    <w:rsid w:val="00F20B6E"/>
    <w:rsid w:val="00F20FF5"/>
    <w:rsid w:val="00F2151C"/>
    <w:rsid w:val="00F22051"/>
    <w:rsid w:val="00F22798"/>
    <w:rsid w:val="00F248EC"/>
    <w:rsid w:val="00F24BCF"/>
    <w:rsid w:val="00F24C64"/>
    <w:rsid w:val="00F2639B"/>
    <w:rsid w:val="00F2667A"/>
    <w:rsid w:val="00F271F4"/>
    <w:rsid w:val="00F276EE"/>
    <w:rsid w:val="00F30B34"/>
    <w:rsid w:val="00F3255F"/>
    <w:rsid w:val="00F33271"/>
    <w:rsid w:val="00F3510E"/>
    <w:rsid w:val="00F358CE"/>
    <w:rsid w:val="00F35AB4"/>
    <w:rsid w:val="00F35B8D"/>
    <w:rsid w:val="00F373DC"/>
    <w:rsid w:val="00F37EF3"/>
    <w:rsid w:val="00F403D6"/>
    <w:rsid w:val="00F404CC"/>
    <w:rsid w:val="00F40782"/>
    <w:rsid w:val="00F422EF"/>
    <w:rsid w:val="00F4257A"/>
    <w:rsid w:val="00F42894"/>
    <w:rsid w:val="00F43E26"/>
    <w:rsid w:val="00F43F86"/>
    <w:rsid w:val="00F4532B"/>
    <w:rsid w:val="00F45CF2"/>
    <w:rsid w:val="00F46389"/>
    <w:rsid w:val="00F46738"/>
    <w:rsid w:val="00F470EA"/>
    <w:rsid w:val="00F47B25"/>
    <w:rsid w:val="00F5038E"/>
    <w:rsid w:val="00F506AE"/>
    <w:rsid w:val="00F51346"/>
    <w:rsid w:val="00F5235B"/>
    <w:rsid w:val="00F54947"/>
    <w:rsid w:val="00F54F7B"/>
    <w:rsid w:val="00F55CD7"/>
    <w:rsid w:val="00F560DC"/>
    <w:rsid w:val="00F5616F"/>
    <w:rsid w:val="00F56916"/>
    <w:rsid w:val="00F56AD0"/>
    <w:rsid w:val="00F56CB1"/>
    <w:rsid w:val="00F626C2"/>
    <w:rsid w:val="00F630EF"/>
    <w:rsid w:val="00F632AA"/>
    <w:rsid w:val="00F63D4B"/>
    <w:rsid w:val="00F63F85"/>
    <w:rsid w:val="00F65819"/>
    <w:rsid w:val="00F66865"/>
    <w:rsid w:val="00F66C6C"/>
    <w:rsid w:val="00F67A6B"/>
    <w:rsid w:val="00F70B5B"/>
    <w:rsid w:val="00F71634"/>
    <w:rsid w:val="00F7244F"/>
    <w:rsid w:val="00F72773"/>
    <w:rsid w:val="00F72962"/>
    <w:rsid w:val="00F72D23"/>
    <w:rsid w:val="00F743D8"/>
    <w:rsid w:val="00F74CB0"/>
    <w:rsid w:val="00F75495"/>
    <w:rsid w:val="00F7639C"/>
    <w:rsid w:val="00F765EB"/>
    <w:rsid w:val="00F773A0"/>
    <w:rsid w:val="00F81CE4"/>
    <w:rsid w:val="00F822BA"/>
    <w:rsid w:val="00F8673B"/>
    <w:rsid w:val="00F87522"/>
    <w:rsid w:val="00F907D8"/>
    <w:rsid w:val="00F908F8"/>
    <w:rsid w:val="00F92442"/>
    <w:rsid w:val="00F926C8"/>
    <w:rsid w:val="00F939DB"/>
    <w:rsid w:val="00F94E8C"/>
    <w:rsid w:val="00F95615"/>
    <w:rsid w:val="00F964B0"/>
    <w:rsid w:val="00F973F0"/>
    <w:rsid w:val="00F97B52"/>
    <w:rsid w:val="00F97D2D"/>
    <w:rsid w:val="00FA022F"/>
    <w:rsid w:val="00FA05A4"/>
    <w:rsid w:val="00FA10DB"/>
    <w:rsid w:val="00FA2F87"/>
    <w:rsid w:val="00FA30C2"/>
    <w:rsid w:val="00FA31D8"/>
    <w:rsid w:val="00FA419E"/>
    <w:rsid w:val="00FA63B6"/>
    <w:rsid w:val="00FA6958"/>
    <w:rsid w:val="00FA7135"/>
    <w:rsid w:val="00FA784C"/>
    <w:rsid w:val="00FB06E1"/>
    <w:rsid w:val="00FB0CA2"/>
    <w:rsid w:val="00FB1A25"/>
    <w:rsid w:val="00FB4A9E"/>
    <w:rsid w:val="00FB66AB"/>
    <w:rsid w:val="00FB6912"/>
    <w:rsid w:val="00FC00DD"/>
    <w:rsid w:val="00FC0A72"/>
    <w:rsid w:val="00FC1247"/>
    <w:rsid w:val="00FC13E2"/>
    <w:rsid w:val="00FC14D9"/>
    <w:rsid w:val="00FC1C66"/>
    <w:rsid w:val="00FC27D4"/>
    <w:rsid w:val="00FC3CD4"/>
    <w:rsid w:val="00FC4E2A"/>
    <w:rsid w:val="00FC684B"/>
    <w:rsid w:val="00FC6916"/>
    <w:rsid w:val="00FC6CF3"/>
    <w:rsid w:val="00FC6F4F"/>
    <w:rsid w:val="00FD071E"/>
    <w:rsid w:val="00FD1B30"/>
    <w:rsid w:val="00FD3383"/>
    <w:rsid w:val="00FD3D3E"/>
    <w:rsid w:val="00FD4975"/>
    <w:rsid w:val="00FD5051"/>
    <w:rsid w:val="00FD522D"/>
    <w:rsid w:val="00FD5958"/>
    <w:rsid w:val="00FD5A0F"/>
    <w:rsid w:val="00FD6A3C"/>
    <w:rsid w:val="00FD756D"/>
    <w:rsid w:val="00FD7972"/>
    <w:rsid w:val="00FD79EA"/>
    <w:rsid w:val="00FE059A"/>
    <w:rsid w:val="00FE0767"/>
    <w:rsid w:val="00FE0781"/>
    <w:rsid w:val="00FE1091"/>
    <w:rsid w:val="00FE2022"/>
    <w:rsid w:val="00FE29AF"/>
    <w:rsid w:val="00FE395C"/>
    <w:rsid w:val="00FE3DE9"/>
    <w:rsid w:val="00FE54AE"/>
    <w:rsid w:val="00FE684F"/>
    <w:rsid w:val="00FE6B28"/>
    <w:rsid w:val="00FE76DA"/>
    <w:rsid w:val="00FF1E56"/>
    <w:rsid w:val="00FF1E9C"/>
    <w:rsid w:val="00FF2122"/>
    <w:rsid w:val="00FF2339"/>
    <w:rsid w:val="00FF2430"/>
    <w:rsid w:val="00FF26B9"/>
    <w:rsid w:val="00FF33AA"/>
    <w:rsid w:val="00FF371D"/>
    <w:rsid w:val="00FF4869"/>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A26D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qFormat/>
    <w:rsid w:val="006928E4"/>
    <w:pPr>
      <w:spacing w:after="240"/>
      <w:jc w:val="center"/>
      <w:outlineLvl w:val="0"/>
    </w:pPr>
    <w:rPr>
      <w:rFonts w:ascii="Arial Bold" w:hAnsi="Arial Bold"/>
      <w:b/>
      <w:kern w:val="34"/>
      <w:sz w:val="36"/>
    </w:rPr>
  </w:style>
  <w:style w:type="paragraph" w:styleId="Heading2">
    <w:name w:val="heading 2"/>
    <w:basedOn w:val="HeadingBase"/>
    <w:next w:val="Normal"/>
    <w:qFormat/>
    <w:rsid w:val="0081037F"/>
    <w:pPr>
      <w:spacing w:before="240" w:after="240"/>
      <w:outlineLvl w:val="1"/>
    </w:pPr>
    <w:rPr>
      <w:rFonts w:ascii="Arial Bold" w:hAnsi="Arial Bold"/>
      <w:b/>
      <w:sz w:val="26"/>
    </w:rPr>
  </w:style>
  <w:style w:type="paragraph" w:styleId="Heading3">
    <w:name w:val="heading 3"/>
    <w:basedOn w:val="HeadingBase"/>
    <w:next w:val="Normal"/>
    <w:link w:val="Heading3Char"/>
    <w:qFormat/>
    <w:rsid w:val="0081037F"/>
    <w:pPr>
      <w:tabs>
        <w:tab w:val="left" w:pos="709"/>
      </w:tabs>
      <w:spacing w:before="120" w:after="120"/>
      <w:outlineLvl w:val="2"/>
    </w:pPr>
    <w:rPr>
      <w:rFonts w:ascii="Arial Bold" w:hAnsi="Arial Bold"/>
      <w:b/>
      <w:sz w:val="22"/>
    </w:rPr>
  </w:style>
  <w:style w:type="paragraph" w:styleId="Heading4">
    <w:name w:val="heading 4"/>
    <w:basedOn w:val="HeadingBase"/>
    <w:next w:val="Normal"/>
    <w:qFormat/>
    <w:rsid w:val="0081037F"/>
    <w:pPr>
      <w:tabs>
        <w:tab w:val="left" w:pos="709"/>
      </w:tabs>
      <w:spacing w:after="120"/>
      <w:outlineLvl w:val="3"/>
    </w:pPr>
    <w:rPr>
      <w:rFonts w:ascii="Arial Bold" w:hAnsi="Arial Bold"/>
      <w:b/>
      <w:sz w:val="20"/>
    </w:rPr>
  </w:style>
  <w:style w:type="paragraph" w:styleId="Heading5">
    <w:name w:val="heading 5"/>
    <w:basedOn w:val="HeadingBase"/>
    <w:next w:val="Normal"/>
    <w:qFormat/>
    <w:rsid w:val="005328A9"/>
    <w:pPr>
      <w:spacing w:after="120"/>
      <w:outlineLvl w:val="4"/>
    </w:pPr>
    <w:rPr>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link w:val="HeadingBaseChar"/>
    <w:rsid w:val="00C24BB1"/>
    <w:pPr>
      <w:keepNext/>
    </w:pPr>
    <w:rPr>
      <w:rFonts w:ascii="Arial" w:hAnsi="Arial"/>
      <w:sz w:val="24"/>
    </w:rPr>
  </w:style>
  <w:style w:type="character" w:customStyle="1" w:styleId="HeadingBaseChar">
    <w:name w:val="Heading Base Char"/>
    <w:link w:val="HeadingBase"/>
    <w:rsid w:val="00C24BB1"/>
    <w:rPr>
      <w:rFonts w:ascii="Arial" w:hAnsi="Arial"/>
      <w:sz w:val="24"/>
    </w:rPr>
  </w:style>
  <w:style w:type="character" w:customStyle="1" w:styleId="Heading3Char">
    <w:name w:val="Heading 3 Char"/>
    <w:link w:val="Heading3"/>
    <w:rsid w:val="0081037F"/>
    <w:rPr>
      <w:rFonts w:ascii="Arial Bold" w:hAnsi="Arial Bold"/>
      <w:b/>
      <w:sz w:val="22"/>
    </w:rPr>
  </w:style>
  <w:style w:type="character" w:customStyle="1" w:styleId="Heading9Char">
    <w:name w:val="Heading 9 Char"/>
    <w:basedOn w:val="DefaultParagraphFont"/>
    <w:link w:val="Heading9"/>
    <w:uiPriority w:val="9"/>
    <w:rsid w:val="008557AA"/>
    <w:rPr>
      <w:rFonts w:asciiTheme="majorHAnsi" w:eastAsiaTheme="majorEastAsia" w:hAnsiTheme="majorHAnsi" w:cstheme="majorBidi"/>
      <w:i/>
      <w:iCs/>
      <w:color w:val="272727" w:themeColor="text1" w:themeTint="D8"/>
      <w:sz w:val="21"/>
      <w:szCs w:val="21"/>
    </w:rPr>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ChartGraphic">
    <w:name w:val="Chart Graphic"/>
    <w:basedOn w:val="HeadingBase"/>
    <w:rsid w:val="00EC5F86"/>
    <w:pPr>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TableGraphic">
    <w:name w:val="Table Graphic"/>
    <w:basedOn w:val="Normal"/>
    <w:next w:val="Normal"/>
    <w:rsid w:val="00EC5F86"/>
    <w:pPr>
      <w:spacing w:after="0" w:line="240" w:lineRule="auto"/>
      <w:ind w:right="-113"/>
    </w:pPr>
  </w:style>
  <w:style w:type="character" w:customStyle="1" w:styleId="TableHeadingChar">
    <w:name w:val="Table Heading Char"/>
    <w:link w:val="TableHeading"/>
    <w:rsid w:val="00AD42E2"/>
    <w:rPr>
      <w:rFonts w:ascii="Arial" w:hAnsi="Arial"/>
      <w:b/>
      <w:color w:val="000000"/>
      <w:lang w:val="x-none" w:eastAsia="x-none"/>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character" w:customStyle="1" w:styleId="BulletChar">
    <w:name w:val="Bullet Char"/>
    <w:link w:val="Bullet"/>
    <w:rsid w:val="00FD5958"/>
    <w:rPr>
      <w:rFonts w:ascii="Book Antiqua" w:hAnsi="Book Antiqua"/>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TextBase">
    <w:name w:val="Box Text Base"/>
    <w:basedOn w:val="Normal"/>
    <w:rsid w:val="00EC5F86"/>
    <w:pPr>
      <w:spacing w:after="120"/>
    </w:pPr>
    <w:rPr>
      <w:color w:val="000000"/>
    </w:r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qFormat/>
    <w:rsid w:val="009A40DD"/>
    <w:pPr>
      <w:keepNext w:val="0"/>
      <w:tabs>
        <w:tab w:val="left" w:pos="284"/>
      </w:tabs>
      <w:jc w:val="both"/>
    </w:pPr>
    <w:rPr>
      <w:color w:val="000000"/>
      <w:sz w:val="16"/>
      <w:lang w:val="x-none" w:eastAsia="x-none"/>
    </w:r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6"/>
      </w:numPr>
    </w:pPr>
  </w:style>
  <w:style w:type="paragraph" w:customStyle="1" w:styleId="ContentsHeading">
    <w:name w:val="Contents Heading"/>
    <w:basedOn w:val="HeadingBase"/>
    <w:next w:val="Normal"/>
    <w:rsid w:val="005328A9"/>
    <w:pPr>
      <w:spacing w:after="600"/>
      <w:jc w:val="center"/>
    </w:pPr>
    <w:rPr>
      <w:rFonts w:ascii="Arial Bold" w:hAnsi="Arial Bold"/>
      <w:b/>
      <w:sz w:val="36"/>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character" w:customStyle="1" w:styleId="TableTextBaseChar">
    <w:name w:val="Table Text Base Char"/>
    <w:link w:val="TableTextBase"/>
    <w:rsid w:val="00637BBD"/>
    <w:rPr>
      <w:rFonts w:ascii="Arial" w:hAnsi="Arial"/>
      <w:sz w:val="18"/>
      <w:lang w:val="en-AU" w:eastAsia="en-AU" w:bidi="ar-SA"/>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character" w:customStyle="1" w:styleId="TableTextLeftChar">
    <w:name w:val="Table Text Left Char"/>
    <w:link w:val="TableTextLeft"/>
    <w:rsid w:val="00637BBD"/>
    <w:rPr>
      <w:rFonts w:ascii="Arial" w:hAnsi="Arial"/>
      <w:sz w:val="18"/>
      <w:lang w:val="en-AU" w:eastAsia="en-AU" w:bidi="ar-SA"/>
    </w:rPr>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4"/>
      </w:numPr>
    </w:pPr>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C24BB1"/>
    <w:pPr>
      <w:jc w:val="center"/>
    </w:pPr>
    <w:rPr>
      <w:rFonts w:cs="Arial"/>
      <w:b/>
      <w:sz w:val="32"/>
      <w:szCs w:val="18"/>
    </w:rPr>
  </w:style>
  <w:style w:type="paragraph" w:customStyle="1" w:styleId="TPHeading2">
    <w:name w:val="TP Heading 2"/>
    <w:basedOn w:val="HeadingBase"/>
    <w:rsid w:val="00C24BB1"/>
    <w:pPr>
      <w:spacing w:before="480"/>
      <w:jc w:val="center"/>
    </w:pPr>
    <w:rPr>
      <w:rFonts w:cs="Arial"/>
      <w:sz w:val="28"/>
      <w:szCs w:val="18"/>
    </w:rPr>
  </w:style>
  <w:style w:type="paragraph" w:customStyle="1" w:styleId="TPHeading3">
    <w:name w:val="TP Heading 3"/>
    <w:basedOn w:val="HeadingBase"/>
    <w:rsid w:val="00C24BB1"/>
    <w:pPr>
      <w:jc w:val="center"/>
    </w:pPr>
    <w:rPr>
      <w:sz w:val="22"/>
    </w:rPr>
  </w:style>
  <w:style w:type="paragraph" w:customStyle="1" w:styleId="HeaderBase">
    <w:name w:val="Header Base"/>
    <w:rsid w:val="00EC5F86"/>
    <w:rPr>
      <w:rFonts w:ascii="Book Antiqua" w:hAnsi="Book Antiqua"/>
      <w:i/>
    </w:rPr>
  </w:style>
  <w:style w:type="paragraph" w:customStyle="1" w:styleId="HeaderEven">
    <w:name w:val="Header Even"/>
    <w:basedOn w:val="Normal"/>
    <w:rsid w:val="000C4F54"/>
    <w:pPr>
      <w:spacing w:after="0" w:line="240" w:lineRule="auto"/>
      <w:jc w:val="left"/>
    </w:pPr>
    <w:rPr>
      <w:rFonts w:ascii="Arial" w:hAnsi="Arial"/>
      <w:sz w:val="18"/>
    </w:rPr>
  </w:style>
  <w:style w:type="paragraph" w:customStyle="1" w:styleId="HeaderOdd">
    <w:name w:val="Header Odd"/>
    <w:basedOn w:val="Normal"/>
    <w:rsid w:val="000C4F54"/>
    <w:pPr>
      <w:spacing w:after="0" w:line="240" w:lineRule="auto"/>
      <w:jc w:val="right"/>
    </w:pPr>
    <w:rPr>
      <w:rFonts w:ascii="Arial" w:hAnsi="Arial"/>
      <w:sz w:val="18"/>
    </w:rPr>
  </w:style>
  <w:style w:type="paragraph" w:styleId="Header">
    <w:name w:val="header"/>
    <w:basedOn w:val="Normal"/>
    <w:link w:val="HeaderChar"/>
    <w:uiPriority w:val="99"/>
    <w:rsid w:val="000C4F54"/>
    <w:pPr>
      <w:tabs>
        <w:tab w:val="center" w:pos="4153"/>
        <w:tab w:val="right" w:pos="8306"/>
      </w:tabs>
      <w:spacing w:after="0" w:line="240" w:lineRule="auto"/>
      <w:jc w:val="left"/>
    </w:pPr>
    <w:rPr>
      <w:i/>
      <w:lang w:val="x-none"/>
    </w:rPr>
  </w:style>
  <w:style w:type="character" w:customStyle="1" w:styleId="HeaderChar">
    <w:name w:val="Header Char"/>
    <w:link w:val="Header"/>
    <w:uiPriority w:val="99"/>
    <w:rsid w:val="000C4F54"/>
    <w:rPr>
      <w:rFonts w:ascii="Book Antiqua" w:hAnsi="Book Antiqua"/>
      <w:i/>
      <w:lang w:val="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character" w:customStyle="1" w:styleId="FooterChar">
    <w:name w:val="Footer Char"/>
    <w:link w:val="Footer"/>
    <w:uiPriority w:val="99"/>
    <w:rsid w:val="00605163"/>
    <w:rPr>
      <w:rFonts w:ascii="Arial" w:hAnsi="Arial"/>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character" w:customStyle="1" w:styleId="CommentTextChar">
    <w:name w:val="Comment Text Char"/>
    <w:link w:val="CommentText"/>
    <w:uiPriority w:val="99"/>
    <w:rsid w:val="001B0C75"/>
    <w:rPr>
      <w:rFonts w:ascii="Book Antiqua" w:hAnsi="Book Antiqua"/>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uiPriority w:val="39"/>
    <w:rsid w:val="00EC5F86"/>
    <w:pPr>
      <w:ind w:left="1000"/>
    </w:pPr>
  </w:style>
  <w:style w:type="paragraph" w:styleId="TOC7">
    <w:name w:val="toc 7"/>
    <w:basedOn w:val="Normal"/>
    <w:next w:val="Normal"/>
    <w:autoRedefine/>
    <w:uiPriority w:val="39"/>
    <w:rsid w:val="00EC5F86"/>
    <w:pPr>
      <w:ind w:left="1200"/>
    </w:pPr>
  </w:style>
  <w:style w:type="paragraph" w:styleId="TOC8">
    <w:name w:val="toc 8"/>
    <w:basedOn w:val="Normal"/>
    <w:next w:val="Normal"/>
    <w:autoRedefine/>
    <w:uiPriority w:val="39"/>
    <w:rsid w:val="00EC5F86"/>
    <w:pPr>
      <w:ind w:left="1400"/>
    </w:pPr>
  </w:style>
  <w:style w:type="paragraph" w:styleId="TOC9">
    <w:name w:val="toc 9"/>
    <w:basedOn w:val="Normal"/>
    <w:next w:val="Normal"/>
    <w:autoRedefine/>
    <w:uiPriority w:val="39"/>
    <w:rsid w:val="00EC5F86"/>
    <w:pPr>
      <w:ind w:left="1600"/>
    </w:pPr>
  </w:style>
  <w:style w:type="paragraph" w:customStyle="1" w:styleId="FileProperties">
    <w:name w:val="File Properties"/>
    <w:basedOn w:val="Normal"/>
    <w:rsid w:val="00EC5F86"/>
    <w:rPr>
      <w:i/>
    </w:rPr>
  </w:style>
  <w:style w:type="character" w:styleId="PageNumber">
    <w:name w:val="page number"/>
    <w:rsid w:val="00214FA2"/>
    <w:rPr>
      <w:rFonts w:ascii="Arial" w:hAnsi="Arial" w:cs="Arial"/>
      <w:sz w:val="20"/>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5"/>
      </w:numPr>
    </w:pPr>
  </w:style>
  <w:style w:type="paragraph" w:customStyle="1" w:styleId="Exampletextdash">
    <w:name w:val="Example text dash"/>
    <w:basedOn w:val="Exampletextbullet"/>
    <w:semiHidden/>
    <w:rsid w:val="00EC5F86"/>
    <w:pPr>
      <w:numPr>
        <w:ilvl w:val="1"/>
      </w:numPr>
    </w:p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0A345B"/>
    <w:pPr>
      <w:spacing w:after="200" w:line="276" w:lineRule="auto"/>
      <w:ind w:left="720"/>
      <w:contextualSpacing/>
      <w:jc w:val="left"/>
    </w:pPr>
    <w:rPr>
      <w:rFonts w:ascii="Calibri" w:eastAsia="Calibri" w:hAnsi="Calibri"/>
      <w:sz w:val="22"/>
      <w:szCs w:val="22"/>
      <w:lang w:val="en-US" w:eastAsia="en-US"/>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qFormat/>
    <w:locked/>
    <w:rsid w:val="00E81274"/>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5"/>
      </w:numPr>
    </w:pPr>
  </w:style>
  <w:style w:type="paragraph" w:customStyle="1" w:styleId="PartHeading">
    <w:name w:val="Part Heading"/>
    <w:basedOn w:val="Title"/>
    <w:next w:val="Normal"/>
    <w:rsid w:val="00C24BB1"/>
    <w:pPr>
      <w:spacing w:after="480"/>
      <w:outlineLvl w:val="9"/>
    </w:pPr>
    <w:rPr>
      <w:rFonts w:ascii="Arial Bold" w:hAnsi="Arial Bold"/>
      <w:smallCaps w:val="0"/>
    </w:rPr>
  </w:style>
  <w:style w:type="paragraph" w:customStyle="1" w:styleId="BoxDash">
    <w:name w:val="Box Dash"/>
    <w:basedOn w:val="Normal"/>
    <w:rsid w:val="00EC5F86"/>
    <w:pPr>
      <w:numPr>
        <w:ilvl w:val="1"/>
        <w:numId w:val="6"/>
      </w:numPr>
    </w:pPr>
    <w:rPr>
      <w:color w:val="000000"/>
    </w:rPr>
  </w:style>
  <w:style w:type="paragraph" w:customStyle="1" w:styleId="BoxDoubleDot">
    <w:name w:val="Box Double Dot"/>
    <w:basedOn w:val="BoxTextBase"/>
    <w:rsid w:val="00EC5F86"/>
    <w:pPr>
      <w:numPr>
        <w:ilvl w:val="2"/>
        <w:numId w:val="6"/>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paragraph" w:customStyle="1" w:styleId="ExampleText0">
    <w:name w:val="Example Text"/>
    <w:basedOn w:val="Normal"/>
    <w:rsid w:val="00C11F05"/>
    <w:pPr>
      <w:jc w:val="left"/>
    </w:pPr>
    <w:rPr>
      <w:i/>
      <w:color w:val="FF0000"/>
    </w:rPr>
  </w:style>
  <w:style w:type="paragraph" w:styleId="NoSpacing">
    <w:name w:val="No Spacing"/>
    <w:link w:val="NoSpacingChar"/>
    <w:uiPriority w:val="1"/>
    <w:qFormat/>
    <w:rsid w:val="00451501"/>
    <w:pPr>
      <w:jc w:val="both"/>
    </w:pPr>
    <w:rPr>
      <w:rFonts w:ascii="Book Antiqua" w:hAnsi="Book Antiqua"/>
    </w:rPr>
  </w:style>
  <w:style w:type="character" w:customStyle="1" w:styleId="NoSpacingChar">
    <w:name w:val="No Spacing Char"/>
    <w:basedOn w:val="DefaultParagraphFont"/>
    <w:link w:val="NoSpacing"/>
    <w:uiPriority w:val="1"/>
    <w:rsid w:val="002946CF"/>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styleId="FollowedHyperlink">
    <w:name w:val="FollowedHyperlink"/>
    <w:rsid w:val="00F10D71"/>
    <w:rPr>
      <w:color w:val="800080"/>
      <w:u w:val="single"/>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5328A9"/>
    <w:pPr>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C24BB1"/>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qFormat/>
    <w:rsid w:val="000C4F54"/>
    <w:pPr>
      <w:pBdr>
        <w:top w:val="single" w:sz="4" w:space="10" w:color="auto"/>
      </w:pBdr>
      <w:jc w:val="left"/>
    </w:pPr>
    <w:rPr>
      <w:bCs/>
      <w:sz w:val="18"/>
      <w:lang w:val="en-AU" w:eastAsia="en-AU"/>
    </w:rPr>
  </w:style>
  <w:style w:type="paragraph" w:customStyle="1" w:styleId="ChartandTableFootnoteAlpha-Bullet">
    <w:name w:val="Chart and Table Footnote Alpha - Bullet"/>
    <w:basedOn w:val="ChartandTableFootnoteAlpha"/>
    <w:rsid w:val="00392DD1"/>
    <w:pPr>
      <w:numPr>
        <w:numId w:val="8"/>
      </w:numPr>
      <w:tabs>
        <w:tab w:val="left" w:pos="454"/>
      </w:tabs>
      <w:ind w:left="454" w:hanging="170"/>
    </w:pPr>
    <w:rPr>
      <w:rFonts w:cs="Arial"/>
      <w:szCs w:val="16"/>
    </w:rPr>
  </w:style>
  <w:style w:type="paragraph" w:customStyle="1" w:styleId="ChartandTableFootnote-Dash">
    <w:name w:val="Chart and Table Footnote - Dash"/>
    <w:basedOn w:val="Normal"/>
    <w:rsid w:val="00C37BFF"/>
    <w:pPr>
      <w:tabs>
        <w:tab w:val="left" w:pos="680"/>
      </w:tabs>
      <w:spacing w:after="0" w:line="240" w:lineRule="auto"/>
      <w:ind w:left="681" w:hanging="284"/>
    </w:pPr>
    <w:rPr>
      <w:rFonts w:ascii="Arial" w:hAnsi="Arial"/>
      <w:sz w:val="16"/>
    </w:rPr>
  </w:style>
  <w:style w:type="paragraph" w:customStyle="1" w:styleId="FooterOdd">
    <w:name w:val="Footer Odd"/>
    <w:basedOn w:val="Footer"/>
    <w:qFormat/>
    <w:rsid w:val="000C4F54"/>
    <w:pPr>
      <w:pBdr>
        <w:top w:val="single" w:sz="4" w:space="10" w:color="auto"/>
      </w:pBdr>
      <w:jc w:val="right"/>
    </w:pPr>
    <w:rPr>
      <w:sz w:val="18"/>
      <w:lang w:eastAsia="en-AU"/>
    </w:rPr>
  </w:style>
  <w:style w:type="paragraph" w:customStyle="1" w:styleId="Heading1-NoTOC">
    <w:name w:val="Heading 1 - No TOC"/>
    <w:basedOn w:val="Heading1"/>
    <w:rsid w:val="00EA5D42"/>
    <w:pPr>
      <w:spacing w:after="360"/>
      <w:outlineLvl w:val="9"/>
    </w:pPr>
    <w:rPr>
      <w:kern w:val="28"/>
      <w:lang w:val="x-none"/>
    </w:rPr>
  </w:style>
  <w:style w:type="table" w:customStyle="1" w:styleId="PMCTableStyle2">
    <w:name w:val="PMC Table Style 2"/>
    <w:basedOn w:val="TableNormal"/>
    <w:uiPriority w:val="99"/>
    <w:rsid w:val="002946CF"/>
    <w:pPr>
      <w:spacing w:before="60" w:after="60" w:line="264" w:lineRule="auto"/>
    </w:pPr>
    <w:rPr>
      <w:rFonts w:asciiTheme="minorHAnsi" w:eastAsiaTheme="minorHAnsi" w:hAnsiTheme="minorHAnsi" w:cstheme="minorBidi"/>
      <w:color w:val="262626" w:themeColor="text1" w:themeTint="D9"/>
      <w:lang w:eastAsia="en-US"/>
    </w:rPr>
    <w:tblPr>
      <w:tblStyleRowBandSize w:val="1"/>
      <w:tblBorders>
        <w:top w:val="single" w:sz="4" w:space="0" w:color="EEF4FA" w:themeColor="accent1" w:themeTint="1A"/>
        <w:left w:val="single" w:sz="4" w:space="0" w:color="EEF4FA" w:themeColor="accent1" w:themeTint="1A"/>
        <w:bottom w:val="single" w:sz="18" w:space="0" w:color="44546A" w:themeColor="text2"/>
        <w:right w:val="single" w:sz="4" w:space="0" w:color="EEF4FA" w:themeColor="accent1" w:themeTint="1A"/>
        <w:insideH w:val="single" w:sz="4" w:space="0" w:color="EEF4FA" w:themeColor="accent1" w:themeTint="1A"/>
        <w:insideV w:val="single" w:sz="4" w:space="0" w:color="EEF4FA"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44546A" w:themeFill="text2"/>
      </w:tcPr>
    </w:tblStylePr>
    <w:tblStylePr w:type="lastRow">
      <w:tblPr/>
      <w:tcPr>
        <w:shd w:val="clear" w:color="auto" w:fill="E6E6E6"/>
      </w:tcPr>
    </w:tblStylePr>
    <w:tblStylePr w:type="band1Horz">
      <w:rPr>
        <w:color w:val="262626" w:themeColor="text1" w:themeTint="D9"/>
      </w:rPr>
    </w:tblStylePr>
    <w:tblStylePr w:type="band2Horz">
      <w:rPr>
        <w:rFonts w:asciiTheme="minorHAnsi" w:hAnsiTheme="minorHAnsi"/>
        <w:b w:val="0"/>
        <w:color w:val="262626" w:themeColor="text1" w:themeTint="D9"/>
      </w:rPr>
      <w:tblPr/>
      <w:tcPr>
        <w:shd w:val="clear" w:color="auto" w:fill="FFFFFF" w:themeFill="background1"/>
      </w:tcPr>
    </w:tblStylePr>
  </w:style>
  <w:style w:type="character" w:customStyle="1" w:styleId="BulletIntroChar">
    <w:name w:val="BulletIntro Char"/>
    <w:link w:val="BulletIntro"/>
    <w:uiPriority w:val="99"/>
    <w:locked/>
    <w:rsid w:val="00F2151C"/>
    <w:rPr>
      <w:rFonts w:ascii="Book Antiqua" w:hAnsi="Book Antiqua"/>
    </w:rPr>
  </w:style>
  <w:style w:type="paragraph" w:customStyle="1" w:styleId="BulletIntro">
    <w:name w:val="BulletIntro"/>
    <w:basedOn w:val="Normal"/>
    <w:link w:val="BulletIntroChar"/>
    <w:uiPriority w:val="99"/>
    <w:rsid w:val="00F2151C"/>
    <w:pPr>
      <w:keepNext/>
      <w:keepLines/>
      <w:spacing w:after="120"/>
    </w:pPr>
  </w:style>
  <w:style w:type="paragraph" w:customStyle="1" w:styleId="BulletBox">
    <w:name w:val="Bullet Box"/>
    <w:basedOn w:val="Normal"/>
    <w:qFormat/>
    <w:rsid w:val="00F2151C"/>
    <w:pPr>
      <w:keepLines/>
      <w:pBdr>
        <w:top w:val="single" w:sz="2" w:space="3" w:color="auto"/>
        <w:left w:val="single" w:sz="2" w:space="0" w:color="auto"/>
        <w:bottom w:val="single" w:sz="2" w:space="3" w:color="auto"/>
        <w:right w:val="single" w:sz="2" w:space="0" w:color="auto"/>
      </w:pBdr>
      <w:tabs>
        <w:tab w:val="num" w:pos="284"/>
      </w:tabs>
      <w:spacing w:after="60"/>
      <w:ind w:left="284" w:hanging="284"/>
    </w:pPr>
    <w:rPr>
      <w:lang w:val="en-GB"/>
    </w:rPr>
  </w:style>
  <w:style w:type="paragraph" w:customStyle="1" w:styleId="TableParagraph">
    <w:name w:val="Table Paragraph"/>
    <w:basedOn w:val="Normal"/>
    <w:uiPriority w:val="1"/>
    <w:qFormat/>
    <w:rsid w:val="00B06FB9"/>
    <w:pPr>
      <w:widowControl w:val="0"/>
      <w:autoSpaceDE w:val="0"/>
      <w:autoSpaceDN w:val="0"/>
      <w:spacing w:after="0" w:line="240" w:lineRule="auto"/>
      <w:jc w:val="left"/>
    </w:pPr>
    <w:rPr>
      <w:rFonts w:ascii="Arial" w:eastAsia="Arial" w:hAnsi="Arial" w:cs="Arial"/>
      <w:sz w:val="22"/>
      <w:szCs w:val="22"/>
      <w:lang w:val="en-US" w:eastAsia="en-US"/>
    </w:rPr>
  </w:style>
  <w:style w:type="paragraph" w:customStyle="1" w:styleId="H7">
    <w:name w:val="H7"/>
    <w:basedOn w:val="Heading5"/>
    <w:link w:val="H7Char"/>
    <w:qFormat/>
    <w:rsid w:val="00102406"/>
    <w:pPr>
      <w:outlineLvl w:val="6"/>
    </w:pPr>
    <w:rPr>
      <w:i/>
    </w:rPr>
  </w:style>
  <w:style w:type="character" w:customStyle="1" w:styleId="H7Char">
    <w:name w:val="H7 Char"/>
    <w:basedOn w:val="DefaultParagraphFont"/>
    <w:link w:val="H7"/>
    <w:rsid w:val="00102406"/>
    <w:rPr>
      <w:rFonts w:ascii="Arial" w:hAnsi="Arial"/>
      <w:bCs/>
      <w:i/>
      <w:iCs/>
      <w:szCs w:val="26"/>
    </w:rPr>
  </w:style>
  <w:style w:type="table" w:customStyle="1" w:styleId="TableGrid11">
    <w:name w:val="Table Grid11"/>
    <w:basedOn w:val="TableNormal"/>
    <w:next w:val="TableGrid"/>
    <w:uiPriority w:val="39"/>
    <w:rsid w:val="001024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1024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
    <w:name w:val="Bulleted text"/>
    <w:basedOn w:val="Normal"/>
    <w:qFormat/>
    <w:rsid w:val="00AD4DAF"/>
    <w:pPr>
      <w:numPr>
        <w:numId w:val="64"/>
      </w:numPr>
      <w:spacing w:after="60" w:line="276" w:lineRule="auto"/>
      <w:ind w:left="227" w:hanging="227"/>
      <w:jc w:val="left"/>
    </w:pPr>
    <w:rPr>
      <w:rFonts w:ascii="Calibri" w:eastAsiaTheme="minorHAnsi" w:hAnsi="Calibri" w:cs="Calibri"/>
    </w:rPr>
  </w:style>
  <w:style w:type="paragraph" w:customStyle="1" w:styleId="H66">
    <w:name w:val="H66"/>
    <w:basedOn w:val="Heading5"/>
    <w:link w:val="H66Char"/>
    <w:qFormat/>
    <w:rsid w:val="00AD4DAF"/>
    <w:pPr>
      <w:outlineLvl w:val="5"/>
    </w:pPr>
    <w:rPr>
      <w:b/>
    </w:rPr>
  </w:style>
  <w:style w:type="character" w:customStyle="1" w:styleId="H66Char">
    <w:name w:val="H66 Char"/>
    <w:basedOn w:val="DefaultParagraphFont"/>
    <w:link w:val="H66"/>
    <w:rsid w:val="00AD4DAF"/>
    <w:rPr>
      <w:rFonts w:ascii="Arial" w:hAnsi="Arial"/>
      <w:b/>
      <w:bCs/>
      <w:iCs/>
      <w:szCs w:val="26"/>
    </w:rPr>
  </w:style>
  <w:style w:type="paragraph" w:styleId="PlainText">
    <w:name w:val="Plain Text"/>
    <w:basedOn w:val="Normal"/>
    <w:link w:val="PlainTextChar"/>
    <w:uiPriority w:val="99"/>
    <w:unhideWhenUsed/>
    <w:rsid w:val="00A929E1"/>
    <w:pPr>
      <w:spacing w:after="0" w:line="240" w:lineRule="auto"/>
      <w:jc w:val="left"/>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A929E1"/>
    <w:rPr>
      <w:rFonts w:ascii="Consolas" w:eastAsiaTheme="minorHAnsi" w:hAnsi="Consolas" w:cstheme="minorBidi"/>
      <w:sz w:val="21"/>
      <w:szCs w:val="21"/>
      <w:lang w:eastAsia="en-US"/>
    </w:rPr>
  </w:style>
  <w:style w:type="character" w:styleId="Emphasis">
    <w:name w:val="Emphasis"/>
    <w:qFormat/>
    <w:rsid w:val="00A929E1"/>
    <w:rPr>
      <w:i/>
      <w:iCs/>
    </w:rPr>
  </w:style>
  <w:style w:type="paragraph" w:customStyle="1" w:styleId="bulletlevel1">
    <w:name w:val="bullet level 1"/>
    <w:basedOn w:val="Normal"/>
    <w:qFormat/>
    <w:rsid w:val="00742EE3"/>
    <w:pPr>
      <w:numPr>
        <w:numId w:val="68"/>
      </w:numPr>
      <w:spacing w:before="120" w:after="120" w:line="240" w:lineRule="auto"/>
      <w:ind w:left="567" w:hanging="567"/>
    </w:pPr>
    <w:rPr>
      <w:iCs/>
      <w:color w:val="000000" w:themeColor="text1"/>
    </w:rPr>
  </w:style>
  <w:style w:type="paragraph" w:customStyle="1" w:styleId="Tabletextcell8left12">
    <w:name w:val="_Table text cell 8 left12"/>
    <w:basedOn w:val="Normal"/>
    <w:qFormat/>
    <w:rsid w:val="00742EE3"/>
    <w:pPr>
      <w:tabs>
        <w:tab w:val="left" w:pos="204"/>
        <w:tab w:val="left" w:pos="396"/>
      </w:tabs>
      <w:spacing w:after="0" w:line="240" w:lineRule="auto"/>
      <w:jc w:val="left"/>
    </w:pPr>
    <w:rPr>
      <w:rFonts w:ascii="Arial" w:eastAsia="Calibri" w:hAnsi="Arial"/>
      <w:sz w:val="16"/>
      <w:szCs w:val="16"/>
      <w:lang w:eastAsia="en-US"/>
    </w:rPr>
  </w:style>
  <w:style w:type="paragraph" w:customStyle="1" w:styleId="Paragraphtext">
    <w:name w:val="_Paragraph text"/>
    <w:basedOn w:val="Normal"/>
    <w:qFormat/>
    <w:rsid w:val="00742EE3"/>
    <w:pPr>
      <w:spacing w:line="240" w:lineRule="auto"/>
    </w:pPr>
    <w:rPr>
      <w:lang w:eastAsia="en-US"/>
    </w:rPr>
  </w:style>
  <w:style w:type="character" w:customStyle="1" w:styleId="UnresolvedMention">
    <w:name w:val="Unresolved Mention"/>
    <w:basedOn w:val="DefaultParagraphFont"/>
    <w:uiPriority w:val="99"/>
    <w:semiHidden/>
    <w:unhideWhenUsed/>
    <w:rsid w:val="000A1300"/>
    <w:rPr>
      <w:color w:val="605E5C"/>
      <w:shd w:val="clear" w:color="auto" w:fill="E1DFDD"/>
    </w:rPr>
  </w:style>
  <w:style w:type="paragraph" w:customStyle="1" w:styleId="Footnotes">
    <w:name w:val="Footnotes"/>
    <w:basedOn w:val="ChartandTableFootnote"/>
    <w:link w:val="FootnotesChar"/>
    <w:uiPriority w:val="11"/>
    <w:qFormat/>
    <w:rsid w:val="000A1300"/>
    <w:pPr>
      <w:ind w:left="720" w:hanging="360"/>
    </w:pPr>
    <w:rPr>
      <w:rFonts w:asciiTheme="minorHAnsi" w:hAnsiTheme="minorHAnsi" w:cstheme="minorHAnsi"/>
      <w:sz w:val="18"/>
      <w:lang w:val="en-AU"/>
    </w:rPr>
  </w:style>
  <w:style w:type="character" w:customStyle="1" w:styleId="FootnotesChar">
    <w:name w:val="Footnotes Char"/>
    <w:basedOn w:val="ChartandTableFootnoteChar"/>
    <w:link w:val="Footnotes"/>
    <w:uiPriority w:val="11"/>
    <w:rsid w:val="000A1300"/>
    <w:rPr>
      <w:rFonts w:asciiTheme="minorHAnsi" w:hAnsiTheme="minorHAnsi" w:cstheme="minorHAnsi"/>
      <w:color w:val="000000"/>
      <w:sz w:val="18"/>
      <w:lang w:eastAsia="x-none"/>
    </w:rPr>
  </w:style>
  <w:style w:type="paragraph" w:customStyle="1" w:styleId="Criteria">
    <w:name w:val="Criteria"/>
    <w:basedOn w:val="Normal"/>
    <w:uiPriority w:val="11"/>
    <w:qFormat/>
    <w:rsid w:val="000A1300"/>
    <w:pPr>
      <w:spacing w:before="20" w:after="20" w:line="276" w:lineRule="auto"/>
      <w:contextualSpacing/>
      <w:jc w:val="left"/>
    </w:pPr>
    <w:rPr>
      <w:rFonts w:ascii="Calibri" w:eastAsiaTheme="minorHAnsi" w:hAnsi="Calibri" w:cs="Arial"/>
      <w:color w:val="262626" w:themeColor="text1" w:themeTint="D9"/>
      <w:szCs w:val="16"/>
      <w:lang w:eastAsia="en-US"/>
    </w:rPr>
  </w:style>
  <w:style w:type="paragraph" w:customStyle="1" w:styleId="Pa25">
    <w:name w:val="Pa25"/>
    <w:basedOn w:val="Normal"/>
    <w:next w:val="Normal"/>
    <w:uiPriority w:val="99"/>
    <w:rsid w:val="00AA1698"/>
    <w:pPr>
      <w:autoSpaceDE w:val="0"/>
      <w:autoSpaceDN w:val="0"/>
      <w:adjustRightInd w:val="0"/>
      <w:spacing w:after="0" w:line="161" w:lineRule="atLeast"/>
      <w:jc w:val="left"/>
    </w:pPr>
    <w:rPr>
      <w:rFonts w:ascii="Roboto Light" w:eastAsiaTheme="minorHAnsi" w:hAnsi="Roboto Light"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50">
      <w:bodyDiv w:val="1"/>
      <w:marLeft w:val="0"/>
      <w:marRight w:val="0"/>
      <w:marTop w:val="0"/>
      <w:marBottom w:val="0"/>
      <w:divBdr>
        <w:top w:val="none" w:sz="0" w:space="0" w:color="auto"/>
        <w:left w:val="none" w:sz="0" w:space="0" w:color="auto"/>
        <w:bottom w:val="none" w:sz="0" w:space="0" w:color="auto"/>
        <w:right w:val="none" w:sz="0" w:space="0" w:color="auto"/>
      </w:divBdr>
    </w:div>
    <w:div w:id="3436212">
      <w:bodyDiv w:val="1"/>
      <w:marLeft w:val="0"/>
      <w:marRight w:val="0"/>
      <w:marTop w:val="0"/>
      <w:marBottom w:val="0"/>
      <w:divBdr>
        <w:top w:val="none" w:sz="0" w:space="0" w:color="auto"/>
        <w:left w:val="none" w:sz="0" w:space="0" w:color="auto"/>
        <w:bottom w:val="none" w:sz="0" w:space="0" w:color="auto"/>
        <w:right w:val="none" w:sz="0" w:space="0" w:color="auto"/>
      </w:divBdr>
    </w:div>
    <w:div w:id="5329350">
      <w:bodyDiv w:val="1"/>
      <w:marLeft w:val="0"/>
      <w:marRight w:val="0"/>
      <w:marTop w:val="0"/>
      <w:marBottom w:val="0"/>
      <w:divBdr>
        <w:top w:val="none" w:sz="0" w:space="0" w:color="auto"/>
        <w:left w:val="none" w:sz="0" w:space="0" w:color="auto"/>
        <w:bottom w:val="none" w:sz="0" w:space="0" w:color="auto"/>
        <w:right w:val="none" w:sz="0" w:space="0" w:color="auto"/>
      </w:divBdr>
    </w:div>
    <w:div w:id="8991476">
      <w:bodyDiv w:val="1"/>
      <w:marLeft w:val="0"/>
      <w:marRight w:val="0"/>
      <w:marTop w:val="0"/>
      <w:marBottom w:val="0"/>
      <w:divBdr>
        <w:top w:val="none" w:sz="0" w:space="0" w:color="auto"/>
        <w:left w:val="none" w:sz="0" w:space="0" w:color="auto"/>
        <w:bottom w:val="none" w:sz="0" w:space="0" w:color="auto"/>
        <w:right w:val="none" w:sz="0" w:space="0" w:color="auto"/>
      </w:divBdr>
    </w:div>
    <w:div w:id="10034683">
      <w:bodyDiv w:val="1"/>
      <w:marLeft w:val="0"/>
      <w:marRight w:val="0"/>
      <w:marTop w:val="0"/>
      <w:marBottom w:val="0"/>
      <w:divBdr>
        <w:top w:val="none" w:sz="0" w:space="0" w:color="auto"/>
        <w:left w:val="none" w:sz="0" w:space="0" w:color="auto"/>
        <w:bottom w:val="none" w:sz="0" w:space="0" w:color="auto"/>
        <w:right w:val="none" w:sz="0" w:space="0" w:color="auto"/>
      </w:divBdr>
    </w:div>
    <w:div w:id="11341952">
      <w:bodyDiv w:val="1"/>
      <w:marLeft w:val="0"/>
      <w:marRight w:val="0"/>
      <w:marTop w:val="0"/>
      <w:marBottom w:val="0"/>
      <w:divBdr>
        <w:top w:val="none" w:sz="0" w:space="0" w:color="auto"/>
        <w:left w:val="none" w:sz="0" w:space="0" w:color="auto"/>
        <w:bottom w:val="none" w:sz="0" w:space="0" w:color="auto"/>
        <w:right w:val="none" w:sz="0" w:space="0" w:color="auto"/>
      </w:divBdr>
    </w:div>
    <w:div w:id="15009752">
      <w:bodyDiv w:val="1"/>
      <w:marLeft w:val="0"/>
      <w:marRight w:val="0"/>
      <w:marTop w:val="0"/>
      <w:marBottom w:val="0"/>
      <w:divBdr>
        <w:top w:val="none" w:sz="0" w:space="0" w:color="auto"/>
        <w:left w:val="none" w:sz="0" w:space="0" w:color="auto"/>
        <w:bottom w:val="none" w:sz="0" w:space="0" w:color="auto"/>
        <w:right w:val="none" w:sz="0" w:space="0" w:color="auto"/>
      </w:divBdr>
    </w:div>
    <w:div w:id="19548045">
      <w:bodyDiv w:val="1"/>
      <w:marLeft w:val="0"/>
      <w:marRight w:val="0"/>
      <w:marTop w:val="0"/>
      <w:marBottom w:val="0"/>
      <w:divBdr>
        <w:top w:val="none" w:sz="0" w:space="0" w:color="auto"/>
        <w:left w:val="none" w:sz="0" w:space="0" w:color="auto"/>
        <w:bottom w:val="none" w:sz="0" w:space="0" w:color="auto"/>
        <w:right w:val="none" w:sz="0" w:space="0" w:color="auto"/>
      </w:divBdr>
    </w:div>
    <w:div w:id="22903044">
      <w:bodyDiv w:val="1"/>
      <w:marLeft w:val="0"/>
      <w:marRight w:val="0"/>
      <w:marTop w:val="0"/>
      <w:marBottom w:val="0"/>
      <w:divBdr>
        <w:top w:val="none" w:sz="0" w:space="0" w:color="auto"/>
        <w:left w:val="none" w:sz="0" w:space="0" w:color="auto"/>
        <w:bottom w:val="none" w:sz="0" w:space="0" w:color="auto"/>
        <w:right w:val="none" w:sz="0" w:space="0" w:color="auto"/>
      </w:divBdr>
    </w:div>
    <w:div w:id="22903854">
      <w:bodyDiv w:val="1"/>
      <w:marLeft w:val="0"/>
      <w:marRight w:val="0"/>
      <w:marTop w:val="0"/>
      <w:marBottom w:val="0"/>
      <w:divBdr>
        <w:top w:val="none" w:sz="0" w:space="0" w:color="auto"/>
        <w:left w:val="none" w:sz="0" w:space="0" w:color="auto"/>
        <w:bottom w:val="none" w:sz="0" w:space="0" w:color="auto"/>
        <w:right w:val="none" w:sz="0" w:space="0" w:color="auto"/>
      </w:divBdr>
    </w:div>
    <w:div w:id="23214953">
      <w:bodyDiv w:val="1"/>
      <w:marLeft w:val="0"/>
      <w:marRight w:val="0"/>
      <w:marTop w:val="0"/>
      <w:marBottom w:val="0"/>
      <w:divBdr>
        <w:top w:val="none" w:sz="0" w:space="0" w:color="auto"/>
        <w:left w:val="none" w:sz="0" w:space="0" w:color="auto"/>
        <w:bottom w:val="none" w:sz="0" w:space="0" w:color="auto"/>
        <w:right w:val="none" w:sz="0" w:space="0" w:color="auto"/>
      </w:divBdr>
    </w:div>
    <w:div w:id="26420217">
      <w:bodyDiv w:val="1"/>
      <w:marLeft w:val="0"/>
      <w:marRight w:val="0"/>
      <w:marTop w:val="0"/>
      <w:marBottom w:val="0"/>
      <w:divBdr>
        <w:top w:val="none" w:sz="0" w:space="0" w:color="auto"/>
        <w:left w:val="none" w:sz="0" w:space="0" w:color="auto"/>
        <w:bottom w:val="none" w:sz="0" w:space="0" w:color="auto"/>
        <w:right w:val="none" w:sz="0" w:space="0" w:color="auto"/>
      </w:divBdr>
    </w:div>
    <w:div w:id="27537332">
      <w:bodyDiv w:val="1"/>
      <w:marLeft w:val="0"/>
      <w:marRight w:val="0"/>
      <w:marTop w:val="0"/>
      <w:marBottom w:val="0"/>
      <w:divBdr>
        <w:top w:val="none" w:sz="0" w:space="0" w:color="auto"/>
        <w:left w:val="none" w:sz="0" w:space="0" w:color="auto"/>
        <w:bottom w:val="none" w:sz="0" w:space="0" w:color="auto"/>
        <w:right w:val="none" w:sz="0" w:space="0" w:color="auto"/>
      </w:divBdr>
    </w:div>
    <w:div w:id="31467409">
      <w:bodyDiv w:val="1"/>
      <w:marLeft w:val="0"/>
      <w:marRight w:val="0"/>
      <w:marTop w:val="0"/>
      <w:marBottom w:val="0"/>
      <w:divBdr>
        <w:top w:val="none" w:sz="0" w:space="0" w:color="auto"/>
        <w:left w:val="none" w:sz="0" w:space="0" w:color="auto"/>
        <w:bottom w:val="none" w:sz="0" w:space="0" w:color="auto"/>
        <w:right w:val="none" w:sz="0" w:space="0" w:color="auto"/>
      </w:divBdr>
    </w:div>
    <w:div w:id="34428906">
      <w:bodyDiv w:val="1"/>
      <w:marLeft w:val="0"/>
      <w:marRight w:val="0"/>
      <w:marTop w:val="0"/>
      <w:marBottom w:val="0"/>
      <w:divBdr>
        <w:top w:val="none" w:sz="0" w:space="0" w:color="auto"/>
        <w:left w:val="none" w:sz="0" w:space="0" w:color="auto"/>
        <w:bottom w:val="none" w:sz="0" w:space="0" w:color="auto"/>
        <w:right w:val="none" w:sz="0" w:space="0" w:color="auto"/>
      </w:divBdr>
    </w:div>
    <w:div w:id="35281059">
      <w:bodyDiv w:val="1"/>
      <w:marLeft w:val="0"/>
      <w:marRight w:val="0"/>
      <w:marTop w:val="0"/>
      <w:marBottom w:val="0"/>
      <w:divBdr>
        <w:top w:val="none" w:sz="0" w:space="0" w:color="auto"/>
        <w:left w:val="none" w:sz="0" w:space="0" w:color="auto"/>
        <w:bottom w:val="none" w:sz="0" w:space="0" w:color="auto"/>
        <w:right w:val="none" w:sz="0" w:space="0" w:color="auto"/>
      </w:divBdr>
    </w:div>
    <w:div w:id="38479860">
      <w:bodyDiv w:val="1"/>
      <w:marLeft w:val="0"/>
      <w:marRight w:val="0"/>
      <w:marTop w:val="0"/>
      <w:marBottom w:val="0"/>
      <w:divBdr>
        <w:top w:val="none" w:sz="0" w:space="0" w:color="auto"/>
        <w:left w:val="none" w:sz="0" w:space="0" w:color="auto"/>
        <w:bottom w:val="none" w:sz="0" w:space="0" w:color="auto"/>
        <w:right w:val="none" w:sz="0" w:space="0" w:color="auto"/>
      </w:divBdr>
    </w:div>
    <w:div w:id="43062551">
      <w:bodyDiv w:val="1"/>
      <w:marLeft w:val="0"/>
      <w:marRight w:val="0"/>
      <w:marTop w:val="0"/>
      <w:marBottom w:val="0"/>
      <w:divBdr>
        <w:top w:val="none" w:sz="0" w:space="0" w:color="auto"/>
        <w:left w:val="none" w:sz="0" w:space="0" w:color="auto"/>
        <w:bottom w:val="none" w:sz="0" w:space="0" w:color="auto"/>
        <w:right w:val="none" w:sz="0" w:space="0" w:color="auto"/>
      </w:divBdr>
    </w:div>
    <w:div w:id="50928805">
      <w:bodyDiv w:val="1"/>
      <w:marLeft w:val="0"/>
      <w:marRight w:val="0"/>
      <w:marTop w:val="0"/>
      <w:marBottom w:val="0"/>
      <w:divBdr>
        <w:top w:val="none" w:sz="0" w:space="0" w:color="auto"/>
        <w:left w:val="none" w:sz="0" w:space="0" w:color="auto"/>
        <w:bottom w:val="none" w:sz="0" w:space="0" w:color="auto"/>
        <w:right w:val="none" w:sz="0" w:space="0" w:color="auto"/>
      </w:divBdr>
    </w:div>
    <w:div w:id="58869101">
      <w:bodyDiv w:val="1"/>
      <w:marLeft w:val="0"/>
      <w:marRight w:val="0"/>
      <w:marTop w:val="0"/>
      <w:marBottom w:val="0"/>
      <w:divBdr>
        <w:top w:val="none" w:sz="0" w:space="0" w:color="auto"/>
        <w:left w:val="none" w:sz="0" w:space="0" w:color="auto"/>
        <w:bottom w:val="none" w:sz="0" w:space="0" w:color="auto"/>
        <w:right w:val="none" w:sz="0" w:space="0" w:color="auto"/>
      </w:divBdr>
    </w:div>
    <w:div w:id="60182720">
      <w:bodyDiv w:val="1"/>
      <w:marLeft w:val="0"/>
      <w:marRight w:val="0"/>
      <w:marTop w:val="0"/>
      <w:marBottom w:val="0"/>
      <w:divBdr>
        <w:top w:val="none" w:sz="0" w:space="0" w:color="auto"/>
        <w:left w:val="none" w:sz="0" w:space="0" w:color="auto"/>
        <w:bottom w:val="none" w:sz="0" w:space="0" w:color="auto"/>
        <w:right w:val="none" w:sz="0" w:space="0" w:color="auto"/>
      </w:divBdr>
    </w:div>
    <w:div w:id="61682139">
      <w:bodyDiv w:val="1"/>
      <w:marLeft w:val="0"/>
      <w:marRight w:val="0"/>
      <w:marTop w:val="0"/>
      <w:marBottom w:val="0"/>
      <w:divBdr>
        <w:top w:val="none" w:sz="0" w:space="0" w:color="auto"/>
        <w:left w:val="none" w:sz="0" w:space="0" w:color="auto"/>
        <w:bottom w:val="none" w:sz="0" w:space="0" w:color="auto"/>
        <w:right w:val="none" w:sz="0" w:space="0" w:color="auto"/>
      </w:divBdr>
    </w:div>
    <w:div w:id="67195799">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2093103">
      <w:bodyDiv w:val="1"/>
      <w:marLeft w:val="0"/>
      <w:marRight w:val="0"/>
      <w:marTop w:val="0"/>
      <w:marBottom w:val="0"/>
      <w:divBdr>
        <w:top w:val="none" w:sz="0" w:space="0" w:color="auto"/>
        <w:left w:val="none" w:sz="0" w:space="0" w:color="auto"/>
        <w:bottom w:val="none" w:sz="0" w:space="0" w:color="auto"/>
        <w:right w:val="none" w:sz="0" w:space="0" w:color="auto"/>
      </w:divBdr>
    </w:div>
    <w:div w:id="73208730">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3184155">
      <w:bodyDiv w:val="1"/>
      <w:marLeft w:val="0"/>
      <w:marRight w:val="0"/>
      <w:marTop w:val="0"/>
      <w:marBottom w:val="0"/>
      <w:divBdr>
        <w:top w:val="none" w:sz="0" w:space="0" w:color="auto"/>
        <w:left w:val="none" w:sz="0" w:space="0" w:color="auto"/>
        <w:bottom w:val="none" w:sz="0" w:space="0" w:color="auto"/>
        <w:right w:val="none" w:sz="0" w:space="0" w:color="auto"/>
      </w:divBdr>
    </w:div>
    <w:div w:id="83304034">
      <w:bodyDiv w:val="1"/>
      <w:marLeft w:val="0"/>
      <w:marRight w:val="0"/>
      <w:marTop w:val="0"/>
      <w:marBottom w:val="0"/>
      <w:divBdr>
        <w:top w:val="none" w:sz="0" w:space="0" w:color="auto"/>
        <w:left w:val="none" w:sz="0" w:space="0" w:color="auto"/>
        <w:bottom w:val="none" w:sz="0" w:space="0" w:color="auto"/>
        <w:right w:val="none" w:sz="0" w:space="0" w:color="auto"/>
      </w:divBdr>
    </w:div>
    <w:div w:id="87164516">
      <w:bodyDiv w:val="1"/>
      <w:marLeft w:val="0"/>
      <w:marRight w:val="0"/>
      <w:marTop w:val="0"/>
      <w:marBottom w:val="0"/>
      <w:divBdr>
        <w:top w:val="none" w:sz="0" w:space="0" w:color="auto"/>
        <w:left w:val="none" w:sz="0" w:space="0" w:color="auto"/>
        <w:bottom w:val="none" w:sz="0" w:space="0" w:color="auto"/>
        <w:right w:val="none" w:sz="0" w:space="0" w:color="auto"/>
      </w:divBdr>
    </w:div>
    <w:div w:id="87703611">
      <w:bodyDiv w:val="1"/>
      <w:marLeft w:val="0"/>
      <w:marRight w:val="0"/>
      <w:marTop w:val="0"/>
      <w:marBottom w:val="0"/>
      <w:divBdr>
        <w:top w:val="none" w:sz="0" w:space="0" w:color="auto"/>
        <w:left w:val="none" w:sz="0" w:space="0" w:color="auto"/>
        <w:bottom w:val="none" w:sz="0" w:space="0" w:color="auto"/>
        <w:right w:val="none" w:sz="0" w:space="0" w:color="auto"/>
      </w:divBdr>
    </w:div>
    <w:div w:id="89158687">
      <w:bodyDiv w:val="1"/>
      <w:marLeft w:val="0"/>
      <w:marRight w:val="0"/>
      <w:marTop w:val="0"/>
      <w:marBottom w:val="0"/>
      <w:divBdr>
        <w:top w:val="none" w:sz="0" w:space="0" w:color="auto"/>
        <w:left w:val="none" w:sz="0" w:space="0" w:color="auto"/>
        <w:bottom w:val="none" w:sz="0" w:space="0" w:color="auto"/>
        <w:right w:val="none" w:sz="0" w:space="0" w:color="auto"/>
      </w:divBdr>
    </w:div>
    <w:div w:id="93018363">
      <w:bodyDiv w:val="1"/>
      <w:marLeft w:val="0"/>
      <w:marRight w:val="0"/>
      <w:marTop w:val="0"/>
      <w:marBottom w:val="0"/>
      <w:divBdr>
        <w:top w:val="none" w:sz="0" w:space="0" w:color="auto"/>
        <w:left w:val="none" w:sz="0" w:space="0" w:color="auto"/>
        <w:bottom w:val="none" w:sz="0" w:space="0" w:color="auto"/>
        <w:right w:val="none" w:sz="0" w:space="0" w:color="auto"/>
      </w:divBdr>
    </w:div>
    <w:div w:id="96098439">
      <w:bodyDiv w:val="1"/>
      <w:marLeft w:val="0"/>
      <w:marRight w:val="0"/>
      <w:marTop w:val="0"/>
      <w:marBottom w:val="0"/>
      <w:divBdr>
        <w:top w:val="none" w:sz="0" w:space="0" w:color="auto"/>
        <w:left w:val="none" w:sz="0" w:space="0" w:color="auto"/>
        <w:bottom w:val="none" w:sz="0" w:space="0" w:color="auto"/>
        <w:right w:val="none" w:sz="0" w:space="0" w:color="auto"/>
      </w:divBdr>
    </w:div>
    <w:div w:id="98259991">
      <w:bodyDiv w:val="1"/>
      <w:marLeft w:val="0"/>
      <w:marRight w:val="0"/>
      <w:marTop w:val="0"/>
      <w:marBottom w:val="0"/>
      <w:divBdr>
        <w:top w:val="none" w:sz="0" w:space="0" w:color="auto"/>
        <w:left w:val="none" w:sz="0" w:space="0" w:color="auto"/>
        <w:bottom w:val="none" w:sz="0" w:space="0" w:color="auto"/>
        <w:right w:val="none" w:sz="0" w:space="0" w:color="auto"/>
      </w:divBdr>
    </w:div>
    <w:div w:id="99419292">
      <w:bodyDiv w:val="1"/>
      <w:marLeft w:val="0"/>
      <w:marRight w:val="0"/>
      <w:marTop w:val="0"/>
      <w:marBottom w:val="0"/>
      <w:divBdr>
        <w:top w:val="none" w:sz="0" w:space="0" w:color="auto"/>
        <w:left w:val="none" w:sz="0" w:space="0" w:color="auto"/>
        <w:bottom w:val="none" w:sz="0" w:space="0" w:color="auto"/>
        <w:right w:val="none" w:sz="0" w:space="0" w:color="auto"/>
      </w:divBdr>
    </w:div>
    <w:div w:id="99885748">
      <w:bodyDiv w:val="1"/>
      <w:marLeft w:val="0"/>
      <w:marRight w:val="0"/>
      <w:marTop w:val="0"/>
      <w:marBottom w:val="0"/>
      <w:divBdr>
        <w:top w:val="none" w:sz="0" w:space="0" w:color="auto"/>
        <w:left w:val="none" w:sz="0" w:space="0" w:color="auto"/>
        <w:bottom w:val="none" w:sz="0" w:space="0" w:color="auto"/>
        <w:right w:val="none" w:sz="0" w:space="0" w:color="auto"/>
      </w:divBdr>
    </w:div>
    <w:div w:id="104157478">
      <w:bodyDiv w:val="1"/>
      <w:marLeft w:val="0"/>
      <w:marRight w:val="0"/>
      <w:marTop w:val="0"/>
      <w:marBottom w:val="0"/>
      <w:divBdr>
        <w:top w:val="none" w:sz="0" w:space="0" w:color="auto"/>
        <w:left w:val="none" w:sz="0" w:space="0" w:color="auto"/>
        <w:bottom w:val="none" w:sz="0" w:space="0" w:color="auto"/>
        <w:right w:val="none" w:sz="0" w:space="0" w:color="auto"/>
      </w:divBdr>
    </w:div>
    <w:div w:id="105543502">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08203508">
      <w:bodyDiv w:val="1"/>
      <w:marLeft w:val="0"/>
      <w:marRight w:val="0"/>
      <w:marTop w:val="0"/>
      <w:marBottom w:val="0"/>
      <w:divBdr>
        <w:top w:val="none" w:sz="0" w:space="0" w:color="auto"/>
        <w:left w:val="none" w:sz="0" w:space="0" w:color="auto"/>
        <w:bottom w:val="none" w:sz="0" w:space="0" w:color="auto"/>
        <w:right w:val="none" w:sz="0" w:space="0" w:color="auto"/>
      </w:divBdr>
    </w:div>
    <w:div w:id="108360425">
      <w:bodyDiv w:val="1"/>
      <w:marLeft w:val="0"/>
      <w:marRight w:val="0"/>
      <w:marTop w:val="0"/>
      <w:marBottom w:val="0"/>
      <w:divBdr>
        <w:top w:val="none" w:sz="0" w:space="0" w:color="auto"/>
        <w:left w:val="none" w:sz="0" w:space="0" w:color="auto"/>
        <w:bottom w:val="none" w:sz="0" w:space="0" w:color="auto"/>
        <w:right w:val="none" w:sz="0" w:space="0" w:color="auto"/>
      </w:divBdr>
    </w:div>
    <w:div w:id="111629636">
      <w:bodyDiv w:val="1"/>
      <w:marLeft w:val="0"/>
      <w:marRight w:val="0"/>
      <w:marTop w:val="0"/>
      <w:marBottom w:val="0"/>
      <w:divBdr>
        <w:top w:val="none" w:sz="0" w:space="0" w:color="auto"/>
        <w:left w:val="none" w:sz="0" w:space="0" w:color="auto"/>
        <w:bottom w:val="none" w:sz="0" w:space="0" w:color="auto"/>
        <w:right w:val="none" w:sz="0" w:space="0" w:color="auto"/>
      </w:divBdr>
    </w:div>
    <w:div w:id="113791066">
      <w:bodyDiv w:val="1"/>
      <w:marLeft w:val="0"/>
      <w:marRight w:val="0"/>
      <w:marTop w:val="0"/>
      <w:marBottom w:val="0"/>
      <w:divBdr>
        <w:top w:val="none" w:sz="0" w:space="0" w:color="auto"/>
        <w:left w:val="none" w:sz="0" w:space="0" w:color="auto"/>
        <w:bottom w:val="none" w:sz="0" w:space="0" w:color="auto"/>
        <w:right w:val="none" w:sz="0" w:space="0" w:color="auto"/>
      </w:divBdr>
    </w:div>
    <w:div w:id="114520748">
      <w:bodyDiv w:val="1"/>
      <w:marLeft w:val="0"/>
      <w:marRight w:val="0"/>
      <w:marTop w:val="0"/>
      <w:marBottom w:val="0"/>
      <w:divBdr>
        <w:top w:val="none" w:sz="0" w:space="0" w:color="auto"/>
        <w:left w:val="none" w:sz="0" w:space="0" w:color="auto"/>
        <w:bottom w:val="none" w:sz="0" w:space="0" w:color="auto"/>
        <w:right w:val="none" w:sz="0" w:space="0" w:color="auto"/>
      </w:divBdr>
    </w:div>
    <w:div w:id="115031602">
      <w:bodyDiv w:val="1"/>
      <w:marLeft w:val="0"/>
      <w:marRight w:val="0"/>
      <w:marTop w:val="0"/>
      <w:marBottom w:val="0"/>
      <w:divBdr>
        <w:top w:val="none" w:sz="0" w:space="0" w:color="auto"/>
        <w:left w:val="none" w:sz="0" w:space="0" w:color="auto"/>
        <w:bottom w:val="none" w:sz="0" w:space="0" w:color="auto"/>
        <w:right w:val="none" w:sz="0" w:space="0" w:color="auto"/>
      </w:divBdr>
    </w:div>
    <w:div w:id="117719887">
      <w:bodyDiv w:val="1"/>
      <w:marLeft w:val="0"/>
      <w:marRight w:val="0"/>
      <w:marTop w:val="0"/>
      <w:marBottom w:val="0"/>
      <w:divBdr>
        <w:top w:val="none" w:sz="0" w:space="0" w:color="auto"/>
        <w:left w:val="none" w:sz="0" w:space="0" w:color="auto"/>
        <w:bottom w:val="none" w:sz="0" w:space="0" w:color="auto"/>
        <w:right w:val="none" w:sz="0" w:space="0" w:color="auto"/>
      </w:divBdr>
    </w:div>
    <w:div w:id="121387672">
      <w:bodyDiv w:val="1"/>
      <w:marLeft w:val="0"/>
      <w:marRight w:val="0"/>
      <w:marTop w:val="0"/>
      <w:marBottom w:val="0"/>
      <w:divBdr>
        <w:top w:val="none" w:sz="0" w:space="0" w:color="auto"/>
        <w:left w:val="none" w:sz="0" w:space="0" w:color="auto"/>
        <w:bottom w:val="none" w:sz="0" w:space="0" w:color="auto"/>
        <w:right w:val="none" w:sz="0" w:space="0" w:color="auto"/>
      </w:divBdr>
    </w:div>
    <w:div w:id="126822773">
      <w:bodyDiv w:val="1"/>
      <w:marLeft w:val="0"/>
      <w:marRight w:val="0"/>
      <w:marTop w:val="0"/>
      <w:marBottom w:val="0"/>
      <w:divBdr>
        <w:top w:val="none" w:sz="0" w:space="0" w:color="auto"/>
        <w:left w:val="none" w:sz="0" w:space="0" w:color="auto"/>
        <w:bottom w:val="none" w:sz="0" w:space="0" w:color="auto"/>
        <w:right w:val="none" w:sz="0" w:space="0" w:color="auto"/>
      </w:divBdr>
    </w:div>
    <w:div w:id="127552354">
      <w:bodyDiv w:val="1"/>
      <w:marLeft w:val="0"/>
      <w:marRight w:val="0"/>
      <w:marTop w:val="0"/>
      <w:marBottom w:val="0"/>
      <w:divBdr>
        <w:top w:val="none" w:sz="0" w:space="0" w:color="auto"/>
        <w:left w:val="none" w:sz="0" w:space="0" w:color="auto"/>
        <w:bottom w:val="none" w:sz="0" w:space="0" w:color="auto"/>
        <w:right w:val="none" w:sz="0" w:space="0" w:color="auto"/>
      </w:divBdr>
    </w:div>
    <w:div w:id="127558073">
      <w:bodyDiv w:val="1"/>
      <w:marLeft w:val="0"/>
      <w:marRight w:val="0"/>
      <w:marTop w:val="0"/>
      <w:marBottom w:val="0"/>
      <w:divBdr>
        <w:top w:val="none" w:sz="0" w:space="0" w:color="auto"/>
        <w:left w:val="none" w:sz="0" w:space="0" w:color="auto"/>
        <w:bottom w:val="none" w:sz="0" w:space="0" w:color="auto"/>
        <w:right w:val="none" w:sz="0" w:space="0" w:color="auto"/>
      </w:divBdr>
    </w:div>
    <w:div w:id="133330490">
      <w:bodyDiv w:val="1"/>
      <w:marLeft w:val="0"/>
      <w:marRight w:val="0"/>
      <w:marTop w:val="0"/>
      <w:marBottom w:val="0"/>
      <w:divBdr>
        <w:top w:val="none" w:sz="0" w:space="0" w:color="auto"/>
        <w:left w:val="none" w:sz="0" w:space="0" w:color="auto"/>
        <w:bottom w:val="none" w:sz="0" w:space="0" w:color="auto"/>
        <w:right w:val="none" w:sz="0" w:space="0" w:color="auto"/>
      </w:divBdr>
    </w:div>
    <w:div w:id="134029675">
      <w:bodyDiv w:val="1"/>
      <w:marLeft w:val="0"/>
      <w:marRight w:val="0"/>
      <w:marTop w:val="0"/>
      <w:marBottom w:val="0"/>
      <w:divBdr>
        <w:top w:val="none" w:sz="0" w:space="0" w:color="auto"/>
        <w:left w:val="none" w:sz="0" w:space="0" w:color="auto"/>
        <w:bottom w:val="none" w:sz="0" w:space="0" w:color="auto"/>
        <w:right w:val="none" w:sz="0" w:space="0" w:color="auto"/>
      </w:divBdr>
    </w:div>
    <w:div w:id="134761676">
      <w:bodyDiv w:val="1"/>
      <w:marLeft w:val="0"/>
      <w:marRight w:val="0"/>
      <w:marTop w:val="0"/>
      <w:marBottom w:val="0"/>
      <w:divBdr>
        <w:top w:val="none" w:sz="0" w:space="0" w:color="auto"/>
        <w:left w:val="none" w:sz="0" w:space="0" w:color="auto"/>
        <w:bottom w:val="none" w:sz="0" w:space="0" w:color="auto"/>
        <w:right w:val="none" w:sz="0" w:space="0" w:color="auto"/>
      </w:divBdr>
    </w:div>
    <w:div w:id="142430149">
      <w:bodyDiv w:val="1"/>
      <w:marLeft w:val="0"/>
      <w:marRight w:val="0"/>
      <w:marTop w:val="0"/>
      <w:marBottom w:val="0"/>
      <w:divBdr>
        <w:top w:val="none" w:sz="0" w:space="0" w:color="auto"/>
        <w:left w:val="none" w:sz="0" w:space="0" w:color="auto"/>
        <w:bottom w:val="none" w:sz="0" w:space="0" w:color="auto"/>
        <w:right w:val="none" w:sz="0" w:space="0" w:color="auto"/>
      </w:divBdr>
    </w:div>
    <w:div w:id="147210892">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0799534">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69100613">
      <w:bodyDiv w:val="1"/>
      <w:marLeft w:val="0"/>
      <w:marRight w:val="0"/>
      <w:marTop w:val="0"/>
      <w:marBottom w:val="0"/>
      <w:divBdr>
        <w:top w:val="none" w:sz="0" w:space="0" w:color="auto"/>
        <w:left w:val="none" w:sz="0" w:space="0" w:color="auto"/>
        <w:bottom w:val="none" w:sz="0" w:space="0" w:color="auto"/>
        <w:right w:val="none" w:sz="0" w:space="0" w:color="auto"/>
      </w:divBdr>
    </w:div>
    <w:div w:id="173228664">
      <w:bodyDiv w:val="1"/>
      <w:marLeft w:val="0"/>
      <w:marRight w:val="0"/>
      <w:marTop w:val="0"/>
      <w:marBottom w:val="0"/>
      <w:divBdr>
        <w:top w:val="none" w:sz="0" w:space="0" w:color="auto"/>
        <w:left w:val="none" w:sz="0" w:space="0" w:color="auto"/>
        <w:bottom w:val="none" w:sz="0" w:space="0" w:color="auto"/>
        <w:right w:val="none" w:sz="0" w:space="0" w:color="auto"/>
      </w:divBdr>
    </w:div>
    <w:div w:id="192499088">
      <w:bodyDiv w:val="1"/>
      <w:marLeft w:val="0"/>
      <w:marRight w:val="0"/>
      <w:marTop w:val="0"/>
      <w:marBottom w:val="0"/>
      <w:divBdr>
        <w:top w:val="none" w:sz="0" w:space="0" w:color="auto"/>
        <w:left w:val="none" w:sz="0" w:space="0" w:color="auto"/>
        <w:bottom w:val="none" w:sz="0" w:space="0" w:color="auto"/>
        <w:right w:val="none" w:sz="0" w:space="0" w:color="auto"/>
      </w:divBdr>
    </w:div>
    <w:div w:id="193423988">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197085606">
      <w:bodyDiv w:val="1"/>
      <w:marLeft w:val="0"/>
      <w:marRight w:val="0"/>
      <w:marTop w:val="0"/>
      <w:marBottom w:val="0"/>
      <w:divBdr>
        <w:top w:val="none" w:sz="0" w:space="0" w:color="auto"/>
        <w:left w:val="none" w:sz="0" w:space="0" w:color="auto"/>
        <w:bottom w:val="none" w:sz="0" w:space="0" w:color="auto"/>
        <w:right w:val="none" w:sz="0" w:space="0" w:color="auto"/>
      </w:divBdr>
    </w:div>
    <w:div w:id="199780720">
      <w:bodyDiv w:val="1"/>
      <w:marLeft w:val="0"/>
      <w:marRight w:val="0"/>
      <w:marTop w:val="0"/>
      <w:marBottom w:val="0"/>
      <w:divBdr>
        <w:top w:val="none" w:sz="0" w:space="0" w:color="auto"/>
        <w:left w:val="none" w:sz="0" w:space="0" w:color="auto"/>
        <w:bottom w:val="none" w:sz="0" w:space="0" w:color="auto"/>
        <w:right w:val="none" w:sz="0" w:space="0" w:color="auto"/>
      </w:divBdr>
    </w:div>
    <w:div w:id="20017104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07881004">
      <w:bodyDiv w:val="1"/>
      <w:marLeft w:val="0"/>
      <w:marRight w:val="0"/>
      <w:marTop w:val="0"/>
      <w:marBottom w:val="0"/>
      <w:divBdr>
        <w:top w:val="none" w:sz="0" w:space="0" w:color="auto"/>
        <w:left w:val="none" w:sz="0" w:space="0" w:color="auto"/>
        <w:bottom w:val="none" w:sz="0" w:space="0" w:color="auto"/>
        <w:right w:val="none" w:sz="0" w:space="0" w:color="auto"/>
      </w:divBdr>
    </w:div>
    <w:div w:id="210699650">
      <w:bodyDiv w:val="1"/>
      <w:marLeft w:val="0"/>
      <w:marRight w:val="0"/>
      <w:marTop w:val="0"/>
      <w:marBottom w:val="0"/>
      <w:divBdr>
        <w:top w:val="none" w:sz="0" w:space="0" w:color="auto"/>
        <w:left w:val="none" w:sz="0" w:space="0" w:color="auto"/>
        <w:bottom w:val="none" w:sz="0" w:space="0" w:color="auto"/>
        <w:right w:val="none" w:sz="0" w:space="0" w:color="auto"/>
      </w:divBdr>
    </w:div>
    <w:div w:id="210768058">
      <w:bodyDiv w:val="1"/>
      <w:marLeft w:val="0"/>
      <w:marRight w:val="0"/>
      <w:marTop w:val="0"/>
      <w:marBottom w:val="0"/>
      <w:divBdr>
        <w:top w:val="none" w:sz="0" w:space="0" w:color="auto"/>
        <w:left w:val="none" w:sz="0" w:space="0" w:color="auto"/>
        <w:bottom w:val="none" w:sz="0" w:space="0" w:color="auto"/>
        <w:right w:val="none" w:sz="0" w:space="0" w:color="auto"/>
      </w:divBdr>
    </w:div>
    <w:div w:id="211581272">
      <w:bodyDiv w:val="1"/>
      <w:marLeft w:val="0"/>
      <w:marRight w:val="0"/>
      <w:marTop w:val="0"/>
      <w:marBottom w:val="0"/>
      <w:divBdr>
        <w:top w:val="none" w:sz="0" w:space="0" w:color="auto"/>
        <w:left w:val="none" w:sz="0" w:space="0" w:color="auto"/>
        <w:bottom w:val="none" w:sz="0" w:space="0" w:color="auto"/>
        <w:right w:val="none" w:sz="0" w:space="0" w:color="auto"/>
      </w:divBdr>
    </w:div>
    <w:div w:id="217936427">
      <w:bodyDiv w:val="1"/>
      <w:marLeft w:val="0"/>
      <w:marRight w:val="0"/>
      <w:marTop w:val="0"/>
      <w:marBottom w:val="0"/>
      <w:divBdr>
        <w:top w:val="none" w:sz="0" w:space="0" w:color="auto"/>
        <w:left w:val="none" w:sz="0" w:space="0" w:color="auto"/>
        <w:bottom w:val="none" w:sz="0" w:space="0" w:color="auto"/>
        <w:right w:val="none" w:sz="0" w:space="0" w:color="auto"/>
      </w:divBdr>
    </w:div>
    <w:div w:id="224802301">
      <w:bodyDiv w:val="1"/>
      <w:marLeft w:val="0"/>
      <w:marRight w:val="0"/>
      <w:marTop w:val="0"/>
      <w:marBottom w:val="0"/>
      <w:divBdr>
        <w:top w:val="none" w:sz="0" w:space="0" w:color="auto"/>
        <w:left w:val="none" w:sz="0" w:space="0" w:color="auto"/>
        <w:bottom w:val="none" w:sz="0" w:space="0" w:color="auto"/>
        <w:right w:val="none" w:sz="0" w:space="0" w:color="auto"/>
      </w:divBdr>
    </w:div>
    <w:div w:id="228001392">
      <w:bodyDiv w:val="1"/>
      <w:marLeft w:val="0"/>
      <w:marRight w:val="0"/>
      <w:marTop w:val="0"/>
      <w:marBottom w:val="0"/>
      <w:divBdr>
        <w:top w:val="none" w:sz="0" w:space="0" w:color="auto"/>
        <w:left w:val="none" w:sz="0" w:space="0" w:color="auto"/>
        <w:bottom w:val="none" w:sz="0" w:space="0" w:color="auto"/>
        <w:right w:val="none" w:sz="0" w:space="0" w:color="auto"/>
      </w:divBdr>
    </w:div>
    <w:div w:id="229265987">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3126150">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7902381">
      <w:bodyDiv w:val="1"/>
      <w:marLeft w:val="0"/>
      <w:marRight w:val="0"/>
      <w:marTop w:val="0"/>
      <w:marBottom w:val="0"/>
      <w:divBdr>
        <w:top w:val="none" w:sz="0" w:space="0" w:color="auto"/>
        <w:left w:val="none" w:sz="0" w:space="0" w:color="auto"/>
        <w:bottom w:val="none" w:sz="0" w:space="0" w:color="auto"/>
        <w:right w:val="none" w:sz="0" w:space="0" w:color="auto"/>
      </w:divBdr>
    </w:div>
    <w:div w:id="248777618">
      <w:bodyDiv w:val="1"/>
      <w:marLeft w:val="0"/>
      <w:marRight w:val="0"/>
      <w:marTop w:val="0"/>
      <w:marBottom w:val="0"/>
      <w:divBdr>
        <w:top w:val="none" w:sz="0" w:space="0" w:color="auto"/>
        <w:left w:val="none" w:sz="0" w:space="0" w:color="auto"/>
        <w:bottom w:val="none" w:sz="0" w:space="0" w:color="auto"/>
        <w:right w:val="none" w:sz="0" w:space="0" w:color="auto"/>
      </w:divBdr>
    </w:div>
    <w:div w:id="249238387">
      <w:bodyDiv w:val="1"/>
      <w:marLeft w:val="0"/>
      <w:marRight w:val="0"/>
      <w:marTop w:val="0"/>
      <w:marBottom w:val="0"/>
      <w:divBdr>
        <w:top w:val="none" w:sz="0" w:space="0" w:color="auto"/>
        <w:left w:val="none" w:sz="0" w:space="0" w:color="auto"/>
        <w:bottom w:val="none" w:sz="0" w:space="0" w:color="auto"/>
        <w:right w:val="none" w:sz="0" w:space="0" w:color="auto"/>
      </w:divBdr>
    </w:div>
    <w:div w:id="253057344">
      <w:bodyDiv w:val="1"/>
      <w:marLeft w:val="0"/>
      <w:marRight w:val="0"/>
      <w:marTop w:val="0"/>
      <w:marBottom w:val="0"/>
      <w:divBdr>
        <w:top w:val="none" w:sz="0" w:space="0" w:color="auto"/>
        <w:left w:val="none" w:sz="0" w:space="0" w:color="auto"/>
        <w:bottom w:val="none" w:sz="0" w:space="0" w:color="auto"/>
        <w:right w:val="none" w:sz="0" w:space="0" w:color="auto"/>
      </w:divBdr>
    </w:div>
    <w:div w:id="264047406">
      <w:bodyDiv w:val="1"/>
      <w:marLeft w:val="0"/>
      <w:marRight w:val="0"/>
      <w:marTop w:val="0"/>
      <w:marBottom w:val="0"/>
      <w:divBdr>
        <w:top w:val="none" w:sz="0" w:space="0" w:color="auto"/>
        <w:left w:val="none" w:sz="0" w:space="0" w:color="auto"/>
        <w:bottom w:val="none" w:sz="0" w:space="0" w:color="auto"/>
        <w:right w:val="none" w:sz="0" w:space="0" w:color="auto"/>
      </w:divBdr>
    </w:div>
    <w:div w:id="264070829">
      <w:bodyDiv w:val="1"/>
      <w:marLeft w:val="0"/>
      <w:marRight w:val="0"/>
      <w:marTop w:val="0"/>
      <w:marBottom w:val="0"/>
      <w:divBdr>
        <w:top w:val="none" w:sz="0" w:space="0" w:color="auto"/>
        <w:left w:val="none" w:sz="0" w:space="0" w:color="auto"/>
        <w:bottom w:val="none" w:sz="0" w:space="0" w:color="auto"/>
        <w:right w:val="none" w:sz="0" w:space="0" w:color="auto"/>
      </w:divBdr>
    </w:div>
    <w:div w:id="271057370">
      <w:bodyDiv w:val="1"/>
      <w:marLeft w:val="0"/>
      <w:marRight w:val="0"/>
      <w:marTop w:val="0"/>
      <w:marBottom w:val="0"/>
      <w:divBdr>
        <w:top w:val="none" w:sz="0" w:space="0" w:color="auto"/>
        <w:left w:val="none" w:sz="0" w:space="0" w:color="auto"/>
        <w:bottom w:val="none" w:sz="0" w:space="0" w:color="auto"/>
        <w:right w:val="none" w:sz="0" w:space="0" w:color="auto"/>
      </w:divBdr>
    </w:div>
    <w:div w:id="276303663">
      <w:bodyDiv w:val="1"/>
      <w:marLeft w:val="0"/>
      <w:marRight w:val="0"/>
      <w:marTop w:val="0"/>
      <w:marBottom w:val="0"/>
      <w:divBdr>
        <w:top w:val="none" w:sz="0" w:space="0" w:color="auto"/>
        <w:left w:val="none" w:sz="0" w:space="0" w:color="auto"/>
        <w:bottom w:val="none" w:sz="0" w:space="0" w:color="auto"/>
        <w:right w:val="none" w:sz="0" w:space="0" w:color="auto"/>
      </w:divBdr>
    </w:div>
    <w:div w:id="278948758">
      <w:bodyDiv w:val="1"/>
      <w:marLeft w:val="0"/>
      <w:marRight w:val="0"/>
      <w:marTop w:val="0"/>
      <w:marBottom w:val="0"/>
      <w:divBdr>
        <w:top w:val="none" w:sz="0" w:space="0" w:color="auto"/>
        <w:left w:val="none" w:sz="0" w:space="0" w:color="auto"/>
        <w:bottom w:val="none" w:sz="0" w:space="0" w:color="auto"/>
        <w:right w:val="none" w:sz="0" w:space="0" w:color="auto"/>
      </w:divBdr>
    </w:div>
    <w:div w:id="280957242">
      <w:bodyDiv w:val="1"/>
      <w:marLeft w:val="0"/>
      <w:marRight w:val="0"/>
      <w:marTop w:val="0"/>
      <w:marBottom w:val="0"/>
      <w:divBdr>
        <w:top w:val="none" w:sz="0" w:space="0" w:color="auto"/>
        <w:left w:val="none" w:sz="0" w:space="0" w:color="auto"/>
        <w:bottom w:val="none" w:sz="0" w:space="0" w:color="auto"/>
        <w:right w:val="none" w:sz="0" w:space="0" w:color="auto"/>
      </w:divBdr>
    </w:div>
    <w:div w:id="293096876">
      <w:bodyDiv w:val="1"/>
      <w:marLeft w:val="0"/>
      <w:marRight w:val="0"/>
      <w:marTop w:val="0"/>
      <w:marBottom w:val="0"/>
      <w:divBdr>
        <w:top w:val="none" w:sz="0" w:space="0" w:color="auto"/>
        <w:left w:val="none" w:sz="0" w:space="0" w:color="auto"/>
        <w:bottom w:val="none" w:sz="0" w:space="0" w:color="auto"/>
        <w:right w:val="none" w:sz="0" w:space="0" w:color="auto"/>
      </w:divBdr>
    </w:div>
    <w:div w:id="29506440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0111067">
      <w:bodyDiv w:val="1"/>
      <w:marLeft w:val="0"/>
      <w:marRight w:val="0"/>
      <w:marTop w:val="0"/>
      <w:marBottom w:val="0"/>
      <w:divBdr>
        <w:top w:val="none" w:sz="0" w:space="0" w:color="auto"/>
        <w:left w:val="none" w:sz="0" w:space="0" w:color="auto"/>
        <w:bottom w:val="none" w:sz="0" w:space="0" w:color="auto"/>
        <w:right w:val="none" w:sz="0" w:space="0" w:color="auto"/>
      </w:divBdr>
    </w:div>
    <w:div w:id="301155040">
      <w:bodyDiv w:val="1"/>
      <w:marLeft w:val="0"/>
      <w:marRight w:val="0"/>
      <w:marTop w:val="0"/>
      <w:marBottom w:val="0"/>
      <w:divBdr>
        <w:top w:val="none" w:sz="0" w:space="0" w:color="auto"/>
        <w:left w:val="none" w:sz="0" w:space="0" w:color="auto"/>
        <w:bottom w:val="none" w:sz="0" w:space="0" w:color="auto"/>
        <w:right w:val="none" w:sz="0" w:space="0" w:color="auto"/>
      </w:divBdr>
    </w:div>
    <w:div w:id="305210116">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3293083">
      <w:bodyDiv w:val="1"/>
      <w:marLeft w:val="0"/>
      <w:marRight w:val="0"/>
      <w:marTop w:val="0"/>
      <w:marBottom w:val="0"/>
      <w:divBdr>
        <w:top w:val="none" w:sz="0" w:space="0" w:color="auto"/>
        <w:left w:val="none" w:sz="0" w:space="0" w:color="auto"/>
        <w:bottom w:val="none" w:sz="0" w:space="0" w:color="auto"/>
        <w:right w:val="none" w:sz="0" w:space="0" w:color="auto"/>
      </w:divBdr>
    </w:div>
    <w:div w:id="314725495">
      <w:bodyDiv w:val="1"/>
      <w:marLeft w:val="0"/>
      <w:marRight w:val="0"/>
      <w:marTop w:val="0"/>
      <w:marBottom w:val="0"/>
      <w:divBdr>
        <w:top w:val="none" w:sz="0" w:space="0" w:color="auto"/>
        <w:left w:val="none" w:sz="0" w:space="0" w:color="auto"/>
        <w:bottom w:val="none" w:sz="0" w:space="0" w:color="auto"/>
        <w:right w:val="none" w:sz="0" w:space="0" w:color="auto"/>
      </w:divBdr>
    </w:div>
    <w:div w:id="318926065">
      <w:bodyDiv w:val="1"/>
      <w:marLeft w:val="0"/>
      <w:marRight w:val="0"/>
      <w:marTop w:val="0"/>
      <w:marBottom w:val="0"/>
      <w:divBdr>
        <w:top w:val="none" w:sz="0" w:space="0" w:color="auto"/>
        <w:left w:val="none" w:sz="0" w:space="0" w:color="auto"/>
        <w:bottom w:val="none" w:sz="0" w:space="0" w:color="auto"/>
        <w:right w:val="none" w:sz="0" w:space="0" w:color="auto"/>
      </w:divBdr>
    </w:div>
    <w:div w:id="322122013">
      <w:bodyDiv w:val="1"/>
      <w:marLeft w:val="0"/>
      <w:marRight w:val="0"/>
      <w:marTop w:val="0"/>
      <w:marBottom w:val="0"/>
      <w:divBdr>
        <w:top w:val="none" w:sz="0" w:space="0" w:color="auto"/>
        <w:left w:val="none" w:sz="0" w:space="0" w:color="auto"/>
        <w:bottom w:val="none" w:sz="0" w:space="0" w:color="auto"/>
        <w:right w:val="none" w:sz="0" w:space="0" w:color="auto"/>
      </w:divBdr>
    </w:div>
    <w:div w:id="33083446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1801862">
      <w:bodyDiv w:val="1"/>
      <w:marLeft w:val="0"/>
      <w:marRight w:val="0"/>
      <w:marTop w:val="0"/>
      <w:marBottom w:val="0"/>
      <w:divBdr>
        <w:top w:val="none" w:sz="0" w:space="0" w:color="auto"/>
        <w:left w:val="none" w:sz="0" w:space="0" w:color="auto"/>
        <w:bottom w:val="none" w:sz="0" w:space="0" w:color="auto"/>
        <w:right w:val="none" w:sz="0" w:space="0" w:color="auto"/>
      </w:divBdr>
    </w:div>
    <w:div w:id="352347926">
      <w:bodyDiv w:val="1"/>
      <w:marLeft w:val="0"/>
      <w:marRight w:val="0"/>
      <w:marTop w:val="0"/>
      <w:marBottom w:val="0"/>
      <w:divBdr>
        <w:top w:val="none" w:sz="0" w:space="0" w:color="auto"/>
        <w:left w:val="none" w:sz="0" w:space="0" w:color="auto"/>
        <w:bottom w:val="none" w:sz="0" w:space="0" w:color="auto"/>
        <w:right w:val="none" w:sz="0" w:space="0" w:color="auto"/>
      </w:divBdr>
    </w:div>
    <w:div w:id="353844899">
      <w:bodyDiv w:val="1"/>
      <w:marLeft w:val="0"/>
      <w:marRight w:val="0"/>
      <w:marTop w:val="0"/>
      <w:marBottom w:val="0"/>
      <w:divBdr>
        <w:top w:val="none" w:sz="0" w:space="0" w:color="auto"/>
        <w:left w:val="none" w:sz="0" w:space="0" w:color="auto"/>
        <w:bottom w:val="none" w:sz="0" w:space="0" w:color="auto"/>
        <w:right w:val="none" w:sz="0" w:space="0" w:color="auto"/>
      </w:divBdr>
    </w:div>
    <w:div w:id="35392230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63559496">
      <w:bodyDiv w:val="1"/>
      <w:marLeft w:val="0"/>
      <w:marRight w:val="0"/>
      <w:marTop w:val="0"/>
      <w:marBottom w:val="0"/>
      <w:divBdr>
        <w:top w:val="none" w:sz="0" w:space="0" w:color="auto"/>
        <w:left w:val="none" w:sz="0" w:space="0" w:color="auto"/>
        <w:bottom w:val="none" w:sz="0" w:space="0" w:color="auto"/>
        <w:right w:val="none" w:sz="0" w:space="0" w:color="auto"/>
      </w:divBdr>
    </w:div>
    <w:div w:id="364523650">
      <w:bodyDiv w:val="1"/>
      <w:marLeft w:val="0"/>
      <w:marRight w:val="0"/>
      <w:marTop w:val="0"/>
      <w:marBottom w:val="0"/>
      <w:divBdr>
        <w:top w:val="none" w:sz="0" w:space="0" w:color="auto"/>
        <w:left w:val="none" w:sz="0" w:space="0" w:color="auto"/>
        <w:bottom w:val="none" w:sz="0" w:space="0" w:color="auto"/>
        <w:right w:val="none" w:sz="0" w:space="0" w:color="auto"/>
      </w:divBdr>
    </w:div>
    <w:div w:id="365756690">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0765916">
      <w:bodyDiv w:val="1"/>
      <w:marLeft w:val="0"/>
      <w:marRight w:val="0"/>
      <w:marTop w:val="0"/>
      <w:marBottom w:val="0"/>
      <w:divBdr>
        <w:top w:val="none" w:sz="0" w:space="0" w:color="auto"/>
        <w:left w:val="none" w:sz="0" w:space="0" w:color="auto"/>
        <w:bottom w:val="none" w:sz="0" w:space="0" w:color="auto"/>
        <w:right w:val="none" w:sz="0" w:space="0" w:color="auto"/>
      </w:divBdr>
    </w:div>
    <w:div w:id="381443241">
      <w:bodyDiv w:val="1"/>
      <w:marLeft w:val="0"/>
      <w:marRight w:val="0"/>
      <w:marTop w:val="0"/>
      <w:marBottom w:val="0"/>
      <w:divBdr>
        <w:top w:val="none" w:sz="0" w:space="0" w:color="auto"/>
        <w:left w:val="none" w:sz="0" w:space="0" w:color="auto"/>
        <w:bottom w:val="none" w:sz="0" w:space="0" w:color="auto"/>
        <w:right w:val="none" w:sz="0" w:space="0" w:color="auto"/>
      </w:divBdr>
    </w:div>
    <w:div w:id="384372711">
      <w:bodyDiv w:val="1"/>
      <w:marLeft w:val="0"/>
      <w:marRight w:val="0"/>
      <w:marTop w:val="0"/>
      <w:marBottom w:val="0"/>
      <w:divBdr>
        <w:top w:val="none" w:sz="0" w:space="0" w:color="auto"/>
        <w:left w:val="none" w:sz="0" w:space="0" w:color="auto"/>
        <w:bottom w:val="none" w:sz="0" w:space="0" w:color="auto"/>
        <w:right w:val="none" w:sz="0" w:space="0" w:color="auto"/>
      </w:divBdr>
    </w:div>
    <w:div w:id="384793311">
      <w:bodyDiv w:val="1"/>
      <w:marLeft w:val="0"/>
      <w:marRight w:val="0"/>
      <w:marTop w:val="0"/>
      <w:marBottom w:val="0"/>
      <w:divBdr>
        <w:top w:val="none" w:sz="0" w:space="0" w:color="auto"/>
        <w:left w:val="none" w:sz="0" w:space="0" w:color="auto"/>
        <w:bottom w:val="none" w:sz="0" w:space="0" w:color="auto"/>
        <w:right w:val="none" w:sz="0" w:space="0" w:color="auto"/>
      </w:divBdr>
    </w:div>
    <w:div w:id="387457861">
      <w:bodyDiv w:val="1"/>
      <w:marLeft w:val="0"/>
      <w:marRight w:val="0"/>
      <w:marTop w:val="0"/>
      <w:marBottom w:val="0"/>
      <w:divBdr>
        <w:top w:val="none" w:sz="0" w:space="0" w:color="auto"/>
        <w:left w:val="none" w:sz="0" w:space="0" w:color="auto"/>
        <w:bottom w:val="none" w:sz="0" w:space="0" w:color="auto"/>
        <w:right w:val="none" w:sz="0" w:space="0" w:color="auto"/>
      </w:divBdr>
    </w:div>
    <w:div w:id="387732612">
      <w:bodyDiv w:val="1"/>
      <w:marLeft w:val="0"/>
      <w:marRight w:val="0"/>
      <w:marTop w:val="0"/>
      <w:marBottom w:val="0"/>
      <w:divBdr>
        <w:top w:val="none" w:sz="0" w:space="0" w:color="auto"/>
        <w:left w:val="none" w:sz="0" w:space="0" w:color="auto"/>
        <w:bottom w:val="none" w:sz="0" w:space="0" w:color="auto"/>
        <w:right w:val="none" w:sz="0" w:space="0" w:color="auto"/>
      </w:divBdr>
    </w:div>
    <w:div w:id="388505685">
      <w:bodyDiv w:val="1"/>
      <w:marLeft w:val="0"/>
      <w:marRight w:val="0"/>
      <w:marTop w:val="0"/>
      <w:marBottom w:val="0"/>
      <w:divBdr>
        <w:top w:val="none" w:sz="0" w:space="0" w:color="auto"/>
        <w:left w:val="none" w:sz="0" w:space="0" w:color="auto"/>
        <w:bottom w:val="none" w:sz="0" w:space="0" w:color="auto"/>
        <w:right w:val="none" w:sz="0" w:space="0" w:color="auto"/>
      </w:divBdr>
    </w:div>
    <w:div w:id="391464670">
      <w:bodyDiv w:val="1"/>
      <w:marLeft w:val="0"/>
      <w:marRight w:val="0"/>
      <w:marTop w:val="0"/>
      <w:marBottom w:val="0"/>
      <w:divBdr>
        <w:top w:val="none" w:sz="0" w:space="0" w:color="auto"/>
        <w:left w:val="none" w:sz="0" w:space="0" w:color="auto"/>
        <w:bottom w:val="none" w:sz="0" w:space="0" w:color="auto"/>
        <w:right w:val="none" w:sz="0" w:space="0" w:color="auto"/>
      </w:divBdr>
    </w:div>
    <w:div w:id="402719101">
      <w:bodyDiv w:val="1"/>
      <w:marLeft w:val="0"/>
      <w:marRight w:val="0"/>
      <w:marTop w:val="0"/>
      <w:marBottom w:val="0"/>
      <w:divBdr>
        <w:top w:val="none" w:sz="0" w:space="0" w:color="auto"/>
        <w:left w:val="none" w:sz="0" w:space="0" w:color="auto"/>
        <w:bottom w:val="none" w:sz="0" w:space="0" w:color="auto"/>
        <w:right w:val="none" w:sz="0" w:space="0" w:color="auto"/>
      </w:divBdr>
    </w:div>
    <w:div w:id="407658186">
      <w:bodyDiv w:val="1"/>
      <w:marLeft w:val="0"/>
      <w:marRight w:val="0"/>
      <w:marTop w:val="0"/>
      <w:marBottom w:val="0"/>
      <w:divBdr>
        <w:top w:val="none" w:sz="0" w:space="0" w:color="auto"/>
        <w:left w:val="none" w:sz="0" w:space="0" w:color="auto"/>
        <w:bottom w:val="none" w:sz="0" w:space="0" w:color="auto"/>
        <w:right w:val="none" w:sz="0" w:space="0" w:color="auto"/>
      </w:divBdr>
    </w:div>
    <w:div w:id="409734178">
      <w:bodyDiv w:val="1"/>
      <w:marLeft w:val="0"/>
      <w:marRight w:val="0"/>
      <w:marTop w:val="0"/>
      <w:marBottom w:val="0"/>
      <w:divBdr>
        <w:top w:val="none" w:sz="0" w:space="0" w:color="auto"/>
        <w:left w:val="none" w:sz="0" w:space="0" w:color="auto"/>
        <w:bottom w:val="none" w:sz="0" w:space="0" w:color="auto"/>
        <w:right w:val="none" w:sz="0" w:space="0" w:color="auto"/>
      </w:divBdr>
    </w:div>
    <w:div w:id="419911900">
      <w:bodyDiv w:val="1"/>
      <w:marLeft w:val="0"/>
      <w:marRight w:val="0"/>
      <w:marTop w:val="0"/>
      <w:marBottom w:val="0"/>
      <w:divBdr>
        <w:top w:val="none" w:sz="0" w:space="0" w:color="auto"/>
        <w:left w:val="none" w:sz="0" w:space="0" w:color="auto"/>
        <w:bottom w:val="none" w:sz="0" w:space="0" w:color="auto"/>
        <w:right w:val="none" w:sz="0" w:space="0" w:color="auto"/>
      </w:divBdr>
    </w:div>
    <w:div w:id="420831621">
      <w:bodyDiv w:val="1"/>
      <w:marLeft w:val="0"/>
      <w:marRight w:val="0"/>
      <w:marTop w:val="0"/>
      <w:marBottom w:val="0"/>
      <w:divBdr>
        <w:top w:val="none" w:sz="0" w:space="0" w:color="auto"/>
        <w:left w:val="none" w:sz="0" w:space="0" w:color="auto"/>
        <w:bottom w:val="none" w:sz="0" w:space="0" w:color="auto"/>
        <w:right w:val="none" w:sz="0" w:space="0" w:color="auto"/>
      </w:divBdr>
    </w:div>
    <w:div w:id="428820368">
      <w:bodyDiv w:val="1"/>
      <w:marLeft w:val="0"/>
      <w:marRight w:val="0"/>
      <w:marTop w:val="0"/>
      <w:marBottom w:val="0"/>
      <w:divBdr>
        <w:top w:val="none" w:sz="0" w:space="0" w:color="auto"/>
        <w:left w:val="none" w:sz="0" w:space="0" w:color="auto"/>
        <w:bottom w:val="none" w:sz="0" w:space="0" w:color="auto"/>
        <w:right w:val="none" w:sz="0" w:space="0" w:color="auto"/>
      </w:divBdr>
    </w:div>
    <w:div w:id="434325651">
      <w:bodyDiv w:val="1"/>
      <w:marLeft w:val="0"/>
      <w:marRight w:val="0"/>
      <w:marTop w:val="0"/>
      <w:marBottom w:val="0"/>
      <w:divBdr>
        <w:top w:val="none" w:sz="0" w:space="0" w:color="auto"/>
        <w:left w:val="none" w:sz="0" w:space="0" w:color="auto"/>
        <w:bottom w:val="none" w:sz="0" w:space="0" w:color="auto"/>
        <w:right w:val="none" w:sz="0" w:space="0" w:color="auto"/>
      </w:divBdr>
    </w:div>
    <w:div w:id="447047888">
      <w:bodyDiv w:val="1"/>
      <w:marLeft w:val="0"/>
      <w:marRight w:val="0"/>
      <w:marTop w:val="0"/>
      <w:marBottom w:val="0"/>
      <w:divBdr>
        <w:top w:val="none" w:sz="0" w:space="0" w:color="auto"/>
        <w:left w:val="none" w:sz="0" w:space="0" w:color="auto"/>
        <w:bottom w:val="none" w:sz="0" w:space="0" w:color="auto"/>
        <w:right w:val="none" w:sz="0" w:space="0" w:color="auto"/>
      </w:divBdr>
    </w:div>
    <w:div w:id="448552205">
      <w:bodyDiv w:val="1"/>
      <w:marLeft w:val="0"/>
      <w:marRight w:val="0"/>
      <w:marTop w:val="0"/>
      <w:marBottom w:val="0"/>
      <w:divBdr>
        <w:top w:val="none" w:sz="0" w:space="0" w:color="auto"/>
        <w:left w:val="none" w:sz="0" w:space="0" w:color="auto"/>
        <w:bottom w:val="none" w:sz="0" w:space="0" w:color="auto"/>
        <w:right w:val="none" w:sz="0" w:space="0" w:color="auto"/>
      </w:divBdr>
    </w:div>
    <w:div w:id="448670082">
      <w:bodyDiv w:val="1"/>
      <w:marLeft w:val="0"/>
      <w:marRight w:val="0"/>
      <w:marTop w:val="0"/>
      <w:marBottom w:val="0"/>
      <w:divBdr>
        <w:top w:val="none" w:sz="0" w:space="0" w:color="auto"/>
        <w:left w:val="none" w:sz="0" w:space="0" w:color="auto"/>
        <w:bottom w:val="none" w:sz="0" w:space="0" w:color="auto"/>
        <w:right w:val="none" w:sz="0" w:space="0" w:color="auto"/>
      </w:divBdr>
    </w:div>
    <w:div w:id="454754496">
      <w:bodyDiv w:val="1"/>
      <w:marLeft w:val="0"/>
      <w:marRight w:val="0"/>
      <w:marTop w:val="0"/>
      <w:marBottom w:val="0"/>
      <w:divBdr>
        <w:top w:val="none" w:sz="0" w:space="0" w:color="auto"/>
        <w:left w:val="none" w:sz="0" w:space="0" w:color="auto"/>
        <w:bottom w:val="none" w:sz="0" w:space="0" w:color="auto"/>
        <w:right w:val="none" w:sz="0" w:space="0" w:color="auto"/>
      </w:divBdr>
    </w:div>
    <w:div w:id="455027167">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57797070">
      <w:bodyDiv w:val="1"/>
      <w:marLeft w:val="0"/>
      <w:marRight w:val="0"/>
      <w:marTop w:val="0"/>
      <w:marBottom w:val="0"/>
      <w:divBdr>
        <w:top w:val="none" w:sz="0" w:space="0" w:color="auto"/>
        <w:left w:val="none" w:sz="0" w:space="0" w:color="auto"/>
        <w:bottom w:val="none" w:sz="0" w:space="0" w:color="auto"/>
        <w:right w:val="none" w:sz="0" w:space="0" w:color="auto"/>
      </w:divBdr>
    </w:div>
    <w:div w:id="467208220">
      <w:bodyDiv w:val="1"/>
      <w:marLeft w:val="0"/>
      <w:marRight w:val="0"/>
      <w:marTop w:val="0"/>
      <w:marBottom w:val="0"/>
      <w:divBdr>
        <w:top w:val="none" w:sz="0" w:space="0" w:color="auto"/>
        <w:left w:val="none" w:sz="0" w:space="0" w:color="auto"/>
        <w:bottom w:val="none" w:sz="0" w:space="0" w:color="auto"/>
        <w:right w:val="none" w:sz="0" w:space="0" w:color="auto"/>
      </w:divBdr>
    </w:div>
    <w:div w:id="470446541">
      <w:bodyDiv w:val="1"/>
      <w:marLeft w:val="0"/>
      <w:marRight w:val="0"/>
      <w:marTop w:val="0"/>
      <w:marBottom w:val="0"/>
      <w:divBdr>
        <w:top w:val="none" w:sz="0" w:space="0" w:color="auto"/>
        <w:left w:val="none" w:sz="0" w:space="0" w:color="auto"/>
        <w:bottom w:val="none" w:sz="0" w:space="0" w:color="auto"/>
        <w:right w:val="none" w:sz="0" w:space="0" w:color="auto"/>
      </w:divBdr>
    </w:div>
    <w:div w:id="470557570">
      <w:bodyDiv w:val="1"/>
      <w:marLeft w:val="0"/>
      <w:marRight w:val="0"/>
      <w:marTop w:val="0"/>
      <w:marBottom w:val="0"/>
      <w:divBdr>
        <w:top w:val="none" w:sz="0" w:space="0" w:color="auto"/>
        <w:left w:val="none" w:sz="0" w:space="0" w:color="auto"/>
        <w:bottom w:val="none" w:sz="0" w:space="0" w:color="auto"/>
        <w:right w:val="none" w:sz="0" w:space="0" w:color="auto"/>
      </w:divBdr>
    </w:div>
    <w:div w:id="480779496">
      <w:bodyDiv w:val="1"/>
      <w:marLeft w:val="0"/>
      <w:marRight w:val="0"/>
      <w:marTop w:val="0"/>
      <w:marBottom w:val="0"/>
      <w:divBdr>
        <w:top w:val="none" w:sz="0" w:space="0" w:color="auto"/>
        <w:left w:val="none" w:sz="0" w:space="0" w:color="auto"/>
        <w:bottom w:val="none" w:sz="0" w:space="0" w:color="auto"/>
        <w:right w:val="none" w:sz="0" w:space="0" w:color="auto"/>
      </w:divBdr>
    </w:div>
    <w:div w:id="484905785">
      <w:bodyDiv w:val="1"/>
      <w:marLeft w:val="0"/>
      <w:marRight w:val="0"/>
      <w:marTop w:val="0"/>
      <w:marBottom w:val="0"/>
      <w:divBdr>
        <w:top w:val="none" w:sz="0" w:space="0" w:color="auto"/>
        <w:left w:val="none" w:sz="0" w:space="0" w:color="auto"/>
        <w:bottom w:val="none" w:sz="0" w:space="0" w:color="auto"/>
        <w:right w:val="none" w:sz="0" w:space="0" w:color="auto"/>
      </w:divBdr>
    </w:div>
    <w:div w:id="485245134">
      <w:bodyDiv w:val="1"/>
      <w:marLeft w:val="0"/>
      <w:marRight w:val="0"/>
      <w:marTop w:val="0"/>
      <w:marBottom w:val="0"/>
      <w:divBdr>
        <w:top w:val="none" w:sz="0" w:space="0" w:color="auto"/>
        <w:left w:val="none" w:sz="0" w:space="0" w:color="auto"/>
        <w:bottom w:val="none" w:sz="0" w:space="0" w:color="auto"/>
        <w:right w:val="none" w:sz="0" w:space="0" w:color="auto"/>
      </w:divBdr>
    </w:div>
    <w:div w:id="485362605">
      <w:bodyDiv w:val="1"/>
      <w:marLeft w:val="0"/>
      <w:marRight w:val="0"/>
      <w:marTop w:val="0"/>
      <w:marBottom w:val="0"/>
      <w:divBdr>
        <w:top w:val="none" w:sz="0" w:space="0" w:color="auto"/>
        <w:left w:val="none" w:sz="0" w:space="0" w:color="auto"/>
        <w:bottom w:val="none" w:sz="0" w:space="0" w:color="auto"/>
        <w:right w:val="none" w:sz="0" w:space="0" w:color="auto"/>
      </w:divBdr>
    </w:div>
    <w:div w:id="487333440">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1986523">
      <w:bodyDiv w:val="1"/>
      <w:marLeft w:val="0"/>
      <w:marRight w:val="0"/>
      <w:marTop w:val="0"/>
      <w:marBottom w:val="0"/>
      <w:divBdr>
        <w:top w:val="none" w:sz="0" w:space="0" w:color="auto"/>
        <w:left w:val="none" w:sz="0" w:space="0" w:color="auto"/>
        <w:bottom w:val="none" w:sz="0" w:space="0" w:color="auto"/>
        <w:right w:val="none" w:sz="0" w:space="0" w:color="auto"/>
      </w:divBdr>
    </w:div>
    <w:div w:id="49264255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5150393">
      <w:bodyDiv w:val="1"/>
      <w:marLeft w:val="0"/>
      <w:marRight w:val="0"/>
      <w:marTop w:val="0"/>
      <w:marBottom w:val="0"/>
      <w:divBdr>
        <w:top w:val="none" w:sz="0" w:space="0" w:color="auto"/>
        <w:left w:val="none" w:sz="0" w:space="0" w:color="auto"/>
        <w:bottom w:val="none" w:sz="0" w:space="0" w:color="auto"/>
        <w:right w:val="none" w:sz="0" w:space="0" w:color="auto"/>
      </w:divBdr>
    </w:div>
    <w:div w:id="495655739">
      <w:bodyDiv w:val="1"/>
      <w:marLeft w:val="0"/>
      <w:marRight w:val="0"/>
      <w:marTop w:val="0"/>
      <w:marBottom w:val="0"/>
      <w:divBdr>
        <w:top w:val="none" w:sz="0" w:space="0" w:color="auto"/>
        <w:left w:val="none" w:sz="0" w:space="0" w:color="auto"/>
        <w:bottom w:val="none" w:sz="0" w:space="0" w:color="auto"/>
        <w:right w:val="none" w:sz="0" w:space="0" w:color="auto"/>
      </w:divBdr>
    </w:div>
    <w:div w:id="49823492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13541847">
      <w:bodyDiv w:val="1"/>
      <w:marLeft w:val="0"/>
      <w:marRight w:val="0"/>
      <w:marTop w:val="0"/>
      <w:marBottom w:val="0"/>
      <w:divBdr>
        <w:top w:val="none" w:sz="0" w:space="0" w:color="auto"/>
        <w:left w:val="none" w:sz="0" w:space="0" w:color="auto"/>
        <w:bottom w:val="none" w:sz="0" w:space="0" w:color="auto"/>
        <w:right w:val="none" w:sz="0" w:space="0" w:color="auto"/>
      </w:divBdr>
    </w:div>
    <w:div w:id="514030058">
      <w:bodyDiv w:val="1"/>
      <w:marLeft w:val="0"/>
      <w:marRight w:val="0"/>
      <w:marTop w:val="0"/>
      <w:marBottom w:val="0"/>
      <w:divBdr>
        <w:top w:val="none" w:sz="0" w:space="0" w:color="auto"/>
        <w:left w:val="none" w:sz="0" w:space="0" w:color="auto"/>
        <w:bottom w:val="none" w:sz="0" w:space="0" w:color="auto"/>
        <w:right w:val="none" w:sz="0" w:space="0" w:color="auto"/>
      </w:divBdr>
    </w:div>
    <w:div w:id="516233641">
      <w:bodyDiv w:val="1"/>
      <w:marLeft w:val="0"/>
      <w:marRight w:val="0"/>
      <w:marTop w:val="0"/>
      <w:marBottom w:val="0"/>
      <w:divBdr>
        <w:top w:val="none" w:sz="0" w:space="0" w:color="auto"/>
        <w:left w:val="none" w:sz="0" w:space="0" w:color="auto"/>
        <w:bottom w:val="none" w:sz="0" w:space="0" w:color="auto"/>
        <w:right w:val="none" w:sz="0" w:space="0" w:color="auto"/>
      </w:divBdr>
    </w:div>
    <w:div w:id="518158467">
      <w:bodyDiv w:val="1"/>
      <w:marLeft w:val="0"/>
      <w:marRight w:val="0"/>
      <w:marTop w:val="0"/>
      <w:marBottom w:val="0"/>
      <w:divBdr>
        <w:top w:val="none" w:sz="0" w:space="0" w:color="auto"/>
        <w:left w:val="none" w:sz="0" w:space="0" w:color="auto"/>
        <w:bottom w:val="none" w:sz="0" w:space="0" w:color="auto"/>
        <w:right w:val="none" w:sz="0" w:space="0" w:color="auto"/>
      </w:divBdr>
    </w:div>
    <w:div w:id="519658354">
      <w:bodyDiv w:val="1"/>
      <w:marLeft w:val="0"/>
      <w:marRight w:val="0"/>
      <w:marTop w:val="0"/>
      <w:marBottom w:val="0"/>
      <w:divBdr>
        <w:top w:val="none" w:sz="0" w:space="0" w:color="auto"/>
        <w:left w:val="none" w:sz="0" w:space="0" w:color="auto"/>
        <w:bottom w:val="none" w:sz="0" w:space="0" w:color="auto"/>
        <w:right w:val="none" w:sz="0" w:space="0" w:color="auto"/>
      </w:divBdr>
    </w:div>
    <w:div w:id="525171449">
      <w:bodyDiv w:val="1"/>
      <w:marLeft w:val="0"/>
      <w:marRight w:val="0"/>
      <w:marTop w:val="0"/>
      <w:marBottom w:val="0"/>
      <w:divBdr>
        <w:top w:val="none" w:sz="0" w:space="0" w:color="auto"/>
        <w:left w:val="none" w:sz="0" w:space="0" w:color="auto"/>
        <w:bottom w:val="none" w:sz="0" w:space="0" w:color="auto"/>
        <w:right w:val="none" w:sz="0" w:space="0" w:color="auto"/>
      </w:divBdr>
    </w:div>
    <w:div w:id="529345009">
      <w:bodyDiv w:val="1"/>
      <w:marLeft w:val="0"/>
      <w:marRight w:val="0"/>
      <w:marTop w:val="0"/>
      <w:marBottom w:val="0"/>
      <w:divBdr>
        <w:top w:val="none" w:sz="0" w:space="0" w:color="auto"/>
        <w:left w:val="none" w:sz="0" w:space="0" w:color="auto"/>
        <w:bottom w:val="none" w:sz="0" w:space="0" w:color="auto"/>
        <w:right w:val="none" w:sz="0" w:space="0" w:color="auto"/>
      </w:divBdr>
    </w:div>
    <w:div w:id="531500949">
      <w:bodyDiv w:val="1"/>
      <w:marLeft w:val="0"/>
      <w:marRight w:val="0"/>
      <w:marTop w:val="0"/>
      <w:marBottom w:val="0"/>
      <w:divBdr>
        <w:top w:val="none" w:sz="0" w:space="0" w:color="auto"/>
        <w:left w:val="none" w:sz="0" w:space="0" w:color="auto"/>
        <w:bottom w:val="none" w:sz="0" w:space="0" w:color="auto"/>
        <w:right w:val="none" w:sz="0" w:space="0" w:color="auto"/>
      </w:divBdr>
    </w:div>
    <w:div w:id="532764775">
      <w:bodyDiv w:val="1"/>
      <w:marLeft w:val="0"/>
      <w:marRight w:val="0"/>
      <w:marTop w:val="0"/>
      <w:marBottom w:val="0"/>
      <w:divBdr>
        <w:top w:val="none" w:sz="0" w:space="0" w:color="auto"/>
        <w:left w:val="none" w:sz="0" w:space="0" w:color="auto"/>
        <w:bottom w:val="none" w:sz="0" w:space="0" w:color="auto"/>
        <w:right w:val="none" w:sz="0" w:space="0" w:color="auto"/>
      </w:divBdr>
    </w:div>
    <w:div w:id="536238500">
      <w:bodyDiv w:val="1"/>
      <w:marLeft w:val="0"/>
      <w:marRight w:val="0"/>
      <w:marTop w:val="0"/>
      <w:marBottom w:val="0"/>
      <w:divBdr>
        <w:top w:val="none" w:sz="0" w:space="0" w:color="auto"/>
        <w:left w:val="none" w:sz="0" w:space="0" w:color="auto"/>
        <w:bottom w:val="none" w:sz="0" w:space="0" w:color="auto"/>
        <w:right w:val="none" w:sz="0" w:space="0" w:color="auto"/>
      </w:divBdr>
    </w:div>
    <w:div w:id="540241234">
      <w:bodyDiv w:val="1"/>
      <w:marLeft w:val="0"/>
      <w:marRight w:val="0"/>
      <w:marTop w:val="0"/>
      <w:marBottom w:val="0"/>
      <w:divBdr>
        <w:top w:val="none" w:sz="0" w:space="0" w:color="auto"/>
        <w:left w:val="none" w:sz="0" w:space="0" w:color="auto"/>
        <w:bottom w:val="none" w:sz="0" w:space="0" w:color="auto"/>
        <w:right w:val="none" w:sz="0" w:space="0" w:color="auto"/>
      </w:divBdr>
    </w:div>
    <w:div w:id="542055772">
      <w:bodyDiv w:val="1"/>
      <w:marLeft w:val="0"/>
      <w:marRight w:val="0"/>
      <w:marTop w:val="0"/>
      <w:marBottom w:val="0"/>
      <w:divBdr>
        <w:top w:val="none" w:sz="0" w:space="0" w:color="auto"/>
        <w:left w:val="none" w:sz="0" w:space="0" w:color="auto"/>
        <w:bottom w:val="none" w:sz="0" w:space="0" w:color="auto"/>
        <w:right w:val="none" w:sz="0" w:space="0" w:color="auto"/>
      </w:divBdr>
    </w:div>
    <w:div w:id="544485784">
      <w:bodyDiv w:val="1"/>
      <w:marLeft w:val="0"/>
      <w:marRight w:val="0"/>
      <w:marTop w:val="0"/>
      <w:marBottom w:val="0"/>
      <w:divBdr>
        <w:top w:val="none" w:sz="0" w:space="0" w:color="auto"/>
        <w:left w:val="none" w:sz="0" w:space="0" w:color="auto"/>
        <w:bottom w:val="none" w:sz="0" w:space="0" w:color="auto"/>
        <w:right w:val="none" w:sz="0" w:space="0" w:color="auto"/>
      </w:divBdr>
    </w:div>
    <w:div w:id="545063816">
      <w:bodyDiv w:val="1"/>
      <w:marLeft w:val="0"/>
      <w:marRight w:val="0"/>
      <w:marTop w:val="0"/>
      <w:marBottom w:val="0"/>
      <w:divBdr>
        <w:top w:val="none" w:sz="0" w:space="0" w:color="auto"/>
        <w:left w:val="none" w:sz="0" w:space="0" w:color="auto"/>
        <w:bottom w:val="none" w:sz="0" w:space="0" w:color="auto"/>
        <w:right w:val="none" w:sz="0" w:space="0" w:color="auto"/>
      </w:divBdr>
    </w:div>
    <w:div w:id="554201597">
      <w:bodyDiv w:val="1"/>
      <w:marLeft w:val="0"/>
      <w:marRight w:val="0"/>
      <w:marTop w:val="0"/>
      <w:marBottom w:val="0"/>
      <w:divBdr>
        <w:top w:val="none" w:sz="0" w:space="0" w:color="auto"/>
        <w:left w:val="none" w:sz="0" w:space="0" w:color="auto"/>
        <w:bottom w:val="none" w:sz="0" w:space="0" w:color="auto"/>
        <w:right w:val="none" w:sz="0" w:space="0" w:color="auto"/>
      </w:divBdr>
    </w:div>
    <w:div w:id="55555466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58367209">
      <w:bodyDiv w:val="1"/>
      <w:marLeft w:val="0"/>
      <w:marRight w:val="0"/>
      <w:marTop w:val="0"/>
      <w:marBottom w:val="0"/>
      <w:divBdr>
        <w:top w:val="none" w:sz="0" w:space="0" w:color="auto"/>
        <w:left w:val="none" w:sz="0" w:space="0" w:color="auto"/>
        <w:bottom w:val="none" w:sz="0" w:space="0" w:color="auto"/>
        <w:right w:val="none" w:sz="0" w:space="0" w:color="auto"/>
      </w:divBdr>
    </w:div>
    <w:div w:id="558445067">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2907392">
      <w:bodyDiv w:val="1"/>
      <w:marLeft w:val="0"/>
      <w:marRight w:val="0"/>
      <w:marTop w:val="0"/>
      <w:marBottom w:val="0"/>
      <w:divBdr>
        <w:top w:val="none" w:sz="0" w:space="0" w:color="auto"/>
        <w:left w:val="none" w:sz="0" w:space="0" w:color="auto"/>
        <w:bottom w:val="none" w:sz="0" w:space="0" w:color="auto"/>
        <w:right w:val="none" w:sz="0" w:space="0" w:color="auto"/>
      </w:divBdr>
    </w:div>
    <w:div w:id="575825622">
      <w:bodyDiv w:val="1"/>
      <w:marLeft w:val="0"/>
      <w:marRight w:val="0"/>
      <w:marTop w:val="0"/>
      <w:marBottom w:val="0"/>
      <w:divBdr>
        <w:top w:val="none" w:sz="0" w:space="0" w:color="auto"/>
        <w:left w:val="none" w:sz="0" w:space="0" w:color="auto"/>
        <w:bottom w:val="none" w:sz="0" w:space="0" w:color="auto"/>
        <w:right w:val="none" w:sz="0" w:space="0" w:color="auto"/>
      </w:divBdr>
    </w:div>
    <w:div w:id="584921371">
      <w:bodyDiv w:val="1"/>
      <w:marLeft w:val="0"/>
      <w:marRight w:val="0"/>
      <w:marTop w:val="0"/>
      <w:marBottom w:val="0"/>
      <w:divBdr>
        <w:top w:val="none" w:sz="0" w:space="0" w:color="auto"/>
        <w:left w:val="none" w:sz="0" w:space="0" w:color="auto"/>
        <w:bottom w:val="none" w:sz="0" w:space="0" w:color="auto"/>
        <w:right w:val="none" w:sz="0" w:space="0" w:color="auto"/>
      </w:divBdr>
    </w:div>
    <w:div w:id="587731363">
      <w:bodyDiv w:val="1"/>
      <w:marLeft w:val="0"/>
      <w:marRight w:val="0"/>
      <w:marTop w:val="0"/>
      <w:marBottom w:val="0"/>
      <w:divBdr>
        <w:top w:val="none" w:sz="0" w:space="0" w:color="auto"/>
        <w:left w:val="none" w:sz="0" w:space="0" w:color="auto"/>
        <w:bottom w:val="none" w:sz="0" w:space="0" w:color="auto"/>
        <w:right w:val="none" w:sz="0" w:space="0" w:color="auto"/>
      </w:divBdr>
    </w:div>
    <w:div w:id="588780797">
      <w:bodyDiv w:val="1"/>
      <w:marLeft w:val="0"/>
      <w:marRight w:val="0"/>
      <w:marTop w:val="0"/>
      <w:marBottom w:val="0"/>
      <w:divBdr>
        <w:top w:val="none" w:sz="0" w:space="0" w:color="auto"/>
        <w:left w:val="none" w:sz="0" w:space="0" w:color="auto"/>
        <w:bottom w:val="none" w:sz="0" w:space="0" w:color="auto"/>
        <w:right w:val="none" w:sz="0" w:space="0" w:color="auto"/>
      </w:divBdr>
    </w:div>
    <w:div w:id="591007460">
      <w:bodyDiv w:val="1"/>
      <w:marLeft w:val="0"/>
      <w:marRight w:val="0"/>
      <w:marTop w:val="0"/>
      <w:marBottom w:val="0"/>
      <w:divBdr>
        <w:top w:val="none" w:sz="0" w:space="0" w:color="auto"/>
        <w:left w:val="none" w:sz="0" w:space="0" w:color="auto"/>
        <w:bottom w:val="none" w:sz="0" w:space="0" w:color="auto"/>
        <w:right w:val="none" w:sz="0" w:space="0" w:color="auto"/>
      </w:divBdr>
    </w:div>
    <w:div w:id="597838154">
      <w:bodyDiv w:val="1"/>
      <w:marLeft w:val="0"/>
      <w:marRight w:val="0"/>
      <w:marTop w:val="0"/>
      <w:marBottom w:val="0"/>
      <w:divBdr>
        <w:top w:val="none" w:sz="0" w:space="0" w:color="auto"/>
        <w:left w:val="none" w:sz="0" w:space="0" w:color="auto"/>
        <w:bottom w:val="none" w:sz="0" w:space="0" w:color="auto"/>
        <w:right w:val="none" w:sz="0" w:space="0" w:color="auto"/>
      </w:divBdr>
    </w:div>
    <w:div w:id="59883514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1232380">
      <w:bodyDiv w:val="1"/>
      <w:marLeft w:val="0"/>
      <w:marRight w:val="0"/>
      <w:marTop w:val="0"/>
      <w:marBottom w:val="0"/>
      <w:divBdr>
        <w:top w:val="none" w:sz="0" w:space="0" w:color="auto"/>
        <w:left w:val="none" w:sz="0" w:space="0" w:color="auto"/>
        <w:bottom w:val="none" w:sz="0" w:space="0" w:color="auto"/>
        <w:right w:val="none" w:sz="0" w:space="0" w:color="auto"/>
      </w:divBdr>
    </w:div>
    <w:div w:id="603225678">
      <w:bodyDiv w:val="1"/>
      <w:marLeft w:val="0"/>
      <w:marRight w:val="0"/>
      <w:marTop w:val="0"/>
      <w:marBottom w:val="0"/>
      <w:divBdr>
        <w:top w:val="none" w:sz="0" w:space="0" w:color="auto"/>
        <w:left w:val="none" w:sz="0" w:space="0" w:color="auto"/>
        <w:bottom w:val="none" w:sz="0" w:space="0" w:color="auto"/>
        <w:right w:val="none" w:sz="0" w:space="0" w:color="auto"/>
      </w:divBdr>
    </w:div>
    <w:div w:id="604651225">
      <w:bodyDiv w:val="1"/>
      <w:marLeft w:val="0"/>
      <w:marRight w:val="0"/>
      <w:marTop w:val="0"/>
      <w:marBottom w:val="0"/>
      <w:divBdr>
        <w:top w:val="none" w:sz="0" w:space="0" w:color="auto"/>
        <w:left w:val="none" w:sz="0" w:space="0" w:color="auto"/>
        <w:bottom w:val="none" w:sz="0" w:space="0" w:color="auto"/>
        <w:right w:val="none" w:sz="0" w:space="0" w:color="auto"/>
      </w:divBdr>
    </w:div>
    <w:div w:id="610741448">
      <w:bodyDiv w:val="1"/>
      <w:marLeft w:val="0"/>
      <w:marRight w:val="0"/>
      <w:marTop w:val="0"/>
      <w:marBottom w:val="0"/>
      <w:divBdr>
        <w:top w:val="none" w:sz="0" w:space="0" w:color="auto"/>
        <w:left w:val="none" w:sz="0" w:space="0" w:color="auto"/>
        <w:bottom w:val="none" w:sz="0" w:space="0" w:color="auto"/>
        <w:right w:val="none" w:sz="0" w:space="0" w:color="auto"/>
      </w:divBdr>
    </w:div>
    <w:div w:id="611013393">
      <w:bodyDiv w:val="1"/>
      <w:marLeft w:val="0"/>
      <w:marRight w:val="0"/>
      <w:marTop w:val="0"/>
      <w:marBottom w:val="0"/>
      <w:divBdr>
        <w:top w:val="none" w:sz="0" w:space="0" w:color="auto"/>
        <w:left w:val="none" w:sz="0" w:space="0" w:color="auto"/>
        <w:bottom w:val="none" w:sz="0" w:space="0" w:color="auto"/>
        <w:right w:val="none" w:sz="0" w:space="0" w:color="auto"/>
      </w:divBdr>
    </w:div>
    <w:div w:id="621114004">
      <w:bodyDiv w:val="1"/>
      <w:marLeft w:val="0"/>
      <w:marRight w:val="0"/>
      <w:marTop w:val="0"/>
      <w:marBottom w:val="0"/>
      <w:divBdr>
        <w:top w:val="none" w:sz="0" w:space="0" w:color="auto"/>
        <w:left w:val="none" w:sz="0" w:space="0" w:color="auto"/>
        <w:bottom w:val="none" w:sz="0" w:space="0" w:color="auto"/>
        <w:right w:val="none" w:sz="0" w:space="0" w:color="auto"/>
      </w:divBdr>
    </w:div>
    <w:div w:id="623657866">
      <w:bodyDiv w:val="1"/>
      <w:marLeft w:val="0"/>
      <w:marRight w:val="0"/>
      <w:marTop w:val="0"/>
      <w:marBottom w:val="0"/>
      <w:divBdr>
        <w:top w:val="none" w:sz="0" w:space="0" w:color="auto"/>
        <w:left w:val="none" w:sz="0" w:space="0" w:color="auto"/>
        <w:bottom w:val="none" w:sz="0" w:space="0" w:color="auto"/>
        <w:right w:val="none" w:sz="0" w:space="0" w:color="auto"/>
      </w:divBdr>
    </w:div>
    <w:div w:id="626089569">
      <w:bodyDiv w:val="1"/>
      <w:marLeft w:val="0"/>
      <w:marRight w:val="0"/>
      <w:marTop w:val="0"/>
      <w:marBottom w:val="0"/>
      <w:divBdr>
        <w:top w:val="none" w:sz="0" w:space="0" w:color="auto"/>
        <w:left w:val="none" w:sz="0" w:space="0" w:color="auto"/>
        <w:bottom w:val="none" w:sz="0" w:space="0" w:color="auto"/>
        <w:right w:val="none" w:sz="0" w:space="0" w:color="auto"/>
      </w:divBdr>
    </w:div>
    <w:div w:id="630595532">
      <w:bodyDiv w:val="1"/>
      <w:marLeft w:val="0"/>
      <w:marRight w:val="0"/>
      <w:marTop w:val="0"/>
      <w:marBottom w:val="0"/>
      <w:divBdr>
        <w:top w:val="none" w:sz="0" w:space="0" w:color="auto"/>
        <w:left w:val="none" w:sz="0" w:space="0" w:color="auto"/>
        <w:bottom w:val="none" w:sz="0" w:space="0" w:color="auto"/>
        <w:right w:val="none" w:sz="0" w:space="0" w:color="auto"/>
      </w:divBdr>
    </w:div>
    <w:div w:id="634721300">
      <w:bodyDiv w:val="1"/>
      <w:marLeft w:val="0"/>
      <w:marRight w:val="0"/>
      <w:marTop w:val="0"/>
      <w:marBottom w:val="0"/>
      <w:divBdr>
        <w:top w:val="none" w:sz="0" w:space="0" w:color="auto"/>
        <w:left w:val="none" w:sz="0" w:space="0" w:color="auto"/>
        <w:bottom w:val="none" w:sz="0" w:space="0" w:color="auto"/>
        <w:right w:val="none" w:sz="0" w:space="0" w:color="auto"/>
      </w:divBdr>
    </w:div>
    <w:div w:id="637492683">
      <w:bodyDiv w:val="1"/>
      <w:marLeft w:val="0"/>
      <w:marRight w:val="0"/>
      <w:marTop w:val="0"/>
      <w:marBottom w:val="0"/>
      <w:divBdr>
        <w:top w:val="none" w:sz="0" w:space="0" w:color="auto"/>
        <w:left w:val="none" w:sz="0" w:space="0" w:color="auto"/>
        <w:bottom w:val="none" w:sz="0" w:space="0" w:color="auto"/>
        <w:right w:val="none" w:sz="0" w:space="0" w:color="auto"/>
      </w:divBdr>
    </w:div>
    <w:div w:id="638191870">
      <w:bodyDiv w:val="1"/>
      <w:marLeft w:val="0"/>
      <w:marRight w:val="0"/>
      <w:marTop w:val="0"/>
      <w:marBottom w:val="0"/>
      <w:divBdr>
        <w:top w:val="none" w:sz="0" w:space="0" w:color="auto"/>
        <w:left w:val="none" w:sz="0" w:space="0" w:color="auto"/>
        <w:bottom w:val="none" w:sz="0" w:space="0" w:color="auto"/>
        <w:right w:val="none" w:sz="0" w:space="0" w:color="auto"/>
      </w:divBdr>
    </w:div>
    <w:div w:id="638609662">
      <w:bodyDiv w:val="1"/>
      <w:marLeft w:val="0"/>
      <w:marRight w:val="0"/>
      <w:marTop w:val="0"/>
      <w:marBottom w:val="0"/>
      <w:divBdr>
        <w:top w:val="none" w:sz="0" w:space="0" w:color="auto"/>
        <w:left w:val="none" w:sz="0" w:space="0" w:color="auto"/>
        <w:bottom w:val="none" w:sz="0" w:space="0" w:color="auto"/>
        <w:right w:val="none" w:sz="0" w:space="0" w:color="auto"/>
      </w:divBdr>
    </w:div>
    <w:div w:id="639385078">
      <w:bodyDiv w:val="1"/>
      <w:marLeft w:val="0"/>
      <w:marRight w:val="0"/>
      <w:marTop w:val="0"/>
      <w:marBottom w:val="0"/>
      <w:divBdr>
        <w:top w:val="none" w:sz="0" w:space="0" w:color="auto"/>
        <w:left w:val="none" w:sz="0" w:space="0" w:color="auto"/>
        <w:bottom w:val="none" w:sz="0" w:space="0" w:color="auto"/>
        <w:right w:val="none" w:sz="0" w:space="0" w:color="auto"/>
      </w:divBdr>
    </w:div>
    <w:div w:id="640774493">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5667519">
      <w:bodyDiv w:val="1"/>
      <w:marLeft w:val="0"/>
      <w:marRight w:val="0"/>
      <w:marTop w:val="0"/>
      <w:marBottom w:val="0"/>
      <w:divBdr>
        <w:top w:val="none" w:sz="0" w:space="0" w:color="auto"/>
        <w:left w:val="none" w:sz="0" w:space="0" w:color="auto"/>
        <w:bottom w:val="none" w:sz="0" w:space="0" w:color="auto"/>
        <w:right w:val="none" w:sz="0" w:space="0" w:color="auto"/>
      </w:divBdr>
    </w:div>
    <w:div w:id="655306076">
      <w:bodyDiv w:val="1"/>
      <w:marLeft w:val="0"/>
      <w:marRight w:val="0"/>
      <w:marTop w:val="0"/>
      <w:marBottom w:val="0"/>
      <w:divBdr>
        <w:top w:val="none" w:sz="0" w:space="0" w:color="auto"/>
        <w:left w:val="none" w:sz="0" w:space="0" w:color="auto"/>
        <w:bottom w:val="none" w:sz="0" w:space="0" w:color="auto"/>
        <w:right w:val="none" w:sz="0" w:space="0" w:color="auto"/>
      </w:divBdr>
    </w:div>
    <w:div w:id="655570085">
      <w:bodyDiv w:val="1"/>
      <w:marLeft w:val="0"/>
      <w:marRight w:val="0"/>
      <w:marTop w:val="0"/>
      <w:marBottom w:val="0"/>
      <w:divBdr>
        <w:top w:val="none" w:sz="0" w:space="0" w:color="auto"/>
        <w:left w:val="none" w:sz="0" w:space="0" w:color="auto"/>
        <w:bottom w:val="none" w:sz="0" w:space="0" w:color="auto"/>
        <w:right w:val="none" w:sz="0" w:space="0" w:color="auto"/>
      </w:divBdr>
    </w:div>
    <w:div w:id="660351028">
      <w:bodyDiv w:val="1"/>
      <w:marLeft w:val="0"/>
      <w:marRight w:val="0"/>
      <w:marTop w:val="0"/>
      <w:marBottom w:val="0"/>
      <w:divBdr>
        <w:top w:val="none" w:sz="0" w:space="0" w:color="auto"/>
        <w:left w:val="none" w:sz="0" w:space="0" w:color="auto"/>
        <w:bottom w:val="none" w:sz="0" w:space="0" w:color="auto"/>
        <w:right w:val="none" w:sz="0" w:space="0" w:color="auto"/>
      </w:divBdr>
    </w:div>
    <w:div w:id="662010743">
      <w:bodyDiv w:val="1"/>
      <w:marLeft w:val="0"/>
      <w:marRight w:val="0"/>
      <w:marTop w:val="0"/>
      <w:marBottom w:val="0"/>
      <w:divBdr>
        <w:top w:val="none" w:sz="0" w:space="0" w:color="auto"/>
        <w:left w:val="none" w:sz="0" w:space="0" w:color="auto"/>
        <w:bottom w:val="none" w:sz="0" w:space="0" w:color="auto"/>
        <w:right w:val="none" w:sz="0" w:space="0" w:color="auto"/>
      </w:divBdr>
    </w:div>
    <w:div w:id="663095921">
      <w:bodyDiv w:val="1"/>
      <w:marLeft w:val="0"/>
      <w:marRight w:val="0"/>
      <w:marTop w:val="0"/>
      <w:marBottom w:val="0"/>
      <w:divBdr>
        <w:top w:val="none" w:sz="0" w:space="0" w:color="auto"/>
        <w:left w:val="none" w:sz="0" w:space="0" w:color="auto"/>
        <w:bottom w:val="none" w:sz="0" w:space="0" w:color="auto"/>
        <w:right w:val="none" w:sz="0" w:space="0" w:color="auto"/>
      </w:divBdr>
    </w:div>
    <w:div w:id="680426316">
      <w:bodyDiv w:val="1"/>
      <w:marLeft w:val="0"/>
      <w:marRight w:val="0"/>
      <w:marTop w:val="0"/>
      <w:marBottom w:val="0"/>
      <w:divBdr>
        <w:top w:val="none" w:sz="0" w:space="0" w:color="auto"/>
        <w:left w:val="none" w:sz="0" w:space="0" w:color="auto"/>
        <w:bottom w:val="none" w:sz="0" w:space="0" w:color="auto"/>
        <w:right w:val="none" w:sz="0" w:space="0" w:color="auto"/>
      </w:divBdr>
    </w:div>
    <w:div w:id="681320525">
      <w:bodyDiv w:val="1"/>
      <w:marLeft w:val="0"/>
      <w:marRight w:val="0"/>
      <w:marTop w:val="0"/>
      <w:marBottom w:val="0"/>
      <w:divBdr>
        <w:top w:val="none" w:sz="0" w:space="0" w:color="auto"/>
        <w:left w:val="none" w:sz="0" w:space="0" w:color="auto"/>
        <w:bottom w:val="none" w:sz="0" w:space="0" w:color="auto"/>
        <w:right w:val="none" w:sz="0" w:space="0" w:color="auto"/>
      </w:divBdr>
    </w:div>
    <w:div w:id="684865147">
      <w:bodyDiv w:val="1"/>
      <w:marLeft w:val="0"/>
      <w:marRight w:val="0"/>
      <w:marTop w:val="0"/>
      <w:marBottom w:val="0"/>
      <w:divBdr>
        <w:top w:val="none" w:sz="0" w:space="0" w:color="auto"/>
        <w:left w:val="none" w:sz="0" w:space="0" w:color="auto"/>
        <w:bottom w:val="none" w:sz="0" w:space="0" w:color="auto"/>
        <w:right w:val="none" w:sz="0" w:space="0" w:color="auto"/>
      </w:divBdr>
    </w:div>
    <w:div w:id="68656166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5890019">
      <w:bodyDiv w:val="1"/>
      <w:marLeft w:val="0"/>
      <w:marRight w:val="0"/>
      <w:marTop w:val="0"/>
      <w:marBottom w:val="0"/>
      <w:divBdr>
        <w:top w:val="none" w:sz="0" w:space="0" w:color="auto"/>
        <w:left w:val="none" w:sz="0" w:space="0" w:color="auto"/>
        <w:bottom w:val="none" w:sz="0" w:space="0" w:color="auto"/>
        <w:right w:val="none" w:sz="0" w:space="0" w:color="auto"/>
      </w:divBdr>
    </w:div>
    <w:div w:id="696467962">
      <w:bodyDiv w:val="1"/>
      <w:marLeft w:val="0"/>
      <w:marRight w:val="0"/>
      <w:marTop w:val="0"/>
      <w:marBottom w:val="0"/>
      <w:divBdr>
        <w:top w:val="none" w:sz="0" w:space="0" w:color="auto"/>
        <w:left w:val="none" w:sz="0" w:space="0" w:color="auto"/>
        <w:bottom w:val="none" w:sz="0" w:space="0" w:color="auto"/>
        <w:right w:val="none" w:sz="0" w:space="0" w:color="auto"/>
      </w:divBdr>
    </w:div>
    <w:div w:id="696811501">
      <w:bodyDiv w:val="1"/>
      <w:marLeft w:val="0"/>
      <w:marRight w:val="0"/>
      <w:marTop w:val="0"/>
      <w:marBottom w:val="0"/>
      <w:divBdr>
        <w:top w:val="none" w:sz="0" w:space="0" w:color="auto"/>
        <w:left w:val="none" w:sz="0" w:space="0" w:color="auto"/>
        <w:bottom w:val="none" w:sz="0" w:space="0" w:color="auto"/>
        <w:right w:val="none" w:sz="0" w:space="0" w:color="auto"/>
      </w:divBdr>
    </w:div>
    <w:div w:id="697968851">
      <w:bodyDiv w:val="1"/>
      <w:marLeft w:val="0"/>
      <w:marRight w:val="0"/>
      <w:marTop w:val="0"/>
      <w:marBottom w:val="0"/>
      <w:divBdr>
        <w:top w:val="none" w:sz="0" w:space="0" w:color="auto"/>
        <w:left w:val="none" w:sz="0" w:space="0" w:color="auto"/>
        <w:bottom w:val="none" w:sz="0" w:space="0" w:color="auto"/>
        <w:right w:val="none" w:sz="0" w:space="0" w:color="auto"/>
      </w:divBdr>
    </w:div>
    <w:div w:id="702176294">
      <w:bodyDiv w:val="1"/>
      <w:marLeft w:val="0"/>
      <w:marRight w:val="0"/>
      <w:marTop w:val="0"/>
      <w:marBottom w:val="0"/>
      <w:divBdr>
        <w:top w:val="none" w:sz="0" w:space="0" w:color="auto"/>
        <w:left w:val="none" w:sz="0" w:space="0" w:color="auto"/>
        <w:bottom w:val="none" w:sz="0" w:space="0" w:color="auto"/>
        <w:right w:val="none" w:sz="0" w:space="0" w:color="auto"/>
      </w:divBdr>
    </w:div>
    <w:div w:id="702947504">
      <w:bodyDiv w:val="1"/>
      <w:marLeft w:val="0"/>
      <w:marRight w:val="0"/>
      <w:marTop w:val="0"/>
      <w:marBottom w:val="0"/>
      <w:divBdr>
        <w:top w:val="none" w:sz="0" w:space="0" w:color="auto"/>
        <w:left w:val="none" w:sz="0" w:space="0" w:color="auto"/>
        <w:bottom w:val="none" w:sz="0" w:space="0" w:color="auto"/>
        <w:right w:val="none" w:sz="0" w:space="0" w:color="auto"/>
      </w:divBdr>
    </w:div>
    <w:div w:id="705451976">
      <w:bodyDiv w:val="1"/>
      <w:marLeft w:val="0"/>
      <w:marRight w:val="0"/>
      <w:marTop w:val="0"/>
      <w:marBottom w:val="0"/>
      <w:divBdr>
        <w:top w:val="none" w:sz="0" w:space="0" w:color="auto"/>
        <w:left w:val="none" w:sz="0" w:space="0" w:color="auto"/>
        <w:bottom w:val="none" w:sz="0" w:space="0" w:color="auto"/>
        <w:right w:val="none" w:sz="0" w:space="0" w:color="auto"/>
      </w:divBdr>
    </w:div>
    <w:div w:id="705907859">
      <w:bodyDiv w:val="1"/>
      <w:marLeft w:val="0"/>
      <w:marRight w:val="0"/>
      <w:marTop w:val="0"/>
      <w:marBottom w:val="0"/>
      <w:divBdr>
        <w:top w:val="none" w:sz="0" w:space="0" w:color="auto"/>
        <w:left w:val="none" w:sz="0" w:space="0" w:color="auto"/>
        <w:bottom w:val="none" w:sz="0" w:space="0" w:color="auto"/>
        <w:right w:val="none" w:sz="0" w:space="0" w:color="auto"/>
      </w:divBdr>
    </w:div>
    <w:div w:id="706102598">
      <w:bodyDiv w:val="1"/>
      <w:marLeft w:val="0"/>
      <w:marRight w:val="0"/>
      <w:marTop w:val="0"/>
      <w:marBottom w:val="0"/>
      <w:divBdr>
        <w:top w:val="none" w:sz="0" w:space="0" w:color="auto"/>
        <w:left w:val="none" w:sz="0" w:space="0" w:color="auto"/>
        <w:bottom w:val="none" w:sz="0" w:space="0" w:color="auto"/>
        <w:right w:val="none" w:sz="0" w:space="0" w:color="auto"/>
      </w:divBdr>
    </w:div>
    <w:div w:id="706491860">
      <w:bodyDiv w:val="1"/>
      <w:marLeft w:val="0"/>
      <w:marRight w:val="0"/>
      <w:marTop w:val="0"/>
      <w:marBottom w:val="0"/>
      <w:divBdr>
        <w:top w:val="none" w:sz="0" w:space="0" w:color="auto"/>
        <w:left w:val="none" w:sz="0" w:space="0" w:color="auto"/>
        <w:bottom w:val="none" w:sz="0" w:space="0" w:color="auto"/>
        <w:right w:val="none" w:sz="0" w:space="0" w:color="auto"/>
      </w:divBdr>
    </w:div>
    <w:div w:id="706874892">
      <w:bodyDiv w:val="1"/>
      <w:marLeft w:val="0"/>
      <w:marRight w:val="0"/>
      <w:marTop w:val="0"/>
      <w:marBottom w:val="0"/>
      <w:divBdr>
        <w:top w:val="none" w:sz="0" w:space="0" w:color="auto"/>
        <w:left w:val="none" w:sz="0" w:space="0" w:color="auto"/>
        <w:bottom w:val="none" w:sz="0" w:space="0" w:color="auto"/>
        <w:right w:val="none" w:sz="0" w:space="0" w:color="auto"/>
      </w:divBdr>
    </w:div>
    <w:div w:id="714499960">
      <w:bodyDiv w:val="1"/>
      <w:marLeft w:val="0"/>
      <w:marRight w:val="0"/>
      <w:marTop w:val="0"/>
      <w:marBottom w:val="0"/>
      <w:divBdr>
        <w:top w:val="none" w:sz="0" w:space="0" w:color="auto"/>
        <w:left w:val="none" w:sz="0" w:space="0" w:color="auto"/>
        <w:bottom w:val="none" w:sz="0" w:space="0" w:color="auto"/>
        <w:right w:val="none" w:sz="0" w:space="0" w:color="auto"/>
      </w:divBdr>
    </w:div>
    <w:div w:id="717556638">
      <w:bodyDiv w:val="1"/>
      <w:marLeft w:val="0"/>
      <w:marRight w:val="0"/>
      <w:marTop w:val="0"/>
      <w:marBottom w:val="0"/>
      <w:divBdr>
        <w:top w:val="none" w:sz="0" w:space="0" w:color="auto"/>
        <w:left w:val="none" w:sz="0" w:space="0" w:color="auto"/>
        <w:bottom w:val="none" w:sz="0" w:space="0" w:color="auto"/>
        <w:right w:val="none" w:sz="0" w:space="0" w:color="auto"/>
      </w:divBdr>
    </w:div>
    <w:div w:id="718866775">
      <w:bodyDiv w:val="1"/>
      <w:marLeft w:val="0"/>
      <w:marRight w:val="0"/>
      <w:marTop w:val="0"/>
      <w:marBottom w:val="0"/>
      <w:divBdr>
        <w:top w:val="none" w:sz="0" w:space="0" w:color="auto"/>
        <w:left w:val="none" w:sz="0" w:space="0" w:color="auto"/>
        <w:bottom w:val="none" w:sz="0" w:space="0" w:color="auto"/>
        <w:right w:val="none" w:sz="0" w:space="0" w:color="auto"/>
      </w:divBdr>
    </w:div>
    <w:div w:id="721908472">
      <w:bodyDiv w:val="1"/>
      <w:marLeft w:val="0"/>
      <w:marRight w:val="0"/>
      <w:marTop w:val="0"/>
      <w:marBottom w:val="0"/>
      <w:divBdr>
        <w:top w:val="none" w:sz="0" w:space="0" w:color="auto"/>
        <w:left w:val="none" w:sz="0" w:space="0" w:color="auto"/>
        <w:bottom w:val="none" w:sz="0" w:space="0" w:color="auto"/>
        <w:right w:val="none" w:sz="0" w:space="0" w:color="auto"/>
      </w:divBdr>
    </w:div>
    <w:div w:id="725572385">
      <w:bodyDiv w:val="1"/>
      <w:marLeft w:val="0"/>
      <w:marRight w:val="0"/>
      <w:marTop w:val="0"/>
      <w:marBottom w:val="0"/>
      <w:divBdr>
        <w:top w:val="none" w:sz="0" w:space="0" w:color="auto"/>
        <w:left w:val="none" w:sz="0" w:space="0" w:color="auto"/>
        <w:bottom w:val="none" w:sz="0" w:space="0" w:color="auto"/>
        <w:right w:val="none" w:sz="0" w:space="0" w:color="auto"/>
      </w:divBdr>
    </w:div>
    <w:div w:id="727647989">
      <w:bodyDiv w:val="1"/>
      <w:marLeft w:val="0"/>
      <w:marRight w:val="0"/>
      <w:marTop w:val="0"/>
      <w:marBottom w:val="0"/>
      <w:divBdr>
        <w:top w:val="none" w:sz="0" w:space="0" w:color="auto"/>
        <w:left w:val="none" w:sz="0" w:space="0" w:color="auto"/>
        <w:bottom w:val="none" w:sz="0" w:space="0" w:color="auto"/>
        <w:right w:val="none" w:sz="0" w:space="0" w:color="auto"/>
      </w:divBdr>
    </w:div>
    <w:div w:id="729033651">
      <w:bodyDiv w:val="1"/>
      <w:marLeft w:val="0"/>
      <w:marRight w:val="0"/>
      <w:marTop w:val="0"/>
      <w:marBottom w:val="0"/>
      <w:divBdr>
        <w:top w:val="none" w:sz="0" w:space="0" w:color="auto"/>
        <w:left w:val="none" w:sz="0" w:space="0" w:color="auto"/>
        <w:bottom w:val="none" w:sz="0" w:space="0" w:color="auto"/>
        <w:right w:val="none" w:sz="0" w:space="0" w:color="auto"/>
      </w:divBdr>
    </w:div>
    <w:div w:id="729424720">
      <w:bodyDiv w:val="1"/>
      <w:marLeft w:val="0"/>
      <w:marRight w:val="0"/>
      <w:marTop w:val="0"/>
      <w:marBottom w:val="0"/>
      <w:divBdr>
        <w:top w:val="none" w:sz="0" w:space="0" w:color="auto"/>
        <w:left w:val="none" w:sz="0" w:space="0" w:color="auto"/>
        <w:bottom w:val="none" w:sz="0" w:space="0" w:color="auto"/>
        <w:right w:val="none" w:sz="0" w:space="0" w:color="auto"/>
      </w:divBdr>
    </w:div>
    <w:div w:id="730353074">
      <w:bodyDiv w:val="1"/>
      <w:marLeft w:val="0"/>
      <w:marRight w:val="0"/>
      <w:marTop w:val="0"/>
      <w:marBottom w:val="0"/>
      <w:divBdr>
        <w:top w:val="none" w:sz="0" w:space="0" w:color="auto"/>
        <w:left w:val="none" w:sz="0" w:space="0" w:color="auto"/>
        <w:bottom w:val="none" w:sz="0" w:space="0" w:color="auto"/>
        <w:right w:val="none" w:sz="0" w:space="0" w:color="auto"/>
      </w:divBdr>
    </w:div>
    <w:div w:id="732394343">
      <w:bodyDiv w:val="1"/>
      <w:marLeft w:val="0"/>
      <w:marRight w:val="0"/>
      <w:marTop w:val="0"/>
      <w:marBottom w:val="0"/>
      <w:divBdr>
        <w:top w:val="none" w:sz="0" w:space="0" w:color="auto"/>
        <w:left w:val="none" w:sz="0" w:space="0" w:color="auto"/>
        <w:bottom w:val="none" w:sz="0" w:space="0" w:color="auto"/>
        <w:right w:val="none" w:sz="0" w:space="0" w:color="auto"/>
      </w:divBdr>
    </w:div>
    <w:div w:id="738333786">
      <w:bodyDiv w:val="1"/>
      <w:marLeft w:val="0"/>
      <w:marRight w:val="0"/>
      <w:marTop w:val="0"/>
      <w:marBottom w:val="0"/>
      <w:divBdr>
        <w:top w:val="none" w:sz="0" w:space="0" w:color="auto"/>
        <w:left w:val="none" w:sz="0" w:space="0" w:color="auto"/>
        <w:bottom w:val="none" w:sz="0" w:space="0" w:color="auto"/>
        <w:right w:val="none" w:sz="0" w:space="0" w:color="auto"/>
      </w:divBdr>
    </w:div>
    <w:div w:id="748500177">
      <w:bodyDiv w:val="1"/>
      <w:marLeft w:val="0"/>
      <w:marRight w:val="0"/>
      <w:marTop w:val="0"/>
      <w:marBottom w:val="0"/>
      <w:divBdr>
        <w:top w:val="none" w:sz="0" w:space="0" w:color="auto"/>
        <w:left w:val="none" w:sz="0" w:space="0" w:color="auto"/>
        <w:bottom w:val="none" w:sz="0" w:space="0" w:color="auto"/>
        <w:right w:val="none" w:sz="0" w:space="0" w:color="auto"/>
      </w:divBdr>
    </w:div>
    <w:div w:id="753817613">
      <w:bodyDiv w:val="1"/>
      <w:marLeft w:val="0"/>
      <w:marRight w:val="0"/>
      <w:marTop w:val="0"/>
      <w:marBottom w:val="0"/>
      <w:divBdr>
        <w:top w:val="none" w:sz="0" w:space="0" w:color="auto"/>
        <w:left w:val="none" w:sz="0" w:space="0" w:color="auto"/>
        <w:bottom w:val="none" w:sz="0" w:space="0" w:color="auto"/>
        <w:right w:val="none" w:sz="0" w:space="0" w:color="auto"/>
      </w:divBdr>
    </w:div>
    <w:div w:id="753862312">
      <w:bodyDiv w:val="1"/>
      <w:marLeft w:val="0"/>
      <w:marRight w:val="0"/>
      <w:marTop w:val="0"/>
      <w:marBottom w:val="0"/>
      <w:divBdr>
        <w:top w:val="none" w:sz="0" w:space="0" w:color="auto"/>
        <w:left w:val="none" w:sz="0" w:space="0" w:color="auto"/>
        <w:bottom w:val="none" w:sz="0" w:space="0" w:color="auto"/>
        <w:right w:val="none" w:sz="0" w:space="0" w:color="auto"/>
      </w:divBdr>
    </w:div>
    <w:div w:id="754713490">
      <w:bodyDiv w:val="1"/>
      <w:marLeft w:val="0"/>
      <w:marRight w:val="0"/>
      <w:marTop w:val="0"/>
      <w:marBottom w:val="0"/>
      <w:divBdr>
        <w:top w:val="none" w:sz="0" w:space="0" w:color="auto"/>
        <w:left w:val="none" w:sz="0" w:space="0" w:color="auto"/>
        <w:bottom w:val="none" w:sz="0" w:space="0" w:color="auto"/>
        <w:right w:val="none" w:sz="0" w:space="0" w:color="auto"/>
      </w:divBdr>
    </w:div>
    <w:div w:id="759987025">
      <w:bodyDiv w:val="1"/>
      <w:marLeft w:val="0"/>
      <w:marRight w:val="0"/>
      <w:marTop w:val="0"/>
      <w:marBottom w:val="0"/>
      <w:divBdr>
        <w:top w:val="none" w:sz="0" w:space="0" w:color="auto"/>
        <w:left w:val="none" w:sz="0" w:space="0" w:color="auto"/>
        <w:bottom w:val="none" w:sz="0" w:space="0" w:color="auto"/>
        <w:right w:val="none" w:sz="0" w:space="0" w:color="auto"/>
      </w:divBdr>
    </w:div>
    <w:div w:id="761998686">
      <w:bodyDiv w:val="1"/>
      <w:marLeft w:val="0"/>
      <w:marRight w:val="0"/>
      <w:marTop w:val="0"/>
      <w:marBottom w:val="0"/>
      <w:divBdr>
        <w:top w:val="none" w:sz="0" w:space="0" w:color="auto"/>
        <w:left w:val="none" w:sz="0" w:space="0" w:color="auto"/>
        <w:bottom w:val="none" w:sz="0" w:space="0" w:color="auto"/>
        <w:right w:val="none" w:sz="0" w:space="0" w:color="auto"/>
      </w:divBdr>
    </w:div>
    <w:div w:id="767700292">
      <w:bodyDiv w:val="1"/>
      <w:marLeft w:val="0"/>
      <w:marRight w:val="0"/>
      <w:marTop w:val="0"/>
      <w:marBottom w:val="0"/>
      <w:divBdr>
        <w:top w:val="none" w:sz="0" w:space="0" w:color="auto"/>
        <w:left w:val="none" w:sz="0" w:space="0" w:color="auto"/>
        <w:bottom w:val="none" w:sz="0" w:space="0" w:color="auto"/>
        <w:right w:val="none" w:sz="0" w:space="0" w:color="auto"/>
      </w:divBdr>
    </w:div>
    <w:div w:id="773936677">
      <w:bodyDiv w:val="1"/>
      <w:marLeft w:val="0"/>
      <w:marRight w:val="0"/>
      <w:marTop w:val="0"/>
      <w:marBottom w:val="0"/>
      <w:divBdr>
        <w:top w:val="none" w:sz="0" w:space="0" w:color="auto"/>
        <w:left w:val="none" w:sz="0" w:space="0" w:color="auto"/>
        <w:bottom w:val="none" w:sz="0" w:space="0" w:color="auto"/>
        <w:right w:val="none" w:sz="0" w:space="0" w:color="auto"/>
      </w:divBdr>
    </w:div>
    <w:div w:id="774134962">
      <w:bodyDiv w:val="1"/>
      <w:marLeft w:val="0"/>
      <w:marRight w:val="0"/>
      <w:marTop w:val="0"/>
      <w:marBottom w:val="0"/>
      <w:divBdr>
        <w:top w:val="none" w:sz="0" w:space="0" w:color="auto"/>
        <w:left w:val="none" w:sz="0" w:space="0" w:color="auto"/>
        <w:bottom w:val="none" w:sz="0" w:space="0" w:color="auto"/>
        <w:right w:val="none" w:sz="0" w:space="0" w:color="auto"/>
      </w:divBdr>
    </w:div>
    <w:div w:id="775946730">
      <w:bodyDiv w:val="1"/>
      <w:marLeft w:val="0"/>
      <w:marRight w:val="0"/>
      <w:marTop w:val="0"/>
      <w:marBottom w:val="0"/>
      <w:divBdr>
        <w:top w:val="none" w:sz="0" w:space="0" w:color="auto"/>
        <w:left w:val="none" w:sz="0" w:space="0" w:color="auto"/>
        <w:bottom w:val="none" w:sz="0" w:space="0" w:color="auto"/>
        <w:right w:val="none" w:sz="0" w:space="0" w:color="auto"/>
      </w:divBdr>
    </w:div>
    <w:div w:id="781412846">
      <w:bodyDiv w:val="1"/>
      <w:marLeft w:val="0"/>
      <w:marRight w:val="0"/>
      <w:marTop w:val="0"/>
      <w:marBottom w:val="0"/>
      <w:divBdr>
        <w:top w:val="none" w:sz="0" w:space="0" w:color="auto"/>
        <w:left w:val="none" w:sz="0" w:space="0" w:color="auto"/>
        <w:bottom w:val="none" w:sz="0" w:space="0" w:color="auto"/>
        <w:right w:val="none" w:sz="0" w:space="0" w:color="auto"/>
      </w:divBdr>
    </w:div>
    <w:div w:id="784034530">
      <w:bodyDiv w:val="1"/>
      <w:marLeft w:val="0"/>
      <w:marRight w:val="0"/>
      <w:marTop w:val="0"/>
      <w:marBottom w:val="0"/>
      <w:divBdr>
        <w:top w:val="none" w:sz="0" w:space="0" w:color="auto"/>
        <w:left w:val="none" w:sz="0" w:space="0" w:color="auto"/>
        <w:bottom w:val="none" w:sz="0" w:space="0" w:color="auto"/>
        <w:right w:val="none" w:sz="0" w:space="0" w:color="auto"/>
      </w:divBdr>
    </w:div>
    <w:div w:id="785779002">
      <w:bodyDiv w:val="1"/>
      <w:marLeft w:val="0"/>
      <w:marRight w:val="0"/>
      <w:marTop w:val="0"/>
      <w:marBottom w:val="0"/>
      <w:divBdr>
        <w:top w:val="none" w:sz="0" w:space="0" w:color="auto"/>
        <w:left w:val="none" w:sz="0" w:space="0" w:color="auto"/>
        <w:bottom w:val="none" w:sz="0" w:space="0" w:color="auto"/>
        <w:right w:val="none" w:sz="0" w:space="0" w:color="auto"/>
      </w:divBdr>
    </w:div>
    <w:div w:id="788282520">
      <w:bodyDiv w:val="1"/>
      <w:marLeft w:val="0"/>
      <w:marRight w:val="0"/>
      <w:marTop w:val="0"/>
      <w:marBottom w:val="0"/>
      <w:divBdr>
        <w:top w:val="none" w:sz="0" w:space="0" w:color="auto"/>
        <w:left w:val="none" w:sz="0" w:space="0" w:color="auto"/>
        <w:bottom w:val="none" w:sz="0" w:space="0" w:color="auto"/>
        <w:right w:val="none" w:sz="0" w:space="0" w:color="auto"/>
      </w:divBdr>
    </w:div>
    <w:div w:id="793868718">
      <w:bodyDiv w:val="1"/>
      <w:marLeft w:val="0"/>
      <w:marRight w:val="0"/>
      <w:marTop w:val="0"/>
      <w:marBottom w:val="0"/>
      <w:divBdr>
        <w:top w:val="none" w:sz="0" w:space="0" w:color="auto"/>
        <w:left w:val="none" w:sz="0" w:space="0" w:color="auto"/>
        <w:bottom w:val="none" w:sz="0" w:space="0" w:color="auto"/>
        <w:right w:val="none" w:sz="0" w:space="0" w:color="auto"/>
      </w:divBdr>
    </w:div>
    <w:div w:id="796992604">
      <w:bodyDiv w:val="1"/>
      <w:marLeft w:val="0"/>
      <w:marRight w:val="0"/>
      <w:marTop w:val="0"/>
      <w:marBottom w:val="0"/>
      <w:divBdr>
        <w:top w:val="none" w:sz="0" w:space="0" w:color="auto"/>
        <w:left w:val="none" w:sz="0" w:space="0" w:color="auto"/>
        <w:bottom w:val="none" w:sz="0" w:space="0" w:color="auto"/>
        <w:right w:val="none" w:sz="0" w:space="0" w:color="auto"/>
      </w:divBdr>
    </w:div>
    <w:div w:id="798305893">
      <w:bodyDiv w:val="1"/>
      <w:marLeft w:val="0"/>
      <w:marRight w:val="0"/>
      <w:marTop w:val="0"/>
      <w:marBottom w:val="0"/>
      <w:divBdr>
        <w:top w:val="none" w:sz="0" w:space="0" w:color="auto"/>
        <w:left w:val="none" w:sz="0" w:space="0" w:color="auto"/>
        <w:bottom w:val="none" w:sz="0" w:space="0" w:color="auto"/>
        <w:right w:val="none" w:sz="0" w:space="0" w:color="auto"/>
      </w:divBdr>
    </w:div>
    <w:div w:id="799305328">
      <w:bodyDiv w:val="1"/>
      <w:marLeft w:val="0"/>
      <w:marRight w:val="0"/>
      <w:marTop w:val="0"/>
      <w:marBottom w:val="0"/>
      <w:divBdr>
        <w:top w:val="none" w:sz="0" w:space="0" w:color="auto"/>
        <w:left w:val="none" w:sz="0" w:space="0" w:color="auto"/>
        <w:bottom w:val="none" w:sz="0" w:space="0" w:color="auto"/>
        <w:right w:val="none" w:sz="0" w:space="0" w:color="auto"/>
      </w:divBdr>
    </w:div>
    <w:div w:id="808596804">
      <w:bodyDiv w:val="1"/>
      <w:marLeft w:val="0"/>
      <w:marRight w:val="0"/>
      <w:marTop w:val="0"/>
      <w:marBottom w:val="0"/>
      <w:divBdr>
        <w:top w:val="none" w:sz="0" w:space="0" w:color="auto"/>
        <w:left w:val="none" w:sz="0" w:space="0" w:color="auto"/>
        <w:bottom w:val="none" w:sz="0" w:space="0" w:color="auto"/>
        <w:right w:val="none" w:sz="0" w:space="0" w:color="auto"/>
      </w:divBdr>
    </w:div>
    <w:div w:id="808939762">
      <w:bodyDiv w:val="1"/>
      <w:marLeft w:val="0"/>
      <w:marRight w:val="0"/>
      <w:marTop w:val="0"/>
      <w:marBottom w:val="0"/>
      <w:divBdr>
        <w:top w:val="none" w:sz="0" w:space="0" w:color="auto"/>
        <w:left w:val="none" w:sz="0" w:space="0" w:color="auto"/>
        <w:bottom w:val="none" w:sz="0" w:space="0" w:color="auto"/>
        <w:right w:val="none" w:sz="0" w:space="0" w:color="auto"/>
      </w:divBdr>
    </w:div>
    <w:div w:id="810943347">
      <w:bodyDiv w:val="1"/>
      <w:marLeft w:val="0"/>
      <w:marRight w:val="0"/>
      <w:marTop w:val="0"/>
      <w:marBottom w:val="0"/>
      <w:divBdr>
        <w:top w:val="none" w:sz="0" w:space="0" w:color="auto"/>
        <w:left w:val="none" w:sz="0" w:space="0" w:color="auto"/>
        <w:bottom w:val="none" w:sz="0" w:space="0" w:color="auto"/>
        <w:right w:val="none" w:sz="0" w:space="0" w:color="auto"/>
      </w:divBdr>
    </w:div>
    <w:div w:id="812408073">
      <w:bodyDiv w:val="1"/>
      <w:marLeft w:val="0"/>
      <w:marRight w:val="0"/>
      <w:marTop w:val="0"/>
      <w:marBottom w:val="0"/>
      <w:divBdr>
        <w:top w:val="none" w:sz="0" w:space="0" w:color="auto"/>
        <w:left w:val="none" w:sz="0" w:space="0" w:color="auto"/>
        <w:bottom w:val="none" w:sz="0" w:space="0" w:color="auto"/>
        <w:right w:val="none" w:sz="0" w:space="0" w:color="auto"/>
      </w:divBdr>
    </w:div>
    <w:div w:id="813645830">
      <w:bodyDiv w:val="1"/>
      <w:marLeft w:val="0"/>
      <w:marRight w:val="0"/>
      <w:marTop w:val="0"/>
      <w:marBottom w:val="0"/>
      <w:divBdr>
        <w:top w:val="none" w:sz="0" w:space="0" w:color="auto"/>
        <w:left w:val="none" w:sz="0" w:space="0" w:color="auto"/>
        <w:bottom w:val="none" w:sz="0" w:space="0" w:color="auto"/>
        <w:right w:val="none" w:sz="0" w:space="0" w:color="auto"/>
      </w:divBdr>
    </w:div>
    <w:div w:id="813763261">
      <w:bodyDiv w:val="1"/>
      <w:marLeft w:val="0"/>
      <w:marRight w:val="0"/>
      <w:marTop w:val="0"/>
      <w:marBottom w:val="0"/>
      <w:divBdr>
        <w:top w:val="none" w:sz="0" w:space="0" w:color="auto"/>
        <w:left w:val="none" w:sz="0" w:space="0" w:color="auto"/>
        <w:bottom w:val="none" w:sz="0" w:space="0" w:color="auto"/>
        <w:right w:val="none" w:sz="0" w:space="0" w:color="auto"/>
      </w:divBdr>
    </w:div>
    <w:div w:id="821852094">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23744599">
      <w:bodyDiv w:val="1"/>
      <w:marLeft w:val="0"/>
      <w:marRight w:val="0"/>
      <w:marTop w:val="0"/>
      <w:marBottom w:val="0"/>
      <w:divBdr>
        <w:top w:val="none" w:sz="0" w:space="0" w:color="auto"/>
        <w:left w:val="none" w:sz="0" w:space="0" w:color="auto"/>
        <w:bottom w:val="none" w:sz="0" w:space="0" w:color="auto"/>
        <w:right w:val="none" w:sz="0" w:space="0" w:color="auto"/>
      </w:divBdr>
    </w:div>
    <w:div w:id="827792973">
      <w:bodyDiv w:val="1"/>
      <w:marLeft w:val="0"/>
      <w:marRight w:val="0"/>
      <w:marTop w:val="0"/>
      <w:marBottom w:val="0"/>
      <w:divBdr>
        <w:top w:val="none" w:sz="0" w:space="0" w:color="auto"/>
        <w:left w:val="none" w:sz="0" w:space="0" w:color="auto"/>
        <w:bottom w:val="none" w:sz="0" w:space="0" w:color="auto"/>
        <w:right w:val="none" w:sz="0" w:space="0" w:color="auto"/>
      </w:divBdr>
    </w:div>
    <w:div w:id="834078601">
      <w:bodyDiv w:val="1"/>
      <w:marLeft w:val="0"/>
      <w:marRight w:val="0"/>
      <w:marTop w:val="0"/>
      <w:marBottom w:val="0"/>
      <w:divBdr>
        <w:top w:val="none" w:sz="0" w:space="0" w:color="auto"/>
        <w:left w:val="none" w:sz="0" w:space="0" w:color="auto"/>
        <w:bottom w:val="none" w:sz="0" w:space="0" w:color="auto"/>
        <w:right w:val="none" w:sz="0" w:space="0" w:color="auto"/>
      </w:divBdr>
    </w:div>
    <w:div w:id="835730571">
      <w:bodyDiv w:val="1"/>
      <w:marLeft w:val="0"/>
      <w:marRight w:val="0"/>
      <w:marTop w:val="0"/>
      <w:marBottom w:val="0"/>
      <w:divBdr>
        <w:top w:val="none" w:sz="0" w:space="0" w:color="auto"/>
        <w:left w:val="none" w:sz="0" w:space="0" w:color="auto"/>
        <w:bottom w:val="none" w:sz="0" w:space="0" w:color="auto"/>
        <w:right w:val="none" w:sz="0" w:space="0" w:color="auto"/>
      </w:divBdr>
    </w:div>
    <w:div w:id="840853032">
      <w:bodyDiv w:val="1"/>
      <w:marLeft w:val="0"/>
      <w:marRight w:val="0"/>
      <w:marTop w:val="0"/>
      <w:marBottom w:val="0"/>
      <w:divBdr>
        <w:top w:val="none" w:sz="0" w:space="0" w:color="auto"/>
        <w:left w:val="none" w:sz="0" w:space="0" w:color="auto"/>
        <w:bottom w:val="none" w:sz="0" w:space="0" w:color="auto"/>
        <w:right w:val="none" w:sz="0" w:space="0" w:color="auto"/>
      </w:divBdr>
    </w:div>
    <w:div w:id="844974582">
      <w:bodyDiv w:val="1"/>
      <w:marLeft w:val="0"/>
      <w:marRight w:val="0"/>
      <w:marTop w:val="0"/>
      <w:marBottom w:val="0"/>
      <w:divBdr>
        <w:top w:val="none" w:sz="0" w:space="0" w:color="auto"/>
        <w:left w:val="none" w:sz="0" w:space="0" w:color="auto"/>
        <w:bottom w:val="none" w:sz="0" w:space="0" w:color="auto"/>
        <w:right w:val="none" w:sz="0" w:space="0" w:color="auto"/>
      </w:divBdr>
    </w:div>
    <w:div w:id="847016384">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152660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68951308">
      <w:bodyDiv w:val="1"/>
      <w:marLeft w:val="0"/>
      <w:marRight w:val="0"/>
      <w:marTop w:val="0"/>
      <w:marBottom w:val="0"/>
      <w:divBdr>
        <w:top w:val="none" w:sz="0" w:space="0" w:color="auto"/>
        <w:left w:val="none" w:sz="0" w:space="0" w:color="auto"/>
        <w:bottom w:val="none" w:sz="0" w:space="0" w:color="auto"/>
        <w:right w:val="none" w:sz="0" w:space="0" w:color="auto"/>
      </w:divBdr>
    </w:div>
    <w:div w:id="878587391">
      <w:bodyDiv w:val="1"/>
      <w:marLeft w:val="0"/>
      <w:marRight w:val="0"/>
      <w:marTop w:val="0"/>
      <w:marBottom w:val="0"/>
      <w:divBdr>
        <w:top w:val="none" w:sz="0" w:space="0" w:color="auto"/>
        <w:left w:val="none" w:sz="0" w:space="0" w:color="auto"/>
        <w:bottom w:val="none" w:sz="0" w:space="0" w:color="auto"/>
        <w:right w:val="none" w:sz="0" w:space="0" w:color="auto"/>
      </w:divBdr>
    </w:div>
    <w:div w:id="880827572">
      <w:bodyDiv w:val="1"/>
      <w:marLeft w:val="0"/>
      <w:marRight w:val="0"/>
      <w:marTop w:val="0"/>
      <w:marBottom w:val="0"/>
      <w:divBdr>
        <w:top w:val="none" w:sz="0" w:space="0" w:color="auto"/>
        <w:left w:val="none" w:sz="0" w:space="0" w:color="auto"/>
        <w:bottom w:val="none" w:sz="0" w:space="0" w:color="auto"/>
        <w:right w:val="none" w:sz="0" w:space="0" w:color="auto"/>
      </w:divBdr>
    </w:div>
    <w:div w:id="897981373">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2448865">
      <w:bodyDiv w:val="1"/>
      <w:marLeft w:val="0"/>
      <w:marRight w:val="0"/>
      <w:marTop w:val="0"/>
      <w:marBottom w:val="0"/>
      <w:divBdr>
        <w:top w:val="none" w:sz="0" w:space="0" w:color="auto"/>
        <w:left w:val="none" w:sz="0" w:space="0" w:color="auto"/>
        <w:bottom w:val="none" w:sz="0" w:space="0" w:color="auto"/>
        <w:right w:val="none" w:sz="0" w:space="0" w:color="auto"/>
      </w:divBdr>
    </w:div>
    <w:div w:id="904024674">
      <w:bodyDiv w:val="1"/>
      <w:marLeft w:val="0"/>
      <w:marRight w:val="0"/>
      <w:marTop w:val="0"/>
      <w:marBottom w:val="0"/>
      <w:divBdr>
        <w:top w:val="none" w:sz="0" w:space="0" w:color="auto"/>
        <w:left w:val="none" w:sz="0" w:space="0" w:color="auto"/>
        <w:bottom w:val="none" w:sz="0" w:space="0" w:color="auto"/>
        <w:right w:val="none" w:sz="0" w:space="0" w:color="auto"/>
      </w:divBdr>
    </w:div>
    <w:div w:id="904728492">
      <w:bodyDiv w:val="1"/>
      <w:marLeft w:val="0"/>
      <w:marRight w:val="0"/>
      <w:marTop w:val="0"/>
      <w:marBottom w:val="0"/>
      <w:divBdr>
        <w:top w:val="none" w:sz="0" w:space="0" w:color="auto"/>
        <w:left w:val="none" w:sz="0" w:space="0" w:color="auto"/>
        <w:bottom w:val="none" w:sz="0" w:space="0" w:color="auto"/>
        <w:right w:val="none" w:sz="0" w:space="0" w:color="auto"/>
      </w:divBdr>
    </w:div>
    <w:div w:id="904797667">
      <w:bodyDiv w:val="1"/>
      <w:marLeft w:val="0"/>
      <w:marRight w:val="0"/>
      <w:marTop w:val="0"/>
      <w:marBottom w:val="0"/>
      <w:divBdr>
        <w:top w:val="none" w:sz="0" w:space="0" w:color="auto"/>
        <w:left w:val="none" w:sz="0" w:space="0" w:color="auto"/>
        <w:bottom w:val="none" w:sz="0" w:space="0" w:color="auto"/>
        <w:right w:val="none" w:sz="0" w:space="0" w:color="auto"/>
      </w:divBdr>
    </w:div>
    <w:div w:id="905989154">
      <w:bodyDiv w:val="1"/>
      <w:marLeft w:val="0"/>
      <w:marRight w:val="0"/>
      <w:marTop w:val="0"/>
      <w:marBottom w:val="0"/>
      <w:divBdr>
        <w:top w:val="none" w:sz="0" w:space="0" w:color="auto"/>
        <w:left w:val="none" w:sz="0" w:space="0" w:color="auto"/>
        <w:bottom w:val="none" w:sz="0" w:space="0" w:color="auto"/>
        <w:right w:val="none" w:sz="0" w:space="0" w:color="auto"/>
      </w:divBdr>
    </w:div>
    <w:div w:id="912395137">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126647">
      <w:bodyDiv w:val="1"/>
      <w:marLeft w:val="0"/>
      <w:marRight w:val="0"/>
      <w:marTop w:val="0"/>
      <w:marBottom w:val="0"/>
      <w:divBdr>
        <w:top w:val="none" w:sz="0" w:space="0" w:color="auto"/>
        <w:left w:val="none" w:sz="0" w:space="0" w:color="auto"/>
        <w:bottom w:val="none" w:sz="0" w:space="0" w:color="auto"/>
        <w:right w:val="none" w:sz="0" w:space="0" w:color="auto"/>
      </w:divBdr>
    </w:div>
    <w:div w:id="913468034">
      <w:bodyDiv w:val="1"/>
      <w:marLeft w:val="0"/>
      <w:marRight w:val="0"/>
      <w:marTop w:val="0"/>
      <w:marBottom w:val="0"/>
      <w:divBdr>
        <w:top w:val="none" w:sz="0" w:space="0" w:color="auto"/>
        <w:left w:val="none" w:sz="0" w:space="0" w:color="auto"/>
        <w:bottom w:val="none" w:sz="0" w:space="0" w:color="auto"/>
        <w:right w:val="none" w:sz="0" w:space="0" w:color="auto"/>
      </w:divBdr>
    </w:div>
    <w:div w:id="913511276">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4782652">
      <w:bodyDiv w:val="1"/>
      <w:marLeft w:val="0"/>
      <w:marRight w:val="0"/>
      <w:marTop w:val="0"/>
      <w:marBottom w:val="0"/>
      <w:divBdr>
        <w:top w:val="none" w:sz="0" w:space="0" w:color="auto"/>
        <w:left w:val="none" w:sz="0" w:space="0" w:color="auto"/>
        <w:bottom w:val="none" w:sz="0" w:space="0" w:color="auto"/>
        <w:right w:val="none" w:sz="0" w:space="0" w:color="auto"/>
      </w:divBdr>
    </w:div>
    <w:div w:id="916986511">
      <w:bodyDiv w:val="1"/>
      <w:marLeft w:val="0"/>
      <w:marRight w:val="0"/>
      <w:marTop w:val="0"/>
      <w:marBottom w:val="0"/>
      <w:divBdr>
        <w:top w:val="none" w:sz="0" w:space="0" w:color="auto"/>
        <w:left w:val="none" w:sz="0" w:space="0" w:color="auto"/>
        <w:bottom w:val="none" w:sz="0" w:space="0" w:color="auto"/>
        <w:right w:val="none" w:sz="0" w:space="0" w:color="auto"/>
      </w:divBdr>
    </w:div>
    <w:div w:id="920602981">
      <w:bodyDiv w:val="1"/>
      <w:marLeft w:val="0"/>
      <w:marRight w:val="0"/>
      <w:marTop w:val="0"/>
      <w:marBottom w:val="0"/>
      <w:divBdr>
        <w:top w:val="none" w:sz="0" w:space="0" w:color="auto"/>
        <w:left w:val="none" w:sz="0" w:space="0" w:color="auto"/>
        <w:bottom w:val="none" w:sz="0" w:space="0" w:color="auto"/>
        <w:right w:val="none" w:sz="0" w:space="0" w:color="auto"/>
      </w:divBdr>
    </w:div>
    <w:div w:id="920798064">
      <w:bodyDiv w:val="1"/>
      <w:marLeft w:val="0"/>
      <w:marRight w:val="0"/>
      <w:marTop w:val="0"/>
      <w:marBottom w:val="0"/>
      <w:divBdr>
        <w:top w:val="none" w:sz="0" w:space="0" w:color="auto"/>
        <w:left w:val="none" w:sz="0" w:space="0" w:color="auto"/>
        <w:bottom w:val="none" w:sz="0" w:space="0" w:color="auto"/>
        <w:right w:val="none" w:sz="0" w:space="0" w:color="auto"/>
      </w:divBdr>
    </w:div>
    <w:div w:id="923220740">
      <w:bodyDiv w:val="1"/>
      <w:marLeft w:val="0"/>
      <w:marRight w:val="0"/>
      <w:marTop w:val="0"/>
      <w:marBottom w:val="0"/>
      <w:divBdr>
        <w:top w:val="none" w:sz="0" w:space="0" w:color="auto"/>
        <w:left w:val="none" w:sz="0" w:space="0" w:color="auto"/>
        <w:bottom w:val="none" w:sz="0" w:space="0" w:color="auto"/>
        <w:right w:val="none" w:sz="0" w:space="0" w:color="auto"/>
      </w:divBdr>
    </w:div>
    <w:div w:id="924723819">
      <w:bodyDiv w:val="1"/>
      <w:marLeft w:val="0"/>
      <w:marRight w:val="0"/>
      <w:marTop w:val="0"/>
      <w:marBottom w:val="0"/>
      <w:divBdr>
        <w:top w:val="none" w:sz="0" w:space="0" w:color="auto"/>
        <w:left w:val="none" w:sz="0" w:space="0" w:color="auto"/>
        <w:bottom w:val="none" w:sz="0" w:space="0" w:color="auto"/>
        <w:right w:val="none" w:sz="0" w:space="0" w:color="auto"/>
      </w:divBdr>
    </w:div>
    <w:div w:id="945769138">
      <w:bodyDiv w:val="1"/>
      <w:marLeft w:val="0"/>
      <w:marRight w:val="0"/>
      <w:marTop w:val="0"/>
      <w:marBottom w:val="0"/>
      <w:divBdr>
        <w:top w:val="none" w:sz="0" w:space="0" w:color="auto"/>
        <w:left w:val="none" w:sz="0" w:space="0" w:color="auto"/>
        <w:bottom w:val="none" w:sz="0" w:space="0" w:color="auto"/>
        <w:right w:val="none" w:sz="0" w:space="0" w:color="auto"/>
      </w:divBdr>
    </w:div>
    <w:div w:id="951127698">
      <w:bodyDiv w:val="1"/>
      <w:marLeft w:val="0"/>
      <w:marRight w:val="0"/>
      <w:marTop w:val="0"/>
      <w:marBottom w:val="0"/>
      <w:divBdr>
        <w:top w:val="none" w:sz="0" w:space="0" w:color="auto"/>
        <w:left w:val="none" w:sz="0" w:space="0" w:color="auto"/>
        <w:bottom w:val="none" w:sz="0" w:space="0" w:color="auto"/>
        <w:right w:val="none" w:sz="0" w:space="0" w:color="auto"/>
      </w:divBdr>
    </w:div>
    <w:div w:id="953175374">
      <w:bodyDiv w:val="1"/>
      <w:marLeft w:val="0"/>
      <w:marRight w:val="0"/>
      <w:marTop w:val="0"/>
      <w:marBottom w:val="0"/>
      <w:divBdr>
        <w:top w:val="none" w:sz="0" w:space="0" w:color="auto"/>
        <w:left w:val="none" w:sz="0" w:space="0" w:color="auto"/>
        <w:bottom w:val="none" w:sz="0" w:space="0" w:color="auto"/>
        <w:right w:val="none" w:sz="0" w:space="0" w:color="auto"/>
      </w:divBdr>
    </w:div>
    <w:div w:id="954096059">
      <w:bodyDiv w:val="1"/>
      <w:marLeft w:val="0"/>
      <w:marRight w:val="0"/>
      <w:marTop w:val="0"/>
      <w:marBottom w:val="0"/>
      <w:divBdr>
        <w:top w:val="none" w:sz="0" w:space="0" w:color="auto"/>
        <w:left w:val="none" w:sz="0" w:space="0" w:color="auto"/>
        <w:bottom w:val="none" w:sz="0" w:space="0" w:color="auto"/>
        <w:right w:val="none" w:sz="0" w:space="0" w:color="auto"/>
      </w:divBdr>
    </w:div>
    <w:div w:id="955061577">
      <w:bodyDiv w:val="1"/>
      <w:marLeft w:val="0"/>
      <w:marRight w:val="0"/>
      <w:marTop w:val="0"/>
      <w:marBottom w:val="0"/>
      <w:divBdr>
        <w:top w:val="none" w:sz="0" w:space="0" w:color="auto"/>
        <w:left w:val="none" w:sz="0" w:space="0" w:color="auto"/>
        <w:bottom w:val="none" w:sz="0" w:space="0" w:color="auto"/>
        <w:right w:val="none" w:sz="0" w:space="0" w:color="auto"/>
      </w:divBdr>
    </w:div>
    <w:div w:id="957377194">
      <w:bodyDiv w:val="1"/>
      <w:marLeft w:val="0"/>
      <w:marRight w:val="0"/>
      <w:marTop w:val="0"/>
      <w:marBottom w:val="0"/>
      <w:divBdr>
        <w:top w:val="none" w:sz="0" w:space="0" w:color="auto"/>
        <w:left w:val="none" w:sz="0" w:space="0" w:color="auto"/>
        <w:bottom w:val="none" w:sz="0" w:space="0" w:color="auto"/>
        <w:right w:val="none" w:sz="0" w:space="0" w:color="auto"/>
      </w:divBdr>
    </w:div>
    <w:div w:id="960376896">
      <w:bodyDiv w:val="1"/>
      <w:marLeft w:val="0"/>
      <w:marRight w:val="0"/>
      <w:marTop w:val="0"/>
      <w:marBottom w:val="0"/>
      <w:divBdr>
        <w:top w:val="none" w:sz="0" w:space="0" w:color="auto"/>
        <w:left w:val="none" w:sz="0" w:space="0" w:color="auto"/>
        <w:bottom w:val="none" w:sz="0" w:space="0" w:color="auto"/>
        <w:right w:val="none" w:sz="0" w:space="0" w:color="auto"/>
      </w:divBdr>
    </w:div>
    <w:div w:id="960578514">
      <w:bodyDiv w:val="1"/>
      <w:marLeft w:val="0"/>
      <w:marRight w:val="0"/>
      <w:marTop w:val="0"/>
      <w:marBottom w:val="0"/>
      <w:divBdr>
        <w:top w:val="none" w:sz="0" w:space="0" w:color="auto"/>
        <w:left w:val="none" w:sz="0" w:space="0" w:color="auto"/>
        <w:bottom w:val="none" w:sz="0" w:space="0" w:color="auto"/>
        <w:right w:val="none" w:sz="0" w:space="0" w:color="auto"/>
      </w:divBdr>
    </w:div>
    <w:div w:id="964506353">
      <w:bodyDiv w:val="1"/>
      <w:marLeft w:val="0"/>
      <w:marRight w:val="0"/>
      <w:marTop w:val="0"/>
      <w:marBottom w:val="0"/>
      <w:divBdr>
        <w:top w:val="none" w:sz="0" w:space="0" w:color="auto"/>
        <w:left w:val="none" w:sz="0" w:space="0" w:color="auto"/>
        <w:bottom w:val="none" w:sz="0" w:space="0" w:color="auto"/>
        <w:right w:val="none" w:sz="0" w:space="0" w:color="auto"/>
      </w:divBdr>
    </w:div>
    <w:div w:id="96955384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5645600">
      <w:bodyDiv w:val="1"/>
      <w:marLeft w:val="0"/>
      <w:marRight w:val="0"/>
      <w:marTop w:val="0"/>
      <w:marBottom w:val="0"/>
      <w:divBdr>
        <w:top w:val="none" w:sz="0" w:space="0" w:color="auto"/>
        <w:left w:val="none" w:sz="0" w:space="0" w:color="auto"/>
        <w:bottom w:val="none" w:sz="0" w:space="0" w:color="auto"/>
        <w:right w:val="none" w:sz="0" w:space="0" w:color="auto"/>
      </w:divBdr>
    </w:div>
    <w:div w:id="981690068">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7321223">
      <w:bodyDiv w:val="1"/>
      <w:marLeft w:val="0"/>
      <w:marRight w:val="0"/>
      <w:marTop w:val="0"/>
      <w:marBottom w:val="0"/>
      <w:divBdr>
        <w:top w:val="none" w:sz="0" w:space="0" w:color="auto"/>
        <w:left w:val="none" w:sz="0" w:space="0" w:color="auto"/>
        <w:bottom w:val="none" w:sz="0" w:space="0" w:color="auto"/>
        <w:right w:val="none" w:sz="0" w:space="0" w:color="auto"/>
      </w:divBdr>
    </w:div>
    <w:div w:id="994916866">
      <w:bodyDiv w:val="1"/>
      <w:marLeft w:val="0"/>
      <w:marRight w:val="0"/>
      <w:marTop w:val="0"/>
      <w:marBottom w:val="0"/>
      <w:divBdr>
        <w:top w:val="none" w:sz="0" w:space="0" w:color="auto"/>
        <w:left w:val="none" w:sz="0" w:space="0" w:color="auto"/>
        <w:bottom w:val="none" w:sz="0" w:space="0" w:color="auto"/>
        <w:right w:val="none" w:sz="0" w:space="0" w:color="auto"/>
      </w:divBdr>
    </w:div>
    <w:div w:id="1006395896">
      <w:bodyDiv w:val="1"/>
      <w:marLeft w:val="0"/>
      <w:marRight w:val="0"/>
      <w:marTop w:val="0"/>
      <w:marBottom w:val="0"/>
      <w:divBdr>
        <w:top w:val="none" w:sz="0" w:space="0" w:color="auto"/>
        <w:left w:val="none" w:sz="0" w:space="0" w:color="auto"/>
        <w:bottom w:val="none" w:sz="0" w:space="0" w:color="auto"/>
        <w:right w:val="none" w:sz="0" w:space="0" w:color="auto"/>
      </w:divBdr>
    </w:div>
    <w:div w:id="1008753017">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6539629">
      <w:bodyDiv w:val="1"/>
      <w:marLeft w:val="0"/>
      <w:marRight w:val="0"/>
      <w:marTop w:val="0"/>
      <w:marBottom w:val="0"/>
      <w:divBdr>
        <w:top w:val="none" w:sz="0" w:space="0" w:color="auto"/>
        <w:left w:val="none" w:sz="0" w:space="0" w:color="auto"/>
        <w:bottom w:val="none" w:sz="0" w:space="0" w:color="auto"/>
        <w:right w:val="none" w:sz="0" w:space="0" w:color="auto"/>
      </w:divBdr>
    </w:div>
    <w:div w:id="1018041518">
      <w:bodyDiv w:val="1"/>
      <w:marLeft w:val="0"/>
      <w:marRight w:val="0"/>
      <w:marTop w:val="0"/>
      <w:marBottom w:val="0"/>
      <w:divBdr>
        <w:top w:val="none" w:sz="0" w:space="0" w:color="auto"/>
        <w:left w:val="none" w:sz="0" w:space="0" w:color="auto"/>
        <w:bottom w:val="none" w:sz="0" w:space="0" w:color="auto"/>
        <w:right w:val="none" w:sz="0" w:space="0" w:color="auto"/>
      </w:divBdr>
    </w:div>
    <w:div w:id="1023165761">
      <w:bodyDiv w:val="1"/>
      <w:marLeft w:val="0"/>
      <w:marRight w:val="0"/>
      <w:marTop w:val="0"/>
      <w:marBottom w:val="0"/>
      <w:divBdr>
        <w:top w:val="none" w:sz="0" w:space="0" w:color="auto"/>
        <w:left w:val="none" w:sz="0" w:space="0" w:color="auto"/>
        <w:bottom w:val="none" w:sz="0" w:space="0" w:color="auto"/>
        <w:right w:val="none" w:sz="0" w:space="0" w:color="auto"/>
      </w:divBdr>
    </w:div>
    <w:div w:id="1024139286">
      <w:bodyDiv w:val="1"/>
      <w:marLeft w:val="0"/>
      <w:marRight w:val="0"/>
      <w:marTop w:val="0"/>
      <w:marBottom w:val="0"/>
      <w:divBdr>
        <w:top w:val="none" w:sz="0" w:space="0" w:color="auto"/>
        <w:left w:val="none" w:sz="0" w:space="0" w:color="auto"/>
        <w:bottom w:val="none" w:sz="0" w:space="0" w:color="auto"/>
        <w:right w:val="none" w:sz="0" w:space="0" w:color="auto"/>
      </w:divBdr>
    </w:div>
    <w:div w:id="1025598103">
      <w:bodyDiv w:val="1"/>
      <w:marLeft w:val="0"/>
      <w:marRight w:val="0"/>
      <w:marTop w:val="0"/>
      <w:marBottom w:val="0"/>
      <w:divBdr>
        <w:top w:val="none" w:sz="0" w:space="0" w:color="auto"/>
        <w:left w:val="none" w:sz="0" w:space="0" w:color="auto"/>
        <w:bottom w:val="none" w:sz="0" w:space="0" w:color="auto"/>
        <w:right w:val="none" w:sz="0" w:space="0" w:color="auto"/>
      </w:divBdr>
    </w:div>
    <w:div w:id="1029332482">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5084390">
      <w:bodyDiv w:val="1"/>
      <w:marLeft w:val="0"/>
      <w:marRight w:val="0"/>
      <w:marTop w:val="0"/>
      <w:marBottom w:val="0"/>
      <w:divBdr>
        <w:top w:val="none" w:sz="0" w:space="0" w:color="auto"/>
        <w:left w:val="none" w:sz="0" w:space="0" w:color="auto"/>
        <w:bottom w:val="none" w:sz="0" w:space="0" w:color="auto"/>
        <w:right w:val="none" w:sz="0" w:space="0" w:color="auto"/>
      </w:divBdr>
    </w:div>
    <w:div w:id="1035499335">
      <w:bodyDiv w:val="1"/>
      <w:marLeft w:val="0"/>
      <w:marRight w:val="0"/>
      <w:marTop w:val="0"/>
      <w:marBottom w:val="0"/>
      <w:divBdr>
        <w:top w:val="none" w:sz="0" w:space="0" w:color="auto"/>
        <w:left w:val="none" w:sz="0" w:space="0" w:color="auto"/>
        <w:bottom w:val="none" w:sz="0" w:space="0" w:color="auto"/>
        <w:right w:val="none" w:sz="0" w:space="0" w:color="auto"/>
      </w:divBdr>
    </w:div>
    <w:div w:id="1035890798">
      <w:bodyDiv w:val="1"/>
      <w:marLeft w:val="0"/>
      <w:marRight w:val="0"/>
      <w:marTop w:val="0"/>
      <w:marBottom w:val="0"/>
      <w:divBdr>
        <w:top w:val="none" w:sz="0" w:space="0" w:color="auto"/>
        <w:left w:val="none" w:sz="0" w:space="0" w:color="auto"/>
        <w:bottom w:val="none" w:sz="0" w:space="0" w:color="auto"/>
        <w:right w:val="none" w:sz="0" w:space="0" w:color="auto"/>
      </w:divBdr>
    </w:div>
    <w:div w:id="1039017729">
      <w:bodyDiv w:val="1"/>
      <w:marLeft w:val="0"/>
      <w:marRight w:val="0"/>
      <w:marTop w:val="0"/>
      <w:marBottom w:val="0"/>
      <w:divBdr>
        <w:top w:val="none" w:sz="0" w:space="0" w:color="auto"/>
        <w:left w:val="none" w:sz="0" w:space="0" w:color="auto"/>
        <w:bottom w:val="none" w:sz="0" w:space="0" w:color="auto"/>
        <w:right w:val="none" w:sz="0" w:space="0" w:color="auto"/>
      </w:divBdr>
    </w:div>
    <w:div w:id="1044333299">
      <w:bodyDiv w:val="1"/>
      <w:marLeft w:val="0"/>
      <w:marRight w:val="0"/>
      <w:marTop w:val="0"/>
      <w:marBottom w:val="0"/>
      <w:divBdr>
        <w:top w:val="none" w:sz="0" w:space="0" w:color="auto"/>
        <w:left w:val="none" w:sz="0" w:space="0" w:color="auto"/>
        <w:bottom w:val="none" w:sz="0" w:space="0" w:color="auto"/>
        <w:right w:val="none" w:sz="0" w:space="0" w:color="auto"/>
      </w:divBdr>
    </w:div>
    <w:div w:id="104506534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9569638">
      <w:bodyDiv w:val="1"/>
      <w:marLeft w:val="0"/>
      <w:marRight w:val="0"/>
      <w:marTop w:val="0"/>
      <w:marBottom w:val="0"/>
      <w:divBdr>
        <w:top w:val="none" w:sz="0" w:space="0" w:color="auto"/>
        <w:left w:val="none" w:sz="0" w:space="0" w:color="auto"/>
        <w:bottom w:val="none" w:sz="0" w:space="0" w:color="auto"/>
        <w:right w:val="none" w:sz="0" w:space="0" w:color="auto"/>
      </w:divBdr>
    </w:div>
    <w:div w:id="1055197582">
      <w:bodyDiv w:val="1"/>
      <w:marLeft w:val="0"/>
      <w:marRight w:val="0"/>
      <w:marTop w:val="0"/>
      <w:marBottom w:val="0"/>
      <w:divBdr>
        <w:top w:val="none" w:sz="0" w:space="0" w:color="auto"/>
        <w:left w:val="none" w:sz="0" w:space="0" w:color="auto"/>
        <w:bottom w:val="none" w:sz="0" w:space="0" w:color="auto"/>
        <w:right w:val="none" w:sz="0" w:space="0" w:color="auto"/>
      </w:divBdr>
    </w:div>
    <w:div w:id="1055736587">
      <w:bodyDiv w:val="1"/>
      <w:marLeft w:val="0"/>
      <w:marRight w:val="0"/>
      <w:marTop w:val="0"/>
      <w:marBottom w:val="0"/>
      <w:divBdr>
        <w:top w:val="none" w:sz="0" w:space="0" w:color="auto"/>
        <w:left w:val="none" w:sz="0" w:space="0" w:color="auto"/>
        <w:bottom w:val="none" w:sz="0" w:space="0" w:color="auto"/>
        <w:right w:val="none" w:sz="0" w:space="0" w:color="auto"/>
      </w:divBdr>
    </w:div>
    <w:div w:id="1057124029">
      <w:bodyDiv w:val="1"/>
      <w:marLeft w:val="0"/>
      <w:marRight w:val="0"/>
      <w:marTop w:val="0"/>
      <w:marBottom w:val="0"/>
      <w:divBdr>
        <w:top w:val="none" w:sz="0" w:space="0" w:color="auto"/>
        <w:left w:val="none" w:sz="0" w:space="0" w:color="auto"/>
        <w:bottom w:val="none" w:sz="0" w:space="0" w:color="auto"/>
        <w:right w:val="none" w:sz="0" w:space="0" w:color="auto"/>
      </w:divBdr>
    </w:div>
    <w:div w:id="1060634827">
      <w:bodyDiv w:val="1"/>
      <w:marLeft w:val="0"/>
      <w:marRight w:val="0"/>
      <w:marTop w:val="0"/>
      <w:marBottom w:val="0"/>
      <w:divBdr>
        <w:top w:val="none" w:sz="0" w:space="0" w:color="auto"/>
        <w:left w:val="none" w:sz="0" w:space="0" w:color="auto"/>
        <w:bottom w:val="none" w:sz="0" w:space="0" w:color="auto"/>
        <w:right w:val="none" w:sz="0" w:space="0" w:color="auto"/>
      </w:divBdr>
    </w:div>
    <w:div w:id="1062943349">
      <w:bodyDiv w:val="1"/>
      <w:marLeft w:val="0"/>
      <w:marRight w:val="0"/>
      <w:marTop w:val="0"/>
      <w:marBottom w:val="0"/>
      <w:divBdr>
        <w:top w:val="none" w:sz="0" w:space="0" w:color="auto"/>
        <w:left w:val="none" w:sz="0" w:space="0" w:color="auto"/>
        <w:bottom w:val="none" w:sz="0" w:space="0" w:color="auto"/>
        <w:right w:val="none" w:sz="0" w:space="0" w:color="auto"/>
      </w:divBdr>
    </w:div>
    <w:div w:id="1063914586">
      <w:bodyDiv w:val="1"/>
      <w:marLeft w:val="0"/>
      <w:marRight w:val="0"/>
      <w:marTop w:val="0"/>
      <w:marBottom w:val="0"/>
      <w:divBdr>
        <w:top w:val="none" w:sz="0" w:space="0" w:color="auto"/>
        <w:left w:val="none" w:sz="0" w:space="0" w:color="auto"/>
        <w:bottom w:val="none" w:sz="0" w:space="0" w:color="auto"/>
        <w:right w:val="none" w:sz="0" w:space="0" w:color="auto"/>
      </w:divBdr>
    </w:div>
    <w:div w:id="1067534002">
      <w:bodyDiv w:val="1"/>
      <w:marLeft w:val="0"/>
      <w:marRight w:val="0"/>
      <w:marTop w:val="0"/>
      <w:marBottom w:val="0"/>
      <w:divBdr>
        <w:top w:val="none" w:sz="0" w:space="0" w:color="auto"/>
        <w:left w:val="none" w:sz="0" w:space="0" w:color="auto"/>
        <w:bottom w:val="none" w:sz="0" w:space="0" w:color="auto"/>
        <w:right w:val="none" w:sz="0" w:space="0" w:color="auto"/>
      </w:divBdr>
    </w:div>
    <w:div w:id="1076706172">
      <w:bodyDiv w:val="1"/>
      <w:marLeft w:val="0"/>
      <w:marRight w:val="0"/>
      <w:marTop w:val="0"/>
      <w:marBottom w:val="0"/>
      <w:divBdr>
        <w:top w:val="none" w:sz="0" w:space="0" w:color="auto"/>
        <w:left w:val="none" w:sz="0" w:space="0" w:color="auto"/>
        <w:bottom w:val="none" w:sz="0" w:space="0" w:color="auto"/>
        <w:right w:val="none" w:sz="0" w:space="0" w:color="auto"/>
      </w:divBdr>
    </w:div>
    <w:div w:id="1082751901">
      <w:bodyDiv w:val="1"/>
      <w:marLeft w:val="0"/>
      <w:marRight w:val="0"/>
      <w:marTop w:val="0"/>
      <w:marBottom w:val="0"/>
      <w:divBdr>
        <w:top w:val="none" w:sz="0" w:space="0" w:color="auto"/>
        <w:left w:val="none" w:sz="0" w:space="0" w:color="auto"/>
        <w:bottom w:val="none" w:sz="0" w:space="0" w:color="auto"/>
        <w:right w:val="none" w:sz="0" w:space="0" w:color="auto"/>
      </w:divBdr>
    </w:div>
    <w:div w:id="108830510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3088201">
      <w:bodyDiv w:val="1"/>
      <w:marLeft w:val="0"/>
      <w:marRight w:val="0"/>
      <w:marTop w:val="0"/>
      <w:marBottom w:val="0"/>
      <w:divBdr>
        <w:top w:val="none" w:sz="0" w:space="0" w:color="auto"/>
        <w:left w:val="none" w:sz="0" w:space="0" w:color="auto"/>
        <w:bottom w:val="none" w:sz="0" w:space="0" w:color="auto"/>
        <w:right w:val="none" w:sz="0" w:space="0" w:color="auto"/>
      </w:divBdr>
    </w:div>
    <w:div w:id="1097605020">
      <w:bodyDiv w:val="1"/>
      <w:marLeft w:val="0"/>
      <w:marRight w:val="0"/>
      <w:marTop w:val="0"/>
      <w:marBottom w:val="0"/>
      <w:divBdr>
        <w:top w:val="none" w:sz="0" w:space="0" w:color="auto"/>
        <w:left w:val="none" w:sz="0" w:space="0" w:color="auto"/>
        <w:bottom w:val="none" w:sz="0" w:space="0" w:color="auto"/>
        <w:right w:val="none" w:sz="0" w:space="0" w:color="auto"/>
      </w:divBdr>
    </w:div>
    <w:div w:id="1098208882">
      <w:bodyDiv w:val="1"/>
      <w:marLeft w:val="0"/>
      <w:marRight w:val="0"/>
      <w:marTop w:val="0"/>
      <w:marBottom w:val="0"/>
      <w:divBdr>
        <w:top w:val="none" w:sz="0" w:space="0" w:color="auto"/>
        <w:left w:val="none" w:sz="0" w:space="0" w:color="auto"/>
        <w:bottom w:val="none" w:sz="0" w:space="0" w:color="auto"/>
        <w:right w:val="none" w:sz="0" w:space="0" w:color="auto"/>
      </w:divBdr>
    </w:div>
    <w:div w:id="1099447538">
      <w:bodyDiv w:val="1"/>
      <w:marLeft w:val="0"/>
      <w:marRight w:val="0"/>
      <w:marTop w:val="0"/>
      <w:marBottom w:val="0"/>
      <w:divBdr>
        <w:top w:val="none" w:sz="0" w:space="0" w:color="auto"/>
        <w:left w:val="none" w:sz="0" w:space="0" w:color="auto"/>
        <w:bottom w:val="none" w:sz="0" w:space="0" w:color="auto"/>
        <w:right w:val="none" w:sz="0" w:space="0" w:color="auto"/>
      </w:divBdr>
    </w:div>
    <w:div w:id="1100220823">
      <w:bodyDiv w:val="1"/>
      <w:marLeft w:val="0"/>
      <w:marRight w:val="0"/>
      <w:marTop w:val="0"/>
      <w:marBottom w:val="0"/>
      <w:divBdr>
        <w:top w:val="none" w:sz="0" w:space="0" w:color="auto"/>
        <w:left w:val="none" w:sz="0" w:space="0" w:color="auto"/>
        <w:bottom w:val="none" w:sz="0" w:space="0" w:color="auto"/>
        <w:right w:val="none" w:sz="0" w:space="0" w:color="auto"/>
      </w:divBdr>
    </w:div>
    <w:div w:id="1100445616">
      <w:bodyDiv w:val="1"/>
      <w:marLeft w:val="0"/>
      <w:marRight w:val="0"/>
      <w:marTop w:val="0"/>
      <w:marBottom w:val="0"/>
      <w:divBdr>
        <w:top w:val="none" w:sz="0" w:space="0" w:color="auto"/>
        <w:left w:val="none" w:sz="0" w:space="0" w:color="auto"/>
        <w:bottom w:val="none" w:sz="0" w:space="0" w:color="auto"/>
        <w:right w:val="none" w:sz="0" w:space="0" w:color="auto"/>
      </w:divBdr>
    </w:div>
    <w:div w:id="1101950043">
      <w:bodyDiv w:val="1"/>
      <w:marLeft w:val="0"/>
      <w:marRight w:val="0"/>
      <w:marTop w:val="0"/>
      <w:marBottom w:val="0"/>
      <w:divBdr>
        <w:top w:val="none" w:sz="0" w:space="0" w:color="auto"/>
        <w:left w:val="none" w:sz="0" w:space="0" w:color="auto"/>
        <w:bottom w:val="none" w:sz="0" w:space="0" w:color="auto"/>
        <w:right w:val="none" w:sz="0" w:space="0" w:color="auto"/>
      </w:divBdr>
    </w:div>
    <w:div w:id="1102844971">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2087526">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3839399">
      <w:bodyDiv w:val="1"/>
      <w:marLeft w:val="0"/>
      <w:marRight w:val="0"/>
      <w:marTop w:val="0"/>
      <w:marBottom w:val="0"/>
      <w:divBdr>
        <w:top w:val="none" w:sz="0" w:space="0" w:color="auto"/>
        <w:left w:val="none" w:sz="0" w:space="0" w:color="auto"/>
        <w:bottom w:val="none" w:sz="0" w:space="0" w:color="auto"/>
        <w:right w:val="none" w:sz="0" w:space="0" w:color="auto"/>
      </w:divBdr>
    </w:div>
    <w:div w:id="1124546815">
      <w:bodyDiv w:val="1"/>
      <w:marLeft w:val="0"/>
      <w:marRight w:val="0"/>
      <w:marTop w:val="0"/>
      <w:marBottom w:val="0"/>
      <w:divBdr>
        <w:top w:val="none" w:sz="0" w:space="0" w:color="auto"/>
        <w:left w:val="none" w:sz="0" w:space="0" w:color="auto"/>
        <w:bottom w:val="none" w:sz="0" w:space="0" w:color="auto"/>
        <w:right w:val="none" w:sz="0" w:space="0" w:color="auto"/>
      </w:divBdr>
    </w:div>
    <w:div w:id="1128089284">
      <w:bodyDiv w:val="1"/>
      <w:marLeft w:val="0"/>
      <w:marRight w:val="0"/>
      <w:marTop w:val="0"/>
      <w:marBottom w:val="0"/>
      <w:divBdr>
        <w:top w:val="none" w:sz="0" w:space="0" w:color="auto"/>
        <w:left w:val="none" w:sz="0" w:space="0" w:color="auto"/>
        <w:bottom w:val="none" w:sz="0" w:space="0" w:color="auto"/>
        <w:right w:val="none" w:sz="0" w:space="0" w:color="auto"/>
      </w:divBdr>
    </w:div>
    <w:div w:id="1128552867">
      <w:bodyDiv w:val="1"/>
      <w:marLeft w:val="0"/>
      <w:marRight w:val="0"/>
      <w:marTop w:val="0"/>
      <w:marBottom w:val="0"/>
      <w:divBdr>
        <w:top w:val="none" w:sz="0" w:space="0" w:color="auto"/>
        <w:left w:val="none" w:sz="0" w:space="0" w:color="auto"/>
        <w:bottom w:val="none" w:sz="0" w:space="0" w:color="auto"/>
        <w:right w:val="none" w:sz="0" w:space="0" w:color="auto"/>
      </w:divBdr>
    </w:div>
    <w:div w:id="1131479356">
      <w:bodyDiv w:val="1"/>
      <w:marLeft w:val="0"/>
      <w:marRight w:val="0"/>
      <w:marTop w:val="0"/>
      <w:marBottom w:val="0"/>
      <w:divBdr>
        <w:top w:val="none" w:sz="0" w:space="0" w:color="auto"/>
        <w:left w:val="none" w:sz="0" w:space="0" w:color="auto"/>
        <w:bottom w:val="none" w:sz="0" w:space="0" w:color="auto"/>
        <w:right w:val="none" w:sz="0" w:space="0" w:color="auto"/>
      </w:divBdr>
    </w:div>
    <w:div w:id="1132868256">
      <w:bodyDiv w:val="1"/>
      <w:marLeft w:val="0"/>
      <w:marRight w:val="0"/>
      <w:marTop w:val="0"/>
      <w:marBottom w:val="0"/>
      <w:divBdr>
        <w:top w:val="none" w:sz="0" w:space="0" w:color="auto"/>
        <w:left w:val="none" w:sz="0" w:space="0" w:color="auto"/>
        <w:bottom w:val="none" w:sz="0" w:space="0" w:color="auto"/>
        <w:right w:val="none" w:sz="0" w:space="0" w:color="auto"/>
      </w:divBdr>
    </w:div>
    <w:div w:id="1140147955">
      <w:bodyDiv w:val="1"/>
      <w:marLeft w:val="0"/>
      <w:marRight w:val="0"/>
      <w:marTop w:val="0"/>
      <w:marBottom w:val="0"/>
      <w:divBdr>
        <w:top w:val="none" w:sz="0" w:space="0" w:color="auto"/>
        <w:left w:val="none" w:sz="0" w:space="0" w:color="auto"/>
        <w:bottom w:val="none" w:sz="0" w:space="0" w:color="auto"/>
        <w:right w:val="none" w:sz="0" w:space="0" w:color="auto"/>
      </w:divBdr>
    </w:div>
    <w:div w:id="1143690691">
      <w:bodyDiv w:val="1"/>
      <w:marLeft w:val="0"/>
      <w:marRight w:val="0"/>
      <w:marTop w:val="0"/>
      <w:marBottom w:val="0"/>
      <w:divBdr>
        <w:top w:val="none" w:sz="0" w:space="0" w:color="auto"/>
        <w:left w:val="none" w:sz="0" w:space="0" w:color="auto"/>
        <w:bottom w:val="none" w:sz="0" w:space="0" w:color="auto"/>
        <w:right w:val="none" w:sz="0" w:space="0" w:color="auto"/>
      </w:divBdr>
    </w:div>
    <w:div w:id="1150824037">
      <w:bodyDiv w:val="1"/>
      <w:marLeft w:val="0"/>
      <w:marRight w:val="0"/>
      <w:marTop w:val="0"/>
      <w:marBottom w:val="0"/>
      <w:divBdr>
        <w:top w:val="none" w:sz="0" w:space="0" w:color="auto"/>
        <w:left w:val="none" w:sz="0" w:space="0" w:color="auto"/>
        <w:bottom w:val="none" w:sz="0" w:space="0" w:color="auto"/>
        <w:right w:val="none" w:sz="0" w:space="0" w:color="auto"/>
      </w:divBdr>
    </w:div>
    <w:div w:id="1156074189">
      <w:bodyDiv w:val="1"/>
      <w:marLeft w:val="0"/>
      <w:marRight w:val="0"/>
      <w:marTop w:val="0"/>
      <w:marBottom w:val="0"/>
      <w:divBdr>
        <w:top w:val="none" w:sz="0" w:space="0" w:color="auto"/>
        <w:left w:val="none" w:sz="0" w:space="0" w:color="auto"/>
        <w:bottom w:val="none" w:sz="0" w:space="0" w:color="auto"/>
        <w:right w:val="none" w:sz="0" w:space="0" w:color="auto"/>
      </w:divBdr>
    </w:div>
    <w:div w:id="1160198355">
      <w:bodyDiv w:val="1"/>
      <w:marLeft w:val="0"/>
      <w:marRight w:val="0"/>
      <w:marTop w:val="0"/>
      <w:marBottom w:val="0"/>
      <w:divBdr>
        <w:top w:val="none" w:sz="0" w:space="0" w:color="auto"/>
        <w:left w:val="none" w:sz="0" w:space="0" w:color="auto"/>
        <w:bottom w:val="none" w:sz="0" w:space="0" w:color="auto"/>
        <w:right w:val="none" w:sz="0" w:space="0" w:color="auto"/>
      </w:divBdr>
    </w:div>
    <w:div w:id="1163548225">
      <w:bodyDiv w:val="1"/>
      <w:marLeft w:val="0"/>
      <w:marRight w:val="0"/>
      <w:marTop w:val="0"/>
      <w:marBottom w:val="0"/>
      <w:divBdr>
        <w:top w:val="none" w:sz="0" w:space="0" w:color="auto"/>
        <w:left w:val="none" w:sz="0" w:space="0" w:color="auto"/>
        <w:bottom w:val="none" w:sz="0" w:space="0" w:color="auto"/>
        <w:right w:val="none" w:sz="0" w:space="0" w:color="auto"/>
      </w:divBdr>
    </w:div>
    <w:div w:id="1166284498">
      <w:bodyDiv w:val="1"/>
      <w:marLeft w:val="0"/>
      <w:marRight w:val="0"/>
      <w:marTop w:val="0"/>
      <w:marBottom w:val="0"/>
      <w:divBdr>
        <w:top w:val="none" w:sz="0" w:space="0" w:color="auto"/>
        <w:left w:val="none" w:sz="0" w:space="0" w:color="auto"/>
        <w:bottom w:val="none" w:sz="0" w:space="0" w:color="auto"/>
        <w:right w:val="none" w:sz="0" w:space="0" w:color="auto"/>
      </w:divBdr>
    </w:div>
    <w:div w:id="1166554760">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3256705">
      <w:bodyDiv w:val="1"/>
      <w:marLeft w:val="0"/>
      <w:marRight w:val="0"/>
      <w:marTop w:val="0"/>
      <w:marBottom w:val="0"/>
      <w:divBdr>
        <w:top w:val="none" w:sz="0" w:space="0" w:color="auto"/>
        <w:left w:val="none" w:sz="0" w:space="0" w:color="auto"/>
        <w:bottom w:val="none" w:sz="0" w:space="0" w:color="auto"/>
        <w:right w:val="none" w:sz="0" w:space="0" w:color="auto"/>
      </w:divBdr>
    </w:div>
    <w:div w:id="1175878450">
      <w:bodyDiv w:val="1"/>
      <w:marLeft w:val="0"/>
      <w:marRight w:val="0"/>
      <w:marTop w:val="0"/>
      <w:marBottom w:val="0"/>
      <w:divBdr>
        <w:top w:val="none" w:sz="0" w:space="0" w:color="auto"/>
        <w:left w:val="none" w:sz="0" w:space="0" w:color="auto"/>
        <w:bottom w:val="none" w:sz="0" w:space="0" w:color="auto"/>
        <w:right w:val="none" w:sz="0" w:space="0" w:color="auto"/>
      </w:divBdr>
    </w:div>
    <w:div w:id="1193609752">
      <w:bodyDiv w:val="1"/>
      <w:marLeft w:val="0"/>
      <w:marRight w:val="0"/>
      <w:marTop w:val="0"/>
      <w:marBottom w:val="0"/>
      <w:divBdr>
        <w:top w:val="none" w:sz="0" w:space="0" w:color="auto"/>
        <w:left w:val="none" w:sz="0" w:space="0" w:color="auto"/>
        <w:bottom w:val="none" w:sz="0" w:space="0" w:color="auto"/>
        <w:right w:val="none" w:sz="0" w:space="0" w:color="auto"/>
      </w:divBdr>
    </w:div>
    <w:div w:id="1197543572">
      <w:bodyDiv w:val="1"/>
      <w:marLeft w:val="0"/>
      <w:marRight w:val="0"/>
      <w:marTop w:val="0"/>
      <w:marBottom w:val="0"/>
      <w:divBdr>
        <w:top w:val="none" w:sz="0" w:space="0" w:color="auto"/>
        <w:left w:val="none" w:sz="0" w:space="0" w:color="auto"/>
        <w:bottom w:val="none" w:sz="0" w:space="0" w:color="auto"/>
        <w:right w:val="none" w:sz="0" w:space="0" w:color="auto"/>
      </w:divBdr>
    </w:div>
    <w:div w:id="1199658698">
      <w:bodyDiv w:val="1"/>
      <w:marLeft w:val="0"/>
      <w:marRight w:val="0"/>
      <w:marTop w:val="0"/>
      <w:marBottom w:val="0"/>
      <w:divBdr>
        <w:top w:val="none" w:sz="0" w:space="0" w:color="auto"/>
        <w:left w:val="none" w:sz="0" w:space="0" w:color="auto"/>
        <w:bottom w:val="none" w:sz="0" w:space="0" w:color="auto"/>
        <w:right w:val="none" w:sz="0" w:space="0" w:color="auto"/>
      </w:divBdr>
    </w:div>
    <w:div w:id="1203665099">
      <w:bodyDiv w:val="1"/>
      <w:marLeft w:val="0"/>
      <w:marRight w:val="0"/>
      <w:marTop w:val="0"/>
      <w:marBottom w:val="0"/>
      <w:divBdr>
        <w:top w:val="none" w:sz="0" w:space="0" w:color="auto"/>
        <w:left w:val="none" w:sz="0" w:space="0" w:color="auto"/>
        <w:bottom w:val="none" w:sz="0" w:space="0" w:color="auto"/>
        <w:right w:val="none" w:sz="0" w:space="0" w:color="auto"/>
      </w:divBdr>
    </w:div>
    <w:div w:id="1210846168">
      <w:bodyDiv w:val="1"/>
      <w:marLeft w:val="0"/>
      <w:marRight w:val="0"/>
      <w:marTop w:val="0"/>
      <w:marBottom w:val="0"/>
      <w:divBdr>
        <w:top w:val="none" w:sz="0" w:space="0" w:color="auto"/>
        <w:left w:val="none" w:sz="0" w:space="0" w:color="auto"/>
        <w:bottom w:val="none" w:sz="0" w:space="0" w:color="auto"/>
        <w:right w:val="none" w:sz="0" w:space="0" w:color="auto"/>
      </w:divBdr>
    </w:div>
    <w:div w:id="1212419073">
      <w:bodyDiv w:val="1"/>
      <w:marLeft w:val="0"/>
      <w:marRight w:val="0"/>
      <w:marTop w:val="0"/>
      <w:marBottom w:val="0"/>
      <w:divBdr>
        <w:top w:val="none" w:sz="0" w:space="0" w:color="auto"/>
        <w:left w:val="none" w:sz="0" w:space="0" w:color="auto"/>
        <w:bottom w:val="none" w:sz="0" w:space="0" w:color="auto"/>
        <w:right w:val="none" w:sz="0" w:space="0" w:color="auto"/>
      </w:divBdr>
    </w:div>
    <w:div w:id="1216087881">
      <w:bodyDiv w:val="1"/>
      <w:marLeft w:val="0"/>
      <w:marRight w:val="0"/>
      <w:marTop w:val="0"/>
      <w:marBottom w:val="0"/>
      <w:divBdr>
        <w:top w:val="none" w:sz="0" w:space="0" w:color="auto"/>
        <w:left w:val="none" w:sz="0" w:space="0" w:color="auto"/>
        <w:bottom w:val="none" w:sz="0" w:space="0" w:color="auto"/>
        <w:right w:val="none" w:sz="0" w:space="0" w:color="auto"/>
      </w:divBdr>
    </w:div>
    <w:div w:id="1218471310">
      <w:bodyDiv w:val="1"/>
      <w:marLeft w:val="0"/>
      <w:marRight w:val="0"/>
      <w:marTop w:val="0"/>
      <w:marBottom w:val="0"/>
      <w:divBdr>
        <w:top w:val="none" w:sz="0" w:space="0" w:color="auto"/>
        <w:left w:val="none" w:sz="0" w:space="0" w:color="auto"/>
        <w:bottom w:val="none" w:sz="0" w:space="0" w:color="auto"/>
        <w:right w:val="none" w:sz="0" w:space="0" w:color="auto"/>
      </w:divBdr>
    </w:div>
    <w:div w:id="1219365592">
      <w:bodyDiv w:val="1"/>
      <w:marLeft w:val="0"/>
      <w:marRight w:val="0"/>
      <w:marTop w:val="0"/>
      <w:marBottom w:val="0"/>
      <w:divBdr>
        <w:top w:val="none" w:sz="0" w:space="0" w:color="auto"/>
        <w:left w:val="none" w:sz="0" w:space="0" w:color="auto"/>
        <w:bottom w:val="none" w:sz="0" w:space="0" w:color="auto"/>
        <w:right w:val="none" w:sz="0" w:space="0" w:color="auto"/>
      </w:divBdr>
    </w:div>
    <w:div w:id="1221406850">
      <w:bodyDiv w:val="1"/>
      <w:marLeft w:val="0"/>
      <w:marRight w:val="0"/>
      <w:marTop w:val="0"/>
      <w:marBottom w:val="0"/>
      <w:divBdr>
        <w:top w:val="none" w:sz="0" w:space="0" w:color="auto"/>
        <w:left w:val="none" w:sz="0" w:space="0" w:color="auto"/>
        <w:bottom w:val="none" w:sz="0" w:space="0" w:color="auto"/>
        <w:right w:val="none" w:sz="0" w:space="0" w:color="auto"/>
      </w:divBdr>
    </w:div>
    <w:div w:id="1225526744">
      <w:bodyDiv w:val="1"/>
      <w:marLeft w:val="0"/>
      <w:marRight w:val="0"/>
      <w:marTop w:val="0"/>
      <w:marBottom w:val="0"/>
      <w:divBdr>
        <w:top w:val="none" w:sz="0" w:space="0" w:color="auto"/>
        <w:left w:val="none" w:sz="0" w:space="0" w:color="auto"/>
        <w:bottom w:val="none" w:sz="0" w:space="0" w:color="auto"/>
        <w:right w:val="none" w:sz="0" w:space="0" w:color="auto"/>
      </w:divBdr>
    </w:div>
    <w:div w:id="1227105836">
      <w:bodyDiv w:val="1"/>
      <w:marLeft w:val="0"/>
      <w:marRight w:val="0"/>
      <w:marTop w:val="0"/>
      <w:marBottom w:val="0"/>
      <w:divBdr>
        <w:top w:val="none" w:sz="0" w:space="0" w:color="auto"/>
        <w:left w:val="none" w:sz="0" w:space="0" w:color="auto"/>
        <w:bottom w:val="none" w:sz="0" w:space="0" w:color="auto"/>
        <w:right w:val="none" w:sz="0" w:space="0" w:color="auto"/>
      </w:divBdr>
    </w:div>
    <w:div w:id="1233198664">
      <w:bodyDiv w:val="1"/>
      <w:marLeft w:val="0"/>
      <w:marRight w:val="0"/>
      <w:marTop w:val="0"/>
      <w:marBottom w:val="0"/>
      <w:divBdr>
        <w:top w:val="none" w:sz="0" w:space="0" w:color="auto"/>
        <w:left w:val="none" w:sz="0" w:space="0" w:color="auto"/>
        <w:bottom w:val="none" w:sz="0" w:space="0" w:color="auto"/>
        <w:right w:val="none" w:sz="0" w:space="0" w:color="auto"/>
      </w:divBdr>
    </w:div>
    <w:div w:id="1242176469">
      <w:bodyDiv w:val="1"/>
      <w:marLeft w:val="0"/>
      <w:marRight w:val="0"/>
      <w:marTop w:val="0"/>
      <w:marBottom w:val="0"/>
      <w:divBdr>
        <w:top w:val="none" w:sz="0" w:space="0" w:color="auto"/>
        <w:left w:val="none" w:sz="0" w:space="0" w:color="auto"/>
        <w:bottom w:val="none" w:sz="0" w:space="0" w:color="auto"/>
        <w:right w:val="none" w:sz="0" w:space="0" w:color="auto"/>
      </w:divBdr>
    </w:div>
    <w:div w:id="1243947023">
      <w:bodyDiv w:val="1"/>
      <w:marLeft w:val="0"/>
      <w:marRight w:val="0"/>
      <w:marTop w:val="0"/>
      <w:marBottom w:val="0"/>
      <w:divBdr>
        <w:top w:val="none" w:sz="0" w:space="0" w:color="auto"/>
        <w:left w:val="none" w:sz="0" w:space="0" w:color="auto"/>
        <w:bottom w:val="none" w:sz="0" w:space="0" w:color="auto"/>
        <w:right w:val="none" w:sz="0" w:space="0" w:color="auto"/>
      </w:divBdr>
    </w:div>
    <w:div w:id="1245646398">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1617542">
      <w:bodyDiv w:val="1"/>
      <w:marLeft w:val="0"/>
      <w:marRight w:val="0"/>
      <w:marTop w:val="0"/>
      <w:marBottom w:val="0"/>
      <w:divBdr>
        <w:top w:val="none" w:sz="0" w:space="0" w:color="auto"/>
        <w:left w:val="none" w:sz="0" w:space="0" w:color="auto"/>
        <w:bottom w:val="none" w:sz="0" w:space="0" w:color="auto"/>
        <w:right w:val="none" w:sz="0" w:space="0" w:color="auto"/>
      </w:divBdr>
    </w:div>
    <w:div w:id="1254050284">
      <w:bodyDiv w:val="1"/>
      <w:marLeft w:val="0"/>
      <w:marRight w:val="0"/>
      <w:marTop w:val="0"/>
      <w:marBottom w:val="0"/>
      <w:divBdr>
        <w:top w:val="none" w:sz="0" w:space="0" w:color="auto"/>
        <w:left w:val="none" w:sz="0" w:space="0" w:color="auto"/>
        <w:bottom w:val="none" w:sz="0" w:space="0" w:color="auto"/>
        <w:right w:val="none" w:sz="0" w:space="0" w:color="auto"/>
      </w:divBdr>
    </w:div>
    <w:div w:id="1254700838">
      <w:bodyDiv w:val="1"/>
      <w:marLeft w:val="0"/>
      <w:marRight w:val="0"/>
      <w:marTop w:val="0"/>
      <w:marBottom w:val="0"/>
      <w:divBdr>
        <w:top w:val="none" w:sz="0" w:space="0" w:color="auto"/>
        <w:left w:val="none" w:sz="0" w:space="0" w:color="auto"/>
        <w:bottom w:val="none" w:sz="0" w:space="0" w:color="auto"/>
        <w:right w:val="none" w:sz="0" w:space="0" w:color="auto"/>
      </w:divBdr>
    </w:div>
    <w:div w:id="1254974898">
      <w:bodyDiv w:val="1"/>
      <w:marLeft w:val="0"/>
      <w:marRight w:val="0"/>
      <w:marTop w:val="0"/>
      <w:marBottom w:val="0"/>
      <w:divBdr>
        <w:top w:val="none" w:sz="0" w:space="0" w:color="auto"/>
        <w:left w:val="none" w:sz="0" w:space="0" w:color="auto"/>
        <w:bottom w:val="none" w:sz="0" w:space="0" w:color="auto"/>
        <w:right w:val="none" w:sz="0" w:space="0" w:color="auto"/>
      </w:divBdr>
    </w:div>
    <w:div w:id="1257909172">
      <w:bodyDiv w:val="1"/>
      <w:marLeft w:val="0"/>
      <w:marRight w:val="0"/>
      <w:marTop w:val="0"/>
      <w:marBottom w:val="0"/>
      <w:divBdr>
        <w:top w:val="none" w:sz="0" w:space="0" w:color="auto"/>
        <w:left w:val="none" w:sz="0" w:space="0" w:color="auto"/>
        <w:bottom w:val="none" w:sz="0" w:space="0" w:color="auto"/>
        <w:right w:val="none" w:sz="0" w:space="0" w:color="auto"/>
      </w:divBdr>
    </w:div>
    <w:div w:id="1266692982">
      <w:bodyDiv w:val="1"/>
      <w:marLeft w:val="0"/>
      <w:marRight w:val="0"/>
      <w:marTop w:val="0"/>
      <w:marBottom w:val="0"/>
      <w:divBdr>
        <w:top w:val="none" w:sz="0" w:space="0" w:color="auto"/>
        <w:left w:val="none" w:sz="0" w:space="0" w:color="auto"/>
        <w:bottom w:val="none" w:sz="0" w:space="0" w:color="auto"/>
        <w:right w:val="none" w:sz="0" w:space="0" w:color="auto"/>
      </w:divBdr>
    </w:div>
    <w:div w:id="1270046499">
      <w:bodyDiv w:val="1"/>
      <w:marLeft w:val="0"/>
      <w:marRight w:val="0"/>
      <w:marTop w:val="0"/>
      <w:marBottom w:val="0"/>
      <w:divBdr>
        <w:top w:val="none" w:sz="0" w:space="0" w:color="auto"/>
        <w:left w:val="none" w:sz="0" w:space="0" w:color="auto"/>
        <w:bottom w:val="none" w:sz="0" w:space="0" w:color="auto"/>
        <w:right w:val="none" w:sz="0" w:space="0" w:color="auto"/>
      </w:divBdr>
    </w:div>
    <w:div w:id="1273706177">
      <w:bodyDiv w:val="1"/>
      <w:marLeft w:val="0"/>
      <w:marRight w:val="0"/>
      <w:marTop w:val="0"/>
      <w:marBottom w:val="0"/>
      <w:divBdr>
        <w:top w:val="none" w:sz="0" w:space="0" w:color="auto"/>
        <w:left w:val="none" w:sz="0" w:space="0" w:color="auto"/>
        <w:bottom w:val="none" w:sz="0" w:space="0" w:color="auto"/>
        <w:right w:val="none" w:sz="0" w:space="0" w:color="auto"/>
      </w:divBdr>
    </w:div>
    <w:div w:id="1279874375">
      <w:bodyDiv w:val="1"/>
      <w:marLeft w:val="0"/>
      <w:marRight w:val="0"/>
      <w:marTop w:val="0"/>
      <w:marBottom w:val="0"/>
      <w:divBdr>
        <w:top w:val="none" w:sz="0" w:space="0" w:color="auto"/>
        <w:left w:val="none" w:sz="0" w:space="0" w:color="auto"/>
        <w:bottom w:val="none" w:sz="0" w:space="0" w:color="auto"/>
        <w:right w:val="none" w:sz="0" w:space="0" w:color="auto"/>
      </w:divBdr>
    </w:div>
    <w:div w:id="1283223669">
      <w:bodyDiv w:val="1"/>
      <w:marLeft w:val="0"/>
      <w:marRight w:val="0"/>
      <w:marTop w:val="0"/>
      <w:marBottom w:val="0"/>
      <w:divBdr>
        <w:top w:val="none" w:sz="0" w:space="0" w:color="auto"/>
        <w:left w:val="none" w:sz="0" w:space="0" w:color="auto"/>
        <w:bottom w:val="none" w:sz="0" w:space="0" w:color="auto"/>
        <w:right w:val="none" w:sz="0" w:space="0" w:color="auto"/>
      </w:divBdr>
    </w:div>
    <w:div w:id="1284578583">
      <w:bodyDiv w:val="1"/>
      <w:marLeft w:val="0"/>
      <w:marRight w:val="0"/>
      <w:marTop w:val="0"/>
      <w:marBottom w:val="0"/>
      <w:divBdr>
        <w:top w:val="none" w:sz="0" w:space="0" w:color="auto"/>
        <w:left w:val="none" w:sz="0" w:space="0" w:color="auto"/>
        <w:bottom w:val="none" w:sz="0" w:space="0" w:color="auto"/>
        <w:right w:val="none" w:sz="0" w:space="0" w:color="auto"/>
      </w:divBdr>
    </w:div>
    <w:div w:id="1286884963">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7661910">
      <w:bodyDiv w:val="1"/>
      <w:marLeft w:val="0"/>
      <w:marRight w:val="0"/>
      <w:marTop w:val="0"/>
      <w:marBottom w:val="0"/>
      <w:divBdr>
        <w:top w:val="none" w:sz="0" w:space="0" w:color="auto"/>
        <w:left w:val="none" w:sz="0" w:space="0" w:color="auto"/>
        <w:bottom w:val="none" w:sz="0" w:space="0" w:color="auto"/>
        <w:right w:val="none" w:sz="0" w:space="0" w:color="auto"/>
      </w:divBdr>
    </w:div>
    <w:div w:id="1292440069">
      <w:bodyDiv w:val="1"/>
      <w:marLeft w:val="0"/>
      <w:marRight w:val="0"/>
      <w:marTop w:val="0"/>
      <w:marBottom w:val="0"/>
      <w:divBdr>
        <w:top w:val="none" w:sz="0" w:space="0" w:color="auto"/>
        <w:left w:val="none" w:sz="0" w:space="0" w:color="auto"/>
        <w:bottom w:val="none" w:sz="0" w:space="0" w:color="auto"/>
        <w:right w:val="none" w:sz="0" w:space="0" w:color="auto"/>
      </w:divBdr>
    </w:div>
    <w:div w:id="1293555789">
      <w:bodyDiv w:val="1"/>
      <w:marLeft w:val="0"/>
      <w:marRight w:val="0"/>
      <w:marTop w:val="0"/>
      <w:marBottom w:val="0"/>
      <w:divBdr>
        <w:top w:val="none" w:sz="0" w:space="0" w:color="auto"/>
        <w:left w:val="none" w:sz="0" w:space="0" w:color="auto"/>
        <w:bottom w:val="none" w:sz="0" w:space="0" w:color="auto"/>
        <w:right w:val="none" w:sz="0" w:space="0" w:color="auto"/>
      </w:divBdr>
    </w:div>
    <w:div w:id="1293944580">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3371422">
      <w:bodyDiv w:val="1"/>
      <w:marLeft w:val="0"/>
      <w:marRight w:val="0"/>
      <w:marTop w:val="0"/>
      <w:marBottom w:val="0"/>
      <w:divBdr>
        <w:top w:val="none" w:sz="0" w:space="0" w:color="auto"/>
        <w:left w:val="none" w:sz="0" w:space="0" w:color="auto"/>
        <w:bottom w:val="none" w:sz="0" w:space="0" w:color="auto"/>
        <w:right w:val="none" w:sz="0" w:space="0" w:color="auto"/>
      </w:divBdr>
    </w:div>
    <w:div w:id="1315648240">
      <w:bodyDiv w:val="1"/>
      <w:marLeft w:val="0"/>
      <w:marRight w:val="0"/>
      <w:marTop w:val="0"/>
      <w:marBottom w:val="0"/>
      <w:divBdr>
        <w:top w:val="none" w:sz="0" w:space="0" w:color="auto"/>
        <w:left w:val="none" w:sz="0" w:space="0" w:color="auto"/>
        <w:bottom w:val="none" w:sz="0" w:space="0" w:color="auto"/>
        <w:right w:val="none" w:sz="0" w:space="0" w:color="auto"/>
      </w:divBdr>
    </w:div>
    <w:div w:id="1316372151">
      <w:bodyDiv w:val="1"/>
      <w:marLeft w:val="0"/>
      <w:marRight w:val="0"/>
      <w:marTop w:val="0"/>
      <w:marBottom w:val="0"/>
      <w:divBdr>
        <w:top w:val="none" w:sz="0" w:space="0" w:color="auto"/>
        <w:left w:val="none" w:sz="0" w:space="0" w:color="auto"/>
        <w:bottom w:val="none" w:sz="0" w:space="0" w:color="auto"/>
        <w:right w:val="none" w:sz="0" w:space="0" w:color="auto"/>
      </w:divBdr>
    </w:div>
    <w:div w:id="1321933351">
      <w:bodyDiv w:val="1"/>
      <w:marLeft w:val="0"/>
      <w:marRight w:val="0"/>
      <w:marTop w:val="0"/>
      <w:marBottom w:val="0"/>
      <w:divBdr>
        <w:top w:val="none" w:sz="0" w:space="0" w:color="auto"/>
        <w:left w:val="none" w:sz="0" w:space="0" w:color="auto"/>
        <w:bottom w:val="none" w:sz="0" w:space="0" w:color="auto"/>
        <w:right w:val="none" w:sz="0" w:space="0" w:color="auto"/>
      </w:divBdr>
    </w:div>
    <w:div w:id="1323922545">
      <w:bodyDiv w:val="1"/>
      <w:marLeft w:val="0"/>
      <w:marRight w:val="0"/>
      <w:marTop w:val="0"/>
      <w:marBottom w:val="0"/>
      <w:divBdr>
        <w:top w:val="none" w:sz="0" w:space="0" w:color="auto"/>
        <w:left w:val="none" w:sz="0" w:space="0" w:color="auto"/>
        <w:bottom w:val="none" w:sz="0" w:space="0" w:color="auto"/>
        <w:right w:val="none" w:sz="0" w:space="0" w:color="auto"/>
      </w:divBdr>
    </w:div>
    <w:div w:id="1324697002">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27857106">
      <w:bodyDiv w:val="1"/>
      <w:marLeft w:val="0"/>
      <w:marRight w:val="0"/>
      <w:marTop w:val="0"/>
      <w:marBottom w:val="0"/>
      <w:divBdr>
        <w:top w:val="none" w:sz="0" w:space="0" w:color="auto"/>
        <w:left w:val="none" w:sz="0" w:space="0" w:color="auto"/>
        <w:bottom w:val="none" w:sz="0" w:space="0" w:color="auto"/>
        <w:right w:val="none" w:sz="0" w:space="0" w:color="auto"/>
      </w:divBdr>
    </w:div>
    <w:div w:id="1330332483">
      <w:bodyDiv w:val="1"/>
      <w:marLeft w:val="0"/>
      <w:marRight w:val="0"/>
      <w:marTop w:val="0"/>
      <w:marBottom w:val="0"/>
      <w:divBdr>
        <w:top w:val="none" w:sz="0" w:space="0" w:color="auto"/>
        <w:left w:val="none" w:sz="0" w:space="0" w:color="auto"/>
        <w:bottom w:val="none" w:sz="0" w:space="0" w:color="auto"/>
        <w:right w:val="none" w:sz="0" w:space="0" w:color="auto"/>
      </w:divBdr>
    </w:div>
    <w:div w:id="1331758701">
      <w:bodyDiv w:val="1"/>
      <w:marLeft w:val="0"/>
      <w:marRight w:val="0"/>
      <w:marTop w:val="0"/>
      <w:marBottom w:val="0"/>
      <w:divBdr>
        <w:top w:val="none" w:sz="0" w:space="0" w:color="auto"/>
        <w:left w:val="none" w:sz="0" w:space="0" w:color="auto"/>
        <w:bottom w:val="none" w:sz="0" w:space="0" w:color="auto"/>
        <w:right w:val="none" w:sz="0" w:space="0" w:color="auto"/>
      </w:divBdr>
    </w:div>
    <w:div w:id="1332486043">
      <w:bodyDiv w:val="1"/>
      <w:marLeft w:val="0"/>
      <w:marRight w:val="0"/>
      <w:marTop w:val="0"/>
      <w:marBottom w:val="0"/>
      <w:divBdr>
        <w:top w:val="none" w:sz="0" w:space="0" w:color="auto"/>
        <w:left w:val="none" w:sz="0" w:space="0" w:color="auto"/>
        <w:bottom w:val="none" w:sz="0" w:space="0" w:color="auto"/>
        <w:right w:val="none" w:sz="0" w:space="0" w:color="auto"/>
      </w:divBdr>
    </w:div>
    <w:div w:id="1340155557">
      <w:bodyDiv w:val="1"/>
      <w:marLeft w:val="0"/>
      <w:marRight w:val="0"/>
      <w:marTop w:val="0"/>
      <w:marBottom w:val="0"/>
      <w:divBdr>
        <w:top w:val="none" w:sz="0" w:space="0" w:color="auto"/>
        <w:left w:val="none" w:sz="0" w:space="0" w:color="auto"/>
        <w:bottom w:val="none" w:sz="0" w:space="0" w:color="auto"/>
        <w:right w:val="none" w:sz="0" w:space="0" w:color="auto"/>
      </w:divBdr>
    </w:div>
    <w:div w:id="1343704673">
      <w:bodyDiv w:val="1"/>
      <w:marLeft w:val="0"/>
      <w:marRight w:val="0"/>
      <w:marTop w:val="0"/>
      <w:marBottom w:val="0"/>
      <w:divBdr>
        <w:top w:val="none" w:sz="0" w:space="0" w:color="auto"/>
        <w:left w:val="none" w:sz="0" w:space="0" w:color="auto"/>
        <w:bottom w:val="none" w:sz="0" w:space="0" w:color="auto"/>
        <w:right w:val="none" w:sz="0" w:space="0" w:color="auto"/>
      </w:divBdr>
    </w:div>
    <w:div w:id="1346596163">
      <w:bodyDiv w:val="1"/>
      <w:marLeft w:val="0"/>
      <w:marRight w:val="0"/>
      <w:marTop w:val="0"/>
      <w:marBottom w:val="0"/>
      <w:divBdr>
        <w:top w:val="none" w:sz="0" w:space="0" w:color="auto"/>
        <w:left w:val="none" w:sz="0" w:space="0" w:color="auto"/>
        <w:bottom w:val="none" w:sz="0" w:space="0" w:color="auto"/>
        <w:right w:val="none" w:sz="0" w:space="0" w:color="auto"/>
      </w:divBdr>
    </w:div>
    <w:div w:id="1351371410">
      <w:bodyDiv w:val="1"/>
      <w:marLeft w:val="0"/>
      <w:marRight w:val="0"/>
      <w:marTop w:val="0"/>
      <w:marBottom w:val="0"/>
      <w:divBdr>
        <w:top w:val="none" w:sz="0" w:space="0" w:color="auto"/>
        <w:left w:val="none" w:sz="0" w:space="0" w:color="auto"/>
        <w:bottom w:val="none" w:sz="0" w:space="0" w:color="auto"/>
        <w:right w:val="none" w:sz="0" w:space="0" w:color="auto"/>
      </w:divBdr>
    </w:div>
    <w:div w:id="1354383867">
      <w:bodyDiv w:val="1"/>
      <w:marLeft w:val="0"/>
      <w:marRight w:val="0"/>
      <w:marTop w:val="0"/>
      <w:marBottom w:val="0"/>
      <w:divBdr>
        <w:top w:val="none" w:sz="0" w:space="0" w:color="auto"/>
        <w:left w:val="none" w:sz="0" w:space="0" w:color="auto"/>
        <w:bottom w:val="none" w:sz="0" w:space="0" w:color="auto"/>
        <w:right w:val="none" w:sz="0" w:space="0" w:color="auto"/>
      </w:divBdr>
    </w:div>
    <w:div w:id="1357468471">
      <w:bodyDiv w:val="1"/>
      <w:marLeft w:val="0"/>
      <w:marRight w:val="0"/>
      <w:marTop w:val="0"/>
      <w:marBottom w:val="0"/>
      <w:divBdr>
        <w:top w:val="none" w:sz="0" w:space="0" w:color="auto"/>
        <w:left w:val="none" w:sz="0" w:space="0" w:color="auto"/>
        <w:bottom w:val="none" w:sz="0" w:space="0" w:color="auto"/>
        <w:right w:val="none" w:sz="0" w:space="0" w:color="auto"/>
      </w:divBdr>
    </w:div>
    <w:div w:id="1358199256">
      <w:bodyDiv w:val="1"/>
      <w:marLeft w:val="0"/>
      <w:marRight w:val="0"/>
      <w:marTop w:val="0"/>
      <w:marBottom w:val="0"/>
      <w:divBdr>
        <w:top w:val="none" w:sz="0" w:space="0" w:color="auto"/>
        <w:left w:val="none" w:sz="0" w:space="0" w:color="auto"/>
        <w:bottom w:val="none" w:sz="0" w:space="0" w:color="auto"/>
        <w:right w:val="none" w:sz="0" w:space="0" w:color="auto"/>
      </w:divBdr>
    </w:div>
    <w:div w:id="1366559454">
      <w:bodyDiv w:val="1"/>
      <w:marLeft w:val="0"/>
      <w:marRight w:val="0"/>
      <w:marTop w:val="0"/>
      <w:marBottom w:val="0"/>
      <w:divBdr>
        <w:top w:val="none" w:sz="0" w:space="0" w:color="auto"/>
        <w:left w:val="none" w:sz="0" w:space="0" w:color="auto"/>
        <w:bottom w:val="none" w:sz="0" w:space="0" w:color="auto"/>
        <w:right w:val="none" w:sz="0" w:space="0" w:color="auto"/>
      </w:divBdr>
    </w:div>
    <w:div w:id="1366785322">
      <w:bodyDiv w:val="1"/>
      <w:marLeft w:val="0"/>
      <w:marRight w:val="0"/>
      <w:marTop w:val="0"/>
      <w:marBottom w:val="0"/>
      <w:divBdr>
        <w:top w:val="none" w:sz="0" w:space="0" w:color="auto"/>
        <w:left w:val="none" w:sz="0" w:space="0" w:color="auto"/>
        <w:bottom w:val="none" w:sz="0" w:space="0" w:color="auto"/>
        <w:right w:val="none" w:sz="0" w:space="0" w:color="auto"/>
      </w:divBdr>
    </w:div>
    <w:div w:id="1371150706">
      <w:bodyDiv w:val="1"/>
      <w:marLeft w:val="0"/>
      <w:marRight w:val="0"/>
      <w:marTop w:val="0"/>
      <w:marBottom w:val="0"/>
      <w:divBdr>
        <w:top w:val="none" w:sz="0" w:space="0" w:color="auto"/>
        <w:left w:val="none" w:sz="0" w:space="0" w:color="auto"/>
        <w:bottom w:val="none" w:sz="0" w:space="0" w:color="auto"/>
        <w:right w:val="none" w:sz="0" w:space="0" w:color="auto"/>
      </w:divBdr>
    </w:div>
    <w:div w:id="1376197639">
      <w:bodyDiv w:val="1"/>
      <w:marLeft w:val="0"/>
      <w:marRight w:val="0"/>
      <w:marTop w:val="0"/>
      <w:marBottom w:val="0"/>
      <w:divBdr>
        <w:top w:val="none" w:sz="0" w:space="0" w:color="auto"/>
        <w:left w:val="none" w:sz="0" w:space="0" w:color="auto"/>
        <w:bottom w:val="none" w:sz="0" w:space="0" w:color="auto"/>
        <w:right w:val="none" w:sz="0" w:space="0" w:color="auto"/>
      </w:divBdr>
    </w:div>
    <w:div w:id="1382364887">
      <w:bodyDiv w:val="1"/>
      <w:marLeft w:val="0"/>
      <w:marRight w:val="0"/>
      <w:marTop w:val="0"/>
      <w:marBottom w:val="0"/>
      <w:divBdr>
        <w:top w:val="none" w:sz="0" w:space="0" w:color="auto"/>
        <w:left w:val="none" w:sz="0" w:space="0" w:color="auto"/>
        <w:bottom w:val="none" w:sz="0" w:space="0" w:color="auto"/>
        <w:right w:val="none" w:sz="0" w:space="0" w:color="auto"/>
      </w:divBdr>
    </w:div>
    <w:div w:id="1384329350">
      <w:bodyDiv w:val="1"/>
      <w:marLeft w:val="0"/>
      <w:marRight w:val="0"/>
      <w:marTop w:val="0"/>
      <w:marBottom w:val="0"/>
      <w:divBdr>
        <w:top w:val="none" w:sz="0" w:space="0" w:color="auto"/>
        <w:left w:val="none" w:sz="0" w:space="0" w:color="auto"/>
        <w:bottom w:val="none" w:sz="0" w:space="0" w:color="auto"/>
        <w:right w:val="none" w:sz="0" w:space="0" w:color="auto"/>
      </w:divBdr>
    </w:div>
    <w:div w:id="1388843466">
      <w:bodyDiv w:val="1"/>
      <w:marLeft w:val="0"/>
      <w:marRight w:val="0"/>
      <w:marTop w:val="0"/>
      <w:marBottom w:val="0"/>
      <w:divBdr>
        <w:top w:val="none" w:sz="0" w:space="0" w:color="auto"/>
        <w:left w:val="none" w:sz="0" w:space="0" w:color="auto"/>
        <w:bottom w:val="none" w:sz="0" w:space="0" w:color="auto"/>
        <w:right w:val="none" w:sz="0" w:space="0" w:color="auto"/>
      </w:divBdr>
    </w:div>
    <w:div w:id="1389647395">
      <w:bodyDiv w:val="1"/>
      <w:marLeft w:val="0"/>
      <w:marRight w:val="0"/>
      <w:marTop w:val="0"/>
      <w:marBottom w:val="0"/>
      <w:divBdr>
        <w:top w:val="none" w:sz="0" w:space="0" w:color="auto"/>
        <w:left w:val="none" w:sz="0" w:space="0" w:color="auto"/>
        <w:bottom w:val="none" w:sz="0" w:space="0" w:color="auto"/>
        <w:right w:val="none" w:sz="0" w:space="0" w:color="auto"/>
      </w:divBdr>
    </w:div>
    <w:div w:id="1394161059">
      <w:bodyDiv w:val="1"/>
      <w:marLeft w:val="0"/>
      <w:marRight w:val="0"/>
      <w:marTop w:val="0"/>
      <w:marBottom w:val="0"/>
      <w:divBdr>
        <w:top w:val="none" w:sz="0" w:space="0" w:color="auto"/>
        <w:left w:val="none" w:sz="0" w:space="0" w:color="auto"/>
        <w:bottom w:val="none" w:sz="0" w:space="0" w:color="auto"/>
        <w:right w:val="none" w:sz="0" w:space="0" w:color="auto"/>
      </w:divBdr>
    </w:div>
    <w:div w:id="1394356818">
      <w:bodyDiv w:val="1"/>
      <w:marLeft w:val="0"/>
      <w:marRight w:val="0"/>
      <w:marTop w:val="0"/>
      <w:marBottom w:val="0"/>
      <w:divBdr>
        <w:top w:val="none" w:sz="0" w:space="0" w:color="auto"/>
        <w:left w:val="none" w:sz="0" w:space="0" w:color="auto"/>
        <w:bottom w:val="none" w:sz="0" w:space="0" w:color="auto"/>
        <w:right w:val="none" w:sz="0" w:space="0" w:color="auto"/>
      </w:divBdr>
    </w:div>
    <w:div w:id="1396777768">
      <w:bodyDiv w:val="1"/>
      <w:marLeft w:val="0"/>
      <w:marRight w:val="0"/>
      <w:marTop w:val="0"/>
      <w:marBottom w:val="0"/>
      <w:divBdr>
        <w:top w:val="none" w:sz="0" w:space="0" w:color="auto"/>
        <w:left w:val="none" w:sz="0" w:space="0" w:color="auto"/>
        <w:bottom w:val="none" w:sz="0" w:space="0" w:color="auto"/>
        <w:right w:val="none" w:sz="0" w:space="0" w:color="auto"/>
      </w:divBdr>
    </w:div>
    <w:div w:id="1404258510">
      <w:bodyDiv w:val="1"/>
      <w:marLeft w:val="0"/>
      <w:marRight w:val="0"/>
      <w:marTop w:val="0"/>
      <w:marBottom w:val="0"/>
      <w:divBdr>
        <w:top w:val="none" w:sz="0" w:space="0" w:color="auto"/>
        <w:left w:val="none" w:sz="0" w:space="0" w:color="auto"/>
        <w:bottom w:val="none" w:sz="0" w:space="0" w:color="auto"/>
        <w:right w:val="none" w:sz="0" w:space="0" w:color="auto"/>
      </w:divBdr>
    </w:div>
    <w:div w:id="1405488468">
      <w:bodyDiv w:val="1"/>
      <w:marLeft w:val="0"/>
      <w:marRight w:val="0"/>
      <w:marTop w:val="0"/>
      <w:marBottom w:val="0"/>
      <w:divBdr>
        <w:top w:val="none" w:sz="0" w:space="0" w:color="auto"/>
        <w:left w:val="none" w:sz="0" w:space="0" w:color="auto"/>
        <w:bottom w:val="none" w:sz="0" w:space="0" w:color="auto"/>
        <w:right w:val="none" w:sz="0" w:space="0" w:color="auto"/>
      </w:divBdr>
    </w:div>
    <w:div w:id="1408457649">
      <w:bodyDiv w:val="1"/>
      <w:marLeft w:val="0"/>
      <w:marRight w:val="0"/>
      <w:marTop w:val="0"/>
      <w:marBottom w:val="0"/>
      <w:divBdr>
        <w:top w:val="none" w:sz="0" w:space="0" w:color="auto"/>
        <w:left w:val="none" w:sz="0" w:space="0" w:color="auto"/>
        <w:bottom w:val="none" w:sz="0" w:space="0" w:color="auto"/>
        <w:right w:val="none" w:sz="0" w:space="0" w:color="auto"/>
      </w:divBdr>
    </w:div>
    <w:div w:id="1408649899">
      <w:bodyDiv w:val="1"/>
      <w:marLeft w:val="0"/>
      <w:marRight w:val="0"/>
      <w:marTop w:val="0"/>
      <w:marBottom w:val="0"/>
      <w:divBdr>
        <w:top w:val="none" w:sz="0" w:space="0" w:color="auto"/>
        <w:left w:val="none" w:sz="0" w:space="0" w:color="auto"/>
        <w:bottom w:val="none" w:sz="0" w:space="0" w:color="auto"/>
        <w:right w:val="none" w:sz="0" w:space="0" w:color="auto"/>
      </w:divBdr>
    </w:div>
    <w:div w:id="1408728331">
      <w:bodyDiv w:val="1"/>
      <w:marLeft w:val="0"/>
      <w:marRight w:val="0"/>
      <w:marTop w:val="0"/>
      <w:marBottom w:val="0"/>
      <w:divBdr>
        <w:top w:val="none" w:sz="0" w:space="0" w:color="auto"/>
        <w:left w:val="none" w:sz="0" w:space="0" w:color="auto"/>
        <w:bottom w:val="none" w:sz="0" w:space="0" w:color="auto"/>
        <w:right w:val="none" w:sz="0" w:space="0" w:color="auto"/>
      </w:divBdr>
    </w:div>
    <w:div w:id="1415085425">
      <w:bodyDiv w:val="1"/>
      <w:marLeft w:val="0"/>
      <w:marRight w:val="0"/>
      <w:marTop w:val="0"/>
      <w:marBottom w:val="0"/>
      <w:divBdr>
        <w:top w:val="none" w:sz="0" w:space="0" w:color="auto"/>
        <w:left w:val="none" w:sz="0" w:space="0" w:color="auto"/>
        <w:bottom w:val="none" w:sz="0" w:space="0" w:color="auto"/>
        <w:right w:val="none" w:sz="0" w:space="0" w:color="auto"/>
      </w:divBdr>
    </w:div>
    <w:div w:id="1417021667">
      <w:bodyDiv w:val="1"/>
      <w:marLeft w:val="0"/>
      <w:marRight w:val="0"/>
      <w:marTop w:val="0"/>
      <w:marBottom w:val="0"/>
      <w:divBdr>
        <w:top w:val="none" w:sz="0" w:space="0" w:color="auto"/>
        <w:left w:val="none" w:sz="0" w:space="0" w:color="auto"/>
        <w:bottom w:val="none" w:sz="0" w:space="0" w:color="auto"/>
        <w:right w:val="none" w:sz="0" w:space="0" w:color="auto"/>
      </w:divBdr>
    </w:div>
    <w:div w:id="1421297639">
      <w:bodyDiv w:val="1"/>
      <w:marLeft w:val="0"/>
      <w:marRight w:val="0"/>
      <w:marTop w:val="0"/>
      <w:marBottom w:val="0"/>
      <w:divBdr>
        <w:top w:val="none" w:sz="0" w:space="0" w:color="auto"/>
        <w:left w:val="none" w:sz="0" w:space="0" w:color="auto"/>
        <w:bottom w:val="none" w:sz="0" w:space="0" w:color="auto"/>
        <w:right w:val="none" w:sz="0" w:space="0" w:color="auto"/>
      </w:divBdr>
    </w:div>
    <w:div w:id="1431045149">
      <w:bodyDiv w:val="1"/>
      <w:marLeft w:val="0"/>
      <w:marRight w:val="0"/>
      <w:marTop w:val="0"/>
      <w:marBottom w:val="0"/>
      <w:divBdr>
        <w:top w:val="none" w:sz="0" w:space="0" w:color="auto"/>
        <w:left w:val="none" w:sz="0" w:space="0" w:color="auto"/>
        <w:bottom w:val="none" w:sz="0" w:space="0" w:color="auto"/>
        <w:right w:val="none" w:sz="0" w:space="0" w:color="auto"/>
      </w:divBdr>
    </w:div>
    <w:div w:id="1437015158">
      <w:bodyDiv w:val="1"/>
      <w:marLeft w:val="0"/>
      <w:marRight w:val="0"/>
      <w:marTop w:val="0"/>
      <w:marBottom w:val="0"/>
      <w:divBdr>
        <w:top w:val="none" w:sz="0" w:space="0" w:color="auto"/>
        <w:left w:val="none" w:sz="0" w:space="0" w:color="auto"/>
        <w:bottom w:val="none" w:sz="0" w:space="0" w:color="auto"/>
        <w:right w:val="none" w:sz="0" w:space="0" w:color="auto"/>
      </w:divBdr>
    </w:div>
    <w:div w:id="1438401637">
      <w:bodyDiv w:val="1"/>
      <w:marLeft w:val="0"/>
      <w:marRight w:val="0"/>
      <w:marTop w:val="0"/>
      <w:marBottom w:val="0"/>
      <w:divBdr>
        <w:top w:val="none" w:sz="0" w:space="0" w:color="auto"/>
        <w:left w:val="none" w:sz="0" w:space="0" w:color="auto"/>
        <w:bottom w:val="none" w:sz="0" w:space="0" w:color="auto"/>
        <w:right w:val="none" w:sz="0" w:space="0" w:color="auto"/>
      </w:divBdr>
    </w:div>
    <w:div w:id="1439570603">
      <w:bodyDiv w:val="1"/>
      <w:marLeft w:val="0"/>
      <w:marRight w:val="0"/>
      <w:marTop w:val="0"/>
      <w:marBottom w:val="0"/>
      <w:divBdr>
        <w:top w:val="none" w:sz="0" w:space="0" w:color="auto"/>
        <w:left w:val="none" w:sz="0" w:space="0" w:color="auto"/>
        <w:bottom w:val="none" w:sz="0" w:space="0" w:color="auto"/>
        <w:right w:val="none" w:sz="0" w:space="0" w:color="auto"/>
      </w:divBdr>
    </w:div>
    <w:div w:id="1442650023">
      <w:bodyDiv w:val="1"/>
      <w:marLeft w:val="0"/>
      <w:marRight w:val="0"/>
      <w:marTop w:val="0"/>
      <w:marBottom w:val="0"/>
      <w:divBdr>
        <w:top w:val="none" w:sz="0" w:space="0" w:color="auto"/>
        <w:left w:val="none" w:sz="0" w:space="0" w:color="auto"/>
        <w:bottom w:val="none" w:sz="0" w:space="0" w:color="auto"/>
        <w:right w:val="none" w:sz="0" w:space="0" w:color="auto"/>
      </w:divBdr>
    </w:div>
    <w:div w:id="1450272071">
      <w:bodyDiv w:val="1"/>
      <w:marLeft w:val="0"/>
      <w:marRight w:val="0"/>
      <w:marTop w:val="0"/>
      <w:marBottom w:val="0"/>
      <w:divBdr>
        <w:top w:val="none" w:sz="0" w:space="0" w:color="auto"/>
        <w:left w:val="none" w:sz="0" w:space="0" w:color="auto"/>
        <w:bottom w:val="none" w:sz="0" w:space="0" w:color="auto"/>
        <w:right w:val="none" w:sz="0" w:space="0" w:color="auto"/>
      </w:divBdr>
    </w:div>
    <w:div w:id="1459445909">
      <w:bodyDiv w:val="1"/>
      <w:marLeft w:val="0"/>
      <w:marRight w:val="0"/>
      <w:marTop w:val="0"/>
      <w:marBottom w:val="0"/>
      <w:divBdr>
        <w:top w:val="none" w:sz="0" w:space="0" w:color="auto"/>
        <w:left w:val="none" w:sz="0" w:space="0" w:color="auto"/>
        <w:bottom w:val="none" w:sz="0" w:space="0" w:color="auto"/>
        <w:right w:val="none" w:sz="0" w:space="0" w:color="auto"/>
      </w:divBdr>
    </w:div>
    <w:div w:id="1463309211">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6238544">
      <w:bodyDiv w:val="1"/>
      <w:marLeft w:val="0"/>
      <w:marRight w:val="0"/>
      <w:marTop w:val="0"/>
      <w:marBottom w:val="0"/>
      <w:divBdr>
        <w:top w:val="none" w:sz="0" w:space="0" w:color="auto"/>
        <w:left w:val="none" w:sz="0" w:space="0" w:color="auto"/>
        <w:bottom w:val="none" w:sz="0" w:space="0" w:color="auto"/>
        <w:right w:val="none" w:sz="0" w:space="0" w:color="auto"/>
      </w:divBdr>
    </w:div>
    <w:div w:id="1468279933">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69664135">
      <w:bodyDiv w:val="1"/>
      <w:marLeft w:val="0"/>
      <w:marRight w:val="0"/>
      <w:marTop w:val="0"/>
      <w:marBottom w:val="0"/>
      <w:divBdr>
        <w:top w:val="none" w:sz="0" w:space="0" w:color="auto"/>
        <w:left w:val="none" w:sz="0" w:space="0" w:color="auto"/>
        <w:bottom w:val="none" w:sz="0" w:space="0" w:color="auto"/>
        <w:right w:val="none" w:sz="0" w:space="0" w:color="auto"/>
      </w:divBdr>
    </w:div>
    <w:div w:id="1470241884">
      <w:bodyDiv w:val="1"/>
      <w:marLeft w:val="0"/>
      <w:marRight w:val="0"/>
      <w:marTop w:val="0"/>
      <w:marBottom w:val="0"/>
      <w:divBdr>
        <w:top w:val="none" w:sz="0" w:space="0" w:color="auto"/>
        <w:left w:val="none" w:sz="0" w:space="0" w:color="auto"/>
        <w:bottom w:val="none" w:sz="0" w:space="0" w:color="auto"/>
        <w:right w:val="none" w:sz="0" w:space="0" w:color="auto"/>
      </w:divBdr>
    </w:div>
    <w:div w:id="1475096586">
      <w:bodyDiv w:val="1"/>
      <w:marLeft w:val="0"/>
      <w:marRight w:val="0"/>
      <w:marTop w:val="0"/>
      <w:marBottom w:val="0"/>
      <w:divBdr>
        <w:top w:val="none" w:sz="0" w:space="0" w:color="auto"/>
        <w:left w:val="none" w:sz="0" w:space="0" w:color="auto"/>
        <w:bottom w:val="none" w:sz="0" w:space="0" w:color="auto"/>
        <w:right w:val="none" w:sz="0" w:space="0" w:color="auto"/>
      </w:divBdr>
    </w:div>
    <w:div w:id="1477575626">
      <w:bodyDiv w:val="1"/>
      <w:marLeft w:val="0"/>
      <w:marRight w:val="0"/>
      <w:marTop w:val="0"/>
      <w:marBottom w:val="0"/>
      <w:divBdr>
        <w:top w:val="none" w:sz="0" w:space="0" w:color="auto"/>
        <w:left w:val="none" w:sz="0" w:space="0" w:color="auto"/>
        <w:bottom w:val="none" w:sz="0" w:space="0" w:color="auto"/>
        <w:right w:val="none" w:sz="0" w:space="0" w:color="auto"/>
      </w:divBdr>
    </w:div>
    <w:div w:id="1479030480">
      <w:bodyDiv w:val="1"/>
      <w:marLeft w:val="0"/>
      <w:marRight w:val="0"/>
      <w:marTop w:val="0"/>
      <w:marBottom w:val="0"/>
      <w:divBdr>
        <w:top w:val="none" w:sz="0" w:space="0" w:color="auto"/>
        <w:left w:val="none" w:sz="0" w:space="0" w:color="auto"/>
        <w:bottom w:val="none" w:sz="0" w:space="0" w:color="auto"/>
        <w:right w:val="none" w:sz="0" w:space="0" w:color="auto"/>
      </w:divBdr>
    </w:div>
    <w:div w:id="1480996596">
      <w:bodyDiv w:val="1"/>
      <w:marLeft w:val="0"/>
      <w:marRight w:val="0"/>
      <w:marTop w:val="0"/>
      <w:marBottom w:val="0"/>
      <w:divBdr>
        <w:top w:val="none" w:sz="0" w:space="0" w:color="auto"/>
        <w:left w:val="none" w:sz="0" w:space="0" w:color="auto"/>
        <w:bottom w:val="none" w:sz="0" w:space="0" w:color="auto"/>
        <w:right w:val="none" w:sz="0" w:space="0" w:color="auto"/>
      </w:divBdr>
    </w:div>
    <w:div w:id="1483959896">
      <w:bodyDiv w:val="1"/>
      <w:marLeft w:val="0"/>
      <w:marRight w:val="0"/>
      <w:marTop w:val="0"/>
      <w:marBottom w:val="0"/>
      <w:divBdr>
        <w:top w:val="none" w:sz="0" w:space="0" w:color="auto"/>
        <w:left w:val="none" w:sz="0" w:space="0" w:color="auto"/>
        <w:bottom w:val="none" w:sz="0" w:space="0" w:color="auto"/>
        <w:right w:val="none" w:sz="0" w:space="0" w:color="auto"/>
      </w:divBdr>
    </w:div>
    <w:div w:id="1484421513">
      <w:bodyDiv w:val="1"/>
      <w:marLeft w:val="0"/>
      <w:marRight w:val="0"/>
      <w:marTop w:val="0"/>
      <w:marBottom w:val="0"/>
      <w:divBdr>
        <w:top w:val="none" w:sz="0" w:space="0" w:color="auto"/>
        <w:left w:val="none" w:sz="0" w:space="0" w:color="auto"/>
        <w:bottom w:val="none" w:sz="0" w:space="0" w:color="auto"/>
        <w:right w:val="none" w:sz="0" w:space="0" w:color="auto"/>
      </w:divBdr>
    </w:div>
    <w:div w:id="1485269458">
      <w:bodyDiv w:val="1"/>
      <w:marLeft w:val="0"/>
      <w:marRight w:val="0"/>
      <w:marTop w:val="0"/>
      <w:marBottom w:val="0"/>
      <w:divBdr>
        <w:top w:val="none" w:sz="0" w:space="0" w:color="auto"/>
        <w:left w:val="none" w:sz="0" w:space="0" w:color="auto"/>
        <w:bottom w:val="none" w:sz="0" w:space="0" w:color="auto"/>
        <w:right w:val="none" w:sz="0" w:space="0" w:color="auto"/>
      </w:divBdr>
    </w:div>
    <w:div w:id="1492015699">
      <w:bodyDiv w:val="1"/>
      <w:marLeft w:val="0"/>
      <w:marRight w:val="0"/>
      <w:marTop w:val="0"/>
      <w:marBottom w:val="0"/>
      <w:divBdr>
        <w:top w:val="none" w:sz="0" w:space="0" w:color="auto"/>
        <w:left w:val="none" w:sz="0" w:space="0" w:color="auto"/>
        <w:bottom w:val="none" w:sz="0" w:space="0" w:color="auto"/>
        <w:right w:val="none" w:sz="0" w:space="0" w:color="auto"/>
      </w:divBdr>
    </w:div>
    <w:div w:id="1492016342">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6281226">
      <w:bodyDiv w:val="1"/>
      <w:marLeft w:val="0"/>
      <w:marRight w:val="0"/>
      <w:marTop w:val="0"/>
      <w:marBottom w:val="0"/>
      <w:divBdr>
        <w:top w:val="none" w:sz="0" w:space="0" w:color="auto"/>
        <w:left w:val="none" w:sz="0" w:space="0" w:color="auto"/>
        <w:bottom w:val="none" w:sz="0" w:space="0" w:color="auto"/>
        <w:right w:val="none" w:sz="0" w:space="0" w:color="auto"/>
      </w:divBdr>
    </w:div>
    <w:div w:id="1506748141">
      <w:bodyDiv w:val="1"/>
      <w:marLeft w:val="0"/>
      <w:marRight w:val="0"/>
      <w:marTop w:val="0"/>
      <w:marBottom w:val="0"/>
      <w:divBdr>
        <w:top w:val="none" w:sz="0" w:space="0" w:color="auto"/>
        <w:left w:val="none" w:sz="0" w:space="0" w:color="auto"/>
        <w:bottom w:val="none" w:sz="0" w:space="0" w:color="auto"/>
        <w:right w:val="none" w:sz="0" w:space="0" w:color="auto"/>
      </w:divBdr>
    </w:div>
    <w:div w:id="1511682889">
      <w:bodyDiv w:val="1"/>
      <w:marLeft w:val="0"/>
      <w:marRight w:val="0"/>
      <w:marTop w:val="0"/>
      <w:marBottom w:val="0"/>
      <w:divBdr>
        <w:top w:val="none" w:sz="0" w:space="0" w:color="auto"/>
        <w:left w:val="none" w:sz="0" w:space="0" w:color="auto"/>
        <w:bottom w:val="none" w:sz="0" w:space="0" w:color="auto"/>
        <w:right w:val="none" w:sz="0" w:space="0" w:color="auto"/>
      </w:divBdr>
    </w:div>
    <w:div w:id="1519080970">
      <w:bodyDiv w:val="1"/>
      <w:marLeft w:val="0"/>
      <w:marRight w:val="0"/>
      <w:marTop w:val="0"/>
      <w:marBottom w:val="0"/>
      <w:divBdr>
        <w:top w:val="none" w:sz="0" w:space="0" w:color="auto"/>
        <w:left w:val="none" w:sz="0" w:space="0" w:color="auto"/>
        <w:bottom w:val="none" w:sz="0" w:space="0" w:color="auto"/>
        <w:right w:val="none" w:sz="0" w:space="0" w:color="auto"/>
      </w:divBdr>
    </w:div>
    <w:div w:id="1521353626">
      <w:bodyDiv w:val="1"/>
      <w:marLeft w:val="0"/>
      <w:marRight w:val="0"/>
      <w:marTop w:val="0"/>
      <w:marBottom w:val="0"/>
      <w:divBdr>
        <w:top w:val="none" w:sz="0" w:space="0" w:color="auto"/>
        <w:left w:val="none" w:sz="0" w:space="0" w:color="auto"/>
        <w:bottom w:val="none" w:sz="0" w:space="0" w:color="auto"/>
        <w:right w:val="none" w:sz="0" w:space="0" w:color="auto"/>
      </w:divBdr>
    </w:div>
    <w:div w:id="1523547311">
      <w:bodyDiv w:val="1"/>
      <w:marLeft w:val="0"/>
      <w:marRight w:val="0"/>
      <w:marTop w:val="0"/>
      <w:marBottom w:val="0"/>
      <w:divBdr>
        <w:top w:val="none" w:sz="0" w:space="0" w:color="auto"/>
        <w:left w:val="none" w:sz="0" w:space="0" w:color="auto"/>
        <w:bottom w:val="none" w:sz="0" w:space="0" w:color="auto"/>
        <w:right w:val="none" w:sz="0" w:space="0" w:color="auto"/>
      </w:divBdr>
    </w:div>
    <w:div w:id="1527669436">
      <w:bodyDiv w:val="1"/>
      <w:marLeft w:val="0"/>
      <w:marRight w:val="0"/>
      <w:marTop w:val="0"/>
      <w:marBottom w:val="0"/>
      <w:divBdr>
        <w:top w:val="none" w:sz="0" w:space="0" w:color="auto"/>
        <w:left w:val="none" w:sz="0" w:space="0" w:color="auto"/>
        <w:bottom w:val="none" w:sz="0" w:space="0" w:color="auto"/>
        <w:right w:val="none" w:sz="0" w:space="0" w:color="auto"/>
      </w:divBdr>
    </w:div>
    <w:div w:id="1537310489">
      <w:bodyDiv w:val="1"/>
      <w:marLeft w:val="0"/>
      <w:marRight w:val="0"/>
      <w:marTop w:val="0"/>
      <w:marBottom w:val="0"/>
      <w:divBdr>
        <w:top w:val="none" w:sz="0" w:space="0" w:color="auto"/>
        <w:left w:val="none" w:sz="0" w:space="0" w:color="auto"/>
        <w:bottom w:val="none" w:sz="0" w:space="0" w:color="auto"/>
        <w:right w:val="none" w:sz="0" w:space="0" w:color="auto"/>
      </w:divBdr>
    </w:div>
    <w:div w:id="1543246917">
      <w:bodyDiv w:val="1"/>
      <w:marLeft w:val="0"/>
      <w:marRight w:val="0"/>
      <w:marTop w:val="0"/>
      <w:marBottom w:val="0"/>
      <w:divBdr>
        <w:top w:val="none" w:sz="0" w:space="0" w:color="auto"/>
        <w:left w:val="none" w:sz="0" w:space="0" w:color="auto"/>
        <w:bottom w:val="none" w:sz="0" w:space="0" w:color="auto"/>
        <w:right w:val="none" w:sz="0" w:space="0" w:color="auto"/>
      </w:divBdr>
    </w:div>
    <w:div w:id="1547446266">
      <w:bodyDiv w:val="1"/>
      <w:marLeft w:val="0"/>
      <w:marRight w:val="0"/>
      <w:marTop w:val="0"/>
      <w:marBottom w:val="0"/>
      <w:divBdr>
        <w:top w:val="none" w:sz="0" w:space="0" w:color="auto"/>
        <w:left w:val="none" w:sz="0" w:space="0" w:color="auto"/>
        <w:bottom w:val="none" w:sz="0" w:space="0" w:color="auto"/>
        <w:right w:val="none" w:sz="0" w:space="0" w:color="auto"/>
      </w:divBdr>
    </w:div>
    <w:div w:id="1547643848">
      <w:bodyDiv w:val="1"/>
      <w:marLeft w:val="0"/>
      <w:marRight w:val="0"/>
      <w:marTop w:val="0"/>
      <w:marBottom w:val="0"/>
      <w:divBdr>
        <w:top w:val="none" w:sz="0" w:space="0" w:color="auto"/>
        <w:left w:val="none" w:sz="0" w:space="0" w:color="auto"/>
        <w:bottom w:val="none" w:sz="0" w:space="0" w:color="auto"/>
        <w:right w:val="none" w:sz="0" w:space="0" w:color="auto"/>
      </w:divBdr>
    </w:div>
    <w:div w:id="1554266594">
      <w:bodyDiv w:val="1"/>
      <w:marLeft w:val="0"/>
      <w:marRight w:val="0"/>
      <w:marTop w:val="0"/>
      <w:marBottom w:val="0"/>
      <w:divBdr>
        <w:top w:val="none" w:sz="0" w:space="0" w:color="auto"/>
        <w:left w:val="none" w:sz="0" w:space="0" w:color="auto"/>
        <w:bottom w:val="none" w:sz="0" w:space="0" w:color="auto"/>
        <w:right w:val="none" w:sz="0" w:space="0" w:color="auto"/>
      </w:divBdr>
    </w:div>
    <w:div w:id="1562400122">
      <w:bodyDiv w:val="1"/>
      <w:marLeft w:val="0"/>
      <w:marRight w:val="0"/>
      <w:marTop w:val="0"/>
      <w:marBottom w:val="0"/>
      <w:divBdr>
        <w:top w:val="none" w:sz="0" w:space="0" w:color="auto"/>
        <w:left w:val="none" w:sz="0" w:space="0" w:color="auto"/>
        <w:bottom w:val="none" w:sz="0" w:space="0" w:color="auto"/>
        <w:right w:val="none" w:sz="0" w:space="0" w:color="auto"/>
      </w:divBdr>
    </w:div>
    <w:div w:id="1564412271">
      <w:bodyDiv w:val="1"/>
      <w:marLeft w:val="0"/>
      <w:marRight w:val="0"/>
      <w:marTop w:val="0"/>
      <w:marBottom w:val="0"/>
      <w:divBdr>
        <w:top w:val="none" w:sz="0" w:space="0" w:color="auto"/>
        <w:left w:val="none" w:sz="0" w:space="0" w:color="auto"/>
        <w:bottom w:val="none" w:sz="0" w:space="0" w:color="auto"/>
        <w:right w:val="none" w:sz="0" w:space="0" w:color="auto"/>
      </w:divBdr>
    </w:div>
    <w:div w:id="1564754279">
      <w:bodyDiv w:val="1"/>
      <w:marLeft w:val="0"/>
      <w:marRight w:val="0"/>
      <w:marTop w:val="0"/>
      <w:marBottom w:val="0"/>
      <w:divBdr>
        <w:top w:val="none" w:sz="0" w:space="0" w:color="auto"/>
        <w:left w:val="none" w:sz="0" w:space="0" w:color="auto"/>
        <w:bottom w:val="none" w:sz="0" w:space="0" w:color="auto"/>
        <w:right w:val="none" w:sz="0" w:space="0" w:color="auto"/>
      </w:divBdr>
    </w:div>
    <w:div w:id="1569726922">
      <w:bodyDiv w:val="1"/>
      <w:marLeft w:val="0"/>
      <w:marRight w:val="0"/>
      <w:marTop w:val="0"/>
      <w:marBottom w:val="0"/>
      <w:divBdr>
        <w:top w:val="none" w:sz="0" w:space="0" w:color="auto"/>
        <w:left w:val="none" w:sz="0" w:space="0" w:color="auto"/>
        <w:bottom w:val="none" w:sz="0" w:space="0" w:color="auto"/>
        <w:right w:val="none" w:sz="0" w:space="0" w:color="auto"/>
      </w:divBdr>
    </w:div>
    <w:div w:id="1569919331">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2719506">
      <w:bodyDiv w:val="1"/>
      <w:marLeft w:val="0"/>
      <w:marRight w:val="0"/>
      <w:marTop w:val="0"/>
      <w:marBottom w:val="0"/>
      <w:divBdr>
        <w:top w:val="none" w:sz="0" w:space="0" w:color="auto"/>
        <w:left w:val="none" w:sz="0" w:space="0" w:color="auto"/>
        <w:bottom w:val="none" w:sz="0" w:space="0" w:color="auto"/>
        <w:right w:val="none" w:sz="0" w:space="0" w:color="auto"/>
      </w:divBdr>
    </w:div>
    <w:div w:id="1583250081">
      <w:bodyDiv w:val="1"/>
      <w:marLeft w:val="0"/>
      <w:marRight w:val="0"/>
      <w:marTop w:val="0"/>
      <w:marBottom w:val="0"/>
      <w:divBdr>
        <w:top w:val="none" w:sz="0" w:space="0" w:color="auto"/>
        <w:left w:val="none" w:sz="0" w:space="0" w:color="auto"/>
        <w:bottom w:val="none" w:sz="0" w:space="0" w:color="auto"/>
        <w:right w:val="none" w:sz="0" w:space="0" w:color="auto"/>
      </w:divBdr>
    </w:div>
    <w:div w:id="1584099671">
      <w:bodyDiv w:val="1"/>
      <w:marLeft w:val="0"/>
      <w:marRight w:val="0"/>
      <w:marTop w:val="0"/>
      <w:marBottom w:val="0"/>
      <w:divBdr>
        <w:top w:val="none" w:sz="0" w:space="0" w:color="auto"/>
        <w:left w:val="none" w:sz="0" w:space="0" w:color="auto"/>
        <w:bottom w:val="none" w:sz="0" w:space="0" w:color="auto"/>
        <w:right w:val="none" w:sz="0" w:space="0" w:color="auto"/>
      </w:divBdr>
    </w:div>
    <w:div w:id="1588344492">
      <w:bodyDiv w:val="1"/>
      <w:marLeft w:val="0"/>
      <w:marRight w:val="0"/>
      <w:marTop w:val="0"/>
      <w:marBottom w:val="0"/>
      <w:divBdr>
        <w:top w:val="none" w:sz="0" w:space="0" w:color="auto"/>
        <w:left w:val="none" w:sz="0" w:space="0" w:color="auto"/>
        <w:bottom w:val="none" w:sz="0" w:space="0" w:color="auto"/>
        <w:right w:val="none" w:sz="0" w:space="0" w:color="auto"/>
      </w:divBdr>
    </w:div>
    <w:div w:id="1590196693">
      <w:bodyDiv w:val="1"/>
      <w:marLeft w:val="0"/>
      <w:marRight w:val="0"/>
      <w:marTop w:val="0"/>
      <w:marBottom w:val="0"/>
      <w:divBdr>
        <w:top w:val="none" w:sz="0" w:space="0" w:color="auto"/>
        <w:left w:val="none" w:sz="0" w:space="0" w:color="auto"/>
        <w:bottom w:val="none" w:sz="0" w:space="0" w:color="auto"/>
        <w:right w:val="none" w:sz="0" w:space="0" w:color="auto"/>
      </w:divBdr>
    </w:div>
    <w:div w:id="1593976460">
      <w:bodyDiv w:val="1"/>
      <w:marLeft w:val="0"/>
      <w:marRight w:val="0"/>
      <w:marTop w:val="0"/>
      <w:marBottom w:val="0"/>
      <w:divBdr>
        <w:top w:val="none" w:sz="0" w:space="0" w:color="auto"/>
        <w:left w:val="none" w:sz="0" w:space="0" w:color="auto"/>
        <w:bottom w:val="none" w:sz="0" w:space="0" w:color="auto"/>
        <w:right w:val="none" w:sz="0" w:space="0" w:color="auto"/>
      </w:divBdr>
    </w:div>
    <w:div w:id="1596984677">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448667">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20381651">
      <w:bodyDiv w:val="1"/>
      <w:marLeft w:val="0"/>
      <w:marRight w:val="0"/>
      <w:marTop w:val="0"/>
      <w:marBottom w:val="0"/>
      <w:divBdr>
        <w:top w:val="none" w:sz="0" w:space="0" w:color="auto"/>
        <w:left w:val="none" w:sz="0" w:space="0" w:color="auto"/>
        <w:bottom w:val="none" w:sz="0" w:space="0" w:color="auto"/>
        <w:right w:val="none" w:sz="0" w:space="0" w:color="auto"/>
      </w:divBdr>
    </w:div>
    <w:div w:id="1638023452">
      <w:bodyDiv w:val="1"/>
      <w:marLeft w:val="0"/>
      <w:marRight w:val="0"/>
      <w:marTop w:val="0"/>
      <w:marBottom w:val="0"/>
      <w:divBdr>
        <w:top w:val="none" w:sz="0" w:space="0" w:color="auto"/>
        <w:left w:val="none" w:sz="0" w:space="0" w:color="auto"/>
        <w:bottom w:val="none" w:sz="0" w:space="0" w:color="auto"/>
        <w:right w:val="none" w:sz="0" w:space="0" w:color="auto"/>
      </w:divBdr>
    </w:div>
    <w:div w:id="1641153198">
      <w:bodyDiv w:val="1"/>
      <w:marLeft w:val="0"/>
      <w:marRight w:val="0"/>
      <w:marTop w:val="0"/>
      <w:marBottom w:val="0"/>
      <w:divBdr>
        <w:top w:val="none" w:sz="0" w:space="0" w:color="auto"/>
        <w:left w:val="none" w:sz="0" w:space="0" w:color="auto"/>
        <w:bottom w:val="none" w:sz="0" w:space="0" w:color="auto"/>
        <w:right w:val="none" w:sz="0" w:space="0" w:color="auto"/>
      </w:divBdr>
    </w:div>
    <w:div w:id="1649824230">
      <w:bodyDiv w:val="1"/>
      <w:marLeft w:val="0"/>
      <w:marRight w:val="0"/>
      <w:marTop w:val="0"/>
      <w:marBottom w:val="0"/>
      <w:divBdr>
        <w:top w:val="none" w:sz="0" w:space="0" w:color="auto"/>
        <w:left w:val="none" w:sz="0" w:space="0" w:color="auto"/>
        <w:bottom w:val="none" w:sz="0" w:space="0" w:color="auto"/>
        <w:right w:val="none" w:sz="0" w:space="0" w:color="auto"/>
      </w:divBdr>
    </w:div>
    <w:div w:id="1650787206">
      <w:bodyDiv w:val="1"/>
      <w:marLeft w:val="0"/>
      <w:marRight w:val="0"/>
      <w:marTop w:val="0"/>
      <w:marBottom w:val="0"/>
      <w:divBdr>
        <w:top w:val="none" w:sz="0" w:space="0" w:color="auto"/>
        <w:left w:val="none" w:sz="0" w:space="0" w:color="auto"/>
        <w:bottom w:val="none" w:sz="0" w:space="0" w:color="auto"/>
        <w:right w:val="none" w:sz="0" w:space="0" w:color="auto"/>
      </w:divBdr>
    </w:div>
    <w:div w:id="1652321615">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56490318">
      <w:bodyDiv w:val="1"/>
      <w:marLeft w:val="0"/>
      <w:marRight w:val="0"/>
      <w:marTop w:val="0"/>
      <w:marBottom w:val="0"/>
      <w:divBdr>
        <w:top w:val="none" w:sz="0" w:space="0" w:color="auto"/>
        <w:left w:val="none" w:sz="0" w:space="0" w:color="auto"/>
        <w:bottom w:val="none" w:sz="0" w:space="0" w:color="auto"/>
        <w:right w:val="none" w:sz="0" w:space="0" w:color="auto"/>
      </w:divBdr>
    </w:div>
    <w:div w:id="1661734785">
      <w:bodyDiv w:val="1"/>
      <w:marLeft w:val="0"/>
      <w:marRight w:val="0"/>
      <w:marTop w:val="0"/>
      <w:marBottom w:val="0"/>
      <w:divBdr>
        <w:top w:val="none" w:sz="0" w:space="0" w:color="auto"/>
        <w:left w:val="none" w:sz="0" w:space="0" w:color="auto"/>
        <w:bottom w:val="none" w:sz="0" w:space="0" w:color="auto"/>
        <w:right w:val="none" w:sz="0" w:space="0" w:color="auto"/>
      </w:divBdr>
    </w:div>
    <w:div w:id="1664818116">
      <w:bodyDiv w:val="1"/>
      <w:marLeft w:val="0"/>
      <w:marRight w:val="0"/>
      <w:marTop w:val="0"/>
      <w:marBottom w:val="0"/>
      <w:divBdr>
        <w:top w:val="none" w:sz="0" w:space="0" w:color="auto"/>
        <w:left w:val="none" w:sz="0" w:space="0" w:color="auto"/>
        <w:bottom w:val="none" w:sz="0" w:space="0" w:color="auto"/>
        <w:right w:val="none" w:sz="0" w:space="0" w:color="auto"/>
      </w:divBdr>
    </w:div>
    <w:div w:id="1668709664">
      <w:bodyDiv w:val="1"/>
      <w:marLeft w:val="0"/>
      <w:marRight w:val="0"/>
      <w:marTop w:val="0"/>
      <w:marBottom w:val="0"/>
      <w:divBdr>
        <w:top w:val="none" w:sz="0" w:space="0" w:color="auto"/>
        <w:left w:val="none" w:sz="0" w:space="0" w:color="auto"/>
        <w:bottom w:val="none" w:sz="0" w:space="0" w:color="auto"/>
        <w:right w:val="none" w:sz="0" w:space="0" w:color="auto"/>
      </w:divBdr>
    </w:div>
    <w:div w:id="1678725822">
      <w:bodyDiv w:val="1"/>
      <w:marLeft w:val="0"/>
      <w:marRight w:val="0"/>
      <w:marTop w:val="0"/>
      <w:marBottom w:val="0"/>
      <w:divBdr>
        <w:top w:val="none" w:sz="0" w:space="0" w:color="auto"/>
        <w:left w:val="none" w:sz="0" w:space="0" w:color="auto"/>
        <w:bottom w:val="none" w:sz="0" w:space="0" w:color="auto"/>
        <w:right w:val="none" w:sz="0" w:space="0" w:color="auto"/>
      </w:divBdr>
    </w:div>
    <w:div w:id="1680277705">
      <w:bodyDiv w:val="1"/>
      <w:marLeft w:val="0"/>
      <w:marRight w:val="0"/>
      <w:marTop w:val="0"/>
      <w:marBottom w:val="0"/>
      <w:divBdr>
        <w:top w:val="none" w:sz="0" w:space="0" w:color="auto"/>
        <w:left w:val="none" w:sz="0" w:space="0" w:color="auto"/>
        <w:bottom w:val="none" w:sz="0" w:space="0" w:color="auto"/>
        <w:right w:val="none" w:sz="0" w:space="0" w:color="auto"/>
      </w:divBdr>
    </w:div>
    <w:div w:id="1683432367">
      <w:bodyDiv w:val="1"/>
      <w:marLeft w:val="0"/>
      <w:marRight w:val="0"/>
      <w:marTop w:val="0"/>
      <w:marBottom w:val="0"/>
      <w:divBdr>
        <w:top w:val="none" w:sz="0" w:space="0" w:color="auto"/>
        <w:left w:val="none" w:sz="0" w:space="0" w:color="auto"/>
        <w:bottom w:val="none" w:sz="0" w:space="0" w:color="auto"/>
        <w:right w:val="none" w:sz="0" w:space="0" w:color="auto"/>
      </w:divBdr>
    </w:div>
    <w:div w:id="1684897743">
      <w:bodyDiv w:val="1"/>
      <w:marLeft w:val="0"/>
      <w:marRight w:val="0"/>
      <w:marTop w:val="0"/>
      <w:marBottom w:val="0"/>
      <w:divBdr>
        <w:top w:val="none" w:sz="0" w:space="0" w:color="auto"/>
        <w:left w:val="none" w:sz="0" w:space="0" w:color="auto"/>
        <w:bottom w:val="none" w:sz="0" w:space="0" w:color="auto"/>
        <w:right w:val="none" w:sz="0" w:space="0" w:color="auto"/>
      </w:divBdr>
    </w:div>
    <w:div w:id="1685747804">
      <w:bodyDiv w:val="1"/>
      <w:marLeft w:val="0"/>
      <w:marRight w:val="0"/>
      <w:marTop w:val="0"/>
      <w:marBottom w:val="0"/>
      <w:divBdr>
        <w:top w:val="none" w:sz="0" w:space="0" w:color="auto"/>
        <w:left w:val="none" w:sz="0" w:space="0" w:color="auto"/>
        <w:bottom w:val="none" w:sz="0" w:space="0" w:color="auto"/>
        <w:right w:val="none" w:sz="0" w:space="0" w:color="auto"/>
      </w:divBdr>
    </w:div>
    <w:div w:id="1687562226">
      <w:bodyDiv w:val="1"/>
      <w:marLeft w:val="0"/>
      <w:marRight w:val="0"/>
      <w:marTop w:val="0"/>
      <w:marBottom w:val="0"/>
      <w:divBdr>
        <w:top w:val="none" w:sz="0" w:space="0" w:color="auto"/>
        <w:left w:val="none" w:sz="0" w:space="0" w:color="auto"/>
        <w:bottom w:val="none" w:sz="0" w:space="0" w:color="auto"/>
        <w:right w:val="none" w:sz="0" w:space="0" w:color="auto"/>
      </w:divBdr>
    </w:div>
    <w:div w:id="1687976691">
      <w:bodyDiv w:val="1"/>
      <w:marLeft w:val="0"/>
      <w:marRight w:val="0"/>
      <w:marTop w:val="0"/>
      <w:marBottom w:val="0"/>
      <w:divBdr>
        <w:top w:val="none" w:sz="0" w:space="0" w:color="auto"/>
        <w:left w:val="none" w:sz="0" w:space="0" w:color="auto"/>
        <w:bottom w:val="none" w:sz="0" w:space="0" w:color="auto"/>
        <w:right w:val="none" w:sz="0" w:space="0" w:color="auto"/>
      </w:divBdr>
    </w:div>
    <w:div w:id="1688368197">
      <w:bodyDiv w:val="1"/>
      <w:marLeft w:val="0"/>
      <w:marRight w:val="0"/>
      <w:marTop w:val="0"/>
      <w:marBottom w:val="0"/>
      <w:divBdr>
        <w:top w:val="none" w:sz="0" w:space="0" w:color="auto"/>
        <w:left w:val="none" w:sz="0" w:space="0" w:color="auto"/>
        <w:bottom w:val="none" w:sz="0" w:space="0" w:color="auto"/>
        <w:right w:val="none" w:sz="0" w:space="0" w:color="auto"/>
      </w:divBdr>
    </w:div>
    <w:div w:id="1690373640">
      <w:bodyDiv w:val="1"/>
      <w:marLeft w:val="0"/>
      <w:marRight w:val="0"/>
      <w:marTop w:val="0"/>
      <w:marBottom w:val="0"/>
      <w:divBdr>
        <w:top w:val="none" w:sz="0" w:space="0" w:color="auto"/>
        <w:left w:val="none" w:sz="0" w:space="0" w:color="auto"/>
        <w:bottom w:val="none" w:sz="0" w:space="0" w:color="auto"/>
        <w:right w:val="none" w:sz="0" w:space="0" w:color="auto"/>
      </w:divBdr>
    </w:div>
    <w:div w:id="169164314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7020872">
      <w:bodyDiv w:val="1"/>
      <w:marLeft w:val="0"/>
      <w:marRight w:val="0"/>
      <w:marTop w:val="0"/>
      <w:marBottom w:val="0"/>
      <w:divBdr>
        <w:top w:val="none" w:sz="0" w:space="0" w:color="auto"/>
        <w:left w:val="none" w:sz="0" w:space="0" w:color="auto"/>
        <w:bottom w:val="none" w:sz="0" w:space="0" w:color="auto"/>
        <w:right w:val="none" w:sz="0" w:space="0" w:color="auto"/>
      </w:divBdr>
    </w:div>
    <w:div w:id="1708867443">
      <w:bodyDiv w:val="1"/>
      <w:marLeft w:val="0"/>
      <w:marRight w:val="0"/>
      <w:marTop w:val="0"/>
      <w:marBottom w:val="0"/>
      <w:divBdr>
        <w:top w:val="none" w:sz="0" w:space="0" w:color="auto"/>
        <w:left w:val="none" w:sz="0" w:space="0" w:color="auto"/>
        <w:bottom w:val="none" w:sz="0" w:space="0" w:color="auto"/>
        <w:right w:val="none" w:sz="0" w:space="0" w:color="auto"/>
      </w:divBdr>
    </w:div>
    <w:div w:id="1713849295">
      <w:bodyDiv w:val="1"/>
      <w:marLeft w:val="0"/>
      <w:marRight w:val="0"/>
      <w:marTop w:val="0"/>
      <w:marBottom w:val="0"/>
      <w:divBdr>
        <w:top w:val="none" w:sz="0" w:space="0" w:color="auto"/>
        <w:left w:val="none" w:sz="0" w:space="0" w:color="auto"/>
        <w:bottom w:val="none" w:sz="0" w:space="0" w:color="auto"/>
        <w:right w:val="none" w:sz="0" w:space="0" w:color="auto"/>
      </w:divBdr>
    </w:div>
    <w:div w:id="1717579211">
      <w:bodyDiv w:val="1"/>
      <w:marLeft w:val="0"/>
      <w:marRight w:val="0"/>
      <w:marTop w:val="0"/>
      <w:marBottom w:val="0"/>
      <w:divBdr>
        <w:top w:val="none" w:sz="0" w:space="0" w:color="auto"/>
        <w:left w:val="none" w:sz="0" w:space="0" w:color="auto"/>
        <w:bottom w:val="none" w:sz="0" w:space="0" w:color="auto"/>
        <w:right w:val="none" w:sz="0" w:space="0" w:color="auto"/>
      </w:divBdr>
    </w:div>
    <w:div w:id="1718234615">
      <w:bodyDiv w:val="1"/>
      <w:marLeft w:val="0"/>
      <w:marRight w:val="0"/>
      <w:marTop w:val="0"/>
      <w:marBottom w:val="0"/>
      <w:divBdr>
        <w:top w:val="none" w:sz="0" w:space="0" w:color="auto"/>
        <w:left w:val="none" w:sz="0" w:space="0" w:color="auto"/>
        <w:bottom w:val="none" w:sz="0" w:space="0" w:color="auto"/>
        <w:right w:val="none" w:sz="0" w:space="0" w:color="auto"/>
      </w:divBdr>
    </w:div>
    <w:div w:id="1719469389">
      <w:bodyDiv w:val="1"/>
      <w:marLeft w:val="0"/>
      <w:marRight w:val="0"/>
      <w:marTop w:val="0"/>
      <w:marBottom w:val="0"/>
      <w:divBdr>
        <w:top w:val="none" w:sz="0" w:space="0" w:color="auto"/>
        <w:left w:val="none" w:sz="0" w:space="0" w:color="auto"/>
        <w:bottom w:val="none" w:sz="0" w:space="0" w:color="auto"/>
        <w:right w:val="none" w:sz="0" w:space="0" w:color="auto"/>
      </w:divBdr>
    </w:div>
    <w:div w:id="1721322077">
      <w:bodyDiv w:val="1"/>
      <w:marLeft w:val="0"/>
      <w:marRight w:val="0"/>
      <w:marTop w:val="0"/>
      <w:marBottom w:val="0"/>
      <w:divBdr>
        <w:top w:val="none" w:sz="0" w:space="0" w:color="auto"/>
        <w:left w:val="none" w:sz="0" w:space="0" w:color="auto"/>
        <w:bottom w:val="none" w:sz="0" w:space="0" w:color="auto"/>
        <w:right w:val="none" w:sz="0" w:space="0" w:color="auto"/>
      </w:divBdr>
    </w:div>
    <w:div w:id="1723016268">
      <w:bodyDiv w:val="1"/>
      <w:marLeft w:val="0"/>
      <w:marRight w:val="0"/>
      <w:marTop w:val="0"/>
      <w:marBottom w:val="0"/>
      <w:divBdr>
        <w:top w:val="none" w:sz="0" w:space="0" w:color="auto"/>
        <w:left w:val="none" w:sz="0" w:space="0" w:color="auto"/>
        <w:bottom w:val="none" w:sz="0" w:space="0" w:color="auto"/>
        <w:right w:val="none" w:sz="0" w:space="0" w:color="auto"/>
      </w:divBdr>
    </w:div>
    <w:div w:id="1726101705">
      <w:bodyDiv w:val="1"/>
      <w:marLeft w:val="0"/>
      <w:marRight w:val="0"/>
      <w:marTop w:val="0"/>
      <w:marBottom w:val="0"/>
      <w:divBdr>
        <w:top w:val="none" w:sz="0" w:space="0" w:color="auto"/>
        <w:left w:val="none" w:sz="0" w:space="0" w:color="auto"/>
        <w:bottom w:val="none" w:sz="0" w:space="0" w:color="auto"/>
        <w:right w:val="none" w:sz="0" w:space="0" w:color="auto"/>
      </w:divBdr>
    </w:div>
    <w:div w:id="172949867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4154407">
      <w:bodyDiv w:val="1"/>
      <w:marLeft w:val="0"/>
      <w:marRight w:val="0"/>
      <w:marTop w:val="0"/>
      <w:marBottom w:val="0"/>
      <w:divBdr>
        <w:top w:val="none" w:sz="0" w:space="0" w:color="auto"/>
        <w:left w:val="none" w:sz="0" w:space="0" w:color="auto"/>
        <w:bottom w:val="none" w:sz="0" w:space="0" w:color="auto"/>
        <w:right w:val="none" w:sz="0" w:space="0" w:color="auto"/>
      </w:divBdr>
    </w:div>
    <w:div w:id="1736050059">
      <w:bodyDiv w:val="1"/>
      <w:marLeft w:val="0"/>
      <w:marRight w:val="0"/>
      <w:marTop w:val="0"/>
      <w:marBottom w:val="0"/>
      <w:divBdr>
        <w:top w:val="none" w:sz="0" w:space="0" w:color="auto"/>
        <w:left w:val="none" w:sz="0" w:space="0" w:color="auto"/>
        <w:bottom w:val="none" w:sz="0" w:space="0" w:color="auto"/>
        <w:right w:val="none" w:sz="0" w:space="0" w:color="auto"/>
      </w:divBdr>
    </w:div>
    <w:div w:id="1752191164">
      <w:bodyDiv w:val="1"/>
      <w:marLeft w:val="0"/>
      <w:marRight w:val="0"/>
      <w:marTop w:val="0"/>
      <w:marBottom w:val="0"/>
      <w:divBdr>
        <w:top w:val="none" w:sz="0" w:space="0" w:color="auto"/>
        <w:left w:val="none" w:sz="0" w:space="0" w:color="auto"/>
        <w:bottom w:val="none" w:sz="0" w:space="0" w:color="auto"/>
        <w:right w:val="none" w:sz="0" w:space="0" w:color="auto"/>
      </w:divBdr>
    </w:div>
    <w:div w:id="1757097576">
      <w:bodyDiv w:val="1"/>
      <w:marLeft w:val="0"/>
      <w:marRight w:val="0"/>
      <w:marTop w:val="0"/>
      <w:marBottom w:val="0"/>
      <w:divBdr>
        <w:top w:val="none" w:sz="0" w:space="0" w:color="auto"/>
        <w:left w:val="none" w:sz="0" w:space="0" w:color="auto"/>
        <w:bottom w:val="none" w:sz="0" w:space="0" w:color="auto"/>
        <w:right w:val="none" w:sz="0" w:space="0" w:color="auto"/>
      </w:divBdr>
    </w:div>
    <w:div w:id="1759866883">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2023787">
      <w:bodyDiv w:val="1"/>
      <w:marLeft w:val="0"/>
      <w:marRight w:val="0"/>
      <w:marTop w:val="0"/>
      <w:marBottom w:val="0"/>
      <w:divBdr>
        <w:top w:val="none" w:sz="0" w:space="0" w:color="auto"/>
        <w:left w:val="none" w:sz="0" w:space="0" w:color="auto"/>
        <w:bottom w:val="none" w:sz="0" w:space="0" w:color="auto"/>
        <w:right w:val="none" w:sz="0" w:space="0" w:color="auto"/>
      </w:divBdr>
    </w:div>
    <w:div w:id="1762412736">
      <w:bodyDiv w:val="1"/>
      <w:marLeft w:val="0"/>
      <w:marRight w:val="0"/>
      <w:marTop w:val="0"/>
      <w:marBottom w:val="0"/>
      <w:divBdr>
        <w:top w:val="none" w:sz="0" w:space="0" w:color="auto"/>
        <w:left w:val="none" w:sz="0" w:space="0" w:color="auto"/>
        <w:bottom w:val="none" w:sz="0" w:space="0" w:color="auto"/>
        <w:right w:val="none" w:sz="0" w:space="0" w:color="auto"/>
      </w:divBdr>
    </w:div>
    <w:div w:id="1764182425">
      <w:bodyDiv w:val="1"/>
      <w:marLeft w:val="0"/>
      <w:marRight w:val="0"/>
      <w:marTop w:val="0"/>
      <w:marBottom w:val="0"/>
      <w:divBdr>
        <w:top w:val="none" w:sz="0" w:space="0" w:color="auto"/>
        <w:left w:val="none" w:sz="0" w:space="0" w:color="auto"/>
        <w:bottom w:val="none" w:sz="0" w:space="0" w:color="auto"/>
        <w:right w:val="none" w:sz="0" w:space="0" w:color="auto"/>
      </w:divBdr>
    </w:div>
    <w:div w:id="1764297266">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4201501">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4960697">
      <w:bodyDiv w:val="1"/>
      <w:marLeft w:val="0"/>
      <w:marRight w:val="0"/>
      <w:marTop w:val="0"/>
      <w:marBottom w:val="0"/>
      <w:divBdr>
        <w:top w:val="none" w:sz="0" w:space="0" w:color="auto"/>
        <w:left w:val="none" w:sz="0" w:space="0" w:color="auto"/>
        <w:bottom w:val="none" w:sz="0" w:space="0" w:color="auto"/>
        <w:right w:val="none" w:sz="0" w:space="0" w:color="auto"/>
      </w:divBdr>
    </w:div>
    <w:div w:id="1799882125">
      <w:bodyDiv w:val="1"/>
      <w:marLeft w:val="0"/>
      <w:marRight w:val="0"/>
      <w:marTop w:val="0"/>
      <w:marBottom w:val="0"/>
      <w:divBdr>
        <w:top w:val="none" w:sz="0" w:space="0" w:color="auto"/>
        <w:left w:val="none" w:sz="0" w:space="0" w:color="auto"/>
        <w:bottom w:val="none" w:sz="0" w:space="0" w:color="auto"/>
        <w:right w:val="none" w:sz="0" w:space="0" w:color="auto"/>
      </w:divBdr>
    </w:div>
    <w:div w:id="1800611882">
      <w:bodyDiv w:val="1"/>
      <w:marLeft w:val="0"/>
      <w:marRight w:val="0"/>
      <w:marTop w:val="0"/>
      <w:marBottom w:val="0"/>
      <w:divBdr>
        <w:top w:val="none" w:sz="0" w:space="0" w:color="auto"/>
        <w:left w:val="none" w:sz="0" w:space="0" w:color="auto"/>
        <w:bottom w:val="none" w:sz="0" w:space="0" w:color="auto"/>
        <w:right w:val="none" w:sz="0" w:space="0" w:color="auto"/>
      </w:divBdr>
    </w:div>
    <w:div w:id="1804688776">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11708278">
      <w:bodyDiv w:val="1"/>
      <w:marLeft w:val="0"/>
      <w:marRight w:val="0"/>
      <w:marTop w:val="0"/>
      <w:marBottom w:val="0"/>
      <w:divBdr>
        <w:top w:val="none" w:sz="0" w:space="0" w:color="auto"/>
        <w:left w:val="none" w:sz="0" w:space="0" w:color="auto"/>
        <w:bottom w:val="none" w:sz="0" w:space="0" w:color="auto"/>
        <w:right w:val="none" w:sz="0" w:space="0" w:color="auto"/>
      </w:divBdr>
    </w:div>
    <w:div w:id="1822497826">
      <w:bodyDiv w:val="1"/>
      <w:marLeft w:val="0"/>
      <w:marRight w:val="0"/>
      <w:marTop w:val="0"/>
      <w:marBottom w:val="0"/>
      <w:divBdr>
        <w:top w:val="none" w:sz="0" w:space="0" w:color="auto"/>
        <w:left w:val="none" w:sz="0" w:space="0" w:color="auto"/>
        <w:bottom w:val="none" w:sz="0" w:space="0" w:color="auto"/>
        <w:right w:val="none" w:sz="0" w:space="0" w:color="auto"/>
      </w:divBdr>
    </w:div>
    <w:div w:id="1825075747">
      <w:bodyDiv w:val="1"/>
      <w:marLeft w:val="0"/>
      <w:marRight w:val="0"/>
      <w:marTop w:val="0"/>
      <w:marBottom w:val="0"/>
      <w:divBdr>
        <w:top w:val="none" w:sz="0" w:space="0" w:color="auto"/>
        <w:left w:val="none" w:sz="0" w:space="0" w:color="auto"/>
        <w:bottom w:val="none" w:sz="0" w:space="0" w:color="auto"/>
        <w:right w:val="none" w:sz="0" w:space="0" w:color="auto"/>
      </w:divBdr>
    </w:div>
    <w:div w:id="1825319729">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0560584">
      <w:bodyDiv w:val="1"/>
      <w:marLeft w:val="0"/>
      <w:marRight w:val="0"/>
      <w:marTop w:val="0"/>
      <w:marBottom w:val="0"/>
      <w:divBdr>
        <w:top w:val="none" w:sz="0" w:space="0" w:color="auto"/>
        <w:left w:val="none" w:sz="0" w:space="0" w:color="auto"/>
        <w:bottom w:val="none" w:sz="0" w:space="0" w:color="auto"/>
        <w:right w:val="none" w:sz="0" w:space="0" w:color="auto"/>
      </w:divBdr>
    </w:div>
    <w:div w:id="1830824311">
      <w:bodyDiv w:val="1"/>
      <w:marLeft w:val="0"/>
      <w:marRight w:val="0"/>
      <w:marTop w:val="0"/>
      <w:marBottom w:val="0"/>
      <w:divBdr>
        <w:top w:val="none" w:sz="0" w:space="0" w:color="auto"/>
        <w:left w:val="none" w:sz="0" w:space="0" w:color="auto"/>
        <w:bottom w:val="none" w:sz="0" w:space="0" w:color="auto"/>
        <w:right w:val="none" w:sz="0" w:space="0" w:color="auto"/>
      </w:divBdr>
    </w:div>
    <w:div w:id="1835142500">
      <w:bodyDiv w:val="1"/>
      <w:marLeft w:val="0"/>
      <w:marRight w:val="0"/>
      <w:marTop w:val="0"/>
      <w:marBottom w:val="0"/>
      <w:divBdr>
        <w:top w:val="none" w:sz="0" w:space="0" w:color="auto"/>
        <w:left w:val="none" w:sz="0" w:space="0" w:color="auto"/>
        <w:bottom w:val="none" w:sz="0" w:space="0" w:color="auto"/>
        <w:right w:val="none" w:sz="0" w:space="0" w:color="auto"/>
      </w:divBdr>
    </w:div>
    <w:div w:id="1838226488">
      <w:bodyDiv w:val="1"/>
      <w:marLeft w:val="0"/>
      <w:marRight w:val="0"/>
      <w:marTop w:val="0"/>
      <w:marBottom w:val="0"/>
      <w:divBdr>
        <w:top w:val="none" w:sz="0" w:space="0" w:color="auto"/>
        <w:left w:val="none" w:sz="0" w:space="0" w:color="auto"/>
        <w:bottom w:val="none" w:sz="0" w:space="0" w:color="auto"/>
        <w:right w:val="none" w:sz="0" w:space="0" w:color="auto"/>
      </w:divBdr>
    </w:div>
    <w:div w:id="1841309166">
      <w:bodyDiv w:val="1"/>
      <w:marLeft w:val="0"/>
      <w:marRight w:val="0"/>
      <w:marTop w:val="0"/>
      <w:marBottom w:val="0"/>
      <w:divBdr>
        <w:top w:val="none" w:sz="0" w:space="0" w:color="auto"/>
        <w:left w:val="none" w:sz="0" w:space="0" w:color="auto"/>
        <w:bottom w:val="none" w:sz="0" w:space="0" w:color="auto"/>
        <w:right w:val="none" w:sz="0" w:space="0" w:color="auto"/>
      </w:divBdr>
    </w:div>
    <w:div w:id="1842306327">
      <w:bodyDiv w:val="1"/>
      <w:marLeft w:val="0"/>
      <w:marRight w:val="0"/>
      <w:marTop w:val="0"/>
      <w:marBottom w:val="0"/>
      <w:divBdr>
        <w:top w:val="none" w:sz="0" w:space="0" w:color="auto"/>
        <w:left w:val="none" w:sz="0" w:space="0" w:color="auto"/>
        <w:bottom w:val="none" w:sz="0" w:space="0" w:color="auto"/>
        <w:right w:val="none" w:sz="0" w:space="0" w:color="auto"/>
      </w:divBdr>
    </w:div>
    <w:div w:id="1842619241">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5630876">
      <w:bodyDiv w:val="1"/>
      <w:marLeft w:val="0"/>
      <w:marRight w:val="0"/>
      <w:marTop w:val="0"/>
      <w:marBottom w:val="0"/>
      <w:divBdr>
        <w:top w:val="none" w:sz="0" w:space="0" w:color="auto"/>
        <w:left w:val="none" w:sz="0" w:space="0" w:color="auto"/>
        <w:bottom w:val="none" w:sz="0" w:space="0" w:color="auto"/>
        <w:right w:val="none" w:sz="0" w:space="0" w:color="auto"/>
      </w:divBdr>
    </w:div>
    <w:div w:id="1851024230">
      <w:bodyDiv w:val="1"/>
      <w:marLeft w:val="0"/>
      <w:marRight w:val="0"/>
      <w:marTop w:val="0"/>
      <w:marBottom w:val="0"/>
      <w:divBdr>
        <w:top w:val="none" w:sz="0" w:space="0" w:color="auto"/>
        <w:left w:val="none" w:sz="0" w:space="0" w:color="auto"/>
        <w:bottom w:val="none" w:sz="0" w:space="0" w:color="auto"/>
        <w:right w:val="none" w:sz="0" w:space="0" w:color="auto"/>
      </w:divBdr>
    </w:div>
    <w:div w:id="1875194379">
      <w:bodyDiv w:val="1"/>
      <w:marLeft w:val="0"/>
      <w:marRight w:val="0"/>
      <w:marTop w:val="0"/>
      <w:marBottom w:val="0"/>
      <w:divBdr>
        <w:top w:val="none" w:sz="0" w:space="0" w:color="auto"/>
        <w:left w:val="none" w:sz="0" w:space="0" w:color="auto"/>
        <w:bottom w:val="none" w:sz="0" w:space="0" w:color="auto"/>
        <w:right w:val="none" w:sz="0" w:space="0" w:color="auto"/>
      </w:divBdr>
    </w:div>
    <w:div w:id="1886679130">
      <w:bodyDiv w:val="1"/>
      <w:marLeft w:val="0"/>
      <w:marRight w:val="0"/>
      <w:marTop w:val="0"/>
      <w:marBottom w:val="0"/>
      <w:divBdr>
        <w:top w:val="none" w:sz="0" w:space="0" w:color="auto"/>
        <w:left w:val="none" w:sz="0" w:space="0" w:color="auto"/>
        <w:bottom w:val="none" w:sz="0" w:space="0" w:color="auto"/>
        <w:right w:val="none" w:sz="0" w:space="0" w:color="auto"/>
      </w:divBdr>
    </w:div>
    <w:div w:id="1892421390">
      <w:bodyDiv w:val="1"/>
      <w:marLeft w:val="0"/>
      <w:marRight w:val="0"/>
      <w:marTop w:val="0"/>
      <w:marBottom w:val="0"/>
      <w:divBdr>
        <w:top w:val="none" w:sz="0" w:space="0" w:color="auto"/>
        <w:left w:val="none" w:sz="0" w:space="0" w:color="auto"/>
        <w:bottom w:val="none" w:sz="0" w:space="0" w:color="auto"/>
        <w:right w:val="none" w:sz="0" w:space="0" w:color="auto"/>
      </w:divBdr>
    </w:div>
    <w:div w:id="1895846091">
      <w:bodyDiv w:val="1"/>
      <w:marLeft w:val="0"/>
      <w:marRight w:val="0"/>
      <w:marTop w:val="0"/>
      <w:marBottom w:val="0"/>
      <w:divBdr>
        <w:top w:val="none" w:sz="0" w:space="0" w:color="auto"/>
        <w:left w:val="none" w:sz="0" w:space="0" w:color="auto"/>
        <w:bottom w:val="none" w:sz="0" w:space="0" w:color="auto"/>
        <w:right w:val="none" w:sz="0" w:space="0" w:color="auto"/>
      </w:divBdr>
    </w:div>
    <w:div w:id="1896886590">
      <w:bodyDiv w:val="1"/>
      <w:marLeft w:val="0"/>
      <w:marRight w:val="0"/>
      <w:marTop w:val="0"/>
      <w:marBottom w:val="0"/>
      <w:divBdr>
        <w:top w:val="none" w:sz="0" w:space="0" w:color="auto"/>
        <w:left w:val="none" w:sz="0" w:space="0" w:color="auto"/>
        <w:bottom w:val="none" w:sz="0" w:space="0" w:color="auto"/>
        <w:right w:val="none" w:sz="0" w:space="0" w:color="auto"/>
      </w:divBdr>
    </w:div>
    <w:div w:id="1897080964">
      <w:bodyDiv w:val="1"/>
      <w:marLeft w:val="0"/>
      <w:marRight w:val="0"/>
      <w:marTop w:val="0"/>
      <w:marBottom w:val="0"/>
      <w:divBdr>
        <w:top w:val="none" w:sz="0" w:space="0" w:color="auto"/>
        <w:left w:val="none" w:sz="0" w:space="0" w:color="auto"/>
        <w:bottom w:val="none" w:sz="0" w:space="0" w:color="auto"/>
        <w:right w:val="none" w:sz="0" w:space="0" w:color="auto"/>
      </w:divBdr>
    </w:div>
    <w:div w:id="1897550993">
      <w:bodyDiv w:val="1"/>
      <w:marLeft w:val="0"/>
      <w:marRight w:val="0"/>
      <w:marTop w:val="0"/>
      <w:marBottom w:val="0"/>
      <w:divBdr>
        <w:top w:val="none" w:sz="0" w:space="0" w:color="auto"/>
        <w:left w:val="none" w:sz="0" w:space="0" w:color="auto"/>
        <w:bottom w:val="none" w:sz="0" w:space="0" w:color="auto"/>
        <w:right w:val="none" w:sz="0" w:space="0" w:color="auto"/>
      </w:divBdr>
    </w:div>
    <w:div w:id="1908763102">
      <w:bodyDiv w:val="1"/>
      <w:marLeft w:val="0"/>
      <w:marRight w:val="0"/>
      <w:marTop w:val="0"/>
      <w:marBottom w:val="0"/>
      <w:divBdr>
        <w:top w:val="none" w:sz="0" w:space="0" w:color="auto"/>
        <w:left w:val="none" w:sz="0" w:space="0" w:color="auto"/>
        <w:bottom w:val="none" w:sz="0" w:space="0" w:color="auto"/>
        <w:right w:val="none" w:sz="0" w:space="0" w:color="auto"/>
      </w:divBdr>
    </w:div>
    <w:div w:id="1912227801">
      <w:bodyDiv w:val="1"/>
      <w:marLeft w:val="0"/>
      <w:marRight w:val="0"/>
      <w:marTop w:val="0"/>
      <w:marBottom w:val="0"/>
      <w:divBdr>
        <w:top w:val="none" w:sz="0" w:space="0" w:color="auto"/>
        <w:left w:val="none" w:sz="0" w:space="0" w:color="auto"/>
        <w:bottom w:val="none" w:sz="0" w:space="0" w:color="auto"/>
        <w:right w:val="none" w:sz="0" w:space="0" w:color="auto"/>
      </w:divBdr>
    </w:div>
    <w:div w:id="1912304112">
      <w:bodyDiv w:val="1"/>
      <w:marLeft w:val="0"/>
      <w:marRight w:val="0"/>
      <w:marTop w:val="0"/>
      <w:marBottom w:val="0"/>
      <w:divBdr>
        <w:top w:val="none" w:sz="0" w:space="0" w:color="auto"/>
        <w:left w:val="none" w:sz="0" w:space="0" w:color="auto"/>
        <w:bottom w:val="none" w:sz="0" w:space="0" w:color="auto"/>
        <w:right w:val="none" w:sz="0" w:space="0" w:color="auto"/>
      </w:divBdr>
    </w:div>
    <w:div w:id="1913468950">
      <w:bodyDiv w:val="1"/>
      <w:marLeft w:val="0"/>
      <w:marRight w:val="0"/>
      <w:marTop w:val="0"/>
      <w:marBottom w:val="0"/>
      <w:divBdr>
        <w:top w:val="none" w:sz="0" w:space="0" w:color="auto"/>
        <w:left w:val="none" w:sz="0" w:space="0" w:color="auto"/>
        <w:bottom w:val="none" w:sz="0" w:space="0" w:color="auto"/>
        <w:right w:val="none" w:sz="0" w:space="0" w:color="auto"/>
      </w:divBdr>
    </w:div>
    <w:div w:id="1916163504">
      <w:bodyDiv w:val="1"/>
      <w:marLeft w:val="0"/>
      <w:marRight w:val="0"/>
      <w:marTop w:val="0"/>
      <w:marBottom w:val="0"/>
      <w:divBdr>
        <w:top w:val="none" w:sz="0" w:space="0" w:color="auto"/>
        <w:left w:val="none" w:sz="0" w:space="0" w:color="auto"/>
        <w:bottom w:val="none" w:sz="0" w:space="0" w:color="auto"/>
        <w:right w:val="none" w:sz="0" w:space="0" w:color="auto"/>
      </w:divBdr>
    </w:div>
    <w:div w:id="1919515485">
      <w:bodyDiv w:val="1"/>
      <w:marLeft w:val="0"/>
      <w:marRight w:val="0"/>
      <w:marTop w:val="0"/>
      <w:marBottom w:val="0"/>
      <w:divBdr>
        <w:top w:val="none" w:sz="0" w:space="0" w:color="auto"/>
        <w:left w:val="none" w:sz="0" w:space="0" w:color="auto"/>
        <w:bottom w:val="none" w:sz="0" w:space="0" w:color="auto"/>
        <w:right w:val="none" w:sz="0" w:space="0" w:color="auto"/>
      </w:divBdr>
    </w:div>
    <w:div w:id="1923023485">
      <w:bodyDiv w:val="1"/>
      <w:marLeft w:val="0"/>
      <w:marRight w:val="0"/>
      <w:marTop w:val="0"/>
      <w:marBottom w:val="0"/>
      <w:divBdr>
        <w:top w:val="none" w:sz="0" w:space="0" w:color="auto"/>
        <w:left w:val="none" w:sz="0" w:space="0" w:color="auto"/>
        <w:bottom w:val="none" w:sz="0" w:space="0" w:color="auto"/>
        <w:right w:val="none" w:sz="0" w:space="0" w:color="auto"/>
      </w:divBdr>
    </w:div>
    <w:div w:id="1925021537">
      <w:bodyDiv w:val="1"/>
      <w:marLeft w:val="0"/>
      <w:marRight w:val="0"/>
      <w:marTop w:val="0"/>
      <w:marBottom w:val="0"/>
      <w:divBdr>
        <w:top w:val="none" w:sz="0" w:space="0" w:color="auto"/>
        <w:left w:val="none" w:sz="0" w:space="0" w:color="auto"/>
        <w:bottom w:val="none" w:sz="0" w:space="0" w:color="auto"/>
        <w:right w:val="none" w:sz="0" w:space="0" w:color="auto"/>
      </w:divBdr>
    </w:div>
    <w:div w:id="192807091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32201301">
      <w:bodyDiv w:val="1"/>
      <w:marLeft w:val="0"/>
      <w:marRight w:val="0"/>
      <w:marTop w:val="0"/>
      <w:marBottom w:val="0"/>
      <w:divBdr>
        <w:top w:val="none" w:sz="0" w:space="0" w:color="auto"/>
        <w:left w:val="none" w:sz="0" w:space="0" w:color="auto"/>
        <w:bottom w:val="none" w:sz="0" w:space="0" w:color="auto"/>
        <w:right w:val="none" w:sz="0" w:space="0" w:color="auto"/>
      </w:divBdr>
    </w:div>
    <w:div w:id="1933514980">
      <w:bodyDiv w:val="1"/>
      <w:marLeft w:val="0"/>
      <w:marRight w:val="0"/>
      <w:marTop w:val="0"/>
      <w:marBottom w:val="0"/>
      <w:divBdr>
        <w:top w:val="none" w:sz="0" w:space="0" w:color="auto"/>
        <w:left w:val="none" w:sz="0" w:space="0" w:color="auto"/>
        <w:bottom w:val="none" w:sz="0" w:space="0" w:color="auto"/>
        <w:right w:val="none" w:sz="0" w:space="0" w:color="auto"/>
      </w:divBdr>
    </w:div>
    <w:div w:id="1942104082">
      <w:bodyDiv w:val="1"/>
      <w:marLeft w:val="0"/>
      <w:marRight w:val="0"/>
      <w:marTop w:val="0"/>
      <w:marBottom w:val="0"/>
      <w:divBdr>
        <w:top w:val="none" w:sz="0" w:space="0" w:color="auto"/>
        <w:left w:val="none" w:sz="0" w:space="0" w:color="auto"/>
        <w:bottom w:val="none" w:sz="0" w:space="0" w:color="auto"/>
        <w:right w:val="none" w:sz="0" w:space="0" w:color="auto"/>
      </w:divBdr>
    </w:div>
    <w:div w:id="1942299320">
      <w:bodyDiv w:val="1"/>
      <w:marLeft w:val="0"/>
      <w:marRight w:val="0"/>
      <w:marTop w:val="0"/>
      <w:marBottom w:val="0"/>
      <w:divBdr>
        <w:top w:val="none" w:sz="0" w:space="0" w:color="auto"/>
        <w:left w:val="none" w:sz="0" w:space="0" w:color="auto"/>
        <w:bottom w:val="none" w:sz="0" w:space="0" w:color="auto"/>
        <w:right w:val="none" w:sz="0" w:space="0" w:color="auto"/>
      </w:divBdr>
    </w:div>
    <w:div w:id="1944527705">
      <w:bodyDiv w:val="1"/>
      <w:marLeft w:val="0"/>
      <w:marRight w:val="0"/>
      <w:marTop w:val="0"/>
      <w:marBottom w:val="0"/>
      <w:divBdr>
        <w:top w:val="none" w:sz="0" w:space="0" w:color="auto"/>
        <w:left w:val="none" w:sz="0" w:space="0" w:color="auto"/>
        <w:bottom w:val="none" w:sz="0" w:space="0" w:color="auto"/>
        <w:right w:val="none" w:sz="0" w:space="0" w:color="auto"/>
      </w:divBdr>
    </w:div>
    <w:div w:id="1944917079">
      <w:bodyDiv w:val="1"/>
      <w:marLeft w:val="0"/>
      <w:marRight w:val="0"/>
      <w:marTop w:val="0"/>
      <w:marBottom w:val="0"/>
      <w:divBdr>
        <w:top w:val="none" w:sz="0" w:space="0" w:color="auto"/>
        <w:left w:val="none" w:sz="0" w:space="0" w:color="auto"/>
        <w:bottom w:val="none" w:sz="0" w:space="0" w:color="auto"/>
        <w:right w:val="none" w:sz="0" w:space="0" w:color="auto"/>
      </w:divBdr>
    </w:div>
    <w:div w:id="1948806810">
      <w:bodyDiv w:val="1"/>
      <w:marLeft w:val="0"/>
      <w:marRight w:val="0"/>
      <w:marTop w:val="0"/>
      <w:marBottom w:val="0"/>
      <w:divBdr>
        <w:top w:val="none" w:sz="0" w:space="0" w:color="auto"/>
        <w:left w:val="none" w:sz="0" w:space="0" w:color="auto"/>
        <w:bottom w:val="none" w:sz="0" w:space="0" w:color="auto"/>
        <w:right w:val="none" w:sz="0" w:space="0" w:color="auto"/>
      </w:divBdr>
    </w:div>
    <w:div w:id="1950310191">
      <w:bodyDiv w:val="1"/>
      <w:marLeft w:val="0"/>
      <w:marRight w:val="0"/>
      <w:marTop w:val="0"/>
      <w:marBottom w:val="0"/>
      <w:divBdr>
        <w:top w:val="none" w:sz="0" w:space="0" w:color="auto"/>
        <w:left w:val="none" w:sz="0" w:space="0" w:color="auto"/>
        <w:bottom w:val="none" w:sz="0" w:space="0" w:color="auto"/>
        <w:right w:val="none" w:sz="0" w:space="0" w:color="auto"/>
      </w:divBdr>
    </w:div>
    <w:div w:id="1954286730">
      <w:bodyDiv w:val="1"/>
      <w:marLeft w:val="0"/>
      <w:marRight w:val="0"/>
      <w:marTop w:val="0"/>
      <w:marBottom w:val="0"/>
      <w:divBdr>
        <w:top w:val="none" w:sz="0" w:space="0" w:color="auto"/>
        <w:left w:val="none" w:sz="0" w:space="0" w:color="auto"/>
        <w:bottom w:val="none" w:sz="0" w:space="0" w:color="auto"/>
        <w:right w:val="none" w:sz="0" w:space="0" w:color="auto"/>
      </w:divBdr>
    </w:div>
    <w:div w:id="1954361821">
      <w:bodyDiv w:val="1"/>
      <w:marLeft w:val="0"/>
      <w:marRight w:val="0"/>
      <w:marTop w:val="0"/>
      <w:marBottom w:val="0"/>
      <w:divBdr>
        <w:top w:val="none" w:sz="0" w:space="0" w:color="auto"/>
        <w:left w:val="none" w:sz="0" w:space="0" w:color="auto"/>
        <w:bottom w:val="none" w:sz="0" w:space="0" w:color="auto"/>
        <w:right w:val="none" w:sz="0" w:space="0" w:color="auto"/>
      </w:divBdr>
    </w:div>
    <w:div w:id="1958873423">
      <w:bodyDiv w:val="1"/>
      <w:marLeft w:val="0"/>
      <w:marRight w:val="0"/>
      <w:marTop w:val="0"/>
      <w:marBottom w:val="0"/>
      <w:divBdr>
        <w:top w:val="none" w:sz="0" w:space="0" w:color="auto"/>
        <w:left w:val="none" w:sz="0" w:space="0" w:color="auto"/>
        <w:bottom w:val="none" w:sz="0" w:space="0" w:color="auto"/>
        <w:right w:val="none" w:sz="0" w:space="0" w:color="auto"/>
      </w:divBdr>
    </w:div>
    <w:div w:id="196465059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0357894">
      <w:bodyDiv w:val="1"/>
      <w:marLeft w:val="0"/>
      <w:marRight w:val="0"/>
      <w:marTop w:val="0"/>
      <w:marBottom w:val="0"/>
      <w:divBdr>
        <w:top w:val="none" w:sz="0" w:space="0" w:color="auto"/>
        <w:left w:val="none" w:sz="0" w:space="0" w:color="auto"/>
        <w:bottom w:val="none" w:sz="0" w:space="0" w:color="auto"/>
        <w:right w:val="none" w:sz="0" w:space="0" w:color="auto"/>
      </w:divBdr>
    </w:div>
    <w:div w:id="1976568277">
      <w:bodyDiv w:val="1"/>
      <w:marLeft w:val="0"/>
      <w:marRight w:val="0"/>
      <w:marTop w:val="0"/>
      <w:marBottom w:val="0"/>
      <w:divBdr>
        <w:top w:val="none" w:sz="0" w:space="0" w:color="auto"/>
        <w:left w:val="none" w:sz="0" w:space="0" w:color="auto"/>
        <w:bottom w:val="none" w:sz="0" w:space="0" w:color="auto"/>
        <w:right w:val="none" w:sz="0" w:space="0" w:color="auto"/>
      </w:divBdr>
    </w:div>
    <w:div w:id="1981155163">
      <w:bodyDiv w:val="1"/>
      <w:marLeft w:val="0"/>
      <w:marRight w:val="0"/>
      <w:marTop w:val="0"/>
      <w:marBottom w:val="0"/>
      <w:divBdr>
        <w:top w:val="none" w:sz="0" w:space="0" w:color="auto"/>
        <w:left w:val="none" w:sz="0" w:space="0" w:color="auto"/>
        <w:bottom w:val="none" w:sz="0" w:space="0" w:color="auto"/>
        <w:right w:val="none" w:sz="0" w:space="0" w:color="auto"/>
      </w:divBdr>
    </w:div>
    <w:div w:id="1984769281">
      <w:bodyDiv w:val="1"/>
      <w:marLeft w:val="0"/>
      <w:marRight w:val="0"/>
      <w:marTop w:val="0"/>
      <w:marBottom w:val="0"/>
      <w:divBdr>
        <w:top w:val="none" w:sz="0" w:space="0" w:color="auto"/>
        <w:left w:val="none" w:sz="0" w:space="0" w:color="auto"/>
        <w:bottom w:val="none" w:sz="0" w:space="0" w:color="auto"/>
        <w:right w:val="none" w:sz="0" w:space="0" w:color="auto"/>
      </w:divBdr>
    </w:div>
    <w:div w:id="1986667535">
      <w:bodyDiv w:val="1"/>
      <w:marLeft w:val="0"/>
      <w:marRight w:val="0"/>
      <w:marTop w:val="0"/>
      <w:marBottom w:val="0"/>
      <w:divBdr>
        <w:top w:val="none" w:sz="0" w:space="0" w:color="auto"/>
        <w:left w:val="none" w:sz="0" w:space="0" w:color="auto"/>
        <w:bottom w:val="none" w:sz="0" w:space="0" w:color="auto"/>
        <w:right w:val="none" w:sz="0" w:space="0" w:color="auto"/>
      </w:divBdr>
    </w:div>
    <w:div w:id="1989557185">
      <w:bodyDiv w:val="1"/>
      <w:marLeft w:val="0"/>
      <w:marRight w:val="0"/>
      <w:marTop w:val="0"/>
      <w:marBottom w:val="0"/>
      <w:divBdr>
        <w:top w:val="none" w:sz="0" w:space="0" w:color="auto"/>
        <w:left w:val="none" w:sz="0" w:space="0" w:color="auto"/>
        <w:bottom w:val="none" w:sz="0" w:space="0" w:color="auto"/>
        <w:right w:val="none" w:sz="0" w:space="0" w:color="auto"/>
      </w:divBdr>
    </w:div>
    <w:div w:id="1989819503">
      <w:bodyDiv w:val="1"/>
      <w:marLeft w:val="0"/>
      <w:marRight w:val="0"/>
      <w:marTop w:val="0"/>
      <w:marBottom w:val="0"/>
      <w:divBdr>
        <w:top w:val="none" w:sz="0" w:space="0" w:color="auto"/>
        <w:left w:val="none" w:sz="0" w:space="0" w:color="auto"/>
        <w:bottom w:val="none" w:sz="0" w:space="0" w:color="auto"/>
        <w:right w:val="none" w:sz="0" w:space="0" w:color="auto"/>
      </w:divBdr>
    </w:div>
    <w:div w:id="1994722491">
      <w:bodyDiv w:val="1"/>
      <w:marLeft w:val="0"/>
      <w:marRight w:val="0"/>
      <w:marTop w:val="0"/>
      <w:marBottom w:val="0"/>
      <w:divBdr>
        <w:top w:val="none" w:sz="0" w:space="0" w:color="auto"/>
        <w:left w:val="none" w:sz="0" w:space="0" w:color="auto"/>
        <w:bottom w:val="none" w:sz="0" w:space="0" w:color="auto"/>
        <w:right w:val="none" w:sz="0" w:space="0" w:color="auto"/>
      </w:divBdr>
    </w:div>
    <w:div w:id="1997950378">
      <w:bodyDiv w:val="1"/>
      <w:marLeft w:val="0"/>
      <w:marRight w:val="0"/>
      <w:marTop w:val="0"/>
      <w:marBottom w:val="0"/>
      <w:divBdr>
        <w:top w:val="none" w:sz="0" w:space="0" w:color="auto"/>
        <w:left w:val="none" w:sz="0" w:space="0" w:color="auto"/>
        <w:bottom w:val="none" w:sz="0" w:space="0" w:color="auto"/>
        <w:right w:val="none" w:sz="0" w:space="0" w:color="auto"/>
      </w:divBdr>
    </w:div>
    <w:div w:id="2006393302">
      <w:bodyDiv w:val="1"/>
      <w:marLeft w:val="0"/>
      <w:marRight w:val="0"/>
      <w:marTop w:val="0"/>
      <w:marBottom w:val="0"/>
      <w:divBdr>
        <w:top w:val="none" w:sz="0" w:space="0" w:color="auto"/>
        <w:left w:val="none" w:sz="0" w:space="0" w:color="auto"/>
        <w:bottom w:val="none" w:sz="0" w:space="0" w:color="auto"/>
        <w:right w:val="none" w:sz="0" w:space="0" w:color="auto"/>
      </w:divBdr>
    </w:div>
    <w:div w:id="2009212489">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5260208">
      <w:bodyDiv w:val="1"/>
      <w:marLeft w:val="0"/>
      <w:marRight w:val="0"/>
      <w:marTop w:val="0"/>
      <w:marBottom w:val="0"/>
      <w:divBdr>
        <w:top w:val="none" w:sz="0" w:space="0" w:color="auto"/>
        <w:left w:val="none" w:sz="0" w:space="0" w:color="auto"/>
        <w:bottom w:val="none" w:sz="0" w:space="0" w:color="auto"/>
        <w:right w:val="none" w:sz="0" w:space="0" w:color="auto"/>
      </w:divBdr>
    </w:div>
    <w:div w:id="2023045256">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30065557">
      <w:bodyDiv w:val="1"/>
      <w:marLeft w:val="0"/>
      <w:marRight w:val="0"/>
      <w:marTop w:val="0"/>
      <w:marBottom w:val="0"/>
      <w:divBdr>
        <w:top w:val="none" w:sz="0" w:space="0" w:color="auto"/>
        <w:left w:val="none" w:sz="0" w:space="0" w:color="auto"/>
        <w:bottom w:val="none" w:sz="0" w:space="0" w:color="auto"/>
        <w:right w:val="none" w:sz="0" w:space="0" w:color="auto"/>
      </w:divBdr>
    </w:div>
    <w:div w:id="2030567818">
      <w:bodyDiv w:val="1"/>
      <w:marLeft w:val="0"/>
      <w:marRight w:val="0"/>
      <w:marTop w:val="0"/>
      <w:marBottom w:val="0"/>
      <w:divBdr>
        <w:top w:val="none" w:sz="0" w:space="0" w:color="auto"/>
        <w:left w:val="none" w:sz="0" w:space="0" w:color="auto"/>
        <w:bottom w:val="none" w:sz="0" w:space="0" w:color="auto"/>
        <w:right w:val="none" w:sz="0" w:space="0" w:color="auto"/>
      </w:divBdr>
    </w:div>
    <w:div w:id="2033341461">
      <w:bodyDiv w:val="1"/>
      <w:marLeft w:val="0"/>
      <w:marRight w:val="0"/>
      <w:marTop w:val="0"/>
      <w:marBottom w:val="0"/>
      <w:divBdr>
        <w:top w:val="none" w:sz="0" w:space="0" w:color="auto"/>
        <w:left w:val="none" w:sz="0" w:space="0" w:color="auto"/>
        <w:bottom w:val="none" w:sz="0" w:space="0" w:color="auto"/>
        <w:right w:val="none" w:sz="0" w:space="0" w:color="auto"/>
      </w:divBdr>
    </w:div>
    <w:div w:id="2041854019">
      <w:bodyDiv w:val="1"/>
      <w:marLeft w:val="0"/>
      <w:marRight w:val="0"/>
      <w:marTop w:val="0"/>
      <w:marBottom w:val="0"/>
      <w:divBdr>
        <w:top w:val="none" w:sz="0" w:space="0" w:color="auto"/>
        <w:left w:val="none" w:sz="0" w:space="0" w:color="auto"/>
        <w:bottom w:val="none" w:sz="0" w:space="0" w:color="auto"/>
        <w:right w:val="none" w:sz="0" w:space="0" w:color="auto"/>
      </w:divBdr>
    </w:div>
    <w:div w:id="2045517705">
      <w:bodyDiv w:val="1"/>
      <w:marLeft w:val="0"/>
      <w:marRight w:val="0"/>
      <w:marTop w:val="0"/>
      <w:marBottom w:val="0"/>
      <w:divBdr>
        <w:top w:val="none" w:sz="0" w:space="0" w:color="auto"/>
        <w:left w:val="none" w:sz="0" w:space="0" w:color="auto"/>
        <w:bottom w:val="none" w:sz="0" w:space="0" w:color="auto"/>
        <w:right w:val="none" w:sz="0" w:space="0" w:color="auto"/>
      </w:divBdr>
    </w:div>
    <w:div w:id="2053339453">
      <w:bodyDiv w:val="1"/>
      <w:marLeft w:val="0"/>
      <w:marRight w:val="0"/>
      <w:marTop w:val="0"/>
      <w:marBottom w:val="0"/>
      <w:divBdr>
        <w:top w:val="none" w:sz="0" w:space="0" w:color="auto"/>
        <w:left w:val="none" w:sz="0" w:space="0" w:color="auto"/>
        <w:bottom w:val="none" w:sz="0" w:space="0" w:color="auto"/>
        <w:right w:val="none" w:sz="0" w:space="0" w:color="auto"/>
      </w:divBdr>
    </w:div>
    <w:div w:id="2056077663">
      <w:bodyDiv w:val="1"/>
      <w:marLeft w:val="0"/>
      <w:marRight w:val="0"/>
      <w:marTop w:val="0"/>
      <w:marBottom w:val="0"/>
      <w:divBdr>
        <w:top w:val="none" w:sz="0" w:space="0" w:color="auto"/>
        <w:left w:val="none" w:sz="0" w:space="0" w:color="auto"/>
        <w:bottom w:val="none" w:sz="0" w:space="0" w:color="auto"/>
        <w:right w:val="none" w:sz="0" w:space="0" w:color="auto"/>
      </w:divBdr>
    </w:div>
    <w:div w:id="205615370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59894480">
      <w:bodyDiv w:val="1"/>
      <w:marLeft w:val="0"/>
      <w:marRight w:val="0"/>
      <w:marTop w:val="0"/>
      <w:marBottom w:val="0"/>
      <w:divBdr>
        <w:top w:val="none" w:sz="0" w:space="0" w:color="auto"/>
        <w:left w:val="none" w:sz="0" w:space="0" w:color="auto"/>
        <w:bottom w:val="none" w:sz="0" w:space="0" w:color="auto"/>
        <w:right w:val="none" w:sz="0" w:space="0" w:color="auto"/>
      </w:divBdr>
    </w:div>
    <w:div w:id="2060981000">
      <w:bodyDiv w:val="1"/>
      <w:marLeft w:val="0"/>
      <w:marRight w:val="0"/>
      <w:marTop w:val="0"/>
      <w:marBottom w:val="0"/>
      <w:divBdr>
        <w:top w:val="none" w:sz="0" w:space="0" w:color="auto"/>
        <w:left w:val="none" w:sz="0" w:space="0" w:color="auto"/>
        <w:bottom w:val="none" w:sz="0" w:space="0" w:color="auto"/>
        <w:right w:val="none" w:sz="0" w:space="0" w:color="auto"/>
      </w:divBdr>
    </w:div>
    <w:div w:id="2063361917">
      <w:bodyDiv w:val="1"/>
      <w:marLeft w:val="0"/>
      <w:marRight w:val="0"/>
      <w:marTop w:val="0"/>
      <w:marBottom w:val="0"/>
      <w:divBdr>
        <w:top w:val="none" w:sz="0" w:space="0" w:color="auto"/>
        <w:left w:val="none" w:sz="0" w:space="0" w:color="auto"/>
        <w:bottom w:val="none" w:sz="0" w:space="0" w:color="auto"/>
        <w:right w:val="none" w:sz="0" w:space="0" w:color="auto"/>
      </w:divBdr>
    </w:div>
    <w:div w:id="2066751976">
      <w:bodyDiv w:val="1"/>
      <w:marLeft w:val="0"/>
      <w:marRight w:val="0"/>
      <w:marTop w:val="0"/>
      <w:marBottom w:val="0"/>
      <w:divBdr>
        <w:top w:val="none" w:sz="0" w:space="0" w:color="auto"/>
        <w:left w:val="none" w:sz="0" w:space="0" w:color="auto"/>
        <w:bottom w:val="none" w:sz="0" w:space="0" w:color="auto"/>
        <w:right w:val="none" w:sz="0" w:space="0" w:color="auto"/>
      </w:divBdr>
    </w:div>
    <w:div w:id="2067026011">
      <w:bodyDiv w:val="1"/>
      <w:marLeft w:val="0"/>
      <w:marRight w:val="0"/>
      <w:marTop w:val="0"/>
      <w:marBottom w:val="0"/>
      <w:divBdr>
        <w:top w:val="none" w:sz="0" w:space="0" w:color="auto"/>
        <w:left w:val="none" w:sz="0" w:space="0" w:color="auto"/>
        <w:bottom w:val="none" w:sz="0" w:space="0" w:color="auto"/>
        <w:right w:val="none" w:sz="0" w:space="0" w:color="auto"/>
      </w:divBdr>
    </w:div>
    <w:div w:id="2071034344">
      <w:bodyDiv w:val="1"/>
      <w:marLeft w:val="0"/>
      <w:marRight w:val="0"/>
      <w:marTop w:val="0"/>
      <w:marBottom w:val="0"/>
      <w:divBdr>
        <w:top w:val="none" w:sz="0" w:space="0" w:color="auto"/>
        <w:left w:val="none" w:sz="0" w:space="0" w:color="auto"/>
        <w:bottom w:val="none" w:sz="0" w:space="0" w:color="auto"/>
        <w:right w:val="none" w:sz="0" w:space="0" w:color="auto"/>
      </w:divBdr>
    </w:div>
    <w:div w:id="2071297577">
      <w:bodyDiv w:val="1"/>
      <w:marLeft w:val="0"/>
      <w:marRight w:val="0"/>
      <w:marTop w:val="0"/>
      <w:marBottom w:val="0"/>
      <w:divBdr>
        <w:top w:val="none" w:sz="0" w:space="0" w:color="auto"/>
        <w:left w:val="none" w:sz="0" w:space="0" w:color="auto"/>
        <w:bottom w:val="none" w:sz="0" w:space="0" w:color="auto"/>
        <w:right w:val="none" w:sz="0" w:space="0" w:color="auto"/>
      </w:divBdr>
    </w:div>
    <w:div w:id="2075471078">
      <w:bodyDiv w:val="1"/>
      <w:marLeft w:val="0"/>
      <w:marRight w:val="0"/>
      <w:marTop w:val="0"/>
      <w:marBottom w:val="0"/>
      <w:divBdr>
        <w:top w:val="none" w:sz="0" w:space="0" w:color="auto"/>
        <w:left w:val="none" w:sz="0" w:space="0" w:color="auto"/>
        <w:bottom w:val="none" w:sz="0" w:space="0" w:color="auto"/>
        <w:right w:val="none" w:sz="0" w:space="0" w:color="auto"/>
      </w:divBdr>
    </w:div>
    <w:div w:id="2080247509">
      <w:bodyDiv w:val="1"/>
      <w:marLeft w:val="0"/>
      <w:marRight w:val="0"/>
      <w:marTop w:val="0"/>
      <w:marBottom w:val="0"/>
      <w:divBdr>
        <w:top w:val="none" w:sz="0" w:space="0" w:color="auto"/>
        <w:left w:val="none" w:sz="0" w:space="0" w:color="auto"/>
        <w:bottom w:val="none" w:sz="0" w:space="0" w:color="auto"/>
        <w:right w:val="none" w:sz="0" w:space="0" w:color="auto"/>
      </w:divBdr>
    </w:div>
    <w:div w:id="2082098735">
      <w:bodyDiv w:val="1"/>
      <w:marLeft w:val="0"/>
      <w:marRight w:val="0"/>
      <w:marTop w:val="0"/>
      <w:marBottom w:val="0"/>
      <w:divBdr>
        <w:top w:val="none" w:sz="0" w:space="0" w:color="auto"/>
        <w:left w:val="none" w:sz="0" w:space="0" w:color="auto"/>
        <w:bottom w:val="none" w:sz="0" w:space="0" w:color="auto"/>
        <w:right w:val="none" w:sz="0" w:space="0" w:color="auto"/>
      </w:divBdr>
    </w:div>
    <w:div w:id="2083142450">
      <w:bodyDiv w:val="1"/>
      <w:marLeft w:val="0"/>
      <w:marRight w:val="0"/>
      <w:marTop w:val="0"/>
      <w:marBottom w:val="0"/>
      <w:divBdr>
        <w:top w:val="none" w:sz="0" w:space="0" w:color="auto"/>
        <w:left w:val="none" w:sz="0" w:space="0" w:color="auto"/>
        <w:bottom w:val="none" w:sz="0" w:space="0" w:color="auto"/>
        <w:right w:val="none" w:sz="0" w:space="0" w:color="auto"/>
      </w:divBdr>
    </w:div>
    <w:div w:id="2086031833">
      <w:bodyDiv w:val="1"/>
      <w:marLeft w:val="0"/>
      <w:marRight w:val="0"/>
      <w:marTop w:val="0"/>
      <w:marBottom w:val="0"/>
      <w:divBdr>
        <w:top w:val="none" w:sz="0" w:space="0" w:color="auto"/>
        <w:left w:val="none" w:sz="0" w:space="0" w:color="auto"/>
        <w:bottom w:val="none" w:sz="0" w:space="0" w:color="auto"/>
        <w:right w:val="none" w:sz="0" w:space="0" w:color="auto"/>
      </w:divBdr>
    </w:div>
    <w:div w:id="2090345229">
      <w:bodyDiv w:val="1"/>
      <w:marLeft w:val="0"/>
      <w:marRight w:val="0"/>
      <w:marTop w:val="0"/>
      <w:marBottom w:val="0"/>
      <w:divBdr>
        <w:top w:val="none" w:sz="0" w:space="0" w:color="auto"/>
        <w:left w:val="none" w:sz="0" w:space="0" w:color="auto"/>
        <w:bottom w:val="none" w:sz="0" w:space="0" w:color="auto"/>
        <w:right w:val="none" w:sz="0" w:space="0" w:color="auto"/>
      </w:divBdr>
    </w:div>
    <w:div w:id="2090615192">
      <w:bodyDiv w:val="1"/>
      <w:marLeft w:val="0"/>
      <w:marRight w:val="0"/>
      <w:marTop w:val="0"/>
      <w:marBottom w:val="0"/>
      <w:divBdr>
        <w:top w:val="none" w:sz="0" w:space="0" w:color="auto"/>
        <w:left w:val="none" w:sz="0" w:space="0" w:color="auto"/>
        <w:bottom w:val="none" w:sz="0" w:space="0" w:color="auto"/>
        <w:right w:val="none" w:sz="0" w:space="0" w:color="auto"/>
      </w:divBdr>
    </w:div>
    <w:div w:id="2096897130">
      <w:bodyDiv w:val="1"/>
      <w:marLeft w:val="0"/>
      <w:marRight w:val="0"/>
      <w:marTop w:val="0"/>
      <w:marBottom w:val="0"/>
      <w:divBdr>
        <w:top w:val="none" w:sz="0" w:space="0" w:color="auto"/>
        <w:left w:val="none" w:sz="0" w:space="0" w:color="auto"/>
        <w:bottom w:val="none" w:sz="0" w:space="0" w:color="auto"/>
        <w:right w:val="none" w:sz="0" w:space="0" w:color="auto"/>
      </w:divBdr>
    </w:div>
    <w:div w:id="2097362071">
      <w:bodyDiv w:val="1"/>
      <w:marLeft w:val="0"/>
      <w:marRight w:val="0"/>
      <w:marTop w:val="0"/>
      <w:marBottom w:val="0"/>
      <w:divBdr>
        <w:top w:val="none" w:sz="0" w:space="0" w:color="auto"/>
        <w:left w:val="none" w:sz="0" w:space="0" w:color="auto"/>
        <w:bottom w:val="none" w:sz="0" w:space="0" w:color="auto"/>
        <w:right w:val="none" w:sz="0" w:space="0" w:color="auto"/>
      </w:divBdr>
    </w:div>
    <w:div w:id="2110737181">
      <w:bodyDiv w:val="1"/>
      <w:marLeft w:val="0"/>
      <w:marRight w:val="0"/>
      <w:marTop w:val="0"/>
      <w:marBottom w:val="0"/>
      <w:divBdr>
        <w:top w:val="none" w:sz="0" w:space="0" w:color="auto"/>
        <w:left w:val="none" w:sz="0" w:space="0" w:color="auto"/>
        <w:bottom w:val="none" w:sz="0" w:space="0" w:color="auto"/>
        <w:right w:val="none" w:sz="0" w:space="0" w:color="auto"/>
      </w:divBdr>
    </w:div>
    <w:div w:id="2111922806">
      <w:bodyDiv w:val="1"/>
      <w:marLeft w:val="0"/>
      <w:marRight w:val="0"/>
      <w:marTop w:val="0"/>
      <w:marBottom w:val="0"/>
      <w:divBdr>
        <w:top w:val="none" w:sz="0" w:space="0" w:color="auto"/>
        <w:left w:val="none" w:sz="0" w:space="0" w:color="auto"/>
        <w:bottom w:val="none" w:sz="0" w:space="0" w:color="auto"/>
        <w:right w:val="none" w:sz="0" w:space="0" w:color="auto"/>
      </w:divBdr>
    </w:div>
    <w:div w:id="2115247783">
      <w:bodyDiv w:val="1"/>
      <w:marLeft w:val="0"/>
      <w:marRight w:val="0"/>
      <w:marTop w:val="0"/>
      <w:marBottom w:val="0"/>
      <w:divBdr>
        <w:top w:val="none" w:sz="0" w:space="0" w:color="auto"/>
        <w:left w:val="none" w:sz="0" w:space="0" w:color="auto"/>
        <w:bottom w:val="none" w:sz="0" w:space="0" w:color="auto"/>
        <w:right w:val="none" w:sz="0" w:space="0" w:color="auto"/>
      </w:divBdr>
    </w:div>
    <w:div w:id="2120179556">
      <w:bodyDiv w:val="1"/>
      <w:marLeft w:val="0"/>
      <w:marRight w:val="0"/>
      <w:marTop w:val="0"/>
      <w:marBottom w:val="0"/>
      <w:divBdr>
        <w:top w:val="none" w:sz="0" w:space="0" w:color="auto"/>
        <w:left w:val="none" w:sz="0" w:space="0" w:color="auto"/>
        <w:bottom w:val="none" w:sz="0" w:space="0" w:color="auto"/>
        <w:right w:val="none" w:sz="0" w:space="0" w:color="auto"/>
      </w:divBdr>
    </w:div>
    <w:div w:id="2123650814">
      <w:bodyDiv w:val="1"/>
      <w:marLeft w:val="0"/>
      <w:marRight w:val="0"/>
      <w:marTop w:val="0"/>
      <w:marBottom w:val="0"/>
      <w:divBdr>
        <w:top w:val="none" w:sz="0" w:space="0" w:color="auto"/>
        <w:left w:val="none" w:sz="0" w:space="0" w:color="auto"/>
        <w:bottom w:val="none" w:sz="0" w:space="0" w:color="auto"/>
        <w:right w:val="none" w:sz="0" w:space="0" w:color="auto"/>
      </w:divBdr>
    </w:div>
    <w:div w:id="2130124197">
      <w:bodyDiv w:val="1"/>
      <w:marLeft w:val="0"/>
      <w:marRight w:val="0"/>
      <w:marTop w:val="0"/>
      <w:marBottom w:val="0"/>
      <w:divBdr>
        <w:top w:val="none" w:sz="0" w:space="0" w:color="auto"/>
        <w:left w:val="none" w:sz="0" w:space="0" w:color="auto"/>
        <w:bottom w:val="none" w:sz="0" w:space="0" w:color="auto"/>
        <w:right w:val="none" w:sz="0" w:space="0" w:color="auto"/>
      </w:divBdr>
    </w:div>
    <w:div w:id="2133551790">
      <w:bodyDiv w:val="1"/>
      <w:marLeft w:val="0"/>
      <w:marRight w:val="0"/>
      <w:marTop w:val="0"/>
      <w:marBottom w:val="0"/>
      <w:divBdr>
        <w:top w:val="none" w:sz="0" w:space="0" w:color="auto"/>
        <w:left w:val="none" w:sz="0" w:space="0" w:color="auto"/>
        <w:bottom w:val="none" w:sz="0" w:space="0" w:color="auto"/>
        <w:right w:val="none" w:sz="0" w:space="0" w:color="auto"/>
      </w:divBdr>
    </w:div>
    <w:div w:id="214160493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hyperlink" Target="http://www.aiatsis.gov.au/about/who-we-are/corporate-information" TargetMode="External"/><Relationship Id="rId299" Type="http://schemas.openxmlformats.org/officeDocument/2006/relationships/footer" Target="footer89.xml"/><Relationship Id="rId21" Type="http://schemas.openxmlformats.org/officeDocument/2006/relationships/header" Target="header2.xml"/><Relationship Id="rId63" Type="http://schemas.openxmlformats.org/officeDocument/2006/relationships/header" Target="header20.xml"/><Relationship Id="rId159" Type="http://schemas.openxmlformats.org/officeDocument/2006/relationships/header" Target="header45.xml"/><Relationship Id="rId324" Type="http://schemas.openxmlformats.org/officeDocument/2006/relationships/image" Target="media/image108.emf"/><Relationship Id="rId366" Type="http://schemas.openxmlformats.org/officeDocument/2006/relationships/image" Target="media/image122.emf"/><Relationship Id="rId170" Type="http://schemas.openxmlformats.org/officeDocument/2006/relationships/image" Target="media/image52.emf"/><Relationship Id="rId226" Type="http://schemas.openxmlformats.org/officeDocument/2006/relationships/footer" Target="footer70.xml"/><Relationship Id="rId433" Type="http://schemas.openxmlformats.org/officeDocument/2006/relationships/image" Target="media/image151.emf"/><Relationship Id="rId268" Type="http://schemas.openxmlformats.org/officeDocument/2006/relationships/header" Target="header74.xml"/><Relationship Id="rId475" Type="http://schemas.openxmlformats.org/officeDocument/2006/relationships/image" Target="media/image162.emf"/><Relationship Id="rId32" Type="http://schemas.openxmlformats.org/officeDocument/2006/relationships/header" Target="header8.xml"/><Relationship Id="rId74" Type="http://schemas.openxmlformats.org/officeDocument/2006/relationships/image" Target="media/image15.emf"/><Relationship Id="rId128" Type="http://schemas.openxmlformats.org/officeDocument/2006/relationships/image" Target="media/image35.emf"/><Relationship Id="rId335" Type="http://schemas.openxmlformats.org/officeDocument/2006/relationships/image" Target="media/image112.emf"/><Relationship Id="rId377" Type="http://schemas.openxmlformats.org/officeDocument/2006/relationships/header" Target="header107.xml"/><Relationship Id="rId500" Type="http://schemas.openxmlformats.org/officeDocument/2006/relationships/header" Target="header147.xml"/><Relationship Id="rId5" Type="http://schemas.openxmlformats.org/officeDocument/2006/relationships/customXml" Target="../customXml/item5.xml"/><Relationship Id="rId181" Type="http://schemas.openxmlformats.org/officeDocument/2006/relationships/footer" Target="footer53.xml"/><Relationship Id="rId237" Type="http://schemas.openxmlformats.org/officeDocument/2006/relationships/header" Target="header64.xml"/><Relationship Id="rId402" Type="http://schemas.openxmlformats.org/officeDocument/2006/relationships/footer" Target="footer122.xml"/><Relationship Id="rId279" Type="http://schemas.openxmlformats.org/officeDocument/2006/relationships/footer" Target="footer86.xml"/><Relationship Id="rId444" Type="http://schemas.openxmlformats.org/officeDocument/2006/relationships/header" Target="header128.xml"/><Relationship Id="rId486" Type="http://schemas.openxmlformats.org/officeDocument/2006/relationships/image" Target="media/image168.emf"/><Relationship Id="rId43" Type="http://schemas.openxmlformats.org/officeDocument/2006/relationships/footer" Target="footer11.xml"/><Relationship Id="rId139" Type="http://schemas.openxmlformats.org/officeDocument/2006/relationships/footer" Target="footer43.xml"/><Relationship Id="rId290" Type="http://schemas.openxmlformats.org/officeDocument/2006/relationships/footer" Target="footer88.xml"/><Relationship Id="rId304" Type="http://schemas.openxmlformats.org/officeDocument/2006/relationships/footer" Target="footer91.xml"/><Relationship Id="rId346" Type="http://schemas.openxmlformats.org/officeDocument/2006/relationships/header" Target="header97.xml"/><Relationship Id="rId388" Type="http://schemas.openxmlformats.org/officeDocument/2006/relationships/image" Target="media/image133.emf"/><Relationship Id="rId85" Type="http://schemas.openxmlformats.org/officeDocument/2006/relationships/footer" Target="footer25.xml"/><Relationship Id="rId150" Type="http://schemas.openxmlformats.org/officeDocument/2006/relationships/image" Target="media/image42.emf"/><Relationship Id="rId192" Type="http://schemas.openxmlformats.org/officeDocument/2006/relationships/image" Target="media/image61.emf"/><Relationship Id="rId206" Type="http://schemas.openxmlformats.org/officeDocument/2006/relationships/header" Target="header56.xml"/><Relationship Id="rId413" Type="http://schemas.openxmlformats.org/officeDocument/2006/relationships/image" Target="media/image144.emf"/><Relationship Id="rId248" Type="http://schemas.openxmlformats.org/officeDocument/2006/relationships/footer" Target="footer76.xml"/><Relationship Id="rId455" Type="http://schemas.openxmlformats.org/officeDocument/2006/relationships/footer" Target="footer141.xml"/><Relationship Id="rId497" Type="http://schemas.openxmlformats.org/officeDocument/2006/relationships/footer" Target="footer153.xml"/><Relationship Id="rId12" Type="http://schemas.openxmlformats.org/officeDocument/2006/relationships/image" Target="media/image1.jpeg"/><Relationship Id="rId108" Type="http://schemas.openxmlformats.org/officeDocument/2006/relationships/footer" Target="footer32.xml"/><Relationship Id="rId315" Type="http://schemas.openxmlformats.org/officeDocument/2006/relationships/footer" Target="footer94.xml"/><Relationship Id="rId357" Type="http://schemas.openxmlformats.org/officeDocument/2006/relationships/header" Target="header103.xml"/><Relationship Id="rId54" Type="http://schemas.openxmlformats.org/officeDocument/2006/relationships/footer" Target="footer17.xml"/><Relationship Id="rId96" Type="http://schemas.openxmlformats.org/officeDocument/2006/relationships/footer" Target="footer30.xml"/><Relationship Id="rId161" Type="http://schemas.openxmlformats.org/officeDocument/2006/relationships/footer" Target="footer47.xml"/><Relationship Id="rId217" Type="http://schemas.openxmlformats.org/officeDocument/2006/relationships/footer" Target="footer66.xml"/><Relationship Id="rId399" Type="http://schemas.openxmlformats.org/officeDocument/2006/relationships/image" Target="media/image138.emf"/><Relationship Id="rId259" Type="http://schemas.openxmlformats.org/officeDocument/2006/relationships/header" Target="header71.xml"/><Relationship Id="rId424" Type="http://schemas.openxmlformats.org/officeDocument/2006/relationships/footer" Target="footer130.xml"/><Relationship Id="rId466" Type="http://schemas.openxmlformats.org/officeDocument/2006/relationships/footer" Target="footer143.xml"/><Relationship Id="rId23" Type="http://schemas.openxmlformats.org/officeDocument/2006/relationships/image" Target="media/image3.PNG"/><Relationship Id="rId119" Type="http://schemas.openxmlformats.org/officeDocument/2006/relationships/header" Target="header36.xml"/><Relationship Id="rId270" Type="http://schemas.openxmlformats.org/officeDocument/2006/relationships/footer" Target="footer84.xml"/><Relationship Id="rId326" Type="http://schemas.openxmlformats.org/officeDocument/2006/relationships/hyperlink" Target="http://www.recovery.gov.au/about-us/governance-and-reporting/reporting-and-publications" TargetMode="External"/><Relationship Id="rId65" Type="http://schemas.openxmlformats.org/officeDocument/2006/relationships/footer" Target="footer22.xml"/><Relationship Id="rId130" Type="http://schemas.openxmlformats.org/officeDocument/2006/relationships/image" Target="media/image37.emf"/><Relationship Id="rId368" Type="http://schemas.openxmlformats.org/officeDocument/2006/relationships/image" Target="media/image124.emf"/><Relationship Id="rId172" Type="http://schemas.openxmlformats.org/officeDocument/2006/relationships/image" Target="media/image54.emf"/><Relationship Id="rId228" Type="http://schemas.openxmlformats.org/officeDocument/2006/relationships/image" Target="media/image72.emf"/><Relationship Id="rId435" Type="http://schemas.openxmlformats.org/officeDocument/2006/relationships/image" Target="media/image153.emf"/><Relationship Id="rId477" Type="http://schemas.openxmlformats.org/officeDocument/2006/relationships/header" Target="header138.xml"/><Relationship Id="rId281" Type="http://schemas.openxmlformats.org/officeDocument/2006/relationships/footer" Target="footer87.xml"/><Relationship Id="rId337" Type="http://schemas.openxmlformats.org/officeDocument/2006/relationships/image" Target="media/image114.emf"/><Relationship Id="rId502" Type="http://schemas.openxmlformats.org/officeDocument/2006/relationships/footer" Target="footer154.xml"/><Relationship Id="rId34" Type="http://schemas.openxmlformats.org/officeDocument/2006/relationships/footer" Target="footer6.xml"/><Relationship Id="rId76" Type="http://schemas.openxmlformats.org/officeDocument/2006/relationships/header" Target="header22.xml"/><Relationship Id="rId141" Type="http://schemas.openxmlformats.org/officeDocument/2006/relationships/header" Target="header43.xml"/><Relationship Id="rId379" Type="http://schemas.openxmlformats.org/officeDocument/2006/relationships/header" Target="header108.xml"/><Relationship Id="rId7" Type="http://schemas.openxmlformats.org/officeDocument/2006/relationships/styles" Target="styles.xml"/><Relationship Id="rId183" Type="http://schemas.openxmlformats.org/officeDocument/2006/relationships/footer" Target="footer54.xml"/><Relationship Id="rId239" Type="http://schemas.openxmlformats.org/officeDocument/2006/relationships/header" Target="header65.xml"/><Relationship Id="rId390" Type="http://schemas.openxmlformats.org/officeDocument/2006/relationships/header" Target="header112.xml"/><Relationship Id="rId404" Type="http://schemas.openxmlformats.org/officeDocument/2006/relationships/header" Target="header115.xml"/><Relationship Id="rId446" Type="http://schemas.openxmlformats.org/officeDocument/2006/relationships/footer" Target="footer137.xml"/><Relationship Id="rId250" Type="http://schemas.openxmlformats.org/officeDocument/2006/relationships/image" Target="media/image82.emf"/><Relationship Id="rId292" Type="http://schemas.openxmlformats.org/officeDocument/2006/relationships/image" Target="media/image96.emf"/><Relationship Id="rId306" Type="http://schemas.openxmlformats.org/officeDocument/2006/relationships/footer" Target="footer92.xml"/><Relationship Id="rId488" Type="http://schemas.openxmlformats.org/officeDocument/2006/relationships/image" Target="media/image170.emf"/><Relationship Id="rId45" Type="http://schemas.openxmlformats.org/officeDocument/2006/relationships/header" Target="header15.xml"/><Relationship Id="rId87" Type="http://schemas.openxmlformats.org/officeDocument/2006/relationships/footer" Target="footer26.xml"/><Relationship Id="rId110" Type="http://schemas.openxmlformats.org/officeDocument/2006/relationships/header" Target="header33.xml"/><Relationship Id="rId348" Type="http://schemas.openxmlformats.org/officeDocument/2006/relationships/header" Target="header99.xml"/><Relationship Id="rId152" Type="http://schemas.openxmlformats.org/officeDocument/2006/relationships/image" Target="media/image44.emf"/><Relationship Id="rId173" Type="http://schemas.openxmlformats.org/officeDocument/2006/relationships/image" Target="media/image55.emf"/><Relationship Id="rId194" Type="http://schemas.openxmlformats.org/officeDocument/2006/relationships/hyperlink" Target="https://www.dta.gov.au/" TargetMode="External"/><Relationship Id="rId208" Type="http://schemas.openxmlformats.org/officeDocument/2006/relationships/image" Target="media/image68.emf"/><Relationship Id="rId229" Type="http://schemas.openxmlformats.org/officeDocument/2006/relationships/image" Target="media/image73.emf"/><Relationship Id="rId380" Type="http://schemas.openxmlformats.org/officeDocument/2006/relationships/header" Target="header109.xml"/><Relationship Id="rId415" Type="http://schemas.openxmlformats.org/officeDocument/2006/relationships/header" Target="header119.xml"/><Relationship Id="rId436" Type="http://schemas.openxmlformats.org/officeDocument/2006/relationships/header" Target="header124.xml"/><Relationship Id="rId457" Type="http://schemas.openxmlformats.org/officeDocument/2006/relationships/image" Target="media/image156.emf"/><Relationship Id="rId240" Type="http://schemas.openxmlformats.org/officeDocument/2006/relationships/header" Target="header66.xml"/><Relationship Id="rId261" Type="http://schemas.openxmlformats.org/officeDocument/2006/relationships/footer" Target="footer78.xml"/><Relationship Id="rId478" Type="http://schemas.openxmlformats.org/officeDocument/2006/relationships/header" Target="header139.xml"/><Relationship Id="rId499" Type="http://schemas.openxmlformats.org/officeDocument/2006/relationships/header" Target="header146.xml"/><Relationship Id="rId14" Type="http://schemas.openxmlformats.org/officeDocument/2006/relationships/footer" Target="footer1.xml"/><Relationship Id="rId35" Type="http://schemas.openxmlformats.org/officeDocument/2006/relationships/footer" Target="footer7.xml"/><Relationship Id="rId56" Type="http://schemas.openxmlformats.org/officeDocument/2006/relationships/footer" Target="footer19.xml"/><Relationship Id="rId77" Type="http://schemas.openxmlformats.org/officeDocument/2006/relationships/image" Target="media/image17.emf"/><Relationship Id="rId100" Type="http://schemas.openxmlformats.org/officeDocument/2006/relationships/image" Target="media/image26.emf"/><Relationship Id="rId282" Type="http://schemas.openxmlformats.org/officeDocument/2006/relationships/image" Target="media/image93.emf"/><Relationship Id="rId317" Type="http://schemas.openxmlformats.org/officeDocument/2006/relationships/footer" Target="footer95.xml"/><Relationship Id="rId338" Type="http://schemas.openxmlformats.org/officeDocument/2006/relationships/image" Target="media/image115.emf"/><Relationship Id="rId359" Type="http://schemas.openxmlformats.org/officeDocument/2006/relationships/image" Target="media/image121.emf"/><Relationship Id="rId503" Type="http://schemas.openxmlformats.org/officeDocument/2006/relationships/header" Target="header149.xml"/><Relationship Id="rId8" Type="http://schemas.openxmlformats.org/officeDocument/2006/relationships/settings" Target="settings.xml"/><Relationship Id="rId98" Type="http://schemas.openxmlformats.org/officeDocument/2006/relationships/image" Target="media/image24.emf"/><Relationship Id="rId121" Type="http://schemas.openxmlformats.org/officeDocument/2006/relationships/footer" Target="footer38.xml"/><Relationship Id="rId142" Type="http://schemas.openxmlformats.org/officeDocument/2006/relationships/footer" Target="footer45.xml"/><Relationship Id="rId163" Type="http://schemas.openxmlformats.org/officeDocument/2006/relationships/header" Target="header46.xml"/><Relationship Id="rId184" Type="http://schemas.openxmlformats.org/officeDocument/2006/relationships/header" Target="header51.xml"/><Relationship Id="rId219" Type="http://schemas.openxmlformats.org/officeDocument/2006/relationships/image" Target="media/image69.emf"/><Relationship Id="rId370" Type="http://schemas.openxmlformats.org/officeDocument/2006/relationships/image" Target="media/image126.emf"/><Relationship Id="rId391" Type="http://schemas.openxmlformats.org/officeDocument/2006/relationships/footer" Target="footer119.xml"/><Relationship Id="rId405" Type="http://schemas.openxmlformats.org/officeDocument/2006/relationships/header" Target="header116.xml"/><Relationship Id="rId426" Type="http://schemas.openxmlformats.org/officeDocument/2006/relationships/footer" Target="footer131.xml"/><Relationship Id="rId447" Type="http://schemas.openxmlformats.org/officeDocument/2006/relationships/header" Target="header129.xml"/><Relationship Id="rId230" Type="http://schemas.openxmlformats.org/officeDocument/2006/relationships/image" Target="media/image74.emf"/><Relationship Id="rId251" Type="http://schemas.openxmlformats.org/officeDocument/2006/relationships/image" Target="media/image83.emf"/><Relationship Id="rId468" Type="http://schemas.openxmlformats.org/officeDocument/2006/relationships/header" Target="header135.xml"/><Relationship Id="rId489" Type="http://schemas.openxmlformats.org/officeDocument/2006/relationships/image" Target="media/image171.emf"/><Relationship Id="rId25" Type="http://schemas.openxmlformats.org/officeDocument/2006/relationships/header" Target="header3.xml"/><Relationship Id="rId46" Type="http://schemas.openxmlformats.org/officeDocument/2006/relationships/footer" Target="footer12.xml"/><Relationship Id="rId67" Type="http://schemas.openxmlformats.org/officeDocument/2006/relationships/footer" Target="footer23.xml"/><Relationship Id="rId272" Type="http://schemas.openxmlformats.org/officeDocument/2006/relationships/hyperlink" Target="http://www.federalfinancialrelations.gov.au/sites/federalfinancialrelations.gov.au/files/2020-04/nt_remote_aboriginal_investment_np.pdf" TargetMode="External"/><Relationship Id="rId293" Type="http://schemas.openxmlformats.org/officeDocument/2006/relationships/image" Target="media/image97.emf"/><Relationship Id="rId307" Type="http://schemas.openxmlformats.org/officeDocument/2006/relationships/image" Target="media/image103.emf"/><Relationship Id="rId328" Type="http://schemas.openxmlformats.org/officeDocument/2006/relationships/header" Target="header94.xml"/><Relationship Id="rId349" Type="http://schemas.openxmlformats.org/officeDocument/2006/relationships/footer" Target="footer103.xml"/><Relationship Id="rId88" Type="http://schemas.openxmlformats.org/officeDocument/2006/relationships/header" Target="header26.xml"/><Relationship Id="rId111" Type="http://schemas.openxmlformats.org/officeDocument/2006/relationships/footer" Target="footer34.xml"/><Relationship Id="rId132" Type="http://schemas.openxmlformats.org/officeDocument/2006/relationships/header" Target="header39.xml"/><Relationship Id="rId153" Type="http://schemas.openxmlformats.org/officeDocument/2006/relationships/image" Target="media/image45.emf"/><Relationship Id="rId174" Type="http://schemas.openxmlformats.org/officeDocument/2006/relationships/image" Target="media/image56.emf"/><Relationship Id="rId195" Type="http://schemas.openxmlformats.org/officeDocument/2006/relationships/hyperlink" Target="https://www.dta.gov.au/" TargetMode="External"/><Relationship Id="rId209" Type="http://schemas.openxmlformats.org/officeDocument/2006/relationships/header" Target="header57.xml"/><Relationship Id="rId360" Type="http://schemas.openxmlformats.org/officeDocument/2006/relationships/header" Target="header104.xml"/><Relationship Id="rId381" Type="http://schemas.openxmlformats.org/officeDocument/2006/relationships/footer" Target="footer113.xml"/><Relationship Id="rId416" Type="http://schemas.openxmlformats.org/officeDocument/2006/relationships/footer" Target="footer126.xml"/><Relationship Id="rId220" Type="http://schemas.openxmlformats.org/officeDocument/2006/relationships/image" Target="media/image70.emf"/><Relationship Id="rId241" Type="http://schemas.openxmlformats.org/officeDocument/2006/relationships/footer" Target="footer72.xml"/><Relationship Id="rId437" Type="http://schemas.openxmlformats.org/officeDocument/2006/relationships/header" Target="header125.xml"/><Relationship Id="rId458" Type="http://schemas.openxmlformats.org/officeDocument/2006/relationships/image" Target="media/image157.emf"/><Relationship Id="rId479" Type="http://schemas.openxmlformats.org/officeDocument/2006/relationships/footer" Target="footer148.xml"/><Relationship Id="rId15" Type="http://schemas.openxmlformats.org/officeDocument/2006/relationships/hyperlink" Target="http://creativecommons.org/licenses/by/3.0/au/deed.en" TargetMode="External"/><Relationship Id="rId36" Type="http://schemas.openxmlformats.org/officeDocument/2006/relationships/header" Target="header10.xml"/><Relationship Id="rId57" Type="http://schemas.openxmlformats.org/officeDocument/2006/relationships/footer" Target="footer20.xml"/><Relationship Id="rId262" Type="http://schemas.openxmlformats.org/officeDocument/2006/relationships/footer" Target="footer79.xml"/><Relationship Id="rId283" Type="http://schemas.openxmlformats.org/officeDocument/2006/relationships/image" Target="media/image94.emf"/><Relationship Id="rId318" Type="http://schemas.openxmlformats.org/officeDocument/2006/relationships/header" Target="header90.xml"/><Relationship Id="rId339" Type="http://schemas.openxmlformats.org/officeDocument/2006/relationships/image" Target="media/image116.emf"/><Relationship Id="rId490" Type="http://schemas.openxmlformats.org/officeDocument/2006/relationships/header" Target="header140.xml"/><Relationship Id="rId504" Type="http://schemas.openxmlformats.org/officeDocument/2006/relationships/footer" Target="footer155.xml"/><Relationship Id="rId78" Type="http://schemas.openxmlformats.org/officeDocument/2006/relationships/image" Target="media/image18.emf"/><Relationship Id="rId99" Type="http://schemas.openxmlformats.org/officeDocument/2006/relationships/image" Target="media/image25.emf"/><Relationship Id="rId101" Type="http://schemas.openxmlformats.org/officeDocument/2006/relationships/image" Target="media/image27.emf"/><Relationship Id="rId122" Type="http://schemas.openxmlformats.org/officeDocument/2006/relationships/header" Target="header37.xml"/><Relationship Id="rId143" Type="http://schemas.openxmlformats.org/officeDocument/2006/relationships/hyperlink" Target="http://www.anao.gov.au/" TargetMode="External"/><Relationship Id="rId164" Type="http://schemas.openxmlformats.org/officeDocument/2006/relationships/header" Target="header47.xml"/><Relationship Id="rId185" Type="http://schemas.openxmlformats.org/officeDocument/2006/relationships/header" Target="header52.xml"/><Relationship Id="rId350" Type="http://schemas.openxmlformats.org/officeDocument/2006/relationships/footer" Target="footer104.xml"/><Relationship Id="rId371" Type="http://schemas.openxmlformats.org/officeDocument/2006/relationships/image" Target="media/image127.emf"/><Relationship Id="rId406" Type="http://schemas.openxmlformats.org/officeDocument/2006/relationships/footer" Target="footer123.xml"/><Relationship Id="rId9" Type="http://schemas.openxmlformats.org/officeDocument/2006/relationships/webSettings" Target="webSettings.xml"/><Relationship Id="rId210" Type="http://schemas.openxmlformats.org/officeDocument/2006/relationships/header" Target="header58.xml"/><Relationship Id="rId392" Type="http://schemas.openxmlformats.org/officeDocument/2006/relationships/footer" Target="footer120.xml"/><Relationship Id="rId427" Type="http://schemas.openxmlformats.org/officeDocument/2006/relationships/image" Target="media/image146.emf"/><Relationship Id="rId448" Type="http://schemas.openxmlformats.org/officeDocument/2006/relationships/footer" Target="footer138.xml"/><Relationship Id="rId469" Type="http://schemas.openxmlformats.org/officeDocument/2006/relationships/footer" Target="footer144.xml"/><Relationship Id="rId26" Type="http://schemas.openxmlformats.org/officeDocument/2006/relationships/header" Target="header4.xml"/><Relationship Id="rId231" Type="http://schemas.openxmlformats.org/officeDocument/2006/relationships/image" Target="media/image75.emf"/><Relationship Id="rId252" Type="http://schemas.openxmlformats.org/officeDocument/2006/relationships/image" Target="media/image84.emf"/><Relationship Id="rId273" Type="http://schemas.openxmlformats.org/officeDocument/2006/relationships/image" Target="media/image91.emf"/><Relationship Id="rId294" Type="http://schemas.openxmlformats.org/officeDocument/2006/relationships/image" Target="media/image98.emf"/><Relationship Id="rId308" Type="http://schemas.openxmlformats.org/officeDocument/2006/relationships/image" Target="media/image104.emf"/><Relationship Id="rId329" Type="http://schemas.openxmlformats.org/officeDocument/2006/relationships/footer" Target="footer99.xml"/><Relationship Id="rId480" Type="http://schemas.openxmlformats.org/officeDocument/2006/relationships/footer" Target="footer149.xml"/><Relationship Id="rId47" Type="http://schemas.openxmlformats.org/officeDocument/2006/relationships/footer" Target="footer13.xml"/><Relationship Id="rId68" Type="http://schemas.openxmlformats.org/officeDocument/2006/relationships/image" Target="media/image9.emf"/><Relationship Id="rId89" Type="http://schemas.openxmlformats.org/officeDocument/2006/relationships/footer" Target="footer27.xml"/><Relationship Id="rId112" Type="http://schemas.openxmlformats.org/officeDocument/2006/relationships/header" Target="header34.xml"/><Relationship Id="rId133" Type="http://schemas.openxmlformats.org/officeDocument/2006/relationships/footer" Target="footer40.xml"/><Relationship Id="rId154" Type="http://schemas.openxmlformats.org/officeDocument/2006/relationships/image" Target="media/image46.emf"/><Relationship Id="rId175" Type="http://schemas.openxmlformats.org/officeDocument/2006/relationships/image" Target="media/image57.emf"/><Relationship Id="rId340" Type="http://schemas.openxmlformats.org/officeDocument/2006/relationships/image" Target="media/image117.emf"/><Relationship Id="rId361" Type="http://schemas.openxmlformats.org/officeDocument/2006/relationships/header" Target="header105.xml"/><Relationship Id="rId196" Type="http://schemas.openxmlformats.org/officeDocument/2006/relationships/header" Target="header54.xml"/><Relationship Id="rId200" Type="http://schemas.openxmlformats.org/officeDocument/2006/relationships/footer" Target="footer60.xml"/><Relationship Id="rId382" Type="http://schemas.openxmlformats.org/officeDocument/2006/relationships/footer" Target="footer114.xml"/><Relationship Id="rId417" Type="http://schemas.openxmlformats.org/officeDocument/2006/relationships/footer" Target="footer127.xml"/><Relationship Id="rId438" Type="http://schemas.openxmlformats.org/officeDocument/2006/relationships/footer" Target="footer132.xml"/><Relationship Id="rId459" Type="http://schemas.openxmlformats.org/officeDocument/2006/relationships/image" Target="media/image158.emf"/><Relationship Id="rId16" Type="http://schemas.openxmlformats.org/officeDocument/2006/relationships/hyperlink" Target="http://creativecommons.org/licenses/by/3.0/au/legalcode" TargetMode="External"/><Relationship Id="rId221" Type="http://schemas.openxmlformats.org/officeDocument/2006/relationships/header" Target="header61.xml"/><Relationship Id="rId242" Type="http://schemas.openxmlformats.org/officeDocument/2006/relationships/footer" Target="footer73.xml"/><Relationship Id="rId263" Type="http://schemas.openxmlformats.org/officeDocument/2006/relationships/header" Target="header72.xml"/><Relationship Id="rId284" Type="http://schemas.openxmlformats.org/officeDocument/2006/relationships/image" Target="media/image95.emf"/><Relationship Id="rId319" Type="http://schemas.openxmlformats.org/officeDocument/2006/relationships/header" Target="header91.xml"/><Relationship Id="rId470" Type="http://schemas.openxmlformats.org/officeDocument/2006/relationships/footer" Target="footer145.xml"/><Relationship Id="rId491" Type="http://schemas.openxmlformats.org/officeDocument/2006/relationships/header" Target="header141.xml"/><Relationship Id="rId505" Type="http://schemas.openxmlformats.org/officeDocument/2006/relationships/fontTable" Target="fontTable.xml"/><Relationship Id="rId37" Type="http://schemas.openxmlformats.org/officeDocument/2006/relationships/footer" Target="footer8.xml"/><Relationship Id="rId58" Type="http://schemas.openxmlformats.org/officeDocument/2006/relationships/image" Target="media/image5.emf"/><Relationship Id="rId79" Type="http://schemas.openxmlformats.org/officeDocument/2006/relationships/image" Target="media/image19.emf"/><Relationship Id="rId102" Type="http://schemas.openxmlformats.org/officeDocument/2006/relationships/image" Target="media/image28.emf"/><Relationship Id="rId123" Type="http://schemas.openxmlformats.org/officeDocument/2006/relationships/footer" Target="footer39.xml"/><Relationship Id="rId144" Type="http://schemas.openxmlformats.org/officeDocument/2006/relationships/image" Target="media/image38.emf"/><Relationship Id="rId330" Type="http://schemas.openxmlformats.org/officeDocument/2006/relationships/footer" Target="footer100.xml"/><Relationship Id="rId90" Type="http://schemas.openxmlformats.org/officeDocument/2006/relationships/footer" Target="footer28.xml"/><Relationship Id="rId165" Type="http://schemas.openxmlformats.org/officeDocument/2006/relationships/footer" Target="footer49.xml"/><Relationship Id="rId186" Type="http://schemas.openxmlformats.org/officeDocument/2006/relationships/footer" Target="footer55.xml"/><Relationship Id="rId351" Type="http://schemas.openxmlformats.org/officeDocument/2006/relationships/header" Target="header100.xml"/><Relationship Id="rId372" Type="http://schemas.openxmlformats.org/officeDocument/2006/relationships/image" Target="media/image128.emf"/><Relationship Id="rId393" Type="http://schemas.openxmlformats.org/officeDocument/2006/relationships/header" Target="header113.xml"/><Relationship Id="rId407" Type="http://schemas.openxmlformats.org/officeDocument/2006/relationships/footer" Target="footer124.xml"/><Relationship Id="rId428" Type="http://schemas.openxmlformats.org/officeDocument/2006/relationships/hyperlink" Target="http://www.moadoph.gov.au/about/corporate-documents/" TargetMode="External"/><Relationship Id="rId449" Type="http://schemas.openxmlformats.org/officeDocument/2006/relationships/image" Target="media/image154.emf"/><Relationship Id="rId211" Type="http://schemas.openxmlformats.org/officeDocument/2006/relationships/footer" Target="footer62.xml"/><Relationship Id="rId232" Type="http://schemas.openxmlformats.org/officeDocument/2006/relationships/image" Target="media/image76.emf"/><Relationship Id="rId253" Type="http://schemas.openxmlformats.org/officeDocument/2006/relationships/image" Target="media/image85.emf"/><Relationship Id="rId274" Type="http://schemas.openxmlformats.org/officeDocument/2006/relationships/image" Target="media/image92.emf"/><Relationship Id="rId295" Type="http://schemas.openxmlformats.org/officeDocument/2006/relationships/image" Target="media/image99.emf"/><Relationship Id="rId309" Type="http://schemas.openxmlformats.org/officeDocument/2006/relationships/image" Target="media/image105.emf"/><Relationship Id="rId460" Type="http://schemas.openxmlformats.org/officeDocument/2006/relationships/image" Target="media/image159.emf"/><Relationship Id="rId481" Type="http://schemas.openxmlformats.org/officeDocument/2006/relationships/footer" Target="footer150.xml"/><Relationship Id="rId27" Type="http://schemas.openxmlformats.org/officeDocument/2006/relationships/header" Target="header5.xml"/><Relationship Id="rId48" Type="http://schemas.openxmlformats.org/officeDocument/2006/relationships/header" Target="header16.xml"/><Relationship Id="rId69" Type="http://schemas.openxmlformats.org/officeDocument/2006/relationships/image" Target="media/image10.emf"/><Relationship Id="rId113" Type="http://schemas.openxmlformats.org/officeDocument/2006/relationships/footer" Target="footer35.xml"/><Relationship Id="rId134" Type="http://schemas.openxmlformats.org/officeDocument/2006/relationships/footer" Target="footer41.xml"/><Relationship Id="rId320" Type="http://schemas.openxmlformats.org/officeDocument/2006/relationships/footer" Target="footer96.xml"/><Relationship Id="rId80" Type="http://schemas.openxmlformats.org/officeDocument/2006/relationships/image" Target="media/image20.emf"/><Relationship Id="rId155" Type="http://schemas.openxmlformats.org/officeDocument/2006/relationships/image" Target="media/image47.emf"/><Relationship Id="rId176" Type="http://schemas.openxmlformats.org/officeDocument/2006/relationships/image" Target="media/image58.emf"/><Relationship Id="rId197" Type="http://schemas.openxmlformats.org/officeDocument/2006/relationships/header" Target="header55.xml"/><Relationship Id="rId341" Type="http://schemas.openxmlformats.org/officeDocument/2006/relationships/image" Target="media/image118.emf"/><Relationship Id="rId362" Type="http://schemas.openxmlformats.org/officeDocument/2006/relationships/footer" Target="footer109.xml"/><Relationship Id="rId383" Type="http://schemas.openxmlformats.org/officeDocument/2006/relationships/header" Target="header110.xml"/><Relationship Id="rId418" Type="http://schemas.openxmlformats.org/officeDocument/2006/relationships/image" Target="media/image145.emf"/><Relationship Id="rId439" Type="http://schemas.openxmlformats.org/officeDocument/2006/relationships/footer" Target="footer133.xml"/><Relationship Id="rId201" Type="http://schemas.openxmlformats.org/officeDocument/2006/relationships/image" Target="media/image63.emf"/><Relationship Id="rId222" Type="http://schemas.openxmlformats.org/officeDocument/2006/relationships/header" Target="header62.xml"/><Relationship Id="rId243" Type="http://schemas.openxmlformats.org/officeDocument/2006/relationships/header" Target="header67.xml"/><Relationship Id="rId264" Type="http://schemas.openxmlformats.org/officeDocument/2006/relationships/header" Target="header73.xml"/><Relationship Id="rId285" Type="http://schemas.openxmlformats.org/officeDocument/2006/relationships/hyperlink" Target="https://federalfinancialrelations.gov.au/sites/federalfinancialrelations.gov.au/files/2020-04/nt_remote_aboriginal_investment_np.pdf" TargetMode="External"/><Relationship Id="rId450" Type="http://schemas.openxmlformats.org/officeDocument/2006/relationships/hyperlink" Target="https://www.transparency.gov.au/sites/default/files/reports/tsra-corporate-plan-2020-2021-to-2023-2024-final.pdf" TargetMode="External"/><Relationship Id="rId471" Type="http://schemas.openxmlformats.org/officeDocument/2006/relationships/header" Target="header136.xml"/><Relationship Id="rId506" Type="http://schemas.openxmlformats.org/officeDocument/2006/relationships/theme" Target="theme/theme1.xml"/><Relationship Id="rId17" Type="http://schemas.openxmlformats.org/officeDocument/2006/relationships/image" Target="media/image2.png"/><Relationship Id="rId38" Type="http://schemas.openxmlformats.org/officeDocument/2006/relationships/header" Target="header11.xml"/><Relationship Id="rId59" Type="http://schemas.openxmlformats.org/officeDocument/2006/relationships/image" Target="media/image6.emf"/><Relationship Id="rId103" Type="http://schemas.openxmlformats.org/officeDocument/2006/relationships/image" Target="media/image29.emf"/><Relationship Id="rId124" Type="http://schemas.openxmlformats.org/officeDocument/2006/relationships/image" Target="media/image31.emf"/><Relationship Id="rId310" Type="http://schemas.openxmlformats.org/officeDocument/2006/relationships/image" Target="media/image106.emf"/><Relationship Id="rId492" Type="http://schemas.openxmlformats.org/officeDocument/2006/relationships/footer" Target="footer151.xml"/><Relationship Id="rId70" Type="http://schemas.openxmlformats.org/officeDocument/2006/relationships/image" Target="media/image11.emf"/><Relationship Id="rId91" Type="http://schemas.openxmlformats.org/officeDocument/2006/relationships/image" Target="media/image22.emf"/><Relationship Id="rId145" Type="http://schemas.openxmlformats.org/officeDocument/2006/relationships/hyperlink" Target="https://anao.gov.au/work/corporate/anao-corporate-plan-2021-22" TargetMode="External"/><Relationship Id="rId166" Type="http://schemas.openxmlformats.org/officeDocument/2006/relationships/footer" Target="footer50.xml"/><Relationship Id="rId187" Type="http://schemas.openxmlformats.org/officeDocument/2006/relationships/footer" Target="footer56.xml"/><Relationship Id="rId331" Type="http://schemas.openxmlformats.org/officeDocument/2006/relationships/header" Target="header95.xml"/><Relationship Id="rId352" Type="http://schemas.openxmlformats.org/officeDocument/2006/relationships/footer" Target="footer105.xml"/><Relationship Id="rId373" Type="http://schemas.openxmlformats.org/officeDocument/2006/relationships/image" Target="media/image129.emf"/><Relationship Id="rId394" Type="http://schemas.openxmlformats.org/officeDocument/2006/relationships/footer" Target="footer121.xml"/><Relationship Id="rId408" Type="http://schemas.openxmlformats.org/officeDocument/2006/relationships/header" Target="header117.xml"/><Relationship Id="rId429" Type="http://schemas.openxmlformats.org/officeDocument/2006/relationships/image" Target="media/image147.emf"/><Relationship Id="rId1" Type="http://schemas.openxmlformats.org/officeDocument/2006/relationships/customXml" Target="../customXml/item1.xml"/><Relationship Id="rId212" Type="http://schemas.openxmlformats.org/officeDocument/2006/relationships/footer" Target="footer63.xml"/><Relationship Id="rId233" Type="http://schemas.openxmlformats.org/officeDocument/2006/relationships/image" Target="media/image77.emf"/><Relationship Id="rId254" Type="http://schemas.openxmlformats.org/officeDocument/2006/relationships/image" Target="media/image86.emf"/><Relationship Id="rId440" Type="http://schemas.openxmlformats.org/officeDocument/2006/relationships/footer" Target="footer134.xml"/><Relationship Id="rId28" Type="http://schemas.openxmlformats.org/officeDocument/2006/relationships/footer" Target="footer4.xml"/><Relationship Id="rId49" Type="http://schemas.openxmlformats.org/officeDocument/2006/relationships/footer" Target="footer14.xml"/><Relationship Id="rId114" Type="http://schemas.openxmlformats.org/officeDocument/2006/relationships/footer" Target="footer36.xml"/><Relationship Id="rId275" Type="http://schemas.openxmlformats.org/officeDocument/2006/relationships/hyperlink" Target="http://www.www.niaa.gov.au/who-we-are/accountability-and-reporting" TargetMode="External"/><Relationship Id="rId296" Type="http://schemas.openxmlformats.org/officeDocument/2006/relationships/image" Target="media/image100.emf"/><Relationship Id="rId300" Type="http://schemas.openxmlformats.org/officeDocument/2006/relationships/image" Target="media/image102.emf"/><Relationship Id="rId461" Type="http://schemas.openxmlformats.org/officeDocument/2006/relationships/image" Target="media/image160.emf"/><Relationship Id="rId482" Type="http://schemas.openxmlformats.org/officeDocument/2006/relationships/image" Target="media/image164.emf"/><Relationship Id="rId60" Type="http://schemas.openxmlformats.org/officeDocument/2006/relationships/image" Target="media/image7.emf"/><Relationship Id="rId81" Type="http://schemas.openxmlformats.org/officeDocument/2006/relationships/image" Target="media/image21.emf"/><Relationship Id="rId135" Type="http://schemas.openxmlformats.org/officeDocument/2006/relationships/header" Target="header40.xml"/><Relationship Id="rId156" Type="http://schemas.openxmlformats.org/officeDocument/2006/relationships/image" Target="media/image48.emf"/><Relationship Id="rId177" Type="http://schemas.openxmlformats.org/officeDocument/2006/relationships/image" Target="media/image59.emf"/><Relationship Id="rId198" Type="http://schemas.openxmlformats.org/officeDocument/2006/relationships/footer" Target="footer58.xml"/><Relationship Id="rId321" Type="http://schemas.openxmlformats.org/officeDocument/2006/relationships/footer" Target="footer97.xml"/><Relationship Id="rId342" Type="http://schemas.openxmlformats.org/officeDocument/2006/relationships/image" Target="media/image119.emf"/><Relationship Id="rId363" Type="http://schemas.openxmlformats.org/officeDocument/2006/relationships/footer" Target="footer110.xml"/><Relationship Id="rId384" Type="http://schemas.openxmlformats.org/officeDocument/2006/relationships/footer" Target="footer115.xml"/><Relationship Id="rId419" Type="http://schemas.openxmlformats.org/officeDocument/2006/relationships/header" Target="header120.xml"/><Relationship Id="rId202" Type="http://schemas.openxmlformats.org/officeDocument/2006/relationships/image" Target="media/image64.emf"/><Relationship Id="rId223" Type="http://schemas.openxmlformats.org/officeDocument/2006/relationships/footer" Target="footer68.xml"/><Relationship Id="rId244" Type="http://schemas.openxmlformats.org/officeDocument/2006/relationships/footer" Target="footer74.xml"/><Relationship Id="rId430" Type="http://schemas.openxmlformats.org/officeDocument/2006/relationships/image" Target="media/image148.emf"/><Relationship Id="rId18" Type="http://schemas.openxmlformats.org/officeDocument/2006/relationships/hyperlink" Target="http://creativecommons.org/licenses/by/3.0/au/deed.en" TargetMode="External"/><Relationship Id="rId39" Type="http://schemas.openxmlformats.org/officeDocument/2006/relationships/header" Target="header12.xml"/><Relationship Id="rId265" Type="http://schemas.openxmlformats.org/officeDocument/2006/relationships/footer" Target="footer80.xml"/><Relationship Id="rId286" Type="http://schemas.openxmlformats.org/officeDocument/2006/relationships/header" Target="header78.xml"/><Relationship Id="rId451" Type="http://schemas.openxmlformats.org/officeDocument/2006/relationships/header" Target="header130.xml"/><Relationship Id="rId472" Type="http://schemas.openxmlformats.org/officeDocument/2006/relationships/footer" Target="footer146.xml"/><Relationship Id="rId493" Type="http://schemas.openxmlformats.org/officeDocument/2006/relationships/header" Target="header142.xml"/><Relationship Id="rId50" Type="http://schemas.openxmlformats.org/officeDocument/2006/relationships/header" Target="header17.xml"/><Relationship Id="rId104" Type="http://schemas.openxmlformats.org/officeDocument/2006/relationships/header" Target="header30.xml"/><Relationship Id="rId125" Type="http://schemas.openxmlformats.org/officeDocument/2006/relationships/image" Target="media/image32.emf"/><Relationship Id="rId146" Type="http://schemas.openxmlformats.org/officeDocument/2006/relationships/hyperlink" Target="https://anao.gov.au/work/annual-report/anao-annual-report-2020-21" TargetMode="External"/><Relationship Id="rId167" Type="http://schemas.openxmlformats.org/officeDocument/2006/relationships/footer" Target="footer51.xml"/><Relationship Id="rId188" Type="http://schemas.openxmlformats.org/officeDocument/2006/relationships/footer" Target="footer57.xml"/><Relationship Id="rId311" Type="http://schemas.openxmlformats.org/officeDocument/2006/relationships/image" Target="media/image107.emf"/><Relationship Id="rId332" Type="http://schemas.openxmlformats.org/officeDocument/2006/relationships/footer" Target="footer101.xml"/><Relationship Id="rId353" Type="http://schemas.openxmlformats.org/officeDocument/2006/relationships/header" Target="header101.xml"/><Relationship Id="rId374" Type="http://schemas.openxmlformats.org/officeDocument/2006/relationships/image" Target="media/image130.emf"/><Relationship Id="rId395" Type="http://schemas.openxmlformats.org/officeDocument/2006/relationships/image" Target="media/image134.emf"/><Relationship Id="rId409" Type="http://schemas.openxmlformats.org/officeDocument/2006/relationships/footer" Target="footer125.xml"/><Relationship Id="rId71" Type="http://schemas.openxmlformats.org/officeDocument/2006/relationships/image" Target="media/image12.emf"/><Relationship Id="rId92" Type="http://schemas.openxmlformats.org/officeDocument/2006/relationships/header" Target="header27.xml"/><Relationship Id="rId213" Type="http://schemas.openxmlformats.org/officeDocument/2006/relationships/header" Target="header59.xml"/><Relationship Id="rId234" Type="http://schemas.openxmlformats.org/officeDocument/2006/relationships/image" Target="media/image78.emf"/><Relationship Id="rId420" Type="http://schemas.openxmlformats.org/officeDocument/2006/relationships/header" Target="header121.xm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image" Target="media/image87.emf"/><Relationship Id="rId276" Type="http://schemas.openxmlformats.org/officeDocument/2006/relationships/header" Target="header75.xml"/><Relationship Id="rId297" Type="http://schemas.openxmlformats.org/officeDocument/2006/relationships/image" Target="media/image101.emf"/><Relationship Id="rId441" Type="http://schemas.openxmlformats.org/officeDocument/2006/relationships/header" Target="header126.xml"/><Relationship Id="rId462" Type="http://schemas.openxmlformats.org/officeDocument/2006/relationships/image" Target="media/image161.emf"/><Relationship Id="rId483" Type="http://schemas.openxmlformats.org/officeDocument/2006/relationships/image" Target="media/image165.emf"/><Relationship Id="rId40" Type="http://schemas.openxmlformats.org/officeDocument/2006/relationships/footer" Target="footer9.xml"/><Relationship Id="rId115" Type="http://schemas.openxmlformats.org/officeDocument/2006/relationships/image" Target="media/image30.emf"/><Relationship Id="rId136" Type="http://schemas.openxmlformats.org/officeDocument/2006/relationships/footer" Target="footer42.xml"/><Relationship Id="rId157" Type="http://schemas.openxmlformats.org/officeDocument/2006/relationships/image" Target="media/image49.emf"/><Relationship Id="rId178" Type="http://schemas.openxmlformats.org/officeDocument/2006/relationships/header" Target="header48.xml"/><Relationship Id="rId301" Type="http://schemas.openxmlformats.org/officeDocument/2006/relationships/header" Target="header84.xml"/><Relationship Id="rId322" Type="http://schemas.openxmlformats.org/officeDocument/2006/relationships/header" Target="header92.xml"/><Relationship Id="rId343" Type="http://schemas.openxmlformats.org/officeDocument/2006/relationships/image" Target="media/image120.emf"/><Relationship Id="rId364" Type="http://schemas.openxmlformats.org/officeDocument/2006/relationships/header" Target="header106.xml"/><Relationship Id="rId61" Type="http://schemas.openxmlformats.org/officeDocument/2006/relationships/image" Target="media/image8.emf"/><Relationship Id="rId82" Type="http://schemas.openxmlformats.org/officeDocument/2006/relationships/header" Target="header23.xml"/><Relationship Id="rId199" Type="http://schemas.openxmlformats.org/officeDocument/2006/relationships/footer" Target="footer59.xml"/><Relationship Id="rId203" Type="http://schemas.openxmlformats.org/officeDocument/2006/relationships/image" Target="media/image65.emf"/><Relationship Id="rId385" Type="http://schemas.openxmlformats.org/officeDocument/2006/relationships/footer" Target="footer116.xml"/><Relationship Id="rId19" Type="http://schemas.openxmlformats.org/officeDocument/2006/relationships/hyperlink" Target="http://www.pmc.gov.au/government/commonwealth-coat-arms" TargetMode="External"/><Relationship Id="rId224" Type="http://schemas.openxmlformats.org/officeDocument/2006/relationships/footer" Target="footer69.xml"/><Relationship Id="rId245" Type="http://schemas.openxmlformats.org/officeDocument/2006/relationships/header" Target="header68.xml"/><Relationship Id="rId266" Type="http://schemas.openxmlformats.org/officeDocument/2006/relationships/footer" Target="footer81.xml"/><Relationship Id="rId287" Type="http://schemas.openxmlformats.org/officeDocument/2006/relationships/header" Target="header79.xml"/><Relationship Id="rId410" Type="http://schemas.openxmlformats.org/officeDocument/2006/relationships/image" Target="media/image141.emf"/><Relationship Id="rId431" Type="http://schemas.openxmlformats.org/officeDocument/2006/relationships/image" Target="media/image149.emf"/><Relationship Id="rId452" Type="http://schemas.openxmlformats.org/officeDocument/2006/relationships/header" Target="header131.xml"/><Relationship Id="rId473" Type="http://schemas.openxmlformats.org/officeDocument/2006/relationships/header" Target="header137.xml"/><Relationship Id="rId494" Type="http://schemas.openxmlformats.org/officeDocument/2006/relationships/header" Target="header143.xml"/><Relationship Id="rId30" Type="http://schemas.openxmlformats.org/officeDocument/2006/relationships/header" Target="header7.xml"/><Relationship Id="rId105" Type="http://schemas.openxmlformats.org/officeDocument/2006/relationships/footer" Target="footer31.xml"/><Relationship Id="rId126" Type="http://schemas.openxmlformats.org/officeDocument/2006/relationships/image" Target="media/image33.emf"/><Relationship Id="rId147" Type="http://schemas.openxmlformats.org/officeDocument/2006/relationships/image" Target="media/image39.emf"/><Relationship Id="rId168" Type="http://schemas.openxmlformats.org/officeDocument/2006/relationships/image" Target="media/image50.emf"/><Relationship Id="rId312" Type="http://schemas.openxmlformats.org/officeDocument/2006/relationships/header" Target="header87.xml"/><Relationship Id="rId333" Type="http://schemas.openxmlformats.org/officeDocument/2006/relationships/image" Target="media/image110.emf"/><Relationship Id="rId354" Type="http://schemas.openxmlformats.org/officeDocument/2006/relationships/header" Target="header102.xml"/><Relationship Id="rId51" Type="http://schemas.openxmlformats.org/officeDocument/2006/relationships/header" Target="header18.xml"/><Relationship Id="rId72" Type="http://schemas.openxmlformats.org/officeDocument/2006/relationships/image" Target="media/image13.emf"/><Relationship Id="rId93" Type="http://schemas.openxmlformats.org/officeDocument/2006/relationships/header" Target="header28.xml"/><Relationship Id="rId189" Type="http://schemas.openxmlformats.org/officeDocument/2006/relationships/header" Target="header53.xml"/><Relationship Id="rId375" Type="http://schemas.openxmlformats.org/officeDocument/2006/relationships/image" Target="media/image131.emf"/><Relationship Id="rId396" Type="http://schemas.openxmlformats.org/officeDocument/2006/relationships/image" Target="media/image135.emf"/><Relationship Id="rId3" Type="http://schemas.openxmlformats.org/officeDocument/2006/relationships/customXml" Target="../customXml/item3.xml"/><Relationship Id="rId214" Type="http://schemas.openxmlformats.org/officeDocument/2006/relationships/footer" Target="footer64.xml"/><Relationship Id="rId235" Type="http://schemas.openxmlformats.org/officeDocument/2006/relationships/image" Target="media/image79.emf"/><Relationship Id="rId256" Type="http://schemas.openxmlformats.org/officeDocument/2006/relationships/image" Target="media/image88.emf"/><Relationship Id="rId277" Type="http://schemas.openxmlformats.org/officeDocument/2006/relationships/header" Target="header76.xml"/><Relationship Id="rId298" Type="http://schemas.openxmlformats.org/officeDocument/2006/relationships/header" Target="header83.xml"/><Relationship Id="rId400" Type="http://schemas.openxmlformats.org/officeDocument/2006/relationships/image" Target="media/image139.emf"/><Relationship Id="rId421" Type="http://schemas.openxmlformats.org/officeDocument/2006/relationships/footer" Target="footer128.xml"/><Relationship Id="rId442" Type="http://schemas.openxmlformats.org/officeDocument/2006/relationships/footer" Target="footer135.xml"/><Relationship Id="rId463" Type="http://schemas.openxmlformats.org/officeDocument/2006/relationships/header" Target="header132.xml"/><Relationship Id="rId484" Type="http://schemas.openxmlformats.org/officeDocument/2006/relationships/image" Target="media/image166.emf"/><Relationship Id="rId116" Type="http://schemas.openxmlformats.org/officeDocument/2006/relationships/hyperlink" Target="http://www.aiatsis.gov.au/about/who-we-are/corporate-information" TargetMode="External"/><Relationship Id="rId137" Type="http://schemas.openxmlformats.org/officeDocument/2006/relationships/header" Target="header41.xml"/><Relationship Id="rId158" Type="http://schemas.openxmlformats.org/officeDocument/2006/relationships/header" Target="header44.xml"/><Relationship Id="rId302" Type="http://schemas.openxmlformats.org/officeDocument/2006/relationships/header" Target="header85.xml"/><Relationship Id="rId323" Type="http://schemas.openxmlformats.org/officeDocument/2006/relationships/footer" Target="footer98.xml"/><Relationship Id="rId344" Type="http://schemas.openxmlformats.org/officeDocument/2006/relationships/header" Target="header96.xml"/><Relationship Id="rId20" Type="http://schemas.openxmlformats.org/officeDocument/2006/relationships/footer" Target="footer2.xml"/><Relationship Id="rId41" Type="http://schemas.openxmlformats.org/officeDocument/2006/relationships/footer" Target="footer10.xml"/><Relationship Id="rId62" Type="http://schemas.openxmlformats.org/officeDocument/2006/relationships/header" Target="header19.xml"/><Relationship Id="rId83" Type="http://schemas.openxmlformats.org/officeDocument/2006/relationships/footer" Target="footer24.xml"/><Relationship Id="rId179" Type="http://schemas.openxmlformats.org/officeDocument/2006/relationships/header" Target="header49.xml"/><Relationship Id="rId365" Type="http://schemas.openxmlformats.org/officeDocument/2006/relationships/footer" Target="footer111.xml"/><Relationship Id="rId386" Type="http://schemas.openxmlformats.org/officeDocument/2006/relationships/footer" Target="footer117.xml"/><Relationship Id="rId190" Type="http://schemas.openxmlformats.org/officeDocument/2006/relationships/hyperlink" Target="http://www.dta.gov.au/about-us/reporting-and-plans/corporate-plans" TargetMode="External"/><Relationship Id="rId204" Type="http://schemas.openxmlformats.org/officeDocument/2006/relationships/image" Target="media/image66.emf"/><Relationship Id="rId225" Type="http://schemas.openxmlformats.org/officeDocument/2006/relationships/header" Target="header63.xml"/><Relationship Id="rId246" Type="http://schemas.openxmlformats.org/officeDocument/2006/relationships/header" Target="header69.xml"/><Relationship Id="rId267" Type="http://schemas.openxmlformats.org/officeDocument/2006/relationships/footer" Target="footer82.xml"/><Relationship Id="rId288" Type="http://schemas.openxmlformats.org/officeDocument/2006/relationships/header" Target="header80.xml"/><Relationship Id="rId411" Type="http://schemas.openxmlformats.org/officeDocument/2006/relationships/image" Target="media/image142.emf"/><Relationship Id="rId432" Type="http://schemas.openxmlformats.org/officeDocument/2006/relationships/image" Target="media/image150.emf"/><Relationship Id="rId453" Type="http://schemas.openxmlformats.org/officeDocument/2006/relationships/footer" Target="footer139.xml"/><Relationship Id="rId474" Type="http://schemas.openxmlformats.org/officeDocument/2006/relationships/footer" Target="footer147.xml"/><Relationship Id="rId106" Type="http://schemas.openxmlformats.org/officeDocument/2006/relationships/header" Target="header31.xml"/><Relationship Id="rId127" Type="http://schemas.openxmlformats.org/officeDocument/2006/relationships/image" Target="media/image34.emf"/><Relationship Id="rId313" Type="http://schemas.openxmlformats.org/officeDocument/2006/relationships/header" Target="header88.xml"/><Relationship Id="rId495" Type="http://schemas.openxmlformats.org/officeDocument/2006/relationships/footer" Target="footer152.xml"/><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footer" Target="footer15.xml"/><Relationship Id="rId73" Type="http://schemas.openxmlformats.org/officeDocument/2006/relationships/image" Target="media/image14.emf"/><Relationship Id="rId94" Type="http://schemas.openxmlformats.org/officeDocument/2006/relationships/footer" Target="footer29.xml"/><Relationship Id="rId148" Type="http://schemas.openxmlformats.org/officeDocument/2006/relationships/image" Target="media/image40.emf"/><Relationship Id="rId169" Type="http://schemas.openxmlformats.org/officeDocument/2006/relationships/image" Target="media/image51.emf"/><Relationship Id="rId334" Type="http://schemas.openxmlformats.org/officeDocument/2006/relationships/image" Target="media/image111.emf"/><Relationship Id="rId355" Type="http://schemas.openxmlformats.org/officeDocument/2006/relationships/footer" Target="footer106.xml"/><Relationship Id="rId376" Type="http://schemas.openxmlformats.org/officeDocument/2006/relationships/image" Target="media/image132.emf"/><Relationship Id="rId397" Type="http://schemas.openxmlformats.org/officeDocument/2006/relationships/image" Target="media/image136.emf"/><Relationship Id="rId4" Type="http://schemas.openxmlformats.org/officeDocument/2006/relationships/customXml" Target="../customXml/item4.xml"/><Relationship Id="rId180" Type="http://schemas.openxmlformats.org/officeDocument/2006/relationships/footer" Target="footer52.xml"/><Relationship Id="rId215" Type="http://schemas.openxmlformats.org/officeDocument/2006/relationships/footer" Target="footer65.xml"/><Relationship Id="rId236" Type="http://schemas.openxmlformats.org/officeDocument/2006/relationships/image" Target="media/image80.emf"/><Relationship Id="rId257" Type="http://schemas.openxmlformats.org/officeDocument/2006/relationships/image" Target="media/image89.emf"/><Relationship Id="rId278" Type="http://schemas.openxmlformats.org/officeDocument/2006/relationships/footer" Target="footer85.xml"/><Relationship Id="rId401" Type="http://schemas.openxmlformats.org/officeDocument/2006/relationships/header" Target="header114.xml"/><Relationship Id="rId422" Type="http://schemas.openxmlformats.org/officeDocument/2006/relationships/footer" Target="footer129.xml"/><Relationship Id="rId443" Type="http://schemas.openxmlformats.org/officeDocument/2006/relationships/header" Target="header127.xml"/><Relationship Id="rId464" Type="http://schemas.openxmlformats.org/officeDocument/2006/relationships/footer" Target="footer142.xml"/><Relationship Id="rId303" Type="http://schemas.openxmlformats.org/officeDocument/2006/relationships/footer" Target="footer90.xml"/><Relationship Id="rId485" Type="http://schemas.openxmlformats.org/officeDocument/2006/relationships/image" Target="media/image167.emf"/><Relationship Id="rId42" Type="http://schemas.openxmlformats.org/officeDocument/2006/relationships/header" Target="header13.xml"/><Relationship Id="rId84" Type="http://schemas.openxmlformats.org/officeDocument/2006/relationships/header" Target="header24.xml"/><Relationship Id="rId138" Type="http://schemas.openxmlformats.org/officeDocument/2006/relationships/header" Target="header42.xml"/><Relationship Id="rId345" Type="http://schemas.openxmlformats.org/officeDocument/2006/relationships/footer" Target="footer102.xml"/><Relationship Id="rId387" Type="http://schemas.openxmlformats.org/officeDocument/2006/relationships/footer" Target="footer118.xml"/><Relationship Id="rId191" Type="http://schemas.openxmlformats.org/officeDocument/2006/relationships/image" Target="media/image60.emf"/><Relationship Id="rId205" Type="http://schemas.openxmlformats.org/officeDocument/2006/relationships/image" Target="media/image67.emf"/><Relationship Id="rId247" Type="http://schemas.openxmlformats.org/officeDocument/2006/relationships/footer" Target="footer75.xml"/><Relationship Id="rId412" Type="http://schemas.openxmlformats.org/officeDocument/2006/relationships/image" Target="media/image143.emf"/><Relationship Id="rId107" Type="http://schemas.openxmlformats.org/officeDocument/2006/relationships/header" Target="header32.xml"/><Relationship Id="rId289" Type="http://schemas.openxmlformats.org/officeDocument/2006/relationships/header" Target="header81.xml"/><Relationship Id="rId454" Type="http://schemas.openxmlformats.org/officeDocument/2006/relationships/footer" Target="footer140.xml"/><Relationship Id="rId496" Type="http://schemas.openxmlformats.org/officeDocument/2006/relationships/header" Target="header144.xml"/><Relationship Id="rId11" Type="http://schemas.openxmlformats.org/officeDocument/2006/relationships/endnotes" Target="endnotes.xml"/><Relationship Id="rId53" Type="http://schemas.openxmlformats.org/officeDocument/2006/relationships/footer" Target="footer16.xml"/><Relationship Id="rId149" Type="http://schemas.openxmlformats.org/officeDocument/2006/relationships/image" Target="media/image41.emf"/><Relationship Id="rId314" Type="http://schemas.openxmlformats.org/officeDocument/2006/relationships/footer" Target="footer93.xml"/><Relationship Id="rId356" Type="http://schemas.openxmlformats.org/officeDocument/2006/relationships/footer" Target="footer107.xml"/><Relationship Id="rId398" Type="http://schemas.openxmlformats.org/officeDocument/2006/relationships/image" Target="media/image137.emf"/><Relationship Id="rId95" Type="http://schemas.openxmlformats.org/officeDocument/2006/relationships/header" Target="header29.xml"/><Relationship Id="rId160" Type="http://schemas.openxmlformats.org/officeDocument/2006/relationships/footer" Target="footer46.xml"/><Relationship Id="rId216" Type="http://schemas.openxmlformats.org/officeDocument/2006/relationships/header" Target="header60.xml"/><Relationship Id="rId423" Type="http://schemas.openxmlformats.org/officeDocument/2006/relationships/header" Target="header122.xml"/><Relationship Id="rId258" Type="http://schemas.openxmlformats.org/officeDocument/2006/relationships/header" Target="header70.xml"/><Relationship Id="rId465" Type="http://schemas.openxmlformats.org/officeDocument/2006/relationships/header" Target="header133.xml"/><Relationship Id="rId22" Type="http://schemas.openxmlformats.org/officeDocument/2006/relationships/footer" Target="footer3.xml"/><Relationship Id="rId64" Type="http://schemas.openxmlformats.org/officeDocument/2006/relationships/footer" Target="footer21.xml"/><Relationship Id="rId118" Type="http://schemas.openxmlformats.org/officeDocument/2006/relationships/header" Target="header35.xml"/><Relationship Id="rId325" Type="http://schemas.openxmlformats.org/officeDocument/2006/relationships/image" Target="media/image109.emf"/><Relationship Id="rId367" Type="http://schemas.openxmlformats.org/officeDocument/2006/relationships/image" Target="media/image123.emf"/><Relationship Id="rId171" Type="http://schemas.openxmlformats.org/officeDocument/2006/relationships/image" Target="media/image53.emf"/><Relationship Id="rId227" Type="http://schemas.openxmlformats.org/officeDocument/2006/relationships/image" Target="media/image71.emf"/><Relationship Id="rId269" Type="http://schemas.openxmlformats.org/officeDocument/2006/relationships/footer" Target="footer83.xml"/><Relationship Id="rId434" Type="http://schemas.openxmlformats.org/officeDocument/2006/relationships/image" Target="media/image152.emf"/><Relationship Id="rId476" Type="http://schemas.openxmlformats.org/officeDocument/2006/relationships/image" Target="media/image163.emf"/><Relationship Id="rId33" Type="http://schemas.openxmlformats.org/officeDocument/2006/relationships/header" Target="header9.xml"/><Relationship Id="rId129" Type="http://schemas.openxmlformats.org/officeDocument/2006/relationships/image" Target="media/image36.emf"/><Relationship Id="rId280" Type="http://schemas.openxmlformats.org/officeDocument/2006/relationships/header" Target="header77.xml"/><Relationship Id="rId336" Type="http://schemas.openxmlformats.org/officeDocument/2006/relationships/image" Target="media/image113.emf"/><Relationship Id="rId501" Type="http://schemas.openxmlformats.org/officeDocument/2006/relationships/header" Target="header148.xml"/><Relationship Id="rId75" Type="http://schemas.openxmlformats.org/officeDocument/2006/relationships/image" Target="media/image16.emf"/><Relationship Id="rId140" Type="http://schemas.openxmlformats.org/officeDocument/2006/relationships/footer" Target="footer44.xml"/><Relationship Id="rId182" Type="http://schemas.openxmlformats.org/officeDocument/2006/relationships/header" Target="header50.xml"/><Relationship Id="rId378" Type="http://schemas.openxmlformats.org/officeDocument/2006/relationships/footer" Target="footer112.xml"/><Relationship Id="rId403" Type="http://schemas.openxmlformats.org/officeDocument/2006/relationships/image" Target="media/image140.emf"/><Relationship Id="rId6" Type="http://schemas.openxmlformats.org/officeDocument/2006/relationships/numbering" Target="numbering.xml"/><Relationship Id="rId238" Type="http://schemas.openxmlformats.org/officeDocument/2006/relationships/footer" Target="footer71.xml"/><Relationship Id="rId445" Type="http://schemas.openxmlformats.org/officeDocument/2006/relationships/footer" Target="footer136.xml"/><Relationship Id="rId487" Type="http://schemas.openxmlformats.org/officeDocument/2006/relationships/image" Target="media/image169.emf"/><Relationship Id="rId291" Type="http://schemas.openxmlformats.org/officeDocument/2006/relationships/header" Target="header82.xml"/><Relationship Id="rId305" Type="http://schemas.openxmlformats.org/officeDocument/2006/relationships/header" Target="header86.xml"/><Relationship Id="rId347" Type="http://schemas.openxmlformats.org/officeDocument/2006/relationships/header" Target="header98.xml"/><Relationship Id="rId44" Type="http://schemas.openxmlformats.org/officeDocument/2006/relationships/header" Target="header14.xml"/><Relationship Id="rId86" Type="http://schemas.openxmlformats.org/officeDocument/2006/relationships/header" Target="header25.xml"/><Relationship Id="rId151" Type="http://schemas.openxmlformats.org/officeDocument/2006/relationships/image" Target="media/image43.emf"/><Relationship Id="rId389" Type="http://schemas.openxmlformats.org/officeDocument/2006/relationships/header" Target="header111.xml"/><Relationship Id="rId193" Type="http://schemas.openxmlformats.org/officeDocument/2006/relationships/image" Target="media/image62.emf"/><Relationship Id="rId207" Type="http://schemas.openxmlformats.org/officeDocument/2006/relationships/footer" Target="footer61.xml"/><Relationship Id="rId249" Type="http://schemas.openxmlformats.org/officeDocument/2006/relationships/image" Target="media/image81.emf"/><Relationship Id="rId414" Type="http://schemas.openxmlformats.org/officeDocument/2006/relationships/header" Target="header118.xml"/><Relationship Id="rId456" Type="http://schemas.openxmlformats.org/officeDocument/2006/relationships/image" Target="media/image155.emf"/><Relationship Id="rId498" Type="http://schemas.openxmlformats.org/officeDocument/2006/relationships/header" Target="header145.xml"/><Relationship Id="rId13" Type="http://schemas.openxmlformats.org/officeDocument/2006/relationships/header" Target="header1.xml"/><Relationship Id="rId109" Type="http://schemas.openxmlformats.org/officeDocument/2006/relationships/footer" Target="footer33.xml"/><Relationship Id="rId260" Type="http://schemas.openxmlformats.org/officeDocument/2006/relationships/footer" Target="footer77.xml"/><Relationship Id="rId316" Type="http://schemas.openxmlformats.org/officeDocument/2006/relationships/header" Target="header89.xml"/><Relationship Id="rId55" Type="http://schemas.openxmlformats.org/officeDocument/2006/relationships/footer" Target="footer18.xml"/><Relationship Id="rId97" Type="http://schemas.openxmlformats.org/officeDocument/2006/relationships/image" Target="media/image23.emf"/><Relationship Id="rId120" Type="http://schemas.openxmlformats.org/officeDocument/2006/relationships/footer" Target="footer37.xml"/><Relationship Id="rId358" Type="http://schemas.openxmlformats.org/officeDocument/2006/relationships/footer" Target="footer108.xml"/><Relationship Id="rId162" Type="http://schemas.openxmlformats.org/officeDocument/2006/relationships/footer" Target="footer48.xml"/><Relationship Id="rId218" Type="http://schemas.openxmlformats.org/officeDocument/2006/relationships/footer" Target="footer67.xml"/><Relationship Id="rId425" Type="http://schemas.openxmlformats.org/officeDocument/2006/relationships/header" Target="header123.xml"/><Relationship Id="rId467" Type="http://schemas.openxmlformats.org/officeDocument/2006/relationships/header" Target="header134.xml"/><Relationship Id="rId271" Type="http://schemas.openxmlformats.org/officeDocument/2006/relationships/image" Target="media/image90.emf"/><Relationship Id="rId24" Type="http://schemas.openxmlformats.org/officeDocument/2006/relationships/hyperlink" Target="http://www.budget.gov.au" TargetMode="External"/><Relationship Id="rId66" Type="http://schemas.openxmlformats.org/officeDocument/2006/relationships/header" Target="header21.xml"/><Relationship Id="rId131" Type="http://schemas.openxmlformats.org/officeDocument/2006/relationships/header" Target="header38.xml"/><Relationship Id="rId327" Type="http://schemas.openxmlformats.org/officeDocument/2006/relationships/header" Target="header93.xml"/><Relationship Id="rId369" Type="http://schemas.openxmlformats.org/officeDocument/2006/relationships/image" Target="media/image125.emf"/></Relationships>
</file>

<file path=word/_rels/header104.xml.rels><?xml version="1.0" encoding="UTF-8" standalone="yes"?>
<Relationships xmlns="http://schemas.openxmlformats.org/package/2006/relationships"><Relationship Id="rId1" Type="http://schemas.openxmlformats.org/officeDocument/2006/relationships/image" Target="media/image4.png"/></Relationships>
</file>

<file path=word/_rels/header105.xml.rels><?xml version="1.0" encoding="UTF-8" standalone="yes"?>
<Relationships xmlns="http://schemas.openxmlformats.org/package/2006/relationships"><Relationship Id="rId1" Type="http://schemas.openxmlformats.org/officeDocument/2006/relationships/image" Target="media/image4.png"/></Relationships>
</file>

<file path=word/_rels/header107.xml.rels><?xml version="1.0" encoding="UTF-8" standalone="yes"?>
<Relationships xmlns="http://schemas.openxmlformats.org/package/2006/relationships"><Relationship Id="rId1" Type="http://schemas.openxmlformats.org/officeDocument/2006/relationships/image" Target="media/image4.png"/></Relationships>
</file>

<file path=word/_rels/header111.xml.rels><?xml version="1.0" encoding="UTF-8" standalone="yes"?>
<Relationships xmlns="http://schemas.openxmlformats.org/package/2006/relationships"><Relationship Id="rId1" Type="http://schemas.openxmlformats.org/officeDocument/2006/relationships/image" Target="media/image4.png"/></Relationships>
</file>

<file path=word/_rels/header112.xml.rels><?xml version="1.0" encoding="UTF-8" standalone="yes"?>
<Relationships xmlns="http://schemas.openxmlformats.org/package/2006/relationships"><Relationship Id="rId1" Type="http://schemas.openxmlformats.org/officeDocument/2006/relationships/image" Target="media/image4.png"/></Relationships>
</file>

<file path=word/_rels/header114.xml.rels><?xml version="1.0" encoding="UTF-8" standalone="yes"?>
<Relationships xmlns="http://schemas.openxmlformats.org/package/2006/relationships"><Relationship Id="rId1" Type="http://schemas.openxmlformats.org/officeDocument/2006/relationships/image" Target="media/image4.png"/></Relationships>
</file>

<file path=word/_rels/header11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17.xml.rels><?xml version="1.0" encoding="UTF-8" standalone="yes"?>
<Relationships xmlns="http://schemas.openxmlformats.org/package/2006/relationships"><Relationship Id="rId1" Type="http://schemas.openxmlformats.org/officeDocument/2006/relationships/image" Target="media/image4.png"/></Relationships>
</file>

<file path=word/_rels/header118.xml.rels><?xml version="1.0" encoding="UTF-8" standalone="yes"?>
<Relationships xmlns="http://schemas.openxmlformats.org/package/2006/relationships"><Relationship Id="rId1" Type="http://schemas.openxmlformats.org/officeDocument/2006/relationships/image" Target="media/image4.png"/></Relationships>
</file>

<file path=word/_rels/header119.xml.rels><?xml version="1.0" encoding="UTF-8" standalone="yes"?>
<Relationships xmlns="http://schemas.openxmlformats.org/package/2006/relationships"><Relationship Id="rId1" Type="http://schemas.openxmlformats.org/officeDocument/2006/relationships/image" Target="media/image4.png"/></Relationships>
</file>

<file path=word/_rels/header123.xml.rels><?xml version="1.0" encoding="UTF-8" standalone="yes"?>
<Relationships xmlns="http://schemas.openxmlformats.org/package/2006/relationships"><Relationship Id="rId1" Type="http://schemas.openxmlformats.org/officeDocument/2006/relationships/image" Target="media/image4.png"/></Relationships>
</file>

<file path=word/_rels/header124.xml.rels><?xml version="1.0" encoding="UTF-8" standalone="yes"?>
<Relationships xmlns="http://schemas.openxmlformats.org/package/2006/relationships"><Relationship Id="rId1" Type="http://schemas.openxmlformats.org/officeDocument/2006/relationships/image" Target="media/image4.png"/></Relationships>
</file>

<file path=word/_rels/header125.xml.rels><?xml version="1.0" encoding="UTF-8" standalone="yes"?>
<Relationships xmlns="http://schemas.openxmlformats.org/package/2006/relationships"><Relationship Id="rId1" Type="http://schemas.openxmlformats.org/officeDocument/2006/relationships/image" Target="media/image4.png"/></Relationships>
</file>

<file path=word/_rels/header130.xml.rels><?xml version="1.0" encoding="UTF-8" standalone="yes"?>
<Relationships xmlns="http://schemas.openxmlformats.org/package/2006/relationships"><Relationship Id="rId1" Type="http://schemas.openxmlformats.org/officeDocument/2006/relationships/image" Target="media/image4.png"/></Relationships>
</file>

<file path=word/_rels/header131.xml.rels><?xml version="1.0" encoding="UTF-8" standalone="yes"?>
<Relationships xmlns="http://schemas.openxmlformats.org/package/2006/relationships"><Relationship Id="rId1" Type="http://schemas.openxmlformats.org/officeDocument/2006/relationships/image" Target="media/image4.png"/></Relationships>
</file>

<file path=word/_rels/header132.xml.rels><?xml version="1.0" encoding="UTF-8" standalone="yes"?>
<Relationships xmlns="http://schemas.openxmlformats.org/package/2006/relationships"><Relationship Id="rId1" Type="http://schemas.openxmlformats.org/officeDocument/2006/relationships/image" Target="media/image4.png"/></Relationships>
</file>

<file path=word/_rels/header135.xml.rels><?xml version="1.0" encoding="UTF-8" standalone="yes"?>
<Relationships xmlns="http://schemas.openxmlformats.org/package/2006/relationships"><Relationship Id="rId1" Type="http://schemas.openxmlformats.org/officeDocument/2006/relationships/image" Target="media/image4.png"/></Relationships>
</file>

<file path=word/_rels/header138.xml.rels><?xml version="1.0" encoding="UTF-8" standalone="yes"?>
<Relationships xmlns="http://schemas.openxmlformats.org/package/2006/relationships"><Relationship Id="rId1" Type="http://schemas.openxmlformats.org/officeDocument/2006/relationships/image" Target="media/image4.png"/></Relationships>
</file>

<file path=word/_rels/header139.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40.xml.rels><?xml version="1.0" encoding="UTF-8" standalone="yes"?>
<Relationships xmlns="http://schemas.openxmlformats.org/package/2006/relationships"><Relationship Id="rId1" Type="http://schemas.openxmlformats.org/officeDocument/2006/relationships/image" Target="media/image4.png"/></Relationships>
</file>

<file path=word/_rels/header141.xml.rels><?xml version="1.0" encoding="UTF-8" standalone="yes"?>
<Relationships xmlns="http://schemas.openxmlformats.org/package/2006/relationships"><Relationship Id="rId1" Type="http://schemas.openxmlformats.org/officeDocument/2006/relationships/image" Target="media/image4.png"/></Relationships>
</file>

<file path=word/_rels/header142.xml.rels><?xml version="1.0" encoding="UTF-8" standalone="yes"?>
<Relationships xmlns="http://schemas.openxmlformats.org/package/2006/relationships"><Relationship Id="rId1" Type="http://schemas.openxmlformats.org/officeDocument/2006/relationships/image" Target="media/image4.png"/></Relationships>
</file>

<file path=word/_rels/header145.xml.rels><?xml version="1.0" encoding="UTF-8" standalone="yes"?>
<Relationships xmlns="http://schemas.openxmlformats.org/package/2006/relationships"><Relationship Id="rId1" Type="http://schemas.openxmlformats.org/officeDocument/2006/relationships/image" Target="media/image4.png"/></Relationships>
</file>

<file path=word/_rels/header147.xml.rels><?xml version="1.0" encoding="UTF-8" standalone="yes"?>
<Relationships xmlns="http://schemas.openxmlformats.org/package/2006/relationships"><Relationship Id="rId1" Type="http://schemas.openxmlformats.org/officeDocument/2006/relationships/image" Target="media/image4.png"/></Relationships>
</file>

<file path=word/_rels/header148.xml.rels><?xml version="1.0" encoding="UTF-8" standalone="yes"?>
<Relationships xmlns="http://schemas.openxmlformats.org/package/2006/relationships"><Relationship Id="rId1" Type="http://schemas.openxmlformats.org/officeDocument/2006/relationships/image" Target="media/image4.png"/></Relationships>
</file>

<file path=word/_rels/header149.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48.xml.rels><?xml version="1.0" encoding="UTF-8" standalone="yes"?>
<Relationships xmlns="http://schemas.openxmlformats.org/package/2006/relationships"><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1" Type="http://schemas.openxmlformats.org/officeDocument/2006/relationships/image" Target="media/image4.png"/></Relationships>
</file>

<file path=word/_rels/header54.xml.rels><?xml version="1.0" encoding="UTF-8" standalone="yes"?>
<Relationships xmlns="http://schemas.openxmlformats.org/package/2006/relationships"><Relationship Id="rId1" Type="http://schemas.openxmlformats.org/officeDocument/2006/relationships/image" Target="media/image4.png"/></Relationships>
</file>

<file path=word/_rels/header55.xml.rels><?xml version="1.0" encoding="UTF-8" standalone="yes"?>
<Relationships xmlns="http://schemas.openxmlformats.org/package/2006/relationships"><Relationship Id="rId1" Type="http://schemas.openxmlformats.org/officeDocument/2006/relationships/image" Target="media/image4.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59.xml.rels><?xml version="1.0" encoding="UTF-8" standalone="yes"?>
<Relationships xmlns="http://schemas.openxmlformats.org/package/2006/relationships"><Relationship Id="rId1" Type="http://schemas.openxmlformats.org/officeDocument/2006/relationships/image" Target="media/image4.png"/></Relationships>
</file>

<file path=word/_rels/header61.xml.rels><?xml version="1.0" encoding="UTF-8" standalone="yes"?>
<Relationships xmlns="http://schemas.openxmlformats.org/package/2006/relationships"><Relationship Id="rId1" Type="http://schemas.openxmlformats.org/officeDocument/2006/relationships/image" Target="media/image4.png"/></Relationships>
</file>

<file path=word/_rels/header62.xml.rels><?xml version="1.0" encoding="UTF-8" standalone="yes"?>
<Relationships xmlns="http://schemas.openxmlformats.org/package/2006/relationships"><Relationship Id="rId1" Type="http://schemas.openxmlformats.org/officeDocument/2006/relationships/image" Target="media/image4.png"/></Relationships>
</file>

<file path=word/_rels/header64.xml.rels><?xml version="1.0" encoding="UTF-8" standalone="yes"?>
<Relationships xmlns="http://schemas.openxmlformats.org/package/2006/relationships"><Relationship Id="rId1" Type="http://schemas.openxmlformats.org/officeDocument/2006/relationships/image" Target="media/image4.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70.xml.rels><?xml version="1.0" encoding="UTF-8" standalone="yes"?>
<Relationships xmlns="http://schemas.openxmlformats.org/package/2006/relationships"><Relationship Id="rId1" Type="http://schemas.openxmlformats.org/officeDocument/2006/relationships/image" Target="media/image4.png"/></Relationships>
</file>

<file path=word/_rels/header71.xml.rels><?xml version="1.0" encoding="UTF-8" standalone="yes"?>
<Relationships xmlns="http://schemas.openxmlformats.org/package/2006/relationships"><Relationship Id="rId1" Type="http://schemas.openxmlformats.org/officeDocument/2006/relationships/image" Target="media/image4.png"/></Relationships>
</file>

<file path=word/_rels/header75.xml.rels><?xml version="1.0" encoding="UTF-8" standalone="yes"?>
<Relationships xmlns="http://schemas.openxmlformats.org/package/2006/relationships"><Relationship Id="rId1" Type="http://schemas.openxmlformats.org/officeDocument/2006/relationships/image" Target="media/image4.png"/></Relationships>
</file>

<file path=word/_rels/header76.xml.rels><?xml version="1.0" encoding="UTF-8" standalone="yes"?>
<Relationships xmlns="http://schemas.openxmlformats.org/package/2006/relationships"><Relationship Id="rId1" Type="http://schemas.openxmlformats.org/officeDocument/2006/relationships/image" Target="media/image4.png"/></Relationships>
</file>

<file path=word/_rels/header78.xml.rels><?xml version="1.0" encoding="UTF-8" standalone="yes"?>
<Relationships xmlns="http://schemas.openxmlformats.org/package/2006/relationships"><Relationship Id="rId1" Type="http://schemas.openxmlformats.org/officeDocument/2006/relationships/image" Target="media/image4.png"/></Relationships>
</file>

<file path=word/_rels/header79.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80.xml.rels><?xml version="1.0" encoding="UTF-8" standalone="yes"?>
<Relationships xmlns="http://schemas.openxmlformats.org/package/2006/relationships"><Relationship Id="rId1" Type="http://schemas.openxmlformats.org/officeDocument/2006/relationships/image" Target="media/image4.png"/></Relationships>
</file>

<file path=word/_rels/header81.xml.rels><?xml version="1.0" encoding="UTF-8" standalone="yes"?>
<Relationships xmlns="http://schemas.openxmlformats.org/package/2006/relationships"><Relationship Id="rId1" Type="http://schemas.openxmlformats.org/officeDocument/2006/relationships/image" Target="media/image4.png"/></Relationships>
</file>

<file path=word/_rels/header82.xml.rels><?xml version="1.0" encoding="UTF-8" standalone="yes"?>
<Relationships xmlns="http://schemas.openxmlformats.org/package/2006/relationships"><Relationship Id="rId1" Type="http://schemas.openxmlformats.org/officeDocument/2006/relationships/image" Target="media/image4.png"/></Relationships>
</file>

<file path=word/_rels/header83.xml.rels><?xml version="1.0" encoding="UTF-8" standalone="yes"?>
<Relationships xmlns="http://schemas.openxmlformats.org/package/2006/relationships"><Relationship Id="rId1" Type="http://schemas.openxmlformats.org/officeDocument/2006/relationships/image" Target="media/image4.png"/></Relationships>
</file>

<file path=word/_rels/header86.xml.rels><?xml version="1.0" encoding="UTF-8" standalone="yes"?>
<Relationships xmlns="http://schemas.openxmlformats.org/package/2006/relationships"><Relationship Id="rId1" Type="http://schemas.openxmlformats.org/officeDocument/2006/relationships/image" Target="media/image4.png"/></Relationships>
</file>

<file path=word/_rels/header87.xml.rels><?xml version="1.0" encoding="UTF-8" standalone="yes"?>
<Relationships xmlns="http://schemas.openxmlformats.org/package/2006/relationships"><Relationship Id="rId1" Type="http://schemas.openxmlformats.org/officeDocument/2006/relationships/image" Target="media/image4.png"/></Relationships>
</file>

<file path=word/_rels/header88.xml.rels><?xml version="1.0" encoding="UTF-8" standalone="yes"?>
<Relationships xmlns="http://schemas.openxmlformats.org/package/2006/relationships"><Relationship Id="rId1" Type="http://schemas.openxmlformats.org/officeDocument/2006/relationships/image" Target="media/image4.png"/></Relationships>
</file>

<file path=word/_rels/header89.xml.rels><?xml version="1.0" encoding="UTF-8" standalone="yes"?>
<Relationships xmlns="http://schemas.openxmlformats.org/package/2006/relationships"><Relationship Id="rId1" Type="http://schemas.openxmlformats.org/officeDocument/2006/relationships/image" Target="media/image4.png"/></Relationships>
</file>

<file path=word/_rels/header93.xml.rels><?xml version="1.0" encoding="UTF-8" standalone="yes"?>
<Relationships xmlns="http://schemas.openxmlformats.org/package/2006/relationships"><Relationship Id="rId1" Type="http://schemas.openxmlformats.org/officeDocument/2006/relationships/image" Target="media/image4.png"/></Relationships>
</file>

<file path=word/_rels/header94.xml.rels><?xml version="1.0" encoding="UTF-8" standalone="yes"?>
<Relationships xmlns="http://schemas.openxmlformats.org/package/2006/relationships"><Relationship Id="rId1" Type="http://schemas.openxmlformats.org/officeDocument/2006/relationships/image" Target="media/image4.png"/></Relationships>
</file>

<file path=word/_rels/header96.xml.rels><?xml version="1.0" encoding="UTF-8" standalone="yes"?>
<Relationships xmlns="http://schemas.openxmlformats.org/package/2006/relationships"><Relationship Id="rId1" Type="http://schemas.openxmlformats.org/officeDocument/2006/relationships/image" Target="media/image4.png"/></Relationships>
</file>

<file path=word/_rels/header9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Protected</TermName>
          <TermId xmlns="http://schemas.microsoft.com/office/infopath/2007/PartnerControls">9d1e6530-271a-4fdf-bc88-184a8d43835a</TermId>
        </TermInfo>
        <TermInfo xmlns="http://schemas.microsoft.com/office/infopath/2007/PartnerControls">
          <TermName xmlns="http://schemas.microsoft.com/office/infopath/2007/PartnerControls">Sensitive</TermName>
          <TermId xmlns="http://schemas.microsoft.com/office/infopath/2007/PartnerControls">95e4cb90-e125-4900-8c0d-16da07fed3e7</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Flood</TermName>
          <TermId xmlns="http://schemas.microsoft.com/office/infopath/2007/PartnerControls">6285b0d0-e7e3-4bfe-8359-36404de1c171</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Secret</TermName>
          <TermId xmlns="http://schemas.microsoft.com/office/infopath/2007/PartnerControls">d1b8aa9a-ff73-4e1b-9363-dc3c9c00d378</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National Cabinet</TermName>
          <TermId xmlns="http://schemas.microsoft.com/office/infopath/2007/PartnerControls">991895fa-80c6-46c0-9d54-97c9b975186a</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DOC22-82398</ShareHubID>
    <TaxCatchAll xmlns="166541c0-0594-4e6a-9105-c24d4b6de6f7">
      <Value>33</Value>
      <Value>81</Value>
      <Value>29</Value>
      <Value>62</Value>
      <Value>50</Value>
      <Value>46</Value>
      <Value>57</Value>
      <Value>56</Value>
      <Value>21</Value>
      <Value>36</Value>
      <Value>35</Value>
      <Value>18</Value>
    </TaxCatchAll>
    <PMCNotes xmlns="166541c0-0594-4e6a-9105-c24d4b6de6f7" xsi:nil="true"/>
    <NonRecordJustification xmlns="685f9fda-bd71-4433-b331-92feb9553089">None</NonRecordJustification>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EAD22-808A-4C85-A925-26BD5C865F7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2.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3.xml><?xml version="1.0" encoding="utf-8"?>
<ds:datastoreItem xmlns:ds="http://schemas.openxmlformats.org/officeDocument/2006/customXml" ds:itemID="{64D4D039-43DD-4CD9-AD89-74D543DADBEA}">
  <ds:schemaRefs>
    <ds:schemaRef ds:uri="http://schemas.microsoft.com/sharepoint/v3/contenttype/forms"/>
  </ds:schemaRefs>
</ds:datastoreItem>
</file>

<file path=customXml/itemProps4.xml><?xml version="1.0" encoding="utf-8"?>
<ds:datastoreItem xmlns:ds="http://schemas.openxmlformats.org/officeDocument/2006/customXml" ds:itemID="{99DD2D6D-38B1-4B9C-A138-9BD254913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F86E5C-52A1-4F49-9220-390B38D33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403</Pages>
  <Words>46091</Words>
  <Characters>289948</Characters>
  <Application>Microsoft Office Word</Application>
  <DocSecurity>4</DocSecurity>
  <Lines>2416</Lines>
  <Paragraphs>670</Paragraphs>
  <ScaleCrop>false</ScaleCrop>
  <HeadingPairs>
    <vt:vector size="2" baseType="variant">
      <vt:variant>
        <vt:lpstr>Title</vt:lpstr>
      </vt:variant>
      <vt:variant>
        <vt:i4>1</vt:i4>
      </vt:variant>
    </vt:vector>
  </HeadingPairs>
  <TitlesOfParts>
    <vt:vector size="1" baseType="lpstr">
      <vt:lpstr>DS amended Attachment C - 2022-23 PBS Word Template v1</vt:lpstr>
    </vt:vector>
  </TitlesOfParts>
  <Company/>
  <LinksUpToDate>false</LinksUpToDate>
  <CharactersWithSpaces>335369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Budget</dc:subject>
  <dc:creator/>
  <cp:keywords/>
  <cp:lastModifiedBy/>
  <cp:revision>1</cp:revision>
  <dcterms:created xsi:type="dcterms:W3CDTF">2022-04-01T01:32:00Z</dcterms:created>
  <dcterms:modified xsi:type="dcterms:W3CDTF">2022-04-01T01:32:00Z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TaxKeyword">
    <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4;#Routine|7e7d4a54-8a52-408f-a48b-1f505e5152e0</vt:lpwstr>
  </property>
  <property fmtid="{D5CDD505-2E9C-101B-9397-08002B2CF9AE}" pid="7" name="OrgUnit">
    <vt:lpwstr>1;#CBMS Operations|dbcc8989-87ee-4992-93dd-5b74a4c0543e</vt:lpwstr>
  </property>
  <property fmtid="{D5CDD505-2E9C-101B-9397-08002B2CF9AE}" pid="8" name="_dlc_DocIdItemGuid">
    <vt:lpwstr>ec91d905-d234-4851-8abc-4bc0fd2dc6d3</vt:lpwstr>
  </property>
  <property fmtid="{D5CDD505-2E9C-101B-9397-08002B2CF9AE}" pid="9" name="KnowledgeTopics">
    <vt:lpwstr/>
  </property>
  <property fmtid="{D5CDD505-2E9C-101B-9397-08002B2CF9AE}" pid="10" name="DocumentType">
    <vt:lpwstr/>
  </property>
  <property fmtid="{D5CDD505-2E9C-101B-9397-08002B2CF9AE}" pid="11" name="ResponsibleArea">
    <vt:lpwstr/>
  </property>
  <property fmtid="{D5CDD505-2E9C-101B-9397-08002B2CF9AE}" pid="12" name="HPRMSecurityCaveat">
    <vt:lpwstr/>
  </property>
  <property fmtid="{D5CDD505-2E9C-101B-9397-08002B2CF9AE}" pid="13" name="ESearchTags">
    <vt:lpwstr>29;#Training|2f396fb6-baad-479d-8254-1550153bbe31;#35;#Protected|9d1e6530-271a-4fdf-bc88-184a8d43835a;#36;#Sensitive|95e4cb90-e125-4900-8c0d-16da07fed3e7;#33;#Royal Commission|1b5ec731-3e16-44b1-86f4-0c46c4cdd7b2;#46;#Flood|6285b0d0-e7e3-4bfe-8359-36404de1c171;#21;#Climate Change|41dd6691-cb87-446f-a384-c62c202138b9;#50;#Secret|d1b8aa9a-ff73-4e1b-9363-dc3c9c00d378;#56;#Official|f53c1d54-6e59-4b8b-8af5-a00f9baa8e57;#62;#COVID-19|c1da604a-829f-435b-844b-fd97e09d1455;#81;#National Cabinet|991895fa-80c6-46c0-9d54-97c9b975186a;#18;#Cabinet|84cba657-17c1-4642-9e59-a0df180c2be5</vt:lpwstr>
  </property>
  <property fmtid="{D5CDD505-2E9C-101B-9397-08002B2CF9AE}" pid="14" name="HPRMSecurityLevel">
    <vt:lpwstr>57;#OFFICIAL|11463c70-78df-4e3b-b0ff-f66cd3cb26ec</vt:lpwstr>
  </property>
  <property fmtid="{D5CDD505-2E9C-101B-9397-08002B2CF9AE}" pid="15" name="PMC.ESearch.TagGeneratedTime">
    <vt:lpwstr>2022-04-01T12:41:35</vt:lpwstr>
  </property>
</Properties>
</file>