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0973" w14:textId="506EDE79" w:rsidR="00503148" w:rsidRDefault="00503148" w:rsidP="00503148">
      <w:pPr>
        <w:jc w:val="center"/>
      </w:pPr>
      <w:r>
        <w:rPr>
          <w:caps/>
          <w:noProof/>
          <w:lang w:eastAsia="en-AU"/>
        </w:rPr>
        <w:drawing>
          <wp:inline distT="0" distB="0" distL="0" distR="0" wp14:anchorId="4E146847" wp14:editId="4C813B64">
            <wp:extent cx="2465705" cy="1371600"/>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5ABC28C" w14:textId="7295339A" w:rsidR="00503148" w:rsidRPr="00503148" w:rsidRDefault="006759E2" w:rsidP="00B03099">
      <w:pPr>
        <w:spacing w:before="360" w:line="480" w:lineRule="atLeast"/>
        <w:jc w:val="center"/>
        <w:rPr>
          <w:rFonts w:ascii="Montserrat Light" w:hAnsi="Montserrat Light"/>
          <w:sz w:val="32"/>
          <w:szCs w:val="32"/>
        </w:rPr>
      </w:pPr>
      <w:r>
        <w:rPr>
          <w:rFonts w:ascii="Montserrat Light" w:hAnsi="Montserrat Light"/>
          <w:sz w:val="32"/>
          <w:szCs w:val="32"/>
        </w:rPr>
        <w:t>R</w:t>
      </w:r>
      <w:r w:rsidR="00EE58A8">
        <w:rPr>
          <w:rFonts w:ascii="Montserrat Light" w:hAnsi="Montserrat Light"/>
          <w:sz w:val="32"/>
          <w:szCs w:val="32"/>
        </w:rPr>
        <w:t xml:space="preserve">esponse to the </w:t>
      </w:r>
      <w:r>
        <w:rPr>
          <w:rFonts w:ascii="Montserrat Light" w:hAnsi="Montserrat Light"/>
          <w:sz w:val="32"/>
          <w:szCs w:val="32"/>
        </w:rPr>
        <w:t xml:space="preserve">Senate Finance and Public Administration Legislation Committee Report on the Net Zero Economy Authority Bill 2024 </w:t>
      </w:r>
      <w:r w:rsidR="006B17ED">
        <w:rPr>
          <w:rFonts w:ascii="Montserrat Light" w:hAnsi="Montserrat Light"/>
          <w:sz w:val="32"/>
          <w:szCs w:val="32"/>
        </w:rPr>
        <w:t xml:space="preserve">[Provisions] </w:t>
      </w:r>
      <w:r>
        <w:rPr>
          <w:rFonts w:ascii="Montserrat Light" w:hAnsi="Montserrat Light"/>
          <w:sz w:val="32"/>
          <w:szCs w:val="32"/>
        </w:rPr>
        <w:t>and the Net Zero Economy Authority (Transitional Provisions) Bill 2024</w:t>
      </w:r>
      <w:r w:rsidR="006B17ED">
        <w:rPr>
          <w:rFonts w:ascii="Montserrat Light" w:hAnsi="Montserrat Light"/>
          <w:sz w:val="32"/>
          <w:szCs w:val="32"/>
        </w:rPr>
        <w:t xml:space="preserve"> [Provisions]</w:t>
      </w:r>
    </w:p>
    <w:p w14:paraId="71551271" w14:textId="5E35C918" w:rsidR="00EE58A8" w:rsidRDefault="005860C2" w:rsidP="00A60BD1">
      <w:pPr>
        <w:spacing w:before="8000"/>
        <w:jc w:val="right"/>
        <w:rPr>
          <w:rFonts w:ascii="Montserrat Light" w:hAnsi="Montserrat Light"/>
        </w:rPr>
      </w:pPr>
      <w:r>
        <w:rPr>
          <w:rFonts w:ascii="Montserrat Light" w:hAnsi="Montserrat Light"/>
        </w:rPr>
        <w:t xml:space="preserve">November </w:t>
      </w:r>
      <w:bookmarkStart w:id="0" w:name="_GoBack"/>
      <w:bookmarkEnd w:id="0"/>
      <w:r w:rsidR="00000AE7" w:rsidRPr="0815C50A">
        <w:rPr>
          <w:rFonts w:ascii="Montserrat Light" w:hAnsi="Montserrat Light"/>
        </w:rPr>
        <w:t>2024</w:t>
      </w:r>
    </w:p>
    <w:p w14:paraId="71E625CB" w14:textId="77777777" w:rsidR="00EE58A8" w:rsidRDefault="00EE58A8">
      <w:pPr>
        <w:rPr>
          <w:rFonts w:ascii="Montserrat Light" w:hAnsi="Montserrat Light"/>
        </w:rPr>
      </w:pPr>
      <w:r>
        <w:rPr>
          <w:rFonts w:ascii="Montserrat Light" w:hAnsi="Montserrat Light"/>
        </w:rPr>
        <w:br w:type="page"/>
      </w:r>
    </w:p>
    <w:p w14:paraId="796EB28F" w14:textId="3D7DB426" w:rsidR="00EE58A8" w:rsidRPr="00EF6850" w:rsidRDefault="00EE58A8" w:rsidP="00A60BD1">
      <w:pPr>
        <w:pStyle w:val="Heading1-UnderlineBold"/>
      </w:pPr>
      <w:r w:rsidRPr="00EF6850">
        <w:lastRenderedPageBreak/>
        <w:t>Introduction</w:t>
      </w:r>
    </w:p>
    <w:p w14:paraId="173DF196" w14:textId="4E14557D" w:rsidR="00FB5750" w:rsidRPr="006B17ED" w:rsidRDefault="00FB5750" w:rsidP="00FB5750">
      <w:pPr>
        <w:jc w:val="both"/>
        <w:rPr>
          <w:rFonts w:ascii="Montserrat Light" w:hAnsi="Montserrat Light"/>
          <w:sz w:val="20"/>
          <w:szCs w:val="20"/>
        </w:rPr>
      </w:pPr>
      <w:r w:rsidRPr="006B17ED">
        <w:rPr>
          <w:rFonts w:ascii="Montserrat Light" w:hAnsi="Montserrat Light"/>
          <w:sz w:val="20"/>
          <w:szCs w:val="20"/>
        </w:rPr>
        <w:t xml:space="preserve">On 27 March 2024, the Senate referred the provisions of the Net Zero Economy Authority Bill 2024 </w:t>
      </w:r>
      <w:r w:rsidR="00D13F8B" w:rsidRPr="006B17ED">
        <w:rPr>
          <w:rFonts w:ascii="Montserrat Light" w:hAnsi="Montserrat Light"/>
          <w:sz w:val="20"/>
          <w:szCs w:val="20"/>
        </w:rPr>
        <w:t xml:space="preserve">(the Bill) </w:t>
      </w:r>
      <w:r w:rsidRPr="006B17ED">
        <w:rPr>
          <w:rFonts w:ascii="Montserrat Light" w:hAnsi="Montserrat Light"/>
          <w:sz w:val="20"/>
          <w:szCs w:val="20"/>
        </w:rPr>
        <w:t>and the Net Zero Economy Authority (Transitional Provisions) Bill 2024</w:t>
      </w:r>
      <w:r w:rsidR="0067312A" w:rsidRPr="006B17ED">
        <w:rPr>
          <w:rFonts w:ascii="Montserrat Light" w:hAnsi="Montserrat Light"/>
          <w:sz w:val="20"/>
          <w:szCs w:val="20"/>
        </w:rPr>
        <w:t xml:space="preserve"> (the Bills)</w:t>
      </w:r>
      <w:r w:rsidRPr="006B17ED">
        <w:rPr>
          <w:rFonts w:ascii="Montserrat Light" w:hAnsi="Montserrat Light"/>
          <w:sz w:val="20"/>
          <w:szCs w:val="20"/>
        </w:rPr>
        <w:t xml:space="preserve"> to the Senate Standing Committee on Finan</w:t>
      </w:r>
      <w:r w:rsidR="00EE403F" w:rsidRPr="006B17ED">
        <w:rPr>
          <w:rFonts w:ascii="Montserrat Light" w:hAnsi="Montserrat Light"/>
          <w:sz w:val="20"/>
          <w:szCs w:val="20"/>
        </w:rPr>
        <w:t>c</w:t>
      </w:r>
      <w:r w:rsidRPr="006B17ED">
        <w:rPr>
          <w:rFonts w:ascii="Montserrat Light" w:hAnsi="Montserrat Light"/>
          <w:sz w:val="20"/>
          <w:szCs w:val="20"/>
        </w:rPr>
        <w:t>e and Public Administration</w:t>
      </w:r>
      <w:r w:rsidR="0067312A" w:rsidRPr="006B17ED">
        <w:rPr>
          <w:rFonts w:ascii="Montserrat Light" w:hAnsi="Montserrat Light"/>
          <w:sz w:val="20"/>
          <w:szCs w:val="20"/>
        </w:rPr>
        <w:t xml:space="preserve"> (the Committee)</w:t>
      </w:r>
      <w:r w:rsidRPr="006B17ED">
        <w:rPr>
          <w:rFonts w:ascii="Montserrat Light" w:hAnsi="Montserrat Light"/>
          <w:sz w:val="20"/>
          <w:szCs w:val="20"/>
        </w:rPr>
        <w:t xml:space="preserve">. </w:t>
      </w:r>
    </w:p>
    <w:p w14:paraId="6D7A526A" w14:textId="524670AD" w:rsidR="00FB5750" w:rsidRPr="006B17ED" w:rsidRDefault="00FB5750" w:rsidP="00FB5750">
      <w:pPr>
        <w:jc w:val="both"/>
        <w:rPr>
          <w:rFonts w:ascii="Montserrat Light" w:hAnsi="Montserrat Light"/>
          <w:sz w:val="20"/>
          <w:szCs w:val="20"/>
        </w:rPr>
      </w:pPr>
      <w:r w:rsidRPr="006B17ED">
        <w:rPr>
          <w:rFonts w:ascii="Montserrat Light" w:hAnsi="Montserrat Light"/>
          <w:sz w:val="20"/>
          <w:szCs w:val="20"/>
        </w:rPr>
        <w:t>The Committee tabled a progress report on 10 May 2024, and it</w:t>
      </w:r>
      <w:r w:rsidR="00134FC7" w:rsidRPr="006B17ED">
        <w:rPr>
          <w:rFonts w:ascii="Montserrat Light" w:hAnsi="Montserrat Light"/>
          <w:sz w:val="20"/>
          <w:szCs w:val="20"/>
        </w:rPr>
        <w:t>s</w:t>
      </w:r>
      <w:r w:rsidRPr="006B17ED">
        <w:rPr>
          <w:rFonts w:ascii="Montserrat Light" w:hAnsi="Montserrat Light"/>
          <w:sz w:val="20"/>
          <w:szCs w:val="20"/>
        </w:rPr>
        <w:t xml:space="preserve"> final report on 13 May 2024</w:t>
      </w:r>
      <w:r w:rsidR="0067312A" w:rsidRPr="006B17ED">
        <w:rPr>
          <w:rFonts w:ascii="Montserrat Light" w:hAnsi="Montserrat Light"/>
          <w:sz w:val="20"/>
          <w:szCs w:val="20"/>
        </w:rPr>
        <w:t>, in which it made five</w:t>
      </w:r>
      <w:r w:rsidRPr="006B17ED">
        <w:rPr>
          <w:rFonts w:ascii="Montserrat Light" w:hAnsi="Montserrat Light"/>
          <w:sz w:val="20"/>
          <w:szCs w:val="20"/>
        </w:rPr>
        <w:t xml:space="preserve"> recommendations about the design and operation of the </w:t>
      </w:r>
      <w:r w:rsidR="0067312A" w:rsidRPr="006B17ED">
        <w:rPr>
          <w:rFonts w:ascii="Montserrat Light" w:hAnsi="Montserrat Light"/>
          <w:sz w:val="20"/>
          <w:szCs w:val="20"/>
        </w:rPr>
        <w:t>Bills.</w:t>
      </w:r>
    </w:p>
    <w:p w14:paraId="661C8B7A" w14:textId="24CA56EF" w:rsidR="00FB5750" w:rsidRPr="006B17ED" w:rsidRDefault="00134FC7" w:rsidP="00FB5750">
      <w:pPr>
        <w:jc w:val="both"/>
        <w:rPr>
          <w:rFonts w:ascii="Montserrat Light" w:hAnsi="Montserrat Light"/>
          <w:sz w:val="20"/>
          <w:szCs w:val="20"/>
        </w:rPr>
      </w:pPr>
      <w:r w:rsidRPr="006B17ED">
        <w:rPr>
          <w:rFonts w:ascii="Montserrat Light" w:hAnsi="Montserrat Light"/>
          <w:sz w:val="20"/>
          <w:szCs w:val="20"/>
        </w:rPr>
        <w:t xml:space="preserve">The Government accepts all of the recommendations made by the </w:t>
      </w:r>
      <w:r w:rsidR="0067312A" w:rsidRPr="006B17ED">
        <w:rPr>
          <w:rFonts w:ascii="Montserrat Light" w:hAnsi="Montserrat Light"/>
          <w:sz w:val="20"/>
          <w:szCs w:val="20"/>
        </w:rPr>
        <w:t>C</w:t>
      </w:r>
      <w:r w:rsidR="00FB5750" w:rsidRPr="006B17ED">
        <w:rPr>
          <w:rFonts w:ascii="Montserrat Light" w:hAnsi="Montserrat Light"/>
          <w:sz w:val="20"/>
          <w:szCs w:val="20"/>
        </w:rPr>
        <w:t>ommittee</w:t>
      </w:r>
      <w:r w:rsidRPr="006B17ED">
        <w:rPr>
          <w:rFonts w:ascii="Montserrat Light" w:hAnsi="Montserrat Light"/>
          <w:sz w:val="20"/>
          <w:szCs w:val="20"/>
        </w:rPr>
        <w:t>, and respon</w:t>
      </w:r>
      <w:r w:rsidR="0067312A" w:rsidRPr="006B17ED">
        <w:rPr>
          <w:rFonts w:ascii="Montserrat Light" w:hAnsi="Montserrat Light"/>
          <w:sz w:val="20"/>
          <w:szCs w:val="20"/>
        </w:rPr>
        <w:t>ded to them by progressing the B</w:t>
      </w:r>
      <w:r w:rsidRPr="006B17ED">
        <w:rPr>
          <w:rFonts w:ascii="Montserrat Light" w:hAnsi="Montserrat Light"/>
          <w:sz w:val="20"/>
          <w:szCs w:val="20"/>
        </w:rPr>
        <w:t xml:space="preserve">ills through the House of Representatives </w:t>
      </w:r>
      <w:r w:rsidR="00BC566B" w:rsidRPr="006B17ED">
        <w:rPr>
          <w:rFonts w:ascii="Montserrat Light" w:hAnsi="Montserrat Light"/>
          <w:sz w:val="20"/>
          <w:szCs w:val="20"/>
        </w:rPr>
        <w:t xml:space="preserve">on 5 June 2024 </w:t>
      </w:r>
      <w:r w:rsidRPr="006B17ED">
        <w:rPr>
          <w:rFonts w:ascii="Montserrat Light" w:hAnsi="Montserrat Light"/>
          <w:sz w:val="20"/>
          <w:szCs w:val="20"/>
        </w:rPr>
        <w:t>(Recommendation 1) with amendments that seek to give effect to the clar</w:t>
      </w:r>
      <w:r w:rsidR="0067312A" w:rsidRPr="006B17ED">
        <w:rPr>
          <w:rFonts w:ascii="Montserrat Light" w:hAnsi="Montserrat Light"/>
          <w:sz w:val="20"/>
          <w:szCs w:val="20"/>
        </w:rPr>
        <w:t>i</w:t>
      </w:r>
      <w:r w:rsidRPr="006B17ED">
        <w:rPr>
          <w:rFonts w:ascii="Montserrat Light" w:hAnsi="Montserrat Light"/>
          <w:sz w:val="20"/>
          <w:szCs w:val="20"/>
        </w:rPr>
        <w:t>ficati</w:t>
      </w:r>
      <w:r w:rsidR="0067312A" w:rsidRPr="006B17ED">
        <w:rPr>
          <w:rFonts w:ascii="Montserrat Light" w:hAnsi="Montserrat Light"/>
          <w:sz w:val="20"/>
          <w:szCs w:val="20"/>
        </w:rPr>
        <w:t xml:space="preserve">ons suggested by the Committee. </w:t>
      </w:r>
      <w:r w:rsidRPr="006B17ED">
        <w:rPr>
          <w:rFonts w:ascii="Montserrat Light" w:hAnsi="Montserrat Light"/>
          <w:sz w:val="20"/>
          <w:szCs w:val="20"/>
        </w:rPr>
        <w:t>Specifically</w:t>
      </w:r>
      <w:r w:rsidR="00BC566B" w:rsidRPr="006B17ED">
        <w:rPr>
          <w:rFonts w:ascii="Montserrat Light" w:hAnsi="Montserrat Light"/>
          <w:sz w:val="20"/>
          <w:szCs w:val="20"/>
        </w:rPr>
        <w:t>,</w:t>
      </w:r>
      <w:r w:rsidRPr="006B17ED">
        <w:rPr>
          <w:rFonts w:ascii="Montserrat Light" w:hAnsi="Montserrat Light"/>
          <w:sz w:val="20"/>
          <w:szCs w:val="20"/>
        </w:rPr>
        <w:t xml:space="preserve"> the Government moved am</w:t>
      </w:r>
      <w:r w:rsidR="0067312A" w:rsidRPr="006B17ED">
        <w:rPr>
          <w:rFonts w:ascii="Montserrat Light" w:hAnsi="Montserrat Light"/>
          <w:sz w:val="20"/>
          <w:szCs w:val="20"/>
        </w:rPr>
        <w:t xml:space="preserve">endments to address: </w:t>
      </w:r>
    </w:p>
    <w:p w14:paraId="22DB3378" w14:textId="46F6F756" w:rsidR="00724B64" w:rsidRPr="006B17ED" w:rsidRDefault="01A1B8EE" w:rsidP="2E0CF871">
      <w:pPr>
        <w:pStyle w:val="ListParagraph"/>
        <w:numPr>
          <w:ilvl w:val="0"/>
          <w:numId w:val="8"/>
        </w:numPr>
        <w:ind w:left="714" w:hanging="357"/>
        <w:jc w:val="both"/>
        <w:rPr>
          <w:sz w:val="20"/>
          <w:szCs w:val="20"/>
        </w:rPr>
      </w:pPr>
      <w:r w:rsidRPr="006B17ED">
        <w:rPr>
          <w:sz w:val="20"/>
          <w:szCs w:val="20"/>
        </w:rPr>
        <w:t>Recommendation 2</w:t>
      </w:r>
      <w:r w:rsidR="51795DF0" w:rsidRPr="006B17ED">
        <w:rPr>
          <w:sz w:val="20"/>
          <w:szCs w:val="20"/>
        </w:rPr>
        <w:t>: The C</w:t>
      </w:r>
      <w:r w:rsidR="4ED00B76" w:rsidRPr="006B17ED">
        <w:rPr>
          <w:sz w:val="20"/>
          <w:szCs w:val="20"/>
        </w:rPr>
        <w:t>ommittee recommend</w:t>
      </w:r>
      <w:r w:rsidR="717EE336" w:rsidRPr="006B17ED">
        <w:rPr>
          <w:sz w:val="20"/>
          <w:szCs w:val="20"/>
        </w:rPr>
        <w:t>ed</w:t>
      </w:r>
      <w:r w:rsidR="4ED00B76" w:rsidRPr="006B17ED">
        <w:rPr>
          <w:sz w:val="20"/>
          <w:szCs w:val="20"/>
        </w:rPr>
        <w:t xml:space="preserve"> that the Australian Government consider the introduction of technical amendments to bring the operation of the Energy Industry Jobs Plan into greater alignment with existing dispute settlement and enforcement settings under the </w:t>
      </w:r>
      <w:r w:rsidR="4ED00B76" w:rsidRPr="006B17ED">
        <w:rPr>
          <w:i/>
          <w:sz w:val="20"/>
          <w:szCs w:val="20"/>
        </w:rPr>
        <w:t>Fair Work Act 2009.</w:t>
      </w:r>
    </w:p>
    <w:p w14:paraId="5470FEF4" w14:textId="6F815439" w:rsidR="00724B64" w:rsidRPr="006B17ED" w:rsidRDefault="51795DF0" w:rsidP="2E0CF871">
      <w:pPr>
        <w:pStyle w:val="ListParagraph"/>
        <w:numPr>
          <w:ilvl w:val="0"/>
          <w:numId w:val="8"/>
        </w:numPr>
        <w:ind w:left="714" w:hanging="357"/>
        <w:jc w:val="both"/>
        <w:rPr>
          <w:sz w:val="20"/>
          <w:szCs w:val="20"/>
        </w:rPr>
      </w:pPr>
      <w:r w:rsidRPr="006B17ED">
        <w:rPr>
          <w:sz w:val="20"/>
          <w:szCs w:val="20"/>
        </w:rPr>
        <w:t>Recommendation 3: The C</w:t>
      </w:r>
      <w:r w:rsidR="4ED00B76" w:rsidRPr="006B17ED">
        <w:rPr>
          <w:sz w:val="20"/>
          <w:szCs w:val="20"/>
        </w:rPr>
        <w:t>ommittee recommend</w:t>
      </w:r>
      <w:r w:rsidR="717EE336" w:rsidRPr="006B17ED">
        <w:rPr>
          <w:sz w:val="20"/>
          <w:szCs w:val="20"/>
        </w:rPr>
        <w:t>ed</w:t>
      </w:r>
      <w:r w:rsidR="4ED00B76" w:rsidRPr="006B17ED">
        <w:rPr>
          <w:sz w:val="20"/>
          <w:szCs w:val="20"/>
        </w:rPr>
        <w:t xml:space="preserve"> that the Australian Government consider the introduction of amendments to further clarify how existing obligations under enterprise agreements and other instruments will be considered at various stages of the Energy Industry Jobs Plan.</w:t>
      </w:r>
    </w:p>
    <w:p w14:paraId="26516D38" w14:textId="0023E8A4" w:rsidR="00724B64" w:rsidRPr="006B17ED" w:rsidRDefault="004A2BF3" w:rsidP="00724B64">
      <w:pPr>
        <w:pStyle w:val="ListParagraph"/>
        <w:numPr>
          <w:ilvl w:val="0"/>
          <w:numId w:val="8"/>
        </w:numPr>
        <w:ind w:left="714" w:hanging="357"/>
        <w:contextualSpacing w:val="0"/>
        <w:jc w:val="both"/>
        <w:rPr>
          <w:sz w:val="20"/>
          <w:szCs w:val="20"/>
        </w:rPr>
      </w:pPr>
      <w:r w:rsidRPr="006B17ED">
        <w:rPr>
          <w:sz w:val="20"/>
          <w:szCs w:val="20"/>
        </w:rPr>
        <w:t>Recommendation 4: The C</w:t>
      </w:r>
      <w:r w:rsidR="00724B64" w:rsidRPr="006B17ED">
        <w:rPr>
          <w:sz w:val="20"/>
          <w:szCs w:val="20"/>
        </w:rPr>
        <w:t>ommittee recommend</w:t>
      </w:r>
      <w:r w:rsidR="00181C3C" w:rsidRPr="006B17ED">
        <w:rPr>
          <w:sz w:val="20"/>
          <w:szCs w:val="20"/>
        </w:rPr>
        <w:t>ed</w:t>
      </w:r>
      <w:r w:rsidR="00724B64" w:rsidRPr="006B17ED">
        <w:rPr>
          <w:sz w:val="20"/>
          <w:szCs w:val="20"/>
        </w:rPr>
        <w:t xml:space="preserve"> that the Australian Government consider the introduction of amendments to ensure that employers and their representatives are adequately consulted and have reasonable time to comply with their obligations under the Energy Industry Jobs Plan.</w:t>
      </w:r>
    </w:p>
    <w:p w14:paraId="267591D2" w14:textId="2950C6EF" w:rsidR="00AA356B" w:rsidRPr="006B17ED" w:rsidRDefault="00134FC7" w:rsidP="001DAC2A">
      <w:pPr>
        <w:pStyle w:val="ListParagraph"/>
        <w:numPr>
          <w:ilvl w:val="0"/>
          <w:numId w:val="8"/>
        </w:numPr>
        <w:ind w:left="714" w:hanging="357"/>
        <w:jc w:val="both"/>
        <w:rPr>
          <w:sz w:val="20"/>
          <w:szCs w:val="20"/>
        </w:rPr>
      </w:pPr>
      <w:r w:rsidRPr="006B17ED">
        <w:rPr>
          <w:sz w:val="20"/>
          <w:szCs w:val="20"/>
        </w:rPr>
        <w:t>Recommendation 5</w:t>
      </w:r>
      <w:r w:rsidR="004A2BF3" w:rsidRPr="006B17ED">
        <w:rPr>
          <w:sz w:val="20"/>
          <w:szCs w:val="20"/>
        </w:rPr>
        <w:t>: The C</w:t>
      </w:r>
      <w:r w:rsidR="00724B64" w:rsidRPr="006B17ED">
        <w:rPr>
          <w:sz w:val="20"/>
          <w:szCs w:val="20"/>
        </w:rPr>
        <w:t>ommittee recommend</w:t>
      </w:r>
      <w:r w:rsidR="00181C3C" w:rsidRPr="006B17ED">
        <w:rPr>
          <w:sz w:val="20"/>
          <w:szCs w:val="20"/>
        </w:rPr>
        <w:t>ed</w:t>
      </w:r>
      <w:r w:rsidR="00724B64" w:rsidRPr="006B17ED">
        <w:rPr>
          <w:sz w:val="20"/>
          <w:szCs w:val="20"/>
        </w:rPr>
        <w:t xml:space="preserve"> that the Australian Government consider the introduction of amendments that clarify how personal information collected by the Net Zero Economy Authority will interact with provisions of the </w:t>
      </w:r>
      <w:r w:rsidR="00724B64" w:rsidRPr="006B17ED">
        <w:rPr>
          <w:i/>
          <w:sz w:val="20"/>
          <w:szCs w:val="20"/>
        </w:rPr>
        <w:t>Privacy Act 1988.</w:t>
      </w:r>
    </w:p>
    <w:p w14:paraId="3CB5AD82" w14:textId="19E58AE6" w:rsidR="008A5CF8" w:rsidRPr="006B17ED" w:rsidRDefault="00B554F4" w:rsidP="00A250B8">
      <w:pPr>
        <w:jc w:val="both"/>
        <w:rPr>
          <w:rFonts w:ascii="Montserrat Light" w:hAnsi="Montserrat Light"/>
          <w:sz w:val="20"/>
          <w:szCs w:val="20"/>
        </w:rPr>
      </w:pPr>
      <w:r w:rsidRPr="006B17ED">
        <w:rPr>
          <w:rFonts w:ascii="Montserrat Light" w:hAnsi="Montserrat Light"/>
          <w:sz w:val="20"/>
          <w:szCs w:val="20"/>
        </w:rPr>
        <w:t xml:space="preserve">The </w:t>
      </w:r>
      <w:r w:rsidR="00A250B8" w:rsidRPr="006B17ED">
        <w:rPr>
          <w:rFonts w:ascii="Montserrat Light" w:hAnsi="Montserrat Light"/>
          <w:sz w:val="20"/>
          <w:szCs w:val="20"/>
        </w:rPr>
        <w:t xml:space="preserve">table below provides more detail on the amendments made to address the Committee’s recommendations. </w:t>
      </w:r>
    </w:p>
    <w:p w14:paraId="30EB69CB" w14:textId="3EEDF8DB" w:rsidR="00946CBE" w:rsidRDefault="00946CBE" w:rsidP="00EF6850">
      <w:pPr>
        <w:rPr>
          <w:rFonts w:ascii="Montserrat Light" w:hAnsi="Montserrat Light"/>
          <w:b/>
          <w:sz w:val="20"/>
          <w:szCs w:val="20"/>
          <w:u w:val="single"/>
        </w:rPr>
        <w:sectPr w:rsidR="00946CBE" w:rsidSect="00503148">
          <w:footerReference w:type="default" r:id="rId13"/>
          <w:pgSz w:w="11906" w:h="16838"/>
          <w:pgMar w:top="709" w:right="1274" w:bottom="1440" w:left="1134" w:header="709" w:footer="709" w:gutter="0"/>
          <w:cols w:space="708"/>
          <w:docGrid w:linePitch="360"/>
        </w:sectPr>
      </w:pPr>
    </w:p>
    <w:p w14:paraId="3DFEDC9E" w14:textId="503D9E70" w:rsidR="00205376" w:rsidRDefault="00205376" w:rsidP="00A60BD1">
      <w:pPr>
        <w:pStyle w:val="Heading1-UnderlineBold"/>
      </w:pPr>
      <w:r w:rsidRPr="00EF6850">
        <w:lastRenderedPageBreak/>
        <w:t>G</w:t>
      </w:r>
      <w:r>
        <w:t xml:space="preserve">overnment Response to </w:t>
      </w:r>
      <w:r w:rsidR="001C3589">
        <w:t>Co</w:t>
      </w:r>
      <w:r w:rsidR="001C3589" w:rsidRPr="00EF6850">
        <w:t>mmittee</w:t>
      </w:r>
      <w:r w:rsidRPr="00EF6850">
        <w:t xml:space="preserve"> Recommendations</w:t>
      </w:r>
    </w:p>
    <w:tbl>
      <w:tblPr>
        <w:tblStyle w:val="TableGrid"/>
        <w:tblW w:w="0" w:type="auto"/>
        <w:tblLayout w:type="fixed"/>
        <w:tblLook w:val="04A0" w:firstRow="1" w:lastRow="0" w:firstColumn="1" w:lastColumn="0" w:noHBand="0" w:noVBand="1"/>
      </w:tblPr>
      <w:tblGrid>
        <w:gridCol w:w="704"/>
        <w:gridCol w:w="4713"/>
        <w:gridCol w:w="9262"/>
      </w:tblGrid>
      <w:tr w:rsidR="00946CBE" w14:paraId="1ED7AC21" w14:textId="77777777" w:rsidTr="527A0775">
        <w:tc>
          <w:tcPr>
            <w:tcW w:w="704" w:type="dxa"/>
            <w:shd w:val="clear" w:color="auto" w:fill="E7E6E6" w:themeFill="background2"/>
          </w:tcPr>
          <w:p w14:paraId="1DEAF214" w14:textId="53A44214" w:rsidR="00946CBE" w:rsidRPr="00946CBE" w:rsidRDefault="00946CBE" w:rsidP="00946CBE">
            <w:pPr>
              <w:spacing w:before="240"/>
              <w:rPr>
                <w:rFonts w:ascii="Montserrat Light" w:hAnsi="Montserrat Light"/>
                <w:b/>
                <w:sz w:val="20"/>
                <w:szCs w:val="20"/>
              </w:rPr>
            </w:pPr>
            <w:r w:rsidRPr="00946CBE">
              <w:rPr>
                <w:rFonts w:ascii="Montserrat Light" w:hAnsi="Montserrat Light"/>
                <w:b/>
                <w:sz w:val="20"/>
                <w:szCs w:val="20"/>
              </w:rPr>
              <w:t>No.</w:t>
            </w:r>
          </w:p>
        </w:tc>
        <w:tc>
          <w:tcPr>
            <w:tcW w:w="4713" w:type="dxa"/>
            <w:shd w:val="clear" w:color="auto" w:fill="E7E6E6" w:themeFill="background2"/>
          </w:tcPr>
          <w:p w14:paraId="5955B29F" w14:textId="7D0A9F98" w:rsidR="00946CBE" w:rsidRPr="00946CBE" w:rsidRDefault="00946CBE" w:rsidP="00946CBE">
            <w:pPr>
              <w:spacing w:before="240"/>
              <w:rPr>
                <w:rFonts w:ascii="Montserrat Light" w:hAnsi="Montserrat Light"/>
                <w:b/>
                <w:sz w:val="20"/>
                <w:szCs w:val="20"/>
              </w:rPr>
            </w:pPr>
            <w:r w:rsidRPr="00946CBE">
              <w:rPr>
                <w:rFonts w:ascii="Montserrat Light" w:hAnsi="Montserrat Light"/>
                <w:b/>
                <w:sz w:val="20"/>
                <w:szCs w:val="20"/>
              </w:rPr>
              <w:t>Recommendation</w:t>
            </w:r>
          </w:p>
        </w:tc>
        <w:tc>
          <w:tcPr>
            <w:tcW w:w="9262" w:type="dxa"/>
            <w:shd w:val="clear" w:color="auto" w:fill="E7E6E6" w:themeFill="background2"/>
          </w:tcPr>
          <w:p w14:paraId="47B250EF" w14:textId="0FB9CA06" w:rsidR="00946CBE" w:rsidRPr="00946CBE" w:rsidRDefault="00946CBE" w:rsidP="00946CBE">
            <w:pPr>
              <w:spacing w:before="240"/>
              <w:rPr>
                <w:rFonts w:ascii="Montserrat Light" w:hAnsi="Montserrat Light"/>
                <w:b/>
                <w:sz w:val="20"/>
                <w:szCs w:val="20"/>
              </w:rPr>
            </w:pPr>
            <w:r w:rsidRPr="00946CBE">
              <w:rPr>
                <w:rFonts w:ascii="Montserrat Light" w:hAnsi="Montserrat Light"/>
                <w:b/>
                <w:sz w:val="20"/>
                <w:szCs w:val="20"/>
              </w:rPr>
              <w:t>Government Response</w:t>
            </w:r>
          </w:p>
        </w:tc>
      </w:tr>
      <w:tr w:rsidR="00893DA8" w14:paraId="2EEAE3E7" w14:textId="77777777" w:rsidTr="527A0775">
        <w:tc>
          <w:tcPr>
            <w:tcW w:w="704" w:type="dxa"/>
          </w:tcPr>
          <w:p w14:paraId="52F33685" w14:textId="117800BA" w:rsidR="00893DA8" w:rsidRPr="00946CBE" w:rsidRDefault="00893DA8" w:rsidP="00893DA8">
            <w:pPr>
              <w:pStyle w:val="ListParagraph"/>
              <w:numPr>
                <w:ilvl w:val="0"/>
                <w:numId w:val="4"/>
              </w:numPr>
              <w:spacing w:before="240" w:after="0" w:line="240" w:lineRule="auto"/>
              <w:rPr>
                <w:b/>
                <w:sz w:val="20"/>
                <w:szCs w:val="20"/>
                <w:u w:val="single"/>
              </w:rPr>
            </w:pPr>
          </w:p>
        </w:tc>
        <w:tc>
          <w:tcPr>
            <w:tcW w:w="4713" w:type="dxa"/>
          </w:tcPr>
          <w:p w14:paraId="577F5F90" w14:textId="20F0C3B6" w:rsidR="00893DA8" w:rsidRPr="006759E2" w:rsidRDefault="0067312A" w:rsidP="00893DA8">
            <w:pPr>
              <w:spacing w:before="240"/>
              <w:rPr>
                <w:rFonts w:ascii="Montserrat Light" w:hAnsi="Montserrat Light"/>
                <w:sz w:val="20"/>
                <w:szCs w:val="20"/>
                <w:u w:val="single"/>
              </w:rPr>
            </w:pPr>
            <w:r>
              <w:rPr>
                <w:rFonts w:ascii="Montserrat Light" w:hAnsi="Montserrat Light"/>
                <w:sz w:val="20"/>
                <w:szCs w:val="20"/>
              </w:rPr>
              <w:t>The c</w:t>
            </w:r>
            <w:r w:rsidR="00893DA8" w:rsidRPr="006759E2">
              <w:rPr>
                <w:rFonts w:ascii="Montserrat Light" w:hAnsi="Montserrat Light"/>
                <w:sz w:val="20"/>
                <w:szCs w:val="20"/>
              </w:rPr>
              <w:t xml:space="preserve">ommittee recommends that the bills be passed as soon as practically possible. </w:t>
            </w:r>
          </w:p>
        </w:tc>
        <w:tc>
          <w:tcPr>
            <w:tcW w:w="9262" w:type="dxa"/>
          </w:tcPr>
          <w:p w14:paraId="32BE4A11" w14:textId="4E593185" w:rsidR="00984A0C" w:rsidRDefault="00984A0C" w:rsidP="00893DA8">
            <w:pPr>
              <w:spacing w:before="240"/>
              <w:rPr>
                <w:rFonts w:ascii="Montserrat Light" w:hAnsi="Montserrat Light"/>
                <w:b/>
                <w:sz w:val="20"/>
                <w:szCs w:val="20"/>
                <w:u w:val="single"/>
              </w:rPr>
            </w:pPr>
            <w:r w:rsidRPr="00984A0C">
              <w:rPr>
                <w:rFonts w:ascii="Montserrat Light" w:hAnsi="Montserrat Light"/>
                <w:b/>
                <w:sz w:val="20"/>
                <w:szCs w:val="20"/>
                <w:u w:val="single"/>
              </w:rPr>
              <w:t xml:space="preserve">Accepted </w:t>
            </w:r>
          </w:p>
          <w:p w14:paraId="4C81E995" w14:textId="3353B53A" w:rsidR="00893DA8" w:rsidRPr="00946CBE" w:rsidRDefault="245FF90A" w:rsidP="00510EC9">
            <w:pPr>
              <w:spacing w:before="240"/>
              <w:rPr>
                <w:rFonts w:ascii="Montserrat Light" w:hAnsi="Montserrat Light"/>
                <w:sz w:val="20"/>
                <w:szCs w:val="20"/>
              </w:rPr>
            </w:pPr>
            <w:r w:rsidRPr="527A0775">
              <w:rPr>
                <w:rFonts w:ascii="Montserrat Light" w:hAnsi="Montserrat Light"/>
                <w:sz w:val="20"/>
                <w:szCs w:val="20"/>
              </w:rPr>
              <w:t xml:space="preserve">The Government has ensured prompt consideration of the </w:t>
            </w:r>
            <w:r w:rsidR="5B6DBE08" w:rsidRPr="527A0775">
              <w:rPr>
                <w:rFonts w:ascii="Montserrat Light" w:hAnsi="Montserrat Light"/>
                <w:sz w:val="20"/>
                <w:szCs w:val="20"/>
              </w:rPr>
              <w:t>Bills</w:t>
            </w:r>
            <w:r w:rsidR="1B3C091F" w:rsidRPr="527A0775">
              <w:rPr>
                <w:rFonts w:ascii="Montserrat Light" w:hAnsi="Montserrat Light"/>
                <w:sz w:val="20"/>
                <w:szCs w:val="20"/>
              </w:rPr>
              <w:t xml:space="preserve"> with the</w:t>
            </w:r>
            <w:r w:rsidR="5F9D701B" w:rsidRPr="527A0775">
              <w:rPr>
                <w:rFonts w:ascii="Montserrat Light" w:hAnsi="Montserrat Light"/>
                <w:sz w:val="20"/>
                <w:szCs w:val="20"/>
              </w:rPr>
              <w:t xml:space="preserve"> </w:t>
            </w:r>
            <w:r w:rsidR="1B3C091F" w:rsidRPr="527A0775">
              <w:rPr>
                <w:rFonts w:ascii="Montserrat Light" w:hAnsi="Montserrat Light"/>
                <w:sz w:val="20"/>
                <w:szCs w:val="20"/>
              </w:rPr>
              <w:t xml:space="preserve">Net Zero Economy Authority </w:t>
            </w:r>
            <w:r w:rsidR="25873B02" w:rsidRPr="527A0775">
              <w:rPr>
                <w:rFonts w:ascii="Montserrat Light" w:hAnsi="Montserrat Light"/>
                <w:sz w:val="20"/>
                <w:szCs w:val="20"/>
              </w:rPr>
              <w:t xml:space="preserve">Bill </w:t>
            </w:r>
            <w:r w:rsidR="1B3C091F" w:rsidRPr="527A0775">
              <w:rPr>
                <w:rFonts w:ascii="Montserrat Light" w:hAnsi="Montserrat Light"/>
                <w:sz w:val="20"/>
                <w:szCs w:val="20"/>
              </w:rPr>
              <w:t xml:space="preserve">2024 </w:t>
            </w:r>
            <w:r w:rsidR="5F9D701B" w:rsidRPr="527A0775">
              <w:rPr>
                <w:rFonts w:ascii="Montserrat Light" w:hAnsi="Montserrat Light"/>
                <w:sz w:val="20"/>
                <w:szCs w:val="20"/>
              </w:rPr>
              <w:t>p</w:t>
            </w:r>
            <w:r w:rsidR="1B3C091F" w:rsidRPr="527A0775">
              <w:rPr>
                <w:rFonts w:ascii="Montserrat Light" w:hAnsi="Montserrat Light"/>
                <w:sz w:val="20"/>
                <w:szCs w:val="20"/>
              </w:rPr>
              <w:t xml:space="preserve">assed by both houses of </w:t>
            </w:r>
            <w:r w:rsidR="5F9D701B" w:rsidRPr="527A0775">
              <w:rPr>
                <w:rFonts w:ascii="Montserrat Light" w:hAnsi="Montserrat Light"/>
                <w:sz w:val="20"/>
                <w:szCs w:val="20"/>
              </w:rPr>
              <w:t>Parliament on 9 September 2024 and the Net Zero Economy Authority (Transitional Provisions) Bill 2024 passed</w:t>
            </w:r>
            <w:r w:rsidR="1B3C091F" w:rsidRPr="527A0775">
              <w:rPr>
                <w:rFonts w:ascii="Montserrat Light" w:hAnsi="Montserrat Light"/>
                <w:sz w:val="20"/>
                <w:szCs w:val="20"/>
              </w:rPr>
              <w:t xml:space="preserve"> </w:t>
            </w:r>
            <w:r w:rsidR="5F9D701B" w:rsidRPr="527A0775">
              <w:rPr>
                <w:rFonts w:ascii="Montserrat Light" w:hAnsi="Montserrat Light"/>
                <w:sz w:val="20"/>
                <w:szCs w:val="20"/>
              </w:rPr>
              <w:t>the Parliament on 22 August 2024,</w:t>
            </w:r>
          </w:p>
        </w:tc>
      </w:tr>
      <w:tr w:rsidR="00893DA8" w14:paraId="6CCB217E" w14:textId="77777777" w:rsidTr="527A0775">
        <w:tc>
          <w:tcPr>
            <w:tcW w:w="704" w:type="dxa"/>
          </w:tcPr>
          <w:p w14:paraId="5CF24DFC" w14:textId="77777777" w:rsidR="00893DA8" w:rsidRPr="00946CBE" w:rsidRDefault="00893DA8" w:rsidP="00893DA8">
            <w:pPr>
              <w:pStyle w:val="ListParagraph"/>
              <w:numPr>
                <w:ilvl w:val="0"/>
                <w:numId w:val="4"/>
              </w:numPr>
              <w:spacing w:before="240" w:after="0" w:line="240" w:lineRule="auto"/>
              <w:rPr>
                <w:b/>
                <w:sz w:val="20"/>
                <w:szCs w:val="20"/>
                <w:u w:val="single"/>
              </w:rPr>
            </w:pPr>
          </w:p>
        </w:tc>
        <w:tc>
          <w:tcPr>
            <w:tcW w:w="4713" w:type="dxa"/>
          </w:tcPr>
          <w:p w14:paraId="56A69676" w14:textId="146E83AB" w:rsidR="00893DA8" w:rsidRPr="006759E2" w:rsidRDefault="0067312A" w:rsidP="00893DA8">
            <w:pPr>
              <w:spacing w:before="240"/>
              <w:rPr>
                <w:rFonts w:ascii="Montserrat Light" w:hAnsi="Montserrat Light"/>
                <w:sz w:val="20"/>
                <w:szCs w:val="20"/>
              </w:rPr>
            </w:pPr>
            <w:r w:rsidRPr="55F910F9">
              <w:rPr>
                <w:rFonts w:ascii="Montserrat Light" w:hAnsi="Montserrat Light"/>
                <w:sz w:val="20"/>
                <w:szCs w:val="20"/>
              </w:rPr>
              <w:t>The c</w:t>
            </w:r>
            <w:r w:rsidR="00893DA8" w:rsidRPr="55F910F9">
              <w:rPr>
                <w:rFonts w:ascii="Montserrat Light" w:hAnsi="Montserrat Light"/>
                <w:sz w:val="20"/>
                <w:szCs w:val="20"/>
              </w:rPr>
              <w:t>ommittee recommends that the Australian Government consider the introduction of technical amendments to bring the operation of the Energy Industry Jobs Plan into greater alignment with existing dispute settlement and enforcement settings under the Fair Work Act 2009.</w:t>
            </w:r>
          </w:p>
        </w:tc>
        <w:tc>
          <w:tcPr>
            <w:tcW w:w="9262" w:type="dxa"/>
          </w:tcPr>
          <w:p w14:paraId="65A56D66" w14:textId="7906274B" w:rsidR="00893DA8" w:rsidRPr="005952DB" w:rsidRDefault="005952DB" w:rsidP="00893DA8">
            <w:pPr>
              <w:spacing w:before="240"/>
              <w:rPr>
                <w:rFonts w:ascii="Montserrat Light" w:hAnsi="Montserrat Light"/>
                <w:b/>
                <w:sz w:val="20"/>
                <w:szCs w:val="20"/>
                <w:u w:val="single"/>
              </w:rPr>
            </w:pPr>
            <w:r w:rsidRPr="005952DB">
              <w:rPr>
                <w:rFonts w:ascii="Montserrat Light" w:hAnsi="Montserrat Light"/>
                <w:b/>
                <w:sz w:val="20"/>
                <w:szCs w:val="20"/>
                <w:u w:val="single"/>
              </w:rPr>
              <w:t xml:space="preserve">Accepted </w:t>
            </w:r>
          </w:p>
          <w:p w14:paraId="38CC32F0" w14:textId="3D60417D" w:rsidR="001C3589" w:rsidRDefault="00B552BA" w:rsidP="005952DB">
            <w:pPr>
              <w:spacing w:before="240"/>
              <w:rPr>
                <w:rFonts w:ascii="Montserrat Light" w:hAnsi="Montserrat Light"/>
                <w:sz w:val="20"/>
                <w:szCs w:val="20"/>
              </w:rPr>
            </w:pPr>
            <w:r>
              <w:rPr>
                <w:rFonts w:ascii="Montserrat Light" w:hAnsi="Montserrat Light"/>
                <w:sz w:val="20"/>
                <w:szCs w:val="20"/>
              </w:rPr>
              <w:t xml:space="preserve">The Government </w:t>
            </w:r>
            <w:r w:rsidR="00486221">
              <w:rPr>
                <w:rFonts w:ascii="Montserrat Light" w:hAnsi="Montserrat Light"/>
                <w:sz w:val="20"/>
                <w:szCs w:val="20"/>
              </w:rPr>
              <w:t xml:space="preserve">moved </w:t>
            </w:r>
            <w:r w:rsidR="004820B3">
              <w:rPr>
                <w:rFonts w:ascii="Montserrat Light" w:hAnsi="Montserrat Light"/>
                <w:sz w:val="20"/>
                <w:szCs w:val="20"/>
              </w:rPr>
              <w:t>technical amendments in</w:t>
            </w:r>
            <w:r>
              <w:rPr>
                <w:rFonts w:ascii="Montserrat Light" w:hAnsi="Montserrat Light"/>
                <w:sz w:val="20"/>
                <w:szCs w:val="20"/>
              </w:rPr>
              <w:t xml:space="preserve"> the House of Representatives in</w:t>
            </w:r>
            <w:r w:rsidR="004820B3">
              <w:rPr>
                <w:rFonts w:ascii="Montserrat Light" w:hAnsi="Montserrat Light"/>
                <w:sz w:val="20"/>
                <w:szCs w:val="20"/>
              </w:rPr>
              <w:t xml:space="preserve"> </w:t>
            </w:r>
            <w:r w:rsidR="0052130F">
              <w:rPr>
                <w:rFonts w:ascii="Montserrat Light" w:hAnsi="Montserrat Light"/>
                <w:sz w:val="20"/>
                <w:szCs w:val="20"/>
              </w:rPr>
              <w:t xml:space="preserve">support of </w:t>
            </w:r>
            <w:r w:rsidR="004820B3">
              <w:rPr>
                <w:rFonts w:ascii="Montserrat Light" w:hAnsi="Montserrat Light"/>
                <w:sz w:val="20"/>
                <w:szCs w:val="20"/>
              </w:rPr>
              <w:t>this recommendation</w:t>
            </w:r>
            <w:r w:rsidR="00023096">
              <w:rPr>
                <w:rFonts w:ascii="Montserrat Light" w:hAnsi="Montserrat Light"/>
                <w:sz w:val="20"/>
                <w:szCs w:val="20"/>
              </w:rPr>
              <w:t xml:space="preserve"> by</w:t>
            </w:r>
            <w:r w:rsidR="00486221">
              <w:rPr>
                <w:rFonts w:ascii="Montserrat Light" w:hAnsi="Montserrat Light"/>
                <w:sz w:val="20"/>
                <w:szCs w:val="20"/>
              </w:rPr>
              <w:t>:</w:t>
            </w:r>
          </w:p>
          <w:p w14:paraId="1269794A" w14:textId="4DFB8DC2" w:rsidR="005770A7" w:rsidRPr="00F843CE" w:rsidRDefault="00781F14" w:rsidP="0004071D">
            <w:pPr>
              <w:pStyle w:val="ListParagraph"/>
              <w:numPr>
                <w:ilvl w:val="0"/>
                <w:numId w:val="23"/>
              </w:numPr>
              <w:spacing w:before="120" w:after="0" w:line="240" w:lineRule="auto"/>
              <w:ind w:hanging="357"/>
              <w:contextualSpacing w:val="0"/>
              <w:rPr>
                <w:rFonts w:ascii="Times New Roman" w:hAnsi="Times New Roman"/>
              </w:rPr>
            </w:pPr>
            <w:r>
              <w:rPr>
                <w:sz w:val="20"/>
                <w:szCs w:val="20"/>
              </w:rPr>
              <w:t>E</w:t>
            </w:r>
            <w:r w:rsidR="00B552BA" w:rsidRPr="00486221">
              <w:rPr>
                <w:sz w:val="20"/>
                <w:szCs w:val="20"/>
              </w:rPr>
              <w:t>nabl</w:t>
            </w:r>
            <w:r w:rsidR="00023096">
              <w:rPr>
                <w:sz w:val="20"/>
                <w:szCs w:val="20"/>
              </w:rPr>
              <w:t>ing</w:t>
            </w:r>
            <w:r w:rsidR="00B552BA" w:rsidRPr="00486221">
              <w:rPr>
                <w:sz w:val="20"/>
                <w:szCs w:val="20"/>
              </w:rPr>
              <w:t xml:space="preserve"> the </w:t>
            </w:r>
            <w:r w:rsidR="00023096">
              <w:rPr>
                <w:sz w:val="20"/>
                <w:szCs w:val="20"/>
              </w:rPr>
              <w:t>Fair Work Commission (FWC)</w:t>
            </w:r>
            <w:r w:rsidR="00023096" w:rsidRPr="00486221">
              <w:rPr>
                <w:sz w:val="20"/>
                <w:szCs w:val="20"/>
              </w:rPr>
              <w:t xml:space="preserve"> </w:t>
            </w:r>
            <w:r w:rsidR="00B552BA" w:rsidRPr="00486221">
              <w:rPr>
                <w:sz w:val="20"/>
                <w:szCs w:val="20"/>
              </w:rPr>
              <w:t>to arbitrate a dispute where the parties to a determination under clauses 60 or 61 have agreed that the C</w:t>
            </w:r>
            <w:r w:rsidR="008C7CE9" w:rsidRPr="00486221">
              <w:rPr>
                <w:sz w:val="20"/>
                <w:szCs w:val="20"/>
              </w:rPr>
              <w:t>ommission</w:t>
            </w:r>
            <w:r w:rsidR="00B552BA" w:rsidRPr="00486221">
              <w:rPr>
                <w:sz w:val="20"/>
                <w:szCs w:val="20"/>
              </w:rPr>
              <w:t xml:space="preserve"> can arbitrate. </w:t>
            </w:r>
            <w:r w:rsidR="008C7CE9" w:rsidRPr="00486221">
              <w:rPr>
                <w:sz w:val="20"/>
                <w:szCs w:val="20"/>
              </w:rPr>
              <w:t xml:space="preserve">It </w:t>
            </w:r>
            <w:r w:rsidR="00B552BA" w:rsidRPr="00486221">
              <w:rPr>
                <w:sz w:val="20"/>
                <w:szCs w:val="20"/>
              </w:rPr>
              <w:t xml:space="preserve">also </w:t>
            </w:r>
            <w:r w:rsidR="008C7CE9" w:rsidRPr="00486221">
              <w:rPr>
                <w:sz w:val="20"/>
                <w:szCs w:val="20"/>
              </w:rPr>
              <w:t>permits the FWC</w:t>
            </w:r>
            <w:r w:rsidR="00B552BA" w:rsidRPr="00486221">
              <w:rPr>
                <w:sz w:val="20"/>
                <w:szCs w:val="20"/>
              </w:rPr>
              <w:t xml:space="preserve"> to handle disputes through mediation or conciliation</w:t>
            </w:r>
            <w:r w:rsidR="005D63C3">
              <w:rPr>
                <w:sz w:val="20"/>
                <w:szCs w:val="20"/>
              </w:rPr>
              <w:t xml:space="preserve"> and</w:t>
            </w:r>
            <w:r w:rsidR="00023096">
              <w:rPr>
                <w:sz w:val="20"/>
                <w:szCs w:val="20"/>
              </w:rPr>
              <w:t xml:space="preserve"> </w:t>
            </w:r>
            <w:r w:rsidR="00B552BA" w:rsidRPr="00486221">
              <w:rPr>
                <w:sz w:val="20"/>
                <w:szCs w:val="20"/>
              </w:rPr>
              <w:t xml:space="preserve">allows disputes to be dealt with by persons </w:t>
            </w:r>
            <w:r w:rsidR="008C7CE9" w:rsidRPr="00486221">
              <w:rPr>
                <w:sz w:val="20"/>
                <w:szCs w:val="20"/>
              </w:rPr>
              <w:t>other than the FWC</w:t>
            </w:r>
            <w:r w:rsidR="00B552BA" w:rsidRPr="00486221">
              <w:rPr>
                <w:sz w:val="20"/>
                <w:szCs w:val="20"/>
              </w:rPr>
              <w:t>, including by arbitration</w:t>
            </w:r>
            <w:r w:rsidR="005D63C3">
              <w:rPr>
                <w:sz w:val="20"/>
                <w:szCs w:val="20"/>
              </w:rPr>
              <w:t>,</w:t>
            </w:r>
            <w:r w:rsidR="00B552BA" w:rsidRPr="00486221">
              <w:rPr>
                <w:sz w:val="20"/>
                <w:szCs w:val="20"/>
              </w:rPr>
              <w:t xml:space="preserve"> if this is agreed by parties</w:t>
            </w:r>
            <w:r w:rsidR="00B552BA">
              <w:rPr>
                <w:rFonts w:ascii="Times New Roman" w:hAnsi="Times New Roman"/>
              </w:rPr>
              <w:t>.</w:t>
            </w:r>
          </w:p>
          <w:p w14:paraId="1C6DF1B3" w14:textId="1FDAEF84" w:rsidR="003104A0" w:rsidRDefault="008215A0" w:rsidP="0004071D">
            <w:pPr>
              <w:pStyle w:val="ListParagraph"/>
              <w:numPr>
                <w:ilvl w:val="0"/>
                <w:numId w:val="23"/>
              </w:numPr>
              <w:spacing w:before="120" w:after="0" w:line="240" w:lineRule="auto"/>
              <w:ind w:hanging="357"/>
              <w:contextualSpacing w:val="0"/>
              <w:rPr>
                <w:sz w:val="20"/>
                <w:szCs w:val="20"/>
              </w:rPr>
            </w:pPr>
            <w:r>
              <w:rPr>
                <w:sz w:val="20"/>
                <w:szCs w:val="20"/>
              </w:rPr>
              <w:t>P</w:t>
            </w:r>
            <w:r w:rsidR="003104A0" w:rsidRPr="0004071D">
              <w:rPr>
                <w:sz w:val="20"/>
                <w:szCs w:val="20"/>
              </w:rPr>
              <w:t>rovid</w:t>
            </w:r>
            <w:r w:rsidR="003104A0">
              <w:rPr>
                <w:sz w:val="20"/>
                <w:szCs w:val="20"/>
              </w:rPr>
              <w:t>ing</w:t>
            </w:r>
            <w:r w:rsidR="003104A0" w:rsidRPr="0004071D">
              <w:rPr>
                <w:sz w:val="20"/>
                <w:szCs w:val="20"/>
              </w:rPr>
              <w:t xml:space="preserve"> that a person would generally need to bear their own costs in relation to any application through the courts</w:t>
            </w:r>
            <w:r w:rsidR="003104A0" w:rsidRPr="003104A0">
              <w:rPr>
                <w:sz w:val="20"/>
                <w:szCs w:val="20"/>
              </w:rPr>
              <w:t xml:space="preserve"> </w:t>
            </w:r>
            <w:r w:rsidR="003104A0">
              <w:rPr>
                <w:sz w:val="20"/>
                <w:szCs w:val="20"/>
              </w:rPr>
              <w:t>and a</w:t>
            </w:r>
            <w:r w:rsidR="003221B9" w:rsidRPr="0004071D">
              <w:rPr>
                <w:sz w:val="20"/>
                <w:szCs w:val="20"/>
              </w:rPr>
              <w:t>llowing</w:t>
            </w:r>
            <w:r w:rsidR="003104A0">
              <w:rPr>
                <w:sz w:val="20"/>
                <w:szCs w:val="20"/>
              </w:rPr>
              <w:t>:</w:t>
            </w:r>
          </w:p>
          <w:p w14:paraId="169ABF73" w14:textId="5DF5DE4A" w:rsidR="003104A0" w:rsidRDefault="003104A0" w:rsidP="0004071D">
            <w:pPr>
              <w:pStyle w:val="ListParagraph"/>
              <w:numPr>
                <w:ilvl w:val="1"/>
                <w:numId w:val="23"/>
              </w:numPr>
              <w:spacing w:before="120" w:after="0" w:line="240" w:lineRule="auto"/>
              <w:ind w:hanging="357"/>
              <w:contextualSpacing w:val="0"/>
              <w:rPr>
                <w:sz w:val="20"/>
                <w:szCs w:val="20"/>
              </w:rPr>
            </w:pPr>
            <w:r>
              <w:rPr>
                <w:sz w:val="20"/>
                <w:szCs w:val="20"/>
              </w:rPr>
              <w:t xml:space="preserve">courts to </w:t>
            </w:r>
            <w:r w:rsidR="003221B9" w:rsidRPr="0004071D">
              <w:rPr>
                <w:sz w:val="20"/>
                <w:szCs w:val="20"/>
              </w:rPr>
              <w:t>order that a penalty, or part of a penalty, can be paid to an organisation or a person, not just the Commonwealth</w:t>
            </w:r>
            <w:r>
              <w:rPr>
                <w:sz w:val="20"/>
                <w:szCs w:val="20"/>
              </w:rPr>
              <w:t xml:space="preserve">, </w:t>
            </w:r>
          </w:p>
          <w:p w14:paraId="1F8924B7" w14:textId="3673C719" w:rsidR="003104A0" w:rsidRDefault="003104A0" w:rsidP="0004071D">
            <w:pPr>
              <w:pStyle w:val="ListParagraph"/>
              <w:numPr>
                <w:ilvl w:val="1"/>
                <w:numId w:val="23"/>
              </w:numPr>
              <w:spacing w:before="120" w:after="0" w:line="240" w:lineRule="auto"/>
              <w:ind w:hanging="357"/>
              <w:contextualSpacing w:val="0"/>
              <w:rPr>
                <w:sz w:val="20"/>
                <w:szCs w:val="20"/>
              </w:rPr>
            </w:pPr>
            <w:r>
              <w:rPr>
                <w:sz w:val="20"/>
                <w:szCs w:val="20"/>
              </w:rPr>
              <w:t xml:space="preserve">courts to </w:t>
            </w:r>
            <w:r w:rsidRPr="0004071D">
              <w:rPr>
                <w:sz w:val="20"/>
                <w:szCs w:val="20"/>
              </w:rPr>
              <w:t>award compensation for loss that a person has suffered because of a contravention of a civil penalty provision</w:t>
            </w:r>
          </w:p>
          <w:p w14:paraId="30DEAB79" w14:textId="679763D0" w:rsidR="003104A0" w:rsidRPr="0004071D" w:rsidRDefault="003104A0" w:rsidP="0004071D">
            <w:pPr>
              <w:pStyle w:val="ListParagraph"/>
              <w:numPr>
                <w:ilvl w:val="1"/>
                <w:numId w:val="23"/>
              </w:numPr>
              <w:spacing w:before="120" w:after="0" w:line="240" w:lineRule="auto"/>
              <w:ind w:hanging="357"/>
              <w:contextualSpacing w:val="0"/>
              <w:rPr>
                <w:sz w:val="20"/>
                <w:szCs w:val="20"/>
              </w:rPr>
            </w:pPr>
            <w:r>
              <w:rPr>
                <w:sz w:val="20"/>
                <w:szCs w:val="20"/>
              </w:rPr>
              <w:t xml:space="preserve">the </w:t>
            </w:r>
            <w:r w:rsidRPr="0004071D">
              <w:rPr>
                <w:sz w:val="20"/>
                <w:szCs w:val="20"/>
              </w:rPr>
              <w:t>Authority’s CEO</w:t>
            </w:r>
            <w:r w:rsidR="00362301">
              <w:rPr>
                <w:sz w:val="20"/>
                <w:szCs w:val="20"/>
              </w:rPr>
              <w:t xml:space="preserve"> (CEO)</w:t>
            </w:r>
            <w:r w:rsidRPr="0004071D">
              <w:rPr>
                <w:sz w:val="20"/>
                <w:szCs w:val="20"/>
              </w:rPr>
              <w:t>, or another authorised applicant, to apply for an injunction restraining a person from contravening a provision of, or requiring a person to comply with, a provision of Part 5</w:t>
            </w:r>
            <w:r>
              <w:rPr>
                <w:sz w:val="20"/>
                <w:szCs w:val="20"/>
              </w:rPr>
              <w:t xml:space="preserve"> of the Bill</w:t>
            </w:r>
          </w:p>
          <w:p w14:paraId="4FE70582" w14:textId="05A329DE" w:rsidR="0066678D" w:rsidRPr="00486221" w:rsidRDefault="00486221" w:rsidP="00686026">
            <w:pPr>
              <w:pStyle w:val="ListParagraph"/>
              <w:numPr>
                <w:ilvl w:val="0"/>
                <w:numId w:val="23"/>
              </w:numPr>
              <w:spacing w:before="120" w:after="0" w:line="240" w:lineRule="auto"/>
              <w:ind w:hanging="357"/>
              <w:contextualSpacing w:val="0"/>
              <w:rPr>
                <w:sz w:val="20"/>
                <w:szCs w:val="20"/>
              </w:rPr>
            </w:pPr>
            <w:r>
              <w:rPr>
                <w:sz w:val="20"/>
                <w:szCs w:val="20"/>
              </w:rPr>
              <w:t>A</w:t>
            </w:r>
            <w:r w:rsidR="00E773EA" w:rsidRPr="00486221">
              <w:rPr>
                <w:sz w:val="20"/>
                <w:szCs w:val="20"/>
              </w:rPr>
              <w:t>llow</w:t>
            </w:r>
            <w:r w:rsidR="00023096">
              <w:rPr>
                <w:sz w:val="20"/>
                <w:szCs w:val="20"/>
              </w:rPr>
              <w:t>ing</w:t>
            </w:r>
            <w:r w:rsidR="00E773EA" w:rsidRPr="00486221">
              <w:rPr>
                <w:sz w:val="20"/>
                <w:szCs w:val="20"/>
              </w:rPr>
              <w:t xml:space="preserve"> a state or territory court </w:t>
            </w:r>
            <w:r w:rsidR="00E61E20" w:rsidRPr="00486221">
              <w:rPr>
                <w:sz w:val="20"/>
                <w:szCs w:val="20"/>
              </w:rPr>
              <w:t>with appropriate jurisdiction to hear matters</w:t>
            </w:r>
            <w:r w:rsidR="00487CB5" w:rsidRPr="00486221">
              <w:rPr>
                <w:sz w:val="20"/>
                <w:szCs w:val="20"/>
              </w:rPr>
              <w:t xml:space="preserve"> relating to the Plan</w:t>
            </w:r>
            <w:r w:rsidR="00E773EA" w:rsidRPr="00486221">
              <w:rPr>
                <w:sz w:val="20"/>
                <w:szCs w:val="20"/>
              </w:rPr>
              <w:t xml:space="preserve">. </w:t>
            </w:r>
          </w:p>
        </w:tc>
      </w:tr>
      <w:tr w:rsidR="00893DA8" w14:paraId="03E065E4" w14:textId="77777777" w:rsidTr="527A0775">
        <w:tc>
          <w:tcPr>
            <w:tcW w:w="704" w:type="dxa"/>
          </w:tcPr>
          <w:p w14:paraId="1D05890D" w14:textId="77777777" w:rsidR="00893DA8" w:rsidRPr="00946CBE" w:rsidRDefault="00893DA8" w:rsidP="00893DA8">
            <w:pPr>
              <w:pStyle w:val="ListParagraph"/>
              <w:numPr>
                <w:ilvl w:val="0"/>
                <w:numId w:val="4"/>
              </w:numPr>
              <w:spacing w:before="240" w:after="0" w:line="240" w:lineRule="auto"/>
              <w:rPr>
                <w:b/>
                <w:sz w:val="20"/>
                <w:szCs w:val="20"/>
                <w:u w:val="single"/>
              </w:rPr>
            </w:pPr>
          </w:p>
        </w:tc>
        <w:tc>
          <w:tcPr>
            <w:tcW w:w="4713" w:type="dxa"/>
          </w:tcPr>
          <w:p w14:paraId="78676EA4" w14:textId="50906726" w:rsidR="00893DA8" w:rsidRPr="006759E2" w:rsidRDefault="00893DA8" w:rsidP="00893DA8">
            <w:pPr>
              <w:spacing w:before="240"/>
              <w:rPr>
                <w:rFonts w:ascii="Montserrat Light" w:hAnsi="Montserrat Light"/>
                <w:sz w:val="20"/>
                <w:szCs w:val="20"/>
              </w:rPr>
            </w:pPr>
            <w:r w:rsidRPr="006759E2">
              <w:rPr>
                <w:rFonts w:ascii="Montserrat Light" w:hAnsi="Montserrat Light"/>
                <w:sz w:val="20"/>
                <w:szCs w:val="20"/>
              </w:rPr>
              <w:t>The committee recommends that the Aust</w:t>
            </w:r>
            <w:r>
              <w:rPr>
                <w:rFonts w:ascii="Montserrat Light" w:hAnsi="Montserrat Light"/>
                <w:sz w:val="20"/>
                <w:szCs w:val="20"/>
              </w:rPr>
              <w:t xml:space="preserve">ralian Government consider the </w:t>
            </w:r>
            <w:r w:rsidRPr="006759E2">
              <w:rPr>
                <w:rFonts w:ascii="Montserrat Light" w:hAnsi="Montserrat Light"/>
                <w:sz w:val="20"/>
                <w:szCs w:val="20"/>
              </w:rPr>
              <w:t xml:space="preserve">introduction of amendments to further clarify </w:t>
            </w:r>
            <w:r>
              <w:rPr>
                <w:rFonts w:ascii="Montserrat Light" w:hAnsi="Montserrat Light"/>
                <w:sz w:val="20"/>
                <w:szCs w:val="20"/>
              </w:rPr>
              <w:lastRenderedPageBreak/>
              <w:t xml:space="preserve">how existing obligations under </w:t>
            </w:r>
            <w:r w:rsidRPr="006759E2">
              <w:rPr>
                <w:rFonts w:ascii="Montserrat Light" w:hAnsi="Montserrat Light"/>
                <w:sz w:val="20"/>
                <w:szCs w:val="20"/>
              </w:rPr>
              <w:t>enterprise agreements and other instruments will be co</w:t>
            </w:r>
            <w:r>
              <w:rPr>
                <w:rFonts w:ascii="Montserrat Light" w:hAnsi="Montserrat Light"/>
                <w:sz w:val="20"/>
                <w:szCs w:val="20"/>
              </w:rPr>
              <w:t xml:space="preserve">nsidered at various </w:t>
            </w:r>
            <w:r w:rsidRPr="006759E2">
              <w:rPr>
                <w:rFonts w:ascii="Montserrat Light" w:hAnsi="Montserrat Light"/>
                <w:sz w:val="20"/>
                <w:szCs w:val="20"/>
              </w:rPr>
              <w:t>stages of the Energy Industry Jobs Plan.</w:t>
            </w:r>
          </w:p>
        </w:tc>
        <w:tc>
          <w:tcPr>
            <w:tcW w:w="9262" w:type="dxa"/>
          </w:tcPr>
          <w:p w14:paraId="1569FC7B" w14:textId="77777777" w:rsidR="0024717B" w:rsidRDefault="0024717B" w:rsidP="00893DA8">
            <w:pPr>
              <w:spacing w:before="240"/>
              <w:rPr>
                <w:rFonts w:ascii="Montserrat Light" w:hAnsi="Montserrat Light"/>
                <w:b/>
                <w:sz w:val="20"/>
                <w:szCs w:val="20"/>
                <w:u w:val="single"/>
              </w:rPr>
            </w:pPr>
            <w:r w:rsidRPr="0024717B">
              <w:rPr>
                <w:rFonts w:ascii="Montserrat Light" w:hAnsi="Montserrat Light"/>
                <w:b/>
                <w:sz w:val="20"/>
                <w:szCs w:val="20"/>
                <w:u w:val="single"/>
              </w:rPr>
              <w:lastRenderedPageBreak/>
              <w:t>Accepted</w:t>
            </w:r>
          </w:p>
          <w:p w14:paraId="48D01FAD" w14:textId="3238D5BC" w:rsidR="00023096" w:rsidRDefault="00220470" w:rsidP="002E410E">
            <w:pPr>
              <w:spacing w:before="240"/>
              <w:rPr>
                <w:rFonts w:ascii="Montserrat Light" w:hAnsi="Montserrat Light"/>
                <w:sz w:val="20"/>
                <w:szCs w:val="20"/>
              </w:rPr>
            </w:pPr>
            <w:r w:rsidRPr="005952DB">
              <w:rPr>
                <w:rFonts w:ascii="Montserrat Light" w:hAnsi="Montserrat Light"/>
                <w:sz w:val="20"/>
                <w:szCs w:val="20"/>
              </w:rPr>
              <w:lastRenderedPageBreak/>
              <w:t xml:space="preserve">The </w:t>
            </w:r>
            <w:r w:rsidR="00023096">
              <w:rPr>
                <w:rFonts w:ascii="Montserrat Light" w:hAnsi="Montserrat Light"/>
                <w:sz w:val="20"/>
                <w:szCs w:val="20"/>
              </w:rPr>
              <w:t xml:space="preserve">Government </w:t>
            </w:r>
            <w:r>
              <w:rPr>
                <w:rFonts w:ascii="Montserrat Light" w:hAnsi="Montserrat Light"/>
                <w:sz w:val="20"/>
                <w:szCs w:val="20"/>
              </w:rPr>
              <w:t>moved amendments in the House of Rep</w:t>
            </w:r>
            <w:r w:rsidR="002E410E">
              <w:rPr>
                <w:rFonts w:ascii="Montserrat Light" w:hAnsi="Montserrat Light"/>
                <w:sz w:val="20"/>
                <w:szCs w:val="20"/>
              </w:rPr>
              <w:t xml:space="preserve">resentatives to </w:t>
            </w:r>
            <w:r w:rsidR="00023096">
              <w:rPr>
                <w:rFonts w:ascii="Montserrat Light" w:hAnsi="Montserrat Light"/>
                <w:sz w:val="20"/>
                <w:szCs w:val="20"/>
              </w:rPr>
              <w:t>support this recommendation by:</w:t>
            </w:r>
          </w:p>
          <w:p w14:paraId="69869175" w14:textId="1BD98D0B" w:rsidR="00023096" w:rsidRPr="001E7775" w:rsidRDefault="00023096" w:rsidP="00DF5329">
            <w:pPr>
              <w:pStyle w:val="ListParagraph"/>
              <w:numPr>
                <w:ilvl w:val="0"/>
                <w:numId w:val="23"/>
              </w:numPr>
              <w:spacing w:before="120" w:after="0" w:line="240" w:lineRule="auto"/>
              <w:ind w:hanging="357"/>
              <w:contextualSpacing w:val="0"/>
              <w:rPr>
                <w:sz w:val="20"/>
                <w:szCs w:val="20"/>
              </w:rPr>
            </w:pPr>
            <w:r>
              <w:rPr>
                <w:sz w:val="20"/>
                <w:szCs w:val="20"/>
              </w:rPr>
              <w:t>E</w:t>
            </w:r>
            <w:r w:rsidR="001A2BFE" w:rsidRPr="001E7775">
              <w:rPr>
                <w:sz w:val="20"/>
                <w:szCs w:val="20"/>
              </w:rPr>
              <w:t>nsur</w:t>
            </w:r>
            <w:r>
              <w:rPr>
                <w:sz w:val="20"/>
                <w:szCs w:val="20"/>
              </w:rPr>
              <w:t>ing</w:t>
            </w:r>
            <w:r w:rsidR="001A2BFE" w:rsidRPr="001E7775">
              <w:rPr>
                <w:sz w:val="20"/>
                <w:szCs w:val="20"/>
              </w:rPr>
              <w:t xml:space="preserve"> that supports provided under relevant enterprise agreements or other industrial instruments are </w:t>
            </w:r>
            <w:r w:rsidR="007F3D18">
              <w:rPr>
                <w:sz w:val="20"/>
                <w:szCs w:val="20"/>
              </w:rPr>
              <w:t>taken into regard</w:t>
            </w:r>
            <w:r w:rsidR="007F3D18" w:rsidRPr="001E7775">
              <w:rPr>
                <w:sz w:val="20"/>
                <w:szCs w:val="20"/>
              </w:rPr>
              <w:t xml:space="preserve"> </w:t>
            </w:r>
            <w:r w:rsidR="001A2BFE" w:rsidRPr="001E7775">
              <w:rPr>
                <w:sz w:val="20"/>
                <w:szCs w:val="20"/>
              </w:rPr>
              <w:t xml:space="preserve">when the </w:t>
            </w:r>
            <w:r w:rsidR="007F3D18">
              <w:rPr>
                <w:sz w:val="20"/>
                <w:szCs w:val="20"/>
              </w:rPr>
              <w:t>CEO</w:t>
            </w:r>
            <w:r w:rsidR="001A2BFE" w:rsidRPr="001E7775">
              <w:rPr>
                <w:sz w:val="20"/>
                <w:szCs w:val="20"/>
              </w:rPr>
              <w:t xml:space="preserve"> </w:t>
            </w:r>
            <w:r w:rsidR="007F3D18">
              <w:rPr>
                <w:sz w:val="20"/>
                <w:szCs w:val="20"/>
              </w:rPr>
              <w:t xml:space="preserve">considers </w:t>
            </w:r>
            <w:r w:rsidR="007F3D18" w:rsidRPr="001E7775">
              <w:rPr>
                <w:sz w:val="20"/>
                <w:szCs w:val="20"/>
              </w:rPr>
              <w:t>mak</w:t>
            </w:r>
            <w:r w:rsidR="007F3D18">
              <w:rPr>
                <w:sz w:val="20"/>
                <w:szCs w:val="20"/>
              </w:rPr>
              <w:t>ing</w:t>
            </w:r>
            <w:r w:rsidR="007F3D18" w:rsidRPr="001E7775">
              <w:rPr>
                <w:sz w:val="20"/>
                <w:szCs w:val="20"/>
              </w:rPr>
              <w:t xml:space="preserve"> </w:t>
            </w:r>
            <w:r w:rsidR="001A2BFE" w:rsidRPr="001E7775">
              <w:rPr>
                <w:sz w:val="20"/>
                <w:szCs w:val="20"/>
              </w:rPr>
              <w:t>a Community of Interest appli</w:t>
            </w:r>
            <w:r w:rsidR="0025095F" w:rsidRPr="001E7775">
              <w:rPr>
                <w:sz w:val="20"/>
                <w:szCs w:val="20"/>
              </w:rPr>
              <w:t xml:space="preserve">cation and when the FWC </w:t>
            </w:r>
            <w:r w:rsidR="007F3D18">
              <w:rPr>
                <w:sz w:val="20"/>
                <w:szCs w:val="20"/>
              </w:rPr>
              <w:t xml:space="preserve">considers </w:t>
            </w:r>
            <w:r w:rsidR="007F3D18" w:rsidRPr="001E7775">
              <w:rPr>
                <w:sz w:val="20"/>
                <w:szCs w:val="20"/>
              </w:rPr>
              <w:t>mak</w:t>
            </w:r>
            <w:r w:rsidR="007F3D18">
              <w:rPr>
                <w:sz w:val="20"/>
                <w:szCs w:val="20"/>
              </w:rPr>
              <w:t>ing</w:t>
            </w:r>
            <w:r w:rsidR="007F3D18" w:rsidRPr="001E7775">
              <w:rPr>
                <w:sz w:val="20"/>
                <w:szCs w:val="20"/>
              </w:rPr>
              <w:t xml:space="preserve"> </w:t>
            </w:r>
            <w:r w:rsidR="0025095F" w:rsidRPr="001E7775">
              <w:rPr>
                <w:sz w:val="20"/>
                <w:szCs w:val="20"/>
              </w:rPr>
              <w:t>a Community of Interest determination</w:t>
            </w:r>
            <w:r w:rsidR="007F3D18">
              <w:rPr>
                <w:sz w:val="20"/>
                <w:szCs w:val="20"/>
              </w:rPr>
              <w:t xml:space="preserve">, or when the CEO or FWC consider whether to specify a particular employer in the application or determination. </w:t>
            </w:r>
          </w:p>
          <w:p w14:paraId="4A0E7F3A" w14:textId="62CFD070" w:rsidR="00023096" w:rsidRDefault="00023096" w:rsidP="009B24E1">
            <w:pPr>
              <w:pStyle w:val="ListParagraph"/>
              <w:numPr>
                <w:ilvl w:val="0"/>
                <w:numId w:val="23"/>
              </w:numPr>
              <w:spacing w:before="120" w:after="0" w:line="240" w:lineRule="auto"/>
              <w:ind w:hanging="357"/>
              <w:contextualSpacing w:val="0"/>
              <w:rPr>
                <w:sz w:val="20"/>
                <w:szCs w:val="20"/>
              </w:rPr>
            </w:pPr>
            <w:r>
              <w:rPr>
                <w:sz w:val="20"/>
                <w:szCs w:val="20"/>
              </w:rPr>
              <w:t>E</w:t>
            </w:r>
            <w:r w:rsidR="004844D8" w:rsidRPr="001E7775">
              <w:rPr>
                <w:sz w:val="20"/>
                <w:szCs w:val="20"/>
              </w:rPr>
              <w:t>nsur</w:t>
            </w:r>
            <w:r>
              <w:rPr>
                <w:sz w:val="20"/>
                <w:szCs w:val="20"/>
              </w:rPr>
              <w:t>ing</w:t>
            </w:r>
            <w:r w:rsidR="004844D8" w:rsidRPr="001E7775">
              <w:rPr>
                <w:sz w:val="20"/>
                <w:szCs w:val="20"/>
              </w:rPr>
              <w:t xml:space="preserve"> that supports offered under enterprise agreements or other industrial agreements will be taken into regard in considering whether it is unreasonable for an employer to undertake an action under clause 59. </w:t>
            </w:r>
          </w:p>
          <w:p w14:paraId="330C8F40" w14:textId="13BECC57" w:rsidR="002E410E" w:rsidRPr="001E7775" w:rsidRDefault="00023096" w:rsidP="009B24E1">
            <w:pPr>
              <w:pStyle w:val="ListParagraph"/>
              <w:numPr>
                <w:ilvl w:val="0"/>
                <w:numId w:val="23"/>
              </w:numPr>
              <w:spacing w:before="120" w:after="0" w:line="240" w:lineRule="auto"/>
              <w:ind w:hanging="357"/>
              <w:contextualSpacing w:val="0"/>
              <w:rPr>
                <w:sz w:val="20"/>
                <w:szCs w:val="20"/>
              </w:rPr>
            </w:pPr>
            <w:r>
              <w:rPr>
                <w:sz w:val="20"/>
                <w:szCs w:val="20"/>
              </w:rPr>
              <w:t>E</w:t>
            </w:r>
            <w:r w:rsidR="004844D8" w:rsidRPr="001E7775">
              <w:rPr>
                <w:sz w:val="20"/>
                <w:szCs w:val="20"/>
              </w:rPr>
              <w:t>nsur</w:t>
            </w:r>
            <w:r>
              <w:rPr>
                <w:sz w:val="20"/>
                <w:szCs w:val="20"/>
              </w:rPr>
              <w:t>ing</w:t>
            </w:r>
            <w:r w:rsidR="004844D8" w:rsidRPr="001E7775">
              <w:rPr>
                <w:sz w:val="20"/>
                <w:szCs w:val="20"/>
              </w:rPr>
              <w:t xml:space="preserve"> that the FWC must have regard to conduct to comply with obligations under relevant enterprise agreements or other industrial instruments when considering whether to make a determination or order under clauses 61 or 62. </w:t>
            </w:r>
          </w:p>
        </w:tc>
      </w:tr>
      <w:tr w:rsidR="00893DA8" w14:paraId="0FBDEC24" w14:textId="77777777" w:rsidTr="527A0775">
        <w:tc>
          <w:tcPr>
            <w:tcW w:w="704" w:type="dxa"/>
          </w:tcPr>
          <w:p w14:paraId="04B69B3C" w14:textId="77777777" w:rsidR="00893DA8" w:rsidRPr="00946CBE" w:rsidRDefault="00893DA8" w:rsidP="00893DA8">
            <w:pPr>
              <w:pStyle w:val="ListParagraph"/>
              <w:numPr>
                <w:ilvl w:val="0"/>
                <w:numId w:val="4"/>
              </w:numPr>
              <w:spacing w:before="240" w:after="0" w:line="240" w:lineRule="auto"/>
              <w:rPr>
                <w:b/>
                <w:sz w:val="20"/>
                <w:szCs w:val="20"/>
                <w:u w:val="single"/>
              </w:rPr>
            </w:pPr>
          </w:p>
        </w:tc>
        <w:tc>
          <w:tcPr>
            <w:tcW w:w="4713" w:type="dxa"/>
          </w:tcPr>
          <w:p w14:paraId="6C6DF269" w14:textId="4FAA0257" w:rsidR="00893DA8" w:rsidRPr="00E307B7" w:rsidRDefault="00893DA8" w:rsidP="00893DA8">
            <w:pPr>
              <w:spacing w:before="240"/>
              <w:rPr>
                <w:rFonts w:ascii="Montserrat Light" w:hAnsi="Montserrat Light"/>
                <w:sz w:val="20"/>
                <w:szCs w:val="20"/>
              </w:rPr>
            </w:pPr>
            <w:r w:rsidRPr="00E307B7">
              <w:rPr>
                <w:rFonts w:ascii="Montserrat Light" w:hAnsi="Montserrat Light"/>
                <w:sz w:val="20"/>
                <w:szCs w:val="20"/>
              </w:rPr>
              <w:t>The committee recommends that the Aust</w:t>
            </w:r>
            <w:r>
              <w:rPr>
                <w:rFonts w:ascii="Montserrat Light" w:hAnsi="Montserrat Light"/>
                <w:sz w:val="20"/>
                <w:szCs w:val="20"/>
              </w:rPr>
              <w:t xml:space="preserve">ralian Government consider the </w:t>
            </w:r>
            <w:r w:rsidRPr="00E307B7">
              <w:rPr>
                <w:rFonts w:ascii="Montserrat Light" w:hAnsi="Montserrat Light"/>
                <w:sz w:val="20"/>
                <w:szCs w:val="20"/>
              </w:rPr>
              <w:t>introduction of amendments to e</w:t>
            </w:r>
            <w:r>
              <w:rPr>
                <w:rFonts w:ascii="Montserrat Light" w:hAnsi="Montserrat Light"/>
                <w:sz w:val="20"/>
                <w:szCs w:val="20"/>
              </w:rPr>
              <w:t xml:space="preserve">nsure that employers and their </w:t>
            </w:r>
            <w:r w:rsidRPr="00E307B7">
              <w:rPr>
                <w:rFonts w:ascii="Montserrat Light" w:hAnsi="Montserrat Light"/>
                <w:sz w:val="20"/>
                <w:szCs w:val="20"/>
              </w:rPr>
              <w:t xml:space="preserve">representatives are adequately consulted and have reasonable </w:t>
            </w:r>
            <w:r>
              <w:rPr>
                <w:rFonts w:ascii="Montserrat Light" w:hAnsi="Montserrat Light"/>
                <w:sz w:val="20"/>
                <w:szCs w:val="20"/>
              </w:rPr>
              <w:t xml:space="preserve">time to comply </w:t>
            </w:r>
            <w:r w:rsidRPr="00E307B7">
              <w:rPr>
                <w:rFonts w:ascii="Montserrat Light" w:hAnsi="Montserrat Light"/>
                <w:sz w:val="20"/>
                <w:szCs w:val="20"/>
              </w:rPr>
              <w:t>with their obligations under the Energy Industry Jobs Plan.</w:t>
            </w:r>
          </w:p>
        </w:tc>
        <w:tc>
          <w:tcPr>
            <w:tcW w:w="9262" w:type="dxa"/>
          </w:tcPr>
          <w:p w14:paraId="0CF40CFD" w14:textId="77777777" w:rsidR="00D273C0" w:rsidRDefault="00D273C0" w:rsidP="00D273C0">
            <w:pPr>
              <w:spacing w:before="240"/>
              <w:rPr>
                <w:rFonts w:ascii="Montserrat Light" w:hAnsi="Montserrat Light"/>
                <w:b/>
                <w:sz w:val="20"/>
                <w:szCs w:val="20"/>
                <w:u w:val="single"/>
              </w:rPr>
            </w:pPr>
            <w:r w:rsidRPr="0024717B">
              <w:rPr>
                <w:rFonts w:ascii="Montserrat Light" w:hAnsi="Montserrat Light"/>
                <w:b/>
                <w:sz w:val="20"/>
                <w:szCs w:val="20"/>
                <w:u w:val="single"/>
              </w:rPr>
              <w:t>Accepted</w:t>
            </w:r>
          </w:p>
          <w:p w14:paraId="2F9BB831" w14:textId="5C4A9C5F" w:rsidR="00893DA8" w:rsidRDefault="0052130F" w:rsidP="00893DA8">
            <w:pPr>
              <w:spacing w:before="240"/>
              <w:rPr>
                <w:rFonts w:ascii="Montserrat Light" w:hAnsi="Montserrat Light"/>
                <w:sz w:val="20"/>
                <w:szCs w:val="20"/>
              </w:rPr>
            </w:pPr>
            <w:r>
              <w:rPr>
                <w:rFonts w:ascii="Montserrat Light" w:hAnsi="Montserrat Light"/>
                <w:sz w:val="20"/>
                <w:szCs w:val="20"/>
              </w:rPr>
              <w:t xml:space="preserve">The Government </w:t>
            </w:r>
            <w:r w:rsidR="00470BC4">
              <w:rPr>
                <w:rFonts w:ascii="Montserrat Light" w:hAnsi="Montserrat Light"/>
                <w:sz w:val="20"/>
                <w:szCs w:val="20"/>
              </w:rPr>
              <w:t>moved amendments in the House of Representatives</w:t>
            </w:r>
            <w:r w:rsidR="00023096">
              <w:rPr>
                <w:rFonts w:ascii="Montserrat Light" w:hAnsi="Montserrat Light"/>
                <w:sz w:val="20"/>
                <w:szCs w:val="20"/>
              </w:rPr>
              <w:t xml:space="preserve"> to support this recommendation by:</w:t>
            </w:r>
          </w:p>
          <w:p w14:paraId="419A9B9E" w14:textId="26F74730" w:rsidR="00EA2E7E" w:rsidRPr="001E7775" w:rsidRDefault="00023096" w:rsidP="005D7ABA">
            <w:pPr>
              <w:pStyle w:val="ListParagraph"/>
              <w:numPr>
                <w:ilvl w:val="0"/>
                <w:numId w:val="23"/>
              </w:numPr>
              <w:spacing w:before="120" w:after="0" w:line="240" w:lineRule="auto"/>
              <w:ind w:hanging="357"/>
              <w:contextualSpacing w:val="0"/>
              <w:rPr>
                <w:sz w:val="20"/>
                <w:szCs w:val="20"/>
              </w:rPr>
            </w:pPr>
            <w:r>
              <w:rPr>
                <w:sz w:val="20"/>
                <w:szCs w:val="20"/>
              </w:rPr>
              <w:t>M</w:t>
            </w:r>
            <w:r w:rsidR="00EA2E7E" w:rsidRPr="001E7775">
              <w:rPr>
                <w:sz w:val="20"/>
                <w:szCs w:val="20"/>
              </w:rPr>
              <w:t>ak</w:t>
            </w:r>
            <w:r>
              <w:rPr>
                <w:sz w:val="20"/>
                <w:szCs w:val="20"/>
              </w:rPr>
              <w:t>ing</w:t>
            </w:r>
            <w:r w:rsidR="00362301">
              <w:rPr>
                <w:sz w:val="20"/>
                <w:szCs w:val="20"/>
              </w:rPr>
              <w:t xml:space="preserve"> it explicit that the</w:t>
            </w:r>
            <w:r w:rsidR="00EA2E7E" w:rsidRPr="001E7775">
              <w:rPr>
                <w:sz w:val="20"/>
                <w:szCs w:val="20"/>
              </w:rPr>
              <w:t xml:space="preserve"> CEO must consult with closing and dependent employers and each employer organisation entitled to represent the industrial interests of a closing or dependent employer as part of the community of interest process. </w:t>
            </w:r>
          </w:p>
          <w:p w14:paraId="16D3FF3C" w14:textId="2AF685DE" w:rsidR="004C4E50" w:rsidRDefault="004C4E50" w:rsidP="005D7ABA">
            <w:pPr>
              <w:pStyle w:val="ListParagraph"/>
              <w:numPr>
                <w:ilvl w:val="0"/>
                <w:numId w:val="23"/>
              </w:numPr>
              <w:spacing w:before="120" w:after="0" w:line="240" w:lineRule="auto"/>
              <w:ind w:hanging="357"/>
              <w:contextualSpacing w:val="0"/>
              <w:rPr>
                <w:sz w:val="20"/>
                <w:szCs w:val="20"/>
              </w:rPr>
            </w:pPr>
            <w:r>
              <w:rPr>
                <w:sz w:val="20"/>
                <w:szCs w:val="20"/>
              </w:rPr>
              <w:t>C</w:t>
            </w:r>
            <w:r w:rsidR="007B1E70" w:rsidRPr="001E7775">
              <w:rPr>
                <w:sz w:val="20"/>
                <w:szCs w:val="20"/>
              </w:rPr>
              <w:t>larify</w:t>
            </w:r>
            <w:r>
              <w:rPr>
                <w:sz w:val="20"/>
                <w:szCs w:val="20"/>
              </w:rPr>
              <w:t>ing</w:t>
            </w:r>
            <w:r w:rsidR="007B1E70" w:rsidRPr="001E7775">
              <w:rPr>
                <w:sz w:val="20"/>
                <w:szCs w:val="20"/>
              </w:rPr>
              <w:t xml:space="preserve"> that </w:t>
            </w:r>
            <w:r w:rsidR="00F246DC" w:rsidRPr="001E7775">
              <w:rPr>
                <w:sz w:val="20"/>
                <w:szCs w:val="20"/>
              </w:rPr>
              <w:t xml:space="preserve">an employee </w:t>
            </w:r>
            <w:r w:rsidR="007B1E70" w:rsidRPr="001E7775">
              <w:rPr>
                <w:sz w:val="20"/>
                <w:szCs w:val="20"/>
              </w:rPr>
              <w:t>would need to give reasonable notice</w:t>
            </w:r>
            <w:r w:rsidR="00F246DC" w:rsidRPr="001E7775">
              <w:rPr>
                <w:sz w:val="20"/>
                <w:szCs w:val="20"/>
              </w:rPr>
              <w:t xml:space="preserve"> to their employer</w:t>
            </w:r>
            <w:r w:rsidR="007B1E70" w:rsidRPr="001E7775">
              <w:rPr>
                <w:sz w:val="20"/>
                <w:szCs w:val="20"/>
              </w:rPr>
              <w:t xml:space="preserve"> </w:t>
            </w:r>
            <w:r w:rsidR="005D7ABA">
              <w:rPr>
                <w:sz w:val="20"/>
                <w:szCs w:val="20"/>
              </w:rPr>
              <w:t xml:space="preserve">when requesting </w:t>
            </w:r>
            <w:r w:rsidR="005C617B">
              <w:rPr>
                <w:sz w:val="20"/>
                <w:szCs w:val="20"/>
              </w:rPr>
              <w:t xml:space="preserve">time off work or flexible working arrangements </w:t>
            </w:r>
            <w:r w:rsidR="00F35F79">
              <w:rPr>
                <w:sz w:val="20"/>
                <w:szCs w:val="20"/>
              </w:rPr>
              <w:t>to</w:t>
            </w:r>
            <w:r w:rsidR="005C617B">
              <w:rPr>
                <w:sz w:val="20"/>
                <w:szCs w:val="20"/>
              </w:rPr>
              <w:t xml:space="preserve"> access</w:t>
            </w:r>
            <w:r w:rsidR="00F35F79">
              <w:rPr>
                <w:sz w:val="20"/>
                <w:szCs w:val="20"/>
              </w:rPr>
              <w:t xml:space="preserve"> </w:t>
            </w:r>
            <w:r w:rsidR="005C617B">
              <w:rPr>
                <w:sz w:val="20"/>
                <w:szCs w:val="20"/>
              </w:rPr>
              <w:t>provisions under clause 59, including receiving financial or career planning advice arranged by the employee, undertaking training or attending recruitment related activi</w:t>
            </w:r>
            <w:r w:rsidR="002867B5">
              <w:rPr>
                <w:sz w:val="20"/>
                <w:szCs w:val="20"/>
              </w:rPr>
              <w:t>ti</w:t>
            </w:r>
            <w:r w:rsidR="005C617B">
              <w:rPr>
                <w:sz w:val="20"/>
                <w:szCs w:val="20"/>
              </w:rPr>
              <w:t>es,</w:t>
            </w:r>
            <w:r w:rsidR="00C45426">
              <w:rPr>
                <w:sz w:val="20"/>
                <w:szCs w:val="20"/>
              </w:rPr>
              <w:t xml:space="preserve"> in order for that </w:t>
            </w:r>
            <w:r w:rsidR="00F35F79">
              <w:rPr>
                <w:sz w:val="20"/>
                <w:szCs w:val="20"/>
              </w:rPr>
              <w:t>request</w:t>
            </w:r>
            <w:r w:rsidR="00F35F79" w:rsidRPr="001E7775">
              <w:rPr>
                <w:sz w:val="20"/>
                <w:szCs w:val="20"/>
              </w:rPr>
              <w:t xml:space="preserve"> </w:t>
            </w:r>
            <w:r w:rsidR="007B1E70" w:rsidRPr="001E7775">
              <w:rPr>
                <w:sz w:val="20"/>
                <w:szCs w:val="20"/>
              </w:rPr>
              <w:t xml:space="preserve">to not be considered unreasonable. </w:t>
            </w:r>
          </w:p>
          <w:p w14:paraId="5F7C818A" w14:textId="711826C9" w:rsidR="002D3263" w:rsidRPr="001E7775" w:rsidRDefault="004C4E50" w:rsidP="1BB90474">
            <w:pPr>
              <w:pStyle w:val="ListParagraph"/>
              <w:numPr>
                <w:ilvl w:val="0"/>
                <w:numId w:val="23"/>
              </w:numPr>
              <w:spacing w:before="120" w:after="0" w:line="240" w:lineRule="auto"/>
              <w:ind w:hanging="357"/>
              <w:rPr>
                <w:sz w:val="20"/>
                <w:szCs w:val="20"/>
              </w:rPr>
            </w:pPr>
            <w:r w:rsidRPr="58714244">
              <w:rPr>
                <w:sz w:val="20"/>
                <w:szCs w:val="20"/>
              </w:rPr>
              <w:t>E</w:t>
            </w:r>
            <w:r w:rsidR="00F246DC" w:rsidRPr="58714244">
              <w:rPr>
                <w:sz w:val="20"/>
                <w:szCs w:val="20"/>
              </w:rPr>
              <w:t>stablish</w:t>
            </w:r>
            <w:r w:rsidRPr="58714244">
              <w:rPr>
                <w:sz w:val="20"/>
                <w:szCs w:val="20"/>
              </w:rPr>
              <w:t>ing</w:t>
            </w:r>
            <w:r w:rsidR="00F246DC" w:rsidRPr="58714244">
              <w:rPr>
                <w:sz w:val="20"/>
                <w:szCs w:val="20"/>
              </w:rPr>
              <w:t xml:space="preserve"> that employees must provide evidence that would satisfy a reasonable person that time off work or flexible work</w:t>
            </w:r>
            <w:r w:rsidR="005C617B" w:rsidRPr="58714244">
              <w:rPr>
                <w:sz w:val="20"/>
                <w:szCs w:val="20"/>
              </w:rPr>
              <w:t>ing</w:t>
            </w:r>
            <w:r w:rsidR="00F246DC" w:rsidRPr="58714244">
              <w:rPr>
                <w:sz w:val="20"/>
                <w:szCs w:val="20"/>
              </w:rPr>
              <w:t xml:space="preserve"> arrangements and financial contributions were, or will be, used for the intended purpose</w:t>
            </w:r>
            <w:r w:rsidR="00525DB4" w:rsidRPr="58714244">
              <w:rPr>
                <w:sz w:val="20"/>
                <w:szCs w:val="20"/>
              </w:rPr>
              <w:t>.</w:t>
            </w:r>
          </w:p>
          <w:p w14:paraId="50F98707" w14:textId="5CBF949D" w:rsidR="00470BC4" w:rsidRPr="001E7775" w:rsidRDefault="00362301" w:rsidP="00380611">
            <w:pPr>
              <w:pStyle w:val="ListParagraph"/>
              <w:numPr>
                <w:ilvl w:val="0"/>
                <w:numId w:val="23"/>
              </w:numPr>
              <w:spacing w:before="120" w:after="0" w:line="240" w:lineRule="auto"/>
              <w:ind w:hanging="357"/>
              <w:contextualSpacing w:val="0"/>
              <w:rPr>
                <w:sz w:val="20"/>
                <w:szCs w:val="20"/>
              </w:rPr>
            </w:pPr>
            <w:r>
              <w:rPr>
                <w:sz w:val="20"/>
                <w:szCs w:val="20"/>
              </w:rPr>
              <w:t xml:space="preserve">Where the Authority’s CEO </w:t>
            </w:r>
            <w:r w:rsidR="00915C40">
              <w:rPr>
                <w:sz w:val="20"/>
                <w:szCs w:val="20"/>
              </w:rPr>
              <w:t>has provided a notice requiring a closing or dependent employer to give the CEO information or produce documents relevant to the operation of Part 5 of the Bill, enabling</w:t>
            </w:r>
            <w:r w:rsidR="00915C40" w:rsidRPr="001E7775">
              <w:rPr>
                <w:sz w:val="20"/>
                <w:szCs w:val="20"/>
              </w:rPr>
              <w:t xml:space="preserve"> </w:t>
            </w:r>
            <w:r w:rsidR="004A2DF3" w:rsidRPr="001E7775">
              <w:rPr>
                <w:sz w:val="20"/>
                <w:szCs w:val="20"/>
              </w:rPr>
              <w:t>the CEO to agree to a</w:t>
            </w:r>
            <w:r w:rsidR="00915C40">
              <w:rPr>
                <w:sz w:val="20"/>
                <w:szCs w:val="20"/>
              </w:rPr>
              <w:t>n employer taking a longer period</w:t>
            </w:r>
            <w:r w:rsidR="004A2DF3" w:rsidRPr="001E7775">
              <w:rPr>
                <w:sz w:val="20"/>
                <w:szCs w:val="20"/>
              </w:rPr>
              <w:t xml:space="preserve"> </w:t>
            </w:r>
            <w:r w:rsidR="00915C40">
              <w:rPr>
                <w:sz w:val="20"/>
                <w:szCs w:val="20"/>
              </w:rPr>
              <w:t xml:space="preserve">than specified in the notice </w:t>
            </w:r>
          </w:p>
        </w:tc>
      </w:tr>
      <w:tr w:rsidR="00893DA8" w14:paraId="0FFF4682" w14:textId="77777777" w:rsidTr="527A0775">
        <w:tc>
          <w:tcPr>
            <w:tcW w:w="704" w:type="dxa"/>
          </w:tcPr>
          <w:p w14:paraId="67F06CED" w14:textId="77777777" w:rsidR="00893DA8" w:rsidRPr="00946CBE" w:rsidRDefault="00893DA8" w:rsidP="00893DA8">
            <w:pPr>
              <w:pStyle w:val="ListParagraph"/>
              <w:numPr>
                <w:ilvl w:val="0"/>
                <w:numId w:val="4"/>
              </w:numPr>
              <w:spacing w:before="240" w:after="0" w:line="240" w:lineRule="auto"/>
              <w:rPr>
                <w:b/>
                <w:sz w:val="20"/>
                <w:szCs w:val="20"/>
                <w:u w:val="single"/>
              </w:rPr>
            </w:pPr>
          </w:p>
        </w:tc>
        <w:tc>
          <w:tcPr>
            <w:tcW w:w="4713" w:type="dxa"/>
          </w:tcPr>
          <w:p w14:paraId="0D8FA208" w14:textId="73A275B8" w:rsidR="00893DA8" w:rsidRPr="00893DA8" w:rsidRDefault="00893DA8" w:rsidP="00893DA8">
            <w:pPr>
              <w:spacing w:before="240"/>
              <w:rPr>
                <w:rFonts w:ascii="Montserrat Light" w:hAnsi="Montserrat Light"/>
                <w:sz w:val="20"/>
                <w:szCs w:val="20"/>
              </w:rPr>
            </w:pPr>
            <w:r w:rsidRPr="36C2E0B4">
              <w:rPr>
                <w:rFonts w:ascii="Montserrat Light" w:hAnsi="Montserrat Light"/>
                <w:sz w:val="20"/>
                <w:szCs w:val="20"/>
              </w:rPr>
              <w:t xml:space="preserve">The committee recommends that the Australian Government consider the introduction of amendments that clarify how personal information collected by the Net Zero Economy Authority will interact with provisions of the </w:t>
            </w:r>
            <w:r w:rsidRPr="00AB29AF">
              <w:rPr>
                <w:rFonts w:ascii="Montserrat Light" w:hAnsi="Montserrat Light"/>
                <w:i/>
                <w:iCs/>
                <w:sz w:val="20"/>
                <w:szCs w:val="20"/>
              </w:rPr>
              <w:t>Privacy Act 1988</w:t>
            </w:r>
            <w:r w:rsidRPr="36C2E0B4">
              <w:rPr>
                <w:rFonts w:ascii="Montserrat Light" w:hAnsi="Montserrat Light"/>
                <w:sz w:val="20"/>
                <w:szCs w:val="20"/>
              </w:rPr>
              <w:t>.</w:t>
            </w:r>
          </w:p>
        </w:tc>
        <w:tc>
          <w:tcPr>
            <w:tcW w:w="9262" w:type="dxa"/>
          </w:tcPr>
          <w:p w14:paraId="7B4032F6" w14:textId="0D91BC27" w:rsidR="005557A8" w:rsidRDefault="005557A8" w:rsidP="005557A8">
            <w:pPr>
              <w:spacing w:before="240"/>
              <w:rPr>
                <w:rFonts w:ascii="Montserrat Light" w:hAnsi="Montserrat Light"/>
                <w:b/>
                <w:sz w:val="20"/>
                <w:szCs w:val="20"/>
                <w:u w:val="single"/>
              </w:rPr>
            </w:pPr>
            <w:r w:rsidRPr="0024717B">
              <w:rPr>
                <w:rFonts w:ascii="Montserrat Light" w:hAnsi="Montserrat Light"/>
                <w:b/>
                <w:sz w:val="20"/>
                <w:szCs w:val="20"/>
                <w:u w:val="single"/>
              </w:rPr>
              <w:t>Accepted</w:t>
            </w:r>
          </w:p>
          <w:p w14:paraId="6E6053C9" w14:textId="77777777" w:rsidR="004C4E50" w:rsidRDefault="004C4E50" w:rsidP="004C4E50">
            <w:pPr>
              <w:spacing w:before="240"/>
              <w:rPr>
                <w:rFonts w:ascii="Montserrat Light" w:hAnsi="Montserrat Light"/>
                <w:sz w:val="20"/>
                <w:szCs w:val="20"/>
              </w:rPr>
            </w:pPr>
            <w:r>
              <w:rPr>
                <w:rFonts w:ascii="Montserrat Light" w:hAnsi="Montserrat Light"/>
                <w:sz w:val="20"/>
                <w:szCs w:val="20"/>
              </w:rPr>
              <w:t>The Government moved amendments in the House of Representatives to support this recommendation by:</w:t>
            </w:r>
          </w:p>
          <w:p w14:paraId="771A40E5" w14:textId="2DD8307F" w:rsidR="004C4E50" w:rsidRDefault="004C4E50" w:rsidP="00686026">
            <w:pPr>
              <w:pStyle w:val="ListParagraph"/>
              <w:numPr>
                <w:ilvl w:val="0"/>
                <w:numId w:val="23"/>
              </w:numPr>
              <w:spacing w:before="120" w:after="0" w:line="240" w:lineRule="auto"/>
              <w:ind w:hanging="357"/>
              <w:contextualSpacing w:val="0"/>
              <w:rPr>
                <w:sz w:val="20"/>
                <w:szCs w:val="20"/>
              </w:rPr>
            </w:pPr>
            <w:r>
              <w:rPr>
                <w:sz w:val="20"/>
                <w:szCs w:val="20"/>
              </w:rPr>
              <w:t>R</w:t>
            </w:r>
            <w:r w:rsidR="0039248C">
              <w:rPr>
                <w:sz w:val="20"/>
                <w:szCs w:val="20"/>
              </w:rPr>
              <w:t>equiring</w:t>
            </w:r>
            <w:r w:rsidR="00A511D4">
              <w:rPr>
                <w:sz w:val="20"/>
                <w:szCs w:val="20"/>
              </w:rPr>
              <w:t xml:space="preserve"> closing and dependent</w:t>
            </w:r>
            <w:r w:rsidR="0039248C">
              <w:rPr>
                <w:sz w:val="20"/>
                <w:szCs w:val="20"/>
              </w:rPr>
              <w:t xml:space="preserve"> </w:t>
            </w:r>
            <w:r w:rsidR="0039248C" w:rsidRPr="00A65FE7">
              <w:rPr>
                <w:sz w:val="20"/>
                <w:szCs w:val="20"/>
              </w:rPr>
              <w:t xml:space="preserve">employers to inform </w:t>
            </w:r>
            <w:r w:rsidR="00C81440">
              <w:rPr>
                <w:sz w:val="20"/>
                <w:szCs w:val="20"/>
              </w:rPr>
              <w:t xml:space="preserve">their </w:t>
            </w:r>
            <w:r w:rsidR="0039248C" w:rsidRPr="00A65FE7">
              <w:rPr>
                <w:sz w:val="20"/>
                <w:szCs w:val="20"/>
              </w:rPr>
              <w:t xml:space="preserve">employees that where the employee becomes a participating employee, personal information may be given to the CEO </w:t>
            </w:r>
            <w:r w:rsidR="00C81440">
              <w:rPr>
                <w:sz w:val="20"/>
                <w:szCs w:val="20"/>
              </w:rPr>
              <w:t xml:space="preserve">under clause 64 or </w:t>
            </w:r>
            <w:r w:rsidR="00362301">
              <w:rPr>
                <w:sz w:val="20"/>
                <w:szCs w:val="20"/>
              </w:rPr>
              <w:t>disclosed by the</w:t>
            </w:r>
            <w:r w:rsidR="00C81440">
              <w:rPr>
                <w:sz w:val="20"/>
                <w:szCs w:val="20"/>
              </w:rPr>
              <w:t xml:space="preserve"> </w:t>
            </w:r>
            <w:r w:rsidR="0039248C" w:rsidRPr="00A65FE7">
              <w:rPr>
                <w:sz w:val="20"/>
                <w:szCs w:val="20"/>
              </w:rPr>
              <w:t>CEO</w:t>
            </w:r>
            <w:r w:rsidR="00C81440">
              <w:rPr>
                <w:sz w:val="20"/>
                <w:szCs w:val="20"/>
              </w:rPr>
              <w:t xml:space="preserve"> to a closing, dependent or receiving employer under clause 66</w:t>
            </w:r>
            <w:r w:rsidR="00A65FE7" w:rsidRPr="00BC2627">
              <w:rPr>
                <w:sz w:val="20"/>
                <w:szCs w:val="20"/>
              </w:rPr>
              <w:t xml:space="preserve">. </w:t>
            </w:r>
          </w:p>
          <w:p w14:paraId="7B4B23DF" w14:textId="220B87DF" w:rsidR="0039248C" w:rsidRDefault="004C4E50" w:rsidP="36C2E0B4">
            <w:pPr>
              <w:pStyle w:val="ListParagraph"/>
              <w:numPr>
                <w:ilvl w:val="0"/>
                <w:numId w:val="23"/>
              </w:numPr>
              <w:spacing w:before="120" w:after="0" w:line="240" w:lineRule="auto"/>
              <w:ind w:hanging="357"/>
              <w:rPr>
                <w:sz w:val="20"/>
                <w:szCs w:val="20"/>
              </w:rPr>
            </w:pPr>
            <w:r w:rsidRPr="36C2E0B4">
              <w:rPr>
                <w:sz w:val="20"/>
                <w:szCs w:val="20"/>
              </w:rPr>
              <w:t>I</w:t>
            </w:r>
            <w:r w:rsidR="00BC2627" w:rsidRPr="36C2E0B4">
              <w:rPr>
                <w:sz w:val="20"/>
                <w:szCs w:val="20"/>
              </w:rPr>
              <w:t>nclud</w:t>
            </w:r>
            <w:r w:rsidRPr="36C2E0B4">
              <w:rPr>
                <w:sz w:val="20"/>
                <w:szCs w:val="20"/>
              </w:rPr>
              <w:t>ing</w:t>
            </w:r>
            <w:r w:rsidR="00BC2627" w:rsidRPr="36C2E0B4">
              <w:rPr>
                <w:sz w:val="20"/>
                <w:szCs w:val="20"/>
              </w:rPr>
              <w:t xml:space="preserve"> a legislative note that highlights the operation of the </w:t>
            </w:r>
            <w:r w:rsidR="00BC2627" w:rsidRPr="00AB29AF">
              <w:rPr>
                <w:i/>
                <w:iCs/>
                <w:sz w:val="20"/>
                <w:szCs w:val="20"/>
              </w:rPr>
              <w:t>Privacy Act 19</w:t>
            </w:r>
            <w:r w:rsidR="00EA9ED4" w:rsidRPr="00AB29AF">
              <w:rPr>
                <w:i/>
                <w:iCs/>
                <w:sz w:val="20"/>
                <w:szCs w:val="20"/>
              </w:rPr>
              <w:t>8</w:t>
            </w:r>
            <w:r w:rsidR="00BC2627" w:rsidRPr="00AB29AF">
              <w:rPr>
                <w:i/>
                <w:iCs/>
                <w:sz w:val="20"/>
                <w:szCs w:val="20"/>
              </w:rPr>
              <w:t>8</w:t>
            </w:r>
            <w:r w:rsidR="00BC2627" w:rsidRPr="36C2E0B4">
              <w:rPr>
                <w:sz w:val="20"/>
                <w:szCs w:val="20"/>
              </w:rPr>
              <w:t xml:space="preserve"> in relation to Part 5 of the Bill regarding the disclosure of personal information.</w:t>
            </w:r>
          </w:p>
          <w:p w14:paraId="5A47CFE4" w14:textId="089872A5" w:rsidR="005B75B1" w:rsidRPr="005959B0" w:rsidRDefault="005B75B1" w:rsidP="007C314A">
            <w:pPr>
              <w:pStyle w:val="BulletedList-Level1"/>
              <w:spacing w:before="0" w:after="60" w:line="276" w:lineRule="auto"/>
              <w:ind w:left="0" w:firstLine="0"/>
              <w:rPr>
                <w:b/>
                <w:sz w:val="20"/>
                <w:szCs w:val="20"/>
                <w:u w:val="single"/>
              </w:rPr>
            </w:pPr>
          </w:p>
        </w:tc>
      </w:tr>
    </w:tbl>
    <w:p w14:paraId="6D7276F4" w14:textId="0BE0E731" w:rsidR="00BF5059" w:rsidRDefault="00BF5059" w:rsidP="64200F06">
      <w:pPr>
        <w:rPr>
          <w:rFonts w:ascii="Montserrat Light" w:hAnsi="Montserrat Light"/>
          <w:b/>
          <w:bCs/>
          <w:sz w:val="20"/>
          <w:szCs w:val="20"/>
          <w:u w:val="single"/>
        </w:rPr>
      </w:pPr>
    </w:p>
    <w:p w14:paraId="2BBB2363" w14:textId="54878126" w:rsidR="00946CBE" w:rsidRDefault="00205376" w:rsidP="00A60BD1">
      <w:pPr>
        <w:pStyle w:val="Heading1-UnderlineBold"/>
      </w:pPr>
      <w:r>
        <w:t xml:space="preserve">Government </w:t>
      </w:r>
      <w:r w:rsidR="00AF729F">
        <w:t xml:space="preserve">Response to </w:t>
      </w:r>
      <w:r w:rsidR="00AF729F" w:rsidRPr="00AF729F">
        <w:t>Australian Greens’ Additional Comments</w:t>
      </w:r>
    </w:p>
    <w:tbl>
      <w:tblPr>
        <w:tblStyle w:val="TableGrid"/>
        <w:tblW w:w="0" w:type="auto"/>
        <w:tblLook w:val="04A0" w:firstRow="1" w:lastRow="0" w:firstColumn="1" w:lastColumn="0" w:noHBand="0" w:noVBand="1"/>
      </w:tblPr>
      <w:tblGrid>
        <w:gridCol w:w="562"/>
        <w:gridCol w:w="4678"/>
        <w:gridCol w:w="9439"/>
      </w:tblGrid>
      <w:tr w:rsidR="00AF729F" w:rsidRPr="00946CBE" w14:paraId="1E397232" w14:textId="77777777" w:rsidTr="501606AA">
        <w:tc>
          <w:tcPr>
            <w:tcW w:w="562" w:type="dxa"/>
            <w:shd w:val="clear" w:color="auto" w:fill="E7E6E6" w:themeFill="background2"/>
          </w:tcPr>
          <w:p w14:paraId="41299A1A" w14:textId="4BA59BCB" w:rsidR="00AF729F" w:rsidRPr="00946CBE" w:rsidRDefault="00AF729F" w:rsidP="009C2A5D">
            <w:pPr>
              <w:spacing w:before="240"/>
              <w:rPr>
                <w:rFonts w:ascii="Montserrat Light" w:hAnsi="Montserrat Light"/>
                <w:b/>
                <w:sz w:val="20"/>
                <w:szCs w:val="20"/>
              </w:rPr>
            </w:pPr>
            <w:r w:rsidRPr="00946CBE">
              <w:rPr>
                <w:rFonts w:ascii="Montserrat Light" w:hAnsi="Montserrat Light"/>
                <w:b/>
                <w:sz w:val="20"/>
                <w:szCs w:val="20"/>
              </w:rPr>
              <w:t>No.</w:t>
            </w:r>
          </w:p>
        </w:tc>
        <w:tc>
          <w:tcPr>
            <w:tcW w:w="4678" w:type="dxa"/>
            <w:shd w:val="clear" w:color="auto" w:fill="E7E6E6" w:themeFill="background2"/>
          </w:tcPr>
          <w:p w14:paraId="7409BC4C" w14:textId="77777777" w:rsidR="00AF729F" w:rsidRPr="00946CBE" w:rsidRDefault="00AF729F" w:rsidP="009C2A5D">
            <w:pPr>
              <w:spacing w:before="240"/>
              <w:rPr>
                <w:rFonts w:ascii="Montserrat Light" w:hAnsi="Montserrat Light"/>
                <w:b/>
                <w:sz w:val="20"/>
                <w:szCs w:val="20"/>
              </w:rPr>
            </w:pPr>
            <w:r w:rsidRPr="00946CBE">
              <w:rPr>
                <w:rFonts w:ascii="Montserrat Light" w:hAnsi="Montserrat Light"/>
                <w:b/>
                <w:sz w:val="20"/>
                <w:szCs w:val="20"/>
              </w:rPr>
              <w:t>Recommendation</w:t>
            </w:r>
          </w:p>
        </w:tc>
        <w:tc>
          <w:tcPr>
            <w:tcW w:w="9439" w:type="dxa"/>
            <w:shd w:val="clear" w:color="auto" w:fill="E7E6E6" w:themeFill="background2"/>
          </w:tcPr>
          <w:p w14:paraId="34899C2E" w14:textId="77777777" w:rsidR="00AF729F" w:rsidRPr="00946CBE" w:rsidRDefault="00AF729F" w:rsidP="009C2A5D">
            <w:pPr>
              <w:spacing w:before="240"/>
              <w:rPr>
                <w:rFonts w:ascii="Montserrat Light" w:hAnsi="Montserrat Light"/>
                <w:b/>
                <w:sz w:val="20"/>
                <w:szCs w:val="20"/>
              </w:rPr>
            </w:pPr>
            <w:r w:rsidRPr="00946CBE">
              <w:rPr>
                <w:rFonts w:ascii="Montserrat Light" w:hAnsi="Montserrat Light"/>
                <w:b/>
                <w:sz w:val="20"/>
                <w:szCs w:val="20"/>
              </w:rPr>
              <w:t>Government Response</w:t>
            </w:r>
          </w:p>
        </w:tc>
      </w:tr>
      <w:tr w:rsidR="00AF729F" w:rsidRPr="00946CBE" w14:paraId="35164E7B" w14:textId="77777777" w:rsidTr="501606AA">
        <w:tc>
          <w:tcPr>
            <w:tcW w:w="562" w:type="dxa"/>
          </w:tcPr>
          <w:p w14:paraId="1CDEA7B5" w14:textId="77777777" w:rsidR="00AF729F" w:rsidRPr="00946CBE" w:rsidRDefault="00AF729F" w:rsidP="00AF729F">
            <w:pPr>
              <w:pStyle w:val="ListParagraph"/>
              <w:numPr>
                <w:ilvl w:val="0"/>
                <w:numId w:val="7"/>
              </w:numPr>
              <w:spacing w:before="240" w:after="0" w:line="240" w:lineRule="auto"/>
              <w:rPr>
                <w:b/>
                <w:sz w:val="20"/>
                <w:szCs w:val="20"/>
                <w:u w:val="single"/>
              </w:rPr>
            </w:pPr>
          </w:p>
        </w:tc>
        <w:tc>
          <w:tcPr>
            <w:tcW w:w="4678" w:type="dxa"/>
          </w:tcPr>
          <w:p w14:paraId="24D47F6E" w14:textId="5B8854B4" w:rsidR="00AF729F" w:rsidRDefault="00AF729F" w:rsidP="00AF729F">
            <w:pPr>
              <w:spacing w:before="240"/>
              <w:rPr>
                <w:rFonts w:ascii="Montserrat Light" w:hAnsi="Montserrat Light"/>
                <w:b/>
                <w:sz w:val="20"/>
                <w:szCs w:val="20"/>
                <w:u w:val="single"/>
              </w:rPr>
            </w:pPr>
            <w:r>
              <w:rPr>
                <w:rFonts w:ascii="Montserrat Light" w:hAnsi="Montserrat Light"/>
                <w:sz w:val="20"/>
                <w:szCs w:val="20"/>
              </w:rPr>
              <w:t xml:space="preserve">That the Labor Government stop opening up new coal and gas projects and that the gas approval fast track provisions in Part 2 of Schedule 2 of the Offshore Petroleum and Greenhouse Gas Storage Legislation Amendment (Safety and Other Measures) Bill 2024 be removed from the Bill. </w:t>
            </w:r>
          </w:p>
        </w:tc>
        <w:tc>
          <w:tcPr>
            <w:tcW w:w="9439" w:type="dxa"/>
          </w:tcPr>
          <w:p w14:paraId="07296D0A" w14:textId="6D863D24" w:rsidR="00AF729F" w:rsidRPr="00706B07" w:rsidRDefault="00D74CC3" w:rsidP="00AF729F">
            <w:pPr>
              <w:spacing w:before="240"/>
              <w:rPr>
                <w:rFonts w:ascii="Montserrat Light" w:hAnsi="Montserrat Light"/>
                <w:b/>
                <w:sz w:val="20"/>
                <w:szCs w:val="20"/>
                <w:u w:val="single"/>
              </w:rPr>
            </w:pPr>
            <w:r>
              <w:rPr>
                <w:rFonts w:ascii="Montserrat Light" w:hAnsi="Montserrat Light"/>
                <w:b/>
                <w:sz w:val="20"/>
                <w:szCs w:val="20"/>
                <w:u w:val="single"/>
              </w:rPr>
              <w:t>Noted</w:t>
            </w:r>
          </w:p>
          <w:p w14:paraId="65D089D5" w14:textId="54E766ED" w:rsidR="00B501FB" w:rsidRPr="00B501FB" w:rsidRDefault="00B501FB" w:rsidP="00AF729F">
            <w:pPr>
              <w:spacing w:before="240"/>
              <w:rPr>
                <w:rFonts w:ascii="Montserrat Light" w:hAnsi="Montserrat Light"/>
                <w:sz w:val="20"/>
                <w:szCs w:val="20"/>
              </w:rPr>
            </w:pPr>
            <w:r w:rsidRPr="00B501FB">
              <w:rPr>
                <w:rFonts w:ascii="Montserrat Light" w:hAnsi="Montserrat Light"/>
                <w:sz w:val="20"/>
                <w:szCs w:val="20"/>
              </w:rPr>
              <w:t xml:space="preserve">This </w:t>
            </w:r>
            <w:r w:rsidR="00984A0C">
              <w:rPr>
                <w:rFonts w:ascii="Montserrat Light" w:hAnsi="Montserrat Light"/>
                <w:sz w:val="20"/>
                <w:szCs w:val="20"/>
              </w:rPr>
              <w:t xml:space="preserve">Government notes that this </w:t>
            </w:r>
            <w:r w:rsidRPr="00B501FB">
              <w:rPr>
                <w:rFonts w:ascii="Montserrat Light" w:hAnsi="Montserrat Light"/>
                <w:sz w:val="20"/>
                <w:szCs w:val="20"/>
              </w:rPr>
              <w:t xml:space="preserve">recommendation does not relate to the Net Zero Economy Authority Bill 2024 or the Net Zero Economy Authority (Transitional Provisions) Bill 2024. </w:t>
            </w:r>
          </w:p>
          <w:p w14:paraId="50465421" w14:textId="56771B99" w:rsidR="00AF729F" w:rsidRPr="00946CBE" w:rsidRDefault="00AF729F" w:rsidP="00AF729F">
            <w:pPr>
              <w:spacing w:before="240"/>
              <w:rPr>
                <w:b/>
                <w:sz w:val="20"/>
                <w:szCs w:val="20"/>
                <w:u w:val="single"/>
              </w:rPr>
            </w:pPr>
          </w:p>
        </w:tc>
      </w:tr>
      <w:tr w:rsidR="00AF729F" w14:paraId="3EDAA249" w14:textId="77777777" w:rsidTr="501606AA">
        <w:tc>
          <w:tcPr>
            <w:tcW w:w="562" w:type="dxa"/>
          </w:tcPr>
          <w:p w14:paraId="33CD8C04" w14:textId="77777777" w:rsidR="00AF729F" w:rsidRPr="00946CBE" w:rsidRDefault="00AF729F" w:rsidP="00AF729F">
            <w:pPr>
              <w:pStyle w:val="ListParagraph"/>
              <w:numPr>
                <w:ilvl w:val="0"/>
                <w:numId w:val="7"/>
              </w:numPr>
              <w:spacing w:before="240" w:after="0" w:line="240" w:lineRule="auto"/>
              <w:rPr>
                <w:b/>
                <w:sz w:val="20"/>
                <w:szCs w:val="20"/>
                <w:u w:val="single"/>
              </w:rPr>
            </w:pPr>
          </w:p>
        </w:tc>
        <w:tc>
          <w:tcPr>
            <w:tcW w:w="4678" w:type="dxa"/>
          </w:tcPr>
          <w:p w14:paraId="6F814C4B" w14:textId="182670B5" w:rsidR="00AF729F" w:rsidRDefault="00AF729F" w:rsidP="00AF729F">
            <w:pPr>
              <w:spacing w:before="240"/>
              <w:rPr>
                <w:rFonts w:ascii="Montserrat Light" w:hAnsi="Montserrat Light"/>
                <w:b/>
                <w:sz w:val="20"/>
                <w:szCs w:val="20"/>
                <w:u w:val="single"/>
              </w:rPr>
            </w:pPr>
            <w:r w:rsidRPr="002844EE">
              <w:rPr>
                <w:rFonts w:ascii="Montserrat Light" w:hAnsi="Montserrat Light"/>
                <w:sz w:val="20"/>
                <w:szCs w:val="20"/>
              </w:rPr>
              <w:t xml:space="preserve">The Bill be amended to state that operational funding of the Authority be set at $52.035m in 2026-27 and indexed in line with CPI in each following year. Annual funding must be 'at least' at this level, but can go higher at the Government's discretion. </w:t>
            </w:r>
          </w:p>
        </w:tc>
        <w:tc>
          <w:tcPr>
            <w:tcW w:w="9439" w:type="dxa"/>
          </w:tcPr>
          <w:p w14:paraId="0F9DB233" w14:textId="5E4648E0" w:rsidR="00B501FB" w:rsidRPr="00706B07" w:rsidRDefault="00B501FB" w:rsidP="00AF729F">
            <w:pPr>
              <w:spacing w:before="240"/>
              <w:rPr>
                <w:rFonts w:ascii="Montserrat Light" w:hAnsi="Montserrat Light"/>
                <w:b/>
                <w:sz w:val="20"/>
                <w:szCs w:val="20"/>
                <w:u w:val="single"/>
              </w:rPr>
            </w:pPr>
            <w:r w:rsidRPr="00706B07">
              <w:rPr>
                <w:rFonts w:ascii="Montserrat Light" w:hAnsi="Montserrat Light"/>
                <w:b/>
                <w:sz w:val="20"/>
                <w:szCs w:val="20"/>
                <w:u w:val="single"/>
              </w:rPr>
              <w:t>Not</w:t>
            </w:r>
            <w:r w:rsidR="00D74CC3">
              <w:rPr>
                <w:rFonts w:ascii="Montserrat Light" w:hAnsi="Montserrat Light"/>
                <w:b/>
                <w:sz w:val="20"/>
                <w:szCs w:val="20"/>
                <w:u w:val="single"/>
              </w:rPr>
              <w:t>ed</w:t>
            </w:r>
          </w:p>
          <w:p w14:paraId="3D4A1C7D" w14:textId="38F58C10" w:rsidR="006D7EF8" w:rsidRDefault="006D7EF8" w:rsidP="00AF729F">
            <w:pPr>
              <w:spacing w:before="240"/>
              <w:rPr>
                <w:rFonts w:ascii="Montserrat Light" w:hAnsi="Montserrat Light"/>
                <w:sz w:val="20"/>
                <w:szCs w:val="20"/>
              </w:rPr>
            </w:pPr>
            <w:r>
              <w:rPr>
                <w:rFonts w:ascii="Montserrat Light" w:hAnsi="Montserrat Light"/>
                <w:sz w:val="20"/>
                <w:szCs w:val="20"/>
              </w:rPr>
              <w:t xml:space="preserve">The Government notes that it is </w:t>
            </w:r>
            <w:r w:rsidRPr="006D7EF8">
              <w:rPr>
                <w:rFonts w:ascii="Montserrat Light" w:hAnsi="Montserrat Light"/>
                <w:sz w:val="20"/>
                <w:szCs w:val="20"/>
              </w:rPr>
              <w:t>normal practice for government agencies to be funde</w:t>
            </w:r>
            <w:r w:rsidR="0068550F">
              <w:rPr>
                <w:rFonts w:ascii="Montserrat Light" w:hAnsi="Montserrat Light"/>
                <w:sz w:val="20"/>
                <w:szCs w:val="20"/>
              </w:rPr>
              <w:t>d through annual appropriation b</w:t>
            </w:r>
            <w:r w:rsidRPr="006D7EF8">
              <w:rPr>
                <w:rFonts w:ascii="Montserrat Light" w:hAnsi="Montserrat Light"/>
                <w:sz w:val="20"/>
                <w:szCs w:val="20"/>
              </w:rPr>
              <w:t>ills as this supports regular Parliamentary scrutiny of funding allocations, as do the regular Senate Estimates hearings.</w:t>
            </w:r>
          </w:p>
          <w:p w14:paraId="4E58C717" w14:textId="189AF26C" w:rsidR="006D7EF8" w:rsidRPr="0038798B" w:rsidRDefault="006D7EF8" w:rsidP="0068550F">
            <w:pPr>
              <w:spacing w:before="240"/>
              <w:rPr>
                <w:rFonts w:ascii="Montserrat Light" w:hAnsi="Montserrat Light"/>
                <w:sz w:val="20"/>
                <w:szCs w:val="20"/>
              </w:rPr>
            </w:pPr>
          </w:p>
        </w:tc>
      </w:tr>
      <w:tr w:rsidR="00AF729F" w14:paraId="67DB5F21" w14:textId="77777777" w:rsidTr="501606AA">
        <w:trPr>
          <w:trHeight w:val="3963"/>
        </w:trPr>
        <w:tc>
          <w:tcPr>
            <w:tcW w:w="562" w:type="dxa"/>
          </w:tcPr>
          <w:p w14:paraId="649097B2" w14:textId="77777777" w:rsidR="00AF729F" w:rsidRPr="00946CBE" w:rsidRDefault="00AF729F" w:rsidP="00AF729F">
            <w:pPr>
              <w:pStyle w:val="ListParagraph"/>
              <w:numPr>
                <w:ilvl w:val="0"/>
                <w:numId w:val="7"/>
              </w:numPr>
              <w:spacing w:before="240" w:after="0" w:line="240" w:lineRule="auto"/>
              <w:rPr>
                <w:b/>
                <w:sz w:val="20"/>
                <w:szCs w:val="20"/>
                <w:u w:val="single"/>
              </w:rPr>
            </w:pPr>
          </w:p>
        </w:tc>
        <w:tc>
          <w:tcPr>
            <w:tcW w:w="4678" w:type="dxa"/>
          </w:tcPr>
          <w:p w14:paraId="1A1864F4" w14:textId="15BE9823" w:rsidR="00AF729F" w:rsidRDefault="00AF729F" w:rsidP="00AF729F">
            <w:pPr>
              <w:spacing w:before="240"/>
              <w:rPr>
                <w:rFonts w:ascii="Montserrat Light" w:hAnsi="Montserrat Light"/>
                <w:b/>
                <w:sz w:val="20"/>
                <w:szCs w:val="20"/>
                <w:u w:val="single"/>
              </w:rPr>
            </w:pPr>
            <w:r>
              <w:rPr>
                <w:rFonts w:ascii="Montserrat Light" w:hAnsi="Montserrat Light"/>
                <w:sz w:val="20"/>
                <w:szCs w:val="20"/>
              </w:rPr>
              <w:t xml:space="preserve">The Bill should be expanded so the Fair Work </w:t>
            </w:r>
            <w:r w:rsidRPr="002844EE">
              <w:rPr>
                <w:rFonts w:ascii="Montserrat Light" w:hAnsi="Montserrat Light"/>
                <w:sz w:val="20"/>
                <w:szCs w:val="20"/>
              </w:rPr>
              <w:t>provisions cover the 90% of the Australian workforce in the fossil fuel sector currently abandoned by the Government. This could be achieved either through regulation making power that can be used at a later date, or through the primary legislation</w:t>
            </w:r>
            <w:r>
              <w:rPr>
                <w:rFonts w:ascii="Montserrat Light" w:hAnsi="Montserrat Light"/>
                <w:sz w:val="20"/>
                <w:szCs w:val="20"/>
              </w:rPr>
              <w:t xml:space="preserve">. </w:t>
            </w:r>
          </w:p>
        </w:tc>
        <w:tc>
          <w:tcPr>
            <w:tcW w:w="9439" w:type="dxa"/>
          </w:tcPr>
          <w:p w14:paraId="088941D1" w14:textId="77777777" w:rsidR="00AF729F" w:rsidRDefault="00646684" w:rsidP="00AF729F">
            <w:pPr>
              <w:spacing w:before="240"/>
              <w:rPr>
                <w:rFonts w:ascii="Montserrat Light" w:hAnsi="Montserrat Light"/>
                <w:b/>
                <w:sz w:val="20"/>
                <w:szCs w:val="20"/>
                <w:u w:val="single"/>
              </w:rPr>
            </w:pPr>
            <w:r w:rsidRPr="00762DE1">
              <w:rPr>
                <w:rFonts w:ascii="Montserrat Light" w:hAnsi="Montserrat Light"/>
                <w:b/>
                <w:sz w:val="20"/>
                <w:szCs w:val="20"/>
                <w:u w:val="single"/>
              </w:rPr>
              <w:t>Noted</w:t>
            </w:r>
          </w:p>
          <w:p w14:paraId="6034FB88" w14:textId="4D9C43A4" w:rsidR="005564E6" w:rsidRDefault="005564E6" w:rsidP="005564E6">
            <w:pPr>
              <w:spacing w:before="240"/>
              <w:rPr>
                <w:rFonts w:ascii="Montserrat Light" w:hAnsi="Montserrat Light"/>
                <w:sz w:val="20"/>
                <w:szCs w:val="20"/>
              </w:rPr>
            </w:pPr>
            <w:r w:rsidRPr="6DA98308">
              <w:rPr>
                <w:rFonts w:ascii="Montserrat Light" w:hAnsi="Montserrat Light"/>
                <w:sz w:val="20"/>
                <w:szCs w:val="20"/>
              </w:rPr>
              <w:t xml:space="preserve">Most of Australia’s coal-fired power stations and some gas-fired power stations </w:t>
            </w:r>
            <w:r w:rsidR="00A250B8" w:rsidRPr="6DA98308">
              <w:rPr>
                <w:rFonts w:ascii="Montserrat Light" w:hAnsi="Montserrat Light"/>
                <w:sz w:val="20"/>
                <w:szCs w:val="20"/>
              </w:rPr>
              <w:t xml:space="preserve">have </w:t>
            </w:r>
            <w:r w:rsidR="32C3CCED" w:rsidRPr="6DA98308">
              <w:rPr>
                <w:rFonts w:ascii="Montserrat Light" w:hAnsi="Montserrat Light"/>
                <w:sz w:val="20"/>
                <w:szCs w:val="20"/>
              </w:rPr>
              <w:t xml:space="preserve">expected </w:t>
            </w:r>
            <w:r w:rsidR="00A250B8" w:rsidRPr="6DA98308">
              <w:rPr>
                <w:rFonts w:ascii="Montserrat Light" w:hAnsi="Montserrat Light"/>
                <w:sz w:val="20"/>
                <w:szCs w:val="20"/>
              </w:rPr>
              <w:t>closure dates</w:t>
            </w:r>
            <w:r w:rsidRPr="6DA98308">
              <w:rPr>
                <w:rFonts w:ascii="Montserrat Light" w:hAnsi="Montserrat Light"/>
                <w:sz w:val="20"/>
                <w:szCs w:val="20"/>
              </w:rPr>
              <w:t xml:space="preserve"> over the next 30 years. There is less certainty regarding the closure of </w:t>
            </w:r>
            <w:r w:rsidR="00281B55" w:rsidRPr="6DA98308">
              <w:rPr>
                <w:rFonts w:ascii="Montserrat Light" w:hAnsi="Montserrat Light"/>
                <w:sz w:val="20"/>
                <w:szCs w:val="20"/>
              </w:rPr>
              <w:t>other emissions intensive facilities and businesses in the mining, oil and gas sectors</w:t>
            </w:r>
            <w:r w:rsidRPr="6DA98308">
              <w:rPr>
                <w:rFonts w:ascii="Montserrat Light" w:hAnsi="Montserrat Light"/>
                <w:sz w:val="20"/>
                <w:szCs w:val="20"/>
              </w:rPr>
              <w:t>, and decisions to close may be due to a wide range of factors. The Energy Industry Jobs Plan</w:t>
            </w:r>
            <w:r w:rsidR="008C2873" w:rsidRPr="6DA98308">
              <w:rPr>
                <w:rFonts w:ascii="Montserrat Light" w:hAnsi="Montserrat Light"/>
                <w:sz w:val="20"/>
                <w:szCs w:val="20"/>
              </w:rPr>
              <w:t xml:space="preserve"> (Plan)</w:t>
            </w:r>
            <w:r w:rsidRPr="6DA98308">
              <w:rPr>
                <w:rFonts w:ascii="Montserrat Light" w:hAnsi="Montserrat Light"/>
                <w:sz w:val="20"/>
                <w:szCs w:val="20"/>
              </w:rPr>
              <w:t xml:space="preserve"> </w:t>
            </w:r>
            <w:r w:rsidR="00281B55" w:rsidRPr="6DA98308">
              <w:rPr>
                <w:rFonts w:ascii="Montserrat Light" w:hAnsi="Montserrat Light"/>
                <w:sz w:val="20"/>
                <w:szCs w:val="20"/>
              </w:rPr>
              <w:t xml:space="preserve">is focused on supporting workers impacted by closures that the Government knows will happen in the immediate future. </w:t>
            </w:r>
          </w:p>
          <w:p w14:paraId="34E59D96" w14:textId="7704642F" w:rsidR="00993BFF" w:rsidRPr="00993BFF" w:rsidRDefault="00AA356B" w:rsidP="008C2873">
            <w:pPr>
              <w:spacing w:before="240"/>
              <w:rPr>
                <w:rFonts w:ascii="Montserrat Light" w:hAnsi="Montserrat Light"/>
                <w:sz w:val="20"/>
                <w:szCs w:val="20"/>
              </w:rPr>
            </w:pPr>
            <w:r>
              <w:rPr>
                <w:rFonts w:ascii="Montserrat Light" w:hAnsi="Montserrat Light"/>
                <w:sz w:val="20"/>
                <w:szCs w:val="20"/>
              </w:rPr>
              <w:t>The Government notes that the Plan is complemented by a range of other pr</w:t>
            </w:r>
            <w:r w:rsidR="00040D05">
              <w:rPr>
                <w:rFonts w:ascii="Montserrat Light" w:hAnsi="Montserrat Light"/>
                <w:sz w:val="20"/>
                <w:szCs w:val="20"/>
              </w:rPr>
              <w:t xml:space="preserve">ograms that support different cohorts of workers. </w:t>
            </w:r>
            <w:r w:rsidR="00993BFF" w:rsidRPr="00993BFF">
              <w:rPr>
                <w:rFonts w:ascii="Montserrat Light" w:hAnsi="Montserrat Light"/>
                <w:sz w:val="20"/>
                <w:szCs w:val="20"/>
              </w:rPr>
              <w:t xml:space="preserve">The Government allocated $134.2 million over the next four years, and $377.8 million over the medium term (and $40.1 million per year ongoing from 2035-36), through the </w:t>
            </w:r>
            <w:r w:rsidR="00993BFF" w:rsidRPr="478590F7">
              <w:rPr>
                <w:rFonts w:ascii="Montserrat Light" w:hAnsi="Montserrat Light"/>
                <w:sz w:val="20"/>
                <w:szCs w:val="20"/>
              </w:rPr>
              <w:t>202</w:t>
            </w:r>
            <w:r w:rsidR="29396D59" w:rsidRPr="478590F7">
              <w:rPr>
                <w:rFonts w:ascii="Montserrat Light" w:hAnsi="Montserrat Light"/>
                <w:sz w:val="20"/>
                <w:szCs w:val="20"/>
              </w:rPr>
              <w:t>4</w:t>
            </w:r>
            <w:r w:rsidR="00993BFF" w:rsidRPr="478590F7">
              <w:rPr>
                <w:rFonts w:ascii="Montserrat Light" w:hAnsi="Montserrat Light"/>
                <w:sz w:val="20"/>
                <w:szCs w:val="20"/>
              </w:rPr>
              <w:t>-2</w:t>
            </w:r>
            <w:r w:rsidR="2582CC24" w:rsidRPr="478590F7">
              <w:rPr>
                <w:rFonts w:ascii="Montserrat Light" w:hAnsi="Montserrat Light"/>
                <w:sz w:val="20"/>
                <w:szCs w:val="20"/>
              </w:rPr>
              <w:t>5</w:t>
            </w:r>
            <w:r w:rsidR="00993BFF" w:rsidRPr="00993BFF">
              <w:rPr>
                <w:rFonts w:ascii="Montserrat Light" w:hAnsi="Montserrat Light"/>
                <w:sz w:val="20"/>
                <w:szCs w:val="20"/>
              </w:rPr>
              <w:t xml:space="preserve"> Budget for the development and delivery of Regional Workforce Transition Plans</w:t>
            </w:r>
            <w:r w:rsidR="008C2873">
              <w:rPr>
                <w:rFonts w:ascii="Montserrat Light" w:hAnsi="Montserrat Light"/>
                <w:sz w:val="20"/>
                <w:szCs w:val="20"/>
              </w:rPr>
              <w:t xml:space="preserve"> (RWTPs) in key regions. The RWTPs </w:t>
            </w:r>
            <w:r w:rsidR="00993BFF" w:rsidRPr="00993BFF">
              <w:rPr>
                <w:rFonts w:ascii="Montserrat Light" w:hAnsi="Montserrat Light"/>
                <w:sz w:val="20"/>
                <w:szCs w:val="20"/>
              </w:rPr>
              <w:t>will provide tailored supports to help workers</w:t>
            </w:r>
            <w:r w:rsidR="00B230BF" w:rsidRPr="478590F7">
              <w:rPr>
                <w:rFonts w:ascii="Montserrat Light" w:hAnsi="Montserrat Light"/>
                <w:sz w:val="20"/>
                <w:szCs w:val="20"/>
              </w:rPr>
              <w:t>, their families and the community</w:t>
            </w:r>
            <w:r w:rsidR="00993BFF" w:rsidRPr="00993BFF">
              <w:rPr>
                <w:rFonts w:ascii="Montserrat Light" w:hAnsi="Montserrat Light"/>
                <w:sz w:val="20"/>
                <w:szCs w:val="20"/>
              </w:rPr>
              <w:t xml:space="preserve"> </w:t>
            </w:r>
            <w:r w:rsidR="00B230BF" w:rsidRPr="478590F7">
              <w:rPr>
                <w:rFonts w:ascii="Montserrat Light" w:hAnsi="Montserrat Light"/>
                <w:sz w:val="20"/>
                <w:szCs w:val="20"/>
              </w:rPr>
              <w:t>in impacted regions</w:t>
            </w:r>
            <w:r w:rsidR="00993BFF" w:rsidRPr="00993BFF">
              <w:rPr>
                <w:rFonts w:ascii="Montserrat Light" w:hAnsi="Montserrat Light"/>
                <w:sz w:val="20"/>
                <w:szCs w:val="20"/>
              </w:rPr>
              <w:t xml:space="preserve"> to successfully navigate the net zero transformation. </w:t>
            </w:r>
          </w:p>
        </w:tc>
      </w:tr>
      <w:tr w:rsidR="00AF729F" w14:paraId="192CE4F3" w14:textId="77777777" w:rsidTr="501606AA">
        <w:tc>
          <w:tcPr>
            <w:tcW w:w="562" w:type="dxa"/>
          </w:tcPr>
          <w:p w14:paraId="65DD5472" w14:textId="77777777" w:rsidR="00AF729F" w:rsidRPr="00946CBE" w:rsidRDefault="00AF729F" w:rsidP="00AF729F">
            <w:pPr>
              <w:pStyle w:val="ListParagraph"/>
              <w:numPr>
                <w:ilvl w:val="0"/>
                <w:numId w:val="7"/>
              </w:numPr>
              <w:spacing w:before="240" w:after="0" w:line="240" w:lineRule="auto"/>
              <w:rPr>
                <w:b/>
                <w:sz w:val="20"/>
                <w:szCs w:val="20"/>
                <w:u w:val="single"/>
              </w:rPr>
            </w:pPr>
          </w:p>
        </w:tc>
        <w:tc>
          <w:tcPr>
            <w:tcW w:w="4678" w:type="dxa"/>
          </w:tcPr>
          <w:p w14:paraId="76FD82FC" w14:textId="4BDF3C06" w:rsidR="00AF729F" w:rsidRDefault="00AF729F" w:rsidP="00AF729F">
            <w:pPr>
              <w:spacing w:before="240"/>
              <w:rPr>
                <w:rFonts w:ascii="Montserrat Light" w:hAnsi="Montserrat Light"/>
                <w:b/>
                <w:sz w:val="20"/>
                <w:szCs w:val="20"/>
                <w:u w:val="single"/>
              </w:rPr>
            </w:pPr>
            <w:r w:rsidRPr="002844EE">
              <w:rPr>
                <w:rFonts w:ascii="Montserrat Light" w:hAnsi="Montserrat Light"/>
                <w:sz w:val="20"/>
                <w:szCs w:val="20"/>
              </w:rPr>
              <w:t xml:space="preserve">If the Government fails to adopt recommendation 3, the Bill should be </w:t>
            </w:r>
            <w:r>
              <w:rPr>
                <w:rFonts w:ascii="Montserrat Light" w:hAnsi="Montserrat Light"/>
                <w:sz w:val="20"/>
                <w:szCs w:val="20"/>
              </w:rPr>
              <w:t xml:space="preserve"> </w:t>
            </w:r>
            <w:r w:rsidRPr="002844EE">
              <w:rPr>
                <w:rFonts w:ascii="Montserrat Light" w:hAnsi="Montserrat Light"/>
                <w:sz w:val="20"/>
                <w:szCs w:val="20"/>
              </w:rPr>
              <w:t>amended to empower the Board to independently cause a government review of coverage of "communities of interest" and F</w:t>
            </w:r>
            <w:r>
              <w:rPr>
                <w:rFonts w:ascii="Montserrat Light" w:hAnsi="Montserrat Light"/>
                <w:sz w:val="20"/>
                <w:szCs w:val="20"/>
              </w:rPr>
              <w:t xml:space="preserve">air Work Coverage in Part 5 of </w:t>
            </w:r>
            <w:r w:rsidRPr="002844EE">
              <w:rPr>
                <w:rFonts w:ascii="Montserrat Light" w:hAnsi="Montserrat Light"/>
                <w:sz w:val="20"/>
                <w:szCs w:val="20"/>
              </w:rPr>
              <w:t>the Bill to also include thermal coal mining, me</w:t>
            </w:r>
            <w:r>
              <w:rPr>
                <w:rFonts w:ascii="Montserrat Light" w:hAnsi="Montserrat Light"/>
                <w:sz w:val="20"/>
                <w:szCs w:val="20"/>
              </w:rPr>
              <w:t xml:space="preserve">tallurgical coal mining or LNG </w:t>
            </w:r>
            <w:r w:rsidRPr="002844EE">
              <w:rPr>
                <w:rFonts w:ascii="Montserrat Light" w:hAnsi="Montserrat Light"/>
                <w:sz w:val="20"/>
                <w:szCs w:val="20"/>
              </w:rPr>
              <w:t>—where they form the view that global demand</w:t>
            </w:r>
            <w:r>
              <w:rPr>
                <w:rFonts w:ascii="Montserrat Light" w:hAnsi="Montserrat Light"/>
                <w:sz w:val="20"/>
                <w:szCs w:val="20"/>
              </w:rPr>
              <w:t xml:space="preserve"> for that sector's exports are </w:t>
            </w:r>
            <w:r w:rsidRPr="002844EE">
              <w:rPr>
                <w:rFonts w:ascii="Montserrat Light" w:hAnsi="Montserrat Light"/>
                <w:sz w:val="20"/>
                <w:szCs w:val="20"/>
              </w:rPr>
              <w:t>reducing to a level that threatens an affected region and its economic stability.</w:t>
            </w:r>
          </w:p>
        </w:tc>
        <w:tc>
          <w:tcPr>
            <w:tcW w:w="9439" w:type="dxa"/>
          </w:tcPr>
          <w:p w14:paraId="5E104274" w14:textId="77777777" w:rsidR="00E462CC" w:rsidRDefault="00E462CC" w:rsidP="00E462CC">
            <w:pPr>
              <w:spacing w:before="240"/>
              <w:rPr>
                <w:rFonts w:ascii="Montserrat Light" w:hAnsi="Montserrat Light"/>
                <w:b/>
                <w:sz w:val="20"/>
                <w:szCs w:val="20"/>
                <w:u w:val="single"/>
              </w:rPr>
            </w:pPr>
            <w:r w:rsidRPr="00762DE1">
              <w:rPr>
                <w:rFonts w:ascii="Montserrat Light" w:hAnsi="Montserrat Light"/>
                <w:b/>
                <w:sz w:val="20"/>
                <w:szCs w:val="20"/>
                <w:u w:val="single"/>
              </w:rPr>
              <w:t>Noted</w:t>
            </w:r>
          </w:p>
          <w:p w14:paraId="37DEC286" w14:textId="1A49DE4F" w:rsidR="00AF729F" w:rsidRDefault="21DC4958" w:rsidP="00701191">
            <w:pPr>
              <w:spacing w:before="240"/>
              <w:rPr>
                <w:rFonts w:ascii="Montserrat Light" w:hAnsi="Montserrat Light"/>
                <w:sz w:val="20"/>
                <w:szCs w:val="20"/>
              </w:rPr>
            </w:pPr>
            <w:r w:rsidRPr="501606AA">
              <w:rPr>
                <w:rFonts w:ascii="Montserrat Light" w:hAnsi="Montserrat Light"/>
                <w:sz w:val="20"/>
                <w:szCs w:val="20"/>
              </w:rPr>
              <w:t xml:space="preserve">The need for any </w:t>
            </w:r>
            <w:r w:rsidR="32025744" w:rsidRPr="501606AA">
              <w:rPr>
                <w:rFonts w:ascii="Montserrat Light" w:hAnsi="Montserrat Light"/>
                <w:sz w:val="20"/>
                <w:szCs w:val="20"/>
              </w:rPr>
              <w:t>amendments</w:t>
            </w:r>
            <w:r w:rsidRPr="501606AA">
              <w:rPr>
                <w:rFonts w:ascii="Montserrat Light" w:hAnsi="Montserrat Light"/>
                <w:sz w:val="20"/>
                <w:szCs w:val="20"/>
              </w:rPr>
              <w:t xml:space="preserve"> to the Plan will be considered </w:t>
            </w:r>
            <w:r w:rsidR="0D1FA127" w:rsidRPr="501606AA">
              <w:rPr>
                <w:rFonts w:ascii="Montserrat Light" w:hAnsi="Montserrat Light"/>
                <w:sz w:val="20"/>
                <w:szCs w:val="20"/>
              </w:rPr>
              <w:t xml:space="preserve">in </w:t>
            </w:r>
            <w:r w:rsidRPr="501606AA">
              <w:rPr>
                <w:rFonts w:ascii="Montserrat Light" w:hAnsi="Montserrat Light"/>
                <w:sz w:val="20"/>
                <w:szCs w:val="20"/>
              </w:rPr>
              <w:t>the review of Part 5 of the Bill</w:t>
            </w:r>
            <w:r w:rsidR="2E834E11" w:rsidRPr="501606AA">
              <w:rPr>
                <w:rFonts w:ascii="Montserrat Light" w:hAnsi="Montserrat Light"/>
                <w:sz w:val="20"/>
                <w:szCs w:val="20"/>
              </w:rPr>
              <w:t xml:space="preserve"> </w:t>
            </w:r>
            <w:r w:rsidRPr="501606AA">
              <w:rPr>
                <w:rFonts w:ascii="Montserrat Light" w:hAnsi="Montserrat Light"/>
                <w:sz w:val="20"/>
                <w:szCs w:val="20"/>
              </w:rPr>
              <w:t xml:space="preserve">which will be completed within 12 months of </w:t>
            </w:r>
            <w:r w:rsidR="305F6E7E" w:rsidRPr="501606AA">
              <w:rPr>
                <w:rFonts w:ascii="Montserrat Light" w:hAnsi="Montserrat Light"/>
                <w:sz w:val="20"/>
                <w:szCs w:val="20"/>
              </w:rPr>
              <w:t xml:space="preserve">the </w:t>
            </w:r>
            <w:r w:rsidR="7573BB1E" w:rsidRPr="501606AA">
              <w:rPr>
                <w:rFonts w:ascii="Montserrat Light" w:hAnsi="Montserrat Light"/>
                <w:sz w:val="20"/>
                <w:szCs w:val="20"/>
              </w:rPr>
              <w:t>Authority</w:t>
            </w:r>
            <w:r w:rsidR="305F6E7E" w:rsidRPr="501606AA">
              <w:rPr>
                <w:rFonts w:ascii="Montserrat Light" w:hAnsi="Montserrat Light"/>
                <w:sz w:val="20"/>
                <w:szCs w:val="20"/>
              </w:rPr>
              <w:t>’s</w:t>
            </w:r>
            <w:r w:rsidR="7573BB1E" w:rsidRPr="501606AA">
              <w:rPr>
                <w:rFonts w:ascii="Montserrat Light" w:hAnsi="Montserrat Light"/>
                <w:sz w:val="20"/>
                <w:szCs w:val="20"/>
              </w:rPr>
              <w:t xml:space="preserve"> </w:t>
            </w:r>
            <w:r w:rsidRPr="501606AA">
              <w:rPr>
                <w:rFonts w:ascii="Montserrat Light" w:hAnsi="Montserrat Light"/>
                <w:sz w:val="20"/>
                <w:szCs w:val="20"/>
              </w:rPr>
              <w:t>commencement. The timing of the review will</w:t>
            </w:r>
            <w:r w:rsidR="0574FD58" w:rsidRPr="501606AA">
              <w:rPr>
                <w:rFonts w:ascii="Montserrat Light" w:hAnsi="Montserrat Light"/>
                <w:sz w:val="20"/>
                <w:szCs w:val="20"/>
              </w:rPr>
              <w:t xml:space="preserve"> provide an opportunity to assess the likely effecti</w:t>
            </w:r>
            <w:r w:rsidR="00646E8C">
              <w:rPr>
                <w:rFonts w:ascii="Montserrat Light" w:hAnsi="Montserrat Light"/>
                <w:sz w:val="20"/>
                <w:szCs w:val="20"/>
              </w:rPr>
              <w:t xml:space="preserve">veness of the Plan, determine </w:t>
            </w:r>
            <w:r w:rsidR="0574FD58" w:rsidRPr="501606AA">
              <w:rPr>
                <w:rFonts w:ascii="Montserrat Light" w:hAnsi="Montserrat Light"/>
                <w:sz w:val="20"/>
                <w:szCs w:val="20"/>
              </w:rPr>
              <w:t>whether it will operate as intended and</w:t>
            </w:r>
            <w:r w:rsidR="00C55CC2" w:rsidRPr="501606AA">
              <w:rPr>
                <w:rFonts w:ascii="Montserrat Light" w:hAnsi="Montserrat Light"/>
                <w:sz w:val="20"/>
                <w:szCs w:val="20"/>
              </w:rPr>
              <w:t xml:space="preserve"> </w:t>
            </w:r>
            <w:r w:rsidRPr="501606AA">
              <w:rPr>
                <w:rFonts w:ascii="Montserrat Light" w:hAnsi="Montserrat Light"/>
                <w:sz w:val="20"/>
                <w:szCs w:val="20"/>
              </w:rPr>
              <w:t>contribute to the future direction of the Plan</w:t>
            </w:r>
            <w:r w:rsidR="1750238D" w:rsidRPr="501606AA">
              <w:rPr>
                <w:rFonts w:ascii="Montserrat Light" w:hAnsi="Montserrat Light"/>
                <w:sz w:val="20"/>
                <w:szCs w:val="20"/>
              </w:rPr>
              <w:t>.</w:t>
            </w:r>
            <w:r w:rsidR="00C55CC2" w:rsidRPr="501606AA">
              <w:rPr>
                <w:rFonts w:ascii="Montserrat Light" w:hAnsi="Montserrat Light"/>
                <w:sz w:val="20"/>
                <w:szCs w:val="20"/>
              </w:rPr>
              <w:t xml:space="preserve"> </w:t>
            </w:r>
          </w:p>
          <w:p w14:paraId="45F54903" w14:textId="58DAB5EF" w:rsidR="004A2BF3" w:rsidRDefault="00D13F8B" w:rsidP="00701191">
            <w:pPr>
              <w:spacing w:before="240"/>
              <w:rPr>
                <w:rFonts w:ascii="Montserrat Light" w:hAnsi="Montserrat Light"/>
                <w:sz w:val="20"/>
                <w:szCs w:val="20"/>
              </w:rPr>
            </w:pPr>
            <w:r w:rsidRPr="00510EC9">
              <w:rPr>
                <w:rFonts w:ascii="Montserrat Light" w:hAnsi="Montserrat Light"/>
                <w:sz w:val="20"/>
                <w:szCs w:val="20"/>
              </w:rPr>
              <w:t xml:space="preserve">The Bill </w:t>
            </w:r>
            <w:r>
              <w:rPr>
                <w:rFonts w:ascii="Montserrat Light" w:hAnsi="Montserrat Light"/>
                <w:sz w:val="20"/>
                <w:szCs w:val="20"/>
              </w:rPr>
              <w:t xml:space="preserve">was amended in the Senate to include a new provision, which </w:t>
            </w:r>
            <w:r w:rsidR="004A2BF3">
              <w:rPr>
                <w:rFonts w:ascii="Montserrat Light" w:hAnsi="Montserrat Light"/>
                <w:sz w:val="20"/>
                <w:szCs w:val="20"/>
              </w:rPr>
              <w:t xml:space="preserve">requires the Minister to cause independent reviews of the operation of the Act on a recommendation of the Board of the Authority. Before making its recommendation, the Board must consider the changing needs or circumstances of communities, regions, industries and workers that are, or will be, significantly affected by Australia’s transition to a net zero emissions economy. </w:t>
            </w:r>
          </w:p>
          <w:p w14:paraId="7696FB20" w14:textId="383E143A" w:rsidR="00D13F8B" w:rsidRPr="00510EC9" w:rsidRDefault="004A2BF3" w:rsidP="004A2BF3">
            <w:pPr>
              <w:spacing w:before="240"/>
              <w:rPr>
                <w:rFonts w:ascii="Montserrat Light" w:hAnsi="Montserrat Light"/>
                <w:b/>
                <w:sz w:val="20"/>
                <w:szCs w:val="20"/>
              </w:rPr>
            </w:pPr>
            <w:r>
              <w:rPr>
                <w:rFonts w:ascii="Montserrat Light" w:hAnsi="Montserrat Light"/>
                <w:sz w:val="20"/>
                <w:szCs w:val="20"/>
              </w:rPr>
              <w:t xml:space="preserve">The Board must cause a copy of the recommendation to be published on the Authority’s website. If the review sets out recommendations to the Commonwealth Government, the Minister must cause a response to each of the recommendations to be prepared and tabled in the Parliament. If the Commonwealth has not accepted a recommendation, the response must set out the reasons for not accepting the recommendation. </w:t>
            </w:r>
          </w:p>
        </w:tc>
      </w:tr>
      <w:tr w:rsidR="00AF729F" w14:paraId="5F4F0A3B" w14:textId="77777777" w:rsidTr="501606AA">
        <w:tc>
          <w:tcPr>
            <w:tcW w:w="562" w:type="dxa"/>
          </w:tcPr>
          <w:p w14:paraId="6A580E86" w14:textId="77777777" w:rsidR="00AF729F" w:rsidRPr="00946CBE" w:rsidRDefault="00AF729F" w:rsidP="00AF729F">
            <w:pPr>
              <w:pStyle w:val="ListParagraph"/>
              <w:numPr>
                <w:ilvl w:val="0"/>
                <w:numId w:val="7"/>
              </w:numPr>
              <w:spacing w:before="240" w:after="0" w:line="240" w:lineRule="auto"/>
              <w:rPr>
                <w:b/>
                <w:sz w:val="20"/>
                <w:szCs w:val="20"/>
                <w:u w:val="single"/>
              </w:rPr>
            </w:pPr>
          </w:p>
        </w:tc>
        <w:tc>
          <w:tcPr>
            <w:tcW w:w="4678" w:type="dxa"/>
          </w:tcPr>
          <w:p w14:paraId="4F321920" w14:textId="4E0E8CB1" w:rsidR="00AF729F" w:rsidRDefault="00AF729F" w:rsidP="00AF729F">
            <w:pPr>
              <w:spacing w:before="240"/>
              <w:rPr>
                <w:rFonts w:ascii="Montserrat Light" w:hAnsi="Montserrat Light"/>
                <w:b/>
                <w:sz w:val="20"/>
                <w:szCs w:val="20"/>
                <w:u w:val="single"/>
              </w:rPr>
            </w:pPr>
            <w:r>
              <w:rPr>
                <w:rFonts w:ascii="Montserrat Light" w:hAnsi="Montserrat Light"/>
                <w:sz w:val="20"/>
                <w:szCs w:val="20"/>
              </w:rPr>
              <w:t xml:space="preserve">Amend the bill to include ‘adaptation’ as an additional function in section 16(1)(b) and </w:t>
            </w:r>
            <w:r>
              <w:rPr>
                <w:rFonts w:ascii="Montserrat Light" w:hAnsi="Montserrat Light"/>
                <w:sz w:val="20"/>
                <w:szCs w:val="20"/>
              </w:rPr>
              <w:lastRenderedPageBreak/>
              <w:t xml:space="preserve">include the </w:t>
            </w:r>
            <w:r w:rsidRPr="00AF729F">
              <w:rPr>
                <w:rFonts w:ascii="Montserrat Light" w:hAnsi="Montserrat Light"/>
                <w:sz w:val="20"/>
                <w:szCs w:val="20"/>
              </w:rPr>
              <w:t>National Emergency Management Agency and thei</w:t>
            </w:r>
            <w:r>
              <w:rPr>
                <w:rFonts w:ascii="Montserrat Light" w:hAnsi="Montserrat Light"/>
                <w:sz w:val="20"/>
                <w:szCs w:val="20"/>
              </w:rPr>
              <w:t xml:space="preserve">r </w:t>
            </w:r>
            <w:r w:rsidRPr="00AF729F">
              <w:rPr>
                <w:rFonts w:ascii="Montserrat Light" w:hAnsi="Montserrat Light"/>
                <w:sz w:val="20"/>
                <w:szCs w:val="20"/>
              </w:rPr>
              <w:t>Disaster Ready Fund Grants as another ag</w:t>
            </w:r>
            <w:r>
              <w:rPr>
                <w:rFonts w:ascii="Montserrat Light" w:hAnsi="Montserrat Light"/>
                <w:sz w:val="20"/>
                <w:szCs w:val="20"/>
              </w:rPr>
              <w:t xml:space="preserve">ency the NZEA can work with to </w:t>
            </w:r>
            <w:r w:rsidRPr="00AF729F">
              <w:rPr>
                <w:rFonts w:ascii="Montserrat Light" w:hAnsi="Montserrat Light"/>
                <w:sz w:val="20"/>
                <w:szCs w:val="20"/>
              </w:rPr>
              <w:t>facilitate targeted public investment in 16(3)</w:t>
            </w:r>
            <w:r>
              <w:rPr>
                <w:rFonts w:ascii="Montserrat Light" w:hAnsi="Montserrat Light"/>
                <w:sz w:val="20"/>
                <w:szCs w:val="20"/>
              </w:rPr>
              <w:t xml:space="preserve">. </w:t>
            </w:r>
          </w:p>
        </w:tc>
        <w:tc>
          <w:tcPr>
            <w:tcW w:w="9439" w:type="dxa"/>
          </w:tcPr>
          <w:p w14:paraId="126C1584" w14:textId="31D3D58E" w:rsidR="00AF729F" w:rsidRPr="00706B07" w:rsidRDefault="00D74CC3" w:rsidP="00AF729F">
            <w:pPr>
              <w:spacing w:before="240"/>
              <w:rPr>
                <w:rFonts w:ascii="Montserrat Light" w:hAnsi="Montserrat Light"/>
                <w:b/>
                <w:sz w:val="20"/>
                <w:szCs w:val="20"/>
                <w:u w:val="single"/>
              </w:rPr>
            </w:pPr>
            <w:r>
              <w:rPr>
                <w:rFonts w:ascii="Montserrat Light" w:hAnsi="Montserrat Light"/>
                <w:b/>
                <w:sz w:val="20"/>
                <w:szCs w:val="20"/>
                <w:u w:val="single"/>
              </w:rPr>
              <w:lastRenderedPageBreak/>
              <w:t>Noted</w:t>
            </w:r>
          </w:p>
          <w:p w14:paraId="018A0256" w14:textId="490AA24F" w:rsidR="00607B1B" w:rsidRPr="00607B1B" w:rsidRDefault="00607B1B" w:rsidP="00607B1B">
            <w:pPr>
              <w:spacing w:before="240"/>
              <w:rPr>
                <w:rFonts w:ascii="Montserrat Light" w:hAnsi="Montserrat Light"/>
                <w:sz w:val="20"/>
                <w:szCs w:val="20"/>
              </w:rPr>
            </w:pPr>
            <w:r w:rsidRPr="00607B1B">
              <w:rPr>
                <w:rFonts w:ascii="Montserrat Light" w:hAnsi="Montserrat Light"/>
                <w:sz w:val="20"/>
                <w:szCs w:val="20"/>
              </w:rPr>
              <w:lastRenderedPageBreak/>
              <w:t>Adapting to the impacts of climate change, and building resilience to n</w:t>
            </w:r>
            <w:r w:rsidR="00E00BD5">
              <w:rPr>
                <w:rFonts w:ascii="Montserrat Light" w:hAnsi="Montserrat Light"/>
                <w:sz w:val="20"/>
                <w:szCs w:val="20"/>
              </w:rPr>
              <w:t>atural disasters is important b</w:t>
            </w:r>
            <w:r w:rsidRPr="00607B1B">
              <w:rPr>
                <w:rFonts w:ascii="Montserrat Light" w:hAnsi="Montserrat Light"/>
                <w:sz w:val="20"/>
                <w:szCs w:val="20"/>
              </w:rPr>
              <w:t xml:space="preserve">ut it is not a role for the Authority. It would dilute the Authority’s focus on managing economic transition, and duplicate the role of other bodies, such as the National Emergency Management Agency (NEMA). </w:t>
            </w:r>
          </w:p>
          <w:p w14:paraId="2625B993" w14:textId="7A09B934" w:rsidR="00607B1B" w:rsidRPr="00607B1B" w:rsidRDefault="00607B1B" w:rsidP="00607B1B">
            <w:pPr>
              <w:spacing w:before="240"/>
              <w:rPr>
                <w:rFonts w:ascii="Montserrat Light" w:hAnsi="Montserrat Light"/>
                <w:sz w:val="20"/>
                <w:szCs w:val="20"/>
              </w:rPr>
            </w:pPr>
            <w:r w:rsidRPr="00607B1B">
              <w:rPr>
                <w:rFonts w:ascii="Montserrat Light" w:hAnsi="Montserrat Light"/>
                <w:sz w:val="20"/>
                <w:szCs w:val="20"/>
              </w:rPr>
              <w:t xml:space="preserve">NEMA is already working with communities to build resilience and preparedness for natural disasters, and by extension, the changing climate.  This includes the $200 million per year Disaster Ready Fund and the National Disaster Risk Reduction Framework. </w:t>
            </w:r>
          </w:p>
          <w:p w14:paraId="4FFAB06C" w14:textId="467A30D1" w:rsidR="006D7EF8" w:rsidRPr="00E00BD5" w:rsidRDefault="006D7EF8" w:rsidP="003051C8">
            <w:pPr>
              <w:spacing w:before="240"/>
              <w:rPr>
                <w:rFonts w:ascii="Montserrat Light" w:hAnsi="Montserrat Light"/>
                <w:sz w:val="20"/>
                <w:szCs w:val="20"/>
              </w:rPr>
            </w:pPr>
            <w:r>
              <w:rPr>
                <w:rFonts w:ascii="Montserrat Light" w:hAnsi="Montserrat Light"/>
                <w:sz w:val="20"/>
                <w:szCs w:val="20"/>
              </w:rPr>
              <w:t xml:space="preserve">The Government </w:t>
            </w:r>
            <w:r w:rsidR="00607B1B" w:rsidRPr="00607B1B">
              <w:rPr>
                <w:rFonts w:ascii="Montserrat Light" w:hAnsi="Montserrat Light"/>
                <w:sz w:val="20"/>
                <w:szCs w:val="20"/>
              </w:rPr>
              <w:t>is also investing $28 million to deliver</w:t>
            </w:r>
            <w:r w:rsidRPr="006D7EF8">
              <w:rPr>
                <w:rFonts w:ascii="Montserrat Light" w:hAnsi="Montserrat Light"/>
                <w:sz w:val="20"/>
                <w:szCs w:val="20"/>
              </w:rPr>
              <w:t xml:space="preserve"> the National Climate Adaptation and Risk Program,</w:t>
            </w:r>
            <w:r w:rsidR="0068550F">
              <w:rPr>
                <w:rFonts w:ascii="Montserrat Light" w:hAnsi="Montserrat Light"/>
                <w:sz w:val="20"/>
                <w:szCs w:val="20"/>
              </w:rPr>
              <w:t xml:space="preserve"> </w:t>
            </w:r>
            <w:r w:rsidR="00607B1B" w:rsidRPr="00607B1B">
              <w:rPr>
                <w:rFonts w:ascii="Montserrat Light" w:hAnsi="Montserrat Light"/>
                <w:sz w:val="20"/>
                <w:szCs w:val="20"/>
              </w:rPr>
              <w:t xml:space="preserve">including </w:t>
            </w:r>
            <w:r w:rsidRPr="006D7EF8">
              <w:rPr>
                <w:rFonts w:ascii="Montserrat Light" w:hAnsi="Montserrat Light"/>
                <w:sz w:val="20"/>
                <w:szCs w:val="20"/>
              </w:rPr>
              <w:t>Australia’s first National Climate Risk Assessment and National Adaptation Plan</w:t>
            </w:r>
            <w:r>
              <w:rPr>
                <w:rFonts w:ascii="Montserrat Light" w:hAnsi="Montserrat Light"/>
                <w:sz w:val="20"/>
                <w:szCs w:val="20"/>
              </w:rPr>
              <w:t xml:space="preserve">. </w:t>
            </w:r>
            <w:r w:rsidR="00607B1B" w:rsidRPr="00607B1B">
              <w:rPr>
                <w:rFonts w:ascii="Montserrat Light" w:hAnsi="Montserrat Light"/>
                <w:sz w:val="20"/>
                <w:szCs w:val="20"/>
              </w:rPr>
              <w:t xml:space="preserve"> This is being led by the National Adaptation Policy Office in </w:t>
            </w:r>
            <w:r w:rsidR="00181C3C">
              <w:rPr>
                <w:rFonts w:ascii="Montserrat Light" w:hAnsi="Montserrat Light"/>
                <w:sz w:val="20"/>
                <w:szCs w:val="20"/>
              </w:rPr>
              <w:t>the Department of Climate Change, Energy, the Environment and Water</w:t>
            </w:r>
            <w:r w:rsidR="00607B1B" w:rsidRPr="00607B1B">
              <w:rPr>
                <w:rFonts w:ascii="Montserrat Light" w:hAnsi="Montserrat Light"/>
                <w:sz w:val="20"/>
                <w:szCs w:val="20"/>
              </w:rPr>
              <w:t>.</w:t>
            </w:r>
          </w:p>
        </w:tc>
      </w:tr>
    </w:tbl>
    <w:p w14:paraId="4590A592" w14:textId="77777777" w:rsidR="00946CBE" w:rsidRDefault="00946CBE" w:rsidP="00EF6850">
      <w:pPr>
        <w:rPr>
          <w:rFonts w:ascii="Montserrat Light" w:hAnsi="Montserrat Light"/>
          <w:b/>
          <w:sz w:val="20"/>
          <w:szCs w:val="20"/>
          <w:u w:val="single"/>
        </w:rPr>
      </w:pPr>
    </w:p>
    <w:sectPr w:rsidR="00946CBE" w:rsidSect="00946CBE">
      <w:pgSz w:w="16838" w:h="11906" w:orient="landscape"/>
      <w:pgMar w:top="1134" w:right="709" w:bottom="1274"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956CDBA" w16cid:durableId="77037A51"/>
  <w16cid:commentId w16cid:paraId="5D60C33C" w16cid:durableId="08C908CC"/>
  <w16cid:commentId w16cid:paraId="167B2C4B" w16cid:durableId="7AE283AC"/>
  <w16cid:commentId w16cid:paraId="75B41E0E" w16cid:durableId="053C04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B757" w14:textId="77777777" w:rsidR="007565AD" w:rsidRDefault="007565AD" w:rsidP="000E0946">
      <w:pPr>
        <w:spacing w:after="0" w:line="240" w:lineRule="auto"/>
      </w:pPr>
      <w:r>
        <w:separator/>
      </w:r>
    </w:p>
  </w:endnote>
  <w:endnote w:type="continuationSeparator" w:id="0">
    <w:p w14:paraId="68E56554" w14:textId="77777777" w:rsidR="007565AD" w:rsidRDefault="007565AD" w:rsidP="000E0946">
      <w:pPr>
        <w:spacing w:after="0" w:line="240" w:lineRule="auto"/>
      </w:pPr>
      <w:r>
        <w:continuationSeparator/>
      </w:r>
    </w:p>
  </w:endnote>
  <w:endnote w:type="continuationNotice" w:id="1">
    <w:p w14:paraId="4D23EC0A" w14:textId="77777777" w:rsidR="007565AD" w:rsidRDefault="00756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52603"/>
      <w:docPartObj>
        <w:docPartGallery w:val="Page Numbers (Bottom of Page)"/>
        <w:docPartUnique/>
      </w:docPartObj>
    </w:sdtPr>
    <w:sdtEndPr>
      <w:rPr>
        <w:noProof/>
      </w:rPr>
    </w:sdtEndPr>
    <w:sdtContent>
      <w:p w14:paraId="7763F780" w14:textId="5B48C015" w:rsidR="007565AD" w:rsidRDefault="007565AD">
        <w:pPr>
          <w:pStyle w:val="Footer"/>
          <w:jc w:val="right"/>
        </w:pPr>
        <w:r>
          <w:fldChar w:fldCharType="begin"/>
        </w:r>
        <w:r>
          <w:instrText xml:space="preserve"> PAGE   \* MERGEFORMAT </w:instrText>
        </w:r>
        <w:r>
          <w:fldChar w:fldCharType="separate"/>
        </w:r>
        <w:r w:rsidR="005860C2">
          <w:rPr>
            <w:noProof/>
          </w:rPr>
          <w:t>1</w:t>
        </w:r>
        <w:r>
          <w:rPr>
            <w:noProof/>
          </w:rPr>
          <w:fldChar w:fldCharType="end"/>
        </w:r>
      </w:p>
    </w:sdtContent>
  </w:sdt>
  <w:p w14:paraId="1F240E9B" w14:textId="77777777" w:rsidR="007565AD" w:rsidRDefault="0075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D1899" w14:textId="77777777" w:rsidR="007565AD" w:rsidRDefault="007565AD" w:rsidP="000E0946">
      <w:pPr>
        <w:spacing w:after="0" w:line="240" w:lineRule="auto"/>
      </w:pPr>
      <w:r>
        <w:separator/>
      </w:r>
    </w:p>
  </w:footnote>
  <w:footnote w:type="continuationSeparator" w:id="0">
    <w:p w14:paraId="5E3F9D11" w14:textId="77777777" w:rsidR="007565AD" w:rsidRDefault="007565AD" w:rsidP="000E0946">
      <w:pPr>
        <w:spacing w:after="0" w:line="240" w:lineRule="auto"/>
      </w:pPr>
      <w:r>
        <w:continuationSeparator/>
      </w:r>
    </w:p>
  </w:footnote>
  <w:footnote w:type="continuationNotice" w:id="1">
    <w:p w14:paraId="55569F16" w14:textId="77777777" w:rsidR="007565AD" w:rsidRDefault="007565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1D5C"/>
    <w:multiLevelType w:val="hybridMultilevel"/>
    <w:tmpl w:val="F4D6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9192D"/>
    <w:multiLevelType w:val="hybridMultilevel"/>
    <w:tmpl w:val="ECA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84CEA"/>
    <w:multiLevelType w:val="hybridMultilevel"/>
    <w:tmpl w:val="26BC6248"/>
    <w:lvl w:ilvl="0" w:tplc="66ECCDBA">
      <w:start w:val="1"/>
      <w:numFmt w:val="bullet"/>
      <w:lvlText w:val=""/>
      <w:lvlJc w:val="left"/>
      <w:pPr>
        <w:ind w:left="502" w:hanging="360"/>
      </w:pPr>
      <w:rPr>
        <w:rFonts w:ascii="Symbol" w:hAnsi="Symbol" w:hint="default"/>
        <w:color w:val="auto"/>
      </w:rPr>
    </w:lvl>
    <w:lvl w:ilvl="1" w:tplc="F9E6A776">
      <w:start w:val="1"/>
      <w:numFmt w:val="bullet"/>
      <w:lvlText w:val="o"/>
      <w:lvlJc w:val="left"/>
      <w:pPr>
        <w:ind w:left="1636" w:hanging="360"/>
      </w:pPr>
      <w:rPr>
        <w:rFonts w:ascii="Courier New" w:hAnsi="Courier New" w:cs="Courier New" w:hint="default"/>
      </w:rPr>
    </w:lvl>
    <w:lvl w:ilvl="2" w:tplc="0C090005">
      <w:start w:val="1"/>
      <w:numFmt w:val="bullet"/>
      <w:lvlText w:val=""/>
      <w:lvlJc w:val="left"/>
      <w:pPr>
        <w:ind w:left="2307"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645FD"/>
    <w:multiLevelType w:val="hybridMultilevel"/>
    <w:tmpl w:val="9A0AE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91B2E"/>
    <w:multiLevelType w:val="hybridMultilevel"/>
    <w:tmpl w:val="B562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75EC8"/>
    <w:multiLevelType w:val="hybridMultilevel"/>
    <w:tmpl w:val="B6A46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A3D"/>
    <w:multiLevelType w:val="hybridMultilevel"/>
    <w:tmpl w:val="21E0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534DA"/>
    <w:multiLevelType w:val="hybridMultilevel"/>
    <w:tmpl w:val="80EA3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90656"/>
    <w:multiLevelType w:val="hybridMultilevel"/>
    <w:tmpl w:val="9BDE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22586"/>
    <w:multiLevelType w:val="hybridMultilevel"/>
    <w:tmpl w:val="9D24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429C9"/>
    <w:multiLevelType w:val="hybridMultilevel"/>
    <w:tmpl w:val="8DC062E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6B6"/>
    <w:multiLevelType w:val="hybridMultilevel"/>
    <w:tmpl w:val="776E2D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2495EF3"/>
    <w:multiLevelType w:val="hybridMultilevel"/>
    <w:tmpl w:val="6884F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AA01E4"/>
    <w:multiLevelType w:val="hybridMultilevel"/>
    <w:tmpl w:val="804A1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D410B"/>
    <w:multiLevelType w:val="hybridMultilevel"/>
    <w:tmpl w:val="FDBA5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123DC"/>
    <w:multiLevelType w:val="multilevel"/>
    <w:tmpl w:val="E45C2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00B5E"/>
    <w:multiLevelType w:val="hybridMultilevel"/>
    <w:tmpl w:val="8DA2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273235"/>
    <w:multiLevelType w:val="hybridMultilevel"/>
    <w:tmpl w:val="BF64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9878CB"/>
    <w:multiLevelType w:val="hybridMultilevel"/>
    <w:tmpl w:val="A3C8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E10E1"/>
    <w:multiLevelType w:val="hybridMultilevel"/>
    <w:tmpl w:val="F258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AC560C"/>
    <w:multiLevelType w:val="hybridMultilevel"/>
    <w:tmpl w:val="7FF0BAF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1" w15:restartNumberingAfterBreak="0">
    <w:nsid w:val="53367EB4"/>
    <w:multiLevelType w:val="hybridMultilevel"/>
    <w:tmpl w:val="2E74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E267CE"/>
    <w:multiLevelType w:val="hybridMultilevel"/>
    <w:tmpl w:val="6884F4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865BB5"/>
    <w:multiLevelType w:val="hybridMultilevel"/>
    <w:tmpl w:val="FBE0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31650"/>
    <w:multiLevelType w:val="hybridMultilevel"/>
    <w:tmpl w:val="9A1A5A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824AAB"/>
    <w:multiLevelType w:val="hybridMultilevel"/>
    <w:tmpl w:val="D6E6E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
  </w:num>
  <w:num w:numId="4">
    <w:abstractNumId w:val="24"/>
  </w:num>
  <w:num w:numId="5">
    <w:abstractNumId w:val="17"/>
  </w:num>
  <w:num w:numId="6">
    <w:abstractNumId w:val="12"/>
  </w:num>
  <w:num w:numId="7">
    <w:abstractNumId w:val="22"/>
  </w:num>
  <w:num w:numId="8">
    <w:abstractNumId w:val="0"/>
  </w:num>
  <w:num w:numId="9">
    <w:abstractNumId w:val="18"/>
  </w:num>
  <w:num w:numId="10">
    <w:abstractNumId w:val="11"/>
  </w:num>
  <w:num w:numId="11">
    <w:abstractNumId w:val="8"/>
  </w:num>
  <w:num w:numId="12">
    <w:abstractNumId w:val="10"/>
  </w:num>
  <w:num w:numId="13">
    <w:abstractNumId w:val="16"/>
  </w:num>
  <w:num w:numId="14">
    <w:abstractNumId w:val="6"/>
  </w:num>
  <w:num w:numId="15">
    <w:abstractNumId w:val="3"/>
  </w:num>
  <w:num w:numId="16">
    <w:abstractNumId w:val="14"/>
  </w:num>
  <w:num w:numId="17">
    <w:abstractNumId w:val="9"/>
  </w:num>
  <w:num w:numId="18">
    <w:abstractNumId w:val="2"/>
  </w:num>
  <w:num w:numId="19">
    <w:abstractNumId w:val="13"/>
  </w:num>
  <w:num w:numId="20">
    <w:abstractNumId w:val="15"/>
  </w:num>
  <w:num w:numId="21">
    <w:abstractNumId w:val="20"/>
  </w:num>
  <w:num w:numId="22">
    <w:abstractNumId w:val="4"/>
  </w:num>
  <w:num w:numId="23">
    <w:abstractNumId w:val="25"/>
  </w:num>
  <w:num w:numId="24">
    <w:abstractNumId w:val="21"/>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48"/>
    <w:rsid w:val="00000AE7"/>
    <w:rsid w:val="00011836"/>
    <w:rsid w:val="00012BF7"/>
    <w:rsid w:val="00021059"/>
    <w:rsid w:val="00023096"/>
    <w:rsid w:val="000324D6"/>
    <w:rsid w:val="0004071D"/>
    <w:rsid w:val="00040D05"/>
    <w:rsid w:val="000A5E31"/>
    <w:rsid w:val="000E0946"/>
    <w:rsid w:val="000E209C"/>
    <w:rsid w:val="000E3EBD"/>
    <w:rsid w:val="00105152"/>
    <w:rsid w:val="00105B70"/>
    <w:rsid w:val="00123307"/>
    <w:rsid w:val="00125142"/>
    <w:rsid w:val="001270C1"/>
    <w:rsid w:val="0013162C"/>
    <w:rsid w:val="00134FC7"/>
    <w:rsid w:val="00157832"/>
    <w:rsid w:val="00181C3C"/>
    <w:rsid w:val="00193D86"/>
    <w:rsid w:val="001A2BFE"/>
    <w:rsid w:val="001B3566"/>
    <w:rsid w:val="001C3589"/>
    <w:rsid w:val="001DAC2A"/>
    <w:rsid w:val="001E35C6"/>
    <w:rsid w:val="001E7775"/>
    <w:rsid w:val="001F1B21"/>
    <w:rsid w:val="00205376"/>
    <w:rsid w:val="00220470"/>
    <w:rsid w:val="002220F6"/>
    <w:rsid w:val="002231D6"/>
    <w:rsid w:val="00240540"/>
    <w:rsid w:val="0024717B"/>
    <w:rsid w:val="0025095F"/>
    <w:rsid w:val="00251332"/>
    <w:rsid w:val="002564A8"/>
    <w:rsid w:val="00281B55"/>
    <w:rsid w:val="00281F0D"/>
    <w:rsid w:val="002844EE"/>
    <w:rsid w:val="002867B5"/>
    <w:rsid w:val="00291A65"/>
    <w:rsid w:val="002B3636"/>
    <w:rsid w:val="002B51C0"/>
    <w:rsid w:val="002D3263"/>
    <w:rsid w:val="002E410E"/>
    <w:rsid w:val="002E4963"/>
    <w:rsid w:val="003051C8"/>
    <w:rsid w:val="003104A0"/>
    <w:rsid w:val="003221B9"/>
    <w:rsid w:val="00340F54"/>
    <w:rsid w:val="00344D2F"/>
    <w:rsid w:val="00353FD7"/>
    <w:rsid w:val="00362301"/>
    <w:rsid w:val="00363274"/>
    <w:rsid w:val="00370B6C"/>
    <w:rsid w:val="00380611"/>
    <w:rsid w:val="0038798B"/>
    <w:rsid w:val="0039248C"/>
    <w:rsid w:val="003A6E80"/>
    <w:rsid w:val="003C646F"/>
    <w:rsid w:val="003D0443"/>
    <w:rsid w:val="003D4434"/>
    <w:rsid w:val="003D5496"/>
    <w:rsid w:val="003F0BA9"/>
    <w:rsid w:val="00434946"/>
    <w:rsid w:val="00455A73"/>
    <w:rsid w:val="00460B19"/>
    <w:rsid w:val="00470BC4"/>
    <w:rsid w:val="004820B3"/>
    <w:rsid w:val="004844D8"/>
    <w:rsid w:val="0048473A"/>
    <w:rsid w:val="004855EF"/>
    <w:rsid w:val="00486221"/>
    <w:rsid w:val="00487CB5"/>
    <w:rsid w:val="004A2BF3"/>
    <w:rsid w:val="004A2DF3"/>
    <w:rsid w:val="004C4E50"/>
    <w:rsid w:val="004E4792"/>
    <w:rsid w:val="004E52C5"/>
    <w:rsid w:val="00503148"/>
    <w:rsid w:val="0051039A"/>
    <w:rsid w:val="00510EC9"/>
    <w:rsid w:val="0052130F"/>
    <w:rsid w:val="005218F7"/>
    <w:rsid w:val="00525DB4"/>
    <w:rsid w:val="00546688"/>
    <w:rsid w:val="00547C06"/>
    <w:rsid w:val="005557A8"/>
    <w:rsid w:val="005564E6"/>
    <w:rsid w:val="005727CC"/>
    <w:rsid w:val="005770A7"/>
    <w:rsid w:val="005860C2"/>
    <w:rsid w:val="005952DB"/>
    <w:rsid w:val="005959B0"/>
    <w:rsid w:val="005B75B1"/>
    <w:rsid w:val="005C1888"/>
    <w:rsid w:val="005C617B"/>
    <w:rsid w:val="005D63C3"/>
    <w:rsid w:val="005D7ABA"/>
    <w:rsid w:val="005F2EAB"/>
    <w:rsid w:val="00607B1B"/>
    <w:rsid w:val="00623E3C"/>
    <w:rsid w:val="006268D5"/>
    <w:rsid w:val="006356A8"/>
    <w:rsid w:val="00646684"/>
    <w:rsid w:val="00646E8C"/>
    <w:rsid w:val="0066678D"/>
    <w:rsid w:val="0067312A"/>
    <w:rsid w:val="006759E2"/>
    <w:rsid w:val="0068550F"/>
    <w:rsid w:val="00686026"/>
    <w:rsid w:val="006A066F"/>
    <w:rsid w:val="006A519B"/>
    <w:rsid w:val="006B17ED"/>
    <w:rsid w:val="006C54EE"/>
    <w:rsid w:val="006D7EF8"/>
    <w:rsid w:val="006E4D2D"/>
    <w:rsid w:val="006E4ED1"/>
    <w:rsid w:val="00701191"/>
    <w:rsid w:val="00706B07"/>
    <w:rsid w:val="007219E2"/>
    <w:rsid w:val="00724B64"/>
    <w:rsid w:val="0073256E"/>
    <w:rsid w:val="007343B6"/>
    <w:rsid w:val="007565AD"/>
    <w:rsid w:val="00762DE1"/>
    <w:rsid w:val="007774B4"/>
    <w:rsid w:val="00781F14"/>
    <w:rsid w:val="007820EC"/>
    <w:rsid w:val="00791C50"/>
    <w:rsid w:val="007A4584"/>
    <w:rsid w:val="007A47EE"/>
    <w:rsid w:val="007B1E70"/>
    <w:rsid w:val="007C195C"/>
    <w:rsid w:val="007C314A"/>
    <w:rsid w:val="007D3E0C"/>
    <w:rsid w:val="007D5217"/>
    <w:rsid w:val="007E0DB6"/>
    <w:rsid w:val="007F3D18"/>
    <w:rsid w:val="007F4A9A"/>
    <w:rsid w:val="008016D8"/>
    <w:rsid w:val="00804EE8"/>
    <w:rsid w:val="008215A0"/>
    <w:rsid w:val="008414A0"/>
    <w:rsid w:val="00854626"/>
    <w:rsid w:val="00893DA8"/>
    <w:rsid w:val="00896DF5"/>
    <w:rsid w:val="008A5CF8"/>
    <w:rsid w:val="008C2873"/>
    <w:rsid w:val="008C7CE9"/>
    <w:rsid w:val="00915C40"/>
    <w:rsid w:val="00922189"/>
    <w:rsid w:val="009313E2"/>
    <w:rsid w:val="009415EA"/>
    <w:rsid w:val="00946CBE"/>
    <w:rsid w:val="009542D9"/>
    <w:rsid w:val="00960579"/>
    <w:rsid w:val="009768A0"/>
    <w:rsid w:val="00984A0C"/>
    <w:rsid w:val="00993BFF"/>
    <w:rsid w:val="009B24E1"/>
    <w:rsid w:val="009B2D04"/>
    <w:rsid w:val="009C2A5D"/>
    <w:rsid w:val="009C5AF4"/>
    <w:rsid w:val="009F2F96"/>
    <w:rsid w:val="00A063D8"/>
    <w:rsid w:val="00A250B8"/>
    <w:rsid w:val="00A3445A"/>
    <w:rsid w:val="00A3676C"/>
    <w:rsid w:val="00A511D4"/>
    <w:rsid w:val="00A6072A"/>
    <w:rsid w:val="00A60BD1"/>
    <w:rsid w:val="00A65FE7"/>
    <w:rsid w:val="00A94EF1"/>
    <w:rsid w:val="00A9793E"/>
    <w:rsid w:val="00AA356B"/>
    <w:rsid w:val="00AA6D63"/>
    <w:rsid w:val="00AB29AF"/>
    <w:rsid w:val="00AC1A56"/>
    <w:rsid w:val="00AC527D"/>
    <w:rsid w:val="00AE3272"/>
    <w:rsid w:val="00AF729F"/>
    <w:rsid w:val="00AF746C"/>
    <w:rsid w:val="00B03099"/>
    <w:rsid w:val="00B128DD"/>
    <w:rsid w:val="00B230BF"/>
    <w:rsid w:val="00B410B8"/>
    <w:rsid w:val="00B501FB"/>
    <w:rsid w:val="00B552BA"/>
    <w:rsid w:val="00B554F4"/>
    <w:rsid w:val="00B70D74"/>
    <w:rsid w:val="00B87382"/>
    <w:rsid w:val="00BC185F"/>
    <w:rsid w:val="00BC2627"/>
    <w:rsid w:val="00BC566B"/>
    <w:rsid w:val="00BF5059"/>
    <w:rsid w:val="00BF62D6"/>
    <w:rsid w:val="00C16A3A"/>
    <w:rsid w:val="00C2682C"/>
    <w:rsid w:val="00C45426"/>
    <w:rsid w:val="00C55CC2"/>
    <w:rsid w:val="00C81440"/>
    <w:rsid w:val="00CB1884"/>
    <w:rsid w:val="00CC0F48"/>
    <w:rsid w:val="00CD5F58"/>
    <w:rsid w:val="00CD629D"/>
    <w:rsid w:val="00CE0309"/>
    <w:rsid w:val="00CE4133"/>
    <w:rsid w:val="00CF175E"/>
    <w:rsid w:val="00D13F8B"/>
    <w:rsid w:val="00D14C14"/>
    <w:rsid w:val="00D23449"/>
    <w:rsid w:val="00D273C0"/>
    <w:rsid w:val="00D651C9"/>
    <w:rsid w:val="00D74CC3"/>
    <w:rsid w:val="00D80DAA"/>
    <w:rsid w:val="00D92223"/>
    <w:rsid w:val="00DD5CDE"/>
    <w:rsid w:val="00DF4612"/>
    <w:rsid w:val="00DF5329"/>
    <w:rsid w:val="00E00BD5"/>
    <w:rsid w:val="00E1477C"/>
    <w:rsid w:val="00E21932"/>
    <w:rsid w:val="00E24444"/>
    <w:rsid w:val="00E307B7"/>
    <w:rsid w:val="00E365A0"/>
    <w:rsid w:val="00E462CC"/>
    <w:rsid w:val="00E61E20"/>
    <w:rsid w:val="00E773EA"/>
    <w:rsid w:val="00EA2E7E"/>
    <w:rsid w:val="00EA9ED4"/>
    <w:rsid w:val="00EC21B2"/>
    <w:rsid w:val="00EE403F"/>
    <w:rsid w:val="00EE58A8"/>
    <w:rsid w:val="00EF6850"/>
    <w:rsid w:val="00F246DC"/>
    <w:rsid w:val="00F35F79"/>
    <w:rsid w:val="00F57841"/>
    <w:rsid w:val="00F843CE"/>
    <w:rsid w:val="00FA28A5"/>
    <w:rsid w:val="00FB5750"/>
    <w:rsid w:val="00FE045B"/>
    <w:rsid w:val="012EDF4E"/>
    <w:rsid w:val="01A1B8EE"/>
    <w:rsid w:val="0574FD58"/>
    <w:rsid w:val="0714E490"/>
    <w:rsid w:val="07BFDE09"/>
    <w:rsid w:val="0815C50A"/>
    <w:rsid w:val="0D1FA127"/>
    <w:rsid w:val="0EECCB4F"/>
    <w:rsid w:val="10C21A4C"/>
    <w:rsid w:val="1750238D"/>
    <w:rsid w:val="179A01C6"/>
    <w:rsid w:val="17C7A3A0"/>
    <w:rsid w:val="19036AB2"/>
    <w:rsid w:val="1AE47529"/>
    <w:rsid w:val="1B3C091F"/>
    <w:rsid w:val="1BB90474"/>
    <w:rsid w:val="1CEC12EE"/>
    <w:rsid w:val="1D28AA16"/>
    <w:rsid w:val="216243D8"/>
    <w:rsid w:val="21DC4958"/>
    <w:rsid w:val="241E0B4D"/>
    <w:rsid w:val="245FF90A"/>
    <w:rsid w:val="2582CC24"/>
    <w:rsid w:val="25873B02"/>
    <w:rsid w:val="29396D59"/>
    <w:rsid w:val="2D899AE9"/>
    <w:rsid w:val="2E0CF871"/>
    <w:rsid w:val="2E834E11"/>
    <w:rsid w:val="2FDC40B5"/>
    <w:rsid w:val="305F6E7E"/>
    <w:rsid w:val="31462DBB"/>
    <w:rsid w:val="32025744"/>
    <w:rsid w:val="32C3CCED"/>
    <w:rsid w:val="35EB1C54"/>
    <w:rsid w:val="369E7542"/>
    <w:rsid w:val="36C2E0B4"/>
    <w:rsid w:val="38E700C8"/>
    <w:rsid w:val="3C055B22"/>
    <w:rsid w:val="3EC31E49"/>
    <w:rsid w:val="41FACB51"/>
    <w:rsid w:val="478590F7"/>
    <w:rsid w:val="48F94D87"/>
    <w:rsid w:val="49619783"/>
    <w:rsid w:val="4A8898F7"/>
    <w:rsid w:val="4ED00B76"/>
    <w:rsid w:val="501606AA"/>
    <w:rsid w:val="51795DF0"/>
    <w:rsid w:val="527A0775"/>
    <w:rsid w:val="55F910F9"/>
    <w:rsid w:val="58714244"/>
    <w:rsid w:val="5B6DBE08"/>
    <w:rsid w:val="5D65F377"/>
    <w:rsid w:val="5F6EC31D"/>
    <w:rsid w:val="5F9D701B"/>
    <w:rsid w:val="64200F06"/>
    <w:rsid w:val="646993ED"/>
    <w:rsid w:val="66AC9EE8"/>
    <w:rsid w:val="66F78D5D"/>
    <w:rsid w:val="66F7C304"/>
    <w:rsid w:val="670FAFBF"/>
    <w:rsid w:val="6905ADA6"/>
    <w:rsid w:val="69995E11"/>
    <w:rsid w:val="69C00034"/>
    <w:rsid w:val="6A0D98C7"/>
    <w:rsid w:val="6DA98308"/>
    <w:rsid w:val="7035782A"/>
    <w:rsid w:val="717EE336"/>
    <w:rsid w:val="74113D02"/>
    <w:rsid w:val="7496699E"/>
    <w:rsid w:val="7573B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CF7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EE58A8"/>
    <w:pPr>
      <w:keepNext/>
      <w:keepLines/>
      <w:autoSpaceDE w:val="0"/>
      <w:autoSpaceDN w:val="0"/>
      <w:spacing w:before="40" w:after="0" w:line="250" w:lineRule="atLeast"/>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946"/>
  </w:style>
  <w:style w:type="paragraph" w:styleId="Footer">
    <w:name w:val="footer"/>
    <w:basedOn w:val="Normal"/>
    <w:link w:val="FooterChar"/>
    <w:uiPriority w:val="99"/>
    <w:unhideWhenUsed/>
    <w:rsid w:val="000E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946"/>
  </w:style>
  <w:style w:type="character" w:customStyle="1" w:styleId="Heading2Char">
    <w:name w:val="Heading 2 Char"/>
    <w:basedOn w:val="DefaultParagraphFont"/>
    <w:link w:val="Heading2"/>
    <w:rsid w:val="00EE58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E58A8"/>
    <w:pPr>
      <w:autoSpaceDE w:val="0"/>
      <w:autoSpaceDN w:val="0"/>
      <w:spacing w:after="176" w:line="250" w:lineRule="atLeast"/>
      <w:ind w:left="720"/>
      <w:contextualSpacing/>
    </w:pPr>
    <w:rPr>
      <w:rFonts w:ascii="Montserrat Light" w:eastAsia="Times New Roman" w:hAnsi="Montserrat Light" w:cs="Times New Roman"/>
      <w:color w:val="000000"/>
      <w:sz w:val="18"/>
      <w:szCs w:val="24"/>
    </w:rPr>
  </w:style>
  <w:style w:type="character" w:styleId="Hyperlink">
    <w:name w:val="Hyperlink"/>
    <w:basedOn w:val="DefaultParagraphFont"/>
    <w:uiPriority w:val="99"/>
    <w:unhideWhenUsed/>
    <w:rsid w:val="00EE58A8"/>
    <w:rPr>
      <w:color w:val="0563C1" w:themeColor="hyperlink"/>
      <w:u w:val="single"/>
    </w:rPr>
  </w:style>
  <w:style w:type="table" w:styleId="TableGrid">
    <w:name w:val="Table Grid"/>
    <w:basedOn w:val="TableNormal"/>
    <w:uiPriority w:val="39"/>
    <w:rsid w:val="0094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59E2"/>
    <w:rPr>
      <w:sz w:val="16"/>
      <w:szCs w:val="16"/>
    </w:rPr>
  </w:style>
  <w:style w:type="paragraph" w:styleId="CommentText">
    <w:name w:val="annotation text"/>
    <w:basedOn w:val="Normal"/>
    <w:link w:val="CommentTextChar"/>
    <w:uiPriority w:val="99"/>
    <w:semiHidden/>
    <w:unhideWhenUsed/>
    <w:rsid w:val="006759E2"/>
    <w:pPr>
      <w:spacing w:line="240" w:lineRule="auto"/>
    </w:pPr>
    <w:rPr>
      <w:sz w:val="20"/>
      <w:szCs w:val="20"/>
    </w:rPr>
  </w:style>
  <w:style w:type="character" w:customStyle="1" w:styleId="CommentTextChar">
    <w:name w:val="Comment Text Char"/>
    <w:basedOn w:val="DefaultParagraphFont"/>
    <w:link w:val="CommentText"/>
    <w:uiPriority w:val="99"/>
    <w:semiHidden/>
    <w:rsid w:val="006759E2"/>
    <w:rPr>
      <w:sz w:val="20"/>
      <w:szCs w:val="20"/>
    </w:rPr>
  </w:style>
  <w:style w:type="paragraph" w:styleId="CommentSubject">
    <w:name w:val="annotation subject"/>
    <w:basedOn w:val="CommentText"/>
    <w:next w:val="CommentText"/>
    <w:link w:val="CommentSubjectChar"/>
    <w:uiPriority w:val="99"/>
    <w:semiHidden/>
    <w:unhideWhenUsed/>
    <w:rsid w:val="006759E2"/>
    <w:rPr>
      <w:b/>
      <w:bCs/>
    </w:rPr>
  </w:style>
  <w:style w:type="character" w:customStyle="1" w:styleId="CommentSubjectChar">
    <w:name w:val="Comment Subject Char"/>
    <w:basedOn w:val="CommentTextChar"/>
    <w:link w:val="CommentSubject"/>
    <w:uiPriority w:val="99"/>
    <w:semiHidden/>
    <w:rsid w:val="006759E2"/>
    <w:rPr>
      <w:b/>
      <w:bCs/>
      <w:sz w:val="20"/>
      <w:szCs w:val="20"/>
    </w:rPr>
  </w:style>
  <w:style w:type="paragraph" w:styleId="BalloonText">
    <w:name w:val="Balloon Text"/>
    <w:basedOn w:val="Normal"/>
    <w:link w:val="BalloonTextChar"/>
    <w:uiPriority w:val="99"/>
    <w:semiHidden/>
    <w:unhideWhenUsed/>
    <w:rsid w:val="00675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E2"/>
    <w:rPr>
      <w:rFonts w:ascii="Segoe UI" w:hAnsi="Segoe UI" w:cs="Segoe UI"/>
      <w:sz w:val="18"/>
      <w:szCs w:val="18"/>
    </w:rPr>
  </w:style>
  <w:style w:type="character" w:styleId="FollowedHyperlink">
    <w:name w:val="FollowedHyperlink"/>
    <w:basedOn w:val="DefaultParagraphFont"/>
    <w:uiPriority w:val="99"/>
    <w:semiHidden/>
    <w:unhideWhenUsed/>
    <w:rsid w:val="00BC566B"/>
    <w:rPr>
      <w:color w:val="954F72" w:themeColor="followedHyperlink"/>
      <w:u w:val="single"/>
    </w:rPr>
  </w:style>
  <w:style w:type="paragraph" w:customStyle="1" w:styleId="BulletedList-Level1">
    <w:name w:val="Bulleted List - Level 1"/>
    <w:basedOn w:val="Normal"/>
    <w:uiPriority w:val="1"/>
    <w:qFormat/>
    <w:rsid w:val="005959B0"/>
    <w:pPr>
      <w:spacing w:before="240" w:after="0" w:line="360" w:lineRule="auto"/>
      <w:ind w:left="502" w:hanging="360"/>
    </w:pPr>
    <w:rPr>
      <w:rFonts w:ascii="Arial" w:eastAsia="Times New Roman" w:hAnsi="Arial" w:cs="Arial"/>
      <w:sz w:val="28"/>
      <w:szCs w:val="28"/>
      <w:lang w:eastAsia="en-AU"/>
    </w:rPr>
  </w:style>
  <w:style w:type="paragraph" w:customStyle="1" w:styleId="Default">
    <w:name w:val="Default"/>
    <w:rsid w:val="005564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
    <w:name w:val="Bullet 1"/>
    <w:basedOn w:val="Normal"/>
    <w:link w:val="Bullet1Char"/>
    <w:qFormat/>
    <w:rsid w:val="005564E6"/>
    <w:pPr>
      <w:spacing w:before="240" w:after="0" w:line="360" w:lineRule="auto"/>
      <w:ind w:left="502" w:hanging="360"/>
    </w:pPr>
    <w:rPr>
      <w:rFonts w:ascii="Arial" w:eastAsia="Times New Roman" w:hAnsi="Arial" w:cs="Arial"/>
      <w:sz w:val="28"/>
      <w:szCs w:val="28"/>
      <w:lang w:eastAsia="en-AU"/>
    </w:rPr>
  </w:style>
  <w:style w:type="character" w:customStyle="1" w:styleId="Bullet1Char">
    <w:name w:val="Bullet 1 Char"/>
    <w:link w:val="Bullet1"/>
    <w:rsid w:val="005564E6"/>
    <w:rPr>
      <w:rFonts w:ascii="Arial" w:eastAsia="Times New Roman" w:hAnsi="Arial" w:cs="Arial"/>
      <w:sz w:val="28"/>
      <w:szCs w:val="28"/>
      <w:lang w:eastAsia="en-AU"/>
    </w:rPr>
  </w:style>
  <w:style w:type="character" w:customStyle="1" w:styleId="subsectionChar">
    <w:name w:val="subsection Char"/>
    <w:aliases w:val="ss Char"/>
    <w:link w:val="subsection"/>
    <w:locked/>
    <w:rsid w:val="007A4584"/>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7A4584"/>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styleId="Revision">
    <w:name w:val="Revision"/>
    <w:hidden/>
    <w:uiPriority w:val="99"/>
    <w:semiHidden/>
    <w:rsid w:val="00486221"/>
    <w:pPr>
      <w:spacing w:after="0" w:line="240" w:lineRule="auto"/>
    </w:pPr>
  </w:style>
  <w:style w:type="paragraph" w:customStyle="1" w:styleId="Heading1-UnderlineBold">
    <w:name w:val="Heading 1 - Underline Bold"/>
    <w:basedOn w:val="Normal"/>
    <w:link w:val="Heading1-UnderlineBoldChar"/>
    <w:qFormat/>
    <w:rsid w:val="00A60BD1"/>
    <w:pPr>
      <w:jc w:val="center"/>
      <w:outlineLvl w:val="0"/>
    </w:pPr>
    <w:rPr>
      <w:rFonts w:ascii="Montserrat Light" w:hAnsi="Montserrat Light"/>
      <w:b/>
      <w:sz w:val="20"/>
      <w:szCs w:val="20"/>
      <w:u w:val="single"/>
    </w:rPr>
  </w:style>
  <w:style w:type="character" w:customStyle="1" w:styleId="Heading1-UnderlineBoldChar">
    <w:name w:val="Heading 1 - Underline Bold Char"/>
    <w:basedOn w:val="DefaultParagraphFont"/>
    <w:link w:val="Heading1-UnderlineBold"/>
    <w:rsid w:val="00A60BD1"/>
    <w:rPr>
      <w:rFonts w:ascii="Montserrat Light" w:hAnsi="Montserrat Light"/>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ca38de4472b7484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PMCdoc-213507164-59832</_dlc_DocId>
    <_dlc_DocIdUrl xmlns="d0dfa800-9ef0-44cb-8a12-633e29de1e0b">
      <Url>https://pmc01.sharepoint.com/sites/pmc-ms-cb/_layouts/15/DocIdRedir.aspx?ID=PMCdoc-213507164-59832</Url>
      <Description>PMCdoc-213507164-59832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BC4C-FCF8-4623-91EB-57F6A5DC09EC}">
  <ds:schemaRefs>
    <ds:schemaRef ds:uri="http://schemas.microsoft.com/sharepoint/events"/>
  </ds:schemaRefs>
</ds:datastoreItem>
</file>

<file path=customXml/itemProps2.xml><?xml version="1.0" encoding="utf-8"?>
<ds:datastoreItem xmlns:ds="http://schemas.openxmlformats.org/officeDocument/2006/customXml" ds:itemID="{BB9B0CD2-FC44-4D8E-B744-377CDD47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FA745-3060-4CA0-A15F-AB4899A6A3CB}">
  <ds:schemaRefs>
    <ds:schemaRef ds:uri="http://purl.org/dc/terms/"/>
    <ds:schemaRef ds:uri="http://schemas.microsoft.com/office/2006/documentManagement/types"/>
    <ds:schemaRef ds:uri="ce530a30-1469-477c-a42f-e412a5d2cfe7"/>
    <ds:schemaRef ds:uri="http://purl.org/dc/elements/1.1/"/>
    <ds:schemaRef ds:uri="http://schemas.microsoft.com/office/2006/metadata/properties"/>
    <ds:schemaRef ds:uri="d0dfa800-9ef0-44cb-8a12-633e29de1e0b"/>
    <ds:schemaRef ds:uri="http://schemas.microsoft.com/office/infopath/2007/PartnerControls"/>
    <ds:schemaRef ds:uri="e771ab56-0c5d-40e7-b080-2686d2b89623"/>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49FA1A5-1548-44F7-8659-252741E049C1}">
  <ds:schemaRefs>
    <ds:schemaRef ds:uri="http://schemas.microsoft.com/sharepoint/v3/contenttype/forms"/>
  </ds:schemaRefs>
</ds:datastoreItem>
</file>

<file path=customXml/itemProps5.xml><?xml version="1.0" encoding="utf-8"?>
<ds:datastoreItem xmlns:ds="http://schemas.openxmlformats.org/officeDocument/2006/customXml" ds:itemID="{38A2AF25-EBE0-404B-AA19-207CC461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10979</Characters>
  <Application>Microsoft Office Word</Application>
  <DocSecurity>0</DocSecurity>
  <Lines>238</Lines>
  <Paragraphs>92</Paragraphs>
  <ScaleCrop>false</ScaleCrop>
  <HeadingPairs>
    <vt:vector size="2" baseType="variant">
      <vt:variant>
        <vt:lpstr>Title</vt:lpstr>
      </vt:variant>
      <vt:variant>
        <vt:i4>1</vt:i4>
      </vt:variant>
    </vt:vector>
  </HeadingPairs>
  <TitlesOfParts>
    <vt:vector size="1" baseType="lpstr">
      <vt:lpstr>Response to the Senate Finance and Public Administration Legislation Committee Report on the Net Zero Economy Authority Bill 2024 [Provisions] and the Net Zero Economy Authority (Transitional Provisions) Bill 2024 [Provisions]</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Senate Finance and Public Administration Legislation Committee Report on the Net Zero Economy Authority Bill 2024 [Provisions] and the Net Zero Economy Authority (Transitional Provisions) Bill 2024 [Provisions]</dc:title>
  <dc:subject/>
  <dc:creator/>
  <cp:keywords/>
  <dc:description/>
  <cp:lastModifiedBy/>
  <dcterms:created xsi:type="dcterms:W3CDTF">2024-11-18T03:13:00Z</dcterms:created>
  <dcterms:modified xsi:type="dcterms:W3CDTF">2024-11-18T03:29:00Z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ESearchTags">
    <vt:lpwstr/>
  </property>
  <property fmtid="{D5CDD505-2E9C-101B-9397-08002B2CF9AE}" pid="4" name="HPRMSecurityLevel">
    <vt:lpwstr>1;#OFFICIAL|11463c70-78df-4e3b-b0ff-f66cd3cb26ec</vt:lpwstr>
  </property>
  <property fmtid="{D5CDD505-2E9C-101B-9397-08002B2CF9AE}" pid="5" name="HPRMSecurityCaveat">
    <vt:lpwstr/>
  </property>
  <property fmtid="{D5CDD505-2E9C-101B-9397-08002B2CF9AE}" pid="6" name="PMC.ESearch.TagGeneratedTime">
    <vt:lpwstr>2022-10-10T10:33:33</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SecurityClassification">
    <vt:lpwstr>4;#OFFICIAL|9e0ec9cb-4e7f-4d4a-bd32-1ee7525c6d87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c9442511-3af7-4001-93c8-5292ff851825</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_dlc_DocIdItemGuid">
    <vt:lpwstr>5c95bb08-fe22-49ec-9863-08b6bdb4aa74</vt:lpwstr>
  </property>
  <property fmtid="{D5CDD505-2E9C-101B-9397-08002B2CF9AE}" pid="22" name="MediaServiceImageTags">
    <vt:lpwstr/>
  </property>
</Properties>
</file>