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bookmarkStart w:id="0" w:name="_Toc364154291"/>
    <w:bookmarkStart w:id="1" w:name="_Toc364216907"/>
    <w:bookmarkStart w:id="2" w:name="_GoBack"/>
    <w:bookmarkEnd w:id="2"/>
    <w:p w14:paraId="6C62E08D" w14:textId="77777777" w:rsidR="00AC4EB1" w:rsidRPr="00E44EA0" w:rsidRDefault="00AC4EB1" w:rsidP="00AC4EB1">
      <w:pPr>
        <w:spacing w:before="400"/>
        <w:jc w:val="center"/>
      </w:pPr>
      <w:r w:rsidRPr="00E44EA0">
        <w:rPr>
          <w:noProof/>
          <w:lang w:eastAsia="en-AU"/>
        </w:rPr>
        <mc:AlternateContent>
          <mc:Choice Requires="wps">
            <w:drawing>
              <wp:anchor distT="0" distB="0" distL="114300" distR="114300" simplePos="0" relativeHeight="251658241" behindDoc="1" locked="0" layoutInCell="1" allowOverlap="1" wp14:anchorId="721C7DF3" wp14:editId="4A18C3D2">
                <wp:simplePos x="0" y="0"/>
                <wp:positionH relativeFrom="column">
                  <wp:posOffset>-339614</wp:posOffset>
                </wp:positionH>
                <wp:positionV relativeFrom="paragraph">
                  <wp:posOffset>-593725</wp:posOffset>
                </wp:positionV>
                <wp:extent cx="6829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829425" cy="9963150"/>
                        </a:xfrm>
                        <a:prstGeom prst="rect">
                          <a:avLst/>
                        </a:prstGeom>
                        <a:no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7D0F7" id="Rectangle 3" o:spid="_x0000_s1026" style="position:absolute;margin-left:-26.75pt;margin-top:-46.75pt;width:537.75pt;height:78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" filled="f" strokecolor="white" strokeweight="2pt"/>
            </w:pict>
          </mc:Fallback>
        </mc:AlternateContent>
      </w:r>
      <w:r w:rsidRPr="00E44EA0">
        <w:rPr>
          <w:noProof/>
          <w:lang w:eastAsia="en-AU"/>
        </w:rPr>
        <mc:AlternateContent>
          <mc:Choice Requires="wps">
            <w:drawing>
              <wp:anchor distT="0" distB="0" distL="114300" distR="114300" simplePos="0" relativeHeight="251658240" behindDoc="1" locked="0" layoutInCell="1" allowOverlap="1" wp14:anchorId="331D2289" wp14:editId="7FC2B40A">
                <wp:simplePos x="0" y="0"/>
                <wp:positionH relativeFrom="column">
                  <wp:posOffset>-897835</wp:posOffset>
                </wp:positionH>
                <wp:positionV relativeFrom="paragraph">
                  <wp:posOffset>-1020417</wp:posOffset>
                </wp:positionV>
                <wp:extent cx="7786343" cy="10861233"/>
                <wp:effectExtent l="0" t="0" r="24765" b="16510"/>
                <wp:wrapNone/>
                <wp:docPr id="2" name="Rectangle 2"/>
                <wp:cNvGraphicFramePr/>
                <a:graphic xmlns:a="http://schemas.openxmlformats.org/drawingml/2006/main">
                  <a:graphicData uri="http://schemas.microsoft.com/office/word/2010/wordprocessingShape">
                    <wps:wsp>
                      <wps:cNvSpPr/>
                      <wps:spPr>
                        <a:xfrm>
                          <a:off x="0" y="0"/>
                          <a:ext cx="7786343" cy="10861233"/>
                        </a:xfrm>
                        <a:prstGeom prst="rect">
                          <a:avLst/>
                        </a:prstGeom>
                        <a:solidFill>
                          <a:srgbClr val="1B2A38"/>
                        </a:solidFill>
                        <a:ln>
                          <a:solidFill>
                            <a:srgbClr val="1B2A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A36A2" id="Rectangle 2" o:spid="_x0000_s1026" style="position:absolute;margin-left:-70.7pt;margin-top:-80.35pt;width:613.1pt;height:8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" fillcolor="#1b2a38" strokecolor="#1b2a38" strokeweight="2pt"/>
            </w:pict>
          </mc:Fallback>
        </mc:AlternateContent>
      </w:r>
      <w:r w:rsidR="003C36A6">
        <w:rPr>
          <w:noProof/>
          <w:lang w:eastAsia="en-AU"/>
        </w:rPr>
        <w:drawing>
          <wp:inline distT="0" distB="0" distL="0" distR="0" wp14:anchorId="6B81CE67" wp14:editId="6DD83F79">
            <wp:extent cx="3732903" cy="1431225"/>
            <wp:effectExtent l="0" t="0" r="1270" b="0"/>
            <wp:docPr id="4" name="Picture 4"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amp;C_stacked_strip_transparent - white.gif"/>
                    <pic:cNvPicPr/>
                  </pic:nvPicPr>
                  <pic:blipFill>
                    <a:blip r:embed="rId12">
                      <a:extLst>
                        <a:ext uri="{28A0092B-C50C-407E-A947-70E740481C1C}">
                          <a14:useLocalDpi xmlns:a14="http://schemas.microsoft.com/office/drawing/2010/main" val="0"/>
                        </a:ext>
                      </a:extLst>
                    </a:blip>
                    <a:stretch>
                      <a:fillRect/>
                    </a:stretch>
                  </pic:blipFill>
                  <pic:spPr>
                    <a:xfrm>
                      <a:off x="0" y="0"/>
                      <a:ext cx="3746401" cy="1436400"/>
                    </a:xfrm>
                    <a:prstGeom prst="rect">
                      <a:avLst/>
                    </a:prstGeom>
                  </pic:spPr>
                </pic:pic>
              </a:graphicData>
            </a:graphic>
          </wp:inline>
        </w:drawing>
      </w:r>
    </w:p>
    <w:p w14:paraId="284D7AE8" w14:textId="77777777" w:rsidR="00AC4EB1" w:rsidRPr="00E44EA0" w:rsidRDefault="00AC4EB1" w:rsidP="00AC4EB1">
      <w:pPr>
        <w:pStyle w:val="Title"/>
        <w:spacing w:before="4000" w:after="4320"/>
        <w:rPr>
          <w:b/>
          <w:color w:val="FFFFFF"/>
          <w:sz w:val="80"/>
          <w:szCs w:val="80"/>
        </w:rPr>
      </w:pPr>
      <w:r w:rsidRPr="00E44EA0">
        <w:rPr>
          <w:b/>
          <w:color w:val="FFFFFF"/>
          <w:sz w:val="80"/>
          <w:szCs w:val="80"/>
        </w:rPr>
        <w:t>TABLING</w:t>
      </w:r>
      <w:r w:rsidRPr="00E44EA0">
        <w:rPr>
          <w:b/>
          <w:color w:val="FFFFFF"/>
          <w:sz w:val="80"/>
          <w:szCs w:val="80"/>
        </w:rPr>
        <w:br/>
      </w:r>
      <w:bookmarkEnd w:id="0"/>
      <w:bookmarkEnd w:id="1"/>
      <w:r w:rsidRPr="00E44EA0">
        <w:rPr>
          <w:b/>
          <w:color w:val="FFFFFF"/>
          <w:sz w:val="80"/>
          <w:szCs w:val="80"/>
        </w:rPr>
        <w:t>GUIDELINES</w:t>
      </w:r>
    </w:p>
    <w:p w14:paraId="3F70EF85" w14:textId="77777777" w:rsidR="00AC4EB1" w:rsidRPr="00E44EA0" w:rsidRDefault="00AC4EB1" w:rsidP="00AC4EB1">
      <w:pPr>
        <w:spacing w:before="480" w:after="120"/>
        <w:jc w:val="center"/>
        <w:rPr>
          <w:color w:val="FFFFFF"/>
          <w:sz w:val="20"/>
          <w:szCs w:val="20"/>
        </w:rPr>
      </w:pPr>
      <w:r w:rsidRPr="00E44EA0">
        <w:rPr>
          <w:color w:val="FFFFFF"/>
          <w:sz w:val="20"/>
          <w:szCs w:val="20"/>
        </w:rPr>
        <w:t>Department of the Prime Minister and Cabinet</w:t>
      </w:r>
    </w:p>
    <w:p w14:paraId="6AA1A7F7" w14:textId="77777777" w:rsidR="00AC4EB1" w:rsidRDefault="00AC4EB1" w:rsidP="00AC4EB1">
      <w:pPr>
        <w:spacing w:after="120"/>
        <w:jc w:val="center"/>
        <w:rPr>
          <w:color w:val="FFFFFF"/>
          <w:sz w:val="20"/>
          <w:szCs w:val="20"/>
        </w:rPr>
      </w:pPr>
      <w:r w:rsidRPr="00E44EA0">
        <w:rPr>
          <w:color w:val="FFFFFF"/>
          <w:sz w:val="20"/>
          <w:szCs w:val="20"/>
        </w:rPr>
        <w:t>Canberra</w:t>
      </w:r>
    </w:p>
    <w:p w14:paraId="56B5A916" w14:textId="77777777" w:rsidR="00A84A21" w:rsidRPr="00E44EA0" w:rsidRDefault="0039132C" w:rsidP="00AC4EB1">
      <w:pPr>
        <w:spacing w:after="120"/>
        <w:jc w:val="center"/>
        <w:rPr>
          <w:color w:val="FFFFFF"/>
          <w:sz w:val="20"/>
          <w:szCs w:val="20"/>
        </w:rPr>
      </w:pPr>
      <w:r>
        <w:rPr>
          <w:color w:val="FFFFFF"/>
          <w:sz w:val="20"/>
          <w:szCs w:val="20"/>
        </w:rPr>
        <w:t>July 2024</w:t>
      </w:r>
    </w:p>
    <w:p w14:paraId="1224A296" w14:textId="77777777" w:rsidR="00AC4EB1" w:rsidRPr="00E44EA0" w:rsidRDefault="00AC4EB1" w:rsidP="00AC4EB1">
      <w:pPr>
        <w:spacing w:after="120"/>
        <w:jc w:val="center"/>
        <w:rPr>
          <w:color w:val="FFFFFF"/>
          <w:sz w:val="20"/>
          <w:szCs w:val="20"/>
        </w:rPr>
      </w:pPr>
    </w:p>
    <w:p w14:paraId="227E160E" w14:textId="77777777" w:rsidR="007D0D39" w:rsidRDefault="00842864" w:rsidP="007D0D39">
      <w:pPr>
        <w:tabs>
          <w:tab w:val="left" w:pos="851"/>
          <w:tab w:val="left" w:pos="1701"/>
          <w:tab w:val="left" w:pos="2268"/>
          <w:tab w:val="left" w:pos="2552"/>
        </w:tabs>
        <w:jc w:val="center"/>
      </w:pPr>
      <w:r>
        <w:rPr>
          <w:color w:val="FFFFFF"/>
          <w:sz w:val="20"/>
          <w:szCs w:val="20"/>
        </w:rPr>
        <w:t>October</w:t>
      </w:r>
      <w:r w:rsidR="00E143E3" w:rsidRPr="00455E0D">
        <w:rPr>
          <w:color w:val="FFFFFF"/>
          <w:sz w:val="20"/>
          <w:szCs w:val="20"/>
        </w:rPr>
        <w:t xml:space="preserve"> 2022</w:t>
      </w:r>
    </w:p>
    <w:p w14:paraId="5A20EE73" w14:textId="77777777" w:rsidR="00AC4EB1" w:rsidRPr="00E44EA0" w:rsidRDefault="00233AF7" w:rsidP="007D0D39">
      <w:pPr>
        <w:tabs>
          <w:tab w:val="left" w:pos="851"/>
          <w:tab w:val="left" w:pos="1701"/>
          <w:tab w:val="left" w:pos="2268"/>
          <w:tab w:val="left" w:pos="2552"/>
        </w:tabs>
      </w:pPr>
      <w:r w:rsidRPr="00E44EA0">
        <w:t>Tabling Guidelines</w:t>
      </w:r>
    </w:p>
    <w:p w14:paraId="3C68AA0A" w14:textId="77777777" w:rsidR="00AC4EB1" w:rsidRPr="00E44EA0" w:rsidRDefault="00AC4EB1" w:rsidP="00AC4EB1">
      <w:pPr>
        <w:rPr>
          <w:lang w:val="en-US"/>
        </w:rPr>
      </w:pPr>
      <w:r w:rsidRPr="00E44EA0">
        <w:rPr>
          <w:lang w:val="en-US"/>
        </w:rPr>
        <w:t xml:space="preserve">© </w:t>
      </w:r>
      <w:r w:rsidRPr="0027131F">
        <w:rPr>
          <w:lang w:val="en-US"/>
        </w:rPr>
        <w:t xml:space="preserve">Commonwealth of Australia </w:t>
      </w:r>
      <w:r w:rsidR="0027131F" w:rsidRPr="0027131F">
        <w:rPr>
          <w:lang w:val="en-US"/>
        </w:rPr>
        <w:t>202</w:t>
      </w:r>
      <w:r w:rsidR="00D16C02">
        <w:rPr>
          <w:lang w:val="en-US"/>
        </w:rPr>
        <w:t>4</w:t>
      </w:r>
    </w:p>
    <w:p w14:paraId="16500991" w14:textId="77777777" w:rsidR="00AC4EB1" w:rsidRPr="00E44EA0" w:rsidRDefault="00AC4EB1" w:rsidP="00727E41">
      <w:pPr>
        <w:rPr>
          <w:lang w:val="en-US"/>
        </w:rPr>
      </w:pPr>
      <w:r w:rsidRPr="00E44EA0">
        <w:rPr>
          <w:lang w:val="en-US"/>
        </w:rPr>
        <w:t>ISBN</w:t>
      </w:r>
      <w:r w:rsidRPr="00E44EA0">
        <w:rPr>
          <w:lang w:val="en-US"/>
        </w:rPr>
        <w:tab/>
      </w:r>
      <w:r w:rsidR="00233AF7" w:rsidRPr="00E44EA0">
        <w:rPr>
          <w:lang w:eastAsia="en-AU"/>
        </w:rPr>
        <w:t>978-1-925363-95-1</w:t>
      </w:r>
      <w:r w:rsidR="00DE73C4" w:rsidRPr="00E44EA0">
        <w:rPr>
          <w:lang w:val="en-US"/>
        </w:rPr>
        <w:tab/>
      </w:r>
      <w:r w:rsidRPr="00E44EA0">
        <w:rPr>
          <w:lang w:val="en-US"/>
        </w:rPr>
        <w:t xml:space="preserve">Tabling Guidelines </w:t>
      </w:r>
      <w:r w:rsidRPr="00E44EA0">
        <w:t>(</w:t>
      </w:r>
      <w:r w:rsidR="00233AF7" w:rsidRPr="00E44EA0">
        <w:t>online)</w:t>
      </w:r>
    </w:p>
    <w:p w14:paraId="178BC18A" w14:textId="77777777" w:rsidR="00233AF7" w:rsidRPr="00E44EA0" w:rsidRDefault="00233AF7" w:rsidP="00AC4EB1">
      <w:pPr>
        <w:rPr>
          <w:rStyle w:val="Strong"/>
          <w:rFonts w:cs="Arial"/>
          <w:color w:val="2C2B2B"/>
          <w:szCs w:val="18"/>
          <w:lang w:val="en-US"/>
        </w:rPr>
      </w:pPr>
      <w:r w:rsidRPr="00E44EA0">
        <w:rPr>
          <w:rStyle w:val="Strong"/>
          <w:rFonts w:cs="Arial"/>
          <w:color w:val="2C2B2B"/>
          <w:szCs w:val="18"/>
          <w:lang w:val="en-US"/>
        </w:rPr>
        <w:t>Copyright Notice</w:t>
      </w:r>
    </w:p>
    <w:p w14:paraId="678C9802" w14:textId="77777777" w:rsidR="00233AF7" w:rsidRPr="00E44EA0" w:rsidRDefault="00233AF7" w:rsidP="00AC4EB1">
      <w:pPr>
        <w:rPr>
          <w:lang w:val="en-US"/>
        </w:rPr>
      </w:pPr>
      <w:r w:rsidRPr="00E44EA0">
        <w:rPr>
          <w:rFonts w:cs="Arial"/>
          <w:color w:val="2C2B2B"/>
          <w:szCs w:val="18"/>
          <w:lang w:val="en-US"/>
        </w:rPr>
        <w:t xml:space="preserve">With the exception of the Commonwealth Coat of Arms, this work is licensed under a Creative Commons Attribution 4.0 International licence (CC BY 4.0)( </w:t>
      </w:r>
      <w:hyperlink r:id="rId13" w:history="1">
        <w:r w:rsidRPr="00E44EA0">
          <w:rPr>
            <w:rStyle w:val="Hyperlink"/>
            <w:rFonts w:cs="Arial"/>
            <w:szCs w:val="18"/>
            <w:lang w:val="en-US"/>
          </w:rPr>
          <w:t>https://creativecommons.org/licenses/by/4.0/</w:t>
        </w:r>
      </w:hyperlink>
      <w:r w:rsidRPr="00E44EA0">
        <w:rPr>
          <w:rFonts w:cs="Arial"/>
          <w:color w:val="2C2B2B"/>
          <w:szCs w:val="18"/>
          <w:lang w:val="en-US"/>
        </w:rPr>
        <w:t xml:space="preserve"> ).</w:t>
      </w:r>
    </w:p>
    <w:p w14:paraId="17B06C81" w14:textId="77777777" w:rsidR="00AC4EB1" w:rsidRPr="00E44EA0" w:rsidRDefault="00AC4EB1" w:rsidP="00AC4EB1">
      <w:pPr>
        <w:rPr>
          <w:lang w:val="en-US"/>
        </w:rPr>
      </w:pPr>
      <w:r w:rsidRPr="00E44EA0">
        <w:rPr>
          <w:noProof/>
          <w:lang w:eastAsia="en-AU"/>
        </w:rPr>
        <w:drawing>
          <wp:inline distT="0" distB="0" distL="0" distR="0" wp14:anchorId="1C08011E" wp14:editId="7A1F8E9F">
            <wp:extent cx="1038860" cy="353060"/>
            <wp:effectExtent l="0" t="0" r="8890" b="8890"/>
            <wp:docPr id="1" name="Picture 1" descr="ccb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860" cy="353060"/>
                    </a:xfrm>
                    <a:prstGeom prst="rect">
                      <a:avLst/>
                    </a:prstGeom>
                    <a:noFill/>
                    <a:ln>
                      <a:noFill/>
                    </a:ln>
                  </pic:spPr>
                </pic:pic>
              </a:graphicData>
            </a:graphic>
          </wp:inline>
        </w:drawing>
      </w:r>
    </w:p>
    <w:p w14:paraId="663F5A4A" w14:textId="77777777" w:rsidR="00AC4EB1" w:rsidRPr="00E44EA0" w:rsidRDefault="00AC4EB1" w:rsidP="00AC4EB1">
      <w:pPr>
        <w:rPr>
          <w:lang w:val="en-US"/>
        </w:rPr>
      </w:pPr>
      <w:r w:rsidRPr="00E44EA0">
        <w:rPr>
          <w:b/>
          <w:bCs/>
          <w:lang w:val="en-US"/>
        </w:rPr>
        <w:t>Third party copyright</w:t>
      </w:r>
      <w:r w:rsidRPr="00E44EA0">
        <w:rPr>
          <w:b/>
          <w:bCs/>
          <w:lang w:val="en-US"/>
        </w:rPr>
        <w:br/>
      </w:r>
      <w:r w:rsidRPr="00E44EA0">
        <w:rPr>
          <w:lang w:val="en-US"/>
        </w:rPr>
        <w:t>Wherever a third party holds copyright in this material, the copyright remains with that party. Their permission may be required to use the material. Please contact them directly.</w:t>
      </w:r>
    </w:p>
    <w:p w14:paraId="2777C963" w14:textId="77777777" w:rsidR="00AC4EB1" w:rsidRPr="00E44EA0" w:rsidRDefault="00AC4EB1" w:rsidP="00AC4EB1">
      <w:pPr>
        <w:rPr>
          <w:lang w:val="en-US"/>
        </w:rPr>
      </w:pPr>
      <w:r w:rsidRPr="00E44EA0">
        <w:rPr>
          <w:b/>
          <w:bCs/>
          <w:lang w:val="en-US"/>
        </w:rPr>
        <w:t>Attribution</w:t>
      </w:r>
      <w:r w:rsidRPr="00E44EA0">
        <w:rPr>
          <w:b/>
          <w:bCs/>
          <w:lang w:val="en-US"/>
        </w:rPr>
        <w:br/>
      </w:r>
      <w:r w:rsidRPr="00E44EA0">
        <w:rPr>
          <w:lang w:val="en-US"/>
        </w:rPr>
        <w:t xml:space="preserve">This publication should be attributed as follows: Commonwealth of Australia, Department of the </w:t>
      </w:r>
      <w:r w:rsidR="00233AF7" w:rsidRPr="00E44EA0">
        <w:rPr>
          <w:lang w:val="en-US"/>
        </w:rPr>
        <w:br/>
      </w:r>
      <w:r w:rsidRPr="00E44EA0">
        <w:rPr>
          <w:lang w:val="en-US"/>
        </w:rPr>
        <w:t>Prime Minister and Cabinet,</w:t>
      </w:r>
      <w:r w:rsidRPr="00E44EA0">
        <w:rPr>
          <w:i/>
          <w:iCs/>
          <w:lang w:val="en-US"/>
        </w:rPr>
        <w:t xml:space="preserve"> </w:t>
      </w:r>
      <w:r w:rsidRPr="00E44EA0">
        <w:rPr>
          <w:i/>
          <w:lang w:val="en-US"/>
        </w:rPr>
        <w:t>Tabling Guidelines</w:t>
      </w:r>
    </w:p>
    <w:p w14:paraId="3975A226" w14:textId="77777777" w:rsidR="00AC4EB1" w:rsidRPr="00E44EA0" w:rsidRDefault="00AC4EB1" w:rsidP="00AC4EB1">
      <w:pPr>
        <w:rPr>
          <w:lang w:val="en-US"/>
        </w:rPr>
      </w:pPr>
      <w:r w:rsidRPr="00E44EA0">
        <w:rPr>
          <w:b/>
          <w:bCs/>
          <w:lang w:val="en-US"/>
        </w:rPr>
        <w:t>Use of the Coat of Arms</w:t>
      </w:r>
      <w:r w:rsidRPr="00E44EA0">
        <w:rPr>
          <w:b/>
          <w:bCs/>
          <w:lang w:val="en-US"/>
        </w:rPr>
        <w:br/>
      </w:r>
      <w:r w:rsidRPr="00E44EA0">
        <w:rPr>
          <w:lang w:val="en-US"/>
        </w:rPr>
        <w:t xml:space="preserve">The terms under which the Coat of Arms can be used are detailed on the following website: </w:t>
      </w:r>
      <w:hyperlink r:id="rId16" w:history="1">
        <w:r w:rsidR="00233AF7" w:rsidRPr="00E44EA0">
          <w:rPr>
            <w:rStyle w:val="Hyperlink"/>
            <w:rFonts w:cs="Arial"/>
            <w:szCs w:val="18"/>
            <w:lang w:val="en-US"/>
          </w:rPr>
          <w:t>https://www.pmc.gov.au/government/commonwealth-coat-arms</w:t>
        </w:r>
      </w:hyperlink>
    </w:p>
    <w:p w14:paraId="70DA54B5" w14:textId="77777777" w:rsidR="00AC4EB1" w:rsidRPr="00E44EA0" w:rsidRDefault="00AC4EB1" w:rsidP="00AC4EB1">
      <w:pPr>
        <w:rPr>
          <w:lang w:val="en-US"/>
        </w:rPr>
      </w:pPr>
      <w:r w:rsidRPr="00E44EA0">
        <w:rPr>
          <w:b/>
          <w:bCs/>
          <w:lang w:val="en-US"/>
        </w:rPr>
        <w:t>Other uses</w:t>
      </w:r>
      <w:r w:rsidRPr="00E44EA0">
        <w:rPr>
          <w:b/>
          <w:bCs/>
          <w:lang w:val="en-US"/>
        </w:rPr>
        <w:br/>
      </w:r>
      <w:r w:rsidR="001D2C84" w:rsidRPr="00E44EA0">
        <w:rPr>
          <w:lang w:val="en-US"/>
        </w:rPr>
        <w:t>Enquiries regarding this document are welcome at:</w:t>
      </w:r>
    </w:p>
    <w:p w14:paraId="02F099D8" w14:textId="77777777" w:rsidR="00AC4EB1" w:rsidRPr="00E44EA0" w:rsidRDefault="00AC4EB1" w:rsidP="00AC4EB1">
      <w:pPr>
        <w:ind w:left="432"/>
        <w:rPr>
          <w:lang w:val="en-US"/>
        </w:rPr>
      </w:pPr>
      <w:r w:rsidRPr="00E44EA0">
        <w:rPr>
          <w:lang w:val="en-US"/>
        </w:rPr>
        <w:t>Department of the Prime Minister and Cabinet</w:t>
      </w:r>
      <w:r w:rsidRPr="00E44EA0">
        <w:rPr>
          <w:lang w:val="en-US"/>
        </w:rPr>
        <w:br/>
        <w:t>PO Box 6500</w:t>
      </w:r>
      <w:r w:rsidRPr="00E44EA0">
        <w:rPr>
          <w:lang w:val="en-US"/>
        </w:rPr>
        <w:br/>
        <w:t>CANBERRA ACT 2600</w:t>
      </w:r>
      <w:r w:rsidRPr="00E44EA0">
        <w:rPr>
          <w:lang w:val="en-US"/>
        </w:rPr>
        <w:br/>
        <w:t>Australia</w:t>
      </w:r>
      <w:r w:rsidRPr="00E44EA0">
        <w:rPr>
          <w:lang w:val="en-US"/>
        </w:rPr>
        <w:br/>
        <w:t>(02) 6271 5111</w:t>
      </w:r>
    </w:p>
    <w:p w14:paraId="634AB122" w14:textId="77777777" w:rsidR="001D2C84" w:rsidRPr="00E44EA0" w:rsidRDefault="001D2C84" w:rsidP="001D2C84">
      <w:pPr>
        <w:autoSpaceDE/>
        <w:autoSpaceDN/>
        <w:spacing w:before="240" w:after="0" w:line="240" w:lineRule="auto"/>
        <w:rPr>
          <w:lang w:val="en-US"/>
        </w:rPr>
        <w:sectPr w:rsidR="001D2C84" w:rsidRPr="00E44EA0" w:rsidSect="00E3441C">
          <w:pgSz w:w="11906" w:h="16838"/>
          <w:pgMar w:top="1440" w:right="1080" w:bottom="1440" w:left="1080" w:header="567" w:footer="170" w:gutter="0"/>
          <w:pgNumType w:fmt="lowerRoman" w:start="2"/>
          <w:cols w:space="708"/>
          <w:docGrid w:linePitch="360"/>
        </w:sectPr>
      </w:pPr>
      <w:r w:rsidRPr="00E44EA0">
        <w:rPr>
          <w:b/>
          <w:lang w:val="en-US"/>
        </w:rPr>
        <w:t>Appendixes and templates</w:t>
      </w:r>
      <w:r w:rsidRPr="00E44EA0">
        <w:rPr>
          <w:b/>
          <w:lang w:val="en-US"/>
        </w:rPr>
        <w:br/>
      </w:r>
      <w:r w:rsidRPr="00E44EA0">
        <w:rPr>
          <w:lang w:val="en-US"/>
        </w:rPr>
        <w:t>Th</w:t>
      </w:r>
      <w:r w:rsidR="007F1383" w:rsidRPr="00E44EA0">
        <w:rPr>
          <w:lang w:val="en-US"/>
        </w:rPr>
        <w:t>e appendixes referred to in the Tabling Guidelines</w:t>
      </w:r>
      <w:r w:rsidRPr="00E44EA0">
        <w:rPr>
          <w:lang w:val="en-US"/>
        </w:rPr>
        <w:t xml:space="preserve"> contain information such as te</w:t>
      </w:r>
      <w:r w:rsidR="00727E41" w:rsidRPr="00E44EA0">
        <w:rPr>
          <w:lang w:val="en-US"/>
        </w:rPr>
        <w:t>mplates</w:t>
      </w:r>
      <w:r w:rsidR="007F1383" w:rsidRPr="00E44EA0">
        <w:rPr>
          <w:lang w:val="en-US"/>
        </w:rPr>
        <w:t xml:space="preserve">, </w:t>
      </w:r>
      <w:r w:rsidR="00727E41" w:rsidRPr="00E44EA0">
        <w:rPr>
          <w:lang w:val="en-US"/>
        </w:rPr>
        <w:t>checklists</w:t>
      </w:r>
      <w:r w:rsidR="007F1383" w:rsidRPr="00E44EA0">
        <w:rPr>
          <w:lang w:val="en-US"/>
        </w:rPr>
        <w:t xml:space="preserve"> and maps</w:t>
      </w:r>
      <w:r w:rsidRPr="00E44EA0">
        <w:rPr>
          <w:lang w:val="en-US"/>
        </w:rPr>
        <w:t xml:space="preserve">. The appendixes are available for download as separate documents on the </w:t>
      </w:r>
      <w:hyperlink r:id="rId17" w:history="1">
        <w:r w:rsidRPr="00E44EA0">
          <w:rPr>
            <w:rStyle w:val="Hyperlink"/>
          </w:rPr>
          <w:t>Department of the Prime Minister and Cabinet (PM&amp;C) website</w:t>
        </w:r>
      </w:hyperlink>
      <w:r w:rsidRPr="00E44EA0">
        <w:rPr>
          <w:lang w:val="en-US"/>
        </w:rPr>
        <w:t xml:space="preserve">. </w:t>
      </w:r>
      <w:r w:rsidR="00FA30EF" w:rsidRPr="00E44EA0">
        <w:rPr>
          <w:lang w:val="en-US"/>
        </w:rPr>
        <w:t xml:space="preserve"> The PM&amp;C Tabling Officer will update the appendixes as required.</w:t>
      </w:r>
    </w:p>
    <w:p w14:paraId="437A5200" w14:textId="77777777" w:rsidR="0073323D" w:rsidRPr="00E44EA0" w:rsidRDefault="00EE131B" w:rsidP="0073323D">
      <w:pPr>
        <w:pStyle w:val="Heading1"/>
      </w:pPr>
      <w:r w:rsidRPr="00E44EA0">
        <w:br w:type="column"/>
      </w:r>
      <w:r w:rsidR="002E6472" w:rsidRPr="00E44EA0">
        <w:lastRenderedPageBreak/>
        <w:t>OVERVIEW</w:t>
      </w:r>
    </w:p>
    <w:p w14:paraId="46A8A304" w14:textId="77777777" w:rsidR="001A1D15" w:rsidRPr="00E44EA0" w:rsidRDefault="00876779" w:rsidP="00D9532B">
      <w:pPr>
        <w:jc w:val="both"/>
      </w:pPr>
      <w:hyperlink w:anchor="Tabling" w:history="1">
        <w:r w:rsidR="00874D0D" w:rsidRPr="00E44EA0">
          <w:rPr>
            <w:rStyle w:val="Hyperlink"/>
          </w:rPr>
          <w:t>Tabling</w:t>
        </w:r>
      </w:hyperlink>
      <w:r w:rsidR="00874D0D" w:rsidRPr="00E44EA0">
        <w:t xml:space="preserve"> documents keeps the Parliament informed of the Government’s activities. It demonstrates the accountability of the Government to the Parliament and, through it, the community. Documents presented to the Parliament provide an important primary source of information to senators and members as well as placing information on the public record.</w:t>
      </w:r>
      <w:r w:rsidR="001A1D15" w:rsidRPr="00E44EA0">
        <w:t xml:space="preserve"> </w:t>
      </w:r>
    </w:p>
    <w:p w14:paraId="4E82A233" w14:textId="77777777" w:rsidR="0019711F" w:rsidRDefault="001A1D15" w:rsidP="00D9532B">
      <w:pPr>
        <w:jc w:val="both"/>
      </w:pPr>
      <w:r w:rsidRPr="00E44EA0">
        <w:t>The</w:t>
      </w:r>
      <w:r w:rsidR="0019711F">
        <w:t>se</w:t>
      </w:r>
      <w:r w:rsidR="0001033B" w:rsidRPr="00E44EA0">
        <w:t xml:space="preserve"> </w:t>
      </w:r>
      <w:r w:rsidR="0019711F" w:rsidRPr="0019711F">
        <w:t>Guidelines</w:t>
      </w:r>
      <w:r w:rsidR="00195047" w:rsidRPr="00E44EA0">
        <w:t>,</w:t>
      </w:r>
      <w:r w:rsidR="0019711F">
        <w:t xml:space="preserve"> together with tabling circulars,</w:t>
      </w:r>
      <w:r w:rsidRPr="00E44EA0">
        <w:rPr>
          <w:i/>
        </w:rPr>
        <w:t xml:space="preserve"> </w:t>
      </w:r>
      <w:r w:rsidRPr="00E44EA0">
        <w:t xml:space="preserve">provide guidance on the procedures associated with the presentation or tabling of certain documents in the Parliament. </w:t>
      </w:r>
    </w:p>
    <w:p w14:paraId="04955EE4" w14:textId="77777777" w:rsidR="000D392D" w:rsidRDefault="000D392D" w:rsidP="00D9532B">
      <w:pPr>
        <w:jc w:val="both"/>
      </w:pPr>
      <w:r>
        <w:t xml:space="preserve">The provision of hard copies </w:t>
      </w:r>
      <w:r w:rsidR="00C97C9F">
        <w:t xml:space="preserve">of documents presented </w:t>
      </w:r>
      <w:r>
        <w:t xml:space="preserve">to the Parliament remains an integral part of the tabling process. The Parliamentary Departments in consultation with the Department of the Prime Minister and Cabinet have developed a system to receive and publish tabled documents online.  All documents tabled in the Parliament also have to be uploaded in the Online Tabling of Documents system (OTD). Instructions on how to register for OTD are at Appendix </w:t>
      </w:r>
      <w:r w:rsidR="00EC663C">
        <w:t>F</w:t>
      </w:r>
      <w:r>
        <w:t xml:space="preserve">. </w:t>
      </w:r>
    </w:p>
    <w:p w14:paraId="7165F491" w14:textId="77777777" w:rsidR="001A1D15" w:rsidRDefault="001A1D15" w:rsidP="00D9532B">
      <w:pPr>
        <w:jc w:val="both"/>
      </w:pPr>
      <w:r w:rsidRPr="00E44EA0">
        <w:t>The</w:t>
      </w:r>
      <w:r w:rsidR="0019711F">
        <w:t xml:space="preserve"> Guidelines </w:t>
      </w:r>
      <w:r w:rsidRPr="00E44EA0">
        <w:t>do</w:t>
      </w:r>
      <w:r w:rsidR="0019711F">
        <w:t>n’t</w:t>
      </w:r>
      <w:r w:rsidRPr="00E44EA0">
        <w:t xml:space="preserve"> cover the presentation of petitions, committee/delegation reports, orders for the production of documents</w:t>
      </w:r>
      <w:r w:rsidR="00B8682A">
        <w:t>,</w:t>
      </w:r>
      <w:r w:rsidRPr="00E44EA0">
        <w:t xml:space="preserve"> or </w:t>
      </w:r>
      <w:r w:rsidR="00195047" w:rsidRPr="00E44EA0">
        <w:t xml:space="preserve">answers to </w:t>
      </w:r>
      <w:r w:rsidRPr="00E44EA0">
        <w:t>questions on notice.</w:t>
      </w:r>
      <w:r w:rsidR="0019711F">
        <w:t xml:space="preserve"> For advice on these documents, please contact </w:t>
      </w:r>
      <w:r w:rsidR="00397587">
        <w:t xml:space="preserve">the Senate or </w:t>
      </w:r>
      <w:r w:rsidR="004C2352">
        <w:t xml:space="preserve">House of Representatives (HoR) </w:t>
      </w:r>
      <w:r w:rsidR="00397587">
        <w:t>Table Office</w:t>
      </w:r>
      <w:r w:rsidR="00D9532B">
        <w:t>.</w:t>
      </w:r>
    </w:p>
    <w:p w14:paraId="6F64512A" w14:textId="77777777" w:rsidR="00370995" w:rsidRPr="00E44EA0" w:rsidRDefault="00370995" w:rsidP="00D9532B">
      <w:pPr>
        <w:jc w:val="both"/>
      </w:pPr>
    </w:p>
    <w:p w14:paraId="768AA713" w14:textId="77777777" w:rsidR="009D507D" w:rsidRPr="009D507D" w:rsidRDefault="009D507D" w:rsidP="009D507D">
      <w:pPr>
        <w:pStyle w:val="Heading2"/>
        <w:rPr>
          <w:b/>
          <w:color w:val="auto"/>
        </w:rPr>
      </w:pPr>
      <w:r w:rsidRPr="009D507D">
        <w:rPr>
          <w:b/>
          <w:color w:val="auto"/>
        </w:rPr>
        <w:t>Table of Content</w:t>
      </w:r>
      <w:r w:rsidR="000D392D">
        <w:rPr>
          <w:b/>
          <w:color w:val="auto"/>
        </w:rPr>
        <w:t>s</w:t>
      </w:r>
    </w:p>
    <w:p w14:paraId="4038769E" w14:textId="77777777" w:rsidR="009D507D" w:rsidRPr="009D507D" w:rsidRDefault="009D507D" w:rsidP="009D507D"/>
    <w:tbl>
      <w:tblPr>
        <w:tblStyle w:val="TableGrid"/>
        <w:tblW w:w="8364" w:type="dxa"/>
        <w:tblInd w:w="-5" w:type="dxa"/>
        <w:tblLayout w:type="fixed"/>
        <w:tblLook w:val="04A0" w:firstRow="1" w:lastRow="0" w:firstColumn="1" w:lastColumn="0" w:noHBand="0" w:noVBand="1"/>
      </w:tblPr>
      <w:tblGrid>
        <w:gridCol w:w="1701"/>
        <w:gridCol w:w="6663"/>
      </w:tblGrid>
      <w:tr w:rsidR="00E83854" w:rsidRPr="00E44EA0" w14:paraId="015BED86" w14:textId="77777777" w:rsidTr="00865A2D">
        <w:tc>
          <w:tcPr>
            <w:tcW w:w="1701" w:type="dxa"/>
            <w:shd w:val="clear" w:color="auto" w:fill="DBE5F1" w:themeFill="accent1" w:themeFillTint="33"/>
          </w:tcPr>
          <w:p w14:paraId="512B68D5" w14:textId="77777777" w:rsidR="00E83854" w:rsidRPr="00E44EA0" w:rsidRDefault="00E83854" w:rsidP="001A1D15">
            <w:pPr>
              <w:spacing w:before="60" w:after="60"/>
            </w:pPr>
            <w:r w:rsidRPr="00E44EA0">
              <w:t>Chapter 1</w:t>
            </w:r>
          </w:p>
        </w:tc>
        <w:tc>
          <w:tcPr>
            <w:tcW w:w="6663" w:type="dxa"/>
          </w:tcPr>
          <w:p w14:paraId="0961A0A1" w14:textId="77777777" w:rsidR="00E83854" w:rsidRPr="00E44EA0" w:rsidRDefault="00876779" w:rsidP="001A1D15">
            <w:pPr>
              <w:spacing w:before="60" w:after="60"/>
            </w:pPr>
            <w:hyperlink w:anchor="_TABLING_PRINCIPLES" w:history="1">
              <w:r w:rsidR="00E83854" w:rsidRPr="00E44EA0">
                <w:rPr>
                  <w:rStyle w:val="Hyperlink"/>
                </w:rPr>
                <w:t>Tabling Principles</w:t>
              </w:r>
            </w:hyperlink>
          </w:p>
        </w:tc>
      </w:tr>
      <w:tr w:rsidR="00E83854" w:rsidRPr="00E44EA0" w14:paraId="40841173" w14:textId="77777777" w:rsidTr="00865A2D">
        <w:tc>
          <w:tcPr>
            <w:tcW w:w="1701" w:type="dxa"/>
            <w:shd w:val="clear" w:color="auto" w:fill="DBE5F1" w:themeFill="accent1" w:themeFillTint="33"/>
          </w:tcPr>
          <w:p w14:paraId="3EB3E786" w14:textId="77777777" w:rsidR="00E83854" w:rsidRPr="00E44EA0" w:rsidRDefault="00E83854" w:rsidP="001A1D15">
            <w:pPr>
              <w:spacing w:before="60" w:after="60"/>
            </w:pPr>
            <w:r w:rsidRPr="00E44EA0">
              <w:t>Chapter 2</w:t>
            </w:r>
          </w:p>
        </w:tc>
        <w:tc>
          <w:tcPr>
            <w:tcW w:w="6663" w:type="dxa"/>
          </w:tcPr>
          <w:p w14:paraId="16C5E237" w14:textId="77777777" w:rsidR="00E83854" w:rsidRPr="00E44EA0" w:rsidRDefault="00876779" w:rsidP="001A1D15">
            <w:pPr>
              <w:spacing w:before="60" w:after="60"/>
            </w:pPr>
            <w:hyperlink w:anchor="_GOVERNMENT_DOCUMENTs" w:history="1">
              <w:r w:rsidR="00E83854" w:rsidRPr="00E44EA0">
                <w:rPr>
                  <w:rStyle w:val="Hyperlink"/>
                </w:rPr>
                <w:t>Government documents</w:t>
              </w:r>
            </w:hyperlink>
          </w:p>
        </w:tc>
      </w:tr>
      <w:tr w:rsidR="00E83854" w:rsidRPr="00E44EA0" w14:paraId="36FCED1C" w14:textId="77777777" w:rsidTr="00865A2D">
        <w:tc>
          <w:tcPr>
            <w:tcW w:w="1701" w:type="dxa"/>
            <w:shd w:val="clear" w:color="auto" w:fill="DBE5F1" w:themeFill="accent1" w:themeFillTint="33"/>
          </w:tcPr>
          <w:p w14:paraId="259E4ED5" w14:textId="77777777" w:rsidR="00E83854" w:rsidRPr="00D63C8A" w:rsidRDefault="00E83854" w:rsidP="001A1D15">
            <w:pPr>
              <w:spacing w:before="60" w:after="60"/>
            </w:pPr>
            <w:r w:rsidRPr="00D63C8A">
              <w:t>Chapter 3</w:t>
            </w:r>
          </w:p>
        </w:tc>
        <w:tc>
          <w:tcPr>
            <w:tcW w:w="6663" w:type="dxa"/>
          </w:tcPr>
          <w:p w14:paraId="454303FD" w14:textId="77777777" w:rsidR="00E83854" w:rsidRPr="00D63C8A" w:rsidRDefault="00876779" w:rsidP="001A1D15">
            <w:pPr>
              <w:spacing w:before="60" w:after="60"/>
            </w:pPr>
            <w:hyperlink w:anchor="_Chapter_3_GOVERNMENT" w:history="1">
              <w:r w:rsidR="00E83854" w:rsidRPr="008617F4">
                <w:rPr>
                  <w:rStyle w:val="Hyperlink"/>
                </w:rPr>
                <w:t>Government response</w:t>
              </w:r>
              <w:r w:rsidR="0001033B" w:rsidRPr="008617F4">
                <w:rPr>
                  <w:rStyle w:val="Hyperlink"/>
                </w:rPr>
                <w:t>s</w:t>
              </w:r>
              <w:r w:rsidR="00E83854" w:rsidRPr="008617F4">
                <w:rPr>
                  <w:rStyle w:val="Hyperlink"/>
                </w:rPr>
                <w:t xml:space="preserve"> to parliamentary committee reports</w:t>
              </w:r>
            </w:hyperlink>
          </w:p>
        </w:tc>
      </w:tr>
      <w:tr w:rsidR="00E83854" w:rsidRPr="00E44EA0" w14:paraId="684C4307" w14:textId="77777777" w:rsidTr="00865A2D">
        <w:tc>
          <w:tcPr>
            <w:tcW w:w="1701" w:type="dxa"/>
            <w:shd w:val="clear" w:color="auto" w:fill="DBE5F1" w:themeFill="accent1" w:themeFillTint="33"/>
          </w:tcPr>
          <w:p w14:paraId="202109BD" w14:textId="77777777" w:rsidR="00E83854" w:rsidRPr="00E44EA0" w:rsidRDefault="00E83854" w:rsidP="001A1D15">
            <w:pPr>
              <w:spacing w:before="60" w:after="60"/>
            </w:pPr>
            <w:r w:rsidRPr="00E44EA0">
              <w:t>Chapter 4</w:t>
            </w:r>
          </w:p>
        </w:tc>
        <w:tc>
          <w:tcPr>
            <w:tcW w:w="6663" w:type="dxa"/>
          </w:tcPr>
          <w:p w14:paraId="2E7F64D6" w14:textId="77777777" w:rsidR="00E83854" w:rsidRPr="00E44EA0" w:rsidRDefault="00876779" w:rsidP="00253967">
            <w:pPr>
              <w:spacing w:before="60" w:after="60"/>
            </w:pPr>
            <w:hyperlink w:anchor="_MINISTERIAL_STATEMENTS" w:history="1">
              <w:r w:rsidR="00E83854" w:rsidRPr="00E44EA0">
                <w:rPr>
                  <w:rStyle w:val="Hyperlink"/>
                </w:rPr>
                <w:t xml:space="preserve">Ministerial </w:t>
              </w:r>
              <w:r w:rsidR="00253967" w:rsidRPr="00E44EA0">
                <w:rPr>
                  <w:rStyle w:val="Hyperlink"/>
                </w:rPr>
                <w:t>S</w:t>
              </w:r>
              <w:r w:rsidR="00E83854" w:rsidRPr="00E44EA0">
                <w:rPr>
                  <w:rStyle w:val="Hyperlink"/>
                </w:rPr>
                <w:t>tatements</w:t>
              </w:r>
            </w:hyperlink>
          </w:p>
        </w:tc>
      </w:tr>
      <w:tr w:rsidR="00E83854" w:rsidRPr="00E44EA0" w14:paraId="6CDC4AD6" w14:textId="77777777" w:rsidTr="00865A2D">
        <w:tc>
          <w:tcPr>
            <w:tcW w:w="1701" w:type="dxa"/>
            <w:shd w:val="clear" w:color="auto" w:fill="DBE5F1" w:themeFill="accent1" w:themeFillTint="33"/>
          </w:tcPr>
          <w:p w14:paraId="50B442DA" w14:textId="77777777" w:rsidR="00E83854" w:rsidRPr="00E44EA0" w:rsidRDefault="00E83854" w:rsidP="001A1D15">
            <w:pPr>
              <w:spacing w:before="60" w:after="60"/>
            </w:pPr>
            <w:r w:rsidRPr="00E44EA0">
              <w:t>Chapter 5</w:t>
            </w:r>
          </w:p>
        </w:tc>
        <w:tc>
          <w:tcPr>
            <w:tcW w:w="6663" w:type="dxa"/>
          </w:tcPr>
          <w:p w14:paraId="2E7580D6" w14:textId="77777777" w:rsidR="00E83854" w:rsidRPr="00E44EA0" w:rsidRDefault="00876779" w:rsidP="001A1D15">
            <w:pPr>
              <w:spacing w:before="60" w:after="60"/>
            </w:pPr>
            <w:hyperlink w:anchor="_deemed_clerks_documents" w:history="1">
              <w:r w:rsidR="00E83854" w:rsidRPr="00E44EA0">
                <w:rPr>
                  <w:rStyle w:val="Hyperlink"/>
                </w:rPr>
                <w:t>Deemed/Clerk’s documents</w:t>
              </w:r>
            </w:hyperlink>
          </w:p>
        </w:tc>
      </w:tr>
      <w:tr w:rsidR="00E83854" w:rsidRPr="00E44EA0" w14:paraId="3114B4C6" w14:textId="77777777" w:rsidTr="00865A2D">
        <w:tc>
          <w:tcPr>
            <w:tcW w:w="1701" w:type="dxa"/>
            <w:shd w:val="clear" w:color="auto" w:fill="DBE5F1" w:themeFill="accent1" w:themeFillTint="33"/>
          </w:tcPr>
          <w:p w14:paraId="5A2FDD51" w14:textId="77777777" w:rsidR="00E83854" w:rsidRPr="00E44EA0" w:rsidRDefault="00E83854" w:rsidP="001A1D15">
            <w:pPr>
              <w:spacing w:before="60" w:after="60"/>
            </w:pPr>
            <w:r w:rsidRPr="00E44EA0">
              <w:t>Chapter 6</w:t>
            </w:r>
          </w:p>
        </w:tc>
        <w:tc>
          <w:tcPr>
            <w:tcW w:w="6663" w:type="dxa"/>
          </w:tcPr>
          <w:p w14:paraId="794A43B7" w14:textId="77777777" w:rsidR="00E83854" w:rsidRPr="00E44EA0" w:rsidRDefault="00876779" w:rsidP="001A1D15">
            <w:pPr>
              <w:spacing w:before="60" w:after="60"/>
            </w:pPr>
            <w:hyperlink w:anchor="_PARLIAMENT_HOUSE_–" w:history="1">
              <w:r w:rsidR="00945933" w:rsidRPr="00E44EA0">
                <w:rPr>
                  <w:rStyle w:val="Hyperlink"/>
                </w:rPr>
                <w:t>Parliament House – Access, delivery, distribution and contacts</w:t>
              </w:r>
            </w:hyperlink>
          </w:p>
        </w:tc>
      </w:tr>
      <w:tr w:rsidR="00E83854" w:rsidRPr="00E44EA0" w14:paraId="71606DAB" w14:textId="77777777" w:rsidTr="00865A2D">
        <w:tc>
          <w:tcPr>
            <w:tcW w:w="1701" w:type="dxa"/>
            <w:shd w:val="clear" w:color="auto" w:fill="DBE5F1" w:themeFill="accent1" w:themeFillTint="33"/>
          </w:tcPr>
          <w:p w14:paraId="0267DBFC" w14:textId="77777777" w:rsidR="00E83854" w:rsidRPr="00E44EA0" w:rsidRDefault="00E83854" w:rsidP="00945F13">
            <w:pPr>
              <w:spacing w:before="60" w:after="60"/>
            </w:pPr>
            <w:r w:rsidRPr="00E44EA0">
              <w:t>Chapter</w:t>
            </w:r>
            <w:r w:rsidR="00B126F1" w:rsidRPr="00E44EA0">
              <w:t xml:space="preserve"> </w:t>
            </w:r>
            <w:r w:rsidR="00945F13" w:rsidRPr="00E44EA0">
              <w:t>7</w:t>
            </w:r>
          </w:p>
        </w:tc>
        <w:tc>
          <w:tcPr>
            <w:tcW w:w="6663" w:type="dxa"/>
          </w:tcPr>
          <w:p w14:paraId="656F1408" w14:textId="77777777" w:rsidR="00E83854" w:rsidRPr="00E44EA0" w:rsidRDefault="00876779" w:rsidP="001A1D15">
            <w:pPr>
              <w:spacing w:before="60" w:after="60"/>
            </w:pPr>
            <w:hyperlink w:anchor="_supplementary_information" w:history="1">
              <w:r w:rsidR="00E83854" w:rsidRPr="00E44EA0">
                <w:rPr>
                  <w:rStyle w:val="Hyperlink"/>
                </w:rPr>
                <w:t>Glossary</w:t>
              </w:r>
              <w:r w:rsidR="00D225EF" w:rsidRPr="00E44EA0">
                <w:rPr>
                  <w:rStyle w:val="Hyperlink"/>
                </w:rPr>
                <w:t xml:space="preserve"> of terms</w:t>
              </w:r>
            </w:hyperlink>
          </w:p>
        </w:tc>
      </w:tr>
    </w:tbl>
    <w:p w14:paraId="1B5C2625" w14:textId="77777777" w:rsidR="006C1AB3" w:rsidRPr="00E44EA0" w:rsidRDefault="006C1AB3" w:rsidP="006C1AB3"/>
    <w:p w14:paraId="39301802" w14:textId="77777777" w:rsidR="0073323D" w:rsidRPr="00E44EA0" w:rsidRDefault="0073323D">
      <w:pPr>
        <w:autoSpaceDE/>
        <w:autoSpaceDN/>
        <w:spacing w:after="0" w:line="240" w:lineRule="auto"/>
        <w:rPr>
          <w:u w:val="single"/>
        </w:rPr>
      </w:pPr>
      <w:r w:rsidRPr="00E44EA0">
        <w:rPr>
          <w:u w:val="single"/>
        </w:rPr>
        <w:br w:type="page"/>
      </w:r>
    </w:p>
    <w:p w14:paraId="0515D1E8" w14:textId="77777777" w:rsidR="0073323D" w:rsidRPr="00E44EA0" w:rsidRDefault="0080520A" w:rsidP="0073323D">
      <w:pPr>
        <w:pStyle w:val="Heading1"/>
      </w:pPr>
      <w:bookmarkStart w:id="3" w:name="_TABLING_PRINCIPLES"/>
      <w:bookmarkEnd w:id="3"/>
      <w:r>
        <w:lastRenderedPageBreak/>
        <w:t xml:space="preserve">Chapter 1 </w:t>
      </w:r>
      <w:r w:rsidR="001A1D15" w:rsidRPr="00E44EA0">
        <w:t xml:space="preserve">TABLING </w:t>
      </w:r>
      <w:r w:rsidR="007D0530" w:rsidRPr="00E44EA0">
        <w:t>PRINCIPLES</w:t>
      </w:r>
    </w:p>
    <w:p w14:paraId="31226834" w14:textId="77777777" w:rsidR="009D507D" w:rsidRPr="009D507D"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t>Ministerial Approval</w:t>
      </w:r>
    </w:p>
    <w:p w14:paraId="10047234" w14:textId="77777777" w:rsidR="00F0002C" w:rsidRPr="00E44EA0" w:rsidRDefault="00F0002C" w:rsidP="00D9532B">
      <w:pPr>
        <w:jc w:val="both"/>
      </w:pPr>
      <w:r w:rsidRPr="00E44EA0">
        <w:t xml:space="preserve">Ministerial approval is required to table a document in the Parliament. This applies to </w:t>
      </w:r>
      <w:r w:rsidR="00A833C0" w:rsidRPr="00E44EA0">
        <w:t xml:space="preserve">all </w:t>
      </w:r>
      <w:r w:rsidRPr="00E44EA0">
        <w:t>docu</w:t>
      </w:r>
      <w:r w:rsidR="007E51E0" w:rsidRPr="00E44EA0">
        <w:t>ments covered by the Guideline</w:t>
      </w:r>
      <w:r w:rsidR="008F21B7" w:rsidRPr="00E44EA0">
        <w:t xml:space="preserve">s, with the exception of </w:t>
      </w:r>
      <w:hyperlink w:anchor="_deemed_clerks_documents" w:tooltip="Deemed/Clerks documents have been deemed to be presented to the Parliament " w:history="1">
        <w:r w:rsidR="008F21B7" w:rsidRPr="00E44EA0">
          <w:rPr>
            <w:rStyle w:val="Hyperlink"/>
          </w:rPr>
          <w:t>deemed/</w:t>
        </w:r>
        <w:r w:rsidR="009F5517" w:rsidRPr="00E44EA0">
          <w:rPr>
            <w:rStyle w:val="Hyperlink"/>
          </w:rPr>
          <w:t>C</w:t>
        </w:r>
        <w:r w:rsidR="007E51E0" w:rsidRPr="00E44EA0">
          <w:rPr>
            <w:rStyle w:val="Hyperlink"/>
          </w:rPr>
          <w:t>lerk</w:t>
        </w:r>
        <w:r w:rsidR="008F21B7" w:rsidRPr="00E44EA0">
          <w:rPr>
            <w:rStyle w:val="Hyperlink"/>
          </w:rPr>
          <w:t>’</w:t>
        </w:r>
        <w:r w:rsidR="00D2503C" w:rsidRPr="00E44EA0">
          <w:rPr>
            <w:rStyle w:val="Hyperlink"/>
          </w:rPr>
          <w:t>s documents</w:t>
        </w:r>
      </w:hyperlink>
      <w:r w:rsidR="00D2503C" w:rsidRPr="00E44EA0">
        <w:t xml:space="preserve"> </w:t>
      </w:r>
      <w:r w:rsidR="002D46D2" w:rsidRPr="00E44EA0">
        <w:t>which are approved at a departmental level</w:t>
      </w:r>
      <w:r w:rsidR="00D04755" w:rsidRPr="00E44EA0">
        <w:t>.</w:t>
      </w:r>
    </w:p>
    <w:p w14:paraId="159DEA2B" w14:textId="77777777" w:rsidR="009D507D" w:rsidRPr="009D507D" w:rsidRDefault="009D507D" w:rsidP="009D507D">
      <w:pPr>
        <w:pStyle w:val="Heading2"/>
        <w:rPr>
          <w:rFonts w:ascii="Montserrat Light" w:hAnsi="Montserrat Light"/>
          <w:b/>
          <w:color w:val="auto"/>
          <w:sz w:val="18"/>
          <w:szCs w:val="18"/>
        </w:rPr>
      </w:pPr>
      <w:r w:rsidRPr="009D507D">
        <w:rPr>
          <w:rFonts w:ascii="Montserrat Light" w:hAnsi="Montserrat Light"/>
          <w:b/>
          <w:color w:val="auto"/>
          <w:sz w:val="18"/>
          <w:szCs w:val="18"/>
        </w:rPr>
        <w:t>Documents Confidential to Government</w:t>
      </w:r>
    </w:p>
    <w:p w14:paraId="662D2CB7" w14:textId="77777777" w:rsidR="00F0002C" w:rsidRPr="00E44EA0" w:rsidRDefault="007D0530" w:rsidP="00D9532B">
      <w:pPr>
        <w:jc w:val="both"/>
      </w:pPr>
      <w:r w:rsidRPr="00E44EA0">
        <w:t>Documents prepared for tabling are confidential</w:t>
      </w:r>
      <w:r w:rsidR="00F76E19" w:rsidRPr="00E44EA0">
        <w:t xml:space="preserve"> (under embargo)</w:t>
      </w:r>
      <w:r w:rsidRPr="00E44EA0">
        <w:t xml:space="preserve"> until they are presented to the Parliament. </w:t>
      </w:r>
      <w:r w:rsidR="00F0002C" w:rsidRPr="00E44EA0">
        <w:t xml:space="preserve">Departments are responsible for ensuring that documents </w:t>
      </w:r>
      <w:r w:rsidR="00A833C0" w:rsidRPr="00E44EA0">
        <w:t>are held</w:t>
      </w:r>
      <w:r w:rsidR="00F0002C" w:rsidRPr="00E44EA0">
        <w:t xml:space="preserve"> securely and delivered by hand. Contracted courier or printer services </w:t>
      </w:r>
      <w:r w:rsidR="00F0002C" w:rsidRPr="00E44EA0">
        <w:rPr>
          <w:u w:val="single"/>
        </w:rPr>
        <w:t>must</w:t>
      </w:r>
      <w:r w:rsidR="00F0002C" w:rsidRPr="00E44EA0">
        <w:t xml:space="preserve"> be made aware of this requirement.</w:t>
      </w:r>
    </w:p>
    <w:p w14:paraId="6E19520D" w14:textId="77777777" w:rsidR="00F0002C" w:rsidRPr="00E44EA0" w:rsidRDefault="00F0002C" w:rsidP="00D9532B">
      <w:pPr>
        <w:jc w:val="both"/>
      </w:pPr>
      <w:r w:rsidRPr="00E44EA0">
        <w:t xml:space="preserve">The </w:t>
      </w:r>
      <w:hyperlink r:id="rId18" w:tooltip="House of Representatives Practice 7th Edition" w:history="1">
        <w:r w:rsidRPr="00E44EA0">
          <w:rPr>
            <w:rStyle w:val="Hyperlink"/>
          </w:rPr>
          <w:t xml:space="preserve">House of Representatives Practice </w:t>
        </w:r>
        <w:r w:rsidR="00403719" w:rsidRPr="00E44EA0">
          <w:rPr>
            <w:rStyle w:val="Hyperlink"/>
          </w:rPr>
          <w:t>7</w:t>
        </w:r>
        <w:r w:rsidRPr="00E44EA0">
          <w:rPr>
            <w:rStyle w:val="Hyperlink"/>
          </w:rPr>
          <w:t>th Edition</w:t>
        </w:r>
      </w:hyperlink>
      <w:r w:rsidR="00125D79">
        <w:t xml:space="preserve"> </w:t>
      </w:r>
      <w:r w:rsidRPr="00E44EA0">
        <w:t>notes that</w:t>
      </w:r>
      <w:r w:rsidR="0056594D" w:rsidRPr="00E44EA0">
        <w:t xml:space="preserve"> the</w:t>
      </w:r>
      <w:r w:rsidRPr="00E44EA0">
        <w:t xml:space="preserve"> public release of a document before presentation to</w:t>
      </w:r>
      <w:r w:rsidR="00195047" w:rsidRPr="00E44EA0">
        <w:t xml:space="preserve"> the</w:t>
      </w:r>
      <w:r w:rsidRPr="00E44EA0">
        <w:t xml:space="preserve"> Parliament “has always been considered a matter of impropriety”. Every effort needs to be made to ensure the document is tabled in</w:t>
      </w:r>
      <w:r w:rsidR="00195047" w:rsidRPr="00E44EA0">
        <w:t xml:space="preserve"> the</w:t>
      </w:r>
      <w:r w:rsidRPr="00E44EA0">
        <w:t xml:space="preserve"> Parliament prior to, or to coincide with, </w:t>
      </w:r>
      <w:r w:rsidR="0046421B" w:rsidRPr="00E44EA0">
        <w:t xml:space="preserve">the </w:t>
      </w:r>
      <w:r w:rsidRPr="00E44EA0">
        <w:t xml:space="preserve">public release of </w:t>
      </w:r>
      <w:r w:rsidR="0056594D" w:rsidRPr="00E44EA0">
        <w:t>the</w:t>
      </w:r>
      <w:r w:rsidR="0046421B" w:rsidRPr="00E44EA0">
        <w:t xml:space="preserve"> document. </w:t>
      </w:r>
    </w:p>
    <w:p w14:paraId="5C6DBA4D" w14:textId="77777777" w:rsidR="009D507D" w:rsidRPr="009D507D" w:rsidRDefault="009D507D" w:rsidP="009D507D">
      <w:pPr>
        <w:pStyle w:val="Heading2"/>
        <w:rPr>
          <w:rFonts w:ascii="Montserrat Light" w:hAnsi="Montserrat Light"/>
          <w:b/>
          <w:color w:val="auto"/>
          <w:sz w:val="18"/>
        </w:rPr>
      </w:pPr>
      <w:r w:rsidRPr="009D507D">
        <w:rPr>
          <w:rFonts w:ascii="Montserrat Light" w:hAnsi="Montserrat Light"/>
          <w:b/>
          <w:color w:val="auto"/>
          <w:sz w:val="18"/>
        </w:rPr>
        <w:t>Parliamentary Privilege</w:t>
      </w:r>
    </w:p>
    <w:p w14:paraId="7891064B" w14:textId="77777777" w:rsidR="00F0002C" w:rsidRPr="00E44EA0" w:rsidRDefault="00F0002C" w:rsidP="00D9532B">
      <w:pPr>
        <w:jc w:val="both"/>
      </w:pPr>
      <w:r w:rsidRPr="00E44EA0">
        <w:t xml:space="preserve">Some documents to be presented to the Parliament may require the protection of parliamentary privilege, e.g. reports which name individuals as offenders or reports which may be regarded by certain people as defamatory. </w:t>
      </w:r>
    </w:p>
    <w:p w14:paraId="6EAB61C8" w14:textId="77777777" w:rsidR="007D0530" w:rsidRPr="00E44EA0" w:rsidRDefault="0046421B" w:rsidP="00D9532B">
      <w:pPr>
        <w:jc w:val="both"/>
      </w:pPr>
      <w:r w:rsidRPr="00E44EA0">
        <w:t>Th</w:t>
      </w:r>
      <w:r w:rsidR="007D0530" w:rsidRPr="00E44EA0">
        <w:t xml:space="preserve">e protection of parliamentary privilege means that a person cannot be sued or prosecuted in respect of words spoken and acts done in the course of, or for the purposes of or incidental to, giving evidence or preparing or submitting documents to a </w:t>
      </w:r>
      <w:r w:rsidR="00EA1A9F" w:rsidRPr="00E44EA0">
        <w:t>chamber</w:t>
      </w:r>
      <w:r w:rsidR="007D0530" w:rsidRPr="00E44EA0">
        <w:t xml:space="preserve"> of </w:t>
      </w:r>
      <w:r w:rsidR="00195047" w:rsidRPr="00E44EA0">
        <w:t xml:space="preserve">the </w:t>
      </w:r>
      <w:r w:rsidR="007D0530" w:rsidRPr="00E44EA0">
        <w:t xml:space="preserve">Parliament or a </w:t>
      </w:r>
      <w:hyperlink w:anchor="Parliamentarycommittee" w:history="1">
        <w:r w:rsidR="00ED753C" w:rsidRPr="00E44EA0">
          <w:rPr>
            <w:rStyle w:val="Hyperlink"/>
          </w:rPr>
          <w:t>parliamentary committee</w:t>
        </w:r>
      </w:hyperlink>
      <w:r w:rsidR="007D0530" w:rsidRPr="00E44EA0">
        <w:t>. Neither</w:t>
      </w:r>
      <w:r w:rsidR="0056594D" w:rsidRPr="00E44EA0">
        <w:t xml:space="preserve"> of</w:t>
      </w:r>
      <w:r w:rsidR="007D0530" w:rsidRPr="00E44EA0">
        <w:t xml:space="preserve"> these acts, nor the material submitted, can be used against a person in legal proceedings (</w:t>
      </w:r>
      <w:r w:rsidR="005E69CA" w:rsidRPr="00E44EA0">
        <w:t>s</w:t>
      </w:r>
      <w:r w:rsidR="007D0530" w:rsidRPr="00E44EA0">
        <w:t xml:space="preserve">ee subsection 16(2) of the </w:t>
      </w:r>
      <w:r w:rsidR="007D0530" w:rsidRPr="00E44EA0">
        <w:rPr>
          <w:i/>
        </w:rPr>
        <w:t>Parliamentary Privileges Act 1987</w:t>
      </w:r>
      <w:r w:rsidR="007D0530" w:rsidRPr="00E44EA0">
        <w:t>)</w:t>
      </w:r>
      <w:r w:rsidR="00425F0A" w:rsidRPr="00E44EA0">
        <w:t>.</w:t>
      </w:r>
    </w:p>
    <w:p w14:paraId="3FD31D48" w14:textId="77777777" w:rsidR="007D0530" w:rsidRPr="00E44EA0" w:rsidRDefault="007D0530" w:rsidP="00D9532B">
      <w:pPr>
        <w:jc w:val="both"/>
      </w:pPr>
      <w:r w:rsidRPr="00E44EA0">
        <w:t>Where there may be legal and parliamentary privilege considerations relating to the publication of a report, advice may be sought from the Attorney-General’s Department</w:t>
      </w:r>
      <w:r w:rsidR="00947F38" w:rsidRPr="00E44EA0">
        <w:t xml:space="preserve">. </w:t>
      </w:r>
      <w:r w:rsidR="00C91C5E" w:rsidRPr="00E44EA0">
        <w:t xml:space="preserve">The Department of </w:t>
      </w:r>
      <w:r w:rsidR="005809A1" w:rsidRPr="00E44EA0">
        <w:t xml:space="preserve">the </w:t>
      </w:r>
      <w:r w:rsidR="00C91C5E" w:rsidRPr="00E44EA0">
        <w:t>Prime Minister and Cabinet</w:t>
      </w:r>
      <w:r w:rsidR="00947F38" w:rsidRPr="00E44EA0">
        <w:t xml:space="preserve"> (Government Division) </w:t>
      </w:r>
      <w:r w:rsidR="00DE6CF4">
        <w:t>must</w:t>
      </w:r>
      <w:r w:rsidR="00195047" w:rsidRPr="00E44EA0">
        <w:t xml:space="preserve"> </w:t>
      </w:r>
      <w:r w:rsidR="00947F38" w:rsidRPr="00E44EA0">
        <w:t xml:space="preserve">be consulted if there are any sensitivities. </w:t>
      </w:r>
      <w:r w:rsidRPr="00E44EA0">
        <w:t xml:space="preserve">Departments </w:t>
      </w:r>
      <w:r w:rsidRPr="00E44EA0">
        <w:rPr>
          <w:u w:val="single"/>
        </w:rPr>
        <w:t>must</w:t>
      </w:r>
      <w:r w:rsidRPr="00E44EA0">
        <w:t xml:space="preserve"> settle any such issues before arrangements are made for tabling or release.</w:t>
      </w:r>
      <w:r w:rsidR="00947F38" w:rsidRPr="00E44EA0">
        <w:t xml:space="preserve"> </w:t>
      </w:r>
    </w:p>
    <w:p w14:paraId="21173517" w14:textId="77777777" w:rsidR="009D507D" w:rsidRPr="009D507D"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t>Production and Publication – hard copy and online</w:t>
      </w:r>
    </w:p>
    <w:p w14:paraId="125C7658" w14:textId="77777777" w:rsidR="000674CD" w:rsidRPr="00E44EA0" w:rsidRDefault="000674CD" w:rsidP="00D9532B">
      <w:pPr>
        <w:jc w:val="both"/>
      </w:pPr>
      <w:r w:rsidRPr="00E44EA0">
        <w:t xml:space="preserve">Documents </w:t>
      </w:r>
      <w:r w:rsidRPr="00E44EA0">
        <w:rPr>
          <w:u w:val="single"/>
        </w:rPr>
        <w:t>must</w:t>
      </w:r>
      <w:r w:rsidRPr="00E44EA0">
        <w:t xml:space="preserve"> be printed in accordance with the </w:t>
      </w:r>
      <w:hyperlink r:id="rId19" w:history="1">
        <w:r w:rsidRPr="00E44EA0">
          <w:rPr>
            <w:rStyle w:val="Hyperlink"/>
          </w:rPr>
          <w:t>Printing standards</w:t>
        </w:r>
      </w:hyperlink>
      <w:r w:rsidRPr="00E44EA0">
        <w:t xml:space="preserve"> for documents presented to </w:t>
      </w:r>
      <w:r w:rsidR="0056594D" w:rsidRPr="00E44EA0">
        <w:t xml:space="preserve">the </w:t>
      </w:r>
      <w:r w:rsidRPr="00E44EA0">
        <w:t xml:space="preserve">Parliament prepared by the </w:t>
      </w:r>
      <w:hyperlink w:anchor="JointCommitteeonPublications" w:history="1">
        <w:r w:rsidRPr="00E44EA0">
          <w:rPr>
            <w:rStyle w:val="Hyperlink"/>
          </w:rPr>
          <w:t>Joint Committee</w:t>
        </w:r>
        <w:r w:rsidR="001C693B" w:rsidRPr="00E44EA0">
          <w:rPr>
            <w:rStyle w:val="Hyperlink"/>
          </w:rPr>
          <w:t xml:space="preserve"> on Publications</w:t>
        </w:r>
      </w:hyperlink>
      <w:r w:rsidRPr="00E44EA0">
        <w:t xml:space="preserve">. </w:t>
      </w:r>
    </w:p>
    <w:p w14:paraId="0034D049" w14:textId="77777777" w:rsidR="00210DE2" w:rsidRPr="00E44EA0" w:rsidRDefault="0092410E" w:rsidP="00D9532B">
      <w:pPr>
        <w:jc w:val="both"/>
      </w:pPr>
      <w:r w:rsidRPr="00E44EA0">
        <w:t xml:space="preserve">Under the </w:t>
      </w:r>
      <w:r w:rsidRPr="00E44EA0">
        <w:rPr>
          <w:i/>
        </w:rPr>
        <w:t>Disability Discrimination Act 1992</w:t>
      </w:r>
      <w:r w:rsidRPr="00E44EA0">
        <w:t xml:space="preserve">, Australian Government agencies are required to ensure information and services are provided in a non-discriminatory accessible manner. </w:t>
      </w:r>
      <w:r w:rsidR="000674CD" w:rsidRPr="00E44EA0">
        <w:t xml:space="preserve">The </w:t>
      </w:r>
      <w:hyperlink w:anchor="DigitalTransformationAgency" w:history="1">
        <w:r w:rsidR="000674CD" w:rsidRPr="00E44EA0">
          <w:rPr>
            <w:rStyle w:val="Hyperlink"/>
          </w:rPr>
          <w:t>Digital Transformation Agency</w:t>
        </w:r>
      </w:hyperlink>
      <w:r w:rsidR="000674CD" w:rsidRPr="00E44EA0">
        <w:t xml:space="preserve"> (DTA) advise that </w:t>
      </w:r>
      <w:hyperlink w:anchor="HTML" w:history="1">
        <w:r w:rsidR="000674CD" w:rsidRPr="00E44EA0">
          <w:rPr>
            <w:rStyle w:val="Hyperlink"/>
          </w:rPr>
          <w:t>HTML</w:t>
        </w:r>
      </w:hyperlink>
      <w:r w:rsidR="000674CD" w:rsidRPr="00E44EA0">
        <w:t xml:space="preserve"> is the default format for all government information. If there is a strong user need to provide a PDF (for example for printing) the document </w:t>
      </w:r>
      <w:r w:rsidR="000674CD" w:rsidRPr="00E44EA0">
        <w:rPr>
          <w:u w:val="single"/>
        </w:rPr>
        <w:t>must</w:t>
      </w:r>
      <w:r w:rsidR="000674CD" w:rsidRPr="00E44EA0">
        <w:t xml:space="preserve"> still be </w:t>
      </w:r>
      <w:hyperlink r:id="rId20" w:anchor="pdf-accessibility" w:history="1">
        <w:r w:rsidR="000674CD" w:rsidRPr="00E44EA0">
          <w:rPr>
            <w:rStyle w:val="Hyperlink"/>
          </w:rPr>
          <w:t>accessible</w:t>
        </w:r>
      </w:hyperlink>
      <w:r w:rsidR="000674CD" w:rsidRPr="00E44EA0">
        <w:t>.</w:t>
      </w:r>
      <w:r w:rsidRPr="00E44EA0">
        <w:t xml:space="preserve"> </w:t>
      </w:r>
      <w:r w:rsidR="00210DE2" w:rsidRPr="00E44EA0">
        <w:t>The DTA</w:t>
      </w:r>
      <w:r w:rsidR="00B126F1" w:rsidRPr="00E44EA0">
        <w:t xml:space="preserve"> </w:t>
      </w:r>
      <w:r w:rsidR="00210DE2" w:rsidRPr="00E44EA0">
        <w:t xml:space="preserve">provides advice and support to assist departments </w:t>
      </w:r>
      <w:r w:rsidR="0056594D" w:rsidRPr="00E44EA0">
        <w:t>in meeting</w:t>
      </w:r>
      <w:r w:rsidR="00210DE2" w:rsidRPr="00E44EA0">
        <w:t xml:space="preserve"> their obligations. Guidance can be found at: </w:t>
      </w:r>
      <w:hyperlink r:id="rId21" w:history="1">
        <w:r w:rsidR="00E573C4">
          <w:rPr>
            <w:rStyle w:val="Hyperlink"/>
          </w:rPr>
          <w:t>https://www.dta.gov.au/help-and-advice/digital-service-standard/digital-service-standard-criteria/9-make-it-accessible</w:t>
        </w:r>
      </w:hyperlink>
      <w:r w:rsidR="00210DE2" w:rsidRPr="00E44EA0">
        <w:t xml:space="preserve">. </w:t>
      </w:r>
    </w:p>
    <w:p w14:paraId="05272A7C" w14:textId="77777777" w:rsidR="00210DE2" w:rsidRPr="00E44EA0" w:rsidRDefault="00210DE2" w:rsidP="00D9532B">
      <w:pPr>
        <w:jc w:val="both"/>
      </w:pPr>
      <w:r w:rsidRPr="00E44EA0">
        <w:t>The requirements for public digital content are set out in the Web Content Access Guide (WCAG). The DTA has identified the following sites for assistance</w:t>
      </w:r>
      <w:r w:rsidR="00ED753C" w:rsidRPr="00E44EA0">
        <w:t>:</w:t>
      </w:r>
      <w:r w:rsidRPr="00E44EA0">
        <w:t xml:space="preserve"> </w:t>
      </w:r>
      <w:hyperlink r:id="rId22" w:history="1">
        <w:r w:rsidR="00945F13" w:rsidRPr="00E44EA0">
          <w:rPr>
            <w:rStyle w:val="Hyperlink"/>
          </w:rPr>
          <w:t>Requirements for Australian Government Websites</w:t>
        </w:r>
      </w:hyperlink>
      <w:r w:rsidRPr="00E44EA0">
        <w:t xml:space="preserve"> and </w:t>
      </w:r>
      <w:hyperlink r:id="rId23" w:history="1">
        <w:r w:rsidR="00945F13" w:rsidRPr="00E44EA0">
          <w:rPr>
            <w:rStyle w:val="Hyperlink"/>
          </w:rPr>
          <w:t>Exploring WCAG 2.1 for Australian Government Services</w:t>
        </w:r>
      </w:hyperlink>
      <w:r w:rsidRPr="00E44EA0">
        <w:t>.</w:t>
      </w:r>
    </w:p>
    <w:p w14:paraId="4A957FBC" w14:textId="77777777" w:rsidR="00DE6CF4" w:rsidRPr="00E44EA0" w:rsidRDefault="00DE6CF4" w:rsidP="00D9532B">
      <w:pPr>
        <w:jc w:val="both"/>
      </w:pPr>
      <w:r w:rsidRPr="00E44EA0">
        <w:t>Departments</w:t>
      </w:r>
      <w:r w:rsidRPr="0086771A">
        <w:t xml:space="preserve"> </w:t>
      </w:r>
      <w:r w:rsidRPr="00D63C8A">
        <w:t>must</w:t>
      </w:r>
      <w:r w:rsidRPr="00E44EA0">
        <w:t xml:space="preserve"> ensure that the electronic version of the document is identical to the </w:t>
      </w:r>
      <w:r w:rsidR="004C2352">
        <w:t>presentation copy</w:t>
      </w:r>
      <w:r w:rsidRPr="00E44EA0">
        <w:t xml:space="preserve"> tabled in the Parliament</w:t>
      </w:r>
      <w:r w:rsidR="0086771A">
        <w:t xml:space="preserve"> – excluding elements not relevant to a HTML version (e.g. Page numbers)</w:t>
      </w:r>
      <w:r w:rsidRPr="00E44EA0">
        <w:t>.</w:t>
      </w:r>
    </w:p>
    <w:p w14:paraId="64522958" w14:textId="77777777" w:rsidR="00210DE2" w:rsidRPr="00E44EA0" w:rsidRDefault="00210DE2" w:rsidP="00D9532B">
      <w:pPr>
        <w:jc w:val="both"/>
      </w:pPr>
      <w:r w:rsidRPr="00E44EA0">
        <w:t xml:space="preserve">Enquiries </w:t>
      </w:r>
      <w:r w:rsidR="00195047" w:rsidRPr="00E44EA0">
        <w:t xml:space="preserve">can </w:t>
      </w:r>
      <w:r w:rsidRPr="00E44EA0">
        <w:t xml:space="preserve">be directed to </w:t>
      </w:r>
      <w:hyperlink r:id="rId24" w:history="1">
        <w:r w:rsidRPr="00E44EA0">
          <w:rPr>
            <w:rStyle w:val="Hyperlink"/>
          </w:rPr>
          <w:t>info@DTA.gov.au</w:t>
        </w:r>
      </w:hyperlink>
      <w:r w:rsidRPr="00E44EA0">
        <w:t>.</w:t>
      </w:r>
    </w:p>
    <w:p w14:paraId="3F090B0E" w14:textId="77777777" w:rsidR="009D507D" w:rsidRPr="009D507D"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t>Presentation of documents when the Parliament is not sitting</w:t>
      </w:r>
    </w:p>
    <w:p w14:paraId="58F9FC1D" w14:textId="77777777" w:rsidR="00ED69A0" w:rsidRPr="00E44EA0" w:rsidRDefault="00876779" w:rsidP="00D9532B">
      <w:pPr>
        <w:jc w:val="both"/>
      </w:pPr>
      <w:hyperlink r:id="rId25" w:anchor="standing-order_c26-166" w:history="1">
        <w:r w:rsidR="00067A3C" w:rsidRPr="00E44EA0">
          <w:rPr>
            <w:rStyle w:val="Hyperlink"/>
          </w:rPr>
          <w:t>Senate Standing Order 166</w:t>
        </w:r>
      </w:hyperlink>
      <w:r w:rsidR="00067A3C" w:rsidRPr="00E44EA0">
        <w:t xml:space="preserve"> </w:t>
      </w:r>
      <w:r w:rsidR="00ED69A0" w:rsidRPr="00E44EA0">
        <w:t>provide</w:t>
      </w:r>
      <w:r w:rsidR="00067A3C" w:rsidRPr="00E44EA0">
        <w:t>s</w:t>
      </w:r>
      <w:r w:rsidR="00ED69A0" w:rsidRPr="00E44EA0">
        <w:t xml:space="preserve"> that documents may be presented when the Senate is not sit</w:t>
      </w:r>
      <w:r w:rsidR="00CF5F7C" w:rsidRPr="00E44EA0">
        <w:t>ting</w:t>
      </w:r>
      <w:r w:rsidR="00FF6AF2" w:rsidRPr="00E44EA0">
        <w:t>.</w:t>
      </w:r>
      <w:r w:rsidR="00067A3C" w:rsidRPr="00E44EA0">
        <w:t xml:space="preserve"> </w:t>
      </w:r>
      <w:r w:rsidR="002D46D2" w:rsidRPr="00E44EA0">
        <w:t>This is often referred to a</w:t>
      </w:r>
      <w:r w:rsidR="0056594D" w:rsidRPr="00E44EA0">
        <w:t>s</w:t>
      </w:r>
      <w:r w:rsidR="002D46D2" w:rsidRPr="00E44EA0">
        <w:t xml:space="preserve"> presenting a doc</w:t>
      </w:r>
      <w:r w:rsidR="00E779E1" w:rsidRPr="00E44EA0">
        <w:t>u</w:t>
      </w:r>
      <w:r w:rsidR="002D46D2" w:rsidRPr="00E44EA0">
        <w:t xml:space="preserve">ment </w:t>
      </w:r>
      <w:r w:rsidR="00DE6CF4">
        <w:t>‘</w:t>
      </w:r>
      <w:r w:rsidR="002D46D2" w:rsidRPr="00E44EA0">
        <w:t>out</w:t>
      </w:r>
      <w:r w:rsidR="00880DE8" w:rsidRPr="00E44EA0">
        <w:t xml:space="preserve"> </w:t>
      </w:r>
      <w:r w:rsidR="002D46D2" w:rsidRPr="00E44EA0">
        <w:t>of sitting</w:t>
      </w:r>
      <w:r w:rsidR="00DE6CF4">
        <w:t>’</w:t>
      </w:r>
      <w:r w:rsidR="002D46D2" w:rsidRPr="00E44EA0">
        <w:t xml:space="preserve">. </w:t>
      </w:r>
      <w:r w:rsidR="00ED69A0" w:rsidRPr="00E44EA0">
        <w:t xml:space="preserve">Departments can consider this option if there is a </w:t>
      </w:r>
      <w:r w:rsidR="00ED69A0" w:rsidRPr="00E44EA0">
        <w:lastRenderedPageBreak/>
        <w:t>statutory</w:t>
      </w:r>
      <w:r w:rsidR="0056594D" w:rsidRPr="00E44EA0">
        <w:t>,</w:t>
      </w:r>
      <w:r w:rsidR="00ED69A0" w:rsidRPr="00E44EA0">
        <w:t xml:space="preserve"> urgent and</w:t>
      </w:r>
      <w:r w:rsidR="0056594D" w:rsidRPr="00E44EA0">
        <w:t xml:space="preserve"> or</w:t>
      </w:r>
      <w:r w:rsidR="00ED69A0" w:rsidRPr="00E44EA0">
        <w:t xml:space="preserve"> compelling need to have documents presented at a time when </w:t>
      </w:r>
      <w:r w:rsidR="00195047" w:rsidRPr="00E44EA0">
        <w:t xml:space="preserve">the </w:t>
      </w:r>
      <w:r w:rsidR="00ED69A0" w:rsidRPr="00E44EA0">
        <w:t>Parliament is not sitting.</w:t>
      </w:r>
      <w:r w:rsidR="00CF56FE">
        <w:t xml:space="preserve"> With the exception of the month of October, documents are normally presented on a Thursday </w:t>
      </w:r>
      <w:r w:rsidR="00603928">
        <w:t>out of sitting</w:t>
      </w:r>
      <w:r w:rsidR="00CF56FE">
        <w:t xml:space="preserve">. </w:t>
      </w:r>
      <w:r w:rsidR="00401247">
        <w:t>When a document is t</w:t>
      </w:r>
      <w:r w:rsidR="00603928">
        <w:t>abl</w:t>
      </w:r>
      <w:r w:rsidR="00401247">
        <w:t>ed</w:t>
      </w:r>
      <w:r w:rsidR="00603928">
        <w:t xml:space="preserve"> in one chamber (</w:t>
      </w:r>
      <w:r w:rsidR="004C2352">
        <w:t>e.g.</w:t>
      </w:r>
      <w:r w:rsidR="00603928">
        <w:t xml:space="preserve"> the Senate out of sitting)</w:t>
      </w:r>
      <w:r w:rsidR="00401247">
        <w:t xml:space="preserve"> it</w:t>
      </w:r>
      <w:r w:rsidR="00603928">
        <w:t xml:space="preserve"> is considered to have been presented to the Parliament</w:t>
      </w:r>
      <w:r w:rsidR="00401247">
        <w:t>.</w:t>
      </w:r>
      <w:r w:rsidR="007E00F8">
        <w:t xml:space="preserve"> </w:t>
      </w:r>
    </w:p>
    <w:p w14:paraId="0949D12F" w14:textId="77777777" w:rsidR="005A3A8C" w:rsidRDefault="005A3A8C" w:rsidP="00D9532B">
      <w:pPr>
        <w:jc w:val="both"/>
      </w:pPr>
      <w:r w:rsidRPr="00E44EA0">
        <w:t xml:space="preserve">The House of Representatives </w:t>
      </w:r>
      <w:r w:rsidRPr="00455E0D">
        <w:rPr>
          <w:u w:val="single"/>
        </w:rPr>
        <w:t>does not</w:t>
      </w:r>
      <w:r w:rsidRPr="00E44EA0">
        <w:t xml:space="preserve"> provide for the presentation of documents </w:t>
      </w:r>
      <w:r w:rsidR="00356D6B" w:rsidRPr="00E44EA0">
        <w:t>when</w:t>
      </w:r>
      <w:r w:rsidRPr="00E44EA0">
        <w:t xml:space="preserve"> it is not sitting.</w:t>
      </w:r>
    </w:p>
    <w:p w14:paraId="6FEABA15" w14:textId="77777777" w:rsidR="00D2503C" w:rsidRDefault="00D2503C" w:rsidP="00D9532B">
      <w:pPr>
        <w:jc w:val="both"/>
      </w:pPr>
      <w:r w:rsidRPr="00E44EA0">
        <w:t xml:space="preserve">Departments </w:t>
      </w:r>
      <w:r w:rsidR="00195047" w:rsidRPr="00E44EA0">
        <w:rPr>
          <w:u w:val="single"/>
        </w:rPr>
        <w:t>must</w:t>
      </w:r>
      <w:r w:rsidR="00195047" w:rsidRPr="00E44EA0">
        <w:t xml:space="preserve"> </w:t>
      </w:r>
      <w:r w:rsidRPr="00E44EA0">
        <w:t>refer to the</w:t>
      </w:r>
      <w:r w:rsidR="00902C18" w:rsidRPr="00E44EA0">
        <w:t xml:space="preserve"> </w:t>
      </w:r>
      <w:hyperlink r:id="rId26" w:tooltip="Caretaker guidelines must be referred to during caretaker" w:history="1">
        <w:r w:rsidR="00902C18" w:rsidRPr="00E44EA0">
          <w:rPr>
            <w:rStyle w:val="Hyperlink"/>
          </w:rPr>
          <w:t>Guidance on Caretaker Conventions</w:t>
        </w:r>
      </w:hyperlink>
      <w:r w:rsidRPr="00E44EA0">
        <w:t xml:space="preserve"> when considering tabling during </w:t>
      </w:r>
      <w:r w:rsidR="00827B92" w:rsidRPr="00E44EA0">
        <w:t xml:space="preserve">a </w:t>
      </w:r>
      <w:hyperlink w:anchor="caretaker" w:history="1">
        <w:r w:rsidRPr="00E44EA0">
          <w:rPr>
            <w:rStyle w:val="Hyperlink"/>
          </w:rPr>
          <w:t>caretaker</w:t>
        </w:r>
      </w:hyperlink>
      <w:r w:rsidRPr="00E44EA0">
        <w:t xml:space="preserve"> period.</w:t>
      </w:r>
    </w:p>
    <w:p w14:paraId="1AF1B8CF" w14:textId="77777777" w:rsidR="005244F2" w:rsidRPr="005244F2" w:rsidRDefault="005244F2" w:rsidP="00D9532B">
      <w:pPr>
        <w:jc w:val="both"/>
      </w:pPr>
      <w:r w:rsidRPr="005244F2">
        <w:t xml:space="preserve">In general, responses to outstanding parliamentary committee reports should be deferred during the caretaker period for action by the incoming government. Agencies may continue to undertake appropriate preparatory work and consultation at the agency level so that they are in a position to provide advice to the incoming government. </w:t>
      </w:r>
    </w:p>
    <w:p w14:paraId="464B965F" w14:textId="77777777" w:rsidR="005244F2" w:rsidRDefault="005244F2" w:rsidP="00D9532B">
      <w:pPr>
        <w:jc w:val="both"/>
      </w:pPr>
      <w:r w:rsidRPr="005244F2">
        <w:t xml:space="preserve">Reports of an administrative nature, such as annual reports, can be tabled out of </w:t>
      </w:r>
      <w:r w:rsidR="008B3F73">
        <w:t xml:space="preserve">sitting </w:t>
      </w:r>
      <w:r w:rsidRPr="005244F2">
        <w:t>during the caretaker period. However, where a report contains information that is likely to be controversial, consideration should be given to whether tabling should be deferred for action by the incoming government.</w:t>
      </w:r>
    </w:p>
    <w:p w14:paraId="5CD484B0" w14:textId="77777777" w:rsidR="00466188" w:rsidRDefault="00466188" w:rsidP="00D9532B">
      <w:pPr>
        <w:jc w:val="both"/>
        <w:rPr>
          <w:b/>
        </w:rPr>
      </w:pPr>
      <w:r>
        <w:rPr>
          <w:b/>
        </w:rPr>
        <w:t>Releasing Documents / Making them public</w:t>
      </w:r>
    </w:p>
    <w:p w14:paraId="5FF34D65" w14:textId="77777777" w:rsidR="00466188" w:rsidRPr="00D63C8A" w:rsidRDefault="00466188" w:rsidP="00D9532B">
      <w:pPr>
        <w:jc w:val="both"/>
        <w:rPr>
          <w:b/>
        </w:rPr>
      </w:pPr>
      <w:r>
        <w:t xml:space="preserve">A document is considered public and can be released/published once </w:t>
      </w:r>
      <w:r w:rsidR="00BD765B">
        <w:t>the document</w:t>
      </w:r>
      <w:r>
        <w:t xml:space="preserve"> has been tabled in either Chamber (the House or the Senate) or when tabled in the Senate out of sitting (it is not necessary to wait for a document to be </w:t>
      </w:r>
      <w:r w:rsidR="00C03CD2">
        <w:t>tabled</w:t>
      </w:r>
      <w:r>
        <w:t xml:space="preserve"> in both </w:t>
      </w:r>
      <w:r w:rsidR="004C2352">
        <w:t>c</w:t>
      </w:r>
      <w:r>
        <w:t xml:space="preserve">hambers). </w:t>
      </w:r>
    </w:p>
    <w:p w14:paraId="13ED0664" w14:textId="77777777" w:rsidR="009D507D" w:rsidRPr="009D507D"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t>Correcting, adding to, or replacing a document</w:t>
      </w:r>
    </w:p>
    <w:p w14:paraId="071AF6FC" w14:textId="77777777" w:rsidR="00E57FA8" w:rsidRPr="00E44EA0" w:rsidRDefault="008F2A38" w:rsidP="00D9532B">
      <w:pPr>
        <w:jc w:val="both"/>
      </w:pPr>
      <w:r w:rsidRPr="00E44EA0">
        <w:t xml:space="preserve">In the circumstances where a department identifies an error in a document that is to be, or has been, tabled in </w:t>
      </w:r>
      <w:r w:rsidR="00EF1C42" w:rsidRPr="00E44EA0">
        <w:t xml:space="preserve">the </w:t>
      </w:r>
      <w:r w:rsidRPr="00E44EA0">
        <w:t xml:space="preserve">Parliament, it will be up to </w:t>
      </w:r>
      <w:r w:rsidR="00067A3C" w:rsidRPr="00E44EA0">
        <w:t xml:space="preserve">that </w:t>
      </w:r>
      <w:r w:rsidRPr="00E44EA0">
        <w:t xml:space="preserve">department to determine when the error needs to be corrected </w:t>
      </w:r>
      <w:r w:rsidR="00C92E9E" w:rsidRPr="00E44EA0">
        <w:t>h</w:t>
      </w:r>
      <w:r w:rsidRPr="00E44EA0">
        <w:t xml:space="preserve">aving regard to the materiality of the error, parliamentary and public interest. </w:t>
      </w:r>
    </w:p>
    <w:p w14:paraId="3081CE0E" w14:textId="77777777" w:rsidR="00E57FA8" w:rsidRPr="00E44EA0" w:rsidRDefault="00E57FA8" w:rsidP="00D9532B">
      <w:pPr>
        <w:jc w:val="both"/>
      </w:pPr>
      <w:r w:rsidRPr="00E44EA0">
        <w:t xml:space="preserve">The department will need to decide if it is possible to correct the document or if it needs to be </w:t>
      </w:r>
      <w:r w:rsidR="005809A1" w:rsidRPr="00E44EA0">
        <w:t xml:space="preserve">supplemented or </w:t>
      </w:r>
      <w:r w:rsidRPr="00E44EA0">
        <w:t xml:space="preserve">replaced. A </w:t>
      </w:r>
      <w:r w:rsidRPr="00E44EA0">
        <w:rPr>
          <w:b/>
        </w:rPr>
        <w:t>correction</w:t>
      </w:r>
      <w:r w:rsidRPr="00E44EA0">
        <w:t xml:space="preserve"> would normally be </w:t>
      </w:r>
      <w:r w:rsidR="005809A1" w:rsidRPr="00E44EA0">
        <w:t>made</w:t>
      </w:r>
      <w:r w:rsidRPr="00E44EA0">
        <w:t xml:space="preserve"> where a minor change is required. </w:t>
      </w:r>
      <w:r w:rsidR="005809A1" w:rsidRPr="00E44EA0">
        <w:t xml:space="preserve">If information needs to be added, but the addition is only minimal, an </w:t>
      </w:r>
      <w:r w:rsidR="005809A1" w:rsidRPr="00E44EA0">
        <w:rPr>
          <w:b/>
        </w:rPr>
        <w:t>addendum</w:t>
      </w:r>
      <w:r w:rsidR="005809A1" w:rsidRPr="00E44EA0">
        <w:t xml:space="preserve"> may be tabled. </w:t>
      </w:r>
      <w:r w:rsidRPr="00E44EA0">
        <w:t xml:space="preserve">A </w:t>
      </w:r>
      <w:r w:rsidRPr="00E44EA0">
        <w:rPr>
          <w:b/>
        </w:rPr>
        <w:t>replacement</w:t>
      </w:r>
      <w:r w:rsidRPr="00E44EA0">
        <w:t xml:space="preserve"> would be required if more substantial changes are necessary. </w:t>
      </w:r>
    </w:p>
    <w:p w14:paraId="7ECAC4E0" w14:textId="77777777" w:rsidR="00FB530D" w:rsidRPr="00E44EA0" w:rsidRDefault="00ED753C" w:rsidP="00D9532B">
      <w:pPr>
        <w:jc w:val="both"/>
      </w:pPr>
      <w:r w:rsidRPr="00E44EA0">
        <w:t xml:space="preserve">Any correction, </w:t>
      </w:r>
      <w:r w:rsidR="005E69CA" w:rsidRPr="00E44EA0">
        <w:t xml:space="preserve">addendum </w:t>
      </w:r>
      <w:r w:rsidRPr="00E44EA0">
        <w:t xml:space="preserve">or replacement </w:t>
      </w:r>
      <w:r w:rsidR="005E69CA" w:rsidRPr="00E44EA0">
        <w:rPr>
          <w:u w:val="single"/>
        </w:rPr>
        <w:t>must</w:t>
      </w:r>
      <w:r w:rsidR="005E69CA" w:rsidRPr="00E44EA0">
        <w:t xml:space="preserve"> be tabled</w:t>
      </w:r>
      <w:r w:rsidR="00E57FA8" w:rsidRPr="00E44EA0">
        <w:t xml:space="preserve"> and is subject to the same copy requirements </w:t>
      </w:r>
      <w:r w:rsidR="00DE6CF4">
        <w:t xml:space="preserve">and clearance processes </w:t>
      </w:r>
      <w:r w:rsidR="00E57FA8" w:rsidRPr="00E44EA0">
        <w:t xml:space="preserve">(including approval by the relevant Minister) as the original report. It </w:t>
      </w:r>
      <w:r w:rsidR="00E57FA8" w:rsidRPr="00E44EA0">
        <w:rPr>
          <w:u w:val="single"/>
        </w:rPr>
        <w:t>must</w:t>
      </w:r>
      <w:r w:rsidR="00E57FA8" w:rsidRPr="00E44EA0">
        <w:t xml:space="preserve"> clearly identify the document being corrected or added to, show the title of the original report or document, page number/s and the correction/addendum details. </w:t>
      </w:r>
      <w:r w:rsidR="008F2A38" w:rsidRPr="00455E0D">
        <w:t>The PM&amp;C Tabling Office can be contacted to discuss options.</w:t>
      </w:r>
      <w:r w:rsidR="008F2A38" w:rsidRPr="00E44EA0">
        <w:t xml:space="preserve"> </w:t>
      </w:r>
    </w:p>
    <w:p w14:paraId="43EFC4C1" w14:textId="77777777" w:rsidR="00451DB5" w:rsidRPr="00E44EA0" w:rsidRDefault="00451DB5" w:rsidP="00D9532B">
      <w:pPr>
        <w:jc w:val="both"/>
      </w:pPr>
      <w:r w:rsidRPr="00D63C8A">
        <w:t xml:space="preserve">The online version of the document </w:t>
      </w:r>
      <w:r w:rsidRPr="00D63C8A">
        <w:rPr>
          <w:u w:val="single"/>
        </w:rPr>
        <w:t>must</w:t>
      </w:r>
      <w:r w:rsidRPr="00D63C8A">
        <w:rPr>
          <w:b/>
          <w:u w:val="single"/>
        </w:rPr>
        <w:t xml:space="preserve"> </w:t>
      </w:r>
      <w:r w:rsidRPr="00D63C8A">
        <w:rPr>
          <w:u w:val="single"/>
        </w:rPr>
        <w:t>not</w:t>
      </w:r>
      <w:r w:rsidRPr="00D63C8A">
        <w:t xml:space="preserve"> be altered until the correction</w:t>
      </w:r>
      <w:r w:rsidR="00356D6B" w:rsidRPr="00D63C8A">
        <w:t>,</w:t>
      </w:r>
      <w:r w:rsidRPr="00D63C8A">
        <w:t xml:space="preserve"> addendum</w:t>
      </w:r>
      <w:r w:rsidR="00356D6B" w:rsidRPr="00D63C8A">
        <w:t xml:space="preserve"> or replacement</w:t>
      </w:r>
      <w:r w:rsidRPr="00D63C8A">
        <w:t xml:space="preserve"> has been tabled</w:t>
      </w:r>
      <w:r w:rsidR="0056594D" w:rsidRPr="00D63C8A">
        <w:t xml:space="preserve"> or </w:t>
      </w:r>
      <w:r w:rsidR="00067A3C" w:rsidRPr="00D63C8A">
        <w:t>presented</w:t>
      </w:r>
      <w:r w:rsidR="0056594D" w:rsidRPr="00D63C8A">
        <w:t xml:space="preserve"> out of sitting</w:t>
      </w:r>
      <w:r w:rsidRPr="00D63C8A">
        <w:t>.</w:t>
      </w:r>
    </w:p>
    <w:p w14:paraId="605BF1DC" w14:textId="77777777" w:rsidR="008B10BB" w:rsidRPr="00E44EA0" w:rsidRDefault="008B10BB">
      <w:pPr>
        <w:autoSpaceDE/>
        <w:autoSpaceDN/>
        <w:spacing w:after="0" w:line="240" w:lineRule="auto"/>
      </w:pPr>
      <w:r w:rsidRPr="00E44EA0">
        <w:br w:type="page"/>
      </w:r>
    </w:p>
    <w:p w14:paraId="425A6548" w14:textId="77777777" w:rsidR="008B10BB" w:rsidRPr="00E44EA0" w:rsidRDefault="0080520A" w:rsidP="008B10BB">
      <w:pPr>
        <w:pStyle w:val="Heading1"/>
      </w:pPr>
      <w:bookmarkStart w:id="4" w:name="_GOVERNMENT_DOCUMENTs"/>
      <w:bookmarkEnd w:id="4"/>
      <w:r>
        <w:lastRenderedPageBreak/>
        <w:t xml:space="preserve">Chapter 2 </w:t>
      </w:r>
      <w:r w:rsidR="00F72A31" w:rsidRPr="00E44EA0">
        <w:t>GOVERNMENT DOCUMENT</w:t>
      </w:r>
      <w:r w:rsidR="00D77913" w:rsidRPr="00E44EA0">
        <w:t>s</w:t>
      </w:r>
    </w:p>
    <w:p w14:paraId="20EC4543" w14:textId="77777777" w:rsidR="009D507D" w:rsidRPr="009D507D"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t>General</w:t>
      </w:r>
    </w:p>
    <w:p w14:paraId="2329E778" w14:textId="77777777" w:rsidR="00D77913" w:rsidRPr="00E44EA0" w:rsidRDefault="00D77913" w:rsidP="00D9532B">
      <w:pPr>
        <w:jc w:val="both"/>
        <w:rPr>
          <w:rFonts w:cstheme="minorHAnsi"/>
        </w:rPr>
      </w:pPr>
      <w:r w:rsidRPr="00E44EA0">
        <w:rPr>
          <w:rFonts w:cstheme="minorHAnsi"/>
        </w:rPr>
        <w:t>Various types of documents are covered by the term ‘</w:t>
      </w:r>
      <w:r w:rsidR="008E0D46" w:rsidRPr="00E44EA0">
        <w:rPr>
          <w:rFonts w:cstheme="minorHAnsi"/>
        </w:rPr>
        <w:t>government document</w:t>
      </w:r>
      <w:r w:rsidR="00DE6CF4">
        <w:rPr>
          <w:rFonts w:cstheme="minorHAnsi"/>
        </w:rPr>
        <w:t>s</w:t>
      </w:r>
      <w:r w:rsidR="00F3066D" w:rsidRPr="00E44EA0">
        <w:rPr>
          <w:rFonts w:cstheme="minorHAnsi"/>
        </w:rPr>
        <w:t>’</w:t>
      </w:r>
      <w:r w:rsidRPr="00E44EA0">
        <w:rPr>
          <w:rFonts w:cstheme="minorHAnsi"/>
        </w:rPr>
        <w:t xml:space="preserve">. By way of general guidance, a government document </w:t>
      </w:r>
      <w:r w:rsidR="004F3F5D" w:rsidRPr="00E44EA0">
        <w:rPr>
          <w:rFonts w:cstheme="minorHAnsi"/>
        </w:rPr>
        <w:t>is likely to include:</w:t>
      </w:r>
    </w:p>
    <w:p w14:paraId="19A1AF0D" w14:textId="77777777" w:rsidR="00D77913" w:rsidRPr="00E44EA0" w:rsidRDefault="004F3F5D" w:rsidP="00D9532B">
      <w:pPr>
        <w:pStyle w:val="ListParagraph"/>
        <w:numPr>
          <w:ilvl w:val="0"/>
          <w:numId w:val="5"/>
        </w:numPr>
        <w:jc w:val="both"/>
      </w:pPr>
      <w:r w:rsidRPr="00E44EA0">
        <w:t>annual reports</w:t>
      </w:r>
      <w:r w:rsidR="00402420" w:rsidRPr="00E44EA0">
        <w:t xml:space="preserve"> </w:t>
      </w:r>
    </w:p>
    <w:p w14:paraId="6AC551FF" w14:textId="77777777" w:rsidR="004F3F5D" w:rsidRPr="00E44EA0" w:rsidRDefault="004F3F5D" w:rsidP="00D9532B">
      <w:pPr>
        <w:pStyle w:val="ListParagraph"/>
        <w:numPr>
          <w:ilvl w:val="0"/>
          <w:numId w:val="5"/>
        </w:numPr>
        <w:jc w:val="both"/>
      </w:pPr>
      <w:r w:rsidRPr="00E44EA0">
        <w:t>r</w:t>
      </w:r>
      <w:r w:rsidR="00580B68" w:rsidRPr="00E44EA0">
        <w:t>eport</w:t>
      </w:r>
      <w:r w:rsidR="00901C60" w:rsidRPr="00E44EA0">
        <w:t>s</w:t>
      </w:r>
      <w:r w:rsidR="00580B68" w:rsidRPr="00E44EA0">
        <w:t xml:space="preserve"> of</w:t>
      </w:r>
      <w:r w:rsidRPr="00E44EA0">
        <w:t xml:space="preserve"> Royal Commission</w:t>
      </w:r>
      <w:r w:rsidR="00FA734F" w:rsidRPr="00E44EA0">
        <w:t>s</w:t>
      </w:r>
    </w:p>
    <w:p w14:paraId="2EE7A065" w14:textId="77777777" w:rsidR="004F3F5D" w:rsidRPr="00E44EA0" w:rsidRDefault="00C2528C" w:rsidP="00D9532B">
      <w:pPr>
        <w:pStyle w:val="ListParagraph"/>
        <w:numPr>
          <w:ilvl w:val="0"/>
          <w:numId w:val="5"/>
        </w:numPr>
        <w:jc w:val="both"/>
      </w:pPr>
      <w:r w:rsidRPr="00E44EA0">
        <w:t xml:space="preserve">periodic </w:t>
      </w:r>
      <w:r w:rsidR="00580B68" w:rsidRPr="00E44EA0">
        <w:t xml:space="preserve">reports with a statutory basis such as </w:t>
      </w:r>
      <w:r w:rsidRPr="00E44EA0">
        <w:t xml:space="preserve">the </w:t>
      </w:r>
      <w:r w:rsidR="008235D5" w:rsidRPr="00E44EA0">
        <w:t xml:space="preserve">Report on the Operation of the </w:t>
      </w:r>
      <w:r w:rsidR="008235D5" w:rsidRPr="00E44EA0">
        <w:rPr>
          <w:i/>
        </w:rPr>
        <w:t>Aged Care Act 1997</w:t>
      </w:r>
      <w:r w:rsidR="008235D5" w:rsidRPr="00E44EA0">
        <w:t xml:space="preserve"> </w:t>
      </w:r>
    </w:p>
    <w:p w14:paraId="070106CE" w14:textId="77777777" w:rsidR="00580B68" w:rsidRPr="00E44EA0" w:rsidRDefault="00580B68" w:rsidP="00D9532B">
      <w:pPr>
        <w:pStyle w:val="ListParagraph"/>
        <w:numPr>
          <w:ilvl w:val="0"/>
          <w:numId w:val="5"/>
        </w:numPr>
        <w:jc w:val="both"/>
      </w:pPr>
      <w:r w:rsidRPr="00E44EA0">
        <w:t>reports tabled at the initiative</w:t>
      </w:r>
      <w:r w:rsidR="00C2528C" w:rsidRPr="00E44EA0">
        <w:t xml:space="preserve"> of the Government</w:t>
      </w:r>
      <w:r w:rsidRPr="00E44EA0">
        <w:t>, e</w:t>
      </w:r>
      <w:r w:rsidR="00BF382C" w:rsidRPr="00E44EA0">
        <w:t>.</w:t>
      </w:r>
      <w:r w:rsidRPr="00E44EA0">
        <w:t>g</w:t>
      </w:r>
      <w:r w:rsidR="00BF382C" w:rsidRPr="00E44EA0">
        <w:t>.</w:t>
      </w:r>
      <w:r w:rsidRPr="00E44EA0">
        <w:t xml:space="preserve">, </w:t>
      </w:r>
      <w:r w:rsidR="002B3FCD" w:rsidRPr="00E44EA0">
        <w:t xml:space="preserve">a </w:t>
      </w:r>
      <w:r w:rsidR="00901C60" w:rsidRPr="00E44EA0">
        <w:t xml:space="preserve">policy </w:t>
      </w:r>
      <w:r w:rsidR="002B3FCD" w:rsidRPr="00E44EA0">
        <w:t>White Paper or an independent review that the Government wishes to table without a legislative requirement to do so</w:t>
      </w:r>
    </w:p>
    <w:p w14:paraId="4D6EC495" w14:textId="77777777" w:rsidR="008235D5" w:rsidRPr="00E44EA0" w:rsidRDefault="00901C60" w:rsidP="00D9532B">
      <w:pPr>
        <w:pStyle w:val="ListParagraph"/>
        <w:numPr>
          <w:ilvl w:val="0"/>
          <w:numId w:val="5"/>
        </w:numPr>
        <w:jc w:val="both"/>
      </w:pPr>
      <w:r w:rsidRPr="00E44EA0">
        <w:t>treaties</w:t>
      </w:r>
      <w:r w:rsidR="00DE6CF4">
        <w:t>.</w:t>
      </w:r>
    </w:p>
    <w:p w14:paraId="2D78675D" w14:textId="77777777" w:rsidR="00F3066D" w:rsidRPr="00E44EA0" w:rsidRDefault="00D77913" w:rsidP="00D9532B">
      <w:pPr>
        <w:jc w:val="both"/>
        <w:rPr>
          <w:rFonts w:cstheme="minorHAnsi"/>
        </w:rPr>
      </w:pPr>
      <w:r w:rsidRPr="00E44EA0">
        <w:rPr>
          <w:rFonts w:cstheme="minorHAnsi"/>
        </w:rPr>
        <w:t xml:space="preserve">Government documents do </w:t>
      </w:r>
      <w:r w:rsidRPr="00E44EA0">
        <w:rPr>
          <w:rFonts w:cstheme="minorHAnsi"/>
          <w:u w:val="single"/>
        </w:rPr>
        <w:t>not</w:t>
      </w:r>
      <w:r w:rsidRPr="00E44EA0">
        <w:rPr>
          <w:rFonts w:cstheme="minorHAnsi"/>
        </w:rPr>
        <w:t xml:space="preserve"> include</w:t>
      </w:r>
      <w:r w:rsidR="00F3066D" w:rsidRPr="00E44EA0">
        <w:rPr>
          <w:rFonts w:cstheme="minorHAnsi"/>
        </w:rPr>
        <w:t>:</w:t>
      </w:r>
    </w:p>
    <w:p w14:paraId="7F222F73" w14:textId="77777777" w:rsidR="00F3066D" w:rsidRPr="00E44EA0" w:rsidRDefault="009F5517" w:rsidP="00D9532B">
      <w:pPr>
        <w:pStyle w:val="ListParagraph"/>
        <w:numPr>
          <w:ilvl w:val="0"/>
          <w:numId w:val="5"/>
        </w:numPr>
        <w:jc w:val="both"/>
      </w:pPr>
      <w:r w:rsidRPr="00E44EA0">
        <w:t>g</w:t>
      </w:r>
      <w:r w:rsidR="00D77913" w:rsidRPr="00E44EA0">
        <w:t xml:space="preserve">overnment responses to </w:t>
      </w:r>
      <w:hyperlink w:anchor="_GOVERNMENT_RESPONSE_to" w:tooltip="Parliamentary Committee reports" w:history="1">
        <w:r w:rsidR="008E5DA2" w:rsidRPr="00E44EA0">
          <w:rPr>
            <w:rStyle w:val="Hyperlink"/>
          </w:rPr>
          <w:t>p</w:t>
        </w:r>
        <w:r w:rsidR="00D77913" w:rsidRPr="00E44EA0">
          <w:rPr>
            <w:rStyle w:val="Hyperlink"/>
          </w:rPr>
          <w:t>arliament</w:t>
        </w:r>
        <w:r w:rsidR="008E5DA2" w:rsidRPr="00E44EA0">
          <w:rPr>
            <w:rStyle w:val="Hyperlink"/>
          </w:rPr>
          <w:t>ary c</w:t>
        </w:r>
        <w:r w:rsidR="00F24522" w:rsidRPr="00E44EA0">
          <w:rPr>
            <w:rStyle w:val="Hyperlink"/>
          </w:rPr>
          <w:t>ommittee reports</w:t>
        </w:r>
      </w:hyperlink>
      <w:r w:rsidR="00F24522" w:rsidRPr="00E44EA0">
        <w:t xml:space="preserve"> </w:t>
      </w:r>
      <w:r w:rsidR="00FA734F" w:rsidRPr="00E44EA0">
        <w:t>(Chapter 3)</w:t>
      </w:r>
    </w:p>
    <w:p w14:paraId="5D8358B8" w14:textId="77777777" w:rsidR="00F3066D" w:rsidRPr="00E44EA0" w:rsidRDefault="00876779" w:rsidP="00D9532B">
      <w:pPr>
        <w:pStyle w:val="ListParagraph"/>
        <w:numPr>
          <w:ilvl w:val="0"/>
          <w:numId w:val="5"/>
        </w:numPr>
        <w:jc w:val="both"/>
      </w:pPr>
      <w:hyperlink w:anchor="_MINISTERIAL_STATEMENTS" w:history="1">
        <w:r w:rsidR="00D77913" w:rsidRPr="00E44EA0">
          <w:rPr>
            <w:rStyle w:val="Hyperlink"/>
          </w:rPr>
          <w:t>Ministerial Statements</w:t>
        </w:r>
      </w:hyperlink>
      <w:r w:rsidR="00D77913" w:rsidRPr="00E44EA0">
        <w:t xml:space="preserve"> (Chapter </w:t>
      </w:r>
      <w:r w:rsidR="00F24522" w:rsidRPr="00E44EA0">
        <w:t>4</w:t>
      </w:r>
      <w:r w:rsidR="00F3066D" w:rsidRPr="00E44EA0">
        <w:t xml:space="preserve">) </w:t>
      </w:r>
    </w:p>
    <w:p w14:paraId="12EF741F" w14:textId="77777777" w:rsidR="00F3066D" w:rsidRPr="00E44EA0" w:rsidRDefault="00876779" w:rsidP="00D9532B">
      <w:pPr>
        <w:pStyle w:val="ListParagraph"/>
        <w:numPr>
          <w:ilvl w:val="0"/>
          <w:numId w:val="5"/>
        </w:numPr>
        <w:jc w:val="both"/>
      </w:pPr>
      <w:hyperlink w:anchor="_deemed/clerk’s_documents" w:history="1">
        <w:r w:rsidR="00F3066D" w:rsidRPr="00E44EA0">
          <w:rPr>
            <w:rStyle w:val="Hyperlink"/>
          </w:rPr>
          <w:t>Deem</w:t>
        </w:r>
        <w:r w:rsidR="00451DB5" w:rsidRPr="00E44EA0">
          <w:rPr>
            <w:rStyle w:val="Hyperlink"/>
          </w:rPr>
          <w:t>ed</w:t>
        </w:r>
        <w:r w:rsidR="00F24522" w:rsidRPr="00E44EA0">
          <w:rPr>
            <w:rStyle w:val="Hyperlink"/>
          </w:rPr>
          <w:t>/Clerk’s documents</w:t>
        </w:r>
      </w:hyperlink>
      <w:r w:rsidR="00F24522" w:rsidRPr="00E44EA0">
        <w:t xml:space="preserve"> (Chapter 5</w:t>
      </w:r>
      <w:r w:rsidR="00F3066D" w:rsidRPr="00E44EA0">
        <w:t>)</w:t>
      </w:r>
    </w:p>
    <w:p w14:paraId="0746849C" w14:textId="77777777" w:rsidR="00393B29" w:rsidRPr="00E44EA0" w:rsidRDefault="005A3A8C" w:rsidP="00D9532B">
      <w:pPr>
        <w:jc w:val="both"/>
      </w:pPr>
      <w:r w:rsidRPr="00E44EA0">
        <w:t>Clarification of</w:t>
      </w:r>
      <w:r w:rsidR="00ED753C" w:rsidRPr="00E44EA0">
        <w:t xml:space="preserve"> what constitutes a government document </w:t>
      </w:r>
      <w:r w:rsidR="00B6684F" w:rsidRPr="00E44EA0">
        <w:t>can be sought from t</w:t>
      </w:r>
      <w:r w:rsidR="00F3066D" w:rsidRPr="00E44EA0">
        <w:t xml:space="preserve">he </w:t>
      </w:r>
      <w:r w:rsidR="00F3066D" w:rsidRPr="00455E0D">
        <w:t>PM&amp;C Tabling Office</w:t>
      </w:r>
      <w:r w:rsidR="002F4086" w:rsidRPr="00455E0D">
        <w:t>,</w:t>
      </w:r>
      <w:r w:rsidR="00F3066D" w:rsidRPr="00E44EA0">
        <w:t xml:space="preserve"> </w:t>
      </w:r>
      <w:r w:rsidR="002D11BB" w:rsidRPr="00E44EA0">
        <w:t>t</w:t>
      </w:r>
      <w:r w:rsidR="00F3066D" w:rsidRPr="00E44EA0">
        <w:t xml:space="preserve">he </w:t>
      </w:r>
      <w:r w:rsidR="00DE6CF4">
        <w:t xml:space="preserve">Senate </w:t>
      </w:r>
      <w:r w:rsidR="008E0D46" w:rsidRPr="00E44EA0">
        <w:t>Documents Officer</w:t>
      </w:r>
      <w:r w:rsidR="00366EAB">
        <w:t xml:space="preserve"> (SDO)</w:t>
      </w:r>
      <w:r w:rsidR="008E0D46" w:rsidRPr="00E44EA0">
        <w:t>,</w:t>
      </w:r>
      <w:r w:rsidR="00B6684F" w:rsidRPr="00E44EA0">
        <w:t xml:space="preserve"> </w:t>
      </w:r>
      <w:r w:rsidR="008E0D46" w:rsidRPr="00E44EA0">
        <w:t xml:space="preserve">or </w:t>
      </w:r>
      <w:r w:rsidR="00FA734F" w:rsidRPr="00E44EA0">
        <w:t xml:space="preserve">the </w:t>
      </w:r>
      <w:r w:rsidR="00DE6CF4">
        <w:t xml:space="preserve">House of Representatives </w:t>
      </w:r>
      <w:r w:rsidR="008E0D46" w:rsidRPr="00E44EA0">
        <w:t>Documents Manager</w:t>
      </w:r>
      <w:r w:rsidR="00DE6CF4">
        <w:t xml:space="preserve"> -</w:t>
      </w:r>
      <w:r w:rsidR="00945933" w:rsidRPr="00E44EA0">
        <w:t xml:space="preserve">– see </w:t>
      </w:r>
      <w:hyperlink w:anchor="_PARLIAMENT_HOUSE_–" w:history="1">
        <w:r w:rsidR="00945933" w:rsidRPr="00E44EA0">
          <w:rPr>
            <w:rStyle w:val="Hyperlink"/>
          </w:rPr>
          <w:t>Key Contacts</w:t>
        </w:r>
      </w:hyperlink>
      <w:r w:rsidR="0050081C">
        <w:rPr>
          <w:rStyle w:val="Hyperlink"/>
        </w:rPr>
        <w:t xml:space="preserve"> (Chapter </w:t>
      </w:r>
      <w:r w:rsidR="007057C7">
        <w:rPr>
          <w:rStyle w:val="Hyperlink"/>
        </w:rPr>
        <w:t>6</w:t>
      </w:r>
      <w:r w:rsidR="0050081C">
        <w:rPr>
          <w:rStyle w:val="Hyperlink"/>
        </w:rPr>
        <w:t>)</w:t>
      </w:r>
      <w:r w:rsidR="00B6684F" w:rsidRPr="00E44EA0">
        <w:t>.</w:t>
      </w:r>
    </w:p>
    <w:p w14:paraId="375A02C1" w14:textId="77777777" w:rsidR="009D507D" w:rsidRPr="009D507D"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t>Annual Reports</w:t>
      </w:r>
    </w:p>
    <w:p w14:paraId="132874CB" w14:textId="77777777" w:rsidR="00692104" w:rsidRDefault="00692104" w:rsidP="00D9532B">
      <w:pPr>
        <w:jc w:val="both"/>
      </w:pPr>
      <w:r>
        <w:t xml:space="preserve">It is expected Annual Reports are tabled prior to </w:t>
      </w:r>
      <w:r w:rsidR="00C16996">
        <w:t xml:space="preserve">the start of </w:t>
      </w:r>
      <w:r w:rsidR="000C646A">
        <w:t xml:space="preserve">the Supplementary </w:t>
      </w:r>
      <w:r>
        <w:t>Budget Estimates hearings each year</w:t>
      </w:r>
      <w:r w:rsidR="00407B6E">
        <w:t xml:space="preserve"> and immediately published on the Transparency Portal after tabling occurs</w:t>
      </w:r>
      <w:r>
        <w:t>. This ensures Annual Reports are available for scrutiny by the relevant Senate standing committee.</w:t>
      </w:r>
      <w:r w:rsidR="00F636BC">
        <w:t xml:space="preserve"> To facilitate this, documents can be tabled in the Senate on any business day in October</w:t>
      </w:r>
      <w:r w:rsidR="00C30394">
        <w:t xml:space="preserve"> </w:t>
      </w:r>
      <w:r w:rsidR="00C30394" w:rsidRPr="00D63C8A">
        <w:rPr>
          <w:u w:val="single"/>
        </w:rPr>
        <w:t>excluding any Thursday when the Senate is sitting</w:t>
      </w:r>
      <w:r w:rsidR="00F636BC" w:rsidRPr="00D63C8A">
        <w:rPr>
          <w:u w:val="single"/>
        </w:rPr>
        <w:t>.</w:t>
      </w:r>
    </w:p>
    <w:p w14:paraId="12153896" w14:textId="77777777" w:rsidR="00123C2F" w:rsidRPr="00E44EA0" w:rsidRDefault="00123C2F" w:rsidP="00D9532B">
      <w:pPr>
        <w:jc w:val="both"/>
        <w:rPr>
          <w:rStyle w:val="Hyperlink"/>
        </w:rPr>
      </w:pPr>
      <w:r w:rsidRPr="00E44EA0">
        <w:t>The Department of Finance</w:t>
      </w:r>
      <w:r w:rsidR="005244F2">
        <w:t xml:space="preserve"> is responsible for establishing the requirements for</w:t>
      </w:r>
      <w:r w:rsidRPr="00E44EA0">
        <w:t xml:space="preserve"> annual reporting by Commonwealth entities and companies. Enquiries about </w:t>
      </w:r>
      <w:r w:rsidR="00ED753C" w:rsidRPr="00E44EA0">
        <w:t xml:space="preserve">the preparation, </w:t>
      </w:r>
      <w:r w:rsidRPr="00E44EA0">
        <w:t xml:space="preserve">content and reporting timeframes should be directed to </w:t>
      </w:r>
      <w:r w:rsidR="00C32F4F" w:rsidRPr="00E44EA0">
        <w:t xml:space="preserve">the </w:t>
      </w:r>
      <w:r w:rsidRPr="00E44EA0">
        <w:t>Department of Finance:</w:t>
      </w:r>
      <w:r w:rsidR="004D5811">
        <w:t xml:space="preserve"> </w:t>
      </w:r>
      <w:hyperlink r:id="rId27" w:history="1">
        <w:r w:rsidR="004D5811" w:rsidRPr="00E258AA">
          <w:rPr>
            <w:rStyle w:val="Hyperlink"/>
          </w:rPr>
          <w:t>PGPA@finance.gov.au</w:t>
        </w:r>
      </w:hyperlink>
      <w:r w:rsidRPr="00E44EA0">
        <w:t xml:space="preserve">. Relevant guidance for Commonwealth entities and companies annual reporting requirements can be located at </w:t>
      </w:r>
      <w:hyperlink r:id="rId28" w:history="1">
        <w:r w:rsidR="003830EC" w:rsidRPr="003830EC">
          <w:rPr>
            <w:rStyle w:val="Hyperlink"/>
          </w:rPr>
          <w:t>https://www.finance.gov.au/government/managing-commonwealth-resources/planning-and-reporting</w:t>
        </w:r>
      </w:hyperlink>
    </w:p>
    <w:p w14:paraId="532885BE" w14:textId="77777777" w:rsidR="00C50FB6" w:rsidRPr="00E44EA0" w:rsidRDefault="00C50FB6" w:rsidP="00D9532B">
      <w:pPr>
        <w:jc w:val="both"/>
      </w:pPr>
      <w:r w:rsidRPr="00E44EA0">
        <w:t xml:space="preserve">Annual reports are periodic reports under section 34C of the </w:t>
      </w:r>
      <w:r w:rsidRPr="00E44EA0">
        <w:rPr>
          <w:i/>
        </w:rPr>
        <w:t>Acts Interpretation Act 1901</w:t>
      </w:r>
      <w:r w:rsidRPr="00E44EA0">
        <w:t xml:space="preserve"> (AIA). In the event that an appropriate deadline for a report cannot be met, an extension </w:t>
      </w:r>
      <w:r w:rsidR="0050081C">
        <w:t>must</w:t>
      </w:r>
      <w:r w:rsidRPr="00E44EA0">
        <w:t xml:space="preserve"> be sought in accordance with relevant le</w:t>
      </w:r>
      <w:r w:rsidR="00320C51" w:rsidRPr="00E44EA0">
        <w:t xml:space="preserve">gislation or subsections 34C(4) or </w:t>
      </w:r>
      <w:r w:rsidRPr="00E44EA0">
        <w:t xml:space="preserve">(7) of the AIA, as appropriate. Whether a report is overdue will depend on the particular circumstances of each Commonwealth entity or Commonwealth company. </w:t>
      </w:r>
    </w:p>
    <w:p w14:paraId="549FAD27" w14:textId="77777777" w:rsidR="00C50FB6" w:rsidRPr="00E44EA0" w:rsidRDefault="00C50FB6" w:rsidP="00D9532B">
      <w:pPr>
        <w:jc w:val="both"/>
      </w:pPr>
      <w:r w:rsidRPr="00E44EA0">
        <w:t xml:space="preserve">Statements relating to extensions for overdue reports which are required to be ‘laid before each chamber of Parliament’ </w:t>
      </w:r>
      <w:r w:rsidR="0050081C">
        <w:t>will</w:t>
      </w:r>
      <w:r w:rsidRPr="00E44EA0">
        <w:t xml:space="preserve"> be tabled as </w:t>
      </w:r>
      <w:r w:rsidR="00936144" w:rsidRPr="00E44EA0">
        <w:t xml:space="preserve">deemed documents in the House </w:t>
      </w:r>
      <w:r w:rsidR="00C32F4F" w:rsidRPr="00E44EA0">
        <w:t xml:space="preserve">of Representatives </w:t>
      </w:r>
      <w:r w:rsidR="00936144" w:rsidRPr="00E44EA0">
        <w:t>and Clerk's documents</w:t>
      </w:r>
      <w:r w:rsidRPr="00E44EA0">
        <w:t xml:space="preserve"> in the </w:t>
      </w:r>
      <w:r w:rsidR="00936144" w:rsidRPr="00E44EA0">
        <w:t>Senate</w:t>
      </w:r>
      <w:r w:rsidRPr="00E44EA0">
        <w:t>.</w:t>
      </w:r>
    </w:p>
    <w:p w14:paraId="0CC296ED" w14:textId="77777777" w:rsidR="009D507D" w:rsidRPr="009D507D"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t>Reports of Royal Commissions</w:t>
      </w:r>
    </w:p>
    <w:p w14:paraId="2024A8D6" w14:textId="77777777" w:rsidR="00AC064E" w:rsidRPr="00E44EA0" w:rsidRDefault="00AC064E" w:rsidP="00D9532B">
      <w:pPr>
        <w:jc w:val="both"/>
      </w:pPr>
      <w:r w:rsidRPr="00E44EA0">
        <w:t xml:space="preserve">The </w:t>
      </w:r>
      <w:r w:rsidRPr="00455E0D">
        <w:t>PM&amp;C Tabling Office</w:t>
      </w:r>
      <w:r w:rsidRPr="00E44EA0">
        <w:t xml:space="preserve"> </w:t>
      </w:r>
      <w:r w:rsidR="00ED753C" w:rsidRPr="00E44EA0">
        <w:rPr>
          <w:u w:val="single"/>
        </w:rPr>
        <w:t>must</w:t>
      </w:r>
      <w:r w:rsidRPr="00E44EA0">
        <w:t xml:space="preserve"> be consulted well in advance when it is proposed to table the report of a Royal Commission. Factors to consider include whether:</w:t>
      </w:r>
    </w:p>
    <w:p w14:paraId="396DF00F" w14:textId="77777777" w:rsidR="00AC064E" w:rsidRPr="00E44EA0" w:rsidRDefault="00AC064E" w:rsidP="00D9532B">
      <w:pPr>
        <w:pStyle w:val="NumbPara-Bullet-1stLevel"/>
        <w:numPr>
          <w:ilvl w:val="0"/>
          <w:numId w:val="21"/>
        </w:numPr>
        <w:jc w:val="both"/>
        <w:rPr>
          <w:rFonts w:ascii="Montserrat Light" w:hAnsi="Montserrat Light" w:cs="Times New Roman"/>
          <w:color w:val="000000"/>
          <w:sz w:val="18"/>
          <w:szCs w:val="24"/>
        </w:rPr>
      </w:pPr>
      <w:r w:rsidRPr="00E44EA0">
        <w:rPr>
          <w:rFonts w:ascii="Montserrat Light" w:hAnsi="Montserrat Light" w:cs="Times New Roman"/>
          <w:color w:val="000000"/>
          <w:sz w:val="18"/>
          <w:szCs w:val="24"/>
        </w:rPr>
        <w:t>a Ministerial Statement is to be made to coincide with the tabling of the report</w:t>
      </w:r>
    </w:p>
    <w:p w14:paraId="499F52E1" w14:textId="77777777" w:rsidR="00AC064E" w:rsidRPr="00E44EA0" w:rsidRDefault="00AC064E" w:rsidP="00D9532B">
      <w:pPr>
        <w:pStyle w:val="NumbPara-Bullet-1stLevel"/>
        <w:numPr>
          <w:ilvl w:val="0"/>
          <w:numId w:val="21"/>
        </w:numPr>
        <w:jc w:val="both"/>
        <w:rPr>
          <w:rFonts w:ascii="Montserrat Light" w:hAnsi="Montserrat Light" w:cs="Times New Roman"/>
          <w:color w:val="000000"/>
          <w:sz w:val="18"/>
          <w:szCs w:val="24"/>
        </w:rPr>
      </w:pPr>
      <w:r w:rsidRPr="00E44EA0">
        <w:rPr>
          <w:rFonts w:ascii="Montserrat Light" w:hAnsi="Montserrat Light" w:cs="Times New Roman"/>
          <w:color w:val="000000"/>
          <w:sz w:val="18"/>
          <w:szCs w:val="24"/>
        </w:rPr>
        <w:t>there are any special copy requirements arising from the number of volumes of the report</w:t>
      </w:r>
    </w:p>
    <w:p w14:paraId="003B5D01" w14:textId="77777777" w:rsidR="00C50FB6" w:rsidRPr="00E44EA0" w:rsidRDefault="00C50FB6" w:rsidP="00D9532B">
      <w:pPr>
        <w:autoSpaceDE/>
        <w:autoSpaceDN/>
        <w:spacing w:after="0" w:line="240" w:lineRule="auto"/>
        <w:jc w:val="both"/>
        <w:rPr>
          <w:b/>
        </w:rPr>
      </w:pPr>
      <w:r w:rsidRPr="00E44EA0">
        <w:rPr>
          <w:b/>
        </w:rPr>
        <w:br w:type="page"/>
      </w:r>
    </w:p>
    <w:p w14:paraId="006BABFC" w14:textId="77777777" w:rsidR="00393B29"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lastRenderedPageBreak/>
        <w:t>Tabling</w:t>
      </w:r>
    </w:p>
    <w:p w14:paraId="3DB19400" w14:textId="77777777" w:rsidR="00EF1C42" w:rsidRPr="00E44EA0" w:rsidRDefault="00356D6B" w:rsidP="00D9532B">
      <w:pPr>
        <w:jc w:val="both"/>
        <w:rPr>
          <w:b/>
        </w:rPr>
      </w:pPr>
      <w:r w:rsidRPr="00E44EA0">
        <w:t xml:space="preserve">Tabling </w:t>
      </w:r>
      <w:r w:rsidR="0050081C">
        <w:t xml:space="preserve">of Government Documents </w:t>
      </w:r>
      <w:r w:rsidRPr="00E44EA0">
        <w:t>va</w:t>
      </w:r>
      <w:r w:rsidR="00EF1C42" w:rsidRPr="00E44EA0">
        <w:t>r</w:t>
      </w:r>
      <w:r w:rsidR="0050081C">
        <w:t>ies</w:t>
      </w:r>
      <w:r w:rsidR="00EF1C42" w:rsidRPr="00E44EA0">
        <w:t xml:space="preserve"> between the two chambers</w:t>
      </w:r>
      <w:r w:rsidR="0050081C">
        <w:t>.</w:t>
      </w:r>
      <w:r w:rsidR="00EF1C42" w:rsidRPr="00E44EA0">
        <w:t xml:space="preserve"> Government documents are presented to the:</w:t>
      </w:r>
    </w:p>
    <w:p w14:paraId="6087A7B7" w14:textId="77777777" w:rsidR="00AC064E" w:rsidRPr="00E44EA0" w:rsidRDefault="00AC064E" w:rsidP="00D9532B">
      <w:pPr>
        <w:pStyle w:val="ListParagraph"/>
        <w:numPr>
          <w:ilvl w:val="0"/>
          <w:numId w:val="19"/>
        </w:numPr>
        <w:jc w:val="both"/>
        <w:rPr>
          <w:rFonts w:cstheme="minorHAnsi"/>
        </w:rPr>
      </w:pPr>
      <w:r w:rsidRPr="00E44EA0">
        <w:rPr>
          <w:rFonts w:cstheme="minorHAnsi"/>
          <w:b/>
        </w:rPr>
        <w:t>Senate</w:t>
      </w:r>
      <w:r w:rsidRPr="00E44EA0">
        <w:rPr>
          <w:rFonts w:cstheme="minorHAnsi"/>
        </w:rPr>
        <w:t xml:space="preserve"> </w:t>
      </w:r>
      <w:r w:rsidR="00FA734F" w:rsidRPr="00E44EA0">
        <w:rPr>
          <w:rFonts w:cstheme="minorHAnsi"/>
        </w:rPr>
        <w:t>-</w:t>
      </w:r>
      <w:r w:rsidRPr="00E44EA0">
        <w:rPr>
          <w:rFonts w:cstheme="minorHAnsi"/>
        </w:rPr>
        <w:t xml:space="preserve"> </w:t>
      </w:r>
      <w:r w:rsidR="00FA734F" w:rsidRPr="00E44EA0">
        <w:rPr>
          <w:rFonts w:cstheme="minorHAnsi"/>
        </w:rPr>
        <w:t>at the c</w:t>
      </w:r>
      <w:r w:rsidRPr="00E44EA0">
        <w:rPr>
          <w:rFonts w:cstheme="minorHAnsi"/>
        </w:rPr>
        <w:t>ommencement of each sitting day</w:t>
      </w:r>
      <w:r w:rsidR="00831839" w:rsidRPr="00E44EA0">
        <w:rPr>
          <w:rFonts w:cstheme="minorHAnsi"/>
        </w:rPr>
        <w:t xml:space="preserve"> </w:t>
      </w:r>
      <w:r w:rsidR="00FA734F" w:rsidRPr="00E44EA0">
        <w:rPr>
          <w:rFonts w:cstheme="minorHAnsi"/>
        </w:rPr>
        <w:t xml:space="preserve">(after </w:t>
      </w:r>
      <w:hyperlink w:anchor="Prayersandacknowledgementofcountry" w:history="1">
        <w:r w:rsidR="00366EAB" w:rsidRPr="003830EC">
          <w:rPr>
            <w:rStyle w:val="Hyperlink"/>
            <w:rFonts w:cstheme="minorHAnsi"/>
          </w:rPr>
          <w:t>A</w:t>
        </w:r>
        <w:r w:rsidR="00FA734F" w:rsidRPr="003830EC">
          <w:rPr>
            <w:rStyle w:val="Hyperlink"/>
            <w:rFonts w:cstheme="minorHAnsi"/>
          </w:rPr>
          <w:t xml:space="preserve">cknowledgement of </w:t>
        </w:r>
        <w:r w:rsidR="00366EAB" w:rsidRPr="00455E0D">
          <w:rPr>
            <w:rStyle w:val="Hyperlink"/>
            <w:rFonts w:cstheme="minorHAnsi"/>
          </w:rPr>
          <w:t>C</w:t>
        </w:r>
        <w:r w:rsidR="00FA734F" w:rsidRPr="00455E0D">
          <w:rPr>
            <w:rStyle w:val="Hyperlink"/>
            <w:rFonts w:cstheme="minorHAnsi"/>
          </w:rPr>
          <w:t>ountry</w:t>
        </w:r>
      </w:hyperlink>
      <w:r w:rsidR="008B3F73">
        <w:rPr>
          <w:rStyle w:val="Hyperlink"/>
          <w:rFonts w:cstheme="minorHAnsi"/>
        </w:rPr>
        <w:t xml:space="preserve"> and Prayers</w:t>
      </w:r>
      <w:r w:rsidR="00FA734F" w:rsidRPr="003830EC">
        <w:rPr>
          <w:rFonts w:cstheme="minorHAnsi"/>
        </w:rPr>
        <w:t>)</w:t>
      </w:r>
      <w:r w:rsidR="00FA734F" w:rsidRPr="00E44EA0">
        <w:rPr>
          <w:rFonts w:cstheme="minorHAnsi"/>
        </w:rPr>
        <w:t xml:space="preserve"> </w:t>
      </w:r>
      <w:r w:rsidR="00831839" w:rsidRPr="00E44EA0">
        <w:rPr>
          <w:rFonts w:cstheme="minorHAnsi"/>
        </w:rPr>
        <w:t xml:space="preserve">– </w:t>
      </w:r>
      <w:r w:rsidR="00451DB5" w:rsidRPr="00E44EA0">
        <w:rPr>
          <w:rFonts w:cstheme="minorHAnsi"/>
        </w:rPr>
        <w:t xml:space="preserve">except </w:t>
      </w:r>
      <w:r w:rsidR="00603928">
        <w:rPr>
          <w:rFonts w:cstheme="minorHAnsi"/>
        </w:rPr>
        <w:t xml:space="preserve">on </w:t>
      </w:r>
      <w:r w:rsidR="00451DB5" w:rsidRPr="00E44EA0">
        <w:rPr>
          <w:rFonts w:cstheme="minorHAnsi"/>
        </w:rPr>
        <w:t>Thursday</w:t>
      </w:r>
      <w:r w:rsidR="00603928">
        <w:rPr>
          <w:rFonts w:cstheme="minorHAnsi"/>
        </w:rPr>
        <w:t>s</w:t>
      </w:r>
    </w:p>
    <w:p w14:paraId="4F3A033A" w14:textId="77777777" w:rsidR="00251A6A" w:rsidRPr="00C46F47" w:rsidRDefault="00AC064E" w:rsidP="00D9532B">
      <w:pPr>
        <w:pStyle w:val="ListParagraph"/>
        <w:numPr>
          <w:ilvl w:val="0"/>
          <w:numId w:val="19"/>
        </w:numPr>
        <w:spacing w:after="240"/>
        <w:ind w:left="714" w:hanging="357"/>
        <w:jc w:val="both"/>
        <w:rPr>
          <w:b/>
        </w:rPr>
      </w:pPr>
      <w:r w:rsidRPr="00E44EA0">
        <w:rPr>
          <w:rFonts w:cstheme="minorHAnsi"/>
          <w:b/>
        </w:rPr>
        <w:t>House of Representatives</w:t>
      </w:r>
      <w:r w:rsidRPr="00E44EA0">
        <w:rPr>
          <w:rFonts w:cstheme="minorHAnsi"/>
        </w:rPr>
        <w:t xml:space="preserve"> - follo</w:t>
      </w:r>
      <w:r w:rsidR="00C32F4F" w:rsidRPr="00E44EA0">
        <w:rPr>
          <w:rFonts w:cstheme="minorHAnsi"/>
        </w:rPr>
        <w:t>w</w:t>
      </w:r>
      <w:r w:rsidRPr="00E44EA0">
        <w:rPr>
          <w:rFonts w:cstheme="minorHAnsi"/>
        </w:rPr>
        <w:t>ing Question Time</w:t>
      </w:r>
      <w:r w:rsidR="005E69CA" w:rsidRPr="00E44EA0">
        <w:rPr>
          <w:rFonts w:cstheme="minorHAnsi"/>
        </w:rPr>
        <w:t xml:space="preserve"> on each sitting day</w:t>
      </w:r>
    </w:p>
    <w:p w14:paraId="7F9AA98C" w14:textId="77777777" w:rsidR="00603928" w:rsidRPr="0062528B" w:rsidRDefault="00603928" w:rsidP="00C46F47">
      <w:pPr>
        <w:spacing w:after="240"/>
        <w:jc w:val="both"/>
      </w:pPr>
      <w:r w:rsidRPr="00C46F47">
        <w:t xml:space="preserve">On </w:t>
      </w:r>
      <w:r w:rsidR="008B3F73">
        <w:t xml:space="preserve">the </w:t>
      </w:r>
      <w:r w:rsidRPr="00C46F47">
        <w:t xml:space="preserve">Thursdays of a sitting week, documents that are presented in the House of Representatives are considered to have been presented to the Parliament and are in the public domain. These documents will then be tabled in the Senate on its next sitting day. </w:t>
      </w:r>
    </w:p>
    <w:p w14:paraId="6B676C1F" w14:textId="77777777" w:rsidR="008F4004" w:rsidRDefault="003C36A6" w:rsidP="008F4004">
      <w:pPr>
        <w:pBdr>
          <w:top w:val="single" w:sz="4" w:space="0" w:color="auto"/>
          <w:left w:val="single" w:sz="4" w:space="0" w:color="auto"/>
          <w:right w:val="single" w:sz="4" w:space="0" w:color="auto"/>
        </w:pBdr>
        <w:shd w:val="clear" w:color="auto" w:fill="B8CCE4" w:themeFill="accent1" w:themeFillTint="66"/>
        <w:spacing w:after="120"/>
        <w:ind w:left="28" w:right="51"/>
        <w:jc w:val="center"/>
        <w:rPr>
          <w:rFonts w:cstheme="minorHAnsi"/>
        </w:rPr>
      </w:pPr>
      <w:r w:rsidRPr="00E44EA0">
        <w:rPr>
          <w:rFonts w:cstheme="minorHAnsi"/>
        </w:rPr>
        <w:t>Government Documents</w:t>
      </w:r>
    </w:p>
    <w:p w14:paraId="79ABE2A9" w14:textId="77777777" w:rsidR="003C36A6" w:rsidRPr="003C36A6" w:rsidRDefault="003C36A6" w:rsidP="008F4004">
      <w:pPr>
        <w:pBdr>
          <w:top w:val="single" w:sz="4" w:space="0" w:color="auto"/>
          <w:left w:val="single" w:sz="4" w:space="0" w:color="auto"/>
          <w:right w:val="single" w:sz="4" w:space="0" w:color="auto"/>
        </w:pBdr>
        <w:shd w:val="clear" w:color="auto" w:fill="B8CCE4" w:themeFill="accent1" w:themeFillTint="66"/>
        <w:spacing w:after="0"/>
        <w:ind w:left="28" w:right="51"/>
        <w:jc w:val="center"/>
        <w:rPr>
          <w:b/>
        </w:rPr>
      </w:pPr>
      <w:r w:rsidRPr="00E44EA0">
        <w:rPr>
          <w:rFonts w:cstheme="minorHAnsi"/>
          <w:b/>
        </w:rPr>
        <w:t>Tabling Days in a Sitting Week</w:t>
      </w:r>
    </w:p>
    <w:tbl>
      <w:tblPr>
        <w:tblStyle w:val="TableGrid"/>
        <w:tblW w:w="0" w:type="auto"/>
        <w:tblLook w:val="04A0" w:firstRow="1" w:lastRow="0" w:firstColumn="1" w:lastColumn="0" w:noHBand="0" w:noVBand="1"/>
      </w:tblPr>
      <w:tblGrid>
        <w:gridCol w:w="1947"/>
        <w:gridCol w:w="1947"/>
        <w:gridCol w:w="1947"/>
        <w:gridCol w:w="1947"/>
        <w:gridCol w:w="1948"/>
      </w:tblGrid>
      <w:tr w:rsidR="00C32F4F" w:rsidRPr="00E44EA0" w14:paraId="2BF2D99D" w14:textId="77777777" w:rsidTr="000D0026">
        <w:trPr>
          <w:tblHeader/>
        </w:trPr>
        <w:tc>
          <w:tcPr>
            <w:tcW w:w="1947" w:type="dxa"/>
            <w:tcBorders>
              <w:left w:val="single" w:sz="4" w:space="0" w:color="auto"/>
            </w:tcBorders>
          </w:tcPr>
          <w:p w14:paraId="522361E8" w14:textId="77777777" w:rsidR="00C32F4F" w:rsidRPr="00E44EA0" w:rsidRDefault="00C32F4F" w:rsidP="00314AE4">
            <w:pPr>
              <w:spacing w:after="240"/>
            </w:pPr>
          </w:p>
        </w:tc>
        <w:tc>
          <w:tcPr>
            <w:tcW w:w="1947" w:type="dxa"/>
            <w:vAlign w:val="center"/>
          </w:tcPr>
          <w:p w14:paraId="326FEC81" w14:textId="77777777" w:rsidR="00C32F4F" w:rsidRPr="00E44EA0" w:rsidRDefault="00C32F4F" w:rsidP="00314AE4">
            <w:pPr>
              <w:jc w:val="center"/>
              <w:rPr>
                <w:rFonts w:cstheme="minorHAnsi"/>
              </w:rPr>
            </w:pPr>
            <w:r w:rsidRPr="00E44EA0">
              <w:rPr>
                <w:rFonts w:cstheme="minorHAnsi"/>
              </w:rPr>
              <w:t>Monday</w:t>
            </w:r>
          </w:p>
        </w:tc>
        <w:tc>
          <w:tcPr>
            <w:tcW w:w="1947" w:type="dxa"/>
            <w:vAlign w:val="center"/>
          </w:tcPr>
          <w:p w14:paraId="0AD0E7EF" w14:textId="77777777" w:rsidR="00C32F4F" w:rsidRPr="00E44EA0" w:rsidRDefault="00C32F4F" w:rsidP="00314AE4">
            <w:pPr>
              <w:jc w:val="center"/>
              <w:rPr>
                <w:rFonts w:cstheme="minorHAnsi"/>
              </w:rPr>
            </w:pPr>
            <w:r w:rsidRPr="00E44EA0">
              <w:rPr>
                <w:rFonts w:cstheme="minorHAnsi"/>
              </w:rPr>
              <w:t>Tuesday</w:t>
            </w:r>
          </w:p>
        </w:tc>
        <w:tc>
          <w:tcPr>
            <w:tcW w:w="1947" w:type="dxa"/>
            <w:vAlign w:val="center"/>
          </w:tcPr>
          <w:p w14:paraId="0B5E71DA" w14:textId="77777777" w:rsidR="00C32F4F" w:rsidRPr="00E44EA0" w:rsidRDefault="00C32F4F" w:rsidP="00314AE4">
            <w:pPr>
              <w:jc w:val="center"/>
              <w:rPr>
                <w:rFonts w:cstheme="minorHAnsi"/>
              </w:rPr>
            </w:pPr>
            <w:r w:rsidRPr="00E44EA0">
              <w:rPr>
                <w:rFonts w:cstheme="minorHAnsi"/>
              </w:rPr>
              <w:t>Wednesday</w:t>
            </w:r>
          </w:p>
        </w:tc>
        <w:tc>
          <w:tcPr>
            <w:tcW w:w="1948" w:type="dxa"/>
            <w:vAlign w:val="center"/>
          </w:tcPr>
          <w:p w14:paraId="41426A3F" w14:textId="77777777" w:rsidR="00C32F4F" w:rsidRPr="00E44EA0" w:rsidRDefault="00C32F4F" w:rsidP="00314AE4">
            <w:pPr>
              <w:jc w:val="center"/>
              <w:rPr>
                <w:rFonts w:cstheme="minorHAnsi"/>
              </w:rPr>
            </w:pPr>
            <w:r w:rsidRPr="00E44EA0">
              <w:rPr>
                <w:rFonts w:cstheme="minorHAnsi"/>
              </w:rPr>
              <w:t>Thursday</w:t>
            </w:r>
          </w:p>
        </w:tc>
      </w:tr>
      <w:tr w:rsidR="00C32F4F" w:rsidRPr="00E44EA0" w14:paraId="037340FB" w14:textId="77777777" w:rsidTr="00314AE4">
        <w:tc>
          <w:tcPr>
            <w:tcW w:w="1947" w:type="dxa"/>
            <w:vAlign w:val="center"/>
          </w:tcPr>
          <w:p w14:paraId="1E933700" w14:textId="77777777" w:rsidR="00C32F4F" w:rsidRPr="00E44EA0" w:rsidRDefault="00C32F4F" w:rsidP="00314AE4">
            <w:pPr>
              <w:jc w:val="center"/>
              <w:rPr>
                <w:rFonts w:cstheme="minorHAnsi"/>
              </w:rPr>
            </w:pPr>
            <w:r w:rsidRPr="00E44EA0">
              <w:rPr>
                <w:rFonts w:cstheme="minorHAnsi"/>
              </w:rPr>
              <w:t xml:space="preserve">Senate </w:t>
            </w:r>
          </w:p>
        </w:tc>
        <w:tc>
          <w:tcPr>
            <w:tcW w:w="1947" w:type="dxa"/>
            <w:vAlign w:val="center"/>
          </w:tcPr>
          <w:p w14:paraId="10B1C21C" w14:textId="77777777" w:rsidR="00C32F4F" w:rsidRPr="00E44EA0" w:rsidRDefault="00C32F4F" w:rsidP="00314AE4">
            <w:pPr>
              <w:jc w:val="center"/>
              <w:rPr>
                <w:rFonts w:cstheme="minorHAnsi"/>
              </w:rPr>
            </w:pPr>
            <w:r w:rsidRPr="00E44EA0">
              <w:rPr>
                <w:rFonts w:cstheme="minorHAnsi"/>
              </w:rPr>
              <w:t>Yes</w:t>
            </w:r>
          </w:p>
        </w:tc>
        <w:tc>
          <w:tcPr>
            <w:tcW w:w="1947" w:type="dxa"/>
            <w:vAlign w:val="center"/>
          </w:tcPr>
          <w:p w14:paraId="0E706E1D" w14:textId="77777777" w:rsidR="00C32F4F" w:rsidRPr="00E44EA0" w:rsidRDefault="00C32F4F" w:rsidP="00314AE4">
            <w:pPr>
              <w:jc w:val="center"/>
              <w:rPr>
                <w:rFonts w:cstheme="minorHAnsi"/>
              </w:rPr>
            </w:pPr>
            <w:r w:rsidRPr="00E44EA0">
              <w:rPr>
                <w:rFonts w:cstheme="minorHAnsi"/>
              </w:rPr>
              <w:t>Yes</w:t>
            </w:r>
          </w:p>
        </w:tc>
        <w:tc>
          <w:tcPr>
            <w:tcW w:w="1947" w:type="dxa"/>
            <w:vAlign w:val="center"/>
          </w:tcPr>
          <w:p w14:paraId="0A3CFC05" w14:textId="77777777" w:rsidR="00C32F4F" w:rsidRPr="00E44EA0" w:rsidRDefault="00C32F4F" w:rsidP="00314AE4">
            <w:pPr>
              <w:jc w:val="center"/>
              <w:rPr>
                <w:rFonts w:cstheme="minorHAnsi"/>
              </w:rPr>
            </w:pPr>
            <w:r w:rsidRPr="00E44EA0">
              <w:rPr>
                <w:rFonts w:cstheme="minorHAnsi"/>
              </w:rPr>
              <w:t>Yes</w:t>
            </w:r>
          </w:p>
        </w:tc>
        <w:tc>
          <w:tcPr>
            <w:tcW w:w="1948" w:type="dxa"/>
            <w:vAlign w:val="center"/>
          </w:tcPr>
          <w:p w14:paraId="609D091B" w14:textId="77777777" w:rsidR="00C32F4F" w:rsidRPr="00E44EA0" w:rsidRDefault="00C32F4F" w:rsidP="00314AE4">
            <w:pPr>
              <w:jc w:val="center"/>
              <w:rPr>
                <w:rFonts w:cstheme="minorHAnsi"/>
              </w:rPr>
            </w:pPr>
            <w:r w:rsidRPr="00E44EA0">
              <w:rPr>
                <w:rFonts w:cstheme="minorHAnsi"/>
              </w:rPr>
              <w:t>No</w:t>
            </w:r>
          </w:p>
        </w:tc>
      </w:tr>
      <w:tr w:rsidR="00C32F4F" w:rsidRPr="00E44EA0" w14:paraId="3CB17A94" w14:textId="77777777" w:rsidTr="00314AE4">
        <w:tc>
          <w:tcPr>
            <w:tcW w:w="1947" w:type="dxa"/>
            <w:vAlign w:val="center"/>
          </w:tcPr>
          <w:p w14:paraId="77908D6F" w14:textId="77777777" w:rsidR="00C32F4F" w:rsidRPr="00E44EA0" w:rsidRDefault="00C32F4F" w:rsidP="00314AE4">
            <w:pPr>
              <w:jc w:val="center"/>
              <w:rPr>
                <w:rFonts w:cstheme="minorHAnsi"/>
              </w:rPr>
            </w:pPr>
            <w:r w:rsidRPr="00E44EA0">
              <w:rPr>
                <w:rFonts w:cstheme="minorHAnsi"/>
              </w:rPr>
              <w:t>House of Representatives</w:t>
            </w:r>
          </w:p>
        </w:tc>
        <w:tc>
          <w:tcPr>
            <w:tcW w:w="1947" w:type="dxa"/>
            <w:vAlign w:val="center"/>
          </w:tcPr>
          <w:p w14:paraId="7F8EDAA0" w14:textId="77777777" w:rsidR="00C32F4F" w:rsidRPr="00E44EA0" w:rsidRDefault="00C32F4F" w:rsidP="00314AE4">
            <w:pPr>
              <w:jc w:val="center"/>
              <w:rPr>
                <w:rFonts w:cstheme="minorHAnsi"/>
              </w:rPr>
            </w:pPr>
            <w:r w:rsidRPr="00E44EA0">
              <w:rPr>
                <w:rFonts w:cstheme="minorHAnsi"/>
              </w:rPr>
              <w:t>Yes</w:t>
            </w:r>
          </w:p>
        </w:tc>
        <w:tc>
          <w:tcPr>
            <w:tcW w:w="1947" w:type="dxa"/>
            <w:vAlign w:val="center"/>
          </w:tcPr>
          <w:p w14:paraId="26661D58" w14:textId="77777777" w:rsidR="00C32F4F" w:rsidRPr="00E44EA0" w:rsidRDefault="00C32F4F" w:rsidP="00314AE4">
            <w:pPr>
              <w:jc w:val="center"/>
              <w:rPr>
                <w:rFonts w:cstheme="minorHAnsi"/>
              </w:rPr>
            </w:pPr>
            <w:r w:rsidRPr="00E44EA0">
              <w:rPr>
                <w:rFonts w:cstheme="minorHAnsi"/>
              </w:rPr>
              <w:t>Yes</w:t>
            </w:r>
          </w:p>
        </w:tc>
        <w:tc>
          <w:tcPr>
            <w:tcW w:w="1947" w:type="dxa"/>
            <w:vAlign w:val="center"/>
          </w:tcPr>
          <w:p w14:paraId="36807E21" w14:textId="77777777" w:rsidR="00C32F4F" w:rsidRPr="00E44EA0" w:rsidRDefault="00C32F4F" w:rsidP="00314AE4">
            <w:pPr>
              <w:jc w:val="center"/>
              <w:rPr>
                <w:rFonts w:cstheme="minorHAnsi"/>
              </w:rPr>
            </w:pPr>
            <w:r w:rsidRPr="00E44EA0">
              <w:rPr>
                <w:rFonts w:cstheme="minorHAnsi"/>
              </w:rPr>
              <w:t>Yes</w:t>
            </w:r>
          </w:p>
        </w:tc>
        <w:tc>
          <w:tcPr>
            <w:tcW w:w="1948" w:type="dxa"/>
            <w:vAlign w:val="center"/>
          </w:tcPr>
          <w:p w14:paraId="7A738490" w14:textId="77777777" w:rsidR="00C32F4F" w:rsidRPr="00E44EA0" w:rsidRDefault="00C32F4F" w:rsidP="00314AE4">
            <w:pPr>
              <w:jc w:val="center"/>
              <w:rPr>
                <w:rFonts w:cstheme="minorHAnsi"/>
              </w:rPr>
            </w:pPr>
            <w:r w:rsidRPr="00E44EA0">
              <w:rPr>
                <w:rFonts w:cstheme="minorHAnsi"/>
              </w:rPr>
              <w:t>Yes*</w:t>
            </w:r>
          </w:p>
        </w:tc>
      </w:tr>
    </w:tbl>
    <w:p w14:paraId="7FB859C0" w14:textId="77777777" w:rsidR="00C32F4F" w:rsidRPr="0012635A" w:rsidRDefault="00C32F4F" w:rsidP="00D9532B">
      <w:pPr>
        <w:jc w:val="both"/>
        <w:rPr>
          <w:rFonts w:cstheme="minorHAnsi"/>
          <w:sz w:val="14"/>
          <w:szCs w:val="14"/>
        </w:rPr>
      </w:pPr>
      <w:r w:rsidRPr="0012635A">
        <w:rPr>
          <w:rFonts w:cstheme="minorHAnsi"/>
          <w:sz w:val="14"/>
          <w:szCs w:val="14"/>
        </w:rPr>
        <w:t>*Documents tabled in the House of Representatives on a Thursday, will be tabled in the Senate when it next meets. When only one chamber is sitting, documents tabled in that chamber will be tabled in the other chamber when it next meets.</w:t>
      </w:r>
    </w:p>
    <w:p w14:paraId="5E5820B8" w14:textId="77777777" w:rsidR="009D507D" w:rsidRPr="009D507D"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t>Timing</w:t>
      </w:r>
    </w:p>
    <w:p w14:paraId="75EC2A5A" w14:textId="77777777" w:rsidR="00451DB5" w:rsidRPr="00E44EA0" w:rsidRDefault="00451DB5" w:rsidP="00D9532B">
      <w:pPr>
        <w:jc w:val="both"/>
      </w:pPr>
      <w:r w:rsidRPr="00E44EA0">
        <w:t xml:space="preserve">Documents </w:t>
      </w:r>
      <w:r w:rsidRPr="00E44EA0">
        <w:rPr>
          <w:u w:val="single"/>
        </w:rPr>
        <w:t>must</w:t>
      </w:r>
      <w:r w:rsidRPr="00E44EA0">
        <w:t xml:space="preserve"> be received </w:t>
      </w:r>
      <w:r w:rsidRPr="003830EC">
        <w:t xml:space="preserve">by </w:t>
      </w:r>
      <w:r w:rsidR="008B3F73" w:rsidRPr="00D63C8A">
        <w:rPr>
          <w:u w:val="single"/>
        </w:rPr>
        <w:t>noon</w:t>
      </w:r>
      <w:r w:rsidR="008B3F73">
        <w:t xml:space="preserve"> </w:t>
      </w:r>
      <w:r w:rsidRPr="00E44EA0">
        <w:t>on the business day ahead of the day proposed for tabling</w:t>
      </w:r>
      <w:r w:rsidR="0074432F">
        <w:t xml:space="preserve"> while the Parliament is sitting</w:t>
      </w:r>
      <w:r w:rsidRPr="00E44EA0">
        <w:t xml:space="preserve">. </w:t>
      </w:r>
      <w:r w:rsidR="0074432F" w:rsidRPr="00E44EA0">
        <w:t xml:space="preserve">Documents </w:t>
      </w:r>
      <w:r w:rsidR="0074432F" w:rsidRPr="00E44EA0">
        <w:rPr>
          <w:u w:val="single"/>
        </w:rPr>
        <w:t>must</w:t>
      </w:r>
      <w:r w:rsidR="0074432F" w:rsidRPr="00E44EA0">
        <w:t xml:space="preserve"> be received </w:t>
      </w:r>
      <w:r w:rsidR="0074432F" w:rsidRPr="003830EC">
        <w:t xml:space="preserve">by </w:t>
      </w:r>
      <w:r w:rsidR="0074432F" w:rsidRPr="00D63C8A">
        <w:rPr>
          <w:u w:val="single"/>
        </w:rPr>
        <w:t>noon</w:t>
      </w:r>
      <w:r w:rsidR="0074432F">
        <w:t xml:space="preserve"> two</w:t>
      </w:r>
      <w:r w:rsidR="0074432F" w:rsidRPr="00E44EA0">
        <w:t xml:space="preserve"> business day</w:t>
      </w:r>
      <w:r w:rsidR="0074432F">
        <w:t>s</w:t>
      </w:r>
      <w:r w:rsidR="0074432F" w:rsidRPr="00E44EA0">
        <w:t xml:space="preserve"> ahead of the day proposed for tabling</w:t>
      </w:r>
      <w:r w:rsidR="0074432F">
        <w:t xml:space="preserve"> </w:t>
      </w:r>
      <w:r w:rsidR="00CA5669">
        <w:t>when the</w:t>
      </w:r>
      <w:r w:rsidR="0074432F">
        <w:t xml:space="preserve"> Senate </w:t>
      </w:r>
      <w:r w:rsidR="00CA5669">
        <w:t>is not sitting</w:t>
      </w:r>
      <w:r w:rsidR="0074432F" w:rsidRPr="00E44EA0">
        <w:t>.</w:t>
      </w:r>
    </w:p>
    <w:p w14:paraId="0021B40A" w14:textId="77777777" w:rsidR="009D507D" w:rsidRPr="009D507D" w:rsidRDefault="009D507D" w:rsidP="009D507D">
      <w:pPr>
        <w:pStyle w:val="Heading2"/>
        <w:rPr>
          <w:rFonts w:ascii="Montserrat Light" w:hAnsi="Montserrat Light"/>
          <w:b/>
          <w:color w:val="auto"/>
          <w:sz w:val="18"/>
          <w:szCs w:val="18"/>
        </w:rPr>
      </w:pPr>
      <w:r>
        <w:rPr>
          <w:rFonts w:ascii="Montserrat Light" w:hAnsi="Montserrat Light"/>
          <w:b/>
          <w:color w:val="auto"/>
          <w:sz w:val="18"/>
          <w:szCs w:val="18"/>
        </w:rPr>
        <w:t>Presentation of documents when the Parliament is not sitting</w:t>
      </w:r>
    </w:p>
    <w:p w14:paraId="28048221" w14:textId="77777777" w:rsidR="00751C61" w:rsidRDefault="00D77913" w:rsidP="00D9532B">
      <w:pPr>
        <w:jc w:val="both"/>
      </w:pPr>
      <w:r w:rsidRPr="00E44EA0">
        <w:t>Gov</w:t>
      </w:r>
      <w:r w:rsidRPr="00E44EA0">
        <w:rPr>
          <w:rFonts w:cstheme="minorHAnsi"/>
        </w:rPr>
        <w:t xml:space="preserve">ernment documents </w:t>
      </w:r>
      <w:r w:rsidR="0009437A" w:rsidRPr="00E44EA0">
        <w:rPr>
          <w:rFonts w:cstheme="minorHAnsi"/>
        </w:rPr>
        <w:t xml:space="preserve">may be presented to the President of the Senate when the </w:t>
      </w:r>
      <w:r w:rsidR="005C5511">
        <w:rPr>
          <w:rFonts w:cstheme="minorHAnsi"/>
        </w:rPr>
        <w:t>Senate</w:t>
      </w:r>
      <w:r w:rsidR="005C5511" w:rsidRPr="00E44EA0">
        <w:rPr>
          <w:rFonts w:cstheme="minorHAnsi"/>
        </w:rPr>
        <w:t xml:space="preserve"> </w:t>
      </w:r>
      <w:r w:rsidR="0009437A" w:rsidRPr="00E44EA0">
        <w:rPr>
          <w:rFonts w:cstheme="minorHAnsi"/>
        </w:rPr>
        <w:t>is not sitting</w:t>
      </w:r>
      <w:r w:rsidR="0038492F" w:rsidRPr="00E44EA0">
        <w:rPr>
          <w:rFonts w:cstheme="minorHAnsi"/>
        </w:rPr>
        <w:t xml:space="preserve">. While there is no similar provision </w:t>
      </w:r>
      <w:r w:rsidR="00A61558" w:rsidRPr="00E44EA0">
        <w:rPr>
          <w:rFonts w:cstheme="minorHAnsi"/>
        </w:rPr>
        <w:t>when t</w:t>
      </w:r>
      <w:r w:rsidR="0038492F" w:rsidRPr="00E44EA0">
        <w:rPr>
          <w:rFonts w:cstheme="minorHAnsi"/>
        </w:rPr>
        <w:t>he</w:t>
      </w:r>
      <w:r w:rsidR="0038492F" w:rsidRPr="00E44EA0">
        <w:t xml:space="preserve"> House of Representatives</w:t>
      </w:r>
      <w:r w:rsidR="00A61558" w:rsidRPr="00E44EA0">
        <w:t xml:space="preserve"> is not sitting</w:t>
      </w:r>
      <w:r w:rsidR="0038492F" w:rsidRPr="00E44EA0">
        <w:t>, tabling in the Senate out of sitting means that the document has been presented to the Parliament and is in the public domain</w:t>
      </w:r>
      <w:r w:rsidR="006F1C6A" w:rsidRPr="00E44EA0">
        <w:t xml:space="preserve"> and covered by </w:t>
      </w:r>
      <w:hyperlink w:anchor="parliamentaryprivilege" w:history="1">
        <w:r w:rsidR="0003233E" w:rsidRPr="00D63C8A">
          <w:rPr>
            <w:rStyle w:val="Hyperlink"/>
            <w:color w:val="auto"/>
            <w:u w:val="none"/>
          </w:rPr>
          <w:t>p</w:t>
        </w:r>
        <w:r w:rsidR="006F1C6A" w:rsidRPr="00D63C8A">
          <w:rPr>
            <w:rStyle w:val="Hyperlink"/>
            <w:color w:val="auto"/>
            <w:u w:val="none"/>
          </w:rPr>
          <w:t xml:space="preserve">arliamentary </w:t>
        </w:r>
        <w:r w:rsidR="0003233E" w:rsidRPr="00D63C8A">
          <w:rPr>
            <w:rStyle w:val="Hyperlink"/>
            <w:color w:val="auto"/>
            <w:u w:val="none"/>
          </w:rPr>
          <w:t>privilege</w:t>
        </w:r>
      </w:hyperlink>
      <w:r w:rsidR="0038492F" w:rsidRPr="00D63C8A">
        <w:rPr>
          <w:color w:val="auto"/>
        </w:rPr>
        <w:t>.</w:t>
      </w:r>
      <w:r w:rsidR="00603928" w:rsidRPr="00D63C8A">
        <w:rPr>
          <w:color w:val="auto"/>
        </w:rPr>
        <w:t xml:space="preserve"> </w:t>
      </w:r>
      <w:r w:rsidR="00603928">
        <w:t xml:space="preserve">These documents will then be tabled in the House of Representatives on its next sitting day. </w:t>
      </w:r>
    </w:p>
    <w:p w14:paraId="5001030E" w14:textId="77777777" w:rsidR="00791004" w:rsidRPr="00E44EA0" w:rsidRDefault="00603928" w:rsidP="00D9532B">
      <w:pPr>
        <w:jc w:val="both"/>
      </w:pPr>
      <w:r>
        <w:t>Government documents are typically presented out of sitting in the Senate on Thursdays</w:t>
      </w:r>
      <w:r w:rsidR="00C97C9F">
        <w:t>. Documents are able to be presented out of sitting in the Senate on all</w:t>
      </w:r>
      <w:r>
        <w:t xml:space="preserve"> business days during the month of October. </w:t>
      </w:r>
    </w:p>
    <w:p w14:paraId="51DF1ADC" w14:textId="77777777" w:rsidR="002A63B3" w:rsidRPr="00E44EA0" w:rsidRDefault="002A63B3" w:rsidP="00D9532B">
      <w:pPr>
        <w:jc w:val="both"/>
      </w:pPr>
      <w:r w:rsidRPr="00E44EA0">
        <w:br w:type="page"/>
      </w:r>
    </w:p>
    <w:p w14:paraId="77163D8A" w14:textId="77777777" w:rsidR="003B1902" w:rsidRPr="00550599" w:rsidRDefault="003B1902" w:rsidP="003B1902">
      <w:pPr>
        <w:pStyle w:val="Heading2"/>
        <w:rPr>
          <w:b/>
          <w:color w:val="auto"/>
        </w:rPr>
      </w:pPr>
      <w:bookmarkStart w:id="5" w:name="_Key_tasks_-"/>
      <w:bookmarkEnd w:id="5"/>
      <w:r>
        <w:rPr>
          <w:b/>
          <w:color w:val="auto"/>
        </w:rPr>
        <w:lastRenderedPageBreak/>
        <w:t xml:space="preserve">Key Tasks – Government </w:t>
      </w:r>
      <w:r w:rsidRPr="00550599">
        <w:rPr>
          <w:b/>
          <w:color w:val="auto"/>
        </w:rPr>
        <w:t>Documents – Sitting Day</w:t>
      </w:r>
    </w:p>
    <w:p w14:paraId="2B43CC3F" w14:textId="77777777" w:rsidR="00BB1656" w:rsidRDefault="00BB1656" w:rsidP="00427725"/>
    <w:p w14:paraId="62FF6321" w14:textId="77777777" w:rsidR="002A63B3" w:rsidRPr="00E44EA0" w:rsidRDefault="002A63B3" w:rsidP="00427725">
      <w:r w:rsidRPr="00E44EA0">
        <w:t xml:space="preserve">Key tasks for tabling a </w:t>
      </w:r>
      <w:r w:rsidRPr="00E44EA0">
        <w:rPr>
          <w:u w:val="single"/>
        </w:rPr>
        <w:t>government document on a sitting day</w:t>
      </w:r>
      <w:r w:rsidRPr="00E44EA0">
        <w:t>.</w:t>
      </w:r>
    </w:p>
    <w:p w14:paraId="7A8AC572" w14:textId="77777777" w:rsidR="008C5611" w:rsidRPr="00E44EA0" w:rsidRDefault="008C5611" w:rsidP="00427725">
      <w:pPr>
        <w:tabs>
          <w:tab w:val="left" w:pos="360"/>
        </w:tabs>
        <w:spacing w:after="240"/>
        <w:ind w:left="357" w:hanging="357"/>
        <w:rPr>
          <w:rFonts w:ascii="Arial" w:hAnsi="Arial" w:cs="Arial"/>
          <w:sz w:val="22"/>
          <w:szCs w:val="22"/>
        </w:rPr>
      </w:pPr>
      <w:r w:rsidRPr="00E44EA0">
        <w:rPr>
          <w:rFonts w:ascii="Arial" w:hAnsi="Arial" w:cs="Arial"/>
          <w:sz w:val="22"/>
          <w:szCs w:val="22"/>
        </w:rPr>
        <w:sym w:font="Wingdings" w:char="F072"/>
      </w:r>
      <w:r w:rsidRPr="00E44EA0">
        <w:rPr>
          <w:rFonts w:ascii="Arial" w:hAnsi="Arial" w:cs="Arial"/>
          <w:sz w:val="22"/>
          <w:szCs w:val="22"/>
        </w:rPr>
        <w:tab/>
      </w:r>
      <w:r w:rsidRPr="00E44EA0">
        <w:rPr>
          <w:rFonts w:cs="Arial"/>
          <w:b/>
          <w:szCs w:val="18"/>
        </w:rPr>
        <w:t>Approval</w:t>
      </w:r>
      <w:r w:rsidRPr="00E44EA0">
        <w:rPr>
          <w:rFonts w:cs="Arial"/>
          <w:szCs w:val="18"/>
        </w:rPr>
        <w:t xml:space="preserve"> — Ministerial approval is required for a government document to be tabled in the Parliament</w:t>
      </w:r>
    </w:p>
    <w:p w14:paraId="38C5AC29" w14:textId="77777777" w:rsidR="002A63B3" w:rsidRPr="00E44EA0" w:rsidRDefault="002A63B3" w:rsidP="002A63B3">
      <w:pPr>
        <w:tabs>
          <w:tab w:val="left" w:pos="360"/>
        </w:tabs>
        <w:spacing w:after="80"/>
        <w:ind w:left="360" w:hanging="360"/>
        <w:rPr>
          <w:b/>
        </w:rPr>
      </w:pPr>
      <w:r w:rsidRPr="00E44EA0">
        <w:rPr>
          <w:rFonts w:ascii="Arial" w:hAnsi="Arial" w:cs="Arial"/>
          <w:sz w:val="22"/>
          <w:szCs w:val="22"/>
        </w:rPr>
        <w:sym w:font="Wingdings" w:char="F072"/>
      </w:r>
      <w:r w:rsidRPr="00E44EA0">
        <w:rPr>
          <w:rFonts w:ascii="Arial" w:hAnsi="Arial" w:cs="Arial"/>
          <w:sz w:val="22"/>
          <w:szCs w:val="22"/>
        </w:rPr>
        <w:tab/>
      </w:r>
      <w:r w:rsidRPr="00E44EA0">
        <w:rPr>
          <w:b/>
        </w:rPr>
        <w:t>Identify the preferred day for tabling</w:t>
      </w:r>
    </w:p>
    <w:p w14:paraId="126A8394" w14:textId="77777777" w:rsidR="002A63B3" w:rsidRPr="005523AE" w:rsidRDefault="002A63B3" w:rsidP="005523AE">
      <w:pPr>
        <w:pStyle w:val="ListParagraph"/>
        <w:numPr>
          <w:ilvl w:val="0"/>
          <w:numId w:val="34"/>
        </w:numPr>
        <w:tabs>
          <w:tab w:val="left" w:pos="360"/>
        </w:tabs>
        <w:spacing w:after="80"/>
      </w:pPr>
      <w:r w:rsidRPr="005523AE">
        <w:t>House of Representatives</w:t>
      </w:r>
      <w:r w:rsidRPr="00E44EA0">
        <w:t xml:space="preserve"> - Monday, Tuesday, Wednesday or Thursday</w:t>
      </w:r>
    </w:p>
    <w:p w14:paraId="1B4680B6" w14:textId="77777777" w:rsidR="008C5611" w:rsidRPr="00E44EA0" w:rsidRDefault="002A63B3" w:rsidP="005523AE">
      <w:pPr>
        <w:pStyle w:val="ListParagraph"/>
        <w:numPr>
          <w:ilvl w:val="0"/>
          <w:numId w:val="34"/>
        </w:numPr>
        <w:tabs>
          <w:tab w:val="left" w:pos="360"/>
        </w:tabs>
        <w:spacing w:after="80"/>
      </w:pPr>
      <w:r w:rsidRPr="005523AE">
        <w:t>Senate</w:t>
      </w:r>
      <w:r w:rsidRPr="00E44EA0">
        <w:t xml:space="preserve"> – Monday, Tuesday or Wednesday</w:t>
      </w:r>
    </w:p>
    <w:p w14:paraId="7AC48594" w14:textId="77777777" w:rsidR="008C5611" w:rsidRPr="00E44EA0" w:rsidRDefault="008C5611" w:rsidP="008C5611">
      <w:pPr>
        <w:tabs>
          <w:tab w:val="left" w:pos="360"/>
        </w:tabs>
        <w:spacing w:after="80"/>
        <w:ind w:left="360" w:hanging="360"/>
      </w:pPr>
      <w:r w:rsidRPr="00E44EA0">
        <w:rPr>
          <w:rFonts w:ascii="Arial" w:hAnsi="Arial" w:cs="Arial"/>
          <w:sz w:val="22"/>
          <w:szCs w:val="22"/>
        </w:rPr>
        <w:sym w:font="Wingdings" w:char="F072"/>
      </w:r>
      <w:r w:rsidRPr="00E44EA0">
        <w:rPr>
          <w:rFonts w:ascii="Arial" w:hAnsi="Arial" w:cs="Arial"/>
          <w:sz w:val="22"/>
          <w:szCs w:val="22"/>
        </w:rPr>
        <w:tab/>
      </w:r>
      <w:r w:rsidRPr="00E44EA0">
        <w:rPr>
          <w:b/>
        </w:rPr>
        <w:t xml:space="preserve">Business day before delivery – </w:t>
      </w:r>
      <w:r w:rsidRPr="00E44EA0">
        <w:t xml:space="preserve">departments </w:t>
      </w:r>
      <w:r w:rsidRPr="00E44EA0">
        <w:rPr>
          <w:u w:val="single"/>
        </w:rPr>
        <w:t>must</w:t>
      </w:r>
    </w:p>
    <w:p w14:paraId="60457932" w14:textId="77777777" w:rsidR="008C5611" w:rsidRPr="00E44EA0" w:rsidRDefault="008C5611" w:rsidP="005523AE">
      <w:pPr>
        <w:pStyle w:val="ListParagraph"/>
        <w:numPr>
          <w:ilvl w:val="0"/>
          <w:numId w:val="34"/>
        </w:numPr>
        <w:tabs>
          <w:tab w:val="left" w:pos="360"/>
        </w:tabs>
        <w:spacing w:after="80"/>
      </w:pPr>
      <w:r w:rsidRPr="00E44EA0">
        <w:t xml:space="preserve">email the </w:t>
      </w:r>
      <w:hyperlink r:id="rId29" w:history="1">
        <w:r w:rsidR="002C5945" w:rsidRPr="005523AE">
          <w:rPr>
            <w:rStyle w:val="Hyperlink"/>
          </w:rPr>
          <w:t>loadingdock@aph.gov.au</w:t>
        </w:r>
      </w:hyperlink>
      <w:r w:rsidRPr="00E44EA0">
        <w:t xml:space="preserve"> </w:t>
      </w:r>
      <w:r w:rsidR="00366EAB" w:rsidRPr="00455E0D">
        <w:t>to advise that a document will be delivered the following day</w:t>
      </w:r>
    </w:p>
    <w:p w14:paraId="64476BDF" w14:textId="77777777" w:rsidR="008C5611" w:rsidRPr="00E44EA0" w:rsidRDefault="008C5611" w:rsidP="005523AE">
      <w:pPr>
        <w:pStyle w:val="ListParagraph"/>
        <w:numPr>
          <w:ilvl w:val="0"/>
          <w:numId w:val="34"/>
        </w:numPr>
        <w:tabs>
          <w:tab w:val="left" w:pos="360"/>
        </w:tabs>
        <w:spacing w:after="80"/>
      </w:pPr>
      <w:r w:rsidRPr="00E44EA0">
        <w:t>respond to the email seeking information about the vehicle, drive</w:t>
      </w:r>
      <w:r w:rsidR="00356D6B" w:rsidRPr="00E44EA0">
        <w:t>r</w:t>
      </w:r>
      <w:r w:rsidRPr="00E44EA0">
        <w:t xml:space="preserve"> etc</w:t>
      </w:r>
    </w:p>
    <w:p w14:paraId="23023BC1" w14:textId="77777777" w:rsidR="008C5611" w:rsidRDefault="008C5611" w:rsidP="005523AE">
      <w:pPr>
        <w:pStyle w:val="ListParagraph"/>
        <w:numPr>
          <w:ilvl w:val="0"/>
          <w:numId w:val="34"/>
        </w:numPr>
        <w:tabs>
          <w:tab w:val="left" w:pos="360"/>
        </w:tabs>
        <w:spacing w:after="80"/>
      </w:pPr>
      <w:r w:rsidRPr="00E44EA0">
        <w:t xml:space="preserve">ensure printers and couriers are aware of this requirement, noting a failure to </w:t>
      </w:r>
      <w:r w:rsidR="00427725" w:rsidRPr="00E44EA0">
        <w:t>provide the required information may lead to the vehicle being turned away</w:t>
      </w:r>
    </w:p>
    <w:p w14:paraId="27BB2A9D" w14:textId="77777777" w:rsidR="008B3F73" w:rsidRDefault="008B3F73" w:rsidP="005523AE">
      <w:pPr>
        <w:pStyle w:val="ListParagraph"/>
        <w:numPr>
          <w:ilvl w:val="0"/>
          <w:numId w:val="34"/>
        </w:numPr>
        <w:tabs>
          <w:tab w:val="left" w:pos="360"/>
        </w:tabs>
        <w:spacing w:after="80"/>
      </w:pPr>
      <w:r>
        <w:t>upload a PDF of the document to the Online Tabled Documents system</w:t>
      </w:r>
      <w:r w:rsidR="00972B89">
        <w:t xml:space="preserve"> and complete related information</w:t>
      </w:r>
    </w:p>
    <w:p w14:paraId="525E9829" w14:textId="77777777" w:rsidR="002A22AA" w:rsidRPr="00E44EA0" w:rsidRDefault="00C03CD2" w:rsidP="005523AE">
      <w:pPr>
        <w:pStyle w:val="ListParagraph"/>
        <w:numPr>
          <w:ilvl w:val="0"/>
          <w:numId w:val="34"/>
        </w:numPr>
        <w:tabs>
          <w:tab w:val="left" w:pos="360"/>
        </w:tabs>
        <w:spacing w:after="80"/>
      </w:pPr>
      <w:r>
        <w:t xml:space="preserve">email signed </w:t>
      </w:r>
      <w:r w:rsidR="002A22AA">
        <w:t>tabling minute</w:t>
      </w:r>
      <w:r w:rsidR="00972B89">
        <w:t>, and documents to</w:t>
      </w:r>
      <w:r w:rsidR="002A22AA">
        <w:t xml:space="preserve"> </w:t>
      </w:r>
      <w:hyperlink r:id="rId30" w:history="1">
        <w:r w:rsidR="002A22AA" w:rsidRPr="005523AE">
          <w:rPr>
            <w:rStyle w:val="Hyperlink"/>
          </w:rPr>
          <w:t>tabling@pmc.gov.au</w:t>
        </w:r>
      </w:hyperlink>
      <w:r w:rsidR="002A22AA" w:rsidRPr="005523AE">
        <w:rPr>
          <w:rStyle w:val="Hyperlink"/>
        </w:rPr>
        <w:t xml:space="preserve"> </w:t>
      </w:r>
    </w:p>
    <w:p w14:paraId="12002F8B" w14:textId="77777777" w:rsidR="00082055" w:rsidRDefault="00427725" w:rsidP="00427725">
      <w:pPr>
        <w:tabs>
          <w:tab w:val="left" w:pos="360"/>
        </w:tabs>
        <w:spacing w:after="80"/>
        <w:ind w:left="360" w:hanging="360"/>
        <w:rPr>
          <w:rFonts w:cstheme="minorHAnsi"/>
        </w:rPr>
      </w:pPr>
      <w:r w:rsidRPr="00E44EA0">
        <w:rPr>
          <w:rFonts w:ascii="Arial" w:hAnsi="Arial" w:cs="Arial"/>
          <w:sz w:val="22"/>
          <w:szCs w:val="22"/>
        </w:rPr>
        <w:sym w:font="Wingdings" w:char="F072"/>
      </w:r>
      <w:r w:rsidRPr="00E44EA0">
        <w:rPr>
          <w:rFonts w:ascii="Arial" w:hAnsi="Arial" w:cs="Arial"/>
          <w:sz w:val="22"/>
          <w:szCs w:val="22"/>
        </w:rPr>
        <w:tab/>
      </w:r>
      <w:r w:rsidRPr="00E44EA0">
        <w:rPr>
          <w:b/>
        </w:rPr>
        <w:t>Delivery day</w:t>
      </w:r>
      <w:r w:rsidR="00082055">
        <w:rPr>
          <w:b/>
        </w:rPr>
        <w:t xml:space="preserve"> – by </w:t>
      </w:r>
      <w:r w:rsidR="00082055" w:rsidRPr="00455E0D">
        <w:rPr>
          <w:b/>
          <w:u w:val="single"/>
        </w:rPr>
        <w:t xml:space="preserve">no later than </w:t>
      </w:r>
      <w:r w:rsidR="008B3F73">
        <w:rPr>
          <w:b/>
          <w:u w:val="single"/>
        </w:rPr>
        <w:t>noon</w:t>
      </w:r>
      <w:r w:rsidR="00082055" w:rsidRPr="00455E0D">
        <w:rPr>
          <w:b/>
          <w:u w:val="single"/>
        </w:rPr>
        <w:t xml:space="preserve"> the business day before the day proposed for tabling</w:t>
      </w:r>
    </w:p>
    <w:p w14:paraId="2C2CA863" w14:textId="77777777" w:rsidR="00427725" w:rsidRPr="00C46F47" w:rsidRDefault="00427725" w:rsidP="00455E0D">
      <w:pPr>
        <w:pStyle w:val="ListParagraph"/>
        <w:numPr>
          <w:ilvl w:val="0"/>
          <w:numId w:val="34"/>
        </w:numPr>
        <w:tabs>
          <w:tab w:val="left" w:pos="360"/>
        </w:tabs>
        <w:spacing w:after="80"/>
      </w:pPr>
      <w:r w:rsidRPr="00E44EA0">
        <w:t>deliver bulk copies to the Parliament House Loading Dock via Brisbane Avenue</w:t>
      </w:r>
      <w:r w:rsidRPr="00082055">
        <w:rPr>
          <w:rFonts w:cstheme="minorHAnsi"/>
        </w:rPr>
        <w:t>, packaged using prescribe</w:t>
      </w:r>
      <w:r w:rsidR="002A22AA" w:rsidRPr="00C46F47">
        <w:t xml:space="preserve">d labels listed under ‘Appendixes’ on the </w:t>
      </w:r>
      <w:hyperlink r:id="rId31" w:history="1">
        <w:r w:rsidR="002A22AA" w:rsidRPr="007E7708">
          <w:rPr>
            <w:rStyle w:val="Hyperlink"/>
          </w:rPr>
          <w:t xml:space="preserve">PM&amp;C </w:t>
        </w:r>
        <w:r w:rsidR="002A22AA">
          <w:rPr>
            <w:rStyle w:val="Hyperlink"/>
          </w:rPr>
          <w:t xml:space="preserve">Tabling Guidelines </w:t>
        </w:r>
        <w:r w:rsidR="002A22AA" w:rsidRPr="007E7708">
          <w:rPr>
            <w:rStyle w:val="Hyperlink"/>
          </w:rPr>
          <w:t>website</w:t>
        </w:r>
      </w:hyperlink>
      <w:r w:rsidR="002A22AA">
        <w:t>.</w:t>
      </w:r>
    </w:p>
    <w:p w14:paraId="48449CFB" w14:textId="77777777" w:rsidR="00427725" w:rsidRPr="00E44EA0" w:rsidRDefault="00427725" w:rsidP="00455E0D">
      <w:pPr>
        <w:pStyle w:val="Dash"/>
      </w:pPr>
      <w:r w:rsidRPr="00E44EA0">
        <w:t xml:space="preserve">Senate Table Office </w:t>
      </w:r>
    </w:p>
    <w:p w14:paraId="0B4719CF" w14:textId="77777777" w:rsidR="00427725" w:rsidRPr="00E44EA0" w:rsidRDefault="00427725" w:rsidP="00455E0D">
      <w:pPr>
        <w:pStyle w:val="Dash"/>
      </w:pPr>
      <w:r w:rsidRPr="00E44EA0">
        <w:t xml:space="preserve">House of Representatives Table Office </w:t>
      </w:r>
    </w:p>
    <w:p w14:paraId="41B5DEC2" w14:textId="77777777" w:rsidR="00427725" w:rsidRPr="00E44EA0" w:rsidRDefault="00427725" w:rsidP="00455E0D">
      <w:pPr>
        <w:pStyle w:val="Dash"/>
      </w:pPr>
      <w:r w:rsidRPr="00E44EA0">
        <w:t xml:space="preserve">Parliamentary Press Gallery </w:t>
      </w:r>
    </w:p>
    <w:p w14:paraId="792F9A08" w14:textId="77777777" w:rsidR="00427725" w:rsidRDefault="00427725" w:rsidP="00455E0D">
      <w:pPr>
        <w:pStyle w:val="Dash"/>
      </w:pPr>
      <w:r w:rsidRPr="00E44EA0">
        <w:t xml:space="preserve">Parliamentary Library </w:t>
      </w:r>
    </w:p>
    <w:p w14:paraId="323511C7" w14:textId="77777777" w:rsidR="00082055" w:rsidRPr="00455E0D" w:rsidRDefault="0013450B" w:rsidP="00455E0D">
      <w:pPr>
        <w:pStyle w:val="Dash"/>
      </w:pPr>
      <w:r>
        <w:t xml:space="preserve">PM&amp;C Tabling </w:t>
      </w:r>
      <w:r w:rsidR="0012635A">
        <w:t>Office</w:t>
      </w:r>
    </w:p>
    <w:p w14:paraId="38F7D649" w14:textId="77777777" w:rsidR="002A63B3" w:rsidRPr="00E44EA0" w:rsidRDefault="002A63B3" w:rsidP="002A63B3">
      <w:pPr>
        <w:tabs>
          <w:tab w:val="left" w:pos="360"/>
        </w:tabs>
        <w:spacing w:after="80"/>
        <w:ind w:left="360" w:hanging="360"/>
        <w:rPr>
          <w:szCs w:val="18"/>
        </w:rPr>
      </w:pPr>
      <w:r w:rsidRPr="00E44EA0">
        <w:rPr>
          <w:rFonts w:ascii="Arial" w:hAnsi="Arial" w:cs="Arial"/>
          <w:sz w:val="22"/>
          <w:szCs w:val="22"/>
        </w:rPr>
        <w:sym w:font="Wingdings" w:char="F072"/>
      </w:r>
      <w:r w:rsidRPr="00E44EA0">
        <w:rPr>
          <w:rFonts w:cs="Arial"/>
          <w:szCs w:val="18"/>
        </w:rPr>
        <w:tab/>
      </w:r>
      <w:r w:rsidRPr="00E44EA0">
        <w:rPr>
          <w:b/>
          <w:szCs w:val="18"/>
        </w:rPr>
        <w:t>Document</w:t>
      </w:r>
      <w:r w:rsidR="00ED753C" w:rsidRPr="00E44EA0">
        <w:rPr>
          <w:b/>
          <w:szCs w:val="18"/>
        </w:rPr>
        <w:t>/s</w:t>
      </w:r>
      <w:r w:rsidRPr="00E44EA0">
        <w:rPr>
          <w:b/>
          <w:szCs w:val="18"/>
        </w:rPr>
        <w:t xml:space="preserve"> tabled in the House</w:t>
      </w:r>
      <w:r w:rsidR="00EA1A9F" w:rsidRPr="00E44EA0">
        <w:rPr>
          <w:b/>
          <w:szCs w:val="18"/>
        </w:rPr>
        <w:t xml:space="preserve"> of Representatives</w:t>
      </w:r>
      <w:r w:rsidRPr="00E44EA0">
        <w:rPr>
          <w:b/>
          <w:szCs w:val="18"/>
        </w:rPr>
        <w:t xml:space="preserve"> and/or Senate</w:t>
      </w:r>
    </w:p>
    <w:p w14:paraId="16E483F1" w14:textId="77777777" w:rsidR="00F10421" w:rsidRPr="00E44EA0" w:rsidRDefault="00CF51AD" w:rsidP="005523AE">
      <w:pPr>
        <w:pStyle w:val="ListParagraph"/>
        <w:numPr>
          <w:ilvl w:val="0"/>
          <w:numId w:val="34"/>
        </w:numPr>
        <w:tabs>
          <w:tab w:val="left" w:pos="360"/>
        </w:tabs>
        <w:spacing w:after="80"/>
      </w:pPr>
      <w:r w:rsidRPr="00E44EA0">
        <w:t>the</w:t>
      </w:r>
      <w:r w:rsidR="00F10421" w:rsidRPr="00E44EA0">
        <w:t xml:space="preserve"> </w:t>
      </w:r>
      <w:hyperlink w:anchor="HouseLiveMinutes" w:history="1">
        <w:r w:rsidR="00F10421" w:rsidRPr="005523AE">
          <w:rPr>
            <w:rStyle w:val="Hyperlink"/>
          </w:rPr>
          <w:t xml:space="preserve">House </w:t>
        </w:r>
        <w:r w:rsidR="002A22AA" w:rsidRPr="005523AE">
          <w:rPr>
            <w:rStyle w:val="Hyperlink"/>
          </w:rPr>
          <w:t>L</w:t>
        </w:r>
        <w:r w:rsidR="00F10421" w:rsidRPr="005523AE">
          <w:rPr>
            <w:rStyle w:val="Hyperlink"/>
          </w:rPr>
          <w:t xml:space="preserve">ive </w:t>
        </w:r>
        <w:r w:rsidR="002A22AA" w:rsidRPr="005523AE">
          <w:rPr>
            <w:rStyle w:val="Hyperlink"/>
          </w:rPr>
          <w:t>M</w:t>
        </w:r>
        <w:r w:rsidR="00F10421" w:rsidRPr="005523AE">
          <w:rPr>
            <w:rStyle w:val="Hyperlink"/>
          </w:rPr>
          <w:t>inutes</w:t>
        </w:r>
      </w:hyperlink>
      <w:r w:rsidR="00F10421" w:rsidRPr="00E44EA0">
        <w:t xml:space="preserve"> and/or </w:t>
      </w:r>
      <w:hyperlink w:anchor="SenateDynamicRed" w:history="1">
        <w:r w:rsidR="00F10421" w:rsidRPr="005523AE">
          <w:rPr>
            <w:rStyle w:val="Hyperlink"/>
          </w:rPr>
          <w:t xml:space="preserve">Senate </w:t>
        </w:r>
        <w:r w:rsidR="002A22AA" w:rsidRPr="005523AE">
          <w:rPr>
            <w:rStyle w:val="Hyperlink"/>
          </w:rPr>
          <w:t>D</w:t>
        </w:r>
        <w:r w:rsidR="00F10421" w:rsidRPr="005523AE">
          <w:rPr>
            <w:rStyle w:val="Hyperlink"/>
          </w:rPr>
          <w:t xml:space="preserve">ynamic </w:t>
        </w:r>
        <w:r w:rsidR="002A22AA" w:rsidRPr="005523AE">
          <w:rPr>
            <w:rStyle w:val="Hyperlink"/>
          </w:rPr>
          <w:t>R</w:t>
        </w:r>
        <w:r w:rsidR="00F10421" w:rsidRPr="005523AE">
          <w:rPr>
            <w:rStyle w:val="Hyperlink"/>
          </w:rPr>
          <w:t>ed</w:t>
        </w:r>
      </w:hyperlink>
      <w:r w:rsidR="008D062D" w:rsidRPr="005523AE">
        <w:t xml:space="preserve"> </w:t>
      </w:r>
      <w:r w:rsidR="008D062D" w:rsidRPr="00E44EA0">
        <w:t>will show tabling as it occurs</w:t>
      </w:r>
      <w:r w:rsidR="00314AE4" w:rsidRPr="00E44EA0">
        <w:t>; and</w:t>
      </w:r>
    </w:p>
    <w:p w14:paraId="57A66AB9" w14:textId="77777777" w:rsidR="00C32F4F" w:rsidRPr="00E44EA0" w:rsidRDefault="00CF51AD" w:rsidP="005523AE">
      <w:pPr>
        <w:pStyle w:val="ListParagraph"/>
        <w:numPr>
          <w:ilvl w:val="0"/>
          <w:numId w:val="34"/>
        </w:numPr>
        <w:tabs>
          <w:tab w:val="left" w:pos="360"/>
        </w:tabs>
        <w:spacing w:after="80"/>
      </w:pPr>
      <w:r w:rsidRPr="00E44EA0">
        <w:t xml:space="preserve">a list of tabled documents will </w:t>
      </w:r>
      <w:r w:rsidR="00C32F4F" w:rsidRPr="00E44EA0">
        <w:t xml:space="preserve">appear in the </w:t>
      </w:r>
      <w:hyperlink w:anchor="JournalsoftheSenate" w:history="1">
        <w:r w:rsidR="00C32F4F" w:rsidRPr="005523AE">
          <w:rPr>
            <w:rStyle w:val="Hyperlink"/>
          </w:rPr>
          <w:t>Journals of the Senate</w:t>
        </w:r>
      </w:hyperlink>
      <w:r w:rsidR="00C32F4F" w:rsidRPr="00E44EA0">
        <w:t xml:space="preserve"> and the </w:t>
      </w:r>
      <w:hyperlink w:anchor="VotesandProceedings" w:history="1">
        <w:r w:rsidR="00C32F4F" w:rsidRPr="005523AE">
          <w:rPr>
            <w:rStyle w:val="Hyperlink"/>
          </w:rPr>
          <w:t>Votes and Proceedings</w:t>
        </w:r>
      </w:hyperlink>
      <w:r w:rsidR="00C32F4F" w:rsidRPr="005523AE">
        <w:rPr>
          <w:rStyle w:val="Hyperlink"/>
        </w:rPr>
        <w:t xml:space="preserve"> of the House of Representatives</w:t>
      </w:r>
      <w:r w:rsidR="008B3F73" w:rsidRPr="005523AE">
        <w:rPr>
          <w:rStyle w:val="Hyperlink"/>
        </w:rPr>
        <w:t xml:space="preserve"> </w:t>
      </w:r>
      <w:r w:rsidR="008B3F73">
        <w:t>for the day of tabling (available as soon as practicable after the respective house adjourns)</w:t>
      </w:r>
    </w:p>
    <w:p w14:paraId="26592190" w14:textId="77777777" w:rsidR="002A63B3" w:rsidRPr="00E44EA0" w:rsidRDefault="002A63B3" w:rsidP="002A63B3">
      <w:pPr>
        <w:tabs>
          <w:tab w:val="left" w:pos="360"/>
        </w:tabs>
        <w:spacing w:after="80"/>
        <w:ind w:left="360" w:hanging="360"/>
        <w:rPr>
          <w:rFonts w:cs="Arial"/>
          <w:b/>
          <w:szCs w:val="18"/>
        </w:rPr>
      </w:pPr>
      <w:r w:rsidRPr="00E44EA0">
        <w:rPr>
          <w:rFonts w:ascii="Arial" w:hAnsi="Arial" w:cs="Arial"/>
          <w:sz w:val="22"/>
          <w:szCs w:val="22"/>
        </w:rPr>
        <w:sym w:font="Wingdings" w:char="F072"/>
      </w:r>
      <w:r w:rsidRPr="00E44EA0">
        <w:rPr>
          <w:rFonts w:cs="Arial"/>
          <w:b/>
          <w:szCs w:val="18"/>
        </w:rPr>
        <w:tab/>
        <w:t>Action post-tabling</w:t>
      </w:r>
      <w:r w:rsidR="003A2C7D" w:rsidRPr="00E44EA0">
        <w:rPr>
          <w:rFonts w:cs="Arial"/>
          <w:b/>
          <w:szCs w:val="18"/>
        </w:rPr>
        <w:t xml:space="preserve"> </w:t>
      </w:r>
    </w:p>
    <w:p w14:paraId="4469496F" w14:textId="77777777" w:rsidR="007C54D6" w:rsidRPr="00E44EA0" w:rsidRDefault="007C54D6" w:rsidP="005523AE">
      <w:pPr>
        <w:pStyle w:val="ListParagraph"/>
        <w:numPr>
          <w:ilvl w:val="0"/>
          <w:numId w:val="34"/>
        </w:numPr>
        <w:tabs>
          <w:tab w:val="left" w:pos="360"/>
        </w:tabs>
        <w:spacing w:after="80"/>
      </w:pPr>
      <w:r w:rsidRPr="00E44EA0">
        <w:t xml:space="preserve">immediately publish the document to </w:t>
      </w:r>
      <w:r w:rsidR="002A22AA">
        <w:t xml:space="preserve">the </w:t>
      </w:r>
      <w:r w:rsidRPr="00E44EA0">
        <w:t xml:space="preserve">Commonwealth entity/company website and/or, for Annual Reports, through the digital reporting </w:t>
      </w:r>
      <w:r w:rsidR="00ED753C" w:rsidRPr="00E44EA0">
        <w:t>portal</w:t>
      </w:r>
      <w:r w:rsidRPr="00E44EA0">
        <w:t xml:space="preserve"> administered by the Finance </w:t>
      </w:r>
      <w:r w:rsidR="002E03D3" w:rsidRPr="00E44EA0">
        <w:t xml:space="preserve">Minister </w:t>
      </w:r>
      <w:r w:rsidR="002E03D3" w:rsidRPr="005523AE">
        <w:rPr>
          <w:rStyle w:val="Hyperlink"/>
        </w:rPr>
        <w:t>(</w:t>
      </w:r>
      <w:hyperlink r:id="rId32" w:history="1">
        <w:r w:rsidR="002E03D3" w:rsidRPr="005523AE">
          <w:rPr>
            <w:rStyle w:val="Hyperlink"/>
          </w:rPr>
          <w:t>transparency.gov.au</w:t>
        </w:r>
      </w:hyperlink>
      <w:r w:rsidR="002E03D3" w:rsidRPr="005523AE">
        <w:rPr>
          <w:rStyle w:val="Hyperlink"/>
        </w:rPr>
        <w:t>)</w:t>
      </w:r>
    </w:p>
    <w:p w14:paraId="1633030A" w14:textId="77777777" w:rsidR="002A63B3" w:rsidRPr="002426CB" w:rsidRDefault="002A63B3" w:rsidP="00455E0D">
      <w:pPr>
        <w:pStyle w:val="Bullet"/>
        <w:numPr>
          <w:ilvl w:val="0"/>
          <w:numId w:val="0"/>
        </w:numPr>
        <w:spacing w:after="0" w:line="240" w:lineRule="auto"/>
        <w:ind w:left="568"/>
        <w:rPr>
          <w:rFonts w:cstheme="minorHAnsi"/>
        </w:rPr>
      </w:pPr>
      <w:r w:rsidRPr="002426CB">
        <w:rPr>
          <w:rFonts w:cstheme="minorHAnsi"/>
        </w:rPr>
        <w:br w:type="page"/>
      </w:r>
    </w:p>
    <w:p w14:paraId="3E0856B2" w14:textId="77777777" w:rsidR="003B1902" w:rsidRPr="00550599" w:rsidRDefault="003B1902" w:rsidP="003B1902">
      <w:pPr>
        <w:pStyle w:val="Heading2"/>
        <w:rPr>
          <w:b/>
          <w:color w:val="auto"/>
        </w:rPr>
      </w:pPr>
      <w:bookmarkStart w:id="6" w:name="_key_tasks_-_1"/>
      <w:bookmarkEnd w:id="6"/>
      <w:r>
        <w:rPr>
          <w:b/>
          <w:color w:val="auto"/>
        </w:rPr>
        <w:lastRenderedPageBreak/>
        <w:t xml:space="preserve">Key Tasks – </w:t>
      </w:r>
      <w:r w:rsidRPr="00550599">
        <w:rPr>
          <w:b/>
          <w:color w:val="auto"/>
        </w:rPr>
        <w:t xml:space="preserve">Government Documents – </w:t>
      </w:r>
      <w:r w:rsidR="00314A49">
        <w:rPr>
          <w:b/>
          <w:color w:val="auto"/>
        </w:rPr>
        <w:t>Presentation</w:t>
      </w:r>
      <w:r w:rsidR="004C2352">
        <w:rPr>
          <w:b/>
          <w:color w:val="auto"/>
        </w:rPr>
        <w:t xml:space="preserve"> in the Senate</w:t>
      </w:r>
      <w:r w:rsidR="00314A49">
        <w:rPr>
          <w:b/>
          <w:color w:val="auto"/>
        </w:rPr>
        <w:t xml:space="preserve"> out of S</w:t>
      </w:r>
      <w:r w:rsidRPr="00550599">
        <w:rPr>
          <w:b/>
          <w:color w:val="auto"/>
        </w:rPr>
        <w:t>itting</w:t>
      </w:r>
    </w:p>
    <w:p w14:paraId="60F2D01E" w14:textId="77777777" w:rsidR="003B1902" w:rsidRDefault="003B1902" w:rsidP="00D9532B">
      <w:pPr>
        <w:jc w:val="both"/>
      </w:pPr>
    </w:p>
    <w:p w14:paraId="5E26E67D" w14:textId="77777777" w:rsidR="002A63B3" w:rsidRPr="00E44EA0" w:rsidRDefault="002A63B3" w:rsidP="00D9532B">
      <w:pPr>
        <w:jc w:val="both"/>
      </w:pPr>
      <w:r w:rsidRPr="00E44EA0">
        <w:t xml:space="preserve">Key tasks for tabling a </w:t>
      </w:r>
      <w:r w:rsidRPr="00E44EA0">
        <w:rPr>
          <w:u w:val="single"/>
        </w:rPr>
        <w:t>government document when the Parliament is not sitting</w:t>
      </w:r>
      <w:r w:rsidR="00B63DDF" w:rsidRPr="00E44EA0">
        <w:rPr>
          <w:u w:val="single"/>
        </w:rPr>
        <w:t>.</w:t>
      </w:r>
    </w:p>
    <w:p w14:paraId="15653037" w14:textId="77777777" w:rsidR="002A63B3" w:rsidRPr="00E44EA0" w:rsidRDefault="002A63B3" w:rsidP="00D9532B">
      <w:pPr>
        <w:tabs>
          <w:tab w:val="left" w:pos="360"/>
        </w:tabs>
        <w:spacing w:after="240"/>
        <w:ind w:left="357" w:hanging="357"/>
        <w:jc w:val="both"/>
        <w:rPr>
          <w:rFonts w:cs="Arial"/>
          <w:szCs w:val="22"/>
        </w:rPr>
      </w:pPr>
      <w:r w:rsidRPr="00E44EA0">
        <w:rPr>
          <w:rFonts w:ascii="Arial" w:hAnsi="Arial" w:cs="Arial"/>
          <w:sz w:val="22"/>
          <w:szCs w:val="22"/>
        </w:rPr>
        <w:sym w:font="Wingdings" w:char="F072"/>
      </w:r>
      <w:r w:rsidRPr="00E44EA0">
        <w:rPr>
          <w:rFonts w:ascii="Arial" w:hAnsi="Arial" w:cs="Arial"/>
          <w:sz w:val="22"/>
          <w:szCs w:val="22"/>
        </w:rPr>
        <w:tab/>
      </w:r>
      <w:r w:rsidRPr="00E44EA0">
        <w:rPr>
          <w:b/>
        </w:rPr>
        <w:t xml:space="preserve">Approval </w:t>
      </w:r>
      <w:r w:rsidRPr="00E44EA0">
        <w:t xml:space="preserve">— Ministerial approval is required for a government document to be tabled in the Parliament </w:t>
      </w:r>
    </w:p>
    <w:p w14:paraId="65F7698C" w14:textId="77777777" w:rsidR="002A63B3" w:rsidRPr="00E44EA0" w:rsidRDefault="002A63B3" w:rsidP="00D9532B">
      <w:pPr>
        <w:tabs>
          <w:tab w:val="left" w:pos="360"/>
        </w:tabs>
        <w:spacing w:after="80"/>
        <w:ind w:left="360" w:hanging="360"/>
        <w:jc w:val="both"/>
        <w:rPr>
          <w:b/>
        </w:rPr>
      </w:pPr>
      <w:r w:rsidRPr="00E44EA0">
        <w:rPr>
          <w:rFonts w:ascii="Arial" w:hAnsi="Arial" w:cs="Arial"/>
          <w:sz w:val="22"/>
          <w:szCs w:val="22"/>
        </w:rPr>
        <w:sym w:font="Wingdings" w:char="F072"/>
      </w:r>
      <w:r w:rsidRPr="00E44EA0">
        <w:rPr>
          <w:rFonts w:ascii="Arial" w:hAnsi="Arial" w:cs="Arial"/>
          <w:sz w:val="22"/>
          <w:szCs w:val="22"/>
        </w:rPr>
        <w:tab/>
      </w:r>
      <w:r w:rsidRPr="00E44EA0">
        <w:rPr>
          <w:b/>
        </w:rPr>
        <w:t>Letter of transmittal</w:t>
      </w:r>
    </w:p>
    <w:p w14:paraId="5F990935" w14:textId="77777777" w:rsidR="002A63B3" w:rsidRPr="00E44EA0" w:rsidRDefault="00876779" w:rsidP="00D9532B">
      <w:pPr>
        <w:pStyle w:val="Bullet"/>
        <w:jc w:val="both"/>
        <w:rPr>
          <w:b/>
        </w:rPr>
      </w:pPr>
      <w:hyperlink r:id="rId33" w:anchor="standing-order_c26-166" w:history="1">
        <w:r w:rsidR="000A31AA" w:rsidRPr="00E44EA0">
          <w:rPr>
            <w:rStyle w:val="Hyperlink"/>
          </w:rPr>
          <w:t>Senate Standing Order 166</w:t>
        </w:r>
      </w:hyperlink>
      <w:r w:rsidR="002A63B3" w:rsidRPr="00E44EA0">
        <w:t xml:space="preserve"> provides for the presentation of document</w:t>
      </w:r>
      <w:r w:rsidR="00F84418" w:rsidRPr="00E44EA0">
        <w:t>/s</w:t>
      </w:r>
      <w:r w:rsidR="002A63B3" w:rsidRPr="00E44EA0">
        <w:t xml:space="preserve"> when the Senate is not sitting</w:t>
      </w:r>
    </w:p>
    <w:p w14:paraId="0D031EEF" w14:textId="77777777" w:rsidR="002A63B3" w:rsidRPr="00C46F47" w:rsidRDefault="002A22AA" w:rsidP="00D9532B">
      <w:pPr>
        <w:pStyle w:val="Bullet"/>
        <w:jc w:val="both"/>
        <w:rPr>
          <w:b/>
        </w:rPr>
      </w:pPr>
      <w:r>
        <w:t>A letter of transmittal</w:t>
      </w:r>
      <w:r w:rsidR="002A63B3" w:rsidRPr="00E44EA0">
        <w:t xml:space="preserve"> from the Minister to the President of the Senate </w:t>
      </w:r>
      <w:r w:rsidR="002A63B3" w:rsidRPr="00E44EA0">
        <w:rPr>
          <w:u w:val="single"/>
        </w:rPr>
        <w:t>must</w:t>
      </w:r>
      <w:r w:rsidR="002A63B3" w:rsidRPr="00E44EA0">
        <w:t xml:space="preserve"> accompany the document for presentation</w:t>
      </w:r>
      <w:r>
        <w:t xml:space="preserve">. A template for this letter is available </w:t>
      </w:r>
      <w:r w:rsidRPr="00D05EE6">
        <w:t xml:space="preserve">under ‘Appendixes’ on the </w:t>
      </w:r>
      <w:hyperlink r:id="rId34" w:history="1">
        <w:r w:rsidRPr="00D05EE6">
          <w:rPr>
            <w:rStyle w:val="Hyperlink"/>
          </w:rPr>
          <w:t xml:space="preserve">PM&amp;C </w:t>
        </w:r>
        <w:r>
          <w:rPr>
            <w:rStyle w:val="Hyperlink"/>
          </w:rPr>
          <w:t xml:space="preserve">Tabling Guidelines </w:t>
        </w:r>
        <w:r w:rsidRPr="00D05EE6">
          <w:rPr>
            <w:rStyle w:val="Hyperlink"/>
          </w:rPr>
          <w:t>website</w:t>
        </w:r>
      </w:hyperlink>
      <w:r>
        <w:t>.</w:t>
      </w:r>
    </w:p>
    <w:p w14:paraId="4BC660C9" w14:textId="77777777" w:rsidR="00DD03C9" w:rsidRPr="00E44EA0" w:rsidRDefault="00DD03C9" w:rsidP="00D9532B">
      <w:pPr>
        <w:pStyle w:val="Bullet"/>
        <w:jc w:val="both"/>
        <w:rPr>
          <w:b/>
        </w:rPr>
      </w:pPr>
      <w:r>
        <w:rPr>
          <w:b/>
        </w:rPr>
        <w:t>DO NOT</w:t>
      </w:r>
      <w:r>
        <w:t xml:space="preserve"> provide this transmittal letter directly to the Senate President; it must be sent to </w:t>
      </w:r>
      <w:hyperlink r:id="rId35" w:history="1">
        <w:r w:rsidR="000D20D7" w:rsidRPr="00BD26CD">
          <w:rPr>
            <w:rStyle w:val="Hyperlink"/>
          </w:rPr>
          <w:t>tabling@pmc.gov.au</w:t>
        </w:r>
      </w:hyperlink>
      <w:r w:rsidR="000D20D7">
        <w:t xml:space="preserve"> and through OTD</w:t>
      </w:r>
      <w:r>
        <w:t xml:space="preserve">. </w:t>
      </w:r>
    </w:p>
    <w:p w14:paraId="147BCE12" w14:textId="77777777" w:rsidR="002A63B3" w:rsidRPr="00E44EA0" w:rsidRDefault="002A63B3" w:rsidP="00D9532B">
      <w:pPr>
        <w:tabs>
          <w:tab w:val="left" w:pos="360"/>
        </w:tabs>
        <w:spacing w:after="80"/>
        <w:ind w:left="360" w:hanging="360"/>
        <w:jc w:val="both"/>
        <w:rPr>
          <w:b/>
        </w:rPr>
      </w:pPr>
      <w:r w:rsidRPr="00E44EA0">
        <w:rPr>
          <w:rFonts w:ascii="Arial" w:hAnsi="Arial" w:cs="Arial"/>
          <w:sz w:val="22"/>
          <w:szCs w:val="22"/>
        </w:rPr>
        <w:sym w:font="Wingdings" w:char="F072"/>
      </w:r>
      <w:r w:rsidRPr="00E44EA0">
        <w:rPr>
          <w:rFonts w:ascii="Arial" w:hAnsi="Arial" w:cs="Arial"/>
          <w:sz w:val="22"/>
          <w:szCs w:val="22"/>
        </w:rPr>
        <w:tab/>
      </w:r>
      <w:r w:rsidRPr="00E44EA0">
        <w:rPr>
          <w:b/>
        </w:rPr>
        <w:t>Identify the preferred day for presentation</w:t>
      </w:r>
    </w:p>
    <w:p w14:paraId="6C9D5437" w14:textId="77777777" w:rsidR="002A63B3" w:rsidRPr="00E44EA0" w:rsidRDefault="002A63B3" w:rsidP="00D9532B">
      <w:pPr>
        <w:pStyle w:val="Bullet"/>
        <w:jc w:val="both"/>
        <w:rPr>
          <w:b/>
        </w:rPr>
      </w:pPr>
      <w:r w:rsidRPr="00E44EA0">
        <w:t xml:space="preserve">contact </w:t>
      </w:r>
      <w:r w:rsidR="004C341D">
        <w:t>tabling@pmc.gov.au</w:t>
      </w:r>
      <w:r w:rsidRPr="00E44EA0">
        <w:t xml:space="preserve"> to arrange the time for presentation</w:t>
      </w:r>
    </w:p>
    <w:p w14:paraId="6AB4AD5A" w14:textId="77777777" w:rsidR="00B70345" w:rsidRPr="00E44EA0" w:rsidRDefault="002A63B3" w:rsidP="00D9532B">
      <w:pPr>
        <w:pStyle w:val="Bullet"/>
        <w:jc w:val="both"/>
        <w:rPr>
          <w:b/>
        </w:rPr>
      </w:pPr>
      <w:r w:rsidRPr="00E44EA0">
        <w:t xml:space="preserve">a minimum of </w:t>
      </w:r>
      <w:r w:rsidR="003736E9">
        <w:t>three days</w:t>
      </w:r>
      <w:r w:rsidRPr="00E44EA0">
        <w:t xml:space="preserve">’ notice is required </w:t>
      </w:r>
    </w:p>
    <w:p w14:paraId="306B3AC6" w14:textId="77777777" w:rsidR="005B11FA" w:rsidRPr="00E44EA0" w:rsidRDefault="005B11FA" w:rsidP="00D9532B">
      <w:pPr>
        <w:tabs>
          <w:tab w:val="left" w:pos="360"/>
        </w:tabs>
        <w:spacing w:after="80"/>
        <w:ind w:left="360" w:hanging="360"/>
        <w:jc w:val="both"/>
      </w:pPr>
      <w:r w:rsidRPr="00E44EA0">
        <w:rPr>
          <w:rFonts w:ascii="Arial" w:hAnsi="Arial" w:cs="Arial"/>
          <w:sz w:val="22"/>
          <w:szCs w:val="22"/>
        </w:rPr>
        <w:sym w:font="Wingdings" w:char="F072"/>
      </w:r>
      <w:r w:rsidRPr="00E44EA0">
        <w:rPr>
          <w:rFonts w:ascii="Arial" w:hAnsi="Arial" w:cs="Arial"/>
          <w:sz w:val="22"/>
          <w:szCs w:val="22"/>
        </w:rPr>
        <w:tab/>
      </w:r>
      <w:r w:rsidRPr="00E44EA0">
        <w:rPr>
          <w:b/>
        </w:rPr>
        <w:t xml:space="preserve">Business day before delivery – </w:t>
      </w:r>
      <w:r w:rsidRPr="00E44EA0">
        <w:t xml:space="preserve">departments </w:t>
      </w:r>
      <w:r w:rsidRPr="00E44EA0">
        <w:rPr>
          <w:u w:val="single"/>
        </w:rPr>
        <w:t>must</w:t>
      </w:r>
    </w:p>
    <w:p w14:paraId="1CBA990C" w14:textId="77777777" w:rsidR="005B11FA" w:rsidRPr="00455E0D" w:rsidRDefault="005B11FA" w:rsidP="00D9532B">
      <w:pPr>
        <w:pStyle w:val="Bullet"/>
        <w:jc w:val="both"/>
      </w:pPr>
      <w:r w:rsidRPr="00E44EA0">
        <w:t xml:space="preserve">email the </w:t>
      </w:r>
      <w:hyperlink r:id="rId36" w:history="1">
        <w:r w:rsidRPr="00134ECF">
          <w:rPr>
            <w:rStyle w:val="Hyperlink"/>
          </w:rPr>
          <w:t>loadingdock@aph.gov.au</w:t>
        </w:r>
      </w:hyperlink>
      <w:r w:rsidRPr="00E44EA0">
        <w:t xml:space="preserve"> </w:t>
      </w:r>
      <w:r w:rsidRPr="00455E0D">
        <w:t>to advise that a document will be delivered the following day</w:t>
      </w:r>
    </w:p>
    <w:p w14:paraId="3D8E100A" w14:textId="77777777" w:rsidR="005B11FA" w:rsidRPr="00E44EA0" w:rsidRDefault="005B11FA" w:rsidP="00D9532B">
      <w:pPr>
        <w:pStyle w:val="Bullet"/>
        <w:jc w:val="both"/>
      </w:pPr>
      <w:r w:rsidRPr="00455E0D">
        <w:t>respond to the email seeking information</w:t>
      </w:r>
      <w:r w:rsidRPr="00E44EA0">
        <w:t xml:space="preserve"> about the vehicle, driver etc</w:t>
      </w:r>
    </w:p>
    <w:p w14:paraId="0E0A2FB2" w14:textId="77777777" w:rsidR="005B11FA" w:rsidRDefault="005B11FA" w:rsidP="00D9532B">
      <w:pPr>
        <w:pStyle w:val="Bullet"/>
        <w:jc w:val="both"/>
      </w:pPr>
      <w:r w:rsidRPr="00E44EA0">
        <w:t>ensure printers and couriers are aware of this requirement, noting a failure to provide the required information may lead to the vehicle being turned away</w:t>
      </w:r>
    </w:p>
    <w:p w14:paraId="37D46DE5" w14:textId="77777777" w:rsidR="003D6462" w:rsidRPr="00C46F47" w:rsidRDefault="004135FB" w:rsidP="003D6462">
      <w:pPr>
        <w:pStyle w:val="Bullet"/>
        <w:jc w:val="both"/>
        <w:rPr>
          <w:b/>
        </w:rPr>
      </w:pPr>
      <w:r>
        <w:t xml:space="preserve">upload PDF of the document and a signed letter of transmittal to the Online Tabled of Documents system </w:t>
      </w:r>
      <w:r w:rsidR="00972B89">
        <w:t>and complete related information</w:t>
      </w:r>
    </w:p>
    <w:p w14:paraId="6B88C6CD" w14:textId="77777777" w:rsidR="004135FB" w:rsidRPr="00D57568" w:rsidRDefault="00CB67ED" w:rsidP="00D57568">
      <w:pPr>
        <w:pStyle w:val="Bullet"/>
        <w:jc w:val="both"/>
        <w:rPr>
          <w:b/>
        </w:rPr>
      </w:pPr>
      <w:r>
        <w:t xml:space="preserve">in a single </w:t>
      </w:r>
      <w:r w:rsidR="004135FB">
        <w:t xml:space="preserve">email </w:t>
      </w:r>
      <w:r>
        <w:t xml:space="preserve">provide </w:t>
      </w:r>
      <w:r w:rsidR="004135FB">
        <w:t xml:space="preserve">PDF version of documents, signed transmittal letter and signed minute to </w:t>
      </w:r>
      <w:hyperlink r:id="rId37" w:history="1">
        <w:r w:rsidR="004135FB" w:rsidRPr="008811AB">
          <w:rPr>
            <w:rStyle w:val="Hyperlink"/>
          </w:rPr>
          <w:t>tabling</w:t>
        </w:r>
        <w:r w:rsidR="004135FB" w:rsidRPr="008811AB">
          <w:rPr>
            <w:rStyle w:val="Hyperlink"/>
            <w:b/>
          </w:rPr>
          <w:t>@pmc.gov.au</w:t>
        </w:r>
      </w:hyperlink>
      <w:r w:rsidR="004135FB">
        <w:rPr>
          <w:b/>
        </w:rPr>
        <w:t xml:space="preserve"> </w:t>
      </w:r>
    </w:p>
    <w:p w14:paraId="793F93CA" w14:textId="77777777" w:rsidR="005B11FA" w:rsidRDefault="005B11FA" w:rsidP="00D9532B">
      <w:pPr>
        <w:tabs>
          <w:tab w:val="left" w:pos="360"/>
        </w:tabs>
        <w:spacing w:after="80"/>
        <w:ind w:left="360" w:hanging="360"/>
        <w:jc w:val="both"/>
        <w:rPr>
          <w:rFonts w:cstheme="minorHAnsi"/>
        </w:rPr>
      </w:pPr>
      <w:r w:rsidRPr="00E44EA0">
        <w:rPr>
          <w:rFonts w:ascii="Arial" w:hAnsi="Arial" w:cs="Arial"/>
          <w:sz w:val="22"/>
          <w:szCs w:val="22"/>
        </w:rPr>
        <w:sym w:font="Wingdings" w:char="F072"/>
      </w:r>
      <w:r w:rsidRPr="00E44EA0">
        <w:rPr>
          <w:rFonts w:ascii="Arial" w:hAnsi="Arial" w:cs="Arial"/>
          <w:sz w:val="22"/>
          <w:szCs w:val="22"/>
        </w:rPr>
        <w:tab/>
      </w:r>
      <w:r w:rsidRPr="00E44EA0">
        <w:rPr>
          <w:b/>
        </w:rPr>
        <w:t>Delivery day</w:t>
      </w:r>
      <w:r>
        <w:rPr>
          <w:b/>
        </w:rPr>
        <w:t xml:space="preserve"> – by </w:t>
      </w:r>
      <w:r w:rsidRPr="003A267D">
        <w:rPr>
          <w:b/>
          <w:u w:val="single"/>
        </w:rPr>
        <w:t xml:space="preserve">no later than </w:t>
      </w:r>
      <w:r w:rsidR="004135FB">
        <w:rPr>
          <w:b/>
          <w:u w:val="single"/>
        </w:rPr>
        <w:t xml:space="preserve">noon </w:t>
      </w:r>
      <w:r w:rsidR="00E81264">
        <w:rPr>
          <w:b/>
          <w:u w:val="single"/>
        </w:rPr>
        <w:t>two</w:t>
      </w:r>
      <w:r w:rsidR="00E81264" w:rsidRPr="003A267D">
        <w:rPr>
          <w:b/>
          <w:u w:val="single"/>
        </w:rPr>
        <w:t xml:space="preserve"> </w:t>
      </w:r>
      <w:r w:rsidRPr="003A267D">
        <w:rPr>
          <w:b/>
          <w:u w:val="single"/>
        </w:rPr>
        <w:t>business day</w:t>
      </w:r>
      <w:r w:rsidR="00E81264">
        <w:rPr>
          <w:b/>
          <w:u w:val="single"/>
        </w:rPr>
        <w:t>s</w:t>
      </w:r>
      <w:r w:rsidRPr="003A267D">
        <w:rPr>
          <w:b/>
          <w:u w:val="single"/>
        </w:rPr>
        <w:t xml:space="preserve"> before the day proposed for tabling</w:t>
      </w:r>
    </w:p>
    <w:p w14:paraId="1715AD30" w14:textId="77777777" w:rsidR="005B11FA" w:rsidRPr="00E44EA0" w:rsidRDefault="005B11FA" w:rsidP="00D9532B">
      <w:pPr>
        <w:tabs>
          <w:tab w:val="left" w:pos="360"/>
        </w:tabs>
        <w:spacing w:after="80"/>
        <w:ind w:left="360" w:hanging="360"/>
        <w:jc w:val="both"/>
      </w:pPr>
      <w:r>
        <w:t>D</w:t>
      </w:r>
      <w:r w:rsidRPr="00E44EA0">
        <w:t>eliver bulk copies to the Parliament House Loading Dock via Brisbane Avenue</w:t>
      </w:r>
      <w:r w:rsidRPr="00082055">
        <w:rPr>
          <w:rFonts w:cstheme="minorHAnsi"/>
        </w:rPr>
        <w:t xml:space="preserve">, packaged using prescribed </w:t>
      </w:r>
      <w:r w:rsidR="003D6462">
        <w:t xml:space="preserve">labels listed </w:t>
      </w:r>
      <w:r w:rsidR="003D6462" w:rsidRPr="00D05EE6">
        <w:t xml:space="preserve">under ‘Appendixes’ on the </w:t>
      </w:r>
      <w:hyperlink r:id="rId38" w:history="1">
        <w:r w:rsidR="003D6462" w:rsidRPr="00D05EE6">
          <w:rPr>
            <w:rStyle w:val="Hyperlink"/>
          </w:rPr>
          <w:t xml:space="preserve">PM&amp;C </w:t>
        </w:r>
        <w:r w:rsidR="003D6462">
          <w:rPr>
            <w:rStyle w:val="Hyperlink"/>
          </w:rPr>
          <w:t xml:space="preserve">Tabling Guidelines </w:t>
        </w:r>
        <w:r w:rsidR="003D6462" w:rsidRPr="00D05EE6">
          <w:rPr>
            <w:rStyle w:val="Hyperlink"/>
          </w:rPr>
          <w:t>website</w:t>
        </w:r>
      </w:hyperlink>
      <w:r w:rsidR="003D6462">
        <w:t>.</w:t>
      </w:r>
    </w:p>
    <w:p w14:paraId="35A1C735" w14:textId="77777777" w:rsidR="00B90787" w:rsidRPr="00E44EA0" w:rsidRDefault="00B90787" w:rsidP="00D9532B">
      <w:pPr>
        <w:pStyle w:val="Bullet"/>
        <w:jc w:val="both"/>
      </w:pPr>
      <w:r w:rsidRPr="00E44EA0">
        <w:t>President of the Senate</w:t>
      </w:r>
    </w:p>
    <w:p w14:paraId="1A63FBA5" w14:textId="77777777" w:rsidR="00737B13" w:rsidRPr="00E44EA0" w:rsidRDefault="00737B13" w:rsidP="00D9532B">
      <w:pPr>
        <w:pStyle w:val="Bullet"/>
        <w:jc w:val="both"/>
      </w:pPr>
      <w:r w:rsidRPr="00E44EA0">
        <w:t xml:space="preserve">PM&amp;C Tabling Office </w:t>
      </w:r>
    </w:p>
    <w:p w14:paraId="08B9B60C" w14:textId="77777777" w:rsidR="002A63B3" w:rsidRPr="00E44EA0" w:rsidRDefault="002A63B3" w:rsidP="00D9532B">
      <w:pPr>
        <w:pStyle w:val="Bullet"/>
        <w:jc w:val="both"/>
      </w:pPr>
      <w:r w:rsidRPr="00E44EA0">
        <w:t xml:space="preserve">Senate Table Office </w:t>
      </w:r>
    </w:p>
    <w:p w14:paraId="57899A50" w14:textId="77777777" w:rsidR="00FA651B" w:rsidRPr="00E44EA0" w:rsidRDefault="00FA651B" w:rsidP="00D9532B">
      <w:pPr>
        <w:pStyle w:val="Bullet"/>
        <w:jc w:val="both"/>
      </w:pPr>
      <w:r w:rsidRPr="00E44EA0">
        <w:t xml:space="preserve">House of Representatives Table Office </w:t>
      </w:r>
    </w:p>
    <w:p w14:paraId="54F1D27E" w14:textId="77777777" w:rsidR="002A63B3" w:rsidRPr="00E44EA0" w:rsidRDefault="002A63B3" w:rsidP="00D9532B">
      <w:pPr>
        <w:pStyle w:val="Bullet"/>
        <w:jc w:val="both"/>
      </w:pPr>
      <w:r w:rsidRPr="00E44EA0">
        <w:t xml:space="preserve">Parliamentary Press Gallery </w:t>
      </w:r>
    </w:p>
    <w:p w14:paraId="5C250709" w14:textId="77777777" w:rsidR="002A63B3" w:rsidRDefault="002A63B3" w:rsidP="00D9532B">
      <w:pPr>
        <w:pStyle w:val="Bullet"/>
        <w:jc w:val="both"/>
      </w:pPr>
      <w:r w:rsidRPr="00E44EA0">
        <w:t xml:space="preserve">Parliamentary Library </w:t>
      </w:r>
    </w:p>
    <w:p w14:paraId="138BC741" w14:textId="77777777" w:rsidR="002A63B3" w:rsidRPr="00E44EA0" w:rsidRDefault="002A63B3" w:rsidP="00D9532B">
      <w:pPr>
        <w:tabs>
          <w:tab w:val="left" w:pos="360"/>
        </w:tabs>
        <w:spacing w:after="80"/>
        <w:ind w:left="360" w:hanging="360"/>
        <w:jc w:val="both"/>
        <w:rPr>
          <w:rFonts w:cs="Arial"/>
          <w:b/>
          <w:szCs w:val="18"/>
        </w:rPr>
      </w:pPr>
      <w:r w:rsidRPr="00E44EA0">
        <w:rPr>
          <w:rFonts w:ascii="Arial" w:hAnsi="Arial" w:cs="Arial"/>
          <w:sz w:val="22"/>
          <w:szCs w:val="22"/>
        </w:rPr>
        <w:sym w:font="Wingdings" w:char="F072"/>
      </w:r>
      <w:r w:rsidRPr="00E44EA0">
        <w:rPr>
          <w:rFonts w:cs="Arial"/>
          <w:b/>
          <w:szCs w:val="18"/>
        </w:rPr>
        <w:tab/>
        <w:t>Action post-presentation</w:t>
      </w:r>
    </w:p>
    <w:p w14:paraId="7467BA10" w14:textId="77777777" w:rsidR="007C54D6" w:rsidRPr="00E44EA0" w:rsidRDefault="007C54D6" w:rsidP="00D9532B">
      <w:pPr>
        <w:pStyle w:val="Bullet"/>
        <w:jc w:val="both"/>
      </w:pPr>
      <w:r w:rsidRPr="00E44EA0">
        <w:t xml:space="preserve">immediately publish the document to Commonwealth entity/company website and/or, for Annual Reports, through the digital reporting </w:t>
      </w:r>
      <w:r w:rsidR="00ED753C" w:rsidRPr="00E44EA0">
        <w:t xml:space="preserve">portal </w:t>
      </w:r>
      <w:r w:rsidRPr="00E44EA0">
        <w:t>administered by the Finance Minister (</w:t>
      </w:r>
      <w:hyperlink r:id="rId39" w:history="1">
        <w:r w:rsidRPr="00E44EA0">
          <w:rPr>
            <w:rStyle w:val="Hyperlink"/>
          </w:rPr>
          <w:t>transparency.gov.au</w:t>
        </w:r>
      </w:hyperlink>
      <w:r w:rsidRPr="00E44EA0">
        <w:t>)</w:t>
      </w:r>
    </w:p>
    <w:p w14:paraId="4A59F385" w14:textId="77777777" w:rsidR="002A63B3" w:rsidRPr="002F743C" w:rsidRDefault="002A63B3" w:rsidP="00C46F47">
      <w:pPr>
        <w:pStyle w:val="Bullet"/>
        <w:numPr>
          <w:ilvl w:val="0"/>
          <w:numId w:val="0"/>
        </w:numPr>
        <w:spacing w:after="0" w:line="240" w:lineRule="auto"/>
        <w:ind w:left="928" w:hanging="360"/>
        <w:rPr>
          <w:rFonts w:cstheme="minorHAnsi"/>
        </w:rPr>
      </w:pPr>
      <w:r w:rsidRPr="002F743C">
        <w:rPr>
          <w:rFonts w:cstheme="minorHAnsi"/>
        </w:rPr>
        <w:br w:type="page"/>
      </w:r>
    </w:p>
    <w:p w14:paraId="77E00AF5" w14:textId="77777777" w:rsidR="002A63B3" w:rsidRPr="00E44EA0" w:rsidRDefault="003B1902" w:rsidP="00AC064E">
      <w:pPr>
        <w:pStyle w:val="Heading1"/>
        <w:ind w:left="3600" w:hanging="3600"/>
        <w:rPr>
          <w:sz w:val="24"/>
        </w:rPr>
      </w:pPr>
      <w:bookmarkStart w:id="7" w:name="_copy_requirements_-"/>
      <w:bookmarkEnd w:id="7"/>
      <w:r>
        <w:rPr>
          <w:sz w:val="24"/>
        </w:rPr>
        <w:lastRenderedPageBreak/>
        <w:t>Copy R</w:t>
      </w:r>
      <w:r w:rsidR="00AC064E" w:rsidRPr="00E44EA0">
        <w:rPr>
          <w:sz w:val="24"/>
        </w:rPr>
        <w:t xml:space="preserve">equirements </w:t>
      </w:r>
      <w:r>
        <w:rPr>
          <w:sz w:val="24"/>
        </w:rPr>
        <w:t>– Government Documents</w:t>
      </w:r>
      <w:r w:rsidR="002A63B3" w:rsidRPr="00E44EA0">
        <w:rPr>
          <w:sz w:val="24"/>
        </w:rPr>
        <w:t xml:space="preserve"> </w:t>
      </w:r>
    </w:p>
    <w:p w14:paraId="69114A71" w14:textId="77777777" w:rsidR="00A206B2" w:rsidRDefault="00A206B2" w:rsidP="00A206B2">
      <w:pPr>
        <w:pStyle w:val="Heading2"/>
        <w:rPr>
          <w:rFonts w:ascii="Montserrat Light" w:hAnsi="Montserrat Light"/>
          <w:b/>
          <w:color w:val="auto"/>
          <w:sz w:val="22"/>
          <w:szCs w:val="18"/>
        </w:rPr>
      </w:pPr>
      <w:bookmarkStart w:id="8" w:name="_GOVERNMENT_RESPONSE_to"/>
      <w:bookmarkEnd w:id="8"/>
      <w:r w:rsidRPr="00A206B2">
        <w:rPr>
          <w:rFonts w:ascii="Montserrat Light" w:hAnsi="Montserrat Light"/>
          <w:b/>
          <w:color w:val="auto"/>
          <w:sz w:val="22"/>
          <w:szCs w:val="18"/>
        </w:rPr>
        <w:t>Parliament is Sitting</w:t>
      </w:r>
    </w:p>
    <w:p w14:paraId="5761D18D" w14:textId="77777777" w:rsidR="00A206B2" w:rsidRDefault="00A206B2" w:rsidP="00A206B2">
      <w:r>
        <w:t>When parliament is sitting, please contact the PM&amp;C Tabling Officer on (02) 6277 7</w:t>
      </w:r>
      <w:r w:rsidR="00A84A21">
        <w:t>212</w:t>
      </w:r>
      <w:r>
        <w:t>.</w:t>
      </w:r>
    </w:p>
    <w:p w14:paraId="5EB0FBC4" w14:textId="77777777" w:rsidR="00A206B2" w:rsidRDefault="00C309CA" w:rsidP="00A206B2">
      <w:r>
        <w:t xml:space="preserve">The following number of documents are required to be delivered to the Loading Dock by </w:t>
      </w:r>
      <w:r w:rsidR="004135FB">
        <w:t xml:space="preserve">noon </w:t>
      </w:r>
      <w:r>
        <w:t>the day before tabling:</w:t>
      </w:r>
    </w:p>
    <w:p w14:paraId="46B77D79" w14:textId="77777777" w:rsidR="00C309CA" w:rsidRDefault="00C309CA" w:rsidP="00C309CA">
      <w:pPr>
        <w:ind w:firstLine="720"/>
        <w:rPr>
          <w:rStyle w:val="Hyperlink"/>
          <w:b/>
          <w:szCs w:val="18"/>
        </w:rPr>
      </w:pPr>
      <w:r w:rsidRPr="00C309CA">
        <w:rPr>
          <w:b/>
        </w:rPr>
        <w:t>PM&amp;C Tabling Office:</w:t>
      </w:r>
      <w:r>
        <w:t xml:space="preserve"> 3 accompanied by </w:t>
      </w:r>
      <w:r w:rsidR="003D6462">
        <w:t xml:space="preserve">a Covering Minute </w:t>
      </w:r>
    </w:p>
    <w:p w14:paraId="08555AAF" w14:textId="77777777" w:rsidR="00C309CA" w:rsidRDefault="00C309CA" w:rsidP="00C309CA">
      <w:pPr>
        <w:ind w:firstLine="720"/>
      </w:pPr>
      <w:r>
        <w:rPr>
          <w:b/>
        </w:rPr>
        <w:t xml:space="preserve">Senate Table Office: </w:t>
      </w:r>
      <w:r w:rsidR="004135FB">
        <w:t>10</w:t>
      </w:r>
      <w:r>
        <w:t xml:space="preserve"> </w:t>
      </w:r>
    </w:p>
    <w:p w14:paraId="4D84A93D" w14:textId="77777777" w:rsidR="00C309CA" w:rsidRDefault="00C309CA" w:rsidP="00C46F47">
      <w:pPr>
        <w:ind w:left="720"/>
      </w:pPr>
      <w:r>
        <w:rPr>
          <w:b/>
        </w:rPr>
        <w:t xml:space="preserve">House of Representatives Table Office: </w:t>
      </w:r>
      <w:r w:rsidR="006C0934" w:rsidRPr="006C0934">
        <w:t>5</w:t>
      </w:r>
    </w:p>
    <w:p w14:paraId="755D75CE" w14:textId="77777777" w:rsidR="00C309CA" w:rsidRDefault="00C309CA" w:rsidP="00C309CA">
      <w:pPr>
        <w:ind w:firstLine="720"/>
      </w:pPr>
      <w:r>
        <w:rPr>
          <w:b/>
        </w:rPr>
        <w:t xml:space="preserve">Parliamentary Press Gallery: </w:t>
      </w:r>
      <w:r w:rsidR="004135FB">
        <w:t>1</w:t>
      </w:r>
      <w:r>
        <w:t>0</w:t>
      </w:r>
    </w:p>
    <w:p w14:paraId="1D7D4837" w14:textId="77777777" w:rsidR="00C309CA" w:rsidRDefault="00C309CA" w:rsidP="00C309CA">
      <w:pPr>
        <w:ind w:firstLine="720"/>
      </w:pPr>
      <w:r>
        <w:rPr>
          <w:b/>
        </w:rPr>
        <w:t xml:space="preserve">Parliamentary Library: </w:t>
      </w:r>
      <w:r w:rsidR="004135FB">
        <w:t>3</w:t>
      </w:r>
    </w:p>
    <w:p w14:paraId="6A481A81" w14:textId="77777777" w:rsidR="00C309CA" w:rsidRDefault="00C309CA" w:rsidP="00C309CA">
      <w:pPr>
        <w:ind w:firstLine="720"/>
        <w:rPr>
          <w:b/>
        </w:rPr>
      </w:pPr>
      <w:r w:rsidRPr="00C309CA">
        <w:rPr>
          <w:b/>
        </w:rPr>
        <w:t xml:space="preserve">TOTAL: </w:t>
      </w:r>
      <w:r w:rsidR="004135FB">
        <w:rPr>
          <w:b/>
        </w:rPr>
        <w:t>31</w:t>
      </w:r>
    </w:p>
    <w:p w14:paraId="6B2DAD5D" w14:textId="77777777" w:rsidR="00C309CA" w:rsidRDefault="00C309CA" w:rsidP="00C309CA">
      <w:pPr>
        <w:pStyle w:val="Heading2"/>
        <w:rPr>
          <w:rFonts w:ascii="Montserrat Light" w:hAnsi="Montserrat Light"/>
          <w:b/>
          <w:color w:val="auto"/>
          <w:sz w:val="22"/>
          <w:szCs w:val="18"/>
        </w:rPr>
      </w:pPr>
      <w:r>
        <w:rPr>
          <w:rFonts w:ascii="Montserrat Light" w:hAnsi="Montserrat Light"/>
          <w:b/>
          <w:color w:val="auto"/>
          <w:sz w:val="22"/>
          <w:szCs w:val="18"/>
        </w:rPr>
        <w:t xml:space="preserve">Out of </w:t>
      </w:r>
      <w:r w:rsidRPr="00A206B2">
        <w:rPr>
          <w:rFonts w:ascii="Montserrat Light" w:hAnsi="Montserrat Light"/>
          <w:b/>
          <w:color w:val="auto"/>
          <w:sz w:val="22"/>
          <w:szCs w:val="18"/>
        </w:rPr>
        <w:t>Sitting</w:t>
      </w:r>
      <w:r w:rsidR="004C2352">
        <w:rPr>
          <w:rFonts w:ascii="Montserrat Light" w:hAnsi="Montserrat Light"/>
          <w:b/>
          <w:color w:val="auto"/>
          <w:sz w:val="22"/>
          <w:szCs w:val="18"/>
        </w:rPr>
        <w:t xml:space="preserve"> – Presentation in the Senate</w:t>
      </w:r>
    </w:p>
    <w:p w14:paraId="5260B535" w14:textId="77777777" w:rsidR="00C309CA" w:rsidRDefault="00C309CA" w:rsidP="00C309CA"/>
    <w:p w14:paraId="631485CC" w14:textId="77777777" w:rsidR="00C309CA" w:rsidRDefault="00C309CA" w:rsidP="00C309CA">
      <w:r>
        <w:t>The following number of documents are required to be delivered to the Loading Dock by 12.00pm the day before tabling:</w:t>
      </w:r>
    </w:p>
    <w:p w14:paraId="255DD142" w14:textId="77777777" w:rsidR="00C309CA" w:rsidRDefault="00C309CA" w:rsidP="00C309CA">
      <w:pPr>
        <w:ind w:firstLine="720"/>
        <w:rPr>
          <w:rStyle w:val="Hyperlink"/>
          <w:b/>
          <w:szCs w:val="18"/>
        </w:rPr>
      </w:pPr>
      <w:r w:rsidRPr="00C309CA">
        <w:rPr>
          <w:b/>
        </w:rPr>
        <w:t>PM&amp;C Tabling Office:</w:t>
      </w:r>
      <w:r>
        <w:t xml:space="preserve"> 3 accompanied by</w:t>
      </w:r>
      <w:r w:rsidR="003D6462">
        <w:t xml:space="preserve"> a Covering Minute</w:t>
      </w:r>
    </w:p>
    <w:p w14:paraId="1B3184E8" w14:textId="77777777" w:rsidR="00C309CA" w:rsidRPr="00C309CA" w:rsidRDefault="00C309CA" w:rsidP="00C309CA">
      <w:pPr>
        <w:ind w:firstLine="720"/>
      </w:pPr>
      <w:r>
        <w:rPr>
          <w:b/>
        </w:rPr>
        <w:t xml:space="preserve">President of the Senate: </w:t>
      </w:r>
      <w:r>
        <w:t>1 accompanied by</w:t>
      </w:r>
      <w:r w:rsidR="003D6462">
        <w:t xml:space="preserve"> a </w:t>
      </w:r>
      <w:r w:rsidR="000A6BD8">
        <w:t>letter of transmittal</w:t>
      </w:r>
      <w:r w:rsidR="003D6462">
        <w:t xml:space="preserve"> </w:t>
      </w:r>
    </w:p>
    <w:p w14:paraId="55C46709" w14:textId="77777777" w:rsidR="00C309CA" w:rsidRDefault="00C309CA" w:rsidP="00C309CA">
      <w:pPr>
        <w:ind w:firstLine="720"/>
      </w:pPr>
      <w:r>
        <w:rPr>
          <w:b/>
        </w:rPr>
        <w:t xml:space="preserve">Senate Table Office: </w:t>
      </w:r>
      <w:r w:rsidR="004135FB">
        <w:t>1</w:t>
      </w:r>
      <w:r>
        <w:t xml:space="preserve">0 </w:t>
      </w:r>
    </w:p>
    <w:p w14:paraId="6AB1AB4B" w14:textId="77777777" w:rsidR="00C309CA" w:rsidRDefault="00C309CA" w:rsidP="00C46F47">
      <w:pPr>
        <w:ind w:left="720"/>
      </w:pPr>
      <w:r>
        <w:rPr>
          <w:b/>
        </w:rPr>
        <w:t xml:space="preserve">House of Representatives Table Office: </w:t>
      </w:r>
      <w:r>
        <w:t xml:space="preserve">5 </w:t>
      </w:r>
    </w:p>
    <w:p w14:paraId="3D055315" w14:textId="77777777" w:rsidR="00C309CA" w:rsidRDefault="00C309CA" w:rsidP="00C309CA">
      <w:pPr>
        <w:ind w:firstLine="720"/>
      </w:pPr>
      <w:r>
        <w:rPr>
          <w:b/>
        </w:rPr>
        <w:t xml:space="preserve">Parliamentary Press Gallery: </w:t>
      </w:r>
      <w:r w:rsidR="004135FB">
        <w:t>1</w:t>
      </w:r>
      <w:r>
        <w:t>0</w:t>
      </w:r>
    </w:p>
    <w:p w14:paraId="1051299E" w14:textId="77777777" w:rsidR="00C309CA" w:rsidRDefault="00C309CA" w:rsidP="00C309CA">
      <w:pPr>
        <w:ind w:firstLine="720"/>
      </w:pPr>
      <w:r>
        <w:rPr>
          <w:b/>
        </w:rPr>
        <w:t xml:space="preserve">Parliamentary Library: </w:t>
      </w:r>
      <w:r w:rsidR="004135FB">
        <w:t>3</w:t>
      </w:r>
    </w:p>
    <w:p w14:paraId="14B655D6" w14:textId="77777777" w:rsidR="00E80EAC" w:rsidRDefault="00E80EAC" w:rsidP="00E80EAC">
      <w:pPr>
        <w:ind w:firstLine="720"/>
        <w:rPr>
          <w:b/>
        </w:rPr>
      </w:pPr>
      <w:r>
        <w:rPr>
          <w:b/>
        </w:rPr>
        <w:t xml:space="preserve">TOTAL: </w:t>
      </w:r>
      <w:r w:rsidR="004135FB">
        <w:rPr>
          <w:b/>
        </w:rPr>
        <w:t>32</w:t>
      </w:r>
    </w:p>
    <w:p w14:paraId="3207B880" w14:textId="77777777" w:rsidR="00AA658C" w:rsidRDefault="00AA658C">
      <w:pPr>
        <w:autoSpaceDE/>
        <w:autoSpaceDN/>
        <w:spacing w:after="0" w:line="240" w:lineRule="auto"/>
      </w:pPr>
      <w:r>
        <w:br w:type="page"/>
      </w:r>
    </w:p>
    <w:p w14:paraId="6D3DE475" w14:textId="77777777" w:rsidR="00CA3F26" w:rsidRPr="00E44EA0" w:rsidRDefault="0080520A" w:rsidP="00893D9A">
      <w:pPr>
        <w:pStyle w:val="Heading1"/>
      </w:pPr>
      <w:bookmarkStart w:id="9" w:name="_Chapter_3_GOVERNMENT"/>
      <w:bookmarkEnd w:id="9"/>
      <w:r>
        <w:lastRenderedPageBreak/>
        <w:t xml:space="preserve">Chapter 3 </w:t>
      </w:r>
      <w:r w:rsidR="00CA3F26" w:rsidRPr="00E44EA0">
        <w:t>GOVERNMENT RESPONSE</w:t>
      </w:r>
      <w:r w:rsidR="003D4DAD">
        <w:t>S</w:t>
      </w:r>
      <w:r w:rsidR="00DA77F1" w:rsidRPr="00E44EA0">
        <w:t xml:space="preserve"> to PARLIAMENTARY COMMITTEE REPORTS</w:t>
      </w:r>
    </w:p>
    <w:p w14:paraId="7A725429" w14:textId="77777777" w:rsidR="00E80EAC" w:rsidRPr="009D507D" w:rsidRDefault="00E80EAC" w:rsidP="00E80EAC">
      <w:pPr>
        <w:pStyle w:val="Heading2"/>
        <w:rPr>
          <w:rFonts w:ascii="Montserrat Light" w:hAnsi="Montserrat Light"/>
          <w:b/>
          <w:color w:val="auto"/>
          <w:sz w:val="18"/>
          <w:szCs w:val="18"/>
        </w:rPr>
      </w:pPr>
      <w:r>
        <w:rPr>
          <w:rFonts w:ascii="Montserrat Light" w:hAnsi="Montserrat Light"/>
          <w:b/>
          <w:color w:val="auto"/>
          <w:sz w:val="18"/>
          <w:szCs w:val="18"/>
        </w:rPr>
        <w:t>General</w:t>
      </w:r>
    </w:p>
    <w:p w14:paraId="0F13AC3F" w14:textId="77777777" w:rsidR="00E14143" w:rsidRPr="00E44EA0" w:rsidRDefault="00E14143" w:rsidP="00D9532B">
      <w:pPr>
        <w:jc w:val="both"/>
      </w:pPr>
      <w:r w:rsidRPr="00E44EA0">
        <w:t xml:space="preserve">This section </w:t>
      </w:r>
      <w:r w:rsidR="007F3118" w:rsidRPr="00E44EA0">
        <w:t>provides</w:t>
      </w:r>
      <w:r w:rsidRPr="00E44EA0">
        <w:t xml:space="preserve"> information about the process for </w:t>
      </w:r>
      <w:r w:rsidR="00F84523" w:rsidRPr="00E44EA0">
        <w:t xml:space="preserve">the </w:t>
      </w:r>
      <w:r w:rsidRPr="00E44EA0">
        <w:t>prepar</w:t>
      </w:r>
      <w:r w:rsidR="00F84523" w:rsidRPr="00E44EA0">
        <w:t>ation, approval and tabling</w:t>
      </w:r>
      <w:r w:rsidR="00464FE4" w:rsidRPr="00E44EA0">
        <w:t xml:space="preserve"> of</w:t>
      </w:r>
      <w:r w:rsidR="00F84523" w:rsidRPr="00E44EA0">
        <w:t xml:space="preserve"> a </w:t>
      </w:r>
      <w:r w:rsidRPr="00E44EA0">
        <w:t xml:space="preserve">government </w:t>
      </w:r>
      <w:r w:rsidR="00F84523" w:rsidRPr="00E44EA0">
        <w:t xml:space="preserve">response to a </w:t>
      </w:r>
      <w:hyperlink w:anchor="Parliamentarycommittee" w:history="1">
        <w:r w:rsidR="00ED753C" w:rsidRPr="00E44EA0">
          <w:rPr>
            <w:rStyle w:val="Hyperlink"/>
          </w:rPr>
          <w:t>parliamentary committee</w:t>
        </w:r>
      </w:hyperlink>
      <w:r w:rsidR="00F84523" w:rsidRPr="00E44EA0">
        <w:t xml:space="preserve"> report.</w:t>
      </w:r>
    </w:p>
    <w:p w14:paraId="00C3B067" w14:textId="77777777" w:rsidR="009C61A6" w:rsidRPr="00E44EA0" w:rsidRDefault="00464FE4" w:rsidP="00D9532B">
      <w:pPr>
        <w:jc w:val="both"/>
      </w:pPr>
      <w:r w:rsidRPr="00E44EA0">
        <w:t xml:space="preserve">When a </w:t>
      </w:r>
      <w:hyperlink w:anchor="Parliamentarycommittee" w:history="1">
        <w:r w:rsidRPr="00E44EA0">
          <w:rPr>
            <w:rStyle w:val="Hyperlink"/>
          </w:rPr>
          <w:t>parliamentary committee</w:t>
        </w:r>
      </w:hyperlink>
      <w:r w:rsidR="00130CC2" w:rsidRPr="00E44EA0">
        <w:t xml:space="preserve"> </w:t>
      </w:r>
      <w:r w:rsidR="009C61A6" w:rsidRPr="00E44EA0">
        <w:t xml:space="preserve">report is tabled containing </w:t>
      </w:r>
      <w:r w:rsidRPr="00E44EA0">
        <w:t>recommendations</w:t>
      </w:r>
      <w:r w:rsidR="009C61A6" w:rsidRPr="00E44EA0">
        <w:t>, t</w:t>
      </w:r>
      <w:r w:rsidR="009C61A6" w:rsidRPr="00E44EA0">
        <w:rPr>
          <w:lang w:val="en"/>
        </w:rPr>
        <w:t xml:space="preserve">he </w:t>
      </w:r>
      <w:r w:rsidR="00356D6B" w:rsidRPr="00E44EA0">
        <w:rPr>
          <w:lang w:val="en"/>
        </w:rPr>
        <w:t>G</w:t>
      </w:r>
      <w:r w:rsidR="009C61A6" w:rsidRPr="00E44EA0">
        <w:rPr>
          <w:lang w:val="en"/>
        </w:rPr>
        <w:t>overnment</w:t>
      </w:r>
      <w:r w:rsidR="00794034" w:rsidRPr="00E44EA0">
        <w:rPr>
          <w:lang w:val="en"/>
        </w:rPr>
        <w:t xml:space="preserve"> </w:t>
      </w:r>
      <w:r w:rsidR="009C61A6" w:rsidRPr="00E44EA0">
        <w:rPr>
          <w:lang w:val="en"/>
        </w:rPr>
        <w:t>respond</w:t>
      </w:r>
      <w:r w:rsidR="00E2715E">
        <w:rPr>
          <w:lang w:val="en"/>
        </w:rPr>
        <w:t>s</w:t>
      </w:r>
      <w:r w:rsidR="009C61A6" w:rsidRPr="00E44EA0">
        <w:rPr>
          <w:lang w:val="en"/>
        </w:rPr>
        <w:t xml:space="preserve"> by way of written statement to the Parliament</w:t>
      </w:r>
      <w:r w:rsidR="00D57568">
        <w:rPr>
          <w:lang w:val="en"/>
        </w:rPr>
        <w:t>. I</w:t>
      </w:r>
      <w:r w:rsidR="005351E7">
        <w:rPr>
          <w:lang w:val="en"/>
        </w:rPr>
        <w:t>f the report relates to legislation</w:t>
      </w:r>
      <w:r w:rsidR="00D57568">
        <w:rPr>
          <w:lang w:val="en"/>
        </w:rPr>
        <w:t xml:space="preserve"> and the Minister provided the Government’s substantive response to the recommendations through their second reading or summing up speech, it must be followed by a written correspondence to the President of the Senate (or Speaker of the House of Representatives) identifying or attaching the relevant Hansard extract (see below).</w:t>
      </w:r>
      <w:r w:rsidR="005351E7">
        <w:rPr>
          <w:lang w:val="en"/>
        </w:rPr>
        <w:t xml:space="preserve"> </w:t>
      </w:r>
    </w:p>
    <w:p w14:paraId="6E5305C7" w14:textId="77777777" w:rsidR="00A157BF" w:rsidRPr="00E44EA0" w:rsidRDefault="009C61A6" w:rsidP="00D9532B">
      <w:pPr>
        <w:jc w:val="both"/>
      </w:pPr>
      <w:r w:rsidRPr="00E44EA0">
        <w:t>The</w:t>
      </w:r>
      <w:r w:rsidR="00A157BF" w:rsidRPr="00E44EA0">
        <w:t xml:space="preserve"> </w:t>
      </w:r>
      <w:r w:rsidR="00F84523" w:rsidRPr="00E44EA0">
        <w:t xml:space="preserve">PM&amp;C Tabling Office will </w:t>
      </w:r>
      <w:r w:rsidR="009871DA">
        <w:t>identify the lead Commonwealth department which will be responsible for coordinating the government response to the report – usually the Department with carriage of the legislation or responsibility for the majority of recommendations.</w:t>
      </w:r>
    </w:p>
    <w:p w14:paraId="0211A380" w14:textId="77777777" w:rsidR="00E80EAC" w:rsidRPr="009D507D" w:rsidRDefault="00E80EAC" w:rsidP="00E80EAC">
      <w:pPr>
        <w:pStyle w:val="Heading2"/>
        <w:rPr>
          <w:rFonts w:ascii="Montserrat Light" w:hAnsi="Montserrat Light"/>
          <w:b/>
          <w:color w:val="auto"/>
          <w:sz w:val="18"/>
          <w:szCs w:val="18"/>
        </w:rPr>
      </w:pPr>
      <w:r>
        <w:rPr>
          <w:rFonts w:ascii="Montserrat Light" w:hAnsi="Montserrat Light"/>
          <w:b/>
          <w:color w:val="auto"/>
          <w:sz w:val="18"/>
          <w:szCs w:val="18"/>
        </w:rPr>
        <w:t>Inquiry into a bill - Senate</w:t>
      </w:r>
    </w:p>
    <w:p w14:paraId="79BA1C6B" w14:textId="77777777" w:rsidR="00EF5E6C" w:rsidRPr="00E44EA0" w:rsidRDefault="00EF5E6C" w:rsidP="00D9532B">
      <w:pPr>
        <w:jc w:val="both"/>
      </w:pPr>
      <w:r w:rsidRPr="00E44EA0">
        <w:t xml:space="preserve">The Senate has a number of legislation committees which inquire into and report on any bills or draft bills referred to them. </w:t>
      </w:r>
    </w:p>
    <w:p w14:paraId="73E13A8B" w14:textId="77777777" w:rsidR="00EF5E6C" w:rsidRPr="00E44EA0" w:rsidRDefault="00EF5E6C" w:rsidP="00D9532B">
      <w:pPr>
        <w:pStyle w:val="ListParagraph"/>
        <w:numPr>
          <w:ilvl w:val="0"/>
          <w:numId w:val="7"/>
        </w:numPr>
        <w:jc w:val="both"/>
      </w:pPr>
      <w:r w:rsidRPr="00E44EA0">
        <w:rPr>
          <w:b/>
        </w:rPr>
        <w:t>Referrals to committees</w:t>
      </w:r>
      <w:r w:rsidRPr="00E44EA0">
        <w:t xml:space="preserve">: Once a bill is introduced, a bill or the provisions of the bill can be referred to a committee through the Senate Selection of Bills Committee. The Senate </w:t>
      </w:r>
      <w:hyperlink w:anchor="ParliamentaryLiaisonOfficer" w:history="1">
        <w:r w:rsidRPr="00E44EA0">
          <w:rPr>
            <w:rStyle w:val="Hyperlink"/>
          </w:rPr>
          <w:t>Parliamentary Liaison Officer</w:t>
        </w:r>
      </w:hyperlink>
      <w:r w:rsidRPr="00E44EA0">
        <w:t xml:space="preserve"> (Senate PLO) will notify the responsible departments of referrals.</w:t>
      </w:r>
    </w:p>
    <w:p w14:paraId="228FD937" w14:textId="77777777" w:rsidR="00EF5E6C" w:rsidRPr="00E44EA0" w:rsidRDefault="00EF5E6C" w:rsidP="00D9532B">
      <w:pPr>
        <w:pStyle w:val="ListParagraph"/>
        <w:numPr>
          <w:ilvl w:val="0"/>
          <w:numId w:val="7"/>
        </w:numPr>
        <w:jc w:val="both"/>
      </w:pPr>
      <w:r w:rsidRPr="00E44EA0">
        <w:rPr>
          <w:b/>
        </w:rPr>
        <w:t>Reports from committees</w:t>
      </w:r>
      <w:r w:rsidRPr="00E44EA0">
        <w:t>: When a committee finalises an inquiry, a committee report will be tabled. The Senate PLO will notify the responsible departments of the report and what action is required.</w:t>
      </w:r>
    </w:p>
    <w:p w14:paraId="038CCA0F" w14:textId="77777777" w:rsidR="00D57568" w:rsidRDefault="00D57568" w:rsidP="00D57568">
      <w:pPr>
        <w:pStyle w:val="ListParagraph"/>
        <w:numPr>
          <w:ilvl w:val="0"/>
          <w:numId w:val="7"/>
        </w:numPr>
        <w:jc w:val="both"/>
      </w:pPr>
      <w:r w:rsidRPr="00E44EA0">
        <w:rPr>
          <w:b/>
        </w:rPr>
        <w:t>Responding to recommendations</w:t>
      </w:r>
      <w:r w:rsidRPr="00E44EA0">
        <w:t xml:space="preserve">: A government response is required to each committee recommendation including any dissenting recommendations unless otherwise advised by the Senate PLO. </w:t>
      </w:r>
      <w:r>
        <w:t xml:space="preserve">Recommendations that a bill be passed, not passed or amended do not require a government response. </w:t>
      </w:r>
      <w:r w:rsidRPr="00E44EA0">
        <w:t xml:space="preserve">A response </w:t>
      </w:r>
      <w:r>
        <w:t xml:space="preserve">must be provided in the form of a letter from the responsible minister to the President of the Senate to confirm ministerial approval of the government response, which provides appropriate </w:t>
      </w:r>
      <w:r w:rsidRPr="00B36CC9">
        <w:t xml:space="preserve">documentation that </w:t>
      </w:r>
      <w:r>
        <w:t xml:space="preserve">the recommendations have been responded to. A PDF of the letter and any attachments must be uploaded to the Online Tabled Documents system and 10 hard copies delivered to the Parliament House Loading dock by no later than noon the day before tabling. </w:t>
      </w:r>
    </w:p>
    <w:p w14:paraId="4B3041F8" w14:textId="77777777" w:rsidR="00D57568" w:rsidRDefault="00D57568" w:rsidP="00D57568">
      <w:pPr>
        <w:pStyle w:val="ListParagraph"/>
        <w:numPr>
          <w:ilvl w:val="1"/>
          <w:numId w:val="7"/>
        </w:numPr>
        <w:jc w:val="both"/>
      </w:pPr>
      <w:r>
        <w:t xml:space="preserve">The letter may reference a response to recommendations provided during debate on a bill (for example, by reference to the Hansard record of a second reading speech or summing up speech) or can reference government amendments or explanatory memoranda that address the recommendation (such as supplementary explanatory memoranda that accompany government amendments or an addendum to the explanatory memorandum that responds to recommendations). </w:t>
      </w:r>
    </w:p>
    <w:p w14:paraId="155F9A7E" w14:textId="77777777" w:rsidR="00D57568" w:rsidRDefault="00D57568" w:rsidP="00D57568">
      <w:pPr>
        <w:pStyle w:val="ListParagraph"/>
        <w:numPr>
          <w:ilvl w:val="1"/>
          <w:numId w:val="7"/>
        </w:numPr>
        <w:jc w:val="both"/>
      </w:pPr>
      <w:r>
        <w:t xml:space="preserve">The letter can indicate whether recommendations will not be accepted. </w:t>
      </w:r>
    </w:p>
    <w:p w14:paraId="0FB68D9F" w14:textId="77777777" w:rsidR="00D57568" w:rsidRDefault="00D57568" w:rsidP="00D57568">
      <w:pPr>
        <w:pStyle w:val="ListParagraph"/>
        <w:numPr>
          <w:ilvl w:val="1"/>
          <w:numId w:val="7"/>
        </w:numPr>
        <w:jc w:val="both"/>
      </w:pPr>
      <w:r w:rsidRPr="00E44EA0">
        <w:t xml:space="preserve">Recommendations not addressed during the debate </w:t>
      </w:r>
      <w:r>
        <w:t xml:space="preserve">must be addressed separately in the written correspondence to the Parliament </w:t>
      </w:r>
      <w:r w:rsidRPr="00E44EA0">
        <w:t>in accordance with the requirements in these Guidelines.</w:t>
      </w:r>
    </w:p>
    <w:p w14:paraId="6963C8ED" w14:textId="77777777" w:rsidR="00EF5E6C" w:rsidRDefault="007E7708" w:rsidP="00D9532B">
      <w:pPr>
        <w:jc w:val="both"/>
      </w:pPr>
      <w:r>
        <w:t>If a bill is referred to a Senate legislation committee, d</w:t>
      </w:r>
      <w:r w:rsidR="00EF5E6C" w:rsidRPr="00E44EA0">
        <w:t xml:space="preserve">ebate on </w:t>
      </w:r>
      <w:r>
        <w:t>the</w:t>
      </w:r>
      <w:r w:rsidR="00EF5E6C" w:rsidRPr="00E44EA0">
        <w:t xml:space="preserve"> bill will not occur in the Senate until the committee has presented its report</w:t>
      </w:r>
      <w:r w:rsidR="00EF5E6C">
        <w:t xml:space="preserve"> (Senate Standing Order 115)</w:t>
      </w:r>
      <w:r w:rsidR="00EF5E6C" w:rsidRPr="00E44EA0">
        <w:t>.</w:t>
      </w:r>
    </w:p>
    <w:p w14:paraId="342026D5" w14:textId="77777777" w:rsidR="00EF5E6C" w:rsidRPr="00E80EAC" w:rsidRDefault="00E80EAC" w:rsidP="00E80EAC">
      <w:pPr>
        <w:pStyle w:val="Heading2"/>
        <w:rPr>
          <w:rFonts w:ascii="Montserrat Light" w:hAnsi="Montserrat Light"/>
          <w:b/>
          <w:color w:val="auto"/>
          <w:sz w:val="18"/>
          <w:szCs w:val="18"/>
        </w:rPr>
      </w:pPr>
      <w:r>
        <w:rPr>
          <w:rFonts w:ascii="Montserrat Light" w:hAnsi="Montserrat Light"/>
          <w:b/>
          <w:color w:val="auto"/>
          <w:sz w:val="18"/>
          <w:szCs w:val="18"/>
        </w:rPr>
        <w:t>Inquiry into a bill – House of Representatives</w:t>
      </w:r>
    </w:p>
    <w:p w14:paraId="507E8116" w14:textId="77777777" w:rsidR="00EF5E6C" w:rsidRPr="00E44EA0" w:rsidRDefault="00EF5E6C" w:rsidP="00D9532B">
      <w:pPr>
        <w:jc w:val="both"/>
      </w:pPr>
      <w:r w:rsidRPr="00E44EA0">
        <w:t xml:space="preserve">The House of Representatives does not have separate legislation committees. However, the </w:t>
      </w:r>
      <w:r>
        <w:t>g</w:t>
      </w:r>
      <w:r w:rsidRPr="00E44EA0">
        <w:t xml:space="preserve">eneral purpose </w:t>
      </w:r>
      <w:hyperlink w:anchor="Standingcommittee" w:history="1">
        <w:r w:rsidRPr="00E44EA0">
          <w:rPr>
            <w:rStyle w:val="Hyperlink"/>
          </w:rPr>
          <w:t>standing committees</w:t>
        </w:r>
      </w:hyperlink>
      <w:r w:rsidRPr="00E44EA0">
        <w:t xml:space="preserve"> and joint committees may conduct an inquiry into a bill. Advisory reports on bills are not likely to require a response unless the report makes recommendations which are wider than the provisions of </w:t>
      </w:r>
      <w:r w:rsidRPr="00E44EA0">
        <w:lastRenderedPageBreak/>
        <w:t xml:space="preserve">the bill. In that case, the House of Representatives </w:t>
      </w:r>
      <w:hyperlink w:anchor="ParliamentaryLiaisonOfficer" w:history="1">
        <w:r w:rsidRPr="00E44EA0">
          <w:rPr>
            <w:rStyle w:val="Hyperlink"/>
          </w:rPr>
          <w:t>Parliamentary Liaison Officer</w:t>
        </w:r>
      </w:hyperlink>
      <w:r w:rsidRPr="00E44EA0">
        <w:t xml:space="preserve"> (House of Representatives PLO) will </w:t>
      </w:r>
      <w:r>
        <w:t>notify</w:t>
      </w:r>
      <w:r w:rsidRPr="00E44EA0">
        <w:t xml:space="preserve"> the relevant department.</w:t>
      </w:r>
    </w:p>
    <w:p w14:paraId="202AFC51" w14:textId="77777777" w:rsidR="00D9532B" w:rsidRPr="00E80EAC" w:rsidRDefault="00EF5E6C" w:rsidP="00D9532B">
      <w:pPr>
        <w:jc w:val="both"/>
      </w:pPr>
      <w:r w:rsidRPr="00E44EA0">
        <w:t>In the House of Representatives, until the committee has reported debate can only proceed up to the second reading and reporting of any Governor-General’s message recommending an appropriation.</w:t>
      </w:r>
    </w:p>
    <w:p w14:paraId="2C1E624E" w14:textId="77777777" w:rsidR="00E80EAC" w:rsidRPr="009D507D" w:rsidRDefault="00E80EAC" w:rsidP="00E80EAC">
      <w:pPr>
        <w:pStyle w:val="Heading2"/>
        <w:rPr>
          <w:rFonts w:ascii="Montserrat Light" w:hAnsi="Montserrat Light"/>
          <w:b/>
          <w:color w:val="auto"/>
          <w:sz w:val="18"/>
          <w:szCs w:val="18"/>
        </w:rPr>
      </w:pPr>
      <w:r>
        <w:rPr>
          <w:rFonts w:ascii="Montserrat Light" w:hAnsi="Montserrat Light"/>
          <w:b/>
          <w:color w:val="auto"/>
          <w:sz w:val="18"/>
          <w:szCs w:val="18"/>
        </w:rPr>
        <w:t>Timeframe for responses</w:t>
      </w:r>
    </w:p>
    <w:p w14:paraId="24AE0AA0" w14:textId="77777777" w:rsidR="00455A29" w:rsidRPr="00E44EA0" w:rsidRDefault="00791FDF" w:rsidP="00D9532B">
      <w:pPr>
        <w:jc w:val="both"/>
      </w:pPr>
      <w:r w:rsidRPr="00E44EA0">
        <w:t>T</w:t>
      </w:r>
      <w:r w:rsidR="009C61A6" w:rsidRPr="00E44EA0">
        <w:t>he</w:t>
      </w:r>
      <w:r w:rsidRPr="00E44EA0">
        <w:t xml:space="preserve"> respective resolutions of the Se</w:t>
      </w:r>
      <w:r w:rsidR="00B968DE" w:rsidRPr="00E44EA0">
        <w:t xml:space="preserve">nate and House </w:t>
      </w:r>
      <w:r w:rsidR="00EA1A9F" w:rsidRPr="00E44EA0">
        <w:t xml:space="preserve">of Representatives </w:t>
      </w:r>
      <w:r w:rsidR="00FC6ED4" w:rsidRPr="00E44EA0">
        <w:t>set the timeframe for responses:</w:t>
      </w:r>
    </w:p>
    <w:p w14:paraId="43DA701F" w14:textId="77777777" w:rsidR="00A157BF" w:rsidRPr="00E44EA0" w:rsidRDefault="00876779" w:rsidP="00D9532B">
      <w:pPr>
        <w:pStyle w:val="ListParagraph"/>
        <w:numPr>
          <w:ilvl w:val="0"/>
          <w:numId w:val="5"/>
        </w:numPr>
        <w:jc w:val="both"/>
      </w:pPr>
      <w:hyperlink r:id="rId40" w:history="1">
        <w:r w:rsidR="0090437B" w:rsidRPr="0090437B">
          <w:rPr>
            <w:rStyle w:val="Hyperlink"/>
          </w:rPr>
          <w:t>Senate Committee</w:t>
        </w:r>
      </w:hyperlink>
      <w:r w:rsidR="0090437B">
        <w:t xml:space="preserve"> re</w:t>
      </w:r>
      <w:r w:rsidR="00A157BF" w:rsidRPr="00E44EA0">
        <w:t xml:space="preserve">ports – within 3 months </w:t>
      </w:r>
      <w:r w:rsidR="005351E7">
        <w:t xml:space="preserve">(Senate </w:t>
      </w:r>
      <w:r w:rsidR="007C7252">
        <w:t xml:space="preserve">Procedural </w:t>
      </w:r>
      <w:r w:rsidR="005351E7">
        <w:t>Order 44)</w:t>
      </w:r>
      <w:r w:rsidR="00D9532B">
        <w:t>.</w:t>
      </w:r>
    </w:p>
    <w:p w14:paraId="2E0C207E" w14:textId="77777777" w:rsidR="009C61A6" w:rsidRPr="00E44EA0" w:rsidRDefault="00876779" w:rsidP="00D9532B">
      <w:pPr>
        <w:pStyle w:val="ListParagraph"/>
        <w:numPr>
          <w:ilvl w:val="0"/>
          <w:numId w:val="5"/>
        </w:numPr>
        <w:jc w:val="both"/>
      </w:pPr>
      <w:hyperlink w:anchor="HouseofRepresentativescommittee" w:history="1">
        <w:r w:rsidR="007919A0" w:rsidRPr="00E44EA0">
          <w:rPr>
            <w:rStyle w:val="Hyperlink"/>
          </w:rPr>
          <w:t>House of Representatives c</w:t>
        </w:r>
        <w:r w:rsidR="00A157BF" w:rsidRPr="00E44EA0">
          <w:rPr>
            <w:rStyle w:val="Hyperlink"/>
          </w:rPr>
          <w:t>ommittee</w:t>
        </w:r>
      </w:hyperlink>
      <w:r w:rsidR="00A157BF" w:rsidRPr="00E44EA0">
        <w:t xml:space="preserve"> reports – with</w:t>
      </w:r>
      <w:r w:rsidR="00455A29" w:rsidRPr="00E44EA0">
        <w:t>in 6 months</w:t>
      </w:r>
      <w:r w:rsidR="00D9532B">
        <w:t>.</w:t>
      </w:r>
    </w:p>
    <w:p w14:paraId="22474356" w14:textId="77777777" w:rsidR="00A157BF" w:rsidRPr="00E44EA0" w:rsidRDefault="00876779" w:rsidP="00D9532B">
      <w:pPr>
        <w:pStyle w:val="ListParagraph"/>
        <w:numPr>
          <w:ilvl w:val="0"/>
          <w:numId w:val="5"/>
        </w:numPr>
        <w:jc w:val="both"/>
      </w:pPr>
      <w:hyperlink w:anchor="Jointcommittee" w:history="1">
        <w:r w:rsidR="007919A0" w:rsidRPr="00E44EA0">
          <w:rPr>
            <w:rStyle w:val="Hyperlink"/>
          </w:rPr>
          <w:t>Joint c</w:t>
        </w:r>
        <w:r w:rsidR="00A157BF" w:rsidRPr="00E44EA0">
          <w:rPr>
            <w:rStyle w:val="Hyperlink"/>
          </w:rPr>
          <w:t>ommittee</w:t>
        </w:r>
      </w:hyperlink>
      <w:r w:rsidR="00A157BF" w:rsidRPr="00E44EA0">
        <w:t xml:space="preserve"> reports – with</w:t>
      </w:r>
      <w:r w:rsidR="003E64C5" w:rsidRPr="00E44EA0">
        <w:t>in 3 months</w:t>
      </w:r>
      <w:r w:rsidR="00D9532B">
        <w:t>.</w:t>
      </w:r>
    </w:p>
    <w:p w14:paraId="22EF119C" w14:textId="77777777" w:rsidR="00E80EAC" w:rsidRPr="009D507D" w:rsidRDefault="00E80EAC" w:rsidP="00E80EAC">
      <w:pPr>
        <w:pStyle w:val="Heading2"/>
        <w:rPr>
          <w:rFonts w:ascii="Montserrat Light" w:hAnsi="Montserrat Light"/>
          <w:b/>
          <w:color w:val="auto"/>
          <w:sz w:val="18"/>
          <w:szCs w:val="18"/>
        </w:rPr>
      </w:pPr>
      <w:r>
        <w:rPr>
          <w:rFonts w:ascii="Montserrat Light" w:hAnsi="Montserrat Light"/>
          <w:b/>
          <w:color w:val="auto"/>
          <w:sz w:val="18"/>
          <w:szCs w:val="18"/>
        </w:rPr>
        <w:t xml:space="preserve">Preparation of Government </w:t>
      </w:r>
      <w:r w:rsidR="00D57568">
        <w:rPr>
          <w:rFonts w:ascii="Montserrat Light" w:hAnsi="Montserrat Light"/>
          <w:b/>
          <w:color w:val="auto"/>
          <w:sz w:val="18"/>
          <w:szCs w:val="18"/>
        </w:rPr>
        <w:t>Responses</w:t>
      </w:r>
    </w:p>
    <w:p w14:paraId="48835F91" w14:textId="77777777" w:rsidR="00CC244E" w:rsidRPr="00E44EA0" w:rsidRDefault="00CC244E" w:rsidP="00D9532B">
      <w:pPr>
        <w:jc w:val="both"/>
      </w:pPr>
      <w:r w:rsidRPr="00E44EA0">
        <w:t xml:space="preserve">Responsibility for preparing the </w:t>
      </w:r>
      <w:r w:rsidR="00CB62DC" w:rsidRPr="00E44EA0">
        <w:t>whole-of-government response</w:t>
      </w:r>
      <w:r w:rsidRPr="00E44EA0">
        <w:t xml:space="preserve"> rests with the lead department</w:t>
      </w:r>
      <w:r w:rsidR="00341792" w:rsidRPr="00E44EA0">
        <w:t>.</w:t>
      </w:r>
      <w:r w:rsidR="00CA17E8" w:rsidRPr="00E44EA0">
        <w:br/>
      </w:r>
      <w:r w:rsidR="000E51BD" w:rsidRPr="00E44EA0">
        <w:t>The response:</w:t>
      </w:r>
    </w:p>
    <w:p w14:paraId="72F62BF8" w14:textId="77777777" w:rsidR="00CB62DC" w:rsidRPr="00E44EA0" w:rsidRDefault="00030679" w:rsidP="00D9532B">
      <w:pPr>
        <w:pStyle w:val="ListParagraph"/>
        <w:numPr>
          <w:ilvl w:val="0"/>
          <w:numId w:val="6"/>
        </w:numPr>
        <w:jc w:val="both"/>
      </w:pPr>
      <w:r w:rsidRPr="00E44EA0">
        <w:rPr>
          <w:u w:val="single"/>
        </w:rPr>
        <w:t>must</w:t>
      </w:r>
      <w:r w:rsidRPr="00E44EA0">
        <w:t xml:space="preserve"> </w:t>
      </w:r>
      <w:r w:rsidR="00586EAF" w:rsidRPr="00E44EA0">
        <w:t xml:space="preserve">address all the recommendations </w:t>
      </w:r>
      <w:r w:rsidRPr="00E44EA0">
        <w:t>and, if applicable, indicate reasons for not accept</w:t>
      </w:r>
      <w:r w:rsidR="00CB62DC" w:rsidRPr="00E44EA0">
        <w:t>ing any specific recommendation</w:t>
      </w:r>
      <w:r w:rsidR="006B4EDE" w:rsidRPr="00E44EA0">
        <w:t xml:space="preserve"> (with the exception of recommendations directed to the Speaker of the House of Representatives and/or the President of the Senate</w:t>
      </w:r>
      <w:r w:rsidR="00A74232" w:rsidRPr="00E44EA0">
        <w:t xml:space="preserve"> – see below)</w:t>
      </w:r>
    </w:p>
    <w:p w14:paraId="6901B151" w14:textId="77777777" w:rsidR="00B968DE" w:rsidRDefault="00B968DE" w:rsidP="00D9532B">
      <w:pPr>
        <w:pStyle w:val="ListParagraph"/>
        <w:numPr>
          <w:ilvl w:val="0"/>
          <w:numId w:val="6"/>
        </w:numPr>
        <w:jc w:val="both"/>
      </w:pPr>
      <w:r w:rsidRPr="00E44EA0">
        <w:rPr>
          <w:u w:val="single"/>
        </w:rPr>
        <w:t>must</w:t>
      </w:r>
      <w:r w:rsidRPr="00E44EA0">
        <w:t xml:space="preserve"> address minority or dissenting recommendations in Senate and </w:t>
      </w:r>
      <w:r w:rsidR="00356D6B" w:rsidRPr="00E44EA0">
        <w:t>j</w:t>
      </w:r>
      <w:r w:rsidR="007919A0" w:rsidRPr="00E44EA0">
        <w:t>oint c</w:t>
      </w:r>
      <w:r w:rsidRPr="00E44EA0">
        <w:t xml:space="preserve">ommittees reports (not </w:t>
      </w:r>
      <w:r w:rsidR="009871DA">
        <w:t xml:space="preserve">required for </w:t>
      </w:r>
      <w:r w:rsidRPr="00E44EA0">
        <w:t>House</w:t>
      </w:r>
      <w:r w:rsidR="00EA1A9F" w:rsidRPr="00E44EA0">
        <w:t xml:space="preserve"> of Representatives</w:t>
      </w:r>
      <w:r w:rsidRPr="00E44EA0">
        <w:t xml:space="preserve"> reports)</w:t>
      </w:r>
    </w:p>
    <w:p w14:paraId="00FC63BF" w14:textId="77777777" w:rsidR="00D57568" w:rsidRPr="00E44EA0" w:rsidRDefault="00D57568">
      <w:pPr>
        <w:pStyle w:val="ListParagraph"/>
        <w:numPr>
          <w:ilvl w:val="0"/>
          <w:numId w:val="6"/>
        </w:numPr>
        <w:jc w:val="both"/>
      </w:pPr>
      <w:r>
        <w:rPr>
          <w:u w:val="single"/>
        </w:rPr>
        <w:t>must</w:t>
      </w:r>
      <w:r>
        <w:t xml:space="preserve"> attach or identify the relevant Hansard extract for any responses to recommendations that were provided in the course of parliamentary debate (</w:t>
      </w:r>
      <w:r w:rsidRPr="00E44EA0">
        <w:t>in second reading or summing up speeches or during the committee stage</w:t>
      </w:r>
      <w:r>
        <w:t>)</w:t>
      </w:r>
    </w:p>
    <w:p w14:paraId="6D8B3867" w14:textId="77777777" w:rsidR="00B968DE" w:rsidRPr="00E44EA0" w:rsidRDefault="00B968DE" w:rsidP="00D9532B">
      <w:pPr>
        <w:pStyle w:val="ListParagraph"/>
        <w:numPr>
          <w:ilvl w:val="0"/>
          <w:numId w:val="6"/>
        </w:numPr>
        <w:jc w:val="both"/>
      </w:pPr>
      <w:r w:rsidRPr="00E44EA0">
        <w:rPr>
          <w:u w:val="single"/>
        </w:rPr>
        <w:t>must</w:t>
      </w:r>
      <w:r w:rsidRPr="00E44EA0">
        <w:t xml:space="preserve"> be approved by the responsible Minister</w:t>
      </w:r>
      <w:r w:rsidR="00314AE4" w:rsidRPr="00E44EA0">
        <w:t xml:space="preserve"> prior to submission to the Prime Minister</w:t>
      </w:r>
    </w:p>
    <w:p w14:paraId="10FFB318" w14:textId="77777777" w:rsidR="00B968DE" w:rsidRPr="00E44EA0" w:rsidRDefault="00B968DE" w:rsidP="00D9532B">
      <w:pPr>
        <w:pStyle w:val="ListParagraph"/>
        <w:numPr>
          <w:ilvl w:val="0"/>
          <w:numId w:val="6"/>
        </w:numPr>
        <w:jc w:val="both"/>
      </w:pPr>
      <w:r w:rsidRPr="00E44EA0">
        <w:rPr>
          <w:u w:val="single"/>
        </w:rPr>
        <w:t>must</w:t>
      </w:r>
      <w:r w:rsidRPr="00E44EA0">
        <w:t xml:space="preserve"> be approved by either </w:t>
      </w:r>
      <w:r w:rsidR="00314AE4" w:rsidRPr="00E44EA0">
        <w:t xml:space="preserve">the </w:t>
      </w:r>
      <w:r w:rsidRPr="00E44EA0">
        <w:t>Cabinet or the Prime Minister, or a Minister on behalf of the Prime</w:t>
      </w:r>
      <w:r w:rsidR="00ED4D39" w:rsidRPr="00E44EA0">
        <w:t> </w:t>
      </w:r>
      <w:r w:rsidRPr="00E44EA0">
        <w:t>Minister, depending on the subject matter</w:t>
      </w:r>
    </w:p>
    <w:p w14:paraId="3C865F7C" w14:textId="77777777" w:rsidR="00547B31" w:rsidRPr="00E44EA0" w:rsidRDefault="00CB62DC" w:rsidP="00D9532B">
      <w:pPr>
        <w:pStyle w:val="ListParagraph"/>
        <w:numPr>
          <w:ilvl w:val="0"/>
          <w:numId w:val="6"/>
        </w:numPr>
        <w:jc w:val="both"/>
      </w:pPr>
      <w:r w:rsidRPr="00E44EA0">
        <w:t>may contain a preamble outlining the Government’s policy position</w:t>
      </w:r>
    </w:p>
    <w:p w14:paraId="0A09E1A1" w14:textId="77777777" w:rsidR="00B25DCD" w:rsidRDefault="007E7C54" w:rsidP="00D9532B">
      <w:pPr>
        <w:pStyle w:val="ListParagraph"/>
        <w:numPr>
          <w:ilvl w:val="0"/>
          <w:numId w:val="6"/>
        </w:numPr>
        <w:jc w:val="both"/>
      </w:pPr>
      <w:r w:rsidRPr="00E44EA0">
        <w:rPr>
          <w:u w:val="single"/>
        </w:rPr>
        <w:t>must</w:t>
      </w:r>
      <w:r w:rsidR="00BF0D0F" w:rsidRPr="00E44EA0">
        <w:t xml:space="preserve"> be prepared using the</w:t>
      </w:r>
      <w:r w:rsidR="00DD03C9">
        <w:t xml:space="preserve"> </w:t>
      </w:r>
      <w:r w:rsidR="00554DD1">
        <w:t xml:space="preserve">cover sheet </w:t>
      </w:r>
      <w:r w:rsidR="00DD03C9">
        <w:t xml:space="preserve">template </w:t>
      </w:r>
      <w:r w:rsidR="00BF0D0F" w:rsidRPr="00E44EA0">
        <w:t>for a</w:t>
      </w:r>
      <w:r w:rsidR="00B25DCD" w:rsidRPr="00E44EA0">
        <w:t xml:space="preserve"> government response</w:t>
      </w:r>
      <w:r w:rsidR="00E93A23">
        <w:t xml:space="preserve"> (</w:t>
      </w:r>
      <w:r w:rsidR="00DD03C9">
        <w:t>listed under ‘</w:t>
      </w:r>
      <w:r w:rsidR="00E93A23">
        <w:t>Appendix</w:t>
      </w:r>
      <w:r w:rsidR="00DD03C9">
        <w:t xml:space="preserve">es’ on the </w:t>
      </w:r>
      <w:hyperlink r:id="rId41" w:history="1">
        <w:r w:rsidR="00DD03C9" w:rsidRPr="00DD03C9">
          <w:rPr>
            <w:rStyle w:val="Hyperlink"/>
          </w:rPr>
          <w:t>PM&amp;C Tabling Guidelines website</w:t>
        </w:r>
      </w:hyperlink>
      <w:r w:rsidR="00E93A23">
        <w:t>)</w:t>
      </w:r>
      <w:r w:rsidR="00554DD1">
        <w:t>.</w:t>
      </w:r>
    </w:p>
    <w:p w14:paraId="38219F34" w14:textId="77777777" w:rsidR="00D57568" w:rsidRPr="00E44EA0" w:rsidRDefault="00D57568">
      <w:pPr>
        <w:pStyle w:val="ListParagraph"/>
        <w:numPr>
          <w:ilvl w:val="0"/>
          <w:numId w:val="6"/>
        </w:numPr>
        <w:jc w:val="both"/>
      </w:pPr>
      <w:r>
        <w:rPr>
          <w:u w:val="single"/>
        </w:rPr>
        <w:t xml:space="preserve">If the response is provided during in the course of parliamentary debate, a letter from the minister to the President of the Senate (or Speaker of the House of Representatives) must be provided identifying the report to which the response relates and </w:t>
      </w:r>
      <w:r>
        <w:rPr>
          <w:lang w:val="en"/>
        </w:rPr>
        <w:t>attaching the relevant Hansard extract</w:t>
      </w:r>
      <w:r>
        <w:rPr>
          <w:u w:val="single"/>
        </w:rPr>
        <w:t>.</w:t>
      </w:r>
    </w:p>
    <w:p w14:paraId="7CE54CD4" w14:textId="77777777" w:rsidR="002C33AE" w:rsidRPr="00E44EA0" w:rsidRDefault="002C33AE" w:rsidP="00D9532B">
      <w:pPr>
        <w:jc w:val="both"/>
      </w:pPr>
      <w:r w:rsidRPr="00E44EA0">
        <w:t xml:space="preserve">The format of a </w:t>
      </w:r>
      <w:r w:rsidR="00CA17E8" w:rsidRPr="00E44EA0">
        <w:t>g</w:t>
      </w:r>
      <w:r w:rsidRPr="00E44EA0">
        <w:t xml:space="preserve">overnment response </w:t>
      </w:r>
      <w:r w:rsidR="00FC6ED4" w:rsidRPr="00E44EA0">
        <w:t>can</w:t>
      </w:r>
      <w:r w:rsidRPr="00E44EA0">
        <w:t xml:space="preserve"> vary depending on the nature and number of recommendations. </w:t>
      </w:r>
      <w:r w:rsidR="00FC6ED4" w:rsidRPr="00E44EA0">
        <w:t>The preferred o</w:t>
      </w:r>
      <w:r w:rsidRPr="00E44EA0">
        <w:t xml:space="preserve">ption is to </w:t>
      </w:r>
      <w:r w:rsidR="00FC6ED4" w:rsidRPr="00E44EA0">
        <w:t xml:space="preserve">provide a response for </w:t>
      </w:r>
      <w:r w:rsidRPr="00E44EA0">
        <w:t xml:space="preserve">each </w:t>
      </w:r>
      <w:r w:rsidR="00FC6ED4" w:rsidRPr="00E44EA0">
        <w:t xml:space="preserve">individual </w:t>
      </w:r>
      <w:r w:rsidRPr="00E44EA0">
        <w:t xml:space="preserve">recommendation. Alternatively, related recommendations from the same report can be grouped together with a </w:t>
      </w:r>
      <w:r w:rsidR="00BA69F2" w:rsidRPr="00E44EA0">
        <w:t xml:space="preserve">single response. </w:t>
      </w:r>
    </w:p>
    <w:p w14:paraId="03C1510A" w14:textId="77777777" w:rsidR="002C33AE" w:rsidRPr="00E44EA0" w:rsidRDefault="002C33AE" w:rsidP="00D9532B">
      <w:pPr>
        <w:jc w:val="both"/>
      </w:pPr>
      <w:r w:rsidRPr="00E44EA0">
        <w:t xml:space="preserve">While the expectation is that each committee report warrants a separate response, there may be circumstances where a response sensibly addresses more than one report, </w:t>
      </w:r>
      <w:r w:rsidR="004F2277" w:rsidRPr="00E44EA0">
        <w:t>e.g.</w:t>
      </w:r>
      <w:r w:rsidRPr="00E44EA0">
        <w:t xml:space="preserve"> the interim report and a final report from the same committee</w:t>
      </w:r>
      <w:r w:rsidR="00954F74">
        <w:t xml:space="preserve"> inquiry</w:t>
      </w:r>
      <w:r w:rsidRPr="00E44EA0">
        <w:t xml:space="preserve">. Importantly, it </w:t>
      </w:r>
      <w:r w:rsidRPr="00E44EA0">
        <w:rPr>
          <w:u w:val="single"/>
        </w:rPr>
        <w:t>must</w:t>
      </w:r>
      <w:r w:rsidRPr="00E44EA0">
        <w:t xml:space="preserve"> be made clear in the cover sheet and the response when more than one report is being addressed by the response.</w:t>
      </w:r>
    </w:p>
    <w:p w14:paraId="2A4E8F07" w14:textId="77777777" w:rsidR="00CC244E" w:rsidRPr="00E44EA0" w:rsidRDefault="002C33AE" w:rsidP="00D9532B">
      <w:pPr>
        <w:jc w:val="both"/>
      </w:pPr>
      <w:r w:rsidRPr="00E44EA0">
        <w:t>Other i</w:t>
      </w:r>
      <w:r w:rsidR="00CC244E" w:rsidRPr="00E44EA0">
        <w:t>ssues to consider when drafting the response include:</w:t>
      </w:r>
    </w:p>
    <w:p w14:paraId="22D1C155" w14:textId="77777777" w:rsidR="009369FC" w:rsidRPr="00E44EA0" w:rsidRDefault="000E51BD" w:rsidP="00D9532B">
      <w:pPr>
        <w:pStyle w:val="ListParagraph"/>
        <w:numPr>
          <w:ilvl w:val="0"/>
          <w:numId w:val="7"/>
        </w:numPr>
        <w:jc w:val="both"/>
      </w:pPr>
      <w:r w:rsidRPr="00E44EA0">
        <w:rPr>
          <w:i/>
        </w:rPr>
        <w:t xml:space="preserve">is </w:t>
      </w:r>
      <w:r w:rsidR="00FC6ED4" w:rsidRPr="00E44EA0">
        <w:rPr>
          <w:i/>
        </w:rPr>
        <w:t xml:space="preserve">input required from other </w:t>
      </w:r>
      <w:r w:rsidR="00EA1A9F" w:rsidRPr="00E44EA0">
        <w:rPr>
          <w:i/>
        </w:rPr>
        <w:t>departments</w:t>
      </w:r>
      <w:r w:rsidR="00FC6ED4" w:rsidRPr="00E44EA0">
        <w:rPr>
          <w:i/>
        </w:rPr>
        <w:t>?</w:t>
      </w:r>
      <w:r w:rsidR="00FC6ED4" w:rsidRPr="00E44EA0">
        <w:t xml:space="preserve"> Consider whether </w:t>
      </w:r>
      <w:r w:rsidRPr="00E44EA0">
        <w:t>policy responsibility for matters raised in the recommendations</w:t>
      </w:r>
      <w:r w:rsidR="00FC6ED4" w:rsidRPr="00E44EA0">
        <w:t xml:space="preserve"> rests with another department.</w:t>
      </w:r>
      <w:r w:rsidRPr="00E44EA0">
        <w:t xml:space="preserve"> Input from other departments </w:t>
      </w:r>
      <w:r w:rsidRPr="00E44EA0">
        <w:rPr>
          <w:u w:val="single"/>
        </w:rPr>
        <w:t>must</w:t>
      </w:r>
      <w:r w:rsidRPr="00E44EA0">
        <w:t xml:space="preserve"> have Ministerial approval.</w:t>
      </w:r>
    </w:p>
    <w:p w14:paraId="63F29FC9" w14:textId="77777777" w:rsidR="00CB62DC" w:rsidRPr="00E44EA0" w:rsidRDefault="00FC6ED4" w:rsidP="00D9532B">
      <w:pPr>
        <w:pStyle w:val="ListParagraph"/>
        <w:numPr>
          <w:ilvl w:val="0"/>
          <w:numId w:val="7"/>
        </w:numPr>
        <w:jc w:val="both"/>
      </w:pPr>
      <w:r w:rsidRPr="00E44EA0">
        <w:rPr>
          <w:i/>
        </w:rPr>
        <w:t xml:space="preserve">is consultation required </w:t>
      </w:r>
      <w:r w:rsidR="000A31AA" w:rsidRPr="00E44EA0">
        <w:rPr>
          <w:i/>
        </w:rPr>
        <w:t>with State/Terri</w:t>
      </w:r>
      <w:r w:rsidR="00320C51" w:rsidRPr="00E44EA0">
        <w:rPr>
          <w:i/>
        </w:rPr>
        <w:t>tory Government</w:t>
      </w:r>
      <w:r w:rsidRPr="00E44EA0">
        <w:rPr>
          <w:i/>
        </w:rPr>
        <w:t>s?</w:t>
      </w:r>
      <w:r w:rsidR="00E66037" w:rsidRPr="00E44EA0">
        <w:t xml:space="preserve"> Consider whether</w:t>
      </w:r>
      <w:r w:rsidRPr="00E44EA0">
        <w:t xml:space="preserve"> any of the recommendations have </w:t>
      </w:r>
      <w:r w:rsidR="00E66037" w:rsidRPr="00E44EA0">
        <w:t xml:space="preserve">Commonwealth-State implications </w:t>
      </w:r>
      <w:r w:rsidR="00EC6485" w:rsidRPr="00E44EA0">
        <w:t xml:space="preserve">which </w:t>
      </w:r>
      <w:r w:rsidR="00030679" w:rsidRPr="00E44EA0">
        <w:t xml:space="preserve">may need to be raised with </w:t>
      </w:r>
      <w:r w:rsidR="00320C51" w:rsidRPr="00E44EA0">
        <w:t>State/Territory Government</w:t>
      </w:r>
      <w:r w:rsidR="00737E64" w:rsidRPr="00E44EA0">
        <w:t xml:space="preserve">s </w:t>
      </w:r>
      <w:r w:rsidR="00030679" w:rsidRPr="00E44EA0">
        <w:t>before a response can be mad</w:t>
      </w:r>
      <w:r w:rsidR="002816C9" w:rsidRPr="00E44EA0">
        <w:t>e by the Commonwealth Minister.</w:t>
      </w:r>
    </w:p>
    <w:p w14:paraId="6DE8CDEA" w14:textId="77777777" w:rsidR="00030679" w:rsidRPr="00E44EA0" w:rsidRDefault="002816C9" w:rsidP="00D9532B">
      <w:pPr>
        <w:pStyle w:val="ListParagraph"/>
        <w:numPr>
          <w:ilvl w:val="0"/>
          <w:numId w:val="7"/>
        </w:numPr>
        <w:jc w:val="both"/>
      </w:pPr>
      <w:r w:rsidRPr="00E44EA0">
        <w:rPr>
          <w:i/>
        </w:rPr>
        <w:t>is it necessary to contact the Presiding Officers?</w:t>
      </w:r>
      <w:r w:rsidRPr="00E44EA0">
        <w:t xml:space="preserve"> </w:t>
      </w:r>
      <w:r w:rsidR="00030679" w:rsidRPr="00E44EA0">
        <w:t xml:space="preserve">Recommendations </w:t>
      </w:r>
      <w:r w:rsidRPr="00E44EA0">
        <w:t>directed to</w:t>
      </w:r>
      <w:r w:rsidR="00030679" w:rsidRPr="00E44EA0">
        <w:t xml:space="preserve"> the </w:t>
      </w:r>
      <w:r w:rsidRPr="00E44EA0">
        <w:t>Speaker of the House of Representatives and/or the President of the Senate (</w:t>
      </w:r>
      <w:r w:rsidR="000A31AA" w:rsidRPr="00E44EA0">
        <w:t>Presiding Officers</w:t>
      </w:r>
      <w:r w:rsidRPr="00E44EA0">
        <w:t xml:space="preserve">) </w:t>
      </w:r>
      <w:r w:rsidR="00030679" w:rsidRPr="00E44EA0">
        <w:t xml:space="preserve">are a matter for the Presiding Officers and the Government’s response </w:t>
      </w:r>
      <w:r w:rsidR="00030679" w:rsidRPr="00E44EA0">
        <w:rPr>
          <w:u w:val="single"/>
        </w:rPr>
        <w:t>must</w:t>
      </w:r>
      <w:r w:rsidR="00030679" w:rsidRPr="00455E0D">
        <w:rPr>
          <w:u w:val="single"/>
        </w:rPr>
        <w:t xml:space="preserve"> not </w:t>
      </w:r>
      <w:r w:rsidR="00030679" w:rsidRPr="00E44EA0">
        <w:t xml:space="preserve">commit the </w:t>
      </w:r>
      <w:r w:rsidR="000A31AA" w:rsidRPr="00E44EA0">
        <w:t>Presiding Officers</w:t>
      </w:r>
      <w:r w:rsidR="00030679" w:rsidRPr="00E44EA0">
        <w:t xml:space="preserve"> to any course of action including requiring the provision of a formal written response.</w:t>
      </w:r>
      <w:r w:rsidRPr="00E44EA0">
        <w:t xml:space="preserve"> Departments</w:t>
      </w:r>
      <w:r w:rsidR="006B4EDE" w:rsidRPr="00E44EA0">
        <w:t xml:space="preserve"> may wish to </w:t>
      </w:r>
      <w:r w:rsidRPr="00E44EA0">
        <w:t>contact the relevant Clerk to discuss the</w:t>
      </w:r>
      <w:r w:rsidR="008F1850" w:rsidRPr="00E44EA0">
        <w:t xml:space="preserve"> </w:t>
      </w:r>
      <w:r w:rsidRPr="00E44EA0">
        <w:t xml:space="preserve">recommendations including the timing of the </w:t>
      </w:r>
      <w:r w:rsidR="00356D6B" w:rsidRPr="00E44EA0">
        <w:t>G</w:t>
      </w:r>
      <w:r w:rsidRPr="00E44EA0">
        <w:t>overnment response</w:t>
      </w:r>
      <w:r w:rsidR="008F1850" w:rsidRPr="00E44EA0">
        <w:t xml:space="preserve"> and any</w:t>
      </w:r>
      <w:r w:rsidR="00A74232" w:rsidRPr="00E44EA0">
        <w:t xml:space="preserve"> implications for the r</w:t>
      </w:r>
      <w:r w:rsidR="008F1850" w:rsidRPr="00E44EA0">
        <w:t xml:space="preserve">esponse from the </w:t>
      </w:r>
      <w:r w:rsidR="000A31AA" w:rsidRPr="00E44EA0">
        <w:t>Presiding Officers</w:t>
      </w:r>
      <w:r w:rsidR="008F1850" w:rsidRPr="00E44EA0">
        <w:t>.</w:t>
      </w:r>
    </w:p>
    <w:p w14:paraId="1730796E" w14:textId="77777777" w:rsidR="00F3066D" w:rsidRPr="00E80EAC" w:rsidRDefault="00E80EAC" w:rsidP="00E80EAC">
      <w:pPr>
        <w:pStyle w:val="Heading2"/>
        <w:rPr>
          <w:rFonts w:ascii="Montserrat Light" w:hAnsi="Montserrat Light"/>
          <w:b/>
          <w:color w:val="auto"/>
          <w:sz w:val="18"/>
          <w:szCs w:val="18"/>
        </w:rPr>
      </w:pPr>
      <w:r>
        <w:rPr>
          <w:rFonts w:ascii="Montserrat Light" w:hAnsi="Montserrat Light"/>
          <w:b/>
          <w:color w:val="auto"/>
          <w:sz w:val="18"/>
          <w:szCs w:val="18"/>
        </w:rPr>
        <w:lastRenderedPageBreak/>
        <w:t>Interim or partial responses</w:t>
      </w:r>
    </w:p>
    <w:p w14:paraId="39AF2855" w14:textId="77777777" w:rsidR="00D9532B" w:rsidRPr="00E80EAC" w:rsidRDefault="00F3066D" w:rsidP="00D9532B">
      <w:pPr>
        <w:jc w:val="both"/>
      </w:pPr>
      <w:r w:rsidRPr="00E44EA0">
        <w:t>Minister</w:t>
      </w:r>
      <w:r w:rsidR="000A31AA" w:rsidRPr="00E44EA0">
        <w:t>s</w:t>
      </w:r>
      <w:r w:rsidRPr="00E44EA0">
        <w:t xml:space="preserve"> may provide </w:t>
      </w:r>
      <w:r w:rsidR="00D9532B">
        <w:t>an interim or partial response</w:t>
      </w:r>
      <w:r w:rsidRPr="00E44EA0">
        <w:t>, addressing, for example, those recommendations on which the Government has reached a firm conclusion, and providing advice on when the balance of the Government’s response will be</w:t>
      </w:r>
      <w:r w:rsidR="00130CC2" w:rsidRPr="00E44EA0">
        <w:t>come</w:t>
      </w:r>
      <w:r w:rsidRPr="00E44EA0">
        <w:t xml:space="preserve"> available. An interim response is subject to the same requirements as a final response as set out in this chapter.</w:t>
      </w:r>
    </w:p>
    <w:p w14:paraId="0FAB27A3" w14:textId="77777777" w:rsidR="00E80EAC" w:rsidRPr="009D507D" w:rsidRDefault="00E80EAC" w:rsidP="00E80EAC">
      <w:pPr>
        <w:pStyle w:val="Heading2"/>
        <w:rPr>
          <w:rFonts w:ascii="Montserrat Light" w:hAnsi="Montserrat Light"/>
          <w:b/>
          <w:color w:val="auto"/>
          <w:sz w:val="18"/>
          <w:szCs w:val="18"/>
        </w:rPr>
      </w:pPr>
      <w:r>
        <w:rPr>
          <w:rFonts w:ascii="Montserrat Light" w:hAnsi="Montserrat Light"/>
          <w:b/>
          <w:color w:val="auto"/>
          <w:sz w:val="18"/>
          <w:szCs w:val="18"/>
        </w:rPr>
        <w:t>Exceptions</w:t>
      </w:r>
    </w:p>
    <w:p w14:paraId="341C5B20" w14:textId="77777777" w:rsidR="00DA77F1" w:rsidRPr="00E44EA0" w:rsidRDefault="00BA2361" w:rsidP="00D9532B">
      <w:pPr>
        <w:jc w:val="both"/>
      </w:pPr>
      <w:r w:rsidRPr="00E44EA0">
        <w:t xml:space="preserve">Reports from the </w:t>
      </w:r>
      <w:hyperlink w:anchor="JCPAA" w:history="1">
        <w:r w:rsidR="00DA77F1" w:rsidRPr="00E44EA0">
          <w:rPr>
            <w:rStyle w:val="Hyperlink"/>
          </w:rPr>
          <w:t>Joint Committe</w:t>
        </w:r>
        <w:r w:rsidRPr="00E44EA0">
          <w:rPr>
            <w:rStyle w:val="Hyperlink"/>
          </w:rPr>
          <w:t>e of Public Accounts and Audit</w:t>
        </w:r>
      </w:hyperlink>
      <w:r w:rsidRPr="00E44EA0">
        <w:t xml:space="preserve"> </w:t>
      </w:r>
      <w:r w:rsidR="00CA17E8" w:rsidRPr="00E44EA0">
        <w:t xml:space="preserve">(JCPAA) </w:t>
      </w:r>
      <w:r w:rsidRPr="00E44EA0">
        <w:t xml:space="preserve">are subject to the </w:t>
      </w:r>
      <w:r w:rsidR="00DA77F1" w:rsidRPr="00E44EA0">
        <w:t>approval</w:t>
      </w:r>
      <w:r w:rsidR="002816C9" w:rsidRPr="00E44EA0">
        <w:t xml:space="preserve"> and </w:t>
      </w:r>
      <w:r w:rsidR="00DA77F1" w:rsidRPr="00E44EA0">
        <w:t>tabling process</w:t>
      </w:r>
      <w:r w:rsidRPr="00E44EA0">
        <w:t xml:space="preserve"> of these Guidelines </w:t>
      </w:r>
      <w:r w:rsidR="00BF17A4" w:rsidRPr="00E44EA0">
        <w:t xml:space="preserve">only </w:t>
      </w:r>
      <w:r w:rsidR="00DA77F1" w:rsidRPr="00E44EA0">
        <w:t xml:space="preserve">when responding to policy recommendations. </w:t>
      </w:r>
      <w:r w:rsidR="00F36CBB">
        <w:t xml:space="preserve"> Further guidance on responding to JCPAA reports is available on the </w:t>
      </w:r>
      <w:hyperlink r:id="rId42" w:history="1">
        <w:r w:rsidR="00F36CBB" w:rsidRPr="00F36CBB">
          <w:rPr>
            <w:rStyle w:val="Hyperlink"/>
          </w:rPr>
          <w:t>Department of Finance website</w:t>
        </w:r>
      </w:hyperlink>
      <w:r w:rsidR="00F36CBB">
        <w:t>.</w:t>
      </w:r>
    </w:p>
    <w:p w14:paraId="3EE0BC55" w14:textId="77777777" w:rsidR="00E80EAC" w:rsidRPr="009D507D" w:rsidRDefault="00E80EAC" w:rsidP="00E80EAC">
      <w:pPr>
        <w:pStyle w:val="Heading2"/>
        <w:rPr>
          <w:rFonts w:ascii="Montserrat Light" w:hAnsi="Montserrat Light"/>
          <w:b/>
          <w:color w:val="auto"/>
          <w:sz w:val="18"/>
          <w:szCs w:val="18"/>
        </w:rPr>
      </w:pPr>
      <w:r>
        <w:rPr>
          <w:rFonts w:ascii="Montserrat Light" w:hAnsi="Montserrat Light"/>
          <w:b/>
          <w:color w:val="auto"/>
          <w:sz w:val="18"/>
          <w:szCs w:val="18"/>
        </w:rPr>
        <w:t>Approval of the government response</w:t>
      </w:r>
    </w:p>
    <w:p w14:paraId="4EA5DD53" w14:textId="77777777" w:rsidR="00DA77F1" w:rsidRPr="00E44EA0" w:rsidRDefault="00DA77F1" w:rsidP="00D9532B">
      <w:pPr>
        <w:jc w:val="both"/>
      </w:pPr>
      <w:r w:rsidRPr="00E44EA0">
        <w:t xml:space="preserve">Government responses, including interim responses, </w:t>
      </w:r>
      <w:r w:rsidRPr="00E44EA0">
        <w:rPr>
          <w:u w:val="single"/>
        </w:rPr>
        <w:t>must</w:t>
      </w:r>
      <w:r w:rsidRPr="00E44EA0">
        <w:t xml:space="preserve"> be approved by either </w:t>
      </w:r>
      <w:r w:rsidR="000A31AA" w:rsidRPr="00E44EA0">
        <w:t xml:space="preserve">the </w:t>
      </w:r>
      <w:r w:rsidRPr="00E44EA0">
        <w:t>Cabinet or the Prime</w:t>
      </w:r>
      <w:r w:rsidR="007A6E2C" w:rsidRPr="00E44EA0">
        <w:t> </w:t>
      </w:r>
      <w:r w:rsidRPr="00E44EA0">
        <w:t>Minister</w:t>
      </w:r>
      <w:r w:rsidR="001407C9" w:rsidRPr="00E44EA0">
        <w:t>, or a Minister on behalf of the Prime Minister,</w:t>
      </w:r>
      <w:r w:rsidRPr="00E44EA0">
        <w:t xml:space="preserve"> depending on the subject matter.</w:t>
      </w:r>
      <w:r w:rsidR="00BD6B6F" w:rsidRPr="00E44EA0">
        <w:t xml:space="preserve"> The</w:t>
      </w:r>
      <w:r w:rsidR="0080520A">
        <w:t xml:space="preserve"> </w:t>
      </w:r>
      <w:hyperlink r:id="rId43" w:history="1">
        <w:r w:rsidR="0080520A" w:rsidRPr="0080520A">
          <w:rPr>
            <w:rStyle w:val="Hyperlink"/>
          </w:rPr>
          <w:t>Cabinet Handbook</w:t>
        </w:r>
      </w:hyperlink>
      <w:r w:rsidR="0080520A">
        <w:t xml:space="preserve"> </w:t>
      </w:r>
      <w:r w:rsidR="00BD6B6F" w:rsidRPr="00E44EA0">
        <w:t>provides an indication of the kind of issues normally requiring consideration by the Cabinet.</w:t>
      </w:r>
    </w:p>
    <w:p w14:paraId="4C2887D4" w14:textId="77777777" w:rsidR="00DA77F1" w:rsidRPr="00E44EA0" w:rsidRDefault="00DA77F1" w:rsidP="00D9532B">
      <w:pPr>
        <w:jc w:val="both"/>
      </w:pPr>
      <w:r w:rsidRPr="00E44EA0">
        <w:t xml:space="preserve">Where it is clear that the subject matter does not involve any significant policy, legislative or contentious issues, the Minister may seek the approval of the Prime Minister for the response to be presented to </w:t>
      </w:r>
      <w:r w:rsidR="00835216" w:rsidRPr="00E44EA0">
        <w:t xml:space="preserve">the </w:t>
      </w:r>
      <w:r w:rsidRPr="00E44EA0">
        <w:t>Parliament (and the committee chair</w:t>
      </w:r>
      <w:r w:rsidR="00DA62B4" w:rsidRPr="00E44EA0">
        <w:t>) without reference to Cabinet. The Minister will receive written advice of approval to table the Government’s response.</w:t>
      </w:r>
    </w:p>
    <w:p w14:paraId="49EF9F37" w14:textId="77777777" w:rsidR="00DA62B4" w:rsidRPr="00E80EAC" w:rsidRDefault="00E80EAC" w:rsidP="00E80EAC">
      <w:pPr>
        <w:pStyle w:val="Heading2"/>
        <w:rPr>
          <w:rFonts w:ascii="Montserrat Light" w:hAnsi="Montserrat Light"/>
          <w:b/>
          <w:color w:val="auto"/>
          <w:sz w:val="18"/>
          <w:szCs w:val="18"/>
        </w:rPr>
      </w:pPr>
      <w:r>
        <w:rPr>
          <w:rFonts w:ascii="Montserrat Light" w:hAnsi="Montserrat Light"/>
          <w:b/>
          <w:color w:val="auto"/>
          <w:sz w:val="18"/>
          <w:szCs w:val="18"/>
        </w:rPr>
        <w:t>Tabling</w:t>
      </w:r>
    </w:p>
    <w:p w14:paraId="08BBDA99" w14:textId="77777777" w:rsidR="00DA62B4" w:rsidRPr="00E44EA0" w:rsidRDefault="00791FDF" w:rsidP="00D9532B">
      <w:pPr>
        <w:jc w:val="both"/>
      </w:pPr>
      <w:r w:rsidRPr="00E44EA0">
        <w:t>Once approved</w:t>
      </w:r>
      <w:r w:rsidR="004F2277" w:rsidRPr="00E44EA0">
        <w:t>,</w:t>
      </w:r>
      <w:r w:rsidRPr="00E44EA0">
        <w:t xml:space="preserve"> t</w:t>
      </w:r>
      <w:r w:rsidR="00DA62B4" w:rsidRPr="00E44EA0">
        <w:t xml:space="preserve">he </w:t>
      </w:r>
      <w:r w:rsidR="00356D6B" w:rsidRPr="00E44EA0">
        <w:t>G</w:t>
      </w:r>
      <w:r w:rsidR="00DA62B4" w:rsidRPr="00E44EA0">
        <w:t xml:space="preserve">overnment response </w:t>
      </w:r>
      <w:r w:rsidRPr="00E44EA0">
        <w:rPr>
          <w:u w:val="single"/>
        </w:rPr>
        <w:t>must</w:t>
      </w:r>
      <w:r w:rsidR="00F3066D" w:rsidRPr="00E44EA0">
        <w:t xml:space="preserve"> be</w:t>
      </w:r>
      <w:r w:rsidRPr="00E44EA0">
        <w:t xml:space="preserve"> </w:t>
      </w:r>
      <w:r w:rsidR="00DA62B4" w:rsidRPr="00E44EA0">
        <w:t>tabled as soon as possible.</w:t>
      </w:r>
      <w:r w:rsidR="00554DD1">
        <w:t xml:space="preserve"> Responses are only required to be tabled in the chamber which is responsible for the report it is addressing. Responses to joint committees must be tabled in both chambers. </w:t>
      </w:r>
    </w:p>
    <w:p w14:paraId="29BDDC5A" w14:textId="77777777" w:rsidR="00DA62B4" w:rsidRDefault="00DA62B4" w:rsidP="00D9532B">
      <w:pPr>
        <w:spacing w:after="240"/>
        <w:jc w:val="both"/>
      </w:pPr>
      <w:r w:rsidRPr="00E44EA0">
        <w:t xml:space="preserve">A copy of the response </w:t>
      </w:r>
      <w:r w:rsidRPr="00E44EA0">
        <w:rPr>
          <w:u w:val="single"/>
        </w:rPr>
        <w:t>must</w:t>
      </w:r>
      <w:r w:rsidRPr="00E44EA0">
        <w:t xml:space="preserve"> be provided by the Minister to the chair of the </w:t>
      </w:r>
      <w:hyperlink w:anchor="Parliamentarycommittee" w:history="1">
        <w:r w:rsidR="00ED753C" w:rsidRPr="00E44EA0">
          <w:rPr>
            <w:rStyle w:val="Hyperlink"/>
          </w:rPr>
          <w:t>parliamentary committee</w:t>
        </w:r>
      </w:hyperlink>
      <w:r w:rsidR="007C7252">
        <w:rPr>
          <w:rStyle w:val="Hyperlink"/>
        </w:rPr>
        <w:t>,</w:t>
      </w:r>
      <w:r w:rsidR="007C7252" w:rsidRPr="004C341D">
        <w:rPr>
          <w:rStyle w:val="Hyperlink"/>
          <w:u w:val="none"/>
        </w:rPr>
        <w:t xml:space="preserve"> </w:t>
      </w:r>
      <w:r w:rsidR="007C7252" w:rsidRPr="004C341D">
        <w:t>through</w:t>
      </w:r>
      <w:r w:rsidR="007C7252">
        <w:t xml:space="preserve"> the relevant committee secretariat, who can then provide it to the committee</w:t>
      </w:r>
      <w:r w:rsidRPr="00E44EA0">
        <w:t xml:space="preserve"> prior to the response being tabled. This is not a substitute for the tabling of the response in</w:t>
      </w:r>
      <w:r w:rsidR="00954F74">
        <w:t xml:space="preserve"> the</w:t>
      </w:r>
      <w:r w:rsidRPr="00E44EA0">
        <w:t xml:space="preserve"> Parliament</w:t>
      </w:r>
      <w:r w:rsidR="007919A0" w:rsidRPr="00E44EA0">
        <w:t>, but allows the c</w:t>
      </w:r>
      <w:r w:rsidR="009916AF" w:rsidRPr="00E44EA0">
        <w:t xml:space="preserve">ommittee to be advised of the </w:t>
      </w:r>
      <w:r w:rsidR="00356D6B" w:rsidRPr="00E44EA0">
        <w:t>G</w:t>
      </w:r>
      <w:r w:rsidR="009916AF" w:rsidRPr="00E44EA0">
        <w:t>overnment response at an early opportunity.</w:t>
      </w:r>
    </w:p>
    <w:p w14:paraId="73BB2815" w14:textId="77777777" w:rsidR="003C36A6" w:rsidRPr="00E44EA0" w:rsidRDefault="003C36A6" w:rsidP="008F4004">
      <w:pPr>
        <w:pBdr>
          <w:top w:val="single" w:sz="4" w:space="0" w:color="auto"/>
          <w:left w:val="single" w:sz="4" w:space="0" w:color="auto"/>
          <w:right w:val="single" w:sz="4" w:space="0" w:color="auto"/>
        </w:pBdr>
        <w:shd w:val="clear" w:color="auto" w:fill="B8CCE4" w:themeFill="accent1" w:themeFillTint="66"/>
        <w:spacing w:after="120"/>
        <w:ind w:left="28" w:right="51"/>
        <w:jc w:val="center"/>
        <w:rPr>
          <w:rFonts w:cstheme="minorHAnsi"/>
        </w:rPr>
      </w:pPr>
      <w:r w:rsidRPr="00E44EA0">
        <w:rPr>
          <w:rFonts w:cstheme="minorHAnsi"/>
        </w:rPr>
        <w:t xml:space="preserve">Government Response </w:t>
      </w:r>
      <w:r w:rsidR="00554DD1">
        <w:rPr>
          <w:rFonts w:cstheme="minorHAnsi"/>
        </w:rPr>
        <w:t>t</w:t>
      </w:r>
      <w:r w:rsidRPr="00E44EA0">
        <w:rPr>
          <w:rFonts w:cstheme="minorHAnsi"/>
        </w:rPr>
        <w:t xml:space="preserve">o Parliamentary Committee Reports </w:t>
      </w:r>
    </w:p>
    <w:p w14:paraId="6DFDA117" w14:textId="77777777" w:rsidR="003C36A6" w:rsidRPr="008F4004" w:rsidRDefault="003C36A6" w:rsidP="008F4004">
      <w:pPr>
        <w:pBdr>
          <w:top w:val="single" w:sz="4" w:space="0" w:color="auto"/>
          <w:left w:val="single" w:sz="4" w:space="0" w:color="auto"/>
          <w:right w:val="single" w:sz="4" w:space="0" w:color="auto"/>
        </w:pBdr>
        <w:shd w:val="clear" w:color="auto" w:fill="B8CCE4" w:themeFill="accent1" w:themeFillTint="66"/>
        <w:spacing w:after="0"/>
        <w:ind w:left="28" w:right="51"/>
        <w:jc w:val="center"/>
        <w:rPr>
          <w:rFonts w:cstheme="minorHAnsi"/>
          <w:b/>
        </w:rPr>
      </w:pPr>
      <w:r w:rsidRPr="008F4004">
        <w:rPr>
          <w:rFonts w:cstheme="minorHAnsi"/>
          <w:b/>
        </w:rPr>
        <w:t>Tabling Days in a Sitting Week</w:t>
      </w:r>
    </w:p>
    <w:tbl>
      <w:tblPr>
        <w:tblStyle w:val="TableGrid"/>
        <w:tblW w:w="0" w:type="auto"/>
        <w:tblLook w:val="04A0" w:firstRow="1" w:lastRow="0" w:firstColumn="1" w:lastColumn="0" w:noHBand="0" w:noVBand="1"/>
      </w:tblPr>
      <w:tblGrid>
        <w:gridCol w:w="1947"/>
        <w:gridCol w:w="1947"/>
        <w:gridCol w:w="1947"/>
        <w:gridCol w:w="1947"/>
        <w:gridCol w:w="1948"/>
      </w:tblGrid>
      <w:tr w:rsidR="00831B36" w:rsidRPr="00E44EA0" w14:paraId="25BE9211" w14:textId="77777777" w:rsidTr="008F4004">
        <w:trPr>
          <w:tblHeader/>
        </w:trPr>
        <w:tc>
          <w:tcPr>
            <w:tcW w:w="1947" w:type="dxa"/>
            <w:tcBorders>
              <w:left w:val="single" w:sz="4" w:space="0" w:color="auto"/>
            </w:tcBorders>
          </w:tcPr>
          <w:p w14:paraId="3619EC1D" w14:textId="77777777" w:rsidR="00831B36" w:rsidRPr="00E44EA0" w:rsidRDefault="00831B36" w:rsidP="00831B36">
            <w:pPr>
              <w:spacing w:after="240"/>
            </w:pPr>
          </w:p>
        </w:tc>
        <w:tc>
          <w:tcPr>
            <w:tcW w:w="1947" w:type="dxa"/>
            <w:vAlign w:val="center"/>
          </w:tcPr>
          <w:p w14:paraId="1B83D8A6" w14:textId="77777777" w:rsidR="00831B36" w:rsidRPr="00E44EA0" w:rsidRDefault="00831B36" w:rsidP="00831B36">
            <w:pPr>
              <w:jc w:val="center"/>
              <w:rPr>
                <w:rFonts w:cstheme="minorHAnsi"/>
              </w:rPr>
            </w:pPr>
            <w:r w:rsidRPr="00E44EA0">
              <w:rPr>
                <w:rFonts w:cstheme="minorHAnsi"/>
              </w:rPr>
              <w:t>Monday</w:t>
            </w:r>
          </w:p>
        </w:tc>
        <w:tc>
          <w:tcPr>
            <w:tcW w:w="1947" w:type="dxa"/>
            <w:vAlign w:val="center"/>
          </w:tcPr>
          <w:p w14:paraId="2C1B100E" w14:textId="77777777" w:rsidR="00831B36" w:rsidRPr="00E44EA0" w:rsidRDefault="00831B36" w:rsidP="00831B36">
            <w:pPr>
              <w:jc w:val="center"/>
              <w:rPr>
                <w:rFonts w:cstheme="minorHAnsi"/>
              </w:rPr>
            </w:pPr>
            <w:r w:rsidRPr="00E44EA0">
              <w:rPr>
                <w:rFonts w:cstheme="minorHAnsi"/>
              </w:rPr>
              <w:t>Tuesday</w:t>
            </w:r>
          </w:p>
        </w:tc>
        <w:tc>
          <w:tcPr>
            <w:tcW w:w="1947" w:type="dxa"/>
            <w:vAlign w:val="center"/>
          </w:tcPr>
          <w:p w14:paraId="2543A1F5" w14:textId="77777777" w:rsidR="00831B36" w:rsidRPr="00E44EA0" w:rsidRDefault="00831B36" w:rsidP="00831B36">
            <w:pPr>
              <w:jc w:val="center"/>
              <w:rPr>
                <w:rFonts w:cstheme="minorHAnsi"/>
              </w:rPr>
            </w:pPr>
            <w:r w:rsidRPr="00E44EA0">
              <w:rPr>
                <w:rFonts w:cstheme="minorHAnsi"/>
              </w:rPr>
              <w:t>Wednesday</w:t>
            </w:r>
          </w:p>
        </w:tc>
        <w:tc>
          <w:tcPr>
            <w:tcW w:w="1948" w:type="dxa"/>
            <w:vAlign w:val="center"/>
          </w:tcPr>
          <w:p w14:paraId="2EA908AD" w14:textId="77777777" w:rsidR="00831B36" w:rsidRPr="00E44EA0" w:rsidRDefault="00831B36" w:rsidP="00831B36">
            <w:pPr>
              <w:jc w:val="center"/>
              <w:rPr>
                <w:rFonts w:cstheme="minorHAnsi"/>
              </w:rPr>
            </w:pPr>
            <w:r w:rsidRPr="00E44EA0">
              <w:rPr>
                <w:rFonts w:cstheme="minorHAnsi"/>
              </w:rPr>
              <w:t>Thursday</w:t>
            </w:r>
          </w:p>
        </w:tc>
      </w:tr>
      <w:tr w:rsidR="00831B36" w:rsidRPr="00E44EA0" w14:paraId="7E67305C" w14:textId="77777777" w:rsidTr="00737E64">
        <w:tc>
          <w:tcPr>
            <w:tcW w:w="1947" w:type="dxa"/>
            <w:vAlign w:val="center"/>
          </w:tcPr>
          <w:p w14:paraId="1AF65904" w14:textId="77777777" w:rsidR="00831B36" w:rsidRPr="00E44EA0" w:rsidRDefault="00831B36" w:rsidP="00831B36">
            <w:pPr>
              <w:jc w:val="center"/>
              <w:rPr>
                <w:rFonts w:cstheme="minorHAnsi"/>
              </w:rPr>
            </w:pPr>
            <w:r w:rsidRPr="00E44EA0">
              <w:rPr>
                <w:rFonts w:cstheme="minorHAnsi"/>
              </w:rPr>
              <w:t xml:space="preserve">Senate </w:t>
            </w:r>
          </w:p>
        </w:tc>
        <w:tc>
          <w:tcPr>
            <w:tcW w:w="1947" w:type="dxa"/>
            <w:vAlign w:val="center"/>
          </w:tcPr>
          <w:p w14:paraId="77C1A2D3" w14:textId="77777777" w:rsidR="00831B36" w:rsidRPr="00E44EA0" w:rsidRDefault="00831B36" w:rsidP="00831B36">
            <w:pPr>
              <w:jc w:val="center"/>
              <w:rPr>
                <w:rFonts w:cstheme="minorHAnsi"/>
              </w:rPr>
            </w:pPr>
            <w:r w:rsidRPr="00E44EA0">
              <w:rPr>
                <w:rFonts w:cstheme="minorHAnsi"/>
              </w:rPr>
              <w:t>No</w:t>
            </w:r>
            <w:r w:rsidR="000A31AA" w:rsidRPr="00E44EA0">
              <w:rPr>
                <w:rFonts w:cstheme="minorHAnsi"/>
              </w:rPr>
              <w:t>*</w:t>
            </w:r>
          </w:p>
        </w:tc>
        <w:tc>
          <w:tcPr>
            <w:tcW w:w="1947" w:type="dxa"/>
            <w:vAlign w:val="center"/>
          </w:tcPr>
          <w:p w14:paraId="5A907794" w14:textId="77777777" w:rsidR="00831B36" w:rsidRPr="00E44EA0" w:rsidRDefault="00831B36" w:rsidP="00831B36">
            <w:pPr>
              <w:jc w:val="center"/>
              <w:rPr>
                <w:rFonts w:cstheme="minorHAnsi"/>
              </w:rPr>
            </w:pPr>
            <w:r w:rsidRPr="00E44EA0">
              <w:rPr>
                <w:rFonts w:cstheme="minorHAnsi"/>
              </w:rPr>
              <w:t>Yes</w:t>
            </w:r>
          </w:p>
        </w:tc>
        <w:tc>
          <w:tcPr>
            <w:tcW w:w="1947" w:type="dxa"/>
            <w:vAlign w:val="center"/>
          </w:tcPr>
          <w:p w14:paraId="73485D93" w14:textId="77777777" w:rsidR="00831B36" w:rsidRPr="00E44EA0" w:rsidRDefault="00831B36" w:rsidP="00831B36">
            <w:pPr>
              <w:jc w:val="center"/>
              <w:rPr>
                <w:rFonts w:cstheme="minorHAnsi"/>
              </w:rPr>
            </w:pPr>
            <w:r w:rsidRPr="00E44EA0">
              <w:rPr>
                <w:rFonts w:cstheme="minorHAnsi"/>
              </w:rPr>
              <w:t>Yes</w:t>
            </w:r>
          </w:p>
        </w:tc>
        <w:tc>
          <w:tcPr>
            <w:tcW w:w="1948" w:type="dxa"/>
            <w:vAlign w:val="center"/>
          </w:tcPr>
          <w:p w14:paraId="3A3AD76C" w14:textId="77777777" w:rsidR="00831B36" w:rsidRPr="00E44EA0" w:rsidRDefault="00831B36" w:rsidP="00831B36">
            <w:pPr>
              <w:jc w:val="center"/>
              <w:rPr>
                <w:rFonts w:cstheme="minorHAnsi"/>
              </w:rPr>
            </w:pPr>
            <w:r w:rsidRPr="00E44EA0">
              <w:rPr>
                <w:rFonts w:cstheme="minorHAnsi"/>
              </w:rPr>
              <w:t>Yes</w:t>
            </w:r>
          </w:p>
        </w:tc>
      </w:tr>
      <w:tr w:rsidR="00831B36" w:rsidRPr="00E44EA0" w14:paraId="19A0C62C" w14:textId="77777777" w:rsidTr="00737E64">
        <w:tc>
          <w:tcPr>
            <w:tcW w:w="1947" w:type="dxa"/>
            <w:vAlign w:val="center"/>
          </w:tcPr>
          <w:p w14:paraId="57B7295D" w14:textId="77777777" w:rsidR="00831B36" w:rsidRPr="00E44EA0" w:rsidRDefault="00831B36" w:rsidP="00831B36">
            <w:pPr>
              <w:jc w:val="center"/>
              <w:rPr>
                <w:rFonts w:cstheme="minorHAnsi"/>
              </w:rPr>
            </w:pPr>
            <w:r w:rsidRPr="00E44EA0">
              <w:rPr>
                <w:rFonts w:cstheme="minorHAnsi"/>
              </w:rPr>
              <w:t>House of Representatives</w:t>
            </w:r>
          </w:p>
        </w:tc>
        <w:tc>
          <w:tcPr>
            <w:tcW w:w="1947" w:type="dxa"/>
            <w:vAlign w:val="center"/>
          </w:tcPr>
          <w:p w14:paraId="28BABD03" w14:textId="77777777" w:rsidR="00831B36" w:rsidRPr="00E44EA0" w:rsidRDefault="00831B36" w:rsidP="000A31AA">
            <w:pPr>
              <w:jc w:val="center"/>
              <w:rPr>
                <w:rFonts w:cstheme="minorHAnsi"/>
              </w:rPr>
            </w:pPr>
            <w:r w:rsidRPr="00E44EA0">
              <w:rPr>
                <w:rFonts w:cstheme="minorHAnsi"/>
              </w:rPr>
              <w:t>Yes</w:t>
            </w:r>
          </w:p>
        </w:tc>
        <w:tc>
          <w:tcPr>
            <w:tcW w:w="1947" w:type="dxa"/>
            <w:vAlign w:val="center"/>
          </w:tcPr>
          <w:p w14:paraId="1EF1E8F8" w14:textId="77777777" w:rsidR="00831B36" w:rsidRPr="00E44EA0" w:rsidRDefault="00831B36" w:rsidP="00831B36">
            <w:pPr>
              <w:jc w:val="center"/>
              <w:rPr>
                <w:rFonts w:cstheme="minorHAnsi"/>
              </w:rPr>
            </w:pPr>
            <w:r w:rsidRPr="00E44EA0">
              <w:rPr>
                <w:rFonts w:cstheme="minorHAnsi"/>
              </w:rPr>
              <w:t>Yes</w:t>
            </w:r>
          </w:p>
        </w:tc>
        <w:tc>
          <w:tcPr>
            <w:tcW w:w="1947" w:type="dxa"/>
            <w:vAlign w:val="center"/>
          </w:tcPr>
          <w:p w14:paraId="41833382" w14:textId="77777777" w:rsidR="00831B36" w:rsidRPr="00E44EA0" w:rsidRDefault="00831B36" w:rsidP="00831B36">
            <w:pPr>
              <w:jc w:val="center"/>
              <w:rPr>
                <w:rFonts w:cstheme="minorHAnsi"/>
              </w:rPr>
            </w:pPr>
            <w:r w:rsidRPr="00E44EA0">
              <w:rPr>
                <w:rFonts w:cstheme="minorHAnsi"/>
              </w:rPr>
              <w:t>Yes</w:t>
            </w:r>
          </w:p>
        </w:tc>
        <w:tc>
          <w:tcPr>
            <w:tcW w:w="1948" w:type="dxa"/>
            <w:vAlign w:val="center"/>
          </w:tcPr>
          <w:p w14:paraId="615BCBA8" w14:textId="77777777" w:rsidR="00831B36" w:rsidRPr="00E44EA0" w:rsidRDefault="00831B36" w:rsidP="00831B36">
            <w:pPr>
              <w:jc w:val="center"/>
              <w:rPr>
                <w:rFonts w:cstheme="minorHAnsi"/>
              </w:rPr>
            </w:pPr>
            <w:r w:rsidRPr="00E44EA0">
              <w:rPr>
                <w:rFonts w:cstheme="minorHAnsi"/>
              </w:rPr>
              <w:t>Yes</w:t>
            </w:r>
          </w:p>
        </w:tc>
      </w:tr>
    </w:tbl>
    <w:p w14:paraId="47DF4D2B" w14:textId="77777777" w:rsidR="0002011E" w:rsidRPr="00E44EA0" w:rsidRDefault="00DA62B4" w:rsidP="00D9532B">
      <w:pPr>
        <w:jc w:val="both"/>
        <w:rPr>
          <w:rFonts w:cstheme="minorHAnsi"/>
          <w:sz w:val="16"/>
          <w:szCs w:val="16"/>
        </w:rPr>
      </w:pPr>
      <w:r w:rsidRPr="00E44EA0">
        <w:rPr>
          <w:rFonts w:cstheme="minorHAnsi"/>
          <w:sz w:val="16"/>
          <w:szCs w:val="16"/>
        </w:rPr>
        <w:t>*</w:t>
      </w:r>
      <w:r w:rsidR="00A662C8" w:rsidRPr="00E44EA0">
        <w:rPr>
          <w:rFonts w:cstheme="minorHAnsi"/>
          <w:sz w:val="16"/>
          <w:szCs w:val="16"/>
        </w:rPr>
        <w:t xml:space="preserve">A </w:t>
      </w:r>
      <w:r w:rsidR="00CA17E8" w:rsidRPr="00E44EA0">
        <w:rPr>
          <w:rFonts w:cstheme="minorHAnsi"/>
          <w:sz w:val="16"/>
          <w:szCs w:val="16"/>
        </w:rPr>
        <w:t>g</w:t>
      </w:r>
      <w:r w:rsidR="00A662C8" w:rsidRPr="00E44EA0">
        <w:rPr>
          <w:rFonts w:cstheme="minorHAnsi"/>
          <w:sz w:val="16"/>
          <w:szCs w:val="16"/>
        </w:rPr>
        <w:t>overnment response to a joint committee report</w:t>
      </w:r>
      <w:r w:rsidRPr="00E44EA0">
        <w:rPr>
          <w:rFonts w:cstheme="minorHAnsi"/>
          <w:sz w:val="16"/>
          <w:szCs w:val="16"/>
        </w:rPr>
        <w:t xml:space="preserve"> tabled in the House of Representatives on a </w:t>
      </w:r>
      <w:r w:rsidR="004B5DE5" w:rsidRPr="00E44EA0">
        <w:rPr>
          <w:rFonts w:cstheme="minorHAnsi"/>
          <w:sz w:val="16"/>
          <w:szCs w:val="16"/>
        </w:rPr>
        <w:t>Monday</w:t>
      </w:r>
      <w:r w:rsidRPr="00E44EA0">
        <w:rPr>
          <w:rFonts w:cstheme="minorHAnsi"/>
          <w:sz w:val="16"/>
          <w:szCs w:val="16"/>
        </w:rPr>
        <w:t xml:space="preserve">, will be tabled in the Senate </w:t>
      </w:r>
      <w:r w:rsidR="00A662C8" w:rsidRPr="00E44EA0">
        <w:rPr>
          <w:rFonts w:cstheme="minorHAnsi"/>
          <w:sz w:val="16"/>
          <w:szCs w:val="16"/>
        </w:rPr>
        <w:t>on the next available sitting day (excluding Mondays).</w:t>
      </w:r>
      <w:r w:rsidR="00BC3EF7" w:rsidRPr="00E44EA0">
        <w:rPr>
          <w:rFonts w:cstheme="minorHAnsi"/>
          <w:sz w:val="16"/>
          <w:szCs w:val="16"/>
        </w:rPr>
        <w:t xml:space="preserve"> </w:t>
      </w:r>
    </w:p>
    <w:p w14:paraId="5CA03386" w14:textId="77777777" w:rsidR="00737E64" w:rsidRPr="00E80EAC" w:rsidRDefault="00240996" w:rsidP="00E80EAC">
      <w:pPr>
        <w:pStyle w:val="Heading2"/>
        <w:rPr>
          <w:rFonts w:ascii="Montserrat Light" w:hAnsi="Montserrat Light"/>
          <w:b/>
          <w:color w:val="auto"/>
          <w:sz w:val="18"/>
          <w:szCs w:val="18"/>
        </w:rPr>
      </w:pPr>
      <w:r>
        <w:rPr>
          <w:rFonts w:ascii="Montserrat Light" w:hAnsi="Montserrat Light"/>
          <w:b/>
          <w:color w:val="auto"/>
          <w:sz w:val="18"/>
          <w:szCs w:val="18"/>
        </w:rPr>
        <w:t>Presentation of documents when P</w:t>
      </w:r>
      <w:r w:rsidR="00E80EAC">
        <w:rPr>
          <w:rFonts w:ascii="Montserrat Light" w:hAnsi="Montserrat Light"/>
          <w:b/>
          <w:color w:val="auto"/>
          <w:sz w:val="18"/>
          <w:szCs w:val="18"/>
        </w:rPr>
        <w:t>arliament is not sitting</w:t>
      </w:r>
    </w:p>
    <w:p w14:paraId="08E591C5" w14:textId="77777777" w:rsidR="003B4939" w:rsidRDefault="004B5DE5" w:rsidP="00D9532B">
      <w:pPr>
        <w:jc w:val="both"/>
        <w:rPr>
          <w:rFonts w:cstheme="minorHAnsi"/>
        </w:rPr>
      </w:pPr>
      <w:r w:rsidRPr="00E44EA0">
        <w:rPr>
          <w:rFonts w:cstheme="minorHAnsi"/>
        </w:rPr>
        <w:t xml:space="preserve">Responses to Senate and joint committee reports may be presented to the President of the Senate when the </w:t>
      </w:r>
      <w:r w:rsidR="005C5511">
        <w:rPr>
          <w:rFonts w:cstheme="minorHAnsi"/>
        </w:rPr>
        <w:t>Senate</w:t>
      </w:r>
      <w:r w:rsidR="005C5511" w:rsidRPr="00E44EA0">
        <w:rPr>
          <w:rFonts w:cstheme="minorHAnsi"/>
        </w:rPr>
        <w:t xml:space="preserve"> </w:t>
      </w:r>
      <w:r w:rsidRPr="00E44EA0">
        <w:rPr>
          <w:rFonts w:cstheme="minorHAnsi"/>
        </w:rPr>
        <w:t xml:space="preserve">is not sitting. </w:t>
      </w:r>
      <w:r w:rsidR="003B4939">
        <w:rPr>
          <w:rFonts w:cstheme="minorHAnsi"/>
        </w:rPr>
        <w:t xml:space="preserve">Government responses are generally tabled on a Thursday when </w:t>
      </w:r>
      <w:r w:rsidR="00240996">
        <w:rPr>
          <w:rFonts w:cstheme="minorHAnsi"/>
        </w:rPr>
        <w:t>P</w:t>
      </w:r>
      <w:r w:rsidR="003B4939">
        <w:rPr>
          <w:rFonts w:cstheme="minorHAnsi"/>
        </w:rPr>
        <w:t>arliament is not sitting, Responses can be tabled / presented on any business day in October.</w:t>
      </w:r>
      <w:r w:rsidR="00554DD1">
        <w:rPr>
          <w:rFonts w:cstheme="minorHAnsi"/>
        </w:rPr>
        <w:t xml:space="preserve"> Responses to joint committees will be tabled in the House of Representatives on its next sitting day. </w:t>
      </w:r>
    </w:p>
    <w:p w14:paraId="6A15F03B" w14:textId="77777777" w:rsidR="00DA62B4" w:rsidRPr="00E44EA0" w:rsidRDefault="004B5DE5" w:rsidP="00D9532B">
      <w:pPr>
        <w:jc w:val="both"/>
        <w:rPr>
          <w:rFonts w:cstheme="minorHAnsi"/>
        </w:rPr>
      </w:pPr>
      <w:r w:rsidRPr="00E44EA0">
        <w:rPr>
          <w:rFonts w:cstheme="minorHAnsi"/>
        </w:rPr>
        <w:t>Responses to House of Representatives committee reports may only be tabled when the House</w:t>
      </w:r>
      <w:r w:rsidR="00794034" w:rsidRPr="00E44EA0">
        <w:rPr>
          <w:rFonts w:cstheme="minorHAnsi"/>
        </w:rPr>
        <w:t xml:space="preserve"> of Representatives</w:t>
      </w:r>
      <w:r w:rsidRPr="00E44EA0">
        <w:rPr>
          <w:rFonts w:cstheme="minorHAnsi"/>
        </w:rPr>
        <w:t xml:space="preserve"> is sitting.</w:t>
      </w:r>
      <w:r w:rsidR="00E93A57" w:rsidRPr="00E44EA0">
        <w:rPr>
          <w:rFonts w:cstheme="minorHAnsi"/>
        </w:rPr>
        <w:t xml:space="preserve"> </w:t>
      </w:r>
    </w:p>
    <w:p w14:paraId="66ADF414" w14:textId="77777777" w:rsidR="00DA77F1" w:rsidRPr="00DD617C" w:rsidRDefault="00DD617C" w:rsidP="00DD617C">
      <w:pPr>
        <w:pStyle w:val="Heading2"/>
        <w:rPr>
          <w:rFonts w:ascii="Montserrat Light" w:hAnsi="Montserrat Light"/>
          <w:b/>
          <w:color w:val="auto"/>
          <w:sz w:val="18"/>
          <w:szCs w:val="18"/>
        </w:rPr>
      </w:pPr>
      <w:r>
        <w:rPr>
          <w:rFonts w:ascii="Montserrat Light" w:hAnsi="Montserrat Light"/>
          <w:b/>
          <w:color w:val="auto"/>
          <w:sz w:val="18"/>
          <w:szCs w:val="18"/>
        </w:rPr>
        <w:t>Ministerial statement accompanying a government response</w:t>
      </w:r>
    </w:p>
    <w:p w14:paraId="3A798BA4" w14:textId="77777777" w:rsidR="00DA77F1" w:rsidRPr="00E44EA0" w:rsidRDefault="00DA77F1" w:rsidP="00D9532B">
      <w:pPr>
        <w:jc w:val="both"/>
      </w:pPr>
      <w:r w:rsidRPr="00E44EA0">
        <w:t xml:space="preserve">In the event that a Ministerial Statement is proposed to be made when a </w:t>
      </w:r>
      <w:r w:rsidR="00CA17E8" w:rsidRPr="00E44EA0">
        <w:t>g</w:t>
      </w:r>
      <w:r w:rsidRPr="00E44EA0">
        <w:t xml:space="preserve">overnment response is tabled, the PM&amp;C Tabling Office </w:t>
      </w:r>
      <w:r w:rsidR="00E93A57" w:rsidRPr="00E44EA0">
        <w:rPr>
          <w:u w:val="single"/>
        </w:rPr>
        <w:t>must</w:t>
      </w:r>
      <w:r w:rsidR="00E93A57" w:rsidRPr="00E44EA0">
        <w:t xml:space="preserve"> </w:t>
      </w:r>
      <w:r w:rsidRPr="00E44EA0">
        <w:t xml:space="preserve">be alerted as early as possible </w:t>
      </w:r>
      <w:r w:rsidR="00F527E4" w:rsidRPr="00E44EA0">
        <w:t>to discuss timing and requirements for tabling</w:t>
      </w:r>
      <w:r w:rsidRPr="00E44EA0">
        <w:t>.</w:t>
      </w:r>
    </w:p>
    <w:p w14:paraId="63EEED64" w14:textId="77777777" w:rsidR="00DD617C" w:rsidRPr="00E80EAC" w:rsidRDefault="00DD617C" w:rsidP="00DD617C">
      <w:pPr>
        <w:pStyle w:val="Heading2"/>
        <w:rPr>
          <w:rFonts w:ascii="Montserrat Light" w:hAnsi="Montserrat Light"/>
          <w:b/>
          <w:color w:val="auto"/>
          <w:sz w:val="18"/>
          <w:szCs w:val="18"/>
        </w:rPr>
      </w:pPr>
      <w:r>
        <w:rPr>
          <w:rFonts w:ascii="Montserrat Light" w:hAnsi="Montserrat Light"/>
          <w:b/>
          <w:color w:val="auto"/>
          <w:sz w:val="18"/>
          <w:szCs w:val="18"/>
        </w:rPr>
        <w:t>Compliance</w:t>
      </w:r>
    </w:p>
    <w:p w14:paraId="6015F4DC" w14:textId="77777777" w:rsidR="00D9532B" w:rsidRDefault="00DA77F1" w:rsidP="00D9532B">
      <w:pPr>
        <w:jc w:val="both"/>
      </w:pPr>
      <w:r w:rsidRPr="00E44EA0">
        <w:t xml:space="preserve">The President of the Senate and the Speaker of the House of Representatives </w:t>
      </w:r>
      <w:r w:rsidR="00EF4CF5" w:rsidRPr="00E44EA0">
        <w:t xml:space="preserve">each </w:t>
      </w:r>
      <w:r w:rsidRPr="00E44EA0">
        <w:t xml:space="preserve">table a report every six months </w:t>
      </w:r>
      <w:r w:rsidR="000A31AA" w:rsidRPr="00E44EA0">
        <w:t>detailing</w:t>
      </w:r>
      <w:r w:rsidRPr="00E44EA0">
        <w:t xml:space="preserve"> </w:t>
      </w:r>
      <w:hyperlink w:anchor="Parliamentarycommittee" w:history="1">
        <w:r w:rsidR="00ED753C" w:rsidRPr="00E44EA0">
          <w:rPr>
            <w:rStyle w:val="Hyperlink"/>
          </w:rPr>
          <w:t>parliamentary committee</w:t>
        </w:r>
      </w:hyperlink>
      <w:r w:rsidR="00ED753C" w:rsidRPr="00E44EA0">
        <w:rPr>
          <w:rStyle w:val="Hyperlink"/>
        </w:rPr>
        <w:t xml:space="preserve"> </w:t>
      </w:r>
      <w:r w:rsidRPr="00E44EA0">
        <w:t xml:space="preserve">reports where a </w:t>
      </w:r>
      <w:r w:rsidR="00CA17E8" w:rsidRPr="00E44EA0">
        <w:t>g</w:t>
      </w:r>
      <w:r w:rsidRPr="00E44EA0">
        <w:t>overnment response remains outstanding.</w:t>
      </w:r>
    </w:p>
    <w:p w14:paraId="455F8C77" w14:textId="77777777" w:rsidR="00554DD1" w:rsidRPr="00DD617C" w:rsidRDefault="00554DD1" w:rsidP="00D9532B">
      <w:pPr>
        <w:jc w:val="both"/>
      </w:pPr>
      <w:r>
        <w:lastRenderedPageBreak/>
        <w:t xml:space="preserve">Following the tabling of this report, the PM&amp;C Tabling Officers will typically provide departments a list of outstanding responses for which they have responsibility. Changes in government or the passage of time are not usually acceptable reasons to remove reports from this list. </w:t>
      </w:r>
    </w:p>
    <w:p w14:paraId="7D9C8453" w14:textId="77777777" w:rsidR="00CE612D" w:rsidRPr="00DD617C" w:rsidRDefault="00DD617C" w:rsidP="00DD617C">
      <w:pPr>
        <w:pStyle w:val="Heading2"/>
        <w:rPr>
          <w:rFonts w:ascii="Montserrat Light" w:hAnsi="Montserrat Light"/>
          <w:b/>
          <w:color w:val="auto"/>
          <w:sz w:val="18"/>
          <w:szCs w:val="18"/>
        </w:rPr>
      </w:pPr>
      <w:r>
        <w:rPr>
          <w:rFonts w:ascii="Montserrat Light" w:hAnsi="Montserrat Light"/>
          <w:b/>
          <w:color w:val="auto"/>
          <w:sz w:val="18"/>
          <w:szCs w:val="18"/>
        </w:rPr>
        <w:t>Overdue Responses – House of Representatives</w:t>
      </w:r>
    </w:p>
    <w:p w14:paraId="788D4ED9" w14:textId="77777777" w:rsidR="002E03D3" w:rsidRPr="00E44EA0" w:rsidRDefault="002E03D3" w:rsidP="00D9532B">
      <w:pPr>
        <w:jc w:val="both"/>
      </w:pPr>
      <w:r w:rsidRPr="00E44EA0">
        <w:t>If a response to a House of Representatives or</w:t>
      </w:r>
      <w:r w:rsidR="00470AE4" w:rsidRPr="00E44EA0">
        <w:t xml:space="preserve"> a</w:t>
      </w:r>
      <w:r w:rsidRPr="00E44EA0">
        <w:t xml:space="preserve"> joint committee report has not been tabled in the House of Representatives within </w:t>
      </w:r>
      <w:r w:rsidR="00320C51" w:rsidRPr="00E44EA0">
        <w:t>six</w:t>
      </w:r>
      <w:r w:rsidRPr="00E44EA0">
        <w:t xml:space="preserve"> months of the report being presented, the relevant Minister </w:t>
      </w:r>
      <w:r w:rsidRPr="00E44EA0">
        <w:rPr>
          <w:u w:val="single"/>
        </w:rPr>
        <w:t>must</w:t>
      </w:r>
      <w:r w:rsidRPr="00E44EA0">
        <w:t xml:space="preserve"> present at the next available opportunity</w:t>
      </w:r>
      <w:r w:rsidR="001244D5" w:rsidRPr="00E44EA0">
        <w:t xml:space="preserve"> a</w:t>
      </w:r>
      <w:r w:rsidRPr="00E44EA0">
        <w:t xml:space="preserve"> signed statement outlining the reasons for the delay </w:t>
      </w:r>
      <w:r w:rsidR="001244D5" w:rsidRPr="00E44EA0">
        <w:t>and</w:t>
      </w:r>
      <w:r w:rsidR="00470AE4" w:rsidRPr="00E44EA0">
        <w:t xml:space="preserve"> </w:t>
      </w:r>
      <w:r w:rsidR="00436ABA" w:rsidRPr="00E44EA0">
        <w:t>be</w:t>
      </w:r>
      <w:r w:rsidRPr="00E44EA0">
        <w:t xml:space="preserve"> available to appear at the next </w:t>
      </w:r>
      <w:r w:rsidR="00470AE4" w:rsidRPr="00E44EA0">
        <w:t>reasonably</w:t>
      </w:r>
      <w:r w:rsidRPr="00E44EA0">
        <w:t xml:space="preserve"> available opportunity following a request by the relevant committee to answer its questions on the statement. If this is not done, the committee may bring the matter to the attention of the </w:t>
      </w:r>
      <w:r w:rsidRPr="00E44EA0">
        <w:br/>
      </w:r>
      <w:hyperlink w:anchor="AuditorGeneral" w:history="1">
        <w:r w:rsidRPr="00E44EA0">
          <w:rPr>
            <w:rStyle w:val="Hyperlink"/>
          </w:rPr>
          <w:t>Auditor-General</w:t>
        </w:r>
      </w:hyperlink>
      <w:r w:rsidRPr="00E44EA0">
        <w:t xml:space="preserve"> for assistance in resolving matters referred to in the report or to the Speaker for assistance (</w:t>
      </w:r>
      <w:hyperlink r:id="rId44" w:history="1">
        <w:r w:rsidRPr="00E44EA0">
          <w:rPr>
            <w:rStyle w:val="Hyperlink"/>
          </w:rPr>
          <w:t>see Resolution of the House of 29 September 2010</w:t>
        </w:r>
      </w:hyperlink>
      <w:r w:rsidRPr="00E44EA0">
        <w:t>)</w:t>
      </w:r>
      <w:r w:rsidR="00554DD1">
        <w:t xml:space="preserve">. </w:t>
      </w:r>
      <w:r w:rsidRPr="00E44EA0">
        <w:t xml:space="preserve">  </w:t>
      </w:r>
    </w:p>
    <w:p w14:paraId="6016CDD8" w14:textId="77777777" w:rsidR="002E03D3" w:rsidRPr="00E44EA0" w:rsidRDefault="002E03D3" w:rsidP="00D9532B">
      <w:pPr>
        <w:jc w:val="both"/>
      </w:pPr>
      <w:r w:rsidRPr="00E44EA0">
        <w:t xml:space="preserve">The statement can only be tabled when the House of Representatives is sitting, utilising the same approval process as for a </w:t>
      </w:r>
      <w:hyperlink w:anchor="_GOVERNMENT_DOCUMENTs" w:history="1">
        <w:r w:rsidR="00356D6B" w:rsidRPr="00E44EA0">
          <w:rPr>
            <w:rStyle w:val="Hyperlink"/>
          </w:rPr>
          <w:t>g</w:t>
        </w:r>
        <w:r w:rsidRPr="00E44EA0">
          <w:rPr>
            <w:rStyle w:val="Hyperlink"/>
          </w:rPr>
          <w:t>overnment document</w:t>
        </w:r>
      </w:hyperlink>
      <w:r w:rsidRPr="00E44EA0">
        <w:t xml:space="preserve">. The </w:t>
      </w:r>
      <w:r w:rsidR="00356D6B" w:rsidRPr="00E44EA0">
        <w:t>statement is tabled with other g</w:t>
      </w:r>
      <w:r w:rsidRPr="00E44EA0">
        <w:t xml:space="preserve">overnment documents after Question Time. </w:t>
      </w:r>
    </w:p>
    <w:p w14:paraId="65E3D0C7" w14:textId="77777777" w:rsidR="002E03D3" w:rsidRPr="00E44EA0" w:rsidRDefault="00BA69F2" w:rsidP="00D9532B">
      <w:pPr>
        <w:jc w:val="both"/>
      </w:pPr>
      <w:r w:rsidRPr="00E44EA0">
        <w:t xml:space="preserve">The statement </w:t>
      </w:r>
      <w:r w:rsidRPr="00E44EA0">
        <w:rPr>
          <w:u w:val="single"/>
        </w:rPr>
        <w:t>must</w:t>
      </w:r>
      <w:r w:rsidRPr="00E44EA0">
        <w:t xml:space="preserve"> be</w:t>
      </w:r>
      <w:r w:rsidR="00B82B60" w:rsidRPr="00E44EA0">
        <w:t xml:space="preserve"> on M</w:t>
      </w:r>
      <w:r w:rsidRPr="00E44EA0">
        <w:t>inisterial letterhead with</w:t>
      </w:r>
      <w:r w:rsidR="002E03D3" w:rsidRPr="00E44EA0">
        <w:t xml:space="preserve"> the following details:</w:t>
      </w:r>
    </w:p>
    <w:p w14:paraId="6FCD3F0D" w14:textId="77777777" w:rsidR="002E03D3" w:rsidRPr="00E44EA0" w:rsidRDefault="002E03D3" w:rsidP="00D9532B">
      <w:pPr>
        <w:pStyle w:val="ListParagraph"/>
        <w:numPr>
          <w:ilvl w:val="0"/>
          <w:numId w:val="5"/>
        </w:numPr>
        <w:jc w:val="both"/>
      </w:pPr>
      <w:r w:rsidRPr="00E44EA0">
        <w:t xml:space="preserve">status of the </w:t>
      </w:r>
      <w:r w:rsidR="00356D6B" w:rsidRPr="00E44EA0">
        <w:t>G</w:t>
      </w:r>
      <w:r w:rsidRPr="00E44EA0">
        <w:t>overnment response to the report and the title of the report</w:t>
      </w:r>
      <w:r w:rsidR="00D9532B">
        <w:t>.</w:t>
      </w:r>
    </w:p>
    <w:p w14:paraId="2FF8D0FB" w14:textId="77777777" w:rsidR="002E03D3" w:rsidRPr="00E44EA0" w:rsidRDefault="002E03D3" w:rsidP="00D9532B">
      <w:pPr>
        <w:pStyle w:val="ListParagraph"/>
        <w:numPr>
          <w:ilvl w:val="0"/>
          <w:numId w:val="5"/>
        </w:numPr>
        <w:jc w:val="both"/>
      </w:pPr>
      <w:r w:rsidRPr="00E44EA0">
        <w:t>clearly state that the statement is being made in accordance of the House of Representatives resolution of 29 September 2010</w:t>
      </w:r>
      <w:r w:rsidR="00D9532B">
        <w:t>.</w:t>
      </w:r>
    </w:p>
    <w:p w14:paraId="7775FF60" w14:textId="77777777" w:rsidR="002E03D3" w:rsidRPr="00E44EA0" w:rsidRDefault="002E03D3" w:rsidP="00D9532B">
      <w:pPr>
        <w:pStyle w:val="ListParagraph"/>
        <w:numPr>
          <w:ilvl w:val="0"/>
          <w:numId w:val="5"/>
        </w:numPr>
        <w:jc w:val="both"/>
      </w:pPr>
      <w:r w:rsidRPr="00E44EA0">
        <w:t>an explanation for the delay</w:t>
      </w:r>
      <w:r w:rsidR="00D9532B">
        <w:t>.</w:t>
      </w:r>
    </w:p>
    <w:p w14:paraId="04D3100C" w14:textId="77777777" w:rsidR="002E03D3" w:rsidRPr="00E44EA0" w:rsidRDefault="002E03D3" w:rsidP="00D9532B">
      <w:pPr>
        <w:pStyle w:val="ListParagraph"/>
        <w:numPr>
          <w:ilvl w:val="0"/>
          <w:numId w:val="5"/>
        </w:numPr>
        <w:jc w:val="both"/>
      </w:pPr>
      <w:r w:rsidRPr="00E44EA0">
        <w:t>signature of the Minister</w:t>
      </w:r>
      <w:r w:rsidR="00D9532B">
        <w:t>.</w:t>
      </w:r>
    </w:p>
    <w:p w14:paraId="301B4DBD" w14:textId="77777777" w:rsidR="002E03D3" w:rsidRPr="00E44EA0" w:rsidRDefault="002E03D3" w:rsidP="00D9532B">
      <w:pPr>
        <w:jc w:val="both"/>
      </w:pPr>
      <w:r w:rsidRPr="00E44EA0">
        <w:t>Note</w:t>
      </w:r>
      <w:r w:rsidR="001244D5" w:rsidRPr="00E44EA0">
        <w:t xml:space="preserve">:  A statement by a Minister </w:t>
      </w:r>
      <w:r w:rsidR="00436ABA" w:rsidRPr="00E44EA0">
        <w:t>is</w:t>
      </w:r>
      <w:r w:rsidR="001244D5" w:rsidRPr="00E44EA0">
        <w:t xml:space="preserve"> not be confused with </w:t>
      </w:r>
      <w:r w:rsidR="00253967" w:rsidRPr="00E44EA0">
        <w:t>a Ministerial S</w:t>
      </w:r>
      <w:r w:rsidRPr="00E44EA0">
        <w:t>tatement.</w:t>
      </w:r>
    </w:p>
    <w:p w14:paraId="22821A0A" w14:textId="77777777" w:rsidR="00E93A57" w:rsidRPr="00DD617C" w:rsidRDefault="00DD617C" w:rsidP="00DD617C">
      <w:pPr>
        <w:pStyle w:val="Heading2"/>
        <w:rPr>
          <w:rFonts w:ascii="Montserrat Light" w:hAnsi="Montserrat Light"/>
          <w:b/>
          <w:color w:val="auto"/>
          <w:sz w:val="18"/>
          <w:szCs w:val="18"/>
        </w:rPr>
      </w:pPr>
      <w:r>
        <w:rPr>
          <w:rFonts w:ascii="Montserrat Light" w:hAnsi="Montserrat Light"/>
          <w:b/>
          <w:color w:val="auto"/>
          <w:sz w:val="18"/>
          <w:szCs w:val="18"/>
        </w:rPr>
        <w:t>Timing</w:t>
      </w:r>
    </w:p>
    <w:p w14:paraId="742DA4F5" w14:textId="77777777" w:rsidR="00586EAF" w:rsidRPr="00E44EA0" w:rsidRDefault="00CB67ED" w:rsidP="00CB67ED">
      <w:pPr>
        <w:jc w:val="both"/>
      </w:pPr>
      <w:r>
        <w:t>Responses</w:t>
      </w:r>
      <w:r w:rsidRPr="00E44EA0">
        <w:t xml:space="preserve"> </w:t>
      </w:r>
      <w:r w:rsidRPr="00CB67ED">
        <w:t>must</w:t>
      </w:r>
      <w:r w:rsidRPr="00E44EA0">
        <w:t xml:space="preserve"> be received </w:t>
      </w:r>
      <w:r w:rsidRPr="003830EC">
        <w:t xml:space="preserve">by </w:t>
      </w:r>
      <w:r w:rsidRPr="00CB67ED">
        <w:t>noon</w:t>
      </w:r>
      <w:r>
        <w:t xml:space="preserve"> </w:t>
      </w:r>
      <w:r w:rsidRPr="00E44EA0">
        <w:t>on the business day ahead of the day proposed for tabling</w:t>
      </w:r>
      <w:r>
        <w:t xml:space="preserve"> while the Parliament is sitting</w:t>
      </w:r>
      <w:r w:rsidRPr="00E44EA0">
        <w:t xml:space="preserve">. Documents </w:t>
      </w:r>
      <w:r w:rsidRPr="00CB67ED">
        <w:t>must</w:t>
      </w:r>
      <w:r w:rsidRPr="00E44EA0">
        <w:t xml:space="preserve"> be received </w:t>
      </w:r>
      <w:r w:rsidRPr="003830EC">
        <w:t xml:space="preserve">by </w:t>
      </w:r>
      <w:r w:rsidRPr="00CB67ED">
        <w:t>noon</w:t>
      </w:r>
      <w:r>
        <w:t xml:space="preserve"> two</w:t>
      </w:r>
      <w:r w:rsidRPr="00E44EA0">
        <w:t xml:space="preserve"> business day</w:t>
      </w:r>
      <w:r>
        <w:t>s</w:t>
      </w:r>
      <w:r w:rsidRPr="00E44EA0">
        <w:t xml:space="preserve"> ahead of the day proposed for tabling</w:t>
      </w:r>
      <w:r>
        <w:t xml:space="preserve"> when the Senate is not sitting</w:t>
      </w:r>
      <w:r w:rsidRPr="00E44EA0">
        <w:t>.</w:t>
      </w:r>
      <w:r w:rsidR="00586EAF" w:rsidRPr="00E44EA0">
        <w:br w:type="page"/>
      </w:r>
    </w:p>
    <w:p w14:paraId="161E351B" w14:textId="77777777" w:rsidR="003B1902" w:rsidRPr="00550599" w:rsidRDefault="003B1902" w:rsidP="003B1902">
      <w:pPr>
        <w:pStyle w:val="Heading2"/>
        <w:rPr>
          <w:b/>
          <w:color w:val="auto"/>
        </w:rPr>
      </w:pPr>
      <w:bookmarkStart w:id="10" w:name="_Key_Tasks_-_2"/>
      <w:bookmarkEnd w:id="10"/>
      <w:r>
        <w:rPr>
          <w:b/>
          <w:color w:val="auto"/>
        </w:rPr>
        <w:lastRenderedPageBreak/>
        <w:t>Key Tasks – Government Respon</w:t>
      </w:r>
      <w:r w:rsidRPr="00550599">
        <w:rPr>
          <w:b/>
          <w:color w:val="auto"/>
        </w:rPr>
        <w:t>s</w:t>
      </w:r>
      <w:r>
        <w:rPr>
          <w:b/>
          <w:color w:val="auto"/>
        </w:rPr>
        <w:t>e</w:t>
      </w:r>
      <w:r w:rsidRPr="00550599">
        <w:rPr>
          <w:b/>
          <w:color w:val="auto"/>
        </w:rPr>
        <w:t xml:space="preserve"> – Sitting Day</w:t>
      </w:r>
    </w:p>
    <w:p w14:paraId="1FE80814" w14:textId="77777777" w:rsidR="002A63B3" w:rsidRPr="00E44EA0" w:rsidRDefault="002A63B3" w:rsidP="00D9532B">
      <w:pPr>
        <w:jc w:val="both"/>
      </w:pPr>
      <w:r w:rsidRPr="00E44EA0">
        <w:t xml:space="preserve">Key tasks for tabling a </w:t>
      </w:r>
      <w:r w:rsidRPr="00E44EA0">
        <w:rPr>
          <w:u w:val="single"/>
        </w:rPr>
        <w:t>government response to a parliamentary committee report on a sitting day</w:t>
      </w:r>
      <w:r w:rsidRPr="00E44EA0">
        <w:t>.</w:t>
      </w:r>
    </w:p>
    <w:p w14:paraId="238AB4BE" w14:textId="77777777" w:rsidR="002A63B3" w:rsidRPr="00E44EA0" w:rsidRDefault="002A63B3" w:rsidP="00D9532B">
      <w:pPr>
        <w:tabs>
          <w:tab w:val="left" w:pos="360"/>
        </w:tabs>
        <w:spacing w:after="240"/>
        <w:ind w:left="357" w:hanging="357"/>
        <w:jc w:val="both"/>
        <w:rPr>
          <w:rFonts w:cs="Arial"/>
          <w:szCs w:val="22"/>
        </w:rPr>
      </w:pPr>
      <w:r w:rsidRPr="00E44EA0">
        <w:rPr>
          <w:rFonts w:ascii="Arial" w:hAnsi="Arial" w:cs="Arial"/>
          <w:sz w:val="22"/>
          <w:szCs w:val="22"/>
        </w:rPr>
        <w:sym w:font="Wingdings" w:char="F072"/>
      </w:r>
      <w:r w:rsidRPr="00E44EA0">
        <w:rPr>
          <w:rFonts w:ascii="Arial" w:hAnsi="Arial" w:cs="Arial"/>
          <w:sz w:val="22"/>
          <w:szCs w:val="22"/>
        </w:rPr>
        <w:tab/>
      </w:r>
      <w:r w:rsidRPr="00E44EA0">
        <w:rPr>
          <w:b/>
        </w:rPr>
        <w:t xml:space="preserve">Approval </w:t>
      </w:r>
      <w:r w:rsidRPr="00E44EA0">
        <w:t xml:space="preserve">— Ministerial approval is required for a government response to be tabled in the Parliament. Prior to tabling, approval </w:t>
      </w:r>
      <w:r w:rsidR="00D665CC">
        <w:t>of</w:t>
      </w:r>
      <w:r w:rsidR="00D665CC" w:rsidRPr="00E44EA0">
        <w:t xml:space="preserve"> </w:t>
      </w:r>
      <w:r w:rsidRPr="00E44EA0">
        <w:t xml:space="preserve">the content of the response </w:t>
      </w:r>
      <w:r w:rsidR="00253967" w:rsidRPr="00E44EA0">
        <w:rPr>
          <w:u w:val="single"/>
        </w:rPr>
        <w:t>must</w:t>
      </w:r>
      <w:r w:rsidRPr="00E44EA0">
        <w:t xml:space="preserve"> have</w:t>
      </w:r>
      <w:r w:rsidR="00BF17A4" w:rsidRPr="00E44EA0">
        <w:t xml:space="preserve"> been</w:t>
      </w:r>
      <w:r w:rsidRPr="00E44EA0">
        <w:t xml:space="preserve"> ob</w:t>
      </w:r>
      <w:r w:rsidR="00253967" w:rsidRPr="00E44EA0">
        <w:t>tained from the Cabinet and/or</w:t>
      </w:r>
      <w:r w:rsidRPr="00E44EA0">
        <w:t xml:space="preserve"> the Prime Minister or </w:t>
      </w:r>
      <w:r w:rsidR="00320C51" w:rsidRPr="00E44EA0">
        <w:t>a</w:t>
      </w:r>
      <w:r w:rsidRPr="00E44EA0">
        <w:t xml:space="preserve"> Minister on behalf of </w:t>
      </w:r>
      <w:r w:rsidR="0073246A" w:rsidRPr="00E44EA0">
        <w:t xml:space="preserve">the </w:t>
      </w:r>
      <w:r w:rsidRPr="00E44EA0">
        <w:t>Prime Minister.</w:t>
      </w:r>
    </w:p>
    <w:p w14:paraId="1B44AFD2" w14:textId="77777777" w:rsidR="002A63B3" w:rsidRPr="00E44EA0" w:rsidRDefault="002A63B3" w:rsidP="00D9532B">
      <w:pPr>
        <w:tabs>
          <w:tab w:val="left" w:pos="360"/>
        </w:tabs>
        <w:spacing w:after="80"/>
        <w:ind w:left="360" w:hanging="360"/>
        <w:jc w:val="both"/>
        <w:rPr>
          <w:b/>
        </w:rPr>
      </w:pPr>
      <w:r w:rsidRPr="00E44EA0">
        <w:rPr>
          <w:rFonts w:ascii="Arial" w:hAnsi="Arial" w:cs="Arial"/>
          <w:sz w:val="22"/>
          <w:szCs w:val="22"/>
        </w:rPr>
        <w:sym w:font="Wingdings" w:char="F072"/>
      </w:r>
      <w:r w:rsidRPr="00E44EA0">
        <w:rPr>
          <w:rFonts w:ascii="Arial" w:hAnsi="Arial" w:cs="Arial"/>
          <w:sz w:val="22"/>
          <w:szCs w:val="22"/>
        </w:rPr>
        <w:tab/>
      </w:r>
      <w:r w:rsidRPr="00E44EA0">
        <w:rPr>
          <w:b/>
        </w:rPr>
        <w:t>Identify the preferred day for tabling</w:t>
      </w:r>
    </w:p>
    <w:p w14:paraId="3519DA1D" w14:textId="77777777" w:rsidR="002A63B3" w:rsidRPr="00E44EA0" w:rsidRDefault="002A63B3" w:rsidP="00D9532B">
      <w:pPr>
        <w:pStyle w:val="Bullet"/>
        <w:jc w:val="both"/>
        <w:rPr>
          <w:b/>
        </w:rPr>
      </w:pPr>
      <w:r w:rsidRPr="00E44EA0">
        <w:rPr>
          <w:u w:val="single"/>
        </w:rPr>
        <w:t>House</w:t>
      </w:r>
      <w:r w:rsidR="00EA1A9F" w:rsidRPr="00E44EA0">
        <w:rPr>
          <w:u w:val="single"/>
        </w:rPr>
        <w:t xml:space="preserve"> of Representatives</w:t>
      </w:r>
      <w:r w:rsidRPr="00E44EA0">
        <w:t xml:space="preserve"> - Monday, Tuesday, Wednesday or Thursday for House</w:t>
      </w:r>
      <w:r w:rsidR="00EA1A9F" w:rsidRPr="00E44EA0">
        <w:t xml:space="preserve"> of Representative</w:t>
      </w:r>
      <w:r w:rsidR="00360B26" w:rsidRPr="00E44EA0">
        <w:t xml:space="preserve"> and j</w:t>
      </w:r>
      <w:r w:rsidR="007919A0" w:rsidRPr="00E44EA0">
        <w:t>oint c</w:t>
      </w:r>
      <w:r w:rsidRPr="00E44EA0">
        <w:t>ommittee responses</w:t>
      </w:r>
    </w:p>
    <w:p w14:paraId="3BD167AC" w14:textId="77777777" w:rsidR="002A63B3" w:rsidRPr="00E44EA0" w:rsidRDefault="002A63B3" w:rsidP="00D9532B">
      <w:pPr>
        <w:pStyle w:val="Bullet"/>
        <w:jc w:val="both"/>
        <w:rPr>
          <w:b/>
        </w:rPr>
      </w:pPr>
      <w:r w:rsidRPr="00E44EA0">
        <w:rPr>
          <w:u w:val="single"/>
        </w:rPr>
        <w:t>Senate</w:t>
      </w:r>
      <w:r w:rsidRPr="00E44EA0">
        <w:t xml:space="preserve"> – Tuesday, Wednesday </w:t>
      </w:r>
      <w:r w:rsidR="00954F74">
        <w:t>or</w:t>
      </w:r>
      <w:r w:rsidR="00954F74" w:rsidRPr="00E44EA0">
        <w:t xml:space="preserve"> </w:t>
      </w:r>
      <w:r w:rsidRPr="00E44EA0">
        <w:t>Thu</w:t>
      </w:r>
      <w:r w:rsidR="00360B26" w:rsidRPr="00E44EA0">
        <w:t>rsday for Senate and j</w:t>
      </w:r>
      <w:r w:rsidRPr="00E44EA0">
        <w:t xml:space="preserve">oint </w:t>
      </w:r>
      <w:r w:rsidR="007919A0" w:rsidRPr="00E44EA0">
        <w:t>c</w:t>
      </w:r>
      <w:r w:rsidRPr="00E44EA0">
        <w:t>ommittee responses</w:t>
      </w:r>
    </w:p>
    <w:p w14:paraId="6B8302DB" w14:textId="77777777" w:rsidR="002A63B3" w:rsidRPr="00E44EA0" w:rsidRDefault="002A63B3" w:rsidP="00D9532B">
      <w:pPr>
        <w:tabs>
          <w:tab w:val="left" w:pos="360"/>
        </w:tabs>
        <w:spacing w:after="80"/>
        <w:ind w:left="360" w:hanging="360"/>
        <w:jc w:val="both"/>
      </w:pPr>
      <w:r w:rsidRPr="00E44EA0">
        <w:rPr>
          <w:rFonts w:ascii="Arial" w:hAnsi="Arial" w:cs="Arial"/>
          <w:sz w:val="22"/>
          <w:szCs w:val="22"/>
        </w:rPr>
        <w:sym w:font="Wingdings" w:char="F072"/>
      </w:r>
      <w:r w:rsidRPr="00E44EA0">
        <w:rPr>
          <w:rFonts w:ascii="Arial" w:hAnsi="Arial" w:cs="Arial"/>
          <w:sz w:val="22"/>
          <w:szCs w:val="22"/>
        </w:rPr>
        <w:tab/>
      </w:r>
      <w:r w:rsidRPr="00E44EA0">
        <w:rPr>
          <w:b/>
        </w:rPr>
        <w:t>Sensitivities</w:t>
      </w:r>
    </w:p>
    <w:p w14:paraId="1C116F71" w14:textId="77777777" w:rsidR="002A63B3" w:rsidRPr="00E44EA0" w:rsidRDefault="002A63B3" w:rsidP="00D9532B">
      <w:pPr>
        <w:pStyle w:val="Bullet"/>
        <w:jc w:val="both"/>
      </w:pPr>
      <w:r w:rsidRPr="00E44EA0">
        <w:t>Alert the PM&amp;C Tabling Officer of any sensitivities or timing issues associated with tabling</w:t>
      </w:r>
    </w:p>
    <w:p w14:paraId="63ECFA78" w14:textId="77777777" w:rsidR="00D665CC" w:rsidRPr="00E44EA0" w:rsidRDefault="00D665CC" w:rsidP="00D9532B">
      <w:pPr>
        <w:tabs>
          <w:tab w:val="left" w:pos="360"/>
        </w:tabs>
        <w:spacing w:after="80"/>
        <w:ind w:left="360" w:hanging="360"/>
        <w:jc w:val="both"/>
      </w:pPr>
      <w:r w:rsidRPr="00E44EA0">
        <w:rPr>
          <w:rFonts w:ascii="Arial" w:hAnsi="Arial" w:cs="Arial"/>
          <w:sz w:val="22"/>
          <w:szCs w:val="22"/>
        </w:rPr>
        <w:sym w:font="Wingdings" w:char="F072"/>
      </w:r>
      <w:r w:rsidRPr="00E44EA0">
        <w:rPr>
          <w:rFonts w:ascii="Arial" w:hAnsi="Arial" w:cs="Arial"/>
          <w:sz w:val="22"/>
          <w:szCs w:val="22"/>
        </w:rPr>
        <w:tab/>
      </w:r>
      <w:r w:rsidRPr="00E44EA0">
        <w:rPr>
          <w:b/>
        </w:rPr>
        <w:t xml:space="preserve">Business day before delivery – </w:t>
      </w:r>
      <w:r w:rsidRPr="00E44EA0">
        <w:t xml:space="preserve">departments </w:t>
      </w:r>
      <w:r w:rsidRPr="00E44EA0">
        <w:rPr>
          <w:u w:val="single"/>
        </w:rPr>
        <w:t>must</w:t>
      </w:r>
    </w:p>
    <w:p w14:paraId="1551C52F" w14:textId="77777777" w:rsidR="00D665CC" w:rsidRPr="00E44EA0" w:rsidRDefault="00D665CC" w:rsidP="00D9532B">
      <w:pPr>
        <w:pStyle w:val="Bullet"/>
        <w:jc w:val="both"/>
      </w:pPr>
      <w:r w:rsidRPr="00E44EA0">
        <w:t xml:space="preserve">email the </w:t>
      </w:r>
      <w:hyperlink r:id="rId45" w:history="1">
        <w:r w:rsidRPr="00134ECF">
          <w:rPr>
            <w:rStyle w:val="Hyperlink"/>
          </w:rPr>
          <w:t>loadingdock@aph.gov.au</w:t>
        </w:r>
      </w:hyperlink>
      <w:r w:rsidRPr="00E44EA0">
        <w:t xml:space="preserve"> </w:t>
      </w:r>
      <w:r w:rsidRPr="00455E0D">
        <w:t>to advise that a document will be delivered the following day</w:t>
      </w:r>
    </w:p>
    <w:p w14:paraId="7D064BA6" w14:textId="77777777" w:rsidR="00D665CC" w:rsidRPr="00E44EA0" w:rsidRDefault="00D665CC" w:rsidP="00D9532B">
      <w:pPr>
        <w:pStyle w:val="Bullet"/>
        <w:jc w:val="both"/>
      </w:pPr>
      <w:r w:rsidRPr="00E44EA0">
        <w:t>respond to the email seeking information about the vehicle, driver etc</w:t>
      </w:r>
    </w:p>
    <w:p w14:paraId="75912C9E" w14:textId="77777777" w:rsidR="00D665CC" w:rsidRDefault="00D665CC" w:rsidP="00D9532B">
      <w:pPr>
        <w:pStyle w:val="Bullet"/>
        <w:jc w:val="both"/>
      </w:pPr>
      <w:r w:rsidRPr="00E44EA0">
        <w:t>ensure printers and couriers are aware of this requirement, noting a failure to provide the required information may lead to the vehicle being turned away</w:t>
      </w:r>
    </w:p>
    <w:p w14:paraId="5D69996A" w14:textId="77777777" w:rsidR="00954F74" w:rsidRDefault="00954F74" w:rsidP="00954F74">
      <w:pPr>
        <w:pStyle w:val="Bullet"/>
        <w:jc w:val="both"/>
      </w:pPr>
      <w:r>
        <w:t xml:space="preserve">Upload a PDF copy of the response and letter from the minister to the </w:t>
      </w:r>
      <w:r w:rsidR="00240996">
        <w:t>OTD syste,</w:t>
      </w:r>
    </w:p>
    <w:p w14:paraId="372F66A1" w14:textId="77777777" w:rsidR="00954F74" w:rsidRPr="00E44EA0" w:rsidRDefault="00954F74" w:rsidP="00954F74">
      <w:pPr>
        <w:pStyle w:val="Bullet"/>
        <w:jc w:val="both"/>
      </w:pPr>
      <w:r>
        <w:t xml:space="preserve">Email signed tabling minute, PDF of response and Ministerial approval to </w:t>
      </w:r>
      <w:hyperlink r:id="rId46" w:history="1">
        <w:r w:rsidRPr="008811AB">
          <w:rPr>
            <w:rStyle w:val="Hyperlink"/>
          </w:rPr>
          <w:t>tabling@pmc.gov.au</w:t>
        </w:r>
      </w:hyperlink>
      <w:r>
        <w:t xml:space="preserve"> </w:t>
      </w:r>
    </w:p>
    <w:p w14:paraId="3080F047" w14:textId="77777777" w:rsidR="00B90787" w:rsidRPr="00E44EA0" w:rsidRDefault="00B90787" w:rsidP="00D9532B">
      <w:pPr>
        <w:tabs>
          <w:tab w:val="left" w:pos="360"/>
        </w:tabs>
        <w:spacing w:after="80"/>
        <w:ind w:left="360" w:hanging="360"/>
        <w:jc w:val="both"/>
        <w:rPr>
          <w:rFonts w:ascii="Arial" w:hAnsi="Arial" w:cs="Arial"/>
          <w:sz w:val="22"/>
          <w:szCs w:val="22"/>
        </w:rPr>
      </w:pPr>
      <w:r w:rsidRPr="00E44EA0">
        <w:rPr>
          <w:rFonts w:ascii="Arial" w:hAnsi="Arial" w:cs="Arial"/>
          <w:sz w:val="22"/>
          <w:szCs w:val="22"/>
        </w:rPr>
        <w:sym w:font="Wingdings" w:char="F072"/>
      </w:r>
      <w:r w:rsidRPr="00E44EA0">
        <w:rPr>
          <w:rFonts w:ascii="Arial" w:hAnsi="Arial" w:cs="Arial"/>
          <w:sz w:val="22"/>
          <w:szCs w:val="22"/>
        </w:rPr>
        <w:tab/>
      </w:r>
      <w:r w:rsidRPr="00E44EA0">
        <w:rPr>
          <w:b/>
        </w:rPr>
        <w:t>Minute to the PM&amp;C Tabling Officer</w:t>
      </w:r>
    </w:p>
    <w:p w14:paraId="5D8E99B3" w14:textId="77777777" w:rsidR="00B90787" w:rsidRPr="00B90787" w:rsidRDefault="00B90787" w:rsidP="00D9532B">
      <w:pPr>
        <w:pStyle w:val="Bullet"/>
        <w:jc w:val="both"/>
      </w:pPr>
      <w:r w:rsidRPr="00E44EA0">
        <w:t xml:space="preserve">departments </w:t>
      </w:r>
      <w:r w:rsidRPr="00E44EA0">
        <w:rPr>
          <w:u w:val="single"/>
        </w:rPr>
        <w:t>must</w:t>
      </w:r>
      <w:r w:rsidRPr="00E44EA0">
        <w:t xml:space="preserve"> use the</w:t>
      </w:r>
      <w:r w:rsidR="00DD03C9">
        <w:t xml:space="preserve"> </w:t>
      </w:r>
      <w:r w:rsidR="00554DD1">
        <w:t xml:space="preserve">relevant </w:t>
      </w:r>
      <w:r w:rsidR="00DD03C9">
        <w:t xml:space="preserve">tabling minute template listed under ‘Appendixes’ on the </w:t>
      </w:r>
      <w:hyperlink r:id="rId47" w:history="1">
        <w:r w:rsidR="00DD03C9" w:rsidRPr="00DD03C9">
          <w:rPr>
            <w:rStyle w:val="Hyperlink"/>
          </w:rPr>
          <w:t>PM&amp;C Tabling Guidelines website</w:t>
        </w:r>
      </w:hyperlink>
      <w:r w:rsidRPr="00E44EA0">
        <w:t xml:space="preserve"> </w:t>
      </w:r>
    </w:p>
    <w:p w14:paraId="42AB53ED" w14:textId="77777777" w:rsidR="00D665CC" w:rsidRDefault="00D665CC" w:rsidP="00D9532B">
      <w:pPr>
        <w:tabs>
          <w:tab w:val="left" w:pos="360"/>
        </w:tabs>
        <w:spacing w:after="80"/>
        <w:ind w:left="360" w:hanging="360"/>
        <w:jc w:val="both"/>
        <w:rPr>
          <w:rFonts w:cstheme="minorHAnsi"/>
        </w:rPr>
      </w:pPr>
      <w:r w:rsidRPr="00E44EA0">
        <w:rPr>
          <w:rFonts w:ascii="Arial" w:hAnsi="Arial" w:cs="Arial"/>
          <w:sz w:val="22"/>
          <w:szCs w:val="22"/>
        </w:rPr>
        <w:sym w:font="Wingdings" w:char="F072"/>
      </w:r>
      <w:r w:rsidRPr="00E44EA0">
        <w:rPr>
          <w:rFonts w:ascii="Arial" w:hAnsi="Arial" w:cs="Arial"/>
          <w:sz w:val="22"/>
          <w:szCs w:val="22"/>
        </w:rPr>
        <w:tab/>
      </w:r>
      <w:r w:rsidRPr="00E44EA0">
        <w:rPr>
          <w:b/>
        </w:rPr>
        <w:t>Delivery day</w:t>
      </w:r>
      <w:r>
        <w:rPr>
          <w:b/>
        </w:rPr>
        <w:t xml:space="preserve"> – by </w:t>
      </w:r>
      <w:r w:rsidRPr="003A267D">
        <w:rPr>
          <w:b/>
          <w:u w:val="single"/>
        </w:rPr>
        <w:t xml:space="preserve">no later than </w:t>
      </w:r>
      <w:r w:rsidR="00954F74">
        <w:rPr>
          <w:b/>
          <w:u w:val="single"/>
        </w:rPr>
        <w:t>noon</w:t>
      </w:r>
      <w:r w:rsidRPr="003A267D">
        <w:rPr>
          <w:b/>
          <w:u w:val="single"/>
        </w:rPr>
        <w:t xml:space="preserve"> the business day before the day proposed for tabling</w:t>
      </w:r>
    </w:p>
    <w:p w14:paraId="41BF7427" w14:textId="77777777" w:rsidR="00D665CC" w:rsidRPr="00082055" w:rsidRDefault="00D665CC" w:rsidP="00D9532B">
      <w:pPr>
        <w:pStyle w:val="ListParagraph"/>
        <w:numPr>
          <w:ilvl w:val="0"/>
          <w:numId w:val="34"/>
        </w:numPr>
        <w:tabs>
          <w:tab w:val="left" w:pos="360"/>
        </w:tabs>
        <w:spacing w:after="80"/>
        <w:jc w:val="both"/>
        <w:rPr>
          <w:rStyle w:val="Hyperlink"/>
          <w:rFonts w:cstheme="minorHAnsi"/>
        </w:rPr>
      </w:pPr>
      <w:r w:rsidRPr="00E44EA0">
        <w:t>deliver bulk copies to the Parliament House Loading Dock via Brisbane Avenue</w:t>
      </w:r>
      <w:r w:rsidRPr="00082055">
        <w:rPr>
          <w:rFonts w:cstheme="minorHAnsi"/>
        </w:rPr>
        <w:t>, packaged using prescribe</w:t>
      </w:r>
      <w:r w:rsidR="00DD03C9">
        <w:rPr>
          <w:rFonts w:cstheme="minorHAnsi"/>
        </w:rPr>
        <w:t xml:space="preserve">d labels listed under ‘Appendixes’ on the </w:t>
      </w:r>
      <w:hyperlink r:id="rId48" w:history="1">
        <w:r w:rsidR="00DD03C9" w:rsidRPr="00DD03C9">
          <w:rPr>
            <w:rStyle w:val="Hyperlink"/>
            <w:rFonts w:cstheme="minorHAnsi"/>
          </w:rPr>
          <w:t>PM&amp;C Tabling Guidelines website</w:t>
        </w:r>
      </w:hyperlink>
      <w:r w:rsidR="00DD03C9">
        <w:rPr>
          <w:rFonts w:cstheme="minorHAnsi"/>
        </w:rPr>
        <w:t xml:space="preserve"> </w:t>
      </w:r>
    </w:p>
    <w:p w14:paraId="68D7D9D3" w14:textId="77777777" w:rsidR="00D665CC" w:rsidRPr="00E44EA0" w:rsidRDefault="00D665CC" w:rsidP="00D9532B">
      <w:pPr>
        <w:pStyle w:val="Dash"/>
        <w:jc w:val="both"/>
      </w:pPr>
      <w:r>
        <w:t>Senate Table Office</w:t>
      </w:r>
    </w:p>
    <w:p w14:paraId="3BCC75CE" w14:textId="77777777" w:rsidR="00D665CC" w:rsidRDefault="00D665CC" w:rsidP="00D9532B">
      <w:pPr>
        <w:pStyle w:val="Dash"/>
        <w:jc w:val="both"/>
      </w:pPr>
      <w:r w:rsidRPr="00E44EA0">
        <w:t xml:space="preserve">House of Representatives Table Office </w:t>
      </w:r>
    </w:p>
    <w:p w14:paraId="2DD026DF" w14:textId="77777777" w:rsidR="00B90787" w:rsidRPr="00E44EA0" w:rsidRDefault="00B90787" w:rsidP="00D9532B">
      <w:pPr>
        <w:pStyle w:val="Dash"/>
        <w:jc w:val="both"/>
      </w:pPr>
      <w:r>
        <w:t>Senate Parliamentary Liaison Officer</w:t>
      </w:r>
    </w:p>
    <w:p w14:paraId="256FF3FB" w14:textId="77777777" w:rsidR="00D665CC" w:rsidRPr="00E44EA0" w:rsidRDefault="00D665CC" w:rsidP="00D9532B">
      <w:pPr>
        <w:pStyle w:val="Dash"/>
        <w:jc w:val="both"/>
      </w:pPr>
      <w:r w:rsidRPr="00E44EA0">
        <w:t>Parliamentary Pres</w:t>
      </w:r>
      <w:r w:rsidR="00B90787">
        <w:t>s Gallery</w:t>
      </w:r>
    </w:p>
    <w:p w14:paraId="52EFBC26" w14:textId="77777777" w:rsidR="00D665CC" w:rsidRDefault="00D665CC" w:rsidP="00D9532B">
      <w:pPr>
        <w:pStyle w:val="Dash"/>
        <w:jc w:val="both"/>
      </w:pPr>
      <w:r w:rsidRPr="00E44EA0">
        <w:t xml:space="preserve">Parliamentary Library </w:t>
      </w:r>
    </w:p>
    <w:p w14:paraId="5211E115" w14:textId="77777777" w:rsidR="00D665CC" w:rsidRPr="003A267D" w:rsidRDefault="00D665CC" w:rsidP="00D9532B">
      <w:pPr>
        <w:pStyle w:val="Dash"/>
        <w:jc w:val="both"/>
      </w:pPr>
      <w:r>
        <w:t xml:space="preserve">PM&amp;C Tabling Office </w:t>
      </w:r>
    </w:p>
    <w:p w14:paraId="12F4D652" w14:textId="77777777" w:rsidR="002A63B3" w:rsidRPr="00E44EA0" w:rsidRDefault="002A63B3" w:rsidP="00D9532B">
      <w:pPr>
        <w:tabs>
          <w:tab w:val="left" w:pos="360"/>
        </w:tabs>
        <w:spacing w:after="80"/>
        <w:ind w:left="360" w:hanging="360"/>
        <w:jc w:val="both"/>
        <w:rPr>
          <w:szCs w:val="18"/>
        </w:rPr>
      </w:pPr>
      <w:r w:rsidRPr="00E44EA0">
        <w:rPr>
          <w:rFonts w:ascii="Arial" w:hAnsi="Arial" w:cs="Arial"/>
          <w:sz w:val="22"/>
          <w:szCs w:val="22"/>
        </w:rPr>
        <w:sym w:font="Wingdings" w:char="F072"/>
      </w:r>
      <w:r w:rsidRPr="00E44EA0">
        <w:rPr>
          <w:rFonts w:ascii="Arial" w:hAnsi="Arial" w:cs="Arial"/>
          <w:sz w:val="22"/>
          <w:szCs w:val="22"/>
        </w:rPr>
        <w:tab/>
      </w:r>
      <w:r w:rsidRPr="00E44EA0">
        <w:rPr>
          <w:b/>
          <w:szCs w:val="18"/>
        </w:rPr>
        <w:t>Provide a copy to the Chair of the</w:t>
      </w:r>
      <w:r w:rsidR="007919A0" w:rsidRPr="00E44EA0">
        <w:rPr>
          <w:b/>
          <w:szCs w:val="18"/>
        </w:rPr>
        <w:t xml:space="preserve"> relevant c</w:t>
      </w:r>
      <w:r w:rsidRPr="00E44EA0">
        <w:rPr>
          <w:b/>
          <w:szCs w:val="18"/>
        </w:rPr>
        <w:t>ommittee</w:t>
      </w:r>
    </w:p>
    <w:p w14:paraId="55CECCA6" w14:textId="77777777" w:rsidR="002A63B3" w:rsidRPr="00E44EA0" w:rsidRDefault="002A63B3" w:rsidP="00D9532B">
      <w:pPr>
        <w:pStyle w:val="Bullet"/>
        <w:jc w:val="both"/>
      </w:pPr>
      <w:r w:rsidRPr="00E44EA0">
        <w:t>A</w:t>
      </w:r>
      <w:r w:rsidR="00B55120">
        <w:t>n embargoed</w:t>
      </w:r>
      <w:r w:rsidRPr="00E44EA0">
        <w:t xml:space="preserve"> courtesy copy is provide</w:t>
      </w:r>
      <w:r w:rsidR="007919A0" w:rsidRPr="00E44EA0">
        <w:t>d to the Chair of the relevant c</w:t>
      </w:r>
      <w:r w:rsidRPr="00E44EA0">
        <w:t xml:space="preserve">ommittee </w:t>
      </w:r>
      <w:r w:rsidR="0073246A" w:rsidRPr="00E44EA0">
        <w:t>(c/</w:t>
      </w:r>
      <w:r w:rsidR="00FE323D" w:rsidRPr="00E44EA0">
        <w:t>-</w:t>
      </w:r>
      <w:r w:rsidR="0073246A" w:rsidRPr="00E44EA0">
        <w:t xml:space="preserve"> the committee secretariat) </w:t>
      </w:r>
      <w:r w:rsidR="003F6299">
        <w:t xml:space="preserve">by the Minister </w:t>
      </w:r>
      <w:r w:rsidR="00B55120">
        <w:t>prior to</w:t>
      </w:r>
      <w:r w:rsidRPr="00E44EA0">
        <w:t xml:space="preserve"> tabling</w:t>
      </w:r>
    </w:p>
    <w:p w14:paraId="798DD35E" w14:textId="77777777" w:rsidR="002A63B3" w:rsidRPr="00E44EA0" w:rsidRDefault="002A63B3" w:rsidP="00D9532B">
      <w:pPr>
        <w:tabs>
          <w:tab w:val="left" w:pos="360"/>
        </w:tabs>
        <w:spacing w:after="80"/>
        <w:ind w:left="360" w:hanging="360"/>
        <w:jc w:val="both"/>
        <w:rPr>
          <w:szCs w:val="18"/>
        </w:rPr>
      </w:pPr>
      <w:r w:rsidRPr="00E44EA0">
        <w:rPr>
          <w:rFonts w:ascii="Arial" w:hAnsi="Arial" w:cs="Arial"/>
          <w:sz w:val="22"/>
          <w:szCs w:val="22"/>
        </w:rPr>
        <w:sym w:font="Wingdings" w:char="F072"/>
      </w:r>
      <w:r w:rsidRPr="00E44EA0">
        <w:rPr>
          <w:rFonts w:ascii="Arial" w:hAnsi="Arial" w:cs="Arial"/>
          <w:sz w:val="22"/>
          <w:szCs w:val="22"/>
        </w:rPr>
        <w:tab/>
      </w:r>
      <w:r w:rsidRPr="00E44EA0">
        <w:rPr>
          <w:b/>
          <w:szCs w:val="18"/>
        </w:rPr>
        <w:t>Provide a copy to Hansard</w:t>
      </w:r>
    </w:p>
    <w:p w14:paraId="50F2BFE6" w14:textId="77777777" w:rsidR="002A63B3" w:rsidRPr="00E44EA0" w:rsidRDefault="002A63B3" w:rsidP="00D9532B">
      <w:pPr>
        <w:pStyle w:val="Bullet"/>
        <w:jc w:val="both"/>
      </w:pPr>
      <w:r w:rsidRPr="00E44EA0">
        <w:t>A word version of the response is</w:t>
      </w:r>
      <w:r w:rsidR="0073246A" w:rsidRPr="00E44EA0">
        <w:t xml:space="preserve"> to be</w:t>
      </w:r>
      <w:r w:rsidRPr="00E44EA0">
        <w:t xml:space="preserve"> provided prior to tabling </w:t>
      </w:r>
      <w:r w:rsidR="006B3A96" w:rsidRPr="00E44EA0">
        <w:t xml:space="preserve">to </w:t>
      </w:r>
      <w:hyperlink r:id="rId49" w:history="1">
        <w:r w:rsidR="006B3A96" w:rsidRPr="00E44EA0">
          <w:rPr>
            <w:rStyle w:val="Hyperlink"/>
          </w:rPr>
          <w:t>Hansard.esg@aph.gov.au</w:t>
        </w:r>
      </w:hyperlink>
    </w:p>
    <w:p w14:paraId="0BB8B30C" w14:textId="77777777" w:rsidR="002A63B3" w:rsidRPr="00E44EA0" w:rsidRDefault="006376AB" w:rsidP="00D9532B">
      <w:pPr>
        <w:tabs>
          <w:tab w:val="left" w:pos="360"/>
        </w:tabs>
        <w:spacing w:after="80"/>
        <w:ind w:left="360" w:hanging="360"/>
        <w:jc w:val="both"/>
        <w:rPr>
          <w:szCs w:val="18"/>
        </w:rPr>
      </w:pPr>
      <w:r w:rsidRPr="00E44EA0">
        <w:rPr>
          <w:rFonts w:ascii="Arial" w:hAnsi="Arial" w:cs="Arial"/>
          <w:sz w:val="22"/>
          <w:szCs w:val="22"/>
        </w:rPr>
        <w:sym w:font="Wingdings" w:char="F072"/>
      </w:r>
      <w:r w:rsidR="002A63B3" w:rsidRPr="00E44EA0">
        <w:rPr>
          <w:rFonts w:ascii="Arial" w:hAnsi="Arial" w:cs="Arial"/>
          <w:sz w:val="22"/>
          <w:szCs w:val="22"/>
        </w:rPr>
        <w:tab/>
      </w:r>
      <w:r w:rsidR="002A63B3" w:rsidRPr="00E44EA0">
        <w:rPr>
          <w:b/>
          <w:szCs w:val="18"/>
        </w:rPr>
        <w:t>Document</w:t>
      </w:r>
      <w:r w:rsidR="00253967" w:rsidRPr="00E44EA0">
        <w:rPr>
          <w:b/>
          <w:szCs w:val="18"/>
        </w:rPr>
        <w:t>/s</w:t>
      </w:r>
      <w:r w:rsidR="002A63B3" w:rsidRPr="00E44EA0">
        <w:rPr>
          <w:b/>
          <w:szCs w:val="18"/>
        </w:rPr>
        <w:t xml:space="preserve"> tabled in the House </w:t>
      </w:r>
      <w:r w:rsidR="00EA1A9F" w:rsidRPr="00E44EA0">
        <w:rPr>
          <w:b/>
          <w:szCs w:val="18"/>
        </w:rPr>
        <w:t xml:space="preserve">of Representative </w:t>
      </w:r>
      <w:r w:rsidR="002A63B3" w:rsidRPr="00E44EA0">
        <w:rPr>
          <w:b/>
          <w:szCs w:val="18"/>
        </w:rPr>
        <w:t>and/or Senate</w:t>
      </w:r>
    </w:p>
    <w:p w14:paraId="47B99AB1" w14:textId="77777777" w:rsidR="00CF51AD" w:rsidRPr="00E44EA0" w:rsidRDefault="00CF51AD" w:rsidP="00D9532B">
      <w:pPr>
        <w:pStyle w:val="Bullet"/>
        <w:jc w:val="both"/>
      </w:pPr>
      <w:r w:rsidRPr="00E44EA0">
        <w:t xml:space="preserve">the </w:t>
      </w:r>
      <w:hyperlink w:anchor="HouseLiveMinutes" w:history="1">
        <w:r w:rsidRPr="00E44EA0">
          <w:rPr>
            <w:rStyle w:val="Hyperlink"/>
          </w:rPr>
          <w:t xml:space="preserve">House </w:t>
        </w:r>
        <w:r w:rsidR="00DD03C9">
          <w:rPr>
            <w:rStyle w:val="Hyperlink"/>
          </w:rPr>
          <w:t>L</w:t>
        </w:r>
        <w:r w:rsidRPr="00E44EA0">
          <w:rPr>
            <w:rStyle w:val="Hyperlink"/>
          </w:rPr>
          <w:t xml:space="preserve">ive </w:t>
        </w:r>
        <w:r w:rsidR="00DD03C9">
          <w:rPr>
            <w:rStyle w:val="Hyperlink"/>
          </w:rPr>
          <w:t>M</w:t>
        </w:r>
        <w:r w:rsidRPr="00E44EA0">
          <w:rPr>
            <w:rStyle w:val="Hyperlink"/>
          </w:rPr>
          <w:t>inutes</w:t>
        </w:r>
      </w:hyperlink>
      <w:r w:rsidRPr="00E44EA0">
        <w:t xml:space="preserve"> and/or </w:t>
      </w:r>
      <w:hyperlink w:anchor="SenateDynamicRed" w:history="1">
        <w:r w:rsidRPr="00E44EA0">
          <w:rPr>
            <w:rStyle w:val="Hyperlink"/>
          </w:rPr>
          <w:t xml:space="preserve">Senate </w:t>
        </w:r>
        <w:r w:rsidR="00DD03C9">
          <w:rPr>
            <w:rStyle w:val="Hyperlink"/>
          </w:rPr>
          <w:t>D</w:t>
        </w:r>
        <w:r w:rsidRPr="00E44EA0">
          <w:rPr>
            <w:rStyle w:val="Hyperlink"/>
          </w:rPr>
          <w:t xml:space="preserve">ynamic </w:t>
        </w:r>
        <w:r w:rsidR="00DD03C9">
          <w:rPr>
            <w:rStyle w:val="Hyperlink"/>
          </w:rPr>
          <w:t>R</w:t>
        </w:r>
        <w:r w:rsidRPr="00E44EA0">
          <w:rPr>
            <w:rStyle w:val="Hyperlink"/>
          </w:rPr>
          <w:t>ed</w:t>
        </w:r>
      </w:hyperlink>
      <w:r w:rsidRPr="00E44EA0">
        <w:rPr>
          <w:rStyle w:val="Hyperlink"/>
          <w:u w:val="none"/>
        </w:rPr>
        <w:t xml:space="preserve"> </w:t>
      </w:r>
      <w:r w:rsidRPr="00E44EA0">
        <w:rPr>
          <w:rFonts w:cs="Times New Roman"/>
          <w:szCs w:val="24"/>
          <w:lang w:eastAsia="en-US"/>
        </w:rPr>
        <w:t>will show tabling as it occurs; and</w:t>
      </w:r>
    </w:p>
    <w:p w14:paraId="36704F25" w14:textId="77777777" w:rsidR="00EC5C1E" w:rsidRPr="00E44EA0" w:rsidRDefault="00EC5C1E" w:rsidP="00D9532B">
      <w:pPr>
        <w:pStyle w:val="Bullet"/>
        <w:jc w:val="both"/>
      </w:pPr>
      <w:r w:rsidRPr="00E44EA0">
        <w:t xml:space="preserve">Notification of tabling will appear in the </w:t>
      </w:r>
      <w:hyperlink w:anchor="JournalsoftheSenate" w:history="1">
        <w:r w:rsidRPr="00E44EA0">
          <w:rPr>
            <w:rStyle w:val="Hyperlink"/>
          </w:rPr>
          <w:t>Journals of the Senate</w:t>
        </w:r>
      </w:hyperlink>
      <w:r w:rsidRPr="00E44EA0">
        <w:t xml:space="preserve"> and the </w:t>
      </w:r>
      <w:hyperlink w:anchor="VotesandProceedings" w:history="1">
        <w:r w:rsidRPr="00E44EA0">
          <w:rPr>
            <w:rStyle w:val="Hyperlink"/>
          </w:rPr>
          <w:t>Votes and Proceedings</w:t>
        </w:r>
      </w:hyperlink>
      <w:r w:rsidRPr="00E44EA0">
        <w:t>.</w:t>
      </w:r>
    </w:p>
    <w:p w14:paraId="0D9905ED" w14:textId="77777777" w:rsidR="002A63B3" w:rsidRPr="00E44EA0" w:rsidRDefault="002A63B3" w:rsidP="00D9532B">
      <w:pPr>
        <w:tabs>
          <w:tab w:val="left" w:pos="360"/>
        </w:tabs>
        <w:spacing w:after="80"/>
        <w:ind w:left="360" w:hanging="360"/>
        <w:jc w:val="both"/>
        <w:rPr>
          <w:rFonts w:cs="Arial"/>
          <w:b/>
          <w:szCs w:val="18"/>
        </w:rPr>
      </w:pPr>
      <w:r w:rsidRPr="00E44EA0">
        <w:rPr>
          <w:rFonts w:ascii="Arial" w:hAnsi="Arial" w:cs="Arial"/>
          <w:sz w:val="22"/>
          <w:szCs w:val="22"/>
        </w:rPr>
        <w:sym w:font="Wingdings" w:char="F072"/>
      </w:r>
      <w:r w:rsidRPr="00E44EA0">
        <w:rPr>
          <w:rFonts w:ascii="Arial" w:hAnsi="Arial" w:cs="Arial"/>
          <w:b/>
          <w:sz w:val="22"/>
          <w:szCs w:val="22"/>
        </w:rPr>
        <w:tab/>
      </w:r>
      <w:r w:rsidR="00894A3F" w:rsidRPr="00E44EA0">
        <w:rPr>
          <w:rFonts w:cs="Arial"/>
          <w:b/>
          <w:szCs w:val="18"/>
        </w:rPr>
        <w:t>Action p</w:t>
      </w:r>
      <w:r w:rsidRPr="00E44EA0">
        <w:rPr>
          <w:rFonts w:cs="Arial"/>
          <w:b/>
          <w:szCs w:val="18"/>
        </w:rPr>
        <w:t>ost-tabling</w:t>
      </w:r>
    </w:p>
    <w:p w14:paraId="42851383" w14:textId="77777777" w:rsidR="00A31A92" w:rsidRPr="00E44EA0" w:rsidRDefault="002A63B3">
      <w:pPr>
        <w:pStyle w:val="Bullet"/>
        <w:jc w:val="both"/>
      </w:pPr>
      <w:r w:rsidRPr="00E44EA0">
        <w:t xml:space="preserve">immediately upload the </w:t>
      </w:r>
      <w:r w:rsidR="00356D6B" w:rsidRPr="00E44EA0">
        <w:t>G</w:t>
      </w:r>
      <w:r w:rsidR="00575EC6" w:rsidRPr="00E44EA0">
        <w:t>overnment response</w:t>
      </w:r>
      <w:r w:rsidRPr="00E44EA0">
        <w:t xml:space="preserve"> to </w:t>
      </w:r>
      <w:r w:rsidR="00B55120">
        <w:t xml:space="preserve">the </w:t>
      </w:r>
      <w:r w:rsidR="00B7229D" w:rsidRPr="00E44EA0">
        <w:t>department</w:t>
      </w:r>
      <w:r w:rsidR="00B55120">
        <w:t>’s</w:t>
      </w:r>
      <w:r w:rsidR="00B7229D" w:rsidRPr="00E44EA0">
        <w:t xml:space="preserve"> </w:t>
      </w:r>
      <w:r w:rsidRPr="00E44EA0">
        <w:t>website</w:t>
      </w:r>
      <w:r w:rsidR="00A31A92">
        <w:t xml:space="preserve"> </w:t>
      </w:r>
    </w:p>
    <w:p w14:paraId="064A6E32" w14:textId="77777777" w:rsidR="003B1902" w:rsidRPr="00F636BC" w:rsidRDefault="002A63B3" w:rsidP="00C46F47">
      <w:pPr>
        <w:pStyle w:val="Bullet"/>
        <w:numPr>
          <w:ilvl w:val="0"/>
          <w:numId w:val="0"/>
        </w:numPr>
        <w:jc w:val="both"/>
        <w:rPr>
          <w:b/>
          <w:color w:val="auto"/>
        </w:rPr>
      </w:pPr>
      <w:r w:rsidRPr="00E44EA0">
        <w:br w:type="page"/>
      </w:r>
      <w:r w:rsidR="003B1902" w:rsidRPr="00640144">
        <w:rPr>
          <w:rFonts w:asciiTheme="majorHAnsi" w:eastAsiaTheme="majorEastAsia" w:hAnsiTheme="majorHAnsi" w:cstheme="majorBidi"/>
          <w:b/>
          <w:color w:val="auto"/>
          <w:sz w:val="26"/>
          <w:szCs w:val="26"/>
          <w:lang w:eastAsia="en-US"/>
        </w:rPr>
        <w:lastRenderedPageBreak/>
        <w:t xml:space="preserve">Key Tasks – Government Response – Presentation </w:t>
      </w:r>
      <w:r w:rsidR="004C2352">
        <w:rPr>
          <w:rFonts w:asciiTheme="majorHAnsi" w:eastAsiaTheme="majorEastAsia" w:hAnsiTheme="majorHAnsi" w:cstheme="majorBidi"/>
          <w:b/>
          <w:color w:val="auto"/>
          <w:sz w:val="26"/>
          <w:szCs w:val="26"/>
          <w:lang w:eastAsia="en-US"/>
        </w:rPr>
        <w:t>in the Senate</w:t>
      </w:r>
      <w:r w:rsidR="004C2352" w:rsidRPr="00640144">
        <w:rPr>
          <w:rFonts w:asciiTheme="majorHAnsi" w:eastAsiaTheme="majorEastAsia" w:hAnsiTheme="majorHAnsi" w:cstheme="majorBidi"/>
          <w:b/>
          <w:color w:val="auto"/>
          <w:sz w:val="26"/>
          <w:szCs w:val="26"/>
          <w:lang w:eastAsia="en-US"/>
        </w:rPr>
        <w:t xml:space="preserve"> </w:t>
      </w:r>
      <w:r w:rsidR="003B1902" w:rsidRPr="00640144">
        <w:rPr>
          <w:rFonts w:asciiTheme="majorHAnsi" w:eastAsiaTheme="majorEastAsia" w:hAnsiTheme="majorHAnsi" w:cstheme="majorBidi"/>
          <w:b/>
          <w:color w:val="auto"/>
          <w:sz w:val="26"/>
          <w:szCs w:val="26"/>
          <w:lang w:eastAsia="en-US"/>
        </w:rPr>
        <w:t>out of Sitting</w:t>
      </w:r>
      <w:r w:rsidR="004C2352">
        <w:rPr>
          <w:rFonts w:asciiTheme="majorHAnsi" w:eastAsiaTheme="majorEastAsia" w:hAnsiTheme="majorHAnsi" w:cstheme="majorBidi"/>
          <w:b/>
          <w:color w:val="auto"/>
          <w:sz w:val="26"/>
          <w:szCs w:val="26"/>
          <w:lang w:eastAsia="en-US"/>
        </w:rPr>
        <w:t xml:space="preserve"> </w:t>
      </w:r>
    </w:p>
    <w:p w14:paraId="70723353" w14:textId="77777777" w:rsidR="002A63B3" w:rsidRPr="00E44EA0" w:rsidRDefault="002A63B3" w:rsidP="0002197D">
      <w:pPr>
        <w:jc w:val="both"/>
      </w:pPr>
      <w:r w:rsidRPr="00E44EA0">
        <w:t xml:space="preserve">Key tasks for tabling a </w:t>
      </w:r>
      <w:r w:rsidRPr="00E44EA0">
        <w:rPr>
          <w:u w:val="single"/>
        </w:rPr>
        <w:t>government response to a parliamentary committee report when the Senate is not sitting</w:t>
      </w:r>
      <w:r w:rsidRPr="00E44EA0">
        <w:t>.</w:t>
      </w:r>
    </w:p>
    <w:p w14:paraId="6827FC13" w14:textId="77777777" w:rsidR="002A63B3" w:rsidRPr="00E44EA0" w:rsidRDefault="002A63B3" w:rsidP="0002197D">
      <w:pPr>
        <w:tabs>
          <w:tab w:val="left" w:pos="360"/>
        </w:tabs>
        <w:spacing w:after="240"/>
        <w:ind w:left="357" w:hanging="357"/>
        <w:jc w:val="both"/>
        <w:rPr>
          <w:rFonts w:cs="Arial"/>
          <w:szCs w:val="22"/>
        </w:rPr>
      </w:pPr>
      <w:r w:rsidRPr="00E44EA0">
        <w:rPr>
          <w:rFonts w:ascii="Arial" w:hAnsi="Arial" w:cs="Arial"/>
          <w:sz w:val="22"/>
          <w:szCs w:val="22"/>
        </w:rPr>
        <w:sym w:font="Wingdings" w:char="F072"/>
      </w:r>
      <w:r w:rsidRPr="00E44EA0">
        <w:rPr>
          <w:rFonts w:ascii="Arial" w:hAnsi="Arial" w:cs="Arial"/>
          <w:sz w:val="22"/>
          <w:szCs w:val="22"/>
        </w:rPr>
        <w:tab/>
      </w:r>
      <w:r w:rsidRPr="00E44EA0">
        <w:rPr>
          <w:b/>
        </w:rPr>
        <w:t xml:space="preserve">Approval </w:t>
      </w:r>
      <w:r w:rsidRPr="00E44EA0">
        <w:t xml:space="preserve">— Ministerial approval is required for a government response to be tabled in the Parliament.  Prior to presentation, approval for the content of the response </w:t>
      </w:r>
      <w:r w:rsidR="00EB0C00">
        <w:t>must</w:t>
      </w:r>
      <w:r w:rsidRPr="00E44EA0">
        <w:t xml:space="preserve"> have</w:t>
      </w:r>
      <w:r w:rsidR="00BF17A4" w:rsidRPr="00E44EA0">
        <w:t xml:space="preserve"> been</w:t>
      </w:r>
      <w:r w:rsidR="00253967" w:rsidRPr="00E44EA0">
        <w:t xml:space="preserve"> obtained from the Cabinet </w:t>
      </w:r>
      <w:r w:rsidR="00EB0C00">
        <w:t>and/</w:t>
      </w:r>
      <w:r w:rsidR="00253967" w:rsidRPr="00E44EA0">
        <w:t xml:space="preserve">or </w:t>
      </w:r>
      <w:r w:rsidRPr="00E44EA0">
        <w:t xml:space="preserve">the Prime Minister or </w:t>
      </w:r>
      <w:r w:rsidR="00320C51" w:rsidRPr="00E44EA0">
        <w:t>a</w:t>
      </w:r>
      <w:r w:rsidRPr="00E44EA0">
        <w:t xml:space="preserve"> Minister on behalf of </w:t>
      </w:r>
      <w:r w:rsidR="00D04CE6" w:rsidRPr="00E44EA0">
        <w:t xml:space="preserve">the </w:t>
      </w:r>
      <w:r w:rsidRPr="00E44EA0">
        <w:t>Prime Minister.</w:t>
      </w:r>
    </w:p>
    <w:p w14:paraId="60FE47BB" w14:textId="77777777" w:rsidR="002A63B3" w:rsidRPr="00E44EA0" w:rsidRDefault="002A63B3" w:rsidP="0002197D">
      <w:pPr>
        <w:tabs>
          <w:tab w:val="left" w:pos="360"/>
        </w:tabs>
        <w:spacing w:after="80"/>
        <w:ind w:left="360" w:hanging="360"/>
        <w:jc w:val="both"/>
        <w:rPr>
          <w:b/>
        </w:rPr>
      </w:pPr>
      <w:r w:rsidRPr="00E44EA0">
        <w:rPr>
          <w:rFonts w:ascii="Arial" w:hAnsi="Arial" w:cs="Arial"/>
          <w:sz w:val="22"/>
          <w:szCs w:val="22"/>
        </w:rPr>
        <w:sym w:font="Wingdings" w:char="F072"/>
      </w:r>
      <w:r w:rsidRPr="00E44EA0">
        <w:rPr>
          <w:rFonts w:ascii="Arial" w:hAnsi="Arial" w:cs="Arial"/>
          <w:sz w:val="22"/>
          <w:szCs w:val="22"/>
        </w:rPr>
        <w:tab/>
      </w:r>
      <w:r w:rsidRPr="00E44EA0">
        <w:rPr>
          <w:b/>
        </w:rPr>
        <w:t>Letter of transmittal</w:t>
      </w:r>
    </w:p>
    <w:p w14:paraId="1612C12E" w14:textId="77777777" w:rsidR="002A63B3" w:rsidRPr="00C46F47" w:rsidRDefault="002A63B3" w:rsidP="0002197D">
      <w:pPr>
        <w:pStyle w:val="Bullet"/>
        <w:jc w:val="both"/>
        <w:rPr>
          <w:b/>
        </w:rPr>
      </w:pPr>
      <w:r w:rsidRPr="00E44EA0">
        <w:t>A</w:t>
      </w:r>
      <w:r w:rsidR="003F6299">
        <w:t xml:space="preserve"> letter of transmittal </w:t>
      </w:r>
      <w:r w:rsidRPr="00E44EA0">
        <w:t xml:space="preserve">from the Minister to the President of the Senate </w:t>
      </w:r>
      <w:r w:rsidRPr="00E44EA0">
        <w:rPr>
          <w:u w:val="single"/>
        </w:rPr>
        <w:t>must</w:t>
      </w:r>
      <w:r w:rsidRPr="00E44EA0">
        <w:t xml:space="preserve"> accompany the document for presentation</w:t>
      </w:r>
      <w:r w:rsidR="003F6299">
        <w:t xml:space="preserve">; the template is available under the list of ‘Appendixes’ on the </w:t>
      </w:r>
      <w:hyperlink r:id="rId50" w:history="1">
        <w:r w:rsidR="003F6299" w:rsidRPr="003F6299">
          <w:rPr>
            <w:rStyle w:val="Hyperlink"/>
          </w:rPr>
          <w:t>PM&amp;C Tabling Guidelines website</w:t>
        </w:r>
      </w:hyperlink>
      <w:r w:rsidR="003F6299">
        <w:t xml:space="preserve"> </w:t>
      </w:r>
    </w:p>
    <w:p w14:paraId="6889B8EE" w14:textId="77777777" w:rsidR="00DD03C9" w:rsidRPr="00E44EA0" w:rsidRDefault="00E81264" w:rsidP="0002197D">
      <w:pPr>
        <w:pStyle w:val="Bullet"/>
        <w:jc w:val="both"/>
        <w:rPr>
          <w:b/>
        </w:rPr>
      </w:pPr>
      <w:r>
        <w:rPr>
          <w:b/>
        </w:rPr>
        <w:t>DO NOT</w:t>
      </w:r>
      <w:r>
        <w:t xml:space="preserve"> provide this transmittal letter directly to the Senate President; it must be sent to </w:t>
      </w:r>
      <w:hyperlink r:id="rId51" w:history="1">
        <w:r w:rsidRPr="00BD26CD">
          <w:rPr>
            <w:rStyle w:val="Hyperlink"/>
          </w:rPr>
          <w:t>tabling@pmc.gov.au</w:t>
        </w:r>
      </w:hyperlink>
      <w:r>
        <w:t xml:space="preserve"> and through OTD.</w:t>
      </w:r>
    </w:p>
    <w:p w14:paraId="06887DA6" w14:textId="77777777" w:rsidR="002A63B3" w:rsidRPr="00E44EA0" w:rsidRDefault="002A63B3" w:rsidP="0002197D">
      <w:pPr>
        <w:tabs>
          <w:tab w:val="left" w:pos="360"/>
        </w:tabs>
        <w:spacing w:after="80"/>
        <w:ind w:left="360" w:hanging="360"/>
        <w:jc w:val="both"/>
        <w:rPr>
          <w:b/>
        </w:rPr>
      </w:pPr>
      <w:r w:rsidRPr="00E44EA0">
        <w:rPr>
          <w:rFonts w:ascii="Arial" w:hAnsi="Arial" w:cs="Arial"/>
          <w:sz w:val="22"/>
          <w:szCs w:val="22"/>
        </w:rPr>
        <w:sym w:font="Wingdings" w:char="F072"/>
      </w:r>
      <w:r w:rsidRPr="00E44EA0">
        <w:rPr>
          <w:rFonts w:ascii="Arial" w:hAnsi="Arial" w:cs="Arial"/>
          <w:sz w:val="22"/>
          <w:szCs w:val="22"/>
        </w:rPr>
        <w:tab/>
      </w:r>
      <w:r w:rsidRPr="00E44EA0">
        <w:rPr>
          <w:b/>
        </w:rPr>
        <w:t>Identify the preferred day for presentation</w:t>
      </w:r>
    </w:p>
    <w:p w14:paraId="3D48EE18" w14:textId="77777777" w:rsidR="002A63B3" w:rsidRPr="00E44EA0" w:rsidRDefault="002A63B3" w:rsidP="0002197D">
      <w:pPr>
        <w:pStyle w:val="Bullet"/>
        <w:jc w:val="both"/>
        <w:rPr>
          <w:b/>
        </w:rPr>
      </w:pPr>
      <w:r w:rsidRPr="00E44EA0">
        <w:t xml:space="preserve">contact the </w:t>
      </w:r>
      <w:hyperlink w:anchor="SenateDocumentsOfficer" w:history="1">
        <w:r w:rsidR="004C341D">
          <w:rPr>
            <w:rStyle w:val="Hyperlink"/>
          </w:rPr>
          <w:t>tabling@pmc.gov.au</w:t>
        </w:r>
      </w:hyperlink>
      <w:r w:rsidRPr="00E44EA0">
        <w:t xml:space="preserve"> to arrange the time for presentation</w:t>
      </w:r>
    </w:p>
    <w:p w14:paraId="31E2EFAD" w14:textId="77777777" w:rsidR="00251A6A" w:rsidRPr="00E44EA0" w:rsidRDefault="003B4939" w:rsidP="0002197D">
      <w:pPr>
        <w:pStyle w:val="Bullet"/>
        <w:jc w:val="both"/>
        <w:rPr>
          <w:rFonts w:ascii="Arial" w:hAnsi="Arial"/>
          <w:sz w:val="22"/>
        </w:rPr>
      </w:pPr>
      <w:r>
        <w:t>Government responses are generally presented on a Thursday when Parliament is not sitting. Government responses may be tabled on any business day in October.</w:t>
      </w:r>
    </w:p>
    <w:p w14:paraId="6A119B55" w14:textId="77777777" w:rsidR="004A13AB" w:rsidRPr="004C341D" w:rsidRDefault="00876779" w:rsidP="004A13AB">
      <w:pPr>
        <w:pStyle w:val="Bullet"/>
        <w:jc w:val="both"/>
        <w:rPr>
          <w:rFonts w:ascii="Arial" w:hAnsi="Arial"/>
          <w:sz w:val="22"/>
        </w:rPr>
      </w:pPr>
      <w:hyperlink r:id="rId52" w:history="1">
        <w:r w:rsidR="004A13AB" w:rsidRPr="004C341D">
          <w:rPr>
            <w:rStyle w:val="Hyperlink"/>
            <w:color w:val="auto"/>
            <w:u w:val="none"/>
          </w:rPr>
          <w:t>upload</w:t>
        </w:r>
      </w:hyperlink>
      <w:r w:rsidR="004A13AB" w:rsidRPr="004C341D">
        <w:rPr>
          <w:color w:val="auto"/>
        </w:rPr>
        <w:t xml:space="preserve"> </w:t>
      </w:r>
      <w:r w:rsidR="004A13AB">
        <w:t>a PDF of the document and covering letter to Online Tabled Documents</w:t>
      </w:r>
      <w:r w:rsidR="004A13AB" w:rsidRPr="00E44EA0">
        <w:t xml:space="preserve"> </w:t>
      </w:r>
      <w:r w:rsidR="00972B89">
        <w:t>and complete related information (</w:t>
      </w:r>
      <w:r w:rsidR="004A13AB">
        <w:t xml:space="preserve">for Senate and joint committees) and </w:t>
      </w:r>
      <w:hyperlink r:id="rId53" w:history="1">
        <w:r w:rsidR="004A13AB" w:rsidRPr="00F56CDB">
          <w:rPr>
            <w:rStyle w:val="Hyperlink"/>
          </w:rPr>
          <w:t>documents.tabled@aph.gov.au</w:t>
        </w:r>
      </w:hyperlink>
      <w:r w:rsidR="004A13AB">
        <w:t xml:space="preserve"> (for joint committees only) by noon </w:t>
      </w:r>
      <w:r w:rsidR="005A14FD">
        <w:t>two</w:t>
      </w:r>
      <w:r w:rsidR="004A13AB">
        <w:t xml:space="preserve"> day</w:t>
      </w:r>
      <w:r w:rsidR="005A14FD">
        <w:t>s</w:t>
      </w:r>
      <w:r w:rsidR="004A13AB">
        <w:t xml:space="preserve"> prior to presentation</w:t>
      </w:r>
    </w:p>
    <w:p w14:paraId="408103C4" w14:textId="77777777" w:rsidR="004A13AB" w:rsidRPr="004C341D" w:rsidRDefault="004A13AB">
      <w:pPr>
        <w:pStyle w:val="Bullet"/>
        <w:jc w:val="both"/>
        <w:rPr>
          <w:b/>
        </w:rPr>
      </w:pPr>
      <w:r>
        <w:t xml:space="preserve">email PDF version of documents, signed transmittal letter and signed minute to </w:t>
      </w:r>
      <w:hyperlink r:id="rId54" w:history="1">
        <w:r w:rsidRPr="008811AB">
          <w:rPr>
            <w:rStyle w:val="Hyperlink"/>
          </w:rPr>
          <w:t>tabling</w:t>
        </w:r>
        <w:r w:rsidRPr="008811AB">
          <w:rPr>
            <w:rStyle w:val="Hyperlink"/>
            <w:b/>
          </w:rPr>
          <w:t>@pmc.gov.au</w:t>
        </w:r>
      </w:hyperlink>
      <w:r>
        <w:t xml:space="preserve"> by noon </w:t>
      </w:r>
      <w:r w:rsidR="00CB67ED">
        <w:t>two</w:t>
      </w:r>
      <w:r>
        <w:t xml:space="preserve"> day</w:t>
      </w:r>
      <w:r w:rsidR="00CB67ED">
        <w:t>s</w:t>
      </w:r>
      <w:r>
        <w:t xml:space="preserve"> prior to presentation</w:t>
      </w:r>
      <w:r>
        <w:rPr>
          <w:b/>
        </w:rPr>
        <w:t xml:space="preserve"> </w:t>
      </w:r>
    </w:p>
    <w:p w14:paraId="307A41A8" w14:textId="77777777" w:rsidR="00251A6A" w:rsidRPr="004C341D" w:rsidRDefault="00251A6A" w:rsidP="0002197D">
      <w:pPr>
        <w:tabs>
          <w:tab w:val="left" w:pos="360"/>
        </w:tabs>
        <w:spacing w:after="80"/>
        <w:ind w:left="360" w:hanging="360"/>
        <w:jc w:val="both"/>
        <w:rPr>
          <w:rFonts w:ascii="Arial" w:hAnsi="Arial" w:cs="Arial"/>
          <w:sz w:val="22"/>
          <w:szCs w:val="22"/>
        </w:rPr>
      </w:pPr>
      <w:r w:rsidRPr="004C341D">
        <w:rPr>
          <w:rFonts w:ascii="Arial" w:hAnsi="Arial" w:cs="Arial"/>
          <w:sz w:val="22"/>
          <w:szCs w:val="22"/>
        </w:rPr>
        <w:sym w:font="Wingdings" w:char="F072"/>
      </w:r>
      <w:r w:rsidRPr="004C341D">
        <w:rPr>
          <w:rFonts w:ascii="Arial" w:hAnsi="Arial" w:cs="Arial"/>
          <w:sz w:val="22"/>
          <w:szCs w:val="22"/>
        </w:rPr>
        <w:tab/>
      </w:r>
      <w:r w:rsidR="001E0523" w:rsidRPr="004C341D">
        <w:rPr>
          <w:b/>
        </w:rPr>
        <w:t>Minute to the PM&amp;C Tabling Office</w:t>
      </w:r>
      <w:r w:rsidR="00827B92" w:rsidRPr="004C341D">
        <w:rPr>
          <w:b/>
        </w:rPr>
        <w:t>r</w:t>
      </w:r>
    </w:p>
    <w:p w14:paraId="5D35A07F" w14:textId="77777777" w:rsidR="00251A6A" w:rsidRPr="004C341D" w:rsidRDefault="00827B92" w:rsidP="0002197D">
      <w:pPr>
        <w:pStyle w:val="Bullet"/>
        <w:jc w:val="both"/>
      </w:pPr>
      <w:r w:rsidRPr="004C341D">
        <w:t xml:space="preserve">departments </w:t>
      </w:r>
      <w:r w:rsidR="00EC5C1E" w:rsidRPr="004C341D">
        <w:rPr>
          <w:u w:val="single"/>
        </w:rPr>
        <w:t>must</w:t>
      </w:r>
      <w:r w:rsidR="00EC5C1E" w:rsidRPr="004C341D">
        <w:t xml:space="preserve"> </w:t>
      </w:r>
      <w:r w:rsidR="001244D5" w:rsidRPr="004C341D">
        <w:t>use the</w:t>
      </w:r>
      <w:r w:rsidR="00B55120" w:rsidRPr="004C341D">
        <w:t xml:space="preserve"> relevant</w:t>
      </w:r>
      <w:r w:rsidR="00251A6A" w:rsidRPr="004C341D">
        <w:t xml:space="preserve"> </w:t>
      </w:r>
      <w:hyperlink r:id="rId55" w:history="1">
        <w:r w:rsidR="00251A6A" w:rsidRPr="004C341D">
          <w:t xml:space="preserve">tabling </w:t>
        </w:r>
        <w:r w:rsidR="00264F57" w:rsidRPr="004C341D">
          <w:t xml:space="preserve">minute </w:t>
        </w:r>
        <w:r w:rsidR="00251A6A" w:rsidRPr="004C341D">
          <w:t>template</w:t>
        </w:r>
      </w:hyperlink>
      <w:r w:rsidR="00B55120" w:rsidRPr="004C341D">
        <w:t xml:space="preserve">, available under the list of ‘Appendixes’ on the </w:t>
      </w:r>
      <w:hyperlink r:id="rId56" w:history="1">
        <w:r w:rsidR="00B55120" w:rsidRPr="004C341D">
          <w:rPr>
            <w:rStyle w:val="Hyperlink"/>
          </w:rPr>
          <w:t>PM&amp;C Tabling Guidelines website</w:t>
        </w:r>
      </w:hyperlink>
      <w:r w:rsidR="00251A6A" w:rsidRPr="004C341D">
        <w:t xml:space="preserve"> </w:t>
      </w:r>
    </w:p>
    <w:p w14:paraId="6D5B1980" w14:textId="77777777" w:rsidR="00EB0C00" w:rsidRDefault="00EB0C00" w:rsidP="0002197D">
      <w:pPr>
        <w:tabs>
          <w:tab w:val="left" w:pos="360"/>
        </w:tabs>
        <w:spacing w:after="80"/>
        <w:ind w:left="360" w:hanging="360"/>
        <w:jc w:val="both"/>
        <w:rPr>
          <w:rFonts w:cstheme="minorHAnsi"/>
        </w:rPr>
      </w:pPr>
      <w:r w:rsidRPr="00E44EA0">
        <w:rPr>
          <w:rFonts w:ascii="Arial" w:hAnsi="Arial" w:cs="Arial"/>
          <w:sz w:val="22"/>
          <w:szCs w:val="22"/>
        </w:rPr>
        <w:sym w:font="Wingdings" w:char="F072"/>
      </w:r>
      <w:r w:rsidRPr="00E44EA0">
        <w:rPr>
          <w:rFonts w:ascii="Arial" w:hAnsi="Arial" w:cs="Arial"/>
          <w:sz w:val="22"/>
          <w:szCs w:val="22"/>
        </w:rPr>
        <w:tab/>
      </w:r>
      <w:r w:rsidRPr="00E44EA0">
        <w:rPr>
          <w:b/>
        </w:rPr>
        <w:t>Delivery day</w:t>
      </w:r>
      <w:r>
        <w:rPr>
          <w:b/>
        </w:rPr>
        <w:t xml:space="preserve"> – by </w:t>
      </w:r>
      <w:r w:rsidRPr="003A267D">
        <w:rPr>
          <w:b/>
          <w:u w:val="single"/>
        </w:rPr>
        <w:t xml:space="preserve">no later than </w:t>
      </w:r>
      <w:r w:rsidR="004A13AB">
        <w:rPr>
          <w:b/>
          <w:u w:val="single"/>
        </w:rPr>
        <w:t>noon</w:t>
      </w:r>
      <w:r w:rsidRPr="003A267D">
        <w:rPr>
          <w:b/>
          <w:u w:val="single"/>
        </w:rPr>
        <w:t xml:space="preserve"> </w:t>
      </w:r>
      <w:r w:rsidR="00E81264">
        <w:rPr>
          <w:b/>
          <w:u w:val="single"/>
        </w:rPr>
        <w:t>two</w:t>
      </w:r>
      <w:r w:rsidR="00E81264" w:rsidRPr="003A267D">
        <w:rPr>
          <w:b/>
          <w:u w:val="single"/>
        </w:rPr>
        <w:t xml:space="preserve"> </w:t>
      </w:r>
      <w:r w:rsidRPr="003A267D">
        <w:rPr>
          <w:b/>
          <w:u w:val="single"/>
        </w:rPr>
        <w:t>business day</w:t>
      </w:r>
      <w:r w:rsidR="00E81264">
        <w:rPr>
          <w:b/>
          <w:u w:val="single"/>
        </w:rPr>
        <w:t>s</w:t>
      </w:r>
      <w:r w:rsidRPr="003A267D">
        <w:rPr>
          <w:b/>
          <w:u w:val="single"/>
        </w:rPr>
        <w:t xml:space="preserve"> before the day proposed for tabling</w:t>
      </w:r>
    </w:p>
    <w:p w14:paraId="5AEE3CE2" w14:textId="77777777" w:rsidR="00EB0C00" w:rsidRPr="00082055" w:rsidRDefault="00EB0C00" w:rsidP="0002197D">
      <w:pPr>
        <w:pStyle w:val="Bullet"/>
        <w:jc w:val="both"/>
        <w:rPr>
          <w:rStyle w:val="Hyperlink"/>
          <w:rFonts w:cstheme="minorHAnsi"/>
        </w:rPr>
      </w:pPr>
      <w:r w:rsidRPr="00B90787">
        <w:rPr>
          <w:color w:val="auto"/>
        </w:rPr>
        <w:t>deliver bulk copies to the Parliament House Loading Dock via Brisbane Avenue</w:t>
      </w:r>
      <w:r w:rsidRPr="00B90787">
        <w:rPr>
          <w:rFonts w:cstheme="minorHAnsi"/>
          <w:color w:val="auto"/>
        </w:rPr>
        <w:t xml:space="preserve">, packaged using </w:t>
      </w:r>
      <w:r w:rsidRPr="00082055">
        <w:rPr>
          <w:rFonts w:cstheme="minorHAnsi"/>
        </w:rPr>
        <w:t xml:space="preserve">prescribed </w:t>
      </w:r>
      <w:hyperlink r:id="rId57" w:history="1">
        <w:r w:rsidRPr="00C46F47">
          <w:t>labels</w:t>
        </w:r>
      </w:hyperlink>
      <w:r w:rsidRPr="00C46F47">
        <w:t xml:space="preserve"> </w:t>
      </w:r>
      <w:r w:rsidR="00B55120">
        <w:t xml:space="preserve">available under the list of ‘Appendixes’ on the </w:t>
      </w:r>
      <w:hyperlink r:id="rId58" w:history="1">
        <w:r w:rsidR="00B55120" w:rsidRPr="00B55120">
          <w:rPr>
            <w:rStyle w:val="Hyperlink"/>
          </w:rPr>
          <w:t>PM&amp;C Tabling Guidelines website</w:t>
        </w:r>
      </w:hyperlink>
      <w:r w:rsidR="00B55120">
        <w:t xml:space="preserve"> </w:t>
      </w:r>
    </w:p>
    <w:p w14:paraId="00A28DD6" w14:textId="77777777" w:rsidR="002A63B3" w:rsidRPr="00E44EA0" w:rsidRDefault="002A63B3" w:rsidP="0002197D">
      <w:pPr>
        <w:pStyle w:val="Dash"/>
        <w:jc w:val="both"/>
      </w:pPr>
      <w:r w:rsidRPr="00E44EA0">
        <w:t xml:space="preserve">signed </w:t>
      </w:r>
      <w:r w:rsidR="000A6BD8">
        <w:t>letter of transmittal</w:t>
      </w:r>
      <w:r w:rsidRPr="00E44EA0">
        <w:t xml:space="preserve"> from the</w:t>
      </w:r>
      <w:r w:rsidR="00253967" w:rsidRPr="00E44EA0">
        <w:t xml:space="preserve"> M</w:t>
      </w:r>
      <w:r w:rsidRPr="00E44EA0">
        <w:t>inister</w:t>
      </w:r>
      <w:r w:rsidR="00575EC6" w:rsidRPr="00E44EA0">
        <w:t xml:space="preserve"> to the President of the Senate</w:t>
      </w:r>
      <w:r w:rsidR="00B90787">
        <w:t xml:space="preserve"> </w:t>
      </w:r>
    </w:p>
    <w:p w14:paraId="7727F526" w14:textId="77777777" w:rsidR="002A63B3" w:rsidRPr="00E44EA0" w:rsidRDefault="002A63B3" w:rsidP="0002197D">
      <w:pPr>
        <w:pStyle w:val="Dash"/>
        <w:jc w:val="both"/>
      </w:pPr>
      <w:r w:rsidRPr="00E44EA0">
        <w:t xml:space="preserve">Senate Table Office </w:t>
      </w:r>
    </w:p>
    <w:p w14:paraId="52F4ABAA" w14:textId="77777777" w:rsidR="002A63B3" w:rsidRPr="00E44EA0" w:rsidRDefault="002A63B3" w:rsidP="0002197D">
      <w:pPr>
        <w:pStyle w:val="Dash"/>
        <w:jc w:val="both"/>
      </w:pPr>
      <w:r w:rsidRPr="00E44EA0">
        <w:t xml:space="preserve">Senate Parliamentary Liaison Officer </w:t>
      </w:r>
    </w:p>
    <w:p w14:paraId="0F6A7DB1" w14:textId="77777777" w:rsidR="00FA651B" w:rsidRPr="00E44EA0" w:rsidRDefault="00FA651B" w:rsidP="0002197D">
      <w:pPr>
        <w:pStyle w:val="Dash"/>
        <w:jc w:val="both"/>
      </w:pPr>
      <w:r w:rsidRPr="00E44EA0">
        <w:t xml:space="preserve">House of Representatives Table Office </w:t>
      </w:r>
    </w:p>
    <w:p w14:paraId="0364961E" w14:textId="77777777" w:rsidR="002A63B3" w:rsidRPr="00E44EA0" w:rsidRDefault="002A63B3" w:rsidP="0002197D">
      <w:pPr>
        <w:pStyle w:val="Dash"/>
        <w:jc w:val="both"/>
      </w:pPr>
      <w:r w:rsidRPr="00E44EA0">
        <w:t>Parliamentary Press Gallery</w:t>
      </w:r>
      <w:r w:rsidR="00BA027E" w:rsidRPr="00E44EA0">
        <w:t xml:space="preserve"> </w:t>
      </w:r>
    </w:p>
    <w:p w14:paraId="44DFB3D2" w14:textId="77777777" w:rsidR="00B90787" w:rsidRDefault="002A63B3" w:rsidP="0002197D">
      <w:pPr>
        <w:pStyle w:val="Dash"/>
        <w:jc w:val="both"/>
      </w:pPr>
      <w:r w:rsidRPr="00E44EA0">
        <w:t>Parliamentary Libr</w:t>
      </w:r>
      <w:r w:rsidR="00B90787">
        <w:t>ary</w:t>
      </w:r>
    </w:p>
    <w:p w14:paraId="55025E99" w14:textId="77777777" w:rsidR="002A63B3" w:rsidRPr="00E44EA0" w:rsidRDefault="00B90787" w:rsidP="0002197D">
      <w:pPr>
        <w:pStyle w:val="Dash"/>
        <w:jc w:val="both"/>
      </w:pPr>
      <w:r>
        <w:t xml:space="preserve">PM&amp;C Tabling Office </w:t>
      </w:r>
    </w:p>
    <w:p w14:paraId="56F3EF38" w14:textId="77777777" w:rsidR="00C90E7C" w:rsidRPr="00E44EA0" w:rsidRDefault="00C90E7C" w:rsidP="0002197D">
      <w:pPr>
        <w:tabs>
          <w:tab w:val="left" w:pos="360"/>
        </w:tabs>
        <w:spacing w:after="80"/>
        <w:ind w:left="360" w:hanging="360"/>
        <w:jc w:val="both"/>
        <w:rPr>
          <w:szCs w:val="18"/>
        </w:rPr>
      </w:pPr>
      <w:r w:rsidRPr="00E44EA0">
        <w:rPr>
          <w:rFonts w:ascii="Arial" w:hAnsi="Arial" w:cs="Arial"/>
          <w:sz w:val="22"/>
          <w:szCs w:val="22"/>
        </w:rPr>
        <w:sym w:font="Wingdings" w:char="F072"/>
      </w:r>
      <w:r w:rsidRPr="00E44EA0">
        <w:rPr>
          <w:rFonts w:ascii="Arial" w:hAnsi="Arial" w:cs="Arial"/>
          <w:sz w:val="22"/>
          <w:szCs w:val="22"/>
        </w:rPr>
        <w:tab/>
      </w:r>
      <w:r w:rsidRPr="00E44EA0">
        <w:rPr>
          <w:b/>
          <w:szCs w:val="18"/>
        </w:rPr>
        <w:t xml:space="preserve">Provide a copy to the Chair of the relevant </w:t>
      </w:r>
      <w:r w:rsidR="007919A0" w:rsidRPr="00E44EA0">
        <w:rPr>
          <w:b/>
          <w:szCs w:val="18"/>
        </w:rPr>
        <w:t>c</w:t>
      </w:r>
      <w:r w:rsidRPr="00E44EA0">
        <w:rPr>
          <w:b/>
          <w:szCs w:val="18"/>
        </w:rPr>
        <w:t>ommittee</w:t>
      </w:r>
    </w:p>
    <w:p w14:paraId="672D16CD" w14:textId="77777777" w:rsidR="00C90E7C" w:rsidRPr="00E44EA0" w:rsidRDefault="00C90E7C" w:rsidP="0002197D">
      <w:pPr>
        <w:pStyle w:val="Bullet"/>
        <w:jc w:val="both"/>
      </w:pPr>
      <w:r w:rsidRPr="00E44EA0">
        <w:t>A</w:t>
      </w:r>
      <w:r w:rsidR="003F6299">
        <w:t>n embargoed</w:t>
      </w:r>
      <w:r w:rsidRPr="00E44EA0">
        <w:t xml:space="preserve"> courtesy copy is provided to the Chair of the relevant </w:t>
      </w:r>
      <w:r w:rsidR="007919A0" w:rsidRPr="00E44EA0">
        <w:t>c</w:t>
      </w:r>
      <w:r w:rsidRPr="00E44EA0">
        <w:t xml:space="preserve">ommittee </w:t>
      </w:r>
      <w:r w:rsidR="009924E3" w:rsidRPr="00E44EA0">
        <w:t>(</w:t>
      </w:r>
      <w:r w:rsidR="003F6299">
        <w:t xml:space="preserve">c/- </w:t>
      </w:r>
      <w:r w:rsidRPr="00E44EA0">
        <w:t>the</w:t>
      </w:r>
      <w:r w:rsidR="00B82B60" w:rsidRPr="00E44EA0">
        <w:t xml:space="preserve"> committee secretariat) by the M</w:t>
      </w:r>
      <w:r w:rsidRPr="00E44EA0">
        <w:t>inister</w:t>
      </w:r>
      <w:r w:rsidR="00B90787">
        <w:t xml:space="preserve"> </w:t>
      </w:r>
      <w:r w:rsidR="003F6299">
        <w:t>prior to</w:t>
      </w:r>
      <w:r w:rsidR="00B90787" w:rsidRPr="00E44EA0">
        <w:t xml:space="preserve"> tabling</w:t>
      </w:r>
    </w:p>
    <w:p w14:paraId="47D0A00C" w14:textId="77777777" w:rsidR="00C90E7C" w:rsidRPr="00E44EA0" w:rsidRDefault="00C90E7C" w:rsidP="0002197D">
      <w:pPr>
        <w:tabs>
          <w:tab w:val="left" w:pos="360"/>
        </w:tabs>
        <w:spacing w:after="80"/>
        <w:ind w:left="360" w:hanging="360"/>
        <w:jc w:val="both"/>
        <w:rPr>
          <w:szCs w:val="18"/>
        </w:rPr>
      </w:pPr>
      <w:r w:rsidRPr="00E44EA0">
        <w:rPr>
          <w:rFonts w:ascii="Arial" w:hAnsi="Arial" w:cs="Arial"/>
          <w:sz w:val="22"/>
          <w:szCs w:val="22"/>
        </w:rPr>
        <w:sym w:font="Wingdings" w:char="F072"/>
      </w:r>
      <w:r w:rsidRPr="00E44EA0">
        <w:rPr>
          <w:rFonts w:ascii="Arial" w:hAnsi="Arial" w:cs="Arial"/>
          <w:sz w:val="22"/>
          <w:szCs w:val="22"/>
        </w:rPr>
        <w:tab/>
      </w:r>
      <w:r w:rsidRPr="00E44EA0">
        <w:rPr>
          <w:b/>
          <w:szCs w:val="18"/>
        </w:rPr>
        <w:t>Provide a copy to Hansard</w:t>
      </w:r>
    </w:p>
    <w:p w14:paraId="2998C394" w14:textId="77777777" w:rsidR="00C90E7C" w:rsidRPr="00E44EA0" w:rsidRDefault="00C90E7C" w:rsidP="0002197D">
      <w:pPr>
        <w:pStyle w:val="Bullet"/>
        <w:jc w:val="both"/>
      </w:pPr>
      <w:r w:rsidRPr="00E44EA0">
        <w:t xml:space="preserve">A word version of the response is to be provided to </w:t>
      </w:r>
      <w:hyperlink r:id="rId59" w:history="1">
        <w:r w:rsidRPr="00E44EA0">
          <w:rPr>
            <w:rStyle w:val="Hyperlink"/>
          </w:rPr>
          <w:t>Hansard.esg@aph.gov.au</w:t>
        </w:r>
      </w:hyperlink>
    </w:p>
    <w:p w14:paraId="6493C8B9" w14:textId="77777777" w:rsidR="002A63B3" w:rsidRPr="00E44EA0" w:rsidRDefault="002A63B3" w:rsidP="0002197D">
      <w:pPr>
        <w:tabs>
          <w:tab w:val="left" w:pos="360"/>
        </w:tabs>
        <w:spacing w:after="80"/>
        <w:ind w:left="360" w:hanging="360"/>
        <w:jc w:val="both"/>
        <w:rPr>
          <w:rFonts w:cs="Arial"/>
          <w:b/>
          <w:szCs w:val="18"/>
        </w:rPr>
      </w:pPr>
      <w:r w:rsidRPr="00E44EA0">
        <w:rPr>
          <w:rFonts w:ascii="Arial" w:hAnsi="Arial" w:cs="Arial"/>
          <w:sz w:val="22"/>
          <w:szCs w:val="22"/>
        </w:rPr>
        <w:sym w:font="Wingdings" w:char="F072"/>
      </w:r>
      <w:r w:rsidRPr="00E44EA0">
        <w:rPr>
          <w:rFonts w:ascii="Arial" w:hAnsi="Arial" w:cs="Arial"/>
          <w:b/>
          <w:sz w:val="22"/>
          <w:szCs w:val="22"/>
        </w:rPr>
        <w:tab/>
      </w:r>
      <w:r w:rsidRPr="00E44EA0">
        <w:rPr>
          <w:rFonts w:cs="Arial"/>
          <w:b/>
          <w:szCs w:val="18"/>
        </w:rPr>
        <w:t>Action post-presentation</w:t>
      </w:r>
    </w:p>
    <w:p w14:paraId="148857BF" w14:textId="77777777" w:rsidR="002A63B3" w:rsidRPr="00E44EA0" w:rsidRDefault="002A63B3" w:rsidP="0002197D">
      <w:pPr>
        <w:pStyle w:val="Bullet"/>
        <w:jc w:val="both"/>
      </w:pPr>
      <w:r w:rsidRPr="00E44EA0">
        <w:t xml:space="preserve">immediately upload the </w:t>
      </w:r>
      <w:r w:rsidR="003F6299">
        <w:t>Government response</w:t>
      </w:r>
      <w:r w:rsidR="003F6299" w:rsidRPr="00E44EA0">
        <w:t xml:space="preserve"> </w:t>
      </w:r>
      <w:r w:rsidRPr="00E44EA0">
        <w:t xml:space="preserve">to </w:t>
      </w:r>
      <w:r w:rsidR="003F6299">
        <w:t xml:space="preserve">the </w:t>
      </w:r>
      <w:r w:rsidR="00C5432B" w:rsidRPr="00E44EA0">
        <w:t>department</w:t>
      </w:r>
      <w:r w:rsidR="003F6299">
        <w:t>’s</w:t>
      </w:r>
      <w:r w:rsidR="00C5432B" w:rsidRPr="00E44EA0">
        <w:t xml:space="preserve"> </w:t>
      </w:r>
      <w:r w:rsidRPr="00E44EA0">
        <w:t>website</w:t>
      </w:r>
      <w:r w:rsidR="00A31A92">
        <w:t xml:space="preserve"> </w:t>
      </w:r>
    </w:p>
    <w:p w14:paraId="4D9AFB80" w14:textId="77777777" w:rsidR="00E837CE" w:rsidRPr="00E44EA0" w:rsidRDefault="00B90787">
      <w:pPr>
        <w:pStyle w:val="Heading1"/>
        <w:ind w:left="4320" w:hanging="4320"/>
        <w:rPr>
          <w:sz w:val="24"/>
        </w:rPr>
      </w:pPr>
      <w:bookmarkStart w:id="11" w:name="_copy_requirements_-_1"/>
      <w:bookmarkEnd w:id="11"/>
      <w:r w:rsidRPr="00B90787">
        <w:rPr>
          <w:sz w:val="24"/>
        </w:rPr>
        <w:br w:type="page"/>
      </w:r>
      <w:r w:rsidR="003B1902">
        <w:rPr>
          <w:sz w:val="24"/>
        </w:rPr>
        <w:lastRenderedPageBreak/>
        <w:t>Copy Requirements</w:t>
      </w:r>
      <w:r w:rsidR="006A3140" w:rsidRPr="00E44EA0">
        <w:rPr>
          <w:sz w:val="24"/>
        </w:rPr>
        <w:t xml:space="preserve"> </w:t>
      </w:r>
      <w:r w:rsidR="003B1902">
        <w:rPr>
          <w:sz w:val="24"/>
        </w:rPr>
        <w:t>– Gover</w:t>
      </w:r>
      <w:r w:rsidR="003F6299">
        <w:rPr>
          <w:sz w:val="24"/>
        </w:rPr>
        <w:t>NM</w:t>
      </w:r>
      <w:r w:rsidR="003B1902">
        <w:rPr>
          <w:sz w:val="24"/>
        </w:rPr>
        <w:t xml:space="preserve">ent Response to Committee </w:t>
      </w:r>
      <w:r w:rsidR="00BF697A">
        <w:rPr>
          <w:sz w:val="24"/>
        </w:rPr>
        <w:t>Report</w:t>
      </w:r>
    </w:p>
    <w:p w14:paraId="4DAF316B" w14:textId="77777777" w:rsidR="00DD617C" w:rsidRDefault="00DD617C" w:rsidP="00DD617C">
      <w:pPr>
        <w:pStyle w:val="Heading2"/>
        <w:rPr>
          <w:rFonts w:ascii="Montserrat Light" w:hAnsi="Montserrat Light"/>
          <w:b/>
          <w:color w:val="auto"/>
          <w:sz w:val="22"/>
          <w:szCs w:val="18"/>
        </w:rPr>
      </w:pPr>
      <w:r w:rsidRPr="00A206B2">
        <w:rPr>
          <w:rFonts w:ascii="Montserrat Light" w:hAnsi="Montserrat Light"/>
          <w:b/>
          <w:color w:val="auto"/>
          <w:sz w:val="22"/>
          <w:szCs w:val="18"/>
        </w:rPr>
        <w:t>Parliament is Sitting</w:t>
      </w:r>
    </w:p>
    <w:p w14:paraId="5507C07E" w14:textId="77777777" w:rsidR="00DD617C" w:rsidRDefault="00DD617C" w:rsidP="00DD617C">
      <w:r>
        <w:t>When parliament is sitting, please contact the PM&amp;C Tabling Officer on (02) 6277 7</w:t>
      </w:r>
      <w:r w:rsidR="00A84A21">
        <w:t>212</w:t>
      </w:r>
      <w:r w:rsidR="003F6299">
        <w:t xml:space="preserve"> or </w:t>
      </w:r>
      <w:hyperlink r:id="rId60" w:history="1">
        <w:r w:rsidR="003F6299" w:rsidRPr="00F56CDB">
          <w:rPr>
            <w:rStyle w:val="Hyperlink"/>
          </w:rPr>
          <w:t>tabling@pmc.gov.au</w:t>
        </w:r>
      </w:hyperlink>
      <w:r w:rsidR="003F6299">
        <w:t xml:space="preserve"> </w:t>
      </w:r>
    </w:p>
    <w:p w14:paraId="25708DD2" w14:textId="77777777" w:rsidR="00DD617C" w:rsidRDefault="00DD617C" w:rsidP="00DD617C">
      <w:r>
        <w:t>The following number of documents are required to be delivered to the Loading Dock by 12.00pm the day before tabling:</w:t>
      </w:r>
    </w:p>
    <w:p w14:paraId="69FD8847" w14:textId="77777777" w:rsidR="002E378E" w:rsidRPr="002E378E" w:rsidRDefault="002E378E" w:rsidP="002E378E">
      <w:pPr>
        <w:pStyle w:val="Heading3"/>
        <w:rPr>
          <w:b/>
          <w:color w:val="auto"/>
          <w:sz w:val="20"/>
        </w:rPr>
      </w:pPr>
      <w:r w:rsidRPr="002E378E">
        <w:rPr>
          <w:b/>
          <w:color w:val="auto"/>
          <w:sz w:val="20"/>
        </w:rPr>
        <w:t>Senate Committee Report</w:t>
      </w:r>
    </w:p>
    <w:p w14:paraId="3E620793" w14:textId="77777777" w:rsidR="00F353D4" w:rsidRDefault="00F353D4" w:rsidP="00F353D4">
      <w:pPr>
        <w:ind w:firstLine="720"/>
        <w:rPr>
          <w:rStyle w:val="Hyperlink"/>
          <w:b/>
          <w:szCs w:val="18"/>
        </w:rPr>
      </w:pPr>
      <w:r w:rsidRPr="00C309CA">
        <w:rPr>
          <w:b/>
        </w:rPr>
        <w:t>PM&amp;C Tabling Office:</w:t>
      </w:r>
      <w:r>
        <w:t xml:space="preserve"> 3 accompanied by </w:t>
      </w:r>
      <w:r w:rsidR="0062528B">
        <w:t>a Covering Minute</w:t>
      </w:r>
    </w:p>
    <w:p w14:paraId="51C96EF0" w14:textId="77777777" w:rsidR="002E378E" w:rsidRDefault="00F353D4" w:rsidP="00F353D4">
      <w:pPr>
        <w:ind w:firstLine="720"/>
      </w:pPr>
      <w:r>
        <w:rPr>
          <w:b/>
        </w:rPr>
        <w:t xml:space="preserve">Senate Table Office: </w:t>
      </w:r>
      <w:r w:rsidR="002E378E">
        <w:t>1</w:t>
      </w:r>
      <w:r w:rsidR="002543E3">
        <w:t>0</w:t>
      </w:r>
      <w:r w:rsidR="003F6299">
        <w:t xml:space="preserve"> </w:t>
      </w:r>
    </w:p>
    <w:p w14:paraId="37B1D38A" w14:textId="77777777" w:rsidR="002E378E" w:rsidRPr="004C0F47" w:rsidRDefault="002E378E" w:rsidP="00F353D4">
      <w:pPr>
        <w:ind w:firstLine="720"/>
      </w:pPr>
      <w:r w:rsidRPr="004C0F47">
        <w:rPr>
          <w:b/>
        </w:rPr>
        <w:t xml:space="preserve">Senate Clerk Assistant (Table): </w:t>
      </w:r>
      <w:r w:rsidRPr="004C0F47">
        <w:t>2</w:t>
      </w:r>
    </w:p>
    <w:p w14:paraId="3C0D339E" w14:textId="77777777" w:rsidR="00F353D4" w:rsidRDefault="00F353D4" w:rsidP="00F353D4">
      <w:pPr>
        <w:ind w:firstLine="720"/>
      </w:pPr>
      <w:r>
        <w:rPr>
          <w:b/>
        </w:rPr>
        <w:t xml:space="preserve">Parliamentary Press Gallery: </w:t>
      </w:r>
      <w:r w:rsidR="004A13AB">
        <w:t>1</w:t>
      </w:r>
      <w:r>
        <w:t>0</w:t>
      </w:r>
    </w:p>
    <w:p w14:paraId="6182101C" w14:textId="77777777" w:rsidR="00F353D4" w:rsidRDefault="00F353D4" w:rsidP="00F353D4">
      <w:pPr>
        <w:ind w:firstLine="720"/>
      </w:pPr>
      <w:r>
        <w:rPr>
          <w:b/>
        </w:rPr>
        <w:t xml:space="preserve">Parliamentary Library: </w:t>
      </w:r>
      <w:r w:rsidR="004A13AB">
        <w:t>3</w:t>
      </w:r>
    </w:p>
    <w:p w14:paraId="55B0E899" w14:textId="77777777" w:rsidR="002E378E" w:rsidRPr="002E378E" w:rsidRDefault="002E378E" w:rsidP="002E378E">
      <w:pPr>
        <w:ind w:firstLine="720"/>
      </w:pPr>
      <w:r>
        <w:rPr>
          <w:b/>
        </w:rPr>
        <w:t xml:space="preserve">Hansard: </w:t>
      </w:r>
      <w:r>
        <w:t xml:space="preserve">1 </w:t>
      </w:r>
      <w:r w:rsidR="003F6299">
        <w:t xml:space="preserve">word </w:t>
      </w:r>
      <w:r>
        <w:t xml:space="preserve">copy emailed to </w:t>
      </w:r>
      <w:hyperlink r:id="rId61" w:history="1">
        <w:r w:rsidRPr="00B302D5">
          <w:rPr>
            <w:rStyle w:val="Hyperlink"/>
          </w:rPr>
          <w:t>Hansard.esg@aph.gov.au</w:t>
        </w:r>
      </w:hyperlink>
      <w:r>
        <w:t xml:space="preserve"> </w:t>
      </w:r>
    </w:p>
    <w:p w14:paraId="7ED81B08" w14:textId="77777777" w:rsidR="00F353D4" w:rsidRDefault="00F353D4" w:rsidP="00F353D4">
      <w:pPr>
        <w:ind w:firstLine="720"/>
        <w:rPr>
          <w:b/>
        </w:rPr>
      </w:pPr>
      <w:r w:rsidRPr="004C0F47">
        <w:rPr>
          <w:b/>
        </w:rPr>
        <w:t xml:space="preserve">TOTAL: </w:t>
      </w:r>
      <w:r w:rsidR="00BF697A">
        <w:rPr>
          <w:b/>
        </w:rPr>
        <w:t>28</w:t>
      </w:r>
    </w:p>
    <w:p w14:paraId="4391FFDC" w14:textId="77777777" w:rsidR="002E378E" w:rsidRPr="002E378E" w:rsidRDefault="002E378E" w:rsidP="002E378E">
      <w:pPr>
        <w:pStyle w:val="Heading3"/>
        <w:rPr>
          <w:b/>
          <w:color w:val="auto"/>
          <w:sz w:val="20"/>
        </w:rPr>
      </w:pPr>
      <w:r>
        <w:rPr>
          <w:b/>
          <w:color w:val="auto"/>
          <w:sz w:val="20"/>
        </w:rPr>
        <w:t>Joint</w:t>
      </w:r>
      <w:r w:rsidRPr="002E378E">
        <w:rPr>
          <w:b/>
          <w:color w:val="auto"/>
          <w:sz w:val="20"/>
        </w:rPr>
        <w:t xml:space="preserve"> Committee Report</w:t>
      </w:r>
    </w:p>
    <w:p w14:paraId="531181CC" w14:textId="77777777" w:rsidR="002E378E" w:rsidRDefault="002E378E" w:rsidP="002E378E">
      <w:pPr>
        <w:ind w:firstLine="720"/>
        <w:rPr>
          <w:rStyle w:val="Hyperlink"/>
          <w:b/>
          <w:szCs w:val="18"/>
        </w:rPr>
      </w:pPr>
      <w:r w:rsidRPr="00C309CA">
        <w:rPr>
          <w:b/>
        </w:rPr>
        <w:t>PM&amp;C Tabling Office:</w:t>
      </w:r>
      <w:r>
        <w:t xml:space="preserve"> 3 accompanied by </w:t>
      </w:r>
      <w:r w:rsidR="0062528B">
        <w:t>a Covering Minute</w:t>
      </w:r>
    </w:p>
    <w:p w14:paraId="61AD5802" w14:textId="77777777" w:rsidR="002E378E" w:rsidRDefault="002E378E">
      <w:pPr>
        <w:ind w:firstLine="720"/>
      </w:pPr>
      <w:r>
        <w:rPr>
          <w:b/>
        </w:rPr>
        <w:t xml:space="preserve">Senate Table Office: </w:t>
      </w:r>
      <w:r>
        <w:t>1</w:t>
      </w:r>
      <w:r w:rsidR="007B0015">
        <w:t>0</w:t>
      </w:r>
    </w:p>
    <w:p w14:paraId="521629F4" w14:textId="77777777" w:rsidR="002E378E" w:rsidRDefault="002E378E" w:rsidP="002E378E">
      <w:pPr>
        <w:ind w:firstLine="720"/>
      </w:pPr>
      <w:r>
        <w:rPr>
          <w:b/>
        </w:rPr>
        <w:t xml:space="preserve">Senate Clerk Assistant (Table): </w:t>
      </w:r>
      <w:r>
        <w:t>2</w:t>
      </w:r>
    </w:p>
    <w:p w14:paraId="37545EB1" w14:textId="77777777" w:rsidR="002E378E" w:rsidRPr="002E378E" w:rsidRDefault="002E378E" w:rsidP="00C46F47">
      <w:pPr>
        <w:ind w:left="720"/>
      </w:pPr>
      <w:r>
        <w:rPr>
          <w:b/>
        </w:rPr>
        <w:t xml:space="preserve">House of Representatives Table Office: </w:t>
      </w:r>
      <w:r w:rsidR="005D53A2">
        <w:t xml:space="preserve">5 </w:t>
      </w:r>
    </w:p>
    <w:p w14:paraId="3AC1791A" w14:textId="77777777" w:rsidR="002E378E" w:rsidRDefault="002E378E" w:rsidP="002E378E">
      <w:pPr>
        <w:ind w:firstLine="720"/>
      </w:pPr>
      <w:r>
        <w:rPr>
          <w:b/>
        </w:rPr>
        <w:t xml:space="preserve">Parliamentary Press Gallery: </w:t>
      </w:r>
      <w:r w:rsidR="004A13AB">
        <w:t>1</w:t>
      </w:r>
      <w:r>
        <w:t>0</w:t>
      </w:r>
    </w:p>
    <w:p w14:paraId="2B4FBB41" w14:textId="77777777" w:rsidR="002E378E" w:rsidRDefault="002E378E" w:rsidP="002E378E">
      <w:pPr>
        <w:ind w:firstLine="720"/>
      </w:pPr>
      <w:r>
        <w:rPr>
          <w:b/>
        </w:rPr>
        <w:t xml:space="preserve">Parliamentary Library: </w:t>
      </w:r>
      <w:r w:rsidR="004A13AB">
        <w:t>3</w:t>
      </w:r>
    </w:p>
    <w:p w14:paraId="2CCF7A2A" w14:textId="77777777" w:rsidR="002E378E" w:rsidRPr="002E378E" w:rsidRDefault="002E378E" w:rsidP="002E378E">
      <w:pPr>
        <w:ind w:firstLine="720"/>
      </w:pPr>
      <w:r>
        <w:rPr>
          <w:b/>
        </w:rPr>
        <w:t xml:space="preserve">Hansard: </w:t>
      </w:r>
      <w:r>
        <w:t xml:space="preserve">1 </w:t>
      </w:r>
      <w:r w:rsidR="003F6299">
        <w:t xml:space="preserve">word </w:t>
      </w:r>
      <w:r>
        <w:t xml:space="preserve">copy emailed to </w:t>
      </w:r>
      <w:hyperlink r:id="rId62" w:history="1">
        <w:r w:rsidRPr="00B302D5">
          <w:rPr>
            <w:rStyle w:val="Hyperlink"/>
          </w:rPr>
          <w:t>Hansard.esg@aph.gov.au</w:t>
        </w:r>
      </w:hyperlink>
      <w:r>
        <w:t xml:space="preserve"> </w:t>
      </w:r>
    </w:p>
    <w:p w14:paraId="2E8E7706" w14:textId="77777777" w:rsidR="002E378E" w:rsidRDefault="002E378E" w:rsidP="002E378E">
      <w:pPr>
        <w:ind w:firstLine="720"/>
        <w:rPr>
          <w:b/>
        </w:rPr>
      </w:pPr>
      <w:r w:rsidRPr="00C309CA">
        <w:rPr>
          <w:b/>
        </w:rPr>
        <w:t xml:space="preserve">TOTAL: </w:t>
      </w:r>
      <w:r w:rsidR="005D53A2">
        <w:rPr>
          <w:b/>
        </w:rPr>
        <w:t>33</w:t>
      </w:r>
    </w:p>
    <w:p w14:paraId="2A78EBE3" w14:textId="77777777" w:rsidR="002E378E" w:rsidRPr="002E378E" w:rsidRDefault="002E378E" w:rsidP="002E378E">
      <w:pPr>
        <w:pStyle w:val="Heading3"/>
        <w:rPr>
          <w:b/>
          <w:color w:val="auto"/>
          <w:sz w:val="20"/>
        </w:rPr>
      </w:pPr>
      <w:r>
        <w:rPr>
          <w:b/>
          <w:color w:val="auto"/>
          <w:sz w:val="20"/>
        </w:rPr>
        <w:t>House of Representatives</w:t>
      </w:r>
      <w:r w:rsidRPr="002E378E">
        <w:rPr>
          <w:b/>
          <w:color w:val="auto"/>
          <w:sz w:val="20"/>
        </w:rPr>
        <w:t xml:space="preserve"> Committee Report</w:t>
      </w:r>
    </w:p>
    <w:p w14:paraId="7BFE1A9C" w14:textId="77777777" w:rsidR="002E378E" w:rsidRDefault="002E378E" w:rsidP="002E378E">
      <w:pPr>
        <w:ind w:firstLine="720"/>
        <w:rPr>
          <w:rStyle w:val="Hyperlink"/>
          <w:b/>
          <w:szCs w:val="18"/>
        </w:rPr>
      </w:pPr>
      <w:r w:rsidRPr="00C309CA">
        <w:rPr>
          <w:b/>
        </w:rPr>
        <w:t>PM&amp;C Tabling Office:</w:t>
      </w:r>
      <w:r>
        <w:t xml:space="preserve"> 3 accompanied by </w:t>
      </w:r>
      <w:r w:rsidR="0062528B">
        <w:t>a Covering Minute</w:t>
      </w:r>
    </w:p>
    <w:p w14:paraId="5E4FC6E2" w14:textId="77777777" w:rsidR="002E378E" w:rsidRPr="002E378E" w:rsidRDefault="002E378E" w:rsidP="00C46F47">
      <w:pPr>
        <w:ind w:left="720"/>
      </w:pPr>
      <w:r w:rsidRPr="004C0F47">
        <w:rPr>
          <w:b/>
        </w:rPr>
        <w:t xml:space="preserve">House of Representatives Table Office: </w:t>
      </w:r>
      <w:r w:rsidR="005D53A2">
        <w:t>5</w:t>
      </w:r>
      <w:r w:rsidR="005D53A2" w:rsidRPr="00120926">
        <w:t xml:space="preserve"> </w:t>
      </w:r>
    </w:p>
    <w:p w14:paraId="358DC1D1" w14:textId="77777777" w:rsidR="002E378E" w:rsidRDefault="002E378E" w:rsidP="002E378E">
      <w:pPr>
        <w:ind w:firstLine="720"/>
      </w:pPr>
      <w:r>
        <w:rPr>
          <w:b/>
        </w:rPr>
        <w:t xml:space="preserve">Parliamentary Press Gallery: </w:t>
      </w:r>
      <w:r w:rsidR="004A13AB">
        <w:t>1</w:t>
      </w:r>
      <w:r>
        <w:t>0</w:t>
      </w:r>
    </w:p>
    <w:p w14:paraId="1A51301E" w14:textId="77777777" w:rsidR="002E378E" w:rsidRDefault="002E378E" w:rsidP="002E378E">
      <w:pPr>
        <w:ind w:firstLine="720"/>
      </w:pPr>
      <w:r>
        <w:rPr>
          <w:b/>
        </w:rPr>
        <w:t xml:space="preserve">Parliamentary Library: </w:t>
      </w:r>
      <w:r w:rsidR="004A13AB">
        <w:t>3</w:t>
      </w:r>
    </w:p>
    <w:p w14:paraId="37AFA36D" w14:textId="77777777" w:rsidR="002E378E" w:rsidRPr="002E378E" w:rsidRDefault="002E378E" w:rsidP="002E378E">
      <w:pPr>
        <w:ind w:firstLine="720"/>
      </w:pPr>
      <w:r>
        <w:rPr>
          <w:b/>
        </w:rPr>
        <w:t xml:space="preserve">Hansard: </w:t>
      </w:r>
      <w:r>
        <w:t xml:space="preserve">1 </w:t>
      </w:r>
      <w:r w:rsidR="003F6299">
        <w:t xml:space="preserve">word </w:t>
      </w:r>
      <w:r>
        <w:t xml:space="preserve">copy emailed to </w:t>
      </w:r>
      <w:hyperlink r:id="rId63" w:history="1">
        <w:r w:rsidRPr="00B302D5">
          <w:rPr>
            <w:rStyle w:val="Hyperlink"/>
          </w:rPr>
          <w:t>Hansard.esg@aph.gov.au</w:t>
        </w:r>
      </w:hyperlink>
      <w:r>
        <w:t xml:space="preserve"> </w:t>
      </w:r>
    </w:p>
    <w:p w14:paraId="681D4CBC" w14:textId="77777777" w:rsidR="002E378E" w:rsidRPr="002E378E" w:rsidRDefault="002E378E" w:rsidP="002E378E">
      <w:pPr>
        <w:ind w:firstLine="720"/>
      </w:pPr>
      <w:r>
        <w:rPr>
          <w:b/>
        </w:rPr>
        <w:t xml:space="preserve">TOTAL: </w:t>
      </w:r>
      <w:r w:rsidR="005D53A2">
        <w:rPr>
          <w:b/>
        </w:rPr>
        <w:t>21</w:t>
      </w:r>
    </w:p>
    <w:p w14:paraId="4715B4B8" w14:textId="77777777" w:rsidR="00C37ACD" w:rsidRDefault="00C37ACD">
      <w:pPr>
        <w:autoSpaceDE/>
        <w:autoSpaceDN/>
        <w:spacing w:after="0" w:line="240" w:lineRule="auto"/>
        <w:rPr>
          <w:rFonts w:eastAsiaTheme="majorEastAsia" w:cstheme="majorBidi"/>
          <w:b/>
          <w:color w:val="auto"/>
          <w:sz w:val="22"/>
          <w:szCs w:val="18"/>
        </w:rPr>
      </w:pPr>
      <w:r>
        <w:rPr>
          <w:b/>
          <w:color w:val="auto"/>
          <w:sz w:val="22"/>
          <w:szCs w:val="18"/>
        </w:rPr>
        <w:br w:type="page"/>
      </w:r>
    </w:p>
    <w:p w14:paraId="26C2CA51" w14:textId="77777777" w:rsidR="00F353D4" w:rsidRDefault="00F353D4" w:rsidP="00F353D4">
      <w:pPr>
        <w:pStyle w:val="Heading2"/>
        <w:rPr>
          <w:rFonts w:ascii="Montserrat Light" w:hAnsi="Montserrat Light"/>
          <w:b/>
          <w:color w:val="auto"/>
          <w:sz w:val="22"/>
          <w:szCs w:val="18"/>
        </w:rPr>
      </w:pPr>
      <w:r>
        <w:rPr>
          <w:rFonts w:ascii="Montserrat Light" w:hAnsi="Montserrat Light"/>
          <w:b/>
          <w:color w:val="auto"/>
          <w:sz w:val="22"/>
          <w:szCs w:val="18"/>
        </w:rPr>
        <w:lastRenderedPageBreak/>
        <w:t xml:space="preserve">Out of </w:t>
      </w:r>
      <w:r w:rsidRPr="00A206B2">
        <w:rPr>
          <w:rFonts w:ascii="Montserrat Light" w:hAnsi="Montserrat Light"/>
          <w:b/>
          <w:color w:val="auto"/>
          <w:sz w:val="22"/>
          <w:szCs w:val="18"/>
        </w:rPr>
        <w:t>Sitting</w:t>
      </w:r>
    </w:p>
    <w:p w14:paraId="19D8463E" w14:textId="77777777" w:rsidR="00F353D4" w:rsidRDefault="00F353D4" w:rsidP="00F353D4">
      <w:r>
        <w:t xml:space="preserve">When Parliament is not sitting, please contact </w:t>
      </w:r>
      <w:hyperlink r:id="rId64" w:history="1">
        <w:r w:rsidR="00C37ACD" w:rsidRPr="000F538A">
          <w:rPr>
            <w:rStyle w:val="Hyperlink"/>
          </w:rPr>
          <w:t>tabling@pmc.gov.au</w:t>
        </w:r>
      </w:hyperlink>
      <w:r w:rsidR="00C37ACD">
        <w:t xml:space="preserve"> or 6277 7212</w:t>
      </w:r>
      <w:r w:rsidR="00A84A21">
        <w:t xml:space="preserve"> </w:t>
      </w:r>
    </w:p>
    <w:p w14:paraId="190B7093" w14:textId="77777777" w:rsidR="00F353D4" w:rsidRDefault="00F353D4" w:rsidP="00F353D4">
      <w:r>
        <w:t xml:space="preserve">The following number of documents are required to be delivered to the Loading Dock by 12.00pm </w:t>
      </w:r>
      <w:r w:rsidR="002E3088">
        <w:t>two</w:t>
      </w:r>
      <w:r>
        <w:t xml:space="preserve"> day</w:t>
      </w:r>
      <w:r w:rsidR="002E3088">
        <w:t>s</w:t>
      </w:r>
      <w:r>
        <w:t xml:space="preserve"> before tabling:</w:t>
      </w:r>
    </w:p>
    <w:p w14:paraId="66EA65C8" w14:textId="77777777" w:rsidR="002E378E" w:rsidRPr="002E378E" w:rsidRDefault="002E378E" w:rsidP="002E378E">
      <w:pPr>
        <w:pStyle w:val="Heading3"/>
        <w:rPr>
          <w:b/>
          <w:color w:val="auto"/>
          <w:sz w:val="20"/>
        </w:rPr>
      </w:pPr>
      <w:r w:rsidRPr="002E378E">
        <w:rPr>
          <w:b/>
          <w:color w:val="auto"/>
          <w:sz w:val="20"/>
        </w:rPr>
        <w:t>Senate Committee Report</w:t>
      </w:r>
    </w:p>
    <w:p w14:paraId="494F9434" w14:textId="77777777" w:rsidR="007B0015" w:rsidRDefault="007B0015" w:rsidP="007B0015">
      <w:pPr>
        <w:ind w:firstLine="720"/>
        <w:rPr>
          <w:rStyle w:val="Hyperlink"/>
          <w:b/>
          <w:szCs w:val="18"/>
        </w:rPr>
      </w:pPr>
      <w:r w:rsidRPr="00C309CA">
        <w:rPr>
          <w:b/>
        </w:rPr>
        <w:t>PM&amp;C Tabling Office:</w:t>
      </w:r>
      <w:r>
        <w:t xml:space="preserve"> 3 accompanied by </w:t>
      </w:r>
      <w:r w:rsidR="0062528B">
        <w:t>a Covering Minute</w:t>
      </w:r>
    </w:p>
    <w:p w14:paraId="0CF573F9" w14:textId="77777777" w:rsidR="007B0015" w:rsidRPr="007B0015" w:rsidRDefault="007B0015" w:rsidP="007B0015">
      <w:pPr>
        <w:ind w:firstLine="720"/>
      </w:pPr>
      <w:r>
        <w:rPr>
          <w:b/>
        </w:rPr>
        <w:t xml:space="preserve">President of the Senate: </w:t>
      </w:r>
      <w:r>
        <w:t xml:space="preserve">1 </w:t>
      </w:r>
    </w:p>
    <w:p w14:paraId="3F6ECC35" w14:textId="77777777" w:rsidR="007B0015" w:rsidRDefault="007B0015" w:rsidP="007B0015">
      <w:pPr>
        <w:ind w:firstLine="720"/>
      </w:pPr>
      <w:r>
        <w:rPr>
          <w:b/>
        </w:rPr>
        <w:t xml:space="preserve">Senate Table Office: </w:t>
      </w:r>
      <w:r>
        <w:t>1</w:t>
      </w:r>
      <w:r w:rsidR="003F6299">
        <w:t xml:space="preserve">0 </w:t>
      </w:r>
      <w:r>
        <w:t xml:space="preserve"> </w:t>
      </w:r>
    </w:p>
    <w:p w14:paraId="189CE24D" w14:textId="77777777" w:rsidR="007B0015" w:rsidRDefault="007B0015" w:rsidP="007B0015">
      <w:pPr>
        <w:ind w:firstLine="720"/>
      </w:pPr>
      <w:r>
        <w:rPr>
          <w:b/>
        </w:rPr>
        <w:t xml:space="preserve">Parliamentary Press Gallery: </w:t>
      </w:r>
      <w:r w:rsidR="00983D8C">
        <w:t>1</w:t>
      </w:r>
      <w:r>
        <w:t>0</w:t>
      </w:r>
    </w:p>
    <w:p w14:paraId="55A25DAB" w14:textId="77777777" w:rsidR="007B0015" w:rsidRDefault="007B0015" w:rsidP="007B0015">
      <w:pPr>
        <w:ind w:firstLine="720"/>
      </w:pPr>
      <w:r>
        <w:rPr>
          <w:b/>
        </w:rPr>
        <w:t xml:space="preserve">Parliamentary Library: </w:t>
      </w:r>
      <w:r w:rsidR="00983D8C">
        <w:t>3</w:t>
      </w:r>
    </w:p>
    <w:p w14:paraId="50F03DB7" w14:textId="77777777" w:rsidR="007B0015" w:rsidRPr="002E378E" w:rsidRDefault="007B0015" w:rsidP="007B0015">
      <w:pPr>
        <w:ind w:firstLine="720"/>
      </w:pPr>
      <w:r>
        <w:rPr>
          <w:b/>
        </w:rPr>
        <w:t xml:space="preserve">Hansard: </w:t>
      </w:r>
      <w:r>
        <w:t xml:space="preserve">1 </w:t>
      </w:r>
      <w:r w:rsidR="003F6299">
        <w:t xml:space="preserve">word </w:t>
      </w:r>
      <w:r>
        <w:t xml:space="preserve">copy emailed to </w:t>
      </w:r>
      <w:hyperlink r:id="rId65" w:history="1">
        <w:r w:rsidRPr="00B302D5">
          <w:rPr>
            <w:rStyle w:val="Hyperlink"/>
          </w:rPr>
          <w:t>Hansard.esg@aph.gov.au</w:t>
        </w:r>
      </w:hyperlink>
      <w:r>
        <w:t xml:space="preserve"> </w:t>
      </w:r>
    </w:p>
    <w:p w14:paraId="2B7C7218" w14:textId="77777777" w:rsidR="007B0015" w:rsidRDefault="007B0015" w:rsidP="007B0015">
      <w:pPr>
        <w:ind w:firstLine="720"/>
        <w:rPr>
          <w:b/>
        </w:rPr>
      </w:pPr>
      <w:r w:rsidRPr="00120926">
        <w:rPr>
          <w:b/>
        </w:rPr>
        <w:t xml:space="preserve">TOTAL: </w:t>
      </w:r>
      <w:r w:rsidR="00A3712B">
        <w:rPr>
          <w:b/>
        </w:rPr>
        <w:t>28</w:t>
      </w:r>
    </w:p>
    <w:p w14:paraId="6031C9AD" w14:textId="77777777" w:rsidR="002E378E" w:rsidRPr="002E378E" w:rsidRDefault="002E378E" w:rsidP="002E378E">
      <w:pPr>
        <w:pStyle w:val="Heading3"/>
        <w:rPr>
          <w:b/>
          <w:color w:val="auto"/>
          <w:sz w:val="20"/>
        </w:rPr>
      </w:pPr>
      <w:r>
        <w:rPr>
          <w:b/>
          <w:color w:val="auto"/>
          <w:sz w:val="20"/>
        </w:rPr>
        <w:t>Joint</w:t>
      </w:r>
      <w:r w:rsidRPr="002E378E">
        <w:rPr>
          <w:b/>
          <w:color w:val="auto"/>
          <w:sz w:val="20"/>
        </w:rPr>
        <w:t xml:space="preserve"> Committee Report</w:t>
      </w:r>
    </w:p>
    <w:p w14:paraId="7112CC35" w14:textId="77777777" w:rsidR="00C70C9A" w:rsidRDefault="00C70C9A" w:rsidP="00C70C9A">
      <w:pPr>
        <w:ind w:firstLine="720"/>
        <w:rPr>
          <w:rStyle w:val="Hyperlink"/>
          <w:b/>
          <w:szCs w:val="18"/>
        </w:rPr>
      </w:pPr>
      <w:r w:rsidRPr="00C309CA">
        <w:rPr>
          <w:b/>
        </w:rPr>
        <w:t>PM&amp;C Tabling Office:</w:t>
      </w:r>
      <w:r>
        <w:t xml:space="preserve"> 3 accompanied by </w:t>
      </w:r>
      <w:r w:rsidR="0062528B">
        <w:t>a Covering Minute</w:t>
      </w:r>
    </w:p>
    <w:p w14:paraId="79310FB3" w14:textId="77777777" w:rsidR="00C70C9A" w:rsidRDefault="00C70C9A" w:rsidP="00C70C9A">
      <w:pPr>
        <w:ind w:firstLine="720"/>
        <w:rPr>
          <w:b/>
        </w:rPr>
      </w:pPr>
      <w:r>
        <w:rPr>
          <w:b/>
        </w:rPr>
        <w:t xml:space="preserve">President of the Senate: </w:t>
      </w:r>
      <w:r>
        <w:t xml:space="preserve">1 </w:t>
      </w:r>
    </w:p>
    <w:p w14:paraId="6A344F5E" w14:textId="77777777" w:rsidR="00C70C9A" w:rsidRDefault="00C70C9A" w:rsidP="00C70C9A">
      <w:pPr>
        <w:ind w:firstLine="720"/>
      </w:pPr>
      <w:r>
        <w:rPr>
          <w:b/>
        </w:rPr>
        <w:t xml:space="preserve">Senate Table Office: </w:t>
      </w:r>
      <w:r>
        <w:t>1</w:t>
      </w:r>
      <w:r w:rsidR="003F6299">
        <w:t xml:space="preserve">0 </w:t>
      </w:r>
      <w:r>
        <w:t xml:space="preserve"> </w:t>
      </w:r>
    </w:p>
    <w:p w14:paraId="73D5C766" w14:textId="77777777" w:rsidR="00C70C9A" w:rsidRPr="002E378E" w:rsidRDefault="00C70C9A" w:rsidP="00C70C9A">
      <w:pPr>
        <w:ind w:firstLine="720"/>
      </w:pPr>
      <w:r>
        <w:rPr>
          <w:b/>
        </w:rPr>
        <w:t xml:space="preserve">House of Representatives Table Office: </w:t>
      </w:r>
      <w:r w:rsidR="005D53A2">
        <w:t xml:space="preserve">5 </w:t>
      </w:r>
    </w:p>
    <w:p w14:paraId="6B4F96BA" w14:textId="77777777" w:rsidR="00C70C9A" w:rsidRDefault="00C70C9A" w:rsidP="00C70C9A">
      <w:pPr>
        <w:ind w:firstLine="720"/>
      </w:pPr>
      <w:r>
        <w:rPr>
          <w:b/>
        </w:rPr>
        <w:t xml:space="preserve">Parliamentary Press Gallery: </w:t>
      </w:r>
      <w:r w:rsidR="00B42538">
        <w:t>1</w:t>
      </w:r>
      <w:r>
        <w:t>0</w:t>
      </w:r>
    </w:p>
    <w:p w14:paraId="67565561" w14:textId="77777777" w:rsidR="00C70C9A" w:rsidRDefault="00C70C9A" w:rsidP="00C70C9A">
      <w:pPr>
        <w:ind w:firstLine="720"/>
      </w:pPr>
      <w:r>
        <w:rPr>
          <w:b/>
        </w:rPr>
        <w:t xml:space="preserve">Parliamentary Library: </w:t>
      </w:r>
      <w:r w:rsidR="00B42538">
        <w:t>3</w:t>
      </w:r>
    </w:p>
    <w:p w14:paraId="76165528" w14:textId="77777777" w:rsidR="00C70C9A" w:rsidRPr="002E378E" w:rsidRDefault="00C70C9A" w:rsidP="00C70C9A">
      <w:pPr>
        <w:ind w:firstLine="720"/>
      </w:pPr>
      <w:r>
        <w:rPr>
          <w:b/>
        </w:rPr>
        <w:t xml:space="preserve">Hansard: </w:t>
      </w:r>
      <w:r>
        <w:t xml:space="preserve">1 </w:t>
      </w:r>
      <w:r w:rsidR="003F6299">
        <w:t xml:space="preserve">word </w:t>
      </w:r>
      <w:r>
        <w:t xml:space="preserve">copy emailed to </w:t>
      </w:r>
      <w:hyperlink r:id="rId66" w:history="1">
        <w:r w:rsidRPr="00B302D5">
          <w:rPr>
            <w:rStyle w:val="Hyperlink"/>
          </w:rPr>
          <w:t>Hansard.esg@aph.gov.au</w:t>
        </w:r>
      </w:hyperlink>
      <w:r>
        <w:t xml:space="preserve"> </w:t>
      </w:r>
    </w:p>
    <w:p w14:paraId="51CDE773" w14:textId="77777777" w:rsidR="00DD617C" w:rsidRPr="000D0026" w:rsidRDefault="00C70C9A" w:rsidP="000D0026">
      <w:pPr>
        <w:ind w:firstLine="720"/>
        <w:rPr>
          <w:b/>
        </w:rPr>
      </w:pPr>
      <w:r w:rsidRPr="00120926">
        <w:rPr>
          <w:b/>
        </w:rPr>
        <w:t xml:space="preserve">TOTAL: </w:t>
      </w:r>
      <w:r w:rsidR="00C37ACD">
        <w:rPr>
          <w:b/>
        </w:rPr>
        <w:t>32</w:t>
      </w:r>
    </w:p>
    <w:p w14:paraId="633513CC" w14:textId="77777777" w:rsidR="00DA77F1" w:rsidRPr="00E44EA0" w:rsidRDefault="00E93A57" w:rsidP="00DA77F1">
      <w:r w:rsidRPr="00E44EA0">
        <w:br w:type="page"/>
      </w:r>
    </w:p>
    <w:p w14:paraId="06455DF7" w14:textId="77777777" w:rsidR="00DA77F1" w:rsidRPr="00E44EA0" w:rsidRDefault="0080520A" w:rsidP="00DA77F1">
      <w:pPr>
        <w:pStyle w:val="Heading1"/>
      </w:pPr>
      <w:bookmarkStart w:id="12" w:name="_MINISTERIAL_STATEMENTS"/>
      <w:bookmarkEnd w:id="12"/>
      <w:r>
        <w:lastRenderedPageBreak/>
        <w:t xml:space="preserve">Chapter 4 </w:t>
      </w:r>
      <w:r w:rsidR="00DA77F1" w:rsidRPr="00E44EA0">
        <w:t>MINISTERIAL STATEMENTS</w:t>
      </w:r>
    </w:p>
    <w:p w14:paraId="2E3292F1" w14:textId="77777777" w:rsidR="009E3779" w:rsidRPr="002543E3" w:rsidRDefault="002543E3" w:rsidP="002543E3">
      <w:pPr>
        <w:pStyle w:val="Heading2"/>
        <w:rPr>
          <w:rFonts w:ascii="Montserrat Light" w:hAnsi="Montserrat Light"/>
          <w:b/>
          <w:color w:val="auto"/>
          <w:sz w:val="18"/>
          <w:szCs w:val="18"/>
        </w:rPr>
      </w:pPr>
      <w:r>
        <w:rPr>
          <w:rFonts w:ascii="Montserrat Light" w:hAnsi="Montserrat Light"/>
          <w:b/>
          <w:color w:val="auto"/>
          <w:sz w:val="18"/>
          <w:szCs w:val="18"/>
        </w:rPr>
        <w:t>General</w:t>
      </w:r>
    </w:p>
    <w:p w14:paraId="653BE298" w14:textId="77777777" w:rsidR="00C843E1" w:rsidRPr="00E44EA0" w:rsidRDefault="00253967" w:rsidP="0002197D">
      <w:pPr>
        <w:jc w:val="both"/>
      </w:pPr>
      <w:r w:rsidRPr="00E44EA0">
        <w:t>Ministerial S</w:t>
      </w:r>
      <w:r w:rsidR="007C6F9C" w:rsidRPr="00E44EA0">
        <w:t xml:space="preserve">tatements are only made by Ministers and should be confined to announcements of significant Government policy initiatives. </w:t>
      </w:r>
    </w:p>
    <w:p w14:paraId="4570C027" w14:textId="77777777" w:rsidR="002543E3" w:rsidRPr="00E80EAC" w:rsidRDefault="002543E3" w:rsidP="002543E3">
      <w:pPr>
        <w:pStyle w:val="Heading2"/>
        <w:rPr>
          <w:rFonts w:ascii="Montserrat Light" w:hAnsi="Montserrat Light"/>
          <w:b/>
          <w:color w:val="auto"/>
          <w:sz w:val="18"/>
          <w:szCs w:val="18"/>
        </w:rPr>
      </w:pPr>
      <w:r>
        <w:rPr>
          <w:rFonts w:ascii="Montserrat Light" w:hAnsi="Montserrat Light"/>
          <w:b/>
          <w:color w:val="auto"/>
          <w:sz w:val="18"/>
          <w:szCs w:val="18"/>
        </w:rPr>
        <w:t>Approval</w:t>
      </w:r>
    </w:p>
    <w:p w14:paraId="11887754" w14:textId="77777777" w:rsidR="007C6F9C" w:rsidRPr="00E44EA0" w:rsidRDefault="007C6F9C" w:rsidP="0002197D">
      <w:pPr>
        <w:jc w:val="both"/>
      </w:pPr>
      <w:r w:rsidRPr="00E44EA0">
        <w:t xml:space="preserve">Any Minister wishing to make a statement </w:t>
      </w:r>
      <w:r w:rsidRPr="00E44EA0">
        <w:rPr>
          <w:u w:val="single"/>
        </w:rPr>
        <w:t>must</w:t>
      </w:r>
      <w:r w:rsidRPr="00E44EA0">
        <w:t>:</w:t>
      </w:r>
    </w:p>
    <w:p w14:paraId="3B569F38" w14:textId="77777777" w:rsidR="007C6F9C" w:rsidRPr="00E44EA0" w:rsidRDefault="007C6F9C" w:rsidP="0002197D">
      <w:pPr>
        <w:numPr>
          <w:ilvl w:val="0"/>
          <w:numId w:val="27"/>
        </w:numPr>
        <w:autoSpaceDE/>
        <w:autoSpaceDN/>
        <w:spacing w:after="0" w:line="240" w:lineRule="auto"/>
        <w:jc w:val="both"/>
      </w:pPr>
      <w:r w:rsidRPr="00E44EA0">
        <w:t>have the agreement of the Prime Minister to make the statement</w:t>
      </w:r>
    </w:p>
    <w:p w14:paraId="0526E8AF" w14:textId="77777777" w:rsidR="007C6F9C" w:rsidRPr="00E44EA0" w:rsidRDefault="007C6F9C" w:rsidP="0002197D">
      <w:pPr>
        <w:numPr>
          <w:ilvl w:val="0"/>
          <w:numId w:val="27"/>
        </w:numPr>
        <w:autoSpaceDE/>
        <w:autoSpaceDN/>
        <w:spacing w:after="0" w:line="240" w:lineRule="auto"/>
        <w:jc w:val="both"/>
      </w:pPr>
      <w:r w:rsidRPr="00E44EA0">
        <w:t xml:space="preserve">have approval of the Prime Minister for the text of the statement </w:t>
      </w:r>
    </w:p>
    <w:p w14:paraId="40B94409" w14:textId="77777777" w:rsidR="007C6F9C" w:rsidRPr="00E44EA0" w:rsidRDefault="007C6F9C" w:rsidP="0002197D">
      <w:pPr>
        <w:numPr>
          <w:ilvl w:val="0"/>
          <w:numId w:val="27"/>
        </w:numPr>
        <w:autoSpaceDE/>
        <w:autoSpaceDN/>
        <w:spacing w:after="0" w:line="240" w:lineRule="auto"/>
        <w:jc w:val="both"/>
      </w:pPr>
      <w:r w:rsidRPr="00E44EA0">
        <w:t>inform the H</w:t>
      </w:r>
      <w:r w:rsidR="00C843E1" w:rsidRPr="00E44EA0">
        <w:t xml:space="preserve">ouse of </w:t>
      </w:r>
      <w:r w:rsidRPr="00E44EA0">
        <w:t>R</w:t>
      </w:r>
      <w:r w:rsidR="00C843E1" w:rsidRPr="00E44EA0">
        <w:t>epresentatives</w:t>
      </w:r>
      <w:r w:rsidRPr="00E44EA0">
        <w:t xml:space="preserve"> and Senate PLO</w:t>
      </w:r>
      <w:r w:rsidR="00B82B60" w:rsidRPr="00E44EA0">
        <w:t>s</w:t>
      </w:r>
      <w:r w:rsidRPr="00E44EA0">
        <w:t xml:space="preserve"> to </w:t>
      </w:r>
    </w:p>
    <w:p w14:paraId="1E73EB88" w14:textId="77777777" w:rsidR="007C6F9C" w:rsidRPr="00E44EA0" w:rsidRDefault="007C6F9C" w:rsidP="0002197D">
      <w:pPr>
        <w:numPr>
          <w:ilvl w:val="1"/>
          <w:numId w:val="27"/>
        </w:numPr>
        <w:autoSpaceDE/>
        <w:autoSpaceDN/>
        <w:spacing w:after="0" w:line="240" w:lineRule="auto"/>
        <w:ind w:left="1139" w:hanging="357"/>
        <w:jc w:val="both"/>
      </w:pPr>
      <w:r w:rsidRPr="00E44EA0">
        <w:t xml:space="preserve">seek parliamentary time and arrangements for the statement </w:t>
      </w:r>
    </w:p>
    <w:p w14:paraId="601F8736" w14:textId="77777777" w:rsidR="00563210" w:rsidRPr="00E44EA0" w:rsidRDefault="007C6F9C" w:rsidP="0002197D">
      <w:pPr>
        <w:numPr>
          <w:ilvl w:val="1"/>
          <w:numId w:val="27"/>
        </w:numPr>
        <w:autoSpaceDE/>
        <w:autoSpaceDN/>
        <w:spacing w:line="240" w:lineRule="auto"/>
        <w:ind w:left="1139" w:hanging="357"/>
        <w:jc w:val="both"/>
      </w:pPr>
      <w:r w:rsidRPr="00E44EA0">
        <w:t>provide a contact for issuing copy requirements and follow-up</w:t>
      </w:r>
    </w:p>
    <w:p w14:paraId="34931569" w14:textId="77777777" w:rsidR="00DA77F1" w:rsidRPr="002543E3" w:rsidRDefault="002543E3" w:rsidP="002543E3">
      <w:pPr>
        <w:pStyle w:val="Heading2"/>
        <w:rPr>
          <w:rFonts w:ascii="Montserrat Light" w:hAnsi="Montserrat Light"/>
          <w:b/>
          <w:color w:val="auto"/>
          <w:sz w:val="18"/>
          <w:szCs w:val="18"/>
        </w:rPr>
      </w:pPr>
      <w:r>
        <w:rPr>
          <w:rFonts w:ascii="Montserrat Light" w:hAnsi="Montserrat Light"/>
          <w:b/>
          <w:color w:val="auto"/>
          <w:sz w:val="18"/>
          <w:szCs w:val="18"/>
        </w:rPr>
        <w:t>Presentation in the Parliament</w:t>
      </w:r>
    </w:p>
    <w:p w14:paraId="09A91B1D" w14:textId="77777777" w:rsidR="00BC45E5" w:rsidRPr="00E44EA0" w:rsidRDefault="00DA77F1" w:rsidP="0002197D">
      <w:pPr>
        <w:jc w:val="both"/>
      </w:pPr>
      <w:r w:rsidRPr="00E44EA0">
        <w:t>The statement is usually made by the responsible Minister in one chamber and tabled in the other chamber</w:t>
      </w:r>
      <w:r w:rsidR="001C6CBA" w:rsidRPr="00E44EA0">
        <w:t>.</w:t>
      </w:r>
      <w:r w:rsidRPr="00E44EA0">
        <w:t xml:space="preserve"> </w:t>
      </w:r>
    </w:p>
    <w:p w14:paraId="3781E354" w14:textId="77777777" w:rsidR="00BC45E5" w:rsidRPr="00E44EA0" w:rsidRDefault="00BC45E5" w:rsidP="0002197D">
      <w:pPr>
        <w:jc w:val="both"/>
      </w:pPr>
      <w:r w:rsidRPr="00E44EA0">
        <w:t xml:space="preserve">Where a statement is to be made (read) in both chambers, a House of Representatives version (references to the Speaker and members) </w:t>
      </w:r>
      <w:r w:rsidRPr="00E44EA0">
        <w:rPr>
          <w:u w:val="single"/>
        </w:rPr>
        <w:t>and</w:t>
      </w:r>
      <w:r w:rsidRPr="00E44EA0">
        <w:t xml:space="preserve"> a Senate version (references to the President and senators) of the statement are to be provided to the PM&amp;C Tabling Office. </w:t>
      </w:r>
    </w:p>
    <w:p w14:paraId="0CFAE569" w14:textId="77777777" w:rsidR="00995E08" w:rsidRPr="00E44EA0" w:rsidRDefault="00BC45E5" w:rsidP="0002197D">
      <w:pPr>
        <w:jc w:val="both"/>
      </w:pPr>
      <w:r w:rsidRPr="00E44EA0">
        <w:t xml:space="preserve">If a statement is to be </w:t>
      </w:r>
      <w:r w:rsidR="00F637F6" w:rsidRPr="00E44EA0">
        <w:t xml:space="preserve">made (read) </w:t>
      </w:r>
      <w:r w:rsidRPr="00E44EA0">
        <w:t>only in the House of Representatives and then tabled in the Senate, there is no need for the statement to be altered as the same version can be used for both chambers.</w:t>
      </w:r>
      <w:r w:rsidR="00251783" w:rsidRPr="00E44EA0">
        <w:t xml:space="preserve"> </w:t>
      </w:r>
      <w:r w:rsidR="00827B92" w:rsidRPr="00E44EA0">
        <w:t>T</w:t>
      </w:r>
      <w:r w:rsidR="00251783" w:rsidRPr="00E44EA0">
        <w:t>he Senate PLO</w:t>
      </w:r>
      <w:r w:rsidR="00827B92" w:rsidRPr="00E44EA0">
        <w:t xml:space="preserve"> will distribute</w:t>
      </w:r>
      <w:r w:rsidR="00251783" w:rsidRPr="00E44EA0">
        <w:t xml:space="preserve"> embargoed </w:t>
      </w:r>
      <w:r w:rsidR="00827B92" w:rsidRPr="00E44EA0">
        <w:t xml:space="preserve">copies </w:t>
      </w:r>
      <w:r w:rsidR="00251783" w:rsidRPr="00E44EA0">
        <w:t>to relevant Senators</w:t>
      </w:r>
      <w:r w:rsidR="00362430" w:rsidRPr="00E44EA0">
        <w:t xml:space="preserve"> ahead of delivery in the House of Representatives</w:t>
      </w:r>
      <w:r w:rsidR="00B25DCD" w:rsidRPr="00E44EA0">
        <w:t>.</w:t>
      </w:r>
      <w:r w:rsidR="00B74E6D" w:rsidRPr="00E44EA0">
        <w:t xml:space="preserve"> </w:t>
      </w:r>
      <w:r w:rsidR="00602A6C" w:rsidRPr="00E44EA0">
        <w:t>T</w:t>
      </w:r>
      <w:r w:rsidR="00B74E6D" w:rsidRPr="00E44EA0">
        <w:t>he</w:t>
      </w:r>
      <w:r w:rsidR="0062528B">
        <w:t xml:space="preserve"> Ministerial Statement </w:t>
      </w:r>
      <w:r w:rsidR="00A37B83">
        <w:t xml:space="preserve">cover sheet </w:t>
      </w:r>
      <w:r w:rsidR="0062528B">
        <w:t xml:space="preserve">template </w:t>
      </w:r>
      <w:r w:rsidR="00995E08" w:rsidRPr="00E44EA0">
        <w:rPr>
          <w:u w:val="single"/>
        </w:rPr>
        <w:t>must</w:t>
      </w:r>
      <w:r w:rsidR="00995E08" w:rsidRPr="00E44EA0">
        <w:t xml:space="preserve"> be used</w:t>
      </w:r>
      <w:r w:rsidR="0062528B">
        <w:t xml:space="preserve">, available from the list of ‘Appendixes’ on the </w:t>
      </w:r>
      <w:hyperlink r:id="rId67" w:history="1">
        <w:r w:rsidR="0062528B" w:rsidRPr="0062528B">
          <w:rPr>
            <w:rStyle w:val="Hyperlink"/>
          </w:rPr>
          <w:t>PM&amp;C Tabling Guidelines website</w:t>
        </w:r>
      </w:hyperlink>
      <w:r w:rsidR="0062528B">
        <w:t xml:space="preserve">. </w:t>
      </w:r>
    </w:p>
    <w:p w14:paraId="103FA319" w14:textId="77777777" w:rsidR="009E3779" w:rsidRPr="002543E3" w:rsidRDefault="002543E3" w:rsidP="002543E3">
      <w:pPr>
        <w:pStyle w:val="Heading2"/>
        <w:rPr>
          <w:rFonts w:ascii="Montserrat Light" w:hAnsi="Montserrat Light"/>
          <w:b/>
          <w:color w:val="auto"/>
          <w:sz w:val="18"/>
          <w:szCs w:val="18"/>
        </w:rPr>
      </w:pPr>
      <w:r>
        <w:rPr>
          <w:rFonts w:ascii="Montserrat Light" w:hAnsi="Montserrat Light"/>
          <w:b/>
          <w:color w:val="auto"/>
          <w:sz w:val="18"/>
          <w:szCs w:val="18"/>
        </w:rPr>
        <w:t>House of Representative</w:t>
      </w:r>
    </w:p>
    <w:p w14:paraId="7460A12A" w14:textId="77777777" w:rsidR="00DA77F1" w:rsidRPr="00E44EA0" w:rsidRDefault="009E3779" w:rsidP="0002197D">
      <w:pPr>
        <w:jc w:val="both"/>
      </w:pPr>
      <w:r w:rsidRPr="00E44EA0">
        <w:t>A</w:t>
      </w:r>
      <w:r w:rsidR="00DA77F1" w:rsidRPr="00E44EA0">
        <w:t xml:space="preserve">ll statements need to be </w:t>
      </w:r>
      <w:r w:rsidR="00F637F6" w:rsidRPr="00E44EA0">
        <w:t xml:space="preserve">made </w:t>
      </w:r>
      <w:r w:rsidR="00DA77F1" w:rsidRPr="00E44EA0">
        <w:t>on the floor of the House</w:t>
      </w:r>
      <w:r w:rsidR="00EA1A9F" w:rsidRPr="00E44EA0">
        <w:t xml:space="preserve"> of Representatives</w:t>
      </w:r>
      <w:r w:rsidR="00DA77F1" w:rsidRPr="00E44EA0">
        <w:t xml:space="preserve"> if </w:t>
      </w:r>
      <w:r w:rsidR="00FE0EA7" w:rsidRPr="00E44EA0">
        <w:t xml:space="preserve">the full text is to appear </w:t>
      </w:r>
      <w:r w:rsidR="00DA77F1" w:rsidRPr="00E44EA0">
        <w:t xml:space="preserve">in </w:t>
      </w:r>
      <w:hyperlink w:anchor="Hansard" w:history="1">
        <w:r w:rsidR="00DA77F1" w:rsidRPr="00E44EA0">
          <w:rPr>
            <w:rStyle w:val="Hyperlink"/>
          </w:rPr>
          <w:t>Hansard</w:t>
        </w:r>
      </w:hyperlink>
      <w:r w:rsidR="00DA77F1" w:rsidRPr="00E44EA0">
        <w:t xml:space="preserve">. </w:t>
      </w:r>
      <w:r w:rsidR="0003617A" w:rsidRPr="00E44EA0">
        <w:t xml:space="preserve">The </w:t>
      </w:r>
      <w:hyperlink r:id="rId68" w:history="1">
        <w:r w:rsidR="0003617A" w:rsidRPr="00E44EA0">
          <w:rPr>
            <w:rStyle w:val="Hyperlink"/>
          </w:rPr>
          <w:t>House of Representatives Order of Business</w:t>
        </w:r>
      </w:hyperlink>
      <w:r w:rsidR="00DA77F1" w:rsidRPr="00E44EA0">
        <w:t xml:space="preserve"> provides for Ministerial Statements to be made on Monday after Question Time, and on Tuesday, Wednesday and Thursday after Question Time and following the </w:t>
      </w:r>
      <w:r w:rsidR="00CA17E8" w:rsidRPr="00E44EA0">
        <w:t>Matter of Public Importance (MPI)</w:t>
      </w:r>
      <w:r w:rsidR="00253967" w:rsidRPr="00E44EA0">
        <w:t>. However, a Ministerial S</w:t>
      </w:r>
      <w:r w:rsidRPr="00E44EA0">
        <w:t>tatement can</w:t>
      </w:r>
      <w:r w:rsidR="00DA77F1" w:rsidRPr="00E44EA0">
        <w:t xml:space="preserve"> be made at other times</w:t>
      </w:r>
      <w:r w:rsidR="0017079A" w:rsidRPr="00E44EA0">
        <w:t>, by leave of the House</w:t>
      </w:r>
      <w:r w:rsidR="00EA1A9F" w:rsidRPr="00E44EA0">
        <w:t xml:space="preserve"> of Representatives</w:t>
      </w:r>
      <w:r w:rsidR="0017079A" w:rsidRPr="00E44EA0">
        <w:t>.</w:t>
      </w:r>
    </w:p>
    <w:p w14:paraId="3A13B31B" w14:textId="77777777" w:rsidR="000F24DE" w:rsidRPr="00E44EA0" w:rsidRDefault="00B82B60" w:rsidP="0002197D">
      <w:pPr>
        <w:jc w:val="both"/>
      </w:pPr>
      <w:r w:rsidRPr="00E44EA0">
        <w:t xml:space="preserve">Ministerial </w:t>
      </w:r>
      <w:r w:rsidR="00DA77F1" w:rsidRPr="00E44EA0">
        <w:t>Statements made in the House</w:t>
      </w:r>
      <w:r w:rsidR="00EA1A9F" w:rsidRPr="00E44EA0">
        <w:t xml:space="preserve"> of Representatives</w:t>
      </w:r>
      <w:r w:rsidR="00DA77F1" w:rsidRPr="00E44EA0">
        <w:t xml:space="preserve"> are usually tabled in the Senate </w:t>
      </w:r>
      <w:r w:rsidR="00E32F46" w:rsidRPr="00E44EA0">
        <w:t>either on the same or following</w:t>
      </w:r>
      <w:r w:rsidR="00DA77F1" w:rsidRPr="00E44EA0">
        <w:t xml:space="preserve"> </w:t>
      </w:r>
      <w:r w:rsidR="00FE323D" w:rsidRPr="00E44EA0">
        <w:t>s</w:t>
      </w:r>
      <w:r w:rsidR="00DA77F1" w:rsidRPr="00E44EA0">
        <w:t xml:space="preserve">itting day, although they can be </w:t>
      </w:r>
      <w:r w:rsidR="00FE0EA7" w:rsidRPr="00E44EA0">
        <w:t>made</w:t>
      </w:r>
      <w:r w:rsidR="00362430" w:rsidRPr="00E44EA0">
        <w:t xml:space="preserve"> (read)</w:t>
      </w:r>
      <w:r w:rsidR="00DA77F1" w:rsidRPr="00E44EA0">
        <w:t xml:space="preserve"> if the Government prefers. </w:t>
      </w:r>
      <w:r w:rsidR="0017079A" w:rsidRPr="00E44EA0">
        <w:t xml:space="preserve">If the statement is made in the Senate first, there is an opportunity for the statement to be tabled, or </w:t>
      </w:r>
      <w:r w:rsidR="00FE0EA7" w:rsidRPr="00E44EA0">
        <w:t>made</w:t>
      </w:r>
      <w:r w:rsidR="0017079A" w:rsidRPr="00E44EA0">
        <w:t xml:space="preserve"> if the Government prefers, on the next sitting day in the House</w:t>
      </w:r>
      <w:r w:rsidR="00EA1A9F" w:rsidRPr="00E44EA0">
        <w:t xml:space="preserve"> of Representatives</w:t>
      </w:r>
      <w:r w:rsidR="0017079A" w:rsidRPr="00E44EA0">
        <w:t>.</w:t>
      </w:r>
    </w:p>
    <w:p w14:paraId="20CAED8D" w14:textId="77777777" w:rsidR="000F24DE" w:rsidRPr="00E44EA0" w:rsidRDefault="000F24DE" w:rsidP="0002197D">
      <w:pPr>
        <w:jc w:val="both"/>
      </w:pPr>
      <w:r w:rsidRPr="00E44EA0">
        <w:t>After the statement is made, it is usual practice for the relevant opposition shadow spokesperson to speak in reply for an equal period of time.</w:t>
      </w:r>
    </w:p>
    <w:p w14:paraId="2407EC6D" w14:textId="77777777" w:rsidR="009E3779" w:rsidRPr="002543E3" w:rsidRDefault="002543E3" w:rsidP="002543E3">
      <w:pPr>
        <w:pStyle w:val="Heading2"/>
        <w:rPr>
          <w:rFonts w:ascii="Montserrat Light" w:hAnsi="Montserrat Light"/>
          <w:b/>
          <w:color w:val="auto"/>
          <w:sz w:val="18"/>
          <w:szCs w:val="18"/>
        </w:rPr>
      </w:pPr>
      <w:r>
        <w:rPr>
          <w:rFonts w:ascii="Montserrat Light" w:hAnsi="Montserrat Light"/>
          <w:b/>
          <w:color w:val="auto"/>
          <w:sz w:val="18"/>
          <w:szCs w:val="18"/>
        </w:rPr>
        <w:t>Senate</w:t>
      </w:r>
    </w:p>
    <w:p w14:paraId="5F05DFE5" w14:textId="77777777" w:rsidR="0017079A" w:rsidRPr="00E44EA0" w:rsidRDefault="00DA77F1" w:rsidP="0002197D">
      <w:pPr>
        <w:jc w:val="both"/>
      </w:pPr>
      <w:r w:rsidRPr="00E44EA0">
        <w:t xml:space="preserve">Ministerial </w:t>
      </w:r>
      <w:r w:rsidR="00253967" w:rsidRPr="00E44EA0">
        <w:t>S</w:t>
      </w:r>
      <w:r w:rsidRPr="00E44EA0">
        <w:t xml:space="preserve">tatements </w:t>
      </w:r>
      <w:r w:rsidR="009E7500" w:rsidRPr="00E44EA0">
        <w:t xml:space="preserve">are </w:t>
      </w:r>
      <w:r w:rsidR="00D9229A" w:rsidRPr="00E44EA0">
        <w:t>normally</w:t>
      </w:r>
      <w:r w:rsidR="00253967" w:rsidRPr="00E44EA0">
        <w:t xml:space="preserve"> tabled in the Ministerial S</w:t>
      </w:r>
      <w:r w:rsidRPr="00E44EA0">
        <w:t xml:space="preserve">tatement timeslot </w:t>
      </w:r>
      <w:r w:rsidR="00A662C8" w:rsidRPr="00E44EA0">
        <w:t xml:space="preserve">(refer to the </w:t>
      </w:r>
      <w:hyperlink r:id="rId69" w:tooltip="Details fixed times for business in the Senate" w:history="1">
        <w:r w:rsidR="00A662C8" w:rsidRPr="00E44EA0">
          <w:rPr>
            <w:rStyle w:val="Hyperlink"/>
          </w:rPr>
          <w:t>Senate Routine of Business</w:t>
        </w:r>
      </w:hyperlink>
      <w:r w:rsidR="00EF1781" w:rsidRPr="00E44EA0">
        <w:t>)</w:t>
      </w:r>
      <w:r w:rsidR="00A662C8" w:rsidRPr="00E44EA0">
        <w:t xml:space="preserve"> </w:t>
      </w:r>
      <w:r w:rsidR="00D9229A" w:rsidRPr="00E44EA0">
        <w:t xml:space="preserve">or, on occasion, more routine statements are tabled with Government documents immediately after </w:t>
      </w:r>
      <w:hyperlink w:anchor="Prayersandacknowledgementofcountry" w:history="1">
        <w:r w:rsidR="00B42538">
          <w:t>a</w:t>
        </w:r>
        <w:r w:rsidR="00B82B60" w:rsidRPr="00E44EA0">
          <w:rPr>
            <w:rStyle w:val="Hyperlink"/>
            <w:rFonts w:cstheme="minorHAnsi"/>
          </w:rPr>
          <w:t>cknowledgement of country</w:t>
        </w:r>
      </w:hyperlink>
      <w:r w:rsidR="00B42538">
        <w:rPr>
          <w:rStyle w:val="Hyperlink"/>
          <w:rFonts w:cstheme="minorHAnsi"/>
        </w:rPr>
        <w:t xml:space="preserve"> and prayers</w:t>
      </w:r>
      <w:r w:rsidR="00D9229A" w:rsidRPr="00E44EA0">
        <w:t xml:space="preserve">. </w:t>
      </w:r>
      <w:r w:rsidRPr="00E44EA0">
        <w:t xml:space="preserve">Leave </w:t>
      </w:r>
      <w:r w:rsidR="00FE0EA7" w:rsidRPr="00E44EA0">
        <w:t xml:space="preserve">may </w:t>
      </w:r>
      <w:r w:rsidRPr="00E44EA0">
        <w:t xml:space="preserve">also be sought to incorporate the </w:t>
      </w:r>
      <w:r w:rsidR="00FE0EA7" w:rsidRPr="00E44EA0">
        <w:t xml:space="preserve">text </w:t>
      </w:r>
      <w:r w:rsidRPr="00E44EA0">
        <w:t>of the tabled sta</w:t>
      </w:r>
      <w:r w:rsidR="00D9229A" w:rsidRPr="00E44EA0">
        <w:t>tement into the Hansard.</w:t>
      </w:r>
    </w:p>
    <w:p w14:paraId="7F6B4D46" w14:textId="77777777" w:rsidR="0002197D" w:rsidRDefault="0087667E" w:rsidP="0002197D">
      <w:pPr>
        <w:jc w:val="both"/>
        <w:rPr>
          <w:b/>
        </w:rPr>
      </w:pPr>
      <w:r w:rsidRPr="00E44EA0">
        <w:t xml:space="preserve">Senators </w:t>
      </w:r>
      <w:r w:rsidR="00FE0EA7" w:rsidRPr="00E44EA0">
        <w:t xml:space="preserve">may </w:t>
      </w:r>
      <w:r w:rsidRPr="00E44EA0">
        <w:t xml:space="preserve">seek to take note of a Ministerial </w:t>
      </w:r>
      <w:r w:rsidR="00253967" w:rsidRPr="00E44EA0">
        <w:t>S</w:t>
      </w:r>
      <w:r w:rsidRPr="00E44EA0">
        <w:t xml:space="preserve">tatement under Standing Order 169 (3). Each Senator </w:t>
      </w:r>
      <w:r w:rsidR="00FE0EA7" w:rsidRPr="00E44EA0">
        <w:t>may</w:t>
      </w:r>
      <w:r w:rsidRPr="00E44EA0">
        <w:t xml:space="preserve"> speak for </w:t>
      </w:r>
      <w:r w:rsidR="00FE0EA7" w:rsidRPr="00E44EA0">
        <w:t xml:space="preserve">up to </w:t>
      </w:r>
      <w:r w:rsidRPr="00E44EA0">
        <w:t>10 minutes with a total time limit of 30 minutes per motion</w:t>
      </w:r>
      <w:r w:rsidR="00FE0EA7" w:rsidRPr="00E44EA0">
        <w:t xml:space="preserve"> to take note</w:t>
      </w:r>
      <w:r w:rsidRPr="00E44EA0">
        <w:t>.</w:t>
      </w:r>
      <w:r w:rsidR="00D72A49">
        <w:t xml:space="preserve"> If 2 or more Ministerial Statements are tabled on any day, the total time limit for Senators to take note is up to 60 minutes.</w:t>
      </w:r>
    </w:p>
    <w:p w14:paraId="528064A6" w14:textId="77777777" w:rsidR="000D0026" w:rsidRDefault="000D0026">
      <w:pPr>
        <w:autoSpaceDE/>
        <w:autoSpaceDN/>
        <w:spacing w:after="0" w:line="240" w:lineRule="auto"/>
        <w:rPr>
          <w:rFonts w:eastAsiaTheme="majorEastAsia" w:cstheme="majorBidi"/>
          <w:b/>
          <w:color w:val="auto"/>
          <w:szCs w:val="18"/>
        </w:rPr>
      </w:pPr>
      <w:r>
        <w:rPr>
          <w:b/>
          <w:color w:val="auto"/>
          <w:szCs w:val="18"/>
        </w:rPr>
        <w:br w:type="page"/>
      </w:r>
    </w:p>
    <w:p w14:paraId="22A215A3" w14:textId="77777777" w:rsidR="00DA77F1" w:rsidRPr="002543E3" w:rsidRDefault="002543E3" w:rsidP="002543E3">
      <w:pPr>
        <w:pStyle w:val="Heading2"/>
        <w:rPr>
          <w:rFonts w:ascii="Montserrat Light" w:hAnsi="Montserrat Light"/>
          <w:b/>
          <w:color w:val="auto"/>
          <w:sz w:val="18"/>
          <w:szCs w:val="18"/>
        </w:rPr>
      </w:pPr>
      <w:r>
        <w:rPr>
          <w:rFonts w:ascii="Montserrat Light" w:hAnsi="Montserrat Light"/>
          <w:b/>
          <w:color w:val="auto"/>
          <w:sz w:val="18"/>
          <w:szCs w:val="18"/>
        </w:rPr>
        <w:lastRenderedPageBreak/>
        <w:t>Timing</w:t>
      </w:r>
      <w:r w:rsidR="00EE0344" w:rsidRPr="00E44EA0">
        <w:rPr>
          <w:b/>
        </w:rPr>
        <w:t xml:space="preserve"> </w:t>
      </w:r>
    </w:p>
    <w:p w14:paraId="3F24E62E" w14:textId="77777777" w:rsidR="00BC45E5" w:rsidRPr="00E44EA0" w:rsidRDefault="00BC45E5" w:rsidP="0002197D">
      <w:pPr>
        <w:jc w:val="both"/>
      </w:pPr>
      <w:r w:rsidRPr="00E44EA0">
        <w:t xml:space="preserve">Copies </w:t>
      </w:r>
      <w:r w:rsidRPr="00E44EA0">
        <w:rPr>
          <w:u w:val="single"/>
        </w:rPr>
        <w:t>must</w:t>
      </w:r>
      <w:r w:rsidRPr="00E44EA0">
        <w:t xml:space="preserve"> be provided to the PM&amp;C Tabling Office at least </w:t>
      </w:r>
      <w:r w:rsidR="0099269C" w:rsidRPr="00E44EA0">
        <w:t>two</w:t>
      </w:r>
      <w:r w:rsidRPr="00E44EA0">
        <w:t xml:space="preserve"> hours before the statement is to be made. If the statement is to be made before noon, the copies </w:t>
      </w:r>
      <w:r w:rsidRPr="00E44EA0">
        <w:rPr>
          <w:u w:val="single"/>
        </w:rPr>
        <w:t>must</w:t>
      </w:r>
      <w:r w:rsidRPr="00E44EA0">
        <w:t xml:space="preserve"> be provided the previous day. This allows for the </w:t>
      </w:r>
      <w:r w:rsidR="00253967" w:rsidRPr="00E44EA0">
        <w:t>M</w:t>
      </w:r>
      <w:r w:rsidRPr="00E44EA0">
        <w:t xml:space="preserve">inisterial </w:t>
      </w:r>
      <w:r w:rsidR="00253967" w:rsidRPr="00E44EA0">
        <w:t>S</w:t>
      </w:r>
      <w:r w:rsidRPr="00E44EA0">
        <w:t xml:space="preserve">tatement to be distributed to </w:t>
      </w:r>
      <w:r w:rsidR="007F00A2" w:rsidRPr="00E44EA0">
        <w:t>non-government</w:t>
      </w:r>
      <w:r w:rsidRPr="00E44EA0">
        <w:t xml:space="preserve"> senators and members ahead of delivery.</w:t>
      </w:r>
    </w:p>
    <w:p w14:paraId="059F55FF" w14:textId="77777777" w:rsidR="005A0741" w:rsidRPr="002543E3" w:rsidRDefault="002543E3" w:rsidP="002543E3">
      <w:pPr>
        <w:pStyle w:val="Heading2"/>
        <w:rPr>
          <w:rFonts w:ascii="Montserrat Light" w:hAnsi="Montserrat Light"/>
          <w:b/>
          <w:color w:val="auto"/>
          <w:sz w:val="18"/>
          <w:szCs w:val="18"/>
        </w:rPr>
      </w:pPr>
      <w:r>
        <w:rPr>
          <w:rFonts w:ascii="Montserrat Light" w:hAnsi="Montserrat Light"/>
          <w:b/>
          <w:color w:val="auto"/>
          <w:sz w:val="18"/>
          <w:szCs w:val="18"/>
        </w:rPr>
        <w:t>Tabling associated documents</w:t>
      </w:r>
    </w:p>
    <w:p w14:paraId="4CB2BE99" w14:textId="77777777" w:rsidR="00DA77F1" w:rsidRPr="00E44EA0" w:rsidRDefault="003F3658" w:rsidP="0002197D">
      <w:pPr>
        <w:jc w:val="both"/>
      </w:pPr>
      <w:r w:rsidRPr="00E44EA0">
        <w:t xml:space="preserve">On occasion, </w:t>
      </w:r>
      <w:r w:rsidR="001D4B9F" w:rsidRPr="00E44EA0">
        <w:t xml:space="preserve">accompanying </w:t>
      </w:r>
      <w:r w:rsidRPr="00E44EA0">
        <w:t xml:space="preserve">documents are </w:t>
      </w:r>
      <w:r w:rsidR="00DA77F1" w:rsidRPr="00E44EA0">
        <w:t>tabled</w:t>
      </w:r>
      <w:r w:rsidR="00C54780" w:rsidRPr="00E44EA0">
        <w:t xml:space="preserve"> with the </w:t>
      </w:r>
      <w:r w:rsidR="00253967" w:rsidRPr="00E44EA0">
        <w:t>M</w:t>
      </w:r>
      <w:r w:rsidR="00C54780" w:rsidRPr="00E44EA0">
        <w:t xml:space="preserve">inisterial </w:t>
      </w:r>
      <w:r w:rsidR="00253967" w:rsidRPr="00E44EA0">
        <w:t>S</w:t>
      </w:r>
      <w:r w:rsidR="00C54780" w:rsidRPr="00E44EA0">
        <w:t>tatement</w:t>
      </w:r>
      <w:r w:rsidR="00DA77F1" w:rsidRPr="00E44EA0">
        <w:t xml:space="preserve">. </w:t>
      </w:r>
      <w:r w:rsidR="00C54780" w:rsidRPr="00E44EA0">
        <w:t>If this is planned, t</w:t>
      </w:r>
      <w:r w:rsidR="00DA77F1" w:rsidRPr="00E44EA0">
        <w:t xml:space="preserve">he PM&amp;C Tabling Office </w:t>
      </w:r>
      <w:r w:rsidR="00DA77F1" w:rsidRPr="00E44EA0">
        <w:rPr>
          <w:u w:val="single"/>
        </w:rPr>
        <w:t>must</w:t>
      </w:r>
      <w:r w:rsidR="00DA77F1" w:rsidRPr="00E44EA0">
        <w:t xml:space="preserve"> be advised</w:t>
      </w:r>
      <w:r w:rsidR="00C54780" w:rsidRPr="00E44EA0">
        <w:t xml:space="preserve"> </w:t>
      </w:r>
      <w:r w:rsidR="00952CD8" w:rsidRPr="00E44EA0">
        <w:t xml:space="preserve">at the earliest opportunity and provided </w:t>
      </w:r>
      <w:r w:rsidR="00C54780" w:rsidRPr="00E44EA0">
        <w:t xml:space="preserve">with copies </w:t>
      </w:r>
      <w:r w:rsidR="00DA77F1" w:rsidRPr="00E44EA0">
        <w:t>for di</w:t>
      </w:r>
      <w:r w:rsidR="00C54780" w:rsidRPr="00E44EA0">
        <w:t>stribution with the statement.</w:t>
      </w:r>
    </w:p>
    <w:p w14:paraId="0046DECF" w14:textId="77777777" w:rsidR="0017079A" w:rsidRPr="00E44EA0" w:rsidRDefault="0017079A" w:rsidP="0002197D">
      <w:pPr>
        <w:jc w:val="both"/>
      </w:pPr>
      <w:r w:rsidRPr="00E44EA0">
        <w:t xml:space="preserve">Please liaise with the Senate </w:t>
      </w:r>
      <w:r w:rsidR="00B82B60" w:rsidRPr="00E44EA0">
        <w:t>PLO</w:t>
      </w:r>
      <w:r w:rsidRPr="00E44EA0">
        <w:t xml:space="preserve"> beforehand regarding the time for tabling in the Senate.</w:t>
      </w:r>
    </w:p>
    <w:p w14:paraId="39DE5BE7" w14:textId="77777777" w:rsidR="00BC45E5" w:rsidRPr="002543E3" w:rsidRDefault="002543E3" w:rsidP="002543E3">
      <w:pPr>
        <w:pStyle w:val="Heading2"/>
        <w:rPr>
          <w:rFonts w:ascii="Montserrat Light" w:hAnsi="Montserrat Light"/>
          <w:b/>
          <w:color w:val="auto"/>
          <w:sz w:val="18"/>
          <w:szCs w:val="18"/>
        </w:rPr>
      </w:pPr>
      <w:r>
        <w:rPr>
          <w:rFonts w:ascii="Montserrat Light" w:hAnsi="Montserrat Light"/>
          <w:b/>
          <w:color w:val="auto"/>
          <w:sz w:val="18"/>
          <w:szCs w:val="18"/>
        </w:rPr>
        <w:t>Presentation of documents when the Parliament is not sitting</w:t>
      </w:r>
    </w:p>
    <w:p w14:paraId="2278894F" w14:textId="77777777" w:rsidR="00C54780" w:rsidRPr="00E44EA0" w:rsidRDefault="00952CD8" w:rsidP="0002197D">
      <w:pPr>
        <w:jc w:val="both"/>
      </w:pPr>
      <w:r w:rsidRPr="00E44EA0">
        <w:t xml:space="preserve">It is possible, but not common, for a </w:t>
      </w:r>
      <w:r w:rsidR="00253967" w:rsidRPr="00E44EA0">
        <w:t>M</w:t>
      </w:r>
      <w:r w:rsidRPr="00E44EA0">
        <w:t xml:space="preserve">inisterial </w:t>
      </w:r>
      <w:r w:rsidR="00253967" w:rsidRPr="00E44EA0">
        <w:t>S</w:t>
      </w:r>
      <w:r w:rsidRPr="00E44EA0">
        <w:t xml:space="preserve">tatement to be presented out of </w:t>
      </w:r>
      <w:r w:rsidR="001D4B9F" w:rsidRPr="00E44EA0">
        <w:t xml:space="preserve">sitting </w:t>
      </w:r>
      <w:r w:rsidRPr="00E44EA0">
        <w:t>in the Senate. There is no similar provision in the House</w:t>
      </w:r>
      <w:r w:rsidR="00EA1A9F" w:rsidRPr="00E44EA0">
        <w:t xml:space="preserve"> of Representatives</w:t>
      </w:r>
      <w:r w:rsidRPr="00E44EA0">
        <w:t>.</w:t>
      </w:r>
      <w:r w:rsidR="00BC45E5" w:rsidRPr="00E44EA0">
        <w:t xml:space="preserve"> </w:t>
      </w:r>
    </w:p>
    <w:p w14:paraId="05385C24" w14:textId="77777777" w:rsidR="002A63B3" w:rsidRPr="00E44EA0" w:rsidRDefault="002A63B3" w:rsidP="0002197D">
      <w:pPr>
        <w:autoSpaceDE/>
        <w:autoSpaceDN/>
        <w:spacing w:after="0" w:line="240" w:lineRule="auto"/>
        <w:jc w:val="both"/>
      </w:pPr>
      <w:r w:rsidRPr="00E44EA0">
        <w:br w:type="page"/>
      </w:r>
    </w:p>
    <w:p w14:paraId="5E338CA5" w14:textId="77777777" w:rsidR="003D4DAD" w:rsidRPr="00550599" w:rsidRDefault="003D4DAD" w:rsidP="003D4DAD">
      <w:pPr>
        <w:pStyle w:val="Heading2"/>
        <w:rPr>
          <w:b/>
          <w:color w:val="auto"/>
        </w:rPr>
      </w:pPr>
      <w:bookmarkStart w:id="13" w:name="_Key_tasks_-_3"/>
      <w:bookmarkEnd w:id="13"/>
      <w:r w:rsidRPr="00550599">
        <w:rPr>
          <w:b/>
          <w:color w:val="auto"/>
        </w:rPr>
        <w:lastRenderedPageBreak/>
        <w:t>Key Tasks</w:t>
      </w:r>
      <w:r>
        <w:rPr>
          <w:b/>
          <w:color w:val="auto"/>
        </w:rPr>
        <w:t xml:space="preserve"> – Ministerial Statements – Sitting Day</w:t>
      </w:r>
    </w:p>
    <w:p w14:paraId="7AA77F4A" w14:textId="77777777" w:rsidR="003D4DAD" w:rsidRDefault="003D4DAD" w:rsidP="0002197D">
      <w:pPr>
        <w:jc w:val="both"/>
      </w:pPr>
    </w:p>
    <w:p w14:paraId="06CB2290" w14:textId="77777777" w:rsidR="002A63B3" w:rsidRPr="00E44EA0" w:rsidRDefault="002A63B3" w:rsidP="0002197D">
      <w:pPr>
        <w:jc w:val="both"/>
      </w:pPr>
      <w:r w:rsidRPr="00E44EA0">
        <w:t xml:space="preserve">The following checklist is provided to assist officers when tabling a </w:t>
      </w:r>
      <w:r w:rsidR="00253967" w:rsidRPr="00E44EA0">
        <w:rPr>
          <w:u w:val="single"/>
        </w:rPr>
        <w:t>M</w:t>
      </w:r>
      <w:r w:rsidRPr="00E44EA0">
        <w:rPr>
          <w:u w:val="single"/>
        </w:rPr>
        <w:t xml:space="preserve">inisterial </w:t>
      </w:r>
      <w:r w:rsidR="00253967" w:rsidRPr="00E44EA0">
        <w:rPr>
          <w:u w:val="single"/>
        </w:rPr>
        <w:t>S</w:t>
      </w:r>
      <w:r w:rsidRPr="00E44EA0">
        <w:rPr>
          <w:u w:val="single"/>
        </w:rPr>
        <w:t>tatement on a sitting day</w:t>
      </w:r>
      <w:r w:rsidRPr="00E44EA0">
        <w:t>.</w:t>
      </w:r>
    </w:p>
    <w:p w14:paraId="39F99859" w14:textId="77777777" w:rsidR="002A63B3" w:rsidRPr="00E44EA0" w:rsidRDefault="002A63B3" w:rsidP="0002197D">
      <w:pPr>
        <w:tabs>
          <w:tab w:val="left" w:pos="360"/>
        </w:tabs>
        <w:spacing w:after="80"/>
        <w:ind w:left="360" w:hanging="360"/>
        <w:jc w:val="both"/>
        <w:rPr>
          <w:b/>
        </w:rPr>
      </w:pPr>
      <w:r w:rsidRPr="00E44EA0">
        <w:rPr>
          <w:rFonts w:ascii="Arial" w:hAnsi="Arial" w:cs="Arial"/>
          <w:sz w:val="22"/>
          <w:szCs w:val="22"/>
        </w:rPr>
        <w:sym w:font="Wingdings" w:char="F072"/>
      </w:r>
      <w:r w:rsidRPr="00E44EA0">
        <w:rPr>
          <w:rFonts w:ascii="Arial" w:hAnsi="Arial" w:cs="Arial"/>
          <w:sz w:val="22"/>
          <w:szCs w:val="22"/>
        </w:rPr>
        <w:tab/>
      </w:r>
      <w:r w:rsidRPr="00E44EA0">
        <w:rPr>
          <w:b/>
        </w:rPr>
        <w:t xml:space="preserve">Approval </w:t>
      </w:r>
      <w:r w:rsidRPr="00E44EA0">
        <w:t xml:space="preserve">— </w:t>
      </w:r>
      <w:r w:rsidRPr="00E44EA0">
        <w:rPr>
          <w:szCs w:val="18"/>
        </w:rPr>
        <w:t xml:space="preserve">required for a </w:t>
      </w:r>
      <w:r w:rsidR="00253967" w:rsidRPr="00E44EA0">
        <w:rPr>
          <w:szCs w:val="18"/>
        </w:rPr>
        <w:t>M</w:t>
      </w:r>
      <w:r w:rsidRPr="00E44EA0">
        <w:rPr>
          <w:szCs w:val="18"/>
        </w:rPr>
        <w:t xml:space="preserve">inisterial </w:t>
      </w:r>
      <w:r w:rsidR="00253967" w:rsidRPr="00E44EA0">
        <w:rPr>
          <w:szCs w:val="18"/>
        </w:rPr>
        <w:t>S</w:t>
      </w:r>
      <w:r w:rsidRPr="00E44EA0">
        <w:rPr>
          <w:szCs w:val="18"/>
        </w:rPr>
        <w:t>tatement to be delivered in the Parliament</w:t>
      </w:r>
      <w:r w:rsidRPr="00E44EA0">
        <w:t>.</w:t>
      </w:r>
    </w:p>
    <w:p w14:paraId="3756645A" w14:textId="77777777" w:rsidR="002A63B3" w:rsidRPr="00E44EA0" w:rsidRDefault="002A63B3" w:rsidP="0002197D">
      <w:pPr>
        <w:pStyle w:val="Bullet"/>
        <w:spacing w:before="80" w:after="80"/>
        <w:jc w:val="both"/>
        <w:rPr>
          <w:szCs w:val="18"/>
        </w:rPr>
      </w:pPr>
      <w:r w:rsidRPr="00E44EA0">
        <w:rPr>
          <w:szCs w:val="18"/>
        </w:rPr>
        <w:t xml:space="preserve">Prime Minister and/or Cabinet approval is required to make a </w:t>
      </w:r>
      <w:r w:rsidR="00253967" w:rsidRPr="00E44EA0">
        <w:rPr>
          <w:szCs w:val="18"/>
        </w:rPr>
        <w:t>Ministerial Statement</w:t>
      </w:r>
    </w:p>
    <w:p w14:paraId="08549841" w14:textId="77777777" w:rsidR="002A63B3" w:rsidRPr="00E44EA0" w:rsidRDefault="002A63B3" w:rsidP="0002197D">
      <w:pPr>
        <w:pStyle w:val="Bullet"/>
        <w:jc w:val="both"/>
        <w:rPr>
          <w:b/>
        </w:rPr>
      </w:pPr>
      <w:r w:rsidRPr="00E44EA0">
        <w:rPr>
          <w:szCs w:val="18"/>
        </w:rPr>
        <w:t xml:space="preserve">Prime Minister’s approval is required for the text of the </w:t>
      </w:r>
      <w:r w:rsidR="00253967" w:rsidRPr="00E44EA0">
        <w:rPr>
          <w:szCs w:val="18"/>
        </w:rPr>
        <w:t>Ministerial Statement</w:t>
      </w:r>
    </w:p>
    <w:p w14:paraId="3061BB00" w14:textId="77777777" w:rsidR="002A63B3" w:rsidRPr="00E44EA0" w:rsidRDefault="002A63B3" w:rsidP="0002197D">
      <w:pPr>
        <w:tabs>
          <w:tab w:val="left" w:pos="360"/>
        </w:tabs>
        <w:spacing w:after="80"/>
        <w:ind w:left="360" w:hanging="360"/>
        <w:jc w:val="both"/>
        <w:rPr>
          <w:b/>
        </w:rPr>
      </w:pPr>
      <w:r w:rsidRPr="00E44EA0">
        <w:rPr>
          <w:rFonts w:ascii="Arial" w:hAnsi="Arial" w:cs="Arial"/>
          <w:sz w:val="22"/>
          <w:szCs w:val="22"/>
        </w:rPr>
        <w:sym w:font="Wingdings" w:char="F072"/>
      </w:r>
      <w:r w:rsidRPr="00E44EA0">
        <w:rPr>
          <w:rFonts w:ascii="Arial" w:hAnsi="Arial" w:cs="Arial"/>
          <w:sz w:val="22"/>
          <w:szCs w:val="22"/>
        </w:rPr>
        <w:tab/>
      </w:r>
      <w:r w:rsidR="00954163" w:rsidRPr="00E44EA0">
        <w:rPr>
          <w:b/>
        </w:rPr>
        <w:t>Timing</w:t>
      </w:r>
    </w:p>
    <w:p w14:paraId="304FAA1F" w14:textId="77777777" w:rsidR="002A63B3" w:rsidRPr="00E44EA0" w:rsidRDefault="002A63B3" w:rsidP="0002197D">
      <w:pPr>
        <w:pStyle w:val="Bullet"/>
        <w:jc w:val="both"/>
        <w:rPr>
          <w:b/>
        </w:rPr>
      </w:pPr>
      <w:r w:rsidRPr="00C46F47">
        <w:t>House</w:t>
      </w:r>
      <w:r w:rsidR="00EA1A9F" w:rsidRPr="00C46F47">
        <w:t xml:space="preserve"> of Representatives</w:t>
      </w:r>
      <w:r w:rsidRPr="00E44EA0">
        <w:t xml:space="preserve"> </w:t>
      </w:r>
      <w:r w:rsidR="00D72A49">
        <w:t>or Senate</w:t>
      </w:r>
      <w:r w:rsidR="00A31A92">
        <w:t xml:space="preserve"> – Monday</w:t>
      </w:r>
      <w:r w:rsidRPr="00E44EA0">
        <w:t xml:space="preserve">, Tuesday, Wednesday or Thursday </w:t>
      </w:r>
    </w:p>
    <w:p w14:paraId="7B3E26CC" w14:textId="77777777" w:rsidR="00125CB3" w:rsidRPr="00E44EA0" w:rsidRDefault="00954163" w:rsidP="0002197D">
      <w:pPr>
        <w:pStyle w:val="Bullet"/>
        <w:jc w:val="both"/>
        <w:rPr>
          <w:b/>
        </w:rPr>
      </w:pPr>
      <w:r w:rsidRPr="00C46F47">
        <w:rPr>
          <w:b/>
        </w:rPr>
        <w:t>NOTE</w:t>
      </w:r>
      <w:r w:rsidRPr="00E44EA0">
        <w:t xml:space="preserve">: </w:t>
      </w:r>
      <w:r w:rsidR="00A16652" w:rsidRPr="00E44EA0">
        <w:t xml:space="preserve">consultation with </w:t>
      </w:r>
      <w:r w:rsidRPr="00E44EA0">
        <w:t xml:space="preserve">the House of Representatives and Senate </w:t>
      </w:r>
      <w:r w:rsidR="00B224B5" w:rsidRPr="00E44EA0">
        <w:t>PLOs</w:t>
      </w:r>
      <w:r w:rsidRPr="00E44EA0">
        <w:t xml:space="preserve"> </w:t>
      </w:r>
      <w:r w:rsidR="00A16652" w:rsidRPr="00E44EA0">
        <w:rPr>
          <w:u w:val="single"/>
        </w:rPr>
        <w:t>is essential</w:t>
      </w:r>
      <w:r w:rsidRPr="00E44EA0">
        <w:t xml:space="preserve"> as </w:t>
      </w:r>
      <w:r w:rsidR="00125CB3" w:rsidRPr="00E44EA0">
        <w:t>programm</w:t>
      </w:r>
      <w:r w:rsidR="00A16652" w:rsidRPr="00E44EA0">
        <w:t>ing</w:t>
      </w:r>
      <w:r w:rsidRPr="00E44EA0">
        <w:t xml:space="preserve"> </w:t>
      </w:r>
      <w:r w:rsidR="00125CB3" w:rsidRPr="00E44EA0">
        <w:t xml:space="preserve">time for the statement is subject to the normal clearance processes with </w:t>
      </w:r>
      <w:r w:rsidR="00B224B5" w:rsidRPr="00E44EA0">
        <w:t xml:space="preserve">the </w:t>
      </w:r>
      <w:r w:rsidR="00125CB3" w:rsidRPr="00E44EA0">
        <w:t>respective Leaders and Managers of Government Business.</w:t>
      </w:r>
    </w:p>
    <w:p w14:paraId="1A636183" w14:textId="77777777" w:rsidR="00B42538" w:rsidRDefault="002A63B3" w:rsidP="0002197D">
      <w:pPr>
        <w:tabs>
          <w:tab w:val="left" w:pos="360"/>
        </w:tabs>
        <w:spacing w:before="80" w:after="80"/>
        <w:ind w:left="360" w:hanging="360"/>
        <w:jc w:val="both"/>
        <w:rPr>
          <w:szCs w:val="18"/>
        </w:rPr>
      </w:pPr>
      <w:r w:rsidRPr="00E44EA0">
        <w:rPr>
          <w:rFonts w:ascii="Arial" w:hAnsi="Arial" w:cs="Arial"/>
          <w:sz w:val="22"/>
          <w:szCs w:val="22"/>
        </w:rPr>
        <w:sym w:font="Wingdings" w:char="F072"/>
      </w:r>
      <w:r w:rsidRPr="00E44EA0">
        <w:rPr>
          <w:rFonts w:cs="Arial"/>
          <w:szCs w:val="18"/>
        </w:rPr>
        <w:tab/>
      </w:r>
      <w:r w:rsidRPr="00E44EA0">
        <w:rPr>
          <w:b/>
          <w:szCs w:val="18"/>
        </w:rPr>
        <w:t>Delivery day</w:t>
      </w:r>
      <w:r w:rsidR="0090692D" w:rsidRPr="00E44EA0">
        <w:rPr>
          <w:b/>
          <w:szCs w:val="18"/>
        </w:rPr>
        <w:t xml:space="preserve"> </w:t>
      </w:r>
      <w:r w:rsidRPr="00E44EA0">
        <w:rPr>
          <w:szCs w:val="18"/>
        </w:rPr>
        <w:t>—</w:t>
      </w:r>
      <w:r w:rsidR="0090692D" w:rsidRPr="00E44EA0">
        <w:rPr>
          <w:szCs w:val="18"/>
        </w:rPr>
        <w:t xml:space="preserve"> </w:t>
      </w:r>
      <w:r w:rsidR="004F355E">
        <w:t>upload a PDF of the document to the Online Tabled Documents system</w:t>
      </w:r>
    </w:p>
    <w:p w14:paraId="71A0ACBD" w14:textId="77777777" w:rsidR="002A63B3" w:rsidRPr="004F355E" w:rsidRDefault="004F355E" w:rsidP="00D17A70">
      <w:pPr>
        <w:pStyle w:val="Bullet"/>
        <w:numPr>
          <w:ilvl w:val="0"/>
          <w:numId w:val="38"/>
        </w:numPr>
        <w:tabs>
          <w:tab w:val="left" w:pos="360"/>
        </w:tabs>
        <w:spacing w:before="80" w:after="80"/>
        <w:ind w:left="360"/>
        <w:jc w:val="both"/>
        <w:rPr>
          <w:szCs w:val="18"/>
        </w:rPr>
      </w:pPr>
      <w:r w:rsidRPr="004F355E">
        <w:rPr>
          <w:szCs w:val="18"/>
        </w:rPr>
        <w:t xml:space="preserve">At least two hours before the Ministerial Statement is to be made, deliver </w:t>
      </w:r>
      <w:r w:rsidRPr="004F355E">
        <w:rPr>
          <w:szCs w:val="18"/>
          <w:u w:val="single"/>
        </w:rPr>
        <w:t>all</w:t>
      </w:r>
      <w:r w:rsidRPr="004F355E">
        <w:rPr>
          <w:szCs w:val="18"/>
        </w:rPr>
        <w:t xml:space="preserve"> copies to the PM&amp;C Tabling Office in RG.98 </w:t>
      </w:r>
      <w:r w:rsidRPr="004F355E">
        <w:rPr>
          <w:u w:val="single"/>
        </w:rPr>
        <w:t xml:space="preserve">(see </w:t>
      </w:r>
      <w:hyperlink r:id="rId70" w:history="1">
        <w:r w:rsidRPr="00E44EA0">
          <w:rPr>
            <w:rStyle w:val="Hyperlink"/>
          </w:rPr>
          <w:t>maps</w:t>
        </w:r>
      </w:hyperlink>
      <w:r w:rsidRPr="004F355E">
        <w:rPr>
          <w:u w:val="single"/>
        </w:rPr>
        <w:t>)</w:t>
      </w:r>
      <w:r w:rsidRPr="004F355E">
        <w:rPr>
          <w:szCs w:val="18"/>
        </w:rPr>
        <w:t xml:space="preserve">. If the statement is planned to be made before noon, copies will be needed the day before. Place copies in sealed envelopes, each with the appropriate label (available on the list of ‘Appendixes’ on the </w:t>
      </w:r>
      <w:hyperlink r:id="rId71" w:history="1">
        <w:r w:rsidRPr="004F355E">
          <w:rPr>
            <w:rStyle w:val="Hyperlink"/>
            <w:szCs w:val="18"/>
          </w:rPr>
          <w:t>PM&amp;C Tabling Guidelines website</w:t>
        </w:r>
      </w:hyperlink>
      <w:r w:rsidRPr="004F355E">
        <w:rPr>
          <w:szCs w:val="18"/>
        </w:rPr>
        <w:t>) on the outside to match the list below:</w:t>
      </w:r>
      <w:r w:rsidR="00B42538" w:rsidRPr="004F355E">
        <w:rPr>
          <w:szCs w:val="18"/>
        </w:rPr>
        <w:tab/>
      </w:r>
    </w:p>
    <w:p w14:paraId="3C0FB9CF" w14:textId="77777777" w:rsidR="00737B13" w:rsidRPr="00E44EA0" w:rsidRDefault="00EB0C00" w:rsidP="0002197D">
      <w:pPr>
        <w:pStyle w:val="Bullet"/>
        <w:jc w:val="both"/>
      </w:pPr>
      <w:r>
        <w:t>PM&amp;C Tabling Office</w:t>
      </w:r>
      <w:r w:rsidR="00737B13" w:rsidRPr="00E44EA0">
        <w:t xml:space="preserve"> </w:t>
      </w:r>
      <w:r w:rsidR="00A31A92">
        <w:t xml:space="preserve">– </w:t>
      </w:r>
      <w:r w:rsidR="00737B13" w:rsidRPr="00E44EA0">
        <w:t>3</w:t>
      </w:r>
      <w:r w:rsidR="00A31A92">
        <w:t xml:space="preserve"> </w:t>
      </w:r>
      <w:r w:rsidR="00737B13" w:rsidRPr="00E44EA0">
        <w:t>copies of the document</w:t>
      </w:r>
      <w:r w:rsidR="00A31A92">
        <w:t xml:space="preserve"> and copy of the tabling minute</w:t>
      </w:r>
    </w:p>
    <w:p w14:paraId="42580A73" w14:textId="77777777" w:rsidR="00FA651B" w:rsidRPr="00E44EA0" w:rsidRDefault="00737B13" w:rsidP="0002197D">
      <w:pPr>
        <w:pStyle w:val="Bullet"/>
        <w:spacing w:before="80" w:after="80"/>
        <w:jc w:val="both"/>
        <w:rPr>
          <w:szCs w:val="18"/>
        </w:rPr>
      </w:pPr>
      <w:r w:rsidRPr="00E44EA0">
        <w:rPr>
          <w:szCs w:val="18"/>
        </w:rPr>
        <w:t>S</w:t>
      </w:r>
      <w:r w:rsidR="00FA651B" w:rsidRPr="00E44EA0">
        <w:rPr>
          <w:szCs w:val="18"/>
        </w:rPr>
        <w:t>enate PLO – 2</w:t>
      </w:r>
      <w:r w:rsidR="00640144">
        <w:rPr>
          <w:szCs w:val="18"/>
        </w:rPr>
        <w:t>0</w:t>
      </w:r>
      <w:r w:rsidR="00FA651B" w:rsidRPr="00E44EA0">
        <w:rPr>
          <w:szCs w:val="18"/>
        </w:rPr>
        <w:t xml:space="preserve"> copies</w:t>
      </w:r>
    </w:p>
    <w:p w14:paraId="4695A5DC" w14:textId="77777777" w:rsidR="002A63B3" w:rsidRPr="00E44EA0" w:rsidRDefault="00737B13" w:rsidP="0002197D">
      <w:pPr>
        <w:pStyle w:val="Bullet"/>
        <w:spacing w:before="80" w:after="80"/>
        <w:jc w:val="both"/>
        <w:rPr>
          <w:szCs w:val="18"/>
        </w:rPr>
      </w:pPr>
      <w:r w:rsidRPr="00E44EA0">
        <w:t>House of Representatives</w:t>
      </w:r>
      <w:r w:rsidRPr="00E44EA0">
        <w:rPr>
          <w:szCs w:val="18"/>
        </w:rPr>
        <w:t xml:space="preserve"> </w:t>
      </w:r>
      <w:r w:rsidR="002A63B3" w:rsidRPr="00E44EA0">
        <w:rPr>
          <w:szCs w:val="18"/>
        </w:rPr>
        <w:t>PLO – 10 copies</w:t>
      </w:r>
    </w:p>
    <w:p w14:paraId="7608B8B8" w14:textId="77777777" w:rsidR="002A63B3" w:rsidRPr="00E44EA0" w:rsidRDefault="002A63B3" w:rsidP="0002197D">
      <w:pPr>
        <w:pStyle w:val="Bullet"/>
        <w:spacing w:before="80" w:after="80"/>
        <w:jc w:val="both"/>
        <w:rPr>
          <w:szCs w:val="18"/>
        </w:rPr>
      </w:pPr>
      <w:r w:rsidRPr="00E44EA0">
        <w:rPr>
          <w:szCs w:val="18"/>
        </w:rPr>
        <w:t>Senate Table Office – 10 copies</w:t>
      </w:r>
      <w:r w:rsidR="009E5AEB">
        <w:rPr>
          <w:szCs w:val="18"/>
        </w:rPr>
        <w:t xml:space="preserve"> plus 1 PDF version</w:t>
      </w:r>
    </w:p>
    <w:p w14:paraId="47A355D7" w14:textId="77777777" w:rsidR="002A63B3" w:rsidRPr="00E44EA0" w:rsidRDefault="002A63B3" w:rsidP="0002197D">
      <w:pPr>
        <w:pStyle w:val="Bullet"/>
        <w:spacing w:before="80" w:after="80"/>
        <w:jc w:val="both"/>
        <w:rPr>
          <w:szCs w:val="18"/>
        </w:rPr>
      </w:pPr>
      <w:r w:rsidRPr="00E44EA0">
        <w:rPr>
          <w:szCs w:val="18"/>
        </w:rPr>
        <w:t>Senate Clerk Assistant (Table) – 2 copies</w:t>
      </w:r>
    </w:p>
    <w:p w14:paraId="602101A1" w14:textId="77777777" w:rsidR="002A63B3" w:rsidRPr="00E44EA0" w:rsidRDefault="002A63B3" w:rsidP="0002197D">
      <w:pPr>
        <w:pStyle w:val="Bullet"/>
        <w:spacing w:before="80" w:after="80"/>
        <w:jc w:val="both"/>
        <w:rPr>
          <w:szCs w:val="18"/>
        </w:rPr>
      </w:pPr>
      <w:r w:rsidRPr="00E44EA0">
        <w:rPr>
          <w:szCs w:val="18"/>
        </w:rPr>
        <w:t xml:space="preserve">House of Representatives Table Office – </w:t>
      </w:r>
      <w:r w:rsidR="0027131F">
        <w:rPr>
          <w:szCs w:val="18"/>
        </w:rPr>
        <w:t>5</w:t>
      </w:r>
      <w:r w:rsidRPr="00E44EA0">
        <w:rPr>
          <w:szCs w:val="18"/>
        </w:rPr>
        <w:t xml:space="preserve"> copies</w:t>
      </w:r>
      <w:r w:rsidR="009E5AEB">
        <w:rPr>
          <w:szCs w:val="18"/>
        </w:rPr>
        <w:t xml:space="preserve"> plus 1 PDF version</w:t>
      </w:r>
    </w:p>
    <w:p w14:paraId="6D48663C" w14:textId="77777777" w:rsidR="002A63B3" w:rsidRPr="00E44EA0" w:rsidRDefault="00BA027E" w:rsidP="0002197D">
      <w:pPr>
        <w:pStyle w:val="Bullet"/>
        <w:spacing w:before="80" w:after="80"/>
        <w:jc w:val="both"/>
        <w:rPr>
          <w:szCs w:val="18"/>
        </w:rPr>
      </w:pPr>
      <w:r w:rsidRPr="00E44EA0">
        <w:t>Parliamentary Press Gallery</w:t>
      </w:r>
      <w:r w:rsidR="002A63B3" w:rsidRPr="00E44EA0">
        <w:rPr>
          <w:szCs w:val="18"/>
        </w:rPr>
        <w:t xml:space="preserve"> – </w:t>
      </w:r>
      <w:r w:rsidR="00B42538">
        <w:rPr>
          <w:szCs w:val="18"/>
        </w:rPr>
        <w:t>1</w:t>
      </w:r>
      <w:r w:rsidR="00794B91" w:rsidRPr="00E44EA0">
        <w:rPr>
          <w:szCs w:val="18"/>
        </w:rPr>
        <w:t>0</w:t>
      </w:r>
      <w:r w:rsidR="002A63B3" w:rsidRPr="00E44EA0">
        <w:rPr>
          <w:szCs w:val="18"/>
        </w:rPr>
        <w:t xml:space="preserve"> copies</w:t>
      </w:r>
    </w:p>
    <w:p w14:paraId="0D870974" w14:textId="77777777" w:rsidR="002A63B3" w:rsidRPr="00E44EA0" w:rsidRDefault="00445D58" w:rsidP="0002197D">
      <w:pPr>
        <w:pStyle w:val="Bullet"/>
        <w:jc w:val="both"/>
        <w:rPr>
          <w:rFonts w:cstheme="minorHAnsi"/>
          <w:szCs w:val="18"/>
        </w:rPr>
      </w:pPr>
      <w:r>
        <w:rPr>
          <w:szCs w:val="18"/>
        </w:rPr>
        <w:t xml:space="preserve">Parliamentary Library – </w:t>
      </w:r>
      <w:r w:rsidR="00B42538">
        <w:rPr>
          <w:szCs w:val="18"/>
        </w:rPr>
        <w:t>3</w:t>
      </w:r>
      <w:r w:rsidR="002A63B3" w:rsidRPr="00E44EA0">
        <w:rPr>
          <w:szCs w:val="18"/>
        </w:rPr>
        <w:t xml:space="preserve"> copies</w:t>
      </w:r>
    </w:p>
    <w:p w14:paraId="10827226" w14:textId="77777777" w:rsidR="002A63B3" w:rsidRPr="00E44EA0" w:rsidRDefault="002A63B3" w:rsidP="0002197D">
      <w:pPr>
        <w:tabs>
          <w:tab w:val="left" w:pos="360"/>
        </w:tabs>
        <w:spacing w:before="80" w:after="80"/>
        <w:ind w:left="360" w:hanging="360"/>
        <w:jc w:val="both"/>
        <w:rPr>
          <w:szCs w:val="18"/>
        </w:rPr>
      </w:pPr>
      <w:r w:rsidRPr="00E44EA0">
        <w:rPr>
          <w:rFonts w:ascii="Arial" w:hAnsi="Arial" w:cs="Arial"/>
          <w:sz w:val="22"/>
          <w:szCs w:val="22"/>
        </w:rPr>
        <w:sym w:font="Wingdings" w:char="F072"/>
      </w:r>
      <w:r w:rsidRPr="00E44EA0">
        <w:rPr>
          <w:rFonts w:cs="Arial"/>
          <w:szCs w:val="18"/>
        </w:rPr>
        <w:tab/>
      </w:r>
      <w:r w:rsidRPr="00E44EA0">
        <w:rPr>
          <w:b/>
          <w:szCs w:val="18"/>
        </w:rPr>
        <w:t>Mi</w:t>
      </w:r>
      <w:r w:rsidR="00EB0C00">
        <w:rPr>
          <w:b/>
          <w:szCs w:val="18"/>
        </w:rPr>
        <w:t>nute to the PM&amp;C Tabling Office</w:t>
      </w:r>
      <w:r w:rsidR="0090692D" w:rsidRPr="00E44EA0">
        <w:rPr>
          <w:b/>
          <w:szCs w:val="18"/>
        </w:rPr>
        <w:t xml:space="preserve"> </w:t>
      </w:r>
      <w:r w:rsidRPr="00E44EA0">
        <w:rPr>
          <w:szCs w:val="18"/>
        </w:rPr>
        <w:t>—</w:t>
      </w:r>
      <w:r w:rsidR="009E7500" w:rsidRPr="00E44EA0">
        <w:rPr>
          <w:b/>
        </w:rPr>
        <w:t xml:space="preserve"> </w:t>
      </w:r>
      <w:r w:rsidR="009E7500" w:rsidRPr="00E44EA0">
        <w:rPr>
          <w:u w:val="single"/>
        </w:rPr>
        <w:t>must</w:t>
      </w:r>
      <w:r w:rsidR="009E7500" w:rsidRPr="00E44EA0">
        <w:t xml:space="preserve"> accompany each individual document to be tabled</w:t>
      </w:r>
      <w:r w:rsidR="00B82B60" w:rsidRPr="00E44EA0">
        <w:t>:</w:t>
      </w:r>
    </w:p>
    <w:p w14:paraId="7761C875" w14:textId="77777777" w:rsidR="00251A6A" w:rsidRPr="00E44EA0" w:rsidRDefault="00827B92" w:rsidP="0002197D">
      <w:pPr>
        <w:pStyle w:val="Bullet"/>
        <w:jc w:val="both"/>
      </w:pPr>
      <w:r w:rsidRPr="00E44EA0">
        <w:t xml:space="preserve">departments </w:t>
      </w:r>
      <w:r w:rsidR="00EC5C1E" w:rsidRPr="00E44EA0">
        <w:rPr>
          <w:u w:val="single"/>
        </w:rPr>
        <w:t>must</w:t>
      </w:r>
      <w:r w:rsidR="00EC5C1E" w:rsidRPr="00E44EA0">
        <w:t xml:space="preserve"> use</w:t>
      </w:r>
      <w:r w:rsidR="00251A6A" w:rsidRPr="00E44EA0">
        <w:t xml:space="preserve"> </w:t>
      </w:r>
      <w:r w:rsidR="0062528B">
        <w:t xml:space="preserve">the </w:t>
      </w:r>
      <w:r w:rsidR="00640144">
        <w:t xml:space="preserve">relevant </w:t>
      </w:r>
      <w:r w:rsidR="0062528B">
        <w:t>tabling minute template</w:t>
      </w:r>
      <w:r w:rsidR="00640144">
        <w:t xml:space="preserve">, available on the list of ‘Appendixes’ on the </w:t>
      </w:r>
      <w:hyperlink r:id="rId72" w:history="1">
        <w:r w:rsidR="00640144" w:rsidRPr="00640144">
          <w:rPr>
            <w:rStyle w:val="Hyperlink"/>
          </w:rPr>
          <w:t>PM&amp;C Tabling Guidelines website</w:t>
        </w:r>
      </w:hyperlink>
    </w:p>
    <w:p w14:paraId="7D543A98" w14:textId="77777777" w:rsidR="002A63B3" w:rsidRPr="00E44EA0" w:rsidRDefault="002A63B3" w:rsidP="0002197D">
      <w:pPr>
        <w:pStyle w:val="Bullet"/>
        <w:jc w:val="both"/>
        <w:rPr>
          <w:rFonts w:cstheme="minorHAnsi"/>
          <w:szCs w:val="18"/>
        </w:rPr>
      </w:pPr>
      <w:r w:rsidRPr="00E44EA0">
        <w:rPr>
          <w:szCs w:val="18"/>
        </w:rPr>
        <w:t xml:space="preserve">include date the </w:t>
      </w:r>
      <w:r w:rsidR="00253967" w:rsidRPr="00E44EA0">
        <w:rPr>
          <w:szCs w:val="18"/>
        </w:rPr>
        <w:t>Ministerial Statement</w:t>
      </w:r>
      <w:r w:rsidRPr="00E44EA0">
        <w:rPr>
          <w:szCs w:val="18"/>
        </w:rPr>
        <w:t xml:space="preserve"> was approved by the Minister and the Prime Minister</w:t>
      </w:r>
    </w:p>
    <w:p w14:paraId="2358D06F" w14:textId="77777777" w:rsidR="002A63B3" w:rsidRPr="00E44EA0" w:rsidRDefault="002A63B3" w:rsidP="0002197D">
      <w:pPr>
        <w:tabs>
          <w:tab w:val="left" w:pos="360"/>
        </w:tabs>
        <w:spacing w:after="80"/>
        <w:ind w:left="360" w:hanging="360"/>
        <w:jc w:val="both"/>
        <w:rPr>
          <w:szCs w:val="18"/>
        </w:rPr>
      </w:pPr>
      <w:r w:rsidRPr="00E44EA0">
        <w:rPr>
          <w:rFonts w:ascii="Arial" w:hAnsi="Arial" w:cs="Arial"/>
          <w:sz w:val="22"/>
          <w:szCs w:val="22"/>
        </w:rPr>
        <w:sym w:font="Wingdings" w:char="F072"/>
      </w:r>
      <w:r w:rsidRPr="00E44EA0">
        <w:rPr>
          <w:rFonts w:cs="Arial"/>
          <w:szCs w:val="18"/>
        </w:rPr>
        <w:tab/>
      </w:r>
      <w:r w:rsidRPr="00E44EA0">
        <w:rPr>
          <w:b/>
          <w:szCs w:val="18"/>
        </w:rPr>
        <w:t>Provide a copy to Hansard</w:t>
      </w:r>
    </w:p>
    <w:p w14:paraId="2140E581" w14:textId="77777777" w:rsidR="002A63B3" w:rsidRPr="00E44EA0" w:rsidRDefault="00CA17E8" w:rsidP="0002197D">
      <w:pPr>
        <w:pStyle w:val="Bullet"/>
        <w:jc w:val="both"/>
        <w:rPr>
          <w:rFonts w:cstheme="minorHAnsi"/>
          <w:szCs w:val="18"/>
        </w:rPr>
      </w:pPr>
      <w:r w:rsidRPr="00E44EA0">
        <w:t>a</w:t>
      </w:r>
      <w:r w:rsidR="002A63B3" w:rsidRPr="00E44EA0">
        <w:t xml:space="preserve"> word version of the </w:t>
      </w:r>
      <w:r w:rsidR="00253967" w:rsidRPr="00E44EA0">
        <w:rPr>
          <w:szCs w:val="18"/>
        </w:rPr>
        <w:t>Ministerial Statement</w:t>
      </w:r>
      <w:r w:rsidR="002A63B3" w:rsidRPr="00E44EA0">
        <w:t xml:space="preserve"> is provided prior to delivery to </w:t>
      </w:r>
      <w:hyperlink r:id="rId73" w:history="1">
        <w:r w:rsidR="002A63B3" w:rsidRPr="00E44EA0">
          <w:rPr>
            <w:rStyle w:val="Hyperlink"/>
          </w:rPr>
          <w:t>Hansard.esg@aph.gov.au</w:t>
        </w:r>
      </w:hyperlink>
      <w:r w:rsidR="002A63B3" w:rsidRPr="00E44EA0">
        <w:t xml:space="preserve"> </w:t>
      </w:r>
    </w:p>
    <w:p w14:paraId="51B13BA9" w14:textId="77777777" w:rsidR="002A63B3" w:rsidRPr="00E44EA0" w:rsidRDefault="002A63B3" w:rsidP="0002197D">
      <w:pPr>
        <w:tabs>
          <w:tab w:val="left" w:pos="360"/>
        </w:tabs>
        <w:spacing w:after="80"/>
        <w:ind w:left="360" w:hanging="360"/>
        <w:jc w:val="both"/>
        <w:rPr>
          <w:rFonts w:cs="Arial"/>
          <w:b/>
          <w:szCs w:val="18"/>
        </w:rPr>
      </w:pPr>
      <w:r w:rsidRPr="00E44EA0">
        <w:rPr>
          <w:rFonts w:ascii="Arial" w:hAnsi="Arial" w:cs="Arial"/>
          <w:sz w:val="22"/>
          <w:szCs w:val="22"/>
        </w:rPr>
        <w:sym w:font="Wingdings" w:char="F072"/>
      </w:r>
      <w:r w:rsidRPr="00E44EA0">
        <w:rPr>
          <w:rFonts w:cs="Arial"/>
          <w:szCs w:val="18"/>
        </w:rPr>
        <w:tab/>
      </w:r>
      <w:r w:rsidRPr="00E44EA0">
        <w:rPr>
          <w:rFonts w:cs="Arial"/>
          <w:b/>
          <w:szCs w:val="18"/>
        </w:rPr>
        <w:t xml:space="preserve">Action post-delivery </w:t>
      </w:r>
    </w:p>
    <w:p w14:paraId="174AAC45" w14:textId="77777777" w:rsidR="002A63B3" w:rsidRPr="00E44EA0" w:rsidRDefault="002A63B3">
      <w:pPr>
        <w:pStyle w:val="Bullet"/>
        <w:jc w:val="both"/>
      </w:pPr>
      <w:r w:rsidRPr="00E44EA0">
        <w:t xml:space="preserve">immediately upload the </w:t>
      </w:r>
      <w:r w:rsidR="00253967" w:rsidRPr="00640144">
        <w:rPr>
          <w:szCs w:val="18"/>
        </w:rPr>
        <w:t>Ministerial Statement</w:t>
      </w:r>
      <w:r w:rsidRPr="00E44EA0">
        <w:t xml:space="preserve"> to </w:t>
      </w:r>
      <w:r w:rsidR="009E5AEB">
        <w:t xml:space="preserve">the </w:t>
      </w:r>
      <w:r w:rsidR="00823ACE" w:rsidRPr="00E44EA0">
        <w:t>department</w:t>
      </w:r>
      <w:r w:rsidR="009E5AEB">
        <w:t>’s</w:t>
      </w:r>
      <w:r w:rsidRPr="00E44EA0">
        <w:t xml:space="preserve"> website</w:t>
      </w:r>
      <w:r w:rsidR="00640144">
        <w:t xml:space="preserve"> </w:t>
      </w:r>
    </w:p>
    <w:p w14:paraId="26BF9FCB" w14:textId="77777777" w:rsidR="00D36A18" w:rsidRPr="00E44EA0" w:rsidRDefault="00D36A18" w:rsidP="0002197D">
      <w:pPr>
        <w:autoSpaceDE/>
        <w:autoSpaceDN/>
        <w:spacing w:after="0" w:line="240" w:lineRule="auto"/>
        <w:jc w:val="both"/>
        <w:rPr>
          <w:rFonts w:ascii="Montserrat" w:hAnsi="Montserrat"/>
          <w:b/>
          <w:bCs/>
          <w:caps/>
          <w:color w:val="8D7248"/>
          <w:kern w:val="28"/>
          <w:sz w:val="24"/>
          <w:szCs w:val="32"/>
        </w:rPr>
      </w:pPr>
      <w:r w:rsidRPr="00E44EA0">
        <w:rPr>
          <w:sz w:val="24"/>
        </w:rPr>
        <w:br w:type="page"/>
      </w:r>
    </w:p>
    <w:p w14:paraId="20620896" w14:textId="77777777" w:rsidR="002A63B3" w:rsidRPr="00E44EA0" w:rsidRDefault="00A21276" w:rsidP="000F0AFB">
      <w:pPr>
        <w:pStyle w:val="Heading1"/>
        <w:ind w:left="2268" w:hanging="2268"/>
        <w:rPr>
          <w:sz w:val="24"/>
          <w:szCs w:val="24"/>
        </w:rPr>
      </w:pPr>
      <w:bookmarkStart w:id="14" w:name="_copy_requirements_-_2"/>
      <w:bookmarkEnd w:id="14"/>
      <w:r w:rsidRPr="00E44EA0">
        <w:rPr>
          <w:sz w:val="24"/>
          <w:szCs w:val="24"/>
        </w:rPr>
        <w:lastRenderedPageBreak/>
        <w:t>copy requirements</w:t>
      </w:r>
      <w:r w:rsidR="001578D2" w:rsidRPr="00E44EA0">
        <w:rPr>
          <w:sz w:val="24"/>
          <w:szCs w:val="24"/>
        </w:rPr>
        <w:t xml:space="preserve"> - </w:t>
      </w:r>
      <w:r w:rsidR="002A63B3" w:rsidRPr="00E44EA0">
        <w:rPr>
          <w:sz w:val="24"/>
          <w:szCs w:val="24"/>
        </w:rPr>
        <w:t>MINISTERIAL STATEMENT</w:t>
      </w:r>
      <w:r w:rsidR="004254E2" w:rsidRPr="00E44EA0">
        <w:rPr>
          <w:sz w:val="24"/>
          <w:szCs w:val="24"/>
        </w:rPr>
        <w:t>s</w:t>
      </w:r>
    </w:p>
    <w:p w14:paraId="6BF03429" w14:textId="77777777" w:rsidR="002543E3" w:rsidRDefault="002543E3" w:rsidP="002543E3">
      <w:pPr>
        <w:pStyle w:val="Heading2"/>
        <w:rPr>
          <w:rFonts w:ascii="Montserrat Light" w:hAnsi="Montserrat Light"/>
          <w:b/>
          <w:color w:val="auto"/>
          <w:sz w:val="22"/>
          <w:szCs w:val="18"/>
        </w:rPr>
      </w:pPr>
      <w:r w:rsidRPr="00A206B2">
        <w:rPr>
          <w:rFonts w:ascii="Montserrat Light" w:hAnsi="Montserrat Light"/>
          <w:b/>
          <w:color w:val="auto"/>
          <w:sz w:val="22"/>
          <w:szCs w:val="18"/>
        </w:rPr>
        <w:t>Parliament is Sitting</w:t>
      </w:r>
    </w:p>
    <w:p w14:paraId="790E08A5" w14:textId="77777777" w:rsidR="002543E3" w:rsidRDefault="002543E3" w:rsidP="002543E3">
      <w:r>
        <w:t>When parliament is sitting, please contact the PM&amp;C Tabling Officer on (02) 6277 7</w:t>
      </w:r>
      <w:r w:rsidR="00A84A21">
        <w:t>212</w:t>
      </w:r>
      <w:r w:rsidR="00640144">
        <w:t xml:space="preserve"> or </w:t>
      </w:r>
      <w:hyperlink r:id="rId74" w:history="1">
        <w:r w:rsidR="00640144" w:rsidRPr="00F56CDB">
          <w:rPr>
            <w:rStyle w:val="Hyperlink"/>
          </w:rPr>
          <w:t>tabling@pmc.gov.au</w:t>
        </w:r>
      </w:hyperlink>
      <w:r w:rsidR="00640144">
        <w:t xml:space="preserve"> </w:t>
      </w:r>
    </w:p>
    <w:p w14:paraId="2A6E969B" w14:textId="77777777" w:rsidR="002543E3" w:rsidRDefault="002543E3" w:rsidP="002543E3">
      <w:r>
        <w:t>The following number of documents are required to be delivered to the Loading Dock by 12.00pm the day before tabling:</w:t>
      </w:r>
    </w:p>
    <w:p w14:paraId="6F948B1A" w14:textId="77777777" w:rsidR="004857B4" w:rsidRDefault="004857B4" w:rsidP="004857B4">
      <w:pPr>
        <w:ind w:firstLine="720"/>
      </w:pPr>
      <w:r w:rsidRPr="00C309CA">
        <w:rPr>
          <w:b/>
        </w:rPr>
        <w:t>PM&amp;C Tabling Office:</w:t>
      </w:r>
      <w:r>
        <w:t xml:space="preserve"> 3 </w:t>
      </w:r>
      <w:r w:rsidR="00640144">
        <w:t>plus copy of the tabling minute</w:t>
      </w:r>
    </w:p>
    <w:p w14:paraId="30A959A2" w14:textId="77777777" w:rsidR="004857B4" w:rsidRPr="004857B4" w:rsidRDefault="004857B4" w:rsidP="004857B4">
      <w:pPr>
        <w:ind w:firstLine="720"/>
      </w:pPr>
      <w:r w:rsidRPr="005D53A2">
        <w:rPr>
          <w:b/>
        </w:rPr>
        <w:t xml:space="preserve">Senate PLO: </w:t>
      </w:r>
      <w:r w:rsidRPr="005D53A2">
        <w:t>2</w:t>
      </w:r>
      <w:r w:rsidR="00640144" w:rsidRPr="005D53A2">
        <w:t>0</w:t>
      </w:r>
    </w:p>
    <w:p w14:paraId="6BE078FC" w14:textId="77777777" w:rsidR="004857B4" w:rsidRPr="004857B4" w:rsidRDefault="004857B4" w:rsidP="004857B4">
      <w:pPr>
        <w:ind w:firstLine="720"/>
      </w:pPr>
      <w:r>
        <w:rPr>
          <w:b/>
        </w:rPr>
        <w:t xml:space="preserve">House of Representatives PLO: </w:t>
      </w:r>
      <w:r>
        <w:t>10</w:t>
      </w:r>
    </w:p>
    <w:p w14:paraId="1D8E5349" w14:textId="77777777" w:rsidR="004857B4" w:rsidRDefault="004857B4" w:rsidP="004857B4">
      <w:pPr>
        <w:ind w:firstLine="720"/>
      </w:pPr>
      <w:r>
        <w:rPr>
          <w:b/>
        </w:rPr>
        <w:t xml:space="preserve">Senate Table Office: </w:t>
      </w:r>
      <w:r>
        <w:t>10</w:t>
      </w:r>
      <w:r w:rsidR="00640144">
        <w:t xml:space="preserve"> </w:t>
      </w:r>
    </w:p>
    <w:p w14:paraId="781DD52F" w14:textId="77777777" w:rsidR="004857B4" w:rsidRPr="004857B4" w:rsidRDefault="004857B4" w:rsidP="004857B4">
      <w:pPr>
        <w:ind w:firstLine="720"/>
      </w:pPr>
      <w:r>
        <w:rPr>
          <w:b/>
        </w:rPr>
        <w:t xml:space="preserve">Senate Clerk Assistant (Table): </w:t>
      </w:r>
      <w:r>
        <w:t>2</w:t>
      </w:r>
    </w:p>
    <w:p w14:paraId="2B8858B9" w14:textId="77777777" w:rsidR="004857B4" w:rsidRPr="004857B4" w:rsidRDefault="004857B4" w:rsidP="004857B4">
      <w:pPr>
        <w:ind w:firstLine="720"/>
      </w:pPr>
      <w:r>
        <w:rPr>
          <w:b/>
        </w:rPr>
        <w:t xml:space="preserve">House of Representatives Table Office: </w:t>
      </w:r>
      <w:r>
        <w:t>5</w:t>
      </w:r>
      <w:r w:rsidR="00640144">
        <w:t xml:space="preserve"> </w:t>
      </w:r>
    </w:p>
    <w:p w14:paraId="28C0735F" w14:textId="77777777" w:rsidR="004857B4" w:rsidRDefault="004857B4" w:rsidP="004857B4">
      <w:pPr>
        <w:ind w:firstLine="720"/>
      </w:pPr>
      <w:r>
        <w:rPr>
          <w:b/>
        </w:rPr>
        <w:t xml:space="preserve">Parliamentary Press Gallery: </w:t>
      </w:r>
      <w:r w:rsidR="00B42538">
        <w:t>1</w:t>
      </w:r>
      <w:r>
        <w:t>0</w:t>
      </w:r>
    </w:p>
    <w:p w14:paraId="7A16C5E5" w14:textId="77777777" w:rsidR="004857B4" w:rsidRDefault="004857B4" w:rsidP="004857B4">
      <w:pPr>
        <w:ind w:firstLine="720"/>
      </w:pPr>
      <w:r>
        <w:rPr>
          <w:b/>
        </w:rPr>
        <w:t xml:space="preserve">Parliamentary Library: </w:t>
      </w:r>
      <w:r w:rsidR="00B42538">
        <w:t>3</w:t>
      </w:r>
    </w:p>
    <w:p w14:paraId="56B2DFD8" w14:textId="77777777" w:rsidR="004857B4" w:rsidRPr="002E378E" w:rsidRDefault="004857B4" w:rsidP="004857B4">
      <w:pPr>
        <w:ind w:firstLine="720"/>
      </w:pPr>
      <w:r>
        <w:rPr>
          <w:b/>
        </w:rPr>
        <w:t xml:space="preserve">Hansard: </w:t>
      </w:r>
      <w:r>
        <w:t xml:space="preserve">1 </w:t>
      </w:r>
      <w:r w:rsidR="00640144">
        <w:t xml:space="preserve">word </w:t>
      </w:r>
      <w:r>
        <w:t xml:space="preserve">copy emailed to </w:t>
      </w:r>
      <w:hyperlink r:id="rId75" w:history="1">
        <w:r w:rsidRPr="00B302D5">
          <w:rPr>
            <w:rStyle w:val="Hyperlink"/>
          </w:rPr>
          <w:t>Hansard.esg@aph.gov.au</w:t>
        </w:r>
      </w:hyperlink>
      <w:r>
        <w:t xml:space="preserve"> </w:t>
      </w:r>
    </w:p>
    <w:p w14:paraId="274252D6" w14:textId="77777777" w:rsidR="004857B4" w:rsidRDefault="004857B4" w:rsidP="004857B4">
      <w:pPr>
        <w:ind w:firstLine="720"/>
        <w:rPr>
          <w:b/>
        </w:rPr>
      </w:pPr>
      <w:r w:rsidRPr="00120926">
        <w:rPr>
          <w:b/>
        </w:rPr>
        <w:t xml:space="preserve">TOTAL: </w:t>
      </w:r>
      <w:r w:rsidR="007C7252">
        <w:rPr>
          <w:b/>
        </w:rPr>
        <w:t>63</w:t>
      </w:r>
    </w:p>
    <w:p w14:paraId="3670AEC3" w14:textId="77777777" w:rsidR="005B2787" w:rsidRPr="00E44EA0" w:rsidRDefault="005B2787">
      <w:pPr>
        <w:autoSpaceDE/>
        <w:autoSpaceDN/>
        <w:spacing w:after="0" w:line="240" w:lineRule="auto"/>
        <w:rPr>
          <w:rFonts w:ascii="Montserrat" w:hAnsi="Montserrat"/>
          <w:b/>
          <w:bCs/>
          <w:caps/>
          <w:color w:val="8D7248"/>
          <w:kern w:val="28"/>
          <w:sz w:val="36"/>
          <w:szCs w:val="32"/>
        </w:rPr>
      </w:pPr>
      <w:r w:rsidRPr="00E44EA0">
        <w:br w:type="page"/>
      </w:r>
    </w:p>
    <w:p w14:paraId="1BED5292" w14:textId="77777777" w:rsidR="00DA77F1" w:rsidRPr="00E44EA0" w:rsidRDefault="009633AD" w:rsidP="00DA77F1">
      <w:pPr>
        <w:pStyle w:val="Heading1"/>
      </w:pPr>
      <w:bookmarkStart w:id="15" w:name="_deemed_clerks_documents"/>
      <w:bookmarkStart w:id="16" w:name="_deemed/clerk’s_documents"/>
      <w:bookmarkEnd w:id="15"/>
      <w:bookmarkEnd w:id="16"/>
      <w:r>
        <w:lastRenderedPageBreak/>
        <w:t xml:space="preserve">chapter 5 </w:t>
      </w:r>
      <w:r w:rsidR="00DA77F1" w:rsidRPr="00E44EA0">
        <w:t>deemed</w:t>
      </w:r>
      <w:r w:rsidR="00430FE3" w:rsidRPr="00E44EA0">
        <w:t>/</w:t>
      </w:r>
      <w:r w:rsidR="00DA77F1" w:rsidRPr="00E44EA0">
        <w:t>clerk</w:t>
      </w:r>
      <w:r w:rsidR="005A61BC" w:rsidRPr="00E44EA0">
        <w:t>’</w:t>
      </w:r>
      <w:r w:rsidR="00DA77F1" w:rsidRPr="00E44EA0">
        <w:t>s documents</w:t>
      </w:r>
    </w:p>
    <w:p w14:paraId="7A857BCF" w14:textId="77777777" w:rsidR="00791FDF" w:rsidRPr="00E44EA0" w:rsidRDefault="00791FDF" w:rsidP="0002197D">
      <w:pPr>
        <w:jc w:val="both"/>
        <w:rPr>
          <w:b/>
        </w:rPr>
      </w:pPr>
      <w:r w:rsidRPr="00E44EA0">
        <w:rPr>
          <w:b/>
        </w:rPr>
        <w:t>General</w:t>
      </w:r>
    </w:p>
    <w:p w14:paraId="6DEBAD0E" w14:textId="77777777" w:rsidR="00611E68" w:rsidRPr="00E44EA0" w:rsidRDefault="00B735BB" w:rsidP="0002197D">
      <w:pPr>
        <w:jc w:val="both"/>
      </w:pPr>
      <w:r w:rsidRPr="00E44EA0">
        <w:t>The Standing Orders for the House</w:t>
      </w:r>
      <w:r w:rsidR="00A21276" w:rsidRPr="00E44EA0">
        <w:t xml:space="preserve"> of Representatives</w:t>
      </w:r>
      <w:r w:rsidRPr="00E44EA0">
        <w:t xml:space="preserve"> and the Senate provide </w:t>
      </w:r>
      <w:r w:rsidR="00324E75" w:rsidRPr="00E44EA0">
        <w:t xml:space="preserve">for certain documents to be deemed as having been presented </w:t>
      </w:r>
      <w:r w:rsidR="007F6458" w:rsidRPr="00E44EA0">
        <w:t>to the Parliament if they are delivered to the Clerks</w:t>
      </w:r>
      <w:r w:rsidR="00793D65" w:rsidRPr="00E44EA0">
        <w:t xml:space="preserve"> of the respective chambers</w:t>
      </w:r>
      <w:r w:rsidR="007F6458" w:rsidRPr="00E44EA0">
        <w:t xml:space="preserve"> and recorded in the </w:t>
      </w:r>
      <w:hyperlink w:anchor="VotesandProceedings" w:history="1">
        <w:r w:rsidR="00D54C65" w:rsidRPr="00E44EA0">
          <w:rPr>
            <w:rStyle w:val="Hyperlink"/>
          </w:rPr>
          <w:t>Votes and Proceedings</w:t>
        </w:r>
      </w:hyperlink>
      <w:r w:rsidR="00D54C65" w:rsidRPr="00E44EA0">
        <w:t xml:space="preserve"> </w:t>
      </w:r>
      <w:r w:rsidR="007F6458" w:rsidRPr="00E44EA0">
        <w:t>(House</w:t>
      </w:r>
      <w:r w:rsidR="00EA1A9F" w:rsidRPr="00E44EA0">
        <w:t xml:space="preserve"> of Representatives</w:t>
      </w:r>
      <w:r w:rsidR="007F6458" w:rsidRPr="00E44EA0">
        <w:t xml:space="preserve">) or the </w:t>
      </w:r>
      <w:hyperlink w:anchor="JournalsoftheSenate" w:history="1">
        <w:r w:rsidR="00D54C65" w:rsidRPr="00E44EA0">
          <w:rPr>
            <w:rStyle w:val="Hyperlink"/>
          </w:rPr>
          <w:t>Journals of the Senate</w:t>
        </w:r>
      </w:hyperlink>
      <w:r w:rsidR="007F6458" w:rsidRPr="00E44EA0">
        <w:t>.</w:t>
      </w:r>
      <w:r w:rsidR="00D85A2F" w:rsidRPr="00E44EA0">
        <w:t xml:space="preserve"> </w:t>
      </w:r>
    </w:p>
    <w:p w14:paraId="055AF1D8" w14:textId="77777777" w:rsidR="00611E68" w:rsidRPr="00E44EA0" w:rsidRDefault="00115A79" w:rsidP="0002197D">
      <w:pPr>
        <w:jc w:val="both"/>
      </w:pPr>
      <w:r w:rsidRPr="00E44EA0">
        <w:t>These documents are referred to as ‘</w:t>
      </w:r>
      <w:r w:rsidRPr="00455E0D">
        <w:rPr>
          <w:b/>
        </w:rPr>
        <w:t>deemed documents</w:t>
      </w:r>
      <w:r w:rsidRPr="00E44EA0">
        <w:t>’ in the House of Representatives and as ‘</w:t>
      </w:r>
      <w:r w:rsidRPr="00455E0D">
        <w:rPr>
          <w:b/>
        </w:rPr>
        <w:t>Clerk’s documents</w:t>
      </w:r>
      <w:r w:rsidRPr="00E44EA0">
        <w:t>’ in the Senate</w:t>
      </w:r>
      <w:r w:rsidR="00020621" w:rsidRPr="00E44EA0">
        <w:t>. They</w:t>
      </w:r>
      <w:r w:rsidR="00611E68" w:rsidRPr="00E44EA0">
        <w:t xml:space="preserve"> include legislative instruments tabled pursuant to the </w:t>
      </w:r>
      <w:r w:rsidR="00611E68" w:rsidRPr="00E44EA0">
        <w:rPr>
          <w:i/>
        </w:rPr>
        <w:t>Legislation Act 2003</w:t>
      </w:r>
      <w:r w:rsidR="00611E68" w:rsidRPr="00E44EA0">
        <w:t xml:space="preserve"> (LA) and ministerial</w:t>
      </w:r>
      <w:r w:rsidR="0099269C" w:rsidRPr="00E44EA0">
        <w:t xml:space="preserve"> or </w:t>
      </w:r>
      <w:r w:rsidR="00611E68" w:rsidRPr="00E44EA0">
        <w:t>departmental correspondence relating to delays in providing reports to Ministers as required by statute.</w:t>
      </w:r>
    </w:p>
    <w:p w14:paraId="0CFC9369" w14:textId="77777777" w:rsidR="00742E3F" w:rsidRPr="00E44EA0" w:rsidRDefault="00742E3F" w:rsidP="0002197D">
      <w:pPr>
        <w:jc w:val="both"/>
        <w:rPr>
          <w:b/>
        </w:rPr>
      </w:pPr>
      <w:r w:rsidRPr="00E44EA0">
        <w:rPr>
          <w:b/>
        </w:rPr>
        <w:t>Legislative instruments</w:t>
      </w:r>
    </w:p>
    <w:p w14:paraId="50AFCF80" w14:textId="77777777" w:rsidR="00611E68" w:rsidRPr="00E44EA0" w:rsidRDefault="008D7768" w:rsidP="0002197D">
      <w:pPr>
        <w:jc w:val="both"/>
      </w:pPr>
      <w:r>
        <w:t>U</w:t>
      </w:r>
      <w:r w:rsidRPr="00E44EA0">
        <w:t>nder section 38 of the LA</w:t>
      </w:r>
      <w:r>
        <w:t>, l</w:t>
      </w:r>
      <w:r w:rsidR="00611E68" w:rsidRPr="00E44EA0">
        <w:t xml:space="preserve">egislative instruments are required to be delivered to each </w:t>
      </w:r>
      <w:r w:rsidR="00360B26" w:rsidRPr="00E44EA0">
        <w:t>h</w:t>
      </w:r>
      <w:r w:rsidR="00611E68" w:rsidRPr="00E44EA0">
        <w:t xml:space="preserve">ouse of </w:t>
      </w:r>
      <w:r w:rsidR="00360B26" w:rsidRPr="00E44EA0">
        <w:t xml:space="preserve">the </w:t>
      </w:r>
      <w:r w:rsidR="00611E68" w:rsidRPr="00E44EA0">
        <w:t xml:space="preserve">Parliament by the </w:t>
      </w:r>
      <w:hyperlink w:anchor="OfficeofParliamentaryCouncil" w:history="1">
        <w:r w:rsidR="00611E68" w:rsidRPr="00E44EA0">
          <w:rPr>
            <w:rStyle w:val="Hyperlink"/>
          </w:rPr>
          <w:t>Office of Parliamentary Counsel</w:t>
        </w:r>
      </w:hyperlink>
      <w:r w:rsidR="00611E68" w:rsidRPr="00E44EA0">
        <w:t xml:space="preserve"> (OPC) within six sitting days after the instrument is registered on the </w:t>
      </w:r>
      <w:hyperlink r:id="rId76" w:history="1">
        <w:r w:rsidR="00611E68" w:rsidRPr="00E44EA0">
          <w:rPr>
            <w:rStyle w:val="Hyperlink"/>
          </w:rPr>
          <w:t>Federal Register of Legislation</w:t>
        </w:r>
      </w:hyperlink>
      <w:r w:rsidR="00611E68" w:rsidRPr="00E44EA0">
        <w:t xml:space="preserve"> (FRL).</w:t>
      </w:r>
    </w:p>
    <w:p w14:paraId="03B84FB9" w14:textId="77777777" w:rsidR="00611E68" w:rsidRPr="00E44EA0" w:rsidRDefault="00611E68" w:rsidP="0002197D">
      <w:pPr>
        <w:jc w:val="both"/>
      </w:pPr>
      <w:r w:rsidRPr="00E44EA0">
        <w:t xml:space="preserve">Rule-making entities </w:t>
      </w:r>
      <w:r w:rsidRPr="00E44EA0">
        <w:rPr>
          <w:u w:val="single"/>
        </w:rPr>
        <w:t>must</w:t>
      </w:r>
      <w:r w:rsidRPr="00E44EA0">
        <w:t xml:space="preserve"> ensure that they lodge </w:t>
      </w:r>
      <w:r w:rsidR="00742E3F" w:rsidRPr="00E44EA0">
        <w:t>a legislative</w:t>
      </w:r>
      <w:r w:rsidRPr="00E44EA0">
        <w:t xml:space="preserve"> instrument with </w:t>
      </w:r>
      <w:r w:rsidR="008043F5" w:rsidRPr="00E44EA0">
        <w:t xml:space="preserve">the </w:t>
      </w:r>
      <w:r w:rsidRPr="00E44EA0">
        <w:t xml:space="preserve">OPC for registration on FRL as soon as </w:t>
      </w:r>
      <w:r w:rsidR="00742E3F" w:rsidRPr="00E44EA0">
        <w:t xml:space="preserve">practicable </w:t>
      </w:r>
      <w:r w:rsidRPr="00E44EA0">
        <w:t xml:space="preserve">after the instrument is </w:t>
      </w:r>
      <w:r w:rsidR="00EC2988" w:rsidRPr="00E44EA0">
        <w:t>made by the rule maker</w:t>
      </w:r>
      <w:r w:rsidR="00742E3F" w:rsidRPr="00E44EA0">
        <w:t xml:space="preserve"> and before it is required to be enforceable. An instrument drafted by </w:t>
      </w:r>
      <w:r w:rsidR="008043F5" w:rsidRPr="00E44EA0">
        <w:t xml:space="preserve">the </w:t>
      </w:r>
      <w:r w:rsidR="00742E3F" w:rsidRPr="00E44EA0">
        <w:t>OPC, including those made by the Governor</w:t>
      </w:r>
      <w:r w:rsidR="00742E3F" w:rsidRPr="00E44EA0">
        <w:noBreakHyphen/>
        <w:t xml:space="preserve">General at the Federal Executive Council, is lodged using the OPC matter number and </w:t>
      </w:r>
      <w:r w:rsidR="008043F5" w:rsidRPr="00E44EA0">
        <w:t xml:space="preserve">the </w:t>
      </w:r>
      <w:r w:rsidR="00742E3F" w:rsidRPr="00E44EA0">
        <w:t>OPC will attach the document after it has been made.</w:t>
      </w:r>
      <w:r w:rsidR="00742E3F" w:rsidRPr="00E44EA0" w:rsidDel="00742E3F">
        <w:t xml:space="preserve"> </w:t>
      </w:r>
    </w:p>
    <w:p w14:paraId="50D7271A" w14:textId="77777777" w:rsidR="00611E68" w:rsidRPr="00E44EA0" w:rsidRDefault="00742E3F" w:rsidP="0002197D">
      <w:pPr>
        <w:jc w:val="both"/>
      </w:pPr>
      <w:r w:rsidRPr="00E44EA0">
        <w:t xml:space="preserve">It is preferable that the explanatory statement is lodged for registration at the same time as the instrument. If the entity does not do this, or cannot comply in time, </w:t>
      </w:r>
      <w:r w:rsidR="008043F5" w:rsidRPr="00E44EA0">
        <w:t xml:space="preserve">the </w:t>
      </w:r>
      <w:r w:rsidRPr="00E44EA0">
        <w:t>OPC may have to deliver the instrument for tabling without the explanatory statement</w:t>
      </w:r>
      <w:r w:rsidR="008043F5" w:rsidRPr="00E44EA0">
        <w:t>. In that case the</w:t>
      </w:r>
      <w:r w:rsidRPr="00E44EA0">
        <w:t xml:space="preserve"> rule mak</w:t>
      </w:r>
      <w:r w:rsidR="00436ABA" w:rsidRPr="00E44EA0">
        <w:t>ing</w:t>
      </w:r>
      <w:r w:rsidRPr="00E44EA0">
        <w:t xml:space="preserve"> entity </w:t>
      </w:r>
      <w:r w:rsidRPr="00E44EA0">
        <w:rPr>
          <w:u w:val="single"/>
        </w:rPr>
        <w:t>must</w:t>
      </w:r>
      <w:r w:rsidRPr="00E44EA0">
        <w:t xml:space="preserve">, as soon as possible, </w:t>
      </w:r>
      <w:r w:rsidR="003552FC" w:rsidRPr="00E44EA0">
        <w:t>present</w:t>
      </w:r>
      <w:r w:rsidRPr="00E44EA0">
        <w:t xml:space="preserve"> a written statement ex</w:t>
      </w:r>
      <w:r w:rsidR="00436ABA" w:rsidRPr="00E44EA0">
        <w:t>plaining the late</w:t>
      </w:r>
      <w:r w:rsidRPr="00E44EA0">
        <w:t xml:space="preserve"> lodgement of the explanatory statement.</w:t>
      </w:r>
      <w:r w:rsidRPr="00E44EA0" w:rsidDel="00742E3F">
        <w:t xml:space="preserve"> </w:t>
      </w:r>
    </w:p>
    <w:p w14:paraId="6903E171" w14:textId="77777777" w:rsidR="00611E68" w:rsidRPr="00E44EA0" w:rsidRDefault="00611E68" w:rsidP="0002197D">
      <w:pPr>
        <w:jc w:val="both"/>
      </w:pPr>
      <w:r w:rsidRPr="00E44EA0">
        <w:t xml:space="preserve">After the instrument is lodged by </w:t>
      </w:r>
      <w:r w:rsidR="00020621" w:rsidRPr="00E44EA0">
        <w:t xml:space="preserve">the </w:t>
      </w:r>
      <w:r w:rsidRPr="00E44EA0">
        <w:t xml:space="preserve">OPC with the Table Offices, tabling details can be accessed through FRL or through </w:t>
      </w:r>
      <w:r w:rsidRPr="0099041B">
        <w:t>the authoritative records of the Parliament</w:t>
      </w:r>
      <w:r w:rsidRPr="00E44EA0">
        <w:t xml:space="preserve">, the </w:t>
      </w:r>
      <w:hyperlink w:anchor="VotesandProceedings" w:history="1">
        <w:r w:rsidRPr="00E44EA0">
          <w:rPr>
            <w:rStyle w:val="Hyperlink"/>
          </w:rPr>
          <w:t>Votes and Proceedings</w:t>
        </w:r>
      </w:hyperlink>
      <w:r w:rsidRPr="00E44EA0">
        <w:t xml:space="preserve"> (House of Representatives) or the</w:t>
      </w:r>
      <w:r w:rsidR="00E34AA9" w:rsidRPr="00E44EA0">
        <w:t xml:space="preserve"> </w:t>
      </w:r>
      <w:hyperlink w:anchor="JournalsoftheSenate" w:history="1">
        <w:r w:rsidR="00E34AA9" w:rsidRPr="00E44EA0">
          <w:rPr>
            <w:rStyle w:val="Hyperlink"/>
          </w:rPr>
          <w:t>Journals of the Senate</w:t>
        </w:r>
      </w:hyperlink>
      <w:r w:rsidR="00E34AA9" w:rsidRPr="00E44EA0">
        <w:t>.</w:t>
      </w:r>
    </w:p>
    <w:p w14:paraId="54EC9373" w14:textId="77777777" w:rsidR="008E6713" w:rsidRPr="00E44EA0" w:rsidRDefault="00742E3F" w:rsidP="0002197D">
      <w:pPr>
        <w:jc w:val="both"/>
      </w:pPr>
      <w:r w:rsidRPr="00E44EA0">
        <w:t xml:space="preserve">Detailed information on the lodgement and registration of legislative instruments is </w:t>
      </w:r>
      <w:r w:rsidR="008E6713" w:rsidRPr="00E44EA0">
        <w:t xml:space="preserve">available in the </w:t>
      </w:r>
      <w:hyperlink r:id="rId77" w:history="1">
        <w:r w:rsidR="008E6713" w:rsidRPr="00E44EA0">
          <w:rPr>
            <w:rStyle w:val="Hyperlink"/>
          </w:rPr>
          <w:t>Instruments Handbook</w:t>
        </w:r>
      </w:hyperlink>
      <w:r w:rsidR="008E6713" w:rsidRPr="00E44EA0">
        <w:t>.</w:t>
      </w:r>
    </w:p>
    <w:p w14:paraId="12E19618" w14:textId="77777777" w:rsidR="008E6713" w:rsidRPr="00E44EA0" w:rsidRDefault="008E6713" w:rsidP="0002197D">
      <w:pPr>
        <w:jc w:val="both"/>
        <w:rPr>
          <w:b/>
        </w:rPr>
      </w:pPr>
      <w:r w:rsidRPr="00E44EA0">
        <w:rPr>
          <w:b/>
        </w:rPr>
        <w:t>Non-legislative instruments and other documents</w:t>
      </w:r>
    </w:p>
    <w:p w14:paraId="7347DF19" w14:textId="77777777" w:rsidR="00611E68" w:rsidRPr="00E44EA0" w:rsidRDefault="00611E68" w:rsidP="0002197D">
      <w:pPr>
        <w:jc w:val="both"/>
      </w:pPr>
      <w:r w:rsidRPr="00E44EA0">
        <w:t>Any non-legislative instruments and other documents are to be tabled as below.</w:t>
      </w:r>
    </w:p>
    <w:p w14:paraId="2746ADC1" w14:textId="77777777" w:rsidR="003E7D13" w:rsidRPr="00E44EA0" w:rsidRDefault="003E7D13" w:rsidP="0002197D">
      <w:pPr>
        <w:jc w:val="both"/>
        <w:rPr>
          <w:b/>
        </w:rPr>
      </w:pPr>
      <w:r w:rsidRPr="00E44EA0">
        <w:rPr>
          <w:b/>
        </w:rPr>
        <w:t>Advice to the Clerks</w:t>
      </w:r>
    </w:p>
    <w:p w14:paraId="5D849FB3" w14:textId="77777777" w:rsidR="003E7D13" w:rsidRPr="00E44EA0" w:rsidRDefault="003E7D13" w:rsidP="0002197D">
      <w:pPr>
        <w:jc w:val="both"/>
      </w:pPr>
      <w:r w:rsidRPr="00E44EA0">
        <w:t xml:space="preserve">When providing documents to the Clerks, departments </w:t>
      </w:r>
      <w:r w:rsidR="003552FC" w:rsidRPr="00E44EA0">
        <w:rPr>
          <w:u w:val="single"/>
        </w:rPr>
        <w:t>must</w:t>
      </w:r>
      <w:r w:rsidRPr="00E44EA0">
        <w:t xml:space="preserve"> advise the following information, where applicable:</w:t>
      </w:r>
    </w:p>
    <w:p w14:paraId="43EF8705" w14:textId="77777777" w:rsidR="003E7D13" w:rsidRPr="00E44EA0" w:rsidRDefault="003E7D13" w:rsidP="0002197D">
      <w:pPr>
        <w:pStyle w:val="ListParagraph"/>
        <w:numPr>
          <w:ilvl w:val="0"/>
          <w:numId w:val="5"/>
        </w:numPr>
        <w:jc w:val="both"/>
      </w:pPr>
      <w:r w:rsidRPr="00E44EA0">
        <w:t>indicat</w:t>
      </w:r>
      <w:r w:rsidR="0070130B" w:rsidRPr="00E44EA0">
        <w:t>e</w:t>
      </w:r>
      <w:r w:rsidRPr="00E44EA0">
        <w:t xml:space="preserve"> whether the documents are disallowable instruments</w:t>
      </w:r>
    </w:p>
    <w:p w14:paraId="571BA15C" w14:textId="77777777" w:rsidR="003E7D13" w:rsidRPr="00E44EA0" w:rsidRDefault="003E7D13" w:rsidP="0002197D">
      <w:pPr>
        <w:pStyle w:val="ListParagraph"/>
        <w:numPr>
          <w:ilvl w:val="0"/>
          <w:numId w:val="5"/>
        </w:numPr>
        <w:jc w:val="both"/>
      </w:pPr>
      <w:r w:rsidRPr="00E44EA0">
        <w:t>cit</w:t>
      </w:r>
      <w:r w:rsidR="0070130B" w:rsidRPr="00E44EA0">
        <w:t>e</w:t>
      </w:r>
      <w:r w:rsidRPr="00E44EA0">
        <w:t xml:space="preserve"> the legislation under which each document has been made</w:t>
      </w:r>
    </w:p>
    <w:p w14:paraId="5A0A1864" w14:textId="77777777" w:rsidR="003E7D13" w:rsidRPr="00E44EA0" w:rsidRDefault="003E7D13" w:rsidP="0002197D">
      <w:pPr>
        <w:pStyle w:val="ListParagraph"/>
        <w:numPr>
          <w:ilvl w:val="0"/>
          <w:numId w:val="5"/>
        </w:numPr>
        <w:jc w:val="both"/>
      </w:pPr>
      <w:r w:rsidRPr="00E44EA0">
        <w:t>cit</w:t>
      </w:r>
      <w:r w:rsidR="0070130B" w:rsidRPr="00E44EA0">
        <w:t>e</w:t>
      </w:r>
      <w:r w:rsidRPr="00E44EA0">
        <w:t xml:space="preserve"> the section of the legislation which requires the document to be tabled</w:t>
      </w:r>
    </w:p>
    <w:p w14:paraId="5056A997" w14:textId="77777777" w:rsidR="003E7D13" w:rsidRPr="00E44EA0" w:rsidRDefault="003E7D13" w:rsidP="0002197D">
      <w:pPr>
        <w:pStyle w:val="ListParagraph"/>
        <w:numPr>
          <w:ilvl w:val="0"/>
          <w:numId w:val="5"/>
        </w:numPr>
        <w:jc w:val="both"/>
      </w:pPr>
      <w:r w:rsidRPr="00E44EA0">
        <w:t>provid</w:t>
      </w:r>
      <w:r w:rsidR="0070130B" w:rsidRPr="00E44EA0">
        <w:t>e</w:t>
      </w:r>
      <w:r w:rsidRPr="00E44EA0">
        <w:t xml:space="preserve"> the name and details of a departmental contact</w:t>
      </w:r>
    </w:p>
    <w:p w14:paraId="27B4E9F6" w14:textId="77777777" w:rsidR="003E7D13" w:rsidRPr="00E44EA0" w:rsidRDefault="003E7D13" w:rsidP="0002197D">
      <w:pPr>
        <w:pStyle w:val="ListParagraph"/>
        <w:numPr>
          <w:ilvl w:val="0"/>
          <w:numId w:val="5"/>
        </w:numPr>
        <w:jc w:val="both"/>
      </w:pPr>
      <w:r w:rsidRPr="00E44EA0">
        <w:t>provid</w:t>
      </w:r>
      <w:r w:rsidR="0070130B" w:rsidRPr="00E44EA0">
        <w:t>e</w:t>
      </w:r>
      <w:r w:rsidRPr="00E44EA0">
        <w:t xml:space="preserve"> explanatory statements that have been prepared for such documents</w:t>
      </w:r>
    </w:p>
    <w:p w14:paraId="62804F9E" w14:textId="77777777" w:rsidR="008E6713" w:rsidRPr="00E44EA0" w:rsidRDefault="008E6713" w:rsidP="0002197D">
      <w:pPr>
        <w:autoSpaceDE/>
        <w:autoSpaceDN/>
        <w:spacing w:after="0" w:line="240" w:lineRule="auto"/>
        <w:jc w:val="both"/>
        <w:rPr>
          <w:b/>
        </w:rPr>
      </w:pPr>
      <w:r w:rsidRPr="00E44EA0">
        <w:rPr>
          <w:b/>
        </w:rPr>
        <w:br w:type="page"/>
      </w:r>
    </w:p>
    <w:p w14:paraId="6F7B44A6" w14:textId="77777777" w:rsidR="00793D65" w:rsidRPr="00E44EA0" w:rsidRDefault="00793D65" w:rsidP="0002197D">
      <w:pPr>
        <w:jc w:val="both"/>
        <w:rPr>
          <w:b/>
        </w:rPr>
      </w:pPr>
      <w:r w:rsidRPr="00E44EA0">
        <w:rPr>
          <w:b/>
        </w:rPr>
        <w:lastRenderedPageBreak/>
        <w:t>Timing</w:t>
      </w:r>
      <w:r w:rsidR="003D5113" w:rsidRPr="00E44EA0">
        <w:rPr>
          <w:b/>
        </w:rPr>
        <w:t xml:space="preserve"> </w:t>
      </w:r>
    </w:p>
    <w:p w14:paraId="670595DB" w14:textId="77777777" w:rsidR="00793D65" w:rsidRPr="00E44EA0" w:rsidRDefault="00793D65" w:rsidP="0002197D">
      <w:pPr>
        <w:jc w:val="both"/>
      </w:pPr>
      <w:r w:rsidRPr="00E44EA0">
        <w:t xml:space="preserve">Documents received by 5.00pm in the </w:t>
      </w:r>
      <w:r w:rsidRPr="00455E0D">
        <w:rPr>
          <w:b/>
        </w:rPr>
        <w:t>House</w:t>
      </w:r>
      <w:r w:rsidR="00A21276" w:rsidRPr="00455E0D">
        <w:rPr>
          <w:b/>
        </w:rPr>
        <w:t xml:space="preserve"> of Representatives</w:t>
      </w:r>
      <w:r w:rsidRPr="00E44EA0">
        <w:t xml:space="preserve"> on a sitting day (3.00pm for sitting Thursdays) will normally be tabled on that day. Documents received by 3.00pm in the </w:t>
      </w:r>
      <w:r w:rsidRPr="00455E0D">
        <w:rPr>
          <w:b/>
        </w:rPr>
        <w:t>Senate</w:t>
      </w:r>
      <w:r w:rsidRPr="00E44EA0">
        <w:t xml:space="preserve"> will normally be tabled the following day. Notification of tabling will appear in the </w:t>
      </w:r>
      <w:hyperlink w:anchor="JournalsoftheSenate" w:history="1">
        <w:r w:rsidRPr="00E44EA0">
          <w:rPr>
            <w:rStyle w:val="Hyperlink"/>
          </w:rPr>
          <w:t>Journals of the Senate</w:t>
        </w:r>
      </w:hyperlink>
      <w:r w:rsidRPr="00E44EA0">
        <w:t xml:space="preserve"> and the </w:t>
      </w:r>
      <w:hyperlink w:anchor="VotesandProceedings" w:history="1">
        <w:r w:rsidRPr="00E44EA0">
          <w:rPr>
            <w:rStyle w:val="Hyperlink"/>
          </w:rPr>
          <w:t>Votes and Proceedings</w:t>
        </w:r>
      </w:hyperlink>
      <w:r w:rsidRPr="00E44EA0">
        <w:t xml:space="preserve"> which are </w:t>
      </w:r>
      <w:r w:rsidR="00020621" w:rsidRPr="00E44EA0">
        <w:t>available</w:t>
      </w:r>
      <w:r w:rsidRPr="00E44EA0">
        <w:t xml:space="preserve"> on the </w:t>
      </w:r>
      <w:r w:rsidR="00ED753C" w:rsidRPr="00E44EA0">
        <w:t>Parliament House</w:t>
      </w:r>
      <w:r w:rsidRPr="00E44EA0">
        <w:t xml:space="preserve"> website</w:t>
      </w:r>
      <w:r w:rsidR="00020621" w:rsidRPr="00E44EA0">
        <w:t xml:space="preserve"> the next sitting day.</w:t>
      </w:r>
    </w:p>
    <w:p w14:paraId="5C52CEA5" w14:textId="77777777" w:rsidR="00261092" w:rsidRDefault="00C40048" w:rsidP="0002197D">
      <w:pPr>
        <w:jc w:val="both"/>
      </w:pPr>
      <w:r w:rsidRPr="00E44EA0">
        <w:t xml:space="preserve">Departments </w:t>
      </w:r>
      <w:r w:rsidRPr="00E44EA0">
        <w:rPr>
          <w:u w:val="single"/>
        </w:rPr>
        <w:t>must</w:t>
      </w:r>
      <w:r w:rsidRPr="00E44EA0">
        <w:t xml:space="preserve"> ensure that for disallowable non-legislative instruments, the instrument and accompanying documents are forwarded well in advance of the end of the statutory period for tabling. For the purpose of calculating the periods relating to disallowable instruments, departments are encouraged to keep track of sitting days of both </w:t>
      </w:r>
      <w:r w:rsidR="001578D2" w:rsidRPr="00E44EA0">
        <w:t>chambers</w:t>
      </w:r>
      <w:r w:rsidRPr="00E44EA0">
        <w:t>, as these occasionally differ and sitting days can sometimes be varied (added or not met).</w:t>
      </w:r>
      <w:r w:rsidR="004D074D" w:rsidRPr="00E44EA0">
        <w:t xml:space="preserve"> For further information contact the Senate PLO.</w:t>
      </w:r>
    </w:p>
    <w:p w14:paraId="6FCE72D8" w14:textId="77777777" w:rsidR="008F4004" w:rsidRPr="008F4004" w:rsidRDefault="008F4004" w:rsidP="008F4004">
      <w:pPr>
        <w:pBdr>
          <w:top w:val="single" w:sz="4" w:space="0" w:color="auto"/>
          <w:left w:val="single" w:sz="4" w:space="0" w:color="auto"/>
          <w:right w:val="single" w:sz="4" w:space="0" w:color="auto"/>
        </w:pBdr>
        <w:shd w:val="clear" w:color="auto" w:fill="B8CCE4" w:themeFill="accent1" w:themeFillTint="66"/>
        <w:spacing w:after="120"/>
        <w:ind w:left="28" w:right="51"/>
        <w:jc w:val="center"/>
        <w:rPr>
          <w:rFonts w:cstheme="minorHAnsi"/>
        </w:rPr>
      </w:pPr>
      <w:r w:rsidRPr="008F4004">
        <w:rPr>
          <w:rFonts w:cstheme="minorHAnsi"/>
        </w:rPr>
        <w:t xml:space="preserve">Deemed/Clerk’s documents </w:t>
      </w:r>
    </w:p>
    <w:p w14:paraId="5E18BFAE" w14:textId="77777777" w:rsidR="008F4004" w:rsidRPr="008F4004" w:rsidRDefault="008F4004" w:rsidP="008F4004">
      <w:pPr>
        <w:pBdr>
          <w:top w:val="single" w:sz="4" w:space="0" w:color="auto"/>
          <w:left w:val="single" w:sz="4" w:space="0" w:color="auto"/>
          <w:right w:val="single" w:sz="4" w:space="0" w:color="auto"/>
        </w:pBdr>
        <w:shd w:val="clear" w:color="auto" w:fill="B8CCE4" w:themeFill="accent1" w:themeFillTint="66"/>
        <w:spacing w:after="0"/>
        <w:ind w:left="28" w:right="51"/>
        <w:jc w:val="center"/>
        <w:rPr>
          <w:rFonts w:cstheme="minorHAnsi"/>
        </w:rPr>
      </w:pPr>
      <w:r w:rsidRPr="008F4004">
        <w:rPr>
          <w:rFonts w:cstheme="minorHAnsi"/>
        </w:rPr>
        <w:t>Tabling Days in a Sitting Week</w:t>
      </w:r>
    </w:p>
    <w:tbl>
      <w:tblPr>
        <w:tblStyle w:val="TableGrid"/>
        <w:tblW w:w="0" w:type="auto"/>
        <w:tblLook w:val="04A0" w:firstRow="1" w:lastRow="0" w:firstColumn="1" w:lastColumn="0" w:noHBand="0" w:noVBand="1"/>
      </w:tblPr>
      <w:tblGrid>
        <w:gridCol w:w="1947"/>
        <w:gridCol w:w="1947"/>
        <w:gridCol w:w="1947"/>
        <w:gridCol w:w="1947"/>
        <w:gridCol w:w="1846"/>
      </w:tblGrid>
      <w:tr w:rsidR="00865A2D" w:rsidRPr="00E44EA0" w14:paraId="6DEB31D1" w14:textId="77777777" w:rsidTr="000D0026">
        <w:trPr>
          <w:tblHeader/>
        </w:trPr>
        <w:tc>
          <w:tcPr>
            <w:tcW w:w="1947" w:type="dxa"/>
            <w:tcBorders>
              <w:left w:val="single" w:sz="4" w:space="0" w:color="auto"/>
            </w:tcBorders>
          </w:tcPr>
          <w:p w14:paraId="767E4FBF" w14:textId="77777777" w:rsidR="00865A2D" w:rsidRPr="00E44EA0" w:rsidRDefault="00865A2D" w:rsidP="00737E64">
            <w:pPr>
              <w:spacing w:after="240"/>
            </w:pPr>
          </w:p>
        </w:tc>
        <w:tc>
          <w:tcPr>
            <w:tcW w:w="1947" w:type="dxa"/>
            <w:vAlign w:val="center"/>
          </w:tcPr>
          <w:p w14:paraId="66C654E9" w14:textId="77777777" w:rsidR="00865A2D" w:rsidRPr="00E44EA0" w:rsidRDefault="00865A2D" w:rsidP="00737E64">
            <w:pPr>
              <w:jc w:val="center"/>
              <w:rPr>
                <w:rFonts w:cstheme="minorHAnsi"/>
              </w:rPr>
            </w:pPr>
            <w:r w:rsidRPr="00E44EA0">
              <w:rPr>
                <w:rFonts w:cstheme="minorHAnsi"/>
              </w:rPr>
              <w:t>Monday</w:t>
            </w:r>
          </w:p>
        </w:tc>
        <w:tc>
          <w:tcPr>
            <w:tcW w:w="1947" w:type="dxa"/>
            <w:vAlign w:val="center"/>
          </w:tcPr>
          <w:p w14:paraId="61B458AB" w14:textId="77777777" w:rsidR="00865A2D" w:rsidRPr="00E44EA0" w:rsidRDefault="00865A2D" w:rsidP="00737E64">
            <w:pPr>
              <w:jc w:val="center"/>
              <w:rPr>
                <w:rFonts w:cstheme="minorHAnsi"/>
              </w:rPr>
            </w:pPr>
            <w:r w:rsidRPr="00E44EA0">
              <w:rPr>
                <w:rFonts w:cstheme="minorHAnsi"/>
              </w:rPr>
              <w:t>Tuesday</w:t>
            </w:r>
          </w:p>
        </w:tc>
        <w:tc>
          <w:tcPr>
            <w:tcW w:w="1947" w:type="dxa"/>
            <w:vAlign w:val="center"/>
          </w:tcPr>
          <w:p w14:paraId="5EBA72C8" w14:textId="77777777" w:rsidR="00865A2D" w:rsidRPr="00E44EA0" w:rsidRDefault="00865A2D" w:rsidP="00737E64">
            <w:pPr>
              <w:jc w:val="center"/>
              <w:rPr>
                <w:rFonts w:cstheme="minorHAnsi"/>
              </w:rPr>
            </w:pPr>
            <w:r w:rsidRPr="00E44EA0">
              <w:rPr>
                <w:rFonts w:cstheme="minorHAnsi"/>
              </w:rPr>
              <w:t>Wednesday</w:t>
            </w:r>
          </w:p>
        </w:tc>
        <w:tc>
          <w:tcPr>
            <w:tcW w:w="1846" w:type="dxa"/>
            <w:vAlign w:val="center"/>
          </w:tcPr>
          <w:p w14:paraId="31D25A9E" w14:textId="77777777" w:rsidR="00865A2D" w:rsidRPr="00E44EA0" w:rsidRDefault="00865A2D" w:rsidP="00737E64">
            <w:pPr>
              <w:jc w:val="center"/>
              <w:rPr>
                <w:rFonts w:cstheme="minorHAnsi"/>
              </w:rPr>
            </w:pPr>
            <w:r w:rsidRPr="00E44EA0">
              <w:rPr>
                <w:rFonts w:cstheme="minorHAnsi"/>
              </w:rPr>
              <w:t>Thursday</w:t>
            </w:r>
          </w:p>
        </w:tc>
      </w:tr>
      <w:tr w:rsidR="00865A2D" w:rsidRPr="00E44EA0" w14:paraId="4FE51E7C" w14:textId="77777777" w:rsidTr="009B05FD">
        <w:tc>
          <w:tcPr>
            <w:tcW w:w="1947" w:type="dxa"/>
            <w:vAlign w:val="center"/>
          </w:tcPr>
          <w:p w14:paraId="72E317A2" w14:textId="77777777" w:rsidR="00865A2D" w:rsidRPr="00E44EA0" w:rsidRDefault="00865A2D" w:rsidP="00865A2D">
            <w:pPr>
              <w:jc w:val="center"/>
              <w:rPr>
                <w:rFonts w:cstheme="minorHAnsi"/>
              </w:rPr>
            </w:pPr>
            <w:r w:rsidRPr="00E44EA0">
              <w:rPr>
                <w:rFonts w:cstheme="minorHAnsi"/>
              </w:rPr>
              <w:t xml:space="preserve">Senate </w:t>
            </w:r>
          </w:p>
        </w:tc>
        <w:tc>
          <w:tcPr>
            <w:tcW w:w="1947" w:type="dxa"/>
            <w:vAlign w:val="center"/>
          </w:tcPr>
          <w:p w14:paraId="0D0E93AC" w14:textId="77777777" w:rsidR="00865A2D" w:rsidRPr="00E44EA0" w:rsidRDefault="00865A2D" w:rsidP="00865A2D">
            <w:pPr>
              <w:jc w:val="center"/>
              <w:rPr>
                <w:rFonts w:cstheme="minorHAnsi"/>
              </w:rPr>
            </w:pPr>
            <w:r w:rsidRPr="00E44EA0">
              <w:rPr>
                <w:rFonts w:cstheme="minorHAnsi"/>
              </w:rPr>
              <w:t>Yes</w:t>
            </w:r>
          </w:p>
        </w:tc>
        <w:tc>
          <w:tcPr>
            <w:tcW w:w="1947" w:type="dxa"/>
            <w:vAlign w:val="center"/>
          </w:tcPr>
          <w:p w14:paraId="0343DDAB" w14:textId="77777777" w:rsidR="00865A2D" w:rsidRPr="00E44EA0" w:rsidRDefault="00865A2D" w:rsidP="00865A2D">
            <w:pPr>
              <w:jc w:val="center"/>
              <w:rPr>
                <w:rFonts w:cstheme="minorHAnsi"/>
              </w:rPr>
            </w:pPr>
            <w:r w:rsidRPr="00E44EA0">
              <w:rPr>
                <w:rFonts w:cstheme="minorHAnsi"/>
              </w:rPr>
              <w:t>Yes</w:t>
            </w:r>
          </w:p>
        </w:tc>
        <w:tc>
          <w:tcPr>
            <w:tcW w:w="1947" w:type="dxa"/>
            <w:vAlign w:val="center"/>
          </w:tcPr>
          <w:p w14:paraId="5D9B94BA" w14:textId="77777777" w:rsidR="00865A2D" w:rsidRPr="00E44EA0" w:rsidRDefault="00865A2D" w:rsidP="00865A2D">
            <w:pPr>
              <w:jc w:val="center"/>
              <w:rPr>
                <w:rFonts w:cstheme="minorHAnsi"/>
              </w:rPr>
            </w:pPr>
            <w:r w:rsidRPr="00E44EA0">
              <w:rPr>
                <w:rFonts w:cstheme="minorHAnsi"/>
              </w:rPr>
              <w:t>Yes</w:t>
            </w:r>
          </w:p>
        </w:tc>
        <w:tc>
          <w:tcPr>
            <w:tcW w:w="1846" w:type="dxa"/>
            <w:vAlign w:val="center"/>
          </w:tcPr>
          <w:p w14:paraId="34A598D6" w14:textId="77777777" w:rsidR="00865A2D" w:rsidRPr="00E44EA0" w:rsidRDefault="00865A2D" w:rsidP="00865A2D">
            <w:pPr>
              <w:jc w:val="center"/>
              <w:rPr>
                <w:rFonts w:cstheme="minorHAnsi"/>
              </w:rPr>
            </w:pPr>
            <w:r w:rsidRPr="00E44EA0">
              <w:rPr>
                <w:rFonts w:cstheme="minorHAnsi"/>
              </w:rPr>
              <w:t>Yes</w:t>
            </w:r>
          </w:p>
        </w:tc>
      </w:tr>
      <w:tr w:rsidR="00865A2D" w:rsidRPr="00E44EA0" w14:paraId="2D028772" w14:textId="77777777" w:rsidTr="009B05FD">
        <w:tc>
          <w:tcPr>
            <w:tcW w:w="1947" w:type="dxa"/>
            <w:vAlign w:val="center"/>
          </w:tcPr>
          <w:p w14:paraId="23CF6599" w14:textId="77777777" w:rsidR="00865A2D" w:rsidRPr="00E44EA0" w:rsidRDefault="00865A2D" w:rsidP="00865A2D">
            <w:pPr>
              <w:jc w:val="center"/>
              <w:rPr>
                <w:rFonts w:cstheme="minorHAnsi"/>
              </w:rPr>
            </w:pPr>
            <w:r w:rsidRPr="00E44EA0">
              <w:rPr>
                <w:rFonts w:cstheme="minorHAnsi"/>
              </w:rPr>
              <w:t>House of Representatives</w:t>
            </w:r>
          </w:p>
        </w:tc>
        <w:tc>
          <w:tcPr>
            <w:tcW w:w="1947" w:type="dxa"/>
            <w:vAlign w:val="center"/>
          </w:tcPr>
          <w:p w14:paraId="66795D4C" w14:textId="77777777" w:rsidR="00865A2D" w:rsidRPr="00E44EA0" w:rsidRDefault="00865A2D" w:rsidP="00865A2D">
            <w:pPr>
              <w:jc w:val="center"/>
              <w:rPr>
                <w:rFonts w:cstheme="minorHAnsi"/>
              </w:rPr>
            </w:pPr>
            <w:r w:rsidRPr="00E44EA0">
              <w:rPr>
                <w:rFonts w:cstheme="minorHAnsi"/>
              </w:rPr>
              <w:t>Yes</w:t>
            </w:r>
          </w:p>
        </w:tc>
        <w:tc>
          <w:tcPr>
            <w:tcW w:w="1947" w:type="dxa"/>
            <w:vAlign w:val="center"/>
          </w:tcPr>
          <w:p w14:paraId="58FD07B9" w14:textId="77777777" w:rsidR="00865A2D" w:rsidRPr="00E44EA0" w:rsidRDefault="00865A2D" w:rsidP="00865A2D">
            <w:pPr>
              <w:jc w:val="center"/>
              <w:rPr>
                <w:rFonts w:cstheme="minorHAnsi"/>
              </w:rPr>
            </w:pPr>
            <w:r w:rsidRPr="00E44EA0">
              <w:rPr>
                <w:rFonts w:cstheme="minorHAnsi"/>
              </w:rPr>
              <w:t>Yes</w:t>
            </w:r>
          </w:p>
        </w:tc>
        <w:tc>
          <w:tcPr>
            <w:tcW w:w="1947" w:type="dxa"/>
            <w:vAlign w:val="center"/>
          </w:tcPr>
          <w:p w14:paraId="7E1E193F" w14:textId="77777777" w:rsidR="00865A2D" w:rsidRPr="00E44EA0" w:rsidRDefault="00865A2D" w:rsidP="00865A2D">
            <w:pPr>
              <w:jc w:val="center"/>
              <w:rPr>
                <w:rFonts w:cstheme="minorHAnsi"/>
              </w:rPr>
            </w:pPr>
            <w:r w:rsidRPr="00E44EA0">
              <w:rPr>
                <w:rFonts w:cstheme="minorHAnsi"/>
              </w:rPr>
              <w:t>Yes</w:t>
            </w:r>
          </w:p>
        </w:tc>
        <w:tc>
          <w:tcPr>
            <w:tcW w:w="1846" w:type="dxa"/>
            <w:vAlign w:val="center"/>
          </w:tcPr>
          <w:p w14:paraId="63BB8C4E" w14:textId="77777777" w:rsidR="00865A2D" w:rsidRPr="00E44EA0" w:rsidRDefault="00865A2D" w:rsidP="00865A2D">
            <w:pPr>
              <w:jc w:val="center"/>
              <w:rPr>
                <w:rFonts w:cstheme="minorHAnsi"/>
              </w:rPr>
            </w:pPr>
            <w:r w:rsidRPr="00E44EA0">
              <w:rPr>
                <w:rFonts w:cstheme="minorHAnsi"/>
              </w:rPr>
              <w:t>Yes</w:t>
            </w:r>
          </w:p>
        </w:tc>
      </w:tr>
    </w:tbl>
    <w:p w14:paraId="5512E499" w14:textId="77777777" w:rsidR="00020621" w:rsidRPr="00E44EA0" w:rsidRDefault="00020621" w:rsidP="00020621">
      <w:pPr>
        <w:rPr>
          <w:u w:val="single"/>
        </w:rPr>
      </w:pPr>
      <w:r w:rsidRPr="00E44EA0">
        <w:rPr>
          <w:sz w:val="16"/>
          <w:szCs w:val="16"/>
        </w:rPr>
        <w:t xml:space="preserve">Note: The PM&amp;C Tabling Office </w:t>
      </w:r>
      <w:r w:rsidRPr="00E44EA0">
        <w:rPr>
          <w:sz w:val="16"/>
          <w:szCs w:val="16"/>
          <w:u w:val="single"/>
        </w:rPr>
        <w:t>does not</w:t>
      </w:r>
      <w:r w:rsidRPr="00E44EA0">
        <w:rPr>
          <w:sz w:val="16"/>
          <w:szCs w:val="16"/>
        </w:rPr>
        <w:t xml:space="preserve"> coordinate the presentation of this class of documents</w:t>
      </w:r>
      <w:r w:rsidRPr="00E44EA0">
        <w:t>.</w:t>
      </w:r>
    </w:p>
    <w:p w14:paraId="50D8A6A9" w14:textId="77777777" w:rsidR="00BC45E5" w:rsidRPr="00E44EA0" w:rsidRDefault="00BC45E5" w:rsidP="00BC45E5">
      <w:pPr>
        <w:rPr>
          <w:b/>
        </w:rPr>
      </w:pPr>
      <w:r w:rsidRPr="00E44EA0">
        <w:rPr>
          <w:b/>
        </w:rPr>
        <w:t xml:space="preserve">Presentation of documents when the Parliament is not sitting </w:t>
      </w:r>
    </w:p>
    <w:p w14:paraId="227E7C82" w14:textId="77777777" w:rsidR="0022061B" w:rsidRPr="00E44EA0" w:rsidRDefault="00D14C73" w:rsidP="0022061B">
      <w:pPr>
        <w:rPr>
          <w:b/>
        </w:rPr>
      </w:pPr>
      <w:r w:rsidRPr="00E44EA0">
        <w:rPr>
          <w:rFonts w:cstheme="minorHAnsi"/>
        </w:rPr>
        <w:t>Deemed/</w:t>
      </w:r>
      <w:r w:rsidR="009F5517" w:rsidRPr="00E44EA0">
        <w:rPr>
          <w:rFonts w:cstheme="minorHAnsi"/>
        </w:rPr>
        <w:t>C</w:t>
      </w:r>
      <w:r w:rsidRPr="00E44EA0">
        <w:rPr>
          <w:rFonts w:cstheme="minorHAnsi"/>
        </w:rPr>
        <w:t>lerk’s document</w:t>
      </w:r>
      <w:r w:rsidR="005A61BC" w:rsidRPr="00E44EA0">
        <w:rPr>
          <w:rFonts w:cstheme="minorHAnsi"/>
        </w:rPr>
        <w:t>s</w:t>
      </w:r>
      <w:r w:rsidRPr="00E44EA0">
        <w:rPr>
          <w:rFonts w:cstheme="minorHAnsi"/>
        </w:rPr>
        <w:t xml:space="preserve"> cannot be presented when the </w:t>
      </w:r>
      <w:r w:rsidR="00EA1A9F" w:rsidRPr="00E44EA0">
        <w:rPr>
          <w:rFonts w:cstheme="minorHAnsi"/>
        </w:rPr>
        <w:t>Parliament</w:t>
      </w:r>
      <w:r w:rsidRPr="00E44EA0">
        <w:rPr>
          <w:rFonts w:cstheme="minorHAnsi"/>
        </w:rPr>
        <w:t xml:space="preserve"> </w:t>
      </w:r>
      <w:r w:rsidR="007F00A2" w:rsidRPr="00E44EA0">
        <w:rPr>
          <w:rFonts w:cstheme="minorHAnsi"/>
        </w:rPr>
        <w:t>is</w:t>
      </w:r>
      <w:r w:rsidRPr="00E44EA0">
        <w:rPr>
          <w:rFonts w:cstheme="minorHAnsi"/>
        </w:rPr>
        <w:t xml:space="preserve"> not sitting.</w:t>
      </w:r>
      <w:r w:rsidR="0022061B" w:rsidRPr="00E44EA0">
        <w:rPr>
          <w:b/>
        </w:rPr>
        <w:t xml:space="preserve"> </w:t>
      </w:r>
    </w:p>
    <w:p w14:paraId="697B5C45" w14:textId="77777777" w:rsidR="0022061B" w:rsidRPr="00E44EA0" w:rsidRDefault="0022061B" w:rsidP="0022061B">
      <w:pPr>
        <w:rPr>
          <w:b/>
        </w:rPr>
      </w:pPr>
      <w:r w:rsidRPr="00E44EA0">
        <w:rPr>
          <w:b/>
        </w:rPr>
        <w:t>Contacts</w:t>
      </w:r>
    </w:p>
    <w:tbl>
      <w:tblPr>
        <w:tblStyle w:val="TableGrid"/>
        <w:tblW w:w="0" w:type="auto"/>
        <w:tblInd w:w="137" w:type="dxa"/>
        <w:tblLook w:val="04A0" w:firstRow="1" w:lastRow="0" w:firstColumn="1" w:lastColumn="0" w:noHBand="0" w:noVBand="1"/>
      </w:tblPr>
      <w:tblGrid>
        <w:gridCol w:w="3402"/>
        <w:gridCol w:w="6048"/>
      </w:tblGrid>
      <w:tr w:rsidR="0022061B" w:rsidRPr="00E44EA0" w14:paraId="435A5BF5" w14:textId="77777777" w:rsidTr="0022061B">
        <w:tc>
          <w:tcPr>
            <w:tcW w:w="3402" w:type="dxa"/>
          </w:tcPr>
          <w:p w14:paraId="3C8FA320" w14:textId="77777777" w:rsidR="0022061B" w:rsidRPr="00E44EA0" w:rsidRDefault="0022061B" w:rsidP="0022061B">
            <w:pPr>
              <w:rPr>
                <w:b/>
              </w:rPr>
            </w:pPr>
            <w:r w:rsidRPr="00E44EA0">
              <w:rPr>
                <w:b/>
              </w:rPr>
              <w:t xml:space="preserve">Office of Parliamentary </w:t>
            </w:r>
            <w:r w:rsidR="00436ABA" w:rsidRPr="00E44EA0">
              <w:rPr>
                <w:b/>
              </w:rPr>
              <w:t>Counse</w:t>
            </w:r>
            <w:r w:rsidR="004849B2" w:rsidRPr="00E44EA0">
              <w:rPr>
                <w:b/>
              </w:rPr>
              <w:t>l</w:t>
            </w:r>
          </w:p>
        </w:tc>
        <w:tc>
          <w:tcPr>
            <w:tcW w:w="6048" w:type="dxa"/>
          </w:tcPr>
          <w:p w14:paraId="6D71D737" w14:textId="77777777" w:rsidR="0022061B" w:rsidRPr="00E44EA0" w:rsidRDefault="0022061B" w:rsidP="0022061B">
            <w:r w:rsidRPr="00E44EA0">
              <w:t>Federal Register of Legislation Help Desk</w:t>
            </w:r>
            <w:r w:rsidRPr="00E44EA0">
              <w:br/>
            </w:r>
            <w:hyperlink r:id="rId78" w:history="1">
              <w:r w:rsidRPr="00E44EA0">
                <w:rPr>
                  <w:rStyle w:val="Hyperlink"/>
                </w:rPr>
                <w:t>lodge@legislation.gov.au</w:t>
              </w:r>
            </w:hyperlink>
            <w:r w:rsidRPr="00E44EA0">
              <w:t xml:space="preserve"> </w:t>
            </w:r>
            <w:r w:rsidRPr="00E44EA0">
              <w:br/>
              <w:t>(02) 6120 1350</w:t>
            </w:r>
          </w:p>
        </w:tc>
      </w:tr>
      <w:tr w:rsidR="0022061B" w:rsidRPr="00E44EA0" w14:paraId="6C62492B" w14:textId="77777777" w:rsidTr="0022061B">
        <w:tc>
          <w:tcPr>
            <w:tcW w:w="3402" w:type="dxa"/>
          </w:tcPr>
          <w:p w14:paraId="7C868CF5" w14:textId="77777777" w:rsidR="0022061B" w:rsidRPr="00E44EA0" w:rsidRDefault="0022061B" w:rsidP="0022061B">
            <w:pPr>
              <w:rPr>
                <w:b/>
              </w:rPr>
            </w:pPr>
            <w:r w:rsidRPr="00E44EA0">
              <w:rPr>
                <w:b/>
              </w:rPr>
              <w:t>House of Representatives</w:t>
            </w:r>
          </w:p>
        </w:tc>
        <w:tc>
          <w:tcPr>
            <w:tcW w:w="6048" w:type="dxa"/>
          </w:tcPr>
          <w:p w14:paraId="50DA93BB" w14:textId="77777777" w:rsidR="0022061B" w:rsidRPr="00E44EA0" w:rsidRDefault="0022061B" w:rsidP="0022061B">
            <w:r w:rsidRPr="00E44EA0">
              <w:t>Documents Manager</w:t>
            </w:r>
            <w:r w:rsidRPr="00E44EA0">
              <w:br/>
              <w:t>House of Representatives Table Office</w:t>
            </w:r>
            <w:r w:rsidRPr="00E44EA0">
              <w:br/>
              <w:t>RG</w:t>
            </w:r>
            <w:r w:rsidR="00640144">
              <w:t>.</w:t>
            </w:r>
            <w:r w:rsidRPr="00E44EA0">
              <w:t>89</w:t>
            </w:r>
            <w:r w:rsidRPr="00E44EA0">
              <w:br/>
              <w:t>(02) 6277 4800</w:t>
            </w:r>
          </w:p>
        </w:tc>
      </w:tr>
      <w:tr w:rsidR="0022061B" w:rsidRPr="00E44EA0" w14:paraId="23718016" w14:textId="77777777" w:rsidTr="0022061B">
        <w:tc>
          <w:tcPr>
            <w:tcW w:w="3402" w:type="dxa"/>
          </w:tcPr>
          <w:p w14:paraId="119DE777" w14:textId="77777777" w:rsidR="0022061B" w:rsidRPr="00E44EA0" w:rsidRDefault="0022061B" w:rsidP="0022061B">
            <w:pPr>
              <w:rPr>
                <w:b/>
              </w:rPr>
            </w:pPr>
            <w:r w:rsidRPr="00E44EA0">
              <w:rPr>
                <w:b/>
              </w:rPr>
              <w:t>Senate</w:t>
            </w:r>
          </w:p>
        </w:tc>
        <w:tc>
          <w:tcPr>
            <w:tcW w:w="6048" w:type="dxa"/>
          </w:tcPr>
          <w:p w14:paraId="71C588FC" w14:textId="77777777" w:rsidR="0022061B" w:rsidRPr="00E44EA0" w:rsidRDefault="0022061B" w:rsidP="0022061B">
            <w:r w:rsidRPr="00E44EA0">
              <w:t>Documents Officer</w:t>
            </w:r>
            <w:r w:rsidRPr="00E44EA0">
              <w:br/>
              <w:t>(02) 6277 3037</w:t>
            </w:r>
            <w:r w:rsidRPr="00E44EA0">
              <w:br/>
              <w:t>or</w:t>
            </w:r>
            <w:r w:rsidRPr="00E44EA0">
              <w:br/>
              <w:t>Assistant Legislation Officer</w:t>
            </w:r>
            <w:r w:rsidRPr="00E44EA0">
              <w:br/>
              <w:t>(02) 6277 3035</w:t>
            </w:r>
            <w:r w:rsidRPr="00E44EA0">
              <w:br/>
              <w:t>Senate Table Office</w:t>
            </w:r>
            <w:r w:rsidRPr="00E44EA0">
              <w:br/>
              <w:t>SG</w:t>
            </w:r>
            <w:r w:rsidR="00640144">
              <w:t>.</w:t>
            </w:r>
            <w:r w:rsidRPr="00E44EA0">
              <w:t>25</w:t>
            </w:r>
          </w:p>
          <w:p w14:paraId="422513B3" w14:textId="77777777" w:rsidR="0022061B" w:rsidRPr="00E44EA0" w:rsidRDefault="00B42538" w:rsidP="0022061B">
            <w:pPr>
              <w:rPr>
                <w:u w:val="single"/>
              </w:rPr>
            </w:pPr>
            <w:r w:rsidRPr="00E44EA0">
              <w:t xml:space="preserve">Senate Standing Committee </w:t>
            </w:r>
            <w:r>
              <w:t>for</w:t>
            </w:r>
            <w:r w:rsidRPr="00E44EA0">
              <w:t xml:space="preserve"> </w:t>
            </w:r>
            <w:r>
              <w:t>the Scrutiny of Delegated Legislation</w:t>
            </w:r>
            <w:r w:rsidRPr="00E44EA0">
              <w:br/>
              <w:t>(02) 6277 3066 (</w:t>
            </w:r>
            <w:hyperlink r:id="rId79" w:history="1">
              <w:r>
                <w:rPr>
                  <w:rStyle w:val="Hyperlink"/>
                </w:rPr>
                <w:t>sdlc.sen@aph.gov.au</w:t>
              </w:r>
            </w:hyperlink>
            <w:r w:rsidRPr="00E44EA0">
              <w:t>).</w:t>
            </w:r>
          </w:p>
        </w:tc>
      </w:tr>
    </w:tbl>
    <w:p w14:paraId="544B9F76" w14:textId="77777777" w:rsidR="007A6E2C" w:rsidRPr="00E44EA0" w:rsidRDefault="007A6E2C">
      <w:pPr>
        <w:autoSpaceDE/>
        <w:autoSpaceDN/>
        <w:spacing w:after="0" w:line="240" w:lineRule="auto"/>
        <w:rPr>
          <w:rFonts w:cstheme="minorHAnsi"/>
        </w:rPr>
      </w:pPr>
      <w:r w:rsidRPr="00E44EA0">
        <w:rPr>
          <w:rFonts w:cstheme="minorHAnsi"/>
        </w:rPr>
        <w:br w:type="page"/>
      </w:r>
    </w:p>
    <w:p w14:paraId="7431590A" w14:textId="77777777" w:rsidR="003D4DAD" w:rsidRPr="00550599" w:rsidRDefault="003D4DAD" w:rsidP="003D4DAD">
      <w:pPr>
        <w:pStyle w:val="Heading2"/>
        <w:rPr>
          <w:b/>
          <w:color w:val="auto"/>
        </w:rPr>
      </w:pPr>
      <w:r>
        <w:rPr>
          <w:b/>
          <w:color w:val="auto"/>
        </w:rPr>
        <w:lastRenderedPageBreak/>
        <w:t>Key Tasks – Deemed/Clerk Documents – Non-Legislative Instruments</w:t>
      </w:r>
    </w:p>
    <w:p w14:paraId="2431D968" w14:textId="77777777" w:rsidR="003D4DAD" w:rsidRDefault="003D4DAD" w:rsidP="00EE166B"/>
    <w:p w14:paraId="276E3F87" w14:textId="77777777" w:rsidR="007402E3" w:rsidRPr="00E44EA0" w:rsidRDefault="000469B2" w:rsidP="00EE166B">
      <w:pPr>
        <w:rPr>
          <w:rFonts w:cstheme="minorHAnsi"/>
        </w:rPr>
      </w:pPr>
      <w:r w:rsidRPr="00E44EA0">
        <w:t xml:space="preserve">The following checklist is provided to assist officers when presenting a </w:t>
      </w:r>
      <w:r w:rsidRPr="00E44EA0">
        <w:rPr>
          <w:b/>
        </w:rPr>
        <w:t>non-legislative instrument</w:t>
      </w:r>
      <w:r w:rsidR="00F90CBD" w:rsidRPr="00E44EA0">
        <w:t xml:space="preserve"> which is an instrument </w:t>
      </w:r>
      <w:r w:rsidRPr="00E44EA0">
        <w:t xml:space="preserve">not registered on the </w:t>
      </w:r>
      <w:hyperlink r:id="rId80" w:history="1">
        <w:r w:rsidR="005A513C" w:rsidRPr="00E44EA0">
          <w:rPr>
            <w:rStyle w:val="Hyperlink"/>
          </w:rPr>
          <w:t>Federal Register of Legislation</w:t>
        </w:r>
      </w:hyperlink>
      <w:r w:rsidR="003957DF" w:rsidRPr="00E44EA0">
        <w:t>.</w:t>
      </w:r>
    </w:p>
    <w:p w14:paraId="4B87E23A" w14:textId="77777777" w:rsidR="004B09C8" w:rsidRPr="00E44EA0" w:rsidRDefault="004B09C8" w:rsidP="007A6E2C">
      <w:pPr>
        <w:autoSpaceDE/>
        <w:autoSpaceDN/>
        <w:spacing w:after="0" w:line="240" w:lineRule="auto"/>
        <w:rPr>
          <w:rFonts w:cstheme="minorHAnsi"/>
        </w:rPr>
      </w:pPr>
    </w:p>
    <w:p w14:paraId="36FEB026" w14:textId="77777777" w:rsidR="000469B2" w:rsidRPr="00E44EA0" w:rsidRDefault="000469B2" w:rsidP="000469B2">
      <w:pPr>
        <w:tabs>
          <w:tab w:val="left" w:pos="360"/>
        </w:tabs>
        <w:spacing w:after="80"/>
        <w:ind w:left="360" w:hanging="360"/>
      </w:pPr>
      <w:r w:rsidRPr="00E44EA0">
        <w:rPr>
          <w:rFonts w:ascii="Arial" w:hAnsi="Arial" w:cs="Arial"/>
          <w:sz w:val="22"/>
          <w:szCs w:val="22"/>
        </w:rPr>
        <w:sym w:font="Wingdings" w:char="F072"/>
      </w:r>
      <w:r w:rsidRPr="00E44EA0">
        <w:rPr>
          <w:rFonts w:ascii="Arial" w:hAnsi="Arial" w:cs="Arial"/>
          <w:sz w:val="22"/>
          <w:szCs w:val="22"/>
        </w:rPr>
        <w:tab/>
      </w:r>
      <w:r w:rsidRPr="00E44EA0">
        <w:rPr>
          <w:b/>
        </w:rPr>
        <w:t>Timing</w:t>
      </w:r>
    </w:p>
    <w:p w14:paraId="63B87CEA" w14:textId="77777777" w:rsidR="000469B2" w:rsidRPr="00E44EA0" w:rsidRDefault="000469B2" w:rsidP="000469B2">
      <w:pPr>
        <w:pStyle w:val="Bullet"/>
        <w:spacing w:before="80" w:after="80"/>
        <w:rPr>
          <w:szCs w:val="18"/>
        </w:rPr>
      </w:pPr>
      <w:r w:rsidRPr="00E44EA0">
        <w:rPr>
          <w:rFonts w:cstheme="minorHAnsi"/>
          <w:b/>
        </w:rPr>
        <w:t>House of Representatives</w:t>
      </w:r>
      <w:r w:rsidRPr="00E44EA0">
        <w:rPr>
          <w:rFonts w:cstheme="minorHAnsi"/>
        </w:rPr>
        <w:t xml:space="preserve"> – Monday, Tuesday, Wednesday by 5.00pm and Thursday by 3.00pm</w:t>
      </w:r>
      <w:r w:rsidR="00360B26" w:rsidRPr="00E44EA0">
        <w:rPr>
          <w:rFonts w:cstheme="minorHAnsi"/>
        </w:rPr>
        <w:t xml:space="preserve"> for same day tabling</w:t>
      </w:r>
    </w:p>
    <w:p w14:paraId="379D186A" w14:textId="77777777" w:rsidR="000469B2" w:rsidRPr="00E44EA0" w:rsidRDefault="000469B2" w:rsidP="000469B2">
      <w:pPr>
        <w:pStyle w:val="Bullet"/>
        <w:rPr>
          <w:b/>
        </w:rPr>
      </w:pPr>
      <w:r w:rsidRPr="00E44EA0">
        <w:rPr>
          <w:rFonts w:cstheme="minorHAnsi"/>
          <w:b/>
        </w:rPr>
        <w:t>Senate</w:t>
      </w:r>
      <w:r w:rsidRPr="00E44EA0">
        <w:rPr>
          <w:rFonts w:cstheme="minorHAnsi"/>
        </w:rPr>
        <w:t xml:space="preserve"> – Monday,</w:t>
      </w:r>
      <w:r w:rsidR="004D074D" w:rsidRPr="00E44EA0">
        <w:rPr>
          <w:rFonts w:cstheme="minorHAnsi"/>
        </w:rPr>
        <w:t xml:space="preserve"> Tuesday, Wednesday, Thursday by</w:t>
      </w:r>
      <w:r w:rsidRPr="00E44EA0">
        <w:rPr>
          <w:rFonts w:cstheme="minorHAnsi"/>
        </w:rPr>
        <w:t xml:space="preserve"> 3.00pm</w:t>
      </w:r>
      <w:r w:rsidR="00360B26" w:rsidRPr="00E44EA0">
        <w:rPr>
          <w:rFonts w:cstheme="minorHAnsi"/>
        </w:rPr>
        <w:t xml:space="preserve"> </w:t>
      </w:r>
      <w:r w:rsidR="00053BEF">
        <w:rPr>
          <w:rFonts w:cstheme="minorHAnsi"/>
        </w:rPr>
        <w:t>for</w:t>
      </w:r>
      <w:r w:rsidR="00360B26" w:rsidRPr="00E44EA0">
        <w:rPr>
          <w:rFonts w:cstheme="minorHAnsi"/>
        </w:rPr>
        <w:t xml:space="preserve"> tabl</w:t>
      </w:r>
      <w:r w:rsidR="00053BEF">
        <w:rPr>
          <w:rFonts w:cstheme="minorHAnsi"/>
        </w:rPr>
        <w:t>ing</w:t>
      </w:r>
      <w:r w:rsidR="00360B26" w:rsidRPr="00E44EA0">
        <w:rPr>
          <w:rFonts w:cstheme="minorHAnsi"/>
        </w:rPr>
        <w:t xml:space="preserve"> the following day</w:t>
      </w:r>
    </w:p>
    <w:p w14:paraId="20BE7A91" w14:textId="77777777" w:rsidR="0093200D" w:rsidRPr="00E44EA0" w:rsidRDefault="0093200D" w:rsidP="0093200D">
      <w:pPr>
        <w:tabs>
          <w:tab w:val="left" w:pos="360"/>
        </w:tabs>
        <w:spacing w:after="80"/>
        <w:ind w:left="360" w:hanging="360"/>
        <w:rPr>
          <w:szCs w:val="18"/>
        </w:rPr>
      </w:pPr>
      <w:r w:rsidRPr="00E44EA0">
        <w:rPr>
          <w:rFonts w:ascii="Arial" w:hAnsi="Arial" w:cs="Arial"/>
          <w:sz w:val="22"/>
          <w:szCs w:val="22"/>
        </w:rPr>
        <w:sym w:font="Wingdings" w:char="F072"/>
      </w:r>
      <w:r w:rsidRPr="00E44EA0">
        <w:rPr>
          <w:rFonts w:cs="Arial"/>
          <w:szCs w:val="18"/>
        </w:rPr>
        <w:tab/>
      </w:r>
      <w:r w:rsidR="000469B2" w:rsidRPr="00E44EA0">
        <w:rPr>
          <w:b/>
        </w:rPr>
        <w:t>Cover letter (advice to Clerks</w:t>
      </w:r>
      <w:r w:rsidR="000469B2" w:rsidRPr="00E44EA0">
        <w:rPr>
          <w:b/>
          <w:szCs w:val="18"/>
        </w:rPr>
        <w:t>)</w:t>
      </w:r>
    </w:p>
    <w:p w14:paraId="4670E145" w14:textId="77777777" w:rsidR="0093200D" w:rsidRPr="00E44EA0" w:rsidRDefault="000469B2" w:rsidP="0093200D">
      <w:pPr>
        <w:pStyle w:val="Bullet"/>
        <w:rPr>
          <w:rFonts w:cs="Times New Roman"/>
          <w:szCs w:val="18"/>
          <w:lang w:eastAsia="en-US"/>
        </w:rPr>
      </w:pPr>
      <w:r w:rsidRPr="00E44EA0">
        <w:rPr>
          <w:rFonts w:cs="Times New Roman"/>
          <w:szCs w:val="18"/>
          <w:lang w:eastAsia="en-US"/>
        </w:rPr>
        <w:t>Indicate whether the document/s are disallowable instruments</w:t>
      </w:r>
    </w:p>
    <w:p w14:paraId="737EF0AD" w14:textId="77777777" w:rsidR="000469B2" w:rsidRPr="00E44EA0" w:rsidRDefault="000469B2" w:rsidP="000469B2">
      <w:pPr>
        <w:pStyle w:val="Bullet"/>
        <w:rPr>
          <w:rFonts w:cs="Times New Roman"/>
          <w:szCs w:val="18"/>
          <w:lang w:eastAsia="en-US"/>
        </w:rPr>
      </w:pPr>
      <w:r w:rsidRPr="00E44EA0">
        <w:rPr>
          <w:rFonts w:cs="Times New Roman"/>
          <w:szCs w:val="18"/>
          <w:lang w:eastAsia="en-US"/>
        </w:rPr>
        <w:t xml:space="preserve">Cite </w:t>
      </w:r>
      <w:r w:rsidR="00B70128" w:rsidRPr="00E44EA0">
        <w:rPr>
          <w:rFonts w:cs="Times New Roman"/>
          <w:szCs w:val="18"/>
          <w:lang w:eastAsia="en-US"/>
        </w:rPr>
        <w:t xml:space="preserve">the </w:t>
      </w:r>
      <w:r w:rsidRPr="00E44EA0">
        <w:rPr>
          <w:rFonts w:cs="Times New Roman"/>
          <w:szCs w:val="18"/>
          <w:lang w:eastAsia="en-US"/>
        </w:rPr>
        <w:t>legislation under which each document has been made</w:t>
      </w:r>
    </w:p>
    <w:p w14:paraId="67E40A2A" w14:textId="77777777" w:rsidR="000469B2" w:rsidRPr="00E44EA0" w:rsidRDefault="000469B2" w:rsidP="000469B2">
      <w:pPr>
        <w:pStyle w:val="Bullet"/>
        <w:rPr>
          <w:rFonts w:cs="Times New Roman"/>
          <w:szCs w:val="18"/>
          <w:lang w:eastAsia="en-US"/>
        </w:rPr>
      </w:pPr>
      <w:r w:rsidRPr="00E44EA0">
        <w:rPr>
          <w:rFonts w:cs="Times New Roman"/>
          <w:szCs w:val="18"/>
          <w:lang w:eastAsia="en-US"/>
        </w:rPr>
        <w:t xml:space="preserve">Cite </w:t>
      </w:r>
      <w:r w:rsidR="00B70128" w:rsidRPr="00E44EA0">
        <w:rPr>
          <w:rFonts w:cs="Times New Roman"/>
          <w:szCs w:val="18"/>
          <w:lang w:eastAsia="en-US"/>
        </w:rPr>
        <w:t xml:space="preserve">the </w:t>
      </w:r>
      <w:r w:rsidRPr="00E44EA0">
        <w:rPr>
          <w:rFonts w:cs="Times New Roman"/>
          <w:szCs w:val="18"/>
          <w:lang w:eastAsia="en-US"/>
        </w:rPr>
        <w:t>section of legislation which requires</w:t>
      </w:r>
      <w:r w:rsidR="00B70128" w:rsidRPr="00E44EA0">
        <w:rPr>
          <w:rFonts w:cs="Times New Roman"/>
          <w:szCs w:val="18"/>
          <w:lang w:eastAsia="en-US"/>
        </w:rPr>
        <w:t xml:space="preserve"> the</w:t>
      </w:r>
      <w:r w:rsidRPr="00E44EA0">
        <w:rPr>
          <w:rFonts w:cs="Times New Roman"/>
          <w:szCs w:val="18"/>
          <w:lang w:eastAsia="en-US"/>
        </w:rPr>
        <w:t xml:space="preserve"> document to be tabled</w:t>
      </w:r>
    </w:p>
    <w:p w14:paraId="3266EE10" w14:textId="77777777" w:rsidR="000469B2" w:rsidRPr="00E44EA0" w:rsidRDefault="000469B2" w:rsidP="000469B2">
      <w:pPr>
        <w:pStyle w:val="Bullet"/>
        <w:rPr>
          <w:rFonts w:cs="Times New Roman"/>
          <w:szCs w:val="18"/>
          <w:lang w:eastAsia="en-US"/>
        </w:rPr>
      </w:pPr>
      <w:r w:rsidRPr="00E44EA0">
        <w:rPr>
          <w:rFonts w:cs="Times New Roman"/>
          <w:szCs w:val="18"/>
          <w:lang w:eastAsia="en-US"/>
        </w:rPr>
        <w:t>Provide name and details of departmental contact</w:t>
      </w:r>
    </w:p>
    <w:p w14:paraId="31C79881" w14:textId="77777777" w:rsidR="000469B2" w:rsidRPr="00E44EA0" w:rsidRDefault="000469B2" w:rsidP="000469B2">
      <w:pPr>
        <w:tabs>
          <w:tab w:val="left" w:pos="360"/>
        </w:tabs>
        <w:spacing w:after="80"/>
        <w:ind w:left="360" w:hanging="360"/>
        <w:rPr>
          <w:b/>
        </w:rPr>
      </w:pPr>
      <w:r w:rsidRPr="00E44EA0">
        <w:rPr>
          <w:rFonts w:ascii="Arial" w:hAnsi="Arial" w:cs="Arial"/>
          <w:sz w:val="22"/>
          <w:szCs w:val="22"/>
        </w:rPr>
        <w:sym w:font="Wingdings" w:char="F072"/>
      </w:r>
      <w:r w:rsidRPr="00E44EA0">
        <w:rPr>
          <w:rFonts w:ascii="Arial" w:hAnsi="Arial" w:cs="Arial"/>
          <w:sz w:val="22"/>
          <w:szCs w:val="22"/>
        </w:rPr>
        <w:tab/>
      </w:r>
      <w:r w:rsidRPr="00E44EA0">
        <w:rPr>
          <w:b/>
        </w:rPr>
        <w:t>Delivery</w:t>
      </w:r>
      <w:r w:rsidR="003957DF" w:rsidRPr="00E44EA0">
        <w:rPr>
          <w:b/>
        </w:rPr>
        <w:t xml:space="preserve"> and copy requirements</w:t>
      </w:r>
    </w:p>
    <w:p w14:paraId="51326BA6" w14:textId="77777777" w:rsidR="002D091B" w:rsidRPr="00E44EA0" w:rsidRDefault="000469B2" w:rsidP="000469B2">
      <w:pPr>
        <w:pStyle w:val="Bullet"/>
        <w:spacing w:before="80" w:after="80"/>
        <w:rPr>
          <w:szCs w:val="18"/>
        </w:rPr>
      </w:pPr>
      <w:r w:rsidRPr="00E44EA0">
        <w:rPr>
          <w:rFonts w:cstheme="minorHAnsi"/>
          <w:b/>
        </w:rPr>
        <w:t>House of Representatives</w:t>
      </w:r>
      <w:r w:rsidRPr="00E44EA0">
        <w:rPr>
          <w:rFonts w:cstheme="minorHAnsi"/>
        </w:rPr>
        <w:t xml:space="preserve"> – </w:t>
      </w:r>
      <w:r w:rsidR="002D091B" w:rsidRPr="00E44EA0">
        <w:rPr>
          <w:rFonts w:cstheme="minorHAnsi"/>
        </w:rPr>
        <w:t>cover letter, one copy of document</w:t>
      </w:r>
      <w:r w:rsidR="004D074D" w:rsidRPr="00E44EA0">
        <w:rPr>
          <w:rFonts w:cstheme="minorHAnsi"/>
        </w:rPr>
        <w:t>/s</w:t>
      </w:r>
      <w:r w:rsidR="002D091B" w:rsidRPr="00E44EA0">
        <w:rPr>
          <w:rFonts w:cstheme="minorHAnsi"/>
        </w:rPr>
        <w:t xml:space="preserve"> plus explanatory statement to RG89</w:t>
      </w:r>
    </w:p>
    <w:p w14:paraId="16589088" w14:textId="77777777" w:rsidR="000469B2" w:rsidRPr="00E44EA0" w:rsidRDefault="000469B2" w:rsidP="000469B2">
      <w:pPr>
        <w:pStyle w:val="Bullet"/>
        <w:rPr>
          <w:b/>
        </w:rPr>
      </w:pPr>
      <w:r w:rsidRPr="00E44EA0">
        <w:rPr>
          <w:rFonts w:cstheme="minorHAnsi"/>
          <w:b/>
        </w:rPr>
        <w:t>Senate</w:t>
      </w:r>
      <w:r w:rsidRPr="00E44EA0">
        <w:rPr>
          <w:rFonts w:cstheme="minorHAnsi"/>
        </w:rPr>
        <w:t xml:space="preserve"> –</w:t>
      </w:r>
      <w:r w:rsidR="002D091B" w:rsidRPr="00E44EA0">
        <w:rPr>
          <w:rFonts w:cstheme="minorHAnsi"/>
        </w:rPr>
        <w:t xml:space="preserve"> cover</w:t>
      </w:r>
      <w:r w:rsidR="003957DF" w:rsidRPr="00E44EA0">
        <w:rPr>
          <w:rFonts w:cstheme="minorHAnsi"/>
        </w:rPr>
        <w:t xml:space="preserve"> letter, two copies of document</w:t>
      </w:r>
      <w:r w:rsidR="004D074D" w:rsidRPr="00E44EA0">
        <w:rPr>
          <w:rFonts w:cstheme="minorHAnsi"/>
        </w:rPr>
        <w:t>/</w:t>
      </w:r>
      <w:r w:rsidR="003957DF" w:rsidRPr="00E44EA0">
        <w:rPr>
          <w:rFonts w:cstheme="minorHAnsi"/>
        </w:rPr>
        <w:t xml:space="preserve">s plus explanatory statement to </w:t>
      </w:r>
      <w:r w:rsidR="00256BCA" w:rsidRPr="00E44EA0">
        <w:rPr>
          <w:rFonts w:cstheme="minorHAnsi"/>
        </w:rPr>
        <w:t>SG</w:t>
      </w:r>
      <w:r w:rsidR="003957DF" w:rsidRPr="00E44EA0">
        <w:rPr>
          <w:rFonts w:cstheme="minorHAnsi"/>
        </w:rPr>
        <w:t>25</w:t>
      </w:r>
    </w:p>
    <w:p w14:paraId="5EAD60FC" w14:textId="77777777" w:rsidR="00791FDF" w:rsidRPr="00E44EA0" w:rsidRDefault="007A6E2C" w:rsidP="007A6E2C">
      <w:pPr>
        <w:autoSpaceDE/>
        <w:autoSpaceDN/>
        <w:spacing w:after="0" w:line="240" w:lineRule="auto"/>
        <w:rPr>
          <w:rFonts w:cstheme="minorHAnsi"/>
        </w:rPr>
      </w:pPr>
      <w:r w:rsidRPr="00E44EA0">
        <w:rPr>
          <w:rFonts w:cstheme="minorHAnsi"/>
        </w:rPr>
        <w:br w:type="page"/>
      </w:r>
    </w:p>
    <w:p w14:paraId="3C6E8A80" w14:textId="77777777" w:rsidR="00350FDD" w:rsidRPr="00E44EA0" w:rsidRDefault="009633AD" w:rsidP="00350FDD">
      <w:pPr>
        <w:pStyle w:val="Heading1"/>
      </w:pPr>
      <w:bookmarkStart w:id="17" w:name="_PARLIAMENT_HOUSE_–"/>
      <w:bookmarkEnd w:id="17"/>
      <w:r>
        <w:lastRenderedPageBreak/>
        <w:t xml:space="preserve">chapter 6 </w:t>
      </w:r>
      <w:r w:rsidR="00350FDD" w:rsidRPr="00E44EA0">
        <w:t xml:space="preserve">PARLIAMENT HOUSE </w:t>
      </w:r>
      <w:r w:rsidR="007F69A1" w:rsidRPr="00E44EA0">
        <w:t>–</w:t>
      </w:r>
      <w:r w:rsidR="00350FDD" w:rsidRPr="00E44EA0">
        <w:t xml:space="preserve"> ACCESS</w:t>
      </w:r>
      <w:r w:rsidR="007F69A1" w:rsidRPr="00E44EA0">
        <w:t xml:space="preserve">, </w:t>
      </w:r>
      <w:r w:rsidR="00350FDD" w:rsidRPr="00E44EA0">
        <w:t>DELIVERY</w:t>
      </w:r>
      <w:r w:rsidR="0042075B" w:rsidRPr="00E44EA0">
        <w:t xml:space="preserve">, </w:t>
      </w:r>
      <w:r w:rsidR="00870567" w:rsidRPr="00E44EA0">
        <w:t>distribution</w:t>
      </w:r>
      <w:r w:rsidR="00350FDD" w:rsidRPr="00E44EA0">
        <w:t xml:space="preserve"> </w:t>
      </w:r>
      <w:r w:rsidR="0042075B" w:rsidRPr="00E44EA0">
        <w:t>and contacts</w:t>
      </w:r>
    </w:p>
    <w:p w14:paraId="77C41A00" w14:textId="77777777" w:rsidR="00944918" w:rsidRPr="005D53A2" w:rsidRDefault="00944918" w:rsidP="005D53A2">
      <w:pPr>
        <w:pStyle w:val="Heading2"/>
        <w:rPr>
          <w:b/>
          <w:color w:val="auto"/>
          <w:szCs w:val="18"/>
        </w:rPr>
      </w:pPr>
      <w:r w:rsidRPr="005D53A2">
        <w:rPr>
          <w:rFonts w:ascii="Montserrat Light" w:hAnsi="Montserrat Light"/>
          <w:b/>
          <w:color w:val="auto"/>
          <w:sz w:val="18"/>
          <w:szCs w:val="18"/>
        </w:rPr>
        <w:t>Accessing the Online Tabling Documents System</w:t>
      </w:r>
      <w:r>
        <w:rPr>
          <w:rFonts w:ascii="Montserrat Light" w:hAnsi="Montserrat Light"/>
          <w:b/>
          <w:color w:val="auto"/>
          <w:sz w:val="18"/>
          <w:szCs w:val="18"/>
        </w:rPr>
        <w:t xml:space="preserve"> (OTD)</w:t>
      </w:r>
    </w:p>
    <w:p w14:paraId="39267979" w14:textId="77777777" w:rsidR="00944918" w:rsidRPr="00944918" w:rsidRDefault="00944918" w:rsidP="005D53A2">
      <w:r>
        <w:br/>
        <w:t xml:space="preserve">The model for using OTD will be for departments to upload information on behalf of all the agencies in their portfolio. If you need assistance accessing OTD email </w:t>
      </w:r>
      <w:hyperlink r:id="rId81" w:history="1">
        <w:r w:rsidRPr="00EC6C27">
          <w:rPr>
            <w:rStyle w:val="Hyperlink"/>
          </w:rPr>
          <w:t>tabling@pmc.gov.au</w:t>
        </w:r>
      </w:hyperlink>
      <w:r>
        <w:t xml:space="preserve">. </w:t>
      </w:r>
      <w:r w:rsidR="005D53A2" w:rsidRPr="0036681E">
        <w:t xml:space="preserve">Appendix </w:t>
      </w:r>
      <w:r w:rsidR="008D4143">
        <w:t>F</w:t>
      </w:r>
      <w:r w:rsidR="005D53A2">
        <w:t xml:space="preserve"> has instructions for accessing OTD.</w:t>
      </w:r>
    </w:p>
    <w:p w14:paraId="140EDA05" w14:textId="77777777" w:rsidR="00C91BFD" w:rsidRPr="00E44EA0" w:rsidRDefault="00C91BFD" w:rsidP="0002197D">
      <w:pPr>
        <w:jc w:val="both"/>
        <w:rPr>
          <w:b/>
        </w:rPr>
      </w:pPr>
      <w:r w:rsidRPr="00E44EA0">
        <w:rPr>
          <w:b/>
        </w:rPr>
        <w:t xml:space="preserve">Access to Parliament House - </w:t>
      </w:r>
      <w:r w:rsidR="009559F6" w:rsidRPr="00E44EA0">
        <w:rPr>
          <w:b/>
        </w:rPr>
        <w:t>Security Arrangements</w:t>
      </w:r>
    </w:p>
    <w:p w14:paraId="18CEBB19" w14:textId="77777777" w:rsidR="001578D2" w:rsidRPr="00E44EA0" w:rsidRDefault="00C91BFD" w:rsidP="0002197D">
      <w:pPr>
        <w:jc w:val="both"/>
      </w:pPr>
      <w:r w:rsidRPr="00E44EA0">
        <w:t xml:space="preserve">The security arrangements at Parliament House require that external pass holders access the building through Security Point 1 which is located </w:t>
      </w:r>
      <w:r w:rsidR="006A0F42" w:rsidRPr="00E44EA0">
        <w:t xml:space="preserve">via </w:t>
      </w:r>
      <w:r w:rsidRPr="00E44EA0">
        <w:t xml:space="preserve">the public car park under the forecourt at the front of Parliament House. </w:t>
      </w:r>
    </w:p>
    <w:p w14:paraId="4DEC7A49" w14:textId="77777777" w:rsidR="00C91BFD" w:rsidRPr="00E44EA0" w:rsidRDefault="001578D2" w:rsidP="0002197D">
      <w:pPr>
        <w:jc w:val="both"/>
      </w:pPr>
      <w:r w:rsidRPr="00E44EA0">
        <w:t xml:space="preserve">Please note this is the </w:t>
      </w:r>
      <w:r w:rsidR="008F3518">
        <w:t>required</w:t>
      </w:r>
      <w:r w:rsidR="008F3518" w:rsidRPr="00E44EA0">
        <w:t xml:space="preserve"> </w:t>
      </w:r>
      <w:r w:rsidRPr="00E44EA0">
        <w:t>entry point (particularly on sitting days, noting scanning restrictions/requirements), rather than the</w:t>
      </w:r>
      <w:r w:rsidR="00C91BFD" w:rsidRPr="00E44EA0">
        <w:t xml:space="preserve"> Senate, House of Represent</w:t>
      </w:r>
      <w:r w:rsidR="00870567" w:rsidRPr="00E44EA0">
        <w:t>atives or Ministerial entrances</w:t>
      </w:r>
      <w:r w:rsidR="00C91BFD" w:rsidRPr="00E44EA0">
        <w:t xml:space="preserve">. </w:t>
      </w:r>
    </w:p>
    <w:p w14:paraId="041C11F3" w14:textId="77777777" w:rsidR="00C91BFD" w:rsidRPr="00E44EA0" w:rsidRDefault="00C91BFD" w:rsidP="0002197D">
      <w:pPr>
        <w:jc w:val="both"/>
      </w:pPr>
      <w:r w:rsidRPr="00E44EA0">
        <w:t>After passing throu</w:t>
      </w:r>
      <w:r w:rsidR="00681A8C" w:rsidRPr="00E44EA0">
        <w:t>gh Security Point 1, follow the</w:t>
      </w:r>
      <w:r w:rsidRPr="00E44EA0">
        <w:t xml:space="preserve"> green</w:t>
      </w:r>
      <w:r w:rsidR="00681A8C" w:rsidRPr="00E44EA0">
        <w:t xml:space="preserve"> or red</w:t>
      </w:r>
      <w:r w:rsidRPr="00E44EA0">
        <w:t xml:space="preserve"> line painted on the </w:t>
      </w:r>
      <w:r w:rsidR="00034629" w:rsidRPr="00E44EA0">
        <w:t xml:space="preserve">ground </w:t>
      </w:r>
      <w:r w:rsidRPr="00E44EA0">
        <w:t xml:space="preserve">which will direct you to the relevant lift to access either the House of Representatives or the Senate side of the </w:t>
      </w:r>
      <w:r w:rsidR="005D53A2" w:rsidRPr="00E44EA0">
        <w:t>building</w:t>
      </w:r>
      <w:r w:rsidRPr="00E44EA0">
        <w:t xml:space="preserve"> as indicated in the </w:t>
      </w:r>
      <w:hyperlink r:id="rId82" w:history="1">
        <w:r w:rsidRPr="005D53A2">
          <w:rPr>
            <w:rStyle w:val="Hyperlink"/>
          </w:rPr>
          <w:t>map</w:t>
        </w:r>
        <w:r w:rsidR="00861311" w:rsidRPr="005D53A2">
          <w:rPr>
            <w:rStyle w:val="Hyperlink"/>
          </w:rPr>
          <w:t>s</w:t>
        </w:r>
      </w:hyperlink>
      <w:r w:rsidRPr="005D53A2">
        <w:t>.</w:t>
      </w:r>
    </w:p>
    <w:p w14:paraId="43E93912" w14:textId="77777777" w:rsidR="00C91BFD" w:rsidRPr="00E44EA0" w:rsidRDefault="00C91BFD" w:rsidP="0002197D">
      <w:pPr>
        <w:jc w:val="both"/>
      </w:pPr>
      <w:r w:rsidRPr="00E44EA0">
        <w:t>It is the responsibility of departments and their couriers to arrange access into Parliament House</w:t>
      </w:r>
      <w:r w:rsidR="00B82B60" w:rsidRPr="00E44EA0">
        <w:t xml:space="preserve"> through their M</w:t>
      </w:r>
      <w:r w:rsidR="006A0F42" w:rsidRPr="00E44EA0">
        <w:t>inister’s office</w:t>
      </w:r>
      <w:r w:rsidRPr="00E44EA0">
        <w:t xml:space="preserve">. Packages cannot be collected by the addressee, so </w:t>
      </w:r>
      <w:r w:rsidRPr="00E44EA0">
        <w:rPr>
          <w:u w:val="single"/>
        </w:rPr>
        <w:t>must</w:t>
      </w:r>
      <w:r w:rsidRPr="00E44EA0">
        <w:t xml:space="preserve"> be hand-delivered </w:t>
      </w:r>
      <w:r w:rsidR="008043F5" w:rsidRPr="00E44EA0">
        <w:t>t</w:t>
      </w:r>
      <w:r w:rsidRPr="00E44EA0">
        <w:t>o the addressee.</w:t>
      </w:r>
    </w:p>
    <w:p w14:paraId="653F3E4E" w14:textId="77777777" w:rsidR="00DD79DD" w:rsidRPr="00E44EA0" w:rsidRDefault="009A65D5" w:rsidP="0002197D">
      <w:pPr>
        <w:jc w:val="both"/>
        <w:rPr>
          <w:b/>
        </w:rPr>
      </w:pPr>
      <w:r w:rsidRPr="00E44EA0">
        <w:rPr>
          <w:b/>
        </w:rPr>
        <w:t>Delivery - Parliament</w:t>
      </w:r>
      <w:r w:rsidR="00DD79DD" w:rsidRPr="00E44EA0">
        <w:rPr>
          <w:b/>
        </w:rPr>
        <w:t xml:space="preserve"> House Loading Dock</w:t>
      </w:r>
      <w:r w:rsidR="00F32912" w:rsidRPr="00E44EA0">
        <w:rPr>
          <w:b/>
        </w:rPr>
        <w:t xml:space="preserve"> </w:t>
      </w:r>
    </w:p>
    <w:p w14:paraId="46461D36" w14:textId="77777777" w:rsidR="00DD79DD" w:rsidRPr="00E44EA0" w:rsidRDefault="00DD79DD" w:rsidP="0002197D">
      <w:pPr>
        <w:jc w:val="both"/>
      </w:pPr>
      <w:r w:rsidRPr="00E44EA0">
        <w:t xml:space="preserve">Bulk copies of items for tabling </w:t>
      </w:r>
      <w:r w:rsidRPr="00E44EA0">
        <w:rPr>
          <w:u w:val="single"/>
        </w:rPr>
        <w:t>must</w:t>
      </w:r>
      <w:r w:rsidRPr="00E44EA0">
        <w:t xml:space="preserve"> be delivered to the Parliament House Loading Dock</w:t>
      </w:r>
      <w:r w:rsidR="009A65D5" w:rsidRPr="00E44EA0">
        <w:t xml:space="preserve">, accessed via Brisbane Avenue, Barton. Deliveries can only take place when the loading dock is open (between 8.00am and 2.30pm) Monday to </w:t>
      </w:r>
      <w:r w:rsidR="00387358">
        <w:t>Friday</w:t>
      </w:r>
      <w:r w:rsidR="009A65D5" w:rsidRPr="00E44EA0">
        <w:t>.</w:t>
      </w:r>
      <w:r w:rsidRPr="00E44EA0">
        <w:t xml:space="preserve"> </w:t>
      </w:r>
      <w:r w:rsidR="001578D2" w:rsidRPr="00E44EA0">
        <w:t>Please note</w:t>
      </w:r>
      <w:r w:rsidRPr="00E44EA0">
        <w:t xml:space="preserve"> copies </w:t>
      </w:r>
      <w:r w:rsidR="001578D2" w:rsidRPr="00E44EA0">
        <w:t xml:space="preserve">will be held in </w:t>
      </w:r>
      <w:r w:rsidR="009A65D5" w:rsidRPr="00E44EA0">
        <w:t xml:space="preserve">the Ministerial Embargo Room </w:t>
      </w:r>
      <w:r w:rsidR="001578D2" w:rsidRPr="00E44EA0">
        <w:t xml:space="preserve">until tabling. </w:t>
      </w:r>
    </w:p>
    <w:p w14:paraId="0ADB8985" w14:textId="77777777" w:rsidR="008A25FD" w:rsidRPr="00E44EA0" w:rsidRDefault="00E81AA9" w:rsidP="0002197D">
      <w:pPr>
        <w:jc w:val="both"/>
      </w:pPr>
      <w:r w:rsidRPr="00E44EA0">
        <w:t xml:space="preserve">The day before </w:t>
      </w:r>
      <w:r w:rsidR="00A577E3" w:rsidRPr="00E44EA0">
        <w:t>delivery</w:t>
      </w:r>
      <w:r w:rsidRPr="00E44EA0">
        <w:t xml:space="preserve"> departments, printers or couriers </w:t>
      </w:r>
      <w:r w:rsidRPr="00E44EA0">
        <w:rPr>
          <w:u w:val="single"/>
        </w:rPr>
        <w:t>must</w:t>
      </w:r>
      <w:r w:rsidRPr="00E44EA0">
        <w:t xml:space="preserve"> email the </w:t>
      </w:r>
      <w:hyperlink r:id="rId83" w:history="1">
        <w:r w:rsidRPr="00E44EA0">
          <w:rPr>
            <w:rStyle w:val="Hyperlink"/>
          </w:rPr>
          <w:t>loadingdock@aph.gov.au</w:t>
        </w:r>
      </w:hyperlink>
      <w:r w:rsidRPr="00E44EA0">
        <w:rPr>
          <w:rStyle w:val="Hyperlink"/>
          <w:u w:val="none"/>
        </w:rPr>
        <w:t>.</w:t>
      </w:r>
      <w:r w:rsidR="008F7251" w:rsidRPr="00E44EA0">
        <w:rPr>
          <w:rStyle w:val="Hyperlink"/>
          <w:u w:val="none"/>
        </w:rPr>
        <w:t xml:space="preserve"> </w:t>
      </w:r>
      <w:r w:rsidR="008F7251" w:rsidRPr="00E44EA0">
        <w:t xml:space="preserve">You </w:t>
      </w:r>
      <w:r w:rsidR="008F7251" w:rsidRPr="00E44EA0">
        <w:rPr>
          <w:u w:val="single"/>
        </w:rPr>
        <w:t>must</w:t>
      </w:r>
      <w:r w:rsidR="008F7251" w:rsidRPr="00E44EA0">
        <w:t xml:space="preserve"> respond to the </w:t>
      </w:r>
      <w:r w:rsidRPr="00E44EA0">
        <w:t xml:space="preserve">automatically generated email </w:t>
      </w:r>
      <w:r w:rsidR="008F7251" w:rsidRPr="00E44EA0">
        <w:t>seeking</w:t>
      </w:r>
      <w:r w:rsidRPr="00E44EA0">
        <w:t xml:space="preserve"> information about </w:t>
      </w:r>
      <w:r w:rsidR="00A577E3" w:rsidRPr="00E44EA0">
        <w:t>the</w:t>
      </w:r>
      <w:r w:rsidRPr="00E44EA0">
        <w:t xml:space="preserve"> </w:t>
      </w:r>
      <w:r w:rsidR="00A577E3" w:rsidRPr="00E44EA0">
        <w:t xml:space="preserve">vehicle, driver etc. </w:t>
      </w:r>
      <w:r w:rsidRPr="00E44EA0">
        <w:t>Failure to do so may lead to the vehicle being turned away.</w:t>
      </w:r>
      <w:r w:rsidR="008F7251" w:rsidRPr="00E44EA0">
        <w:t xml:space="preserve"> </w:t>
      </w:r>
      <w:r w:rsidRPr="00E44EA0">
        <w:t>It is the department’s responsibility to advise the printer/courier of this requirement.</w:t>
      </w:r>
      <w:r w:rsidR="008F7251" w:rsidRPr="00E44EA0">
        <w:t xml:space="preserve"> I</w:t>
      </w:r>
      <w:r w:rsidR="00FA42FD" w:rsidRPr="00E44EA0">
        <w:t xml:space="preserve">f there is an issue with the planned arrival, </w:t>
      </w:r>
      <w:r w:rsidR="00C2756A" w:rsidRPr="00E44EA0">
        <w:t>originating departments</w:t>
      </w:r>
      <w:r w:rsidR="00FA42FD" w:rsidRPr="00E44EA0">
        <w:t xml:space="preserve"> will be contacted by the Loading Dock. </w:t>
      </w:r>
    </w:p>
    <w:p w14:paraId="2337722F" w14:textId="77777777" w:rsidR="00FA42FD" w:rsidRPr="00E44EA0" w:rsidRDefault="00FA42FD" w:rsidP="0002197D">
      <w:pPr>
        <w:jc w:val="both"/>
      </w:pPr>
      <w:r w:rsidRPr="00E44EA0">
        <w:t xml:space="preserve">For an urgent or late delivery, arrangements can be made by phoning the Loading Dock on (02) 6277 5500. </w:t>
      </w:r>
    </w:p>
    <w:p w14:paraId="212437C3" w14:textId="77777777" w:rsidR="00EC257E" w:rsidRPr="00E44EA0" w:rsidRDefault="00EC257E" w:rsidP="0002197D">
      <w:pPr>
        <w:jc w:val="both"/>
        <w:rPr>
          <w:b/>
        </w:rPr>
      </w:pPr>
      <w:r w:rsidRPr="00E44EA0">
        <w:rPr>
          <w:b/>
        </w:rPr>
        <w:t>Packaging and Labelling</w:t>
      </w:r>
    </w:p>
    <w:p w14:paraId="057C00A5" w14:textId="77777777" w:rsidR="00EC257E" w:rsidRPr="00E44EA0" w:rsidRDefault="009A65D5" w:rsidP="0002197D">
      <w:pPr>
        <w:jc w:val="both"/>
      </w:pPr>
      <w:r w:rsidRPr="00E44EA0">
        <w:t xml:space="preserve">There are strict packaging requirements which </w:t>
      </w:r>
      <w:r w:rsidRPr="00E44EA0">
        <w:rPr>
          <w:u w:val="single"/>
        </w:rPr>
        <w:t>must</w:t>
      </w:r>
      <w:r w:rsidRPr="00E44EA0">
        <w:t xml:space="preserve"> be met. </w:t>
      </w:r>
      <w:r w:rsidR="00EC257E" w:rsidRPr="00E44EA0">
        <w:t xml:space="preserve">Each package </w:t>
      </w:r>
      <w:r w:rsidR="00EC257E" w:rsidRPr="00E44EA0">
        <w:rPr>
          <w:u w:val="single"/>
        </w:rPr>
        <w:t>must</w:t>
      </w:r>
      <w:r w:rsidR="00EC257E" w:rsidRPr="00E44EA0">
        <w:t xml:space="preserve"> be clearly labelled using the correct </w:t>
      </w:r>
      <w:r w:rsidR="00F32912" w:rsidRPr="00E44EA0">
        <w:t xml:space="preserve">prescribed labels </w:t>
      </w:r>
      <w:r w:rsidR="00EC257E" w:rsidRPr="00E44EA0">
        <w:t xml:space="preserve">and </w:t>
      </w:r>
      <w:r w:rsidR="00EC257E" w:rsidRPr="00E44EA0">
        <w:rPr>
          <w:u w:val="single"/>
        </w:rPr>
        <w:t>must</w:t>
      </w:r>
      <w:r w:rsidR="00EC257E" w:rsidRPr="00E44EA0">
        <w:t xml:space="preserve"> </w:t>
      </w:r>
      <w:r w:rsidR="00EC257E" w:rsidRPr="00455E0D">
        <w:rPr>
          <w:u w:val="single"/>
        </w:rPr>
        <w:t>not</w:t>
      </w:r>
      <w:r w:rsidR="00EC257E" w:rsidRPr="00E44EA0">
        <w:t xml:space="preserve"> weigh more than 16 kilograms.</w:t>
      </w:r>
    </w:p>
    <w:p w14:paraId="01317464" w14:textId="77777777" w:rsidR="00EC257E" w:rsidRPr="00E44EA0" w:rsidRDefault="00EC257E" w:rsidP="0002197D">
      <w:pPr>
        <w:jc w:val="both"/>
      </w:pPr>
      <w:r w:rsidRPr="00E44EA0">
        <w:t xml:space="preserve">It is the responsibility of departments to ensure </w:t>
      </w:r>
      <w:r w:rsidR="009A65D5" w:rsidRPr="00E44EA0">
        <w:t>these re</w:t>
      </w:r>
      <w:r w:rsidRPr="00E44EA0">
        <w:t>quirements are met</w:t>
      </w:r>
      <w:r w:rsidR="009A65D5" w:rsidRPr="00E44EA0">
        <w:t xml:space="preserve"> otherwise the documents will be rejected and </w:t>
      </w:r>
      <w:r w:rsidR="009A65D5" w:rsidRPr="00E44EA0">
        <w:rPr>
          <w:u w:val="single"/>
        </w:rPr>
        <w:t>must</w:t>
      </w:r>
      <w:r w:rsidR="009A65D5" w:rsidRPr="00E44EA0">
        <w:t xml:space="preserve"> be retrieved and repackaged by the originating department.</w:t>
      </w:r>
    </w:p>
    <w:p w14:paraId="614AC784" w14:textId="77777777" w:rsidR="000F0AFB" w:rsidRPr="00E44EA0" w:rsidRDefault="000F0AFB" w:rsidP="0002197D">
      <w:pPr>
        <w:jc w:val="both"/>
        <w:rPr>
          <w:b/>
        </w:rPr>
      </w:pPr>
      <w:r w:rsidRPr="00E44EA0">
        <w:rPr>
          <w:b/>
        </w:rPr>
        <w:t>Distribution of Documents –</w:t>
      </w:r>
      <w:r w:rsidR="00441531" w:rsidRPr="00E44EA0">
        <w:rPr>
          <w:b/>
        </w:rPr>
        <w:t xml:space="preserve"> </w:t>
      </w:r>
      <w:r w:rsidRPr="00E44EA0">
        <w:rPr>
          <w:b/>
        </w:rPr>
        <w:t xml:space="preserve">Parliament House </w:t>
      </w:r>
    </w:p>
    <w:p w14:paraId="0CD4ECB9" w14:textId="77777777" w:rsidR="000F0AFB" w:rsidRPr="00E44EA0" w:rsidRDefault="000F0AFB" w:rsidP="0002197D">
      <w:pPr>
        <w:pStyle w:val="Appendix-Heading2"/>
        <w:jc w:val="both"/>
        <w:rPr>
          <w:rFonts w:ascii="Montserrat Light" w:hAnsi="Montserrat Light" w:cs="Times New Roman"/>
          <w:b w:val="0"/>
          <w:bCs w:val="0"/>
          <w:color w:val="000000"/>
          <w:sz w:val="18"/>
          <w:szCs w:val="24"/>
        </w:rPr>
      </w:pPr>
      <w:r w:rsidRPr="00E44EA0">
        <w:rPr>
          <w:rFonts w:ascii="Montserrat Light" w:hAnsi="Montserrat Light" w:cs="Times New Roman"/>
          <w:b w:val="0"/>
          <w:bCs w:val="0"/>
          <w:color w:val="000000"/>
          <w:sz w:val="18"/>
          <w:szCs w:val="24"/>
        </w:rPr>
        <w:t>Documents are to be distributed across a range of location</w:t>
      </w:r>
      <w:r w:rsidR="006A0F42" w:rsidRPr="00E44EA0">
        <w:rPr>
          <w:rFonts w:ascii="Montserrat Light" w:hAnsi="Montserrat Light" w:cs="Times New Roman"/>
          <w:b w:val="0"/>
          <w:bCs w:val="0"/>
          <w:color w:val="000000"/>
          <w:sz w:val="18"/>
          <w:szCs w:val="24"/>
        </w:rPr>
        <w:t>s</w:t>
      </w:r>
      <w:r w:rsidRPr="00E44EA0">
        <w:rPr>
          <w:rFonts w:ascii="Montserrat Light" w:hAnsi="Montserrat Light" w:cs="Times New Roman"/>
          <w:b w:val="0"/>
          <w:bCs w:val="0"/>
          <w:color w:val="000000"/>
          <w:sz w:val="18"/>
          <w:szCs w:val="24"/>
        </w:rPr>
        <w:t xml:space="preserve"> in Parliament House. Please note room abbreviations are common:</w:t>
      </w:r>
    </w:p>
    <w:p w14:paraId="5F8A2502" w14:textId="77777777" w:rsidR="000F0AFB" w:rsidRPr="00E44EA0" w:rsidRDefault="000F0AFB" w:rsidP="0002197D">
      <w:pPr>
        <w:pStyle w:val="Appendix-Heading2"/>
        <w:numPr>
          <w:ilvl w:val="0"/>
          <w:numId w:val="14"/>
        </w:numPr>
        <w:jc w:val="both"/>
        <w:rPr>
          <w:rFonts w:ascii="Montserrat Light" w:hAnsi="Montserrat Light" w:cs="Times New Roman"/>
          <w:b w:val="0"/>
          <w:bCs w:val="0"/>
          <w:color w:val="000000"/>
          <w:sz w:val="18"/>
          <w:szCs w:val="24"/>
        </w:rPr>
      </w:pPr>
      <w:r w:rsidRPr="00E44EA0">
        <w:rPr>
          <w:rFonts w:ascii="Montserrat Light" w:hAnsi="Montserrat Light" w:cs="Times New Roman"/>
          <w:b w:val="0"/>
          <w:bCs w:val="0"/>
          <w:color w:val="000000"/>
          <w:sz w:val="18"/>
          <w:szCs w:val="24"/>
        </w:rPr>
        <w:t xml:space="preserve">RG = House of Representatives </w:t>
      </w:r>
      <w:r w:rsidR="00441531" w:rsidRPr="00E44EA0">
        <w:rPr>
          <w:rFonts w:ascii="Montserrat Light" w:hAnsi="Montserrat Light" w:cs="Times New Roman"/>
          <w:b w:val="0"/>
          <w:bCs w:val="0"/>
          <w:color w:val="000000"/>
          <w:sz w:val="18"/>
          <w:szCs w:val="24"/>
        </w:rPr>
        <w:t>wing</w:t>
      </w:r>
      <w:r w:rsidRPr="00E44EA0">
        <w:rPr>
          <w:rFonts w:ascii="Montserrat Light" w:hAnsi="Montserrat Light" w:cs="Times New Roman"/>
          <w:b w:val="0"/>
          <w:bCs w:val="0"/>
          <w:color w:val="000000"/>
          <w:sz w:val="18"/>
          <w:szCs w:val="24"/>
        </w:rPr>
        <w:t>, ground floor</w:t>
      </w:r>
    </w:p>
    <w:p w14:paraId="51BAB995" w14:textId="77777777" w:rsidR="000F0AFB" w:rsidRPr="00E44EA0" w:rsidRDefault="000F0AFB" w:rsidP="0002197D">
      <w:pPr>
        <w:pStyle w:val="Appendix-Heading2"/>
        <w:numPr>
          <w:ilvl w:val="0"/>
          <w:numId w:val="14"/>
        </w:numPr>
        <w:jc w:val="both"/>
        <w:rPr>
          <w:rFonts w:ascii="Montserrat Light" w:hAnsi="Montserrat Light" w:cs="Times New Roman"/>
          <w:b w:val="0"/>
          <w:bCs w:val="0"/>
          <w:color w:val="000000"/>
          <w:sz w:val="18"/>
          <w:szCs w:val="24"/>
        </w:rPr>
      </w:pPr>
      <w:r w:rsidRPr="00E44EA0">
        <w:rPr>
          <w:rFonts w:ascii="Montserrat Light" w:hAnsi="Montserrat Light" w:cs="Times New Roman"/>
          <w:b w:val="0"/>
          <w:bCs w:val="0"/>
          <w:color w:val="000000"/>
          <w:sz w:val="18"/>
          <w:szCs w:val="24"/>
        </w:rPr>
        <w:t xml:space="preserve">SG = Senate </w:t>
      </w:r>
      <w:r w:rsidR="00441531" w:rsidRPr="00E44EA0">
        <w:rPr>
          <w:rFonts w:ascii="Montserrat Light" w:hAnsi="Montserrat Light" w:cs="Times New Roman"/>
          <w:b w:val="0"/>
          <w:bCs w:val="0"/>
          <w:color w:val="000000"/>
          <w:sz w:val="18"/>
          <w:szCs w:val="24"/>
        </w:rPr>
        <w:t>wing</w:t>
      </w:r>
      <w:r w:rsidRPr="00E44EA0">
        <w:rPr>
          <w:rFonts w:ascii="Montserrat Light" w:hAnsi="Montserrat Light" w:cs="Times New Roman"/>
          <w:b w:val="0"/>
          <w:bCs w:val="0"/>
          <w:color w:val="000000"/>
          <w:sz w:val="18"/>
          <w:szCs w:val="24"/>
        </w:rPr>
        <w:t>, ground floor</w:t>
      </w:r>
    </w:p>
    <w:p w14:paraId="036E6CA3" w14:textId="77777777" w:rsidR="000F0AFB" w:rsidRPr="00E44EA0" w:rsidRDefault="000F0AFB" w:rsidP="0002197D">
      <w:pPr>
        <w:pStyle w:val="Appendix-Heading2"/>
        <w:numPr>
          <w:ilvl w:val="0"/>
          <w:numId w:val="14"/>
        </w:numPr>
        <w:jc w:val="both"/>
        <w:rPr>
          <w:rFonts w:ascii="Montserrat Light" w:hAnsi="Montserrat Light" w:cs="Times New Roman"/>
          <w:b w:val="0"/>
          <w:bCs w:val="0"/>
          <w:color w:val="000000"/>
          <w:sz w:val="18"/>
          <w:szCs w:val="24"/>
        </w:rPr>
      </w:pPr>
      <w:r w:rsidRPr="00E44EA0">
        <w:rPr>
          <w:rFonts w:ascii="Montserrat Light" w:hAnsi="Montserrat Light" w:cs="Times New Roman"/>
          <w:b w:val="0"/>
          <w:bCs w:val="0"/>
          <w:color w:val="000000"/>
          <w:sz w:val="18"/>
          <w:szCs w:val="24"/>
        </w:rPr>
        <w:t>S2 = Senate</w:t>
      </w:r>
      <w:r w:rsidR="00441531" w:rsidRPr="00E44EA0">
        <w:rPr>
          <w:rFonts w:ascii="Montserrat Light" w:hAnsi="Montserrat Light" w:cs="Times New Roman"/>
          <w:b w:val="0"/>
          <w:bCs w:val="0"/>
          <w:color w:val="000000"/>
          <w:sz w:val="18"/>
          <w:szCs w:val="24"/>
        </w:rPr>
        <w:t xml:space="preserve"> wing</w:t>
      </w:r>
      <w:r w:rsidRPr="00E44EA0">
        <w:rPr>
          <w:rFonts w:ascii="Montserrat Light" w:hAnsi="Montserrat Light" w:cs="Times New Roman"/>
          <w:b w:val="0"/>
          <w:bCs w:val="0"/>
          <w:color w:val="000000"/>
          <w:sz w:val="18"/>
          <w:szCs w:val="24"/>
        </w:rPr>
        <w:t>, 2</w:t>
      </w:r>
      <w:r w:rsidRPr="00E44EA0">
        <w:rPr>
          <w:rFonts w:ascii="Montserrat Light" w:hAnsi="Montserrat Light" w:cs="Times New Roman"/>
          <w:b w:val="0"/>
          <w:bCs w:val="0"/>
          <w:color w:val="000000"/>
          <w:sz w:val="18"/>
          <w:szCs w:val="24"/>
          <w:vertAlign w:val="superscript"/>
        </w:rPr>
        <w:t>nd</w:t>
      </w:r>
      <w:r w:rsidRPr="00E44EA0">
        <w:rPr>
          <w:rFonts w:ascii="Montserrat Light" w:hAnsi="Montserrat Light" w:cs="Times New Roman"/>
          <w:b w:val="0"/>
          <w:bCs w:val="0"/>
          <w:color w:val="000000"/>
          <w:sz w:val="18"/>
          <w:szCs w:val="24"/>
        </w:rPr>
        <w:t xml:space="preserve"> floor</w:t>
      </w:r>
    </w:p>
    <w:p w14:paraId="3E4A6515" w14:textId="77777777" w:rsidR="00943BB6" w:rsidRDefault="00441531" w:rsidP="0002197D">
      <w:pPr>
        <w:pStyle w:val="Appendix-Heading2"/>
        <w:numPr>
          <w:ilvl w:val="0"/>
          <w:numId w:val="14"/>
        </w:numPr>
        <w:jc w:val="both"/>
        <w:rPr>
          <w:rFonts w:ascii="Montserrat Light" w:hAnsi="Montserrat Light" w:cs="Times New Roman"/>
          <w:b w:val="0"/>
          <w:bCs w:val="0"/>
          <w:color w:val="000000"/>
          <w:sz w:val="18"/>
          <w:szCs w:val="24"/>
        </w:rPr>
      </w:pPr>
      <w:r w:rsidRPr="00E44EA0">
        <w:rPr>
          <w:rFonts w:ascii="Montserrat Light" w:hAnsi="Montserrat Light" w:cs="Times New Roman"/>
          <w:b w:val="0"/>
          <w:bCs w:val="0"/>
          <w:color w:val="000000"/>
          <w:sz w:val="18"/>
          <w:szCs w:val="24"/>
        </w:rPr>
        <w:t>M2 = Ministerial wing, 2</w:t>
      </w:r>
      <w:r w:rsidRPr="00E44EA0">
        <w:rPr>
          <w:rFonts w:ascii="Montserrat Light" w:hAnsi="Montserrat Light" w:cs="Times New Roman"/>
          <w:b w:val="0"/>
          <w:bCs w:val="0"/>
          <w:color w:val="000000"/>
          <w:sz w:val="18"/>
          <w:szCs w:val="24"/>
          <w:vertAlign w:val="superscript"/>
        </w:rPr>
        <w:t>nd</w:t>
      </w:r>
      <w:r w:rsidRPr="00E44EA0">
        <w:rPr>
          <w:rFonts w:ascii="Montserrat Light" w:hAnsi="Montserrat Light" w:cs="Times New Roman"/>
          <w:b w:val="0"/>
          <w:bCs w:val="0"/>
          <w:color w:val="000000"/>
          <w:sz w:val="18"/>
          <w:szCs w:val="24"/>
        </w:rPr>
        <w:t xml:space="preserve"> floor</w:t>
      </w:r>
    </w:p>
    <w:p w14:paraId="4714B57D" w14:textId="77777777" w:rsidR="008F4004" w:rsidRDefault="008F4004">
      <w:pPr>
        <w:autoSpaceDE/>
        <w:autoSpaceDN/>
        <w:spacing w:after="0" w:line="240" w:lineRule="auto"/>
      </w:pPr>
      <w:r>
        <w:rPr>
          <w:b/>
          <w:bCs/>
        </w:rPr>
        <w:lastRenderedPageBreak/>
        <w:br w:type="page"/>
      </w:r>
    </w:p>
    <w:p w14:paraId="0083549B" w14:textId="77777777" w:rsidR="00943BB6" w:rsidRPr="00E44EA0" w:rsidRDefault="008F4004" w:rsidP="008F4004">
      <w:pPr>
        <w:pBdr>
          <w:top w:val="single" w:sz="4" w:space="1" w:color="auto"/>
          <w:left w:val="single" w:sz="4" w:space="4" w:color="auto"/>
          <w:right w:val="single" w:sz="4" w:space="4" w:color="auto"/>
        </w:pBdr>
        <w:shd w:val="clear" w:color="auto" w:fill="B8CCE4" w:themeFill="accent1" w:themeFillTint="66"/>
        <w:tabs>
          <w:tab w:val="left" w:pos="9072"/>
        </w:tabs>
        <w:autoSpaceDE/>
        <w:autoSpaceDN/>
        <w:spacing w:after="0" w:line="240" w:lineRule="auto"/>
        <w:ind w:left="113" w:right="624"/>
        <w:jc w:val="center"/>
      </w:pPr>
      <w:r w:rsidRPr="008F4004">
        <w:rPr>
          <w:rFonts w:eastAsiaTheme="minorHAnsi" w:cs="Arial"/>
          <w:b/>
          <w:bCs/>
          <w:color w:val="333399"/>
          <w:sz w:val="28"/>
          <w:szCs w:val="28"/>
        </w:rPr>
        <w:lastRenderedPageBreak/>
        <w:t>KEY CONTACTS</w:t>
      </w:r>
    </w:p>
    <w:tbl>
      <w:tblPr>
        <w:tblStyle w:val="TableGrid"/>
        <w:tblW w:w="9209" w:type="dxa"/>
        <w:tblLook w:val="04A0" w:firstRow="1" w:lastRow="0" w:firstColumn="1" w:lastColumn="0" w:noHBand="0" w:noVBand="1"/>
      </w:tblPr>
      <w:tblGrid>
        <w:gridCol w:w="3256"/>
        <w:gridCol w:w="5953"/>
      </w:tblGrid>
      <w:tr w:rsidR="00AE29A9" w:rsidRPr="00E44EA0" w14:paraId="425111DA" w14:textId="77777777" w:rsidTr="000D0026">
        <w:trPr>
          <w:tblHeader/>
        </w:trPr>
        <w:tc>
          <w:tcPr>
            <w:tcW w:w="3256" w:type="dxa"/>
            <w:shd w:val="clear" w:color="auto" w:fill="DBE5F1" w:themeFill="accent1" w:themeFillTint="33"/>
          </w:tcPr>
          <w:p w14:paraId="495169C4" w14:textId="77777777" w:rsidR="00AE29A9" w:rsidRPr="00E44EA0" w:rsidRDefault="00AE29A9" w:rsidP="008F4004">
            <w:pPr>
              <w:pStyle w:val="TableHeading"/>
              <w:rPr>
                <w:rFonts w:ascii="Montserrat Light" w:hAnsi="Montserrat Light"/>
              </w:rPr>
            </w:pPr>
            <w:r w:rsidRPr="00E44EA0">
              <w:rPr>
                <w:rFonts w:ascii="Montserrat Light" w:hAnsi="Montserrat Light"/>
              </w:rPr>
              <w:t>Recipient</w:t>
            </w:r>
          </w:p>
        </w:tc>
        <w:tc>
          <w:tcPr>
            <w:tcW w:w="5953" w:type="dxa"/>
            <w:tcBorders>
              <w:top w:val="single" w:sz="4" w:space="0" w:color="auto"/>
              <w:left w:val="single" w:sz="4" w:space="0" w:color="auto"/>
              <w:bottom w:val="single" w:sz="4" w:space="0" w:color="auto"/>
            </w:tcBorders>
            <w:shd w:val="clear" w:color="auto" w:fill="DBE5F1" w:themeFill="accent1" w:themeFillTint="33"/>
          </w:tcPr>
          <w:p w14:paraId="53536B88" w14:textId="77777777" w:rsidR="00AE29A9" w:rsidRPr="00E44EA0" w:rsidRDefault="00AE29A9" w:rsidP="008F4004">
            <w:pPr>
              <w:pStyle w:val="TableHeading"/>
              <w:jc w:val="center"/>
              <w:rPr>
                <w:rFonts w:ascii="Montserrat Light" w:hAnsi="Montserrat Light"/>
              </w:rPr>
            </w:pPr>
            <w:r w:rsidRPr="00E44EA0">
              <w:rPr>
                <w:rFonts w:ascii="Montserrat Light" w:hAnsi="Montserrat Light"/>
              </w:rPr>
              <w:t>Contact</w:t>
            </w:r>
          </w:p>
        </w:tc>
      </w:tr>
      <w:tr w:rsidR="00AE29A9" w:rsidRPr="00E44EA0" w14:paraId="22CDE01F" w14:textId="77777777" w:rsidTr="00AA658C">
        <w:tc>
          <w:tcPr>
            <w:tcW w:w="3256" w:type="dxa"/>
          </w:tcPr>
          <w:p w14:paraId="3B26C30B" w14:textId="77777777" w:rsidR="00AE29A9" w:rsidRPr="00E44EA0" w:rsidRDefault="00AE29A9" w:rsidP="008F4004">
            <w:pPr>
              <w:pStyle w:val="Appendix-Heading2"/>
              <w:rPr>
                <w:rFonts w:ascii="Montserrat Light" w:eastAsia="Times New Roman" w:hAnsi="Montserrat Light" w:cs="Times New Roman"/>
                <w:b w:val="0"/>
                <w:bCs w:val="0"/>
                <w:color w:val="000000"/>
                <w:sz w:val="18"/>
                <w:szCs w:val="18"/>
              </w:rPr>
            </w:pPr>
            <w:r w:rsidRPr="00E44EA0">
              <w:rPr>
                <w:rFonts w:ascii="Montserrat Light" w:hAnsi="Montserrat Light" w:cs="Times New Roman"/>
                <w:b w:val="0"/>
                <w:bCs w:val="0"/>
                <w:color w:val="000000"/>
                <w:sz w:val="18"/>
                <w:szCs w:val="18"/>
              </w:rPr>
              <w:t>PM&amp;C Tabling Office</w:t>
            </w:r>
          </w:p>
        </w:tc>
        <w:tc>
          <w:tcPr>
            <w:tcW w:w="5953" w:type="dxa"/>
            <w:tcBorders>
              <w:top w:val="single" w:sz="4" w:space="0" w:color="auto"/>
            </w:tcBorders>
          </w:tcPr>
          <w:p w14:paraId="59155795" w14:textId="77777777" w:rsidR="00AE29A9" w:rsidRPr="00E44EA0" w:rsidRDefault="00AE29A9" w:rsidP="008F4004">
            <w:pPr>
              <w:pStyle w:val="Appendix-Heading2"/>
              <w:jc w:val="center"/>
              <w:rPr>
                <w:rFonts w:ascii="Montserrat Light" w:eastAsia="Times New Roman" w:hAnsi="Montserrat Light" w:cs="Times New Roman"/>
                <w:b w:val="0"/>
                <w:bCs w:val="0"/>
                <w:color w:val="000000"/>
                <w:sz w:val="18"/>
                <w:szCs w:val="18"/>
              </w:rPr>
            </w:pPr>
            <w:r w:rsidRPr="00E44EA0">
              <w:rPr>
                <w:rFonts w:ascii="Montserrat Light" w:hAnsi="Montserrat Light" w:cs="Times New Roman"/>
                <w:b w:val="0"/>
                <w:bCs w:val="0"/>
                <w:color w:val="000000"/>
                <w:sz w:val="18"/>
                <w:szCs w:val="18"/>
              </w:rPr>
              <w:t>(02) 6277 7212</w:t>
            </w:r>
            <w:r w:rsidRPr="00E44EA0">
              <w:rPr>
                <w:rFonts w:ascii="Montserrat Light" w:hAnsi="Montserrat Light" w:cs="Times New Roman"/>
                <w:b w:val="0"/>
                <w:bCs w:val="0"/>
                <w:color w:val="000000"/>
                <w:sz w:val="18"/>
                <w:szCs w:val="18"/>
              </w:rPr>
              <w:br/>
            </w:r>
            <w:hyperlink r:id="rId84" w:history="1">
              <w:r w:rsidRPr="00E44EA0">
                <w:rPr>
                  <w:rStyle w:val="Hyperlink"/>
                  <w:rFonts w:ascii="Montserrat Light" w:hAnsi="Montserrat Light"/>
                  <w:b w:val="0"/>
                  <w:sz w:val="18"/>
                  <w:szCs w:val="18"/>
                </w:rPr>
                <w:t>tabling@pmc.gov.au</w:t>
              </w:r>
            </w:hyperlink>
          </w:p>
        </w:tc>
      </w:tr>
      <w:tr w:rsidR="00AE29A9" w:rsidRPr="00E44EA0" w14:paraId="08B8B71A" w14:textId="77777777" w:rsidTr="00AA658C">
        <w:tc>
          <w:tcPr>
            <w:tcW w:w="3256" w:type="dxa"/>
          </w:tcPr>
          <w:p w14:paraId="4F1BDBCE" w14:textId="77777777" w:rsidR="00AE29A9" w:rsidRPr="00E44EA0" w:rsidRDefault="00AE29A9" w:rsidP="008F4004">
            <w:pPr>
              <w:pStyle w:val="Appendix-Heading2"/>
              <w:rPr>
                <w:rFonts w:ascii="Montserrat Light" w:eastAsia="Times New Roman" w:hAnsi="Montserrat Light" w:cs="Times New Roman"/>
                <w:b w:val="0"/>
                <w:bCs w:val="0"/>
                <w:color w:val="000000"/>
                <w:sz w:val="18"/>
                <w:szCs w:val="18"/>
              </w:rPr>
            </w:pPr>
            <w:r w:rsidRPr="00E44EA0">
              <w:rPr>
                <w:rFonts w:ascii="Montserrat Light" w:hAnsi="Montserrat Light" w:cs="Times New Roman"/>
                <w:b w:val="0"/>
                <w:bCs w:val="0"/>
                <w:color w:val="000000"/>
                <w:sz w:val="18"/>
                <w:szCs w:val="18"/>
              </w:rPr>
              <w:t>House of Representatives</w:t>
            </w:r>
            <w:r w:rsidRPr="00E44EA0">
              <w:rPr>
                <w:rFonts w:ascii="Montserrat Light" w:hAnsi="Montserrat Light" w:cs="Times New Roman"/>
                <w:b w:val="0"/>
                <w:bCs w:val="0"/>
                <w:color w:val="000000"/>
                <w:sz w:val="18"/>
                <w:szCs w:val="18"/>
              </w:rPr>
              <w:br/>
              <w:t>Parliamentary Liaison Officer</w:t>
            </w:r>
          </w:p>
        </w:tc>
        <w:tc>
          <w:tcPr>
            <w:tcW w:w="5953" w:type="dxa"/>
          </w:tcPr>
          <w:p w14:paraId="7ACC3FCE" w14:textId="77777777" w:rsidR="00AE29A9" w:rsidRPr="00E44EA0" w:rsidRDefault="00AE29A9" w:rsidP="008F4004">
            <w:pPr>
              <w:pStyle w:val="Appendix-Heading2"/>
              <w:jc w:val="center"/>
              <w:rPr>
                <w:rFonts w:ascii="Montserrat Light" w:hAnsi="Montserrat Light" w:cs="Times New Roman"/>
                <w:b w:val="0"/>
                <w:bCs w:val="0"/>
                <w:color w:val="000000"/>
                <w:sz w:val="18"/>
                <w:szCs w:val="18"/>
              </w:rPr>
            </w:pPr>
            <w:r w:rsidRPr="00E44EA0">
              <w:rPr>
                <w:rFonts w:ascii="Montserrat Light" w:hAnsi="Montserrat Light"/>
                <w:b w:val="0"/>
                <w:sz w:val="18"/>
                <w:szCs w:val="18"/>
              </w:rPr>
              <w:t>(</w:t>
            </w:r>
            <w:r w:rsidRPr="00E44EA0">
              <w:rPr>
                <w:rFonts w:ascii="Montserrat Light" w:hAnsi="Montserrat Light"/>
                <w:b w:val="0"/>
                <w:color w:val="auto"/>
                <w:sz w:val="18"/>
                <w:szCs w:val="18"/>
              </w:rPr>
              <w:t>02) 6277 7377</w:t>
            </w:r>
            <w:r w:rsidRPr="00E44EA0">
              <w:rPr>
                <w:rFonts w:ascii="Montserrat Light" w:hAnsi="Montserrat Light"/>
                <w:b w:val="0"/>
                <w:sz w:val="18"/>
                <w:szCs w:val="18"/>
              </w:rPr>
              <w:br/>
            </w:r>
            <w:hyperlink r:id="rId85" w:history="1">
              <w:r w:rsidRPr="00E44EA0">
                <w:rPr>
                  <w:rStyle w:val="Hyperlink"/>
                  <w:rFonts w:ascii="Montserrat Light" w:hAnsi="Montserrat Light"/>
                  <w:b w:val="0"/>
                  <w:sz w:val="18"/>
                  <w:szCs w:val="18"/>
                </w:rPr>
                <w:t>HousePLO@pmc.gov.au</w:t>
              </w:r>
            </w:hyperlink>
          </w:p>
        </w:tc>
      </w:tr>
      <w:tr w:rsidR="00AE29A9" w:rsidRPr="00E44EA0" w14:paraId="4C5F8215" w14:textId="77777777" w:rsidTr="00AA658C">
        <w:tc>
          <w:tcPr>
            <w:tcW w:w="3256" w:type="dxa"/>
          </w:tcPr>
          <w:p w14:paraId="31551E43" w14:textId="77777777" w:rsidR="00AE29A9" w:rsidRPr="00E44EA0" w:rsidRDefault="00AE29A9" w:rsidP="008F4004">
            <w:pPr>
              <w:pStyle w:val="Appendix-Heading2"/>
              <w:rPr>
                <w:rFonts w:ascii="Montserrat Light" w:eastAsia="Times New Roman" w:hAnsi="Montserrat Light" w:cs="Times New Roman"/>
                <w:b w:val="0"/>
                <w:bCs w:val="0"/>
                <w:color w:val="000000"/>
                <w:sz w:val="18"/>
                <w:szCs w:val="18"/>
              </w:rPr>
            </w:pPr>
            <w:r w:rsidRPr="00E44EA0">
              <w:rPr>
                <w:rFonts w:ascii="Montserrat Light" w:hAnsi="Montserrat Light" w:cs="Times New Roman"/>
                <w:b w:val="0"/>
                <w:bCs w:val="0"/>
                <w:color w:val="000000"/>
                <w:sz w:val="18"/>
                <w:szCs w:val="18"/>
              </w:rPr>
              <w:t>Senate Parliamentary Liaison Officer</w:t>
            </w:r>
          </w:p>
        </w:tc>
        <w:tc>
          <w:tcPr>
            <w:tcW w:w="5953" w:type="dxa"/>
          </w:tcPr>
          <w:p w14:paraId="2976C490" w14:textId="77777777" w:rsidR="00AE29A9" w:rsidRPr="00E44EA0" w:rsidRDefault="00AE29A9" w:rsidP="008F4004">
            <w:pPr>
              <w:pStyle w:val="Appendix-Heading2"/>
              <w:jc w:val="center"/>
              <w:rPr>
                <w:rFonts w:ascii="Montserrat Light" w:hAnsi="Montserrat Light"/>
                <w:b w:val="0"/>
                <w:sz w:val="18"/>
                <w:szCs w:val="18"/>
              </w:rPr>
            </w:pPr>
            <w:r w:rsidRPr="00E44EA0">
              <w:rPr>
                <w:rFonts w:ascii="Montserrat Light" w:hAnsi="Montserrat Light"/>
                <w:b w:val="0"/>
                <w:color w:val="auto"/>
                <w:sz w:val="18"/>
                <w:szCs w:val="18"/>
              </w:rPr>
              <w:t>(02) 6277 7597</w:t>
            </w:r>
            <w:r w:rsidRPr="00E44EA0">
              <w:rPr>
                <w:rFonts w:ascii="Montserrat Light" w:hAnsi="Montserrat Light"/>
                <w:b w:val="0"/>
                <w:sz w:val="18"/>
                <w:szCs w:val="18"/>
              </w:rPr>
              <w:br/>
            </w:r>
            <w:hyperlink r:id="rId86" w:history="1">
              <w:r w:rsidRPr="00E44EA0">
                <w:rPr>
                  <w:rStyle w:val="Hyperlink"/>
                  <w:rFonts w:ascii="Montserrat Light" w:hAnsi="Montserrat Light"/>
                  <w:b w:val="0"/>
                  <w:sz w:val="18"/>
                  <w:szCs w:val="18"/>
                </w:rPr>
                <w:t>SenatePLO@pmc.gov.au</w:t>
              </w:r>
            </w:hyperlink>
          </w:p>
        </w:tc>
      </w:tr>
      <w:tr w:rsidR="00AE29A9" w:rsidRPr="00E44EA0" w14:paraId="5F83DB27" w14:textId="77777777" w:rsidTr="00AA658C">
        <w:tc>
          <w:tcPr>
            <w:tcW w:w="3256" w:type="dxa"/>
          </w:tcPr>
          <w:p w14:paraId="070E3B32" w14:textId="77777777" w:rsidR="00AE29A9" w:rsidRPr="00E44EA0" w:rsidRDefault="00AE29A9" w:rsidP="0060536A">
            <w:p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after="0"/>
              <w:rPr>
                <w:rFonts w:eastAsia="Times New Roman" w:cs="Times New Roman"/>
                <w:szCs w:val="18"/>
              </w:rPr>
            </w:pPr>
            <w:r w:rsidRPr="00E44EA0">
              <w:rPr>
                <w:szCs w:val="18"/>
              </w:rPr>
              <w:t>Senate Table Office</w:t>
            </w:r>
          </w:p>
          <w:p w14:paraId="48019F4A" w14:textId="77777777" w:rsidR="00AE29A9" w:rsidRPr="00E44EA0" w:rsidRDefault="00AE29A9" w:rsidP="0060536A">
            <w:pPr>
              <w:pStyle w:val="ListParagraph"/>
              <w:numPr>
                <w:ilvl w:val="0"/>
                <w:numId w:val="9"/>
              </w:num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rPr>
                <w:bCs/>
                <w:szCs w:val="18"/>
              </w:rPr>
            </w:pPr>
            <w:r w:rsidRPr="00E44EA0">
              <w:rPr>
                <w:bCs/>
                <w:szCs w:val="18"/>
              </w:rPr>
              <w:t xml:space="preserve">Documents Officer </w:t>
            </w:r>
          </w:p>
          <w:p w14:paraId="0148C795" w14:textId="77777777" w:rsidR="00AE29A9" w:rsidRPr="00E44EA0" w:rsidRDefault="00AE29A9" w:rsidP="0060536A">
            <w:pPr>
              <w:pStyle w:val="ListParagraph"/>
              <w:numPr>
                <w:ilvl w:val="0"/>
                <w:numId w:val="9"/>
              </w:num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rPr>
                <w:bCs/>
                <w:szCs w:val="18"/>
              </w:rPr>
            </w:pPr>
            <w:r w:rsidRPr="00E44EA0">
              <w:rPr>
                <w:szCs w:val="18"/>
              </w:rPr>
              <w:t>Senate Clerk Assistant (Table)</w:t>
            </w:r>
          </w:p>
        </w:tc>
        <w:tc>
          <w:tcPr>
            <w:tcW w:w="5953" w:type="dxa"/>
          </w:tcPr>
          <w:p w14:paraId="601D4F9B" w14:textId="77777777" w:rsidR="00AE29A9" w:rsidRPr="00E44EA0" w:rsidRDefault="00AE29A9" w:rsidP="00AE29A9">
            <w:pPr>
              <w:tabs>
                <w:tab w:val="left" w:pos="4537"/>
                <w:tab w:val="left" w:pos="5103"/>
                <w:tab w:val="center" w:pos="6804"/>
                <w:tab w:val="center" w:pos="7372"/>
                <w:tab w:val="center" w:pos="7939"/>
                <w:tab w:val="center" w:pos="8505"/>
                <w:tab w:val="right" w:pos="9356"/>
              </w:tabs>
              <w:jc w:val="center"/>
              <w:rPr>
                <w:szCs w:val="18"/>
              </w:rPr>
            </w:pPr>
            <w:r w:rsidRPr="00E44EA0">
              <w:rPr>
                <w:rFonts w:cs="Arial"/>
                <w:color w:val="auto"/>
                <w:szCs w:val="18"/>
              </w:rPr>
              <w:t>(</w:t>
            </w:r>
            <w:r w:rsidRPr="00E44EA0">
              <w:rPr>
                <w:rFonts w:cs="Arial"/>
                <w:bCs/>
                <w:color w:val="auto"/>
                <w:szCs w:val="18"/>
              </w:rPr>
              <w:t>02) 6277 3037</w:t>
            </w:r>
            <w:r w:rsidRPr="00E44EA0">
              <w:rPr>
                <w:rFonts w:cs="Arial"/>
                <w:bCs/>
                <w:color w:val="333399"/>
                <w:szCs w:val="18"/>
              </w:rPr>
              <w:br/>
            </w:r>
            <w:hyperlink r:id="rId87" w:history="1">
              <w:r w:rsidRPr="00E44EA0">
                <w:rPr>
                  <w:rStyle w:val="Hyperlink"/>
                  <w:rFonts w:cs="Arial"/>
                  <w:bCs/>
                  <w:szCs w:val="18"/>
                </w:rPr>
                <w:t>table.docs@aph.gov.au</w:t>
              </w:r>
            </w:hyperlink>
          </w:p>
        </w:tc>
      </w:tr>
      <w:tr w:rsidR="00AE29A9" w:rsidRPr="00E44EA0" w14:paraId="0A26BD45" w14:textId="77777777" w:rsidTr="00AA658C">
        <w:tc>
          <w:tcPr>
            <w:tcW w:w="3256" w:type="dxa"/>
          </w:tcPr>
          <w:p w14:paraId="607B5769" w14:textId="77777777" w:rsidR="00AE29A9" w:rsidRPr="00E44EA0" w:rsidRDefault="00AE29A9" w:rsidP="0060536A">
            <w:p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rPr>
                <w:szCs w:val="18"/>
              </w:rPr>
            </w:pPr>
            <w:r w:rsidRPr="00E44EA0">
              <w:rPr>
                <w:szCs w:val="18"/>
              </w:rPr>
              <w:t>House of Representatives Table Office</w:t>
            </w:r>
          </w:p>
          <w:p w14:paraId="76D534BA" w14:textId="77777777" w:rsidR="00AE29A9" w:rsidRPr="00E44EA0" w:rsidRDefault="00AE29A9" w:rsidP="0060536A">
            <w:pPr>
              <w:pStyle w:val="ListParagraph"/>
              <w:numPr>
                <w:ilvl w:val="0"/>
                <w:numId w:val="10"/>
              </w:num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rPr>
                <w:szCs w:val="18"/>
              </w:rPr>
            </w:pPr>
            <w:r w:rsidRPr="00E44EA0">
              <w:rPr>
                <w:szCs w:val="18"/>
              </w:rPr>
              <w:t>Documents Manager</w:t>
            </w:r>
          </w:p>
        </w:tc>
        <w:tc>
          <w:tcPr>
            <w:tcW w:w="5953" w:type="dxa"/>
          </w:tcPr>
          <w:p w14:paraId="6C54BEC0" w14:textId="77777777" w:rsidR="00AE29A9" w:rsidRPr="00E44EA0" w:rsidRDefault="00AE29A9" w:rsidP="00AE29A9">
            <w:pPr>
              <w:tabs>
                <w:tab w:val="left" w:pos="4537"/>
                <w:tab w:val="left" w:pos="5103"/>
                <w:tab w:val="center" w:pos="6804"/>
                <w:tab w:val="center" w:pos="7372"/>
                <w:tab w:val="center" w:pos="7939"/>
                <w:tab w:val="center" w:pos="8505"/>
                <w:tab w:val="right" w:pos="9356"/>
              </w:tabs>
              <w:jc w:val="center"/>
              <w:rPr>
                <w:rFonts w:eastAsia="Times New Roman" w:cs="Times New Roman"/>
                <w:szCs w:val="18"/>
              </w:rPr>
            </w:pPr>
            <w:r w:rsidRPr="00E44EA0">
              <w:rPr>
                <w:szCs w:val="18"/>
              </w:rPr>
              <w:t>(02) 6277 4800</w:t>
            </w:r>
            <w:r w:rsidRPr="00E44EA0">
              <w:rPr>
                <w:szCs w:val="18"/>
              </w:rPr>
              <w:br/>
            </w:r>
            <w:hyperlink r:id="rId88" w:history="1">
              <w:r w:rsidRPr="00E44EA0">
                <w:rPr>
                  <w:rStyle w:val="Hyperlink"/>
                  <w:szCs w:val="18"/>
                </w:rPr>
                <w:t>Documents.tabled@aph.gov.au</w:t>
              </w:r>
            </w:hyperlink>
          </w:p>
        </w:tc>
      </w:tr>
      <w:tr w:rsidR="00AE29A9" w:rsidRPr="00E44EA0" w14:paraId="4A3AD984" w14:textId="77777777" w:rsidTr="00AA658C">
        <w:tc>
          <w:tcPr>
            <w:tcW w:w="3256" w:type="dxa"/>
          </w:tcPr>
          <w:p w14:paraId="0B37BABD" w14:textId="77777777" w:rsidR="00AE29A9" w:rsidRPr="00E44EA0" w:rsidRDefault="00AE29A9" w:rsidP="007A60F2">
            <w:p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rPr>
                <w:szCs w:val="18"/>
              </w:rPr>
            </w:pPr>
            <w:r w:rsidRPr="00E44EA0">
              <w:rPr>
                <w:szCs w:val="18"/>
              </w:rPr>
              <w:t>Parliamentary Library</w:t>
            </w:r>
          </w:p>
        </w:tc>
        <w:tc>
          <w:tcPr>
            <w:tcW w:w="5953" w:type="dxa"/>
          </w:tcPr>
          <w:p w14:paraId="7403A0C0" w14:textId="77777777" w:rsidR="00AE29A9" w:rsidRPr="00E44EA0" w:rsidRDefault="00AE29A9" w:rsidP="007A60F2">
            <w:pPr>
              <w:tabs>
                <w:tab w:val="left" w:pos="4537"/>
                <w:tab w:val="left" w:pos="5103"/>
                <w:tab w:val="center" w:pos="6804"/>
                <w:tab w:val="center" w:pos="7372"/>
                <w:tab w:val="center" w:pos="7939"/>
                <w:tab w:val="center" w:pos="8505"/>
                <w:tab w:val="right" w:pos="9356"/>
              </w:tabs>
              <w:rPr>
                <w:rFonts w:cs="Arial"/>
                <w:szCs w:val="18"/>
              </w:rPr>
            </w:pPr>
          </w:p>
        </w:tc>
      </w:tr>
      <w:tr w:rsidR="00AE29A9" w:rsidRPr="00E44EA0" w14:paraId="0FE0C19A" w14:textId="77777777" w:rsidTr="00AA658C">
        <w:tc>
          <w:tcPr>
            <w:tcW w:w="3256" w:type="dxa"/>
          </w:tcPr>
          <w:p w14:paraId="4EB768DB" w14:textId="77777777" w:rsidR="00AE29A9" w:rsidRPr="00E44EA0" w:rsidRDefault="00AE29A9" w:rsidP="0084237D">
            <w:p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rPr>
                <w:szCs w:val="18"/>
              </w:rPr>
            </w:pPr>
            <w:r w:rsidRPr="00E44EA0">
              <w:rPr>
                <w:szCs w:val="18"/>
              </w:rPr>
              <w:t>Parliamentary Press Gallery</w:t>
            </w:r>
          </w:p>
        </w:tc>
        <w:tc>
          <w:tcPr>
            <w:tcW w:w="5953" w:type="dxa"/>
            <w:tcBorders>
              <w:bottom w:val="single" w:sz="4" w:space="0" w:color="auto"/>
            </w:tcBorders>
          </w:tcPr>
          <w:p w14:paraId="6D3E7378" w14:textId="77777777" w:rsidR="00AE29A9" w:rsidRPr="00E44EA0" w:rsidRDefault="00AE29A9" w:rsidP="0084237D">
            <w:pPr>
              <w:tabs>
                <w:tab w:val="left" w:pos="4537"/>
                <w:tab w:val="left" w:pos="5103"/>
                <w:tab w:val="center" w:pos="6804"/>
                <w:tab w:val="center" w:pos="7372"/>
                <w:tab w:val="center" w:pos="7939"/>
                <w:tab w:val="center" w:pos="8505"/>
                <w:tab w:val="right" w:pos="9356"/>
              </w:tabs>
              <w:rPr>
                <w:rFonts w:cs="Arial"/>
                <w:szCs w:val="18"/>
              </w:rPr>
            </w:pPr>
          </w:p>
        </w:tc>
      </w:tr>
      <w:tr w:rsidR="00AE29A9" w:rsidRPr="00E44EA0" w14:paraId="1565D03C" w14:textId="77777777" w:rsidTr="00D96CC6">
        <w:tc>
          <w:tcPr>
            <w:tcW w:w="3256" w:type="dxa"/>
          </w:tcPr>
          <w:p w14:paraId="3C6FDFED" w14:textId="77777777" w:rsidR="00AE29A9" w:rsidRPr="00E44EA0" w:rsidRDefault="00AE29A9" w:rsidP="0084237D">
            <w:p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rPr>
                <w:szCs w:val="18"/>
              </w:rPr>
            </w:pPr>
            <w:r w:rsidRPr="00E44EA0">
              <w:rPr>
                <w:rFonts w:cs="Arial"/>
                <w:szCs w:val="18"/>
              </w:rPr>
              <w:t>Parliamentary Papers Series (ePPS)</w:t>
            </w:r>
          </w:p>
        </w:tc>
        <w:tc>
          <w:tcPr>
            <w:tcW w:w="5953" w:type="dxa"/>
            <w:tcBorders>
              <w:bottom w:val="single" w:sz="4" w:space="0" w:color="auto"/>
            </w:tcBorders>
            <w:shd w:val="clear" w:color="auto" w:fill="auto"/>
          </w:tcPr>
          <w:p w14:paraId="2AEE5CAB" w14:textId="77777777" w:rsidR="00AE29A9" w:rsidRPr="00E44EA0" w:rsidRDefault="00AE29A9" w:rsidP="00AE29A9">
            <w:pPr>
              <w:tabs>
                <w:tab w:val="left" w:pos="4537"/>
                <w:tab w:val="left" w:pos="5103"/>
                <w:tab w:val="center" w:pos="6804"/>
                <w:tab w:val="center" w:pos="7372"/>
                <w:tab w:val="center" w:pos="7939"/>
                <w:tab w:val="center" w:pos="8505"/>
                <w:tab w:val="right" w:pos="9356"/>
              </w:tabs>
              <w:jc w:val="center"/>
              <w:rPr>
                <w:rFonts w:cs="Arial"/>
                <w:szCs w:val="18"/>
              </w:rPr>
            </w:pPr>
            <w:r w:rsidRPr="00E44EA0">
              <w:rPr>
                <w:rFonts w:cs="Arial"/>
                <w:szCs w:val="18"/>
              </w:rPr>
              <w:t>(02) 6277 3037 (Sen) or (02) 6277 4800 (HoR)</w:t>
            </w:r>
            <w:r w:rsidRPr="00E44EA0">
              <w:rPr>
                <w:rFonts w:cs="Arial"/>
                <w:szCs w:val="18"/>
              </w:rPr>
              <w:br/>
            </w:r>
            <w:hyperlink r:id="rId89" w:history="1">
              <w:r w:rsidRPr="00E44EA0">
                <w:rPr>
                  <w:rStyle w:val="Hyperlink"/>
                  <w:rFonts w:cs="Arial"/>
                  <w:szCs w:val="18"/>
                </w:rPr>
                <w:t>documents.tabled@aph.gov.au</w:t>
              </w:r>
            </w:hyperlink>
          </w:p>
        </w:tc>
      </w:tr>
      <w:tr w:rsidR="00AE29A9" w:rsidRPr="00E44EA0" w14:paraId="32220EAE" w14:textId="77777777" w:rsidTr="00D96CC6">
        <w:tc>
          <w:tcPr>
            <w:tcW w:w="3256" w:type="dxa"/>
          </w:tcPr>
          <w:p w14:paraId="7DF2458A" w14:textId="77777777" w:rsidR="00AE29A9" w:rsidRPr="00E44EA0" w:rsidRDefault="00AE29A9" w:rsidP="002516A2">
            <w:p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rPr>
                <w:rFonts w:cs="Arial"/>
                <w:szCs w:val="18"/>
              </w:rPr>
            </w:pPr>
            <w:r w:rsidRPr="00E44EA0">
              <w:rPr>
                <w:rFonts w:cs="Arial"/>
                <w:szCs w:val="18"/>
              </w:rPr>
              <w:t>Hansard</w:t>
            </w:r>
          </w:p>
        </w:tc>
        <w:tc>
          <w:tcPr>
            <w:tcW w:w="5953" w:type="dxa"/>
            <w:shd w:val="clear" w:color="auto" w:fill="auto"/>
          </w:tcPr>
          <w:p w14:paraId="5262C4BB" w14:textId="77777777" w:rsidR="00AE29A9" w:rsidRPr="00E44EA0" w:rsidRDefault="00876779" w:rsidP="00AE29A9">
            <w:pPr>
              <w:tabs>
                <w:tab w:val="left" w:pos="709"/>
                <w:tab w:val="center" w:pos="1276"/>
                <w:tab w:val="center" w:pos="1702"/>
                <w:tab w:val="center" w:pos="2127"/>
                <w:tab w:val="center" w:pos="2694"/>
                <w:tab w:val="center" w:pos="3261"/>
                <w:tab w:val="center" w:pos="4111"/>
                <w:tab w:val="left" w:pos="4537"/>
                <w:tab w:val="left" w:pos="5103"/>
                <w:tab w:val="center" w:pos="6804"/>
                <w:tab w:val="center" w:pos="7372"/>
                <w:tab w:val="center" w:pos="7939"/>
                <w:tab w:val="center" w:pos="8505"/>
                <w:tab w:val="right" w:pos="9356"/>
              </w:tabs>
              <w:spacing w:before="120"/>
              <w:jc w:val="center"/>
              <w:rPr>
                <w:rStyle w:val="Hyperlink"/>
                <w:rFonts w:cs="Arial"/>
                <w:szCs w:val="18"/>
              </w:rPr>
            </w:pPr>
            <w:hyperlink r:id="rId90" w:history="1">
              <w:r w:rsidR="00AE29A9" w:rsidRPr="00E44EA0">
                <w:rPr>
                  <w:rStyle w:val="Hyperlink"/>
                  <w:rFonts w:cs="Arial"/>
                  <w:szCs w:val="18"/>
                </w:rPr>
                <w:t>Hansard.esg@aph.gov.au</w:t>
              </w:r>
            </w:hyperlink>
            <w:r w:rsidR="00AE29A9" w:rsidRPr="00E44EA0">
              <w:rPr>
                <w:rStyle w:val="Hyperlink"/>
                <w:rFonts w:cs="Arial"/>
                <w:szCs w:val="18"/>
              </w:rPr>
              <w:br/>
            </w:r>
          </w:p>
        </w:tc>
      </w:tr>
    </w:tbl>
    <w:p w14:paraId="5F99ED65" w14:textId="77777777" w:rsidR="002516A2" w:rsidRPr="00E44EA0" w:rsidRDefault="002516A2" w:rsidP="002516A2">
      <w:pPr>
        <w:rPr>
          <w:b/>
        </w:rPr>
      </w:pPr>
    </w:p>
    <w:p w14:paraId="2F3520C5" w14:textId="77777777" w:rsidR="00C91BFD" w:rsidRPr="00E44EA0" w:rsidRDefault="00EF1781" w:rsidP="0002197D">
      <w:pPr>
        <w:jc w:val="both"/>
        <w:rPr>
          <w:b/>
        </w:rPr>
      </w:pPr>
      <w:r w:rsidRPr="00E44EA0">
        <w:rPr>
          <w:b/>
        </w:rPr>
        <w:t>Other distribution of tabled documents</w:t>
      </w:r>
      <w:r w:rsidR="002516A2" w:rsidRPr="00E44EA0">
        <w:rPr>
          <w:b/>
        </w:rPr>
        <w:t xml:space="preserve"> - </w:t>
      </w:r>
      <w:r w:rsidR="00C91BFD" w:rsidRPr="00E44EA0">
        <w:rPr>
          <w:b/>
        </w:rPr>
        <w:t>Commonwealth Library Deposit and Free Issue Schemes</w:t>
      </w:r>
      <w:r w:rsidR="00B503F2" w:rsidRPr="00E44EA0">
        <w:t xml:space="preserve"> </w:t>
      </w:r>
      <w:r w:rsidR="00B503F2" w:rsidRPr="00E44EA0">
        <w:rPr>
          <w:b/>
        </w:rPr>
        <w:t>(LDS)</w:t>
      </w:r>
    </w:p>
    <w:p w14:paraId="243700AE" w14:textId="77777777" w:rsidR="00DA443A" w:rsidRPr="00445D58" w:rsidRDefault="0099041B" w:rsidP="0002197D">
      <w:pPr>
        <w:jc w:val="both"/>
        <w:rPr>
          <w:szCs w:val="18"/>
        </w:rPr>
      </w:pPr>
      <w:r w:rsidRPr="00445D58">
        <w:rPr>
          <w:szCs w:val="18"/>
          <w:lang w:eastAsia="en-AU"/>
        </w:rPr>
        <w:t xml:space="preserve">The Commonwealth Library </w:t>
      </w:r>
      <w:r w:rsidR="003141A0">
        <w:rPr>
          <w:szCs w:val="18"/>
          <w:lang w:eastAsia="en-AU"/>
        </w:rPr>
        <w:t>Deposit and Free Issue Schemes enhance public access to Australian Government publications</w:t>
      </w:r>
      <w:r w:rsidR="0062528B">
        <w:rPr>
          <w:szCs w:val="18"/>
          <w:lang w:eastAsia="en-AU"/>
        </w:rPr>
        <w:t>.</w:t>
      </w:r>
      <w:r w:rsidRPr="00445D58">
        <w:rPr>
          <w:szCs w:val="18"/>
          <w:lang w:eastAsia="en-AU"/>
        </w:rPr>
        <w:t xml:space="preserve"> The publications of Commonwealth Departments and Agencies are subject to the legal deposit provisions of the </w:t>
      </w:r>
      <w:r w:rsidRPr="00445D58">
        <w:rPr>
          <w:i/>
          <w:szCs w:val="18"/>
          <w:lang w:eastAsia="en-AU"/>
        </w:rPr>
        <w:t>Copyright Act</w:t>
      </w:r>
      <w:r w:rsidRPr="00445D58">
        <w:rPr>
          <w:szCs w:val="18"/>
          <w:lang w:eastAsia="en-AU"/>
        </w:rPr>
        <w:t xml:space="preserve"> </w:t>
      </w:r>
      <w:r w:rsidRPr="00445D58">
        <w:rPr>
          <w:i/>
          <w:szCs w:val="18"/>
          <w:lang w:eastAsia="en-AU"/>
        </w:rPr>
        <w:t>1968</w:t>
      </w:r>
      <w:r w:rsidRPr="00445D58">
        <w:rPr>
          <w:szCs w:val="18"/>
          <w:lang w:eastAsia="en-AU"/>
        </w:rPr>
        <w:t>. Since 2016, this Act has applied to both d</w:t>
      </w:r>
      <w:r w:rsidR="00EB0C00" w:rsidRPr="00445D58">
        <w:rPr>
          <w:szCs w:val="18"/>
          <w:lang w:eastAsia="en-AU"/>
        </w:rPr>
        <w:t xml:space="preserve">igital and print publications. </w:t>
      </w:r>
      <w:r w:rsidRPr="00445D58">
        <w:rPr>
          <w:szCs w:val="18"/>
          <w:lang w:eastAsia="en-AU"/>
        </w:rPr>
        <w:t xml:space="preserve">The electronic publications of Commonwealth Departments and Agencies must be deposited with the National Library of Australia, through the National edeposit service </w:t>
      </w:r>
      <w:hyperlink r:id="rId91" w:history="1">
        <w:r w:rsidRPr="00445D58">
          <w:rPr>
            <w:rStyle w:val="Hyperlink"/>
            <w:szCs w:val="18"/>
            <w:lang w:eastAsia="en-AU"/>
          </w:rPr>
          <w:t>https://ned.gov.au</w:t>
        </w:r>
      </w:hyperlink>
      <w:r w:rsidRPr="00445D58">
        <w:rPr>
          <w:szCs w:val="18"/>
          <w:lang w:eastAsia="en-AU"/>
        </w:rPr>
        <w:t>. By depositing into the National edeposit service publishing agencies meet their national obligations for legal deposit r</w:t>
      </w:r>
      <w:r w:rsidR="00EB0C00" w:rsidRPr="00445D58">
        <w:rPr>
          <w:szCs w:val="18"/>
          <w:lang w:eastAsia="en-AU"/>
        </w:rPr>
        <w:t>equirements.</w:t>
      </w:r>
      <w:r w:rsidRPr="00445D58">
        <w:rPr>
          <w:szCs w:val="18"/>
          <w:lang w:eastAsia="en-AU"/>
        </w:rPr>
        <w:t xml:space="preserve"> </w:t>
      </w:r>
      <w:r w:rsidRPr="00445D58">
        <w:rPr>
          <w:szCs w:val="18"/>
        </w:rPr>
        <w:t xml:space="preserve">Further details on the </w:t>
      </w:r>
      <w:hyperlink r:id="rId92" w:history="1">
        <w:r w:rsidRPr="00445D58">
          <w:rPr>
            <w:rStyle w:val="Hyperlink"/>
            <w:szCs w:val="18"/>
          </w:rPr>
          <w:t>Commonwealth Library Deposit and Free Issue Schemes</w:t>
        </w:r>
      </w:hyperlink>
      <w:r w:rsidRPr="00445D58">
        <w:rPr>
          <w:szCs w:val="18"/>
        </w:rPr>
        <w:t xml:space="preserve"> is available from the DTA.</w:t>
      </w:r>
    </w:p>
    <w:p w14:paraId="6D21E841" w14:textId="77777777" w:rsidR="00BC45E5" w:rsidRPr="00E44EA0" w:rsidRDefault="000F0AFB" w:rsidP="0002197D">
      <w:pPr>
        <w:jc w:val="both"/>
        <w:rPr>
          <w:b/>
        </w:rPr>
      </w:pPr>
      <w:r w:rsidRPr="00E44EA0">
        <w:rPr>
          <w:b/>
        </w:rPr>
        <w:t xml:space="preserve">Other distribution of tabled documents </w:t>
      </w:r>
      <w:r w:rsidR="003D5113" w:rsidRPr="00E44EA0">
        <w:rPr>
          <w:b/>
        </w:rPr>
        <w:t>–</w:t>
      </w:r>
      <w:r w:rsidRPr="00E44EA0">
        <w:rPr>
          <w:b/>
        </w:rPr>
        <w:t xml:space="preserve"> </w:t>
      </w:r>
      <w:hyperlink w:anchor="ElectronicParliamentaryPaperSeries" w:history="1">
        <w:r w:rsidR="003D5113" w:rsidRPr="00E44EA0">
          <w:rPr>
            <w:rStyle w:val="Hyperlink"/>
            <w:b/>
          </w:rPr>
          <w:t xml:space="preserve">Electronic </w:t>
        </w:r>
        <w:r w:rsidR="00BC45E5" w:rsidRPr="00E44EA0">
          <w:rPr>
            <w:rStyle w:val="Hyperlink"/>
            <w:b/>
          </w:rPr>
          <w:t>Parliamentary Paper Series</w:t>
        </w:r>
      </w:hyperlink>
      <w:r w:rsidR="001F5EE1" w:rsidRPr="00E44EA0">
        <w:rPr>
          <w:b/>
        </w:rPr>
        <w:t xml:space="preserve"> (ePPS)</w:t>
      </w:r>
    </w:p>
    <w:p w14:paraId="48D7E5AC" w14:textId="77777777" w:rsidR="00BC45E5" w:rsidRPr="00E44EA0" w:rsidRDefault="00BC45E5" w:rsidP="0002197D">
      <w:pPr>
        <w:jc w:val="both"/>
      </w:pPr>
      <w:r w:rsidRPr="00E44EA0">
        <w:t xml:space="preserve">The </w:t>
      </w:r>
      <w:r w:rsidR="00E1322E" w:rsidRPr="00E44EA0">
        <w:t>ePPS</w:t>
      </w:r>
      <w:r w:rsidRPr="00E44EA0">
        <w:t xml:space="preserve"> (</w:t>
      </w:r>
      <w:r w:rsidR="00436ABA" w:rsidRPr="00E44EA0">
        <w:t>formerl</w:t>
      </w:r>
      <w:r w:rsidR="008A25FD" w:rsidRPr="00E44EA0">
        <w:t>y known as PPS</w:t>
      </w:r>
      <w:r w:rsidRPr="00E44EA0">
        <w:t xml:space="preserve">) is produced by the Parliament as a collection of documents of a substantial nature presented to the Parliament. The series includes copies of most annual reports and other tabled documents recommended by the </w:t>
      </w:r>
      <w:hyperlink w:anchor="JointCommitteeonPublications" w:history="1">
        <w:r w:rsidRPr="00E44EA0">
          <w:rPr>
            <w:rStyle w:val="Hyperlink"/>
          </w:rPr>
          <w:t>Joint Committee</w:t>
        </w:r>
        <w:r w:rsidR="001C693B" w:rsidRPr="00E44EA0">
          <w:rPr>
            <w:rStyle w:val="Hyperlink"/>
          </w:rPr>
          <w:t xml:space="preserve"> on Publications</w:t>
        </w:r>
      </w:hyperlink>
      <w:r w:rsidRPr="00E44EA0">
        <w:t xml:space="preserve">. </w:t>
      </w:r>
    </w:p>
    <w:p w14:paraId="1D92CC3B" w14:textId="77777777" w:rsidR="00C2756A" w:rsidRPr="00E44EA0" w:rsidRDefault="00C2756A" w:rsidP="0002197D">
      <w:pPr>
        <w:jc w:val="both"/>
      </w:pPr>
      <w:r w:rsidRPr="00E44EA0">
        <w:t xml:space="preserve">An email </w:t>
      </w:r>
      <w:r w:rsidRPr="00E44EA0">
        <w:rPr>
          <w:u w:val="single"/>
        </w:rPr>
        <w:t>must</w:t>
      </w:r>
      <w:r w:rsidRPr="00E44EA0">
        <w:t xml:space="preserve"> be sent to </w:t>
      </w:r>
      <w:hyperlink r:id="rId93" w:history="1">
        <w:r w:rsidRPr="00E44EA0">
          <w:rPr>
            <w:rStyle w:val="Hyperlink"/>
          </w:rPr>
          <w:t>documents.tabled@aph.gov.au</w:t>
        </w:r>
      </w:hyperlink>
      <w:r w:rsidRPr="00E44EA0">
        <w:t>, containing the following information:</w:t>
      </w:r>
    </w:p>
    <w:p w14:paraId="23B1B79F" w14:textId="77777777" w:rsidR="00C2756A" w:rsidRPr="00E44EA0" w:rsidRDefault="00C2756A" w:rsidP="0002197D">
      <w:pPr>
        <w:pStyle w:val="ListParagraph"/>
        <w:numPr>
          <w:ilvl w:val="0"/>
          <w:numId w:val="10"/>
        </w:numPr>
        <w:jc w:val="both"/>
      </w:pPr>
      <w:r w:rsidRPr="00E44EA0">
        <w:t xml:space="preserve">subject field in the email </w:t>
      </w:r>
      <w:r w:rsidRPr="00E44EA0">
        <w:rPr>
          <w:u w:val="single"/>
        </w:rPr>
        <w:t>must</w:t>
      </w:r>
      <w:r w:rsidRPr="00E44EA0">
        <w:t xml:space="preserve"> contain the title of the document</w:t>
      </w:r>
    </w:p>
    <w:p w14:paraId="73DE0D79" w14:textId="77777777" w:rsidR="00C2756A" w:rsidRPr="00E44EA0" w:rsidRDefault="00C2756A" w:rsidP="0002197D">
      <w:pPr>
        <w:pStyle w:val="ListParagraph"/>
        <w:numPr>
          <w:ilvl w:val="0"/>
          <w:numId w:val="10"/>
        </w:numPr>
        <w:jc w:val="both"/>
      </w:pPr>
      <w:r w:rsidRPr="00E44EA0">
        <w:t xml:space="preserve">full contact details for the departmental contact officer </w:t>
      </w:r>
    </w:p>
    <w:p w14:paraId="28B7DC6F" w14:textId="77777777" w:rsidR="00C2756A" w:rsidRPr="00E44EA0" w:rsidRDefault="00C2756A" w:rsidP="0002197D">
      <w:pPr>
        <w:pStyle w:val="ListParagraph"/>
        <w:numPr>
          <w:ilvl w:val="0"/>
          <w:numId w:val="10"/>
        </w:numPr>
        <w:jc w:val="both"/>
      </w:pPr>
      <w:r w:rsidRPr="00E44EA0">
        <w:t>hyperlink to the document on the department’s website – example:</w:t>
      </w:r>
    </w:p>
    <w:p w14:paraId="3090635E" w14:textId="77777777" w:rsidR="00C2756A" w:rsidRPr="00E44EA0" w:rsidRDefault="00C2756A" w:rsidP="0002197D">
      <w:pPr>
        <w:pStyle w:val="ListParagraph"/>
        <w:jc w:val="both"/>
      </w:pPr>
    </w:p>
    <w:p w14:paraId="2E40ED35" w14:textId="77777777" w:rsidR="00C2756A" w:rsidRPr="00E44EA0" w:rsidRDefault="00C2756A" w:rsidP="0002197D">
      <w:pPr>
        <w:pStyle w:val="ListParagraph"/>
        <w:numPr>
          <w:ilvl w:val="1"/>
          <w:numId w:val="10"/>
        </w:numPr>
        <w:jc w:val="both"/>
      </w:pPr>
      <w:r w:rsidRPr="00E44EA0">
        <w:t>“The following report, [insert report title], tabled on [insert date] is now available on the department’s website and can be accessed using the following hyperlink: [insert hyperlink]”</w:t>
      </w:r>
    </w:p>
    <w:p w14:paraId="0BD8DEDA" w14:textId="77777777" w:rsidR="00BC45E5" w:rsidRPr="00E44EA0" w:rsidRDefault="00BC45E5" w:rsidP="0002197D">
      <w:pPr>
        <w:jc w:val="both"/>
      </w:pPr>
      <w:r w:rsidRPr="00E44EA0">
        <w:lastRenderedPageBreak/>
        <w:t>Advice on the ePPS is available from:</w:t>
      </w:r>
    </w:p>
    <w:p w14:paraId="19EA0772" w14:textId="77777777" w:rsidR="00BC45E5" w:rsidRPr="00E44EA0" w:rsidRDefault="008A25FD" w:rsidP="0002197D">
      <w:pPr>
        <w:pStyle w:val="ListParagraph"/>
        <w:numPr>
          <w:ilvl w:val="0"/>
          <w:numId w:val="7"/>
        </w:numPr>
        <w:jc w:val="both"/>
      </w:pPr>
      <w:r w:rsidRPr="00E44EA0">
        <w:t xml:space="preserve">Departments </w:t>
      </w:r>
      <w:r w:rsidR="00BC45E5" w:rsidRPr="00E44EA0">
        <w:t>A to M: the Document</w:t>
      </w:r>
      <w:r w:rsidR="00945933" w:rsidRPr="00E44EA0">
        <w:t>s Officer, Senate Table Office</w:t>
      </w:r>
    </w:p>
    <w:p w14:paraId="422C675F" w14:textId="77777777" w:rsidR="00BC45E5" w:rsidRPr="00E44EA0" w:rsidRDefault="008A25FD" w:rsidP="0002197D">
      <w:pPr>
        <w:pStyle w:val="ListParagraph"/>
        <w:numPr>
          <w:ilvl w:val="0"/>
          <w:numId w:val="7"/>
        </w:numPr>
        <w:jc w:val="both"/>
      </w:pPr>
      <w:r w:rsidRPr="00E44EA0">
        <w:t xml:space="preserve">Departments </w:t>
      </w:r>
      <w:r w:rsidR="00BC45E5" w:rsidRPr="00E44EA0">
        <w:t>N to Z, Budget documents and Auditor-General’s reports: the Documents Manager, House o</w:t>
      </w:r>
      <w:r w:rsidR="00945933" w:rsidRPr="00E44EA0">
        <w:t>f Representatives Table Office</w:t>
      </w:r>
    </w:p>
    <w:p w14:paraId="3C8681E0" w14:textId="77777777" w:rsidR="00745E93" w:rsidRPr="00E44EA0" w:rsidRDefault="00745E93" w:rsidP="00FE6CDA"/>
    <w:p w14:paraId="0F314A77" w14:textId="77777777" w:rsidR="00526905" w:rsidRPr="00E44EA0" w:rsidRDefault="00526905">
      <w:pPr>
        <w:autoSpaceDE/>
        <w:autoSpaceDN/>
        <w:spacing w:after="0" w:line="240" w:lineRule="auto"/>
      </w:pPr>
      <w:r w:rsidRPr="00E44EA0">
        <w:br w:type="page"/>
      </w:r>
    </w:p>
    <w:p w14:paraId="710273C5" w14:textId="77777777" w:rsidR="008837D4" w:rsidRPr="00E44EA0" w:rsidRDefault="008837D4" w:rsidP="008837D4">
      <w:pPr>
        <w:pStyle w:val="Heading1"/>
      </w:pPr>
      <w:bookmarkStart w:id="18" w:name="_supplementary_information"/>
      <w:bookmarkStart w:id="19" w:name="_GLOSSARY__OF"/>
      <w:bookmarkStart w:id="20" w:name="_GLOSSARY_OF_TERMS"/>
      <w:bookmarkEnd w:id="18"/>
      <w:bookmarkEnd w:id="19"/>
      <w:bookmarkEnd w:id="20"/>
      <w:r w:rsidRPr="00E44EA0">
        <w:lastRenderedPageBreak/>
        <w:t>GLOSSARY OF TERMS</w:t>
      </w:r>
    </w:p>
    <w:tbl>
      <w:tblPr>
        <w:tblStyle w:val="TableGrid"/>
        <w:tblW w:w="9639" w:type="dxa"/>
        <w:tblInd w:w="-5" w:type="dxa"/>
        <w:tblLayout w:type="fixed"/>
        <w:tblLook w:val="04A0" w:firstRow="1" w:lastRow="0" w:firstColumn="1" w:lastColumn="0" w:noHBand="0" w:noVBand="1"/>
      </w:tblPr>
      <w:tblGrid>
        <w:gridCol w:w="2552"/>
        <w:gridCol w:w="7087"/>
      </w:tblGrid>
      <w:tr w:rsidR="006914E9" w:rsidRPr="00E44EA0" w14:paraId="6CDA818A" w14:textId="77777777" w:rsidTr="00A851BE">
        <w:tc>
          <w:tcPr>
            <w:tcW w:w="2552" w:type="dxa"/>
          </w:tcPr>
          <w:p w14:paraId="062043C8" w14:textId="77777777" w:rsidR="006914E9" w:rsidRPr="00E44EA0" w:rsidRDefault="006914E9" w:rsidP="006914E9">
            <w:bookmarkStart w:id="21" w:name="AuditorGeneral"/>
            <w:r w:rsidRPr="00E44EA0">
              <w:t>Auditor-General</w:t>
            </w:r>
            <w:bookmarkEnd w:id="21"/>
          </w:p>
        </w:tc>
        <w:tc>
          <w:tcPr>
            <w:tcW w:w="7087" w:type="dxa"/>
          </w:tcPr>
          <w:p w14:paraId="1ED502D6" w14:textId="77777777" w:rsidR="006914E9" w:rsidRPr="00E44EA0" w:rsidRDefault="001C693B" w:rsidP="006914E9">
            <w:r w:rsidRPr="00E44EA0">
              <w:t xml:space="preserve">The Auditor-General for Australia is an independent officer of the Parliament with responsibility under the </w:t>
            </w:r>
            <w:r w:rsidRPr="00E44EA0">
              <w:rPr>
                <w:i/>
              </w:rPr>
              <w:t>Auditor-General Act 1997</w:t>
            </w:r>
            <w:r w:rsidRPr="00E44EA0">
              <w:t xml:space="preserve"> for auditing Commonwealth entities and reporting to the Australian Parliament.</w:t>
            </w:r>
          </w:p>
        </w:tc>
      </w:tr>
      <w:tr w:rsidR="006914E9" w:rsidRPr="00E44EA0" w14:paraId="66A631BE" w14:textId="77777777" w:rsidTr="00A851BE">
        <w:tc>
          <w:tcPr>
            <w:tcW w:w="2552" w:type="dxa"/>
          </w:tcPr>
          <w:p w14:paraId="15A87502" w14:textId="77777777" w:rsidR="006914E9" w:rsidRPr="00E44EA0" w:rsidRDefault="005C6158" w:rsidP="009F6528">
            <w:bookmarkStart w:id="22" w:name="caretaker"/>
            <w:r>
              <w:t>C</w:t>
            </w:r>
            <w:r w:rsidR="006914E9" w:rsidRPr="00E44EA0">
              <w:t>aretaker</w:t>
            </w:r>
            <w:bookmarkEnd w:id="22"/>
          </w:p>
        </w:tc>
        <w:tc>
          <w:tcPr>
            <w:tcW w:w="7087" w:type="dxa"/>
          </w:tcPr>
          <w:p w14:paraId="7A9D9A86" w14:textId="77777777" w:rsidR="00312C52" w:rsidRPr="00E44EA0" w:rsidRDefault="00312C52" w:rsidP="006914E9">
            <w:r w:rsidRPr="00E44EA0">
              <w:t>The caretaker period begins at the time the House of Representatives is dissolved and continue</w:t>
            </w:r>
            <w:r w:rsidR="00EE669F" w:rsidRPr="00E44EA0">
              <w:t>s</w:t>
            </w:r>
            <w:r w:rsidRPr="00E44EA0">
              <w:t xml:space="preserve"> until the election result is clear or, if there is a change of government, until the new government is appointed.</w:t>
            </w:r>
          </w:p>
          <w:p w14:paraId="0B3E0DDB" w14:textId="77777777" w:rsidR="006914E9" w:rsidRPr="00E44EA0" w:rsidRDefault="00876779" w:rsidP="006914E9">
            <w:hyperlink r:id="rId94" w:history="1">
              <w:r w:rsidR="00312C52" w:rsidRPr="00E44EA0">
                <w:rPr>
                  <w:rStyle w:val="Hyperlink"/>
                </w:rPr>
                <w:t>https://www.pmc.gov.au/resource-centre/government/guidance-caretaker-conventions</w:t>
              </w:r>
            </w:hyperlink>
            <w:r w:rsidR="00312C52" w:rsidRPr="00E44EA0">
              <w:t xml:space="preserve"> </w:t>
            </w:r>
          </w:p>
        </w:tc>
      </w:tr>
      <w:tr w:rsidR="006914E9" w:rsidRPr="00E44EA0" w14:paraId="286B1886" w14:textId="77777777" w:rsidTr="00A851BE">
        <w:tc>
          <w:tcPr>
            <w:tcW w:w="2552" w:type="dxa"/>
          </w:tcPr>
          <w:p w14:paraId="10CF4627" w14:textId="77777777" w:rsidR="006914E9" w:rsidRPr="0099041B" w:rsidRDefault="006914E9" w:rsidP="006914E9">
            <w:bookmarkStart w:id="23" w:name="CommonwealthLibraryDepositandFree"/>
            <w:r w:rsidRPr="0099041B">
              <w:t xml:space="preserve">Commonwealth Library Deposit and Free Issue Schemes </w:t>
            </w:r>
            <w:bookmarkEnd w:id="23"/>
            <w:r w:rsidRPr="0099041B">
              <w:t>(LDS)</w:t>
            </w:r>
          </w:p>
        </w:tc>
        <w:tc>
          <w:tcPr>
            <w:tcW w:w="7087" w:type="dxa"/>
          </w:tcPr>
          <w:p w14:paraId="7AC310DE" w14:textId="77777777" w:rsidR="006914E9" w:rsidRPr="00E44EA0" w:rsidRDefault="006914E9" w:rsidP="00EE669F">
            <w:r w:rsidRPr="0099041B">
              <w:t xml:space="preserve">The </w:t>
            </w:r>
            <w:r w:rsidR="009F6528" w:rsidRPr="0099041B">
              <w:t>LDS</w:t>
            </w:r>
            <w:r w:rsidRPr="0099041B">
              <w:t xml:space="preserve"> enhances public access to Australian Government publications. Under the LDS Australian Government departments are required to provide one copy of each publication to each participating deposit library. Deposit libraries comprise the National Library of Australia, State Libraries and publicly funded universities identified under the </w:t>
            </w:r>
            <w:r w:rsidRPr="0099041B">
              <w:rPr>
                <w:i/>
              </w:rPr>
              <w:t>Higher Education Funding Act 1988</w:t>
            </w:r>
            <w:r w:rsidRPr="0099041B">
              <w:t>.</w:t>
            </w:r>
            <w:r w:rsidRPr="00E44EA0">
              <w:t xml:space="preserve"> </w:t>
            </w:r>
          </w:p>
        </w:tc>
      </w:tr>
      <w:tr w:rsidR="006914E9" w:rsidRPr="00E44EA0" w14:paraId="51D84DCB" w14:textId="77777777" w:rsidTr="00A851BE">
        <w:tc>
          <w:tcPr>
            <w:tcW w:w="2552" w:type="dxa"/>
          </w:tcPr>
          <w:p w14:paraId="2F989A88" w14:textId="77777777" w:rsidR="006914E9" w:rsidRPr="00E44EA0" w:rsidRDefault="009F6528" w:rsidP="006914E9">
            <w:bookmarkStart w:id="24" w:name="DigitalTransformationAgency"/>
            <w:r w:rsidRPr="00E44EA0">
              <w:t xml:space="preserve">Digital Transformation Agency </w:t>
            </w:r>
            <w:bookmarkEnd w:id="24"/>
            <w:r w:rsidRPr="00E44EA0">
              <w:t>(</w:t>
            </w:r>
            <w:r w:rsidR="006914E9" w:rsidRPr="00E44EA0">
              <w:t>DTA</w:t>
            </w:r>
            <w:r w:rsidRPr="00E44EA0">
              <w:t>)</w:t>
            </w:r>
          </w:p>
        </w:tc>
        <w:tc>
          <w:tcPr>
            <w:tcW w:w="7087" w:type="dxa"/>
          </w:tcPr>
          <w:p w14:paraId="0C6D22AF" w14:textId="77777777" w:rsidR="006914E9" w:rsidRPr="00E44EA0" w:rsidRDefault="009F6528" w:rsidP="009F6528">
            <w:r w:rsidRPr="00E44EA0">
              <w:t>The DTA assists the Government in guiding, overseeing and driving its digital and ICT transformation agendas</w:t>
            </w:r>
            <w:r w:rsidR="00C2756A" w:rsidRPr="00E44EA0">
              <w:t>.</w:t>
            </w:r>
          </w:p>
        </w:tc>
      </w:tr>
      <w:tr w:rsidR="006914E9" w:rsidRPr="00E44EA0" w14:paraId="3B73F92E" w14:textId="77777777" w:rsidTr="00A851BE">
        <w:tc>
          <w:tcPr>
            <w:tcW w:w="2552" w:type="dxa"/>
          </w:tcPr>
          <w:p w14:paraId="722D43C1" w14:textId="77777777" w:rsidR="006914E9" w:rsidRPr="00E44EA0" w:rsidRDefault="009F6528" w:rsidP="006914E9">
            <w:bookmarkStart w:id="25" w:name="ElectronicParliamentaryPaperSeries"/>
            <w:r w:rsidRPr="00E44EA0">
              <w:t xml:space="preserve">Electronic Parliamentary Paper Series </w:t>
            </w:r>
            <w:bookmarkEnd w:id="25"/>
            <w:r w:rsidRPr="00E44EA0">
              <w:t>(</w:t>
            </w:r>
            <w:r w:rsidR="006914E9" w:rsidRPr="00E44EA0">
              <w:t>ePPS</w:t>
            </w:r>
            <w:r w:rsidRPr="00E44EA0">
              <w:t>)</w:t>
            </w:r>
          </w:p>
        </w:tc>
        <w:tc>
          <w:tcPr>
            <w:tcW w:w="7087" w:type="dxa"/>
          </w:tcPr>
          <w:p w14:paraId="4D8D293D" w14:textId="77777777" w:rsidR="006914E9" w:rsidRPr="00E44EA0" w:rsidRDefault="006914E9" w:rsidP="00E34AA9">
            <w:r w:rsidRPr="00E44EA0">
              <w:t>Electronic Parliamentary Paper Series - produced by the Parliament as a collection of documents of a substantial nature presented to the Parliament. The series includes copies of most annual reports and other tabled documents recommended by the Joint Committee</w:t>
            </w:r>
            <w:r w:rsidR="001C693B" w:rsidRPr="00E44EA0">
              <w:t xml:space="preserve"> on Publications</w:t>
            </w:r>
            <w:r w:rsidRPr="00E44EA0">
              <w:t xml:space="preserve">. </w:t>
            </w:r>
          </w:p>
        </w:tc>
      </w:tr>
      <w:tr w:rsidR="006914E9" w:rsidRPr="00E44EA0" w14:paraId="720566B1" w14:textId="77777777" w:rsidTr="00A851BE">
        <w:tc>
          <w:tcPr>
            <w:tcW w:w="2552" w:type="dxa"/>
          </w:tcPr>
          <w:p w14:paraId="6B2B2264" w14:textId="77777777" w:rsidR="006914E9" w:rsidRPr="00E44EA0" w:rsidRDefault="006914E9" w:rsidP="006914E9">
            <w:bookmarkStart w:id="26" w:name="ExplanatoryMemorandum"/>
            <w:r w:rsidRPr="00E44EA0">
              <w:t>Explanatory Memorandum</w:t>
            </w:r>
            <w:bookmarkEnd w:id="26"/>
          </w:p>
        </w:tc>
        <w:tc>
          <w:tcPr>
            <w:tcW w:w="7087" w:type="dxa"/>
          </w:tcPr>
          <w:p w14:paraId="70D33782" w14:textId="77777777" w:rsidR="006914E9" w:rsidRPr="00E44EA0" w:rsidRDefault="00D70242" w:rsidP="006914E9">
            <w:r w:rsidRPr="00E44EA0">
              <w:t>A</w:t>
            </w:r>
            <w:r w:rsidR="006914E9" w:rsidRPr="00E44EA0">
              <w:t xml:space="preserve"> companion document to a bill which assists members of the Parliament, officials and the public to understand the objectives and detailed operation of the clauses of the bill</w:t>
            </w:r>
            <w:r w:rsidR="00C2756A" w:rsidRPr="00E44EA0">
              <w:t>.</w:t>
            </w:r>
          </w:p>
        </w:tc>
      </w:tr>
      <w:tr w:rsidR="006914E9" w:rsidRPr="00E44EA0" w14:paraId="5327FAEE" w14:textId="77777777" w:rsidTr="00A851BE">
        <w:tc>
          <w:tcPr>
            <w:tcW w:w="2552" w:type="dxa"/>
          </w:tcPr>
          <w:p w14:paraId="544186DD" w14:textId="77777777" w:rsidR="006914E9" w:rsidRPr="00E44EA0" w:rsidRDefault="006914E9" w:rsidP="006914E9">
            <w:bookmarkStart w:id="27" w:name="Generalpurposestandingcommittee"/>
            <w:r w:rsidRPr="00E44EA0">
              <w:t>General purpose standing committee</w:t>
            </w:r>
            <w:bookmarkEnd w:id="27"/>
          </w:p>
        </w:tc>
        <w:tc>
          <w:tcPr>
            <w:tcW w:w="7087" w:type="dxa"/>
          </w:tcPr>
          <w:p w14:paraId="70DFC225" w14:textId="77777777" w:rsidR="006914E9" w:rsidRPr="00E44EA0" w:rsidRDefault="006914E9" w:rsidP="006914E9">
            <w:r w:rsidRPr="00E44EA0">
              <w:t>General purpose standing committees are a specific type of standing committee. They are investigatory or scrutiny committees, established by the House of Representatives at the commencement of each Parliament to inquire into and report upon any matters referred to them, including legislation. These committees specialise by subject area, between them covering most areas of federal government activity.</w:t>
            </w:r>
          </w:p>
        </w:tc>
      </w:tr>
      <w:tr w:rsidR="006914E9" w:rsidRPr="00E44EA0" w14:paraId="698DFFA3" w14:textId="77777777" w:rsidTr="00A851BE">
        <w:tc>
          <w:tcPr>
            <w:tcW w:w="2552" w:type="dxa"/>
          </w:tcPr>
          <w:p w14:paraId="3FD24F1B" w14:textId="77777777" w:rsidR="006914E9" w:rsidRPr="00E44EA0" w:rsidRDefault="006914E9" w:rsidP="006914E9">
            <w:bookmarkStart w:id="28" w:name="Hansard"/>
            <w:r w:rsidRPr="00E44EA0">
              <w:t>Hansard</w:t>
            </w:r>
            <w:bookmarkEnd w:id="28"/>
          </w:p>
        </w:tc>
        <w:tc>
          <w:tcPr>
            <w:tcW w:w="7087" w:type="dxa"/>
          </w:tcPr>
          <w:p w14:paraId="0231A610" w14:textId="77777777" w:rsidR="006914E9" w:rsidRPr="00E44EA0" w:rsidRDefault="001C693B" w:rsidP="006914E9">
            <w:r w:rsidRPr="00E44EA0">
              <w:t xml:space="preserve">The Hansard is the report of the proceedings of the Australian </w:t>
            </w:r>
            <w:r w:rsidR="00436ABA" w:rsidRPr="00E44EA0">
              <w:t>P</w:t>
            </w:r>
            <w:r w:rsidRPr="00E44EA0">
              <w:t xml:space="preserve">arliament and its committees. This includes the Senate, House of Representatives, the Federation Chamber and all </w:t>
            </w:r>
            <w:hyperlink w:anchor="Parliamentarycommittee" w:history="1">
              <w:r w:rsidR="00ED753C" w:rsidRPr="00E44EA0">
                <w:rPr>
                  <w:rStyle w:val="Hyperlink"/>
                </w:rPr>
                <w:t>parliamentary committee</w:t>
              </w:r>
            </w:hyperlink>
            <w:r w:rsidR="00ED753C" w:rsidRPr="00E44EA0">
              <w:rPr>
                <w:rStyle w:val="Hyperlink"/>
              </w:rPr>
              <w:t>s</w:t>
            </w:r>
            <w:r w:rsidRPr="00E44EA0">
              <w:t>.</w:t>
            </w:r>
          </w:p>
          <w:p w14:paraId="45BC72D4" w14:textId="77777777" w:rsidR="001C693B" w:rsidRPr="00E44EA0" w:rsidRDefault="00876779" w:rsidP="006914E9">
            <w:hyperlink r:id="rId95" w:history="1">
              <w:r w:rsidR="001C693B" w:rsidRPr="00E44EA0">
                <w:rPr>
                  <w:rStyle w:val="Hyperlink"/>
                </w:rPr>
                <w:t>https://www.aph.gov.au/Parliamentary_Business/Hansard</w:t>
              </w:r>
            </w:hyperlink>
            <w:r w:rsidR="001C693B" w:rsidRPr="00E44EA0">
              <w:t xml:space="preserve"> </w:t>
            </w:r>
          </w:p>
        </w:tc>
      </w:tr>
      <w:tr w:rsidR="006914E9" w:rsidRPr="00E44EA0" w14:paraId="1625F360" w14:textId="77777777" w:rsidTr="00A851BE">
        <w:tc>
          <w:tcPr>
            <w:tcW w:w="2552" w:type="dxa"/>
          </w:tcPr>
          <w:p w14:paraId="07951225" w14:textId="77777777" w:rsidR="006914E9" w:rsidRPr="00E44EA0" w:rsidRDefault="001C693B" w:rsidP="000357B1">
            <w:bookmarkStart w:id="29" w:name="HouseofRepresentatives"/>
            <w:r w:rsidRPr="00E44EA0">
              <w:t>House of Representatives</w:t>
            </w:r>
            <w:bookmarkEnd w:id="29"/>
          </w:p>
        </w:tc>
        <w:tc>
          <w:tcPr>
            <w:tcW w:w="7087" w:type="dxa"/>
          </w:tcPr>
          <w:p w14:paraId="7CE5C791" w14:textId="77777777" w:rsidR="006914E9" w:rsidRPr="00E44EA0" w:rsidRDefault="001C693B" w:rsidP="006914E9">
            <w:r w:rsidRPr="00E44EA0">
              <w:t xml:space="preserve">The House of Representatives (also known as the lower house) is one of the two houses of </w:t>
            </w:r>
            <w:r w:rsidR="00E00129" w:rsidRPr="00E44EA0">
              <w:t xml:space="preserve">the </w:t>
            </w:r>
            <w:r w:rsidRPr="00E44EA0">
              <w:t>federal parliament</w:t>
            </w:r>
            <w:r w:rsidR="00C2756A" w:rsidRPr="00E44EA0">
              <w:t>.</w:t>
            </w:r>
          </w:p>
        </w:tc>
      </w:tr>
      <w:tr w:rsidR="006914E9" w:rsidRPr="00E44EA0" w14:paraId="2F54BEEA" w14:textId="77777777" w:rsidTr="00A851BE">
        <w:tc>
          <w:tcPr>
            <w:tcW w:w="2552" w:type="dxa"/>
          </w:tcPr>
          <w:p w14:paraId="48F65A5A" w14:textId="77777777" w:rsidR="006914E9" w:rsidRPr="00E44EA0" w:rsidRDefault="006914E9" w:rsidP="006914E9">
            <w:bookmarkStart w:id="30" w:name="HouseofRepresentativescommittee"/>
            <w:r w:rsidRPr="00E44EA0">
              <w:t>House of Representatives committee</w:t>
            </w:r>
            <w:bookmarkEnd w:id="30"/>
          </w:p>
        </w:tc>
        <w:tc>
          <w:tcPr>
            <w:tcW w:w="7087" w:type="dxa"/>
          </w:tcPr>
          <w:p w14:paraId="2DF51C8B" w14:textId="77777777" w:rsidR="006914E9" w:rsidRPr="00E44EA0" w:rsidRDefault="006914E9" w:rsidP="006914E9">
            <w:r w:rsidRPr="00E44EA0">
              <w:t xml:space="preserve">A </w:t>
            </w:r>
            <w:hyperlink w:anchor="Parliamentarycommittee" w:history="1">
              <w:r w:rsidR="00ED753C" w:rsidRPr="00E44EA0">
                <w:rPr>
                  <w:rStyle w:val="Hyperlink"/>
                </w:rPr>
                <w:t>parliamentary committee</w:t>
              </w:r>
            </w:hyperlink>
            <w:r w:rsidRPr="00E44EA0">
              <w:t xml:space="preserve"> comprising members from the House of Representatives</w:t>
            </w:r>
            <w:r w:rsidR="00C2756A" w:rsidRPr="00E44EA0">
              <w:t>.</w:t>
            </w:r>
          </w:p>
        </w:tc>
      </w:tr>
      <w:tr w:rsidR="006914E9" w:rsidRPr="00E44EA0" w14:paraId="53300511" w14:textId="77777777" w:rsidTr="00A851BE">
        <w:tc>
          <w:tcPr>
            <w:tcW w:w="2552" w:type="dxa"/>
          </w:tcPr>
          <w:p w14:paraId="612CD63F" w14:textId="77777777" w:rsidR="006914E9" w:rsidRPr="00E44EA0" w:rsidRDefault="006914E9" w:rsidP="006914E9">
            <w:pPr>
              <w:rPr>
                <w:szCs w:val="18"/>
              </w:rPr>
            </w:pPr>
            <w:bookmarkStart w:id="31" w:name="HTML"/>
            <w:r w:rsidRPr="00E44EA0">
              <w:t>HTML</w:t>
            </w:r>
            <w:bookmarkEnd w:id="31"/>
          </w:p>
        </w:tc>
        <w:tc>
          <w:tcPr>
            <w:tcW w:w="7087" w:type="dxa"/>
          </w:tcPr>
          <w:p w14:paraId="1024146B" w14:textId="77777777" w:rsidR="006914E9" w:rsidRPr="00E44EA0" w:rsidRDefault="001C693B" w:rsidP="006914E9">
            <w:pPr>
              <w:rPr>
                <w:szCs w:val="18"/>
              </w:rPr>
            </w:pPr>
            <w:r w:rsidRPr="00E44EA0">
              <w:rPr>
                <w:szCs w:val="18"/>
              </w:rPr>
              <w:t>Hyperte</w:t>
            </w:r>
            <w:r w:rsidR="00370E3B" w:rsidRPr="00E44EA0">
              <w:rPr>
                <w:szCs w:val="18"/>
              </w:rPr>
              <w:t>xt Markup Language, a standardis</w:t>
            </w:r>
            <w:r w:rsidRPr="00E44EA0">
              <w:rPr>
                <w:szCs w:val="18"/>
              </w:rPr>
              <w:t>ed system for tagging text files to achieve font, colour, graphic, and hyperlink effects on World Wide Web pages.</w:t>
            </w:r>
          </w:p>
        </w:tc>
      </w:tr>
      <w:tr w:rsidR="006914E9" w:rsidRPr="00E44EA0" w14:paraId="3B85821D" w14:textId="77777777" w:rsidTr="00A851BE">
        <w:tc>
          <w:tcPr>
            <w:tcW w:w="2552" w:type="dxa"/>
          </w:tcPr>
          <w:p w14:paraId="743F3FDA" w14:textId="77777777" w:rsidR="006914E9" w:rsidRPr="00E44EA0" w:rsidRDefault="006914E9" w:rsidP="006914E9">
            <w:bookmarkStart w:id="32" w:name="Jointcommittee"/>
            <w:r w:rsidRPr="00E44EA0">
              <w:t>Joint committee</w:t>
            </w:r>
            <w:bookmarkEnd w:id="32"/>
          </w:p>
        </w:tc>
        <w:tc>
          <w:tcPr>
            <w:tcW w:w="7087" w:type="dxa"/>
          </w:tcPr>
          <w:p w14:paraId="398196DD" w14:textId="77777777" w:rsidR="006914E9" w:rsidRPr="00E44EA0" w:rsidRDefault="006914E9" w:rsidP="006914E9">
            <w:r w:rsidRPr="00E44EA0">
              <w:t xml:space="preserve">Joint committees draw their membership from, and report to, both chambers of Parliament, enabling Members and Senators to work together. </w:t>
            </w:r>
            <w:r w:rsidRPr="00E44EA0">
              <w:lastRenderedPageBreak/>
              <w:t>Joint committees may be standing or select, and may be statutory committees.</w:t>
            </w:r>
          </w:p>
        </w:tc>
      </w:tr>
      <w:tr w:rsidR="006914E9" w:rsidRPr="00E44EA0" w14:paraId="635739DC" w14:textId="77777777" w:rsidTr="00A851BE">
        <w:tc>
          <w:tcPr>
            <w:tcW w:w="2552" w:type="dxa"/>
          </w:tcPr>
          <w:p w14:paraId="0BDD669C" w14:textId="77777777" w:rsidR="006914E9" w:rsidRPr="00E44EA0" w:rsidRDefault="006914E9" w:rsidP="006914E9">
            <w:bookmarkStart w:id="33" w:name="JCPAA"/>
            <w:r w:rsidRPr="00E44EA0">
              <w:lastRenderedPageBreak/>
              <w:t xml:space="preserve">Joint Committee of Public Accounts and Audit </w:t>
            </w:r>
            <w:bookmarkEnd w:id="33"/>
            <w:r w:rsidRPr="00E44EA0">
              <w:t>(JCPAA)</w:t>
            </w:r>
          </w:p>
        </w:tc>
        <w:tc>
          <w:tcPr>
            <w:tcW w:w="7087" w:type="dxa"/>
          </w:tcPr>
          <w:p w14:paraId="47B61A81" w14:textId="77777777" w:rsidR="00A54BEC" w:rsidRPr="00E44EA0" w:rsidRDefault="00A54BEC" w:rsidP="006914E9">
            <w:pPr>
              <w:rPr>
                <w:i/>
              </w:rPr>
            </w:pPr>
            <w:r w:rsidRPr="00E44EA0">
              <w:t xml:space="preserve">Established by the </w:t>
            </w:r>
            <w:r w:rsidRPr="00E44EA0">
              <w:rPr>
                <w:i/>
              </w:rPr>
              <w:t>Public Accounts and Audit Committee Act 1951</w:t>
            </w:r>
            <w:r w:rsidR="00C2756A" w:rsidRPr="00E44EA0">
              <w:rPr>
                <w:i/>
              </w:rPr>
              <w:t>.</w:t>
            </w:r>
          </w:p>
          <w:p w14:paraId="3023AAAB" w14:textId="77777777" w:rsidR="006914E9" w:rsidRPr="00E44EA0" w:rsidRDefault="00876779" w:rsidP="006914E9">
            <w:hyperlink r:id="rId96" w:history="1">
              <w:r w:rsidR="00A54BEC" w:rsidRPr="00E44EA0">
                <w:rPr>
                  <w:rStyle w:val="Hyperlink"/>
                </w:rPr>
                <w:t>https://www.aph.gov.au/Parliamentary_Business/Committees/Joint/Public_Accounts_and_Audit/Role_of_the_Committee</w:t>
              </w:r>
            </w:hyperlink>
            <w:r w:rsidR="00A54BEC" w:rsidRPr="00E44EA0">
              <w:t xml:space="preserve"> </w:t>
            </w:r>
          </w:p>
        </w:tc>
      </w:tr>
      <w:tr w:rsidR="006914E9" w:rsidRPr="00E44EA0" w14:paraId="23D4AE34" w14:textId="77777777" w:rsidTr="00A851BE">
        <w:tc>
          <w:tcPr>
            <w:tcW w:w="2552" w:type="dxa"/>
          </w:tcPr>
          <w:p w14:paraId="2453A1AA" w14:textId="77777777" w:rsidR="006914E9" w:rsidRPr="00E44EA0" w:rsidRDefault="006914E9" w:rsidP="001C693B">
            <w:bookmarkStart w:id="34" w:name="JointCommitteeonPublications"/>
            <w:r w:rsidRPr="00E44EA0">
              <w:t>Joint Committee</w:t>
            </w:r>
            <w:r w:rsidR="001C693B" w:rsidRPr="00E44EA0">
              <w:t xml:space="preserve"> on Publications</w:t>
            </w:r>
            <w:bookmarkEnd w:id="34"/>
          </w:p>
        </w:tc>
        <w:tc>
          <w:tcPr>
            <w:tcW w:w="7087" w:type="dxa"/>
          </w:tcPr>
          <w:p w14:paraId="376DAA16" w14:textId="77777777" w:rsidR="001C693B" w:rsidRPr="00E44EA0" w:rsidRDefault="001C693B" w:rsidP="001C693B">
            <w:r w:rsidRPr="00E44EA0">
              <w:t xml:space="preserve">The Standing Committee on Publications is appointed to consider all documents presented to the House which have not been made a Parliamentary Paper by either House of the Parliament. </w:t>
            </w:r>
          </w:p>
          <w:p w14:paraId="0522D1BB" w14:textId="77777777" w:rsidR="006914E9" w:rsidRPr="00E44EA0" w:rsidRDefault="001C693B" w:rsidP="001C693B">
            <w:r w:rsidRPr="00E44EA0">
              <w:t>The Publications Committee of each House when conferring together form the Joint Committee on Publications.</w:t>
            </w:r>
          </w:p>
        </w:tc>
      </w:tr>
      <w:tr w:rsidR="006914E9" w:rsidRPr="00E44EA0" w14:paraId="7ADBE7CB" w14:textId="77777777" w:rsidTr="00A851BE">
        <w:tc>
          <w:tcPr>
            <w:tcW w:w="2552" w:type="dxa"/>
          </w:tcPr>
          <w:p w14:paraId="312BCE5E" w14:textId="77777777" w:rsidR="006914E9" w:rsidRPr="00E44EA0" w:rsidRDefault="006914E9" w:rsidP="006914E9">
            <w:bookmarkStart w:id="35" w:name="JournalsoftheSenate"/>
            <w:r w:rsidRPr="00E44EA0">
              <w:t>Journals of the Senate</w:t>
            </w:r>
            <w:bookmarkEnd w:id="35"/>
          </w:p>
        </w:tc>
        <w:tc>
          <w:tcPr>
            <w:tcW w:w="7087" w:type="dxa"/>
          </w:tcPr>
          <w:p w14:paraId="7898BEF1" w14:textId="77777777" w:rsidR="001C693B" w:rsidRPr="00E44EA0" w:rsidRDefault="006914E9" w:rsidP="006914E9">
            <w:r w:rsidRPr="00E44EA0">
              <w:t>The official record (minutes) of the Senate and the most authoritative source of information</w:t>
            </w:r>
            <w:r w:rsidR="001C693B" w:rsidRPr="00E44EA0">
              <w:t xml:space="preserve"> about activities and decisions</w:t>
            </w:r>
            <w:r w:rsidR="00C2756A" w:rsidRPr="00E44EA0">
              <w:t>.</w:t>
            </w:r>
          </w:p>
          <w:p w14:paraId="16E218BE" w14:textId="77777777" w:rsidR="006914E9" w:rsidRPr="00E44EA0" w:rsidRDefault="00876779" w:rsidP="006914E9">
            <w:hyperlink r:id="rId97" w:history="1">
              <w:r w:rsidR="001C693B" w:rsidRPr="00E44EA0">
                <w:rPr>
                  <w:rStyle w:val="Hyperlink"/>
                </w:rPr>
                <w:t>http://www.aph.gov.au/Parliamentary_Business/Chamber_documents/Senate_chamber_documents/Journals_of_the_Senate</w:t>
              </w:r>
            </w:hyperlink>
            <w:r w:rsidR="001C693B" w:rsidRPr="00E44EA0">
              <w:t xml:space="preserve"> </w:t>
            </w:r>
          </w:p>
        </w:tc>
      </w:tr>
      <w:tr w:rsidR="00A84A21" w:rsidRPr="00E44EA0" w14:paraId="5DE89FDE" w14:textId="77777777" w:rsidTr="00A851BE">
        <w:tc>
          <w:tcPr>
            <w:tcW w:w="2552" w:type="dxa"/>
          </w:tcPr>
          <w:p w14:paraId="61584E7B" w14:textId="77777777" w:rsidR="00A84A21" w:rsidRPr="00E44EA0" w:rsidRDefault="00A84A21" w:rsidP="006914E9">
            <w:r>
              <w:t>Live Minutes</w:t>
            </w:r>
          </w:p>
        </w:tc>
        <w:tc>
          <w:tcPr>
            <w:tcW w:w="7087" w:type="dxa"/>
          </w:tcPr>
          <w:p w14:paraId="13C7A8B7" w14:textId="77777777" w:rsidR="00672FB0" w:rsidRPr="00E44EA0" w:rsidRDefault="00672FB0" w:rsidP="00672FB0">
            <w:r>
              <w:t>The Live minutes are a draft record of the proceedings of the House of Representatives as they occur, and are subject to revision. They are u</w:t>
            </w:r>
            <w:r w:rsidRPr="00E44EA0">
              <w:t xml:space="preserve">pdated </w:t>
            </w:r>
            <w:r>
              <w:t xml:space="preserve">every five minutes when the House is </w:t>
            </w:r>
            <w:r w:rsidRPr="00E44EA0">
              <w:t>sitting.</w:t>
            </w:r>
            <w:r w:rsidR="001A1778">
              <w:t xml:space="preserve"> </w:t>
            </w:r>
            <w:r>
              <w:t>Draft minutes are also available for the Federation Chamber.</w:t>
            </w:r>
          </w:p>
          <w:p w14:paraId="6DA03AC3" w14:textId="77777777" w:rsidR="00672FB0" w:rsidRDefault="00876779" w:rsidP="00672FB0">
            <w:hyperlink r:id="rId98" w:history="1">
              <w:r w:rsidR="00672FB0" w:rsidRPr="00E72ADF">
                <w:rPr>
                  <w:rStyle w:val="Hyperlink"/>
                </w:rPr>
                <w:t>https://www.aph.gov.au/Parliamentary_Business/Chamber_documents/Live_Minutes</w:t>
              </w:r>
            </w:hyperlink>
            <w:r w:rsidR="00672FB0">
              <w:t xml:space="preserve"> </w:t>
            </w:r>
          </w:p>
          <w:p w14:paraId="36FB3337" w14:textId="77777777" w:rsidR="00A84A21" w:rsidRPr="00E44EA0" w:rsidRDefault="00876779" w:rsidP="00672FB0">
            <w:hyperlink r:id="rId99" w:history="1">
              <w:r w:rsidR="00672FB0">
                <w:rPr>
                  <w:rStyle w:val="Hyperlink"/>
                </w:rPr>
                <w:t>https://www.aph.gov.au/Parliamentary_Business/Chamber_documents/Live_Federation_Chamber_Minutes</w:t>
              </w:r>
            </w:hyperlink>
            <w:r w:rsidR="00203F36">
              <w:t xml:space="preserve"> </w:t>
            </w:r>
          </w:p>
        </w:tc>
      </w:tr>
      <w:tr w:rsidR="006914E9" w:rsidRPr="00E44EA0" w14:paraId="550EC88A" w14:textId="77777777" w:rsidTr="00A851BE">
        <w:tc>
          <w:tcPr>
            <w:tcW w:w="2552" w:type="dxa"/>
          </w:tcPr>
          <w:p w14:paraId="4049EE27" w14:textId="77777777" w:rsidR="006914E9" w:rsidRPr="00E44EA0" w:rsidRDefault="006914E9" w:rsidP="00370E3B">
            <w:bookmarkStart w:id="36" w:name="OfficeofParliamentaryCouncil"/>
            <w:r w:rsidRPr="00E44EA0">
              <w:t xml:space="preserve">Office of Parliamentary </w:t>
            </w:r>
            <w:r w:rsidR="00370E3B" w:rsidRPr="00E44EA0">
              <w:t>Counsel</w:t>
            </w:r>
            <w:r w:rsidRPr="00E44EA0">
              <w:t xml:space="preserve"> (OPC)</w:t>
            </w:r>
            <w:bookmarkEnd w:id="36"/>
          </w:p>
        </w:tc>
        <w:tc>
          <w:tcPr>
            <w:tcW w:w="7087" w:type="dxa"/>
          </w:tcPr>
          <w:p w14:paraId="6F421439" w14:textId="77777777" w:rsidR="006914E9" w:rsidRPr="00E44EA0" w:rsidRDefault="000357B1" w:rsidP="000357B1">
            <w:r w:rsidRPr="00E44EA0">
              <w:t xml:space="preserve">The </w:t>
            </w:r>
            <w:r w:rsidR="006914E9" w:rsidRPr="00E44EA0">
              <w:t xml:space="preserve">OPC is a statutory agency responsible for drafting proposed </w:t>
            </w:r>
            <w:r w:rsidRPr="00E44EA0">
              <w:t>bills</w:t>
            </w:r>
            <w:r w:rsidR="006914E9" w:rsidRPr="00E44EA0">
              <w:t xml:space="preserve"> for introduction into either chamber of</w:t>
            </w:r>
            <w:r w:rsidR="00370E3B" w:rsidRPr="00E44EA0">
              <w:t xml:space="preserve"> the</w:t>
            </w:r>
            <w:r w:rsidR="006914E9" w:rsidRPr="00E44EA0">
              <w:t xml:space="preserve"> Parliament, drafting amendments for proposed laws that are being considered by either chamber of </w:t>
            </w:r>
            <w:r w:rsidR="00370E3B" w:rsidRPr="00E44EA0">
              <w:t>the P</w:t>
            </w:r>
            <w:r w:rsidR="006914E9" w:rsidRPr="00E44EA0">
              <w:t>arliament, drafting legislative instruments and publishing legislation.</w:t>
            </w:r>
          </w:p>
        </w:tc>
      </w:tr>
      <w:tr w:rsidR="003C0840" w:rsidRPr="00E44EA0" w14:paraId="4B5E80B2" w14:textId="77777777" w:rsidTr="00A851BE">
        <w:tc>
          <w:tcPr>
            <w:tcW w:w="2552" w:type="dxa"/>
          </w:tcPr>
          <w:p w14:paraId="33303D76" w14:textId="77777777" w:rsidR="003C0840" w:rsidRPr="00E44EA0" w:rsidRDefault="003C0840" w:rsidP="003C0840">
            <w:r>
              <w:t>Online Tabled Documents (OTD) system</w:t>
            </w:r>
          </w:p>
        </w:tc>
        <w:tc>
          <w:tcPr>
            <w:tcW w:w="7087" w:type="dxa"/>
          </w:tcPr>
          <w:p w14:paraId="5CB29DD9" w14:textId="77777777" w:rsidR="003C0840" w:rsidRPr="00E44EA0" w:rsidRDefault="003C0840" w:rsidP="00CD4172">
            <w:r>
              <w:t xml:space="preserve">An ICT system </w:t>
            </w:r>
            <w:r w:rsidR="00CD4172">
              <w:t>used</w:t>
            </w:r>
            <w:r>
              <w:t xml:space="preserve"> by the Parliament to provide access to documents presented in the Senate and the House of Representatives</w:t>
            </w:r>
          </w:p>
        </w:tc>
      </w:tr>
      <w:tr w:rsidR="006914E9" w:rsidRPr="00E44EA0" w14:paraId="103789FE" w14:textId="77777777" w:rsidTr="00A851BE">
        <w:tc>
          <w:tcPr>
            <w:tcW w:w="2552" w:type="dxa"/>
          </w:tcPr>
          <w:p w14:paraId="037C17F7" w14:textId="77777777" w:rsidR="006914E9" w:rsidRPr="00E44EA0" w:rsidRDefault="006914E9" w:rsidP="006914E9">
            <w:bookmarkStart w:id="37" w:name="Parliamentarycommittee"/>
            <w:r w:rsidRPr="00E44EA0">
              <w:t>Parliamentary committee</w:t>
            </w:r>
            <w:bookmarkEnd w:id="37"/>
          </w:p>
        </w:tc>
        <w:tc>
          <w:tcPr>
            <w:tcW w:w="7087" w:type="dxa"/>
          </w:tcPr>
          <w:p w14:paraId="4AB01667" w14:textId="77777777" w:rsidR="000357B1" w:rsidRPr="00E44EA0" w:rsidRDefault="000357B1" w:rsidP="000357B1">
            <w:r w:rsidRPr="00E44EA0">
              <w:t>Parliamentary committees investigate specific matters of policy or government administration or performance.</w:t>
            </w:r>
          </w:p>
          <w:p w14:paraId="605845AF" w14:textId="77777777" w:rsidR="000357B1" w:rsidRPr="00E44EA0" w:rsidRDefault="000357B1" w:rsidP="000357B1">
            <w:r w:rsidRPr="00E44EA0">
              <w:t>Committees provide an opportunity for organisations and individuals to participate in policy making and to have their views placed on the public record and considered as part of the decision-making process.</w:t>
            </w:r>
          </w:p>
          <w:p w14:paraId="3576235D" w14:textId="77777777" w:rsidR="006914E9" w:rsidRPr="00E44EA0" w:rsidRDefault="0094351B" w:rsidP="007919A0">
            <w:r w:rsidRPr="00E44EA0">
              <w:t>There are the following committee</w:t>
            </w:r>
            <w:r w:rsidR="009E1C7B">
              <w:t xml:space="preserve"> type</w:t>
            </w:r>
            <w:r w:rsidRPr="00E44EA0">
              <w:t xml:space="preserve">s: </w:t>
            </w:r>
            <w:r w:rsidR="007919A0" w:rsidRPr="00E44EA0">
              <w:t>s</w:t>
            </w:r>
            <w:r w:rsidR="006914E9" w:rsidRPr="00E44EA0">
              <w:t xml:space="preserve">tanding committees; </w:t>
            </w:r>
            <w:r w:rsidR="007919A0" w:rsidRPr="00E44EA0">
              <w:t>g</w:t>
            </w:r>
            <w:r w:rsidR="006914E9" w:rsidRPr="00E44EA0">
              <w:t>e</w:t>
            </w:r>
            <w:r w:rsidR="007919A0" w:rsidRPr="00E44EA0">
              <w:t>neral p</w:t>
            </w:r>
            <w:r w:rsidR="006914E9" w:rsidRPr="00E44EA0">
              <w:t>urpose standing commit</w:t>
            </w:r>
            <w:r w:rsidR="007919A0" w:rsidRPr="00E44EA0">
              <w:t>tees; select committees; Joint committees; statutory c</w:t>
            </w:r>
            <w:r w:rsidR="006914E9" w:rsidRPr="00E44EA0">
              <w:t xml:space="preserve">ommittees; </w:t>
            </w:r>
            <w:r w:rsidR="007919A0" w:rsidRPr="00E44EA0">
              <w:t>d</w:t>
            </w:r>
            <w:r w:rsidR="006914E9" w:rsidRPr="00E44EA0">
              <w:t>omestic or internal committees</w:t>
            </w:r>
            <w:r w:rsidR="00C2756A" w:rsidRPr="00E44EA0">
              <w:t>.</w:t>
            </w:r>
          </w:p>
        </w:tc>
      </w:tr>
      <w:tr w:rsidR="006914E9" w:rsidRPr="00E44EA0" w14:paraId="23E2E813" w14:textId="77777777" w:rsidTr="00A851BE">
        <w:tc>
          <w:tcPr>
            <w:tcW w:w="2552" w:type="dxa"/>
          </w:tcPr>
          <w:p w14:paraId="3DB59BA2" w14:textId="77777777" w:rsidR="006914E9" w:rsidRPr="00E44EA0" w:rsidRDefault="006914E9" w:rsidP="006914E9">
            <w:bookmarkStart w:id="38" w:name="ParliamentaryLiaisonOfficer"/>
            <w:r w:rsidRPr="00E44EA0">
              <w:t>Parliamentary Liaison Officer (PLO)</w:t>
            </w:r>
            <w:bookmarkEnd w:id="38"/>
          </w:p>
        </w:tc>
        <w:tc>
          <w:tcPr>
            <w:tcW w:w="7087" w:type="dxa"/>
          </w:tcPr>
          <w:p w14:paraId="7B205ED4" w14:textId="77777777" w:rsidR="006914E9" w:rsidRPr="00E44EA0" w:rsidRDefault="009F6528" w:rsidP="00370E3B">
            <w:r w:rsidRPr="00E44EA0">
              <w:t>T</w:t>
            </w:r>
            <w:r w:rsidR="006914E9" w:rsidRPr="00E44EA0">
              <w:t xml:space="preserve">he House </w:t>
            </w:r>
            <w:r w:rsidR="000357B1" w:rsidRPr="00E44EA0">
              <w:t xml:space="preserve">of Representatives </w:t>
            </w:r>
            <w:r w:rsidR="006914E9" w:rsidRPr="00E44EA0">
              <w:t xml:space="preserve">PLO and Senate PLO are officers of PM&amp;C responsible for working with the Leader of the House in the House of Representatives and the Leader of </w:t>
            </w:r>
            <w:r w:rsidR="00370E3B" w:rsidRPr="00E44EA0">
              <w:t xml:space="preserve">the </w:t>
            </w:r>
            <w:r w:rsidR="006914E9" w:rsidRPr="00E44EA0">
              <w:t>Government and Manager of Government Business in the Senate to programme government business</w:t>
            </w:r>
            <w:r w:rsidR="00C2756A" w:rsidRPr="00E44EA0">
              <w:t>.</w:t>
            </w:r>
          </w:p>
        </w:tc>
      </w:tr>
      <w:tr w:rsidR="006914E9" w:rsidRPr="00E44EA0" w14:paraId="3448D512" w14:textId="77777777" w:rsidTr="00A851BE">
        <w:tc>
          <w:tcPr>
            <w:tcW w:w="2552" w:type="dxa"/>
          </w:tcPr>
          <w:p w14:paraId="52EDDA85" w14:textId="77777777" w:rsidR="006914E9" w:rsidRPr="00E44EA0" w:rsidRDefault="006914E9" w:rsidP="006914E9">
            <w:bookmarkStart w:id="39" w:name="ParliamentaryLibrary"/>
            <w:r w:rsidRPr="00E44EA0">
              <w:t>Parliamentary Library</w:t>
            </w:r>
            <w:bookmarkEnd w:id="39"/>
          </w:p>
        </w:tc>
        <w:tc>
          <w:tcPr>
            <w:tcW w:w="7087" w:type="dxa"/>
          </w:tcPr>
          <w:p w14:paraId="09E5144F" w14:textId="77777777" w:rsidR="006914E9" w:rsidRPr="00E44EA0" w:rsidRDefault="009F6528" w:rsidP="006914E9">
            <w:r w:rsidRPr="00E44EA0">
              <w:t>The Parliamentary Library is part of the Department of Parliamentary Services and provides services to senators, members, their staff, the staff of parliamentary departments and the Governor-General.</w:t>
            </w:r>
          </w:p>
        </w:tc>
      </w:tr>
      <w:tr w:rsidR="006914E9" w:rsidRPr="00E44EA0" w14:paraId="77303D21" w14:textId="77777777" w:rsidTr="00A851BE">
        <w:tc>
          <w:tcPr>
            <w:tcW w:w="2552" w:type="dxa"/>
          </w:tcPr>
          <w:p w14:paraId="6922DA1F" w14:textId="77777777" w:rsidR="006914E9" w:rsidRPr="00E44EA0" w:rsidRDefault="006914E9" w:rsidP="006914E9">
            <w:bookmarkStart w:id="40" w:name="ParliamentaryPressGallery"/>
            <w:r w:rsidRPr="00E44EA0">
              <w:lastRenderedPageBreak/>
              <w:t>Parliamentary Press Gallery</w:t>
            </w:r>
            <w:bookmarkEnd w:id="40"/>
          </w:p>
        </w:tc>
        <w:tc>
          <w:tcPr>
            <w:tcW w:w="7087" w:type="dxa"/>
          </w:tcPr>
          <w:p w14:paraId="7916B525" w14:textId="77777777" w:rsidR="006914E9" w:rsidRPr="00E44EA0" w:rsidRDefault="009F6528" w:rsidP="00370E3B">
            <w:r w:rsidRPr="00E44EA0">
              <w:t>The Parliamentary Press Galler</w:t>
            </w:r>
            <w:r w:rsidR="00E00129" w:rsidRPr="00E44EA0">
              <w:t xml:space="preserve">y located in Parliament House </w:t>
            </w:r>
            <w:r w:rsidRPr="00E44EA0">
              <w:t>report</w:t>
            </w:r>
            <w:r w:rsidR="00370E3B" w:rsidRPr="00E44EA0">
              <w:t>s</w:t>
            </w:r>
            <w:r w:rsidRPr="00E44EA0">
              <w:t xml:space="preserve"> on Australian federal politics both nationally and internationally. Media working in the Press Gallery may write for newspapers, online publications, radio, television and social media.</w:t>
            </w:r>
          </w:p>
        </w:tc>
      </w:tr>
      <w:tr w:rsidR="006914E9" w:rsidRPr="00E44EA0" w14:paraId="234CA8B9" w14:textId="77777777" w:rsidTr="00A851BE">
        <w:tc>
          <w:tcPr>
            <w:tcW w:w="2552" w:type="dxa"/>
          </w:tcPr>
          <w:p w14:paraId="10A62263" w14:textId="77777777" w:rsidR="006914E9" w:rsidRPr="00E44EA0" w:rsidRDefault="006914E9" w:rsidP="006914E9">
            <w:bookmarkStart w:id="41" w:name="Prayersandacknowledgementofcountry"/>
            <w:r w:rsidRPr="00E44EA0">
              <w:t>Prayers and acknowledgement of country</w:t>
            </w:r>
            <w:bookmarkEnd w:id="41"/>
          </w:p>
        </w:tc>
        <w:tc>
          <w:tcPr>
            <w:tcW w:w="7087" w:type="dxa"/>
          </w:tcPr>
          <w:p w14:paraId="5081EC22" w14:textId="77777777" w:rsidR="006914E9" w:rsidRPr="00E44EA0" w:rsidRDefault="006914E9" w:rsidP="00370E3B">
            <w:r w:rsidRPr="00E44EA0">
              <w:t>Prayers and acknowledgement of country occur at the beginning of the Parliamentary sitting day in each chamber</w:t>
            </w:r>
            <w:r w:rsidR="00C2756A" w:rsidRPr="00E44EA0">
              <w:t>.</w:t>
            </w:r>
          </w:p>
        </w:tc>
      </w:tr>
      <w:tr w:rsidR="006914E9" w:rsidRPr="00E44EA0" w14:paraId="5C630BC1" w14:textId="77777777" w:rsidTr="00A851BE">
        <w:tc>
          <w:tcPr>
            <w:tcW w:w="2552" w:type="dxa"/>
          </w:tcPr>
          <w:p w14:paraId="4EF188EA" w14:textId="77777777" w:rsidR="006914E9" w:rsidRPr="00E44EA0" w:rsidRDefault="006914E9" w:rsidP="009E1C7B">
            <w:r w:rsidRPr="00E44EA0">
              <w:t>PM&amp;C Tabling Office</w:t>
            </w:r>
          </w:p>
        </w:tc>
        <w:tc>
          <w:tcPr>
            <w:tcW w:w="7087" w:type="dxa"/>
          </w:tcPr>
          <w:p w14:paraId="231E4C55" w14:textId="77777777" w:rsidR="006914E9" w:rsidRPr="00E44EA0" w:rsidRDefault="00A54BEC" w:rsidP="00672FB0">
            <w:r w:rsidRPr="00E44EA0">
              <w:t xml:space="preserve">An office of </w:t>
            </w:r>
            <w:r w:rsidR="009E1C7B">
              <w:t>PM&amp;C</w:t>
            </w:r>
            <w:r w:rsidRPr="00E44EA0">
              <w:t xml:space="preserve"> located at </w:t>
            </w:r>
            <w:r w:rsidR="00ED753C" w:rsidRPr="00E44EA0">
              <w:t>Parliament House</w:t>
            </w:r>
            <w:r w:rsidRPr="00E44EA0">
              <w:t xml:space="preserve"> with tabling responsibilities.</w:t>
            </w:r>
          </w:p>
        </w:tc>
      </w:tr>
      <w:tr w:rsidR="006914E9" w:rsidRPr="00E44EA0" w14:paraId="73034709" w14:textId="77777777" w:rsidTr="00A851BE">
        <w:tc>
          <w:tcPr>
            <w:tcW w:w="2552" w:type="dxa"/>
          </w:tcPr>
          <w:p w14:paraId="5EC6D1C3" w14:textId="77777777" w:rsidR="006914E9" w:rsidRPr="00E44EA0" w:rsidRDefault="00907C86" w:rsidP="006914E9">
            <w:bookmarkStart w:id="42" w:name="SenateDocumentsOfficer"/>
            <w:r w:rsidRPr="00E44EA0">
              <w:t xml:space="preserve">Senate Documents Officer </w:t>
            </w:r>
            <w:bookmarkEnd w:id="42"/>
            <w:r w:rsidRPr="00E44EA0">
              <w:t>(SDO)</w:t>
            </w:r>
          </w:p>
        </w:tc>
        <w:tc>
          <w:tcPr>
            <w:tcW w:w="7087" w:type="dxa"/>
          </w:tcPr>
          <w:p w14:paraId="0C6A2034" w14:textId="77777777" w:rsidR="006914E9" w:rsidRDefault="00A54BEC" w:rsidP="009E1C7B">
            <w:r w:rsidRPr="00E44EA0">
              <w:t xml:space="preserve">An officer of </w:t>
            </w:r>
            <w:r w:rsidR="00506FB5" w:rsidRPr="00E44EA0">
              <w:t xml:space="preserve">Department of the Senate located at </w:t>
            </w:r>
            <w:r w:rsidR="00ED753C" w:rsidRPr="00E44EA0">
              <w:t>Parliament House</w:t>
            </w:r>
            <w:r w:rsidR="00506FB5" w:rsidRPr="00E44EA0">
              <w:t xml:space="preserve"> with tabling responsibilities while the Parliament is </w:t>
            </w:r>
            <w:r w:rsidR="00E00129" w:rsidRPr="00E44EA0">
              <w:t>not</w:t>
            </w:r>
            <w:r w:rsidR="00506FB5" w:rsidRPr="00E44EA0">
              <w:t xml:space="preserve"> sitting</w:t>
            </w:r>
            <w:r w:rsidR="00C2756A" w:rsidRPr="00E44EA0">
              <w:t>.</w:t>
            </w:r>
          </w:p>
          <w:p w14:paraId="5E620FC1" w14:textId="77777777" w:rsidR="00A84A21" w:rsidRPr="00E44EA0" w:rsidRDefault="00876779" w:rsidP="009E1C7B">
            <w:hyperlink r:id="rId100" w:history="1">
              <w:r w:rsidR="00A84A21" w:rsidRPr="00E72ADF">
                <w:rPr>
                  <w:rStyle w:val="Hyperlink"/>
                </w:rPr>
                <w:t>Table.Docs@aph.gov.au</w:t>
              </w:r>
            </w:hyperlink>
            <w:r w:rsidR="00A84A21">
              <w:t xml:space="preserve"> / (02) 6277 3037</w:t>
            </w:r>
          </w:p>
        </w:tc>
      </w:tr>
      <w:tr w:rsidR="006914E9" w:rsidRPr="00E44EA0" w14:paraId="66E89E3A" w14:textId="77777777" w:rsidTr="00A851BE">
        <w:tc>
          <w:tcPr>
            <w:tcW w:w="2552" w:type="dxa"/>
          </w:tcPr>
          <w:p w14:paraId="5FC921FF" w14:textId="77777777" w:rsidR="006914E9" w:rsidRPr="00E44EA0" w:rsidRDefault="006914E9" w:rsidP="006914E9">
            <w:bookmarkStart w:id="43" w:name="Senatecommittee"/>
            <w:r w:rsidRPr="00E44EA0">
              <w:t>Senate committee</w:t>
            </w:r>
            <w:bookmarkEnd w:id="43"/>
          </w:p>
        </w:tc>
        <w:tc>
          <w:tcPr>
            <w:tcW w:w="7087" w:type="dxa"/>
          </w:tcPr>
          <w:p w14:paraId="422A2C0C" w14:textId="77777777" w:rsidR="006914E9" w:rsidRPr="00E44EA0" w:rsidRDefault="006914E9" w:rsidP="00E00129">
            <w:r w:rsidRPr="00E44EA0">
              <w:t xml:space="preserve">A </w:t>
            </w:r>
            <w:hyperlink w:anchor="Parliamentarycommittee" w:history="1">
              <w:r w:rsidR="00ED753C" w:rsidRPr="00E44EA0">
                <w:rPr>
                  <w:rStyle w:val="Hyperlink"/>
                </w:rPr>
                <w:t>parliamentary committee</w:t>
              </w:r>
            </w:hyperlink>
            <w:r w:rsidR="00C2756A" w:rsidRPr="00E44EA0">
              <w:t xml:space="preserve"> comprising senators.</w:t>
            </w:r>
          </w:p>
        </w:tc>
      </w:tr>
      <w:tr w:rsidR="006914E9" w:rsidRPr="00E44EA0" w14:paraId="0616A8C8" w14:textId="77777777" w:rsidTr="00A851BE">
        <w:tc>
          <w:tcPr>
            <w:tcW w:w="2552" w:type="dxa"/>
          </w:tcPr>
          <w:p w14:paraId="050AF70F" w14:textId="77777777" w:rsidR="006914E9" w:rsidRPr="00E44EA0" w:rsidRDefault="006914E9" w:rsidP="006914E9">
            <w:bookmarkStart w:id="44" w:name="SenateDynamicRed"/>
            <w:r w:rsidRPr="00E44EA0">
              <w:t>Senate Dynamic Red</w:t>
            </w:r>
            <w:bookmarkEnd w:id="44"/>
          </w:p>
        </w:tc>
        <w:tc>
          <w:tcPr>
            <w:tcW w:w="7087" w:type="dxa"/>
          </w:tcPr>
          <w:p w14:paraId="10B4A1B7" w14:textId="77777777" w:rsidR="00907C86" w:rsidRPr="00E44EA0" w:rsidRDefault="006914E9" w:rsidP="006914E9">
            <w:r w:rsidRPr="00E44EA0">
              <w:t>Updated continuously during the sitting day, the Dynamic Red displays the results</w:t>
            </w:r>
            <w:r w:rsidR="00907C86" w:rsidRPr="00E44EA0">
              <w:t xml:space="preserve"> of proceedings</w:t>
            </w:r>
            <w:r w:rsidR="00A84A21">
              <w:t xml:space="preserve"> in the Senate</w:t>
            </w:r>
            <w:r w:rsidR="00907C86" w:rsidRPr="00E44EA0">
              <w:t xml:space="preserve"> as they happen.</w:t>
            </w:r>
          </w:p>
          <w:p w14:paraId="7CACA3D9" w14:textId="77777777" w:rsidR="006914E9" w:rsidRPr="00E44EA0" w:rsidRDefault="00876779" w:rsidP="006914E9">
            <w:hyperlink r:id="rId101" w:history="1">
              <w:r w:rsidR="00907C86" w:rsidRPr="00E44EA0">
                <w:rPr>
                  <w:rStyle w:val="Hyperlink"/>
                </w:rPr>
                <w:t>http://www.aph.gov.au/Parliamentary_Business/Chamber_documents/Dynamic_Red</w:t>
              </w:r>
            </w:hyperlink>
            <w:r w:rsidR="00907C86" w:rsidRPr="00E44EA0">
              <w:t xml:space="preserve"> </w:t>
            </w:r>
          </w:p>
        </w:tc>
      </w:tr>
      <w:tr w:rsidR="006914E9" w:rsidRPr="00E44EA0" w14:paraId="2BE13F73" w14:textId="77777777" w:rsidTr="00A851BE">
        <w:tc>
          <w:tcPr>
            <w:tcW w:w="2552" w:type="dxa"/>
          </w:tcPr>
          <w:p w14:paraId="2E55B854" w14:textId="77777777" w:rsidR="006914E9" w:rsidRPr="00E44EA0" w:rsidRDefault="006914E9" w:rsidP="006914E9">
            <w:bookmarkStart w:id="45" w:name="Standingcommittee"/>
            <w:r w:rsidRPr="00E44EA0">
              <w:t>Standing committee</w:t>
            </w:r>
            <w:bookmarkEnd w:id="45"/>
          </w:p>
        </w:tc>
        <w:tc>
          <w:tcPr>
            <w:tcW w:w="7087" w:type="dxa"/>
          </w:tcPr>
          <w:p w14:paraId="298D46C8" w14:textId="77777777" w:rsidR="006914E9" w:rsidRPr="00E44EA0" w:rsidRDefault="006914E9" w:rsidP="006914E9">
            <w:r w:rsidRPr="00E44EA0">
              <w:t>Standing committees are committees created for the life of a parliament and are usually re-established in successive parliament. They have a continuing role</w:t>
            </w:r>
            <w:r w:rsidR="00C2756A" w:rsidRPr="00E44EA0">
              <w:t>.</w:t>
            </w:r>
          </w:p>
        </w:tc>
      </w:tr>
      <w:tr w:rsidR="006914E9" w:rsidRPr="00E44EA0" w14:paraId="1A775352" w14:textId="77777777" w:rsidTr="00A851BE">
        <w:tc>
          <w:tcPr>
            <w:tcW w:w="2552" w:type="dxa"/>
          </w:tcPr>
          <w:p w14:paraId="7B4BDB9E" w14:textId="77777777" w:rsidR="006914E9" w:rsidRPr="00E44EA0" w:rsidRDefault="006914E9" w:rsidP="006914E9">
            <w:bookmarkStart w:id="46" w:name="Tabling"/>
            <w:r w:rsidRPr="00E44EA0">
              <w:t>Tabling</w:t>
            </w:r>
            <w:bookmarkEnd w:id="46"/>
          </w:p>
        </w:tc>
        <w:tc>
          <w:tcPr>
            <w:tcW w:w="7087" w:type="dxa"/>
          </w:tcPr>
          <w:p w14:paraId="2835291F" w14:textId="77777777" w:rsidR="006914E9" w:rsidRPr="00E44EA0" w:rsidRDefault="006914E9" w:rsidP="00370E3B">
            <w:r w:rsidRPr="00E44EA0">
              <w:t xml:space="preserve">The term ‘tabling’ derives from the expression ‘laid on the table’ and is used interchangeably with the term ‘presented’ in the Guidelines depending on whether </w:t>
            </w:r>
            <w:r w:rsidR="00370E3B" w:rsidRPr="00E44EA0">
              <w:t xml:space="preserve">or not </w:t>
            </w:r>
            <w:r w:rsidRPr="00E44EA0">
              <w:t>the Parliament is sitting</w:t>
            </w:r>
            <w:r w:rsidR="00C2756A" w:rsidRPr="00E44EA0">
              <w:t>.</w:t>
            </w:r>
          </w:p>
        </w:tc>
      </w:tr>
      <w:tr w:rsidR="006914E9" w:rsidRPr="00E44EA0" w14:paraId="775E52C3" w14:textId="77777777" w:rsidTr="00A851BE">
        <w:tc>
          <w:tcPr>
            <w:tcW w:w="2552" w:type="dxa"/>
          </w:tcPr>
          <w:p w14:paraId="6EC42815" w14:textId="77777777" w:rsidR="006914E9" w:rsidRPr="00E44EA0" w:rsidRDefault="006914E9" w:rsidP="006914E9">
            <w:bookmarkStart w:id="47" w:name="TablingCircular"/>
            <w:r w:rsidRPr="00E44EA0">
              <w:t>Tabling Circular</w:t>
            </w:r>
            <w:bookmarkEnd w:id="47"/>
          </w:p>
        </w:tc>
        <w:tc>
          <w:tcPr>
            <w:tcW w:w="7087" w:type="dxa"/>
          </w:tcPr>
          <w:p w14:paraId="7642AFC7" w14:textId="77777777" w:rsidR="006914E9" w:rsidRPr="00E44EA0" w:rsidRDefault="006914E9" w:rsidP="00907C86">
            <w:r w:rsidRPr="00E44EA0">
              <w:t>Advice from the</w:t>
            </w:r>
            <w:r w:rsidR="00907C86" w:rsidRPr="00E44EA0">
              <w:t xml:space="preserve"> PM&amp;C</w:t>
            </w:r>
            <w:r w:rsidRPr="00E44EA0">
              <w:t xml:space="preserve"> Tabling Officer to supplement the Guidelines from time to time, for example, tabling during the caretaker period; arrangements for tabling annual reports during October. </w:t>
            </w:r>
          </w:p>
        </w:tc>
      </w:tr>
      <w:tr w:rsidR="00407B6E" w14:paraId="3BC0663A" w14:textId="77777777" w:rsidTr="000D20D7">
        <w:tc>
          <w:tcPr>
            <w:tcW w:w="2552" w:type="dxa"/>
          </w:tcPr>
          <w:p w14:paraId="7899EB36" w14:textId="77777777" w:rsidR="00407B6E" w:rsidRPr="00E44EA0" w:rsidRDefault="00407B6E" w:rsidP="000D20D7">
            <w:r>
              <w:t>Transparency Portal</w:t>
            </w:r>
          </w:p>
        </w:tc>
        <w:tc>
          <w:tcPr>
            <w:tcW w:w="7087" w:type="dxa"/>
          </w:tcPr>
          <w:p w14:paraId="43E177DE" w14:textId="77777777" w:rsidR="00407B6E" w:rsidRPr="00E44EA0" w:rsidRDefault="00407B6E" w:rsidP="000D20D7">
            <w:pPr>
              <w:pStyle w:val="NormalWeb"/>
              <w:spacing w:before="0" w:beforeAutospacing="0" w:after="240" w:afterAutospacing="0"/>
            </w:pPr>
            <w:r>
              <w:rPr>
                <w:rFonts w:ascii="Montserrat Light" w:hAnsi="Montserrat Light"/>
                <w:color w:val="000000"/>
                <w:sz w:val="18"/>
                <w:lang w:eastAsia="en-US"/>
              </w:rPr>
              <w:t>T</w:t>
            </w:r>
            <w:r w:rsidRPr="00101C21">
              <w:rPr>
                <w:rFonts w:ascii="Montserrat Light" w:hAnsi="Montserrat Light"/>
                <w:color w:val="000000"/>
                <w:sz w:val="18"/>
                <w:lang w:eastAsia="en-US"/>
              </w:rPr>
              <w:t>he central repository and data store of publicly available corporate planning and reporting information for all Commonwealth entities.</w:t>
            </w:r>
            <w:r>
              <w:rPr>
                <w:rFonts w:ascii="Montserrat Light" w:hAnsi="Montserrat Light"/>
                <w:color w:val="000000"/>
                <w:sz w:val="18"/>
                <w:lang w:eastAsia="en-US"/>
              </w:rPr>
              <w:t xml:space="preserve"> </w:t>
            </w:r>
            <w:r w:rsidRPr="00101C21">
              <w:rPr>
                <w:rFonts w:ascii="Montserrat Light" w:hAnsi="Montserrat Light"/>
                <w:color w:val="000000"/>
                <w:sz w:val="18"/>
                <w:lang w:eastAsia="en-US"/>
              </w:rPr>
              <w:t>Commonwealth entities and companies are required to</w:t>
            </w:r>
            <w:r>
              <w:rPr>
                <w:rFonts w:ascii="Montserrat Light" w:hAnsi="Montserrat Light"/>
                <w:color w:val="000000"/>
                <w:sz w:val="18"/>
                <w:lang w:eastAsia="en-US"/>
              </w:rPr>
              <w:t xml:space="preserve"> publish their annual report to the Transparency Portal following tabling, </w:t>
            </w:r>
            <w:r w:rsidRPr="00101C21">
              <w:rPr>
                <w:rFonts w:ascii="Montserrat Light" w:hAnsi="Montserrat Light"/>
                <w:color w:val="000000"/>
                <w:sz w:val="18"/>
                <w:lang w:eastAsia="en-US"/>
              </w:rPr>
              <w:t xml:space="preserve">under the </w:t>
            </w:r>
            <w:r w:rsidRPr="00101C21">
              <w:rPr>
                <w:rFonts w:ascii="Montserrat Light" w:hAnsi="Montserrat Light"/>
                <w:i/>
                <w:iCs/>
                <w:color w:val="000000"/>
                <w:sz w:val="18"/>
                <w:lang w:eastAsia="en-US"/>
              </w:rPr>
              <w:t>Public Governance, Performance and Accountability Act 2013</w:t>
            </w:r>
            <w:r w:rsidRPr="00101C21">
              <w:rPr>
                <w:rFonts w:ascii="Montserrat Light" w:hAnsi="Montserrat Light"/>
                <w:color w:val="000000"/>
                <w:sz w:val="18"/>
                <w:lang w:eastAsia="en-US"/>
              </w:rPr>
              <w:t xml:space="preserve">. </w:t>
            </w:r>
          </w:p>
        </w:tc>
      </w:tr>
      <w:tr w:rsidR="006914E9" w14:paraId="594DAD7A" w14:textId="77777777" w:rsidTr="00A851BE">
        <w:tc>
          <w:tcPr>
            <w:tcW w:w="2552" w:type="dxa"/>
          </w:tcPr>
          <w:p w14:paraId="5F1E8C18" w14:textId="77777777" w:rsidR="006914E9" w:rsidRPr="00E44EA0" w:rsidRDefault="006914E9" w:rsidP="006914E9">
            <w:bookmarkStart w:id="48" w:name="VotesandProceedings"/>
            <w:r w:rsidRPr="00E44EA0">
              <w:t>Votes and Proceedings</w:t>
            </w:r>
            <w:bookmarkEnd w:id="48"/>
          </w:p>
        </w:tc>
        <w:tc>
          <w:tcPr>
            <w:tcW w:w="7087" w:type="dxa"/>
          </w:tcPr>
          <w:p w14:paraId="31F16A6F" w14:textId="77777777" w:rsidR="00907C86" w:rsidRPr="00E44EA0" w:rsidRDefault="006914E9" w:rsidP="006914E9">
            <w:r w:rsidRPr="00E44EA0">
              <w:t xml:space="preserve">Official record (minutes) of the proceedings of the House of Representatives </w:t>
            </w:r>
            <w:r w:rsidR="00672FB0">
              <w:t>It</w:t>
            </w:r>
            <w:r w:rsidR="00672FB0" w:rsidRPr="00E44EA0">
              <w:t xml:space="preserve"> </w:t>
            </w:r>
            <w:r w:rsidR="00672FB0">
              <w:t xml:space="preserve">contains the proceedings and decisions of the House and the Federation Chamber. </w:t>
            </w:r>
            <w:r w:rsidRPr="00E44EA0">
              <w:t xml:space="preserve">the most authoritative source of information </w:t>
            </w:r>
            <w:r w:rsidR="00907C86" w:rsidRPr="00E44EA0">
              <w:t>about activities and decisions.</w:t>
            </w:r>
          </w:p>
          <w:p w14:paraId="158CE584" w14:textId="77777777" w:rsidR="006914E9" w:rsidRDefault="00876779" w:rsidP="006914E9">
            <w:hyperlink r:id="rId102" w:history="1">
              <w:r w:rsidR="00907C86" w:rsidRPr="00E44EA0">
                <w:rPr>
                  <w:rStyle w:val="Hyperlink"/>
                </w:rPr>
                <w:t>http://www.aph.gov.au/Parliamentary_Business/Chamber_documents/HoR/Votes_and_Proceedings</w:t>
              </w:r>
            </w:hyperlink>
            <w:r w:rsidR="00907C86">
              <w:t xml:space="preserve"> </w:t>
            </w:r>
          </w:p>
        </w:tc>
      </w:tr>
    </w:tbl>
    <w:p w14:paraId="140507D3" w14:textId="77777777" w:rsidR="006914E9" w:rsidRDefault="006914E9" w:rsidP="00EF1781"/>
    <w:sectPr w:rsidR="006914E9" w:rsidSect="000D0026">
      <w:footerReference w:type="default" r:id="rId103"/>
      <w:type w:val="continuous"/>
      <w:pgSz w:w="11906" w:h="16838"/>
      <w:pgMar w:top="1440" w:right="1080" w:bottom="1134" w:left="1080" w:header="567" w:footer="17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71FD2" w14:textId="77777777" w:rsidR="00672AB2" w:rsidRDefault="00672AB2" w:rsidP="00A37B94">
      <w:pPr>
        <w:spacing w:after="0" w:line="240" w:lineRule="auto"/>
      </w:pPr>
      <w:r>
        <w:separator/>
      </w:r>
    </w:p>
  </w:endnote>
  <w:endnote w:type="continuationSeparator" w:id="0">
    <w:p w14:paraId="23EC9C19" w14:textId="77777777" w:rsidR="00672AB2" w:rsidRDefault="00672AB2" w:rsidP="00A37B94">
      <w:pPr>
        <w:spacing w:after="0" w:line="240" w:lineRule="auto"/>
      </w:pPr>
      <w:r>
        <w:continuationSeparator/>
      </w:r>
    </w:p>
  </w:endnote>
  <w:endnote w:type="continuationNotice" w:id="1">
    <w:p w14:paraId="073A101B" w14:textId="77777777" w:rsidR="00672AB2" w:rsidRDefault="00672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Montserrat">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29271"/>
      <w:docPartObj>
        <w:docPartGallery w:val="Page Numbers (Bottom of Page)"/>
        <w:docPartUnique/>
      </w:docPartObj>
    </w:sdtPr>
    <w:sdtEndPr/>
    <w:sdtContent>
      <w:sdt>
        <w:sdtPr>
          <w:id w:val="-1279027698"/>
          <w:docPartObj>
            <w:docPartGallery w:val="Page Numbers (Top of Page)"/>
            <w:docPartUnique/>
          </w:docPartObj>
        </w:sdtPr>
        <w:sdtEndPr/>
        <w:sdtContent>
          <w:p w14:paraId="383DEC97" w14:textId="22A67325" w:rsidR="004C2352" w:rsidRDefault="004C235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76779">
              <w:rPr>
                <w:b/>
                <w:bCs/>
                <w:noProof/>
              </w:rPr>
              <w:t>17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76779">
              <w:rPr>
                <w:b/>
                <w:bCs/>
                <w:noProof/>
              </w:rPr>
              <w:t>32</w:t>
            </w:r>
            <w:r>
              <w:rPr>
                <w:b/>
                <w:bCs/>
                <w:sz w:val="24"/>
              </w:rPr>
              <w:fldChar w:fldCharType="end"/>
            </w:r>
          </w:p>
        </w:sdtContent>
      </w:sdt>
    </w:sdtContent>
  </w:sdt>
  <w:p w14:paraId="3AAA1DAB" w14:textId="77777777" w:rsidR="004C2352" w:rsidRDefault="004C2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10788" w14:textId="77777777" w:rsidR="00672AB2" w:rsidRDefault="00672AB2" w:rsidP="00A37B94">
      <w:pPr>
        <w:spacing w:after="0" w:line="240" w:lineRule="auto"/>
      </w:pPr>
      <w:r>
        <w:separator/>
      </w:r>
    </w:p>
  </w:footnote>
  <w:footnote w:type="continuationSeparator" w:id="0">
    <w:p w14:paraId="78CAC126" w14:textId="77777777" w:rsidR="00672AB2" w:rsidRDefault="00672AB2" w:rsidP="00A37B94">
      <w:pPr>
        <w:spacing w:after="0" w:line="240" w:lineRule="auto"/>
      </w:pPr>
      <w:r>
        <w:continuationSeparator/>
      </w:r>
    </w:p>
  </w:footnote>
  <w:footnote w:type="continuationNotice" w:id="1">
    <w:p w14:paraId="16B1C4C9" w14:textId="77777777" w:rsidR="00672AB2" w:rsidRDefault="00672A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354CDB6"/>
    <w:lvl w:ilvl="0">
      <w:numFmt w:val="decimal"/>
      <w:pStyle w:val="Para-Bullets"/>
      <w:lvlText w:val="*"/>
      <w:lvlJc w:val="left"/>
    </w:lvl>
  </w:abstractNum>
  <w:abstractNum w:abstractNumId="1" w15:restartNumberingAfterBreak="0">
    <w:nsid w:val="08AF5DED"/>
    <w:multiLevelType w:val="singleLevel"/>
    <w:tmpl w:val="41B298D6"/>
    <w:lvl w:ilvl="0">
      <w:start w:val="1"/>
      <w:numFmt w:val="lowerLetter"/>
      <w:lvlText w:val="(%1)"/>
      <w:lvlJc w:val="left"/>
      <w:pPr>
        <w:tabs>
          <w:tab w:val="num" w:pos="855"/>
        </w:tabs>
        <w:ind w:left="855" w:hanging="855"/>
      </w:pPr>
      <w:rPr>
        <w:rFonts w:hint="default"/>
      </w:rPr>
    </w:lvl>
  </w:abstractNum>
  <w:abstractNum w:abstractNumId="2" w15:restartNumberingAfterBreak="0">
    <w:nsid w:val="1029192D"/>
    <w:multiLevelType w:val="hybridMultilevel"/>
    <w:tmpl w:val="ECA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D27BCD"/>
    <w:multiLevelType w:val="multilevel"/>
    <w:tmpl w:val="F4A276BC"/>
    <w:lvl w:ilvl="0">
      <w:start w:val="1"/>
      <w:numFmt w:val="decimal"/>
      <w:lvlText w:val="Chapter %1"/>
      <w:lvlJc w:val="left"/>
      <w:pPr>
        <w:tabs>
          <w:tab w:val="num" w:pos="7372"/>
        </w:tabs>
        <w:ind w:left="7372" w:hanging="2268"/>
      </w:pPr>
      <w:rPr>
        <w:rFonts w:hint="default"/>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505EF8"/>
    <w:multiLevelType w:val="hybridMultilevel"/>
    <w:tmpl w:val="471ECB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E1534DA"/>
    <w:multiLevelType w:val="hybridMultilevel"/>
    <w:tmpl w:val="80EA3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CD1643"/>
    <w:multiLevelType w:val="hybridMultilevel"/>
    <w:tmpl w:val="D63EBB6A"/>
    <w:lvl w:ilvl="0" w:tplc="0C090005">
      <w:start w:val="1"/>
      <w:numFmt w:val="bullet"/>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7" w15:restartNumberingAfterBreak="0">
    <w:nsid w:val="253D4CA5"/>
    <w:multiLevelType w:val="hybridMultilevel"/>
    <w:tmpl w:val="565208C2"/>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5995F8E"/>
    <w:multiLevelType w:val="hybridMultilevel"/>
    <w:tmpl w:val="C7F22BB8"/>
    <w:lvl w:ilvl="0" w:tplc="0C090005">
      <w:start w:val="1"/>
      <w:numFmt w:val="bullet"/>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9" w15:restartNumberingAfterBreak="0">
    <w:nsid w:val="38637328"/>
    <w:multiLevelType w:val="hybridMultilevel"/>
    <w:tmpl w:val="308CD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197621"/>
    <w:multiLevelType w:val="hybridMultilevel"/>
    <w:tmpl w:val="649E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1E10E1"/>
    <w:multiLevelType w:val="hybridMultilevel"/>
    <w:tmpl w:val="F258A4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83700B"/>
    <w:multiLevelType w:val="hybridMultilevel"/>
    <w:tmpl w:val="3C88A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5941D5"/>
    <w:multiLevelType w:val="hybridMultilevel"/>
    <w:tmpl w:val="B5EC9E64"/>
    <w:lvl w:ilvl="0" w:tplc="05480E1C">
      <w:start w:val="1"/>
      <w:numFmt w:val="bullet"/>
      <w:pStyle w:val="Bullet"/>
      <w:lvlText w:val=""/>
      <w:lvlJc w:val="left"/>
      <w:pPr>
        <w:ind w:left="1778" w:hanging="360"/>
      </w:pPr>
      <w:rPr>
        <w:rFonts w:ascii="Symbol" w:hAnsi="Symbol" w:hint="default"/>
        <w:color w:val="auto"/>
      </w:rPr>
    </w:lvl>
    <w:lvl w:ilvl="1" w:tplc="0E5C568E">
      <w:start w:val="1"/>
      <w:numFmt w:val="bullet"/>
      <w:pStyle w:val="Dash"/>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DF32AB"/>
    <w:multiLevelType w:val="hybridMultilevel"/>
    <w:tmpl w:val="FC90D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C77EDB"/>
    <w:multiLevelType w:val="hybridMultilevel"/>
    <w:tmpl w:val="B63A6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242402"/>
    <w:multiLevelType w:val="hybridMultilevel"/>
    <w:tmpl w:val="59629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936972"/>
    <w:multiLevelType w:val="hybridMultilevel"/>
    <w:tmpl w:val="255C8AF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D14C59"/>
    <w:multiLevelType w:val="hybridMultilevel"/>
    <w:tmpl w:val="CA3868B8"/>
    <w:lvl w:ilvl="0" w:tplc="F6688AA4">
      <w:start w:val="1"/>
      <w:numFmt w:val="bullet"/>
      <w:lvlText w:val=""/>
      <w:lvlJc w:val="left"/>
      <w:pPr>
        <w:ind w:left="768" w:hanging="360"/>
      </w:pPr>
      <w:rPr>
        <w:rFonts w:ascii="Symbol" w:hAnsi="Symbol" w:hint="default"/>
        <w:color w:val="auto"/>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0">
    <w:nsid w:val="722D6869"/>
    <w:multiLevelType w:val="hybridMultilevel"/>
    <w:tmpl w:val="361EA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F41D7A"/>
    <w:multiLevelType w:val="hybridMultilevel"/>
    <w:tmpl w:val="26641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9E0E05"/>
    <w:multiLevelType w:val="hybridMultilevel"/>
    <w:tmpl w:val="26002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2919D0"/>
    <w:multiLevelType w:val="hybridMultilevel"/>
    <w:tmpl w:val="FCB0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2201B7"/>
    <w:multiLevelType w:val="hybridMultilevel"/>
    <w:tmpl w:val="0DE4351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D97A2C"/>
    <w:multiLevelType w:val="hybridMultilevel"/>
    <w:tmpl w:val="61F8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pStyle w:val="Para-Bullets"/>
        <w:lvlText w:val=""/>
        <w:lvlJc w:val="left"/>
        <w:pPr>
          <w:tabs>
            <w:tab w:val="num" w:pos="1390"/>
          </w:tabs>
          <w:ind w:left="1390" w:hanging="397"/>
        </w:pPr>
        <w:rPr>
          <w:rFonts w:ascii="Symbol" w:hAnsi="Symbol" w:cs="Symbol" w:hint="default"/>
          <w:sz w:val="16"/>
          <w:szCs w:val="16"/>
        </w:rPr>
      </w:lvl>
    </w:lvlOverride>
  </w:num>
  <w:num w:numId="3">
    <w:abstractNumId w:val="12"/>
  </w:num>
  <w:num w:numId="4">
    <w:abstractNumId w:val="8"/>
  </w:num>
  <w:num w:numId="5">
    <w:abstractNumId w:val="5"/>
  </w:num>
  <w:num w:numId="6">
    <w:abstractNumId w:val="2"/>
  </w:num>
  <w:num w:numId="7">
    <w:abstractNumId w:val="11"/>
  </w:num>
  <w:num w:numId="8">
    <w:abstractNumId w:val="22"/>
  </w:num>
  <w:num w:numId="9">
    <w:abstractNumId w:val="21"/>
  </w:num>
  <w:num w:numId="10">
    <w:abstractNumId w:val="19"/>
  </w:num>
  <w:num w:numId="11">
    <w:abstractNumId w:val="0"/>
    <w:lvlOverride w:ilvl="0">
      <w:lvl w:ilvl="0">
        <w:start w:val="1"/>
        <w:numFmt w:val="bullet"/>
        <w:pStyle w:val="Para-Bullets"/>
        <w:lvlText w:val=""/>
        <w:legacy w:legacy="1" w:legacySpace="0" w:legacyIndent="567"/>
        <w:lvlJc w:val="left"/>
        <w:pPr>
          <w:ind w:left="567" w:hanging="567"/>
        </w:pPr>
        <w:rPr>
          <w:rFonts w:ascii="Symbol" w:hAnsi="Symbol" w:hint="default"/>
          <w:sz w:val="16"/>
        </w:rPr>
      </w:lvl>
    </w:lvlOverride>
  </w:num>
  <w:num w:numId="12">
    <w:abstractNumId w:val="1"/>
  </w:num>
  <w:num w:numId="13">
    <w:abstractNumId w:val="13"/>
  </w:num>
  <w:num w:numId="14">
    <w:abstractNumId w:val="14"/>
  </w:num>
  <w:num w:numId="15">
    <w:abstractNumId w:val="3"/>
  </w:num>
  <w:num w:numId="16">
    <w:abstractNumId w:val="3"/>
  </w:num>
  <w:num w:numId="17">
    <w:abstractNumId w:val="3"/>
  </w:num>
  <w:num w:numId="18">
    <w:abstractNumId w:val="4"/>
  </w:num>
  <w:num w:numId="19">
    <w:abstractNumId w:val="10"/>
  </w:num>
  <w:num w:numId="20">
    <w:abstractNumId w:val="6"/>
  </w:num>
  <w:num w:numId="21">
    <w:abstractNumId w:val="15"/>
  </w:num>
  <w:num w:numId="22">
    <w:abstractNumId w:val="9"/>
  </w:num>
  <w:num w:numId="23">
    <w:abstractNumId w:val="23"/>
  </w:num>
  <w:num w:numId="24">
    <w:abstractNumId w:val="17"/>
  </w:num>
  <w:num w:numId="25">
    <w:abstractNumId w:val="13"/>
  </w:num>
  <w:num w:numId="26">
    <w:abstractNumId w:val="13"/>
  </w:num>
  <w:num w:numId="27">
    <w:abstractNumId w:val="7"/>
  </w:num>
  <w:num w:numId="28">
    <w:abstractNumId w:val="13"/>
  </w:num>
  <w:num w:numId="29">
    <w:abstractNumId w:val="16"/>
  </w:num>
  <w:num w:numId="30">
    <w:abstractNumId w:val="13"/>
  </w:num>
  <w:num w:numId="31">
    <w:abstractNumId w:val="13"/>
  </w:num>
  <w:num w:numId="32">
    <w:abstractNumId w:val="13"/>
  </w:num>
  <w:num w:numId="33">
    <w:abstractNumId w:val="13"/>
  </w:num>
  <w:num w:numId="34">
    <w:abstractNumId w:val="18"/>
  </w:num>
  <w:num w:numId="35">
    <w:abstractNumId w:val="13"/>
  </w:num>
  <w:num w:numId="36">
    <w:abstractNumId w:val="13"/>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3D"/>
    <w:rsid w:val="0000710D"/>
    <w:rsid w:val="0000768B"/>
    <w:rsid w:val="0001033B"/>
    <w:rsid w:val="00011551"/>
    <w:rsid w:val="000131A8"/>
    <w:rsid w:val="0002011E"/>
    <w:rsid w:val="00020621"/>
    <w:rsid w:val="00020735"/>
    <w:rsid w:val="0002197D"/>
    <w:rsid w:val="00021FE7"/>
    <w:rsid w:val="000231C3"/>
    <w:rsid w:val="00030679"/>
    <w:rsid w:val="00032324"/>
    <w:rsid w:val="0003233E"/>
    <w:rsid w:val="00034629"/>
    <w:rsid w:val="00035039"/>
    <w:rsid w:val="000357B1"/>
    <w:rsid w:val="0003617A"/>
    <w:rsid w:val="000370B5"/>
    <w:rsid w:val="00040F59"/>
    <w:rsid w:val="00042668"/>
    <w:rsid w:val="00042CD8"/>
    <w:rsid w:val="000449F5"/>
    <w:rsid w:val="00044E14"/>
    <w:rsid w:val="000469B2"/>
    <w:rsid w:val="00047405"/>
    <w:rsid w:val="00050C69"/>
    <w:rsid w:val="00053BEF"/>
    <w:rsid w:val="00054EDF"/>
    <w:rsid w:val="0006559A"/>
    <w:rsid w:val="00065BDC"/>
    <w:rsid w:val="000674CD"/>
    <w:rsid w:val="00067A3C"/>
    <w:rsid w:val="00070CDD"/>
    <w:rsid w:val="00081063"/>
    <w:rsid w:val="00082055"/>
    <w:rsid w:val="0009268A"/>
    <w:rsid w:val="000928AE"/>
    <w:rsid w:val="0009437A"/>
    <w:rsid w:val="000A04B9"/>
    <w:rsid w:val="000A31AA"/>
    <w:rsid w:val="000A4BD0"/>
    <w:rsid w:val="000A5D33"/>
    <w:rsid w:val="000A6BD8"/>
    <w:rsid w:val="000A78CD"/>
    <w:rsid w:val="000B10F0"/>
    <w:rsid w:val="000B12E4"/>
    <w:rsid w:val="000B167C"/>
    <w:rsid w:val="000B23A2"/>
    <w:rsid w:val="000B26DB"/>
    <w:rsid w:val="000B2DAC"/>
    <w:rsid w:val="000B449C"/>
    <w:rsid w:val="000C0E08"/>
    <w:rsid w:val="000C23A6"/>
    <w:rsid w:val="000C466E"/>
    <w:rsid w:val="000C53F9"/>
    <w:rsid w:val="000C646A"/>
    <w:rsid w:val="000C65D1"/>
    <w:rsid w:val="000D0026"/>
    <w:rsid w:val="000D0827"/>
    <w:rsid w:val="000D20D7"/>
    <w:rsid w:val="000D392D"/>
    <w:rsid w:val="000D5EFB"/>
    <w:rsid w:val="000E16B6"/>
    <w:rsid w:val="000E2589"/>
    <w:rsid w:val="000E51BD"/>
    <w:rsid w:val="000E594A"/>
    <w:rsid w:val="000E781A"/>
    <w:rsid w:val="000F0AFB"/>
    <w:rsid w:val="000F24DE"/>
    <w:rsid w:val="000F4237"/>
    <w:rsid w:val="00101CBE"/>
    <w:rsid w:val="00102FDB"/>
    <w:rsid w:val="00103309"/>
    <w:rsid w:val="0011105C"/>
    <w:rsid w:val="00111E09"/>
    <w:rsid w:val="00115A79"/>
    <w:rsid w:val="00120926"/>
    <w:rsid w:val="0012200C"/>
    <w:rsid w:val="00123C2F"/>
    <w:rsid w:val="001244D5"/>
    <w:rsid w:val="00125CB3"/>
    <w:rsid w:val="00125D79"/>
    <w:rsid w:val="0012635A"/>
    <w:rsid w:val="00130CC2"/>
    <w:rsid w:val="0013450B"/>
    <w:rsid w:val="001407C9"/>
    <w:rsid w:val="00140C77"/>
    <w:rsid w:val="001424F6"/>
    <w:rsid w:val="00143151"/>
    <w:rsid w:val="00145B2E"/>
    <w:rsid w:val="0014778C"/>
    <w:rsid w:val="001558A9"/>
    <w:rsid w:val="001578D2"/>
    <w:rsid w:val="00160E37"/>
    <w:rsid w:val="001675BD"/>
    <w:rsid w:val="0017079A"/>
    <w:rsid w:val="0018411A"/>
    <w:rsid w:val="00185817"/>
    <w:rsid w:val="00187C8C"/>
    <w:rsid w:val="00187CD6"/>
    <w:rsid w:val="00195047"/>
    <w:rsid w:val="0019711F"/>
    <w:rsid w:val="001A1778"/>
    <w:rsid w:val="001A1D15"/>
    <w:rsid w:val="001B0E42"/>
    <w:rsid w:val="001B3370"/>
    <w:rsid w:val="001B4B6B"/>
    <w:rsid w:val="001B569F"/>
    <w:rsid w:val="001B7CF3"/>
    <w:rsid w:val="001C06D6"/>
    <w:rsid w:val="001C2F65"/>
    <w:rsid w:val="001C693B"/>
    <w:rsid w:val="001C6CBA"/>
    <w:rsid w:val="001D251D"/>
    <w:rsid w:val="001D2C84"/>
    <w:rsid w:val="001D4B9F"/>
    <w:rsid w:val="001E0523"/>
    <w:rsid w:val="001E0FB1"/>
    <w:rsid w:val="001E1639"/>
    <w:rsid w:val="001E3F53"/>
    <w:rsid w:val="001E4714"/>
    <w:rsid w:val="001E6588"/>
    <w:rsid w:val="001E76A0"/>
    <w:rsid w:val="001F0332"/>
    <w:rsid w:val="001F4743"/>
    <w:rsid w:val="001F5EE1"/>
    <w:rsid w:val="00201600"/>
    <w:rsid w:val="002028EE"/>
    <w:rsid w:val="00203D39"/>
    <w:rsid w:val="00203F36"/>
    <w:rsid w:val="00204656"/>
    <w:rsid w:val="00206972"/>
    <w:rsid w:val="00206B38"/>
    <w:rsid w:val="00210DE2"/>
    <w:rsid w:val="002148B4"/>
    <w:rsid w:val="00215F9D"/>
    <w:rsid w:val="00216BD1"/>
    <w:rsid w:val="00216D89"/>
    <w:rsid w:val="00217E8A"/>
    <w:rsid w:val="00217F9B"/>
    <w:rsid w:val="0022061B"/>
    <w:rsid w:val="0022098E"/>
    <w:rsid w:val="00226CB9"/>
    <w:rsid w:val="0023019B"/>
    <w:rsid w:val="00230333"/>
    <w:rsid w:val="00233AF7"/>
    <w:rsid w:val="00234613"/>
    <w:rsid w:val="00234F15"/>
    <w:rsid w:val="0023597B"/>
    <w:rsid w:val="00240996"/>
    <w:rsid w:val="00241E02"/>
    <w:rsid w:val="002426CB"/>
    <w:rsid w:val="002516A2"/>
    <w:rsid w:val="00251783"/>
    <w:rsid w:val="00251A6A"/>
    <w:rsid w:val="00252188"/>
    <w:rsid w:val="00253967"/>
    <w:rsid w:val="00253AEF"/>
    <w:rsid w:val="00253C59"/>
    <w:rsid w:val="00253D40"/>
    <w:rsid w:val="002543E3"/>
    <w:rsid w:val="002561FD"/>
    <w:rsid w:val="00256BCA"/>
    <w:rsid w:val="002576C8"/>
    <w:rsid w:val="0026034A"/>
    <w:rsid w:val="00261092"/>
    <w:rsid w:val="0026345C"/>
    <w:rsid w:val="002634BD"/>
    <w:rsid w:val="00263BE5"/>
    <w:rsid w:val="00264252"/>
    <w:rsid w:val="00264F57"/>
    <w:rsid w:val="002654F5"/>
    <w:rsid w:val="00267902"/>
    <w:rsid w:val="00267C9A"/>
    <w:rsid w:val="0027131F"/>
    <w:rsid w:val="00276C6D"/>
    <w:rsid w:val="0027726A"/>
    <w:rsid w:val="00281573"/>
    <w:rsid w:val="002816C9"/>
    <w:rsid w:val="00283BE3"/>
    <w:rsid w:val="002842F6"/>
    <w:rsid w:val="0029742F"/>
    <w:rsid w:val="002A22AA"/>
    <w:rsid w:val="002A63B3"/>
    <w:rsid w:val="002B05A1"/>
    <w:rsid w:val="002B2CAD"/>
    <w:rsid w:val="002B3938"/>
    <w:rsid w:val="002B3FCD"/>
    <w:rsid w:val="002B4009"/>
    <w:rsid w:val="002B45AF"/>
    <w:rsid w:val="002B56EB"/>
    <w:rsid w:val="002B6A20"/>
    <w:rsid w:val="002C29AC"/>
    <w:rsid w:val="002C2EFC"/>
    <w:rsid w:val="002C33AE"/>
    <w:rsid w:val="002C3A2F"/>
    <w:rsid w:val="002C5945"/>
    <w:rsid w:val="002D037C"/>
    <w:rsid w:val="002D091B"/>
    <w:rsid w:val="002D11BB"/>
    <w:rsid w:val="002D1804"/>
    <w:rsid w:val="002D46D2"/>
    <w:rsid w:val="002D6218"/>
    <w:rsid w:val="002E03D3"/>
    <w:rsid w:val="002E3088"/>
    <w:rsid w:val="002E378E"/>
    <w:rsid w:val="002E4BC3"/>
    <w:rsid w:val="002E6472"/>
    <w:rsid w:val="002F4086"/>
    <w:rsid w:val="002F6BDF"/>
    <w:rsid w:val="002F743C"/>
    <w:rsid w:val="002F757E"/>
    <w:rsid w:val="00302591"/>
    <w:rsid w:val="0030388A"/>
    <w:rsid w:val="00307421"/>
    <w:rsid w:val="00307820"/>
    <w:rsid w:val="00312C52"/>
    <w:rsid w:val="003141A0"/>
    <w:rsid w:val="00314A49"/>
    <w:rsid w:val="00314AE4"/>
    <w:rsid w:val="00320C51"/>
    <w:rsid w:val="00322337"/>
    <w:rsid w:val="00324E75"/>
    <w:rsid w:val="003265A1"/>
    <w:rsid w:val="003273D3"/>
    <w:rsid w:val="00327E5B"/>
    <w:rsid w:val="00333440"/>
    <w:rsid w:val="00333E28"/>
    <w:rsid w:val="003342D7"/>
    <w:rsid w:val="00336F6D"/>
    <w:rsid w:val="00341792"/>
    <w:rsid w:val="00345CC6"/>
    <w:rsid w:val="00350FDD"/>
    <w:rsid w:val="003552FC"/>
    <w:rsid w:val="00356D6B"/>
    <w:rsid w:val="00357332"/>
    <w:rsid w:val="00360B26"/>
    <w:rsid w:val="00362430"/>
    <w:rsid w:val="00364296"/>
    <w:rsid w:val="00365158"/>
    <w:rsid w:val="0036623A"/>
    <w:rsid w:val="003663A2"/>
    <w:rsid w:val="0036681E"/>
    <w:rsid w:val="00366EAB"/>
    <w:rsid w:val="00370995"/>
    <w:rsid w:val="00370E3B"/>
    <w:rsid w:val="003736E9"/>
    <w:rsid w:val="003830EC"/>
    <w:rsid w:val="00383C75"/>
    <w:rsid w:val="0038492F"/>
    <w:rsid w:val="003867BF"/>
    <w:rsid w:val="00387358"/>
    <w:rsid w:val="003906C6"/>
    <w:rsid w:val="00391032"/>
    <w:rsid w:val="0039132C"/>
    <w:rsid w:val="00391CDB"/>
    <w:rsid w:val="00393B29"/>
    <w:rsid w:val="003957DF"/>
    <w:rsid w:val="00396A07"/>
    <w:rsid w:val="00397587"/>
    <w:rsid w:val="003A2C7D"/>
    <w:rsid w:val="003A3E53"/>
    <w:rsid w:val="003A55F1"/>
    <w:rsid w:val="003B1902"/>
    <w:rsid w:val="003B2425"/>
    <w:rsid w:val="003B4939"/>
    <w:rsid w:val="003C0840"/>
    <w:rsid w:val="003C0BDF"/>
    <w:rsid w:val="003C28A4"/>
    <w:rsid w:val="003C36A6"/>
    <w:rsid w:val="003D4401"/>
    <w:rsid w:val="003D4A9F"/>
    <w:rsid w:val="003D4DAD"/>
    <w:rsid w:val="003D5113"/>
    <w:rsid w:val="003D6462"/>
    <w:rsid w:val="003D6DFF"/>
    <w:rsid w:val="003D77B6"/>
    <w:rsid w:val="003E62C1"/>
    <w:rsid w:val="003E641E"/>
    <w:rsid w:val="003E64C5"/>
    <w:rsid w:val="003E6584"/>
    <w:rsid w:val="003E7D13"/>
    <w:rsid w:val="003F3658"/>
    <w:rsid w:val="003F3B08"/>
    <w:rsid w:val="003F6299"/>
    <w:rsid w:val="003F68C5"/>
    <w:rsid w:val="00401247"/>
    <w:rsid w:val="00402420"/>
    <w:rsid w:val="00403719"/>
    <w:rsid w:val="00404F24"/>
    <w:rsid w:val="00407B6E"/>
    <w:rsid w:val="00413191"/>
    <w:rsid w:val="004135FB"/>
    <w:rsid w:val="00415A5B"/>
    <w:rsid w:val="0042075B"/>
    <w:rsid w:val="004216B3"/>
    <w:rsid w:val="00422527"/>
    <w:rsid w:val="004254E2"/>
    <w:rsid w:val="00425F0A"/>
    <w:rsid w:val="004271E3"/>
    <w:rsid w:val="00427725"/>
    <w:rsid w:val="004278B9"/>
    <w:rsid w:val="00430FE3"/>
    <w:rsid w:val="004325C9"/>
    <w:rsid w:val="00433833"/>
    <w:rsid w:val="0043471C"/>
    <w:rsid w:val="00436ABA"/>
    <w:rsid w:val="00441531"/>
    <w:rsid w:val="00445D58"/>
    <w:rsid w:val="00446054"/>
    <w:rsid w:val="00447DC3"/>
    <w:rsid w:val="00451DB5"/>
    <w:rsid w:val="00455A29"/>
    <w:rsid w:val="00455E0D"/>
    <w:rsid w:val="004565BA"/>
    <w:rsid w:val="00456613"/>
    <w:rsid w:val="004602EF"/>
    <w:rsid w:val="00463340"/>
    <w:rsid w:val="0046421B"/>
    <w:rsid w:val="00464FE4"/>
    <w:rsid w:val="0046543A"/>
    <w:rsid w:val="00465E12"/>
    <w:rsid w:val="00466188"/>
    <w:rsid w:val="00470AE4"/>
    <w:rsid w:val="00477A38"/>
    <w:rsid w:val="004814A8"/>
    <w:rsid w:val="00481FBF"/>
    <w:rsid w:val="0048231B"/>
    <w:rsid w:val="00482559"/>
    <w:rsid w:val="004849B2"/>
    <w:rsid w:val="004857B4"/>
    <w:rsid w:val="00485B68"/>
    <w:rsid w:val="0049095C"/>
    <w:rsid w:val="00490EDF"/>
    <w:rsid w:val="00492536"/>
    <w:rsid w:val="004940DB"/>
    <w:rsid w:val="00495F98"/>
    <w:rsid w:val="0049614D"/>
    <w:rsid w:val="00497F49"/>
    <w:rsid w:val="004A03E6"/>
    <w:rsid w:val="004A13AB"/>
    <w:rsid w:val="004A1C9D"/>
    <w:rsid w:val="004A4DEA"/>
    <w:rsid w:val="004B0953"/>
    <w:rsid w:val="004B09C8"/>
    <w:rsid w:val="004B3383"/>
    <w:rsid w:val="004B3FA4"/>
    <w:rsid w:val="004B4C7D"/>
    <w:rsid w:val="004B5074"/>
    <w:rsid w:val="004B5DE5"/>
    <w:rsid w:val="004B75E7"/>
    <w:rsid w:val="004C0F47"/>
    <w:rsid w:val="004C178B"/>
    <w:rsid w:val="004C2352"/>
    <w:rsid w:val="004C341D"/>
    <w:rsid w:val="004C34A3"/>
    <w:rsid w:val="004C6551"/>
    <w:rsid w:val="004D074D"/>
    <w:rsid w:val="004D4A88"/>
    <w:rsid w:val="004D5811"/>
    <w:rsid w:val="004D7E58"/>
    <w:rsid w:val="004E7B1B"/>
    <w:rsid w:val="004F20B9"/>
    <w:rsid w:val="004F2277"/>
    <w:rsid w:val="004F355E"/>
    <w:rsid w:val="004F3F5D"/>
    <w:rsid w:val="004F5023"/>
    <w:rsid w:val="0050081C"/>
    <w:rsid w:val="005023DD"/>
    <w:rsid w:val="00506FB5"/>
    <w:rsid w:val="0051083A"/>
    <w:rsid w:val="005202B0"/>
    <w:rsid w:val="0052393D"/>
    <w:rsid w:val="005244F2"/>
    <w:rsid w:val="00525292"/>
    <w:rsid w:val="00526905"/>
    <w:rsid w:val="00530A4F"/>
    <w:rsid w:val="00531939"/>
    <w:rsid w:val="005338DB"/>
    <w:rsid w:val="00533E2B"/>
    <w:rsid w:val="00534283"/>
    <w:rsid w:val="005351E7"/>
    <w:rsid w:val="0053562F"/>
    <w:rsid w:val="005373D2"/>
    <w:rsid w:val="00537F0E"/>
    <w:rsid w:val="00546623"/>
    <w:rsid w:val="00547B31"/>
    <w:rsid w:val="00550AB5"/>
    <w:rsid w:val="005523AE"/>
    <w:rsid w:val="00554DD1"/>
    <w:rsid w:val="00556507"/>
    <w:rsid w:val="00561ABD"/>
    <w:rsid w:val="00562273"/>
    <w:rsid w:val="0056306D"/>
    <w:rsid w:val="00563210"/>
    <w:rsid w:val="0056594D"/>
    <w:rsid w:val="005672CE"/>
    <w:rsid w:val="00572E67"/>
    <w:rsid w:val="00575EC6"/>
    <w:rsid w:val="00576194"/>
    <w:rsid w:val="005809A1"/>
    <w:rsid w:val="00580B68"/>
    <w:rsid w:val="005812EF"/>
    <w:rsid w:val="005830B1"/>
    <w:rsid w:val="00586A7E"/>
    <w:rsid w:val="00586EAF"/>
    <w:rsid w:val="00587747"/>
    <w:rsid w:val="00593182"/>
    <w:rsid w:val="00594892"/>
    <w:rsid w:val="005A0741"/>
    <w:rsid w:val="005A14FD"/>
    <w:rsid w:val="005A3A8C"/>
    <w:rsid w:val="005A4C0D"/>
    <w:rsid w:val="005A4C39"/>
    <w:rsid w:val="005A5036"/>
    <w:rsid w:val="005A513C"/>
    <w:rsid w:val="005A578B"/>
    <w:rsid w:val="005A61BC"/>
    <w:rsid w:val="005A76B7"/>
    <w:rsid w:val="005B07F3"/>
    <w:rsid w:val="005B11FA"/>
    <w:rsid w:val="005B1A7A"/>
    <w:rsid w:val="005B1D99"/>
    <w:rsid w:val="005B2787"/>
    <w:rsid w:val="005B7B6E"/>
    <w:rsid w:val="005C088D"/>
    <w:rsid w:val="005C25E3"/>
    <w:rsid w:val="005C5511"/>
    <w:rsid w:val="005C6158"/>
    <w:rsid w:val="005C7241"/>
    <w:rsid w:val="005C7C29"/>
    <w:rsid w:val="005D0362"/>
    <w:rsid w:val="005D0CA0"/>
    <w:rsid w:val="005D53A2"/>
    <w:rsid w:val="005E06F6"/>
    <w:rsid w:val="005E3D19"/>
    <w:rsid w:val="005E641C"/>
    <w:rsid w:val="005E69CA"/>
    <w:rsid w:val="005F1D2B"/>
    <w:rsid w:val="005F42FC"/>
    <w:rsid w:val="005F73D7"/>
    <w:rsid w:val="00602A6C"/>
    <w:rsid w:val="00603928"/>
    <w:rsid w:val="0060536A"/>
    <w:rsid w:val="00606FE4"/>
    <w:rsid w:val="006072E6"/>
    <w:rsid w:val="00611E68"/>
    <w:rsid w:val="0061498D"/>
    <w:rsid w:val="00617789"/>
    <w:rsid w:val="006223A8"/>
    <w:rsid w:val="006225B9"/>
    <w:rsid w:val="00622CC6"/>
    <w:rsid w:val="00624DD6"/>
    <w:rsid w:val="0062528B"/>
    <w:rsid w:val="00626673"/>
    <w:rsid w:val="0063075B"/>
    <w:rsid w:val="00630F05"/>
    <w:rsid w:val="006376AB"/>
    <w:rsid w:val="00640144"/>
    <w:rsid w:val="006401EA"/>
    <w:rsid w:val="006404F8"/>
    <w:rsid w:val="006578BB"/>
    <w:rsid w:val="006604F6"/>
    <w:rsid w:val="00661097"/>
    <w:rsid w:val="00664218"/>
    <w:rsid w:val="00665203"/>
    <w:rsid w:val="00672AB2"/>
    <w:rsid w:val="00672FB0"/>
    <w:rsid w:val="006764D3"/>
    <w:rsid w:val="0067784B"/>
    <w:rsid w:val="00681A8C"/>
    <w:rsid w:val="006829D9"/>
    <w:rsid w:val="00685FC0"/>
    <w:rsid w:val="006914E9"/>
    <w:rsid w:val="00692104"/>
    <w:rsid w:val="00693E62"/>
    <w:rsid w:val="006A0F42"/>
    <w:rsid w:val="006A2B44"/>
    <w:rsid w:val="006A3140"/>
    <w:rsid w:val="006A57AD"/>
    <w:rsid w:val="006A7749"/>
    <w:rsid w:val="006B3A96"/>
    <w:rsid w:val="006B4EDE"/>
    <w:rsid w:val="006C0934"/>
    <w:rsid w:val="006C1AB3"/>
    <w:rsid w:val="006C4B01"/>
    <w:rsid w:val="006C55BA"/>
    <w:rsid w:val="006D3595"/>
    <w:rsid w:val="006D5F31"/>
    <w:rsid w:val="006D7663"/>
    <w:rsid w:val="006E12EA"/>
    <w:rsid w:val="006E3A5C"/>
    <w:rsid w:val="006E6A84"/>
    <w:rsid w:val="006F1A5D"/>
    <w:rsid w:val="006F1C6A"/>
    <w:rsid w:val="00700D0C"/>
    <w:rsid w:val="0070130B"/>
    <w:rsid w:val="007032D1"/>
    <w:rsid w:val="007057C7"/>
    <w:rsid w:val="00705F52"/>
    <w:rsid w:val="00706CA6"/>
    <w:rsid w:val="007072A7"/>
    <w:rsid w:val="00707E42"/>
    <w:rsid w:val="0071057E"/>
    <w:rsid w:val="0071622F"/>
    <w:rsid w:val="00720A71"/>
    <w:rsid w:val="00724EFF"/>
    <w:rsid w:val="00727540"/>
    <w:rsid w:val="00727E41"/>
    <w:rsid w:val="00730928"/>
    <w:rsid w:val="007310A2"/>
    <w:rsid w:val="0073246A"/>
    <w:rsid w:val="0073323D"/>
    <w:rsid w:val="00737B13"/>
    <w:rsid w:val="00737E64"/>
    <w:rsid w:val="007402E3"/>
    <w:rsid w:val="00742E3F"/>
    <w:rsid w:val="007430B9"/>
    <w:rsid w:val="0074432F"/>
    <w:rsid w:val="007449DE"/>
    <w:rsid w:val="00745E93"/>
    <w:rsid w:val="00750C06"/>
    <w:rsid w:val="00751565"/>
    <w:rsid w:val="00751C61"/>
    <w:rsid w:val="00766CF1"/>
    <w:rsid w:val="00771243"/>
    <w:rsid w:val="007741A8"/>
    <w:rsid w:val="00775768"/>
    <w:rsid w:val="0077775A"/>
    <w:rsid w:val="00780E23"/>
    <w:rsid w:val="00784EEC"/>
    <w:rsid w:val="00785E25"/>
    <w:rsid w:val="007866FC"/>
    <w:rsid w:val="0079024F"/>
    <w:rsid w:val="00790283"/>
    <w:rsid w:val="00791004"/>
    <w:rsid w:val="007919A0"/>
    <w:rsid w:val="00791FDF"/>
    <w:rsid w:val="00793D65"/>
    <w:rsid w:val="00794034"/>
    <w:rsid w:val="00794B91"/>
    <w:rsid w:val="007962FB"/>
    <w:rsid w:val="007A2291"/>
    <w:rsid w:val="007A39E8"/>
    <w:rsid w:val="007A60F2"/>
    <w:rsid w:val="007A6E2C"/>
    <w:rsid w:val="007B0015"/>
    <w:rsid w:val="007B5E04"/>
    <w:rsid w:val="007C0ECE"/>
    <w:rsid w:val="007C2F51"/>
    <w:rsid w:val="007C54D6"/>
    <w:rsid w:val="007C6F9C"/>
    <w:rsid w:val="007C7252"/>
    <w:rsid w:val="007D0530"/>
    <w:rsid w:val="007D0D39"/>
    <w:rsid w:val="007E00F8"/>
    <w:rsid w:val="007E169C"/>
    <w:rsid w:val="007E51E0"/>
    <w:rsid w:val="007E5DD3"/>
    <w:rsid w:val="007E7708"/>
    <w:rsid w:val="007E7C54"/>
    <w:rsid w:val="007F00A2"/>
    <w:rsid w:val="007F1383"/>
    <w:rsid w:val="007F13F7"/>
    <w:rsid w:val="007F213E"/>
    <w:rsid w:val="007F3118"/>
    <w:rsid w:val="007F3E0B"/>
    <w:rsid w:val="007F6458"/>
    <w:rsid w:val="007F69A1"/>
    <w:rsid w:val="007F7F5F"/>
    <w:rsid w:val="00802169"/>
    <w:rsid w:val="008043F5"/>
    <w:rsid w:val="0080520A"/>
    <w:rsid w:val="008059CC"/>
    <w:rsid w:val="00813A9F"/>
    <w:rsid w:val="00822FD8"/>
    <w:rsid w:val="008235D5"/>
    <w:rsid w:val="008238D8"/>
    <w:rsid w:val="00823ACE"/>
    <w:rsid w:val="008250C8"/>
    <w:rsid w:val="00827B92"/>
    <w:rsid w:val="00831839"/>
    <w:rsid w:val="00831B36"/>
    <w:rsid w:val="0083261D"/>
    <w:rsid w:val="00835216"/>
    <w:rsid w:val="00836CE2"/>
    <w:rsid w:val="0084237D"/>
    <w:rsid w:val="00842864"/>
    <w:rsid w:val="00845CDC"/>
    <w:rsid w:val="008554C2"/>
    <w:rsid w:val="00861311"/>
    <w:rsid w:val="008617F4"/>
    <w:rsid w:val="00863949"/>
    <w:rsid w:val="00864FBE"/>
    <w:rsid w:val="00865A2D"/>
    <w:rsid w:val="00866097"/>
    <w:rsid w:val="0086771A"/>
    <w:rsid w:val="0087032B"/>
    <w:rsid w:val="00870567"/>
    <w:rsid w:val="008711A4"/>
    <w:rsid w:val="00871645"/>
    <w:rsid w:val="00871A07"/>
    <w:rsid w:val="008730A5"/>
    <w:rsid w:val="00873262"/>
    <w:rsid w:val="008743E5"/>
    <w:rsid w:val="00874675"/>
    <w:rsid w:val="00874D0D"/>
    <w:rsid w:val="0087667E"/>
    <w:rsid w:val="00876779"/>
    <w:rsid w:val="00880DE8"/>
    <w:rsid w:val="00882A9C"/>
    <w:rsid w:val="008837D4"/>
    <w:rsid w:val="00884030"/>
    <w:rsid w:val="008904E2"/>
    <w:rsid w:val="00893D9A"/>
    <w:rsid w:val="00894207"/>
    <w:rsid w:val="00894A3F"/>
    <w:rsid w:val="008A25FD"/>
    <w:rsid w:val="008A7D33"/>
    <w:rsid w:val="008B10BB"/>
    <w:rsid w:val="008B277E"/>
    <w:rsid w:val="008B3F73"/>
    <w:rsid w:val="008B5EE4"/>
    <w:rsid w:val="008C5611"/>
    <w:rsid w:val="008D062D"/>
    <w:rsid w:val="008D0D00"/>
    <w:rsid w:val="008D3597"/>
    <w:rsid w:val="008D4143"/>
    <w:rsid w:val="008D509B"/>
    <w:rsid w:val="008D7768"/>
    <w:rsid w:val="008E0D46"/>
    <w:rsid w:val="008E46FB"/>
    <w:rsid w:val="008E5DA2"/>
    <w:rsid w:val="008E6713"/>
    <w:rsid w:val="008F0979"/>
    <w:rsid w:val="008F1850"/>
    <w:rsid w:val="008F21B7"/>
    <w:rsid w:val="008F297B"/>
    <w:rsid w:val="008F2A38"/>
    <w:rsid w:val="008F3518"/>
    <w:rsid w:val="008F4004"/>
    <w:rsid w:val="008F7251"/>
    <w:rsid w:val="009011E6"/>
    <w:rsid w:val="00901C60"/>
    <w:rsid w:val="00901D6D"/>
    <w:rsid w:val="00902C18"/>
    <w:rsid w:val="00903378"/>
    <w:rsid w:val="0090437B"/>
    <w:rsid w:val="009052DC"/>
    <w:rsid w:val="0090649C"/>
    <w:rsid w:val="009066E7"/>
    <w:rsid w:val="0090692D"/>
    <w:rsid w:val="00907C86"/>
    <w:rsid w:val="0091063F"/>
    <w:rsid w:val="009112F5"/>
    <w:rsid w:val="00911B79"/>
    <w:rsid w:val="009156C2"/>
    <w:rsid w:val="009161D9"/>
    <w:rsid w:val="009169A7"/>
    <w:rsid w:val="00916F77"/>
    <w:rsid w:val="009216B3"/>
    <w:rsid w:val="0092410E"/>
    <w:rsid w:val="0093200D"/>
    <w:rsid w:val="009333EC"/>
    <w:rsid w:val="0093446C"/>
    <w:rsid w:val="00935012"/>
    <w:rsid w:val="00935D9C"/>
    <w:rsid w:val="00936144"/>
    <w:rsid w:val="009369FC"/>
    <w:rsid w:val="0093798C"/>
    <w:rsid w:val="00937A78"/>
    <w:rsid w:val="00941C49"/>
    <w:rsid w:val="00942393"/>
    <w:rsid w:val="0094351B"/>
    <w:rsid w:val="00943BB6"/>
    <w:rsid w:val="00944918"/>
    <w:rsid w:val="00945933"/>
    <w:rsid w:val="00945F13"/>
    <w:rsid w:val="00947F38"/>
    <w:rsid w:val="009500DF"/>
    <w:rsid w:val="00950798"/>
    <w:rsid w:val="009516EC"/>
    <w:rsid w:val="00952CD8"/>
    <w:rsid w:val="00952D2D"/>
    <w:rsid w:val="00953AC1"/>
    <w:rsid w:val="00954163"/>
    <w:rsid w:val="009542F2"/>
    <w:rsid w:val="00954E61"/>
    <w:rsid w:val="00954F74"/>
    <w:rsid w:val="009559F6"/>
    <w:rsid w:val="009601CE"/>
    <w:rsid w:val="00960736"/>
    <w:rsid w:val="009633AD"/>
    <w:rsid w:val="00963D4A"/>
    <w:rsid w:val="0097216D"/>
    <w:rsid w:val="00972B89"/>
    <w:rsid w:val="009732DE"/>
    <w:rsid w:val="0097355D"/>
    <w:rsid w:val="00973875"/>
    <w:rsid w:val="0097470F"/>
    <w:rsid w:val="00981FED"/>
    <w:rsid w:val="00983D8C"/>
    <w:rsid w:val="009842C9"/>
    <w:rsid w:val="009871DA"/>
    <w:rsid w:val="009903D3"/>
    <w:rsid w:val="0099041B"/>
    <w:rsid w:val="009916AF"/>
    <w:rsid w:val="009924E3"/>
    <w:rsid w:val="0099269C"/>
    <w:rsid w:val="00994D04"/>
    <w:rsid w:val="00995E08"/>
    <w:rsid w:val="009A1857"/>
    <w:rsid w:val="009A65D5"/>
    <w:rsid w:val="009B05FD"/>
    <w:rsid w:val="009B3DC2"/>
    <w:rsid w:val="009B4A34"/>
    <w:rsid w:val="009B4DBA"/>
    <w:rsid w:val="009B7694"/>
    <w:rsid w:val="009B7DA3"/>
    <w:rsid w:val="009C1865"/>
    <w:rsid w:val="009C3FE0"/>
    <w:rsid w:val="009C61A6"/>
    <w:rsid w:val="009D1B5B"/>
    <w:rsid w:val="009D4225"/>
    <w:rsid w:val="009D507D"/>
    <w:rsid w:val="009D6C9A"/>
    <w:rsid w:val="009E1C7B"/>
    <w:rsid w:val="009E3779"/>
    <w:rsid w:val="009E473D"/>
    <w:rsid w:val="009E5AEB"/>
    <w:rsid w:val="009E7500"/>
    <w:rsid w:val="009F5517"/>
    <w:rsid w:val="009F5878"/>
    <w:rsid w:val="009F650A"/>
    <w:rsid w:val="009F6528"/>
    <w:rsid w:val="009F75AF"/>
    <w:rsid w:val="00A012CF"/>
    <w:rsid w:val="00A066A3"/>
    <w:rsid w:val="00A12458"/>
    <w:rsid w:val="00A13A60"/>
    <w:rsid w:val="00A14FBD"/>
    <w:rsid w:val="00A157BF"/>
    <w:rsid w:val="00A16652"/>
    <w:rsid w:val="00A171B6"/>
    <w:rsid w:val="00A206B2"/>
    <w:rsid w:val="00A21276"/>
    <w:rsid w:val="00A23E31"/>
    <w:rsid w:val="00A27B24"/>
    <w:rsid w:val="00A31A92"/>
    <w:rsid w:val="00A31B00"/>
    <w:rsid w:val="00A3712B"/>
    <w:rsid w:val="00A37B83"/>
    <w:rsid w:val="00A37B94"/>
    <w:rsid w:val="00A37E82"/>
    <w:rsid w:val="00A52EC5"/>
    <w:rsid w:val="00A54BEC"/>
    <w:rsid w:val="00A577E3"/>
    <w:rsid w:val="00A61558"/>
    <w:rsid w:val="00A64DE4"/>
    <w:rsid w:val="00A662C8"/>
    <w:rsid w:val="00A73BB2"/>
    <w:rsid w:val="00A74232"/>
    <w:rsid w:val="00A7762F"/>
    <w:rsid w:val="00A80402"/>
    <w:rsid w:val="00A833C0"/>
    <w:rsid w:val="00A84A21"/>
    <w:rsid w:val="00A851BE"/>
    <w:rsid w:val="00A8545A"/>
    <w:rsid w:val="00A903DB"/>
    <w:rsid w:val="00A907B0"/>
    <w:rsid w:val="00A90C95"/>
    <w:rsid w:val="00A919F0"/>
    <w:rsid w:val="00A9211D"/>
    <w:rsid w:val="00A92B48"/>
    <w:rsid w:val="00A95E1F"/>
    <w:rsid w:val="00A960EC"/>
    <w:rsid w:val="00AA02BB"/>
    <w:rsid w:val="00AA0BE5"/>
    <w:rsid w:val="00AA2ED3"/>
    <w:rsid w:val="00AA658C"/>
    <w:rsid w:val="00AB57B5"/>
    <w:rsid w:val="00AC064E"/>
    <w:rsid w:val="00AC3579"/>
    <w:rsid w:val="00AC4EB1"/>
    <w:rsid w:val="00AD01D5"/>
    <w:rsid w:val="00AD4BCC"/>
    <w:rsid w:val="00AE1B20"/>
    <w:rsid w:val="00AE29A9"/>
    <w:rsid w:val="00AE4BBB"/>
    <w:rsid w:val="00AF2470"/>
    <w:rsid w:val="00AF33DA"/>
    <w:rsid w:val="00AF75D7"/>
    <w:rsid w:val="00B01561"/>
    <w:rsid w:val="00B01A53"/>
    <w:rsid w:val="00B04136"/>
    <w:rsid w:val="00B059F1"/>
    <w:rsid w:val="00B06017"/>
    <w:rsid w:val="00B06821"/>
    <w:rsid w:val="00B10085"/>
    <w:rsid w:val="00B11A19"/>
    <w:rsid w:val="00B126F1"/>
    <w:rsid w:val="00B1307E"/>
    <w:rsid w:val="00B13C91"/>
    <w:rsid w:val="00B20094"/>
    <w:rsid w:val="00B224B5"/>
    <w:rsid w:val="00B24C5E"/>
    <w:rsid w:val="00B25DCD"/>
    <w:rsid w:val="00B301AD"/>
    <w:rsid w:val="00B338EA"/>
    <w:rsid w:val="00B406C2"/>
    <w:rsid w:val="00B42538"/>
    <w:rsid w:val="00B43639"/>
    <w:rsid w:val="00B503F2"/>
    <w:rsid w:val="00B521B3"/>
    <w:rsid w:val="00B548B7"/>
    <w:rsid w:val="00B55120"/>
    <w:rsid w:val="00B563CB"/>
    <w:rsid w:val="00B631AB"/>
    <w:rsid w:val="00B63DDF"/>
    <w:rsid w:val="00B65175"/>
    <w:rsid w:val="00B659F6"/>
    <w:rsid w:val="00B6684F"/>
    <w:rsid w:val="00B67FC5"/>
    <w:rsid w:val="00B70128"/>
    <w:rsid w:val="00B70345"/>
    <w:rsid w:val="00B7229D"/>
    <w:rsid w:val="00B735BB"/>
    <w:rsid w:val="00B74E6D"/>
    <w:rsid w:val="00B82B60"/>
    <w:rsid w:val="00B8383D"/>
    <w:rsid w:val="00B85357"/>
    <w:rsid w:val="00B8682A"/>
    <w:rsid w:val="00B86ABF"/>
    <w:rsid w:val="00B90787"/>
    <w:rsid w:val="00B92025"/>
    <w:rsid w:val="00B923F3"/>
    <w:rsid w:val="00B968DE"/>
    <w:rsid w:val="00B97824"/>
    <w:rsid w:val="00B97FDE"/>
    <w:rsid w:val="00BA027E"/>
    <w:rsid w:val="00BA2361"/>
    <w:rsid w:val="00BA3D3A"/>
    <w:rsid w:val="00BA681A"/>
    <w:rsid w:val="00BA69F2"/>
    <w:rsid w:val="00BB10B9"/>
    <w:rsid w:val="00BB1656"/>
    <w:rsid w:val="00BB2AAC"/>
    <w:rsid w:val="00BC2D20"/>
    <w:rsid w:val="00BC3EF7"/>
    <w:rsid w:val="00BC45E5"/>
    <w:rsid w:val="00BD2887"/>
    <w:rsid w:val="00BD5879"/>
    <w:rsid w:val="00BD6433"/>
    <w:rsid w:val="00BD6B6F"/>
    <w:rsid w:val="00BD765B"/>
    <w:rsid w:val="00BD76B8"/>
    <w:rsid w:val="00BE5670"/>
    <w:rsid w:val="00BF0D0F"/>
    <w:rsid w:val="00BF17A4"/>
    <w:rsid w:val="00BF20AF"/>
    <w:rsid w:val="00BF288E"/>
    <w:rsid w:val="00BF2D23"/>
    <w:rsid w:val="00BF382C"/>
    <w:rsid w:val="00BF697A"/>
    <w:rsid w:val="00C00092"/>
    <w:rsid w:val="00C03CD2"/>
    <w:rsid w:val="00C05864"/>
    <w:rsid w:val="00C05B1D"/>
    <w:rsid w:val="00C122D3"/>
    <w:rsid w:val="00C13B91"/>
    <w:rsid w:val="00C16996"/>
    <w:rsid w:val="00C2528C"/>
    <w:rsid w:val="00C258BF"/>
    <w:rsid w:val="00C2756A"/>
    <w:rsid w:val="00C30394"/>
    <w:rsid w:val="00C30863"/>
    <w:rsid w:val="00C309CA"/>
    <w:rsid w:val="00C326F5"/>
    <w:rsid w:val="00C32F4F"/>
    <w:rsid w:val="00C365F9"/>
    <w:rsid w:val="00C37ACD"/>
    <w:rsid w:val="00C37B16"/>
    <w:rsid w:val="00C40048"/>
    <w:rsid w:val="00C44226"/>
    <w:rsid w:val="00C46057"/>
    <w:rsid w:val="00C46F47"/>
    <w:rsid w:val="00C50FB6"/>
    <w:rsid w:val="00C513D9"/>
    <w:rsid w:val="00C52470"/>
    <w:rsid w:val="00C5432B"/>
    <w:rsid w:val="00C54780"/>
    <w:rsid w:val="00C55DAB"/>
    <w:rsid w:val="00C569DF"/>
    <w:rsid w:val="00C5742F"/>
    <w:rsid w:val="00C57DC2"/>
    <w:rsid w:val="00C6487B"/>
    <w:rsid w:val="00C70C9A"/>
    <w:rsid w:val="00C71215"/>
    <w:rsid w:val="00C769CB"/>
    <w:rsid w:val="00C76B82"/>
    <w:rsid w:val="00C8151A"/>
    <w:rsid w:val="00C81E06"/>
    <w:rsid w:val="00C83853"/>
    <w:rsid w:val="00C841E2"/>
    <w:rsid w:val="00C843E1"/>
    <w:rsid w:val="00C85FFF"/>
    <w:rsid w:val="00C90E7C"/>
    <w:rsid w:val="00C91BFD"/>
    <w:rsid w:val="00C91C45"/>
    <w:rsid w:val="00C91C5E"/>
    <w:rsid w:val="00C92E9E"/>
    <w:rsid w:val="00C932AE"/>
    <w:rsid w:val="00C93A1B"/>
    <w:rsid w:val="00C95F35"/>
    <w:rsid w:val="00C97C9F"/>
    <w:rsid w:val="00CA17E8"/>
    <w:rsid w:val="00CA1C01"/>
    <w:rsid w:val="00CA2026"/>
    <w:rsid w:val="00CA3F26"/>
    <w:rsid w:val="00CA5669"/>
    <w:rsid w:val="00CB09D2"/>
    <w:rsid w:val="00CB1D95"/>
    <w:rsid w:val="00CB62DC"/>
    <w:rsid w:val="00CB67ED"/>
    <w:rsid w:val="00CC244E"/>
    <w:rsid w:val="00CD2390"/>
    <w:rsid w:val="00CD3960"/>
    <w:rsid w:val="00CD4172"/>
    <w:rsid w:val="00CD72C6"/>
    <w:rsid w:val="00CE1EBC"/>
    <w:rsid w:val="00CE612D"/>
    <w:rsid w:val="00CE7BBC"/>
    <w:rsid w:val="00CF33F7"/>
    <w:rsid w:val="00CF3663"/>
    <w:rsid w:val="00CF51AD"/>
    <w:rsid w:val="00CF56FE"/>
    <w:rsid w:val="00CF5F7C"/>
    <w:rsid w:val="00D00964"/>
    <w:rsid w:val="00D026E8"/>
    <w:rsid w:val="00D03382"/>
    <w:rsid w:val="00D04755"/>
    <w:rsid w:val="00D04CE6"/>
    <w:rsid w:val="00D07CBB"/>
    <w:rsid w:val="00D1019C"/>
    <w:rsid w:val="00D10A43"/>
    <w:rsid w:val="00D14C73"/>
    <w:rsid w:val="00D15C3F"/>
    <w:rsid w:val="00D16920"/>
    <w:rsid w:val="00D16C02"/>
    <w:rsid w:val="00D225EF"/>
    <w:rsid w:val="00D2503C"/>
    <w:rsid w:val="00D3042F"/>
    <w:rsid w:val="00D3075F"/>
    <w:rsid w:val="00D31761"/>
    <w:rsid w:val="00D3514A"/>
    <w:rsid w:val="00D36A18"/>
    <w:rsid w:val="00D42A22"/>
    <w:rsid w:val="00D46D07"/>
    <w:rsid w:val="00D46DE3"/>
    <w:rsid w:val="00D505AF"/>
    <w:rsid w:val="00D50EDD"/>
    <w:rsid w:val="00D53859"/>
    <w:rsid w:val="00D5391C"/>
    <w:rsid w:val="00D54C65"/>
    <w:rsid w:val="00D568CA"/>
    <w:rsid w:val="00D56E2D"/>
    <w:rsid w:val="00D57568"/>
    <w:rsid w:val="00D60317"/>
    <w:rsid w:val="00D63C8A"/>
    <w:rsid w:val="00D665CC"/>
    <w:rsid w:val="00D70242"/>
    <w:rsid w:val="00D70BD8"/>
    <w:rsid w:val="00D72A49"/>
    <w:rsid w:val="00D7724D"/>
    <w:rsid w:val="00D77913"/>
    <w:rsid w:val="00D84014"/>
    <w:rsid w:val="00D85A2F"/>
    <w:rsid w:val="00D9229A"/>
    <w:rsid w:val="00D92394"/>
    <w:rsid w:val="00D92752"/>
    <w:rsid w:val="00D9532B"/>
    <w:rsid w:val="00D96CC6"/>
    <w:rsid w:val="00D9798F"/>
    <w:rsid w:val="00DA3F96"/>
    <w:rsid w:val="00DA443A"/>
    <w:rsid w:val="00DA5016"/>
    <w:rsid w:val="00DA62B4"/>
    <w:rsid w:val="00DA77F1"/>
    <w:rsid w:val="00DB0866"/>
    <w:rsid w:val="00DB68FB"/>
    <w:rsid w:val="00DB7C47"/>
    <w:rsid w:val="00DC2608"/>
    <w:rsid w:val="00DC5B45"/>
    <w:rsid w:val="00DD03C9"/>
    <w:rsid w:val="00DD171A"/>
    <w:rsid w:val="00DD617C"/>
    <w:rsid w:val="00DD79DD"/>
    <w:rsid w:val="00DE14A3"/>
    <w:rsid w:val="00DE1AE4"/>
    <w:rsid w:val="00DE4A3A"/>
    <w:rsid w:val="00DE4F78"/>
    <w:rsid w:val="00DE6CF4"/>
    <w:rsid w:val="00DE73C4"/>
    <w:rsid w:val="00DF2890"/>
    <w:rsid w:val="00DF5A12"/>
    <w:rsid w:val="00DF6BEA"/>
    <w:rsid w:val="00DF6D76"/>
    <w:rsid w:val="00DF6F10"/>
    <w:rsid w:val="00E00129"/>
    <w:rsid w:val="00E029C0"/>
    <w:rsid w:val="00E0676F"/>
    <w:rsid w:val="00E12F37"/>
    <w:rsid w:val="00E1322E"/>
    <w:rsid w:val="00E14143"/>
    <w:rsid w:val="00E14306"/>
    <w:rsid w:val="00E143E3"/>
    <w:rsid w:val="00E249B4"/>
    <w:rsid w:val="00E24F84"/>
    <w:rsid w:val="00E26F29"/>
    <w:rsid w:val="00E2715E"/>
    <w:rsid w:val="00E30A64"/>
    <w:rsid w:val="00E32F46"/>
    <w:rsid w:val="00E33088"/>
    <w:rsid w:val="00E3441C"/>
    <w:rsid w:val="00E34AA9"/>
    <w:rsid w:val="00E34F99"/>
    <w:rsid w:val="00E35170"/>
    <w:rsid w:val="00E372B8"/>
    <w:rsid w:val="00E445A0"/>
    <w:rsid w:val="00E44EA0"/>
    <w:rsid w:val="00E573C4"/>
    <w:rsid w:val="00E57BB9"/>
    <w:rsid w:val="00E57FA8"/>
    <w:rsid w:val="00E600DA"/>
    <w:rsid w:val="00E66037"/>
    <w:rsid w:val="00E74EC0"/>
    <w:rsid w:val="00E779E1"/>
    <w:rsid w:val="00E80EAC"/>
    <w:rsid w:val="00E81264"/>
    <w:rsid w:val="00E81AA9"/>
    <w:rsid w:val="00E82F98"/>
    <w:rsid w:val="00E8306C"/>
    <w:rsid w:val="00E830F6"/>
    <w:rsid w:val="00E837CE"/>
    <w:rsid w:val="00E83854"/>
    <w:rsid w:val="00E905C2"/>
    <w:rsid w:val="00E90EA5"/>
    <w:rsid w:val="00E93A23"/>
    <w:rsid w:val="00E93A57"/>
    <w:rsid w:val="00E96708"/>
    <w:rsid w:val="00EA1A9F"/>
    <w:rsid w:val="00EA3D08"/>
    <w:rsid w:val="00EA6D27"/>
    <w:rsid w:val="00EA7B1D"/>
    <w:rsid w:val="00EB0C00"/>
    <w:rsid w:val="00EB1224"/>
    <w:rsid w:val="00EC257E"/>
    <w:rsid w:val="00EC2988"/>
    <w:rsid w:val="00EC5C1E"/>
    <w:rsid w:val="00EC6485"/>
    <w:rsid w:val="00EC663C"/>
    <w:rsid w:val="00EC7AA3"/>
    <w:rsid w:val="00ED1D07"/>
    <w:rsid w:val="00ED469E"/>
    <w:rsid w:val="00ED4D39"/>
    <w:rsid w:val="00ED4FAB"/>
    <w:rsid w:val="00ED69A0"/>
    <w:rsid w:val="00ED753C"/>
    <w:rsid w:val="00ED793E"/>
    <w:rsid w:val="00EE0344"/>
    <w:rsid w:val="00EE131B"/>
    <w:rsid w:val="00EE166B"/>
    <w:rsid w:val="00EE669F"/>
    <w:rsid w:val="00EE7D5D"/>
    <w:rsid w:val="00EF1781"/>
    <w:rsid w:val="00EF1C42"/>
    <w:rsid w:val="00EF2604"/>
    <w:rsid w:val="00EF38BE"/>
    <w:rsid w:val="00EF4803"/>
    <w:rsid w:val="00EF4CF5"/>
    <w:rsid w:val="00EF5E6C"/>
    <w:rsid w:val="00F0002C"/>
    <w:rsid w:val="00F0471D"/>
    <w:rsid w:val="00F10421"/>
    <w:rsid w:val="00F11346"/>
    <w:rsid w:val="00F12614"/>
    <w:rsid w:val="00F14719"/>
    <w:rsid w:val="00F20EDA"/>
    <w:rsid w:val="00F21AFE"/>
    <w:rsid w:val="00F238E8"/>
    <w:rsid w:val="00F24522"/>
    <w:rsid w:val="00F3066D"/>
    <w:rsid w:val="00F32912"/>
    <w:rsid w:val="00F32EAA"/>
    <w:rsid w:val="00F353D4"/>
    <w:rsid w:val="00F36CBB"/>
    <w:rsid w:val="00F37334"/>
    <w:rsid w:val="00F42DFE"/>
    <w:rsid w:val="00F47198"/>
    <w:rsid w:val="00F47734"/>
    <w:rsid w:val="00F47FA0"/>
    <w:rsid w:val="00F50BD0"/>
    <w:rsid w:val="00F527E4"/>
    <w:rsid w:val="00F5455B"/>
    <w:rsid w:val="00F61447"/>
    <w:rsid w:val="00F62E7E"/>
    <w:rsid w:val="00F636BC"/>
    <w:rsid w:val="00F637F6"/>
    <w:rsid w:val="00F63B30"/>
    <w:rsid w:val="00F64D1E"/>
    <w:rsid w:val="00F658BE"/>
    <w:rsid w:val="00F66969"/>
    <w:rsid w:val="00F66FBC"/>
    <w:rsid w:val="00F72A31"/>
    <w:rsid w:val="00F76B5A"/>
    <w:rsid w:val="00F76E19"/>
    <w:rsid w:val="00F80788"/>
    <w:rsid w:val="00F83077"/>
    <w:rsid w:val="00F841AE"/>
    <w:rsid w:val="00F84418"/>
    <w:rsid w:val="00F84523"/>
    <w:rsid w:val="00F84BCA"/>
    <w:rsid w:val="00F850A7"/>
    <w:rsid w:val="00F86AA6"/>
    <w:rsid w:val="00F90CBD"/>
    <w:rsid w:val="00F91B5A"/>
    <w:rsid w:val="00F93DA1"/>
    <w:rsid w:val="00FA30EF"/>
    <w:rsid w:val="00FA42FD"/>
    <w:rsid w:val="00FA651B"/>
    <w:rsid w:val="00FA734F"/>
    <w:rsid w:val="00FB3CB9"/>
    <w:rsid w:val="00FB530D"/>
    <w:rsid w:val="00FC6ED4"/>
    <w:rsid w:val="00FC77BA"/>
    <w:rsid w:val="00FC7BC4"/>
    <w:rsid w:val="00FC7D13"/>
    <w:rsid w:val="00FD0DA4"/>
    <w:rsid w:val="00FD0FAF"/>
    <w:rsid w:val="00FD35E1"/>
    <w:rsid w:val="00FE0EA7"/>
    <w:rsid w:val="00FE1098"/>
    <w:rsid w:val="00FE323D"/>
    <w:rsid w:val="00FE6514"/>
    <w:rsid w:val="00FE6CDA"/>
    <w:rsid w:val="00FF04E0"/>
    <w:rsid w:val="00FF11DB"/>
    <w:rsid w:val="00FF204B"/>
    <w:rsid w:val="00FF6AB4"/>
    <w:rsid w:val="00FF6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321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23D"/>
    <w:pPr>
      <w:autoSpaceDE w:val="0"/>
      <w:autoSpaceDN w:val="0"/>
      <w:spacing w:after="176" w:line="250" w:lineRule="atLeast"/>
    </w:pPr>
    <w:rPr>
      <w:rFonts w:ascii="Montserrat Light" w:hAnsi="Montserrat Light"/>
      <w:color w:val="000000"/>
      <w:sz w:val="18"/>
      <w:szCs w:val="24"/>
      <w:lang w:eastAsia="en-US"/>
    </w:rPr>
  </w:style>
  <w:style w:type="paragraph" w:styleId="Heading1">
    <w:name w:val="heading 1"/>
    <w:basedOn w:val="Normal"/>
    <w:next w:val="Normal"/>
    <w:link w:val="Heading1Char"/>
    <w:qFormat/>
    <w:rsid w:val="0073323D"/>
    <w:pPr>
      <w:keepNext/>
      <w:pBdr>
        <w:bottom w:val="single" w:sz="12" w:space="8" w:color="8D7248"/>
      </w:pBdr>
      <w:tabs>
        <w:tab w:val="left" w:pos="2304"/>
      </w:tabs>
      <w:spacing w:after="960"/>
      <w:outlineLvl w:val="0"/>
    </w:pPr>
    <w:rPr>
      <w:rFonts w:ascii="Montserrat" w:hAnsi="Montserrat"/>
      <w:b/>
      <w:bCs/>
      <w:caps/>
      <w:color w:val="8D7248"/>
      <w:kern w:val="28"/>
      <w:sz w:val="36"/>
      <w:szCs w:val="32"/>
    </w:rPr>
  </w:style>
  <w:style w:type="paragraph" w:styleId="Heading2">
    <w:name w:val="heading 2"/>
    <w:basedOn w:val="Normal"/>
    <w:next w:val="Normal"/>
    <w:link w:val="Heading2Char"/>
    <w:unhideWhenUsed/>
    <w:qFormat/>
    <w:rsid w:val="007332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378E"/>
    <w:pPr>
      <w:keepNext/>
      <w:keepLines/>
      <w:autoSpaceDE/>
      <w:autoSpaceDN/>
      <w:spacing w:before="40" w:after="0" w:line="259" w:lineRule="auto"/>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23D"/>
    <w:rPr>
      <w:rFonts w:ascii="Montserrat" w:hAnsi="Montserrat"/>
      <w:b/>
      <w:bCs/>
      <w:caps/>
      <w:color w:val="8D7248"/>
      <w:kern w:val="28"/>
      <w:sz w:val="36"/>
      <w:szCs w:val="32"/>
      <w:lang w:eastAsia="en-US"/>
    </w:rPr>
  </w:style>
  <w:style w:type="paragraph" w:customStyle="1" w:styleId="Para-1stlevel">
    <w:name w:val="Para - 1st level"/>
    <w:basedOn w:val="BalloonText"/>
    <w:link w:val="Para-1stlevelCharChar"/>
    <w:rsid w:val="0073323D"/>
    <w:pPr>
      <w:spacing w:after="176" w:line="250" w:lineRule="atLeast"/>
    </w:pPr>
    <w:rPr>
      <w:rFonts w:ascii="Montserrat Light" w:hAnsi="Montserrat Light" w:cs="Tahoma"/>
      <w:szCs w:val="16"/>
    </w:rPr>
  </w:style>
  <w:style w:type="paragraph" w:customStyle="1" w:styleId="Para-2ndlevel">
    <w:name w:val="Para - 2nd level"/>
    <w:basedOn w:val="Para-1stlevel"/>
    <w:rsid w:val="0073323D"/>
    <w:pPr>
      <w:numPr>
        <w:ilvl w:val="2"/>
      </w:numPr>
      <w:tabs>
        <w:tab w:val="num" w:pos="360"/>
        <w:tab w:val="num" w:pos="1173"/>
      </w:tabs>
      <w:spacing w:after="120"/>
      <w:ind w:left="1173"/>
    </w:pPr>
  </w:style>
  <w:style w:type="paragraph" w:styleId="BalloonText">
    <w:name w:val="Balloon Text"/>
    <w:basedOn w:val="Normal"/>
    <w:link w:val="BalloonTextChar"/>
    <w:semiHidden/>
    <w:unhideWhenUsed/>
    <w:rsid w:val="0073323D"/>
    <w:pPr>
      <w:spacing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73323D"/>
    <w:rPr>
      <w:rFonts w:ascii="Segoe UI" w:hAnsi="Segoe UI" w:cs="Segoe UI"/>
      <w:color w:val="000000"/>
      <w:sz w:val="18"/>
      <w:szCs w:val="18"/>
      <w:lang w:eastAsia="en-US"/>
    </w:rPr>
  </w:style>
  <w:style w:type="character" w:customStyle="1" w:styleId="Heading2Char">
    <w:name w:val="Heading 2 Char"/>
    <w:basedOn w:val="DefaultParagraphFont"/>
    <w:link w:val="Heading2"/>
    <w:rsid w:val="0073323D"/>
    <w:rPr>
      <w:rFonts w:asciiTheme="majorHAnsi" w:eastAsiaTheme="majorEastAsia" w:hAnsiTheme="majorHAnsi" w:cstheme="majorBidi"/>
      <w:color w:val="365F91" w:themeColor="accent1" w:themeShade="BF"/>
      <w:sz w:val="26"/>
      <w:szCs w:val="26"/>
      <w:lang w:eastAsia="en-US"/>
    </w:rPr>
  </w:style>
  <w:style w:type="character" w:customStyle="1" w:styleId="Para-1stlevelCharChar">
    <w:name w:val="Para - 1st level Char Char"/>
    <w:link w:val="Para-1stlevel"/>
    <w:rsid w:val="0073323D"/>
    <w:rPr>
      <w:rFonts w:ascii="Montserrat Light" w:hAnsi="Montserrat Light" w:cs="Tahoma"/>
      <w:color w:val="000000"/>
      <w:sz w:val="18"/>
      <w:szCs w:val="16"/>
      <w:lang w:eastAsia="en-US"/>
    </w:rPr>
  </w:style>
  <w:style w:type="paragraph" w:customStyle="1" w:styleId="Para-Bullets">
    <w:name w:val="Para - Bullets"/>
    <w:basedOn w:val="Normal"/>
    <w:rsid w:val="0073323D"/>
    <w:pPr>
      <w:numPr>
        <w:numId w:val="2"/>
      </w:numPr>
      <w:tabs>
        <w:tab w:val="left" w:pos="1418"/>
      </w:tabs>
      <w:spacing w:before="120"/>
      <w:ind w:left="1440" w:hanging="432"/>
    </w:pPr>
  </w:style>
  <w:style w:type="character" w:styleId="IntenseReference">
    <w:name w:val="Intense Reference"/>
    <w:basedOn w:val="DefaultParagraphFont"/>
    <w:uiPriority w:val="32"/>
    <w:qFormat/>
    <w:rsid w:val="0073323D"/>
    <w:rPr>
      <w:b/>
      <w:bCs/>
      <w:smallCaps/>
      <w:color w:val="4F81BD" w:themeColor="accent1"/>
      <w:spacing w:val="5"/>
    </w:rPr>
  </w:style>
  <w:style w:type="paragraph" w:styleId="ListParagraph">
    <w:name w:val="List Paragraph"/>
    <w:basedOn w:val="Normal"/>
    <w:uiPriority w:val="34"/>
    <w:qFormat/>
    <w:rsid w:val="007D0530"/>
    <w:pPr>
      <w:ind w:left="720"/>
      <w:contextualSpacing/>
    </w:pPr>
  </w:style>
  <w:style w:type="character" w:styleId="Hyperlink">
    <w:name w:val="Hyperlink"/>
    <w:basedOn w:val="DefaultParagraphFont"/>
    <w:uiPriority w:val="99"/>
    <w:unhideWhenUsed/>
    <w:rsid w:val="008B10BB"/>
    <w:rPr>
      <w:color w:val="0000FF" w:themeColor="hyperlink"/>
      <w:u w:val="single"/>
    </w:rPr>
  </w:style>
  <w:style w:type="table" w:styleId="TableGrid">
    <w:name w:val="Table Grid"/>
    <w:basedOn w:val="TableNormal"/>
    <w:rsid w:val="008E0D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6543A"/>
    <w:rPr>
      <w:color w:val="800080" w:themeColor="followedHyperlink"/>
      <w:u w:val="single"/>
    </w:rPr>
  </w:style>
  <w:style w:type="paragraph" w:styleId="FootnoteText">
    <w:name w:val="footnote text"/>
    <w:basedOn w:val="Normal"/>
    <w:link w:val="FootnoteTextChar"/>
    <w:semiHidden/>
    <w:unhideWhenUsed/>
    <w:rsid w:val="00A37B94"/>
    <w:pPr>
      <w:spacing w:after="0" w:line="240" w:lineRule="auto"/>
    </w:pPr>
    <w:rPr>
      <w:sz w:val="20"/>
      <w:szCs w:val="20"/>
    </w:rPr>
  </w:style>
  <w:style w:type="character" w:customStyle="1" w:styleId="FootnoteTextChar">
    <w:name w:val="Footnote Text Char"/>
    <w:basedOn w:val="DefaultParagraphFont"/>
    <w:link w:val="FootnoteText"/>
    <w:semiHidden/>
    <w:rsid w:val="00A37B94"/>
    <w:rPr>
      <w:rFonts w:ascii="Montserrat Light" w:hAnsi="Montserrat Light"/>
      <w:color w:val="000000"/>
      <w:lang w:eastAsia="en-US"/>
    </w:rPr>
  </w:style>
  <w:style w:type="character" w:styleId="FootnoteReference">
    <w:name w:val="footnote reference"/>
    <w:basedOn w:val="DefaultParagraphFont"/>
    <w:semiHidden/>
    <w:unhideWhenUsed/>
    <w:rsid w:val="00A37B94"/>
    <w:rPr>
      <w:vertAlign w:val="superscript"/>
    </w:rPr>
  </w:style>
  <w:style w:type="paragraph" w:styleId="NoSpacing">
    <w:name w:val="No Spacing"/>
    <w:uiPriority w:val="1"/>
    <w:qFormat/>
    <w:rsid w:val="00775768"/>
    <w:rPr>
      <w:sz w:val="24"/>
      <w:szCs w:val="24"/>
      <w:lang w:eastAsia="en-US"/>
    </w:rPr>
  </w:style>
  <w:style w:type="paragraph" w:customStyle="1" w:styleId="Appendix-Heading2">
    <w:name w:val="Appendix - Heading 2"/>
    <w:basedOn w:val="Normal"/>
    <w:rsid w:val="007F69A1"/>
    <w:pPr>
      <w:autoSpaceDE/>
      <w:autoSpaceDN/>
      <w:spacing w:before="120" w:after="120" w:line="240" w:lineRule="auto"/>
    </w:pPr>
    <w:rPr>
      <w:rFonts w:ascii="Arial" w:hAnsi="Arial" w:cs="Arial"/>
      <w:b/>
      <w:bCs/>
      <w:color w:val="333399"/>
      <w:sz w:val="22"/>
      <w:szCs w:val="22"/>
    </w:rPr>
  </w:style>
  <w:style w:type="character" w:styleId="Emphasis">
    <w:name w:val="Emphasis"/>
    <w:basedOn w:val="DefaultParagraphFont"/>
    <w:uiPriority w:val="20"/>
    <w:qFormat/>
    <w:rsid w:val="00937A78"/>
    <w:rPr>
      <w:i/>
      <w:iCs/>
    </w:rPr>
  </w:style>
  <w:style w:type="paragraph" w:styleId="NormalWeb">
    <w:name w:val="Normal (Web)"/>
    <w:basedOn w:val="Normal"/>
    <w:uiPriority w:val="99"/>
    <w:unhideWhenUsed/>
    <w:rsid w:val="00937A78"/>
    <w:pPr>
      <w:autoSpaceDE/>
      <w:autoSpaceDN/>
      <w:spacing w:before="100" w:beforeAutospacing="1" w:after="100" w:afterAutospacing="1" w:line="240" w:lineRule="auto"/>
    </w:pPr>
    <w:rPr>
      <w:rFonts w:ascii="Times New Roman" w:hAnsi="Times New Roman"/>
      <w:color w:val="auto"/>
      <w:sz w:val="24"/>
      <w:lang w:eastAsia="en-AU"/>
    </w:rPr>
  </w:style>
  <w:style w:type="paragraph" w:customStyle="1" w:styleId="TableText">
    <w:name w:val="Table Text"/>
    <w:basedOn w:val="Normal"/>
    <w:rsid w:val="002516A2"/>
    <w:pPr>
      <w:autoSpaceDE/>
      <w:autoSpaceDN/>
      <w:spacing w:before="100" w:after="100" w:line="240" w:lineRule="auto"/>
    </w:pPr>
    <w:rPr>
      <w:rFonts w:ascii="Arial" w:hAnsi="Arial" w:cs="Arial"/>
      <w:color w:val="auto"/>
      <w:sz w:val="20"/>
      <w:szCs w:val="20"/>
    </w:rPr>
  </w:style>
  <w:style w:type="paragraph" w:customStyle="1" w:styleId="Dash">
    <w:name w:val="Dash"/>
    <w:basedOn w:val="Normal"/>
    <w:qFormat/>
    <w:rsid w:val="002A63B3"/>
    <w:pPr>
      <w:numPr>
        <w:ilvl w:val="1"/>
        <w:numId w:val="13"/>
      </w:numPr>
      <w:autoSpaceDE/>
      <w:autoSpaceDN/>
      <w:spacing w:after="120" w:line="240" w:lineRule="atLeast"/>
    </w:pPr>
    <w:rPr>
      <w:rFonts w:cs="Arial"/>
      <w:szCs w:val="22"/>
      <w:lang w:eastAsia="en-AU"/>
    </w:rPr>
  </w:style>
  <w:style w:type="paragraph" w:customStyle="1" w:styleId="Bullet">
    <w:name w:val="Bullet"/>
    <w:basedOn w:val="Normal"/>
    <w:qFormat/>
    <w:rsid w:val="002A63B3"/>
    <w:pPr>
      <w:numPr>
        <w:numId w:val="13"/>
      </w:numPr>
      <w:autoSpaceDE/>
      <w:autoSpaceDN/>
      <w:spacing w:after="240" w:line="240" w:lineRule="atLeast"/>
      <w:contextualSpacing/>
    </w:pPr>
    <w:rPr>
      <w:rFonts w:cs="Arial"/>
      <w:szCs w:val="22"/>
      <w:lang w:eastAsia="en-AU"/>
    </w:rPr>
  </w:style>
  <w:style w:type="paragraph" w:customStyle="1" w:styleId="Appendix-TableText">
    <w:name w:val="Appendix - Table Text"/>
    <w:basedOn w:val="Normal"/>
    <w:rsid w:val="002A63B3"/>
    <w:pPr>
      <w:autoSpaceDE/>
      <w:autoSpaceDN/>
      <w:spacing w:before="80" w:after="80" w:line="240" w:lineRule="auto"/>
      <w:ind w:left="34"/>
    </w:pPr>
    <w:rPr>
      <w:rFonts w:ascii="Arial" w:hAnsi="Arial" w:cs="Arial"/>
      <w:color w:val="auto"/>
      <w:sz w:val="20"/>
      <w:szCs w:val="20"/>
    </w:rPr>
  </w:style>
  <w:style w:type="paragraph" w:customStyle="1" w:styleId="TableHeading">
    <w:name w:val="Table Heading"/>
    <w:basedOn w:val="Normal"/>
    <w:rsid w:val="002A63B3"/>
    <w:pPr>
      <w:autoSpaceDE/>
      <w:autoSpaceDN/>
      <w:spacing w:before="80" w:after="80" w:line="240" w:lineRule="auto"/>
    </w:pPr>
    <w:rPr>
      <w:rFonts w:ascii="Arial" w:hAnsi="Arial" w:cs="Arial"/>
      <w:b/>
      <w:bCs/>
      <w:color w:val="333399"/>
      <w:szCs w:val="18"/>
    </w:rPr>
  </w:style>
  <w:style w:type="paragraph" w:styleId="Header">
    <w:name w:val="header"/>
    <w:basedOn w:val="Normal"/>
    <w:link w:val="HeaderChar"/>
    <w:unhideWhenUsed/>
    <w:rsid w:val="002A63B3"/>
    <w:pPr>
      <w:tabs>
        <w:tab w:val="center" w:pos="4513"/>
        <w:tab w:val="right" w:pos="9026"/>
      </w:tabs>
      <w:spacing w:after="0" w:line="240" w:lineRule="auto"/>
    </w:pPr>
  </w:style>
  <w:style w:type="character" w:customStyle="1" w:styleId="HeaderChar">
    <w:name w:val="Header Char"/>
    <w:basedOn w:val="DefaultParagraphFont"/>
    <w:link w:val="Header"/>
    <w:rsid w:val="002A63B3"/>
    <w:rPr>
      <w:rFonts w:ascii="Montserrat Light" w:hAnsi="Montserrat Light"/>
      <w:color w:val="000000"/>
      <w:sz w:val="18"/>
      <w:szCs w:val="24"/>
      <w:lang w:eastAsia="en-US"/>
    </w:rPr>
  </w:style>
  <w:style w:type="paragraph" w:styleId="Footer">
    <w:name w:val="footer"/>
    <w:basedOn w:val="Normal"/>
    <w:link w:val="FooterChar"/>
    <w:uiPriority w:val="99"/>
    <w:unhideWhenUsed/>
    <w:rsid w:val="002A6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3B3"/>
    <w:rPr>
      <w:rFonts w:ascii="Montserrat Light" w:hAnsi="Montserrat Light"/>
      <w:color w:val="000000"/>
      <w:sz w:val="18"/>
      <w:szCs w:val="24"/>
      <w:lang w:eastAsia="en-US"/>
    </w:rPr>
  </w:style>
  <w:style w:type="paragraph" w:styleId="BodyText">
    <w:name w:val="Body Text"/>
    <w:basedOn w:val="Normal"/>
    <w:link w:val="BodyTextChar"/>
    <w:uiPriority w:val="99"/>
    <w:rsid w:val="002A63B3"/>
    <w:pPr>
      <w:autoSpaceDE/>
      <w:autoSpaceDN/>
      <w:spacing w:before="120" w:after="120" w:line="240" w:lineRule="auto"/>
    </w:pPr>
    <w:rPr>
      <w:rFonts w:ascii="Times New Roman" w:hAnsi="Times New Roman"/>
      <w:color w:val="auto"/>
      <w:sz w:val="24"/>
      <w:lang w:val="x-none" w:eastAsia="x-none"/>
    </w:rPr>
  </w:style>
  <w:style w:type="character" w:customStyle="1" w:styleId="BodyTextChar">
    <w:name w:val="Body Text Char"/>
    <w:basedOn w:val="DefaultParagraphFont"/>
    <w:link w:val="BodyText"/>
    <w:uiPriority w:val="99"/>
    <w:rsid w:val="002A63B3"/>
    <w:rPr>
      <w:sz w:val="24"/>
      <w:szCs w:val="24"/>
      <w:lang w:val="x-none" w:eastAsia="x-none"/>
    </w:rPr>
  </w:style>
  <w:style w:type="character" w:styleId="PlaceholderText">
    <w:name w:val="Placeholder Text"/>
    <w:basedOn w:val="DefaultParagraphFont"/>
    <w:uiPriority w:val="99"/>
    <w:semiHidden/>
    <w:rsid w:val="00A80402"/>
    <w:rPr>
      <w:color w:val="808080"/>
    </w:rPr>
  </w:style>
  <w:style w:type="character" w:styleId="CommentReference">
    <w:name w:val="annotation reference"/>
    <w:basedOn w:val="DefaultParagraphFont"/>
    <w:semiHidden/>
    <w:unhideWhenUsed/>
    <w:rsid w:val="00D04755"/>
    <w:rPr>
      <w:sz w:val="16"/>
      <w:szCs w:val="16"/>
    </w:rPr>
  </w:style>
  <w:style w:type="paragraph" w:styleId="CommentText">
    <w:name w:val="annotation text"/>
    <w:basedOn w:val="Normal"/>
    <w:link w:val="CommentTextChar"/>
    <w:unhideWhenUsed/>
    <w:rsid w:val="00D04755"/>
    <w:pPr>
      <w:spacing w:line="240" w:lineRule="auto"/>
    </w:pPr>
    <w:rPr>
      <w:sz w:val="20"/>
      <w:szCs w:val="20"/>
    </w:rPr>
  </w:style>
  <w:style w:type="character" w:customStyle="1" w:styleId="CommentTextChar">
    <w:name w:val="Comment Text Char"/>
    <w:basedOn w:val="DefaultParagraphFont"/>
    <w:link w:val="CommentText"/>
    <w:rsid w:val="00D04755"/>
    <w:rPr>
      <w:rFonts w:ascii="Montserrat Light" w:hAnsi="Montserrat Light"/>
      <w:color w:val="000000"/>
      <w:lang w:eastAsia="en-US"/>
    </w:rPr>
  </w:style>
  <w:style w:type="paragraph" w:styleId="CommentSubject">
    <w:name w:val="annotation subject"/>
    <w:basedOn w:val="CommentText"/>
    <w:next w:val="CommentText"/>
    <w:link w:val="CommentSubjectChar"/>
    <w:semiHidden/>
    <w:unhideWhenUsed/>
    <w:rsid w:val="00D04755"/>
    <w:rPr>
      <w:b/>
      <w:bCs/>
    </w:rPr>
  </w:style>
  <w:style w:type="character" w:customStyle="1" w:styleId="CommentSubjectChar">
    <w:name w:val="Comment Subject Char"/>
    <w:basedOn w:val="CommentTextChar"/>
    <w:link w:val="CommentSubject"/>
    <w:semiHidden/>
    <w:rsid w:val="00D04755"/>
    <w:rPr>
      <w:rFonts w:ascii="Montserrat Light" w:hAnsi="Montserrat Light"/>
      <w:b/>
      <w:bCs/>
      <w:color w:val="000000"/>
      <w:lang w:eastAsia="en-US"/>
    </w:rPr>
  </w:style>
  <w:style w:type="paragraph" w:styleId="Revision">
    <w:name w:val="Revision"/>
    <w:hidden/>
    <w:uiPriority w:val="99"/>
    <w:semiHidden/>
    <w:rsid w:val="00794034"/>
    <w:rPr>
      <w:rFonts w:ascii="Montserrat Light" w:hAnsi="Montserrat Light"/>
      <w:color w:val="000000"/>
      <w:sz w:val="18"/>
      <w:szCs w:val="24"/>
      <w:lang w:eastAsia="en-US"/>
    </w:rPr>
  </w:style>
  <w:style w:type="paragraph" w:customStyle="1" w:styleId="Paragraph-Numbered">
    <w:name w:val="Paragraph - Numbered"/>
    <w:basedOn w:val="Normal"/>
    <w:uiPriority w:val="99"/>
    <w:rsid w:val="00AC064E"/>
    <w:pPr>
      <w:tabs>
        <w:tab w:val="num" w:pos="794"/>
      </w:tabs>
      <w:autoSpaceDE/>
      <w:autoSpaceDN/>
      <w:spacing w:before="120" w:after="120" w:line="240" w:lineRule="auto"/>
      <w:ind w:left="794" w:hanging="794"/>
    </w:pPr>
    <w:rPr>
      <w:rFonts w:ascii="Arial" w:hAnsi="Arial" w:cs="Arial"/>
      <w:color w:val="auto"/>
      <w:sz w:val="20"/>
      <w:szCs w:val="20"/>
    </w:rPr>
  </w:style>
  <w:style w:type="paragraph" w:customStyle="1" w:styleId="NumbPara-Bullet-1stLevel">
    <w:name w:val="Numb Para - Bullet - 1st Level"/>
    <w:basedOn w:val="Normal"/>
    <w:rsid w:val="00AC064E"/>
    <w:pPr>
      <w:tabs>
        <w:tab w:val="num" w:pos="1134"/>
      </w:tabs>
      <w:autoSpaceDE/>
      <w:autoSpaceDN/>
      <w:spacing w:before="120" w:after="120" w:line="240" w:lineRule="auto"/>
      <w:ind w:left="1134" w:hanging="340"/>
    </w:pPr>
    <w:rPr>
      <w:rFonts w:ascii="Arial" w:hAnsi="Arial" w:cs="Arial"/>
      <w:color w:val="auto"/>
      <w:sz w:val="20"/>
      <w:szCs w:val="20"/>
    </w:rPr>
  </w:style>
  <w:style w:type="paragraph" w:styleId="Title">
    <w:name w:val="Title"/>
    <w:basedOn w:val="Normal"/>
    <w:link w:val="TitleChar"/>
    <w:rsid w:val="00AC4EB1"/>
    <w:pPr>
      <w:spacing w:before="720" w:after="7800"/>
      <w:jc w:val="center"/>
    </w:pPr>
    <w:rPr>
      <w:rFonts w:ascii="Arial" w:hAnsi="Arial" w:cs="Arial"/>
      <w:bCs/>
      <w:caps/>
      <w:kern w:val="28"/>
      <w:sz w:val="60"/>
      <w:szCs w:val="60"/>
    </w:rPr>
  </w:style>
  <w:style w:type="character" w:customStyle="1" w:styleId="TitleChar">
    <w:name w:val="Title Char"/>
    <w:basedOn w:val="DefaultParagraphFont"/>
    <w:link w:val="Title"/>
    <w:rsid w:val="00AC4EB1"/>
    <w:rPr>
      <w:rFonts w:ascii="Arial" w:hAnsi="Arial" w:cs="Arial"/>
      <w:bCs/>
      <w:caps/>
      <w:color w:val="000000"/>
      <w:kern w:val="28"/>
      <w:sz w:val="60"/>
      <w:szCs w:val="60"/>
      <w:lang w:eastAsia="en-US"/>
    </w:rPr>
  </w:style>
  <w:style w:type="character" w:styleId="Strong">
    <w:name w:val="Strong"/>
    <w:basedOn w:val="DefaultParagraphFont"/>
    <w:uiPriority w:val="22"/>
    <w:qFormat/>
    <w:rsid w:val="00233AF7"/>
    <w:rPr>
      <w:b/>
      <w:bCs/>
    </w:rPr>
  </w:style>
  <w:style w:type="paragraph" w:styleId="Subtitle">
    <w:name w:val="Subtitle"/>
    <w:basedOn w:val="Normal"/>
    <w:next w:val="Normal"/>
    <w:link w:val="SubtitleChar"/>
    <w:qFormat/>
    <w:rsid w:val="00727E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27E41"/>
    <w:rPr>
      <w:rFonts w:asciiTheme="minorHAnsi" w:eastAsiaTheme="minorEastAsia" w:hAnsiTheme="minorHAnsi" w:cstheme="minorBidi"/>
      <w:color w:val="5A5A5A" w:themeColor="text1" w:themeTint="A5"/>
      <w:spacing w:val="15"/>
      <w:sz w:val="22"/>
      <w:szCs w:val="22"/>
      <w:lang w:eastAsia="en-US"/>
    </w:rPr>
  </w:style>
  <w:style w:type="character" w:customStyle="1" w:styleId="Heading3Char">
    <w:name w:val="Heading 3 Char"/>
    <w:basedOn w:val="DefaultParagraphFont"/>
    <w:link w:val="Heading3"/>
    <w:uiPriority w:val="9"/>
    <w:rsid w:val="002E378E"/>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1416">
      <w:bodyDiv w:val="1"/>
      <w:marLeft w:val="0"/>
      <w:marRight w:val="0"/>
      <w:marTop w:val="0"/>
      <w:marBottom w:val="0"/>
      <w:divBdr>
        <w:top w:val="none" w:sz="0" w:space="0" w:color="auto"/>
        <w:left w:val="none" w:sz="0" w:space="0" w:color="auto"/>
        <w:bottom w:val="none" w:sz="0" w:space="0" w:color="auto"/>
        <w:right w:val="none" w:sz="0" w:space="0" w:color="auto"/>
      </w:divBdr>
      <w:divsChild>
        <w:div w:id="807670368">
          <w:marLeft w:val="0"/>
          <w:marRight w:val="0"/>
          <w:marTop w:val="0"/>
          <w:marBottom w:val="0"/>
          <w:divBdr>
            <w:top w:val="single" w:sz="6" w:space="4" w:color="FFFFFF"/>
            <w:left w:val="single" w:sz="6" w:space="8" w:color="FFFFFF"/>
            <w:bottom w:val="single" w:sz="6" w:space="4" w:color="FFFFFF"/>
            <w:right w:val="single" w:sz="6" w:space="8" w:color="FFFFFF"/>
          </w:divBdr>
        </w:div>
        <w:div w:id="1325624546">
          <w:marLeft w:val="0"/>
          <w:marRight w:val="0"/>
          <w:marTop w:val="0"/>
          <w:marBottom w:val="0"/>
          <w:divBdr>
            <w:top w:val="none" w:sz="0" w:space="0" w:color="auto"/>
            <w:left w:val="none" w:sz="0" w:space="0" w:color="auto"/>
            <w:bottom w:val="none" w:sz="0" w:space="0" w:color="auto"/>
            <w:right w:val="none" w:sz="0" w:space="0" w:color="auto"/>
          </w:divBdr>
          <w:divsChild>
            <w:div w:id="54088428">
              <w:marLeft w:val="0"/>
              <w:marRight w:val="0"/>
              <w:marTop w:val="0"/>
              <w:marBottom w:val="0"/>
              <w:divBdr>
                <w:top w:val="none" w:sz="0" w:space="0" w:color="auto"/>
                <w:left w:val="none" w:sz="0" w:space="0" w:color="auto"/>
                <w:bottom w:val="none" w:sz="0" w:space="0" w:color="auto"/>
                <w:right w:val="none" w:sz="0" w:space="0" w:color="auto"/>
              </w:divBdr>
              <w:divsChild>
                <w:div w:id="1815220866">
                  <w:marLeft w:val="0"/>
                  <w:marRight w:val="0"/>
                  <w:marTop w:val="0"/>
                  <w:marBottom w:val="0"/>
                  <w:divBdr>
                    <w:top w:val="none" w:sz="0" w:space="0" w:color="auto"/>
                    <w:left w:val="none" w:sz="0" w:space="0" w:color="auto"/>
                    <w:bottom w:val="none" w:sz="0" w:space="0" w:color="auto"/>
                    <w:right w:val="none" w:sz="0" w:space="0" w:color="auto"/>
                  </w:divBdr>
                  <w:divsChild>
                    <w:div w:id="618339202">
                      <w:marLeft w:val="150"/>
                      <w:marRight w:val="150"/>
                      <w:marTop w:val="0"/>
                      <w:marBottom w:val="0"/>
                      <w:divBdr>
                        <w:top w:val="none" w:sz="0" w:space="0" w:color="auto"/>
                        <w:left w:val="none" w:sz="0" w:space="0" w:color="auto"/>
                        <w:bottom w:val="none" w:sz="0" w:space="0" w:color="auto"/>
                        <w:right w:val="none" w:sz="0" w:space="0" w:color="auto"/>
                      </w:divBdr>
                      <w:divsChild>
                        <w:div w:id="1119493570">
                          <w:marLeft w:val="0"/>
                          <w:marRight w:val="0"/>
                          <w:marTop w:val="0"/>
                          <w:marBottom w:val="0"/>
                          <w:divBdr>
                            <w:top w:val="none" w:sz="0" w:space="0" w:color="auto"/>
                            <w:left w:val="none" w:sz="0" w:space="0" w:color="auto"/>
                            <w:bottom w:val="none" w:sz="0" w:space="0" w:color="auto"/>
                            <w:right w:val="none" w:sz="0" w:space="0" w:color="auto"/>
                          </w:divBdr>
                          <w:divsChild>
                            <w:div w:id="937710853">
                              <w:marLeft w:val="0"/>
                              <w:marRight w:val="0"/>
                              <w:marTop w:val="0"/>
                              <w:marBottom w:val="0"/>
                              <w:divBdr>
                                <w:top w:val="none" w:sz="0" w:space="0" w:color="auto"/>
                                <w:left w:val="none" w:sz="0" w:space="0" w:color="auto"/>
                                <w:bottom w:val="none" w:sz="0" w:space="0" w:color="auto"/>
                                <w:right w:val="none" w:sz="0" w:space="0" w:color="auto"/>
                              </w:divBdr>
                              <w:divsChild>
                                <w:div w:id="1665628647">
                                  <w:marLeft w:val="0"/>
                                  <w:marRight w:val="0"/>
                                  <w:marTop w:val="0"/>
                                  <w:marBottom w:val="0"/>
                                  <w:divBdr>
                                    <w:top w:val="none" w:sz="0" w:space="0" w:color="auto"/>
                                    <w:left w:val="none" w:sz="0" w:space="0" w:color="auto"/>
                                    <w:bottom w:val="none" w:sz="0" w:space="0" w:color="auto"/>
                                    <w:right w:val="none" w:sz="0" w:space="0" w:color="auto"/>
                                  </w:divBdr>
                                  <w:divsChild>
                                    <w:div w:id="1533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8268">
                              <w:marLeft w:val="0"/>
                              <w:marRight w:val="0"/>
                              <w:marTop w:val="0"/>
                              <w:marBottom w:val="0"/>
                              <w:divBdr>
                                <w:top w:val="none" w:sz="0" w:space="0" w:color="auto"/>
                                <w:left w:val="none" w:sz="0" w:space="0" w:color="auto"/>
                                <w:bottom w:val="none" w:sz="0" w:space="0" w:color="auto"/>
                                <w:right w:val="none" w:sz="0" w:space="0" w:color="auto"/>
                              </w:divBdr>
                              <w:divsChild>
                                <w:div w:id="2094860951">
                                  <w:marLeft w:val="0"/>
                                  <w:marRight w:val="0"/>
                                  <w:marTop w:val="0"/>
                                  <w:marBottom w:val="0"/>
                                  <w:divBdr>
                                    <w:top w:val="none" w:sz="0" w:space="0" w:color="auto"/>
                                    <w:left w:val="none" w:sz="0" w:space="0" w:color="auto"/>
                                    <w:bottom w:val="none" w:sz="0" w:space="0" w:color="auto"/>
                                    <w:right w:val="none" w:sz="0" w:space="0" w:color="auto"/>
                                  </w:divBdr>
                                  <w:divsChild>
                                    <w:div w:id="2321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8011">
                              <w:marLeft w:val="0"/>
                              <w:marRight w:val="0"/>
                              <w:marTop w:val="0"/>
                              <w:marBottom w:val="0"/>
                              <w:divBdr>
                                <w:top w:val="none" w:sz="0" w:space="0" w:color="auto"/>
                                <w:left w:val="none" w:sz="0" w:space="0" w:color="auto"/>
                                <w:bottom w:val="none" w:sz="0" w:space="0" w:color="auto"/>
                                <w:right w:val="none" w:sz="0" w:space="0" w:color="auto"/>
                              </w:divBdr>
                              <w:divsChild>
                                <w:div w:id="1874272541">
                                  <w:marLeft w:val="0"/>
                                  <w:marRight w:val="0"/>
                                  <w:marTop w:val="0"/>
                                  <w:marBottom w:val="0"/>
                                  <w:divBdr>
                                    <w:top w:val="none" w:sz="0" w:space="0" w:color="auto"/>
                                    <w:left w:val="none" w:sz="0" w:space="0" w:color="auto"/>
                                    <w:bottom w:val="none" w:sz="0" w:space="0" w:color="auto"/>
                                    <w:right w:val="none" w:sz="0" w:space="0" w:color="auto"/>
                                  </w:divBdr>
                                  <w:divsChild>
                                    <w:div w:id="2857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812530">
              <w:marLeft w:val="0"/>
              <w:marRight w:val="0"/>
              <w:marTop w:val="0"/>
              <w:marBottom w:val="0"/>
              <w:divBdr>
                <w:top w:val="none" w:sz="0" w:space="0" w:color="auto"/>
                <w:left w:val="none" w:sz="0" w:space="0" w:color="auto"/>
                <w:bottom w:val="none" w:sz="0" w:space="0" w:color="auto"/>
                <w:right w:val="none" w:sz="0" w:space="0" w:color="auto"/>
              </w:divBdr>
              <w:divsChild>
                <w:div w:id="1982999236">
                  <w:marLeft w:val="0"/>
                  <w:marRight w:val="0"/>
                  <w:marTop w:val="0"/>
                  <w:marBottom w:val="0"/>
                  <w:divBdr>
                    <w:top w:val="none" w:sz="0" w:space="0" w:color="auto"/>
                    <w:left w:val="none" w:sz="0" w:space="0" w:color="auto"/>
                    <w:bottom w:val="none" w:sz="0" w:space="0" w:color="auto"/>
                    <w:right w:val="none" w:sz="0" w:space="0" w:color="auto"/>
                  </w:divBdr>
                  <w:divsChild>
                    <w:div w:id="1344240708">
                      <w:marLeft w:val="0"/>
                      <w:marRight w:val="0"/>
                      <w:marTop w:val="0"/>
                      <w:marBottom w:val="0"/>
                      <w:divBdr>
                        <w:top w:val="none" w:sz="0" w:space="0" w:color="auto"/>
                        <w:left w:val="none" w:sz="0" w:space="0" w:color="auto"/>
                        <w:bottom w:val="none" w:sz="0" w:space="0" w:color="auto"/>
                        <w:right w:val="none" w:sz="0" w:space="0" w:color="auto"/>
                      </w:divBdr>
                      <w:divsChild>
                        <w:div w:id="926426076">
                          <w:marLeft w:val="0"/>
                          <w:marRight w:val="0"/>
                          <w:marTop w:val="0"/>
                          <w:marBottom w:val="0"/>
                          <w:divBdr>
                            <w:top w:val="none" w:sz="0" w:space="0" w:color="auto"/>
                            <w:left w:val="none" w:sz="0" w:space="0" w:color="auto"/>
                            <w:bottom w:val="none" w:sz="0" w:space="0" w:color="auto"/>
                            <w:right w:val="none" w:sz="0" w:space="0" w:color="auto"/>
                          </w:divBdr>
                          <w:divsChild>
                            <w:div w:id="1041707580">
                              <w:marLeft w:val="0"/>
                              <w:marRight w:val="0"/>
                              <w:marTop w:val="0"/>
                              <w:marBottom w:val="0"/>
                              <w:divBdr>
                                <w:top w:val="none" w:sz="0" w:space="0" w:color="auto"/>
                                <w:left w:val="none" w:sz="0" w:space="0" w:color="auto"/>
                                <w:bottom w:val="none" w:sz="0" w:space="0" w:color="auto"/>
                                <w:right w:val="none" w:sz="0" w:space="0" w:color="auto"/>
                              </w:divBdr>
                              <w:divsChild>
                                <w:div w:id="1606962833">
                                  <w:marLeft w:val="0"/>
                                  <w:marRight w:val="0"/>
                                  <w:marTop w:val="0"/>
                                  <w:marBottom w:val="0"/>
                                  <w:divBdr>
                                    <w:top w:val="none" w:sz="0" w:space="0" w:color="auto"/>
                                    <w:left w:val="none" w:sz="0" w:space="0" w:color="auto"/>
                                    <w:bottom w:val="none" w:sz="0" w:space="0" w:color="auto"/>
                                    <w:right w:val="none" w:sz="0" w:space="0" w:color="auto"/>
                                  </w:divBdr>
                                  <w:divsChild>
                                    <w:div w:id="288240372">
                                      <w:marLeft w:val="0"/>
                                      <w:marRight w:val="0"/>
                                      <w:marTop w:val="0"/>
                                      <w:marBottom w:val="0"/>
                                      <w:divBdr>
                                        <w:top w:val="none" w:sz="0" w:space="0" w:color="auto"/>
                                        <w:left w:val="none" w:sz="0" w:space="0" w:color="auto"/>
                                        <w:bottom w:val="none" w:sz="0" w:space="0" w:color="auto"/>
                                        <w:right w:val="none" w:sz="0" w:space="0" w:color="auto"/>
                                      </w:divBdr>
                                      <w:divsChild>
                                        <w:div w:id="542061799">
                                          <w:marLeft w:val="0"/>
                                          <w:marRight w:val="0"/>
                                          <w:marTop w:val="0"/>
                                          <w:marBottom w:val="0"/>
                                          <w:divBdr>
                                            <w:top w:val="none" w:sz="0" w:space="0" w:color="auto"/>
                                            <w:left w:val="none" w:sz="0" w:space="0" w:color="auto"/>
                                            <w:bottom w:val="none" w:sz="0" w:space="0" w:color="auto"/>
                                            <w:right w:val="none" w:sz="0" w:space="0" w:color="auto"/>
                                          </w:divBdr>
                                          <w:divsChild>
                                            <w:div w:id="1354920562">
                                              <w:marLeft w:val="0"/>
                                              <w:marRight w:val="0"/>
                                              <w:marTop w:val="0"/>
                                              <w:marBottom w:val="0"/>
                                              <w:divBdr>
                                                <w:top w:val="none" w:sz="0" w:space="0" w:color="auto"/>
                                                <w:left w:val="none" w:sz="0" w:space="0" w:color="auto"/>
                                                <w:bottom w:val="none" w:sz="0" w:space="0" w:color="auto"/>
                                                <w:right w:val="none" w:sz="0" w:space="0" w:color="auto"/>
                                              </w:divBdr>
                                              <w:divsChild>
                                                <w:div w:id="86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43380">
      <w:bodyDiv w:val="1"/>
      <w:marLeft w:val="0"/>
      <w:marRight w:val="0"/>
      <w:marTop w:val="0"/>
      <w:marBottom w:val="0"/>
      <w:divBdr>
        <w:top w:val="none" w:sz="0" w:space="0" w:color="auto"/>
        <w:left w:val="none" w:sz="0" w:space="0" w:color="auto"/>
        <w:bottom w:val="none" w:sz="0" w:space="0" w:color="auto"/>
        <w:right w:val="none" w:sz="0" w:space="0" w:color="auto"/>
      </w:divBdr>
    </w:div>
    <w:div w:id="249316096">
      <w:bodyDiv w:val="1"/>
      <w:marLeft w:val="0"/>
      <w:marRight w:val="0"/>
      <w:marTop w:val="0"/>
      <w:marBottom w:val="0"/>
      <w:divBdr>
        <w:top w:val="none" w:sz="0" w:space="0" w:color="auto"/>
        <w:left w:val="none" w:sz="0" w:space="0" w:color="auto"/>
        <w:bottom w:val="none" w:sz="0" w:space="0" w:color="auto"/>
        <w:right w:val="none" w:sz="0" w:space="0" w:color="auto"/>
      </w:divBdr>
      <w:divsChild>
        <w:div w:id="1317487938">
          <w:marLeft w:val="0"/>
          <w:marRight w:val="0"/>
          <w:marTop w:val="0"/>
          <w:marBottom w:val="0"/>
          <w:divBdr>
            <w:top w:val="none" w:sz="0" w:space="0" w:color="auto"/>
            <w:left w:val="none" w:sz="0" w:space="0" w:color="auto"/>
            <w:bottom w:val="none" w:sz="0" w:space="0" w:color="auto"/>
            <w:right w:val="none" w:sz="0" w:space="0" w:color="auto"/>
          </w:divBdr>
          <w:divsChild>
            <w:div w:id="158884633">
              <w:marLeft w:val="0"/>
              <w:marRight w:val="0"/>
              <w:marTop w:val="0"/>
              <w:marBottom w:val="0"/>
              <w:divBdr>
                <w:top w:val="none" w:sz="0" w:space="0" w:color="auto"/>
                <w:left w:val="none" w:sz="0" w:space="0" w:color="auto"/>
                <w:bottom w:val="none" w:sz="0" w:space="0" w:color="auto"/>
                <w:right w:val="none" w:sz="0" w:space="0" w:color="auto"/>
              </w:divBdr>
              <w:divsChild>
                <w:div w:id="1101609181">
                  <w:marLeft w:val="0"/>
                  <w:marRight w:val="0"/>
                  <w:marTop w:val="0"/>
                  <w:marBottom w:val="0"/>
                  <w:divBdr>
                    <w:top w:val="none" w:sz="0" w:space="0" w:color="auto"/>
                    <w:left w:val="none" w:sz="0" w:space="0" w:color="auto"/>
                    <w:bottom w:val="none" w:sz="0" w:space="0" w:color="auto"/>
                    <w:right w:val="none" w:sz="0" w:space="0" w:color="auto"/>
                  </w:divBdr>
                  <w:divsChild>
                    <w:div w:id="2126197085">
                      <w:marLeft w:val="0"/>
                      <w:marRight w:val="0"/>
                      <w:marTop w:val="0"/>
                      <w:marBottom w:val="0"/>
                      <w:divBdr>
                        <w:top w:val="none" w:sz="0" w:space="0" w:color="auto"/>
                        <w:left w:val="none" w:sz="0" w:space="0" w:color="auto"/>
                        <w:bottom w:val="none" w:sz="0" w:space="0" w:color="auto"/>
                        <w:right w:val="none" w:sz="0" w:space="0" w:color="auto"/>
                      </w:divBdr>
                      <w:divsChild>
                        <w:div w:id="4721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051675">
      <w:bodyDiv w:val="1"/>
      <w:marLeft w:val="0"/>
      <w:marRight w:val="0"/>
      <w:marTop w:val="0"/>
      <w:marBottom w:val="0"/>
      <w:divBdr>
        <w:top w:val="none" w:sz="0" w:space="0" w:color="auto"/>
        <w:left w:val="none" w:sz="0" w:space="0" w:color="auto"/>
        <w:bottom w:val="none" w:sz="0" w:space="0" w:color="auto"/>
        <w:right w:val="none" w:sz="0" w:space="0" w:color="auto"/>
      </w:divBdr>
    </w:div>
    <w:div w:id="431164490">
      <w:bodyDiv w:val="1"/>
      <w:marLeft w:val="0"/>
      <w:marRight w:val="0"/>
      <w:marTop w:val="0"/>
      <w:marBottom w:val="0"/>
      <w:divBdr>
        <w:top w:val="none" w:sz="0" w:space="0" w:color="auto"/>
        <w:left w:val="none" w:sz="0" w:space="0" w:color="auto"/>
        <w:bottom w:val="none" w:sz="0" w:space="0" w:color="auto"/>
        <w:right w:val="none" w:sz="0" w:space="0" w:color="auto"/>
      </w:divBdr>
      <w:divsChild>
        <w:div w:id="1333023050">
          <w:marLeft w:val="0"/>
          <w:marRight w:val="0"/>
          <w:marTop w:val="0"/>
          <w:marBottom w:val="0"/>
          <w:divBdr>
            <w:top w:val="none" w:sz="0" w:space="0" w:color="auto"/>
            <w:left w:val="none" w:sz="0" w:space="0" w:color="auto"/>
            <w:bottom w:val="none" w:sz="0" w:space="0" w:color="auto"/>
            <w:right w:val="none" w:sz="0" w:space="0" w:color="auto"/>
          </w:divBdr>
          <w:divsChild>
            <w:div w:id="1626086370">
              <w:marLeft w:val="0"/>
              <w:marRight w:val="0"/>
              <w:marTop w:val="0"/>
              <w:marBottom w:val="0"/>
              <w:divBdr>
                <w:top w:val="none" w:sz="0" w:space="0" w:color="auto"/>
                <w:left w:val="none" w:sz="0" w:space="0" w:color="auto"/>
                <w:bottom w:val="none" w:sz="0" w:space="0" w:color="auto"/>
                <w:right w:val="none" w:sz="0" w:space="0" w:color="auto"/>
              </w:divBdr>
              <w:divsChild>
                <w:div w:id="945961287">
                  <w:marLeft w:val="0"/>
                  <w:marRight w:val="0"/>
                  <w:marTop w:val="0"/>
                  <w:marBottom w:val="0"/>
                  <w:divBdr>
                    <w:top w:val="none" w:sz="0" w:space="0" w:color="auto"/>
                    <w:left w:val="none" w:sz="0" w:space="0" w:color="auto"/>
                    <w:bottom w:val="none" w:sz="0" w:space="0" w:color="auto"/>
                    <w:right w:val="none" w:sz="0" w:space="0" w:color="auto"/>
                  </w:divBdr>
                  <w:divsChild>
                    <w:div w:id="1214199516">
                      <w:marLeft w:val="0"/>
                      <w:marRight w:val="0"/>
                      <w:marTop w:val="0"/>
                      <w:marBottom w:val="0"/>
                      <w:divBdr>
                        <w:top w:val="none" w:sz="0" w:space="0" w:color="auto"/>
                        <w:left w:val="none" w:sz="0" w:space="0" w:color="auto"/>
                        <w:bottom w:val="none" w:sz="0" w:space="0" w:color="auto"/>
                        <w:right w:val="none" w:sz="0" w:space="0" w:color="auto"/>
                      </w:divBdr>
                      <w:divsChild>
                        <w:div w:id="1296332944">
                          <w:marLeft w:val="0"/>
                          <w:marRight w:val="0"/>
                          <w:marTop w:val="0"/>
                          <w:marBottom w:val="0"/>
                          <w:divBdr>
                            <w:top w:val="none" w:sz="0" w:space="0" w:color="auto"/>
                            <w:left w:val="none" w:sz="0" w:space="0" w:color="auto"/>
                            <w:bottom w:val="none" w:sz="0" w:space="0" w:color="auto"/>
                            <w:right w:val="none" w:sz="0" w:space="0" w:color="auto"/>
                          </w:divBdr>
                          <w:divsChild>
                            <w:div w:id="1105808418">
                              <w:marLeft w:val="0"/>
                              <w:marRight w:val="0"/>
                              <w:marTop w:val="0"/>
                              <w:marBottom w:val="0"/>
                              <w:divBdr>
                                <w:top w:val="none" w:sz="0" w:space="0" w:color="auto"/>
                                <w:left w:val="none" w:sz="0" w:space="0" w:color="auto"/>
                                <w:bottom w:val="none" w:sz="0" w:space="0" w:color="auto"/>
                                <w:right w:val="none" w:sz="0" w:space="0" w:color="auto"/>
                              </w:divBdr>
                              <w:divsChild>
                                <w:div w:id="8785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755672">
      <w:bodyDiv w:val="1"/>
      <w:marLeft w:val="0"/>
      <w:marRight w:val="0"/>
      <w:marTop w:val="0"/>
      <w:marBottom w:val="0"/>
      <w:divBdr>
        <w:top w:val="none" w:sz="0" w:space="0" w:color="auto"/>
        <w:left w:val="none" w:sz="0" w:space="0" w:color="auto"/>
        <w:bottom w:val="none" w:sz="0" w:space="0" w:color="auto"/>
        <w:right w:val="none" w:sz="0" w:space="0" w:color="auto"/>
      </w:divBdr>
    </w:div>
    <w:div w:id="872956668">
      <w:bodyDiv w:val="1"/>
      <w:marLeft w:val="0"/>
      <w:marRight w:val="0"/>
      <w:marTop w:val="0"/>
      <w:marBottom w:val="0"/>
      <w:divBdr>
        <w:top w:val="none" w:sz="0" w:space="0" w:color="auto"/>
        <w:left w:val="none" w:sz="0" w:space="0" w:color="auto"/>
        <w:bottom w:val="none" w:sz="0" w:space="0" w:color="auto"/>
        <w:right w:val="none" w:sz="0" w:space="0" w:color="auto"/>
      </w:divBdr>
      <w:divsChild>
        <w:div w:id="2033072674">
          <w:marLeft w:val="0"/>
          <w:marRight w:val="0"/>
          <w:marTop w:val="0"/>
          <w:marBottom w:val="0"/>
          <w:divBdr>
            <w:top w:val="none" w:sz="0" w:space="0" w:color="auto"/>
            <w:left w:val="none" w:sz="0" w:space="0" w:color="auto"/>
            <w:bottom w:val="none" w:sz="0" w:space="0" w:color="auto"/>
            <w:right w:val="none" w:sz="0" w:space="0" w:color="auto"/>
          </w:divBdr>
          <w:divsChild>
            <w:div w:id="1814328852">
              <w:marLeft w:val="0"/>
              <w:marRight w:val="0"/>
              <w:marTop w:val="0"/>
              <w:marBottom w:val="0"/>
              <w:divBdr>
                <w:top w:val="none" w:sz="0" w:space="0" w:color="auto"/>
                <w:left w:val="none" w:sz="0" w:space="0" w:color="auto"/>
                <w:bottom w:val="none" w:sz="0" w:space="0" w:color="auto"/>
                <w:right w:val="none" w:sz="0" w:space="0" w:color="auto"/>
              </w:divBdr>
              <w:divsChild>
                <w:div w:id="1211258689">
                  <w:marLeft w:val="0"/>
                  <w:marRight w:val="0"/>
                  <w:marTop w:val="0"/>
                  <w:marBottom w:val="0"/>
                  <w:divBdr>
                    <w:top w:val="none" w:sz="0" w:space="0" w:color="auto"/>
                    <w:left w:val="none" w:sz="0" w:space="0" w:color="auto"/>
                    <w:bottom w:val="none" w:sz="0" w:space="0" w:color="auto"/>
                    <w:right w:val="none" w:sz="0" w:space="0" w:color="auto"/>
                  </w:divBdr>
                  <w:divsChild>
                    <w:div w:id="1152211876">
                      <w:marLeft w:val="0"/>
                      <w:marRight w:val="0"/>
                      <w:marTop w:val="0"/>
                      <w:marBottom w:val="0"/>
                      <w:divBdr>
                        <w:top w:val="none" w:sz="0" w:space="0" w:color="auto"/>
                        <w:left w:val="none" w:sz="0" w:space="0" w:color="auto"/>
                        <w:bottom w:val="none" w:sz="0" w:space="0" w:color="auto"/>
                        <w:right w:val="none" w:sz="0" w:space="0" w:color="auto"/>
                      </w:divBdr>
                      <w:divsChild>
                        <w:div w:id="849953425">
                          <w:marLeft w:val="0"/>
                          <w:marRight w:val="0"/>
                          <w:marTop w:val="0"/>
                          <w:marBottom w:val="0"/>
                          <w:divBdr>
                            <w:top w:val="none" w:sz="0" w:space="0" w:color="auto"/>
                            <w:left w:val="none" w:sz="0" w:space="0" w:color="auto"/>
                            <w:bottom w:val="none" w:sz="0" w:space="0" w:color="auto"/>
                            <w:right w:val="none" w:sz="0" w:space="0" w:color="auto"/>
                          </w:divBdr>
                          <w:divsChild>
                            <w:div w:id="839276671">
                              <w:marLeft w:val="0"/>
                              <w:marRight w:val="0"/>
                              <w:marTop w:val="0"/>
                              <w:marBottom w:val="0"/>
                              <w:divBdr>
                                <w:top w:val="none" w:sz="0" w:space="0" w:color="auto"/>
                                <w:left w:val="none" w:sz="0" w:space="0" w:color="auto"/>
                                <w:bottom w:val="none" w:sz="0" w:space="0" w:color="auto"/>
                                <w:right w:val="none" w:sz="0" w:space="0" w:color="auto"/>
                              </w:divBdr>
                              <w:divsChild>
                                <w:div w:id="1800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262413">
      <w:bodyDiv w:val="1"/>
      <w:marLeft w:val="0"/>
      <w:marRight w:val="0"/>
      <w:marTop w:val="0"/>
      <w:marBottom w:val="0"/>
      <w:divBdr>
        <w:top w:val="none" w:sz="0" w:space="0" w:color="auto"/>
        <w:left w:val="none" w:sz="0" w:space="0" w:color="auto"/>
        <w:bottom w:val="none" w:sz="0" w:space="0" w:color="auto"/>
        <w:right w:val="none" w:sz="0" w:space="0" w:color="auto"/>
      </w:divBdr>
      <w:divsChild>
        <w:div w:id="180899076">
          <w:marLeft w:val="0"/>
          <w:marRight w:val="0"/>
          <w:marTop w:val="0"/>
          <w:marBottom w:val="0"/>
          <w:divBdr>
            <w:top w:val="none" w:sz="0" w:space="0" w:color="auto"/>
            <w:left w:val="none" w:sz="0" w:space="0" w:color="auto"/>
            <w:bottom w:val="none" w:sz="0" w:space="0" w:color="auto"/>
            <w:right w:val="none" w:sz="0" w:space="0" w:color="auto"/>
          </w:divBdr>
          <w:divsChild>
            <w:div w:id="1481189646">
              <w:marLeft w:val="0"/>
              <w:marRight w:val="0"/>
              <w:marTop w:val="0"/>
              <w:marBottom w:val="0"/>
              <w:divBdr>
                <w:top w:val="none" w:sz="0" w:space="0" w:color="auto"/>
                <w:left w:val="none" w:sz="0" w:space="0" w:color="auto"/>
                <w:bottom w:val="none" w:sz="0" w:space="0" w:color="auto"/>
                <w:right w:val="none" w:sz="0" w:space="0" w:color="auto"/>
              </w:divBdr>
              <w:divsChild>
                <w:div w:id="1519000964">
                  <w:marLeft w:val="0"/>
                  <w:marRight w:val="0"/>
                  <w:marTop w:val="0"/>
                  <w:marBottom w:val="0"/>
                  <w:divBdr>
                    <w:top w:val="none" w:sz="0" w:space="0" w:color="auto"/>
                    <w:left w:val="none" w:sz="0" w:space="0" w:color="auto"/>
                    <w:bottom w:val="none" w:sz="0" w:space="0" w:color="auto"/>
                    <w:right w:val="none" w:sz="0" w:space="0" w:color="auto"/>
                  </w:divBdr>
                  <w:divsChild>
                    <w:div w:id="1517965263">
                      <w:marLeft w:val="0"/>
                      <w:marRight w:val="0"/>
                      <w:marTop w:val="0"/>
                      <w:marBottom w:val="0"/>
                      <w:divBdr>
                        <w:top w:val="none" w:sz="0" w:space="0" w:color="auto"/>
                        <w:left w:val="none" w:sz="0" w:space="0" w:color="auto"/>
                        <w:bottom w:val="none" w:sz="0" w:space="0" w:color="auto"/>
                        <w:right w:val="none" w:sz="0" w:space="0" w:color="auto"/>
                      </w:divBdr>
                      <w:divsChild>
                        <w:div w:id="205877952">
                          <w:marLeft w:val="0"/>
                          <w:marRight w:val="0"/>
                          <w:marTop w:val="0"/>
                          <w:marBottom w:val="0"/>
                          <w:divBdr>
                            <w:top w:val="none" w:sz="0" w:space="0" w:color="auto"/>
                            <w:left w:val="none" w:sz="0" w:space="0" w:color="auto"/>
                            <w:bottom w:val="none" w:sz="0" w:space="0" w:color="auto"/>
                            <w:right w:val="none" w:sz="0" w:space="0" w:color="auto"/>
                          </w:divBdr>
                          <w:divsChild>
                            <w:div w:id="16392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050226">
      <w:bodyDiv w:val="1"/>
      <w:marLeft w:val="0"/>
      <w:marRight w:val="0"/>
      <w:marTop w:val="0"/>
      <w:marBottom w:val="0"/>
      <w:divBdr>
        <w:top w:val="none" w:sz="0" w:space="0" w:color="auto"/>
        <w:left w:val="none" w:sz="0" w:space="0" w:color="auto"/>
        <w:bottom w:val="none" w:sz="0" w:space="0" w:color="auto"/>
        <w:right w:val="none" w:sz="0" w:space="0" w:color="auto"/>
      </w:divBdr>
      <w:divsChild>
        <w:div w:id="261689440">
          <w:marLeft w:val="0"/>
          <w:marRight w:val="0"/>
          <w:marTop w:val="0"/>
          <w:marBottom w:val="0"/>
          <w:divBdr>
            <w:top w:val="none" w:sz="0" w:space="0" w:color="auto"/>
            <w:left w:val="none" w:sz="0" w:space="0" w:color="auto"/>
            <w:bottom w:val="none" w:sz="0" w:space="0" w:color="auto"/>
            <w:right w:val="none" w:sz="0" w:space="0" w:color="auto"/>
          </w:divBdr>
          <w:divsChild>
            <w:div w:id="481503515">
              <w:marLeft w:val="0"/>
              <w:marRight w:val="0"/>
              <w:marTop w:val="0"/>
              <w:marBottom w:val="0"/>
              <w:divBdr>
                <w:top w:val="none" w:sz="0" w:space="0" w:color="auto"/>
                <w:left w:val="none" w:sz="0" w:space="0" w:color="auto"/>
                <w:bottom w:val="none" w:sz="0" w:space="0" w:color="auto"/>
                <w:right w:val="none" w:sz="0" w:space="0" w:color="auto"/>
              </w:divBdr>
              <w:divsChild>
                <w:div w:id="1998680062">
                  <w:marLeft w:val="0"/>
                  <w:marRight w:val="0"/>
                  <w:marTop w:val="0"/>
                  <w:marBottom w:val="0"/>
                  <w:divBdr>
                    <w:top w:val="none" w:sz="0" w:space="0" w:color="auto"/>
                    <w:left w:val="none" w:sz="0" w:space="0" w:color="auto"/>
                    <w:bottom w:val="none" w:sz="0" w:space="0" w:color="auto"/>
                    <w:right w:val="none" w:sz="0" w:space="0" w:color="auto"/>
                  </w:divBdr>
                  <w:divsChild>
                    <w:div w:id="1892764213">
                      <w:marLeft w:val="0"/>
                      <w:marRight w:val="0"/>
                      <w:marTop w:val="0"/>
                      <w:marBottom w:val="0"/>
                      <w:divBdr>
                        <w:top w:val="none" w:sz="0" w:space="0" w:color="auto"/>
                        <w:left w:val="none" w:sz="0" w:space="0" w:color="auto"/>
                        <w:bottom w:val="none" w:sz="0" w:space="0" w:color="auto"/>
                        <w:right w:val="none" w:sz="0" w:space="0" w:color="auto"/>
                      </w:divBdr>
                      <w:divsChild>
                        <w:div w:id="2083598389">
                          <w:marLeft w:val="0"/>
                          <w:marRight w:val="0"/>
                          <w:marTop w:val="0"/>
                          <w:marBottom w:val="0"/>
                          <w:divBdr>
                            <w:top w:val="none" w:sz="0" w:space="0" w:color="auto"/>
                            <w:left w:val="none" w:sz="0" w:space="0" w:color="auto"/>
                            <w:bottom w:val="none" w:sz="0" w:space="0" w:color="auto"/>
                            <w:right w:val="none" w:sz="0" w:space="0" w:color="auto"/>
                          </w:divBdr>
                          <w:divsChild>
                            <w:div w:id="2126150428">
                              <w:marLeft w:val="0"/>
                              <w:marRight w:val="0"/>
                              <w:marTop w:val="0"/>
                              <w:marBottom w:val="0"/>
                              <w:divBdr>
                                <w:top w:val="none" w:sz="0" w:space="0" w:color="auto"/>
                                <w:left w:val="none" w:sz="0" w:space="0" w:color="auto"/>
                                <w:bottom w:val="none" w:sz="0" w:space="0" w:color="auto"/>
                                <w:right w:val="none" w:sz="0" w:space="0" w:color="auto"/>
                              </w:divBdr>
                              <w:divsChild>
                                <w:div w:id="9751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8541">
      <w:bodyDiv w:val="1"/>
      <w:marLeft w:val="0"/>
      <w:marRight w:val="0"/>
      <w:marTop w:val="0"/>
      <w:marBottom w:val="0"/>
      <w:divBdr>
        <w:top w:val="none" w:sz="0" w:space="0" w:color="auto"/>
        <w:left w:val="none" w:sz="0" w:space="0" w:color="auto"/>
        <w:bottom w:val="none" w:sz="0" w:space="0" w:color="auto"/>
        <w:right w:val="none" w:sz="0" w:space="0" w:color="auto"/>
      </w:divBdr>
    </w:div>
    <w:div w:id="1406731125">
      <w:bodyDiv w:val="1"/>
      <w:marLeft w:val="0"/>
      <w:marRight w:val="0"/>
      <w:marTop w:val="0"/>
      <w:marBottom w:val="0"/>
      <w:divBdr>
        <w:top w:val="none" w:sz="0" w:space="0" w:color="auto"/>
        <w:left w:val="none" w:sz="0" w:space="0" w:color="auto"/>
        <w:bottom w:val="none" w:sz="0" w:space="0" w:color="auto"/>
        <w:right w:val="none" w:sz="0" w:space="0" w:color="auto"/>
      </w:divBdr>
      <w:divsChild>
        <w:div w:id="896744941">
          <w:marLeft w:val="0"/>
          <w:marRight w:val="0"/>
          <w:marTop w:val="0"/>
          <w:marBottom w:val="0"/>
          <w:divBdr>
            <w:top w:val="none" w:sz="0" w:space="0" w:color="auto"/>
            <w:left w:val="none" w:sz="0" w:space="0" w:color="auto"/>
            <w:bottom w:val="none" w:sz="0" w:space="0" w:color="auto"/>
            <w:right w:val="none" w:sz="0" w:space="0" w:color="auto"/>
          </w:divBdr>
          <w:divsChild>
            <w:div w:id="2062246593">
              <w:marLeft w:val="0"/>
              <w:marRight w:val="0"/>
              <w:marTop w:val="0"/>
              <w:marBottom w:val="0"/>
              <w:divBdr>
                <w:top w:val="none" w:sz="0" w:space="0" w:color="auto"/>
                <w:left w:val="none" w:sz="0" w:space="0" w:color="auto"/>
                <w:bottom w:val="none" w:sz="0" w:space="0" w:color="auto"/>
                <w:right w:val="none" w:sz="0" w:space="0" w:color="auto"/>
              </w:divBdr>
              <w:divsChild>
                <w:div w:id="1290552098">
                  <w:marLeft w:val="0"/>
                  <w:marRight w:val="0"/>
                  <w:marTop w:val="0"/>
                  <w:marBottom w:val="0"/>
                  <w:divBdr>
                    <w:top w:val="none" w:sz="0" w:space="0" w:color="auto"/>
                    <w:left w:val="none" w:sz="0" w:space="0" w:color="auto"/>
                    <w:bottom w:val="none" w:sz="0" w:space="0" w:color="auto"/>
                    <w:right w:val="none" w:sz="0" w:space="0" w:color="auto"/>
                  </w:divBdr>
                  <w:divsChild>
                    <w:div w:id="1088229389">
                      <w:marLeft w:val="0"/>
                      <w:marRight w:val="0"/>
                      <w:marTop w:val="0"/>
                      <w:marBottom w:val="0"/>
                      <w:divBdr>
                        <w:top w:val="none" w:sz="0" w:space="0" w:color="auto"/>
                        <w:left w:val="none" w:sz="0" w:space="0" w:color="auto"/>
                        <w:bottom w:val="none" w:sz="0" w:space="0" w:color="auto"/>
                        <w:right w:val="none" w:sz="0" w:space="0" w:color="auto"/>
                      </w:divBdr>
                      <w:divsChild>
                        <w:div w:id="617756164">
                          <w:marLeft w:val="0"/>
                          <w:marRight w:val="0"/>
                          <w:marTop w:val="0"/>
                          <w:marBottom w:val="0"/>
                          <w:divBdr>
                            <w:top w:val="none" w:sz="0" w:space="0" w:color="auto"/>
                            <w:left w:val="none" w:sz="0" w:space="0" w:color="auto"/>
                            <w:bottom w:val="none" w:sz="0" w:space="0" w:color="auto"/>
                            <w:right w:val="none" w:sz="0" w:space="0" w:color="auto"/>
                          </w:divBdr>
                          <w:divsChild>
                            <w:div w:id="849680473">
                              <w:marLeft w:val="0"/>
                              <w:marRight w:val="0"/>
                              <w:marTop w:val="0"/>
                              <w:marBottom w:val="0"/>
                              <w:divBdr>
                                <w:top w:val="none" w:sz="0" w:space="0" w:color="auto"/>
                                <w:left w:val="none" w:sz="0" w:space="0" w:color="auto"/>
                                <w:bottom w:val="none" w:sz="0" w:space="0" w:color="auto"/>
                                <w:right w:val="none" w:sz="0" w:space="0" w:color="auto"/>
                              </w:divBdr>
                              <w:divsChild>
                                <w:div w:id="89276682">
                                  <w:marLeft w:val="0"/>
                                  <w:marRight w:val="0"/>
                                  <w:marTop w:val="0"/>
                                  <w:marBottom w:val="0"/>
                                  <w:divBdr>
                                    <w:top w:val="none" w:sz="0" w:space="0" w:color="auto"/>
                                    <w:left w:val="none" w:sz="0" w:space="0" w:color="auto"/>
                                    <w:bottom w:val="none" w:sz="0" w:space="0" w:color="auto"/>
                                    <w:right w:val="none" w:sz="0" w:space="0" w:color="auto"/>
                                  </w:divBdr>
                                  <w:divsChild>
                                    <w:div w:id="193346751">
                                      <w:marLeft w:val="0"/>
                                      <w:marRight w:val="0"/>
                                      <w:marTop w:val="0"/>
                                      <w:marBottom w:val="0"/>
                                      <w:divBdr>
                                        <w:top w:val="none" w:sz="0" w:space="0" w:color="auto"/>
                                        <w:left w:val="none" w:sz="0" w:space="0" w:color="auto"/>
                                        <w:bottom w:val="none" w:sz="0" w:space="0" w:color="auto"/>
                                        <w:right w:val="none" w:sz="0" w:space="0" w:color="auto"/>
                                      </w:divBdr>
                                      <w:divsChild>
                                        <w:div w:id="1296789892">
                                          <w:marLeft w:val="0"/>
                                          <w:marRight w:val="0"/>
                                          <w:marTop w:val="0"/>
                                          <w:marBottom w:val="0"/>
                                          <w:divBdr>
                                            <w:top w:val="none" w:sz="0" w:space="0" w:color="auto"/>
                                            <w:left w:val="none" w:sz="0" w:space="0" w:color="auto"/>
                                            <w:bottom w:val="none" w:sz="0" w:space="0" w:color="auto"/>
                                            <w:right w:val="none" w:sz="0" w:space="0" w:color="auto"/>
                                          </w:divBdr>
                                          <w:divsChild>
                                            <w:div w:id="1314020784">
                                              <w:marLeft w:val="0"/>
                                              <w:marRight w:val="0"/>
                                              <w:marTop w:val="0"/>
                                              <w:marBottom w:val="0"/>
                                              <w:divBdr>
                                                <w:top w:val="none" w:sz="0" w:space="0" w:color="auto"/>
                                                <w:left w:val="none" w:sz="0" w:space="0" w:color="auto"/>
                                                <w:bottom w:val="none" w:sz="0" w:space="0" w:color="auto"/>
                                                <w:right w:val="none" w:sz="0" w:space="0" w:color="auto"/>
                                              </w:divBdr>
                                              <w:divsChild>
                                                <w:div w:id="896165056">
                                                  <w:marLeft w:val="0"/>
                                                  <w:marRight w:val="0"/>
                                                  <w:marTop w:val="0"/>
                                                  <w:marBottom w:val="0"/>
                                                  <w:divBdr>
                                                    <w:top w:val="none" w:sz="0" w:space="0" w:color="auto"/>
                                                    <w:left w:val="none" w:sz="0" w:space="0" w:color="auto"/>
                                                    <w:bottom w:val="none" w:sz="0" w:space="0" w:color="auto"/>
                                                    <w:right w:val="none" w:sz="0" w:space="0" w:color="auto"/>
                                                  </w:divBdr>
                                                  <w:divsChild>
                                                    <w:div w:id="1646088132">
                                                      <w:marLeft w:val="0"/>
                                                      <w:marRight w:val="0"/>
                                                      <w:marTop w:val="0"/>
                                                      <w:marBottom w:val="0"/>
                                                      <w:divBdr>
                                                        <w:top w:val="none" w:sz="0" w:space="0" w:color="auto"/>
                                                        <w:left w:val="none" w:sz="0" w:space="0" w:color="auto"/>
                                                        <w:bottom w:val="none" w:sz="0" w:space="0" w:color="auto"/>
                                                        <w:right w:val="none" w:sz="0" w:space="0" w:color="auto"/>
                                                      </w:divBdr>
                                                      <w:divsChild>
                                                        <w:div w:id="10691122">
                                                          <w:marLeft w:val="0"/>
                                                          <w:marRight w:val="0"/>
                                                          <w:marTop w:val="0"/>
                                                          <w:marBottom w:val="0"/>
                                                          <w:divBdr>
                                                            <w:top w:val="none" w:sz="0" w:space="0" w:color="auto"/>
                                                            <w:left w:val="none" w:sz="0" w:space="0" w:color="auto"/>
                                                            <w:bottom w:val="none" w:sz="0" w:space="0" w:color="auto"/>
                                                            <w:right w:val="none" w:sz="0" w:space="0" w:color="auto"/>
                                                          </w:divBdr>
                                                          <w:divsChild>
                                                            <w:div w:id="315846153">
                                                              <w:marLeft w:val="0"/>
                                                              <w:marRight w:val="0"/>
                                                              <w:marTop w:val="0"/>
                                                              <w:marBottom w:val="0"/>
                                                              <w:divBdr>
                                                                <w:top w:val="none" w:sz="0" w:space="0" w:color="auto"/>
                                                                <w:left w:val="none" w:sz="0" w:space="0" w:color="auto"/>
                                                                <w:bottom w:val="none" w:sz="0" w:space="0" w:color="auto"/>
                                                                <w:right w:val="none" w:sz="0" w:space="0" w:color="auto"/>
                                                              </w:divBdr>
                                                              <w:divsChild>
                                                                <w:div w:id="1139539985">
                                                                  <w:marLeft w:val="0"/>
                                                                  <w:marRight w:val="0"/>
                                                                  <w:marTop w:val="0"/>
                                                                  <w:marBottom w:val="0"/>
                                                                  <w:divBdr>
                                                                    <w:top w:val="none" w:sz="0" w:space="0" w:color="auto"/>
                                                                    <w:left w:val="none" w:sz="0" w:space="0" w:color="auto"/>
                                                                    <w:bottom w:val="none" w:sz="0" w:space="0" w:color="auto"/>
                                                                    <w:right w:val="none" w:sz="0" w:space="0" w:color="auto"/>
                                                                  </w:divBdr>
                                                                  <w:divsChild>
                                                                    <w:div w:id="125853174">
                                                                      <w:marLeft w:val="0"/>
                                                                      <w:marRight w:val="0"/>
                                                                      <w:marTop w:val="0"/>
                                                                      <w:marBottom w:val="0"/>
                                                                      <w:divBdr>
                                                                        <w:top w:val="none" w:sz="0" w:space="0" w:color="auto"/>
                                                                        <w:left w:val="none" w:sz="0" w:space="0" w:color="auto"/>
                                                                        <w:bottom w:val="none" w:sz="0" w:space="0" w:color="auto"/>
                                                                        <w:right w:val="none" w:sz="0" w:space="0" w:color="auto"/>
                                                                      </w:divBdr>
                                                                      <w:divsChild>
                                                                        <w:div w:id="1844051998">
                                                                          <w:marLeft w:val="0"/>
                                                                          <w:marRight w:val="0"/>
                                                                          <w:marTop w:val="0"/>
                                                                          <w:marBottom w:val="0"/>
                                                                          <w:divBdr>
                                                                            <w:top w:val="none" w:sz="0" w:space="0" w:color="auto"/>
                                                                            <w:left w:val="none" w:sz="0" w:space="0" w:color="auto"/>
                                                                            <w:bottom w:val="none" w:sz="0" w:space="0" w:color="auto"/>
                                                                            <w:right w:val="none" w:sz="0" w:space="0" w:color="auto"/>
                                                                          </w:divBdr>
                                                                          <w:divsChild>
                                                                            <w:div w:id="788352262">
                                                                              <w:marLeft w:val="0"/>
                                                                              <w:marRight w:val="0"/>
                                                                              <w:marTop w:val="0"/>
                                                                              <w:marBottom w:val="0"/>
                                                                              <w:divBdr>
                                                                                <w:top w:val="none" w:sz="0" w:space="0" w:color="auto"/>
                                                                                <w:left w:val="none" w:sz="0" w:space="0" w:color="auto"/>
                                                                                <w:bottom w:val="none" w:sz="0" w:space="0" w:color="auto"/>
                                                                                <w:right w:val="none" w:sz="0" w:space="0" w:color="auto"/>
                                                                              </w:divBdr>
                                                                              <w:divsChild>
                                                                                <w:div w:id="517937395">
                                                                                  <w:marLeft w:val="0"/>
                                                                                  <w:marRight w:val="0"/>
                                                                                  <w:marTop w:val="0"/>
                                                                                  <w:marBottom w:val="0"/>
                                                                                  <w:divBdr>
                                                                                    <w:top w:val="none" w:sz="0" w:space="0" w:color="auto"/>
                                                                                    <w:left w:val="none" w:sz="0" w:space="0" w:color="auto"/>
                                                                                    <w:bottom w:val="none" w:sz="0" w:space="0" w:color="auto"/>
                                                                                    <w:right w:val="none" w:sz="0" w:space="0" w:color="auto"/>
                                                                                  </w:divBdr>
                                                                                  <w:divsChild>
                                                                                    <w:div w:id="1850872203">
                                                                                      <w:marLeft w:val="0"/>
                                                                                      <w:marRight w:val="0"/>
                                                                                      <w:marTop w:val="0"/>
                                                                                      <w:marBottom w:val="0"/>
                                                                                      <w:divBdr>
                                                                                        <w:top w:val="none" w:sz="0" w:space="0" w:color="auto"/>
                                                                                        <w:left w:val="none" w:sz="0" w:space="0" w:color="auto"/>
                                                                                        <w:bottom w:val="none" w:sz="0" w:space="0" w:color="auto"/>
                                                                                        <w:right w:val="none" w:sz="0" w:space="0" w:color="auto"/>
                                                                                      </w:divBdr>
                                                                                      <w:divsChild>
                                                                                        <w:div w:id="1101024478">
                                                                                          <w:marLeft w:val="0"/>
                                                                                          <w:marRight w:val="0"/>
                                                                                          <w:marTop w:val="0"/>
                                                                                          <w:marBottom w:val="0"/>
                                                                                          <w:divBdr>
                                                                                            <w:top w:val="none" w:sz="0" w:space="0" w:color="auto"/>
                                                                                            <w:left w:val="none" w:sz="0" w:space="0" w:color="auto"/>
                                                                                            <w:bottom w:val="none" w:sz="0" w:space="0" w:color="auto"/>
                                                                                            <w:right w:val="none" w:sz="0" w:space="0" w:color="auto"/>
                                                                                          </w:divBdr>
                                                                                          <w:divsChild>
                                                                                            <w:div w:id="4932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700848">
      <w:bodyDiv w:val="1"/>
      <w:marLeft w:val="0"/>
      <w:marRight w:val="0"/>
      <w:marTop w:val="0"/>
      <w:marBottom w:val="0"/>
      <w:divBdr>
        <w:top w:val="none" w:sz="0" w:space="0" w:color="auto"/>
        <w:left w:val="none" w:sz="0" w:space="0" w:color="auto"/>
        <w:bottom w:val="none" w:sz="0" w:space="0" w:color="auto"/>
        <w:right w:val="none" w:sz="0" w:space="0" w:color="auto"/>
      </w:divBdr>
    </w:div>
    <w:div w:id="1952319211">
      <w:bodyDiv w:val="1"/>
      <w:marLeft w:val="0"/>
      <w:marRight w:val="0"/>
      <w:marTop w:val="0"/>
      <w:marBottom w:val="0"/>
      <w:divBdr>
        <w:top w:val="none" w:sz="0" w:space="0" w:color="auto"/>
        <w:left w:val="none" w:sz="0" w:space="0" w:color="auto"/>
        <w:bottom w:val="none" w:sz="0" w:space="0" w:color="auto"/>
        <w:right w:val="none" w:sz="0" w:space="0" w:color="auto"/>
      </w:divBdr>
    </w:div>
    <w:div w:id="2032756802">
      <w:bodyDiv w:val="1"/>
      <w:marLeft w:val="0"/>
      <w:marRight w:val="0"/>
      <w:marTop w:val="0"/>
      <w:marBottom w:val="0"/>
      <w:divBdr>
        <w:top w:val="none" w:sz="0" w:space="0" w:color="auto"/>
        <w:left w:val="none" w:sz="0" w:space="0" w:color="auto"/>
        <w:bottom w:val="none" w:sz="0" w:space="0" w:color="auto"/>
        <w:right w:val="none" w:sz="0" w:space="0" w:color="auto"/>
      </w:divBdr>
    </w:div>
    <w:div w:id="21182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mc.gov.au/resource-centre/government/guidance-caretaker-conventions" TargetMode="External"/><Relationship Id="rId21" Type="http://schemas.openxmlformats.org/officeDocument/2006/relationships/hyperlink" Target="https://www.dta.gov.au/help-and-advice/digital-service-standard/digital-service-standard-criteria/9-make-it-accessible" TargetMode="External"/><Relationship Id="rId42" Type="http://schemas.openxmlformats.org/officeDocument/2006/relationships/hyperlink" Target="https://www.finance.gov.au/government/managing-commonwealth-resources/managing-risk-internal-accountability/risk-internal-controls/joint-committee-public-accounts-and-audit-responding-parliamentary-committee-reports" TargetMode="External"/><Relationship Id="rId47" Type="http://schemas.openxmlformats.org/officeDocument/2006/relationships/hyperlink" Target="https://www.pmc.gov.au/resource-centre/government/tabling-guidelines" TargetMode="External"/><Relationship Id="rId63" Type="http://schemas.openxmlformats.org/officeDocument/2006/relationships/hyperlink" Target="mailto:Hansard.esg@aph.gov.au" TargetMode="External"/><Relationship Id="rId68" Type="http://schemas.openxmlformats.org/officeDocument/2006/relationships/hyperlink" Target="https://www.aph.gov.au/Parliamentary_Business/Chamber_documents/HoR/Order_of_Business" TargetMode="External"/><Relationship Id="rId84" Type="http://schemas.openxmlformats.org/officeDocument/2006/relationships/hyperlink" Target="mailto:tabling@pmc.gov.au" TargetMode="External"/><Relationship Id="rId89" Type="http://schemas.openxmlformats.org/officeDocument/2006/relationships/hyperlink" Target="mailto:documents.tabled@aph.gov.au" TargetMode="External"/><Relationship Id="rId7" Type="http://schemas.openxmlformats.org/officeDocument/2006/relationships/styles" Target="styles.xml"/><Relationship Id="rId71" Type="http://schemas.openxmlformats.org/officeDocument/2006/relationships/hyperlink" Target="https://www.pmc.gov.au/resource-centre/government/tabling-guidelines" TargetMode="External"/><Relationship Id="rId92" Type="http://schemas.openxmlformats.org/officeDocument/2006/relationships/hyperlink" Target="https://www.dta.gov.au/help-and-advice/guides-and-tools/commonwealth-library-deposit-and-free-issue-schemes" TargetMode="External"/><Relationship Id="rId2" Type="http://schemas.openxmlformats.org/officeDocument/2006/relationships/customXml" Target="../customXml/item2.xml"/><Relationship Id="rId16" Type="http://schemas.openxmlformats.org/officeDocument/2006/relationships/hyperlink" Target="https://www.pmc.gov.au/government/commonwealth-coat-arms" TargetMode="External"/><Relationship Id="rId29" Type="http://schemas.openxmlformats.org/officeDocument/2006/relationships/hyperlink" Target="mailto:loadingdock@aph.gov.au" TargetMode="External"/><Relationship Id="rId11" Type="http://schemas.openxmlformats.org/officeDocument/2006/relationships/endnotes" Target="endnotes.xml"/><Relationship Id="rId24" Type="http://schemas.openxmlformats.org/officeDocument/2006/relationships/hyperlink" Target="mailto:info@DTA.gov.au" TargetMode="External"/><Relationship Id="rId32" Type="http://schemas.openxmlformats.org/officeDocument/2006/relationships/hyperlink" Target="https://www.transparency.gov.au/" TargetMode="External"/><Relationship Id="rId37" Type="http://schemas.openxmlformats.org/officeDocument/2006/relationships/hyperlink" Target="mailto:tabling@pmc.gov.au" TargetMode="External"/><Relationship Id="rId40" Type="http://schemas.openxmlformats.org/officeDocument/2006/relationships/hyperlink" Target="https://www.aph.gov.au/Parliamentary_Business/Committees/House/ITC/Gov-fundedInfrastructure/Report" TargetMode="External"/><Relationship Id="rId45" Type="http://schemas.openxmlformats.org/officeDocument/2006/relationships/hyperlink" Target="mailto:loadingdock@aph.gov.au" TargetMode="External"/><Relationship Id="rId53" Type="http://schemas.openxmlformats.org/officeDocument/2006/relationships/hyperlink" Target="mailto:documents.tabled@aph.gov.au" TargetMode="External"/><Relationship Id="rId58" Type="http://schemas.openxmlformats.org/officeDocument/2006/relationships/hyperlink" Target="https://www.pmc.gov.au/resource-centre/government/tabling-guidelines" TargetMode="External"/><Relationship Id="rId66" Type="http://schemas.openxmlformats.org/officeDocument/2006/relationships/hyperlink" Target="mailto:Hansard.esg@aph.gov.au" TargetMode="External"/><Relationship Id="rId74" Type="http://schemas.openxmlformats.org/officeDocument/2006/relationships/hyperlink" Target="mailto:tabling@pmc.gov.au" TargetMode="External"/><Relationship Id="rId79" Type="http://schemas.openxmlformats.org/officeDocument/2006/relationships/hyperlink" Target="mailto:sdlc.sen@aph.gov.au" TargetMode="External"/><Relationship Id="rId87" Type="http://schemas.openxmlformats.org/officeDocument/2006/relationships/hyperlink" Target="mailto:table.docs@aph.gov.au" TargetMode="External"/><Relationship Id="rId102" Type="http://schemas.openxmlformats.org/officeDocument/2006/relationships/hyperlink" Target="http://www.aph.gov.au/Parliamentary_Business/Chamber_documents/HoR/Votes_and_Proceedings" TargetMode="External"/><Relationship Id="rId5" Type="http://schemas.openxmlformats.org/officeDocument/2006/relationships/customXml" Target="../customXml/item5.xml"/><Relationship Id="rId61" Type="http://schemas.openxmlformats.org/officeDocument/2006/relationships/hyperlink" Target="mailto:Hansard.esg@aph.gov.au" TargetMode="External"/><Relationship Id="rId82" Type="http://schemas.openxmlformats.org/officeDocument/2006/relationships/hyperlink" Target="https://www.pmc.gov.au/sites/default/files/2022-11/F-maps-of-parliament-house.pdf" TargetMode="External"/><Relationship Id="rId90" Type="http://schemas.openxmlformats.org/officeDocument/2006/relationships/hyperlink" Target="mailto:Hansard.esg@aph.gov.au" TargetMode="External"/><Relationship Id="rId95" Type="http://schemas.openxmlformats.org/officeDocument/2006/relationships/hyperlink" Target="https://www.aph.gov.au/Parliamentary_Business/Hansard" TargetMode="External"/><Relationship Id="rId19" Type="http://schemas.openxmlformats.org/officeDocument/2006/relationships/hyperlink" Target="http://www.aph.gov.au/Parliamentary_Business/Chamber_documents/Tabled_Papers/Advice_to_government_agencies" TargetMode="External"/><Relationship Id="rId14" Type="http://schemas.openxmlformats.org/officeDocument/2006/relationships/hyperlink" Target="http://library.pmc.gov.au/wp-content/uploads/ccby.png" TargetMode="External"/><Relationship Id="rId22" Type="http://schemas.openxmlformats.org/officeDocument/2006/relationships/hyperlink" Target="https://www.dta.gov.au/help-and-advice/guides-and-tools/requirements-australian-government-websites" TargetMode="External"/><Relationship Id="rId27" Type="http://schemas.openxmlformats.org/officeDocument/2006/relationships/hyperlink" Target="mailto:PGPA@finance.gov.au" TargetMode="External"/><Relationship Id="rId30" Type="http://schemas.openxmlformats.org/officeDocument/2006/relationships/hyperlink" Target="mailto:tabling@pmc.gov.au" TargetMode="External"/><Relationship Id="rId35" Type="http://schemas.openxmlformats.org/officeDocument/2006/relationships/hyperlink" Target="mailto:tabling@pmc.gov.au" TargetMode="External"/><Relationship Id="rId43" Type="http://schemas.openxmlformats.org/officeDocument/2006/relationships/hyperlink" Target="https://www.pmc.gov.au/government/administration/cabinet-handbook-15th-edition" TargetMode="External"/><Relationship Id="rId48" Type="http://schemas.openxmlformats.org/officeDocument/2006/relationships/hyperlink" Target="https://www.pmc.gov.au/resource-centre/government/tabling-guidelines" TargetMode="External"/><Relationship Id="rId56" Type="http://schemas.openxmlformats.org/officeDocument/2006/relationships/hyperlink" Target="https://www.pmc.gov.au/resource-centre/government/tabling-guidelines" TargetMode="External"/><Relationship Id="rId64" Type="http://schemas.openxmlformats.org/officeDocument/2006/relationships/hyperlink" Target="mailto:tabling@pmc.gov.au" TargetMode="External"/><Relationship Id="rId69" Type="http://schemas.openxmlformats.org/officeDocument/2006/relationships/hyperlink" Target="https://www.aph.gov.au/Parliamentary_Business/Chamber_documents/Senate_chamber_documents/Senate_Routine_of_Business" TargetMode="External"/><Relationship Id="rId77" Type="http://schemas.openxmlformats.org/officeDocument/2006/relationships/hyperlink" Target="https://www.opc.gov.au/publications/opc-instruments-handbook" TargetMode="External"/><Relationship Id="rId100" Type="http://schemas.openxmlformats.org/officeDocument/2006/relationships/hyperlink" Target="mailto:Table.Docs@aph.gov.au" TargetMode="Externa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tabling@pmc.gov.au" TargetMode="External"/><Relationship Id="rId72" Type="http://schemas.openxmlformats.org/officeDocument/2006/relationships/hyperlink" Target="https://www.pmc.gov.au/resource-centre/government/tabling-guidelines" TargetMode="External"/><Relationship Id="rId80" Type="http://schemas.openxmlformats.org/officeDocument/2006/relationships/hyperlink" Target="https://www.legislation.gov.au/" TargetMode="External"/><Relationship Id="rId85" Type="http://schemas.openxmlformats.org/officeDocument/2006/relationships/hyperlink" Target="mailto:HousePLO@pmc.gov.au" TargetMode="External"/><Relationship Id="rId93" Type="http://schemas.openxmlformats.org/officeDocument/2006/relationships/hyperlink" Target="mailto:documents.tabled@aph.gov.au" TargetMode="External"/><Relationship Id="rId98" Type="http://schemas.openxmlformats.org/officeDocument/2006/relationships/hyperlink" Target="https://www.aph.gov.au/Parliamentary_Business/Chamber_documents/Live_Minutes" TargetMode="Externa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s://www.pmc.gov.au/resource-centre/government/tabling-guidelines" TargetMode="External"/><Relationship Id="rId25" Type="http://schemas.openxmlformats.org/officeDocument/2006/relationships/hyperlink" Target="https://www.aph.gov.au/Parliamentary_Business/Chamber_documents/Senate_chamber_documents/standingorders/b00/b26" TargetMode="External"/><Relationship Id="rId33" Type="http://schemas.openxmlformats.org/officeDocument/2006/relationships/hyperlink" Target="https://www.aph.gov.au/Parliamentary_Business/Chamber_documents/Senate_chamber_documents/standingorders/b00/b26" TargetMode="External"/><Relationship Id="rId38" Type="http://schemas.openxmlformats.org/officeDocument/2006/relationships/hyperlink" Target="https://www.pmc.gov.au/resource-centre/government/tabling-guidelines" TargetMode="External"/><Relationship Id="rId46" Type="http://schemas.openxmlformats.org/officeDocument/2006/relationships/hyperlink" Target="mailto:tabling@pmc.gov.au" TargetMode="External"/><Relationship Id="rId59" Type="http://schemas.openxmlformats.org/officeDocument/2006/relationships/hyperlink" Target="mailto:Hansard.esg@aph.gov.au" TargetMode="External"/><Relationship Id="rId67" Type="http://schemas.openxmlformats.org/officeDocument/2006/relationships/hyperlink" Target="https://www.pmc.gov.au/resource-centre/government/tabling-guidelines" TargetMode="External"/><Relationship Id="rId103" Type="http://schemas.openxmlformats.org/officeDocument/2006/relationships/footer" Target="footer1.xml"/><Relationship Id="rId20" Type="http://schemas.openxmlformats.org/officeDocument/2006/relationships/hyperlink" Target="http://www.guides.service.gov.au/content-guide/accessibility-inclusivity/" TargetMode="External"/><Relationship Id="rId41" Type="http://schemas.openxmlformats.org/officeDocument/2006/relationships/hyperlink" Target="https://www.pmc.gov.au/resource-centre/government/tabling-guidelines" TargetMode="External"/><Relationship Id="rId54" Type="http://schemas.openxmlformats.org/officeDocument/2006/relationships/hyperlink" Target="mailto:tabling@pmc.gov.au" TargetMode="External"/><Relationship Id="rId62" Type="http://schemas.openxmlformats.org/officeDocument/2006/relationships/hyperlink" Target="mailto:Hansard.esg@aph.gov.au" TargetMode="External"/><Relationship Id="rId70" Type="http://schemas.openxmlformats.org/officeDocument/2006/relationships/hyperlink" Target="https://www.pmc.gov.au/sites/default/files/files/pmc/Government/F-maps-of-parliament-house.pdf" TargetMode="External"/><Relationship Id="rId75" Type="http://schemas.openxmlformats.org/officeDocument/2006/relationships/hyperlink" Target="mailto:Hansard.esg@aph.gov.au" TargetMode="External"/><Relationship Id="rId83" Type="http://schemas.openxmlformats.org/officeDocument/2006/relationships/hyperlink" Target="mailto:loadingdock@aph.gov.au" TargetMode="External"/><Relationship Id="rId88" Type="http://schemas.openxmlformats.org/officeDocument/2006/relationships/hyperlink" Target="mailto:Documents.tabled@aph.gov.au" TargetMode="External"/><Relationship Id="rId91" Type="http://schemas.openxmlformats.org/officeDocument/2006/relationships/hyperlink" Target="https://ned.gov.au/" TargetMode="External"/><Relationship Id="rId96" Type="http://schemas.openxmlformats.org/officeDocument/2006/relationships/hyperlink" Target="https://www.aph.gov.au/Parliamentary_Business/Committees/Joint/Public_Accounts_and_Audit/Role_of_the_Committee"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dta.gov.au/blogs/exploring-wcag-21-australian-government-services" TargetMode="External"/><Relationship Id="rId28" Type="http://schemas.openxmlformats.org/officeDocument/2006/relationships/hyperlink" Target="https://www.finance.gov.au/government/managing-commonwealth-resources/planning-and-reporting" TargetMode="External"/><Relationship Id="rId36" Type="http://schemas.openxmlformats.org/officeDocument/2006/relationships/hyperlink" Target="mailto:loadingdock@aph.gov.au" TargetMode="External"/><Relationship Id="rId49" Type="http://schemas.openxmlformats.org/officeDocument/2006/relationships/hyperlink" Target="mailto:Hansard.esg@aph.gov.au" TargetMode="External"/><Relationship Id="rId57" Type="http://schemas.openxmlformats.org/officeDocument/2006/relationships/hyperlink" Target="https://www.pmc.gov.au/sites/default/files/files/pmc/Government/E1-labels-government-document-sitting-day.docx" TargetMode="External"/><Relationship Id="rId10" Type="http://schemas.openxmlformats.org/officeDocument/2006/relationships/footnotes" Target="footnotes.xml"/><Relationship Id="rId31" Type="http://schemas.openxmlformats.org/officeDocument/2006/relationships/hyperlink" Target="https://www.pmc.gov.au/resource-centre/government/tabling-guidelines" TargetMode="External"/><Relationship Id="rId44" Type="http://schemas.openxmlformats.org/officeDocument/2006/relationships/hyperlink" Target="https://www.aph.gov.au/~/media/05%20About%20Parliament/53%20HoR/532%20PPP/Resolutions/29Sep2010.pdf" TargetMode="External"/><Relationship Id="rId52" Type="http://schemas.openxmlformats.org/officeDocument/2006/relationships/hyperlink" Target="mailto:upload" TargetMode="External"/><Relationship Id="rId60" Type="http://schemas.openxmlformats.org/officeDocument/2006/relationships/hyperlink" Target="mailto:tabling@pmc.gov.au" TargetMode="External"/><Relationship Id="rId65" Type="http://schemas.openxmlformats.org/officeDocument/2006/relationships/hyperlink" Target="mailto:Hansard.esg@aph.gov.au" TargetMode="External"/><Relationship Id="rId73" Type="http://schemas.openxmlformats.org/officeDocument/2006/relationships/hyperlink" Target="mailto:Hansard.esg@aph.gov.au" TargetMode="External"/><Relationship Id="rId78" Type="http://schemas.openxmlformats.org/officeDocument/2006/relationships/hyperlink" Target="mailto:lodge@legislation.gov.au" TargetMode="External"/><Relationship Id="rId81" Type="http://schemas.openxmlformats.org/officeDocument/2006/relationships/hyperlink" Target="mailto:tabling@pmc.gov.au" TargetMode="External"/><Relationship Id="rId86" Type="http://schemas.openxmlformats.org/officeDocument/2006/relationships/hyperlink" Target="mailto:SenatePLO@pmc.gov.au" TargetMode="External"/><Relationship Id="rId94" Type="http://schemas.openxmlformats.org/officeDocument/2006/relationships/hyperlink" Target="https://www.pmc.gov.au/resource-centre/government/guidance-caretaker-conventions" TargetMode="External"/><Relationship Id="rId99" Type="http://schemas.openxmlformats.org/officeDocument/2006/relationships/hyperlink" Target="https://www.aph.gov.au/Parliamentary_Business/Chamber_documents/Live_Federation_Chamber_Minutes" TargetMode="External"/><Relationship Id="rId101" Type="http://schemas.openxmlformats.org/officeDocument/2006/relationships/hyperlink" Target="http://www.aph.gov.au/Parliamentary_Business/Chamber_documents/Dynamic_Red"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s://www.aph.gov.au/About_Parliament/House_of_Representatives/Powers_practice_and_procedure/Practice7/HTML/Chapter17/Distribution_and_printing_of_documents" TargetMode="External"/><Relationship Id="rId39" Type="http://schemas.openxmlformats.org/officeDocument/2006/relationships/hyperlink" Target="https://www.transparency.gov.au/" TargetMode="External"/><Relationship Id="rId34" Type="http://schemas.openxmlformats.org/officeDocument/2006/relationships/hyperlink" Target="https://www.pmc.gov.au/resource-centre/government/tabling-guidelines" TargetMode="External"/><Relationship Id="rId50" Type="http://schemas.openxmlformats.org/officeDocument/2006/relationships/hyperlink" Target="https://www.pmc.gov.au/resource-centre/government/tabling-guidelines" TargetMode="External"/><Relationship Id="rId55" Type="http://schemas.openxmlformats.org/officeDocument/2006/relationships/hyperlink" Target="https://www.pmc.gov.au/sites/default/files/files/pmc/Government/A2-tabling-minute-government-response.docx" TargetMode="External"/><Relationship Id="rId76" Type="http://schemas.openxmlformats.org/officeDocument/2006/relationships/hyperlink" Target="https://www.legislation.gov.au/" TargetMode="External"/><Relationship Id="rId97" Type="http://schemas.openxmlformats.org/officeDocument/2006/relationships/hyperlink" Target="http://www.aph.gov.au/Parliamentary_Business/Chamber_documents/Senate_chamber_documents/Journals_of_the_Senate"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DOC24-195400</ShareHubID>
    <TaxCatchAll xmlns="d0dfa800-9ef0-44cb-8a12-633e29de1e0b">
      <Value>4</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PMCdoc-213507164-56459</_dlc_DocId>
    <_dlc_DocIdUrl xmlns="d0dfa800-9ef0-44cb-8a12-633e29de1e0b">
      <Url>https://pmc01.sharepoint.com/sites/pmc-ms-cb/_layouts/15/DocIdRedir.aspx?ID=PMCdoc-213507164-56459</Url>
      <Description>PMCdoc-213507164-56459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92189ac61bcae1eb7db7e099e9a49f87">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e8815965fc2872c1c69a3cf3f45df74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E4E5-23DC-4F79-BC42-FB5A58E2F273}">
  <ds:schemaRefs>
    <ds:schemaRef ds:uri="http://schemas.microsoft.com/sharepoint/events"/>
  </ds:schemaRefs>
</ds:datastoreItem>
</file>

<file path=customXml/itemProps2.xml><?xml version="1.0" encoding="utf-8"?>
<ds:datastoreItem xmlns:ds="http://schemas.openxmlformats.org/officeDocument/2006/customXml" ds:itemID="{63D9AF87-D07E-4CC0-B596-FDD4F075DAC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ce530a30-1469-477c-a42f-e412a5d2cfe7"/>
    <ds:schemaRef ds:uri="e771ab56-0c5d-40e7-b080-2686d2b89623"/>
    <ds:schemaRef ds:uri="d0dfa800-9ef0-44cb-8a12-633e29de1e0b"/>
    <ds:schemaRef ds:uri="http://www.w3.org/XML/1998/namespace"/>
    <ds:schemaRef ds:uri="http://purl.org/dc/dcmitype/"/>
  </ds:schemaRefs>
</ds:datastoreItem>
</file>

<file path=customXml/itemProps3.xml><?xml version="1.0" encoding="utf-8"?>
<ds:datastoreItem xmlns:ds="http://schemas.openxmlformats.org/officeDocument/2006/customXml" ds:itemID="{1585EB34-E23C-4A84-8D10-DB546F702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CBDA2-A10F-40B5-8C7C-5CAB21459B9A}">
  <ds:schemaRefs>
    <ds:schemaRef ds:uri="http://schemas.microsoft.com/sharepoint/v3/contenttype/forms"/>
  </ds:schemaRefs>
</ds:datastoreItem>
</file>

<file path=customXml/itemProps5.xml><?xml version="1.0" encoding="utf-8"?>
<ds:datastoreItem xmlns:ds="http://schemas.openxmlformats.org/officeDocument/2006/customXml" ds:itemID="{FB7A9C83-E433-40C9-A017-48E2A1C8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9717</Words>
  <Characters>64654</Characters>
  <Application>Microsoft Office Word</Application>
  <DocSecurity>0</DocSecurity>
  <Lines>538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Tabling Guidelines - July 2024</dc:title>
  <dc:subject/>
  <dc:creator/>
  <cp:keywords/>
  <dc:description/>
  <cp:lastModifiedBy/>
  <dcterms:created xsi:type="dcterms:W3CDTF">2024-07-05T04:54:00Z</dcterms:created>
  <dcterms:modified xsi:type="dcterms:W3CDTF">2024-07-08T00:05:00Z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ESearchTags">
    <vt:lpwstr>6;#Royal Commission|1b5ec731-3e16-44b1-86f4-0c46c4cdd7b2;#8;#Election|4090d51f-fccc-4f41-80dd-86270166a8a3;#13;#Cabinet|84cba657-17c1-4642-9e59-a0df180c2be5</vt:lpwstr>
  </property>
  <property fmtid="{D5CDD505-2E9C-101B-9397-08002B2CF9AE}" pid="4" name="HPRMSecurityLevel">
    <vt:lpwstr>20;#OFFICIAL|11463c70-78df-4e3b-b0ff-f66cd3cb26ec</vt:lpwstr>
  </property>
  <property fmtid="{D5CDD505-2E9C-101B-9397-08002B2CF9AE}" pid="5" name="HPRMSecurityCaveat">
    <vt:lpwstr/>
  </property>
  <property fmtid="{D5CDD505-2E9C-101B-9397-08002B2CF9AE}" pid="6" name="PMC.ESearch.TagGeneratedTime">
    <vt:lpwstr>2022-10-31T16:53:22</vt:lpwstr>
  </property>
  <property fmtid="{D5CDD505-2E9C-101B-9397-08002B2CF9AE}" pid="7" name="TaxKeyword">
    <vt:lpwstr/>
  </property>
  <property fmtid="{D5CDD505-2E9C-101B-9397-08002B2CF9AE}" pid="8" name="MediaServiceImageTags">
    <vt:lpwstr/>
  </property>
  <property fmtid="{D5CDD505-2E9C-101B-9397-08002B2CF9AE}" pid="9" name="SecurityClassification">
    <vt:lpwstr>4;#OFFICIAL|9e0ec9cb-4e7f-4d4a-bd32-1ee7525c6d87</vt:lpwstr>
  </property>
  <property fmtid="{D5CDD505-2E9C-101B-9397-08002B2CF9AE}" pid="10" name="_dlc_DocIdItemGuid">
    <vt:lpwstr>15f7c30a-ecd1-4ff1-a01d-924d34e52460</vt:lpwstr>
  </property>
  <property fmtid="{D5CDD505-2E9C-101B-9397-08002B2CF9AE}" pid="11" name="InformationMarker">
    <vt:lpwstr/>
  </property>
</Properties>
</file>